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95200">
      <w:pPr>
        <w:widowControl/>
        <w:jc w:val="left"/>
        <w:rPr>
          <w:sz w:val="52"/>
          <w:szCs w:val="52"/>
        </w:rPr>
      </w:pPr>
      <w:bookmarkStart w:id="0" w:name="_Hlk528261495"/>
      <w:bookmarkStart w:id="1" w:name="OLE_LINK3"/>
    </w:p>
    <w:p w14:paraId="5C758810">
      <w:pPr>
        <w:spacing w:line="360" w:lineRule="auto"/>
        <w:rPr>
          <w:bCs/>
          <w:color w:val="C00000"/>
          <w:sz w:val="36"/>
          <w:szCs w:val="36"/>
        </w:rPr>
      </w:pPr>
    </w:p>
    <w:p w14:paraId="23F1C134">
      <w:pPr>
        <w:spacing w:line="360" w:lineRule="auto"/>
        <w:rPr>
          <w:bCs/>
          <w:color w:val="C00000"/>
          <w:sz w:val="36"/>
          <w:szCs w:val="36"/>
        </w:rPr>
      </w:pPr>
    </w:p>
    <w:p w14:paraId="0C8DB73E">
      <w:pPr>
        <w:spacing w:line="360" w:lineRule="auto"/>
        <w:rPr>
          <w:bCs/>
          <w:color w:val="C00000"/>
          <w:sz w:val="48"/>
          <w:szCs w:val="48"/>
        </w:rPr>
      </w:pPr>
    </w:p>
    <w:p w14:paraId="33BB86B6">
      <w:pPr>
        <w:spacing w:line="360" w:lineRule="auto"/>
        <w:rPr>
          <w:bCs/>
          <w:color w:val="C00000"/>
          <w:sz w:val="48"/>
          <w:szCs w:val="48"/>
        </w:rPr>
      </w:pPr>
    </w:p>
    <w:p w14:paraId="3C2BCF01">
      <w:pPr>
        <w:jc w:val="center"/>
        <w:rPr>
          <w:sz w:val="52"/>
          <w:szCs w:val="52"/>
        </w:rPr>
      </w:pPr>
      <w:r>
        <w:rPr>
          <w:sz w:val="52"/>
          <w:szCs w:val="52"/>
        </w:rPr>
        <w:t>团 体 标 准</w:t>
      </w:r>
    </w:p>
    <w:p w14:paraId="77B13FDD">
      <w:pPr>
        <w:jc w:val="center"/>
        <w:rPr>
          <w:rFonts w:hint="eastAsia" w:ascii="黑体" w:hAnsi="黑体" w:eastAsia="黑体"/>
          <w:sz w:val="48"/>
          <w:szCs w:val="48"/>
        </w:rPr>
      </w:pPr>
    </w:p>
    <w:p w14:paraId="65EBEDB4">
      <w:pPr>
        <w:jc w:val="center"/>
        <w:rPr>
          <w:rFonts w:hint="eastAsia" w:ascii="黑体" w:hAnsi="黑体" w:eastAsia="黑体"/>
          <w:sz w:val="44"/>
          <w:szCs w:val="44"/>
        </w:rPr>
      </w:pPr>
      <w:r>
        <w:rPr>
          <w:rFonts w:hint="eastAsia" w:ascii="黑体" w:hAnsi="黑体" w:eastAsia="黑体"/>
          <w:sz w:val="44"/>
          <w:szCs w:val="44"/>
        </w:rPr>
        <w:t>《干旱半干旱区紫花苜蓿节水灌溉与生物质炭施用技术规范》</w:t>
      </w:r>
    </w:p>
    <w:p w14:paraId="270B0C4D">
      <w:pPr>
        <w:spacing w:before="312" w:beforeLines="100" w:after="312" w:afterLines="100" w:line="480" w:lineRule="auto"/>
        <w:ind w:left="-67"/>
        <w:jc w:val="center"/>
        <w:rPr>
          <w:rFonts w:hint="eastAsia" w:ascii="黑体" w:hAnsi="黑体" w:eastAsia="黑体"/>
          <w:sz w:val="44"/>
          <w:szCs w:val="44"/>
        </w:rPr>
      </w:pPr>
      <w:r>
        <w:rPr>
          <w:rFonts w:ascii="黑体" w:hAnsi="黑体" w:eastAsia="黑体"/>
          <w:sz w:val="44"/>
          <w:szCs w:val="44"/>
        </w:rPr>
        <w:t>编制说明</w:t>
      </w:r>
    </w:p>
    <w:p w14:paraId="6DE3ADC0">
      <w:pPr>
        <w:spacing w:line="360" w:lineRule="auto"/>
        <w:rPr>
          <w:bCs/>
          <w:sz w:val="36"/>
          <w:szCs w:val="36"/>
        </w:rPr>
      </w:pPr>
    </w:p>
    <w:p w14:paraId="528D9F67">
      <w:pPr>
        <w:spacing w:line="360" w:lineRule="auto"/>
        <w:rPr>
          <w:bCs/>
          <w:sz w:val="36"/>
          <w:szCs w:val="36"/>
        </w:rPr>
      </w:pPr>
    </w:p>
    <w:p w14:paraId="1E29079D">
      <w:pPr>
        <w:spacing w:line="360" w:lineRule="auto"/>
        <w:rPr>
          <w:bCs/>
          <w:sz w:val="36"/>
          <w:szCs w:val="36"/>
        </w:rPr>
      </w:pPr>
    </w:p>
    <w:p w14:paraId="2715D9AB">
      <w:pPr>
        <w:spacing w:line="360" w:lineRule="auto"/>
        <w:rPr>
          <w:bCs/>
          <w:sz w:val="36"/>
          <w:szCs w:val="36"/>
        </w:rPr>
      </w:pPr>
    </w:p>
    <w:p w14:paraId="64789C51">
      <w:pPr>
        <w:spacing w:line="360" w:lineRule="auto"/>
        <w:rPr>
          <w:bCs/>
          <w:sz w:val="36"/>
          <w:szCs w:val="36"/>
        </w:rPr>
      </w:pPr>
    </w:p>
    <w:p w14:paraId="0211B5B5">
      <w:pPr>
        <w:spacing w:line="360" w:lineRule="auto"/>
        <w:rPr>
          <w:bCs/>
          <w:sz w:val="36"/>
          <w:szCs w:val="36"/>
        </w:rPr>
      </w:pPr>
    </w:p>
    <w:p w14:paraId="7C7491E7">
      <w:pPr>
        <w:widowControl/>
        <w:rPr>
          <w:bCs/>
          <w:sz w:val="44"/>
          <w:szCs w:val="44"/>
        </w:rPr>
      </w:pPr>
    </w:p>
    <w:p w14:paraId="1F0E511F">
      <w:pPr>
        <w:widowControl/>
        <w:rPr>
          <w:bCs/>
          <w:sz w:val="44"/>
          <w:szCs w:val="44"/>
        </w:rPr>
      </w:pPr>
    </w:p>
    <w:p w14:paraId="034AC298">
      <w:pPr>
        <w:ind w:left="-52" w:leftChars="-67" w:right="-382" w:rightChars="-182" w:hanging="89" w:hangingChars="32"/>
        <w:jc w:val="center"/>
        <w:rPr>
          <w:rFonts w:hint="eastAsia" w:ascii="黑体" w:hAnsi="黑体" w:eastAsia="黑体"/>
          <w:bCs/>
          <w:sz w:val="28"/>
          <w:szCs w:val="28"/>
        </w:rPr>
      </w:pPr>
      <w:r>
        <w:rPr>
          <w:rFonts w:hint="eastAsia" w:ascii="黑体" w:hAnsi="黑体" w:eastAsia="黑体"/>
          <w:bCs/>
          <w:sz w:val="28"/>
          <w:szCs w:val="28"/>
        </w:rPr>
        <w:t>《干旱半干旱区紫花苜蓿节水灌溉与生物质炭施用技术规范》团标制定组</w:t>
      </w:r>
    </w:p>
    <w:p w14:paraId="40FBF7DD">
      <w:pPr>
        <w:widowControl/>
        <w:jc w:val="center"/>
        <w:rPr>
          <w:rFonts w:hint="eastAsia" w:ascii="Times New Roman" w:hAnsi="Times New Roman" w:eastAsia="宋体" w:cs="Times New Roman"/>
          <w:b/>
          <w:color w:val="000000"/>
          <w:kern w:val="2"/>
          <w:sz w:val="28"/>
          <w:szCs w:val="28"/>
          <w:lang w:val="en-US" w:eastAsia="zh-CN" w:bidi="ar-SA"/>
        </w:rPr>
      </w:pPr>
      <w:r>
        <w:rPr>
          <w:rFonts w:ascii="黑体" w:hAnsi="黑体" w:eastAsia="黑体"/>
          <w:bCs/>
          <w:sz w:val="28"/>
          <w:szCs w:val="28"/>
        </w:rPr>
        <w:t>二</w:t>
      </w:r>
      <w:r>
        <w:rPr>
          <w:rFonts w:ascii="黑体" w:hAnsi="黑体" w:eastAsia="黑体"/>
          <w:sz w:val="28"/>
          <w:szCs w:val="28"/>
        </w:rPr>
        <w:t>〇</w:t>
      </w:r>
      <w:r>
        <w:rPr>
          <w:rFonts w:ascii="黑体" w:hAnsi="黑体" w:eastAsia="黑体"/>
          <w:bCs/>
          <w:sz w:val="28"/>
          <w:szCs w:val="28"/>
        </w:rPr>
        <w:t>二</w:t>
      </w:r>
      <w:r>
        <w:rPr>
          <w:rFonts w:hint="eastAsia" w:ascii="黑体" w:hAnsi="黑体" w:eastAsia="黑体"/>
          <w:bCs/>
          <w:sz w:val="28"/>
          <w:szCs w:val="28"/>
          <w:lang w:val="en-US" w:eastAsia="zh-CN"/>
        </w:rPr>
        <w:t>六</w:t>
      </w:r>
      <w:r>
        <w:rPr>
          <w:rFonts w:ascii="黑体" w:hAnsi="黑体" w:eastAsia="黑体"/>
          <w:bCs/>
          <w:sz w:val="28"/>
          <w:szCs w:val="28"/>
        </w:rPr>
        <w:t>年</w:t>
      </w:r>
      <w:r>
        <w:rPr>
          <w:rFonts w:hint="eastAsia" w:ascii="黑体" w:hAnsi="黑体" w:eastAsia="黑体"/>
          <w:bCs/>
          <w:sz w:val="28"/>
          <w:szCs w:val="28"/>
        </w:rPr>
        <w:t>二</w:t>
      </w:r>
      <w:r>
        <w:rPr>
          <w:rFonts w:ascii="黑体" w:hAnsi="黑体" w:eastAsia="黑体"/>
          <w:bCs/>
          <w:sz w:val="28"/>
          <w:szCs w:val="28"/>
        </w:rPr>
        <w:t>月</w:t>
      </w:r>
      <w:bookmarkEnd w:id="0"/>
      <w:r>
        <w:rPr>
          <w:b/>
          <w:color w:val="000000"/>
          <w:sz w:val="28"/>
          <w:szCs w:val="28"/>
        </w:rPr>
        <w:br w:type="page"/>
      </w:r>
      <w:r>
        <w:rPr>
          <w:rFonts w:hint="eastAsia" w:ascii="Times New Roman" w:hAnsi="Times New Roman" w:eastAsia="宋体" w:cs="Times New Roman"/>
          <w:b/>
          <w:color w:val="000000"/>
          <w:kern w:val="2"/>
          <w:sz w:val="28"/>
          <w:szCs w:val="28"/>
          <w:lang w:val="en-US" w:eastAsia="zh-CN" w:bidi="ar-SA"/>
        </w:rPr>
        <w:t>目  次</w:t>
      </w:r>
    </w:p>
    <w:p w14:paraId="1D60AEC8">
      <w:pPr>
        <w:pStyle w:val="33"/>
        <w:spacing w:line="360" w:lineRule="auto"/>
        <w:ind w:firstLineChars="0"/>
        <w:rPr>
          <w:b/>
          <w:color w:val="000000"/>
          <w:sz w:val="22"/>
          <w:szCs w:val="22"/>
        </w:rPr>
      </w:pPr>
    </w:p>
    <w:p w14:paraId="5E19A56C">
      <w:pPr>
        <w:pStyle w:val="13"/>
        <w:rPr>
          <w:rFonts w:hint="eastAsia" w:asciiTheme="minorHAnsi" w:hAnsiTheme="minorHAnsi" w:eastAsiaTheme="minorEastAsia" w:cstheme="minorBidi"/>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"_Toc176547930" </w:instrText>
      </w:r>
      <w:r>
        <w:fldChar w:fldCharType="separate"/>
      </w:r>
      <w:r>
        <w:rPr>
          <w:rStyle w:val="21"/>
          <w:rFonts w:hint="eastAsia"/>
        </w:rPr>
        <w:t>一、任务来源及标准制定背景</w:t>
      </w:r>
      <w:r>
        <w:rPr>
          <w:rFonts w:hint="eastAsia"/>
        </w:rPr>
        <w:tab/>
      </w:r>
      <w:r>
        <w:rPr>
          <w:rFonts w:hint="eastAsia"/>
        </w:rPr>
        <w:fldChar w:fldCharType="begin"/>
      </w:r>
      <w:r>
        <w:rPr>
          <w:rFonts w:hint="eastAsia"/>
        </w:rPr>
        <w:instrText xml:space="preserve"> </w:instrText>
      </w:r>
      <w:r>
        <w:instrText xml:space="preserve">PAGEREF _Toc176547930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8EC1846">
      <w:pPr>
        <w:pStyle w:val="14"/>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"_Toc176547931" </w:instrText>
      </w:r>
      <w:r>
        <w:fldChar w:fldCharType="separate"/>
      </w:r>
      <w:r>
        <w:rPr>
          <w:rStyle w:val="21"/>
          <w:rFonts w:hint="eastAsia"/>
        </w:rPr>
        <w:t>1、任务来源</w:t>
      </w:r>
      <w:r>
        <w:rPr>
          <w:rFonts w:hint="eastAsia"/>
        </w:rPr>
        <w:tab/>
      </w:r>
      <w:r>
        <w:rPr>
          <w:rFonts w:hint="eastAsia"/>
        </w:rPr>
        <w:fldChar w:fldCharType="begin"/>
      </w:r>
      <w:r>
        <w:rPr>
          <w:rFonts w:hint="eastAsia"/>
        </w:rPr>
        <w:instrText xml:space="preserve"> </w:instrText>
      </w:r>
      <w:r>
        <w:instrText xml:space="preserve">PAGEREF _Toc176547931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46BE875">
      <w:pPr>
        <w:pStyle w:val="14"/>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"_Toc176547932" </w:instrText>
      </w:r>
      <w:r>
        <w:fldChar w:fldCharType="separate"/>
      </w:r>
      <w:r>
        <w:rPr>
          <w:rStyle w:val="21"/>
          <w:rFonts w:hint="eastAsia"/>
        </w:rPr>
        <w:t>2、标准制定背景</w:t>
      </w:r>
      <w:r>
        <w:rPr>
          <w:rFonts w:hint="eastAsia"/>
        </w:rPr>
        <w:tab/>
      </w:r>
      <w:r>
        <w:rPr>
          <w:rFonts w:hint="eastAsia"/>
        </w:rPr>
        <w:fldChar w:fldCharType="begin"/>
      </w:r>
      <w:r>
        <w:rPr>
          <w:rFonts w:hint="eastAsia"/>
        </w:rPr>
        <w:instrText xml:space="preserve"> </w:instrText>
      </w:r>
      <w:r>
        <w:instrText xml:space="preserve">PAGEREF _Toc176547932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AC19EBB">
      <w:pPr>
        <w:pStyle w:val="13"/>
        <w:rPr>
          <w:rFonts w:hint="eastAsia" w:asciiTheme="minorHAnsi" w:hAnsiTheme="minorHAnsi" w:eastAsiaTheme="minorEastAsia" w:cstheme="minorBidi"/>
          <w:szCs w:val="22"/>
          <w14:ligatures w14:val="standardContextual"/>
        </w:rPr>
      </w:pPr>
      <w:r>
        <w:fldChar w:fldCharType="begin"/>
      </w:r>
      <w:r>
        <w:instrText xml:space="preserve"> HYPERLINK \l "_Toc176547933" </w:instrText>
      </w:r>
      <w:r>
        <w:fldChar w:fldCharType="separate"/>
      </w:r>
      <w:r>
        <w:rPr>
          <w:rStyle w:val="21"/>
          <w:rFonts w:hint="eastAsia"/>
        </w:rPr>
        <w:t>二、主要工作过程</w:t>
      </w:r>
      <w:r>
        <w:rPr>
          <w:rFonts w:hint="eastAsia"/>
        </w:rPr>
        <w:tab/>
      </w:r>
      <w:r>
        <w:rPr>
          <w:rFonts w:hint="eastAsia"/>
          <w:lang w:val="en-US" w:eastAsia="zh-CN"/>
        </w:rPr>
        <w:t>4</w:t>
      </w:r>
      <w:r>
        <w:rPr>
          <w:rFonts w:hint="eastAsia"/>
        </w:rPr>
        <w:fldChar w:fldCharType="end"/>
      </w:r>
    </w:p>
    <w:p w14:paraId="60F337AF">
      <w:pPr>
        <w:pStyle w:val="13"/>
        <w:rPr>
          <w:rFonts w:hint="eastAsia" w:asciiTheme="minorHAnsi" w:hAnsiTheme="minorHAnsi" w:eastAsiaTheme="minorEastAsia" w:cstheme="minorBidi"/>
          <w:szCs w:val="22"/>
          <w14:ligatures w14:val="standardContextual"/>
        </w:rPr>
      </w:pPr>
      <w:r>
        <w:fldChar w:fldCharType="begin"/>
      </w:r>
      <w:r>
        <w:instrText xml:space="preserve"> HYPERLINK \l "_Toc176547934" </w:instrText>
      </w:r>
      <w:r>
        <w:fldChar w:fldCharType="separate"/>
      </w:r>
      <w:r>
        <w:rPr>
          <w:rStyle w:val="21"/>
          <w:rFonts w:hint="eastAsia"/>
        </w:rPr>
        <w:t>三、标准编制原则和主要技术内容确定的依据</w:t>
      </w:r>
      <w:r>
        <w:rPr>
          <w:rFonts w:hint="eastAsia"/>
        </w:rPr>
        <w:tab/>
      </w:r>
      <w:r>
        <w:rPr>
          <w:rFonts w:hint="eastAsia"/>
        </w:rPr>
        <w:fldChar w:fldCharType="begin"/>
      </w:r>
      <w:r>
        <w:rPr>
          <w:rFonts w:hint="eastAsia"/>
        </w:rPr>
        <w:instrText xml:space="preserve"> </w:instrText>
      </w:r>
      <w:r>
        <w:instrText xml:space="preserve">PAGEREF _Toc176547934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DAC26EA">
      <w:pPr>
        <w:pStyle w:val="14"/>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"_Toc176547935" </w:instrText>
      </w:r>
      <w:r>
        <w:fldChar w:fldCharType="separate"/>
      </w:r>
      <w:r>
        <w:rPr>
          <w:rStyle w:val="21"/>
          <w:rFonts w:hint="eastAsia"/>
        </w:rPr>
        <w:t>1、标准编制原则</w:t>
      </w:r>
      <w:r>
        <w:rPr>
          <w:rFonts w:hint="eastAsia"/>
        </w:rPr>
        <w:tab/>
      </w:r>
      <w:r>
        <w:rPr>
          <w:rFonts w:hint="eastAsia"/>
        </w:rPr>
        <w:fldChar w:fldCharType="begin"/>
      </w:r>
      <w:r>
        <w:rPr>
          <w:rFonts w:hint="eastAsia"/>
        </w:rPr>
        <w:instrText xml:space="preserve"> </w:instrText>
      </w:r>
      <w:r>
        <w:instrText xml:space="preserve">PAGEREF _Toc176547935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05DBFE5">
      <w:pPr>
        <w:pStyle w:val="14"/>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"_Toc176547936" </w:instrText>
      </w:r>
      <w:r>
        <w:fldChar w:fldCharType="separate"/>
      </w:r>
      <w:r>
        <w:rPr>
          <w:rStyle w:val="21"/>
          <w:rFonts w:hint="eastAsia"/>
        </w:rPr>
        <w:t>2、主要技术内容确定的论据</w:t>
      </w:r>
      <w:r>
        <w:rPr>
          <w:rFonts w:hint="eastAsia"/>
        </w:rPr>
        <w:tab/>
      </w:r>
      <w:r>
        <w:rPr>
          <w:rFonts w:hint="eastAsia"/>
          <w:lang w:val="en-US" w:eastAsia="zh-CN"/>
        </w:rPr>
        <w:t>6</w:t>
      </w:r>
      <w:r>
        <w:rPr>
          <w:rFonts w:hint="eastAsia"/>
        </w:rPr>
        <w:fldChar w:fldCharType="end"/>
      </w:r>
    </w:p>
    <w:p w14:paraId="2797626D">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"_Toc176547937" </w:instrText>
      </w:r>
      <w:r>
        <w:fldChar w:fldCharType="separate"/>
      </w:r>
      <w:r>
        <w:rPr>
          <w:rStyle w:val="21"/>
          <w:rFonts w:hint="eastAsia"/>
        </w:rPr>
        <w:t>四、采用的国际标准</w:t>
      </w:r>
      <w:r>
        <w:rPr>
          <w:rFonts w:hint="eastAsia"/>
        </w:rPr>
        <w:tab/>
      </w:r>
      <w:r>
        <w:rPr>
          <w:rFonts w:hint="eastAsia"/>
          <w:lang w:val="en-US" w:eastAsia="zh-CN"/>
        </w:rPr>
        <w:t>1</w:t>
      </w:r>
      <w:r>
        <w:rPr>
          <w:rFonts w:hint="eastAsia"/>
        </w:rPr>
        <w:fldChar w:fldCharType="end"/>
      </w:r>
      <w:r>
        <w:rPr>
          <w:rFonts w:hint="eastAsia"/>
          <w:lang w:val="en-US" w:eastAsia="zh-CN"/>
        </w:rPr>
        <w:t>2</w:t>
      </w:r>
    </w:p>
    <w:p w14:paraId="75A7A5D8">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"_Toc176547938" </w:instrText>
      </w:r>
      <w:r>
        <w:fldChar w:fldCharType="separate"/>
      </w:r>
      <w:r>
        <w:rPr>
          <w:rStyle w:val="21"/>
          <w:rFonts w:hint="eastAsia"/>
        </w:rPr>
        <w:t>五、与现行法律法规和强制性标准的关系</w:t>
      </w:r>
      <w:r>
        <w:rPr>
          <w:rFonts w:hint="eastAsia"/>
        </w:rPr>
        <w:tab/>
      </w:r>
      <w:r>
        <w:rPr>
          <w:rFonts w:hint="eastAsia"/>
          <w:lang w:val="en-US" w:eastAsia="zh-CN"/>
        </w:rPr>
        <w:t>1</w:t>
      </w:r>
      <w:r>
        <w:rPr>
          <w:rFonts w:hint="eastAsia"/>
        </w:rPr>
        <w:fldChar w:fldCharType="end"/>
      </w:r>
      <w:r>
        <w:rPr>
          <w:rFonts w:hint="eastAsia"/>
          <w:lang w:val="en-US" w:eastAsia="zh-CN"/>
        </w:rPr>
        <w:t>2</w:t>
      </w:r>
    </w:p>
    <w:p w14:paraId="3B924B2D">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"_Toc176547939" </w:instrText>
      </w:r>
      <w:r>
        <w:fldChar w:fldCharType="separate"/>
      </w:r>
      <w:r>
        <w:rPr>
          <w:rStyle w:val="21"/>
          <w:rFonts w:hint="eastAsia"/>
        </w:rPr>
        <w:t>六、重大分歧意见的处理经过和依据</w:t>
      </w:r>
      <w:r>
        <w:rPr>
          <w:rFonts w:hint="eastAsia"/>
        </w:rPr>
        <w:tab/>
      </w:r>
      <w:r>
        <w:rPr>
          <w:rFonts w:hint="eastAsia"/>
          <w:lang w:val="en-US" w:eastAsia="zh-CN"/>
        </w:rPr>
        <w:t>1</w:t>
      </w:r>
      <w:r>
        <w:rPr>
          <w:rFonts w:hint="eastAsia"/>
        </w:rPr>
        <w:fldChar w:fldCharType="end"/>
      </w:r>
      <w:r>
        <w:rPr>
          <w:rFonts w:hint="eastAsia"/>
          <w:lang w:val="en-US" w:eastAsia="zh-CN"/>
        </w:rPr>
        <w:t>2</w:t>
      </w:r>
    </w:p>
    <w:p w14:paraId="765AD2FD">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"_Toc176547940" </w:instrText>
      </w:r>
      <w:r>
        <w:fldChar w:fldCharType="separate"/>
      </w:r>
      <w:r>
        <w:rPr>
          <w:rStyle w:val="21"/>
          <w:rFonts w:hint="eastAsia"/>
        </w:rPr>
        <w:t>七、标准作为强制性或推荐性标准的意见</w:t>
      </w:r>
      <w:r>
        <w:rPr>
          <w:rFonts w:hint="eastAsia"/>
        </w:rPr>
        <w:tab/>
      </w:r>
      <w:r>
        <w:rPr>
          <w:rFonts w:hint="eastAsia"/>
          <w:lang w:val="en-US" w:eastAsia="zh-CN"/>
        </w:rPr>
        <w:t>1</w:t>
      </w:r>
      <w:r>
        <w:rPr>
          <w:rFonts w:hint="eastAsia"/>
        </w:rPr>
        <w:fldChar w:fldCharType="end"/>
      </w:r>
      <w:r>
        <w:rPr>
          <w:rFonts w:hint="eastAsia"/>
          <w:lang w:val="en-US" w:eastAsia="zh-CN"/>
        </w:rPr>
        <w:t>2</w:t>
      </w:r>
    </w:p>
    <w:p w14:paraId="155D255B">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"_Toc176547941" </w:instrText>
      </w:r>
      <w:r>
        <w:fldChar w:fldCharType="separate"/>
      </w:r>
      <w:r>
        <w:rPr>
          <w:rStyle w:val="21"/>
          <w:rFonts w:hint="eastAsia"/>
        </w:rPr>
        <w:t>八、贯彻标准的要求和措施建议</w:t>
      </w:r>
      <w:r>
        <w:rPr>
          <w:rFonts w:hint="eastAsia"/>
        </w:rPr>
        <w:tab/>
      </w:r>
      <w:r>
        <w:rPr>
          <w:rFonts w:hint="eastAsia"/>
          <w:lang w:val="en-US" w:eastAsia="zh-CN"/>
        </w:rPr>
        <w:t>1</w:t>
      </w:r>
      <w:r>
        <w:rPr>
          <w:rFonts w:hint="eastAsia"/>
        </w:rPr>
        <w:fldChar w:fldCharType="end"/>
      </w:r>
      <w:r>
        <w:rPr>
          <w:rFonts w:hint="eastAsia"/>
          <w:lang w:val="en-US" w:eastAsia="zh-CN"/>
        </w:rPr>
        <w:t>2</w:t>
      </w:r>
    </w:p>
    <w:p w14:paraId="316EC7D6">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"_Toc176547942" </w:instrText>
      </w:r>
      <w:r>
        <w:fldChar w:fldCharType="separate"/>
      </w:r>
      <w:r>
        <w:rPr>
          <w:rStyle w:val="21"/>
          <w:rFonts w:hint="eastAsia"/>
        </w:rPr>
        <w:t>九、废止现行有关标准的建议</w:t>
      </w:r>
      <w:r>
        <w:rPr>
          <w:rFonts w:hint="eastAsia"/>
        </w:rPr>
        <w:tab/>
      </w:r>
      <w:r>
        <w:rPr>
          <w:rFonts w:hint="eastAsia"/>
          <w:lang w:val="en-US" w:eastAsia="zh-CN"/>
        </w:rPr>
        <w:t>1</w:t>
      </w:r>
      <w:r>
        <w:rPr>
          <w:rFonts w:hint="eastAsia"/>
        </w:rPr>
        <w:fldChar w:fldCharType="end"/>
      </w:r>
      <w:r>
        <w:rPr>
          <w:rFonts w:hint="eastAsia"/>
          <w:lang w:val="en-US" w:eastAsia="zh-CN"/>
        </w:rPr>
        <w:t>3</w:t>
      </w:r>
    </w:p>
    <w:p w14:paraId="01F523EE">
      <w:pPr>
        <w:pStyle w:val="13"/>
        <w:rPr>
          <w:rFonts w:hint="eastAsia" w:eastAsia="宋体" w:asciiTheme="minorHAnsi" w:hAnsiTheme="minorHAnsi" w:cstheme="minorBidi"/>
          <w:szCs w:val="22"/>
          <w:lang w:val="en-US" w:eastAsia="zh-CN"/>
          <w14:ligatures w14:val="standardContextual"/>
        </w:rPr>
      </w:pPr>
      <w:r>
        <w:fldChar w:fldCharType="begin"/>
      </w:r>
      <w:r>
        <w:instrText xml:space="preserve"> HYPERLINK \l "_Toc176547943" </w:instrText>
      </w:r>
      <w:r>
        <w:fldChar w:fldCharType="separate"/>
      </w:r>
      <w:r>
        <w:rPr>
          <w:rStyle w:val="21"/>
          <w:rFonts w:hint="eastAsia"/>
        </w:rPr>
        <w:t>十、其他应予说明的事项</w:t>
      </w:r>
      <w:r>
        <w:rPr>
          <w:rFonts w:hint="eastAsia"/>
        </w:rPr>
        <w:tab/>
      </w:r>
      <w:r>
        <w:rPr>
          <w:rFonts w:hint="eastAsia"/>
          <w:lang w:val="en-US" w:eastAsia="zh-CN"/>
        </w:rPr>
        <w:t>1</w:t>
      </w:r>
      <w:r>
        <w:rPr>
          <w:rFonts w:hint="eastAsia"/>
        </w:rPr>
        <w:fldChar w:fldCharType="end"/>
      </w:r>
      <w:r>
        <w:rPr>
          <w:rFonts w:hint="eastAsia"/>
          <w:lang w:val="en-US" w:eastAsia="zh-CN"/>
        </w:rPr>
        <w:t>3</w:t>
      </w:r>
    </w:p>
    <w:p w14:paraId="7755D24F">
      <w:pPr>
        <w:spacing w:line="360" w:lineRule="auto"/>
        <w:rPr>
          <w:sz w:val="24"/>
          <w:szCs w:val="24"/>
        </w:rPr>
      </w:pPr>
      <w:r>
        <w:rPr>
          <w:b/>
          <w:bCs/>
          <w:sz w:val="24"/>
          <w:szCs w:val="24"/>
          <w:lang w:val="zh-CN"/>
        </w:rPr>
        <w:fldChar w:fldCharType="end"/>
      </w:r>
    </w:p>
    <w:p w14:paraId="32720C13">
      <w:pPr>
        <w:pStyle w:val="33"/>
        <w:spacing w:before="312" w:beforeLines="100" w:after="312" w:afterLines="100" w:line="420" w:lineRule="exact"/>
        <w:ind w:firstLineChars="0"/>
        <w:rPr>
          <w:b/>
          <w:color w:val="000000"/>
          <w:sz w:val="28"/>
          <w:szCs w:val="28"/>
        </w:rPr>
      </w:pPr>
    </w:p>
    <w:p w14:paraId="3EB17BB0">
      <w:pPr>
        <w:pStyle w:val="2"/>
        <w:spacing w:before="0" w:after="0"/>
        <w:rPr>
          <w:sz w:val="24"/>
          <w:szCs w:val="40"/>
        </w:rPr>
      </w:pPr>
      <w:r>
        <w:br w:type="page"/>
      </w:r>
      <w:bookmarkStart w:id="2" w:name="_Toc176547930"/>
      <w:r>
        <w:rPr>
          <w:rFonts w:hint="eastAsia"/>
          <w:sz w:val="24"/>
          <w:szCs w:val="40"/>
        </w:rPr>
        <w:t>一、任务来源及标准制定背景</w:t>
      </w:r>
      <w:bookmarkEnd w:id="2"/>
    </w:p>
    <w:p w14:paraId="39E2EE66">
      <w:pPr>
        <w:pStyle w:val="3"/>
        <w:spacing w:before="0" w:after="0"/>
        <w:rPr>
          <w:rFonts w:hint="eastAsia"/>
          <w:sz w:val="22"/>
          <w:szCs w:val="28"/>
        </w:rPr>
      </w:pPr>
      <w:bookmarkStart w:id="3" w:name="_Toc176547931"/>
      <w:r>
        <w:rPr>
          <w:rFonts w:hint="eastAsia"/>
          <w:sz w:val="22"/>
          <w:szCs w:val="28"/>
        </w:rPr>
        <w:t>1、任务来源</w:t>
      </w:r>
      <w:bookmarkEnd w:id="3"/>
    </w:p>
    <w:p w14:paraId="51E08244">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根据新疆维吾尔自治区市场监督管理局《2024年自治区地方标准立项指南》（2024年 第21号）的精神，由新疆农业大学草业学院、博乐市草原工作站、新疆维吾尔自治区林业和草原局、新疆维吾尔自治区草原总站、新疆维吾尔自治区标准化研究院同起草新疆地方标准《新疆重要湿地认定指标》。本标准依托“天然草原生产力提升与多元化草产品加工利用技术”国家重点研发项目。</w:t>
      </w:r>
    </w:p>
    <w:p w14:paraId="2CF241EC">
      <w:pPr>
        <w:pStyle w:val="3"/>
        <w:spacing w:before="0" w:after="0"/>
        <w:rPr>
          <w:rFonts w:hint="eastAsia"/>
          <w:sz w:val="22"/>
          <w:szCs w:val="28"/>
        </w:rPr>
      </w:pPr>
      <w:bookmarkStart w:id="4" w:name="_Toc176547932"/>
      <w:r>
        <w:rPr>
          <w:rFonts w:hint="eastAsia"/>
          <w:sz w:val="22"/>
          <w:szCs w:val="28"/>
        </w:rPr>
        <w:t>2、标准制定背景</w:t>
      </w:r>
      <w:bookmarkEnd w:id="4"/>
    </w:p>
    <w:p w14:paraId="51DDEF3D">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草地作为陆地生态系统的核心组成部分，在维系生物多样性、调节区域气候、涵养水源以及支撑畜牧业发展等方面具有不可替代的作用。紫花苜蓿作为优质豆科牧草，素有 “牧草之王” 的美称，是干旱半干旱区畜牧业可持续发展的核心饲草资源，在保障饲草供应、稳定畜产品产能方面发挥关键作用。</w:t>
      </w:r>
    </w:p>
    <w:p w14:paraId="217DF83A">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然而，干旱半干旱区水资源短缺、土壤保水保肥能力弱、肥力贫瘠等问题突出，严重制约紫花苜蓿产量提升与品质优化。同时，该区域紫花苜蓿种植普遍存在灌溉技术不规范、生物质炭施用无统一标准等问题，如灌溉量盲目增减、生物质炭施用量与方式随意、水肥协同效应未充分发挥等，不仅导致水资源浪费、生产成本增加，还引发土壤退化、牧草营养品质下降等连锁问题。</w:t>
      </w:r>
    </w:p>
    <w:p w14:paraId="3FBB921F">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以新疆干旱半干旱区为例，调查显示，近十年该区域人工紫花苜蓿草地生产力下降约 25%，粗蛋白含量降低 10%-15%，土壤有机质含量减少 20% 以上。尽管政府已实施节水灌溉推广、土壤改良等政策，但缺乏系统的技术规范指导，单一措施难以解决生产中的实际问题。因此，亟需制定科学、可操作的节水灌溉与生物质炭施用技术规范，通过标准化管理实现 “节水提质、增效护土” 的双重目标。</w:t>
      </w:r>
    </w:p>
    <w:p w14:paraId="5E761EB2">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本规范的制定基于多学科研究成果与实践经验，融合农业水利学、土壤学、草地管理学及植物生理学原理，明确节水灌溉系统要求、生物质炭施用参数、操作流程等关键技术内容，并引入效果评价体系，旨在为干旱半干旱区紫花苜蓿的可持续种植提供技术支撑。通过规范实施，预期可实现以下目标：</w:t>
      </w:r>
    </w:p>
    <w:p w14:paraId="5A7E3ED9">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1. 提升牧草产量与品质：通过优化灌溉与生物质炭配施模式，单位面积干草产量增加18%以上，相对饲喂价值提升19%以上，经济效益较常规灌溉模式增加约2000 CNY/hm²；</w:t>
      </w:r>
    </w:p>
    <w:p w14:paraId="37BF98B1">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2. 促进土壤生态恢复：改善土壤理化性质，提高土壤保水保肥能力，土壤有机质含量目标值≥17.2g/kg；</w:t>
      </w:r>
    </w:p>
    <w:p w14:paraId="7624B6A2">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3. 推动产业标准化：为紫花苜蓿节水种植、土壤改良及优质生产提供统一技术标准，减少资源浪费与经济损失。</w:t>
      </w:r>
    </w:p>
    <w:p w14:paraId="3E45186A">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本规范的发布与实施，将填补山地草甸刈割技术领域的标准空白，为生态脆弱区草地资源的科学管理提供实践指南，助力实现草地畜牧业的高质量发展与生态文明建设的协同推进。</w:t>
      </w:r>
    </w:p>
    <w:p w14:paraId="64DA9786">
      <w:pPr>
        <w:pStyle w:val="2"/>
        <w:spacing w:before="0" w:after="0"/>
        <w:rPr>
          <w:sz w:val="24"/>
          <w:szCs w:val="40"/>
        </w:rPr>
      </w:pPr>
      <w:bookmarkStart w:id="16" w:name="_GoBack"/>
      <w:bookmarkEnd w:id="16"/>
      <w:bookmarkStart w:id="5" w:name="_Toc176547933"/>
      <w:r>
        <w:rPr>
          <w:rFonts w:hint="eastAsia"/>
          <w:sz w:val="24"/>
          <w:szCs w:val="40"/>
        </w:rPr>
        <w:t>二、主要工作过程</w:t>
      </w:r>
      <w:bookmarkEnd w:id="5"/>
    </w:p>
    <w:p w14:paraId="30F3CE8A">
      <w:pPr>
        <w:spacing w:line="360" w:lineRule="auto"/>
        <w:ind w:firstLine="440" w:firstLineChars="200"/>
        <w:rPr>
          <w:sz w:val="22"/>
          <w:szCs w:val="20"/>
        </w:rPr>
      </w:pPr>
      <w:r>
        <w:rPr>
          <w:rFonts w:eastAsia="仿宋_GB2312"/>
          <w:sz w:val="22"/>
          <w:szCs w:val="20"/>
        </w:rPr>
        <w:t>2024.0</w:t>
      </w:r>
      <w:r>
        <w:rPr>
          <w:rFonts w:hint="eastAsia" w:eastAsia="仿宋_GB2312"/>
          <w:sz w:val="22"/>
          <w:szCs w:val="20"/>
        </w:rPr>
        <w:t>1</w:t>
      </w:r>
      <w:r>
        <w:rPr>
          <w:rFonts w:hint="eastAsia" w:ascii="宋体" w:hAnsi="宋体" w:cs="宋体"/>
          <w:sz w:val="22"/>
          <w:szCs w:val="20"/>
        </w:rPr>
        <w:t>月</w:t>
      </w:r>
      <w:r>
        <w:rPr>
          <w:rFonts w:eastAsia="仿宋_GB2312"/>
          <w:sz w:val="22"/>
          <w:szCs w:val="20"/>
        </w:rPr>
        <w:t>-202</w:t>
      </w:r>
      <w:r>
        <w:rPr>
          <w:rFonts w:hint="eastAsia" w:eastAsia="仿宋_GB2312"/>
          <w:sz w:val="22"/>
          <w:szCs w:val="20"/>
          <w:lang w:val="en-US" w:eastAsia="zh-CN"/>
        </w:rPr>
        <w:t>5</w:t>
      </w:r>
      <w:r>
        <w:rPr>
          <w:rFonts w:eastAsia="仿宋_GB2312"/>
          <w:sz w:val="22"/>
          <w:szCs w:val="20"/>
        </w:rPr>
        <w:t>.</w:t>
      </w:r>
      <w:r>
        <w:rPr>
          <w:rFonts w:hint="eastAsia" w:eastAsia="仿宋_GB2312"/>
          <w:sz w:val="22"/>
          <w:szCs w:val="20"/>
          <w:lang w:val="en-US" w:eastAsia="zh-CN"/>
        </w:rPr>
        <w:t>10</w:t>
      </w:r>
      <w:r>
        <w:rPr>
          <w:rFonts w:hint="eastAsia" w:ascii="宋体" w:hAnsi="宋体" w:cs="宋体"/>
          <w:sz w:val="22"/>
          <w:szCs w:val="20"/>
        </w:rPr>
        <w:t>月</w:t>
      </w:r>
      <w:r>
        <w:rPr>
          <w:rFonts w:eastAsia="仿宋_GB2312"/>
          <w:sz w:val="22"/>
          <w:szCs w:val="20"/>
        </w:rPr>
        <w:t xml:space="preserve"> </w:t>
      </w:r>
      <w:r>
        <w:rPr>
          <w:rFonts w:ascii="宋体" w:hAnsi="宋体" w:cs="宋体"/>
          <w:sz w:val="22"/>
          <w:szCs w:val="20"/>
        </w:rPr>
        <w:t>收集试验数据，整理资料</w:t>
      </w:r>
      <w:r>
        <w:rPr>
          <w:rFonts w:hint="eastAsia" w:ascii="宋体" w:hAnsi="宋体" w:cs="宋体"/>
          <w:sz w:val="22"/>
          <w:szCs w:val="20"/>
        </w:rPr>
        <w:t>。</w:t>
      </w:r>
    </w:p>
    <w:p w14:paraId="14475C54">
      <w:pPr>
        <w:spacing w:line="360" w:lineRule="auto"/>
        <w:ind w:firstLine="440" w:firstLineChars="200"/>
        <w:rPr>
          <w:sz w:val="22"/>
          <w:szCs w:val="20"/>
        </w:rPr>
      </w:pPr>
      <w:r>
        <w:rPr>
          <w:rFonts w:hint="eastAsia" w:eastAsia="仿宋_GB2312"/>
          <w:sz w:val="22"/>
          <w:szCs w:val="20"/>
        </w:rPr>
        <w:t>202</w:t>
      </w:r>
      <w:r>
        <w:rPr>
          <w:rFonts w:hint="eastAsia" w:eastAsia="仿宋_GB2312"/>
          <w:sz w:val="22"/>
          <w:szCs w:val="20"/>
          <w:lang w:val="en-US" w:eastAsia="zh-CN"/>
        </w:rPr>
        <w:t>5</w:t>
      </w:r>
      <w:r>
        <w:rPr>
          <w:rFonts w:hint="eastAsia" w:eastAsia="仿宋_GB2312"/>
          <w:sz w:val="22"/>
          <w:szCs w:val="20"/>
        </w:rPr>
        <w:t>.</w:t>
      </w:r>
      <w:r>
        <w:rPr>
          <w:rFonts w:hint="eastAsia" w:eastAsia="仿宋_GB2312"/>
          <w:sz w:val="22"/>
          <w:szCs w:val="20"/>
          <w:lang w:val="en-US" w:eastAsia="zh-CN"/>
        </w:rPr>
        <w:t>10</w:t>
      </w:r>
      <w:r>
        <w:rPr>
          <w:rFonts w:hint="eastAsia" w:eastAsia="仿宋_GB2312"/>
          <w:sz w:val="22"/>
          <w:szCs w:val="20"/>
        </w:rPr>
        <w:t>月-202</w:t>
      </w:r>
      <w:r>
        <w:rPr>
          <w:rFonts w:hint="eastAsia" w:eastAsia="仿宋_GB2312"/>
          <w:sz w:val="22"/>
          <w:szCs w:val="20"/>
          <w:lang w:val="en-US" w:eastAsia="zh-CN"/>
        </w:rPr>
        <w:t>5</w:t>
      </w:r>
      <w:r>
        <w:rPr>
          <w:rFonts w:hint="eastAsia" w:eastAsia="仿宋_GB2312"/>
          <w:sz w:val="22"/>
          <w:szCs w:val="20"/>
        </w:rPr>
        <w:t>.</w:t>
      </w:r>
      <w:r>
        <w:rPr>
          <w:rFonts w:eastAsia="仿宋_GB2312"/>
          <w:sz w:val="22"/>
          <w:szCs w:val="20"/>
        </w:rPr>
        <w:t>12</w:t>
      </w:r>
      <w:r>
        <w:rPr>
          <w:rFonts w:hint="eastAsia" w:ascii="宋体" w:hAnsi="宋体" w:cs="宋体"/>
          <w:sz w:val="22"/>
          <w:szCs w:val="20"/>
        </w:rPr>
        <w:t>月</w:t>
      </w:r>
      <w:r>
        <w:rPr>
          <w:rFonts w:eastAsia="仿宋_GB2312"/>
          <w:sz w:val="22"/>
          <w:szCs w:val="20"/>
        </w:rPr>
        <w:t xml:space="preserve"> </w:t>
      </w:r>
      <w:r>
        <w:rPr>
          <w:rFonts w:ascii="宋体" w:hAnsi="宋体" w:cs="宋体"/>
          <w:sz w:val="22"/>
          <w:szCs w:val="20"/>
        </w:rPr>
        <w:t>形成工作组讨论稿</w:t>
      </w:r>
      <w:r>
        <w:rPr>
          <w:rFonts w:hint="eastAsia" w:ascii="宋体" w:hAnsi="宋体" w:cs="宋体"/>
          <w:sz w:val="22"/>
          <w:szCs w:val="20"/>
        </w:rPr>
        <w:t>。</w:t>
      </w:r>
    </w:p>
    <w:p w14:paraId="2A98CE91">
      <w:pPr>
        <w:spacing w:line="360" w:lineRule="auto"/>
        <w:ind w:firstLine="440" w:firstLineChars="200"/>
        <w:rPr>
          <w:rFonts w:hint="eastAsia" w:ascii="宋体" w:hAnsi="宋体" w:cs="宋体"/>
          <w:sz w:val="22"/>
          <w:szCs w:val="20"/>
        </w:rPr>
      </w:pPr>
      <w:r>
        <w:rPr>
          <w:rFonts w:eastAsia="仿宋_GB2312"/>
          <w:sz w:val="22"/>
          <w:szCs w:val="20"/>
        </w:rPr>
        <w:t>202</w:t>
      </w:r>
      <w:r>
        <w:rPr>
          <w:rFonts w:hint="eastAsia" w:eastAsia="仿宋_GB2312"/>
          <w:sz w:val="22"/>
          <w:szCs w:val="20"/>
          <w:lang w:val="en-US" w:eastAsia="zh-CN"/>
        </w:rPr>
        <w:t>6</w:t>
      </w:r>
      <w:r>
        <w:rPr>
          <w:rFonts w:eastAsia="仿宋_GB2312"/>
          <w:sz w:val="22"/>
          <w:szCs w:val="20"/>
        </w:rPr>
        <w:t>.</w:t>
      </w:r>
      <w:r>
        <w:rPr>
          <w:rFonts w:hint="eastAsia" w:eastAsia="仿宋_GB2312"/>
          <w:sz w:val="22"/>
          <w:szCs w:val="20"/>
        </w:rPr>
        <w:t>0</w:t>
      </w:r>
      <w:r>
        <w:rPr>
          <w:rFonts w:eastAsia="仿宋_GB2312"/>
          <w:sz w:val="22"/>
          <w:szCs w:val="20"/>
        </w:rPr>
        <w:t>1</w:t>
      </w:r>
      <w:r>
        <w:rPr>
          <w:rFonts w:hint="eastAsia" w:eastAsia="仿宋_GB2312"/>
          <w:sz w:val="22"/>
          <w:szCs w:val="20"/>
        </w:rPr>
        <w:t>月</w:t>
      </w:r>
      <w:r>
        <w:rPr>
          <w:rFonts w:eastAsia="仿宋_GB2312"/>
          <w:sz w:val="22"/>
          <w:szCs w:val="20"/>
        </w:rPr>
        <w:t>-202</w:t>
      </w:r>
      <w:r>
        <w:rPr>
          <w:rFonts w:hint="eastAsia" w:eastAsia="仿宋_GB2312"/>
          <w:sz w:val="22"/>
          <w:szCs w:val="20"/>
          <w:lang w:val="en-US" w:eastAsia="zh-CN"/>
        </w:rPr>
        <w:t>6</w:t>
      </w:r>
      <w:r>
        <w:rPr>
          <w:rFonts w:eastAsia="仿宋_GB2312"/>
          <w:sz w:val="22"/>
          <w:szCs w:val="20"/>
        </w:rPr>
        <w:t>.</w:t>
      </w:r>
      <w:r>
        <w:rPr>
          <w:rFonts w:hint="eastAsia" w:eastAsia="仿宋_GB2312"/>
          <w:sz w:val="22"/>
          <w:szCs w:val="20"/>
        </w:rPr>
        <w:t>0</w:t>
      </w:r>
      <w:r>
        <w:rPr>
          <w:rFonts w:hint="eastAsia" w:eastAsia="仿宋_GB2312"/>
          <w:sz w:val="22"/>
          <w:szCs w:val="20"/>
          <w:lang w:val="en-US" w:eastAsia="zh-CN"/>
        </w:rPr>
        <w:t>2</w:t>
      </w:r>
      <w:r>
        <w:rPr>
          <w:rFonts w:hint="eastAsia" w:ascii="宋体" w:hAnsi="宋体" w:cs="宋体"/>
          <w:sz w:val="22"/>
          <w:szCs w:val="20"/>
        </w:rPr>
        <w:t>月</w:t>
      </w:r>
      <w:r>
        <w:rPr>
          <w:rFonts w:hint="eastAsia" w:eastAsia="仿宋_GB2312"/>
          <w:sz w:val="22"/>
          <w:szCs w:val="20"/>
        </w:rPr>
        <w:t xml:space="preserve"> </w:t>
      </w:r>
      <w:r>
        <w:rPr>
          <w:rFonts w:ascii="宋体" w:hAnsi="宋体" w:cs="宋体"/>
          <w:sz w:val="22"/>
          <w:szCs w:val="20"/>
        </w:rPr>
        <w:t>编写征求意见稿标准文本，编写《编制说明》</w:t>
      </w:r>
      <w:r>
        <w:rPr>
          <w:rFonts w:hint="eastAsia" w:ascii="宋体" w:hAnsi="宋体" w:cs="宋体"/>
          <w:sz w:val="22"/>
          <w:szCs w:val="20"/>
        </w:rPr>
        <w:t>。</w:t>
      </w:r>
    </w:p>
    <w:p w14:paraId="10ADADFA">
      <w:pPr>
        <w:spacing w:line="360" w:lineRule="auto"/>
        <w:ind w:firstLine="440" w:firstLineChars="200"/>
        <w:rPr>
          <w:bCs/>
          <w:sz w:val="22"/>
          <w:szCs w:val="20"/>
        </w:rPr>
      </w:pPr>
      <w:r>
        <w:rPr>
          <w:rFonts w:hint="eastAsia"/>
          <w:bCs/>
          <w:sz w:val="22"/>
          <w:szCs w:val="20"/>
        </w:rPr>
        <w:t>由北京华夏草业产业技术创新战略联盟组织国内相关专家对《干旱半干旱区紫花苜蓿节水灌溉与生物质炭施用技术规范》征求意见稿及编制说明进行会议评审。</w:t>
      </w:r>
    </w:p>
    <w:p w14:paraId="71F810C8">
      <w:pPr>
        <w:pStyle w:val="2"/>
        <w:spacing w:before="0" w:after="0"/>
        <w:rPr>
          <w:sz w:val="24"/>
          <w:szCs w:val="40"/>
        </w:rPr>
      </w:pPr>
      <w:bookmarkStart w:id="6" w:name="_Toc176547934"/>
      <w:r>
        <w:rPr>
          <w:rFonts w:hint="eastAsia"/>
          <w:sz w:val="24"/>
          <w:szCs w:val="40"/>
        </w:rPr>
        <w:t>三、标准编制原则和主要技术内容确定的依据</w:t>
      </w:r>
      <w:bookmarkEnd w:id="6"/>
    </w:p>
    <w:p w14:paraId="54A8B500">
      <w:pPr>
        <w:pStyle w:val="3"/>
        <w:spacing w:before="0" w:after="0"/>
        <w:rPr>
          <w:rFonts w:hint="eastAsia"/>
          <w:sz w:val="22"/>
          <w:szCs w:val="28"/>
        </w:rPr>
      </w:pPr>
      <w:bookmarkStart w:id="7" w:name="_Toc176547935"/>
      <w:r>
        <w:rPr>
          <w:rFonts w:hint="eastAsia"/>
          <w:sz w:val="22"/>
          <w:szCs w:val="28"/>
        </w:rPr>
        <w:t>1、标准编制原则</w:t>
      </w:r>
      <w:bookmarkEnd w:id="7"/>
    </w:p>
    <w:p w14:paraId="56121137">
      <w:pPr>
        <w:numPr>
          <w:ilvl w:val="0"/>
          <w:numId w:val="1"/>
        </w:numPr>
        <w:spacing w:line="360" w:lineRule="auto"/>
        <w:rPr>
          <w:rFonts w:hint="default" w:ascii="Times New Roman" w:hAnsi="Times New Roman" w:eastAsia="宋体" w:cs="Times New Roman"/>
          <w:sz w:val="22"/>
          <w:szCs w:val="20"/>
          <w:lang w:val="en-US" w:eastAsia="zh-CN"/>
        </w:rPr>
      </w:pPr>
      <w:r>
        <w:rPr>
          <w:rFonts w:hint="eastAsia" w:ascii="Times New Roman" w:hAnsi="Times New Roman" w:eastAsia="宋体" w:cs="Times New Roman"/>
          <w:b/>
          <w:color w:val="000000"/>
          <w:sz w:val="22"/>
          <w:szCs w:val="20"/>
          <w:lang w:val="en-US" w:eastAsia="zh-CN"/>
        </w:rPr>
        <w:t>成立起草小组</w:t>
      </w:r>
    </w:p>
    <w:p w14:paraId="15EF12F4">
      <w:pPr>
        <w:spacing w:line="360" w:lineRule="auto"/>
        <w:ind w:firstLine="440" w:firstLineChars="200"/>
        <w:rPr>
          <w:rFonts w:hint="eastAsia" w:ascii="Times New Roman" w:hAnsi="Times New Roman" w:eastAsia="宋体" w:cs="Times New Roman"/>
          <w:sz w:val="22"/>
          <w:szCs w:val="20"/>
        </w:rPr>
      </w:pPr>
      <w:r>
        <w:rPr>
          <w:rFonts w:hint="eastAsia" w:ascii="Times New Roman" w:hAnsi="Times New Roman" w:eastAsia="宋体" w:cs="Times New Roman"/>
          <w:sz w:val="22"/>
          <w:szCs w:val="20"/>
        </w:rPr>
        <w:t>新疆农业大学草业学院</w:t>
      </w:r>
      <w:r>
        <w:rPr>
          <w:rFonts w:hint="eastAsia" w:ascii="Times New Roman" w:hAnsi="Times New Roman" w:eastAsia="宋体" w:cs="Times New Roman"/>
          <w:sz w:val="22"/>
          <w:szCs w:val="20"/>
          <w:lang w:eastAsia="zh-CN"/>
        </w:rPr>
        <w:t>为</w:t>
      </w:r>
      <w:r>
        <w:rPr>
          <w:rFonts w:hint="eastAsia" w:ascii="Times New Roman" w:hAnsi="Times New Roman" w:eastAsia="宋体" w:cs="Times New Roman"/>
          <w:sz w:val="22"/>
          <w:szCs w:val="20"/>
          <w:lang w:val="en-US" w:eastAsia="zh-CN"/>
        </w:rPr>
        <w:t>标准起草小组，同时对标准起草工作进行分工，明确各自任务和职责，以确保项目的顺利实施。起草小组见表1。</w:t>
      </w:r>
    </w:p>
    <w:p w14:paraId="49B2E803">
      <w:pPr>
        <w:spacing w:line="360" w:lineRule="auto"/>
        <w:ind w:firstLine="440" w:firstLineChars="200"/>
        <w:jc w:val="center"/>
        <w:rPr>
          <w:rFonts w:hint="eastAsia" w:ascii="Times New Roman" w:hAnsi="Times New Roman" w:eastAsia="宋体" w:cs="Times New Roman"/>
          <w:sz w:val="22"/>
          <w:szCs w:val="20"/>
        </w:rPr>
      </w:pPr>
      <w:r>
        <w:rPr>
          <w:rFonts w:hint="eastAsia" w:ascii="Times New Roman" w:hAnsi="Times New Roman" w:eastAsia="宋体" w:cs="Times New Roman"/>
          <w:sz w:val="22"/>
          <w:szCs w:val="20"/>
        </w:rPr>
        <w:t>表1  起草小组成员一览表</w:t>
      </w:r>
    </w:p>
    <w:tbl>
      <w:tblPr>
        <w:tblStyle w:val="16"/>
        <w:tblW w:w="4556" w:type="pct"/>
        <w:tblInd w:w="4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9"/>
        <w:gridCol w:w="1358"/>
        <w:gridCol w:w="1269"/>
        <w:gridCol w:w="2338"/>
        <w:gridCol w:w="1862"/>
      </w:tblGrid>
      <w:tr w14:paraId="2B951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blHeader/>
        </w:trPr>
        <w:tc>
          <w:tcPr>
            <w:tcW w:w="725" w:type="pct"/>
            <w:tcBorders>
              <w:top w:val="single" w:color="000000" w:sz="4" w:space="0"/>
              <w:left w:val="single" w:color="000000" w:sz="4" w:space="0"/>
              <w:bottom w:val="single" w:color="000000" w:sz="4" w:space="0"/>
              <w:right w:val="single" w:color="000000" w:sz="4" w:space="0"/>
            </w:tcBorders>
            <w:vAlign w:val="center"/>
          </w:tcPr>
          <w:p w14:paraId="367EF620">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序号</w:t>
            </w:r>
          </w:p>
        </w:tc>
        <w:tc>
          <w:tcPr>
            <w:tcW w:w="850" w:type="pct"/>
            <w:tcBorders>
              <w:top w:val="single" w:color="000000" w:sz="4" w:space="0"/>
              <w:left w:val="single" w:color="000000" w:sz="4" w:space="0"/>
              <w:bottom w:val="single" w:color="000000" w:sz="4" w:space="0"/>
              <w:right w:val="single" w:color="000000" w:sz="4" w:space="0"/>
            </w:tcBorders>
            <w:vAlign w:val="center"/>
          </w:tcPr>
          <w:p w14:paraId="772F5CD1">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姓 名</w:t>
            </w:r>
          </w:p>
        </w:tc>
        <w:tc>
          <w:tcPr>
            <w:tcW w:w="794" w:type="pct"/>
            <w:tcBorders>
              <w:top w:val="single" w:color="000000" w:sz="4" w:space="0"/>
              <w:left w:val="single" w:color="000000" w:sz="4" w:space="0"/>
              <w:bottom w:val="single" w:color="000000" w:sz="4" w:space="0"/>
              <w:right w:val="single" w:color="000000" w:sz="4" w:space="0"/>
            </w:tcBorders>
            <w:vAlign w:val="center"/>
          </w:tcPr>
          <w:p w14:paraId="12ABA079">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职务/职称</w:t>
            </w:r>
          </w:p>
        </w:tc>
        <w:tc>
          <w:tcPr>
            <w:tcW w:w="1463" w:type="pct"/>
            <w:tcBorders>
              <w:top w:val="single" w:color="000000" w:sz="4" w:space="0"/>
              <w:left w:val="single" w:color="000000" w:sz="4" w:space="0"/>
              <w:bottom w:val="single" w:color="000000" w:sz="4" w:space="0"/>
              <w:right w:val="single" w:color="000000" w:sz="4" w:space="0"/>
            </w:tcBorders>
            <w:vAlign w:val="center"/>
          </w:tcPr>
          <w:p w14:paraId="76440DDE">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工作单位</w:t>
            </w:r>
          </w:p>
        </w:tc>
        <w:tc>
          <w:tcPr>
            <w:tcW w:w="1165" w:type="pct"/>
            <w:tcBorders>
              <w:top w:val="single" w:color="000000" w:sz="4" w:space="0"/>
              <w:left w:val="single" w:color="000000" w:sz="4" w:space="0"/>
              <w:bottom w:val="single" w:color="000000" w:sz="4" w:space="0"/>
              <w:right w:val="single" w:color="000000" w:sz="4" w:space="0"/>
            </w:tcBorders>
            <w:vAlign w:val="center"/>
          </w:tcPr>
          <w:p w14:paraId="7B590970">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任务分工</w:t>
            </w:r>
          </w:p>
        </w:tc>
      </w:tr>
      <w:tr w14:paraId="2AC4A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51629095">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1</w:t>
            </w:r>
          </w:p>
        </w:tc>
        <w:tc>
          <w:tcPr>
            <w:tcW w:w="850" w:type="pct"/>
            <w:tcBorders>
              <w:top w:val="single" w:color="000000" w:sz="4" w:space="0"/>
              <w:left w:val="single" w:color="000000" w:sz="4" w:space="0"/>
              <w:bottom w:val="single" w:color="000000" w:sz="4" w:space="0"/>
              <w:right w:val="single" w:color="000000" w:sz="4" w:space="0"/>
            </w:tcBorders>
            <w:vAlign w:val="center"/>
          </w:tcPr>
          <w:p w14:paraId="2361F010">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王岚</w:t>
            </w:r>
          </w:p>
        </w:tc>
        <w:tc>
          <w:tcPr>
            <w:tcW w:w="794" w:type="pct"/>
            <w:tcBorders>
              <w:top w:val="single" w:color="000000" w:sz="4" w:space="0"/>
              <w:left w:val="single" w:color="000000" w:sz="4" w:space="0"/>
              <w:bottom w:val="single" w:color="000000" w:sz="4" w:space="0"/>
              <w:right w:val="single" w:color="000000" w:sz="4" w:space="0"/>
            </w:tcBorders>
            <w:vAlign w:val="center"/>
          </w:tcPr>
          <w:p w14:paraId="13331F23">
            <w:pPr>
              <w:pStyle w:val="3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讲师</w:t>
            </w:r>
          </w:p>
        </w:tc>
        <w:tc>
          <w:tcPr>
            <w:tcW w:w="1463" w:type="pct"/>
            <w:tcBorders>
              <w:top w:val="single" w:color="000000" w:sz="4" w:space="0"/>
              <w:left w:val="single" w:color="000000" w:sz="4" w:space="0"/>
              <w:bottom w:val="single" w:color="000000" w:sz="4" w:space="0"/>
              <w:right w:val="single" w:color="000000" w:sz="4" w:space="0"/>
            </w:tcBorders>
            <w:vAlign w:val="center"/>
          </w:tcPr>
          <w:p w14:paraId="18CFFDF4">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25E39500">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008A9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354C78B0">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2</w:t>
            </w:r>
          </w:p>
        </w:tc>
        <w:tc>
          <w:tcPr>
            <w:tcW w:w="850" w:type="pct"/>
            <w:tcBorders>
              <w:top w:val="single" w:color="000000" w:sz="4" w:space="0"/>
              <w:left w:val="single" w:color="000000" w:sz="4" w:space="0"/>
              <w:bottom w:val="single" w:color="000000" w:sz="4" w:space="0"/>
              <w:right w:val="single" w:color="000000" w:sz="4" w:space="0"/>
            </w:tcBorders>
            <w:vAlign w:val="center"/>
          </w:tcPr>
          <w:p w14:paraId="4194D4F9">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杨合龙</w:t>
            </w:r>
          </w:p>
        </w:tc>
        <w:tc>
          <w:tcPr>
            <w:tcW w:w="794" w:type="pct"/>
            <w:tcBorders>
              <w:top w:val="single" w:color="000000" w:sz="4" w:space="0"/>
              <w:left w:val="single" w:color="000000" w:sz="4" w:space="0"/>
              <w:bottom w:val="single" w:color="000000" w:sz="4" w:space="0"/>
              <w:right w:val="single" w:color="000000" w:sz="4" w:space="0"/>
            </w:tcBorders>
            <w:vAlign w:val="center"/>
          </w:tcPr>
          <w:p w14:paraId="7CFCE0C8">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讲师</w:t>
            </w:r>
          </w:p>
        </w:tc>
        <w:tc>
          <w:tcPr>
            <w:tcW w:w="1463" w:type="pct"/>
            <w:tcBorders>
              <w:top w:val="single" w:color="000000" w:sz="4" w:space="0"/>
              <w:left w:val="single" w:color="000000" w:sz="4" w:space="0"/>
              <w:bottom w:val="single" w:color="000000" w:sz="4" w:space="0"/>
              <w:right w:val="single" w:color="000000" w:sz="4" w:space="0"/>
            </w:tcBorders>
            <w:vAlign w:val="center"/>
          </w:tcPr>
          <w:p w14:paraId="46CB5CA6">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545EAF66">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4CE77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79F90867">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3</w:t>
            </w:r>
          </w:p>
        </w:tc>
        <w:tc>
          <w:tcPr>
            <w:tcW w:w="850" w:type="pct"/>
            <w:tcBorders>
              <w:top w:val="single" w:color="000000" w:sz="4" w:space="0"/>
              <w:left w:val="single" w:color="000000" w:sz="4" w:space="0"/>
              <w:bottom w:val="single" w:color="000000" w:sz="4" w:space="0"/>
              <w:right w:val="single" w:color="000000" w:sz="4" w:space="0"/>
            </w:tcBorders>
            <w:vAlign w:val="center"/>
          </w:tcPr>
          <w:p w14:paraId="1BAA3D21">
            <w:pPr>
              <w:pStyle w:val="30"/>
              <w:ind w:firstLine="18" w:firstLineChars="10"/>
              <w:jc w:val="center"/>
              <w:rPr>
                <w:rFonts w:hint="eastAsia" w:ascii="宋体" w:hAnsi="Times New Roman" w:eastAsia="宋体" w:cs="Times New Roman"/>
                <w:sz w:val="18"/>
                <w:szCs w:val="18"/>
                <w:lang w:eastAsia="zh-CN"/>
              </w:rPr>
            </w:pPr>
            <w:r>
              <w:rPr>
                <w:rFonts w:hint="eastAsia" w:ascii="宋体" w:hAnsi="Times New Roman" w:eastAsia="宋体" w:cs="Times New Roman"/>
                <w:sz w:val="18"/>
                <w:szCs w:val="18"/>
              </w:rPr>
              <w:t>董乙强</w:t>
            </w:r>
          </w:p>
        </w:tc>
        <w:tc>
          <w:tcPr>
            <w:tcW w:w="794" w:type="pct"/>
            <w:tcBorders>
              <w:top w:val="single" w:color="000000" w:sz="4" w:space="0"/>
              <w:left w:val="single" w:color="000000" w:sz="4" w:space="0"/>
              <w:bottom w:val="single" w:color="000000" w:sz="4" w:space="0"/>
              <w:right w:val="single" w:color="000000" w:sz="4" w:space="0"/>
            </w:tcBorders>
            <w:vAlign w:val="center"/>
          </w:tcPr>
          <w:p w14:paraId="17597B60">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副教授</w:t>
            </w:r>
          </w:p>
        </w:tc>
        <w:tc>
          <w:tcPr>
            <w:tcW w:w="1463" w:type="pct"/>
            <w:tcBorders>
              <w:top w:val="single" w:color="000000" w:sz="4" w:space="0"/>
              <w:left w:val="single" w:color="000000" w:sz="4" w:space="0"/>
              <w:bottom w:val="single" w:color="000000" w:sz="4" w:space="0"/>
              <w:right w:val="single" w:color="000000" w:sz="4" w:space="0"/>
            </w:tcBorders>
            <w:vAlign w:val="center"/>
          </w:tcPr>
          <w:p w14:paraId="0CF649AE">
            <w:pPr>
              <w:pStyle w:val="3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592E9295">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1C382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07EFE886">
            <w:pPr>
              <w:pStyle w:val="30"/>
              <w:ind w:firstLine="18" w:firstLineChars="10"/>
              <w:jc w:val="center"/>
              <w:rPr>
                <w:rFonts w:hint="eastAsia" w:ascii="宋体" w:hAnsi="Times New Roman" w:eastAsia="宋体" w:cs="Times New Roman"/>
                <w:sz w:val="18"/>
                <w:szCs w:val="18"/>
                <w:lang w:val="en-US" w:eastAsia="zh-CN"/>
              </w:rPr>
            </w:pPr>
            <w:r>
              <w:rPr>
                <w:rFonts w:hint="eastAsia" w:cs="Times New Roman"/>
                <w:sz w:val="18"/>
                <w:szCs w:val="18"/>
                <w:lang w:val="en-US" w:eastAsia="zh-CN"/>
              </w:rPr>
              <w:t>4</w:t>
            </w:r>
          </w:p>
        </w:tc>
        <w:tc>
          <w:tcPr>
            <w:tcW w:w="850" w:type="pct"/>
            <w:tcBorders>
              <w:top w:val="single" w:color="000000" w:sz="4" w:space="0"/>
              <w:left w:val="single" w:color="000000" w:sz="4" w:space="0"/>
              <w:bottom w:val="single" w:color="000000" w:sz="4" w:space="0"/>
              <w:right w:val="single" w:color="000000" w:sz="4" w:space="0"/>
            </w:tcBorders>
            <w:vAlign w:val="center"/>
          </w:tcPr>
          <w:p w14:paraId="41E73F9F">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才璐</w:t>
            </w:r>
          </w:p>
        </w:tc>
        <w:tc>
          <w:tcPr>
            <w:tcW w:w="1236" w:type="dxa"/>
            <w:tcBorders>
              <w:top w:val="single" w:color="000000" w:sz="4" w:space="0"/>
              <w:left w:val="single" w:color="000000" w:sz="4" w:space="0"/>
              <w:bottom w:val="single" w:color="000000" w:sz="4" w:space="0"/>
              <w:right w:val="single" w:color="000000" w:sz="4" w:space="0"/>
            </w:tcBorders>
            <w:vAlign w:val="center"/>
          </w:tcPr>
          <w:p w14:paraId="2481964C">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讲师</w:t>
            </w:r>
          </w:p>
        </w:tc>
        <w:tc>
          <w:tcPr>
            <w:tcW w:w="2278" w:type="dxa"/>
            <w:tcBorders>
              <w:top w:val="single" w:color="000000" w:sz="4" w:space="0"/>
              <w:left w:val="single" w:color="000000" w:sz="4" w:space="0"/>
              <w:bottom w:val="single" w:color="000000" w:sz="4" w:space="0"/>
              <w:right w:val="single" w:color="000000" w:sz="4" w:space="0"/>
            </w:tcBorders>
            <w:vAlign w:val="center"/>
          </w:tcPr>
          <w:p w14:paraId="75892BC1">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新疆农业大学</w:t>
            </w:r>
          </w:p>
        </w:tc>
        <w:tc>
          <w:tcPr>
            <w:tcW w:w="1814" w:type="dxa"/>
            <w:tcBorders>
              <w:top w:val="single" w:color="000000" w:sz="4" w:space="0"/>
              <w:left w:val="single" w:color="000000" w:sz="4" w:space="0"/>
              <w:bottom w:val="single" w:color="000000" w:sz="4" w:space="0"/>
              <w:right w:val="single" w:color="000000" w:sz="4" w:space="0"/>
            </w:tcBorders>
            <w:vAlign w:val="center"/>
          </w:tcPr>
          <w:p w14:paraId="050441DE">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5C33D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7295734D">
            <w:pPr>
              <w:pStyle w:val="30"/>
              <w:ind w:firstLine="18" w:firstLineChars="10"/>
              <w:jc w:val="center"/>
              <w:rPr>
                <w:rFonts w:hint="eastAsia" w:ascii="宋体" w:hAnsi="Times New Roman" w:eastAsia="宋体" w:cs="Times New Roman"/>
                <w:sz w:val="18"/>
                <w:szCs w:val="18"/>
                <w:lang w:eastAsia="zh-CN"/>
              </w:rPr>
            </w:pPr>
            <w:r>
              <w:rPr>
                <w:rFonts w:hint="eastAsia" w:cs="Times New Roman"/>
                <w:sz w:val="18"/>
                <w:szCs w:val="18"/>
                <w:lang w:val="en-US" w:eastAsia="zh-CN"/>
              </w:rPr>
              <w:t>5</w:t>
            </w:r>
          </w:p>
        </w:tc>
        <w:tc>
          <w:tcPr>
            <w:tcW w:w="850" w:type="pct"/>
            <w:tcBorders>
              <w:top w:val="single" w:color="000000" w:sz="4" w:space="0"/>
              <w:left w:val="single" w:color="000000" w:sz="4" w:space="0"/>
              <w:bottom w:val="single" w:color="000000" w:sz="4" w:space="0"/>
              <w:right w:val="single" w:color="000000" w:sz="4" w:space="0"/>
            </w:tcBorders>
            <w:vAlign w:val="center"/>
          </w:tcPr>
          <w:p w14:paraId="627E14C2">
            <w:pPr>
              <w:pStyle w:val="30"/>
              <w:ind w:firstLine="18" w:firstLineChars="10"/>
              <w:jc w:val="center"/>
              <w:rPr>
                <w:rFonts w:hint="eastAsia" w:ascii="宋体" w:hAnsi="Times New Roman" w:eastAsia="宋体" w:cs="Times New Roman"/>
                <w:sz w:val="18"/>
                <w:szCs w:val="18"/>
                <w:lang w:eastAsia="zh-CN"/>
              </w:rPr>
            </w:pPr>
            <w:r>
              <w:rPr>
                <w:rFonts w:hint="eastAsia" w:ascii="宋体" w:hAnsi="Times New Roman" w:eastAsia="宋体" w:cs="Times New Roman"/>
                <w:sz w:val="18"/>
                <w:szCs w:val="18"/>
                <w:lang w:val="en-US" w:eastAsia="zh-CN"/>
              </w:rPr>
              <w:t>颜安</w:t>
            </w:r>
          </w:p>
        </w:tc>
        <w:tc>
          <w:tcPr>
            <w:tcW w:w="794" w:type="pct"/>
            <w:tcBorders>
              <w:top w:val="single" w:color="000000" w:sz="4" w:space="0"/>
              <w:left w:val="single" w:color="000000" w:sz="4" w:space="0"/>
              <w:bottom w:val="single" w:color="000000" w:sz="4" w:space="0"/>
              <w:right w:val="single" w:color="000000" w:sz="4" w:space="0"/>
            </w:tcBorders>
            <w:vAlign w:val="center"/>
          </w:tcPr>
          <w:p w14:paraId="3D3C1266">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教授</w:t>
            </w:r>
          </w:p>
        </w:tc>
        <w:tc>
          <w:tcPr>
            <w:tcW w:w="1463" w:type="pct"/>
            <w:tcBorders>
              <w:top w:val="single" w:color="000000" w:sz="4" w:space="0"/>
              <w:left w:val="single" w:color="000000" w:sz="4" w:space="0"/>
              <w:bottom w:val="single" w:color="000000" w:sz="4" w:space="0"/>
              <w:right w:val="single" w:color="000000" w:sz="4" w:space="0"/>
            </w:tcBorders>
            <w:vAlign w:val="center"/>
          </w:tcPr>
          <w:p w14:paraId="1A3A0041">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5BAA42CB">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1EB4F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1BACA193">
            <w:pPr>
              <w:pStyle w:val="30"/>
              <w:ind w:firstLine="18" w:firstLineChars="10"/>
              <w:jc w:val="center"/>
              <w:rPr>
                <w:rFonts w:hint="eastAsia" w:ascii="宋体" w:hAnsi="Times New Roman" w:eastAsia="宋体" w:cs="Times New Roman"/>
                <w:sz w:val="18"/>
                <w:szCs w:val="18"/>
                <w:lang w:eastAsia="zh-CN"/>
              </w:rPr>
            </w:pPr>
            <w:r>
              <w:rPr>
                <w:rFonts w:hint="eastAsia" w:cs="Times New Roman"/>
                <w:sz w:val="18"/>
                <w:szCs w:val="18"/>
                <w:lang w:val="en-US" w:eastAsia="zh-CN"/>
              </w:rPr>
              <w:t>6</w:t>
            </w:r>
          </w:p>
        </w:tc>
        <w:tc>
          <w:tcPr>
            <w:tcW w:w="850" w:type="pct"/>
            <w:tcBorders>
              <w:top w:val="single" w:color="000000" w:sz="4" w:space="0"/>
              <w:left w:val="single" w:color="000000" w:sz="4" w:space="0"/>
              <w:bottom w:val="single" w:color="000000" w:sz="4" w:space="0"/>
              <w:right w:val="single" w:color="000000" w:sz="4" w:space="0"/>
            </w:tcBorders>
            <w:vAlign w:val="center"/>
          </w:tcPr>
          <w:p w14:paraId="5FF2C9DF">
            <w:pPr>
              <w:pStyle w:val="30"/>
              <w:ind w:firstLine="18" w:firstLineChars="10"/>
              <w:jc w:val="center"/>
              <w:rPr>
                <w:rFonts w:hint="eastAsia" w:ascii="宋体" w:hAnsi="Times New Roman" w:eastAsia="宋体" w:cs="Times New Roman"/>
                <w:sz w:val="18"/>
                <w:szCs w:val="18"/>
                <w:lang w:eastAsia="zh-CN"/>
              </w:rPr>
            </w:pPr>
            <w:r>
              <w:rPr>
                <w:rFonts w:hint="eastAsia" w:ascii="宋体" w:hAnsi="Times New Roman" w:eastAsia="宋体" w:cs="Times New Roman"/>
                <w:sz w:val="18"/>
                <w:szCs w:val="18"/>
              </w:rPr>
              <w:t>杨</w:t>
            </w:r>
            <w:r>
              <w:rPr>
                <w:rFonts w:hint="eastAsia" w:ascii="宋体" w:hAnsi="Times New Roman" w:eastAsia="宋体" w:cs="Times New Roman"/>
                <w:sz w:val="18"/>
                <w:szCs w:val="18"/>
                <w:lang w:val="en-US" w:eastAsia="zh-CN"/>
              </w:rPr>
              <w:t>素文</w:t>
            </w:r>
          </w:p>
        </w:tc>
        <w:tc>
          <w:tcPr>
            <w:tcW w:w="794" w:type="pct"/>
            <w:tcBorders>
              <w:top w:val="single" w:color="000000" w:sz="4" w:space="0"/>
              <w:left w:val="single" w:color="000000" w:sz="4" w:space="0"/>
              <w:bottom w:val="single" w:color="000000" w:sz="4" w:space="0"/>
              <w:right w:val="single" w:color="000000" w:sz="4" w:space="0"/>
            </w:tcBorders>
            <w:vAlign w:val="center"/>
          </w:tcPr>
          <w:p w14:paraId="23A1CE79">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讲师</w:t>
            </w:r>
          </w:p>
        </w:tc>
        <w:tc>
          <w:tcPr>
            <w:tcW w:w="1463" w:type="pct"/>
            <w:tcBorders>
              <w:top w:val="single" w:color="000000" w:sz="4" w:space="0"/>
              <w:left w:val="single" w:color="000000" w:sz="4" w:space="0"/>
              <w:bottom w:val="single" w:color="000000" w:sz="4" w:space="0"/>
              <w:right w:val="single" w:color="000000" w:sz="4" w:space="0"/>
            </w:tcBorders>
            <w:vAlign w:val="center"/>
          </w:tcPr>
          <w:p w14:paraId="05ABCE35">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2FDA784D">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标准修改</w:t>
            </w:r>
          </w:p>
        </w:tc>
      </w:tr>
      <w:tr w14:paraId="11BE2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6890195B">
            <w:pPr>
              <w:pStyle w:val="30"/>
              <w:ind w:firstLine="18" w:firstLineChars="10"/>
              <w:jc w:val="center"/>
              <w:rPr>
                <w:rFonts w:hint="eastAsia" w:ascii="宋体" w:hAnsi="Times New Roman" w:eastAsia="宋体" w:cs="Times New Roman"/>
                <w:sz w:val="18"/>
                <w:szCs w:val="18"/>
                <w:lang w:eastAsia="zh-CN"/>
              </w:rPr>
            </w:pPr>
            <w:r>
              <w:rPr>
                <w:rFonts w:hint="eastAsia" w:cs="Times New Roman"/>
                <w:sz w:val="18"/>
                <w:szCs w:val="18"/>
                <w:lang w:val="en-US" w:eastAsia="zh-CN"/>
              </w:rPr>
              <w:t>7</w:t>
            </w:r>
          </w:p>
        </w:tc>
        <w:tc>
          <w:tcPr>
            <w:tcW w:w="850" w:type="pct"/>
            <w:tcBorders>
              <w:top w:val="single" w:color="000000" w:sz="4" w:space="0"/>
              <w:left w:val="single" w:color="000000" w:sz="4" w:space="0"/>
              <w:bottom w:val="single" w:color="000000" w:sz="4" w:space="0"/>
              <w:right w:val="single" w:color="000000" w:sz="4" w:space="0"/>
            </w:tcBorders>
            <w:vAlign w:val="center"/>
          </w:tcPr>
          <w:p w14:paraId="232AF8D3">
            <w:pPr>
              <w:pStyle w:val="30"/>
              <w:ind w:firstLine="18" w:firstLineChars="10"/>
              <w:jc w:val="center"/>
              <w:rPr>
                <w:rFonts w:hint="eastAsia" w:ascii="宋体" w:hAnsi="Times New Roman" w:eastAsia="宋体" w:cs="Times New Roman"/>
                <w:sz w:val="18"/>
                <w:szCs w:val="18"/>
                <w:lang w:eastAsia="zh-CN"/>
              </w:rPr>
            </w:pPr>
            <w:r>
              <w:rPr>
                <w:rFonts w:hint="eastAsia" w:ascii="宋体" w:hAnsi="Times New Roman" w:eastAsia="宋体" w:cs="Times New Roman"/>
                <w:sz w:val="18"/>
                <w:szCs w:val="18"/>
                <w:lang w:val="en-US" w:eastAsia="zh-CN"/>
              </w:rPr>
              <w:t>刘美君</w:t>
            </w:r>
          </w:p>
        </w:tc>
        <w:tc>
          <w:tcPr>
            <w:tcW w:w="794" w:type="pct"/>
            <w:tcBorders>
              <w:top w:val="single" w:color="000000" w:sz="4" w:space="0"/>
              <w:left w:val="single" w:color="000000" w:sz="4" w:space="0"/>
              <w:bottom w:val="single" w:color="000000" w:sz="4" w:space="0"/>
              <w:right w:val="single" w:color="000000" w:sz="4" w:space="0"/>
            </w:tcBorders>
            <w:vAlign w:val="center"/>
          </w:tcPr>
          <w:p w14:paraId="05A7DD68">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副教授</w:t>
            </w:r>
          </w:p>
        </w:tc>
        <w:tc>
          <w:tcPr>
            <w:tcW w:w="1463" w:type="pct"/>
            <w:tcBorders>
              <w:top w:val="single" w:color="000000" w:sz="4" w:space="0"/>
              <w:left w:val="single" w:color="000000" w:sz="4" w:space="0"/>
              <w:bottom w:val="single" w:color="000000" w:sz="4" w:space="0"/>
              <w:right w:val="single" w:color="000000" w:sz="4" w:space="0"/>
            </w:tcBorders>
            <w:vAlign w:val="center"/>
          </w:tcPr>
          <w:p w14:paraId="7E86E745">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2CE01914">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52C84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216B81A0">
            <w:pPr>
              <w:pStyle w:val="30"/>
              <w:ind w:firstLine="18" w:firstLineChars="10"/>
              <w:jc w:val="center"/>
              <w:rPr>
                <w:rFonts w:hint="eastAsia" w:ascii="宋体" w:hAnsi="Times New Roman" w:eastAsia="宋体" w:cs="Times New Roman"/>
                <w:sz w:val="18"/>
                <w:szCs w:val="18"/>
                <w:lang w:val="en-US" w:eastAsia="zh-CN"/>
              </w:rPr>
            </w:pPr>
            <w:r>
              <w:rPr>
                <w:rFonts w:hint="eastAsia" w:cs="Times New Roman"/>
                <w:sz w:val="18"/>
                <w:szCs w:val="18"/>
                <w:lang w:val="en-US" w:eastAsia="zh-CN"/>
              </w:rPr>
              <w:t>8</w:t>
            </w:r>
          </w:p>
        </w:tc>
        <w:tc>
          <w:tcPr>
            <w:tcW w:w="850" w:type="pct"/>
            <w:tcBorders>
              <w:top w:val="single" w:color="000000" w:sz="4" w:space="0"/>
              <w:left w:val="single" w:color="000000" w:sz="4" w:space="0"/>
              <w:bottom w:val="single" w:color="000000" w:sz="4" w:space="0"/>
              <w:right w:val="single" w:color="000000" w:sz="4" w:space="0"/>
            </w:tcBorders>
            <w:vAlign w:val="center"/>
          </w:tcPr>
          <w:p w14:paraId="48E0170D">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王琪</w:t>
            </w:r>
          </w:p>
        </w:tc>
        <w:tc>
          <w:tcPr>
            <w:tcW w:w="794" w:type="pct"/>
            <w:tcBorders>
              <w:top w:val="single" w:color="000000" w:sz="4" w:space="0"/>
              <w:left w:val="single" w:color="000000" w:sz="4" w:space="0"/>
              <w:bottom w:val="single" w:color="000000" w:sz="4" w:space="0"/>
              <w:right w:val="single" w:color="000000" w:sz="4" w:space="0"/>
            </w:tcBorders>
            <w:vAlign w:val="center"/>
          </w:tcPr>
          <w:p w14:paraId="395792C3">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研究生</w:t>
            </w:r>
          </w:p>
        </w:tc>
        <w:tc>
          <w:tcPr>
            <w:tcW w:w="1463" w:type="pct"/>
            <w:tcBorders>
              <w:top w:val="single" w:color="000000" w:sz="4" w:space="0"/>
              <w:left w:val="single" w:color="000000" w:sz="4" w:space="0"/>
              <w:bottom w:val="single" w:color="000000" w:sz="4" w:space="0"/>
              <w:right w:val="single" w:color="000000" w:sz="4" w:space="0"/>
            </w:tcBorders>
            <w:vAlign w:val="center"/>
          </w:tcPr>
          <w:p w14:paraId="2C7C7D55">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5A3DBE2A">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0F07F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228F0916">
            <w:pPr>
              <w:pStyle w:val="30"/>
              <w:ind w:firstLine="18" w:firstLineChars="10"/>
              <w:jc w:val="center"/>
              <w:rPr>
                <w:rFonts w:hint="eastAsia" w:ascii="宋体" w:hAnsi="Times New Roman" w:eastAsia="宋体" w:cs="Times New Roman"/>
                <w:sz w:val="18"/>
                <w:szCs w:val="18"/>
                <w:lang w:val="en-US" w:eastAsia="zh-CN"/>
              </w:rPr>
            </w:pPr>
            <w:r>
              <w:rPr>
                <w:rFonts w:hint="eastAsia" w:cs="Times New Roman"/>
                <w:sz w:val="18"/>
                <w:szCs w:val="18"/>
                <w:lang w:val="en-US" w:eastAsia="zh-CN"/>
              </w:rPr>
              <w:t>9</w:t>
            </w:r>
          </w:p>
        </w:tc>
        <w:tc>
          <w:tcPr>
            <w:tcW w:w="850" w:type="pct"/>
            <w:tcBorders>
              <w:top w:val="single" w:color="000000" w:sz="4" w:space="0"/>
              <w:left w:val="single" w:color="000000" w:sz="4" w:space="0"/>
              <w:bottom w:val="single" w:color="000000" w:sz="4" w:space="0"/>
              <w:right w:val="single" w:color="000000" w:sz="4" w:space="0"/>
            </w:tcBorders>
            <w:vAlign w:val="center"/>
          </w:tcPr>
          <w:p w14:paraId="3C0D4E24">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薛壮</w:t>
            </w:r>
          </w:p>
        </w:tc>
        <w:tc>
          <w:tcPr>
            <w:tcW w:w="794" w:type="pct"/>
            <w:tcBorders>
              <w:top w:val="single" w:color="000000" w:sz="4" w:space="0"/>
              <w:left w:val="single" w:color="000000" w:sz="4" w:space="0"/>
              <w:bottom w:val="single" w:color="000000" w:sz="4" w:space="0"/>
              <w:right w:val="single" w:color="000000" w:sz="4" w:space="0"/>
            </w:tcBorders>
            <w:vAlign w:val="center"/>
          </w:tcPr>
          <w:p w14:paraId="18233D3D">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研究生</w:t>
            </w:r>
          </w:p>
        </w:tc>
        <w:tc>
          <w:tcPr>
            <w:tcW w:w="1463" w:type="pct"/>
            <w:tcBorders>
              <w:top w:val="single" w:color="000000" w:sz="4" w:space="0"/>
              <w:left w:val="single" w:color="000000" w:sz="4" w:space="0"/>
              <w:bottom w:val="single" w:color="000000" w:sz="4" w:space="0"/>
              <w:right w:val="single" w:color="000000" w:sz="4" w:space="0"/>
            </w:tcBorders>
            <w:vAlign w:val="center"/>
          </w:tcPr>
          <w:p w14:paraId="18E6087D">
            <w:pPr>
              <w:pStyle w:val="3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167B7FCB">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156AA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3E4CF5E7">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10</w:t>
            </w:r>
          </w:p>
        </w:tc>
        <w:tc>
          <w:tcPr>
            <w:tcW w:w="850" w:type="pct"/>
            <w:tcBorders>
              <w:top w:val="single" w:color="000000" w:sz="4" w:space="0"/>
              <w:left w:val="single" w:color="000000" w:sz="4" w:space="0"/>
              <w:bottom w:val="single" w:color="000000" w:sz="4" w:space="0"/>
              <w:right w:val="single" w:color="000000" w:sz="4" w:space="0"/>
            </w:tcBorders>
            <w:vAlign w:val="center"/>
          </w:tcPr>
          <w:p w14:paraId="11D5723A">
            <w:pPr>
              <w:pStyle w:val="3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李沅湫</w:t>
            </w:r>
          </w:p>
        </w:tc>
        <w:tc>
          <w:tcPr>
            <w:tcW w:w="794" w:type="pct"/>
            <w:tcBorders>
              <w:top w:val="single" w:color="000000" w:sz="4" w:space="0"/>
              <w:left w:val="single" w:color="000000" w:sz="4" w:space="0"/>
              <w:bottom w:val="single" w:color="000000" w:sz="4" w:space="0"/>
              <w:right w:val="single" w:color="000000" w:sz="4" w:space="0"/>
            </w:tcBorders>
            <w:vAlign w:val="center"/>
          </w:tcPr>
          <w:p w14:paraId="5E04BB99">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讲师</w:t>
            </w:r>
          </w:p>
        </w:tc>
        <w:tc>
          <w:tcPr>
            <w:tcW w:w="1463" w:type="pct"/>
            <w:tcBorders>
              <w:top w:val="single" w:color="000000" w:sz="4" w:space="0"/>
              <w:left w:val="single" w:color="000000" w:sz="4" w:space="0"/>
              <w:bottom w:val="single" w:color="000000" w:sz="4" w:space="0"/>
              <w:right w:val="single" w:color="000000" w:sz="4" w:space="0"/>
            </w:tcBorders>
            <w:vAlign w:val="center"/>
          </w:tcPr>
          <w:p w14:paraId="758E4E67">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01CD6432">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7DC16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3B729521">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11</w:t>
            </w:r>
          </w:p>
        </w:tc>
        <w:tc>
          <w:tcPr>
            <w:tcW w:w="850" w:type="pct"/>
            <w:tcBorders>
              <w:top w:val="single" w:color="000000" w:sz="4" w:space="0"/>
              <w:left w:val="single" w:color="000000" w:sz="4" w:space="0"/>
              <w:bottom w:val="single" w:color="000000" w:sz="4" w:space="0"/>
              <w:right w:val="single" w:color="000000" w:sz="4" w:space="0"/>
            </w:tcBorders>
            <w:vAlign w:val="center"/>
          </w:tcPr>
          <w:p w14:paraId="7997CDA5">
            <w:pPr>
              <w:pStyle w:val="30"/>
              <w:ind w:firstLine="18" w:firstLineChars="10"/>
              <w:jc w:val="center"/>
              <w:rPr>
                <w:rFonts w:hint="eastAsia" w:ascii="宋体" w:hAnsi="Times New Roman" w:eastAsia="宋体" w:cs="Times New Roman"/>
                <w:sz w:val="18"/>
                <w:szCs w:val="18"/>
                <w:lang w:eastAsia="zh-CN"/>
              </w:rPr>
            </w:pPr>
            <w:r>
              <w:rPr>
                <w:rFonts w:hint="eastAsia" w:ascii="宋体" w:hAnsi="Times New Roman" w:eastAsia="宋体" w:cs="Times New Roman"/>
                <w:sz w:val="18"/>
                <w:szCs w:val="18"/>
                <w:lang w:val="en-US" w:eastAsia="zh-CN"/>
              </w:rPr>
              <w:t>万江春</w:t>
            </w:r>
          </w:p>
        </w:tc>
        <w:tc>
          <w:tcPr>
            <w:tcW w:w="794" w:type="pct"/>
            <w:tcBorders>
              <w:top w:val="single" w:color="000000" w:sz="4" w:space="0"/>
              <w:left w:val="single" w:color="000000" w:sz="4" w:space="0"/>
              <w:bottom w:val="single" w:color="000000" w:sz="4" w:space="0"/>
              <w:right w:val="single" w:color="000000" w:sz="4" w:space="0"/>
            </w:tcBorders>
            <w:vAlign w:val="center"/>
          </w:tcPr>
          <w:p w14:paraId="7FD256A7">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副教授</w:t>
            </w:r>
          </w:p>
        </w:tc>
        <w:tc>
          <w:tcPr>
            <w:tcW w:w="1463" w:type="pct"/>
            <w:tcBorders>
              <w:top w:val="single" w:color="000000" w:sz="4" w:space="0"/>
              <w:left w:val="single" w:color="000000" w:sz="4" w:space="0"/>
              <w:bottom w:val="single" w:color="000000" w:sz="4" w:space="0"/>
              <w:right w:val="single" w:color="000000" w:sz="4" w:space="0"/>
            </w:tcBorders>
            <w:vAlign w:val="center"/>
          </w:tcPr>
          <w:p w14:paraId="2BFA7BC6">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13660C00">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r w14:paraId="0E9DB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725" w:type="pct"/>
            <w:tcBorders>
              <w:top w:val="single" w:color="000000" w:sz="4" w:space="0"/>
              <w:left w:val="single" w:color="000000" w:sz="4" w:space="0"/>
              <w:bottom w:val="single" w:color="000000" w:sz="4" w:space="0"/>
              <w:right w:val="single" w:color="000000" w:sz="4" w:space="0"/>
            </w:tcBorders>
            <w:vAlign w:val="center"/>
          </w:tcPr>
          <w:p w14:paraId="5B47F0C2">
            <w:pPr>
              <w:pStyle w:val="30"/>
              <w:ind w:firstLine="18" w:firstLineChars="10"/>
              <w:jc w:val="center"/>
              <w:rPr>
                <w:rFonts w:hint="default" w:ascii="宋体" w:hAnsi="Times New Roman" w:eastAsia="宋体" w:cs="Times New Roman"/>
                <w:sz w:val="18"/>
                <w:szCs w:val="18"/>
                <w:lang w:val="en-US" w:eastAsia="zh-CN"/>
              </w:rPr>
            </w:pPr>
            <w:r>
              <w:rPr>
                <w:rFonts w:hint="eastAsia" w:cs="Times New Roman"/>
                <w:sz w:val="18"/>
                <w:szCs w:val="18"/>
                <w:lang w:val="en-US" w:eastAsia="zh-CN"/>
              </w:rPr>
              <w:t>12</w:t>
            </w:r>
          </w:p>
        </w:tc>
        <w:tc>
          <w:tcPr>
            <w:tcW w:w="850" w:type="pct"/>
            <w:tcBorders>
              <w:top w:val="single" w:color="000000" w:sz="4" w:space="0"/>
              <w:left w:val="single" w:color="000000" w:sz="4" w:space="0"/>
              <w:bottom w:val="single" w:color="000000" w:sz="4" w:space="0"/>
              <w:right w:val="single" w:color="000000" w:sz="4" w:space="0"/>
            </w:tcBorders>
            <w:vAlign w:val="center"/>
          </w:tcPr>
          <w:p w14:paraId="69E0E682">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谢开云</w:t>
            </w:r>
          </w:p>
        </w:tc>
        <w:tc>
          <w:tcPr>
            <w:tcW w:w="794" w:type="pct"/>
            <w:tcBorders>
              <w:top w:val="single" w:color="000000" w:sz="4" w:space="0"/>
              <w:left w:val="single" w:color="000000" w:sz="4" w:space="0"/>
              <w:bottom w:val="single" w:color="000000" w:sz="4" w:space="0"/>
              <w:right w:val="single" w:color="000000" w:sz="4" w:space="0"/>
            </w:tcBorders>
            <w:vAlign w:val="center"/>
          </w:tcPr>
          <w:p w14:paraId="701DA9FA">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副教授</w:t>
            </w:r>
          </w:p>
        </w:tc>
        <w:tc>
          <w:tcPr>
            <w:tcW w:w="1463" w:type="pct"/>
            <w:tcBorders>
              <w:top w:val="single" w:color="000000" w:sz="4" w:space="0"/>
              <w:left w:val="single" w:color="000000" w:sz="4" w:space="0"/>
              <w:bottom w:val="single" w:color="000000" w:sz="4" w:space="0"/>
              <w:right w:val="single" w:color="000000" w:sz="4" w:space="0"/>
            </w:tcBorders>
            <w:vAlign w:val="center"/>
          </w:tcPr>
          <w:p w14:paraId="3EB1C2AE">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新疆农业大学</w:t>
            </w:r>
          </w:p>
        </w:tc>
        <w:tc>
          <w:tcPr>
            <w:tcW w:w="1165" w:type="pct"/>
            <w:tcBorders>
              <w:top w:val="single" w:color="000000" w:sz="4" w:space="0"/>
              <w:left w:val="single" w:color="000000" w:sz="4" w:space="0"/>
              <w:bottom w:val="single" w:color="000000" w:sz="4" w:space="0"/>
              <w:right w:val="single" w:color="000000" w:sz="4" w:space="0"/>
            </w:tcBorders>
            <w:vAlign w:val="center"/>
          </w:tcPr>
          <w:p w14:paraId="5A1FCE9B">
            <w:pPr>
              <w:pStyle w:val="30"/>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rPr>
              <w:t>标准起草</w:t>
            </w:r>
          </w:p>
        </w:tc>
      </w:tr>
    </w:tbl>
    <w:p w14:paraId="18B5795E">
      <w:pPr>
        <w:numPr>
          <w:ilvl w:val="0"/>
          <w:numId w:val="1"/>
        </w:numPr>
        <w:spacing w:line="360" w:lineRule="auto"/>
        <w:rPr>
          <w:rFonts w:hint="default" w:ascii="Times New Roman" w:hAnsi="Times New Roman" w:eastAsia="宋体" w:cs="Times New Roman"/>
          <w:b/>
          <w:color w:val="000000"/>
          <w:sz w:val="22"/>
          <w:szCs w:val="20"/>
          <w:lang w:val="en-US" w:eastAsia="zh-CN"/>
        </w:rPr>
      </w:pPr>
      <w:r>
        <w:rPr>
          <w:rFonts w:hint="eastAsia" w:ascii="Times New Roman" w:hAnsi="Times New Roman" w:eastAsia="宋体" w:cs="Times New Roman"/>
          <w:b/>
          <w:color w:val="000000"/>
          <w:sz w:val="22"/>
          <w:szCs w:val="20"/>
          <w:lang w:val="en-US" w:eastAsia="zh-CN"/>
        </w:rPr>
        <w:t>资料收集与野外调研</w:t>
      </w:r>
    </w:p>
    <w:p w14:paraId="7E056000">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本标准的制定基于新疆农业大学草业学院科研团队对干旱半干旱区紫花苜蓿高产优质栽培技术的长期研究，结合农业水利学、土壤学、植物生理学理论，充分考虑了干旱半干旱区的气候特征、土壤条件、紫花苜蓿生物学特性及农牧业生产实际需求，同时，在新疆博乐市草原生态修复乡土草种繁育联合示范基地开展野外试验。编制过程中遵循以下原则：</w:t>
      </w:r>
    </w:p>
    <w:p w14:paraId="7417F87E">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科学性与实践性并重</w:t>
      </w:r>
    </w:p>
    <w:p w14:paraId="3333AB18">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以 2024-2025 年定位试验数据为基础，明确灌溉量、生物质炭施用量等关键参数对紫花苜蓿产量、品质及土壤理化性质的影响。例如，通过不同灌溉梯度对比试验，确定 550mm（减量 15%）为最优灌溉量，该处理下紫花苜蓿年均干草产量较常规灌溉增加 18.45%；通过生物质炭梯度试验，明确 20t/hm² 为适宜施用量，可使土壤有机碳含量提高 32.19%，确保技术参数的科学性与可操作性。</w:t>
      </w:r>
    </w:p>
    <w:p w14:paraId="716BE047">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生态优先与可持续利用</w:t>
      </w:r>
    </w:p>
    <w:p w14:paraId="0A746FAD">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针对干旱半干旱区水资源紧缺、土壤生态脆弱的特点，将 “节水灌溉-生物质炭改良” 协同模式纳入规范，规定适度减量灌溉与生物质炭配施，既提高水资源利用效率，又通过生物质炭改良土壤结构、提升肥力，促进土壤养分循环，实现 “利用中修复、修复中利用” 的良性循环。</w:t>
      </w:r>
    </w:p>
    <w:p w14:paraId="75D37F96">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因地制宜与技术创新</w:t>
      </w:r>
    </w:p>
    <w:p w14:paraId="67CC3771">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依据干旱半干旱区不同区域降水、土壤条件差异，结合滴灌技术在干旱区的应用优势，规定采用地埋滴灌系统，配套明确滴灌带埋设深度、行距等技术参数，形成具有区域针对性的创新技术体系。</w:t>
      </w:r>
    </w:p>
    <w:p w14:paraId="69D65BED">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效果可量化与动态调整</w:t>
      </w:r>
    </w:p>
    <w:p w14:paraId="739DB68B">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建立多维评价体系，将干草产量、粗蛋白质含量、相对饲喂价值、土壤有机质含量等指标纳入评分标准，设定“优、良、中、差”四级阈值，为紫花苜蓿生产效果评估提供量化依据。评价结果可反馈至技术参数优化，形成“监测-评估-调整”的动态管理闭环。</w:t>
      </w:r>
    </w:p>
    <w:p w14:paraId="29B6D1DF">
      <w:pPr>
        <w:spacing w:line="360" w:lineRule="auto"/>
        <w:ind w:firstLine="440" w:firstLineChars="200"/>
        <w:jc w:val="center"/>
        <w:rPr>
          <w:rFonts w:hint="default"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表2 刈割效果评分指标与评分标准</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1312"/>
        <w:gridCol w:w="1743"/>
        <w:gridCol w:w="1622"/>
        <w:gridCol w:w="1257"/>
        <w:gridCol w:w="1791"/>
      </w:tblGrid>
      <w:tr w14:paraId="4D4F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3A80E9E8">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评价指标</w:t>
            </w:r>
          </w:p>
        </w:tc>
        <w:tc>
          <w:tcPr>
            <w:tcW w:w="1364" w:type="dxa"/>
            <w:vAlign w:val="center"/>
          </w:tcPr>
          <w:p w14:paraId="40ED5205">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优（≥85分）</w:t>
            </w:r>
          </w:p>
        </w:tc>
        <w:tc>
          <w:tcPr>
            <w:tcW w:w="1792" w:type="dxa"/>
            <w:vAlign w:val="center"/>
          </w:tcPr>
          <w:p w14:paraId="0DDCE3FE">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良（70-84分）</w:t>
            </w:r>
          </w:p>
        </w:tc>
        <w:tc>
          <w:tcPr>
            <w:tcW w:w="1663" w:type="dxa"/>
            <w:vAlign w:val="center"/>
          </w:tcPr>
          <w:p w14:paraId="0FC98177">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中（60-69分）</w:t>
            </w:r>
          </w:p>
        </w:tc>
        <w:tc>
          <w:tcPr>
            <w:tcW w:w="1305" w:type="dxa"/>
            <w:vAlign w:val="center"/>
          </w:tcPr>
          <w:p w14:paraId="7ACEF970">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差（＜60分）</w:t>
            </w:r>
          </w:p>
        </w:tc>
        <w:tc>
          <w:tcPr>
            <w:tcW w:w="1839" w:type="dxa"/>
            <w:vAlign w:val="center"/>
          </w:tcPr>
          <w:p w14:paraId="52B3C926">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评分依据</w:t>
            </w:r>
          </w:p>
        </w:tc>
      </w:tr>
      <w:tr w14:paraId="61C0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554FEFA3">
            <w:pPr>
              <w:pStyle w:val="30"/>
              <w:widowControl w:val="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干草产量（t/hm²）</w:t>
            </w:r>
          </w:p>
        </w:tc>
        <w:tc>
          <w:tcPr>
            <w:tcW w:w="1364" w:type="dxa"/>
            <w:vAlign w:val="center"/>
          </w:tcPr>
          <w:p w14:paraId="5D6FB173">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≥18.0</w:t>
            </w:r>
          </w:p>
        </w:tc>
        <w:tc>
          <w:tcPr>
            <w:tcW w:w="1792" w:type="dxa"/>
            <w:vAlign w:val="center"/>
          </w:tcPr>
          <w:p w14:paraId="3F87675E">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15.0-17.9</w:t>
            </w:r>
          </w:p>
        </w:tc>
        <w:tc>
          <w:tcPr>
            <w:tcW w:w="1663" w:type="dxa"/>
            <w:vAlign w:val="center"/>
          </w:tcPr>
          <w:p w14:paraId="33AA88ED">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12.0-14.9</w:t>
            </w:r>
          </w:p>
        </w:tc>
        <w:tc>
          <w:tcPr>
            <w:tcW w:w="1305" w:type="dxa"/>
            <w:vAlign w:val="center"/>
          </w:tcPr>
          <w:p w14:paraId="532874B5">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w:t>
            </w:r>
          </w:p>
        </w:tc>
        <w:tc>
          <w:tcPr>
            <w:tcW w:w="1839" w:type="dxa"/>
            <w:vAlign w:val="center"/>
          </w:tcPr>
          <w:p w14:paraId="30ABAB54">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NY/T 1170-2020</w:t>
            </w:r>
          </w:p>
        </w:tc>
      </w:tr>
      <w:tr w14:paraId="49D3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0F1CAC1">
            <w:pPr>
              <w:pStyle w:val="30"/>
              <w:widowControl w:val="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粗蛋白含量（% DM）</w:t>
            </w:r>
          </w:p>
        </w:tc>
        <w:tc>
          <w:tcPr>
            <w:tcW w:w="1364" w:type="dxa"/>
            <w:vAlign w:val="center"/>
          </w:tcPr>
          <w:p w14:paraId="265755D0">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≥22.0</w:t>
            </w:r>
          </w:p>
        </w:tc>
        <w:tc>
          <w:tcPr>
            <w:tcW w:w="1792" w:type="dxa"/>
            <w:vAlign w:val="center"/>
          </w:tcPr>
          <w:p w14:paraId="27EF358A">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19.0-21.9</w:t>
            </w:r>
          </w:p>
        </w:tc>
        <w:tc>
          <w:tcPr>
            <w:tcW w:w="1663" w:type="dxa"/>
            <w:vAlign w:val="center"/>
          </w:tcPr>
          <w:p w14:paraId="1DEA98D9">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16.0-18.9</w:t>
            </w:r>
          </w:p>
        </w:tc>
        <w:tc>
          <w:tcPr>
            <w:tcW w:w="1305" w:type="dxa"/>
            <w:vAlign w:val="center"/>
          </w:tcPr>
          <w:p w14:paraId="47FE4B0F">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w:t>
            </w:r>
          </w:p>
        </w:tc>
        <w:tc>
          <w:tcPr>
            <w:tcW w:w="1839" w:type="dxa"/>
            <w:vAlign w:val="center"/>
          </w:tcPr>
          <w:p w14:paraId="5521A8FC">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DB15/T 2598-2022</w:t>
            </w:r>
          </w:p>
        </w:tc>
      </w:tr>
      <w:tr w14:paraId="2E47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6594AC08">
            <w:pPr>
              <w:pStyle w:val="30"/>
              <w:widowControl w:val="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相对饲喂价值（RFV）</w:t>
            </w:r>
          </w:p>
        </w:tc>
        <w:tc>
          <w:tcPr>
            <w:tcW w:w="1364" w:type="dxa"/>
            <w:vAlign w:val="center"/>
          </w:tcPr>
          <w:p w14:paraId="365E7E86">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≥170</w:t>
            </w:r>
          </w:p>
        </w:tc>
        <w:tc>
          <w:tcPr>
            <w:tcW w:w="1792" w:type="dxa"/>
            <w:vAlign w:val="center"/>
          </w:tcPr>
          <w:p w14:paraId="284F59AA">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150-169</w:t>
            </w:r>
          </w:p>
        </w:tc>
        <w:tc>
          <w:tcPr>
            <w:tcW w:w="1663" w:type="dxa"/>
            <w:vAlign w:val="center"/>
          </w:tcPr>
          <w:p w14:paraId="768861D2">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130-149</w:t>
            </w:r>
          </w:p>
        </w:tc>
        <w:tc>
          <w:tcPr>
            <w:tcW w:w="1305" w:type="dxa"/>
            <w:vAlign w:val="center"/>
          </w:tcPr>
          <w:p w14:paraId="14E495CF">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＜130</w:t>
            </w:r>
          </w:p>
        </w:tc>
        <w:tc>
          <w:tcPr>
            <w:tcW w:w="1839" w:type="dxa"/>
            <w:vAlign w:val="center"/>
          </w:tcPr>
          <w:p w14:paraId="50495B93">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NY/T 1170-2020</w:t>
            </w:r>
          </w:p>
        </w:tc>
      </w:tr>
      <w:tr w14:paraId="3738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A693C64">
            <w:pPr>
              <w:pStyle w:val="30"/>
              <w:widowControl w:val="0"/>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土壤有机质含量（g/kg）</w:t>
            </w:r>
          </w:p>
        </w:tc>
        <w:tc>
          <w:tcPr>
            <w:tcW w:w="1364" w:type="dxa"/>
            <w:vAlign w:val="center"/>
          </w:tcPr>
          <w:p w14:paraId="6D7C880B">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≥20.0</w:t>
            </w:r>
          </w:p>
        </w:tc>
        <w:tc>
          <w:tcPr>
            <w:tcW w:w="1792" w:type="dxa"/>
            <w:vAlign w:val="center"/>
          </w:tcPr>
          <w:p w14:paraId="5CE51E59">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16.0-19.9</w:t>
            </w:r>
          </w:p>
        </w:tc>
        <w:tc>
          <w:tcPr>
            <w:tcW w:w="1663" w:type="dxa"/>
            <w:vAlign w:val="center"/>
          </w:tcPr>
          <w:p w14:paraId="3FDBE02C">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12.0-15.9</w:t>
            </w:r>
          </w:p>
        </w:tc>
        <w:tc>
          <w:tcPr>
            <w:tcW w:w="1305" w:type="dxa"/>
            <w:vAlign w:val="center"/>
          </w:tcPr>
          <w:p w14:paraId="649A0346">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w:t>
            </w:r>
          </w:p>
        </w:tc>
        <w:tc>
          <w:tcPr>
            <w:tcW w:w="1839" w:type="dxa"/>
            <w:vAlign w:val="center"/>
          </w:tcPr>
          <w:p w14:paraId="50067F54">
            <w:pPr>
              <w:pStyle w:val="30"/>
              <w:widowControl w:val="0"/>
              <w:ind w:firstLine="18" w:firstLineChars="1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GB/T 33469-2016</w:t>
            </w:r>
          </w:p>
        </w:tc>
      </w:tr>
    </w:tbl>
    <w:p w14:paraId="69105D22">
      <w:pPr>
        <w:spacing w:line="360" w:lineRule="auto"/>
        <w:ind w:firstLine="440" w:firstLineChars="200"/>
        <w:rPr>
          <w:rFonts w:hint="eastAsia" w:ascii="Times New Roman" w:hAnsi="Times New Roman" w:eastAsia="宋体" w:cs="Times New Roman"/>
          <w:sz w:val="22"/>
          <w:szCs w:val="20"/>
        </w:rPr>
      </w:pPr>
      <w:r>
        <w:rPr>
          <w:rFonts w:hint="eastAsia" w:ascii="Times New Roman" w:hAnsi="Times New Roman" w:eastAsia="宋体" w:cs="Times New Roman"/>
          <w:sz w:val="22"/>
          <w:szCs w:val="20"/>
          <w:lang w:val="en-US" w:eastAsia="zh-CN"/>
        </w:rPr>
        <w:t>注：综合评分权重为干草产量（30%）、粗蛋白质（25%）、相对饲喂价值（25%）、土壤有机质含量（20%）。</w:t>
      </w:r>
    </w:p>
    <w:p w14:paraId="2A46D5F2">
      <w:pPr>
        <w:pStyle w:val="3"/>
        <w:spacing w:before="0" w:after="0"/>
        <w:rPr>
          <w:rFonts w:hint="eastAsia" w:ascii="宋体" w:hAnsi="宋体" w:eastAsia="宋体"/>
          <w:sz w:val="16"/>
          <w:szCs w:val="16"/>
        </w:rPr>
      </w:pPr>
      <w:bookmarkStart w:id="8" w:name="_Toc176547936"/>
      <w:r>
        <w:rPr>
          <w:rFonts w:hint="eastAsia"/>
          <w:sz w:val="22"/>
          <w:szCs w:val="28"/>
        </w:rPr>
        <w:t>2、主要技术内容确定的论据</w:t>
      </w:r>
      <w:bookmarkEnd w:id="8"/>
      <w:r>
        <w:rPr>
          <w:rFonts w:hint="eastAsia"/>
          <w:sz w:val="22"/>
          <w:szCs w:val="28"/>
        </w:rPr>
        <w:t xml:space="preserve"> </w:t>
      </w:r>
    </w:p>
    <w:p w14:paraId="7A8A7E00">
      <w:pPr>
        <w:numPr>
          <w:ilvl w:val="0"/>
          <w:numId w:val="2"/>
        </w:numPr>
        <w:spacing w:line="360" w:lineRule="auto"/>
        <w:rPr>
          <w:b/>
          <w:color w:val="000000"/>
          <w:sz w:val="22"/>
          <w:szCs w:val="20"/>
        </w:rPr>
      </w:pPr>
      <w:r>
        <w:rPr>
          <w:rFonts w:hint="eastAsia"/>
          <w:b/>
          <w:color w:val="000000"/>
          <w:sz w:val="22"/>
          <w:szCs w:val="20"/>
        </w:rPr>
        <w:t>适用范围</w:t>
      </w:r>
    </w:p>
    <w:p w14:paraId="2E10C514">
      <w:pPr>
        <w:spacing w:line="360" w:lineRule="auto"/>
        <w:ind w:firstLine="440" w:firstLineChars="200"/>
        <w:rPr>
          <w:sz w:val="22"/>
          <w:szCs w:val="20"/>
        </w:rPr>
      </w:pPr>
      <w:r>
        <w:rPr>
          <w:rFonts w:hint="eastAsia"/>
          <w:sz w:val="22"/>
          <w:szCs w:val="20"/>
        </w:rPr>
        <w:t>本标准主要是基于</w:t>
      </w:r>
      <w:r>
        <w:rPr>
          <w:rFonts w:hint="eastAsia"/>
          <w:sz w:val="22"/>
          <w:szCs w:val="20"/>
          <w:lang w:val="en-US" w:eastAsia="zh-CN"/>
        </w:rPr>
        <w:t>干旱半干旱地区</w:t>
      </w:r>
      <w:r>
        <w:rPr>
          <w:rFonts w:hint="eastAsia"/>
          <w:sz w:val="22"/>
          <w:szCs w:val="20"/>
        </w:rPr>
        <w:t>地区进行的推广，取得了初步成效，在实践和不断完善的基础上初步制定形成了“干旱半干旱区紫花苜蓿节水灌溉与生物质炭施用技术规范”。</w:t>
      </w:r>
    </w:p>
    <w:p w14:paraId="77E86C21">
      <w:pPr>
        <w:spacing w:line="360" w:lineRule="auto"/>
        <w:ind w:firstLine="440" w:firstLineChars="200"/>
        <w:rPr>
          <w:sz w:val="22"/>
          <w:szCs w:val="20"/>
        </w:rPr>
      </w:pPr>
      <w:r>
        <w:rPr>
          <w:rFonts w:hint="eastAsia"/>
          <w:sz w:val="22"/>
          <w:szCs w:val="20"/>
          <w:lang w:val="en-US" w:eastAsia="zh-CN"/>
        </w:rPr>
        <w:t>合理的灌溉量配施生物质炭是优化农作物生产</w:t>
      </w:r>
      <w:r>
        <w:rPr>
          <w:rFonts w:hint="eastAsia"/>
          <w:sz w:val="22"/>
          <w:szCs w:val="20"/>
        </w:rPr>
        <w:t>的重要手段之一，</w:t>
      </w:r>
      <w:r>
        <w:rPr>
          <w:rFonts w:hint="eastAsia"/>
          <w:sz w:val="22"/>
          <w:szCs w:val="20"/>
          <w:lang w:val="en-US" w:eastAsia="zh-CN"/>
        </w:rPr>
        <w:t>其能有效提高紫花苜蓿产量与品质</w:t>
      </w:r>
      <w:r>
        <w:rPr>
          <w:rFonts w:hint="eastAsia"/>
          <w:sz w:val="22"/>
          <w:szCs w:val="20"/>
        </w:rPr>
        <w:t>。本规程旨在建立干旱半干旱区紫花苜蓿节水灌溉与生物质炭施用技术规范，规范</w:t>
      </w:r>
      <w:r>
        <w:rPr>
          <w:rFonts w:hint="eastAsia"/>
          <w:sz w:val="22"/>
          <w:szCs w:val="20"/>
          <w:lang w:val="en-US" w:eastAsia="zh-CN"/>
        </w:rPr>
        <w:t>紫花苜蓿生产</w:t>
      </w:r>
      <w:r>
        <w:rPr>
          <w:rFonts w:hint="eastAsia"/>
          <w:sz w:val="22"/>
          <w:szCs w:val="20"/>
        </w:rPr>
        <w:t>过程中</w:t>
      </w:r>
      <w:r>
        <w:rPr>
          <w:rFonts w:hint="eastAsia"/>
          <w:sz w:val="22"/>
          <w:szCs w:val="20"/>
          <w:lang w:val="en-US" w:eastAsia="zh-CN"/>
        </w:rPr>
        <w:t>合理灌溉配施生物质炭</w:t>
      </w:r>
      <w:r>
        <w:rPr>
          <w:rFonts w:hint="eastAsia"/>
          <w:sz w:val="22"/>
          <w:szCs w:val="20"/>
        </w:rPr>
        <w:t>的操作、管理、技术等各个方面，确保</w:t>
      </w:r>
      <w:r>
        <w:rPr>
          <w:rFonts w:hint="eastAsia"/>
          <w:sz w:val="22"/>
          <w:szCs w:val="20"/>
          <w:lang w:val="en-US" w:eastAsia="zh-CN"/>
        </w:rPr>
        <w:t>灌溉配施生物质炭对紫花苜蓿生产效果的影响</w:t>
      </w:r>
      <w:r>
        <w:rPr>
          <w:rFonts w:hint="eastAsia"/>
          <w:sz w:val="22"/>
          <w:szCs w:val="20"/>
        </w:rPr>
        <w:t>最佳。</w:t>
      </w:r>
    </w:p>
    <w:p w14:paraId="70139718">
      <w:pPr>
        <w:spacing w:line="360" w:lineRule="auto"/>
        <w:ind w:firstLine="440" w:firstLineChars="200"/>
        <w:rPr>
          <w:sz w:val="22"/>
          <w:szCs w:val="20"/>
        </w:rPr>
      </w:pPr>
      <w:r>
        <w:rPr>
          <w:rFonts w:hint="eastAsia"/>
          <w:sz w:val="22"/>
          <w:szCs w:val="20"/>
        </w:rPr>
        <w:t>因此，本标准的适用范围是：本文件规定了干旱半干旱区紫花苜蓿节水灌溉与生物质炭施用技术</w:t>
      </w:r>
      <w:r>
        <w:rPr>
          <w:rFonts w:hint="eastAsia"/>
          <w:sz w:val="22"/>
          <w:szCs w:val="20"/>
          <w:lang w:val="en-US" w:eastAsia="zh-CN"/>
        </w:rPr>
        <w:t>中</w:t>
      </w:r>
      <w:r>
        <w:rPr>
          <w:rFonts w:hint="eastAsia"/>
          <w:sz w:val="22"/>
          <w:szCs w:val="20"/>
        </w:rPr>
        <w:t>的术语和定义、</w:t>
      </w:r>
      <w:r>
        <w:rPr>
          <w:rFonts w:hint="eastAsia"/>
          <w:sz w:val="22"/>
          <w:szCs w:val="20"/>
          <w:lang w:val="en-US" w:eastAsia="zh-CN"/>
        </w:rPr>
        <w:t>生产流程</w:t>
      </w:r>
      <w:r>
        <w:rPr>
          <w:rFonts w:hint="eastAsia"/>
          <w:sz w:val="22"/>
          <w:szCs w:val="20"/>
        </w:rPr>
        <w:t>、</w:t>
      </w:r>
      <w:r>
        <w:rPr>
          <w:rFonts w:hint="eastAsia"/>
          <w:sz w:val="22"/>
          <w:szCs w:val="20"/>
          <w:lang w:val="en-US" w:eastAsia="zh-CN"/>
        </w:rPr>
        <w:t>最佳生物质炭施用量</w:t>
      </w:r>
      <w:r>
        <w:rPr>
          <w:rFonts w:hint="eastAsia"/>
          <w:sz w:val="22"/>
          <w:szCs w:val="20"/>
        </w:rPr>
        <w:t>、</w:t>
      </w:r>
      <w:r>
        <w:rPr>
          <w:rFonts w:hint="eastAsia"/>
          <w:sz w:val="22"/>
          <w:szCs w:val="20"/>
          <w:lang w:val="en-US" w:eastAsia="zh-CN"/>
        </w:rPr>
        <w:t>最佳灌溉量</w:t>
      </w:r>
      <w:r>
        <w:rPr>
          <w:rFonts w:hint="eastAsia"/>
          <w:sz w:val="22"/>
          <w:szCs w:val="20"/>
        </w:rPr>
        <w:t>等技术。</w:t>
      </w:r>
    </w:p>
    <w:p w14:paraId="12BAE632">
      <w:pPr>
        <w:spacing w:line="360" w:lineRule="auto"/>
        <w:ind w:firstLine="440" w:firstLineChars="200"/>
        <w:rPr>
          <w:sz w:val="22"/>
          <w:szCs w:val="20"/>
        </w:rPr>
      </w:pPr>
      <w:r>
        <w:rPr>
          <w:rFonts w:hint="eastAsia"/>
          <w:sz w:val="22"/>
          <w:szCs w:val="20"/>
        </w:rPr>
        <w:t>本文件适用于</w:t>
      </w:r>
      <w:r>
        <w:rPr>
          <w:rFonts w:hint="eastAsia"/>
          <w:sz w:val="22"/>
          <w:szCs w:val="20"/>
          <w:lang w:val="en-US" w:eastAsia="zh-CN"/>
        </w:rPr>
        <w:t>农业生产</w:t>
      </w:r>
      <w:r>
        <w:rPr>
          <w:rFonts w:hint="eastAsia"/>
          <w:sz w:val="22"/>
          <w:szCs w:val="20"/>
        </w:rPr>
        <w:t>中干旱半干旱区紫花苜蓿节水灌溉与生物质炭施用技术。</w:t>
      </w:r>
    </w:p>
    <w:p w14:paraId="52005B57">
      <w:pPr>
        <w:numPr>
          <w:ilvl w:val="0"/>
          <w:numId w:val="2"/>
        </w:numPr>
        <w:spacing w:line="360" w:lineRule="auto"/>
        <w:rPr>
          <w:b/>
          <w:color w:val="000000"/>
          <w:sz w:val="22"/>
          <w:szCs w:val="20"/>
        </w:rPr>
      </w:pPr>
      <w:r>
        <w:rPr>
          <w:rFonts w:hint="eastAsia"/>
          <w:b/>
          <w:color w:val="000000"/>
          <w:sz w:val="22"/>
          <w:szCs w:val="20"/>
        </w:rPr>
        <w:t>规范性引用文件</w:t>
      </w:r>
    </w:p>
    <w:p w14:paraId="0E092886">
      <w:pPr>
        <w:spacing w:line="360" w:lineRule="auto"/>
        <w:ind w:firstLine="440" w:firstLineChars="200"/>
        <w:rPr>
          <w:rFonts w:hint="eastAsia" w:ascii="Times New Roman" w:hAnsi="Times New Roman" w:eastAsia="宋体" w:cs="Times New Roman"/>
          <w:sz w:val="22"/>
          <w:szCs w:val="20"/>
          <w:lang w:val="en-US" w:eastAsia="zh-CN"/>
        </w:rPr>
      </w:pPr>
      <w:r>
        <w:rPr>
          <w:rFonts w:hint="eastAsia"/>
          <w:sz w:val="22"/>
          <w:szCs w:val="20"/>
        </w:rPr>
        <w:t>本标准制定时，参照了GB/T 50363-2018 节水灌溉工程技术标准</w:t>
      </w:r>
      <w:r>
        <w:rPr>
          <w:rFonts w:hint="eastAsia"/>
          <w:sz w:val="22"/>
          <w:szCs w:val="20"/>
          <w:lang w:eastAsia="zh-CN"/>
        </w:rPr>
        <w:t>、</w:t>
      </w:r>
      <w:r>
        <w:rPr>
          <w:rFonts w:hint="eastAsia"/>
          <w:sz w:val="22"/>
          <w:szCs w:val="20"/>
        </w:rPr>
        <w:t>GB 5084-2021 农田灌溉水质标准NY/T 3041-2022</w:t>
      </w:r>
      <w:r>
        <w:rPr>
          <w:rFonts w:hint="eastAsia"/>
          <w:sz w:val="22"/>
          <w:szCs w:val="20"/>
          <w:lang w:eastAsia="zh-CN"/>
        </w:rPr>
        <w:t>、</w:t>
      </w:r>
      <w:r>
        <w:rPr>
          <w:rFonts w:hint="eastAsia"/>
          <w:sz w:val="22"/>
          <w:szCs w:val="20"/>
        </w:rPr>
        <w:t>生物炭基肥料NY/T 4159-2022</w:t>
      </w:r>
      <w:r>
        <w:rPr>
          <w:rFonts w:hint="eastAsia"/>
          <w:sz w:val="22"/>
          <w:szCs w:val="20"/>
          <w:lang w:eastAsia="zh-CN"/>
        </w:rPr>
        <w:t>、</w:t>
      </w:r>
      <w:r>
        <w:rPr>
          <w:rFonts w:hint="eastAsia"/>
          <w:sz w:val="22"/>
          <w:szCs w:val="20"/>
        </w:rPr>
        <w:t>生物炭质量要求NY/T 1170-2020</w:t>
      </w:r>
      <w:r>
        <w:rPr>
          <w:rFonts w:hint="eastAsia"/>
          <w:sz w:val="22"/>
          <w:szCs w:val="20"/>
          <w:lang w:eastAsia="zh-CN"/>
        </w:rPr>
        <w:t>、</w:t>
      </w:r>
      <w:r>
        <w:rPr>
          <w:rFonts w:hint="eastAsia"/>
          <w:sz w:val="22"/>
          <w:szCs w:val="20"/>
        </w:rPr>
        <w:t>牧草干草质量分级NY/T 3618-2020</w:t>
      </w:r>
      <w:r>
        <w:rPr>
          <w:rFonts w:hint="eastAsia"/>
          <w:sz w:val="22"/>
          <w:szCs w:val="20"/>
          <w:lang w:eastAsia="zh-CN"/>
        </w:rPr>
        <w:t>、</w:t>
      </w:r>
      <w:r>
        <w:rPr>
          <w:rFonts w:hint="eastAsia"/>
          <w:sz w:val="22"/>
          <w:szCs w:val="20"/>
        </w:rPr>
        <w:t>矿物源腐植酸有机肥料NY/T 1170-2020</w:t>
      </w:r>
      <w:r>
        <w:rPr>
          <w:rFonts w:hint="eastAsia"/>
          <w:sz w:val="22"/>
          <w:szCs w:val="20"/>
          <w:lang w:eastAsia="zh-CN"/>
        </w:rPr>
        <w:t>、</w:t>
      </w:r>
      <w:r>
        <w:rPr>
          <w:rFonts w:hint="eastAsia"/>
          <w:sz w:val="22"/>
          <w:szCs w:val="20"/>
        </w:rPr>
        <w:t>苜蓿干草捆标准DB15/T 2598-2022</w:t>
      </w:r>
      <w:r>
        <w:rPr>
          <w:rFonts w:hint="eastAsia"/>
          <w:sz w:val="22"/>
          <w:szCs w:val="20"/>
          <w:lang w:eastAsia="zh-CN"/>
        </w:rPr>
        <w:t>、</w:t>
      </w:r>
      <w:r>
        <w:rPr>
          <w:rFonts w:hint="eastAsia"/>
          <w:sz w:val="22"/>
          <w:szCs w:val="20"/>
        </w:rPr>
        <w:t>苜蓿干草产品营养品质评价及质量分级GB/T 33469-2016 耕地质量等级。</w:t>
      </w:r>
      <w:r>
        <w:rPr>
          <w:rFonts w:hint="eastAsia" w:ascii="Times New Roman" w:hAnsi="Times New Roman" w:eastAsia="宋体" w:cs="Times New Roman"/>
          <w:sz w:val="22"/>
          <w:szCs w:val="20"/>
          <w:lang w:val="en-US" w:eastAsia="zh-CN"/>
        </w:rPr>
        <w:t>结合试验结果，确定滴灌带埋设深度 20cm、行距 40~50cm，工作压力 0.15~0.25 MPa，确保灌溉均匀度≥90%；操作流程与验收标准结合生产实践，按“地块准备-生物质炭施用-灌溉系统安装-播种管理-生长期管理-刈割再生”顺序制定流程，确保技术可落地、效果可检验。留茬高度通过田间控制试验证实，留茬高度为5 cm最佳。</w:t>
      </w:r>
    </w:p>
    <w:p w14:paraId="6A5EB5F0">
      <w:pPr>
        <w:spacing w:line="360" w:lineRule="auto"/>
        <w:ind w:firstLine="440" w:firstLineChars="200"/>
        <w:rPr>
          <w:sz w:val="22"/>
          <w:szCs w:val="20"/>
        </w:rPr>
      </w:pPr>
      <w:r>
        <w:rPr>
          <w:rFonts w:hint="eastAsia" w:ascii="Times New Roman" w:hAnsi="Times New Roman" w:eastAsia="宋体" w:cs="Times New Roman"/>
          <w:sz w:val="22"/>
          <w:szCs w:val="20"/>
          <w:lang w:val="en-US" w:eastAsia="zh-CN"/>
        </w:rPr>
        <w:t>本标准的制定，既是对干旱半干旱区紫花苜蓿节水提质技术经验的系统总结，也是推动草地畜牧业标准化、生态化发展的重要实践，为同类区域草地资源的可持续利用提供了科学范本。</w:t>
      </w:r>
    </w:p>
    <w:p w14:paraId="58D86C9D">
      <w:pPr>
        <w:spacing w:line="360" w:lineRule="auto"/>
        <w:ind w:firstLine="442" w:firstLineChars="200"/>
        <w:rPr>
          <w:b/>
          <w:bCs/>
          <w:sz w:val="22"/>
          <w:szCs w:val="20"/>
        </w:rPr>
      </w:pPr>
      <w:r>
        <w:rPr>
          <w:rFonts w:hint="eastAsia"/>
          <w:b/>
          <w:bCs/>
          <w:sz w:val="22"/>
          <w:szCs w:val="20"/>
        </w:rPr>
        <w:t>（3）术语与定义</w:t>
      </w:r>
    </w:p>
    <w:p w14:paraId="568F59D4">
      <w:pPr>
        <w:spacing w:line="360" w:lineRule="auto"/>
        <w:ind w:firstLine="440" w:firstLineChars="200"/>
        <w:rPr>
          <w:rFonts w:hint="eastAsia" w:ascii="Times New Roman" w:hAnsi="Times New Roman" w:eastAsia="宋体" w:cs="Times New Roman"/>
          <w:sz w:val="22"/>
          <w:szCs w:val="20"/>
          <w:lang w:val="en-US" w:eastAsia="zh-CN"/>
        </w:rPr>
      </w:pPr>
      <w:r>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Pr>
          <w:rFonts w:hint="eastAsia"/>
          <w:sz w:val="22"/>
          <w:szCs w:val="20"/>
          <w:lang w:val="en-US" w:eastAsia="zh-CN"/>
        </w:rPr>
        <w:t>节水灌溉、生物质炭、灌溉定额、土壤含水率下限</w:t>
      </w:r>
      <w:r>
        <w:rPr>
          <w:rFonts w:hint="eastAsia"/>
          <w:sz w:val="22"/>
          <w:szCs w:val="20"/>
        </w:rPr>
        <w:t>”，并给出相应定义。</w:t>
      </w:r>
    </w:p>
    <w:p w14:paraId="402D55AF">
      <w:pPr>
        <w:pStyle w:val="33"/>
        <w:spacing w:line="360" w:lineRule="auto"/>
        <w:ind w:left="480" w:firstLine="0" w:firstLineChars="0"/>
        <w:rPr>
          <w:rFonts w:hint="eastAsia" w:ascii="Times New Roman" w:hAnsi="Times New Roman" w:eastAsia="宋体" w:cs="Times New Roman"/>
          <w:sz w:val="22"/>
          <w:szCs w:val="20"/>
          <w:lang w:val="en-US" w:eastAsia="zh-CN"/>
        </w:rPr>
      </w:pPr>
      <w:r>
        <w:rPr>
          <w:rFonts w:hint="eastAsia" w:ascii="宋体" w:hAnsi="宋体" w:cs="黑体"/>
          <w:b/>
          <w:bCs/>
          <w:kern w:val="0"/>
          <w:sz w:val="22"/>
          <w:szCs w:val="20"/>
        </w:rPr>
        <w:t>（</w:t>
      </w:r>
      <w:r>
        <w:rPr>
          <w:rFonts w:hint="eastAsia" w:ascii="宋体" w:hAnsi="宋体" w:cs="黑体"/>
          <w:b/>
          <w:bCs/>
          <w:kern w:val="0"/>
          <w:sz w:val="22"/>
          <w:szCs w:val="20"/>
          <w:lang w:val="en-US" w:eastAsia="zh-CN"/>
        </w:rPr>
        <w:t>4</w:t>
      </w:r>
      <w:r>
        <w:rPr>
          <w:rFonts w:hint="eastAsia" w:ascii="宋体" w:hAnsi="宋体" w:cs="黑体"/>
          <w:b/>
          <w:bCs/>
          <w:kern w:val="0"/>
          <w:sz w:val="22"/>
          <w:szCs w:val="20"/>
        </w:rPr>
        <w:t>）</w:t>
      </w:r>
      <w:r>
        <w:rPr>
          <w:rFonts w:hint="eastAsia" w:ascii="宋体" w:hAnsi="宋体" w:cs="黑体"/>
          <w:b/>
          <w:bCs/>
          <w:kern w:val="0"/>
          <w:sz w:val="22"/>
          <w:szCs w:val="20"/>
          <w:lang w:val="en-US" w:eastAsia="zh-CN"/>
        </w:rPr>
        <w:t>野外实验</w:t>
      </w:r>
    </w:p>
    <w:p w14:paraId="00D801EB">
      <w:pPr>
        <w:ind w:firstLine="570"/>
        <w:rPr>
          <w:rFonts w:hint="default" w:ascii="Times New Roman" w:hAnsi="Times New Roman" w:eastAsia="仿宋"/>
          <w:b/>
          <w:bCs/>
          <w:sz w:val="28"/>
          <w:szCs w:val="28"/>
          <w:lang w:val="en-US" w:eastAsia="zh-CN"/>
        </w:rPr>
      </w:pPr>
      <w:r>
        <w:rPr>
          <w:rFonts w:hint="eastAsia" w:hAnsi="宋体" w:cs="黑体"/>
          <w:b/>
          <w:bCs/>
          <w:sz w:val="22"/>
          <w:szCs w:val="22"/>
        </w:rPr>
        <w:t>①</w:t>
      </w:r>
      <w:r>
        <w:rPr>
          <w:rFonts w:hint="eastAsia" w:hAnsi="宋体" w:cs="黑体"/>
          <w:b/>
          <w:bCs/>
          <w:sz w:val="22"/>
          <w:szCs w:val="22"/>
          <w:lang w:val="en-US" w:eastAsia="zh-CN"/>
        </w:rPr>
        <w:t xml:space="preserve"> </w:t>
      </w:r>
      <w:r>
        <w:rPr>
          <w:rFonts w:hint="eastAsia" w:ascii="Times New Roman" w:hAnsi="宋体" w:eastAsia="宋体" w:cs="黑体"/>
          <w:b/>
          <w:bCs/>
          <w:sz w:val="22"/>
          <w:szCs w:val="22"/>
          <w:lang w:val="en-US" w:eastAsia="zh-CN"/>
        </w:rPr>
        <w:t>研究区概况</w:t>
      </w:r>
    </w:p>
    <w:p w14:paraId="06E0EC95">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研究区位于新疆博乐市草原生态修复乡土草种繁育联合示范基地（44°82′N，82°01′E，海拔621 m），地处准噶尔盆地西南缘，隶属于北天山山地与博尔塔拉河谷平原过渡带，区域内地形以低山丘陵和平原为主，土壤类型为灰钙土，属于温带大陆性干旱气候，年均降水量208.5 mm，年均蒸发量1562.4 mm，年均温度8.7 ℃，全年无霜期平均为180 d。</w:t>
      </w:r>
    </w:p>
    <w:p w14:paraId="6634E2FE">
      <w:pPr>
        <w:ind w:firstLine="570"/>
        <w:rPr>
          <w:rFonts w:hint="eastAsia" w:ascii="仿宋" w:hAnsi="仿宋" w:eastAsia="仿宋"/>
          <w:b/>
          <w:bCs/>
          <w:sz w:val="28"/>
          <w:szCs w:val="28"/>
          <w:lang w:val="en-US" w:eastAsia="zh-CN"/>
        </w:rPr>
      </w:pPr>
      <w:r>
        <w:rPr>
          <w:rFonts w:hint="eastAsia" w:ascii="Times New Roman" w:hAnsi="宋体" w:eastAsia="宋体" w:cs="黑体"/>
          <w:b/>
          <w:bCs/>
          <w:sz w:val="22"/>
          <w:szCs w:val="22"/>
          <w:lang w:val="en-US" w:eastAsia="zh-CN"/>
        </w:rPr>
        <w:t>② 试验设计</w:t>
      </w:r>
    </w:p>
    <w:p w14:paraId="47506794">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本试验采用完全随机区组设计，设置灌溉量和生物炭2个因素，共8个处理：W1C0、W1C2、W2C0、W2C2、W3C0、W3C2、W4C0、W4C2，每个处理设置5个重复，共计40个小区样地，小区面积3m×4m，间隔1m。其中，年灌溉量依照干旱地区紫花苜蓿（新牧4号）生产常规灌溉量等梯度增减设置4个水平，减量30%：W1（450 mm）、减量15%：W2（550 mm）、常规灌溉梯度：W3（650 mm）、增量15%：W4（750 mm）。生物质炭总量依照农作物常用施用量设置2个水平：C0（0 t/hm2）、C2（20 t/hm2），于播种前一次性施入。</w:t>
      </w:r>
    </w:p>
    <w:p w14:paraId="4175F3BC">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2024年4月底划分试验小区，将生物质炭均匀撒在处理小区表面，翻耕（25 cm）平整，其他小区土壤耕作处理相同。随后进行覆膜垄沟播种，垄高25 cm，沟垄比为70:40 cm，用宽700 mm的白色薄膜覆盖沟，苜蓿采用穴播的播种方式，每条沟内种4行，行距15 cm，每小区播种量相同（18 kg/hm2）。试验设计为每15天进行1次灌溉，但灌溉间隔天数随实际降水情况进行调整，一年共灌溉12次。</w:t>
      </w:r>
    </w:p>
    <w:p w14:paraId="3983EA4B">
      <w:pPr>
        <w:ind w:firstLine="570"/>
        <w:rPr>
          <w:rFonts w:hint="eastAsia" w:ascii="Times New Roman" w:hAnsi="宋体" w:eastAsia="宋体" w:cs="黑体"/>
          <w:b/>
          <w:bCs/>
          <w:sz w:val="22"/>
          <w:szCs w:val="22"/>
          <w:lang w:val="en-US" w:eastAsia="zh-CN"/>
        </w:rPr>
      </w:pPr>
      <w:r>
        <w:rPr>
          <w:rFonts w:hint="eastAsia" w:ascii="Times New Roman" w:hAnsi="宋体" w:eastAsia="宋体" w:cs="黑体"/>
          <w:b/>
          <w:bCs/>
          <w:sz w:val="22"/>
          <w:szCs w:val="22"/>
          <w:lang w:val="en-US" w:eastAsia="zh-CN"/>
        </w:rPr>
        <w:t>③ 样品采集及测定指标</w:t>
      </w:r>
    </w:p>
    <w:p w14:paraId="70014A04">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根据实际生产情况，在紫花苜蓿初花期进行刈割，齐地面刈割活体植物并称重，即为植物鲜重（g），装入信封袋中，带回实验室置于烘箱中105 ℃杀青30 min后，80 ℃烘24 h至恒重后称干重（g），记为该植物干物质产量，加和记为地上现存生物量。将每年第一茬各小区测定牧草干物质产量的烘干样品全部粉碎混合均匀用于测定牧草营养品质。样方取样结束后，按照紫花苜蓿刈割留茬高度（5cm）刈割，称重，进行产量测定，记作现存鲜重产量，随机取200 g，带回实验室置于烘箱中105 ℃杀青30 min后，80 ℃烘24 h至恒重后称重，计算干鲜比。</w:t>
      </w:r>
    </w:p>
    <w:p w14:paraId="62A548C5">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牧草营养品质测定主要为：粗蛋白、粗灰分和中性洗涤纤维、酸性洗涤纤维，粗蛋白（Crude protein，CP）采用凯氏定氮仪测定；粗灰分（Coarse ash，ASH）采用燃烧法；中性洗涤纤维（Neutral deter gent fibre，NDF）和酸性洗涤纤维（Acid detergent fibre，ADF）的测定采用范式纤维分析法测定。</w:t>
      </w:r>
    </w:p>
    <w:p w14:paraId="299F0655">
      <w:pPr>
        <w:spacing w:line="360" w:lineRule="auto"/>
        <w:ind w:firstLine="440" w:firstLineChars="200"/>
        <w:rPr>
          <w:rFonts w:hint="default" w:ascii="Times New Roman" w:hAnsi="Times New Roman" w:eastAsia="仿宋"/>
          <w:color w:val="auto"/>
          <w:sz w:val="28"/>
          <w:szCs w:val="28"/>
          <w:lang w:val="en-US" w:eastAsia="zh-CN"/>
        </w:rPr>
      </w:pPr>
      <w:r>
        <w:rPr>
          <w:rFonts w:hint="eastAsia" w:ascii="Times New Roman" w:hAnsi="Times New Roman" w:eastAsia="宋体" w:cs="Times New Roman"/>
          <w:sz w:val="22"/>
          <w:szCs w:val="20"/>
          <w:lang w:val="en-US" w:eastAsia="zh-CN"/>
        </w:rPr>
        <w:t>土壤样品采用土钻法，在上述剪去地上植物的样方中，按对角线取样法，用直径为5 cm的土钻取2钻土壤（0-15 cm土层）样品，混合后装入做好标签的自封袋中，每块样地每2个按照编号混合成1个土壤样品，即每小区取1个混合土样。带回实验室，在室内捡出植物根系、石砾等杂物后自然风干，并将土样磨碎、混匀，然后分别过2 mm、1 mm、0.25 mm筛贮存，以备土壤样品的室内分析。土壤有机碳采用重铬酸钾外加热法。</w:t>
      </w:r>
    </w:p>
    <w:p w14:paraId="6A0BD769">
      <w:pPr>
        <w:ind w:firstLine="570"/>
        <w:rPr>
          <w:rFonts w:hint="default" w:ascii="仿宋" w:hAnsi="仿宋" w:eastAsia="仿宋"/>
          <w:b/>
          <w:bCs/>
          <w:sz w:val="28"/>
          <w:szCs w:val="28"/>
          <w:lang w:val="en-US" w:eastAsia="zh-CN"/>
        </w:rPr>
      </w:pPr>
      <w:r>
        <w:rPr>
          <w:rFonts w:hint="eastAsia" w:ascii="Times New Roman" w:hAnsi="宋体" w:eastAsia="宋体" w:cs="黑体"/>
          <w:b/>
          <w:bCs/>
          <w:sz w:val="22"/>
          <w:szCs w:val="22"/>
          <w:lang w:val="en-US" w:eastAsia="zh-CN"/>
        </w:rPr>
        <w:t>④ 对紫花苜蓿年产量和经济效益的影响</w:t>
      </w:r>
    </w:p>
    <w:p w14:paraId="38BC7AEC">
      <w:pPr>
        <w:spacing w:line="360" w:lineRule="auto"/>
        <w:ind w:firstLine="440" w:firstLineChars="200"/>
        <w:rPr>
          <w:rFonts w:hint="default"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由图1所示，灌溉量与生物质炭施用对紫花苜蓿年产量有显著影响（</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&lt;0.05）。在W1与W2灌溉梯度下，2024年C2处理紫花苜蓿年产量较C0处理提高（图a）。2025年紫花苜蓿年产量在同一灌溉梯度下，C2处理均较C0处理提高，且在W2灌溉条件下，C2处理较C0处理显著提高（</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&lt;0.05，图b）。在C0处理下，2025年W4处理年产量最佳且显著高于W1处理（</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&lt;0.05，图b），在C2处理下，2025年W2处理年产量最佳且显著高于W1处理（</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&lt;0.05，图b）。</w:t>
      </w:r>
    </w:p>
    <w:p w14:paraId="0CE29076">
      <w:pPr>
        <w:pStyle w:val="15"/>
        <w:keepNext w:val="0"/>
        <w:keepLines w:val="0"/>
        <w:pageBreakBefore w:val="0"/>
        <w:widowControl/>
        <w:shd w:val="clea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themeColor="text1"/>
          <w:highlight w:val="none"/>
          <w:u w:val="none"/>
          <w:lang w:eastAsia="zh-CN"/>
          <w14:textFill>
            <w14:solidFill>
              <w14:schemeClr w14:val="tx1"/>
            </w14:solidFill>
          </w14:textFill>
        </w:rPr>
      </w:pPr>
      <w:r>
        <w:rPr>
          <w:rFonts w:hint="eastAsia" w:ascii="宋体" w:hAnsi="宋体" w:eastAsia="宋体" w:cs="宋体"/>
          <w:color w:val="000000" w:themeColor="text1"/>
          <w:highlight w:val="none"/>
          <w:u w:val="none"/>
          <w:lang w:eastAsia="zh-CN"/>
          <w14:textFill>
            <w14:solidFill>
              <w14:schemeClr w14:val="tx1"/>
            </w14:solidFill>
          </w14:textFill>
        </w:rPr>
        <w:drawing>
          <wp:inline distT="0" distB="0" distL="114300" distR="114300">
            <wp:extent cx="5706110" cy="2374265"/>
            <wp:effectExtent l="0" t="0" r="8890" b="3175"/>
            <wp:docPr id="40" name="图片 40" descr="年产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年产量"/>
                    <pic:cNvPicPr>
                      <a:picLocks noChangeAspect="1"/>
                    </pic:cNvPicPr>
                  </pic:nvPicPr>
                  <pic:blipFill>
                    <a:blip r:embed="rId6"/>
                    <a:stretch>
                      <a:fillRect/>
                    </a:stretch>
                  </pic:blipFill>
                  <pic:spPr>
                    <a:xfrm>
                      <a:off x="0" y="0"/>
                      <a:ext cx="5706110" cy="2374265"/>
                    </a:xfrm>
                    <a:prstGeom prst="rect">
                      <a:avLst/>
                    </a:prstGeom>
                  </pic:spPr>
                </pic:pic>
              </a:graphicData>
            </a:graphic>
          </wp:inline>
        </w:drawing>
      </w:r>
    </w:p>
    <w:p w14:paraId="04601E55">
      <w:pPr>
        <w:spacing w:line="360" w:lineRule="auto"/>
        <w:jc w:val="center"/>
        <w:rPr>
          <w:rFonts w:hint="eastAsia" w:ascii="宋体" w:hAnsi="宋体" w:eastAsia="宋体" w:cs="宋体"/>
          <w:bCs/>
          <w:color w:val="000000" w:themeColor="text1"/>
          <w:szCs w:val="21"/>
          <w:highlight w:val="none"/>
          <w:u w:val="none"/>
          <w:lang w:val="en-US" w:eastAsia="zh-CN"/>
          <w14:textFill>
            <w14:solidFill>
              <w14:schemeClr w14:val="tx1"/>
            </w14:solidFill>
          </w14:textFill>
        </w:rPr>
      </w:pPr>
      <w:r>
        <w:rPr>
          <w:rFonts w:hint="eastAsia" w:ascii="Times New Roman" w:hAnsi="Times New Roman" w:eastAsia="仿宋"/>
          <w:sz w:val="22"/>
          <w:szCs w:val="22"/>
          <w:lang w:val="en-US" w:eastAsia="zh-CN"/>
        </w:rPr>
        <w:t>图1 灌溉量与生物质炭施用对紫花苜蓿年产量的影响</w:t>
      </w:r>
    </w:p>
    <w:p w14:paraId="2092E91F">
      <w:pPr>
        <w:ind w:left="0" w:leftChars="0" w:firstLine="0" w:firstLineChars="0"/>
        <w:jc w:val="left"/>
        <w:rPr>
          <w:rFonts w:hint="default" w:ascii="Times New Roman" w:hAnsi="Times New Roman" w:eastAsia="仿宋"/>
          <w:sz w:val="22"/>
          <w:szCs w:val="22"/>
          <w:lang w:val="en-US" w:eastAsia="zh-CN"/>
        </w:rPr>
      </w:pPr>
      <w:r>
        <w:rPr>
          <w:rFonts w:hint="default" w:ascii="Times New Roman" w:hAnsi="Times New Roman" w:eastAsia="仿宋"/>
          <w:sz w:val="22"/>
          <w:szCs w:val="22"/>
          <w:lang w:val="en-US" w:eastAsia="zh-CN"/>
        </w:rPr>
        <w:t>注</w:t>
      </w:r>
      <w:r>
        <w:rPr>
          <w:rFonts w:hint="eastAsia" w:ascii="Times New Roman" w:hAnsi="Times New Roman" w:eastAsia="仿宋"/>
          <w:sz w:val="22"/>
          <w:szCs w:val="22"/>
          <w:lang w:val="en-US" w:eastAsia="zh-CN"/>
        </w:rPr>
        <w:t>：W1：灌溉量450mm，W2：灌溉量550mm，W3：灌溉量650mm，W4：灌溉量750mm，C0：施入生物质炭0 t/hm2，C2：施入生物质炭20 t/hm2。同一颜色柱条上的字母代表该生物质炭处理下，各灌溉水平间存在显著性差异，*代表同一灌溉水平下，生物质炭处理间存在显著性差异。*表示</w:t>
      </w:r>
      <w:r>
        <w:rPr>
          <w:rFonts w:hint="eastAsia" w:ascii="Times New Roman" w:hAnsi="Times New Roman" w:eastAsia="仿宋"/>
          <w:i/>
          <w:iCs/>
          <w:sz w:val="22"/>
          <w:szCs w:val="22"/>
          <w:lang w:val="en-US" w:eastAsia="zh-CN"/>
        </w:rPr>
        <w:t>P</w:t>
      </w:r>
      <w:r>
        <w:rPr>
          <w:rFonts w:hint="eastAsia" w:ascii="Times New Roman" w:hAnsi="Times New Roman" w:eastAsia="仿宋"/>
          <w:sz w:val="22"/>
          <w:szCs w:val="22"/>
          <w:lang w:val="en-US" w:eastAsia="zh-CN"/>
        </w:rPr>
        <w:t>&lt;0.05，**表示</w:t>
      </w:r>
      <w:r>
        <w:rPr>
          <w:rFonts w:hint="eastAsia" w:ascii="Times New Roman" w:hAnsi="Times New Roman" w:eastAsia="仿宋"/>
          <w:i/>
          <w:iCs/>
          <w:sz w:val="22"/>
          <w:szCs w:val="22"/>
          <w:lang w:val="en-US" w:eastAsia="zh-CN"/>
        </w:rPr>
        <w:t>P</w:t>
      </w:r>
      <w:r>
        <w:rPr>
          <w:rFonts w:hint="eastAsia" w:ascii="Times New Roman" w:hAnsi="Times New Roman" w:eastAsia="仿宋"/>
          <w:sz w:val="22"/>
          <w:szCs w:val="22"/>
          <w:lang w:val="en-US" w:eastAsia="zh-CN"/>
        </w:rPr>
        <w:t>&lt;0.01，下同。</w:t>
      </w:r>
    </w:p>
    <w:p w14:paraId="350E6A55">
      <w:pPr>
        <w:pStyle w:val="15"/>
        <w:shd w:val="clear"/>
        <w:spacing w:line="500" w:lineRule="exact"/>
        <w:ind w:firstLine="480"/>
        <w:jc w:val="left"/>
        <w:outlineLvl w:val="9"/>
        <w:rPr>
          <w:rFonts w:hint="eastAsia" w:ascii="Times New Roman" w:hAnsi="Times New Roman" w:eastAsia="宋体" w:cs="Times New Roman"/>
          <w:kern w:val="2"/>
          <w:sz w:val="22"/>
          <w:szCs w:val="20"/>
          <w:lang w:val="en-US" w:eastAsia="zh-CN" w:bidi="ar-SA"/>
        </w:rPr>
      </w:pPr>
      <w:r>
        <w:rPr>
          <w:rFonts w:hint="default" w:ascii="Times New Roman" w:hAnsi="Times New Roman" w:eastAsia="宋体" w:cs="Times New Roman"/>
          <w:kern w:val="2"/>
          <w:sz w:val="22"/>
          <w:szCs w:val="20"/>
          <w:lang w:val="en-US" w:eastAsia="zh-CN" w:bidi="ar-SA"/>
        </w:rPr>
        <w:t>根据</w:t>
      </w:r>
      <w:r>
        <w:rPr>
          <w:rFonts w:hint="eastAsia" w:ascii="Times New Roman" w:hAnsi="Times New Roman" w:eastAsia="宋体" w:cs="Times New Roman"/>
          <w:kern w:val="2"/>
          <w:sz w:val="22"/>
          <w:szCs w:val="20"/>
          <w:lang w:val="en-US" w:eastAsia="zh-CN" w:bidi="ar-SA"/>
        </w:rPr>
        <w:t>2024、</w:t>
      </w:r>
      <w:r>
        <w:rPr>
          <w:rFonts w:hint="default" w:ascii="Times New Roman" w:hAnsi="Times New Roman" w:eastAsia="宋体" w:cs="Times New Roman"/>
          <w:kern w:val="2"/>
          <w:sz w:val="22"/>
          <w:szCs w:val="20"/>
          <w:lang w:val="en-US" w:eastAsia="zh-CN" w:bidi="ar-SA"/>
        </w:rPr>
        <w:t>202</w:t>
      </w:r>
      <w:r>
        <w:rPr>
          <w:rFonts w:hint="eastAsia" w:ascii="Times New Roman" w:hAnsi="Times New Roman" w:eastAsia="宋体" w:cs="Times New Roman"/>
          <w:kern w:val="2"/>
          <w:sz w:val="22"/>
          <w:szCs w:val="20"/>
          <w:lang w:val="en-US" w:eastAsia="zh-CN" w:bidi="ar-SA"/>
        </w:rPr>
        <w:t>5</w:t>
      </w:r>
      <w:r>
        <w:rPr>
          <w:rFonts w:hint="default" w:ascii="Times New Roman" w:hAnsi="Times New Roman" w:eastAsia="宋体" w:cs="Times New Roman"/>
          <w:kern w:val="2"/>
          <w:sz w:val="22"/>
          <w:szCs w:val="20"/>
          <w:lang w:val="en-US" w:eastAsia="zh-CN" w:bidi="ar-SA"/>
        </w:rPr>
        <w:t>年</w:t>
      </w:r>
      <w:r>
        <w:rPr>
          <w:rFonts w:hint="eastAsia" w:ascii="Times New Roman" w:hAnsi="Times New Roman" w:eastAsia="宋体" w:cs="Times New Roman"/>
          <w:kern w:val="2"/>
          <w:sz w:val="22"/>
          <w:szCs w:val="20"/>
          <w:lang w:val="en-US" w:eastAsia="zh-CN" w:bidi="ar-SA"/>
        </w:rPr>
        <w:t>新疆</w:t>
      </w:r>
      <w:r>
        <w:rPr>
          <w:rFonts w:hint="default" w:ascii="Times New Roman" w:hAnsi="Times New Roman" w:eastAsia="宋体" w:cs="Times New Roman"/>
          <w:kern w:val="2"/>
          <w:sz w:val="22"/>
          <w:szCs w:val="20"/>
          <w:lang w:val="en-US" w:eastAsia="zh-CN" w:bidi="ar-SA"/>
        </w:rPr>
        <w:t>地区的市场销售价格，</w:t>
      </w:r>
      <w:r>
        <w:rPr>
          <w:rFonts w:hint="eastAsia" w:ascii="Times New Roman" w:hAnsi="Times New Roman" w:eastAsia="宋体" w:cs="Times New Roman"/>
          <w:kern w:val="2"/>
          <w:sz w:val="22"/>
          <w:szCs w:val="20"/>
          <w:lang w:val="en-US" w:eastAsia="zh-CN" w:bidi="ar-SA"/>
        </w:rPr>
        <w:t>计算紫花苜蓿两</w:t>
      </w:r>
      <w:r>
        <w:rPr>
          <w:rFonts w:hint="default" w:ascii="Times New Roman" w:hAnsi="Times New Roman" w:eastAsia="宋体" w:cs="Times New Roman"/>
          <w:kern w:val="2"/>
          <w:sz w:val="22"/>
          <w:szCs w:val="20"/>
          <w:lang w:val="en-US" w:eastAsia="zh-CN" w:bidi="ar-SA"/>
        </w:rPr>
        <w:t>年</w:t>
      </w:r>
      <w:r>
        <w:rPr>
          <w:rFonts w:hint="eastAsia" w:ascii="Times New Roman" w:hAnsi="Times New Roman" w:eastAsia="宋体" w:cs="Times New Roman"/>
          <w:kern w:val="2"/>
          <w:sz w:val="22"/>
          <w:szCs w:val="20"/>
          <w:lang w:val="en-US" w:eastAsia="zh-CN" w:bidi="ar-SA"/>
        </w:rPr>
        <w:t>平均干</w:t>
      </w:r>
      <w:r>
        <w:rPr>
          <w:rFonts w:hint="default" w:ascii="Times New Roman" w:hAnsi="Times New Roman" w:eastAsia="宋体" w:cs="Times New Roman"/>
          <w:kern w:val="2"/>
          <w:sz w:val="22"/>
          <w:szCs w:val="20"/>
          <w:lang w:val="en-US" w:eastAsia="zh-CN" w:bidi="ar-SA"/>
        </w:rPr>
        <w:t>草产量，对本研究的经济效益进行初步评估</w:t>
      </w:r>
      <w:r>
        <w:rPr>
          <w:rFonts w:hint="eastAsia" w:ascii="Times New Roman" w:hAnsi="Times New Roman" w:eastAsia="宋体" w:cs="Times New Roman"/>
          <w:kern w:val="2"/>
          <w:sz w:val="22"/>
          <w:szCs w:val="20"/>
          <w:lang w:val="en-US" w:eastAsia="zh-CN" w:bidi="ar-SA"/>
        </w:rPr>
        <w:t>。不同牧草各处理的经济收入为16198.26-22422.93 CNY/hm</w:t>
      </w:r>
      <w:r>
        <w:rPr>
          <w:rFonts w:hint="eastAsia" w:ascii="Times New Roman" w:hAnsi="Times New Roman" w:eastAsia="宋体" w:cs="Times New Roman"/>
          <w:kern w:val="2"/>
          <w:sz w:val="22"/>
          <w:szCs w:val="20"/>
          <w:vertAlign w:val="superscript"/>
          <w:lang w:val="en-US" w:eastAsia="zh-CN" w:bidi="ar-SA"/>
        </w:rPr>
        <w:t>2</w:t>
      </w:r>
      <w:r>
        <w:rPr>
          <w:rFonts w:hint="eastAsia" w:ascii="Times New Roman" w:hAnsi="Times New Roman" w:eastAsia="宋体" w:cs="Times New Roman"/>
          <w:kern w:val="2"/>
          <w:sz w:val="22"/>
          <w:szCs w:val="20"/>
          <w:lang w:val="en-US" w:eastAsia="zh-CN" w:bidi="ar-SA"/>
        </w:rPr>
        <w:t>间；其中W1C2处理最低，为16198.26 CNY/hm</w:t>
      </w:r>
      <w:r>
        <w:rPr>
          <w:rFonts w:hint="eastAsia" w:ascii="Times New Roman" w:hAnsi="Times New Roman" w:eastAsia="宋体" w:cs="Times New Roman"/>
          <w:kern w:val="2"/>
          <w:sz w:val="22"/>
          <w:szCs w:val="20"/>
          <w:vertAlign w:val="superscript"/>
          <w:lang w:val="en-US" w:eastAsia="zh-CN" w:bidi="ar-SA"/>
        </w:rPr>
        <w:t>2</w:t>
      </w:r>
      <w:r>
        <w:rPr>
          <w:rFonts w:hint="eastAsia" w:ascii="Times New Roman" w:hAnsi="Times New Roman" w:eastAsia="宋体" w:cs="Times New Roman"/>
          <w:kern w:val="2"/>
          <w:sz w:val="22"/>
          <w:szCs w:val="20"/>
          <w:lang w:val="en-US" w:eastAsia="zh-CN" w:bidi="ar-SA"/>
        </w:rPr>
        <w:t>，W2C2处理最高，为22422.93 CNY/hm</w:t>
      </w:r>
      <w:r>
        <w:rPr>
          <w:rFonts w:hint="eastAsia" w:ascii="Times New Roman" w:hAnsi="Times New Roman" w:eastAsia="宋体" w:cs="Times New Roman"/>
          <w:kern w:val="2"/>
          <w:sz w:val="22"/>
          <w:szCs w:val="20"/>
          <w:vertAlign w:val="superscript"/>
          <w:lang w:val="en-US" w:eastAsia="zh-CN" w:bidi="ar-SA"/>
        </w:rPr>
        <w:t>2</w:t>
      </w:r>
      <w:r>
        <w:rPr>
          <w:rFonts w:hint="eastAsia" w:ascii="Times New Roman" w:hAnsi="Times New Roman" w:eastAsia="宋体" w:cs="Times New Roman"/>
          <w:kern w:val="2"/>
          <w:sz w:val="22"/>
          <w:szCs w:val="20"/>
          <w:lang w:val="en-US" w:eastAsia="zh-CN" w:bidi="ar-SA"/>
        </w:rPr>
        <w:t>。</w:t>
      </w:r>
    </w:p>
    <w:p w14:paraId="09663063">
      <w:pPr>
        <w:pStyle w:val="15"/>
        <w:keepNext/>
        <w:keepLines/>
        <w:pageBreakBefore w:val="0"/>
        <w:widowControl w:val="0"/>
        <w:shd w:val="clear"/>
        <w:kinsoku/>
        <w:wordWrap/>
        <w:overflowPunct/>
        <w:topLinePunct w:val="0"/>
        <w:autoSpaceDE/>
        <w:autoSpaceDN/>
        <w:bidi w:val="0"/>
        <w:adjustRightInd/>
        <w:snapToGrid/>
        <w:spacing w:after="0" w:line="240" w:lineRule="auto"/>
        <w:ind w:firstLine="0" w:firstLineChars="0"/>
        <w:jc w:val="center"/>
        <w:textAlignment w:val="auto"/>
        <w:outlineLvl w:val="9"/>
        <w:rPr>
          <w:rFonts w:hint="default" w:ascii="Times New Roman" w:hAnsi="Times New Roman" w:cs="Times New Roman"/>
          <w:bCs/>
          <w:color w:val="000000" w:themeColor="text1"/>
          <w:szCs w:val="21"/>
          <w:highlight w:val="none"/>
          <w:u w:val="none"/>
          <w:lang w:val="en-US" w:eastAsia="zh-CN"/>
          <w14:textFill>
            <w14:solidFill>
              <w14:schemeClr w14:val="tx1"/>
            </w14:solidFill>
          </w14:textFill>
        </w:rPr>
      </w:pPr>
      <w:r>
        <w:rPr>
          <w:rFonts w:hint="default" w:ascii="Times New Roman" w:hAnsi="Times New Roman" w:cs="Times New Roman"/>
          <w:bCs/>
          <w:color w:val="000000" w:themeColor="text1"/>
          <w:szCs w:val="21"/>
          <w:highlight w:val="none"/>
          <w:u w:val="none"/>
          <w:lang w:val="en-US" w:eastAsia="zh-CN"/>
          <w14:textFill>
            <w14:solidFill>
              <w14:schemeClr w14:val="tx1"/>
            </w14:solidFill>
          </w14:textFill>
        </w:rPr>
        <w:t>表</w:t>
      </w:r>
      <w:r>
        <w:rPr>
          <w:rFonts w:hint="eastAsia" w:ascii="Times New Roman" w:hAnsi="Times New Roman" w:cs="Times New Roman"/>
          <w:bCs/>
          <w:color w:val="000000" w:themeColor="text1"/>
          <w:sz w:val="21"/>
          <w:szCs w:val="21"/>
          <w:highlight w:val="none"/>
          <w:u w:val="none"/>
          <w:lang w:val="en-US" w:eastAsia="zh-CN"/>
          <w14:textFill>
            <w14:solidFill>
              <w14:schemeClr w14:val="tx1"/>
            </w14:solidFill>
          </w14:textFill>
        </w:rPr>
        <w:t>1</w:t>
      </w:r>
      <w:r>
        <w:rPr>
          <w:rFonts w:hint="default" w:ascii="Times New Roman" w:hAnsi="Times New Roman" w:cs="Times New Roman"/>
          <w:bCs/>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none"/>
          <w14:textFill>
            <w14:solidFill>
              <w14:schemeClr w14:val="tx1"/>
            </w14:solidFill>
          </w14:textFill>
        </w:rPr>
        <w:t>经济效益</w:t>
      </w: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的</w:t>
      </w:r>
      <w:r>
        <w:rPr>
          <w:rFonts w:hint="eastAsia" w:ascii="黑体" w:hAnsi="黑体" w:eastAsia="黑体" w:cs="黑体"/>
          <w:color w:val="000000" w:themeColor="text1"/>
          <w:sz w:val="21"/>
          <w:szCs w:val="21"/>
          <w:highlight w:val="none"/>
          <w:u w:val="none"/>
          <w14:textFill>
            <w14:solidFill>
              <w14:schemeClr w14:val="tx1"/>
            </w14:solidFill>
          </w14:textFill>
        </w:rPr>
        <w:t>初步评估</w:t>
      </w:r>
    </w:p>
    <w:tbl>
      <w:tblPr>
        <w:tblStyle w:val="1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90"/>
        <w:gridCol w:w="2190"/>
        <w:gridCol w:w="2192"/>
        <w:gridCol w:w="2192"/>
      </w:tblGrid>
      <w:tr w14:paraId="1AB1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67" w:hRule="atLeast"/>
          <w:jc w:val="center"/>
        </w:trPr>
        <w:tc>
          <w:tcPr>
            <w:tcW w:w="1249" w:type="pct"/>
            <w:tcBorders>
              <w:top w:val="single" w:color="auto" w:sz="12" w:space="0"/>
              <w:left w:val="nil"/>
              <w:bottom w:val="single" w:color="auto" w:sz="6" w:space="0"/>
              <w:right w:val="nil"/>
            </w:tcBorders>
            <w:shd w:val="clear" w:color="auto" w:fill="auto"/>
            <w:noWrap/>
            <w:vAlign w:val="center"/>
          </w:tcPr>
          <w:p w14:paraId="1EC6109C">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处理</w:t>
            </w:r>
          </w:p>
        </w:tc>
        <w:tc>
          <w:tcPr>
            <w:tcW w:w="1249" w:type="pct"/>
            <w:tcBorders>
              <w:top w:val="single" w:color="auto" w:sz="12" w:space="0"/>
              <w:left w:val="nil"/>
              <w:bottom w:val="single" w:color="auto" w:sz="6" w:space="0"/>
              <w:right w:val="nil"/>
            </w:tcBorders>
            <w:shd w:val="clear" w:color="auto" w:fill="auto"/>
            <w:vAlign w:val="center"/>
          </w:tcPr>
          <w:p w14:paraId="3ED591DA">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年平均产量</w:t>
            </w:r>
            <w:r>
              <w:rPr>
                <w:rFonts w:hint="eastAsia" w:ascii="Times New Roman" w:hAnsi="Times New Roman" w:cs="Times New Roman"/>
                <w:i w:val="0"/>
                <w:iCs w:val="0"/>
                <w:color w:val="000000" w:themeColor="text1"/>
                <w:kern w:val="0"/>
                <w:sz w:val="21"/>
                <w:szCs w:val="21"/>
                <w:highlight w:val="none"/>
                <w:u w:val="none"/>
                <w:lang w:val="en-US" w:eastAsia="zh-CN" w:bidi="ar"/>
                <w14:textFill>
                  <w14:solidFill>
                    <w14:schemeClr w14:val="tx1"/>
                  </w14:solidFill>
                </w14:textFill>
              </w:rPr>
              <w:t xml:space="preserve"> t</w:t>
            </w: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/hm</w:t>
            </w:r>
            <w:r>
              <w:rPr>
                <w:rFonts w:hint="eastAsia" w:ascii="Times New Roman" w:hAnsi="Times New Roman" w:eastAsia="宋体" w:cs="Times New Roman"/>
                <w:i w:val="0"/>
                <w:iCs w:val="0"/>
                <w:color w:val="000000" w:themeColor="text1"/>
                <w:kern w:val="0"/>
                <w:sz w:val="21"/>
                <w:szCs w:val="21"/>
                <w:highlight w:val="none"/>
                <w:u w:val="none"/>
                <w:vertAlign w:val="superscript"/>
                <w:lang w:val="en-US" w:eastAsia="zh-CN" w:bidi="ar"/>
                <w14:textFill>
                  <w14:solidFill>
                    <w14:schemeClr w14:val="tx1"/>
                  </w14:solidFill>
                </w14:textFill>
              </w:rPr>
              <w:t>2</w:t>
            </w:r>
          </w:p>
        </w:tc>
        <w:tc>
          <w:tcPr>
            <w:tcW w:w="1250" w:type="pct"/>
            <w:tcBorders>
              <w:top w:val="single" w:color="auto" w:sz="12" w:space="0"/>
              <w:left w:val="nil"/>
              <w:bottom w:val="single" w:color="auto" w:sz="6" w:space="0"/>
              <w:right w:val="nil"/>
            </w:tcBorders>
            <w:shd w:val="clear" w:color="auto" w:fill="auto"/>
            <w:vAlign w:val="center"/>
          </w:tcPr>
          <w:p w14:paraId="0C3845DC">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cs="Times New Roman"/>
                <w:i w:val="0"/>
                <w:iCs w:val="0"/>
                <w:color w:val="000000" w:themeColor="text1"/>
                <w:kern w:val="0"/>
                <w:sz w:val="21"/>
                <w:szCs w:val="21"/>
                <w:highlight w:val="none"/>
                <w:u w:val="none"/>
                <w:lang w:val="en-US" w:eastAsia="zh-CN" w:bidi="ar"/>
                <w14:textFill>
                  <w14:solidFill>
                    <w14:schemeClr w14:val="tx1"/>
                  </w14:solidFill>
                </w14:textFill>
              </w:rPr>
              <w:t xml:space="preserve">收益 </w:t>
            </w:r>
            <w:r>
              <w:rPr>
                <w:rFonts w:hint="eastAsia" w:ascii="Times New Roman" w:hAnsi="Times New Roman" w:eastAsia="宋体" w:cs="Times New Roman"/>
                <w:color w:val="000000" w:themeColor="text1"/>
                <w:sz w:val="21"/>
                <w:szCs w:val="21"/>
                <w:highlight w:val="none"/>
                <w:u w:val="none"/>
                <w:lang w:eastAsia="zh-CN"/>
                <w14:textFill>
                  <w14:solidFill>
                    <w14:schemeClr w14:val="tx1"/>
                  </w14:solidFill>
                </w14:textFill>
              </w:rPr>
              <w:t>CNY/hm</w:t>
            </w:r>
            <w:r>
              <w:rPr>
                <w:rFonts w:hint="eastAsia" w:ascii="Times New Roman" w:hAnsi="Times New Roman" w:eastAsia="宋体" w:cs="Times New Roman"/>
                <w:color w:val="000000" w:themeColor="text1"/>
                <w:sz w:val="21"/>
                <w:szCs w:val="21"/>
                <w:highlight w:val="none"/>
                <w:u w:val="none"/>
                <w:vertAlign w:val="superscript"/>
                <w:lang w:eastAsia="zh-CN"/>
                <w14:textFill>
                  <w14:solidFill>
                    <w14:schemeClr w14:val="tx1"/>
                  </w14:solidFill>
                </w14:textFill>
              </w:rPr>
              <w:t>2</w:t>
            </w:r>
          </w:p>
        </w:tc>
        <w:tc>
          <w:tcPr>
            <w:tcW w:w="1250" w:type="pct"/>
            <w:tcBorders>
              <w:top w:val="single" w:color="auto" w:sz="12" w:space="0"/>
              <w:left w:val="nil"/>
              <w:bottom w:val="single" w:color="auto" w:sz="6" w:space="0"/>
              <w:right w:val="nil"/>
            </w:tcBorders>
            <w:shd w:val="clear" w:color="auto" w:fill="auto"/>
            <w:vAlign w:val="center"/>
          </w:tcPr>
          <w:p w14:paraId="6EAD716D">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cs="Times New Roman"/>
                <w:i w:val="0"/>
                <w:iCs w:val="0"/>
                <w:color w:val="000000" w:themeColor="text1"/>
                <w:kern w:val="0"/>
                <w:sz w:val="21"/>
                <w:szCs w:val="21"/>
                <w:highlight w:val="none"/>
                <w:u w:val="none"/>
                <w:lang w:val="en-US" w:eastAsia="zh-CN" w:bidi="ar"/>
                <w14:textFill>
                  <w14:solidFill>
                    <w14:schemeClr w14:val="tx1"/>
                  </w14:solidFill>
                </w14:textFill>
              </w:rPr>
              <w:t xml:space="preserve">纯利润 </w:t>
            </w:r>
            <w:r>
              <w:rPr>
                <w:rFonts w:hint="eastAsia" w:ascii="Times New Roman" w:hAnsi="Times New Roman" w:eastAsia="宋体" w:cs="Times New Roman"/>
                <w:color w:val="000000" w:themeColor="text1"/>
                <w:sz w:val="21"/>
                <w:szCs w:val="21"/>
                <w:highlight w:val="none"/>
                <w:u w:val="none"/>
                <w:lang w:eastAsia="zh-CN"/>
                <w14:textFill>
                  <w14:solidFill>
                    <w14:schemeClr w14:val="tx1"/>
                  </w14:solidFill>
                </w14:textFill>
              </w:rPr>
              <w:t>CNY/hm</w:t>
            </w:r>
            <w:r>
              <w:rPr>
                <w:rFonts w:hint="eastAsia" w:ascii="Times New Roman" w:hAnsi="Times New Roman" w:eastAsia="宋体" w:cs="Times New Roman"/>
                <w:color w:val="000000" w:themeColor="text1"/>
                <w:sz w:val="21"/>
                <w:szCs w:val="21"/>
                <w:highlight w:val="none"/>
                <w:u w:val="none"/>
                <w:vertAlign w:val="superscript"/>
                <w:lang w:eastAsia="zh-CN"/>
                <w14:textFill>
                  <w14:solidFill>
                    <w14:schemeClr w14:val="tx1"/>
                  </w14:solidFill>
                </w14:textFill>
              </w:rPr>
              <w:t>2</w:t>
            </w:r>
          </w:p>
        </w:tc>
      </w:tr>
      <w:tr w14:paraId="7B4A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single" w:color="auto" w:sz="6" w:space="0"/>
              <w:left w:val="nil"/>
              <w:bottom w:val="nil"/>
              <w:right w:val="nil"/>
            </w:tcBorders>
            <w:shd w:val="clear" w:color="auto" w:fill="auto"/>
            <w:noWrap/>
            <w:vAlign w:val="center"/>
          </w:tcPr>
          <w:p w14:paraId="53DBEACD">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W1C0</w:t>
            </w:r>
          </w:p>
        </w:tc>
        <w:tc>
          <w:tcPr>
            <w:tcW w:w="2320" w:type="dxa"/>
            <w:tcBorders>
              <w:top w:val="single" w:color="auto" w:sz="6" w:space="0"/>
              <w:left w:val="nil"/>
              <w:bottom w:val="nil"/>
              <w:right w:val="nil"/>
            </w:tcBorders>
            <w:shd w:val="clear" w:color="auto" w:fill="auto"/>
            <w:noWrap/>
            <w:vAlign w:val="center"/>
          </w:tcPr>
          <w:p w14:paraId="06B8E85D">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10.22 </w:t>
            </w:r>
          </w:p>
        </w:tc>
        <w:tc>
          <w:tcPr>
            <w:tcW w:w="2322" w:type="dxa"/>
            <w:tcBorders>
              <w:top w:val="single" w:color="auto" w:sz="6" w:space="0"/>
              <w:left w:val="nil"/>
              <w:bottom w:val="nil"/>
              <w:right w:val="nil"/>
            </w:tcBorders>
            <w:shd w:val="clear" w:color="auto" w:fill="auto"/>
            <w:noWrap/>
            <w:vAlign w:val="center"/>
          </w:tcPr>
          <w:p w14:paraId="4AE11259">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18402.81 </w:t>
            </w:r>
          </w:p>
        </w:tc>
        <w:tc>
          <w:tcPr>
            <w:tcW w:w="2322" w:type="dxa"/>
            <w:tcBorders>
              <w:top w:val="single" w:color="auto" w:sz="6" w:space="0"/>
              <w:left w:val="nil"/>
              <w:bottom w:val="nil"/>
              <w:right w:val="nil"/>
            </w:tcBorders>
            <w:shd w:val="clear" w:color="auto" w:fill="auto"/>
            <w:noWrap/>
            <w:vAlign w:val="center"/>
          </w:tcPr>
          <w:p w14:paraId="1C59E7DE">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17098.11 </w:t>
            </w:r>
          </w:p>
        </w:tc>
      </w:tr>
      <w:tr w14:paraId="1D86E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1204F408">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W2C0</w:t>
            </w:r>
          </w:p>
        </w:tc>
        <w:tc>
          <w:tcPr>
            <w:tcW w:w="2320" w:type="dxa"/>
            <w:tcBorders>
              <w:top w:val="nil"/>
              <w:left w:val="nil"/>
              <w:bottom w:val="nil"/>
              <w:right w:val="nil"/>
            </w:tcBorders>
            <w:shd w:val="clear" w:color="auto" w:fill="auto"/>
            <w:noWrap/>
            <w:vAlign w:val="center"/>
          </w:tcPr>
          <w:p w14:paraId="244A6CCA">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11.84 </w:t>
            </w:r>
          </w:p>
        </w:tc>
        <w:tc>
          <w:tcPr>
            <w:tcW w:w="2322" w:type="dxa"/>
            <w:tcBorders>
              <w:top w:val="nil"/>
              <w:left w:val="nil"/>
              <w:bottom w:val="nil"/>
              <w:right w:val="nil"/>
            </w:tcBorders>
            <w:shd w:val="clear" w:color="auto" w:fill="auto"/>
            <w:noWrap/>
            <w:vAlign w:val="center"/>
          </w:tcPr>
          <w:p w14:paraId="40D9E834">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21306.73 </w:t>
            </w:r>
          </w:p>
        </w:tc>
        <w:tc>
          <w:tcPr>
            <w:tcW w:w="2322" w:type="dxa"/>
            <w:tcBorders>
              <w:top w:val="nil"/>
              <w:left w:val="nil"/>
              <w:bottom w:val="nil"/>
              <w:right w:val="nil"/>
            </w:tcBorders>
            <w:shd w:val="clear" w:color="auto" w:fill="auto"/>
            <w:noWrap/>
            <w:vAlign w:val="center"/>
          </w:tcPr>
          <w:p w14:paraId="5CD1B4EB">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19733.03 </w:t>
            </w:r>
          </w:p>
        </w:tc>
      </w:tr>
      <w:tr w14:paraId="51536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63CB444F">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W3C0</w:t>
            </w:r>
          </w:p>
        </w:tc>
        <w:tc>
          <w:tcPr>
            <w:tcW w:w="2320" w:type="dxa"/>
            <w:tcBorders>
              <w:top w:val="nil"/>
              <w:left w:val="nil"/>
              <w:bottom w:val="nil"/>
              <w:right w:val="nil"/>
            </w:tcBorders>
            <w:shd w:val="clear" w:color="auto" w:fill="auto"/>
            <w:noWrap/>
            <w:vAlign w:val="center"/>
          </w:tcPr>
          <w:p w14:paraId="62A76C05">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12.29 </w:t>
            </w:r>
          </w:p>
        </w:tc>
        <w:tc>
          <w:tcPr>
            <w:tcW w:w="2322" w:type="dxa"/>
            <w:tcBorders>
              <w:top w:val="nil"/>
              <w:left w:val="nil"/>
              <w:bottom w:val="nil"/>
              <w:right w:val="nil"/>
            </w:tcBorders>
            <w:shd w:val="clear" w:color="auto" w:fill="auto"/>
            <w:noWrap/>
            <w:vAlign w:val="center"/>
          </w:tcPr>
          <w:p w14:paraId="5496DF62">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22117.10 </w:t>
            </w:r>
          </w:p>
        </w:tc>
        <w:tc>
          <w:tcPr>
            <w:tcW w:w="2322" w:type="dxa"/>
            <w:tcBorders>
              <w:top w:val="nil"/>
              <w:left w:val="nil"/>
              <w:bottom w:val="nil"/>
              <w:right w:val="nil"/>
            </w:tcBorders>
            <w:shd w:val="clear" w:color="auto" w:fill="auto"/>
            <w:noWrap/>
            <w:vAlign w:val="center"/>
          </w:tcPr>
          <w:p w14:paraId="371F4109">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20274.40 </w:t>
            </w:r>
          </w:p>
        </w:tc>
      </w:tr>
      <w:tr w14:paraId="75DCD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05416FEF">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W4C0</w:t>
            </w:r>
          </w:p>
        </w:tc>
        <w:tc>
          <w:tcPr>
            <w:tcW w:w="2320" w:type="dxa"/>
            <w:tcBorders>
              <w:top w:val="nil"/>
              <w:left w:val="nil"/>
              <w:bottom w:val="nil"/>
              <w:right w:val="nil"/>
            </w:tcBorders>
            <w:shd w:val="clear" w:color="auto" w:fill="auto"/>
            <w:noWrap/>
            <w:vAlign w:val="center"/>
          </w:tcPr>
          <w:p w14:paraId="7312A164">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13.24 </w:t>
            </w:r>
          </w:p>
        </w:tc>
        <w:tc>
          <w:tcPr>
            <w:tcW w:w="2322" w:type="dxa"/>
            <w:tcBorders>
              <w:top w:val="nil"/>
              <w:left w:val="nil"/>
              <w:bottom w:val="nil"/>
              <w:right w:val="nil"/>
            </w:tcBorders>
            <w:shd w:val="clear" w:color="auto" w:fill="auto"/>
            <w:noWrap/>
            <w:vAlign w:val="center"/>
          </w:tcPr>
          <w:p w14:paraId="419DB3E5">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23840.37 </w:t>
            </w:r>
          </w:p>
        </w:tc>
        <w:tc>
          <w:tcPr>
            <w:tcW w:w="2322" w:type="dxa"/>
            <w:tcBorders>
              <w:top w:val="nil"/>
              <w:left w:val="nil"/>
              <w:bottom w:val="nil"/>
              <w:right w:val="nil"/>
            </w:tcBorders>
            <w:shd w:val="clear" w:color="auto" w:fill="auto"/>
            <w:noWrap/>
            <w:vAlign w:val="center"/>
          </w:tcPr>
          <w:p w14:paraId="3CC678E3">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21728.67 </w:t>
            </w:r>
          </w:p>
        </w:tc>
      </w:tr>
      <w:tr w14:paraId="1BEA2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4CD4E193">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W1C2</w:t>
            </w:r>
          </w:p>
        </w:tc>
        <w:tc>
          <w:tcPr>
            <w:tcW w:w="2320" w:type="dxa"/>
            <w:tcBorders>
              <w:top w:val="nil"/>
              <w:left w:val="nil"/>
              <w:bottom w:val="nil"/>
              <w:right w:val="nil"/>
            </w:tcBorders>
            <w:shd w:val="clear" w:color="auto" w:fill="auto"/>
            <w:noWrap/>
            <w:vAlign w:val="center"/>
          </w:tcPr>
          <w:p w14:paraId="4F756B14">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10.95 </w:t>
            </w:r>
          </w:p>
        </w:tc>
        <w:tc>
          <w:tcPr>
            <w:tcW w:w="2322" w:type="dxa"/>
            <w:tcBorders>
              <w:top w:val="nil"/>
              <w:left w:val="nil"/>
              <w:bottom w:val="nil"/>
              <w:right w:val="nil"/>
            </w:tcBorders>
            <w:shd w:val="clear" w:color="auto" w:fill="auto"/>
            <w:noWrap/>
            <w:vAlign w:val="center"/>
          </w:tcPr>
          <w:p w14:paraId="5FFAA521">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19702.96 </w:t>
            </w:r>
          </w:p>
        </w:tc>
        <w:tc>
          <w:tcPr>
            <w:tcW w:w="2322" w:type="dxa"/>
            <w:tcBorders>
              <w:top w:val="nil"/>
              <w:left w:val="nil"/>
              <w:bottom w:val="nil"/>
              <w:right w:val="nil"/>
            </w:tcBorders>
            <w:shd w:val="clear" w:color="auto" w:fill="auto"/>
            <w:noWrap/>
            <w:vAlign w:val="center"/>
          </w:tcPr>
          <w:p w14:paraId="1B66BB5D">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16198.26 </w:t>
            </w:r>
          </w:p>
        </w:tc>
      </w:tr>
      <w:tr w14:paraId="7EE29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390974BC">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W2C2</w:t>
            </w:r>
          </w:p>
        </w:tc>
        <w:tc>
          <w:tcPr>
            <w:tcW w:w="2320" w:type="dxa"/>
            <w:tcBorders>
              <w:top w:val="nil"/>
              <w:left w:val="nil"/>
              <w:bottom w:val="nil"/>
              <w:right w:val="nil"/>
            </w:tcBorders>
            <w:shd w:val="clear" w:color="auto" w:fill="auto"/>
            <w:noWrap/>
            <w:vAlign w:val="center"/>
          </w:tcPr>
          <w:p w14:paraId="40E51B49">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14.55 </w:t>
            </w:r>
          </w:p>
        </w:tc>
        <w:tc>
          <w:tcPr>
            <w:tcW w:w="2322" w:type="dxa"/>
            <w:tcBorders>
              <w:top w:val="nil"/>
              <w:left w:val="nil"/>
              <w:bottom w:val="nil"/>
              <w:right w:val="nil"/>
            </w:tcBorders>
            <w:shd w:val="clear" w:color="auto" w:fill="auto"/>
            <w:noWrap/>
            <w:vAlign w:val="center"/>
          </w:tcPr>
          <w:p w14:paraId="2A077865">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26196.63 </w:t>
            </w:r>
          </w:p>
        </w:tc>
        <w:tc>
          <w:tcPr>
            <w:tcW w:w="2322" w:type="dxa"/>
            <w:tcBorders>
              <w:top w:val="nil"/>
              <w:left w:val="nil"/>
              <w:bottom w:val="nil"/>
              <w:right w:val="nil"/>
            </w:tcBorders>
            <w:shd w:val="clear" w:color="auto" w:fill="auto"/>
            <w:noWrap/>
            <w:vAlign w:val="center"/>
          </w:tcPr>
          <w:p w14:paraId="33CBE6EF">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22422.93 </w:t>
            </w:r>
          </w:p>
        </w:tc>
      </w:tr>
      <w:tr w14:paraId="59756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nil"/>
              <w:right w:val="nil"/>
            </w:tcBorders>
            <w:shd w:val="clear" w:color="auto" w:fill="auto"/>
            <w:noWrap/>
            <w:vAlign w:val="center"/>
          </w:tcPr>
          <w:p w14:paraId="2523DAB6">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W3C2</w:t>
            </w:r>
          </w:p>
        </w:tc>
        <w:tc>
          <w:tcPr>
            <w:tcW w:w="2320" w:type="dxa"/>
            <w:tcBorders>
              <w:top w:val="nil"/>
              <w:left w:val="nil"/>
              <w:bottom w:val="nil"/>
              <w:right w:val="nil"/>
            </w:tcBorders>
            <w:shd w:val="clear" w:color="auto" w:fill="auto"/>
            <w:noWrap/>
            <w:vAlign w:val="center"/>
          </w:tcPr>
          <w:p w14:paraId="21ED10AE">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13.35 </w:t>
            </w:r>
          </w:p>
        </w:tc>
        <w:tc>
          <w:tcPr>
            <w:tcW w:w="2322" w:type="dxa"/>
            <w:tcBorders>
              <w:top w:val="nil"/>
              <w:left w:val="nil"/>
              <w:bottom w:val="nil"/>
              <w:right w:val="nil"/>
            </w:tcBorders>
            <w:shd w:val="clear" w:color="auto" w:fill="auto"/>
            <w:noWrap/>
            <w:vAlign w:val="center"/>
          </w:tcPr>
          <w:p w14:paraId="4C725EC7">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24028.72 </w:t>
            </w:r>
          </w:p>
        </w:tc>
        <w:tc>
          <w:tcPr>
            <w:tcW w:w="2322" w:type="dxa"/>
            <w:tcBorders>
              <w:top w:val="nil"/>
              <w:left w:val="nil"/>
              <w:bottom w:val="nil"/>
              <w:right w:val="nil"/>
            </w:tcBorders>
            <w:shd w:val="clear" w:color="auto" w:fill="auto"/>
            <w:noWrap/>
            <w:vAlign w:val="center"/>
          </w:tcPr>
          <w:p w14:paraId="5EAB5837">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19986.02 </w:t>
            </w:r>
          </w:p>
        </w:tc>
      </w:tr>
      <w:tr w14:paraId="75C4C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2320" w:type="dxa"/>
            <w:tcBorders>
              <w:top w:val="nil"/>
              <w:left w:val="nil"/>
              <w:bottom w:val="single" w:color="auto" w:sz="12" w:space="0"/>
              <w:right w:val="nil"/>
            </w:tcBorders>
            <w:shd w:val="clear" w:color="auto" w:fill="auto"/>
            <w:noWrap/>
            <w:vAlign w:val="center"/>
          </w:tcPr>
          <w:p w14:paraId="78985F67">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W4C2</w:t>
            </w:r>
          </w:p>
        </w:tc>
        <w:tc>
          <w:tcPr>
            <w:tcW w:w="2320" w:type="dxa"/>
            <w:tcBorders>
              <w:top w:val="nil"/>
              <w:left w:val="nil"/>
              <w:bottom w:val="single" w:color="auto" w:sz="12" w:space="0"/>
              <w:right w:val="nil"/>
            </w:tcBorders>
            <w:shd w:val="clear" w:color="auto" w:fill="auto"/>
            <w:noWrap/>
            <w:vAlign w:val="center"/>
          </w:tcPr>
          <w:p w14:paraId="42AE3547">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13.74 </w:t>
            </w:r>
          </w:p>
        </w:tc>
        <w:tc>
          <w:tcPr>
            <w:tcW w:w="2322" w:type="dxa"/>
            <w:tcBorders>
              <w:top w:val="nil"/>
              <w:left w:val="nil"/>
              <w:bottom w:val="single" w:color="auto" w:sz="12" w:space="0"/>
              <w:right w:val="nil"/>
            </w:tcBorders>
            <w:shd w:val="clear" w:color="auto" w:fill="auto"/>
            <w:noWrap/>
            <w:vAlign w:val="center"/>
          </w:tcPr>
          <w:p w14:paraId="0AE7393C">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24723.84 </w:t>
            </w:r>
          </w:p>
        </w:tc>
        <w:tc>
          <w:tcPr>
            <w:tcW w:w="2322" w:type="dxa"/>
            <w:tcBorders>
              <w:top w:val="nil"/>
              <w:left w:val="nil"/>
              <w:bottom w:val="single" w:color="auto" w:sz="12" w:space="0"/>
              <w:right w:val="nil"/>
            </w:tcBorders>
            <w:shd w:val="clear" w:color="auto" w:fill="auto"/>
            <w:noWrap/>
            <w:vAlign w:val="center"/>
          </w:tcPr>
          <w:p w14:paraId="45341DA0">
            <w:pPr>
              <w:keepNext w:val="0"/>
              <w:keepLines w:val="0"/>
              <w:pageBreakBefore w:val="0"/>
              <w:widowControl/>
              <w:suppressLineNumbers w:val="0"/>
              <w:shd w:val="clear"/>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 xml:space="preserve">20412.14 </w:t>
            </w:r>
          </w:p>
        </w:tc>
      </w:tr>
    </w:tbl>
    <w:p w14:paraId="4075D1DA">
      <w:pPr>
        <w:pStyle w:val="4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
          <w:color w:val="auto"/>
          <w:sz w:val="28"/>
          <w:szCs w:val="28"/>
          <w:lang w:val="en-US" w:eastAsia="zh-CN"/>
        </w:rPr>
      </w:pPr>
    </w:p>
    <w:p w14:paraId="79F1A185">
      <w:pPr>
        <w:pStyle w:val="46"/>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Times New Roman" w:hAnsi="宋体" w:eastAsia="宋体" w:cs="黑体"/>
          <w:b/>
          <w:bCs/>
          <w:kern w:val="2"/>
          <w:sz w:val="22"/>
          <w:szCs w:val="22"/>
          <w:lang w:val="en-US" w:eastAsia="zh-CN" w:bidi="ar-SA"/>
        </w:rPr>
      </w:pPr>
      <w:r>
        <w:rPr>
          <w:rFonts w:hint="eastAsia" w:ascii="Times New Roman" w:hAnsi="宋体" w:cs="黑体"/>
          <w:b/>
          <w:bCs/>
          <w:kern w:val="2"/>
          <w:sz w:val="22"/>
          <w:szCs w:val="22"/>
          <w:lang w:val="en-US" w:eastAsia="zh-CN" w:bidi="ar-SA"/>
        </w:rPr>
        <w:t xml:space="preserve">⑤ </w:t>
      </w:r>
      <w:r>
        <w:rPr>
          <w:rFonts w:hint="eastAsia" w:ascii="Times New Roman" w:hAnsi="宋体" w:eastAsia="宋体" w:cs="黑体"/>
          <w:b/>
          <w:bCs/>
          <w:kern w:val="2"/>
          <w:sz w:val="22"/>
          <w:szCs w:val="22"/>
          <w:lang w:val="en-US" w:eastAsia="zh-CN" w:bidi="ar-SA"/>
        </w:rPr>
        <w:t>对紫花苜蓿营养品质的影响</w:t>
      </w:r>
    </w:p>
    <w:p w14:paraId="46DD6434">
      <w:pPr>
        <w:spacing w:line="360" w:lineRule="auto"/>
        <w:ind w:firstLine="440" w:firstLineChars="200"/>
      </w:pPr>
      <w:r>
        <w:rPr>
          <w:rFonts w:hint="eastAsia" w:ascii="Times New Roman" w:hAnsi="Times New Roman" w:eastAsia="宋体" w:cs="Times New Roman"/>
          <w:sz w:val="22"/>
          <w:szCs w:val="20"/>
          <w:lang w:val="en-US" w:eastAsia="zh-CN"/>
        </w:rPr>
        <w:t>如图2所示，生物质炭施用对紫花苜蓿粗蛋白含量有显著影响</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。在同一灌溉梯度下，C2处理紫花苜蓿粗蛋白含量均较C0增加，且在W1灌溉梯度下，2025年紫花苜蓿C2处理较C0处理显著增加</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。在C0处理下，紫花苜蓿粗蛋白含量随灌溉量增加而增加，在W4处理达到峰值；在C2处理下，紫花苜蓿粗蛋白含量随灌溉量增加呈先增加后降低的趋势，在W2处理达到峰值。</w:t>
      </w:r>
    </w:p>
    <w:p w14:paraId="58C0CFBC">
      <w:pPr>
        <w:keepNext w:val="0"/>
        <w:keepLines w:val="0"/>
        <w:pageBreakBefore w:val="0"/>
        <w:widowControl w:val="0"/>
        <w:shd w:val="clear"/>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eastAsia="宋体" w:cs="Times New Roman"/>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u w:val="none"/>
          <w:lang w:val="en-US" w:eastAsia="zh-CN"/>
          <w14:textFill>
            <w14:solidFill>
              <w14:schemeClr w14:val="tx1"/>
            </w14:solidFill>
          </w14:textFill>
        </w:rPr>
        <w:drawing>
          <wp:inline distT="0" distB="0" distL="114300" distR="114300">
            <wp:extent cx="5706110" cy="2558415"/>
            <wp:effectExtent l="0" t="0" r="8890" b="1905"/>
            <wp:docPr id="64" name="图片 64" descr="蛋白灰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蛋白灰分"/>
                    <pic:cNvPicPr>
                      <a:picLocks noChangeAspect="1"/>
                    </pic:cNvPicPr>
                  </pic:nvPicPr>
                  <pic:blipFill>
                    <a:blip r:embed="rId7"/>
                    <a:srcRect b="50944"/>
                    <a:stretch>
                      <a:fillRect/>
                    </a:stretch>
                  </pic:blipFill>
                  <pic:spPr>
                    <a:xfrm>
                      <a:off x="0" y="0"/>
                      <a:ext cx="5706110" cy="2558415"/>
                    </a:xfrm>
                    <a:prstGeom prst="rect">
                      <a:avLst/>
                    </a:prstGeom>
                  </pic:spPr>
                </pic:pic>
              </a:graphicData>
            </a:graphic>
          </wp:inline>
        </w:drawing>
      </w:r>
    </w:p>
    <w:p w14:paraId="7DA61A99">
      <w:pPr>
        <w:spacing w:line="360" w:lineRule="auto"/>
        <w:jc w:val="center"/>
        <w:rPr>
          <w:rFonts w:hint="eastAsia" w:ascii="Times New Roman" w:hAnsi="Times New Roman" w:eastAsia="宋体" w:cs="Times New Roman"/>
          <w:b w:val="0"/>
          <w:bCs w:val="0"/>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eastAsia="仿宋"/>
          <w:sz w:val="22"/>
          <w:szCs w:val="22"/>
          <w:lang w:val="en-US" w:eastAsia="zh-CN"/>
        </w:rPr>
        <w:t>图</w:t>
      </w:r>
      <w:r>
        <w:rPr>
          <w:rFonts w:hint="eastAsia" w:ascii="Times New Roman" w:hAnsi="Times New Roman" w:eastAsia="仿宋"/>
          <w:sz w:val="22"/>
          <w:szCs w:val="22"/>
          <w:lang w:val="en-US" w:eastAsia="zh-CN"/>
        </w:rPr>
        <w:t>2</w:t>
      </w:r>
      <w:r>
        <w:rPr>
          <w:rFonts w:hint="default" w:ascii="Times New Roman" w:hAnsi="Times New Roman" w:eastAsia="仿宋"/>
          <w:sz w:val="22"/>
          <w:szCs w:val="22"/>
          <w:lang w:val="en-US" w:eastAsia="zh-CN"/>
        </w:rPr>
        <w:t xml:space="preserve"> 灌溉量与生物质炭施用对</w:t>
      </w:r>
      <w:r>
        <w:rPr>
          <w:rFonts w:hint="eastAsia" w:ascii="Times New Roman" w:hAnsi="Times New Roman" w:eastAsia="仿宋"/>
          <w:sz w:val="22"/>
          <w:szCs w:val="22"/>
          <w:lang w:val="en-US" w:eastAsia="zh-CN"/>
        </w:rPr>
        <w:t>紫花苜蓿粗灰分、粗蛋白</w:t>
      </w:r>
      <w:r>
        <w:rPr>
          <w:rFonts w:hint="default" w:ascii="Times New Roman" w:hAnsi="Times New Roman" w:eastAsia="仿宋"/>
          <w:sz w:val="22"/>
          <w:szCs w:val="22"/>
          <w:lang w:val="en-US" w:eastAsia="zh-CN"/>
        </w:rPr>
        <w:t>的影响</w:t>
      </w:r>
    </w:p>
    <w:p w14:paraId="060C20EC">
      <w:pPr>
        <w:spacing w:line="360" w:lineRule="auto"/>
        <w:ind w:firstLine="440" w:firstLineChars="200"/>
        <w:rPr>
          <w:rFonts w:hint="eastAsia"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由图3</w:t>
      </w:r>
      <w:r>
        <w:rPr>
          <w:rFonts w:hint="default" w:ascii="Times New Roman" w:hAnsi="Times New Roman" w:eastAsia="宋体" w:cs="Times New Roman"/>
          <w:sz w:val="22"/>
          <w:szCs w:val="20"/>
          <w:lang w:val="en-US" w:eastAsia="zh-CN"/>
        </w:rPr>
        <w:t>可知，</w:t>
      </w:r>
      <w:r>
        <w:rPr>
          <w:rFonts w:hint="eastAsia" w:ascii="Times New Roman" w:hAnsi="Times New Roman" w:eastAsia="宋体" w:cs="Times New Roman"/>
          <w:sz w:val="22"/>
          <w:szCs w:val="20"/>
          <w:lang w:val="en-US" w:eastAsia="zh-CN"/>
        </w:rPr>
        <w:t>灌溉量与生物质炭施用对紫花苜蓿相对饲喂价值有显著影响</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。在同一灌溉梯度下，C2处理紫花苜蓿相对饲喂价值均较C0增加。在W1灌溉梯度下，2025年C2处理紫花苜蓿相对饲喂价值较C0显著增加</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;在W2灌溉梯度下，2024年、2025年C2处理紫花苜蓿相对饲喂价值均较C0显著增加</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；在W3灌溉梯度下，2025年C2处理紫花苜蓿相对饲喂价值较C0极显著增加</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1</w:t>
      </w:r>
      <w:r>
        <w:rPr>
          <w:rFonts w:hint="default" w:ascii="Times New Roman" w:hAnsi="Times New Roman" w:eastAsia="宋体" w:cs="Times New Roman"/>
          <w:sz w:val="22"/>
          <w:szCs w:val="20"/>
          <w:lang w:val="en-US" w:eastAsia="zh-CN"/>
        </w:rPr>
        <w:t>）</w:t>
      </w:r>
      <w:r>
        <w:rPr>
          <w:rFonts w:hint="eastAsia" w:ascii="Times New Roman" w:hAnsi="Times New Roman" w:eastAsia="宋体" w:cs="Times New Roman"/>
          <w:sz w:val="22"/>
          <w:szCs w:val="20"/>
          <w:lang w:val="en-US" w:eastAsia="zh-CN"/>
        </w:rPr>
        <w:t>。在C0处理下，2025年W4灌溉梯度紫花苜蓿干物质采食率较W1、W2均显著增加</w:t>
      </w:r>
      <w:r>
        <w:rPr>
          <w:rFonts w:hint="default" w:ascii="Times New Roman" w:hAnsi="Times New Roman" w:eastAsia="宋体" w:cs="Times New Roman"/>
          <w:sz w:val="22"/>
          <w:szCs w:val="20"/>
          <w:lang w:val="en-US" w:eastAsia="zh-CN"/>
        </w:rPr>
        <w:t>（</w:t>
      </w:r>
      <w:r>
        <w:rPr>
          <w:rFonts w:hint="default"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w:t>
      </w:r>
      <w:r>
        <w:rPr>
          <w:rFonts w:hint="default" w:ascii="Times New Roman" w:hAnsi="Times New Roman" w:eastAsia="宋体" w:cs="Times New Roman"/>
          <w:sz w:val="22"/>
          <w:szCs w:val="20"/>
          <w:lang w:val="en-US" w:eastAsia="zh-CN"/>
        </w:rPr>
        <w:t>0.0</w:t>
      </w:r>
      <w:r>
        <w:rPr>
          <w:rFonts w:hint="eastAsia" w:ascii="Times New Roman" w:hAnsi="Times New Roman" w:eastAsia="宋体" w:cs="Times New Roman"/>
          <w:sz w:val="22"/>
          <w:szCs w:val="20"/>
          <w:lang w:val="en-US" w:eastAsia="zh-CN"/>
        </w:rPr>
        <w:t>5</w:t>
      </w:r>
      <w:r>
        <w:rPr>
          <w:rFonts w:hint="default" w:ascii="Times New Roman" w:hAnsi="Times New Roman" w:eastAsia="宋体" w:cs="Times New Roman"/>
          <w:sz w:val="22"/>
          <w:szCs w:val="20"/>
          <w:lang w:val="en-US" w:eastAsia="zh-CN"/>
        </w:rPr>
        <w:t>）。</w:t>
      </w:r>
    </w:p>
    <w:p w14:paraId="387C8D27">
      <w:pPr>
        <w:pStyle w:val="15"/>
        <w:keepNext w:val="0"/>
        <w:keepLines w:val="0"/>
        <w:pageBreakBefore w:val="0"/>
        <w:shd w:val="clear"/>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eastAsia="黑体"/>
          <w:color w:val="000000" w:themeColor="text1"/>
          <w:highlight w:val="none"/>
          <w:u w:val="none"/>
          <w:lang w:eastAsia="zh-CN"/>
          <w14:textFill>
            <w14:solidFill>
              <w14:schemeClr w14:val="tx1"/>
            </w14:solidFill>
          </w14:textFill>
        </w:rPr>
      </w:pPr>
      <w:r>
        <w:rPr>
          <w:rFonts w:hint="eastAsia" w:eastAsia="黑体"/>
          <w:color w:val="000000" w:themeColor="text1"/>
          <w:highlight w:val="none"/>
          <w:u w:val="none"/>
          <w:lang w:eastAsia="zh-CN"/>
          <w14:textFill>
            <w14:solidFill>
              <w14:schemeClr w14:val="tx1"/>
            </w14:solidFill>
          </w14:textFill>
        </w:rPr>
        <w:drawing>
          <wp:inline distT="0" distB="0" distL="114300" distR="114300">
            <wp:extent cx="5706110" cy="2590165"/>
            <wp:effectExtent l="0" t="0" r="8890" b="635"/>
            <wp:docPr id="69" name="图片 69" descr="饲喂价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饲喂价值"/>
                    <pic:cNvPicPr>
                      <a:picLocks noChangeAspect="1"/>
                    </pic:cNvPicPr>
                  </pic:nvPicPr>
                  <pic:blipFill>
                    <a:blip r:embed="rId8"/>
                    <a:stretch>
                      <a:fillRect/>
                    </a:stretch>
                  </pic:blipFill>
                  <pic:spPr>
                    <a:xfrm>
                      <a:off x="0" y="0"/>
                      <a:ext cx="5706110" cy="2590165"/>
                    </a:xfrm>
                    <a:prstGeom prst="rect">
                      <a:avLst/>
                    </a:prstGeom>
                  </pic:spPr>
                </pic:pic>
              </a:graphicData>
            </a:graphic>
          </wp:inline>
        </w:drawing>
      </w:r>
    </w:p>
    <w:p w14:paraId="7B14164B">
      <w:pPr>
        <w:spacing w:line="360" w:lineRule="auto"/>
        <w:jc w:val="center"/>
        <w:rPr>
          <w:rFonts w:hint="default" w:ascii="Times New Roman" w:hAnsi="Times New Roman" w:cs="Times New Roman"/>
          <w:bCs/>
          <w:color w:val="000000" w:themeColor="text1"/>
          <w:szCs w:val="21"/>
          <w:highlight w:val="none"/>
          <w:u w:val="none"/>
          <w:lang w:val="en-US" w:eastAsia="zh-CN"/>
          <w14:textFill>
            <w14:solidFill>
              <w14:schemeClr w14:val="tx1"/>
            </w14:solidFill>
          </w14:textFill>
        </w:rPr>
      </w:pPr>
      <w:r>
        <w:rPr>
          <w:rFonts w:hint="default" w:ascii="Times New Roman" w:hAnsi="Times New Roman" w:eastAsia="仿宋"/>
          <w:sz w:val="22"/>
          <w:szCs w:val="22"/>
          <w:lang w:val="en-US" w:eastAsia="zh-CN"/>
        </w:rPr>
        <w:t>图</w:t>
      </w:r>
      <w:r>
        <w:rPr>
          <w:rFonts w:hint="eastAsia" w:ascii="Times New Roman" w:hAnsi="Times New Roman" w:eastAsia="仿宋"/>
          <w:sz w:val="22"/>
          <w:szCs w:val="22"/>
          <w:lang w:val="en-US" w:eastAsia="zh-CN"/>
        </w:rPr>
        <w:t>3</w:t>
      </w:r>
      <w:r>
        <w:rPr>
          <w:rFonts w:hint="default" w:ascii="Times New Roman" w:hAnsi="Times New Roman" w:eastAsia="仿宋"/>
          <w:sz w:val="22"/>
          <w:szCs w:val="22"/>
          <w:lang w:val="en-US" w:eastAsia="zh-CN"/>
        </w:rPr>
        <w:t xml:space="preserve"> 灌溉量与生物质炭施用对紫花苜蓿</w:t>
      </w:r>
      <w:r>
        <w:rPr>
          <w:rFonts w:hint="eastAsia" w:ascii="Times New Roman" w:hAnsi="Times New Roman" w:eastAsia="仿宋"/>
          <w:sz w:val="22"/>
          <w:szCs w:val="22"/>
          <w:lang w:val="en-US" w:eastAsia="zh-CN"/>
        </w:rPr>
        <w:t>相对饲喂价值</w:t>
      </w:r>
      <w:r>
        <w:rPr>
          <w:rFonts w:hint="default" w:ascii="Times New Roman" w:hAnsi="Times New Roman" w:eastAsia="仿宋"/>
          <w:sz w:val="22"/>
          <w:szCs w:val="22"/>
          <w:lang w:val="en-US" w:eastAsia="zh-CN"/>
        </w:rPr>
        <w:t>的影响</w:t>
      </w:r>
    </w:p>
    <w:p w14:paraId="25C91A9E">
      <w:pPr>
        <w:keepNext w:val="0"/>
        <w:keepLines w:val="0"/>
        <w:pageBreakBefore w:val="0"/>
        <w:widowControl w:val="0"/>
        <w:kinsoku/>
        <w:wordWrap/>
        <w:overflowPunct/>
        <w:topLinePunct w:val="0"/>
        <w:autoSpaceDE/>
        <w:autoSpaceDN/>
        <w:bidi w:val="0"/>
        <w:adjustRightInd/>
        <w:snapToGrid/>
        <w:ind w:left="0" w:leftChars="0" w:firstLine="442" w:firstLineChars="200"/>
        <w:textAlignment w:val="auto"/>
        <w:rPr>
          <w:rFonts w:hint="eastAsia" w:ascii="仿宋" w:hAnsi="仿宋" w:eastAsia="仿宋"/>
          <w:b/>
          <w:bCs/>
          <w:sz w:val="28"/>
          <w:szCs w:val="28"/>
          <w:lang w:val="en-US" w:eastAsia="zh-CN"/>
        </w:rPr>
      </w:pPr>
      <w:r>
        <w:rPr>
          <w:rFonts w:hint="eastAsia" w:ascii="Times New Roman" w:hAnsi="宋体" w:eastAsia="宋体" w:cs="黑体"/>
          <w:b/>
          <w:bCs/>
          <w:kern w:val="2"/>
          <w:sz w:val="22"/>
          <w:szCs w:val="22"/>
          <w:lang w:val="en-US" w:eastAsia="zh-CN" w:bidi="ar-SA"/>
        </w:rPr>
        <w:t>⑥ 对紫花苜蓿地土壤的影响</w:t>
      </w:r>
    </w:p>
    <w:p w14:paraId="008CA529">
      <w:pPr>
        <w:spacing w:line="360" w:lineRule="auto"/>
        <w:ind w:firstLine="440" w:firstLineChars="200"/>
        <w:rPr>
          <w:rFonts w:hint="default"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由图4（a）可知，灌溉量与生物质炭施用对土壤有机碳有极显著性影响（</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&lt;0.01），与C0相比，2024年与2025年各灌溉水平下C2处理土壤有机碳均有所显著性提高（</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&lt;0.05）。2024年各生物质炭施用水平下，W1灌溉水平土壤有机碳均显著低于W2、W3、W4（</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&lt;0.05）。2025年C2处理下，W2灌溉水平土壤有机碳最佳且显著高于W1（</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w:t>
      </w:r>
    </w:p>
    <w:p w14:paraId="25A65AEC">
      <w:pPr>
        <w:spacing w:line="360" w:lineRule="auto"/>
        <w:ind w:firstLine="440" w:firstLineChars="200"/>
        <w:rPr>
          <w:rFonts w:hint="default" w:ascii="Times New Roman" w:hAnsi="Times New Roman" w:eastAsia="宋体" w:cs="Times New Roman"/>
          <w:sz w:val="22"/>
          <w:szCs w:val="20"/>
          <w:lang w:val="en-US" w:eastAsia="zh-CN"/>
        </w:rPr>
      </w:pPr>
      <w:r>
        <w:rPr>
          <w:rFonts w:hint="eastAsia" w:ascii="Times New Roman" w:hAnsi="Times New Roman" w:eastAsia="宋体" w:cs="Times New Roman"/>
          <w:sz w:val="22"/>
          <w:szCs w:val="20"/>
          <w:lang w:val="en-US" w:eastAsia="zh-CN"/>
        </w:rPr>
        <w:t>由图4（b）可知，灌溉量与生物质炭施用对土壤无机碳有显著性影响（</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&lt;0.05），与C0相比，2025年W4灌溉水平下C2处理土壤无机碳显著降低（</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&lt;0.05）。2025年C0处理下，W1、W2土壤无机碳显著高于W3、W4（</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&lt;0.05）；C2处理下，W4土壤无机碳显著低于其他灌溉处理（</w:t>
      </w:r>
      <w:r>
        <w:rPr>
          <w:rFonts w:hint="eastAsia" w:ascii="Times New Roman" w:hAnsi="Times New Roman" w:eastAsia="宋体" w:cs="Times New Roman"/>
          <w:i/>
          <w:iCs/>
          <w:sz w:val="22"/>
          <w:szCs w:val="20"/>
          <w:lang w:val="en-US" w:eastAsia="zh-CN"/>
        </w:rPr>
        <w:t>P</w:t>
      </w:r>
      <w:r>
        <w:rPr>
          <w:rFonts w:hint="eastAsia" w:ascii="Times New Roman" w:hAnsi="Times New Roman" w:eastAsia="宋体" w:cs="Times New Roman"/>
          <w:sz w:val="22"/>
          <w:szCs w:val="20"/>
          <w:lang w:val="en-US" w:eastAsia="zh-CN"/>
        </w:rPr>
        <w:t>&lt;0.05）。</w:t>
      </w:r>
    </w:p>
    <w:p w14:paraId="3A6BB323">
      <w:pPr>
        <w:pStyle w:val="15"/>
        <w:shd w:val="clear"/>
        <w:spacing w:line="240" w:lineRule="auto"/>
        <w:ind w:firstLine="0" w:firstLineChars="0"/>
        <w:outlineLvl w:val="9"/>
        <w:rPr>
          <w:rFonts w:hint="eastAsia" w:ascii="Times New Roman" w:hAnsi="Times New Roman" w:eastAsia="宋体" w:cs="Times New Roman"/>
          <w:color w:val="000000" w:themeColor="text1"/>
          <w:sz w:val="24"/>
          <w:highlight w:val="none"/>
          <w:u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u w:val="none"/>
          <w:lang w:val="en-US" w:eastAsia="zh-CN"/>
          <w14:textFill>
            <w14:solidFill>
              <w14:schemeClr w14:val="tx1"/>
            </w14:solidFill>
          </w14:textFill>
        </w:rPr>
        <w:drawing>
          <wp:inline distT="0" distB="0" distL="114300" distR="114300">
            <wp:extent cx="5706110" cy="5083810"/>
            <wp:effectExtent l="0" t="0" r="8890" b="6350"/>
            <wp:docPr id="7" name="图片 7" descr="有机无机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有机无机碳"/>
                    <pic:cNvPicPr>
                      <a:picLocks noChangeAspect="1"/>
                    </pic:cNvPicPr>
                  </pic:nvPicPr>
                  <pic:blipFill>
                    <a:blip r:embed="rId9"/>
                    <a:stretch>
                      <a:fillRect/>
                    </a:stretch>
                  </pic:blipFill>
                  <pic:spPr>
                    <a:xfrm>
                      <a:off x="0" y="0"/>
                      <a:ext cx="5706110" cy="5083810"/>
                    </a:xfrm>
                    <a:prstGeom prst="rect">
                      <a:avLst/>
                    </a:prstGeom>
                  </pic:spPr>
                </pic:pic>
              </a:graphicData>
            </a:graphic>
          </wp:inline>
        </w:drawing>
      </w:r>
    </w:p>
    <w:p w14:paraId="58491120">
      <w:pPr>
        <w:spacing w:line="360" w:lineRule="auto"/>
        <w:ind w:left="0" w:leftChars="0" w:firstLine="0" w:firstLineChars="0"/>
        <w:jc w:val="center"/>
        <w:rPr>
          <w:rFonts w:hint="eastAsia" w:ascii="Times New Roman" w:hAnsi="Times New Roman" w:eastAsia="仿宋"/>
          <w:b/>
          <w:bCs/>
          <w:sz w:val="28"/>
          <w:szCs w:val="28"/>
          <w:lang w:val="en-US" w:eastAsia="zh-CN"/>
        </w:rPr>
      </w:pPr>
      <w:r>
        <w:rPr>
          <w:rFonts w:hint="default" w:ascii="Times New Roman" w:hAnsi="Times New Roman" w:eastAsia="仿宋"/>
          <w:sz w:val="22"/>
          <w:szCs w:val="22"/>
          <w:lang w:val="en-US" w:eastAsia="zh-CN"/>
        </w:rPr>
        <w:t>图</w:t>
      </w:r>
      <w:r>
        <w:rPr>
          <w:rFonts w:hint="eastAsia" w:ascii="Times New Roman" w:hAnsi="Times New Roman" w:eastAsia="仿宋"/>
          <w:sz w:val="22"/>
          <w:szCs w:val="22"/>
          <w:lang w:val="en-US" w:eastAsia="zh-CN"/>
        </w:rPr>
        <w:t>4</w:t>
      </w:r>
      <w:r>
        <w:rPr>
          <w:rFonts w:hint="default" w:ascii="Times New Roman" w:hAnsi="Times New Roman" w:eastAsia="仿宋"/>
          <w:sz w:val="22"/>
          <w:szCs w:val="22"/>
          <w:lang w:val="en-US" w:eastAsia="zh-CN"/>
        </w:rPr>
        <w:t xml:space="preserve"> 灌溉量与生物质炭施用对土壤</w:t>
      </w:r>
      <w:r>
        <w:rPr>
          <w:rFonts w:hint="eastAsia" w:ascii="Times New Roman" w:hAnsi="Times New Roman" w:eastAsia="仿宋"/>
          <w:sz w:val="22"/>
          <w:szCs w:val="22"/>
          <w:lang w:val="en-US" w:eastAsia="zh-CN"/>
        </w:rPr>
        <w:t>有机碳、无机碳</w:t>
      </w:r>
      <w:r>
        <w:rPr>
          <w:rFonts w:hint="default" w:ascii="Times New Roman" w:hAnsi="Times New Roman" w:eastAsia="仿宋"/>
          <w:sz w:val="22"/>
          <w:szCs w:val="22"/>
          <w:lang w:val="en-US" w:eastAsia="zh-CN"/>
        </w:rPr>
        <w:t>的影响</w:t>
      </w:r>
    </w:p>
    <w:p w14:paraId="79BBEAAF">
      <w:pPr>
        <w:pStyle w:val="2"/>
        <w:spacing w:before="0" w:after="0"/>
        <w:rPr>
          <w:sz w:val="24"/>
          <w:szCs w:val="40"/>
        </w:rPr>
      </w:pPr>
      <w:bookmarkStart w:id="9" w:name="_Toc176547937"/>
      <w:r>
        <w:rPr>
          <w:rFonts w:hint="eastAsia"/>
          <w:sz w:val="24"/>
          <w:szCs w:val="40"/>
        </w:rPr>
        <w:t>四</w:t>
      </w:r>
      <w:r>
        <w:rPr>
          <w:sz w:val="24"/>
          <w:szCs w:val="40"/>
        </w:rPr>
        <w:t>、</w:t>
      </w:r>
      <w:r>
        <w:rPr>
          <w:rFonts w:hint="eastAsia"/>
          <w:sz w:val="24"/>
          <w:szCs w:val="40"/>
        </w:rPr>
        <w:t>采用的国际标准</w:t>
      </w:r>
      <w:bookmarkEnd w:id="9"/>
    </w:p>
    <w:p w14:paraId="3927399B">
      <w:pPr>
        <w:spacing w:line="360" w:lineRule="auto"/>
        <w:ind w:firstLine="482"/>
        <w:rPr>
          <w:color w:val="000000"/>
          <w:sz w:val="22"/>
          <w:szCs w:val="20"/>
        </w:rPr>
      </w:pPr>
      <w:r>
        <w:rPr>
          <w:color w:val="000000"/>
          <w:sz w:val="22"/>
          <w:szCs w:val="20"/>
        </w:rPr>
        <w:t>无。</w:t>
      </w:r>
    </w:p>
    <w:p w14:paraId="30D9B6DE">
      <w:pPr>
        <w:pStyle w:val="2"/>
        <w:spacing w:before="0" w:after="0"/>
        <w:rPr>
          <w:sz w:val="24"/>
          <w:szCs w:val="40"/>
        </w:rPr>
      </w:pPr>
      <w:bookmarkStart w:id="10" w:name="_Toc176547938"/>
      <w:r>
        <w:rPr>
          <w:rFonts w:hint="eastAsia"/>
          <w:sz w:val="24"/>
          <w:szCs w:val="40"/>
        </w:rPr>
        <w:t>五</w:t>
      </w:r>
      <w:r>
        <w:rPr>
          <w:sz w:val="24"/>
          <w:szCs w:val="40"/>
        </w:rPr>
        <w:t>、</w:t>
      </w:r>
      <w:r>
        <w:rPr>
          <w:rFonts w:hint="eastAsia"/>
          <w:sz w:val="24"/>
          <w:szCs w:val="40"/>
        </w:rPr>
        <w:t>与现行法律法规和强制性标准的关系</w:t>
      </w:r>
      <w:bookmarkEnd w:id="10"/>
    </w:p>
    <w:p w14:paraId="2B492809">
      <w:pPr>
        <w:spacing w:line="360" w:lineRule="auto"/>
        <w:ind w:firstLine="482"/>
        <w:rPr>
          <w:color w:val="000000"/>
          <w:sz w:val="22"/>
          <w:szCs w:val="20"/>
        </w:rPr>
      </w:pPr>
      <w:r>
        <w:rPr>
          <w:rFonts w:hint="eastAsia"/>
          <w:color w:val="000000"/>
          <w:sz w:val="22"/>
          <w:szCs w:val="20"/>
        </w:rPr>
        <w:t>本标准与现行法律法规和强制性标准的相关条例没有冲突。</w:t>
      </w:r>
    </w:p>
    <w:p w14:paraId="30919C64">
      <w:pPr>
        <w:pStyle w:val="2"/>
        <w:spacing w:before="0" w:after="0"/>
        <w:rPr>
          <w:sz w:val="24"/>
          <w:szCs w:val="40"/>
        </w:rPr>
      </w:pPr>
      <w:bookmarkStart w:id="11" w:name="_Toc176547939"/>
      <w:r>
        <w:rPr>
          <w:rFonts w:hint="eastAsia"/>
          <w:sz w:val="24"/>
          <w:szCs w:val="40"/>
        </w:rPr>
        <w:t>六</w:t>
      </w:r>
      <w:r>
        <w:rPr>
          <w:sz w:val="24"/>
          <w:szCs w:val="40"/>
        </w:rPr>
        <w:t>、</w:t>
      </w:r>
      <w:r>
        <w:rPr>
          <w:rFonts w:hint="eastAsia"/>
          <w:sz w:val="24"/>
          <w:szCs w:val="40"/>
        </w:rPr>
        <w:t>重大分歧意见的处理经过和依据</w:t>
      </w:r>
      <w:bookmarkEnd w:id="11"/>
    </w:p>
    <w:p w14:paraId="5D2967DE">
      <w:pPr>
        <w:spacing w:line="360" w:lineRule="auto"/>
        <w:ind w:firstLine="482"/>
        <w:rPr>
          <w:color w:val="000000"/>
          <w:sz w:val="22"/>
          <w:szCs w:val="20"/>
        </w:rPr>
      </w:pPr>
      <w:r>
        <w:rPr>
          <w:color w:val="000000"/>
          <w:sz w:val="22"/>
          <w:szCs w:val="20"/>
        </w:rPr>
        <w:t>无。</w:t>
      </w:r>
    </w:p>
    <w:p w14:paraId="18828AB0">
      <w:pPr>
        <w:pStyle w:val="2"/>
        <w:spacing w:before="0" w:after="0"/>
        <w:rPr>
          <w:rFonts w:hint="eastAsia"/>
          <w:sz w:val="24"/>
          <w:szCs w:val="40"/>
        </w:rPr>
      </w:pPr>
      <w:bookmarkStart w:id="12" w:name="_Toc176547940"/>
      <w:r>
        <w:rPr>
          <w:sz w:val="24"/>
          <w:szCs w:val="40"/>
        </w:rPr>
        <w:t>七、标准作为强制性或推荐性标准的意见</w:t>
      </w:r>
      <w:bookmarkEnd w:id="12"/>
    </w:p>
    <w:p w14:paraId="630F5003">
      <w:pPr>
        <w:spacing w:line="360" w:lineRule="auto"/>
        <w:ind w:firstLine="482"/>
        <w:rPr>
          <w:color w:val="000000"/>
          <w:sz w:val="22"/>
          <w:szCs w:val="20"/>
        </w:rPr>
      </w:pPr>
      <w:r>
        <w:rPr>
          <w:color w:val="000000"/>
          <w:sz w:val="22"/>
          <w:szCs w:val="20"/>
        </w:rPr>
        <w:t>建议将本标准作为推荐性标准发布实施，并加强标准的宣贯。</w:t>
      </w:r>
    </w:p>
    <w:p w14:paraId="5D7D6744">
      <w:pPr>
        <w:pStyle w:val="2"/>
        <w:spacing w:before="0" w:after="0"/>
        <w:rPr>
          <w:sz w:val="24"/>
          <w:szCs w:val="40"/>
        </w:rPr>
      </w:pPr>
      <w:bookmarkStart w:id="13" w:name="_Toc176547941"/>
      <w:r>
        <w:rPr>
          <w:sz w:val="24"/>
          <w:szCs w:val="40"/>
        </w:rPr>
        <w:t>八、贯彻标准的要求和措施建议</w:t>
      </w:r>
      <w:bookmarkEnd w:id="13"/>
    </w:p>
    <w:p w14:paraId="198DD66F">
      <w:pPr>
        <w:spacing w:line="360" w:lineRule="auto"/>
        <w:ind w:firstLine="482"/>
        <w:rPr>
          <w:color w:val="000000"/>
          <w:sz w:val="22"/>
          <w:szCs w:val="20"/>
        </w:rPr>
      </w:pPr>
      <w:r>
        <w:rPr>
          <w:rFonts w:hint="eastAsia"/>
          <w:sz w:val="22"/>
          <w:szCs w:val="20"/>
        </w:rPr>
        <w:t>参照其它标准</w:t>
      </w:r>
      <w:r>
        <w:rPr>
          <w:color w:val="000000"/>
          <w:sz w:val="22"/>
          <w:szCs w:val="20"/>
        </w:rPr>
        <w:t>。</w:t>
      </w:r>
    </w:p>
    <w:p w14:paraId="716810CD">
      <w:pPr>
        <w:pStyle w:val="2"/>
        <w:spacing w:before="0" w:after="0"/>
        <w:rPr>
          <w:sz w:val="24"/>
          <w:szCs w:val="40"/>
        </w:rPr>
      </w:pPr>
      <w:bookmarkStart w:id="14" w:name="_Toc176547942"/>
      <w:r>
        <w:rPr>
          <w:sz w:val="24"/>
          <w:szCs w:val="40"/>
        </w:rPr>
        <w:t>九、废止现行有关标准的建议</w:t>
      </w:r>
      <w:bookmarkEnd w:id="14"/>
    </w:p>
    <w:p w14:paraId="40597651">
      <w:pPr>
        <w:spacing w:before="156" w:beforeLines="50" w:line="360" w:lineRule="auto"/>
        <w:ind w:firstLine="482"/>
        <w:rPr>
          <w:color w:val="000000"/>
          <w:sz w:val="22"/>
          <w:szCs w:val="20"/>
        </w:rPr>
      </w:pPr>
      <w:r>
        <w:rPr>
          <w:color w:val="000000"/>
          <w:sz w:val="22"/>
          <w:szCs w:val="20"/>
        </w:rPr>
        <w:t>无。</w:t>
      </w:r>
    </w:p>
    <w:p w14:paraId="431CE65B">
      <w:pPr>
        <w:pStyle w:val="2"/>
        <w:spacing w:before="0" w:after="0"/>
        <w:rPr>
          <w:sz w:val="24"/>
          <w:szCs w:val="40"/>
        </w:rPr>
      </w:pPr>
      <w:bookmarkStart w:id="15" w:name="_Toc176547943"/>
      <w:r>
        <w:rPr>
          <w:sz w:val="24"/>
          <w:szCs w:val="40"/>
        </w:rPr>
        <w:t>十、其他应予说明的事项</w:t>
      </w:r>
      <w:bookmarkEnd w:id="15"/>
    </w:p>
    <w:p w14:paraId="46BDFE3C">
      <w:pPr>
        <w:spacing w:before="156" w:beforeLines="50" w:line="360" w:lineRule="auto"/>
        <w:ind w:firstLine="482"/>
        <w:rPr>
          <w:rFonts w:hint="eastAsia" w:ascii="宋体" w:hAnsi="宋体" w:cs="宋体"/>
          <w:b/>
          <w:bCs/>
          <w:sz w:val="24"/>
          <w:szCs w:val="24"/>
        </w:rPr>
      </w:pPr>
      <w:r>
        <w:rPr>
          <w:color w:val="000000"/>
          <w:sz w:val="22"/>
          <w:szCs w:val="20"/>
        </w:rPr>
        <w:t>无。</w:t>
      </w:r>
    </w:p>
    <w:bookmarkEnd w:id="1"/>
    <w:p w14:paraId="118F0DAF">
      <w:pPr>
        <w:pStyle w:val="2"/>
        <w:spacing w:before="0" w:after="0"/>
        <w:rPr>
          <w:color w:val="000000"/>
          <w:sz w:val="24"/>
        </w:rPr>
      </w:pPr>
    </w:p>
    <w:sectPr>
      <w:footerReference r:id="rId3" w:type="default"/>
      <w:footerReference r:id="rId4" w:type="even"/>
      <w:pgSz w:w="11906" w:h="16838"/>
      <w:pgMar w:top="1843" w:right="1558" w:bottom="1702"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1A48C">
    <w:pPr>
      <w:pStyle w:val="11"/>
      <w:jc w:val="center"/>
    </w:pPr>
    <w:r>
      <w:fldChar w:fldCharType="begin"/>
    </w:r>
    <w:r>
      <w:instrText xml:space="preserve"> PAGE   \* MERGEFORMAT </w:instrText>
    </w:r>
    <w:r>
      <w:fldChar w:fldCharType="separate"/>
    </w:r>
    <w:r>
      <w:rPr>
        <w:lang w:val="zh-CN"/>
      </w:rPr>
      <w:t>8</w:t>
    </w:r>
    <w:r>
      <w:rPr>
        <w:lang w:val="zh-CN"/>
      </w:rPr>
      <w:fldChar w:fldCharType="end"/>
    </w:r>
  </w:p>
  <w:p w14:paraId="59F259B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A38A">
    <w:pPr>
      <w:pStyle w:val="11"/>
      <w:framePr w:wrap="around" w:vAnchor="text" w:hAnchor="margin" w:xAlign="center" w:y="1"/>
      <w:rPr>
        <w:rStyle w:val="20"/>
      </w:rPr>
    </w:pPr>
    <w:r>
      <w:fldChar w:fldCharType="begin"/>
    </w:r>
    <w:r>
      <w:rPr>
        <w:rStyle w:val="20"/>
      </w:rPr>
      <w:instrText xml:space="preserve">PAGE  </w:instrText>
    </w:r>
    <w:r>
      <w:fldChar w:fldCharType="end"/>
    </w:r>
  </w:p>
  <w:p w14:paraId="08B3C798">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6E2920"/>
    <w:multiLevelType w:val="singleLevel"/>
    <w:tmpl w:val="DE6E2920"/>
    <w:lvl w:ilvl="0" w:tentative="0">
      <w:start w:val="1"/>
      <w:numFmt w:val="decimal"/>
      <w:suff w:val="nothing"/>
      <w:lvlText w:val="（%1）"/>
      <w:lvlJc w:val="left"/>
      <w:pPr>
        <w:ind w:left="480" w:firstLine="0"/>
      </w:pPr>
    </w:lvl>
  </w:abstractNum>
  <w:abstractNum w:abstractNumId="1">
    <w:nsid w:val="FA03B02E"/>
    <w:multiLevelType w:val="singleLevel"/>
    <w:tmpl w:val="FA03B02E"/>
    <w:lvl w:ilvl="0" w:tentative="0">
      <w:start w:val="1"/>
      <w:numFmt w:val="decimal"/>
      <w:suff w:val="nothing"/>
      <w:lvlText w:val="（%1）"/>
      <w:lvlJc w:val="left"/>
      <w:pPr>
        <w:ind w:left="48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7593"/>
    <w:rsid w:val="00384379"/>
    <w:rsid w:val="00395E51"/>
    <w:rsid w:val="00397219"/>
    <w:rsid w:val="003A467C"/>
    <w:rsid w:val="003A7FFA"/>
    <w:rsid w:val="003B4101"/>
    <w:rsid w:val="003B4925"/>
    <w:rsid w:val="003C0E69"/>
    <w:rsid w:val="003D5430"/>
    <w:rsid w:val="003E41F0"/>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50F46BC"/>
    <w:rsid w:val="0A0E7F26"/>
    <w:rsid w:val="0D7F514F"/>
    <w:rsid w:val="150E269C"/>
    <w:rsid w:val="166F5222"/>
    <w:rsid w:val="184A31E0"/>
    <w:rsid w:val="1E711A49"/>
    <w:rsid w:val="20A67D62"/>
    <w:rsid w:val="253E083A"/>
    <w:rsid w:val="2AA17567"/>
    <w:rsid w:val="2C8376D8"/>
    <w:rsid w:val="30A071CD"/>
    <w:rsid w:val="3100387E"/>
    <w:rsid w:val="31D67BED"/>
    <w:rsid w:val="32F41833"/>
    <w:rsid w:val="35D66C79"/>
    <w:rsid w:val="363F0E23"/>
    <w:rsid w:val="366F04F9"/>
    <w:rsid w:val="391F59BB"/>
    <w:rsid w:val="39707CB8"/>
    <w:rsid w:val="3EF33504"/>
    <w:rsid w:val="3F6C6725"/>
    <w:rsid w:val="43712A92"/>
    <w:rsid w:val="482C3F1D"/>
    <w:rsid w:val="4AD420FB"/>
    <w:rsid w:val="4D9E3FA3"/>
    <w:rsid w:val="4E193658"/>
    <w:rsid w:val="52BD4306"/>
    <w:rsid w:val="52C935E2"/>
    <w:rsid w:val="5420452F"/>
    <w:rsid w:val="560D45D3"/>
    <w:rsid w:val="566B0DDA"/>
    <w:rsid w:val="5B5B0FE0"/>
    <w:rsid w:val="5BC14BBB"/>
    <w:rsid w:val="5C9D7268"/>
    <w:rsid w:val="5F97769F"/>
    <w:rsid w:val="615A37DE"/>
    <w:rsid w:val="633A0287"/>
    <w:rsid w:val="63B36E26"/>
    <w:rsid w:val="64B659E6"/>
    <w:rsid w:val="66AA38F8"/>
    <w:rsid w:val="694960C1"/>
    <w:rsid w:val="69F152C0"/>
    <w:rsid w:val="6B6A0488"/>
    <w:rsid w:val="6D2A1A28"/>
    <w:rsid w:val="6E253618"/>
    <w:rsid w:val="6F9E5BF8"/>
    <w:rsid w:val="724431C6"/>
    <w:rsid w:val="73CE5A0F"/>
    <w:rsid w:val="75DA01C3"/>
    <w:rsid w:val="77785FC7"/>
    <w:rsid w:val="78EC706A"/>
    <w:rsid w:val="79534C4C"/>
    <w:rsid w:val="7A652E89"/>
    <w:rsid w:val="7DC0487A"/>
    <w:rsid w:val="7EE30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1"/>
    <w:qFormat/>
    <w:uiPriority w:val="9"/>
    <w:pPr>
      <w:keepNext/>
      <w:keepLines/>
      <w:spacing w:before="240" w:after="240" w:line="360" w:lineRule="auto"/>
      <w:outlineLvl w:val="0"/>
    </w:pPr>
    <w:rPr>
      <w:b/>
      <w:bCs/>
      <w:kern w:val="44"/>
      <w:sz w:val="28"/>
      <w:szCs w:val="44"/>
    </w:rPr>
  </w:style>
  <w:style w:type="paragraph" w:styleId="3">
    <w:name w:val="heading 2"/>
    <w:basedOn w:val="1"/>
    <w:next w:val="1"/>
    <w:link w:val="22"/>
    <w:qFormat/>
    <w:uiPriority w:val="9"/>
    <w:pPr>
      <w:keepNext/>
      <w:keepLines/>
      <w:spacing w:before="240" w:after="240" w:line="360" w:lineRule="auto"/>
      <w:outlineLvl w:val="1"/>
    </w:pPr>
    <w:rPr>
      <w:rFonts w:ascii="等线 Light" w:hAnsi="等线 Light" w:eastAsia="黑体"/>
      <w:bCs/>
      <w:sz w:val="24"/>
      <w:szCs w:val="32"/>
    </w:rPr>
  </w:style>
  <w:style w:type="paragraph" w:styleId="4">
    <w:name w:val="heading 3"/>
    <w:basedOn w:val="1"/>
    <w:next w:val="1"/>
    <w:link w:val="43"/>
    <w:unhideWhenUsed/>
    <w:qFormat/>
    <w:uiPriority w:val="9"/>
    <w:pPr>
      <w:keepNext/>
      <w:keepLines/>
      <w:spacing w:line="360" w:lineRule="auto"/>
      <w:outlineLvl w:val="2"/>
    </w:pPr>
    <w:rPr>
      <w:b/>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等线 Light" w:hAnsi="等线 Light" w:eastAsia="黑体"/>
      <w:sz w:val="20"/>
      <w:szCs w:val="20"/>
    </w:rPr>
  </w:style>
  <w:style w:type="paragraph" w:styleId="6">
    <w:name w:val="Body Text Indent"/>
    <w:basedOn w:val="1"/>
    <w:unhideWhenUsed/>
    <w:qFormat/>
    <w:uiPriority w:val="99"/>
    <w:pPr>
      <w:spacing w:after="120"/>
      <w:ind w:left="420" w:leftChars="200"/>
    </w:pPr>
  </w:style>
  <w:style w:type="paragraph" w:styleId="7">
    <w:name w:val="toc 3"/>
    <w:basedOn w:val="1"/>
    <w:next w:val="1"/>
    <w:autoRedefine/>
    <w:unhideWhenUsed/>
    <w:qFormat/>
    <w:uiPriority w:val="39"/>
    <w:pPr>
      <w:ind w:left="840" w:leftChars="400"/>
    </w:pPr>
  </w:style>
  <w:style w:type="paragraph" w:styleId="8">
    <w:name w:val="Plain Text"/>
    <w:basedOn w:val="1"/>
    <w:qFormat/>
    <w:uiPriority w:val="99"/>
    <w:rPr>
      <w:rFonts w:ascii="宋体" w:hAnsi="Courier New" w:cs="宋体"/>
    </w:rPr>
  </w:style>
  <w:style w:type="paragraph" w:styleId="9">
    <w:name w:val="Date"/>
    <w:basedOn w:val="1"/>
    <w:next w:val="1"/>
    <w:link w:val="23"/>
    <w:qFormat/>
    <w:uiPriority w:val="0"/>
    <w:pPr>
      <w:ind w:left="100" w:leftChars="2500"/>
    </w:pPr>
    <w:rPr>
      <w:szCs w:val="24"/>
    </w:rPr>
  </w:style>
  <w:style w:type="paragraph" w:styleId="10">
    <w:name w:val="Balloon Text"/>
    <w:basedOn w:val="1"/>
    <w:link w:val="24"/>
    <w:unhideWhenUsed/>
    <w:qFormat/>
    <w:uiPriority w:val="0"/>
    <w:rPr>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6"/>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tabs>
        <w:tab w:val="right" w:leader="dot" w:pos="8538"/>
      </w:tabs>
      <w:spacing w:line="360" w:lineRule="auto"/>
    </w:pPr>
  </w:style>
  <w:style w:type="paragraph" w:styleId="14">
    <w:name w:val="toc 2"/>
    <w:basedOn w:val="1"/>
    <w:next w:val="1"/>
    <w:autoRedefine/>
    <w:unhideWhenUsed/>
    <w:qFormat/>
    <w:uiPriority w:val="39"/>
    <w:pPr>
      <w:ind w:left="420" w:leftChars="200"/>
    </w:pPr>
  </w:style>
  <w:style w:type="paragraph" w:styleId="15">
    <w:name w:val="Body Text First Indent 2"/>
    <w:basedOn w:val="6"/>
    <w:qFormat/>
    <w:uiPriority w:val="0"/>
    <w:pPr>
      <w:spacing w:after="0"/>
      <w:ind w:left="0" w:leftChars="0" w:firstLine="420" w:firstLineChars="200"/>
    </w:pPr>
    <w:rPr>
      <w:rFonts w:eastAsia="黑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qFormat/>
    <w:uiPriority w:val="0"/>
  </w:style>
  <w:style w:type="character" w:styleId="21">
    <w:name w:val="Hyperlink"/>
    <w:unhideWhenUsed/>
    <w:qFormat/>
    <w:uiPriority w:val="99"/>
    <w:rPr>
      <w:color w:val="0563C1"/>
      <w:u w:val="single"/>
    </w:rPr>
  </w:style>
  <w:style w:type="character" w:customStyle="1" w:styleId="22">
    <w:name w:val="标题 2 字符"/>
    <w:link w:val="3"/>
    <w:qFormat/>
    <w:uiPriority w:val="9"/>
    <w:rPr>
      <w:rFonts w:ascii="等线 Light" w:hAnsi="等线 Light" w:eastAsia="黑体"/>
      <w:bCs/>
      <w:kern w:val="2"/>
      <w:sz w:val="24"/>
      <w:szCs w:val="32"/>
    </w:rPr>
  </w:style>
  <w:style w:type="character" w:customStyle="1" w:styleId="23">
    <w:name w:val="日期 字符"/>
    <w:link w:val="9"/>
    <w:qFormat/>
    <w:uiPriority w:val="0"/>
    <w:rPr>
      <w:rFonts w:ascii="Times New Roman" w:hAnsi="Times New Roman" w:eastAsia="宋体" w:cs="Times New Roman"/>
      <w:kern w:val="2"/>
      <w:sz w:val="21"/>
      <w:szCs w:val="24"/>
    </w:rPr>
  </w:style>
  <w:style w:type="character" w:customStyle="1" w:styleId="24">
    <w:name w:val="批注框文本 字符"/>
    <w:link w:val="10"/>
    <w:semiHidden/>
    <w:qFormat/>
    <w:uiPriority w:val="99"/>
    <w:rPr>
      <w:rFonts w:ascii="Times New Roman" w:hAnsi="Times New Roman" w:eastAsia="宋体" w:cs="Times New Roman"/>
      <w:kern w:val="2"/>
      <w:sz w:val="18"/>
      <w:szCs w:val="18"/>
    </w:rPr>
  </w:style>
  <w:style w:type="character" w:customStyle="1" w:styleId="25">
    <w:name w:val="页脚 字符"/>
    <w:link w:val="11"/>
    <w:qFormat/>
    <w:uiPriority w:val="99"/>
    <w:rPr>
      <w:rFonts w:ascii="Times New Roman" w:hAnsi="Times New Roman" w:eastAsia="宋体" w:cs="Times New Roman"/>
      <w:sz w:val="18"/>
      <w:szCs w:val="18"/>
    </w:rPr>
  </w:style>
  <w:style w:type="character" w:customStyle="1" w:styleId="26">
    <w:name w:val="页眉 字符"/>
    <w:link w:val="12"/>
    <w:qFormat/>
    <w:uiPriority w:val="0"/>
    <w:rPr>
      <w:rFonts w:ascii="Times New Roman" w:hAnsi="Times New Roman" w:eastAsia="宋体" w:cs="Times New Roman"/>
      <w:sz w:val="18"/>
      <w:szCs w:val="18"/>
    </w:rPr>
  </w:style>
  <w:style w:type="character" w:customStyle="1" w:styleId="27">
    <w:name w:val="fontstyle01"/>
    <w:qFormat/>
    <w:uiPriority w:val="0"/>
    <w:rPr>
      <w:rFonts w:hint="eastAsia" w:ascii="黑体" w:hAnsi="黑体" w:eastAsia="黑体"/>
      <w:color w:val="000000"/>
      <w:sz w:val="32"/>
      <w:szCs w:val="32"/>
    </w:rPr>
  </w:style>
  <w:style w:type="character" w:customStyle="1" w:styleId="28">
    <w:name w:val="未处理的提及1"/>
    <w:unhideWhenUsed/>
    <w:qFormat/>
    <w:uiPriority w:val="99"/>
    <w:rPr>
      <w:color w:val="605E5C"/>
      <w:shd w:val="clear" w:color="auto" w:fill="E1DFDD"/>
    </w:rPr>
  </w:style>
  <w:style w:type="character" w:customStyle="1" w:styleId="29">
    <w:name w:val="段 Char"/>
    <w:link w:val="30"/>
    <w:qFormat/>
    <w:uiPriority w:val="0"/>
    <w:rPr>
      <w:rFonts w:ascii="宋体" w:hAnsi="Times New Roman" w:eastAsia="宋体" w:cs="Times New Roman"/>
      <w:kern w:val="0"/>
      <w:szCs w:val="20"/>
    </w:rPr>
  </w:style>
  <w:style w:type="paragraph" w:customStyle="1" w:styleId="30">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1">
    <w:name w:val="fontstyle11"/>
    <w:qFormat/>
    <w:uiPriority w:val="0"/>
    <w:rPr>
      <w:rFonts w:hint="default" w:ascii="TimesNewRomanPSMT" w:hAnsi="TimesNewRomanPSMT"/>
      <w:color w:val="000000"/>
      <w:sz w:val="22"/>
      <w:szCs w:val="22"/>
    </w:rPr>
  </w:style>
  <w:style w:type="character" w:customStyle="1" w:styleId="32">
    <w:name w:val="apple-style-span"/>
    <w:semiHidden/>
    <w:qFormat/>
    <w:uiPriority w:val="0"/>
  </w:style>
  <w:style w:type="paragraph" w:styleId="33">
    <w:name w:val="List Paragraph"/>
    <w:basedOn w:val="1"/>
    <w:qFormat/>
    <w:uiPriority w:val="99"/>
    <w:pPr>
      <w:ind w:firstLine="420" w:firstLineChars="200"/>
    </w:pPr>
  </w:style>
  <w:style w:type="paragraph" w:customStyle="1" w:styleId="34">
    <w:name w:val="Char1 Char Char Char Char Char Char Char Char Char"/>
    <w:basedOn w:val="1"/>
    <w:qFormat/>
    <w:uiPriority w:val="0"/>
    <w:pPr>
      <w:spacing w:line="360" w:lineRule="auto"/>
    </w:pPr>
    <w:rPr>
      <w:rFonts w:ascii="Tahoma" w:hAnsi="Tahoma"/>
      <w:sz w:val="24"/>
      <w:szCs w:val="20"/>
    </w:rPr>
  </w:style>
  <w:style w:type="paragraph" w:customStyle="1" w:styleId="35">
    <w:name w:val="图标标题"/>
    <w:basedOn w:val="5"/>
    <w:qFormat/>
    <w:uiPriority w:val="0"/>
    <w:pPr>
      <w:jc w:val="center"/>
    </w:pPr>
    <w:rPr>
      <w:sz w:val="21"/>
    </w:rPr>
  </w:style>
  <w:style w:type="paragraph" w:customStyle="1" w:styleId="36">
    <w:name w:val="修订1"/>
    <w:unhideWhenUsed/>
    <w:qFormat/>
    <w:uiPriority w:val="99"/>
    <w:rPr>
      <w:rFonts w:ascii="Times New Roman" w:hAnsi="Times New Roman" w:eastAsia="宋体" w:cs="Times New Roman"/>
      <w:kern w:val="2"/>
      <w:sz w:val="21"/>
      <w:szCs w:val="21"/>
      <w:lang w:val="en-US" w:eastAsia="zh-CN" w:bidi="ar-SA"/>
    </w:rPr>
  </w:style>
  <w:style w:type="paragraph" w:customStyle="1" w:styleId="37">
    <w:name w:val="EndNote Bibliography"/>
    <w:basedOn w:val="1"/>
    <w:link w:val="38"/>
    <w:qFormat/>
    <w:uiPriority w:val="0"/>
    <w:rPr>
      <w:rFonts w:eastAsia="等线"/>
      <w:sz w:val="20"/>
      <w:szCs w:val="22"/>
    </w:rPr>
  </w:style>
  <w:style w:type="character" w:customStyle="1" w:styleId="38">
    <w:name w:val="EndNote Bibliography 字符"/>
    <w:link w:val="37"/>
    <w:qFormat/>
    <w:uiPriority w:val="0"/>
    <w:rPr>
      <w:rFonts w:eastAsia="等线"/>
      <w:kern w:val="2"/>
      <w:szCs w:val="22"/>
    </w:rPr>
  </w:style>
  <w:style w:type="paragraph" w:customStyle="1" w:styleId="39">
    <w:name w:val="EndNote Bibliography Title"/>
    <w:basedOn w:val="1"/>
    <w:link w:val="40"/>
    <w:qFormat/>
    <w:uiPriority w:val="0"/>
    <w:pPr>
      <w:jc w:val="center"/>
    </w:pPr>
    <w:rPr>
      <w:sz w:val="20"/>
    </w:rPr>
  </w:style>
  <w:style w:type="character" w:customStyle="1" w:styleId="40">
    <w:name w:val="EndNote Bibliography Title 字符"/>
    <w:link w:val="39"/>
    <w:qFormat/>
    <w:uiPriority w:val="0"/>
    <w:rPr>
      <w:kern w:val="2"/>
      <w:szCs w:val="21"/>
      <w:lang w:val="en-US" w:eastAsia="zh-CN"/>
    </w:rPr>
  </w:style>
  <w:style w:type="character" w:customStyle="1" w:styleId="41">
    <w:name w:val="标题 1 字符"/>
    <w:link w:val="2"/>
    <w:qFormat/>
    <w:uiPriority w:val="9"/>
    <w:rPr>
      <w:b/>
      <w:bCs/>
      <w:kern w:val="44"/>
      <w:sz w:val="28"/>
      <w:szCs w:val="44"/>
    </w:rPr>
  </w:style>
  <w:style w:type="paragraph" w:customStyle="1" w:styleId="42">
    <w:name w:val="TOC 标题1"/>
    <w:basedOn w:val="2"/>
    <w:next w:val="1"/>
    <w:unhideWhenUsed/>
    <w:qFormat/>
    <w:uiPriority w:val="39"/>
    <w:pPr>
      <w:widowControl/>
      <w:spacing w:after="0" w:line="259" w:lineRule="auto"/>
      <w:jc w:val="left"/>
      <w:outlineLvl w:val="9"/>
    </w:pPr>
    <w:rPr>
      <w:rFonts w:ascii="等线 Light" w:hAnsi="等线 Light" w:eastAsia="等线 Light"/>
      <w:b w:val="0"/>
      <w:bCs w:val="0"/>
      <w:color w:val="2F5496"/>
      <w:kern w:val="0"/>
      <w:sz w:val="32"/>
      <w:szCs w:val="32"/>
    </w:rPr>
  </w:style>
  <w:style w:type="character" w:customStyle="1" w:styleId="43">
    <w:name w:val="标题 3 字符"/>
    <w:link w:val="4"/>
    <w:qFormat/>
    <w:uiPriority w:val="9"/>
    <w:rPr>
      <w:b/>
      <w:bCs/>
      <w:kern w:val="2"/>
      <w:sz w:val="24"/>
      <w:szCs w:val="32"/>
    </w:rPr>
  </w:style>
  <w:style w:type="character" w:customStyle="1" w:styleId="44">
    <w:name w:val="标准文件_段 Char"/>
    <w:link w:val="45"/>
    <w:qFormat/>
    <w:locked/>
    <w:uiPriority w:val="0"/>
    <w:rPr>
      <w:rFonts w:ascii="宋体"/>
      <w:sz w:val="21"/>
    </w:rPr>
  </w:style>
  <w:style w:type="paragraph" w:customStyle="1" w:styleId="45">
    <w:name w:val="标准文件_段"/>
    <w:link w:val="4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_Style 1"/>
    <w:autoRedefine/>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13</Pages>
  <Words>4951</Words>
  <Characters>5728</Characters>
  <Lines>38</Lines>
  <Paragraphs>10</Paragraphs>
  <TotalTime>1</TotalTime>
  <ScaleCrop>false</ScaleCrop>
  <LinksUpToDate>false</LinksUpToDate>
  <CharactersWithSpaces>5858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2025-12-17T06:59:00Z</dcterms:created>
  <dc:creator>win10</dc:creator>
  <cp:lastModifiedBy>二壮</cp:lastModifiedBy>
  <cp:lastPrinted>2021-10-27T07:09:00Z</cp:lastPrinted>
  <dcterms:modified xsi:type="dcterms:W3CDTF">2026-05-14T16:25:27Z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4C611E330B6D48F69A3EFD74199B5449_13</vt:lpwstr>
  </property>
  <property fmtid="{D5CDD505-2E9C-101B-9397-08002B2CF9AE}" pid="4" name="KSOTemplateDocerSaveRecord">
    <vt:lpwstr>eyJoZGlkIjoiNDU2Y2JjOGM3OTlmNzc3NGQ1YmUwZWQ1MzE5NzRmNTkiLCJ1c2VySWQiOiIxMTY5ODczMjAzIn0=</vt:lpwstr>
  </property>
</Properties>
</file>