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X="1"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11"/>
        <w:gridCol w:w="8095"/>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611" w:type="dxa"/>
          </w:tcPr>
          <w:p w14:paraId="21F563A4">
            <w:pPr>
              <w:pStyle w:val="19"/>
              <w:framePr w:hSpace="0" w:wrap="auto" w:vAnchor="margin" w:hAnchor="text" w:yAlign="inline"/>
              <w:rPr>
                <w:rFonts w:hint="default" w:eastAsia="黑体"/>
                <w:highlight w:val="none"/>
                <w:lang w:val="en-US" w:eastAsia="zh-CN"/>
              </w:rPr>
            </w:pPr>
            <w:r>
              <w:rPr>
                <w:highlight w:val="none"/>
              </w:rPr>
              <w:t>ICS</w:t>
            </w:r>
            <w:r>
              <w:rPr>
                <w:rFonts w:hint="eastAsia"/>
                <w:highlight w:val="none"/>
              </w:rPr>
              <w:t xml:space="preserve"> 65.020</w:t>
            </w:r>
            <w:r>
              <w:rPr>
                <w:rFonts w:hint="eastAsia"/>
                <w:highlight w:val="none"/>
                <w:lang w:val="en-US" w:eastAsia="zh-CN"/>
              </w:rPr>
              <w:t>.20</w:t>
            </w:r>
          </w:p>
        </w:tc>
        <w:tc>
          <w:tcPr>
            <w:tcW w:w="8095"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611" w:type="dxa"/>
          </w:tcPr>
          <w:p w14:paraId="11E21A9E">
            <w:pPr>
              <w:pStyle w:val="19"/>
              <w:framePr w:hSpace="0" w:wrap="auto" w:vAnchor="margin" w:hAnchor="text" w:yAlign="inline"/>
              <w:rPr>
                <w:rFonts w:hint="eastAsia"/>
                <w:highlight w:val="none"/>
              </w:rPr>
            </w:pPr>
            <w:r>
              <w:rPr>
                <w:highlight w:val="none"/>
              </w:rPr>
              <w:t>CCS</w:t>
            </w:r>
            <w:r>
              <w:rPr>
                <w:rFonts w:hint="eastAsia"/>
                <w:highlight w:val="none"/>
              </w:rPr>
              <w:t xml:space="preserve"> B </w:t>
            </w:r>
            <w:r>
              <w:rPr>
                <w:rFonts w:hint="eastAsia"/>
                <w:highlight w:val="none"/>
                <w:lang w:val="en-US" w:eastAsia="zh-CN"/>
              </w:rPr>
              <w:t>0</w:t>
            </w:r>
            <w:r>
              <w:rPr>
                <w:rFonts w:hint="eastAsia"/>
                <w:highlight w:val="none"/>
              </w:rPr>
              <w:t>5</w:t>
            </w:r>
          </w:p>
        </w:tc>
        <w:tc>
          <w:tcPr>
            <w:tcW w:w="8095"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23DAAB">
                  <w:pPr>
                    <w:pStyle w:val="53"/>
                    <w:framePr w:hSpace="0" w:wrap="auto" w:vAnchor="margin" w:hAnchor="text" w:yAlign="inline"/>
                    <w:ind w:right="2184" w:rightChars="1040"/>
                    <w:rPr>
                      <w:rFonts w:hint="eastAsia"/>
                    </w:rPr>
                  </w:pPr>
                  <w:r>
                    <w:rPr>
                      <w:rFonts w:cs="Times New Roman"/>
                    </w:rPr>
                    <w:t>T</w:t>
                  </w:r>
                  <w:r>
                    <w:rPr>
                      <w:rFonts w:hint="eastAsia" w:cs="Times New Roman"/>
                    </w:rPr>
                    <w:t xml:space="preserve"> </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18EEB3B7">
      <w:pPr>
        <w:pStyle w:val="201"/>
        <w:framePr w:h="6974" w:hRule="exact" w:wrap="around" w:x="1419" w:anchorLock="1"/>
        <w:spacing w:before="120" w:after="120"/>
        <w:rPr>
          <w:rFonts w:hint="eastAsia"/>
        </w:rPr>
      </w:pPr>
      <w:r>
        <w:rPr>
          <w:rFonts w:hint="eastAsia" w:ascii="黑体" w:hAnsi="黑体" w:eastAsia="黑体" w:cs="Times New Roman"/>
          <w:bCs/>
          <w:sz w:val="52"/>
          <w:lang w:val="en-US" w:eastAsia="zh-CN" w:bidi="ar-SA"/>
        </w:rPr>
        <w:t>干旱半干旱区紫花苜蓿节水灌溉与生物质炭施用技术规范</w:t>
      </w:r>
    </w:p>
    <w:p w14:paraId="4271B0C2">
      <w:pPr>
        <w:pStyle w:val="199"/>
        <w:framePr w:x="1601" w:y="3445"/>
        <w:rPr>
          <w:rFonts w:hint="eastAsia"/>
        </w:rPr>
      </w:pPr>
      <w:r>
        <w:rPr>
          <w:rFonts w:hint="eastAsia"/>
        </w:rPr>
        <w:t>T/HXCY XXX—2025</w:t>
      </w:r>
    </w:p>
    <w:p w14:paraId="6839A1F8"/>
    <w:p w14:paraId="3E858AF7">
      <w:pPr>
        <w:pStyle w:val="129"/>
        <w:framePr w:w="9639" w:h="6134" w:hRule="exact" w:wrap="around" w:vAnchor="page" w:hAnchor="page" w:x="1498" w:y="8412" w:anchorLock="1"/>
        <w:spacing w:before="240" w:beforeLines="100"/>
        <w:textAlignment w:val="bottom"/>
        <w:rPr>
          <w:rFonts w:ascii="Times New Roman" w:hAnsi="Times New Roman" w:eastAsia="宋体" w:cs="Times New Roman"/>
        </w:rPr>
      </w:pPr>
      <w:r>
        <w:rPr>
          <w:rFonts w:hint="eastAsia" w:ascii="Times New Roman" w:hAnsi="Times New Roman" w:eastAsia="宋体" w:cs="Times New Roman"/>
          <w:lang w:val="en-US" w:eastAsia="zh-CN"/>
        </w:rPr>
        <w:t>Technical specification for water saving irrigation and biochar application of Medicago sativa in arid and semi-arid areas</w:t>
      </w:r>
    </w:p>
    <w:p w14:paraId="6DE948F2">
      <w:pPr>
        <w:pStyle w:val="129"/>
        <w:framePr w:w="9639" w:h="6134" w:hRule="exact" w:wrap="around" w:vAnchor="page" w:hAnchor="page" w:x="1498" w:y="8412" w:anchorLock="1"/>
        <w:spacing w:before="240" w:beforeLines="100"/>
        <w:textAlignment w:val="bottom"/>
        <w:rPr>
          <w:rFonts w:hint="eastAsia" w:ascii="宋体" w:hAnsi="宋体" w:eastAsia="宋体" w:cs="宋体"/>
          <w:highlight w:val="none"/>
        </w:rPr>
      </w:pPr>
      <w:r>
        <w:rPr>
          <w:rFonts w:hint="eastAsia" w:ascii="宋体" w:hAnsi="宋体" w:eastAsia="宋体" w:cs="宋体"/>
          <w:highlight w:val="none"/>
        </w:rPr>
        <w:t>（征求意见稿）</w:t>
      </w:r>
    </w:p>
    <w:p w14:paraId="7951493F">
      <w:pPr>
        <w:pStyle w:val="129"/>
        <w:framePr w:w="9639" w:h="6134" w:hRule="exact" w:wrap="around" w:vAnchor="page" w:hAnchor="page" w:x="1498" w:y="8412" w:anchorLock="1"/>
        <w:pBdr>
          <w:top w:val="none" w:color="auto" w:sz="0" w:space="0"/>
          <w:left w:val="none" w:color="auto" w:sz="0" w:space="0"/>
          <w:bottom w:val="none" w:color="auto" w:sz="0" w:space="0"/>
          <w:right w:val="none" w:color="auto" w:sz="0" w:space="0"/>
        </w:pBdr>
        <w:rPr>
          <w:rFonts w:hint="eastAsia"/>
          <w:highlight w:val="none"/>
        </w:rPr>
      </w:pPr>
      <w:r>
        <w:rPr>
          <w:rFonts w:hint="eastAsia"/>
          <w:highlight w:val="none"/>
        </w:rPr>
        <w:t>在提交反馈意见时，请将您知道的相关专利连同支持性文件一并附上。</w:t>
      </w:r>
    </w:p>
    <w:p w14:paraId="4642BBF4">
      <w:pPr>
        <w:pStyle w:val="129"/>
        <w:framePr w:w="9639" w:h="6134" w:hRule="exact" w:wrap="around" w:vAnchor="page" w:hAnchor="page" w:x="1498" w:y="8412" w:anchorLock="1"/>
        <w:spacing w:before="240" w:beforeLines="100"/>
        <w:textAlignment w:val="bottom"/>
        <w:rPr>
          <w:rFonts w:hint="eastAsia" w:ascii="宋体" w:hAnsi="宋体" w:eastAsia="宋体" w:cs="宋体"/>
        </w:rPr>
      </w:pPr>
    </w:p>
    <w:p w14:paraId="29A04CDF"/>
    <w:p w14:paraId="079BBE17">
      <w:pPr>
        <w:pStyle w:val="197"/>
        <w:framePr w:wrap="around" w:y="14176"/>
      </w:pPr>
      <w:r>
        <w:rPr>
          <w:rFonts w:hint="eastAsia"/>
        </w:rPr>
        <w:t>2025 - XX - XX发布</w:t>
      </w:r>
    </w:p>
    <w:p w14:paraId="3BEB7C95">
      <w:pPr>
        <w:pStyle w:val="198"/>
        <w:framePr w:wrap="around" w:y="14176"/>
      </w:pPr>
      <w:r>
        <w:rPr>
          <w:rFonts w:hint="eastAsia"/>
        </w:rPr>
        <w:t>2025 - XX - XX实施</w:t>
      </w:r>
    </w:p>
    <w:p w14:paraId="54172164">
      <w:pPr>
        <w:pStyle w:val="155"/>
        <w:framePr w:h="584" w:hRule="exact" w:hSpace="181" w:vSpace="181" w:wrap="around" w:vAnchor="page" w:hAnchor="page" w:x="2558" w:y="14913"/>
        <w:rPr>
          <w:rFonts w:hint="eastAsia" w:hAnsi="黑体"/>
        </w:rPr>
      </w:pPr>
      <w:r>
        <w:rPr>
          <w:rFonts w:hint="eastAsia" w:hAnsi="黑体"/>
          <w:w w:val="100"/>
          <w:sz w:val="28"/>
        </w:rPr>
        <w:t>北京华夏草业产业技术创新战略联盟</w:t>
      </w:r>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71ECC40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bookmarkStart w:id="34" w:name="_GoBack"/>
      <w:bookmarkEnd w:id="34"/>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1" w:name="BookMark1"/>
      <w:r>
        <w:rPr>
          <w:rFonts w:hint="eastAsia"/>
          <w:spacing w:val="320"/>
        </w:rPr>
        <w:t>目</w:t>
      </w:r>
      <w:r>
        <w:rPr>
          <w:rFonts w:hint="eastAsia"/>
        </w:rPr>
        <w:t>次</w:t>
      </w:r>
    </w:p>
    <w:p w14:paraId="20DCEAEB">
      <w:pPr>
        <w:pStyle w:val="20"/>
        <w:rPr>
          <w:rStyle w:val="35"/>
        </w:rPr>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"_Toc211935585" </w:instrText>
      </w:r>
      <w:r>
        <w:fldChar w:fldCharType="separate"/>
      </w:r>
      <w:r>
        <w:rPr>
          <w:rStyle w:val="35"/>
          <w:rFonts w:hint="eastAsia"/>
        </w:rPr>
        <w:t>前言</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_Toc211935585 \h</w:instrText>
      </w:r>
      <w:r>
        <w:rPr>
          <w:rStyle w:val="35"/>
          <w:rFonts w:hint="eastAsia"/>
        </w:rPr>
        <w:instrText xml:space="preserve"> </w:instrText>
      </w:r>
      <w:r>
        <w:rPr>
          <w:rStyle w:val="35"/>
          <w:rFonts w:hint="eastAsia"/>
        </w:rPr>
        <w:fldChar w:fldCharType="separate"/>
      </w:r>
      <w:r>
        <w:rPr>
          <w:rStyle w:val="35"/>
        </w:rPr>
        <w:t>II</w:t>
      </w:r>
      <w:r>
        <w:rPr>
          <w:rStyle w:val="35"/>
          <w:rFonts w:hint="eastAsia"/>
        </w:rPr>
        <w:fldChar w:fldCharType="end"/>
      </w:r>
      <w:r>
        <w:rPr>
          <w:rStyle w:val="35"/>
          <w:rFonts w:hint="eastAsia"/>
        </w:rPr>
        <w:fldChar w:fldCharType="end"/>
      </w:r>
    </w:p>
    <w:p w14:paraId="562D0C51">
      <w:pPr>
        <w:pStyle w:val="20"/>
        <w:rPr>
          <w:rStyle w:val="35"/>
        </w:rPr>
      </w:pPr>
      <w:r>
        <w:fldChar w:fldCharType="begin"/>
      </w:r>
      <w:r>
        <w:instrText xml:space="preserve"> HYPERLINK \l "_Toc211935586" </w:instrText>
      </w:r>
      <w:r>
        <w:fldChar w:fldCharType="separate"/>
      </w:r>
      <w:r>
        <w:rPr>
          <w:rStyle w:val="35"/>
          <w:rFonts w:hint="eastAsia"/>
        </w:rPr>
        <w:t>1 范围</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_Toc211935586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193E7331">
      <w:pPr>
        <w:pStyle w:val="20"/>
        <w:rPr>
          <w:rStyle w:val="35"/>
        </w:rPr>
      </w:pPr>
      <w:r>
        <w:fldChar w:fldCharType="begin"/>
      </w:r>
      <w:r>
        <w:instrText xml:space="preserve"> HYPERLINK \l "_Toc211935587" </w:instrText>
      </w:r>
      <w:r>
        <w:fldChar w:fldCharType="separate"/>
      </w:r>
      <w:r>
        <w:rPr>
          <w:rStyle w:val="35"/>
          <w:rFonts w:hint="eastAsia"/>
        </w:rPr>
        <w:t>2 规范性引用文件</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_Toc211935587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0BD5EAA2">
      <w:pPr>
        <w:pStyle w:val="20"/>
        <w:rPr>
          <w:rStyle w:val="35"/>
        </w:rPr>
      </w:pPr>
      <w:r>
        <w:fldChar w:fldCharType="begin"/>
      </w:r>
      <w:r>
        <w:instrText xml:space="preserve"> HYPERLINK \l "_Toc211935588" </w:instrText>
      </w:r>
      <w:r>
        <w:fldChar w:fldCharType="separate"/>
      </w:r>
      <w:r>
        <w:rPr>
          <w:rStyle w:val="35"/>
          <w:rFonts w:hint="eastAsia"/>
        </w:rPr>
        <w:t>3 术语和定义</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_Toc211935588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2896F570">
      <w:pPr>
        <w:pStyle w:val="20"/>
        <w:rPr>
          <w:rStyle w:val="35"/>
        </w:rPr>
      </w:pPr>
      <w:r>
        <w:fldChar w:fldCharType="begin"/>
      </w:r>
      <w:r>
        <w:instrText xml:space="preserve"> HYPERLINK \l "_Toc211935589" </w:instrText>
      </w:r>
      <w:r>
        <w:fldChar w:fldCharType="separate"/>
      </w:r>
      <w:r>
        <w:rPr>
          <w:rStyle w:val="35"/>
          <w:rFonts w:hint="eastAsia"/>
        </w:rPr>
        <w:t xml:space="preserve">4 </w:t>
      </w:r>
      <w:r>
        <w:rPr>
          <w:rStyle w:val="35"/>
          <w:rFonts w:hint="eastAsia"/>
          <w:lang w:val="en-US" w:eastAsia="zh-CN"/>
        </w:rPr>
        <w:t>技术要求</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_Toc211935589 \h</w:instrText>
      </w:r>
      <w:r>
        <w:rPr>
          <w:rStyle w:val="35"/>
          <w:rFonts w:hint="eastAsia"/>
        </w:rPr>
        <w:instrText xml:space="preserve"> </w:instrText>
      </w:r>
      <w:r>
        <w:rPr>
          <w:rStyle w:val="35"/>
          <w:rFonts w:hint="eastAsia"/>
        </w:rPr>
        <w:fldChar w:fldCharType="separate"/>
      </w:r>
      <w:r>
        <w:rPr>
          <w:rStyle w:val="35"/>
        </w:rPr>
        <w:t>1</w:t>
      </w:r>
      <w:r>
        <w:rPr>
          <w:rStyle w:val="35"/>
          <w:rFonts w:hint="eastAsia"/>
        </w:rPr>
        <w:fldChar w:fldCharType="end"/>
      </w:r>
      <w:r>
        <w:rPr>
          <w:rStyle w:val="35"/>
          <w:rFonts w:hint="eastAsia"/>
        </w:rPr>
        <w:fldChar w:fldCharType="end"/>
      </w:r>
    </w:p>
    <w:p w14:paraId="42528016">
      <w:pPr>
        <w:pStyle w:val="20"/>
        <w:rPr>
          <w:rStyle w:val="35"/>
        </w:rPr>
      </w:pPr>
      <w:r>
        <w:fldChar w:fldCharType="begin"/>
      </w:r>
      <w:r>
        <w:instrText xml:space="preserve"> HYPERLINK \l "_Toc211935590" </w:instrText>
      </w:r>
      <w:r>
        <w:fldChar w:fldCharType="separate"/>
      </w:r>
      <w:r>
        <w:rPr>
          <w:rStyle w:val="35"/>
          <w:rFonts w:hint="eastAsia"/>
        </w:rPr>
        <w:t xml:space="preserve">5 </w:t>
      </w:r>
      <w:r>
        <w:rPr>
          <w:rStyle w:val="35"/>
          <w:rFonts w:hint="eastAsia"/>
          <w:lang w:val="en-US" w:eastAsia="zh-CN"/>
        </w:rPr>
        <w:t>操作流程</w:t>
      </w:r>
      <w:r>
        <w:rPr>
          <w:rStyle w:val="35"/>
          <w:rFonts w:hint="eastAsia"/>
        </w:rPr>
        <w:tab/>
      </w:r>
      <w:r>
        <w:rPr>
          <w:rStyle w:val="35"/>
          <w:rFonts w:hint="eastAsia"/>
          <w:lang w:val="en-US" w:eastAsia="zh-CN"/>
        </w:rPr>
        <w:t>2</w:t>
      </w:r>
      <w:r>
        <w:rPr>
          <w:rStyle w:val="35"/>
          <w:rFonts w:hint="eastAsia"/>
        </w:rPr>
        <w:fldChar w:fldCharType="end"/>
      </w:r>
    </w:p>
    <w:p w14:paraId="7208A0E2">
      <w:pPr>
        <w:pStyle w:val="20"/>
        <w:rPr>
          <w:rStyle w:val="35"/>
        </w:rPr>
      </w:pPr>
      <w:r>
        <w:fldChar w:fldCharType="begin"/>
      </w:r>
      <w:r>
        <w:instrText xml:space="preserve"> HYPERLINK \l "_Toc211935591" </w:instrText>
      </w:r>
      <w:r>
        <w:fldChar w:fldCharType="separate"/>
      </w:r>
      <w:r>
        <w:rPr>
          <w:rStyle w:val="35"/>
          <w:rFonts w:hint="eastAsia"/>
        </w:rPr>
        <w:t xml:space="preserve">6 </w:t>
      </w:r>
      <w:r>
        <w:rPr>
          <w:rStyle w:val="35"/>
          <w:rFonts w:hint="eastAsia"/>
          <w:lang w:val="en-US" w:eastAsia="zh-CN"/>
        </w:rPr>
        <w:t>验收标准与效果评价</w:t>
      </w:r>
      <w:r>
        <w:rPr>
          <w:rStyle w:val="35"/>
          <w:rFonts w:hint="eastAsia"/>
        </w:rPr>
        <w:tab/>
      </w:r>
      <w:r>
        <w:rPr>
          <w:rStyle w:val="35"/>
          <w:rFonts w:hint="eastAsia"/>
        </w:rPr>
        <w:fldChar w:fldCharType="begin"/>
      </w:r>
      <w:r>
        <w:rPr>
          <w:rStyle w:val="35"/>
          <w:rFonts w:hint="eastAsia"/>
        </w:rPr>
        <w:instrText xml:space="preserve"> </w:instrText>
      </w:r>
      <w:r>
        <w:rPr>
          <w:rStyle w:val="35"/>
        </w:rPr>
        <w:instrText xml:space="preserve">PAGEREF _Toc211935591 \h</w:instrText>
      </w:r>
      <w:r>
        <w:rPr>
          <w:rStyle w:val="35"/>
          <w:rFonts w:hint="eastAsia"/>
        </w:rPr>
        <w:instrText xml:space="preserve"> </w:instrText>
      </w:r>
      <w:r>
        <w:rPr>
          <w:rStyle w:val="35"/>
          <w:rFonts w:hint="eastAsia"/>
        </w:rPr>
        <w:fldChar w:fldCharType="separate"/>
      </w:r>
      <w:r>
        <w:rPr>
          <w:rStyle w:val="35"/>
        </w:rPr>
        <w:t>2</w:t>
      </w:r>
      <w:r>
        <w:rPr>
          <w:rStyle w:val="35"/>
          <w:rFonts w:hint="eastAsia"/>
        </w:rPr>
        <w:fldChar w:fldCharType="end"/>
      </w:r>
      <w:r>
        <w:rPr>
          <w:rStyle w:val="35"/>
          <w:rFonts w:hint="eastAsia"/>
        </w:rPr>
        <w:fldChar w:fldCharType="end"/>
      </w:r>
    </w:p>
    <w:p w14:paraId="5010F696">
      <w:pPr>
        <w:pStyle w:val="20"/>
        <w:rPr>
          <w:rStyle w:val="35"/>
        </w:rPr>
      </w:pPr>
      <w:r>
        <w:fldChar w:fldCharType="begin"/>
      </w:r>
      <w:r>
        <w:instrText xml:space="preserve"> HYPERLINK \l "_Toc211935592" </w:instrText>
      </w:r>
      <w:r>
        <w:fldChar w:fldCharType="separate"/>
      </w:r>
      <w:r>
        <w:rPr>
          <w:rStyle w:val="35"/>
          <w:rFonts w:hint="eastAsia"/>
        </w:rPr>
        <w:t xml:space="preserve">7 </w:t>
      </w:r>
      <w:r>
        <w:rPr>
          <w:rStyle w:val="35"/>
          <w:rFonts w:hint="eastAsia"/>
          <w:lang w:val="en-US" w:eastAsia="zh-CN"/>
        </w:rPr>
        <w:t>附则</w:t>
      </w:r>
      <w:r>
        <w:rPr>
          <w:rStyle w:val="35"/>
          <w:rFonts w:hint="eastAsia"/>
        </w:rPr>
        <w:tab/>
      </w:r>
      <w:r>
        <w:rPr>
          <w:rStyle w:val="35"/>
          <w:rFonts w:hint="eastAsia"/>
          <w:lang w:val="en-US" w:eastAsia="zh-CN"/>
        </w:rPr>
        <w:t>3</w:t>
      </w:r>
      <w:r>
        <w:rPr>
          <w:rStyle w:val="35"/>
          <w:rFonts w:hint="eastAsia"/>
        </w:rPr>
        <w:fldChar w:fldCharType="end"/>
      </w:r>
    </w:p>
    <w:p w14:paraId="35D0B554">
      <w:pPr>
        <w:pStyle w:val="20"/>
        <w:rPr>
          <w:rStyle w:val="35"/>
        </w:rPr>
      </w:pPr>
      <w:r>
        <w:fldChar w:fldCharType="begin"/>
      </w:r>
      <w:r>
        <w:instrText xml:space="preserve"> HYPERLINK \l "_Toc211935593" </w:instrText>
      </w:r>
      <w:r>
        <w:fldChar w:fldCharType="separate"/>
      </w:r>
      <w:r>
        <w:rPr>
          <w:rStyle w:val="35"/>
          <w:rFonts w:hint="eastAsia"/>
        </w:rPr>
        <w:t xml:space="preserve">8 </w:t>
      </w:r>
      <w:r>
        <w:rPr>
          <w:rStyle w:val="35"/>
          <w:rFonts w:hint="eastAsia"/>
          <w:lang w:val="en-US" w:eastAsia="zh-CN"/>
        </w:rPr>
        <w:t>说明</w:t>
      </w:r>
      <w:r>
        <w:rPr>
          <w:rStyle w:val="35"/>
          <w:rFonts w:hint="eastAsia"/>
        </w:rPr>
        <w:tab/>
      </w:r>
      <w:r>
        <w:rPr>
          <w:rStyle w:val="35"/>
          <w:rFonts w:hint="eastAsia"/>
          <w:lang w:val="en-US" w:eastAsia="zh-CN"/>
        </w:rPr>
        <w:t>3</w:t>
      </w:r>
      <w:r>
        <w:rPr>
          <w:rStyle w:val="35"/>
          <w:rFonts w:hint="eastAsia"/>
        </w:rPr>
        <w:fldChar w:fldCharType="end"/>
      </w:r>
    </w:p>
    <w:p w14:paraId="18367D3A">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Style w:val="35"/>
        </w:rPr>
        <w:fldChar w:fldCharType="end"/>
      </w:r>
    </w:p>
    <w:bookmarkEnd w:id="1"/>
    <w:p w14:paraId="5FA94F69">
      <w:pPr>
        <w:pStyle w:val="93"/>
      </w:pPr>
      <w:bookmarkStart w:id="2" w:name="_Toc211935585"/>
      <w:bookmarkStart w:id="3" w:name="BookMark2"/>
      <w:r>
        <w:rPr>
          <w:spacing w:val="320"/>
        </w:rPr>
        <w:t>前</w:t>
      </w:r>
      <w:r>
        <w:t>言</w:t>
      </w:r>
      <w:bookmarkEnd w:id="2"/>
    </w:p>
    <w:p w14:paraId="672BB005">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rPr>
          <w:rFonts w:hint="eastAsia"/>
        </w:rPr>
        <w:t>本文件按GB/T1.1-2009《标准化工作导则 第1部分：标准的结构和编写》进行编制</w:t>
      </w:r>
      <w:r>
        <w:t>。</w:t>
      </w:r>
    </w:p>
    <w:p w14:paraId="735D65FA">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本文件按GB/T1.1-2009《标准化工作导则 第1部分：标准的结构和编写》进行编制。</w:t>
      </w:r>
    </w:p>
    <w:p w14:paraId="1972F87A">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本文件由新疆农业大学草业学院提出。</w:t>
      </w:r>
    </w:p>
    <w:p w14:paraId="60EC75B4">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本文件由新疆维吾尔自治区林业和草原局归口并组织实施。</w:t>
      </w:r>
    </w:p>
    <w:p w14:paraId="37F3D561">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本文件由新疆维吾尔自治区标准化技术委员会技术归口。</w:t>
      </w:r>
    </w:p>
    <w:p w14:paraId="542FAE6B">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本文件主要起草单位：新疆农业大学草业学院。</w:t>
      </w:r>
    </w:p>
    <w:p w14:paraId="44B743DF">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本文件主要起草人：王岚、杨合龙、董乙强、才璐</w:t>
      </w:r>
      <w:r>
        <w:rPr>
          <w:rFonts w:hint="eastAsia"/>
          <w:lang w:eastAsia="zh-CN"/>
        </w:rPr>
        <w:t>、</w:t>
      </w:r>
      <w:r>
        <w:rPr>
          <w:rFonts w:hint="eastAsia"/>
        </w:rPr>
        <w:t>颜安、杨素文、刘美君、</w:t>
      </w:r>
      <w:r>
        <w:rPr>
          <w:rFonts w:hint="eastAsia"/>
          <w:lang w:val="en-US" w:eastAsia="zh-CN"/>
        </w:rPr>
        <w:t>王琪、薛壮、</w:t>
      </w:r>
      <w:r>
        <w:rPr>
          <w:rFonts w:hint="eastAsia"/>
        </w:rPr>
        <w:t>李沅秋、万江春、谢开云</w:t>
      </w:r>
    </w:p>
    <w:p w14:paraId="483D041B">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本文件由新疆农业大学草业学院负责解释。</w:t>
      </w:r>
    </w:p>
    <w:p w14:paraId="0EA57B9A">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rPr>
          <w:rFonts w:hint="eastAsia"/>
        </w:rPr>
      </w:pPr>
      <w:r>
        <w:rPr>
          <w:rFonts w:hint="eastAsia"/>
        </w:rPr>
        <w:t>对文件准的修改意见建议，请反馈至新疆维吾尔自治区市场监督管理局（乌鲁木齐市新华南路167号）、新疆农业大学（乌鲁木齐市农大东路311号）。</w:t>
      </w:r>
    </w:p>
    <w:p w14:paraId="326DE18A">
      <w:pPr>
        <w:pStyle w:val="60"/>
        <w:keepNext w:val="0"/>
        <w:keepLines w:val="0"/>
        <w:pageBreakBefore w:val="0"/>
        <w:widowControl/>
        <w:kinsoku/>
        <w:wordWrap/>
        <w:overflowPunct/>
        <w:topLinePunct w:val="0"/>
        <w:autoSpaceDE w:val="0"/>
        <w:autoSpaceDN w:val="0"/>
        <w:bidi w:val="0"/>
        <w:adjustRightInd/>
        <w:snapToGrid/>
        <w:spacing w:line="400" w:lineRule="exact"/>
        <w:ind w:firstLine="420" w:firstLineChars="200"/>
        <w:textAlignment w:val="auto"/>
        <w:sectPr>
          <w:headerReference r:id="rId15" w:type="default"/>
          <w:footerReference r:id="rId17" w:type="default"/>
          <w:headerReference r:id="rId16" w:type="even"/>
          <w:footerReference r:id="rId18"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r>
        <w:rPr>
          <w:rFonts w:hint="eastAsia"/>
        </w:rPr>
        <w:t>新疆农业大学 联系电话：0991-8763890；传真：0991-8763890；邮编：830052</w:t>
      </w:r>
    </w:p>
    <w:bookmarkEnd w:id="3"/>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4" w:name="NEW_STAND_NAME"/>
              <w:bookmarkStart w:id="5" w:name="BookMark4"/>
              <w:r>
                <w:rPr>
                  <w:rFonts w:hint="eastAsia"/>
                </w:rPr>
                <w:t>干旱半干旱区紫花苜蓿节水灌溉与生物质炭施用技术规范</w:t>
              </w:r>
            </w:p>
          </w:sdtContent>
        </w:sdt>
      </w:sdtContent>
    </w:sdt>
    <w:bookmarkEnd w:id="4"/>
    <w:p w14:paraId="7A0D302B">
      <w:pPr>
        <w:pStyle w:val="108"/>
        <w:snapToGrid w:val="0"/>
        <w:spacing w:before="240" w:after="240"/>
      </w:pPr>
      <w:bookmarkStart w:id="6" w:name="_Toc24884211"/>
      <w:bookmarkStart w:id="7" w:name="_Toc17233325"/>
      <w:bookmarkStart w:id="8" w:name="_Toc26986530"/>
      <w:bookmarkStart w:id="9" w:name="_Toc26718930"/>
      <w:bookmarkStart w:id="10" w:name="_Toc26986771"/>
      <w:bookmarkStart w:id="11" w:name="_Toc17233333"/>
      <w:bookmarkStart w:id="12" w:name="_Toc97192964"/>
      <w:bookmarkStart w:id="13" w:name="_Toc211935586"/>
      <w:bookmarkStart w:id="14" w:name="_Toc26648465"/>
      <w:bookmarkStart w:id="15" w:name="_Toc24884218"/>
      <w:r>
        <w:rPr>
          <w:rFonts w:hint="eastAsia"/>
        </w:rPr>
        <w:t>范围</w:t>
      </w:r>
      <w:bookmarkEnd w:id="6"/>
      <w:bookmarkEnd w:id="7"/>
      <w:bookmarkEnd w:id="8"/>
      <w:bookmarkEnd w:id="9"/>
      <w:bookmarkEnd w:id="10"/>
      <w:bookmarkEnd w:id="11"/>
      <w:bookmarkEnd w:id="12"/>
      <w:bookmarkEnd w:id="13"/>
      <w:bookmarkEnd w:id="14"/>
      <w:bookmarkEnd w:id="15"/>
    </w:p>
    <w:p w14:paraId="337FBC67">
      <w:pPr>
        <w:pStyle w:val="60"/>
        <w:ind w:firstLine="420"/>
      </w:pPr>
      <w:bookmarkStart w:id="16" w:name="_Hlk152665020"/>
      <w:bookmarkStart w:id="17" w:name="_Toc26648466"/>
      <w:bookmarkStart w:id="18" w:name="_Toc24884219"/>
      <w:bookmarkStart w:id="19" w:name="_Toc17233326"/>
      <w:bookmarkStart w:id="20" w:name="_Toc24884212"/>
      <w:bookmarkStart w:id="21" w:name="_Toc17233334"/>
      <w:r>
        <w:rPr>
          <w:rFonts w:hint="eastAsia"/>
        </w:rPr>
        <w:t>本标准规定了干旱半干旱区紫花苜蓿种植中的节水灌溉系统要求、生物质炭施用技术指标、操作流程、田间管理及验收标准。本标准适用于我国干旱半干旱区紫花苜蓿人工草地的建植与生产，旨在通过节水灌溉配施生物质炭，提高紫花苜蓿生产过程中的牧草品质与经济效益，改善干旱半干旱地区水分利用效率情况。</w:t>
      </w:r>
    </w:p>
    <w:bookmarkEnd w:id="16"/>
    <w:p w14:paraId="466B8718">
      <w:pPr>
        <w:pStyle w:val="108"/>
        <w:snapToGrid w:val="0"/>
        <w:spacing w:before="240" w:after="240"/>
      </w:pPr>
      <w:bookmarkStart w:id="22" w:name="_Toc26986531"/>
      <w:bookmarkStart w:id="23" w:name="_Toc211935587"/>
      <w:bookmarkStart w:id="24" w:name="_Toc97192965"/>
      <w:bookmarkStart w:id="25" w:name="_Toc26986772"/>
      <w:bookmarkStart w:id="26" w:name="_Toc26718931"/>
      <w:r>
        <w:rPr>
          <w:rFonts w:hint="eastAsia"/>
        </w:rPr>
        <w:t>规范性引用文件</w:t>
      </w:r>
      <w:bookmarkEnd w:id="17"/>
      <w:bookmarkEnd w:id="18"/>
      <w:bookmarkEnd w:id="19"/>
      <w:bookmarkEnd w:id="20"/>
      <w:bookmarkEnd w:id="21"/>
      <w:bookmarkEnd w:id="22"/>
      <w:bookmarkEnd w:id="23"/>
      <w:bookmarkEnd w:id="24"/>
      <w:bookmarkEnd w:id="25"/>
      <w:bookmarkEnd w:id="26"/>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ind w:firstLine="420"/>
          </w:pPr>
          <w:bookmarkStart w:id="27"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27"/>
    <w:p w14:paraId="6902A4EE">
      <w:pPr>
        <w:pStyle w:val="60"/>
        <w:ind w:firstLine="420"/>
        <w:rPr>
          <w:rFonts w:hint="eastAsia"/>
        </w:rPr>
      </w:pPr>
      <w:bookmarkStart w:id="28" w:name="_Toc97192966"/>
      <w:r>
        <w:rPr>
          <w:rFonts w:hint="eastAsia"/>
        </w:rPr>
        <w:t>GB 5084-2021</w:t>
      </w:r>
      <w:r>
        <w:rPr>
          <w:rFonts w:hint="eastAsia"/>
          <w:lang w:val="en-US" w:eastAsia="zh-CN"/>
        </w:rPr>
        <w:t xml:space="preserve"> </w:t>
      </w:r>
      <w:r>
        <w:rPr>
          <w:rFonts w:hint="eastAsia"/>
        </w:rPr>
        <w:t xml:space="preserve"> 农田灌溉水质标准</w:t>
      </w:r>
    </w:p>
    <w:p w14:paraId="04D034FE">
      <w:pPr>
        <w:pStyle w:val="60"/>
        <w:ind w:firstLine="420"/>
        <w:rPr>
          <w:rFonts w:hint="eastAsia"/>
        </w:rPr>
      </w:pPr>
      <w:r>
        <w:rPr>
          <w:rFonts w:hint="eastAsia"/>
        </w:rPr>
        <w:t xml:space="preserve">GB/T 50363-2018 </w:t>
      </w:r>
      <w:r>
        <w:rPr>
          <w:rFonts w:hint="eastAsia"/>
          <w:lang w:val="en-US" w:eastAsia="zh-CN"/>
        </w:rPr>
        <w:t xml:space="preserve"> </w:t>
      </w:r>
      <w:r>
        <w:rPr>
          <w:rFonts w:hint="eastAsia"/>
        </w:rPr>
        <w:t>节水灌溉工程技术标准</w:t>
      </w:r>
    </w:p>
    <w:p w14:paraId="4C8362C2">
      <w:pPr>
        <w:pStyle w:val="60"/>
        <w:ind w:firstLine="420"/>
        <w:rPr>
          <w:rFonts w:hint="eastAsia"/>
        </w:rPr>
      </w:pPr>
      <w:r>
        <w:rPr>
          <w:rFonts w:hint="eastAsia"/>
        </w:rPr>
        <w:t xml:space="preserve">GB/T 33469-2016 </w:t>
      </w:r>
      <w:r>
        <w:rPr>
          <w:rFonts w:hint="eastAsia"/>
          <w:lang w:val="en-US" w:eastAsia="zh-CN"/>
        </w:rPr>
        <w:t xml:space="preserve"> </w:t>
      </w:r>
      <w:r>
        <w:rPr>
          <w:rFonts w:hint="eastAsia"/>
        </w:rPr>
        <w:t>耕地质量等级</w:t>
      </w:r>
    </w:p>
    <w:p w14:paraId="23C6796A">
      <w:pPr>
        <w:pStyle w:val="60"/>
        <w:ind w:firstLine="420"/>
        <w:rPr>
          <w:rFonts w:hint="eastAsia"/>
        </w:rPr>
      </w:pPr>
      <w:r>
        <w:rPr>
          <w:rFonts w:hint="eastAsia"/>
        </w:rPr>
        <w:t xml:space="preserve">NY/T 3041-2022 </w:t>
      </w:r>
      <w:r>
        <w:rPr>
          <w:rFonts w:hint="eastAsia"/>
          <w:lang w:val="en-US" w:eastAsia="zh-CN"/>
        </w:rPr>
        <w:t xml:space="preserve"> </w:t>
      </w:r>
      <w:r>
        <w:rPr>
          <w:rFonts w:hint="eastAsia"/>
        </w:rPr>
        <w:t>生物炭基肥料</w:t>
      </w:r>
    </w:p>
    <w:p w14:paraId="1FE9FC1F">
      <w:pPr>
        <w:pStyle w:val="60"/>
        <w:ind w:firstLine="420"/>
        <w:rPr>
          <w:rFonts w:hint="eastAsia"/>
        </w:rPr>
      </w:pPr>
      <w:r>
        <w:rPr>
          <w:rFonts w:hint="eastAsia"/>
        </w:rPr>
        <w:t xml:space="preserve">NY/T 4159-2022 </w:t>
      </w:r>
      <w:r>
        <w:rPr>
          <w:rFonts w:hint="eastAsia"/>
          <w:lang w:val="en-US" w:eastAsia="zh-CN"/>
        </w:rPr>
        <w:t xml:space="preserve"> </w:t>
      </w:r>
      <w:r>
        <w:rPr>
          <w:rFonts w:hint="eastAsia"/>
        </w:rPr>
        <w:t>生物炭质量要求</w:t>
      </w:r>
    </w:p>
    <w:p w14:paraId="50DABC26">
      <w:pPr>
        <w:pStyle w:val="60"/>
        <w:ind w:firstLine="420"/>
        <w:rPr>
          <w:rFonts w:hint="eastAsia"/>
        </w:rPr>
      </w:pPr>
      <w:r>
        <w:rPr>
          <w:rFonts w:hint="eastAsia"/>
        </w:rPr>
        <w:t xml:space="preserve">NY/T 1170-2020 </w:t>
      </w:r>
      <w:r>
        <w:rPr>
          <w:rFonts w:hint="eastAsia"/>
          <w:lang w:val="en-US" w:eastAsia="zh-CN"/>
        </w:rPr>
        <w:t xml:space="preserve"> </w:t>
      </w:r>
      <w:r>
        <w:rPr>
          <w:rFonts w:hint="eastAsia"/>
        </w:rPr>
        <w:t>牧草干草质量分级</w:t>
      </w:r>
    </w:p>
    <w:p w14:paraId="1EB79A75">
      <w:pPr>
        <w:pStyle w:val="60"/>
        <w:ind w:firstLine="420"/>
        <w:rPr>
          <w:rFonts w:hint="eastAsia"/>
        </w:rPr>
      </w:pPr>
      <w:r>
        <w:rPr>
          <w:rFonts w:hint="eastAsia"/>
        </w:rPr>
        <w:t xml:space="preserve">NY/T 3618-2020 </w:t>
      </w:r>
      <w:r>
        <w:rPr>
          <w:rFonts w:hint="eastAsia"/>
          <w:lang w:val="en-US" w:eastAsia="zh-CN"/>
        </w:rPr>
        <w:t xml:space="preserve"> </w:t>
      </w:r>
      <w:r>
        <w:rPr>
          <w:rFonts w:hint="eastAsia"/>
        </w:rPr>
        <w:t>矿物源腐植酸有机肥料</w:t>
      </w:r>
    </w:p>
    <w:p w14:paraId="5CC72CE8">
      <w:pPr>
        <w:pStyle w:val="60"/>
        <w:ind w:firstLine="420"/>
        <w:rPr>
          <w:rFonts w:hint="eastAsia"/>
        </w:rPr>
      </w:pPr>
      <w:r>
        <w:rPr>
          <w:rFonts w:hint="eastAsia"/>
        </w:rPr>
        <w:t xml:space="preserve">NY/T 1170-2020 </w:t>
      </w:r>
      <w:r>
        <w:rPr>
          <w:rFonts w:hint="eastAsia"/>
          <w:lang w:val="en-US" w:eastAsia="zh-CN"/>
        </w:rPr>
        <w:t xml:space="preserve"> </w:t>
      </w:r>
      <w:r>
        <w:rPr>
          <w:rFonts w:hint="eastAsia"/>
        </w:rPr>
        <w:t>苜蓿干草捆标准</w:t>
      </w:r>
    </w:p>
    <w:p w14:paraId="70783CCE">
      <w:pPr>
        <w:pStyle w:val="60"/>
        <w:ind w:firstLine="420"/>
      </w:pPr>
      <w:r>
        <w:rPr>
          <w:rFonts w:hint="eastAsia"/>
        </w:rPr>
        <w:t xml:space="preserve">DB15/T 2598-2022 </w:t>
      </w:r>
      <w:r>
        <w:rPr>
          <w:rFonts w:hint="eastAsia"/>
          <w:lang w:val="en-US" w:eastAsia="zh-CN"/>
        </w:rPr>
        <w:t xml:space="preserve"> </w:t>
      </w:r>
      <w:r>
        <w:rPr>
          <w:rFonts w:hint="eastAsia"/>
        </w:rPr>
        <w:t>苜蓿干草产品营养品质评价及质量分级</w:t>
      </w:r>
    </w:p>
    <w:p w14:paraId="20ED1009">
      <w:pPr>
        <w:pStyle w:val="108"/>
        <w:spacing w:before="240" w:after="240"/>
      </w:pPr>
      <w:bookmarkStart w:id="29" w:name="_Toc211935588"/>
      <w:r>
        <w:rPr>
          <w:rFonts w:hint="eastAsia"/>
        </w:rPr>
        <w:t>术语和定义</w:t>
      </w:r>
      <w:bookmarkEnd w:id="28"/>
      <w:bookmarkEnd w:id="29"/>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ind w:firstLine="420"/>
            <w:rPr>
              <w:rFonts w:hint="eastAsia" w:ascii="黑体" w:hAnsi="黑体" w:eastAsia="黑体"/>
            </w:rPr>
          </w:pPr>
          <w:bookmarkStart w:id="30" w:name="_Toc26986532"/>
          <w:bookmarkEnd w:id="30"/>
          <w:bookmarkStart w:id="31" w:name="_Hlk152665129"/>
          <w:r>
            <w:t>下列术语和定义适用于本文件。</w:t>
          </w:r>
        </w:p>
      </w:sdtContent>
    </w:sdt>
    <w:bookmarkEnd w:id="31"/>
    <w:p w14:paraId="55256FBD">
      <w:pPr>
        <w:pStyle w:val="109"/>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p>
    <w:p w14:paraId="6A425EE5">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节水灌溉 Water saving irrigation</w:t>
      </w:r>
    </w:p>
    <w:p w14:paraId="63840837">
      <w:pPr>
        <w:pStyle w:val="60"/>
        <w:ind w:firstLine="420"/>
        <w:rPr>
          <w:color w:val="000000" w:themeColor="text1"/>
          <w14:textFill>
            <w14:solidFill>
              <w14:schemeClr w14:val="tx1"/>
            </w14:solidFill>
          </w14:textFill>
        </w:rPr>
      </w:pPr>
      <w:r>
        <w:rPr>
          <w:rFonts w:hint="eastAsia"/>
        </w:rPr>
        <w:t>采用地埋滴灌系统，通过精准控制灌溉水量、灌溉时机和灌溉周期，实现水资源高效利用的灌溉方式。</w:t>
      </w:r>
    </w:p>
    <w:p w14:paraId="5B3C06A3">
      <w:pPr>
        <w:pStyle w:val="109"/>
        <w:spacing w:before="0" w:beforeLines="0" w:after="0" w:afterLines="0"/>
      </w:pPr>
    </w:p>
    <w:p w14:paraId="1EBC92D5">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生物质炭 Biochar</w:t>
      </w:r>
    </w:p>
    <w:p w14:paraId="6E8416CE">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以作物秸秆为原料，在400</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℃～600</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℃绝氧条件下热解制成的含碳有机物料，用于改良土壤和提升保水能力。</w:t>
      </w:r>
    </w:p>
    <w:p w14:paraId="5C6BCD27">
      <w:pPr>
        <w:pStyle w:val="109"/>
        <w:spacing w:before="0" w:beforeLines="0" w:after="0" w:afterLines="0"/>
      </w:pPr>
    </w:p>
    <w:p w14:paraId="2EAA35CC">
      <w:pPr>
        <w:pStyle w:val="60"/>
        <w:ind w:firstLine="420"/>
      </w:pPr>
      <w:r>
        <w:rPr>
          <w:rFonts w:hint="eastAsia" w:ascii="黑体" w:hAnsi="黑体" w:eastAsia="黑体" w:cs="黑体"/>
        </w:rPr>
        <w:t>灌溉定额 Irrigation quota</w:t>
      </w:r>
    </w:p>
    <w:p w14:paraId="52DEAAC6">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紫花苜蓿一个生长季内单位面积的总灌溉水量。</w:t>
      </w:r>
    </w:p>
    <w:p w14:paraId="434A5BB3">
      <w:pPr>
        <w:pStyle w:val="109"/>
        <w:spacing w:before="0" w:beforeLines="0" w:after="0" w:afterLines="0"/>
      </w:pPr>
    </w:p>
    <w:p w14:paraId="16ACBFD7">
      <w:pPr>
        <w:pStyle w:val="60"/>
        <w:ind w:firstLine="420"/>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14:textFill>
            <w14:solidFill>
              <w14:schemeClr w14:val="tx1"/>
            </w14:solidFill>
          </w14:textFill>
        </w:rPr>
        <w:t>土壤含水率下限 Lower limit of soil moisture conten</w:t>
      </w:r>
      <w:r>
        <w:rPr>
          <w:rFonts w:hint="eastAsia" w:ascii="黑体" w:hAnsi="黑体" w:eastAsia="黑体"/>
          <w:color w:val="000000" w:themeColor="text1"/>
          <w:lang w:val="en-US" w:eastAsia="zh-CN"/>
          <w14:textFill>
            <w14:solidFill>
              <w14:schemeClr w14:val="tx1"/>
            </w14:solidFill>
          </w14:textFill>
        </w:rPr>
        <w:t>t</w:t>
      </w:r>
    </w:p>
    <w:p w14:paraId="7C485E76">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紫花苜蓿各生育期允许的土壤最小相对含水量。</w:t>
      </w:r>
    </w:p>
    <w:p w14:paraId="7F5CE061">
      <w:pPr>
        <w:pStyle w:val="108"/>
        <w:spacing w:before="240" w:after="240"/>
      </w:pPr>
      <w:r>
        <w:rPr>
          <w:rFonts w:hint="eastAsia"/>
        </w:rPr>
        <w:t>技术要求</w:t>
      </w:r>
    </w:p>
    <w:p w14:paraId="0D7CA70C">
      <w:pPr>
        <w:pStyle w:val="109"/>
        <w:snapToGrid w:val="0"/>
        <w:spacing w:before="120" w:after="120"/>
        <w:rPr>
          <w:rFonts w:hint="eastAsia" w:ascii="Times New Roman" w:hAnsi="Times New Roman" w:cs="Times New Roman"/>
          <w:b/>
          <w:bCs/>
          <w:kern w:val="0"/>
          <w:szCs w:val="21"/>
          <w:lang w:val="en-US" w:eastAsia="zh-CN"/>
        </w:rPr>
      </w:pPr>
      <w:r>
        <w:rPr>
          <w:rFonts w:hint="eastAsia" w:hAnsi="Times New Roman" w:cs="Times New Roman"/>
          <w:lang w:val="en-US" w:eastAsia="zh-CN"/>
        </w:rPr>
        <w:t>节水灌溉系统要求</w:t>
      </w:r>
    </w:p>
    <w:p w14:paraId="64A12E72">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灌溉水源水质应符合GB 5084-2021中旱作作物灌溉水质要求，pH值5.5</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8.5，全盐量≤1000 mg/L（非盐碱土地区）。</w:t>
      </w:r>
    </w:p>
    <w:p w14:paraId="239B7F3F">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滴灌带选用内镶贴片式，工作压力0.15</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0.25 MPa，灌水均匀度≥90%，滴头流量2</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4 L/h。</w:t>
      </w:r>
    </w:p>
    <w:p w14:paraId="7AE91410">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滴灌带埋设深度为20 cm，行距30</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40 cm，铺设方向与地块长边一致。</w:t>
      </w:r>
    </w:p>
    <w:p w14:paraId="52B787AC">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灌溉参数要求</w:t>
      </w:r>
    </w:p>
    <w:p w14:paraId="1629DB8E">
      <w:pPr>
        <w:numPr>
          <w:ilvl w:val="0"/>
          <w:numId w:val="0"/>
        </w:numPr>
        <w:autoSpaceDE w:val="0"/>
        <w:autoSpaceDN w:val="0"/>
        <w:adjustRightInd w:val="0"/>
        <w:spacing w:line="360" w:lineRule="auto"/>
        <w:ind w:firstLine="420" w:firstLineChars="200"/>
        <w:rPr>
          <w:rFonts w:hint="eastAsia" w:ascii="Times New Roman" w:hAnsi="Times New Roman" w:cs="Times New Roman"/>
          <w:b w:val="0"/>
          <w:bCs w:val="0"/>
          <w:kern w:val="0"/>
          <w:szCs w:val="21"/>
          <w:highlight w:val="yellow"/>
          <w:lang w:val="en-US" w:eastAsia="zh-CN"/>
        </w:rPr>
      </w:pPr>
      <w:r>
        <w:rPr>
          <w:rFonts w:hint="eastAsia" w:ascii="宋体" w:hAnsi="Times New Roman" w:eastAsia="宋体" w:cs="Times New Roman"/>
          <w:kern w:val="0"/>
          <w:sz w:val="21"/>
          <w:szCs w:val="20"/>
          <w:lang w:val="en-US" w:eastAsia="zh-CN" w:bidi="ar-SA"/>
        </w:rPr>
        <w:t>苗期土壤含水率下限控制在60%，拔节期、分枝期、开花期、返青期下限为55%；年灌溉定额为550 mm，一年灌水12次</w:t>
      </w:r>
      <w:r>
        <w:rPr>
          <w:rFonts w:hint="eastAsia" w:ascii="Times New Roman" w:hAnsi="Times New Roman" w:cs="Times New Roman"/>
          <w:b w:val="0"/>
          <w:bCs w:val="0"/>
          <w:kern w:val="0"/>
          <w:szCs w:val="21"/>
          <w:highlight w:val="none"/>
          <w:lang w:val="en-US" w:eastAsia="zh-CN"/>
        </w:rPr>
        <w:t>。</w:t>
      </w:r>
    </w:p>
    <w:p w14:paraId="53DCABC1">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生物质炭技术要求</w:t>
      </w:r>
    </w:p>
    <w:p w14:paraId="6BCF8BA3">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生物质炭质量应符合NY/T 4159-2022要求，粒径0.5</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5 mm，有机质含量≥60%，pH值6.5</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8.5，水分含量≤15%。</w:t>
      </w:r>
    </w:p>
    <w:p w14:paraId="0D334C37">
      <w:pPr>
        <w:numPr>
          <w:ilvl w:val="0"/>
          <w:numId w:val="0"/>
        </w:numPr>
        <w:autoSpaceDE w:val="0"/>
        <w:autoSpaceDN w:val="0"/>
        <w:adjustRightInd w:val="0"/>
        <w:spacing w:line="360" w:lineRule="auto"/>
        <w:ind w:firstLine="420" w:firstLineChars="200"/>
        <w:rPr>
          <w:rFonts w:hint="eastAsia" w:ascii="Times New Roman" w:hAnsi="Times New Roman" w:cs="Times New Roman"/>
          <w:b w:val="0"/>
          <w:bCs w:val="0"/>
          <w:kern w:val="0"/>
          <w:szCs w:val="21"/>
          <w:highlight w:val="none"/>
          <w:lang w:val="en-US" w:eastAsia="zh-CN"/>
        </w:rPr>
      </w:pPr>
      <w:r>
        <w:rPr>
          <w:rFonts w:hint="eastAsia" w:ascii="宋体" w:hAnsi="Times New Roman" w:eastAsia="宋体" w:cs="Times New Roman"/>
          <w:kern w:val="0"/>
          <w:sz w:val="21"/>
          <w:szCs w:val="20"/>
          <w:lang w:val="en-US" w:eastAsia="zh-CN" w:bidi="ar-SA"/>
        </w:rPr>
        <w:t>生物质炭基肥料应满足NY/T 3041-2022和NY/T 3618-2020要求，有效养分（N+P2O5+K2O）≥5%。</w:t>
      </w:r>
    </w:p>
    <w:p w14:paraId="7F7EE0D5">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生物质炭施用参数要求</w:t>
      </w:r>
    </w:p>
    <w:p w14:paraId="75F98A34">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施用方式：以基施为主，采用条施或穴施，与土壤混合深度 15</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20 cm。</w:t>
      </w:r>
    </w:p>
    <w:p w14:paraId="05B23565">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施用量：施用量为20 t/hm²。</w:t>
      </w:r>
    </w:p>
    <w:p w14:paraId="4E80533B">
      <w:pPr>
        <w:numPr>
          <w:ilvl w:val="0"/>
          <w:numId w:val="0"/>
        </w:numPr>
        <w:autoSpaceDE w:val="0"/>
        <w:autoSpaceDN w:val="0"/>
        <w:adjustRightInd w:val="0"/>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施用时间：播种前1</w:t>
      </w:r>
      <w:r>
        <w:rPr>
          <w:rFonts w:hint="eastAsia"/>
          <w:color w:val="000000" w:themeColor="text1"/>
          <w14:textFill>
            <w14:solidFill>
              <w14:schemeClr w14:val="tx1"/>
            </w14:solidFill>
          </w14:textFill>
        </w:rPr>
        <w:t>～</w:t>
      </w:r>
      <w:r>
        <w:rPr>
          <w:rFonts w:hint="eastAsia" w:ascii="宋体" w:hAnsi="Times New Roman" w:eastAsia="宋体" w:cs="Times New Roman"/>
          <w:kern w:val="0"/>
          <w:sz w:val="21"/>
          <w:szCs w:val="20"/>
          <w:lang w:val="en-US" w:eastAsia="zh-CN" w:bidi="ar-SA"/>
        </w:rPr>
        <w:t>2周施用，确保与土壤充分融合。</w:t>
      </w:r>
    </w:p>
    <w:bookmarkEnd w:id="5"/>
    <w:p w14:paraId="1642F64F">
      <w:pPr>
        <w:pStyle w:val="108"/>
        <w:spacing w:before="240" w:after="240"/>
      </w:pPr>
      <w:bookmarkStart w:id="32" w:name="_Toc211935590"/>
      <w:r>
        <w:rPr>
          <w:rFonts w:hint="eastAsia"/>
        </w:rPr>
        <w:t>操作流程</w:t>
      </w:r>
      <w:bookmarkEnd w:id="32"/>
    </w:p>
    <w:p w14:paraId="21EFE9C0">
      <w:pPr>
        <w:pStyle w:val="109"/>
        <w:snapToGrid w:val="0"/>
        <w:spacing w:before="120" w:after="120"/>
      </w:pPr>
      <w:r>
        <w:rPr>
          <w:rFonts w:hint="eastAsia"/>
        </w:rPr>
        <w:t>地块准备</w:t>
      </w:r>
    </w:p>
    <w:p w14:paraId="5C4A855B">
      <w:pPr>
        <w:pStyle w:val="178"/>
        <w:rPr>
          <w:rFonts w:hint="eastAsia"/>
        </w:rPr>
      </w:pPr>
      <w:r>
        <w:rPr>
          <w:rFonts w:hint="eastAsia"/>
        </w:rPr>
        <w:t>选择地势平坦、坡度≤15°、土层厚度≥30</w:t>
      </w:r>
      <w:r>
        <w:rPr>
          <w:rFonts w:hint="eastAsia"/>
          <w:lang w:val="en-US" w:eastAsia="zh-CN"/>
        </w:rPr>
        <w:t xml:space="preserve"> </w:t>
      </w:r>
      <w:r>
        <w:rPr>
          <w:rFonts w:hint="eastAsia"/>
        </w:rPr>
        <w:t>cm 的地块，清除石块、杂草等杂物。</w:t>
      </w:r>
    </w:p>
    <w:p w14:paraId="0BE7354F">
      <w:pPr>
        <w:pStyle w:val="178"/>
      </w:pPr>
      <w:r>
        <w:rPr>
          <w:rFonts w:hint="eastAsia"/>
        </w:rPr>
        <w:t>深耕土壤25</w:t>
      </w:r>
      <w:r>
        <w:rPr>
          <w:rFonts w:hint="eastAsia"/>
          <w:color w:val="000000" w:themeColor="text1"/>
          <w14:textFill>
            <w14:solidFill>
              <w14:schemeClr w14:val="tx1"/>
            </w14:solidFill>
          </w14:textFill>
        </w:rPr>
        <w:t>～</w:t>
      </w:r>
      <w:r>
        <w:rPr>
          <w:rFonts w:hint="eastAsia"/>
        </w:rPr>
        <w:t>30</w:t>
      </w:r>
      <w:r>
        <w:rPr>
          <w:rFonts w:hint="eastAsia"/>
          <w:lang w:val="en-US" w:eastAsia="zh-CN"/>
        </w:rPr>
        <w:t xml:space="preserve"> </w:t>
      </w:r>
      <w:r>
        <w:rPr>
          <w:rFonts w:hint="eastAsia"/>
        </w:rPr>
        <w:t>cm，整平耙细，土壤细碎度≤2</w:t>
      </w:r>
      <w:r>
        <w:rPr>
          <w:rFonts w:hint="eastAsia"/>
          <w:lang w:val="en-US" w:eastAsia="zh-CN"/>
        </w:rPr>
        <w:t xml:space="preserve"> </w:t>
      </w:r>
      <w:r>
        <w:rPr>
          <w:rFonts w:hint="eastAsia"/>
        </w:rPr>
        <w:t>cm。</w:t>
      </w:r>
    </w:p>
    <w:p w14:paraId="3FF4C0E9">
      <w:pPr>
        <w:pStyle w:val="109"/>
        <w:snapToGrid w:val="0"/>
        <w:spacing w:before="120" w:after="120"/>
      </w:pPr>
      <w:r>
        <w:rPr>
          <w:rFonts w:hint="eastAsia"/>
        </w:rPr>
        <w:t>生物质炭施用</w:t>
      </w:r>
    </w:p>
    <w:p w14:paraId="0CF728E0">
      <w:pPr>
        <w:pStyle w:val="178"/>
        <w:rPr>
          <w:rFonts w:hint="eastAsia"/>
        </w:rPr>
      </w:pPr>
      <w:r>
        <w:rPr>
          <w:rFonts w:hint="eastAsia"/>
        </w:rPr>
        <w:t>按规定用量将生物质炭或生物质炭基肥料均匀撒施于地表，或条施于种植沟内。</w:t>
      </w:r>
    </w:p>
    <w:p w14:paraId="2B9980BD">
      <w:pPr>
        <w:pStyle w:val="178"/>
        <w:rPr>
          <w:rFonts w:hint="eastAsia"/>
        </w:rPr>
      </w:pPr>
      <w:r>
        <w:rPr>
          <w:rFonts w:hint="eastAsia"/>
        </w:rPr>
        <w:t>采用旋耕机将生物质炭与土壤混合均匀，确保混合深度达标。施用后平整地块，预留灌溉系统安装位置。</w:t>
      </w:r>
    </w:p>
    <w:p w14:paraId="0999463B">
      <w:pPr>
        <w:pStyle w:val="109"/>
        <w:snapToGrid w:val="0"/>
        <w:spacing w:before="120" w:after="120"/>
      </w:pPr>
      <w:r>
        <w:rPr>
          <w:rFonts w:hint="eastAsia"/>
        </w:rPr>
        <w:t>灌溉系统安装</w:t>
      </w:r>
    </w:p>
    <w:p w14:paraId="3C4AEF98">
      <w:pPr>
        <w:pStyle w:val="178"/>
        <w:rPr>
          <w:rFonts w:hint="eastAsia"/>
        </w:rPr>
      </w:pPr>
      <w:r>
        <w:rPr>
          <w:rFonts w:hint="eastAsia"/>
        </w:rPr>
        <w:t>按照GB/T 50363-2018要求安装滴灌系统，包括水源工程、首部枢纽、输配水管网和滴灌带。</w:t>
      </w:r>
    </w:p>
    <w:p w14:paraId="5D984199">
      <w:pPr>
        <w:pStyle w:val="178"/>
      </w:pPr>
      <w:r>
        <w:rPr>
          <w:rFonts w:hint="eastAsia"/>
        </w:rPr>
        <w:t>安装后进行试压检测，试压压力0.3</w:t>
      </w:r>
      <w:r>
        <w:rPr>
          <w:rFonts w:hint="eastAsia"/>
          <w:lang w:val="en-US" w:eastAsia="zh-CN"/>
        </w:rPr>
        <w:t xml:space="preserve"> </w:t>
      </w:r>
      <w:r>
        <w:rPr>
          <w:rFonts w:hint="eastAsia"/>
        </w:rPr>
        <w:t>MPa，保压30</w:t>
      </w:r>
      <w:r>
        <w:rPr>
          <w:rFonts w:hint="eastAsia"/>
          <w:lang w:val="en-US" w:eastAsia="zh-CN"/>
        </w:rPr>
        <w:t xml:space="preserve"> </w:t>
      </w:r>
      <w:r>
        <w:rPr>
          <w:rFonts w:hint="eastAsia"/>
        </w:rPr>
        <w:t>min，压力降≤0.05</w:t>
      </w:r>
      <w:r>
        <w:rPr>
          <w:rFonts w:hint="eastAsia"/>
          <w:lang w:val="en-US" w:eastAsia="zh-CN"/>
        </w:rPr>
        <w:t xml:space="preserve"> </w:t>
      </w:r>
      <w:r>
        <w:rPr>
          <w:rFonts w:hint="eastAsia"/>
        </w:rPr>
        <w:t>MPa为合格。</w:t>
      </w:r>
    </w:p>
    <w:p w14:paraId="2D7E7B15">
      <w:pPr>
        <w:pStyle w:val="109"/>
        <w:snapToGrid w:val="0"/>
        <w:spacing w:before="120" w:after="120"/>
      </w:pPr>
      <w:r>
        <w:rPr>
          <w:rFonts w:hint="eastAsia"/>
        </w:rPr>
        <w:t>刈割与再生期管理</w:t>
      </w:r>
    </w:p>
    <w:p w14:paraId="2AE4A49C">
      <w:pPr>
        <w:pStyle w:val="178"/>
        <w:rPr>
          <w:rFonts w:hint="eastAsia"/>
        </w:rPr>
      </w:pPr>
      <w:r>
        <w:rPr>
          <w:rFonts w:hint="eastAsia"/>
        </w:rPr>
        <w:t>刈割留茬高度5</w:t>
      </w:r>
      <w:r>
        <w:rPr>
          <w:rFonts w:hint="eastAsia"/>
          <w:color w:val="000000" w:themeColor="text1"/>
          <w14:textFill>
            <w14:solidFill>
              <w14:schemeClr w14:val="tx1"/>
            </w14:solidFill>
          </w14:textFill>
        </w:rPr>
        <w:t>～</w:t>
      </w:r>
      <w:r>
        <w:rPr>
          <w:rFonts w:hint="eastAsia"/>
        </w:rPr>
        <w:t>8</w:t>
      </w:r>
      <w:r>
        <w:rPr>
          <w:rFonts w:hint="eastAsia"/>
          <w:lang w:val="en-US" w:eastAsia="zh-CN"/>
        </w:rPr>
        <w:t xml:space="preserve"> </w:t>
      </w:r>
      <w:r>
        <w:rPr>
          <w:rFonts w:hint="eastAsia"/>
        </w:rPr>
        <w:t>cm，第一茬刈割在初花期进行，后续刈割间隔35</w:t>
      </w:r>
      <w:r>
        <w:rPr>
          <w:rFonts w:hint="eastAsia"/>
          <w:color w:val="000000" w:themeColor="text1"/>
          <w14:textFill>
            <w14:solidFill>
              <w14:schemeClr w14:val="tx1"/>
            </w14:solidFill>
          </w14:textFill>
        </w:rPr>
        <w:t>～</w:t>
      </w:r>
      <w:r>
        <w:rPr>
          <w:rFonts w:hint="eastAsia"/>
        </w:rPr>
        <w:t>45</w:t>
      </w:r>
      <w:r>
        <w:rPr>
          <w:rFonts w:hint="eastAsia"/>
          <w:lang w:val="en-US" w:eastAsia="zh-CN"/>
        </w:rPr>
        <w:t xml:space="preserve"> </w:t>
      </w:r>
      <w:r>
        <w:rPr>
          <w:rFonts w:hint="eastAsia"/>
        </w:rPr>
        <w:t>d。</w:t>
      </w:r>
    </w:p>
    <w:p w14:paraId="034CB7B6">
      <w:pPr>
        <w:pStyle w:val="178"/>
        <w:rPr>
          <w:rFonts w:hint="eastAsia"/>
        </w:rPr>
      </w:pPr>
      <w:r>
        <w:rPr>
          <w:rFonts w:hint="eastAsia"/>
        </w:rPr>
        <w:t>刈割后及时灌溉，土壤含水率恢复至60%以上，促进再生。</w:t>
      </w:r>
    </w:p>
    <w:p w14:paraId="3AECA130">
      <w:pPr>
        <w:pStyle w:val="108"/>
        <w:spacing w:before="240" w:after="240"/>
      </w:pPr>
      <w:bookmarkStart w:id="33" w:name="_Toc211935591"/>
      <w:r>
        <w:rPr>
          <w:rFonts w:hint="eastAsia"/>
        </w:rPr>
        <w:t>验收标准与效果评价</w:t>
      </w:r>
      <w:bookmarkEnd w:id="33"/>
    </w:p>
    <w:p w14:paraId="22F06FB4">
      <w:pPr>
        <w:pStyle w:val="109"/>
        <w:snapToGrid w:val="0"/>
        <w:spacing w:before="120" w:after="120"/>
      </w:pPr>
      <w:r>
        <w:rPr>
          <w:rFonts w:hint="eastAsia"/>
        </w:rPr>
        <w:t>灌溉系统验收</w:t>
      </w:r>
    </w:p>
    <w:p w14:paraId="4CC307BE">
      <w:pPr>
        <w:pStyle w:val="178"/>
        <w:rPr>
          <w:rFonts w:hint="eastAsia"/>
        </w:rPr>
      </w:pPr>
      <w:r>
        <w:rPr>
          <w:rFonts w:hint="eastAsia"/>
        </w:rPr>
        <w:t>系统运行稳定，无漏水、跑水现象，灌水均匀度符合要求。</w:t>
      </w:r>
    </w:p>
    <w:p w14:paraId="7CFA07E1">
      <w:pPr>
        <w:pStyle w:val="178"/>
      </w:pPr>
      <w:r>
        <w:rPr>
          <w:rFonts w:hint="eastAsia"/>
        </w:rPr>
        <w:t>灌溉后土壤含水率达标，无明显干旱或积水区域。</w:t>
      </w:r>
    </w:p>
    <w:p w14:paraId="1F0D4B7C">
      <w:pPr>
        <w:pStyle w:val="109"/>
        <w:snapToGrid w:val="0"/>
        <w:spacing w:before="120" w:after="120"/>
      </w:pPr>
      <w:r>
        <w:rPr>
          <w:rFonts w:hint="eastAsia"/>
        </w:rPr>
        <w:t>生物质炭施用验收</w:t>
      </w:r>
    </w:p>
    <w:p w14:paraId="3A84B81B">
      <w:pPr>
        <w:pStyle w:val="178"/>
        <w:rPr>
          <w:rFonts w:hint="eastAsia"/>
        </w:rPr>
      </w:pPr>
      <w:r>
        <w:rPr>
          <w:rFonts w:hint="eastAsia"/>
        </w:rPr>
        <w:t>施用位置、深度和用量符合规定，与土壤混合均匀，无明显堆积。</w:t>
      </w:r>
    </w:p>
    <w:p w14:paraId="5C159A8E">
      <w:pPr>
        <w:pStyle w:val="178"/>
        <w:rPr>
          <w:rFonts w:hint="eastAsia"/>
        </w:rPr>
      </w:pPr>
      <w:r>
        <w:rPr>
          <w:rFonts w:hint="eastAsia"/>
        </w:rPr>
        <w:t>生物质炭质量经检测符合相关标准要求。</w:t>
      </w:r>
    </w:p>
    <w:p w14:paraId="02B91C93">
      <w:pPr>
        <w:pStyle w:val="109"/>
        <w:snapToGrid w:val="0"/>
        <w:spacing w:before="120" w:after="120"/>
      </w:pPr>
      <w:r>
        <w:rPr>
          <w:rFonts w:hint="eastAsia"/>
        </w:rPr>
        <w:t>评分指标与评分标准</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1308"/>
        <w:gridCol w:w="1418"/>
        <w:gridCol w:w="1680"/>
        <w:gridCol w:w="1236"/>
        <w:gridCol w:w="1468"/>
      </w:tblGrid>
      <w:tr w14:paraId="485424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vAlign w:val="center"/>
          </w:tcPr>
          <w:p w14:paraId="4A23B580">
            <w:pPr>
              <w:pStyle w:val="237"/>
              <w:ind w:left="0" w:leftChars="0" w:firstLine="0" w:firstLineChars="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评价指标</w:t>
            </w:r>
          </w:p>
        </w:tc>
        <w:tc>
          <w:tcPr>
            <w:tcW w:w="1308" w:type="dxa"/>
            <w:vAlign w:val="center"/>
          </w:tcPr>
          <w:p w14:paraId="4CDC6C92">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优（≥85分）</w:t>
            </w:r>
          </w:p>
        </w:tc>
        <w:tc>
          <w:tcPr>
            <w:tcW w:w="1418" w:type="dxa"/>
            <w:vAlign w:val="center"/>
          </w:tcPr>
          <w:tbl>
            <w:tblPr>
              <w:tblStyle w:val="29"/>
              <w:tblW w:w="0" w:type="auto"/>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09"/>
            </w:tblGrid>
            <w:tr w14:paraId="0838C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1509" w:type="dxa"/>
                  <w:shd w:val="clear" w:color="auto" w:fill="auto"/>
                  <w:vAlign w:val="center"/>
                </w:tcPr>
                <w:p w14:paraId="3ED045BA">
                  <w:pPr>
                    <w:pStyle w:val="237"/>
                    <w:ind w:firstLine="18" w:firstLineChars="10"/>
                    <w:jc w:val="center"/>
                    <w:rPr>
                      <w:rFonts w:hint="eastAsia" w:ascii="宋体" w:hAnsi="Times New Roman" w:eastAsia="宋体" w:cs="Times New Roman"/>
                      <w:sz w:val="18"/>
                      <w:szCs w:val="18"/>
                    </w:rPr>
                  </w:pPr>
                  <w:r>
                    <w:rPr>
                      <w:rFonts w:hint="eastAsia" w:ascii="宋体" w:hAnsi="Times New Roman" w:eastAsia="宋体" w:cs="Times New Roman"/>
                      <w:sz w:val="18"/>
                      <w:szCs w:val="18"/>
                      <w:lang w:val="en-US" w:eastAsia="zh-CN"/>
                    </w:rPr>
                    <w:t>良（70-84分）</w:t>
                  </w:r>
                </w:p>
              </w:tc>
            </w:tr>
          </w:tbl>
          <w:p w14:paraId="6F294653">
            <w:pPr>
              <w:pStyle w:val="237"/>
              <w:ind w:firstLine="18" w:firstLineChars="10"/>
              <w:jc w:val="center"/>
              <w:rPr>
                <w:rFonts w:hint="eastAsia" w:ascii="宋体" w:hAnsi="Times New Roman" w:eastAsia="宋体" w:cs="Times New Roman"/>
                <w:sz w:val="18"/>
                <w:szCs w:val="18"/>
                <w:lang w:val="en-US" w:eastAsia="zh-CN"/>
              </w:rPr>
            </w:pPr>
          </w:p>
        </w:tc>
        <w:tc>
          <w:tcPr>
            <w:tcW w:w="1680" w:type="dxa"/>
            <w:vAlign w:val="center"/>
          </w:tcPr>
          <w:p w14:paraId="3EEB73FE">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中（60-69分）</w:t>
            </w:r>
          </w:p>
        </w:tc>
        <w:tc>
          <w:tcPr>
            <w:tcW w:w="1236" w:type="dxa"/>
            <w:vAlign w:val="center"/>
          </w:tcPr>
          <w:p w14:paraId="1A6445C3">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差（</w:t>
            </w:r>
            <w:r>
              <w:rPr>
                <w:rFonts w:hint="eastAsia" w:ascii="宋体" w:hAnsi="Times New Roman" w:eastAsia="宋体" w:cs="Times New Roman"/>
                <w:sz w:val="18"/>
                <w:szCs w:val="18"/>
                <w:lang w:eastAsia="zh-CN"/>
              </w:rPr>
              <w:t>＜</w:t>
            </w:r>
            <w:r>
              <w:rPr>
                <w:rFonts w:hint="eastAsia" w:ascii="宋体" w:hAnsi="Times New Roman" w:eastAsia="宋体" w:cs="Times New Roman"/>
                <w:sz w:val="18"/>
                <w:szCs w:val="18"/>
              </w:rPr>
              <w:t>60分）</w:t>
            </w:r>
          </w:p>
        </w:tc>
        <w:tc>
          <w:tcPr>
            <w:tcW w:w="1468" w:type="dxa"/>
            <w:vAlign w:val="center"/>
          </w:tcPr>
          <w:p w14:paraId="320F6163">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评分依据</w:t>
            </w:r>
          </w:p>
        </w:tc>
      </w:tr>
      <w:tr w14:paraId="54E65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vAlign w:val="center"/>
          </w:tcPr>
          <w:p w14:paraId="6FF6871E">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干草产量（t/hm²）</w:t>
            </w:r>
          </w:p>
        </w:tc>
        <w:tc>
          <w:tcPr>
            <w:tcW w:w="1308" w:type="dxa"/>
            <w:vAlign w:val="center"/>
          </w:tcPr>
          <w:p w14:paraId="1BD22E72">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≥18.0</w:t>
            </w:r>
          </w:p>
        </w:tc>
        <w:tc>
          <w:tcPr>
            <w:tcW w:w="1418" w:type="dxa"/>
            <w:vAlign w:val="center"/>
          </w:tcPr>
          <w:p w14:paraId="7AC41E16">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15.0-17.9</w:t>
            </w:r>
          </w:p>
        </w:tc>
        <w:tc>
          <w:tcPr>
            <w:tcW w:w="1680" w:type="dxa"/>
            <w:vAlign w:val="center"/>
          </w:tcPr>
          <w:p w14:paraId="0455ACC9">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12.0-14.9</w:t>
            </w:r>
          </w:p>
        </w:tc>
        <w:tc>
          <w:tcPr>
            <w:tcW w:w="1236" w:type="dxa"/>
            <w:vAlign w:val="center"/>
          </w:tcPr>
          <w:p w14:paraId="7F238606">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w:t>
            </w:r>
          </w:p>
        </w:tc>
        <w:tc>
          <w:tcPr>
            <w:tcW w:w="1468" w:type="dxa"/>
            <w:vAlign w:val="center"/>
          </w:tcPr>
          <w:p w14:paraId="194225C9">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NY/T 1170-2020</w:t>
            </w:r>
          </w:p>
        </w:tc>
      </w:tr>
      <w:tr w14:paraId="709A7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vAlign w:val="center"/>
          </w:tcPr>
          <w:p w14:paraId="6D1DE77A">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粗蛋白含量（% DM）</w:t>
            </w:r>
          </w:p>
        </w:tc>
        <w:tc>
          <w:tcPr>
            <w:tcW w:w="1308" w:type="dxa"/>
            <w:vAlign w:val="center"/>
          </w:tcPr>
          <w:p w14:paraId="5F9AED91">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≥22.0</w:t>
            </w:r>
          </w:p>
        </w:tc>
        <w:tc>
          <w:tcPr>
            <w:tcW w:w="1418" w:type="dxa"/>
            <w:vAlign w:val="center"/>
          </w:tcPr>
          <w:p w14:paraId="0836CEDB">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19.0-21.9</w:t>
            </w:r>
          </w:p>
        </w:tc>
        <w:tc>
          <w:tcPr>
            <w:tcW w:w="1680" w:type="dxa"/>
            <w:vAlign w:val="center"/>
          </w:tcPr>
          <w:p w14:paraId="5DFC9C55">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16.0-18.9</w:t>
            </w:r>
          </w:p>
        </w:tc>
        <w:tc>
          <w:tcPr>
            <w:tcW w:w="1236" w:type="dxa"/>
            <w:vAlign w:val="center"/>
          </w:tcPr>
          <w:p w14:paraId="1F0B767D">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w:t>
            </w:r>
          </w:p>
        </w:tc>
        <w:tc>
          <w:tcPr>
            <w:tcW w:w="1468" w:type="dxa"/>
            <w:vAlign w:val="center"/>
          </w:tcPr>
          <w:p w14:paraId="4353F915">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DB15/T 2598-2022</w:t>
            </w:r>
          </w:p>
        </w:tc>
      </w:tr>
      <w:tr w14:paraId="49724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vAlign w:val="center"/>
          </w:tcPr>
          <w:p w14:paraId="3167E534">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相对饲喂价值（RFV）</w:t>
            </w:r>
          </w:p>
        </w:tc>
        <w:tc>
          <w:tcPr>
            <w:tcW w:w="1308" w:type="dxa"/>
            <w:vAlign w:val="center"/>
          </w:tcPr>
          <w:p w14:paraId="0FCBB743">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≥170</w:t>
            </w:r>
          </w:p>
        </w:tc>
        <w:tc>
          <w:tcPr>
            <w:tcW w:w="1418" w:type="dxa"/>
            <w:vAlign w:val="center"/>
          </w:tcPr>
          <w:p w14:paraId="2A8FEC49">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150-169</w:t>
            </w:r>
          </w:p>
        </w:tc>
        <w:tc>
          <w:tcPr>
            <w:tcW w:w="1680" w:type="dxa"/>
            <w:vAlign w:val="center"/>
          </w:tcPr>
          <w:p w14:paraId="5BFDF51A">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130-149</w:t>
            </w:r>
          </w:p>
        </w:tc>
        <w:tc>
          <w:tcPr>
            <w:tcW w:w="1236" w:type="dxa"/>
            <w:vAlign w:val="center"/>
          </w:tcPr>
          <w:p w14:paraId="3CF948D9">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＜130</w:t>
            </w:r>
          </w:p>
        </w:tc>
        <w:tc>
          <w:tcPr>
            <w:tcW w:w="1468" w:type="dxa"/>
            <w:vAlign w:val="center"/>
          </w:tcPr>
          <w:p w14:paraId="6722537C">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NY/T 1170-2020</w:t>
            </w:r>
          </w:p>
        </w:tc>
      </w:tr>
      <w:tr w14:paraId="42DE60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821" w:type="dxa"/>
            <w:vAlign w:val="center"/>
          </w:tcPr>
          <w:p w14:paraId="6882A6D6">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土壤有机质含量（g/kg）</w:t>
            </w:r>
          </w:p>
        </w:tc>
        <w:tc>
          <w:tcPr>
            <w:tcW w:w="1308" w:type="dxa"/>
            <w:vAlign w:val="center"/>
          </w:tcPr>
          <w:p w14:paraId="75D42933">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≥20.0</w:t>
            </w:r>
          </w:p>
        </w:tc>
        <w:tc>
          <w:tcPr>
            <w:tcW w:w="1418" w:type="dxa"/>
            <w:vAlign w:val="center"/>
          </w:tcPr>
          <w:p w14:paraId="637BCFF3">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16.0-19.9</w:t>
            </w:r>
          </w:p>
        </w:tc>
        <w:tc>
          <w:tcPr>
            <w:tcW w:w="1680" w:type="dxa"/>
            <w:vAlign w:val="center"/>
          </w:tcPr>
          <w:p w14:paraId="6EBADC70">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12.0-15.9</w:t>
            </w:r>
          </w:p>
        </w:tc>
        <w:tc>
          <w:tcPr>
            <w:tcW w:w="1236" w:type="dxa"/>
            <w:vAlign w:val="center"/>
          </w:tcPr>
          <w:p w14:paraId="48A74B7B">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＜12.0</w:t>
            </w:r>
          </w:p>
        </w:tc>
        <w:tc>
          <w:tcPr>
            <w:tcW w:w="1468" w:type="dxa"/>
            <w:vAlign w:val="center"/>
          </w:tcPr>
          <w:p w14:paraId="53B9B502">
            <w:pPr>
              <w:pStyle w:val="237"/>
              <w:ind w:firstLine="18" w:firstLineChars="10"/>
              <w:jc w:val="center"/>
              <w:rPr>
                <w:rFonts w:hint="eastAsia" w:ascii="宋体" w:hAnsi="Times New Roman" w:eastAsia="宋体" w:cs="Times New Roman"/>
                <w:sz w:val="18"/>
                <w:szCs w:val="18"/>
                <w:lang w:val="en-US" w:eastAsia="zh-CN"/>
              </w:rPr>
            </w:pPr>
            <w:r>
              <w:rPr>
                <w:rFonts w:hint="eastAsia" w:ascii="宋体" w:hAnsi="Times New Roman" w:eastAsia="宋体" w:cs="Times New Roman"/>
                <w:sz w:val="18"/>
                <w:szCs w:val="18"/>
              </w:rPr>
              <w:t>GB/T 33469-2016</w:t>
            </w:r>
          </w:p>
        </w:tc>
      </w:tr>
    </w:tbl>
    <w:p w14:paraId="07A24E99">
      <w:pPr>
        <w:pStyle w:val="109"/>
        <w:snapToGrid w:val="0"/>
        <w:spacing w:before="120" w:after="120"/>
      </w:pPr>
      <w:r>
        <w:rPr>
          <w:rFonts w:hint="eastAsia"/>
        </w:rPr>
        <w:t>管护与安全要求</w:t>
      </w:r>
    </w:p>
    <w:p w14:paraId="06D816E7">
      <w:pPr>
        <w:pStyle w:val="178"/>
        <w:rPr>
          <w:rFonts w:hint="eastAsia" w:ascii="宋体" w:hAnsi="Times New Roman" w:eastAsia="宋体" w:cs="Times New Roman"/>
        </w:rPr>
      </w:pPr>
      <w:r>
        <w:rPr>
          <w:rFonts w:hint="eastAsia" w:ascii="宋体" w:hAnsi="Times New Roman" w:eastAsia="宋体" w:cs="Times New Roman"/>
        </w:rPr>
        <w:t>定期检查滴灌系统，每月清洗过滤器 1～2 次，及时更换损坏部件。</w:t>
      </w:r>
    </w:p>
    <w:p w14:paraId="2E2D5D12">
      <w:pPr>
        <w:pStyle w:val="178"/>
        <w:rPr>
          <w:rFonts w:hint="eastAsia" w:ascii="宋体" w:hAnsi="Times New Roman" w:eastAsia="宋体" w:cs="Times New Roman"/>
        </w:rPr>
      </w:pPr>
      <w:r>
        <w:rPr>
          <w:rFonts w:hint="eastAsia" w:ascii="宋体" w:hAnsi="Times New Roman" w:eastAsia="宋体" w:cs="Times New Roman"/>
        </w:rPr>
        <w:t>生物质炭施用时做好防护，避免吸入粉尘；运输和储存时防雨、防潮、防晒。</w:t>
      </w:r>
    </w:p>
    <w:p w14:paraId="059C2314">
      <w:pPr>
        <w:pStyle w:val="178"/>
        <w:rPr>
          <w:rFonts w:hint="eastAsia" w:ascii="宋体" w:hAnsi="Times New Roman" w:eastAsia="宋体" w:cs="Times New Roman"/>
        </w:rPr>
      </w:pPr>
      <w:r>
        <w:rPr>
          <w:rFonts w:hint="eastAsia" w:ascii="宋体" w:hAnsi="Times New Roman" w:eastAsia="宋体" w:cs="Times New Roman"/>
        </w:rPr>
        <w:t>灌溉期间专人值守，严格按照灌溉制度执行，记录灌溉时间、水量等数据。</w:t>
      </w:r>
    </w:p>
    <w:p w14:paraId="5EECF3A8">
      <w:pPr>
        <w:pStyle w:val="178"/>
        <w:rPr>
          <w:rFonts w:hint="eastAsia" w:ascii="宋体" w:hAnsi="Times New Roman" w:eastAsia="宋体" w:cs="Times New Roman"/>
        </w:rPr>
      </w:pPr>
      <w:r>
        <w:rPr>
          <w:rFonts w:hint="eastAsia" w:ascii="宋体" w:hAnsi="Times New Roman" w:eastAsia="宋体" w:cs="Times New Roman"/>
        </w:rPr>
        <w:t>禁止使用不符合标准的灌溉水源和生物质炭产品。</w:t>
      </w:r>
    </w:p>
    <w:p w14:paraId="43D71081">
      <w:pPr>
        <w:pStyle w:val="108"/>
        <w:spacing w:before="240" w:after="240"/>
      </w:pPr>
      <w:r>
        <w:rPr>
          <w:rFonts w:hint="eastAsia"/>
        </w:rPr>
        <w:t>附则</w:t>
      </w:r>
    </w:p>
    <w:p w14:paraId="0C4A83CA">
      <w:pPr>
        <w:pStyle w:val="178"/>
        <w:rPr>
          <w:rFonts w:hint="eastAsia"/>
        </w:rPr>
      </w:pPr>
      <w:r>
        <w:rPr>
          <w:rFonts w:hint="eastAsia"/>
        </w:rPr>
        <w:t>本规范由新疆维吾尔自治区林业和草原局负责解释。修改建议请反馈至：</w:t>
      </w:r>
    </w:p>
    <w:p w14:paraId="5A2A69F8">
      <w:pPr>
        <w:pStyle w:val="178"/>
        <w:rPr>
          <w:rFonts w:hint="eastAsia"/>
        </w:rPr>
      </w:pPr>
      <w:r>
        <w:rPr>
          <w:rFonts w:hint="eastAsia"/>
        </w:rPr>
        <w:t>新疆维吾尔自治区市场监督管理局（乌鲁木齐市新华南路167号）。</w:t>
      </w:r>
    </w:p>
    <w:p w14:paraId="766F13C8">
      <w:pPr>
        <w:pStyle w:val="178"/>
        <w:rPr>
          <w:rFonts w:hint="eastAsia"/>
        </w:rPr>
      </w:pPr>
      <w:r>
        <w:rPr>
          <w:rFonts w:hint="eastAsia"/>
        </w:rPr>
        <w:t>新疆农业大学草业学院（乌鲁木齐市农大东路311号）。</w:t>
      </w:r>
    </w:p>
    <w:p w14:paraId="540885D0">
      <w:pPr>
        <w:pStyle w:val="178"/>
        <w:rPr>
          <w:rFonts w:hint="eastAsia"/>
        </w:rPr>
      </w:pPr>
      <w:r>
        <w:rPr>
          <w:rFonts w:hint="eastAsia"/>
        </w:rPr>
        <w:t>发布日期：XXXX年XX月XX日</w:t>
      </w:r>
    </w:p>
    <w:p w14:paraId="35A324B9">
      <w:pPr>
        <w:pStyle w:val="178"/>
      </w:pPr>
      <w:r>
        <w:rPr>
          <w:rFonts w:hint="eastAsia"/>
        </w:rPr>
        <w:t>实施日期：XXXX年XX月XX日。</w:t>
      </w:r>
    </w:p>
    <w:p w14:paraId="05B01080">
      <w:pPr>
        <w:pStyle w:val="108"/>
        <w:spacing w:before="240" w:after="240"/>
      </w:pPr>
      <w:r>
        <w:rPr>
          <w:rFonts w:hint="eastAsia"/>
          <w:lang w:val="en-US" w:eastAsia="zh-CN"/>
        </w:rPr>
        <w:t>说明</w:t>
      </w:r>
    </w:p>
    <w:p w14:paraId="142B3624">
      <w:pPr>
        <w:pStyle w:val="178"/>
      </w:pPr>
      <w:r>
        <w:rPr>
          <w:rFonts w:hint="eastAsia"/>
        </w:rPr>
        <w:t>本规范以博乐市草原生态修复乡土草种繁育联合示范基地实证数据为核心，结合GB/T 50363-2018等技术标准，确保生产措施的科学性、可操作性。</w:t>
      </w:r>
    </w:p>
    <w:p w14:paraId="0261BEE3">
      <w:pPr>
        <w:pStyle w:val="178"/>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干旱半干旱区紫花苜蓿节水灌溉与生物质炭施用技术规范</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rPr>
          <w:highlight w:val="none"/>
        </w:rPr>
      </w:pPr>
      <w:r>
        <w:rPr>
          <w:rFonts w:hint="eastAsia"/>
        </w:rPr>
        <w:t xml:space="preserve">                           </w:t>
      </w:r>
      <w:r>
        <w:rPr>
          <w:rFonts w:hint="eastAsia"/>
          <w:highlight w:val="none"/>
        </w:rPr>
        <w:t>开本</w:t>
      </w:r>
      <w:r>
        <w:rPr>
          <w:highlight w:val="none"/>
        </w:rPr>
        <w:t xml:space="preserve"> 880×1230  1/16  印张</w:t>
      </w:r>
      <w:r>
        <w:rPr>
          <w:rFonts w:hint="eastAsia"/>
          <w:highlight w:val="none"/>
        </w:rPr>
        <w:t>5</w:t>
      </w:r>
      <w:r>
        <w:rPr>
          <w:highlight w:val="none"/>
        </w:rPr>
        <w:t>.5  字数</w:t>
      </w:r>
      <w:r>
        <w:rPr>
          <w:rFonts w:hint="eastAsia"/>
          <w:highlight w:val="none"/>
        </w:rPr>
        <w:t>2.8</w:t>
      </w:r>
      <w:r>
        <w:rPr>
          <w:highlight w:val="none"/>
        </w:rPr>
        <w:t>千字</w:t>
      </w:r>
    </w:p>
    <w:p w14:paraId="44898C69">
      <w:pPr>
        <w:pStyle w:val="14"/>
        <w:tabs>
          <w:tab w:val="clear" w:pos="4201"/>
        </w:tabs>
        <w:jc w:val="center"/>
        <w:rPr>
          <w:highlight w:val="yellow"/>
        </w:rPr>
      </w:pPr>
      <w:r>
        <w:rPr>
          <w:rFonts w:hint="eastAsia"/>
          <w:highlight w:val="none"/>
        </w:rPr>
        <w:t xml:space="preserve">                          </w:t>
      </w:r>
      <w:r>
        <w:rPr>
          <w:highlight w:val="none"/>
        </w:rPr>
        <w:t>202</w:t>
      </w:r>
      <w:r>
        <w:rPr>
          <w:rFonts w:hint="eastAsia"/>
          <w:highlight w:val="none"/>
        </w:rPr>
        <w:t>5</w:t>
      </w:r>
      <w:r>
        <w:rPr>
          <w:highlight w:val="none"/>
        </w:rPr>
        <w:t>年</w:t>
      </w:r>
      <w:r>
        <w:rPr>
          <w:rFonts w:hint="eastAsia"/>
          <w:highlight w:val="none"/>
        </w:rPr>
        <w:t>X</w:t>
      </w:r>
      <w:r>
        <w:rPr>
          <w:highlight w:val="none"/>
        </w:rPr>
        <w:t>月第一版  202</w:t>
      </w:r>
      <w:r>
        <w:rPr>
          <w:rFonts w:hint="eastAsia"/>
          <w:highlight w:val="none"/>
        </w:rPr>
        <w:t>5</w:t>
      </w:r>
      <w:r>
        <w:rPr>
          <w:highlight w:val="none"/>
        </w:rPr>
        <w:t>年</w:t>
      </w:r>
      <w:r>
        <w:rPr>
          <w:rFonts w:hint="eastAsia"/>
          <w:highlight w:val="none"/>
        </w:rPr>
        <w:t>X</w:t>
      </w:r>
      <w:r>
        <w:rPr>
          <w:highlight w:val="none"/>
        </w:rP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XXX—2025</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evenAndOddHeaders w:val="1"/>
  <w:displayHorizontalDrawingGridEvery w:val="0"/>
  <w:displayVerticalDrawingGridEvery w:val="2"/>
  <w:characterSpacingControl w:val="doNotCompress"/>
  <w:hdrShapeDefaults>
    <o:shapelayout v:ext="edit">
      <o:idmap v:ext="edit" data="3"/>
    </o:shapelayout>
  </w:hdrShapeDefault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1F324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C670F5"/>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3F7525"/>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AB107A"/>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9D72C6"/>
    <w:rsid w:val="37CD3B9E"/>
    <w:rsid w:val="37E82293"/>
    <w:rsid w:val="386341A5"/>
    <w:rsid w:val="38F11738"/>
    <w:rsid w:val="398268AC"/>
    <w:rsid w:val="39F536E1"/>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E702E8"/>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B66CF3"/>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8C7FF1"/>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7E700D"/>
    <w:rsid w:val="64E738E4"/>
    <w:rsid w:val="6562740E"/>
    <w:rsid w:val="656960A7"/>
    <w:rsid w:val="65AC2974"/>
    <w:rsid w:val="6624302C"/>
    <w:rsid w:val="669B6734"/>
    <w:rsid w:val="669F417B"/>
    <w:rsid w:val="66AB0941"/>
    <w:rsid w:val="671E5F06"/>
    <w:rsid w:val="676E209B"/>
    <w:rsid w:val="67BF46A4"/>
    <w:rsid w:val="68935866"/>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46876D38">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567FAE45">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57ADACB5">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471C53DA">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A0BAA"/>
    <w:rsid w:val="00B27BBD"/>
    <w:rsid w:val="00B51407"/>
    <w:rsid w:val="00B51478"/>
    <w:rsid w:val="00BB433F"/>
    <w:rsid w:val="00BC7477"/>
    <w:rsid w:val="00BF2AAC"/>
    <w:rsid w:val="00C24EBE"/>
    <w:rsid w:val="00C2750C"/>
    <w:rsid w:val="00C33916"/>
    <w:rsid w:val="00C75B2C"/>
    <w:rsid w:val="00CA550F"/>
    <w:rsid w:val="00CB0DD4"/>
    <w:rsid w:val="00CD3124"/>
    <w:rsid w:val="00CE3F0A"/>
    <w:rsid w:val="00D04956"/>
    <w:rsid w:val="00D13BB5"/>
    <w:rsid w:val="00D87C0F"/>
    <w:rsid w:val="00DA46C8"/>
    <w:rsid w:val="00E62472"/>
    <w:rsid w:val="00E709D0"/>
    <w:rsid w:val="00E72C4D"/>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2346</Words>
  <Characters>3052</Characters>
  <Lines>38</Lines>
  <Paragraphs>10</Paragraphs>
  <TotalTime>3</TotalTime>
  <ScaleCrop>false</ScaleCrop>
  <LinksUpToDate>false</LinksUpToDate>
  <CharactersWithSpaces>3572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二壮</cp:lastModifiedBy>
  <cp:lastPrinted>2025-07-15T07:59:00Z</cp:lastPrinted>
  <dcterms:modified xsi:type="dcterms:W3CDTF">2026-05-14T16:29:45Z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9C1E657BC032453998EC0EF40CB3BC49_13</vt:lpwstr>
  </property>
  <property fmtid="{D5CDD505-2E9C-101B-9397-08002B2CF9AE}" pid="16" name="KSOTemplateDocerSaveRecord">
    <vt:lpwstr>eyJoZGlkIjoiNDU2Y2JjOGM3OTlmNzc3NGQ1YmUwZWQ1MzE5NzRmNTkiLCJ1c2VySWQiOiIxMTY5ODczMjAzIn0=</vt:lpwstr>
  </property>
</Properties>
</file>