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71FE3">
      <w:pPr>
        <w:pStyle w:val="54"/>
        <w:framePr w:w="9639" w:h="624" w:hRule="exact" w:hSpace="181" w:vSpace="181" w:wrap="around" w:hAnchor="page" w:x="1305" w:y="2269"/>
        <w:rPr>
          <w:rFonts w:hint="eastAsia" w:ascii="黑体" w:hAnsi="黑体" w:eastAsia="黑体"/>
          <w:b w:val="0"/>
          <w:bCs w:val="0"/>
          <w:w w:val="100"/>
          <w:sz w:val="48"/>
          <w:szCs w:val="48"/>
        </w:rPr>
      </w:pPr>
      <w:bookmarkStart w:id="0" w:name="_Hlk26473981"/>
      <w:r>
        <w:rPr>
          <w:rFonts w:hint="eastAsia" w:ascii="黑体" w:eastAsia="黑体"/>
          <w:b w:val="0"/>
          <w:w w:val="100"/>
          <w:sz w:val="48"/>
        </w:rPr>
        <w:t xml:space="preserve"> 团体</w:t>
      </w:r>
      <w:r>
        <w:rPr>
          <w:rFonts w:hint="eastAsia" w:ascii="黑体" w:hAnsi="黑体" w:eastAsia="黑体"/>
          <w:b w:val="0"/>
          <w:bCs w:val="0"/>
          <w:w w:val="100"/>
          <w:sz w:val="48"/>
          <w:szCs w:val="48"/>
        </w:rPr>
        <w:t>标准</w:t>
      </w:r>
    </w:p>
    <w:bookmarkEnd w:id="0"/>
    <w:tbl>
      <w:tblPr>
        <w:tblStyle w:val="30"/>
        <w:tblpPr w:leftFromText="180" w:rightFromText="180" w:vertAnchor="text" w:horzAnchor="margin" w:tblpY="-999"/>
        <w:tblW w:w="97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098"/>
        <w:gridCol w:w="8608"/>
      </w:tblGrid>
      <w:tr w14:paraId="34ED6255">
        <w:tc>
          <w:tcPr>
            <w:tcW w:w="1098" w:type="dxa"/>
          </w:tcPr>
          <w:p w14:paraId="21F563A4">
            <w:pPr>
              <w:pStyle w:val="19"/>
              <w:framePr w:hSpace="0" w:wrap="auto" w:vAnchor="margin" w:hAnchor="text" w:yAlign="inline"/>
              <w:rPr>
                <w:rFonts w:hint="eastAsia"/>
                <w:highlight w:val="none"/>
              </w:rPr>
            </w:pPr>
            <w:r>
              <w:rPr>
                <w:highlight w:val="none"/>
              </w:rPr>
              <w:t>ICS</w:t>
            </w:r>
            <w:r>
              <w:rPr>
                <w:rFonts w:hint="eastAsia"/>
                <w:highlight w:val="none"/>
              </w:rPr>
              <w:t xml:space="preserve"> 65.020</w:t>
            </w:r>
          </w:p>
        </w:tc>
        <w:tc>
          <w:tcPr>
            <w:tcW w:w="8608" w:type="dxa"/>
          </w:tcPr>
          <w:p w14:paraId="5DFC58F4">
            <w:pPr>
              <w:pStyle w:val="19"/>
              <w:framePr w:hSpace="0" w:wrap="auto" w:vAnchor="margin" w:hAnchor="text" w:yAlign="inline"/>
              <w:rPr>
                <w:rFonts w:hint="eastAsia"/>
                <w:highlight w:val="none"/>
              </w:rPr>
            </w:pPr>
            <w:r>
              <w:rPr>
                <w:rFonts w:hint="eastAsia"/>
                <w:highlight w:val="none"/>
              </w:rPr>
              <w:t xml:space="preserve"> </w:t>
            </w:r>
          </w:p>
        </w:tc>
      </w:tr>
      <w:tr w14:paraId="4B3FEF10">
        <w:tc>
          <w:tcPr>
            <w:tcW w:w="1098" w:type="dxa"/>
          </w:tcPr>
          <w:p w14:paraId="11E21A9E">
            <w:pPr>
              <w:pStyle w:val="19"/>
              <w:framePr w:hSpace="0" w:wrap="auto" w:vAnchor="margin" w:hAnchor="text" w:yAlign="inline"/>
              <w:rPr>
                <w:rFonts w:hint="eastAsia"/>
                <w:highlight w:val="none"/>
              </w:rPr>
            </w:pPr>
            <w:r>
              <w:rPr>
                <w:highlight w:val="none"/>
              </w:rPr>
              <w:t>CCS</w:t>
            </w:r>
            <w:r>
              <w:rPr>
                <w:rFonts w:hint="eastAsia"/>
                <w:highlight w:val="none"/>
              </w:rPr>
              <w:t xml:space="preserve"> B 25</w:t>
            </w:r>
          </w:p>
        </w:tc>
        <w:tc>
          <w:tcPr>
            <w:tcW w:w="8608" w:type="dxa"/>
          </w:tcPr>
          <w:tbl>
            <w:tblPr>
              <w:tblStyle w:val="30"/>
              <w:tblpPr w:vertAnchor="page" w:horzAnchor="margin" w:tblpY="343"/>
              <w:tblOverlap w:val="never"/>
              <w:tblW w:w="9242"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C889F9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2A23DAAB">
                  <w:pPr>
                    <w:pStyle w:val="53"/>
                    <w:framePr w:hSpace="0" w:wrap="auto" w:vAnchor="margin" w:hAnchor="text" w:yAlign="inline"/>
                    <w:rPr>
                      <w:rFonts w:hint="eastAsia"/>
                      <w:highlight w:val="none"/>
                    </w:rPr>
                  </w:pPr>
                  <w:r>
                    <w:rPr>
                      <w:highlight w:val="none"/>
                    </w:rPr>
                    <w:t>T</w:t>
                  </w:r>
                  <w:r>
                    <w:rPr>
                      <w:rFonts w:hint="eastAsia"/>
                      <w:highlight w:val="none"/>
                    </w:rPr>
                    <w:t xml:space="preserve">  </w:t>
                  </w:r>
                </w:p>
              </w:tc>
            </w:tr>
          </w:tbl>
          <w:p w14:paraId="605F8360">
            <w:pPr>
              <w:pStyle w:val="19"/>
              <w:framePr w:hSpace="0" w:wrap="auto" w:vAnchor="margin" w:hAnchor="text" w:yAlign="inline"/>
              <w:rPr>
                <w:rFonts w:hint="eastAsia"/>
                <w:highlight w:val="none"/>
              </w:rPr>
            </w:pPr>
          </w:p>
        </w:tc>
      </w:tr>
    </w:tbl>
    <w:p w14:paraId="19FB4116">
      <w:pPr>
        <w:rPr>
          <w:rFonts w:hint="eastAsia" w:ascii="黑体" w:hAnsi="黑体" w:eastAsia="黑体"/>
          <w:kern w:val="0"/>
          <w:sz w:val="10"/>
          <w:szCs w:val="10"/>
        </w:rPr>
      </w:pPr>
      <w: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0" b="0"/>
                <wp:wrapNone/>
                <wp:docPr id="1003772470"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d&#10;/iPM2AAAAAwBAAAPAAAAAAAAAAEAIAAAACIAAABkcnMvZG93bnJldi54bWxQSwECFAAUAAAACACH&#10;TuJAhU2lZOsBAACzAwAADgAAAAAAAAABACAAAAAnAQAAZHJzL2Uyb0RvYy54bWxQSwUGAAAAAAYA&#10;BgBZAQAAhAUAAAAA&#10;">
                <v:fill on="f" focussize="0,0"/>
                <v:stroke color="#000000" joinstyle="round"/>
                <v:imagedata o:title=""/>
                <o:lock v:ext="edit" aspectratio="f"/>
              </v:line>
            </w:pict>
          </mc:Fallback>
        </mc:AlternateContent>
      </w:r>
    </w:p>
    <w:p w14:paraId="56FCA575">
      <w:pPr>
        <w:pStyle w:val="54"/>
        <w:framePr w:w="9639" w:h="6976" w:hRule="exact" w:hSpace="0" w:vSpace="0" w:wrap="around" w:hAnchor="page" w:y="6408"/>
        <w:jc w:val="center"/>
        <w:rPr>
          <w:rFonts w:hint="eastAsia" w:ascii="黑体" w:hAnsi="黑体" w:eastAsia="黑体"/>
          <w:b w:val="0"/>
          <w:bCs w:val="0"/>
          <w:w w:val="100"/>
        </w:rPr>
      </w:pPr>
    </w:p>
    <w:p w14:paraId="356469BF">
      <w:pPr>
        <w:pStyle w:val="201"/>
        <w:framePr w:h="6974" w:hRule="exact" w:wrap="around" w:x="1419" w:anchorLock="1"/>
        <w:spacing w:before="120" w:after="120"/>
        <w:rPr>
          <w:rFonts w:hint="eastAsia"/>
        </w:rPr>
      </w:pPr>
      <w:r>
        <w:rPr>
          <w:rFonts w:hint="eastAsia"/>
        </w:rPr>
        <w:t>南疆复播膜下滴灌青贮玉米栽培技术规程</w:t>
      </w:r>
    </w:p>
    <w:p w14:paraId="130F064F">
      <w:pPr>
        <w:pStyle w:val="199"/>
        <w:framePr w:x="1601" w:y="3445"/>
      </w:pPr>
      <w:r>
        <w:t>T/</w:t>
      </w:r>
      <w:r>
        <w:fldChar w:fldCharType="begin">
          <w:ffData>
            <w:name w:val="文字1"/>
            <w:enabled/>
            <w:calcOnExit w:val="0"/>
            <w:textInput>
              <w:default w:val="HXCY"/>
            </w:textInput>
          </w:ffData>
        </w:fldChar>
      </w:r>
      <w:bookmarkStart w:id="1" w:name="文字1"/>
      <w:r>
        <w:instrText xml:space="preserve"> FORMTEXT </w:instrText>
      </w:r>
      <w:r>
        <w:fldChar w:fldCharType="separate"/>
      </w:r>
      <w:r>
        <w:t>HXCY</w:t>
      </w:r>
      <w:r>
        <w:fldChar w:fldCharType="end"/>
      </w:r>
      <w:bookmarkEnd w:id="1"/>
      <w:r>
        <w:t xml:space="preserve"> </w:t>
      </w:r>
      <w:r>
        <w:fldChar w:fldCharType="begin">
          <w:ffData>
            <w:name w:val="NSTD_CODE_F"/>
            <w:enabled/>
            <w:calcOnExit w:val="0"/>
            <w:textInput>
              <w:default w:val="XXX"/>
            </w:textInput>
          </w:ffData>
        </w:fldChar>
      </w:r>
      <w:bookmarkStart w:id="2" w:name="NSTD_CODE_F"/>
      <w:r>
        <w:instrText xml:space="preserve"> FORMTEXT </w:instrText>
      </w:r>
      <w:r>
        <w:fldChar w:fldCharType="separate"/>
      </w:r>
      <w:r>
        <w:t>XXX</w:t>
      </w:r>
      <w:r>
        <w:fldChar w:fldCharType="end"/>
      </w:r>
      <w:bookmarkEnd w:id="2"/>
      <w:r>
        <w:rPr>
          <w:rFonts w:hAnsi="黑体"/>
        </w:rPr>
        <w:t>—</w:t>
      </w:r>
      <w:bookmarkStart w:id="3" w:name="NSTD_CODE_B"/>
      <w:r>
        <w:rPr>
          <w:rFonts w:hint="eastAsia" w:hAnsi="黑体"/>
        </w:rPr>
        <w:t>XX</w:t>
      </w:r>
      <w:bookmarkEnd w:id="3"/>
      <w:r>
        <w:rPr>
          <w:rFonts w:hint="eastAsia" w:hAnsi="黑体"/>
        </w:rPr>
        <w:t>XX</w:t>
      </w:r>
    </w:p>
    <w:p w14:paraId="4271B0C2">
      <w:pPr>
        <w:pStyle w:val="200"/>
        <w:framePr w:x="1601" w:y="3445"/>
        <w:rPr>
          <w:rFonts w:hint="eastAsia" w:hAnsi="黑体"/>
        </w:rPr>
      </w:pPr>
    </w:p>
    <w:p w14:paraId="6839A1F8"/>
    <w:p w14:paraId="0607A248">
      <w:pPr>
        <w:pStyle w:val="129"/>
        <w:framePr w:wrap="around"/>
      </w:pPr>
      <w:r>
        <w:rPr>
          <w:rFonts w:hint="eastAsia"/>
          <w:lang w:val="en-US" w:eastAsia="zh-CN"/>
        </w:rPr>
        <w:t>C</w:t>
      </w:r>
      <w:r>
        <w:rPr>
          <w:rFonts w:hint="eastAsia"/>
        </w:rPr>
        <w:t xml:space="preserve">ode </w:t>
      </w:r>
      <w:r>
        <w:rPr>
          <w:rFonts w:hint="eastAsia"/>
          <w:lang w:val="en-US" w:eastAsia="zh-CN"/>
        </w:rPr>
        <w:t xml:space="preserve">of practice </w:t>
      </w:r>
      <w:r>
        <w:rPr>
          <w:rFonts w:hint="eastAsia"/>
        </w:rPr>
        <w:t>for cultivation of relay-cropped silage maize under mulch drip irrigation in Southern Xinjiang</w:t>
      </w:r>
    </w:p>
    <w:p w14:paraId="6DE948F2">
      <w:pPr>
        <w:pStyle w:val="129"/>
        <w:framePr w:wrap="around"/>
      </w:pPr>
      <w:r>
        <w:rPr>
          <w:rFonts w:hint="eastAsia"/>
        </w:rPr>
        <w:t>（征求意见稿）</w:t>
      </w:r>
    </w:p>
    <w:p w14:paraId="7951493F">
      <w:pPr>
        <w:pStyle w:val="129"/>
        <w:framePr w:wrap="around"/>
        <w:rPr>
          <w:rFonts w:hint="eastAsia"/>
        </w:rPr>
      </w:pPr>
      <w:r>
        <w:rPr>
          <w:rFonts w:hint="eastAsia"/>
        </w:rPr>
        <w:t>在提交反馈意见时，请将您知道的相关专利连同支持性文件一并附上。</w:t>
      </w:r>
    </w:p>
    <w:p w14:paraId="29A04CDF"/>
    <w:p w14:paraId="6F58C787">
      <w:pPr>
        <w:pStyle w:val="197"/>
        <w:framePr w:wrap="around" w:y="14176"/>
      </w:pPr>
      <w:r>
        <w:rPr>
          <w:rFonts w:hint="eastAsia" w:ascii="黑体"/>
        </w:rPr>
        <w:t>XXXX</w:t>
      </w:r>
      <w:r>
        <w:t xml:space="preserve"> </w:t>
      </w:r>
      <w:r>
        <w:rPr>
          <w:rFonts w:ascii="黑体"/>
        </w:rPr>
        <w:t>-</w:t>
      </w:r>
      <w:r>
        <w:t xml:space="preserve"> </w:t>
      </w:r>
      <w:r>
        <w:rPr>
          <w:rFonts w:hint="eastAsia" w:ascii="黑体"/>
        </w:rPr>
        <w:t>XX</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发布</w:t>
      </w:r>
    </w:p>
    <w:p w14:paraId="3BEB7C95">
      <w:pPr>
        <w:pStyle w:val="198"/>
        <w:framePr w:wrap="around" w:y="14176"/>
      </w:pPr>
      <w:r>
        <w:rPr>
          <w:rFonts w:hint="eastAsia" w:ascii="黑体"/>
        </w:rPr>
        <w:t>XXXX</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t xml:space="preserve"> </w:t>
      </w:r>
      <w:r>
        <w:rPr>
          <w:rFonts w:ascii="黑体"/>
        </w:rPr>
        <w:t>-</w:t>
      </w:r>
      <w:r>
        <w:t xml:space="preserve"> </w:t>
      </w:r>
      <w:r>
        <w:rPr>
          <w:rFonts w:hint="eastAsia" w:ascii="黑体"/>
        </w:rPr>
        <w:t>XX</w:t>
      </w:r>
      <w:r>
        <w:rPr>
          <w:rFonts w:hint="eastAsia"/>
        </w:rPr>
        <w:t>实施</w:t>
      </w:r>
    </w:p>
    <w:p w14:paraId="54172164">
      <w:pPr>
        <w:pStyle w:val="155"/>
        <w:framePr w:h="584" w:hRule="exact" w:hSpace="181" w:vSpace="181" w:wrap="around" w:vAnchor="page" w:hAnchor="page" w:x="2558" w:y="14913"/>
        <w:rPr>
          <w:rFonts w:hint="eastAsia" w:hAnsi="黑体"/>
        </w:rPr>
      </w:pPr>
      <w:r>
        <w:rPr>
          <w:rFonts w:hint="eastAsia" w:hAnsi="黑体"/>
          <w:w w:val="100"/>
          <w:sz w:val="28"/>
        </w:rPr>
        <w:fldChar w:fldCharType="begin">
          <w:ffData>
            <w:name w:val="fm"/>
            <w:enabled/>
            <w:calcOnExit w:val="0"/>
            <w:textInput>
              <w:default w:val="北京华夏草业产业技术创新战略联盟"/>
            </w:textInput>
          </w:ffData>
        </w:fldChar>
      </w:r>
      <w:bookmarkStart w:id="6"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北京华夏草业产业技术创新战略联盟</w:t>
      </w:r>
      <w:r>
        <w:rPr>
          <w:rFonts w:hint="eastAsia" w:hAnsi="黑体"/>
          <w:w w:val="100"/>
          <w:sz w:val="28"/>
        </w:rPr>
        <w:fldChar w:fldCharType="end"/>
      </w:r>
      <w:bookmarkEnd w:id="6"/>
      <w:r>
        <w:rPr>
          <w:rFonts w:ascii="Times New Roman"/>
          <w:w w:val="100"/>
          <w:sz w:val="28"/>
        </w:rPr>
        <w:t>  </w:t>
      </w:r>
      <w:r>
        <w:rPr>
          <w:rStyle w:val="233"/>
          <w:rFonts w:hint="eastAsia" w:hAnsi="黑体"/>
          <w:position w:val="0"/>
        </w:rPr>
        <w:t>发</w:t>
      </w:r>
      <w:r>
        <w:rPr>
          <w:rStyle w:val="233"/>
          <w:rFonts w:hint="eastAsia" w:hAnsi="黑体"/>
          <w:spacing w:val="0"/>
          <w:position w:val="0"/>
        </w:rPr>
        <w:t>布</w:t>
      </w:r>
    </w:p>
    <w:p w14:paraId="1668DB30">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0" b="0"/>
                <wp:wrapNone/>
                <wp:docPr id="1446284486"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anR&#10;i9cAAAAOAQAADwAAAAAAAAABACAAAAAiAAAAZHJzL2Rvd25yZXYueG1sUEsBAhQAFAAAAAgAh07i&#10;QOlevZLqAQAAswMAAA4AAAAAAAAAAQAgAAAAJgEAAGRycy9lMm9Eb2MueG1sUEsFBgAAAAAGAAYA&#10;WQEAAIIFAAAAAA==&#10;">
                <v:fill on="f" focussize="0,0"/>
                <v:stroke color="#000000" joinstyle="round"/>
                <v:imagedata o:title=""/>
                <o:lock v:ext="edit" aspectratio="f"/>
                <w10:anchorlock/>
              </v:line>
            </w:pict>
          </mc:Fallback>
        </mc:AlternateContent>
      </w:r>
    </w:p>
    <w:p w14:paraId="4FAD7C74">
      <w:pPr>
        <w:pStyle w:val="95"/>
      </w:pPr>
      <w:bookmarkStart w:id="7" w:name="BookMark1"/>
      <w:r>
        <w:rPr>
          <w:rFonts w:hint="eastAsia"/>
          <w:spacing w:val="320"/>
        </w:rPr>
        <w:t>目</w:t>
      </w:r>
      <w:r>
        <w:rPr>
          <w:rFonts w:hint="eastAsia"/>
        </w:rPr>
        <w:t>次</w:t>
      </w:r>
    </w:p>
    <w:p w14:paraId="53F091C5">
      <w:pPr>
        <w:pStyle w:val="20"/>
        <w:tabs>
          <w:tab w:val="right" w:leader="dot" w:pos="9354"/>
          <w:tab w:val="clear" w:pos="9298"/>
        </w:tabs>
      </w:pPr>
      <w:r>
        <w:rPr>
          <w:rStyle w:val="35"/>
        </w:rPr>
        <w:fldChar w:fldCharType="begin"/>
      </w:r>
      <w:r>
        <w:rPr>
          <w:rStyle w:val="35"/>
        </w:rPr>
        <w:instrText xml:space="preserve"> TOC \o "1-1" \h </w:instrText>
      </w:r>
      <w:r>
        <w:rPr>
          <w:rStyle w:val="35"/>
        </w:rPr>
        <w:fldChar w:fldCharType="separate"/>
      </w:r>
      <w:r>
        <w:fldChar w:fldCharType="begin"/>
      </w:r>
      <w:r>
        <w:instrText xml:space="preserve"> HYPERLINK \l _Toc893814158 </w:instrText>
      </w:r>
      <w:r>
        <w:fldChar w:fldCharType="separate"/>
      </w:r>
      <w:r>
        <w:rPr>
          <w:spacing w:val="320"/>
        </w:rPr>
        <w:t>前</w:t>
      </w:r>
      <w:r>
        <w:t>言</w:t>
      </w:r>
      <w:r>
        <w:tab/>
      </w:r>
      <w:r>
        <w:fldChar w:fldCharType="begin"/>
      </w:r>
      <w:r>
        <w:instrText xml:space="preserve"> PAGEREF _Toc893814158 \h </w:instrText>
      </w:r>
      <w:r>
        <w:fldChar w:fldCharType="separate"/>
      </w:r>
      <w:r>
        <w:t>II</w:t>
      </w:r>
      <w:r>
        <w:fldChar w:fldCharType="end"/>
      </w:r>
      <w:r>
        <w:fldChar w:fldCharType="end"/>
      </w:r>
    </w:p>
    <w:p w14:paraId="0DE89BDB">
      <w:pPr>
        <w:pStyle w:val="20"/>
        <w:tabs>
          <w:tab w:val="right" w:leader="dot" w:pos="9354"/>
          <w:tab w:val="clear" w:pos="9298"/>
        </w:tabs>
      </w:pPr>
      <w:r>
        <w:fldChar w:fldCharType="begin"/>
      </w:r>
      <w:r>
        <w:instrText xml:space="preserve"> HYPERLINK \l _Toc686442741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_Toc686442741 \h </w:instrText>
      </w:r>
      <w:r>
        <w:fldChar w:fldCharType="separate"/>
      </w:r>
      <w:r>
        <w:t>1</w:t>
      </w:r>
      <w:r>
        <w:fldChar w:fldCharType="end"/>
      </w:r>
      <w:r>
        <w:fldChar w:fldCharType="end"/>
      </w:r>
    </w:p>
    <w:p w14:paraId="6D42BFEB">
      <w:pPr>
        <w:pStyle w:val="20"/>
        <w:tabs>
          <w:tab w:val="right" w:leader="dot" w:pos="9354"/>
          <w:tab w:val="clear" w:pos="9298"/>
        </w:tabs>
      </w:pPr>
      <w:r>
        <w:fldChar w:fldCharType="begin"/>
      </w:r>
      <w:r>
        <w:instrText xml:space="preserve"> HYPERLINK \l _Toc760996303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_Toc760996303 \h </w:instrText>
      </w:r>
      <w:r>
        <w:fldChar w:fldCharType="separate"/>
      </w:r>
      <w:r>
        <w:t>1</w:t>
      </w:r>
      <w:r>
        <w:fldChar w:fldCharType="end"/>
      </w:r>
      <w:r>
        <w:fldChar w:fldCharType="end"/>
      </w:r>
    </w:p>
    <w:p w14:paraId="55E9F76F">
      <w:pPr>
        <w:pStyle w:val="20"/>
        <w:tabs>
          <w:tab w:val="right" w:leader="dot" w:pos="9354"/>
          <w:tab w:val="clear" w:pos="9298"/>
        </w:tabs>
      </w:pPr>
      <w:r>
        <w:fldChar w:fldCharType="begin"/>
      </w:r>
      <w:r>
        <w:instrText xml:space="preserve"> HYPERLINK \l _Toc1799746636 </w:instrText>
      </w:r>
      <w:r>
        <w:fldChar w:fldCharType="separate"/>
      </w:r>
      <w:r>
        <w:rPr>
          <w:rFonts w:hint="eastAsia" w:ascii="黑体" w:eastAsia="黑体"/>
          <w:i w:val="0"/>
        </w:rPr>
        <w:t xml:space="preserve">3 </w:t>
      </w:r>
      <w:r>
        <w:rPr>
          <w:rFonts w:hint="eastAsia"/>
        </w:rPr>
        <w:t>术语和定义</w:t>
      </w:r>
      <w:r>
        <w:tab/>
      </w:r>
      <w:r>
        <w:fldChar w:fldCharType="begin"/>
      </w:r>
      <w:r>
        <w:instrText xml:space="preserve"> PAGEREF _Toc1799746636 \h </w:instrText>
      </w:r>
      <w:r>
        <w:fldChar w:fldCharType="separate"/>
      </w:r>
      <w:r>
        <w:t>1</w:t>
      </w:r>
      <w:r>
        <w:fldChar w:fldCharType="end"/>
      </w:r>
      <w:r>
        <w:fldChar w:fldCharType="end"/>
      </w:r>
    </w:p>
    <w:p w14:paraId="3143BE82">
      <w:pPr>
        <w:pStyle w:val="20"/>
        <w:tabs>
          <w:tab w:val="right" w:leader="dot" w:pos="9354"/>
          <w:tab w:val="clear" w:pos="9298"/>
        </w:tabs>
      </w:pPr>
      <w:r>
        <w:fldChar w:fldCharType="begin"/>
      </w:r>
      <w:r>
        <w:instrText xml:space="preserve"> HYPERLINK \l _Toc1034543257 </w:instrText>
      </w:r>
      <w:r>
        <w:fldChar w:fldCharType="separate"/>
      </w:r>
      <w:r>
        <w:rPr>
          <w:rFonts w:hint="eastAsia" w:ascii="黑体" w:eastAsia="黑体"/>
          <w:i w:val="0"/>
        </w:rPr>
        <w:t xml:space="preserve">4 </w:t>
      </w:r>
      <w:r>
        <w:rPr>
          <w:rFonts w:hint="eastAsia"/>
        </w:rPr>
        <w:t>地块选择</w:t>
      </w:r>
      <w:r>
        <w:tab/>
      </w:r>
      <w:r>
        <w:fldChar w:fldCharType="begin"/>
      </w:r>
      <w:r>
        <w:instrText xml:space="preserve"> PAGEREF _Toc1034543257 \h </w:instrText>
      </w:r>
      <w:r>
        <w:fldChar w:fldCharType="separate"/>
      </w:r>
      <w:r>
        <w:t>2</w:t>
      </w:r>
      <w:r>
        <w:fldChar w:fldCharType="end"/>
      </w:r>
      <w:r>
        <w:fldChar w:fldCharType="end"/>
      </w:r>
    </w:p>
    <w:p w14:paraId="13DF4DAC">
      <w:pPr>
        <w:pStyle w:val="20"/>
        <w:tabs>
          <w:tab w:val="right" w:leader="dot" w:pos="9354"/>
          <w:tab w:val="clear" w:pos="9298"/>
        </w:tabs>
      </w:pPr>
      <w:r>
        <w:fldChar w:fldCharType="begin"/>
      </w:r>
      <w:r>
        <w:instrText xml:space="preserve"> HYPERLINK \l _Toc1540914287 </w:instrText>
      </w:r>
      <w:r>
        <w:fldChar w:fldCharType="separate"/>
      </w:r>
      <w:r>
        <w:rPr>
          <w:rFonts w:hint="eastAsia" w:ascii="黑体" w:eastAsia="黑体"/>
          <w:i w:val="0"/>
        </w:rPr>
        <w:t xml:space="preserve">5 </w:t>
      </w:r>
      <w:r>
        <w:rPr>
          <w:rFonts w:hint="eastAsia"/>
        </w:rPr>
        <w:t>土地整理</w:t>
      </w:r>
      <w:r>
        <w:tab/>
      </w:r>
      <w:r>
        <w:fldChar w:fldCharType="begin"/>
      </w:r>
      <w:r>
        <w:instrText xml:space="preserve"> PAGEREF _Toc1540914287 \h </w:instrText>
      </w:r>
      <w:r>
        <w:fldChar w:fldCharType="separate"/>
      </w:r>
      <w:r>
        <w:t>2</w:t>
      </w:r>
      <w:r>
        <w:fldChar w:fldCharType="end"/>
      </w:r>
      <w:r>
        <w:fldChar w:fldCharType="end"/>
      </w:r>
    </w:p>
    <w:p w14:paraId="5C26029F">
      <w:pPr>
        <w:pStyle w:val="20"/>
        <w:tabs>
          <w:tab w:val="right" w:leader="dot" w:pos="9354"/>
          <w:tab w:val="clear" w:pos="9298"/>
        </w:tabs>
      </w:pPr>
      <w:r>
        <w:fldChar w:fldCharType="begin"/>
      </w:r>
      <w:r>
        <w:instrText xml:space="preserve"> HYPERLINK \l _Toc1641122436 </w:instrText>
      </w:r>
      <w:r>
        <w:fldChar w:fldCharType="separate"/>
      </w:r>
      <w:r>
        <w:rPr>
          <w:rFonts w:hint="eastAsia" w:ascii="黑体" w:eastAsia="黑体"/>
          <w:i w:val="0"/>
        </w:rPr>
        <w:t xml:space="preserve">6 </w:t>
      </w:r>
      <w:r>
        <w:rPr>
          <w:rFonts w:hint="eastAsia"/>
        </w:rPr>
        <w:t>种子准备</w:t>
      </w:r>
      <w:r>
        <w:tab/>
      </w:r>
      <w:r>
        <w:fldChar w:fldCharType="begin"/>
      </w:r>
      <w:r>
        <w:instrText xml:space="preserve"> PAGEREF _Toc1641122436 \h </w:instrText>
      </w:r>
      <w:r>
        <w:fldChar w:fldCharType="separate"/>
      </w:r>
      <w:r>
        <w:t>2</w:t>
      </w:r>
      <w:r>
        <w:fldChar w:fldCharType="end"/>
      </w:r>
      <w:r>
        <w:fldChar w:fldCharType="end"/>
      </w:r>
    </w:p>
    <w:p w14:paraId="3430F07D">
      <w:pPr>
        <w:pStyle w:val="20"/>
        <w:tabs>
          <w:tab w:val="right" w:leader="dot" w:pos="9354"/>
          <w:tab w:val="clear" w:pos="9298"/>
        </w:tabs>
      </w:pPr>
      <w:r>
        <w:fldChar w:fldCharType="begin"/>
      </w:r>
      <w:r>
        <w:instrText xml:space="preserve"> HYPERLINK \l _Toc64819784 </w:instrText>
      </w:r>
      <w:r>
        <w:fldChar w:fldCharType="separate"/>
      </w:r>
      <w:r>
        <w:rPr>
          <w:rFonts w:hint="eastAsia" w:ascii="黑体" w:eastAsia="黑体"/>
          <w:i w:val="0"/>
        </w:rPr>
        <w:t xml:space="preserve">7 </w:t>
      </w:r>
      <w:r>
        <w:rPr>
          <w:rFonts w:hint="eastAsia"/>
        </w:rPr>
        <w:t>播种</w:t>
      </w:r>
      <w:r>
        <w:tab/>
      </w:r>
      <w:r>
        <w:fldChar w:fldCharType="begin"/>
      </w:r>
      <w:r>
        <w:instrText xml:space="preserve"> PAGEREF _Toc64819784 \h </w:instrText>
      </w:r>
      <w:r>
        <w:fldChar w:fldCharType="separate"/>
      </w:r>
      <w:r>
        <w:t>2</w:t>
      </w:r>
      <w:r>
        <w:fldChar w:fldCharType="end"/>
      </w:r>
      <w:r>
        <w:fldChar w:fldCharType="end"/>
      </w:r>
    </w:p>
    <w:p w14:paraId="4EA85AAE">
      <w:pPr>
        <w:pStyle w:val="20"/>
        <w:tabs>
          <w:tab w:val="right" w:leader="dot" w:pos="9354"/>
          <w:tab w:val="clear" w:pos="9298"/>
        </w:tabs>
      </w:pPr>
      <w:r>
        <w:fldChar w:fldCharType="begin"/>
      </w:r>
      <w:r>
        <w:instrText xml:space="preserve"> HYPERLINK \l _Toc651900659 </w:instrText>
      </w:r>
      <w:r>
        <w:fldChar w:fldCharType="separate"/>
      </w:r>
      <w:r>
        <w:rPr>
          <w:rFonts w:hint="eastAsia" w:ascii="黑体" w:eastAsia="黑体"/>
          <w:i w:val="0"/>
        </w:rPr>
        <w:t xml:space="preserve">8 </w:t>
      </w:r>
      <w:r>
        <w:rPr>
          <w:rFonts w:hint="eastAsia"/>
        </w:rPr>
        <w:t>膜下滴灌系统布置</w:t>
      </w:r>
      <w:r>
        <w:tab/>
      </w:r>
      <w:r>
        <w:fldChar w:fldCharType="begin"/>
      </w:r>
      <w:r>
        <w:instrText xml:space="preserve"> PAGEREF _Toc651900659 \h </w:instrText>
      </w:r>
      <w:r>
        <w:fldChar w:fldCharType="separate"/>
      </w:r>
      <w:r>
        <w:t>2</w:t>
      </w:r>
      <w:r>
        <w:fldChar w:fldCharType="end"/>
      </w:r>
      <w:r>
        <w:fldChar w:fldCharType="end"/>
      </w:r>
    </w:p>
    <w:p w14:paraId="19285B95">
      <w:pPr>
        <w:pStyle w:val="20"/>
        <w:tabs>
          <w:tab w:val="right" w:leader="dot" w:pos="9354"/>
          <w:tab w:val="clear" w:pos="9298"/>
        </w:tabs>
      </w:pPr>
      <w:r>
        <w:fldChar w:fldCharType="begin"/>
      </w:r>
      <w:r>
        <w:instrText xml:space="preserve"> HYPERLINK \l _Toc32808819 </w:instrText>
      </w:r>
      <w:r>
        <w:fldChar w:fldCharType="separate"/>
      </w:r>
      <w:r>
        <w:rPr>
          <w:rFonts w:hint="eastAsia" w:ascii="黑体" w:eastAsia="黑体"/>
          <w:i w:val="0"/>
        </w:rPr>
        <w:t xml:space="preserve">9 </w:t>
      </w:r>
      <w:r>
        <w:rPr>
          <w:rFonts w:hint="eastAsia" w:hAnsi="Times New Roman" w:cs="Times New Roman"/>
        </w:rPr>
        <w:t>水肥一体化管理</w:t>
      </w:r>
      <w:r>
        <w:tab/>
      </w:r>
      <w:r>
        <w:fldChar w:fldCharType="begin"/>
      </w:r>
      <w:r>
        <w:instrText xml:space="preserve"> PAGEREF _Toc32808819 \h </w:instrText>
      </w:r>
      <w:r>
        <w:fldChar w:fldCharType="separate"/>
      </w:r>
      <w:r>
        <w:t>3</w:t>
      </w:r>
      <w:r>
        <w:fldChar w:fldCharType="end"/>
      </w:r>
      <w:r>
        <w:fldChar w:fldCharType="end"/>
      </w:r>
    </w:p>
    <w:p w14:paraId="129D0D4F">
      <w:pPr>
        <w:pStyle w:val="20"/>
        <w:tabs>
          <w:tab w:val="right" w:leader="dot" w:pos="9354"/>
          <w:tab w:val="clear" w:pos="9298"/>
        </w:tabs>
      </w:pPr>
      <w:r>
        <w:fldChar w:fldCharType="begin"/>
      </w:r>
      <w:r>
        <w:instrText xml:space="preserve"> HYPERLINK \l _Toc1036911378 </w:instrText>
      </w:r>
      <w:r>
        <w:fldChar w:fldCharType="separate"/>
      </w:r>
      <w:r>
        <w:rPr>
          <w:rFonts w:hint="eastAsia" w:ascii="黑体" w:eastAsia="黑体"/>
          <w:i w:val="0"/>
        </w:rPr>
        <w:t xml:space="preserve">10 </w:t>
      </w:r>
      <w:r>
        <w:rPr>
          <w:rFonts w:hint="eastAsia"/>
        </w:rPr>
        <w:t>田间管理</w:t>
      </w:r>
      <w:r>
        <w:tab/>
      </w:r>
      <w:r>
        <w:fldChar w:fldCharType="begin"/>
      </w:r>
      <w:r>
        <w:instrText xml:space="preserve"> PAGEREF _Toc1036911378 \h </w:instrText>
      </w:r>
      <w:r>
        <w:fldChar w:fldCharType="separate"/>
      </w:r>
      <w:r>
        <w:t>3</w:t>
      </w:r>
      <w:r>
        <w:fldChar w:fldCharType="end"/>
      </w:r>
      <w:r>
        <w:fldChar w:fldCharType="end"/>
      </w:r>
    </w:p>
    <w:p w14:paraId="03BB776D">
      <w:pPr>
        <w:pStyle w:val="20"/>
        <w:tabs>
          <w:tab w:val="right" w:leader="dot" w:pos="9354"/>
          <w:tab w:val="clear" w:pos="9298"/>
        </w:tabs>
      </w:pPr>
      <w:r>
        <w:fldChar w:fldCharType="begin"/>
      </w:r>
      <w:r>
        <w:instrText xml:space="preserve"> HYPERLINK \l _Toc539734641 </w:instrText>
      </w:r>
      <w:r>
        <w:fldChar w:fldCharType="separate"/>
      </w:r>
      <w:r>
        <w:rPr>
          <w:rFonts w:hint="eastAsia" w:ascii="黑体" w:eastAsia="黑体"/>
          <w:i w:val="0"/>
        </w:rPr>
        <w:t xml:space="preserve">11 </w:t>
      </w:r>
      <w:r>
        <w:rPr>
          <w:rFonts w:hint="eastAsia"/>
        </w:rPr>
        <w:t>病虫草害防治</w:t>
      </w:r>
      <w:r>
        <w:tab/>
      </w:r>
      <w:r>
        <w:fldChar w:fldCharType="begin"/>
      </w:r>
      <w:r>
        <w:instrText xml:space="preserve"> PAGEREF _Toc539734641 \h </w:instrText>
      </w:r>
      <w:r>
        <w:fldChar w:fldCharType="separate"/>
      </w:r>
      <w:r>
        <w:t>3</w:t>
      </w:r>
      <w:r>
        <w:fldChar w:fldCharType="end"/>
      </w:r>
      <w:r>
        <w:fldChar w:fldCharType="end"/>
      </w:r>
    </w:p>
    <w:p w14:paraId="3A4ABB6F">
      <w:pPr>
        <w:pStyle w:val="20"/>
        <w:tabs>
          <w:tab w:val="right" w:leader="dot" w:pos="9354"/>
          <w:tab w:val="clear" w:pos="9298"/>
        </w:tabs>
      </w:pPr>
      <w:r>
        <w:fldChar w:fldCharType="begin"/>
      </w:r>
      <w:r>
        <w:instrText xml:space="preserve"> HYPERLINK \l _Toc349186359 </w:instrText>
      </w:r>
      <w:r>
        <w:fldChar w:fldCharType="separate"/>
      </w:r>
      <w:r>
        <w:rPr>
          <w:rFonts w:hint="eastAsia" w:ascii="黑体" w:eastAsia="黑体"/>
          <w:i w:val="0"/>
        </w:rPr>
        <w:t xml:space="preserve">12 </w:t>
      </w:r>
      <w:r>
        <w:rPr>
          <w:rFonts w:hint="eastAsia"/>
          <w:lang w:val="en-US" w:eastAsia="zh-CN"/>
        </w:rPr>
        <w:t>收获</w:t>
      </w:r>
      <w:r>
        <w:tab/>
      </w:r>
      <w:r>
        <w:fldChar w:fldCharType="begin"/>
      </w:r>
      <w:r>
        <w:instrText xml:space="preserve"> PAGEREF _Toc349186359 \h </w:instrText>
      </w:r>
      <w:r>
        <w:fldChar w:fldCharType="separate"/>
      </w:r>
      <w:r>
        <w:t>3</w:t>
      </w:r>
      <w:r>
        <w:fldChar w:fldCharType="end"/>
      </w:r>
      <w:r>
        <w:fldChar w:fldCharType="end"/>
      </w:r>
    </w:p>
    <w:p w14:paraId="45EAE6E9">
      <w:pPr>
        <w:pStyle w:val="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7"/>
    <w:p w14:paraId="5FA94F69">
      <w:pPr>
        <w:pStyle w:val="93"/>
      </w:pPr>
      <w:bookmarkStart w:id="8" w:name="_Toc893814158"/>
      <w:bookmarkStart w:id="9" w:name="BookMark2"/>
      <w:r>
        <w:rPr>
          <w:spacing w:val="320"/>
        </w:rPr>
        <w:t>前</w:t>
      </w:r>
      <w:r>
        <w:t>言</w:t>
      </w:r>
      <w:bookmarkEnd w:id="8"/>
    </w:p>
    <w:p w14:paraId="672BB005">
      <w:pPr>
        <w:pStyle w:val="60"/>
        <w:ind w:firstLine="420"/>
      </w:pPr>
      <w:r>
        <w:t>本</w:t>
      </w:r>
      <w:r>
        <w:rPr>
          <w:rFonts w:hint="eastAsia"/>
        </w:rPr>
        <w:t>文件</w:t>
      </w:r>
      <w:r>
        <w:t>按照GB/T 1.1</w:t>
      </w:r>
      <w:r>
        <w:rPr>
          <w:rFonts w:hint="eastAsia"/>
        </w:rPr>
        <w:t>—</w:t>
      </w:r>
      <w:r>
        <w:t>2020</w:t>
      </w:r>
      <w:r>
        <w:rPr>
          <w:rFonts w:hint="eastAsia"/>
        </w:rPr>
        <w:t>《标准化工作导则 第1部分：标准化文件的结构和起草规则》的规定</w:t>
      </w:r>
      <w:r>
        <w:t>起草。</w:t>
      </w:r>
    </w:p>
    <w:p w14:paraId="335DB261">
      <w:pPr>
        <w:pStyle w:val="60"/>
        <w:ind w:firstLine="420"/>
      </w:pPr>
      <w:r>
        <w:rPr>
          <w:rFonts w:hint="eastAsia"/>
        </w:rPr>
        <w:t>本文件的某些内容可能涉及专利。本文件的发布机构不承担识别这些专利的责任。</w:t>
      </w:r>
    </w:p>
    <w:p w14:paraId="120C94BF">
      <w:pPr>
        <w:pStyle w:val="60"/>
        <w:ind w:firstLine="420"/>
      </w:pPr>
      <w:r>
        <w:t>本</w:t>
      </w:r>
      <w:r>
        <w:rPr>
          <w:rFonts w:hint="eastAsia"/>
        </w:rPr>
        <w:t>文件</w:t>
      </w:r>
      <w:r>
        <w:t>由北京华夏草业产业技术创新战略联盟提出并归口。</w:t>
      </w:r>
    </w:p>
    <w:p w14:paraId="07B33091">
      <w:pPr>
        <w:pStyle w:val="60"/>
        <w:ind w:firstLine="420"/>
      </w:pPr>
      <w:r>
        <w:t>本</w:t>
      </w:r>
      <w:r>
        <w:rPr>
          <w:rFonts w:hint="eastAsia"/>
        </w:rPr>
        <w:t>文件</w:t>
      </w:r>
      <w:r>
        <w:t>起草单位：</w:t>
      </w:r>
      <w:r>
        <w:rPr>
          <w:rFonts w:hint="default" w:ascii="Times New Roman" w:hAnsi="Times New Roman" w:eastAsia="宋体" w:cs="Times New Roman"/>
          <w:lang w:val="en-US" w:eastAsia="zh-CN"/>
        </w:rPr>
        <w:t>新疆农业大学、西安理工大学、兰州大学</w:t>
      </w:r>
      <w:r>
        <w:rPr>
          <w:rFonts w:hint="eastAsia"/>
        </w:rPr>
        <w:t>。</w:t>
      </w:r>
    </w:p>
    <w:p w14:paraId="005AE19A">
      <w:pPr>
        <w:pStyle w:val="60"/>
        <w:ind w:firstLine="420"/>
      </w:pPr>
      <w:r>
        <w:t>本</w:t>
      </w:r>
      <w:r>
        <w:rPr>
          <w:rFonts w:hint="eastAsia"/>
        </w:rPr>
        <w:t>文件</w:t>
      </w:r>
      <w:r>
        <w:t>主要起草人：</w:t>
      </w:r>
      <w:r>
        <w:rPr>
          <w:rFonts w:hint="eastAsia"/>
          <w:lang w:val="en-US" w:eastAsia="zh-CN"/>
        </w:rPr>
        <w:t>刘美君</w:t>
      </w:r>
      <w:r>
        <w:rPr>
          <w:rFonts w:hint="default" w:ascii="Times New Roman" w:hAnsi="Times New Roman" w:eastAsia="宋体" w:cs="Times New Roman"/>
          <w:lang w:val="en-US" w:eastAsia="zh-CN"/>
        </w:rPr>
        <w:t>、颜安、</w:t>
      </w:r>
      <w:r>
        <w:rPr>
          <w:rFonts w:hint="eastAsia" w:ascii="Times New Roman" w:hAnsi="Times New Roman" w:eastAsia="宋体" w:cs="Times New Roman"/>
          <w:lang w:val="en-US" w:eastAsia="zh-CN"/>
        </w:rPr>
        <w:t>高英志、谢开云、</w:t>
      </w:r>
      <w:r>
        <w:rPr>
          <w:rFonts w:hint="default" w:ascii="Times New Roman" w:hAnsi="Times New Roman" w:eastAsia="宋体" w:cs="Times New Roman"/>
          <w:lang w:val="en-US" w:eastAsia="zh-CN"/>
        </w:rPr>
        <w:t>宁松瑞、王自奎、杨宪龙</w:t>
      </w:r>
      <w:r>
        <w:rPr>
          <w:rFonts w:hint="eastAsia" w:ascii="Times New Roman" w:hAnsi="Times New Roman" w:eastAsia="宋体" w:cs="Times New Roman"/>
          <w:lang w:val="en-US" w:eastAsia="zh-CN"/>
        </w:rPr>
        <w:t>、</w:t>
      </w:r>
      <w:r>
        <w:rPr>
          <w:rFonts w:hint="default" w:ascii="Times New Roman" w:hAnsi="Times New Roman" w:eastAsia="宋体" w:cs="Times New Roman"/>
          <w:lang w:val="en-US" w:eastAsia="zh-CN"/>
        </w:rPr>
        <w:t>王岚、才璐</w:t>
      </w:r>
      <w:r>
        <w:rPr>
          <w:rFonts w:hint="eastAsia"/>
        </w:rPr>
        <w:t>。</w:t>
      </w:r>
    </w:p>
    <w:p w14:paraId="05EFCB79">
      <w:pPr>
        <w:pStyle w:val="60"/>
        <w:ind w:firstLine="420"/>
      </w:pPr>
      <w:r>
        <w:t>本</w:t>
      </w:r>
      <w:r>
        <w:rPr>
          <w:rFonts w:hint="eastAsia"/>
        </w:rPr>
        <w:t>文件</w:t>
      </w:r>
      <w:r>
        <w:t>为首次发布。</w:t>
      </w:r>
    </w:p>
    <w:p w14:paraId="07C8639B">
      <w:pPr>
        <w:pStyle w:val="60"/>
        <w:ind w:firstLine="0" w:firstLineChars="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linePitch="312" w:charSpace="0"/>
        </w:sectPr>
      </w:pPr>
    </w:p>
    <w:bookmarkEnd w:id="9"/>
    <w:sdt>
      <w:sdtPr>
        <w:rPr>
          <w:rFonts w:hint="eastAsia" w:cs="Times New Roman"/>
        </w:rPr>
        <w:tag w:val="NEW_STAND_NAME"/>
        <w:id w:val="147482018"/>
        <w:lock w:val="sdtLocked"/>
        <w:placeholder>
          <w:docPart w:val="9007BED21D5A4928A5350D6486970120"/>
        </w:placeholder>
      </w:sdtPr>
      <w:sdtContent>
        <w:sdt>
          <w:sdtPr>
            <w:rPr>
              <w:rFonts w:hint="eastAsia" w:cs="Times New Roman"/>
            </w:rPr>
            <w:tag w:val="NEW_STAND_NAME"/>
            <w:id w:val="595910757"/>
            <w:lock w:val="sdtLocked"/>
            <w:placeholder>
              <w:docPart w:val="{fc4e62a1-4d19-4fbc-893f-7dce222d055d}"/>
            </w:placeholder>
          </w:sdtPr>
          <w:sdtContent>
            <w:p w14:paraId="2F6969D0">
              <w:pPr>
                <w:pStyle w:val="181"/>
                <w:spacing w:before="850" w:after="680" w:line="240" w:lineRule="auto"/>
                <w:rPr>
                  <w:rFonts w:hint="eastAsia"/>
                </w:rPr>
              </w:pPr>
              <w:bookmarkStart w:id="10" w:name="NEW_STAND_NAME"/>
              <w:bookmarkStart w:id="11" w:name="BookMark4"/>
              <w:r>
                <w:rPr>
                  <w:rFonts w:hint="eastAsia" w:cs="Times New Roman"/>
                </w:rPr>
                <w:t>南疆复播膜下滴灌青贮玉米栽培技术规程</w:t>
              </w:r>
            </w:p>
          </w:sdtContent>
        </w:sdt>
      </w:sdtContent>
    </w:sdt>
    <w:bookmarkEnd w:id="10"/>
    <w:p w14:paraId="7A0D302B">
      <w:pPr>
        <w:pStyle w:val="108"/>
        <w:snapToGrid w:val="0"/>
        <w:spacing w:before="240" w:after="240"/>
      </w:pPr>
      <w:bookmarkStart w:id="12" w:name="_Toc17233325"/>
      <w:bookmarkStart w:id="13" w:name="_Toc26718930"/>
      <w:bookmarkStart w:id="14" w:name="_Toc24884211"/>
      <w:bookmarkStart w:id="15" w:name="_Toc97192964"/>
      <w:bookmarkStart w:id="16" w:name="_Toc17233333"/>
      <w:bookmarkStart w:id="17" w:name="_Toc26648465"/>
      <w:bookmarkStart w:id="18" w:name="_Toc26986771"/>
      <w:bookmarkStart w:id="19" w:name="_Toc26986530"/>
      <w:bookmarkStart w:id="20" w:name="_Toc24884218"/>
      <w:bookmarkStart w:id="21" w:name="_Toc686442741"/>
      <w:r>
        <w:rPr>
          <w:rFonts w:hint="eastAsia"/>
        </w:rPr>
        <w:t>范围</w:t>
      </w:r>
      <w:bookmarkEnd w:id="12"/>
      <w:bookmarkEnd w:id="13"/>
      <w:bookmarkEnd w:id="14"/>
      <w:bookmarkEnd w:id="15"/>
      <w:bookmarkEnd w:id="16"/>
      <w:bookmarkEnd w:id="17"/>
      <w:bookmarkEnd w:id="18"/>
      <w:bookmarkEnd w:id="19"/>
      <w:bookmarkEnd w:id="20"/>
      <w:bookmarkEnd w:id="21"/>
    </w:p>
    <w:p w14:paraId="27A3FFAB">
      <w:pPr>
        <w:pStyle w:val="60"/>
        <w:ind w:firstLine="420"/>
        <w:rPr>
          <w:rFonts w:hint="eastAsia" w:ascii="宋体" w:hAnsi="Times New Roman" w:eastAsia="宋体" w:cs="Times New Roman"/>
          <w:lang w:val="en-US" w:eastAsia="zh-CN"/>
        </w:rPr>
      </w:pPr>
      <w:bookmarkStart w:id="22" w:name="_Hlk152665020"/>
      <w:bookmarkStart w:id="23" w:name="_Toc24884212"/>
      <w:bookmarkStart w:id="24" w:name="_Toc26648466"/>
      <w:bookmarkStart w:id="25" w:name="_Toc24884219"/>
      <w:bookmarkStart w:id="26" w:name="_Toc17233326"/>
      <w:bookmarkStart w:id="27" w:name="_Toc17233334"/>
      <w:r>
        <w:rPr>
          <w:rFonts w:hint="default" w:ascii="宋体" w:hAnsi="Times New Roman" w:eastAsia="宋体" w:cs="Times New Roman"/>
          <w:lang w:val="en-US" w:eastAsia="zh-CN"/>
        </w:rPr>
        <w:t>本文件规定了</w:t>
      </w:r>
      <w:r>
        <w:rPr>
          <w:rFonts w:hint="eastAsia" w:ascii="宋体" w:hAnsi="Times New Roman" w:eastAsia="宋体" w:cs="Times New Roman"/>
          <w:lang w:val="en-US" w:eastAsia="zh-CN"/>
        </w:rPr>
        <w:t>南疆地区麦后复播膜下滴灌</w:t>
      </w:r>
      <w:r>
        <w:rPr>
          <w:rFonts w:hint="default" w:ascii="宋体" w:hAnsi="Times New Roman" w:eastAsia="宋体" w:cs="Times New Roman"/>
          <w:lang w:val="en-US" w:eastAsia="zh-CN"/>
        </w:rPr>
        <w:t>青贮玉米</w:t>
      </w:r>
      <w:r>
        <w:rPr>
          <w:rFonts w:hint="eastAsia" w:ascii="宋体" w:hAnsi="Times New Roman" w:eastAsia="宋体" w:cs="Times New Roman"/>
          <w:lang w:val="en-US" w:eastAsia="zh-CN"/>
        </w:rPr>
        <w:t>栽培</w:t>
      </w:r>
      <w:r>
        <w:rPr>
          <w:rFonts w:hint="default" w:ascii="宋体" w:hAnsi="Times New Roman" w:eastAsia="宋体" w:cs="Times New Roman"/>
          <w:lang w:val="en-US" w:eastAsia="zh-CN"/>
        </w:rPr>
        <w:t>的术语和定义、产地环境条件品种选择、播前准备、播种技术、田间管理、病虫草害防治、收获等技术要求。</w:t>
      </w:r>
    </w:p>
    <w:p w14:paraId="1FF08398">
      <w:pPr>
        <w:pStyle w:val="60"/>
        <w:ind w:firstLine="420"/>
        <w:rPr>
          <w:rFonts w:hint="eastAsia" w:ascii="宋体" w:hAnsi="Times New Roman" w:eastAsia="宋体" w:cs="Times New Roman"/>
          <w:lang w:val="en-US" w:eastAsia="zh-CN"/>
        </w:rPr>
      </w:pPr>
      <w:r>
        <w:rPr>
          <w:rFonts w:hint="default" w:ascii="宋体" w:hAnsi="Times New Roman" w:eastAsia="宋体" w:cs="Times New Roman"/>
          <w:lang w:val="en-US" w:eastAsia="zh-CN"/>
        </w:rPr>
        <w:t>本文件适用于</w:t>
      </w:r>
      <w:r>
        <w:rPr>
          <w:rFonts w:hint="eastAsia" w:ascii="宋体" w:hAnsi="Times New Roman" w:eastAsia="宋体" w:cs="Times New Roman"/>
          <w:lang w:val="en-US" w:eastAsia="zh-CN"/>
        </w:rPr>
        <w:t>南疆冬小麦收获后6月～9月份仍有1900℃～2400℃≥10℃的有效积温，无霜期110 d～120 d的复播膜下滴灌青贮玉米的高产栽培，涵盖轻度、中度盐碱化耕地及常规耕地。</w:t>
      </w:r>
    </w:p>
    <w:bookmarkEnd w:id="22"/>
    <w:p w14:paraId="466B8718">
      <w:pPr>
        <w:pStyle w:val="108"/>
        <w:snapToGrid w:val="0"/>
        <w:spacing w:before="240" w:after="240"/>
      </w:pPr>
      <w:bookmarkStart w:id="28" w:name="_Toc97192965"/>
      <w:bookmarkStart w:id="29" w:name="_Toc26986772"/>
      <w:bookmarkStart w:id="30" w:name="_Toc26986531"/>
      <w:bookmarkStart w:id="31" w:name="_Toc26718931"/>
      <w:bookmarkStart w:id="32" w:name="_Toc760996303"/>
      <w:r>
        <w:rPr>
          <w:rFonts w:hint="eastAsia"/>
        </w:rPr>
        <w:t>规范性引用文件</w:t>
      </w:r>
      <w:bookmarkEnd w:id="23"/>
      <w:bookmarkEnd w:id="24"/>
      <w:bookmarkEnd w:id="25"/>
      <w:bookmarkEnd w:id="26"/>
      <w:bookmarkEnd w:id="27"/>
      <w:bookmarkEnd w:id="28"/>
      <w:bookmarkEnd w:id="29"/>
      <w:bookmarkEnd w:id="30"/>
      <w:bookmarkEnd w:id="31"/>
      <w:bookmarkEnd w:id="32"/>
    </w:p>
    <w:sdt>
      <w:sdtPr>
        <w:rPr>
          <w:rFonts w:hint="eastAsia"/>
        </w:rPr>
        <w:id w:val="715848253"/>
        <w:placeholder>
          <w:docPart w:val="9B680971242B4054BE292EE029BC11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62A8F18">
          <w:pPr>
            <w:pStyle w:val="60"/>
            <w:ind w:firstLine="420"/>
          </w:pPr>
          <w:bookmarkStart w:id="33" w:name="_Hlk152665074"/>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bookmarkEnd w:id="33"/>
    <w:p w14:paraId="6E60239F">
      <w:pPr>
        <w:pStyle w:val="60"/>
        <w:ind w:firstLine="420"/>
        <w:rPr>
          <w:rFonts w:hint="eastAsia" w:ascii="宋体" w:hAnsi="Times New Roman" w:eastAsia="宋体" w:cs="Times New Roman"/>
          <w:lang w:val="en-US" w:eastAsia="zh-CN"/>
        </w:rPr>
      </w:pPr>
      <w:bookmarkStart w:id="34" w:name="_Toc97192966"/>
      <w:r>
        <w:rPr>
          <w:rFonts w:hint="eastAsia" w:ascii="宋体" w:hAnsi="Times New Roman" w:eastAsia="宋体" w:cs="Times New Roman"/>
          <w:lang w:val="en-US" w:eastAsia="zh-CN"/>
        </w:rPr>
        <w:t>GB 4404.1 粮食作物种子 禾谷类</w:t>
      </w:r>
    </w:p>
    <w:p w14:paraId="7A22451B">
      <w:pPr>
        <w:pStyle w:val="60"/>
        <w:ind w:firstLine="420"/>
        <w:rPr>
          <w:rFonts w:hint="eastAsia" w:ascii="宋体" w:hAnsi="Times New Roman" w:eastAsia="宋体" w:cs="Times New Roman"/>
          <w:lang w:val="en-US" w:eastAsia="zh-CN"/>
        </w:rPr>
      </w:pPr>
      <w:r>
        <w:rPr>
          <w:rFonts w:hint="eastAsia" w:ascii="宋体" w:hAnsi="Times New Roman" w:eastAsia="宋体" w:cs="Times New Roman"/>
          <w:lang w:val="en-US" w:eastAsia="zh-CN"/>
        </w:rPr>
        <w:t>GB 4404.2 粮食作物种子 豆类</w:t>
      </w:r>
    </w:p>
    <w:p w14:paraId="4C84A8A9">
      <w:pPr>
        <w:pStyle w:val="60"/>
        <w:ind w:firstLine="420"/>
        <w:rPr>
          <w:rFonts w:hint="eastAsia" w:ascii="宋体" w:hAnsi="Times New Roman" w:eastAsia="宋体" w:cs="Times New Roman"/>
          <w:lang w:val="en-US" w:eastAsia="zh-CN"/>
        </w:rPr>
      </w:pPr>
      <w:r>
        <w:rPr>
          <w:rFonts w:hint="eastAsia" w:ascii="宋体" w:hAnsi="Times New Roman" w:eastAsia="宋体" w:cs="Times New Roman"/>
          <w:lang w:val="en-US" w:eastAsia="zh-CN"/>
        </w:rPr>
        <w:t>GB 5084 农田灌溉水质标准</w:t>
      </w:r>
    </w:p>
    <w:p w14:paraId="064CD161">
      <w:pPr>
        <w:pStyle w:val="60"/>
        <w:ind w:firstLine="420"/>
        <w:rPr>
          <w:rFonts w:hint="eastAsia" w:ascii="宋体" w:hAnsi="Times New Roman" w:eastAsia="宋体" w:cs="Times New Roman"/>
          <w:lang w:val="en-US" w:eastAsia="zh-CN"/>
        </w:rPr>
      </w:pPr>
      <w:r>
        <w:rPr>
          <w:rFonts w:hint="eastAsia" w:ascii="宋体" w:hAnsi="Times New Roman" w:eastAsia="宋体" w:cs="Times New Roman"/>
          <w:lang w:val="en-US" w:eastAsia="zh-CN"/>
        </w:rPr>
        <w:t>GB 15618 土壤环境质量 农用地土壤污染风险管控标准</w:t>
      </w:r>
    </w:p>
    <w:p w14:paraId="6C0573A7">
      <w:pPr>
        <w:pStyle w:val="60"/>
        <w:ind w:firstLine="420"/>
        <w:rPr>
          <w:rFonts w:hint="eastAsia" w:ascii="宋体" w:hAnsi="Times New Roman" w:eastAsia="宋体" w:cs="Times New Roman"/>
          <w:lang w:val="en-US" w:eastAsia="zh-CN"/>
        </w:rPr>
      </w:pPr>
      <w:r>
        <w:rPr>
          <w:rFonts w:hint="eastAsia" w:ascii="宋体" w:hAnsi="Times New Roman" w:eastAsia="宋体" w:cs="Times New Roman"/>
          <w:lang w:val="en-US" w:eastAsia="zh-CN"/>
        </w:rPr>
        <w:t>GB 13735 聚乙烯吹塑农用地面覆盖薄膜</w:t>
      </w:r>
    </w:p>
    <w:p w14:paraId="42D7B2FB">
      <w:pPr>
        <w:pStyle w:val="60"/>
        <w:ind w:firstLine="420"/>
        <w:rPr>
          <w:rFonts w:hint="default" w:ascii="宋体" w:hAnsi="Times New Roman" w:eastAsia="宋体" w:cs="Times New Roman"/>
          <w:lang w:val="en-US" w:eastAsia="zh-CN"/>
        </w:rPr>
      </w:pPr>
      <w:r>
        <w:rPr>
          <w:rFonts w:hint="default" w:ascii="宋体" w:hAnsi="Times New Roman" w:eastAsia="宋体" w:cs="Times New Roman"/>
          <w:lang w:val="en-US" w:eastAsia="zh-CN"/>
        </w:rPr>
        <w:t>GB/T 19812（所有部分） 塑料节水灌溉器材</w:t>
      </w:r>
    </w:p>
    <w:p w14:paraId="536C8F4D">
      <w:pPr>
        <w:pStyle w:val="60"/>
        <w:ind w:firstLine="420"/>
        <w:rPr>
          <w:rFonts w:hint="eastAsia" w:ascii="宋体" w:hAnsi="Times New Roman" w:eastAsia="宋体" w:cs="Times New Roman"/>
          <w:lang w:val="en-US" w:eastAsia="zh-CN"/>
        </w:rPr>
      </w:pPr>
      <w:r>
        <w:rPr>
          <w:rFonts w:hint="eastAsia" w:ascii="宋体" w:hAnsi="Times New Roman" w:eastAsia="宋体" w:cs="Times New Roman"/>
          <w:lang w:val="en-US" w:eastAsia="zh-CN"/>
        </w:rPr>
        <w:t>GB/T 8321（所有部分） 农药合理使用准则</w:t>
      </w:r>
    </w:p>
    <w:p w14:paraId="502A8130">
      <w:pPr>
        <w:pStyle w:val="60"/>
        <w:ind w:firstLine="420"/>
        <w:rPr>
          <w:rFonts w:hint="eastAsia" w:ascii="宋体" w:hAnsi="Times New Roman" w:eastAsia="宋体" w:cs="Times New Roman"/>
          <w:lang w:val="en-US" w:eastAsia="zh-CN"/>
        </w:rPr>
      </w:pPr>
      <w:r>
        <w:rPr>
          <w:rFonts w:hint="eastAsia" w:ascii="宋体" w:hAnsi="Times New Roman" w:eastAsia="宋体" w:cs="Times New Roman"/>
          <w:lang w:val="en-US" w:eastAsia="zh-CN"/>
        </w:rPr>
        <w:t>GB/T 15671 农作物种子包衣技术规范</w:t>
      </w:r>
    </w:p>
    <w:p w14:paraId="1A4AECBB">
      <w:pPr>
        <w:pStyle w:val="60"/>
        <w:ind w:firstLine="420"/>
        <w:rPr>
          <w:rFonts w:hint="eastAsia" w:ascii="宋体" w:hAnsi="Times New Roman" w:eastAsia="宋体" w:cs="Times New Roman"/>
          <w:lang w:val="en-US" w:eastAsia="zh-CN"/>
        </w:rPr>
      </w:pPr>
      <w:r>
        <w:rPr>
          <w:rFonts w:hint="eastAsia" w:ascii="宋体" w:hAnsi="Times New Roman" w:eastAsia="宋体" w:cs="Times New Roman"/>
          <w:lang w:val="en-US" w:eastAsia="zh-CN"/>
        </w:rPr>
        <w:t>NY/T 496 肥料合理使用准则 通则</w:t>
      </w:r>
    </w:p>
    <w:p w14:paraId="58DA08DF">
      <w:pPr>
        <w:pStyle w:val="60"/>
        <w:ind w:firstLine="420"/>
        <w:rPr>
          <w:rFonts w:hint="eastAsia" w:ascii="宋体" w:hAnsi="Times New Roman" w:eastAsia="宋体" w:cs="Times New Roman"/>
          <w:lang w:val="en-US" w:eastAsia="zh-CN"/>
        </w:rPr>
      </w:pPr>
      <w:r>
        <w:rPr>
          <w:rFonts w:hint="eastAsia" w:ascii="宋体" w:hAnsi="Times New Roman" w:eastAsia="宋体" w:cs="Times New Roman"/>
          <w:lang w:val="en-US" w:eastAsia="zh-CN"/>
        </w:rPr>
        <w:t>NY/T 503 播种机作业质量</w:t>
      </w:r>
    </w:p>
    <w:p w14:paraId="1B57D0D6">
      <w:pPr>
        <w:pStyle w:val="60"/>
        <w:ind w:firstLine="420"/>
        <w:rPr>
          <w:rFonts w:hint="eastAsia" w:ascii="宋体" w:hAnsi="Times New Roman" w:eastAsia="宋体" w:cs="Times New Roman"/>
          <w:lang w:val="en-US" w:eastAsia="zh-CN"/>
        </w:rPr>
      </w:pPr>
      <w:r>
        <w:rPr>
          <w:rFonts w:hint="eastAsia" w:ascii="宋体" w:hAnsi="Times New Roman" w:eastAsia="宋体" w:cs="Times New Roman"/>
          <w:lang w:val="en-US" w:eastAsia="zh-CN"/>
        </w:rPr>
        <w:t>NY/T 1276 农药安全使用规范 总则</w:t>
      </w:r>
    </w:p>
    <w:p w14:paraId="6E3EF633">
      <w:pPr>
        <w:pStyle w:val="60"/>
        <w:ind w:firstLine="420"/>
        <w:rPr>
          <w:rFonts w:hint="eastAsia"/>
        </w:rPr>
      </w:pPr>
    </w:p>
    <w:p w14:paraId="20ED1009">
      <w:pPr>
        <w:pStyle w:val="108"/>
        <w:spacing w:before="240" w:after="240"/>
      </w:pPr>
      <w:bookmarkStart w:id="35" w:name="_Toc1799746636"/>
      <w:r>
        <w:rPr>
          <w:rFonts w:hint="eastAsia"/>
        </w:rPr>
        <w:t>术语和定义</w:t>
      </w:r>
      <w:bookmarkEnd w:id="34"/>
      <w:bookmarkEnd w:id="35"/>
    </w:p>
    <w:sdt>
      <w:sdtPr>
        <w:id w:val="-1"/>
        <w:placeholder>
          <w:docPart w:val="9E7E122402384C4FADCD8D498C6065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18CE477">
          <w:pPr>
            <w:pStyle w:val="60"/>
            <w:ind w:firstLine="420"/>
            <w:rPr>
              <w:rFonts w:hint="eastAsia" w:ascii="黑体" w:hAnsi="黑体" w:eastAsia="黑体"/>
            </w:rPr>
          </w:pPr>
          <w:bookmarkStart w:id="36" w:name="_Toc26986532"/>
          <w:bookmarkEnd w:id="36"/>
          <w:bookmarkStart w:id="37" w:name="_Hlk152665129"/>
          <w:r>
            <w:t>下列术语和定义适用于本文件。</w:t>
          </w:r>
        </w:p>
      </w:sdtContent>
    </w:sdt>
    <w:bookmarkEnd w:id="37"/>
    <w:p w14:paraId="55256FBD">
      <w:pPr>
        <w:pStyle w:val="109"/>
        <w:spacing w:before="0" w:beforeLines="0" w:after="0" w:afterLines="0"/>
      </w:pPr>
    </w:p>
    <w:p w14:paraId="183C7C94">
      <w:pPr>
        <w:pStyle w:val="60"/>
        <w:ind w:firstLine="420"/>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南疆复播 southern Xinjiang relay cropping</w:t>
      </w:r>
    </w:p>
    <w:p w14:paraId="63840837">
      <w:pPr>
        <w:pStyle w:val="60"/>
        <w:ind w:firstLine="420"/>
        <w:rPr>
          <w:color w:val="000000" w:themeColor="text1"/>
          <w14:textFill>
            <w14:solidFill>
              <w14:schemeClr w14:val="tx1"/>
            </w14:solidFill>
          </w14:textFill>
        </w:rPr>
      </w:pPr>
      <w:r>
        <w:rPr>
          <w:rFonts w:hint="eastAsia"/>
        </w:rPr>
        <w:t>在南疆地区冬小麦收获后，利用夏秋季光热资源在同一地块再次播种作物的种植方式。</w:t>
      </w:r>
    </w:p>
    <w:p w14:paraId="5B3C06A3">
      <w:pPr>
        <w:pStyle w:val="109"/>
        <w:spacing w:before="0" w:beforeLines="0" w:after="0" w:afterLines="0"/>
      </w:pPr>
    </w:p>
    <w:p w14:paraId="28D78132">
      <w:pPr>
        <w:pStyle w:val="60"/>
        <w:ind w:firstLine="420"/>
        <w:rPr>
          <w:rFonts w:hint="eastAsia" w:ascii="黑体" w:hAnsi="黑体" w:eastAsia="黑体"/>
          <w:color w:val="000000" w:themeColor="text1"/>
          <w:lang w:val="en-US" w:eastAsia="zh-CN"/>
          <w14:textFill>
            <w14:solidFill>
              <w14:schemeClr w14:val="tx1"/>
            </w14:solidFill>
          </w14:textFill>
        </w:rPr>
      </w:pPr>
      <w:r>
        <w:rPr>
          <w:rFonts w:hint="eastAsia" w:ascii="黑体" w:hAnsi="黑体" w:eastAsia="黑体"/>
          <w:color w:val="000000" w:themeColor="text1"/>
          <w:lang w:val="en-US" w:eastAsia="zh-CN"/>
          <w14:textFill>
            <w14:solidFill>
              <w14:schemeClr w14:val="tx1"/>
            </w14:solidFill>
          </w14:textFill>
        </w:rPr>
        <w:t>青贮玉米 silage maize</w:t>
      </w:r>
    </w:p>
    <w:p w14:paraId="6E8416CE">
      <w:pPr>
        <w:pStyle w:val="60"/>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以全株（包括茎、叶、穗）为收获对象，经切碎、压实、密封发酵后制作青贮饲料的玉米种植类型。</w:t>
      </w:r>
    </w:p>
    <w:p w14:paraId="5C6BCD27">
      <w:pPr>
        <w:pStyle w:val="109"/>
        <w:spacing w:before="0" w:beforeLines="0" w:after="0" w:afterLines="0"/>
      </w:pPr>
    </w:p>
    <w:p w14:paraId="2EAA35CC">
      <w:pPr>
        <w:pStyle w:val="60"/>
        <w:ind w:firstLine="420"/>
      </w:pPr>
      <w:r>
        <w:rPr>
          <w:rFonts w:hint="eastAsia" w:ascii="黑体" w:hAnsi="黑体" w:eastAsia="黑体"/>
          <w:color w:val="000000" w:themeColor="text1"/>
          <w14:textFill>
            <w14:solidFill>
              <w14:schemeClr w14:val="tx1"/>
            </w14:solidFill>
          </w14:textFill>
        </w:rPr>
        <w:t>膜下滴灌 drip irrigation under plastic film</w:t>
      </w:r>
    </w:p>
    <w:p w14:paraId="52DEAAC6">
      <w:pPr>
        <w:pStyle w:val="60"/>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在地膜覆盖条件下，通过滴灌系统将水分和养分直接输送到作物根区土壤的灌溉施肥方式。</w:t>
      </w:r>
    </w:p>
    <w:p w14:paraId="434A5BB3">
      <w:pPr>
        <w:pStyle w:val="109"/>
        <w:spacing w:before="0" w:beforeLines="0" w:after="0" w:afterLines="0"/>
      </w:pPr>
    </w:p>
    <w:p w14:paraId="16ACBFD7">
      <w:pPr>
        <w:pStyle w:val="60"/>
        <w:ind w:firstLine="420"/>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水肥一体化 water and fertilizer integration</w:t>
      </w:r>
    </w:p>
    <w:p w14:paraId="7C485E76">
      <w:pPr>
        <w:pStyle w:val="60"/>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根据作物需水需肥规律，将可溶性肥料按比例溶解于灌溉水中，通过滴灌系统随水施入作物根区的施肥方法。</w:t>
      </w:r>
    </w:p>
    <w:p w14:paraId="7F5CE061">
      <w:pPr>
        <w:pStyle w:val="108"/>
        <w:spacing w:before="240" w:after="240"/>
      </w:pPr>
      <w:bookmarkStart w:id="38" w:name="_Toc1034543257"/>
      <w:r>
        <w:rPr>
          <w:rFonts w:hint="eastAsia"/>
        </w:rPr>
        <w:t>地块选择</w:t>
      </w:r>
      <w:bookmarkEnd w:id="38"/>
    </w:p>
    <w:p w14:paraId="4E80533B">
      <w:pPr>
        <w:pStyle w:val="60"/>
        <w:ind w:firstLine="420"/>
      </w:pPr>
      <w:r>
        <w:rPr>
          <w:rFonts w:hint="eastAsia"/>
        </w:rPr>
        <w:t>选择地势平坦、土壤肥沃、土层深厚、排灌方便的地块，总盐含量≤0.2%，灌溉水质应符合 GB 5084标准规定执行。</w:t>
      </w:r>
    </w:p>
    <w:bookmarkEnd w:id="11"/>
    <w:p w14:paraId="1642F64F">
      <w:pPr>
        <w:pStyle w:val="108"/>
        <w:spacing w:before="240" w:after="240"/>
      </w:pPr>
      <w:bookmarkStart w:id="39" w:name="_Toc1540914287"/>
      <w:r>
        <w:rPr>
          <w:rFonts w:hint="eastAsia"/>
        </w:rPr>
        <w:t>土地整理</w:t>
      </w:r>
      <w:bookmarkEnd w:id="39"/>
    </w:p>
    <w:p w14:paraId="21EFE9C0">
      <w:pPr>
        <w:pStyle w:val="109"/>
        <w:snapToGrid w:val="0"/>
        <w:spacing w:before="120" w:after="120"/>
      </w:pPr>
      <w:r>
        <w:rPr>
          <w:rFonts w:hint="eastAsia"/>
        </w:rPr>
        <w:t>整地</w:t>
      </w:r>
    </w:p>
    <w:p w14:paraId="6C027E53">
      <w:pPr>
        <w:pStyle w:val="60"/>
        <w:ind w:firstLine="420"/>
        <w:rPr>
          <w:rFonts w:hint="eastAsia" w:ascii="宋体" w:hAnsi="Times New Roman" w:eastAsia="宋体" w:cs="Times New Roman"/>
        </w:rPr>
      </w:pPr>
      <w:r>
        <w:rPr>
          <w:rFonts w:hint="eastAsia" w:ascii="宋体" w:hAnsi="Times New Roman" w:eastAsia="宋体" w:cs="Times New Roman"/>
        </w:rPr>
        <w:t>播前精细整地，质量达到“齐、平、松、碎、净、墒”六字标准。</w:t>
      </w:r>
      <w:r>
        <w:rPr>
          <w:rFonts w:hint="eastAsia" w:ascii="宋体" w:hAnsi="Times New Roman" w:eastAsia="宋体" w:cs="Times New Roman"/>
          <w:lang w:val="en-US" w:eastAsia="zh-CN"/>
        </w:rPr>
        <w:t>结合整地清除前茬作物残留和杂草。</w:t>
      </w:r>
    </w:p>
    <w:p w14:paraId="3FF4C0E9">
      <w:pPr>
        <w:pStyle w:val="109"/>
        <w:snapToGrid w:val="0"/>
        <w:spacing w:before="120" w:after="120"/>
      </w:pPr>
      <w:r>
        <w:rPr>
          <w:rFonts w:hint="eastAsia"/>
        </w:rPr>
        <w:t>施基肥</w:t>
      </w:r>
    </w:p>
    <w:p w14:paraId="2B9980BD">
      <w:pPr>
        <w:pStyle w:val="178"/>
        <w:rPr>
          <w:rFonts w:hint="eastAsia" w:ascii="宋体" w:hAnsi="Times New Roman" w:eastAsia="宋体" w:cs="Times New Roman"/>
          <w:lang w:val="en-US" w:eastAsia="zh-CN"/>
        </w:rPr>
      </w:pPr>
      <w:r>
        <w:rPr>
          <w:rFonts w:hint="eastAsia" w:ascii="宋体" w:hAnsi="Times New Roman" w:eastAsia="宋体" w:cs="Times New Roman"/>
          <w:lang w:val="en-US" w:eastAsia="zh-CN"/>
        </w:rPr>
        <w:t>视土壤肥力状况施肥，一般基施尿素110 kg/hm</w:t>
      </w:r>
      <w:r>
        <w:rPr>
          <w:rFonts w:hint="eastAsia" w:ascii="宋体" w:hAnsi="Times New Roman" w:eastAsia="宋体" w:cs="Times New Roman"/>
          <w:vertAlign w:val="superscript"/>
          <w:lang w:val="en-US" w:eastAsia="zh-CN"/>
        </w:rPr>
        <w:t>2</w:t>
      </w:r>
      <w:r>
        <w:rPr>
          <w:rFonts w:hint="eastAsia" w:ascii="宋体" w:hAnsi="Times New Roman" w:eastAsia="宋体" w:cs="Times New Roman"/>
          <w:lang w:val="en-US" w:eastAsia="zh-CN"/>
        </w:rPr>
        <w:t>～180 kg/hm²，磷酸一铵 22.5 kg/hm</w:t>
      </w:r>
      <w:r>
        <w:rPr>
          <w:rFonts w:hint="eastAsia" w:ascii="宋体" w:hAnsi="Times New Roman" w:eastAsia="宋体" w:cs="Times New Roman"/>
          <w:vertAlign w:val="superscript"/>
          <w:lang w:val="en-US" w:eastAsia="zh-CN"/>
        </w:rPr>
        <w:t>2</w:t>
      </w:r>
      <w:r>
        <w:rPr>
          <w:rFonts w:hint="eastAsia" w:ascii="宋体" w:hAnsi="Times New Roman" w:eastAsia="宋体" w:cs="Times New Roman"/>
          <w:lang w:val="en-US" w:eastAsia="zh-CN"/>
        </w:rPr>
        <w:t>～30 kg/hm</w:t>
      </w:r>
      <w:r>
        <w:rPr>
          <w:rFonts w:hint="eastAsia" w:ascii="宋体" w:hAnsi="Times New Roman" w:eastAsia="宋体" w:cs="Times New Roman"/>
          <w:vertAlign w:val="superscript"/>
          <w:lang w:val="en-US" w:eastAsia="zh-CN"/>
        </w:rPr>
        <w:t>2</w:t>
      </w:r>
      <w:r>
        <w:rPr>
          <w:rFonts w:hint="eastAsia" w:ascii="宋体" w:hAnsi="Times New Roman" w:eastAsia="宋体" w:cs="Times New Roman"/>
          <w:lang w:val="en-US" w:eastAsia="zh-CN"/>
        </w:rPr>
        <w:t>。再用旋耕机耙细、耙平土壤。</w:t>
      </w:r>
      <w:bookmarkStart w:id="49" w:name="_GoBack"/>
      <w:bookmarkEnd w:id="49"/>
    </w:p>
    <w:p w14:paraId="3AECA130">
      <w:pPr>
        <w:pStyle w:val="108"/>
        <w:spacing w:before="240" w:after="240"/>
      </w:pPr>
      <w:bookmarkStart w:id="40" w:name="_Toc1641122436"/>
      <w:r>
        <w:rPr>
          <w:rFonts w:hint="eastAsia"/>
        </w:rPr>
        <w:t>种子准备</w:t>
      </w:r>
      <w:bookmarkEnd w:id="40"/>
    </w:p>
    <w:p w14:paraId="22F06FB4">
      <w:pPr>
        <w:pStyle w:val="109"/>
        <w:snapToGrid w:val="0"/>
        <w:spacing w:before="120" w:after="120"/>
      </w:pPr>
      <w:r>
        <w:rPr>
          <w:rFonts w:hint="eastAsia"/>
        </w:rPr>
        <w:t>品种选择</w:t>
      </w:r>
    </w:p>
    <w:p w14:paraId="7CFA07E1">
      <w:pPr>
        <w:pStyle w:val="178"/>
      </w:pPr>
      <w:r>
        <w:rPr>
          <w:rFonts w:hint="eastAsia"/>
        </w:rPr>
        <w:t>选用适合本区域种植的有效积温 2300～2400℃已审定（引种备案）专用青贮玉米品种，或粮饲兼用型高产、优质、抗逆性强、持绿性好、适应性广的优良品种。如新饲玉 13 号、新玉 15 号、新玉 9号等。种子包装应符合 GB/T 7414 的规定，种子质量应符合 GB 4404.1 的规定。</w:t>
      </w:r>
    </w:p>
    <w:p w14:paraId="1F0D4B7C">
      <w:pPr>
        <w:pStyle w:val="109"/>
        <w:snapToGrid w:val="0"/>
        <w:spacing w:before="120" w:after="120"/>
      </w:pPr>
      <w:r>
        <w:rPr>
          <w:rFonts w:hint="eastAsia"/>
        </w:rPr>
        <w:t>种子</w:t>
      </w:r>
      <w:r>
        <w:rPr>
          <w:rFonts w:hint="eastAsia"/>
          <w:lang w:val="en-US" w:eastAsia="zh-CN"/>
        </w:rPr>
        <w:t>处理</w:t>
      </w:r>
    </w:p>
    <w:p w14:paraId="5C159A8E">
      <w:pPr>
        <w:pStyle w:val="178"/>
        <w:rPr>
          <w:rFonts w:hint="eastAsia" w:ascii="宋体" w:hAnsi="Times New Roman" w:eastAsia="宋体" w:cs="Times New Roman"/>
        </w:rPr>
      </w:pPr>
      <w:r>
        <w:rPr>
          <w:rFonts w:hint="eastAsia" w:ascii="宋体" w:hAnsi="Times New Roman" w:eastAsia="宋体" w:cs="Times New Roman"/>
          <w:lang w:val="en-US" w:eastAsia="zh-CN"/>
        </w:rPr>
        <w:t>播种前，玉米种子宜进行包衣，以防治苗期病虫害，包衣质量应符合GB/T 15671的规定。</w:t>
      </w:r>
    </w:p>
    <w:p w14:paraId="43D71081">
      <w:pPr>
        <w:pStyle w:val="108"/>
        <w:spacing w:before="240" w:after="240"/>
      </w:pPr>
      <w:bookmarkStart w:id="41" w:name="_Toc64819784"/>
      <w:r>
        <w:rPr>
          <w:rFonts w:hint="eastAsia"/>
        </w:rPr>
        <w:t>播种</w:t>
      </w:r>
      <w:bookmarkEnd w:id="41"/>
    </w:p>
    <w:p w14:paraId="2CA0F351">
      <w:pPr>
        <w:pStyle w:val="109"/>
        <w:snapToGrid w:val="0"/>
        <w:spacing w:before="120" w:after="120"/>
      </w:pPr>
      <w:r>
        <w:rPr>
          <w:rFonts w:hint="eastAsia"/>
        </w:rPr>
        <w:t>播种时间</w:t>
      </w:r>
    </w:p>
    <w:p w14:paraId="35A324B9">
      <w:pPr>
        <w:keepNext w:val="0"/>
        <w:keepLines w:val="0"/>
        <w:widowControl/>
        <w:suppressLineNumbers w:val="0"/>
        <w:jc w:val="left"/>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适宜播种期 6 月 20 日～7 月 10 日。前茬小麦收获后及时翻整土地，进行犁、耙、播种。</w:t>
      </w:r>
    </w:p>
    <w:p w14:paraId="4EC48CD2">
      <w:pPr>
        <w:pStyle w:val="109"/>
        <w:snapToGrid w:val="0"/>
        <w:spacing w:before="120" w:after="120"/>
      </w:pPr>
      <w:r>
        <w:rPr>
          <w:rFonts w:hint="eastAsia"/>
        </w:rPr>
        <w:t>播种方式</w:t>
      </w:r>
    </w:p>
    <w:p w14:paraId="655B364B">
      <w:pPr>
        <w:keepNext w:val="0"/>
        <w:keepLines w:val="0"/>
        <w:widowControl/>
        <w:suppressLineNumbers w:val="0"/>
        <w:jc w:val="left"/>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采用宽窄行种植模式，窄行 35 cm～40 cm，宽行 65 cm～70 cm行距配置宜采用一膜一带两行模式，地膜覆盖宽行，滴灌带铺设在窄行中间。</w:t>
      </w:r>
    </w:p>
    <w:p w14:paraId="773ECB90">
      <w:pPr>
        <w:pStyle w:val="109"/>
        <w:snapToGrid w:val="0"/>
        <w:spacing w:before="120" w:after="120"/>
      </w:pPr>
      <w:r>
        <w:rPr>
          <w:rFonts w:hint="eastAsia"/>
        </w:rPr>
        <w:t>播种量</w:t>
      </w:r>
      <w:r>
        <w:rPr>
          <w:rFonts w:hint="eastAsia"/>
          <w:lang w:val="en-US" w:eastAsia="zh-CN"/>
        </w:rPr>
        <w:t>及保苗密度</w:t>
      </w:r>
    </w:p>
    <w:p w14:paraId="14991037">
      <w:pPr>
        <w:pStyle w:val="178"/>
        <w:rPr>
          <w:rFonts w:hint="default" w:eastAsia="宋体"/>
          <w:lang w:val="en-US" w:eastAsia="zh-CN"/>
        </w:rPr>
      </w:pPr>
      <w:r>
        <w:rPr>
          <w:rFonts w:hint="eastAsia"/>
        </w:rPr>
        <w:t>播量 30～37.5 kg/hm</w:t>
      </w:r>
      <w:r>
        <w:rPr>
          <w:rFonts w:hint="eastAsia"/>
          <w:vertAlign w:val="superscript"/>
          <w:lang w:val="en-US" w:eastAsia="zh-CN"/>
        </w:rPr>
        <w:t>2</w:t>
      </w:r>
      <w:r>
        <w:rPr>
          <w:rFonts w:hint="eastAsia"/>
          <w:vertAlign w:val="baseline"/>
          <w:lang w:val="en-US" w:eastAsia="zh-CN"/>
        </w:rPr>
        <w:t>，</w:t>
      </w:r>
      <w:r>
        <w:rPr>
          <w:rFonts w:hint="eastAsia"/>
        </w:rPr>
        <w:t>保苗密度为 82500～90000 株/hm</w:t>
      </w:r>
      <w:r>
        <w:rPr>
          <w:rFonts w:hint="eastAsia"/>
          <w:vertAlign w:val="superscript"/>
          <w:lang w:val="en-US" w:eastAsia="zh-CN"/>
        </w:rPr>
        <w:t>2</w:t>
      </w:r>
      <w:r>
        <w:rPr>
          <w:rFonts w:hint="eastAsia"/>
          <w:lang w:val="en-US" w:eastAsia="zh-CN"/>
        </w:rPr>
        <w:t>。</w:t>
      </w:r>
    </w:p>
    <w:p w14:paraId="0DA4784E">
      <w:pPr>
        <w:pStyle w:val="109"/>
        <w:snapToGrid w:val="0"/>
        <w:spacing w:before="120" w:after="120"/>
        <w:rPr>
          <w:rFonts w:hint="eastAsia"/>
        </w:rPr>
      </w:pPr>
      <w:r>
        <w:rPr>
          <w:rFonts w:hint="eastAsia" w:hAnsi="Times New Roman" w:cs="Times New Roman"/>
        </w:rPr>
        <w:t>播种作业</w:t>
      </w:r>
    </w:p>
    <w:p w14:paraId="3F1437DE">
      <w:pPr>
        <w:keepNext w:val="0"/>
        <w:keepLines w:val="0"/>
        <w:widowControl/>
        <w:suppressLineNumbers w:val="0"/>
        <w:jc w:val="left"/>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选用覆膜播种一体机，一次性完成覆膜、铺管、播种、覆土作业。播种后立即连接滴灌系统，确保滴灌管路通畅。</w:t>
      </w:r>
    </w:p>
    <w:p w14:paraId="6C23CAE7">
      <w:pPr>
        <w:pStyle w:val="108"/>
        <w:spacing w:before="240" w:after="240"/>
        <w:rPr>
          <w:rFonts w:hint="eastAsia"/>
        </w:rPr>
      </w:pPr>
      <w:bookmarkStart w:id="42" w:name="_Toc651900659"/>
      <w:r>
        <w:rPr>
          <w:rFonts w:hint="eastAsia"/>
        </w:rPr>
        <w:t>膜下滴灌系统布置</w:t>
      </w:r>
      <w:bookmarkEnd w:id="42"/>
    </w:p>
    <w:p w14:paraId="083115DB">
      <w:pPr>
        <w:pStyle w:val="109"/>
        <w:snapToGrid w:val="0"/>
        <w:spacing w:before="120" w:after="120"/>
        <w:rPr>
          <w:rFonts w:hint="eastAsia" w:hAnsi="Times New Roman" w:cs="Times New Roman"/>
          <w:lang w:val="en-US" w:eastAsia="zh-CN"/>
        </w:rPr>
      </w:pPr>
      <w:r>
        <w:rPr>
          <w:rFonts w:hint="eastAsia" w:hAnsi="Times New Roman" w:cs="Times New Roman"/>
        </w:rPr>
        <w:t>滴灌带选择与布置</w:t>
      </w:r>
    </w:p>
    <w:p w14:paraId="538B7E96">
      <w:pPr>
        <w:pStyle w:val="178"/>
        <w:rPr>
          <w:rFonts w:hint="eastAsia" w:ascii="宋体" w:hAnsi="Times New Roman" w:eastAsia="宋体" w:cs="Times New Roman"/>
        </w:rPr>
      </w:pPr>
      <w:r>
        <w:rPr>
          <w:rFonts w:hint="eastAsia" w:ascii="宋体" w:hAnsi="Times New Roman" w:eastAsia="宋体" w:cs="Times New Roman"/>
          <w:lang w:val="en-US" w:eastAsia="zh-CN"/>
        </w:rPr>
        <w:t>选用单翼迷宫式或贴片式滴灌带，滴头间距 20 cm～30 cm，滴头流量 2.0 L/h～3.0 L/h，滴灌带铺设长度 60 m～70 m。根据土壤质地调整滴灌带参数：砂壤土选用滴头间距 20 cm、滴头流量 2.8 L/h～3.0 L/h；壤土选用滴头间距 25 cm、滴头流量 2.6 L/h～2.8 L/h；黏土选用滴头间距 30 cm、滴头流量 2.0 L/h～2.6 L/h。滴灌带质量应符合GB/T 19812的规定。</w:t>
      </w:r>
    </w:p>
    <w:p w14:paraId="5C7596ED">
      <w:pPr>
        <w:pStyle w:val="109"/>
        <w:snapToGrid w:val="0"/>
        <w:spacing w:before="120" w:after="120"/>
        <w:rPr>
          <w:rFonts w:hint="eastAsia" w:hAnsi="Times New Roman" w:cs="Times New Roman"/>
        </w:rPr>
      </w:pPr>
      <w:r>
        <w:rPr>
          <w:rFonts w:hint="eastAsia" w:hAnsi="Times New Roman" w:cs="Times New Roman"/>
        </w:rPr>
        <w:t>地膜选择与覆盖</w:t>
      </w:r>
    </w:p>
    <w:p w14:paraId="74533058">
      <w:pPr>
        <w:pStyle w:val="178"/>
        <w:rPr>
          <w:rFonts w:hint="eastAsia" w:ascii="宋体" w:hAnsi="Times New Roman" w:eastAsia="宋体" w:cs="Times New Roman"/>
          <w:lang w:val="en-US" w:eastAsia="zh-CN"/>
        </w:rPr>
      </w:pPr>
      <w:r>
        <w:rPr>
          <w:rFonts w:hint="eastAsia" w:ascii="宋体" w:hAnsi="Times New Roman" w:eastAsia="宋体" w:cs="Times New Roman"/>
          <w:lang w:val="en-US" w:eastAsia="zh-CN"/>
        </w:rPr>
        <w:t>选用幅宽 70 cm、厚度≥0.010 mm的全生物降解地膜或普通地膜。覆膜后膜面应平展紧贴地面，膜两侧用土压严压实，膜上每隔 2 m打一条土带固定，防止大风揭膜。地膜质量应符合GB 13735 的规定。</w:t>
      </w:r>
    </w:p>
    <w:p w14:paraId="2EE45907">
      <w:pPr>
        <w:pStyle w:val="109"/>
        <w:snapToGrid w:val="0"/>
        <w:spacing w:before="120" w:after="120"/>
        <w:rPr>
          <w:rFonts w:hint="eastAsia" w:hAnsi="Times New Roman" w:cs="Times New Roman"/>
        </w:rPr>
      </w:pPr>
      <w:r>
        <w:rPr>
          <w:rFonts w:hint="eastAsia" w:hAnsi="Times New Roman" w:cs="Times New Roman"/>
        </w:rPr>
        <w:t>滴灌系统检查</w:t>
      </w:r>
    </w:p>
    <w:p w14:paraId="77314D39">
      <w:pPr>
        <w:pStyle w:val="178"/>
        <w:rPr>
          <w:rFonts w:hint="eastAsia" w:ascii="宋体" w:hAnsi="Times New Roman" w:eastAsia="宋体" w:cs="Times New Roman"/>
          <w:lang w:val="en-US" w:eastAsia="zh-CN"/>
        </w:rPr>
      </w:pPr>
      <w:r>
        <w:rPr>
          <w:rFonts w:hint="eastAsia" w:ascii="宋体" w:hAnsi="Times New Roman" w:eastAsia="宋体" w:cs="Times New Roman"/>
          <w:lang w:val="en-US" w:eastAsia="zh-CN"/>
        </w:rPr>
        <w:t>播种铺管后应检查滴灌系统压力及运行状况，主管道工作压力控制在 0.05 MPa～0.10 MPa，确保滴灌系统均匀供水。</w:t>
      </w:r>
    </w:p>
    <w:p w14:paraId="41088BBA">
      <w:pPr>
        <w:pStyle w:val="108"/>
        <w:spacing w:before="240" w:after="240"/>
        <w:rPr>
          <w:rFonts w:hint="eastAsia"/>
        </w:rPr>
      </w:pPr>
      <w:bookmarkStart w:id="43" w:name="_Toc32808819"/>
      <w:r>
        <w:rPr>
          <w:rFonts w:hint="eastAsia" w:hAnsi="Times New Roman" w:cs="Times New Roman"/>
        </w:rPr>
        <w:t>水肥一体化管理</w:t>
      </w:r>
      <w:bookmarkEnd w:id="43"/>
    </w:p>
    <w:p w14:paraId="19B8F1A5">
      <w:pPr>
        <w:pStyle w:val="109"/>
        <w:snapToGrid w:val="0"/>
        <w:spacing w:before="120" w:after="120"/>
        <w:rPr>
          <w:rFonts w:hint="eastAsia" w:hAnsi="Times New Roman" w:cs="Times New Roman"/>
        </w:rPr>
      </w:pPr>
      <w:r>
        <w:rPr>
          <w:rFonts w:hint="eastAsia" w:hAnsi="Times New Roman" w:cs="Times New Roman"/>
        </w:rPr>
        <w:t>灌溉制度</w:t>
      </w:r>
    </w:p>
    <w:p w14:paraId="137E28D4">
      <w:pPr>
        <w:pStyle w:val="108"/>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ind w:leftChars="0" w:firstLine="420" w:firstLineChars="200"/>
        <w:textAlignment w:val="auto"/>
        <w:rPr>
          <w:rFonts w:hint="eastAsia" w:ascii="宋体" w:hAnsi="Times New Roman" w:eastAsia="宋体" w:cs="Times New Roman"/>
          <w:sz w:val="21"/>
          <w:lang w:val="en-US" w:eastAsia="zh-CN" w:bidi="ar-SA"/>
        </w:rPr>
      </w:pPr>
      <w:bookmarkStart w:id="44" w:name="_Toc1662007301"/>
      <w:r>
        <w:rPr>
          <w:rFonts w:hint="eastAsia" w:ascii="宋体" w:hAnsi="Times New Roman" w:eastAsia="宋体" w:cs="Times New Roman"/>
          <w:sz w:val="21"/>
          <w:lang w:val="en-US" w:eastAsia="zh-CN" w:bidi="ar-SA"/>
        </w:rPr>
        <w:t>播后24 h内滴出苗水，灌水量为 300～400 m³/hm²，要求滴匀滴透，确保出苗整齐。全生育期灌水 7～8次，灌水周期 5 d～7 d，全生育期总灌水量 5000～6000 m³/hm²。各生育阶段土壤含水量应保持在田间持水量的 65%～80%。灌水水质应符合GB 5084的规定。</w:t>
      </w:r>
      <w:bookmarkEnd w:id="44"/>
    </w:p>
    <w:p w14:paraId="7A3126E9">
      <w:pPr>
        <w:pStyle w:val="109"/>
        <w:snapToGrid w:val="0"/>
        <w:spacing w:before="120" w:after="120"/>
        <w:rPr>
          <w:rFonts w:hint="eastAsia" w:hAnsi="Times New Roman" w:cs="Times New Roman"/>
          <w:lang w:val="en-US" w:eastAsia="zh-CN"/>
        </w:rPr>
      </w:pPr>
      <w:r>
        <w:rPr>
          <w:rFonts w:hint="eastAsia" w:hAnsi="Times New Roman" w:cs="Times New Roman"/>
          <w:lang w:val="en-US" w:eastAsia="zh-CN"/>
        </w:rPr>
        <w:t>施肥量与施肥方案</w:t>
      </w:r>
    </w:p>
    <w:p w14:paraId="4BEC9563">
      <w:pPr>
        <w:pStyle w:val="60"/>
        <w:ind w:left="0" w:leftChars="0" w:firstLine="420" w:firstLineChars="20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在各生育时期随水追</w:t>
      </w:r>
      <w:r>
        <w:rPr>
          <w:rFonts w:hint="eastAsia" w:ascii="宋体" w:hAnsi="Times New Roman" w:eastAsia="宋体" w:cs="Times New Roman"/>
          <w:sz w:val="21"/>
          <w:highlight w:val="none"/>
          <w:lang w:val="en-US" w:eastAsia="zh-CN" w:bidi="ar-SA"/>
        </w:rPr>
        <w:t>施肥料，</w:t>
      </w:r>
      <w:r>
        <w:rPr>
          <w:rFonts w:hint="eastAsia" w:ascii="宋体" w:hAnsi="Times New Roman" w:eastAsia="宋体" w:cs="Times New Roman"/>
          <w:sz w:val="21"/>
          <w:highlight w:val="none"/>
          <w:lang w:val="en-US" w:eastAsia="zh-CN" w:bidi="ar-SA"/>
        </w:rPr>
        <w:t>尿素总量 600 kg/hm</w:t>
      </w:r>
      <w:r>
        <w:rPr>
          <w:rFonts w:hint="eastAsia" w:ascii="宋体" w:hAnsi="Times New Roman" w:eastAsia="宋体" w:cs="Times New Roman"/>
          <w:sz w:val="21"/>
          <w:highlight w:val="none"/>
          <w:vertAlign w:val="superscript"/>
          <w:lang w:val="en-US" w:eastAsia="zh-CN" w:bidi="ar-SA"/>
        </w:rPr>
        <w:t>2</w:t>
      </w:r>
      <w:r>
        <w:rPr>
          <w:rFonts w:hint="eastAsia" w:ascii="宋体" w:hAnsi="Times New Roman" w:eastAsia="宋体" w:cs="Times New Roman"/>
          <w:sz w:val="21"/>
          <w:highlight w:val="none"/>
          <w:lang w:val="en-US" w:eastAsia="zh-CN" w:bidi="ar-SA"/>
        </w:rPr>
        <w:t>，每次 75～120 kg/hm</w:t>
      </w:r>
      <w:r>
        <w:rPr>
          <w:rFonts w:hint="eastAsia" w:ascii="宋体" w:hAnsi="Times New Roman" w:eastAsia="宋体" w:cs="Times New Roman"/>
          <w:sz w:val="21"/>
          <w:highlight w:val="none"/>
          <w:vertAlign w:val="superscript"/>
          <w:lang w:val="en-US" w:eastAsia="zh-CN" w:bidi="ar-SA"/>
        </w:rPr>
        <w:t>2</w:t>
      </w:r>
      <w:r>
        <w:rPr>
          <w:rFonts w:hint="eastAsia" w:ascii="宋体" w:hAnsi="Times New Roman" w:eastAsia="宋体" w:cs="Times New Roman"/>
          <w:sz w:val="21"/>
          <w:highlight w:val="none"/>
          <w:lang w:val="en-US" w:eastAsia="zh-CN" w:bidi="ar-SA"/>
        </w:rPr>
        <w:t>；磷酸一铵总量 150～200 kg/hm</w:t>
      </w:r>
      <w:r>
        <w:rPr>
          <w:rFonts w:hint="eastAsia" w:ascii="宋体" w:hAnsi="Times New Roman" w:eastAsia="宋体" w:cs="Times New Roman"/>
          <w:sz w:val="21"/>
          <w:highlight w:val="none"/>
          <w:vertAlign w:val="superscript"/>
          <w:lang w:val="en-US" w:eastAsia="zh-CN" w:bidi="ar-SA"/>
        </w:rPr>
        <w:t>2</w:t>
      </w:r>
      <w:r>
        <w:rPr>
          <w:rFonts w:hint="eastAsia" w:ascii="宋体" w:hAnsi="Times New Roman" w:eastAsia="宋体" w:cs="Times New Roman"/>
          <w:sz w:val="21"/>
          <w:highlight w:val="none"/>
          <w:lang w:val="en-US" w:eastAsia="zh-CN" w:bidi="ar-SA"/>
        </w:rPr>
        <w:t>，每次 50～60 kg/hm</w:t>
      </w:r>
      <w:r>
        <w:rPr>
          <w:rFonts w:hint="eastAsia" w:ascii="宋体" w:hAnsi="Times New Roman" w:eastAsia="宋体" w:cs="Times New Roman"/>
          <w:sz w:val="21"/>
          <w:highlight w:val="none"/>
          <w:vertAlign w:val="superscript"/>
          <w:lang w:val="en-US" w:eastAsia="zh-CN" w:bidi="ar-SA"/>
        </w:rPr>
        <w:t>2</w:t>
      </w:r>
      <w:r>
        <w:rPr>
          <w:rFonts w:hint="eastAsia" w:ascii="宋体" w:hAnsi="Times New Roman" w:eastAsia="宋体" w:cs="Times New Roman"/>
          <w:sz w:val="21"/>
          <w:highlight w:val="none"/>
          <w:lang w:val="en-US" w:eastAsia="zh-CN" w:bidi="ar-SA"/>
        </w:rPr>
        <w:t>。</w:t>
      </w:r>
      <w:r>
        <w:rPr>
          <w:rFonts w:hint="eastAsia" w:ascii="宋体" w:hAnsi="Times New Roman" w:eastAsia="宋体" w:cs="Times New Roman"/>
          <w:sz w:val="21"/>
          <w:highlight w:val="none"/>
          <w:lang w:val="en-US" w:eastAsia="zh-CN" w:bidi="ar-SA"/>
        </w:rPr>
        <w:t>大喇叭口期、吐丝期前后重施，灌浆初期轻施。肥料施用应符合NY/T 496要求。</w:t>
      </w:r>
    </w:p>
    <w:p w14:paraId="295C5E6F">
      <w:pPr>
        <w:pStyle w:val="108"/>
        <w:spacing w:before="240" w:after="240"/>
      </w:pPr>
      <w:bookmarkStart w:id="45" w:name="_Toc1036911378"/>
      <w:bookmarkStart w:id="46" w:name="_Toc108190016"/>
      <w:r>
        <w:rPr>
          <w:rFonts w:hint="eastAsia"/>
        </w:rPr>
        <w:t>田间管理</w:t>
      </w:r>
      <w:bookmarkEnd w:id="45"/>
    </w:p>
    <w:p w14:paraId="108D965A">
      <w:pPr>
        <w:pStyle w:val="109"/>
        <w:snapToGrid w:val="0"/>
        <w:spacing w:before="120" w:after="120"/>
        <w:rPr>
          <w:rFonts w:hint="eastAsia" w:ascii="宋体" w:hAnsi="Times New Roman" w:eastAsia="宋体" w:cs="Times New Roman"/>
          <w:sz w:val="21"/>
          <w:lang w:val="en-US" w:eastAsia="zh-CN" w:bidi="ar-SA"/>
        </w:rPr>
      </w:pPr>
      <w:r>
        <w:rPr>
          <w:rFonts w:hint="eastAsia" w:hAnsi="Times New Roman" w:cs="Times New Roman"/>
        </w:rPr>
        <w:t>苗期管理</w:t>
      </w:r>
    </w:p>
    <w:p w14:paraId="6808B360">
      <w:pPr>
        <w:pStyle w:val="60"/>
        <w:ind w:left="0" w:leftChars="0" w:firstLine="420" w:firstLineChars="200"/>
      </w:pPr>
      <w:r>
        <w:rPr>
          <w:rFonts w:hint="eastAsia" w:ascii="宋体" w:hAnsi="Times New Roman" w:eastAsia="宋体" w:cs="Times New Roman"/>
          <w:sz w:val="21"/>
          <w:lang w:val="en-US" w:eastAsia="zh-CN" w:bidi="ar-SA"/>
        </w:rPr>
        <w:t>播种后及时查苗补苗，缺苗断垄处应及时补种或移栽。3 叶～5 叶期进行间苗定苗，去弱留壮，去病留健，保证田间密度均匀。</w:t>
      </w:r>
    </w:p>
    <w:p w14:paraId="0066BDDA">
      <w:pPr>
        <w:pStyle w:val="109"/>
        <w:snapToGrid w:val="0"/>
        <w:spacing w:before="120" w:after="120"/>
      </w:pPr>
      <w:r>
        <w:rPr>
          <w:rFonts w:hint="eastAsia" w:hAnsi="Times New Roman" w:cs="Times New Roman"/>
        </w:rPr>
        <w:t>中耕除草</w:t>
      </w:r>
    </w:p>
    <w:p w14:paraId="2CC452FE">
      <w:pPr>
        <w:pStyle w:val="246"/>
        <w:keepNext w:val="0"/>
        <w:keepLines w:val="0"/>
        <w:widowControl/>
        <w:suppressLineNumbers w:val="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覆膜地块膜内杂草可通过地膜覆盖有效抑制。膜间杂草宜在苗期结合中耕进行清除，中耕深度5 cm～8 cm，避免伤根。</w:t>
      </w:r>
    </w:p>
    <w:p w14:paraId="5473630A">
      <w:pPr>
        <w:pStyle w:val="109"/>
        <w:snapToGrid w:val="0"/>
        <w:spacing w:before="120" w:after="120"/>
        <w:rPr>
          <w:rFonts w:hint="eastAsia" w:hAnsi="Times New Roman" w:cs="Times New Roman"/>
          <w:lang w:val="en-US" w:eastAsia="zh-CN"/>
        </w:rPr>
      </w:pPr>
      <w:r>
        <w:rPr>
          <w:rFonts w:hint="eastAsia" w:hAnsi="Times New Roman" w:cs="Times New Roman"/>
          <w:lang w:val="en-US" w:eastAsia="zh-CN"/>
        </w:rPr>
        <w:t>滴灌系统维护</w:t>
      </w:r>
    </w:p>
    <w:p w14:paraId="106C6F40">
      <w:pPr>
        <w:pStyle w:val="246"/>
        <w:keepNext w:val="0"/>
        <w:keepLines w:val="0"/>
        <w:widowControl/>
        <w:suppressLineNumbers w:val="0"/>
        <w:rPr>
          <w:rFonts w:hint="eastAsia"/>
        </w:rPr>
      </w:pPr>
      <w:r>
        <w:rPr>
          <w:rFonts w:hint="eastAsia" w:ascii="宋体" w:hAnsi="Times New Roman" w:eastAsia="宋体" w:cs="Times New Roman"/>
          <w:color w:val="auto"/>
          <w:kern w:val="0"/>
          <w:sz w:val="21"/>
          <w:szCs w:val="20"/>
          <w:highlight w:val="none"/>
          <w:lang w:val="en-US" w:eastAsia="zh-CN" w:bidi="ar-SA"/>
        </w:rPr>
        <w:t>每次灌水后检查滴灌带和滴头是否堵塞或破损，发现堵塞及时冲洗或更换滴头。灌水期间定期清洗过滤器，防止杂质进入滴灌系统。生育期结束后回收滴灌带和地膜。</w:t>
      </w:r>
    </w:p>
    <w:p w14:paraId="4FF28E92">
      <w:pPr>
        <w:pStyle w:val="108"/>
        <w:spacing w:before="240" w:after="240"/>
      </w:pPr>
      <w:bookmarkStart w:id="47" w:name="_Toc539734641"/>
      <w:r>
        <w:rPr>
          <w:rFonts w:hint="eastAsia"/>
        </w:rPr>
        <w:t>病虫草害防治</w:t>
      </w:r>
      <w:bookmarkEnd w:id="47"/>
    </w:p>
    <w:p w14:paraId="0F8652C6">
      <w:pPr>
        <w:pStyle w:val="109"/>
        <w:snapToGrid w:val="0"/>
        <w:spacing w:before="120" w:after="120"/>
        <w:rPr>
          <w:rFonts w:hint="eastAsia" w:hAnsi="Times New Roman" w:cs="Times New Roman"/>
        </w:rPr>
      </w:pPr>
      <w:r>
        <w:rPr>
          <w:rFonts w:hint="eastAsia" w:hAnsi="Times New Roman" w:cs="Times New Roman"/>
        </w:rPr>
        <w:t>病虫害防治</w:t>
      </w:r>
    </w:p>
    <w:p w14:paraId="4432CE34">
      <w:pPr>
        <w:pStyle w:val="178"/>
        <w:rPr>
          <w:rFonts w:hint="eastAsia"/>
        </w:rPr>
      </w:pPr>
      <w:r>
        <w:rPr>
          <w:rFonts w:hint="eastAsia"/>
        </w:rPr>
        <w:t>遵循“预防为主，综合防治”的原则，优先采用农业防治、物理防治和生物防治方法。化学防治，应符合GB/T 8321和NY/T 1276的规定。</w:t>
      </w:r>
      <w:r>
        <w:rPr>
          <w:rFonts w:hint="eastAsia"/>
          <w:lang w:val="en-US" w:eastAsia="zh-CN"/>
        </w:rPr>
        <w:t>主要病虫害有：</w:t>
      </w:r>
      <w:r>
        <w:rPr>
          <w:rFonts w:hint="eastAsia"/>
        </w:rPr>
        <w:t>玉米螟、黏虫、蚜虫、大斑病、锈病等。</w:t>
      </w:r>
    </w:p>
    <w:p w14:paraId="6BCE7041">
      <w:pPr>
        <w:pStyle w:val="109"/>
        <w:snapToGrid w:val="0"/>
        <w:spacing w:before="120" w:after="120"/>
        <w:rPr>
          <w:rFonts w:hint="eastAsia"/>
        </w:rPr>
      </w:pPr>
      <w:r>
        <w:rPr>
          <w:rFonts w:hint="eastAsia"/>
        </w:rPr>
        <w:t>杂草防除</w:t>
      </w:r>
    </w:p>
    <w:p w14:paraId="21CF4381">
      <w:pPr>
        <w:pStyle w:val="109"/>
        <w:numPr>
          <w:numId w:val="0"/>
        </w:numPr>
        <w:snapToGrid w:val="0"/>
        <w:spacing w:before="120" w:after="120"/>
        <w:ind w:leftChars="0" w:firstLine="420" w:firstLineChars="20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播种后出苗前，可选用玉米田专用除草剂进行土壤封闭处理。生长期结合中耕进行人工除草。</w:t>
      </w:r>
    </w:p>
    <w:p w14:paraId="2CCC7B7B">
      <w:pPr>
        <w:pStyle w:val="108"/>
        <w:spacing w:before="240" w:after="240"/>
      </w:pPr>
      <w:bookmarkStart w:id="48" w:name="_Toc349186359"/>
      <w:r>
        <w:rPr>
          <w:rFonts w:hint="eastAsia"/>
          <w:lang w:val="en-US" w:eastAsia="zh-CN"/>
        </w:rPr>
        <w:t>收获</w:t>
      </w:r>
      <w:bookmarkEnd w:id="48"/>
    </w:p>
    <w:p w14:paraId="283E5322">
      <w:pPr>
        <w:pStyle w:val="109"/>
        <w:snapToGrid w:val="0"/>
        <w:spacing w:before="120" w:after="120"/>
        <w:rPr>
          <w:rFonts w:hint="eastAsia" w:hAnsi="Times New Roman" w:cs="Times New Roman"/>
          <w:lang w:val="en-US" w:eastAsia="zh-CN"/>
        </w:rPr>
      </w:pPr>
      <w:r>
        <w:rPr>
          <w:rFonts w:hint="eastAsia" w:hAnsi="Times New Roman" w:cs="Times New Roman"/>
          <w:lang w:val="en-US" w:eastAsia="zh-CN"/>
        </w:rPr>
        <w:t>收获时期</w:t>
      </w:r>
    </w:p>
    <w:p w14:paraId="5D9364AB">
      <w:pPr>
        <w:pStyle w:val="60"/>
        <w:keepNext w:val="0"/>
        <w:keepLines w:val="0"/>
        <w:pageBreakBefore w:val="0"/>
        <w:widowControl/>
        <w:kinsoku/>
        <w:wordWrap/>
        <w:overflowPunct/>
        <w:topLinePunct w:val="0"/>
        <w:autoSpaceDE w:val="0"/>
        <w:autoSpaceDN w:val="0"/>
        <w:bidi w:val="0"/>
        <w:adjustRightInd w:val="0"/>
        <w:snapToGrid w:val="0"/>
        <w:spacing w:line="240" w:lineRule="auto"/>
        <w:ind w:firstLine="420"/>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当玉米处于乳熟后期至蜡熟初期（籽粒乳线处于1/2～3/4位置），且全株干物质含量达到30%～35%时，为最佳收获期。</w:t>
      </w:r>
    </w:p>
    <w:p w14:paraId="0ACD2480">
      <w:pPr>
        <w:pStyle w:val="109"/>
        <w:snapToGrid w:val="0"/>
        <w:spacing w:before="120" w:after="120"/>
        <w:rPr>
          <w:rFonts w:hint="eastAsia" w:hAnsi="Times New Roman" w:cs="Times New Roman"/>
          <w:lang w:val="en-US" w:eastAsia="zh-CN"/>
        </w:rPr>
      </w:pPr>
      <w:r>
        <w:rPr>
          <w:rFonts w:hint="eastAsia" w:hAnsi="Times New Roman" w:cs="Times New Roman"/>
          <w:lang w:val="en-US" w:eastAsia="zh-CN"/>
        </w:rPr>
        <w:t>收获方法</w:t>
      </w:r>
    </w:p>
    <w:p w14:paraId="542D5DC2">
      <w:pPr>
        <w:pStyle w:val="60"/>
        <w:keepNext w:val="0"/>
        <w:keepLines w:val="0"/>
        <w:pageBreakBefore w:val="0"/>
        <w:widowControl/>
        <w:kinsoku/>
        <w:wordWrap/>
        <w:overflowPunct/>
        <w:topLinePunct w:val="0"/>
        <w:autoSpaceDE w:val="0"/>
        <w:autoSpaceDN w:val="0"/>
        <w:bidi w:val="0"/>
        <w:adjustRightInd w:val="0"/>
        <w:snapToGrid w:val="0"/>
        <w:spacing w:line="240" w:lineRule="auto"/>
        <w:ind w:firstLine="420"/>
        <w:textAlignment w:val="auto"/>
      </w:pPr>
      <w:r>
        <w:rPr>
          <w:rFonts w:hint="eastAsia" w:ascii="宋体" w:hAnsi="Times New Roman" w:eastAsia="宋体" w:cs="Times New Roman"/>
          <w:sz w:val="21"/>
          <w:lang w:val="en-US" w:eastAsia="zh-CN" w:bidi="ar-SA"/>
        </w:rPr>
        <w:t>使用青贮收获机进行一次性收割、切碎。留茬高度15 cm～20 cm。收获的混合原料应尽快进行青贮加工，确保原料新鲜。</w:t>
      </w:r>
      <w:r>
        <w:br w:type="page"/>
      </w:r>
      <w:bookmarkEnd w:id="46"/>
    </w:p>
    <w:p w14:paraId="6B72C0C7">
      <w:pPr>
        <w:pStyle w:val="14"/>
      </w:pPr>
    </w:p>
    <w:p w14:paraId="2C5A8250">
      <w:pPr>
        <w:pStyle w:val="14"/>
      </w:pPr>
    </w:p>
    <w:p w14:paraId="2745FFD2">
      <w:pPr>
        <w:pStyle w:val="14"/>
      </w:pPr>
    </w:p>
    <w:p w14:paraId="4373DD14">
      <w:pPr>
        <w:pStyle w:val="14"/>
      </w:pPr>
    </w:p>
    <w:p w14:paraId="4EF50E2C">
      <w:pPr>
        <w:pStyle w:val="14"/>
      </w:pPr>
    </w:p>
    <w:p w14:paraId="2A2D99E2">
      <w:pPr>
        <w:pStyle w:val="14"/>
      </w:pPr>
    </w:p>
    <w:p w14:paraId="32753C28">
      <w:pPr>
        <w:pStyle w:val="14"/>
      </w:pPr>
    </w:p>
    <w:p w14:paraId="5691A831">
      <w:pPr>
        <w:pStyle w:val="14"/>
      </w:pPr>
    </w:p>
    <w:p w14:paraId="2CEE3B97">
      <w:pPr>
        <w:pStyle w:val="14"/>
      </w:pPr>
    </w:p>
    <w:p w14:paraId="4A70D6E3">
      <w:pPr>
        <w:pStyle w:val="14"/>
      </w:pPr>
    </w:p>
    <w:p w14:paraId="65F0A3CB">
      <w:pPr>
        <w:pStyle w:val="14"/>
      </w:pPr>
    </w:p>
    <w:p w14:paraId="5BC8A113">
      <w:pPr>
        <w:pStyle w:val="14"/>
      </w:pPr>
    </w:p>
    <w:p w14:paraId="3AD8392F">
      <w:pPr>
        <w:pStyle w:val="14"/>
      </w:pPr>
    </w:p>
    <w:p w14:paraId="14168D67">
      <w:pPr>
        <w:pStyle w:val="14"/>
      </w:pPr>
    </w:p>
    <w:p w14:paraId="403B6D47">
      <w:pPr>
        <w:pStyle w:val="14"/>
      </w:pPr>
    </w:p>
    <w:p w14:paraId="16266F83">
      <w:pPr>
        <w:pStyle w:val="14"/>
      </w:pPr>
      <w:r>
        <w:rPr>
          <w:rFonts w:hint="eastAsia"/>
        </w:rPr>
        <w:t xml:space="preserve">   </w:t>
      </w:r>
    </w:p>
    <w:p w14:paraId="42DC13DC">
      <w:pPr>
        <w:pStyle w:val="14"/>
        <w:tabs>
          <w:tab w:val="clear" w:pos="4201"/>
        </w:tabs>
        <w:jc w:val="center"/>
      </w:pPr>
      <w:r>
        <w:rPr>
          <w:rFonts w:hint="eastAsia"/>
        </w:rPr>
        <w:t xml:space="preserve">                      </w:t>
      </w:r>
      <w:r>
        <w:t>中 华 人 民 共 和 国</w:t>
      </w:r>
    </w:p>
    <w:p w14:paraId="0FF2BB50">
      <w:pPr>
        <w:pStyle w:val="14"/>
        <w:tabs>
          <w:tab w:val="clear" w:pos="4201"/>
        </w:tabs>
        <w:jc w:val="center"/>
      </w:pPr>
      <w:r>
        <w:rPr>
          <w:rFonts w:hint="eastAsia"/>
        </w:rPr>
        <w:t xml:space="preserve">                        </w:t>
      </w:r>
      <w:r>
        <w:t>团 体 标 准</w:t>
      </w:r>
    </w:p>
    <w:p w14:paraId="6E089E1D">
      <w:pPr>
        <w:pStyle w:val="14"/>
        <w:tabs>
          <w:tab w:val="clear" w:pos="4201"/>
        </w:tabs>
        <w:jc w:val="center"/>
      </w:pPr>
      <w:r>
        <w:rPr>
          <w:rFonts w:hint="eastAsia"/>
        </w:rPr>
        <w:t xml:space="preserve">                          川西北牧区燕麦与箭筈豌豆混作技术规程</w:t>
      </w:r>
    </w:p>
    <w:p w14:paraId="5BA6A543">
      <w:pPr>
        <w:pStyle w:val="14"/>
        <w:tabs>
          <w:tab w:val="clear" w:pos="4201"/>
        </w:tabs>
        <w:jc w:val="center"/>
      </w:pPr>
      <w:r>
        <w:rPr>
          <w:rFonts w:hint="eastAsia"/>
        </w:rPr>
        <w:t xml:space="preserve">                          </w:t>
      </w:r>
      <w:r>
        <w:t>T/</w:t>
      </w:r>
      <w:r>
        <w:rPr>
          <w:rFonts w:hint="eastAsia"/>
        </w:rPr>
        <w:t>HXCY XXX</w:t>
      </w:r>
      <w:r>
        <w:t>-</w:t>
      </w:r>
      <w:r>
        <w:rPr>
          <w:rFonts w:hint="eastAsia"/>
        </w:rPr>
        <w:t>2025</w:t>
      </w:r>
    </w:p>
    <w:p w14:paraId="231ED661">
      <w:pPr>
        <w:pStyle w:val="14"/>
        <w:tabs>
          <w:tab w:val="clear" w:pos="4201"/>
        </w:tabs>
        <w:ind w:firstLine="413"/>
        <w:jc w:val="center"/>
      </w:pPr>
      <w:r>
        <w:rPr>
          <w:rFonts w:hint="eastAsia"/>
          <w:w w:val="99"/>
        </w:rPr>
        <w:t xml:space="preserve">                          </w:t>
      </w:r>
      <w:r>
        <w:rPr>
          <w:w w:val="99"/>
        </w:rPr>
        <w:t>*</w:t>
      </w:r>
    </w:p>
    <w:p w14:paraId="71131550">
      <w:pPr>
        <w:pStyle w:val="14"/>
        <w:tabs>
          <w:tab w:val="clear" w:pos="4201"/>
        </w:tabs>
        <w:jc w:val="center"/>
      </w:pPr>
      <w:r>
        <w:rPr>
          <w:rFonts w:hint="eastAsia"/>
        </w:rPr>
        <w:t xml:space="preserve">                           北京华夏草业产业技术创新战略联盟</w:t>
      </w:r>
    </w:p>
    <w:p w14:paraId="0425823F">
      <w:pPr>
        <w:pStyle w:val="14"/>
        <w:tabs>
          <w:tab w:val="clear" w:pos="4201"/>
        </w:tabs>
        <w:jc w:val="center"/>
      </w:pPr>
      <w:r>
        <w:rPr>
          <w:rFonts w:hint="eastAsia"/>
        </w:rPr>
        <w:t xml:space="preserve">                         北京华夏草业产业技术创新战略联盟标准与认证专业委员会</w:t>
      </w:r>
    </w:p>
    <w:p w14:paraId="2B163107">
      <w:pPr>
        <w:pStyle w:val="14"/>
        <w:tabs>
          <w:tab w:val="clear" w:pos="4201"/>
        </w:tabs>
        <w:ind w:firstLine="413"/>
        <w:jc w:val="center"/>
      </w:pPr>
      <w:r>
        <w:rPr>
          <w:rFonts w:hint="eastAsia"/>
          <w:w w:val="99"/>
        </w:rPr>
        <w:t xml:space="preserve">                           </w:t>
      </w:r>
      <w:r>
        <w:rPr>
          <w:w w:val="99"/>
        </w:rPr>
        <w:t>*</w:t>
      </w:r>
    </w:p>
    <w:p w14:paraId="0D63B0FD">
      <w:pPr>
        <w:pStyle w:val="14"/>
        <w:tabs>
          <w:tab w:val="clear" w:pos="4201"/>
        </w:tabs>
        <w:jc w:val="center"/>
      </w:pPr>
      <w:r>
        <w:rPr>
          <w:rFonts w:hint="eastAsia"/>
        </w:rPr>
        <w:t xml:space="preserve">                           开本</w:t>
      </w:r>
      <w:r>
        <w:t xml:space="preserve"> 880×1230  1/16  印张</w:t>
      </w:r>
      <w:r>
        <w:rPr>
          <w:rFonts w:hint="eastAsia"/>
        </w:rPr>
        <w:t>5</w:t>
      </w:r>
      <w:r>
        <w:t>.5  字数</w:t>
      </w:r>
      <w:r>
        <w:rPr>
          <w:rFonts w:hint="eastAsia"/>
        </w:rPr>
        <w:t>2.8</w:t>
      </w:r>
      <w:r>
        <w:t>千字</w:t>
      </w:r>
    </w:p>
    <w:p w14:paraId="44898C69">
      <w:pPr>
        <w:pStyle w:val="14"/>
        <w:tabs>
          <w:tab w:val="clear" w:pos="4201"/>
        </w:tabs>
        <w:jc w:val="center"/>
      </w:pPr>
      <w:r>
        <w:rPr>
          <w:rFonts w:hint="eastAsia"/>
        </w:rPr>
        <w:t xml:space="preserve">                          </w:t>
      </w:r>
      <w:r>
        <w:t>202</w:t>
      </w:r>
      <w:r>
        <w:rPr>
          <w:rFonts w:hint="eastAsia"/>
        </w:rPr>
        <w:t>5</w:t>
      </w:r>
      <w:r>
        <w:t>年</w:t>
      </w:r>
      <w:r>
        <w:rPr>
          <w:rFonts w:hint="eastAsia"/>
        </w:rPr>
        <w:t>X</w:t>
      </w:r>
      <w:r>
        <w:t>月第一版  202</w:t>
      </w:r>
      <w:r>
        <w:rPr>
          <w:rFonts w:hint="eastAsia"/>
        </w:rPr>
        <w:t>5</w:t>
      </w:r>
      <w:r>
        <w:t>年</w:t>
      </w:r>
      <w:r>
        <w:rPr>
          <w:rFonts w:hint="eastAsia"/>
        </w:rPr>
        <w:t>X</w:t>
      </w:r>
      <w:r>
        <w:t>月第一次印刷</w:t>
      </w:r>
    </w:p>
    <w:p w14:paraId="6BDC8251">
      <w:pPr>
        <w:pStyle w:val="14"/>
        <w:tabs>
          <w:tab w:val="clear" w:pos="4201"/>
        </w:tabs>
        <w:jc w:val="center"/>
        <w:rPr>
          <w:w w:val="99"/>
        </w:rPr>
      </w:pPr>
      <w:r>
        <w:drawing>
          <wp:anchor distT="0" distB="0" distL="0" distR="0" simplePos="0" relativeHeight="251665408" behindDoc="0" locked="0" layoutInCell="1" allowOverlap="1">
            <wp:simplePos x="0" y="0"/>
            <wp:positionH relativeFrom="page">
              <wp:posOffset>795020</wp:posOffset>
            </wp:positionH>
            <wp:positionV relativeFrom="paragraph">
              <wp:posOffset>165100</wp:posOffset>
            </wp:positionV>
            <wp:extent cx="2252345" cy="602615"/>
            <wp:effectExtent l="0" t="0" r="14605" b="6985"/>
            <wp:wrapNone/>
            <wp:docPr id="1868540166" name="image3.png" descr="C:/Users/Administrator/Desktop/barcode (1).pngbarco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540166" name="image3.png" descr="C:/Users/Administrator/Desktop/barcode (1).pngbarcode (1)"/>
                    <pic:cNvPicPr>
                      <a:picLocks noChangeAspect="1"/>
                    </pic:cNvPicPr>
                  </pic:nvPicPr>
                  <pic:blipFill>
                    <a:blip r:embed="rId24"/>
                    <a:srcRect t="10925" b="10925"/>
                    <a:stretch>
                      <a:fillRect/>
                    </a:stretch>
                  </pic:blipFill>
                  <pic:spPr>
                    <a:xfrm>
                      <a:off x="0" y="0"/>
                      <a:ext cx="2252345" cy="602615"/>
                    </a:xfrm>
                    <a:prstGeom prst="rect">
                      <a:avLst/>
                    </a:prstGeom>
                    <a:ln>
                      <a:noFill/>
                    </a:ln>
                  </pic:spPr>
                </pic:pic>
              </a:graphicData>
            </a:graphic>
          </wp:anchor>
        </w:drawing>
      </w:r>
      <w:r>
        <w:rPr>
          <w:rFonts w:hint="eastAsia"/>
          <w:w w:val="99"/>
        </w:rPr>
        <w:t xml:space="preserve">                           </w:t>
      </w:r>
      <w:r>
        <w:rPr>
          <w:w w:val="99"/>
        </w:rPr>
        <w:t>*</w:t>
      </w:r>
    </w:p>
    <w:p w14:paraId="05804608">
      <w:pPr>
        <w:pStyle w:val="14"/>
        <w:tabs>
          <w:tab w:val="clear" w:pos="4201"/>
        </w:tabs>
        <w:jc w:val="center"/>
        <w:rPr>
          <w:spacing w:val="-12"/>
        </w:rPr>
      </w:pPr>
      <w:r>
        <w:rPr>
          <w:rFonts w:hint="eastAsia"/>
        </w:rPr>
        <w:t xml:space="preserve">                             如有印装差错</w:t>
      </w:r>
      <w:r>
        <w:t xml:space="preserve"> </w:t>
      </w:r>
      <w:r>
        <w:rPr>
          <w:rFonts w:hint="eastAsia"/>
        </w:rPr>
        <w:t>由北京华夏草业产业技术创新战略联盟调</w:t>
      </w:r>
      <w:r>
        <w:rPr>
          <w:rFonts w:hint="eastAsia"/>
          <w:spacing w:val="-12"/>
        </w:rPr>
        <w:t>换</w:t>
      </w:r>
    </w:p>
    <w:p w14:paraId="250B43E6">
      <w:pPr>
        <w:pStyle w:val="14"/>
        <w:tabs>
          <w:tab w:val="clear" w:pos="4201"/>
        </w:tabs>
        <w:jc w:val="center"/>
      </w:pPr>
      <w:r>
        <w:rPr>
          <w:rFonts w:hint="eastAsia"/>
        </w:rPr>
        <w:t xml:space="preserve">                            版权专有</w:t>
      </w:r>
      <w:r>
        <w:t xml:space="preserve">  </w:t>
      </w:r>
      <w:r>
        <w:rPr>
          <w:rFonts w:hint="eastAsia"/>
        </w:rPr>
        <w:t>侵权必究</w:t>
      </w:r>
    </w:p>
    <w:p w14:paraId="3C38A1BA">
      <w:pPr>
        <w:pStyle w:val="14"/>
        <w:tabs>
          <w:tab w:val="clear" w:pos="4201"/>
        </w:tabs>
        <w:jc w:val="center"/>
      </w:pPr>
      <w:r>
        <mc:AlternateContent>
          <mc:Choice Requires="wps">
            <w:drawing>
              <wp:anchor distT="0" distB="0" distL="114300" distR="114300" simplePos="0" relativeHeight="251666432" behindDoc="0" locked="0" layoutInCell="1" allowOverlap="1">
                <wp:simplePos x="0" y="0"/>
                <wp:positionH relativeFrom="page">
                  <wp:posOffset>1255395</wp:posOffset>
                </wp:positionH>
                <wp:positionV relativeFrom="paragraph">
                  <wp:posOffset>31115</wp:posOffset>
                </wp:positionV>
                <wp:extent cx="1296670" cy="248285"/>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96670" cy="24842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AB4980">
                            <w:r>
                              <w:t xml:space="preserve">T/CAMAA </w:t>
                            </w:r>
                            <w:r>
                              <w:rPr>
                                <w:rFonts w:hint="eastAsia"/>
                              </w:rPr>
                              <w:t>027</w:t>
                            </w:r>
                            <w:r>
                              <w:t>-</w:t>
                            </w:r>
                            <w:r>
                              <w:rPr>
                                <w:rFonts w:hint="eastAsia"/>
                              </w:rPr>
                              <w:t>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8.85pt;margin-top:2.45pt;height:19.55pt;width:102.1pt;mso-position-horizontal-relative:page;z-index:251666432;mso-width-relative:page;mso-height-relative:page;" filled="f" stroked="f" coordsize="21600,21600" o:gfxdata="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EiHnb/YAAAACAEAAA8AAAAAAAAAAQAgAAAAIgAAAGRy&#10;cy9kb3ducmV2LnhtbFBLAQIUABQAAAAIAIdO4kD+NQijPgIAAGgEAAAOAAAAAAAAAAEAIAAAACcB&#10;AABkcnMvZTJvRG9jLnhtbFBLBQYAAAAABgAGAFkBAADXBQAAAAA=&#10;">
                <v:fill on="f" focussize="0,0"/>
                <v:stroke on="f" weight="0.5pt"/>
                <v:imagedata o:title=""/>
                <o:lock v:ext="edit" aspectratio="f"/>
                <v:textbox>
                  <w:txbxContent>
                    <w:p w14:paraId="5FAB4980">
                      <w:r>
                        <w:t xml:space="preserve">T/CAMAA </w:t>
                      </w:r>
                      <w:r>
                        <w:rPr>
                          <w:rFonts w:hint="eastAsia"/>
                        </w:rPr>
                        <w:t>027</w:t>
                      </w:r>
                      <w:r>
                        <w:t>-</w:t>
                      </w:r>
                      <w:r>
                        <w:rPr>
                          <w:rFonts w:hint="eastAsia"/>
                        </w:rPr>
                        <w:t>2025</w:t>
                      </w:r>
                    </w:p>
                  </w:txbxContent>
                </v:textbox>
              </v:shape>
            </w:pict>
          </mc:Fallback>
        </mc:AlternateContent>
      </w:r>
      <w:r>
        <w:rPr>
          <w:rFonts w:hint="eastAsia"/>
        </w:rPr>
        <w:t xml:space="preserve">                             举报电话：</w:t>
      </w:r>
      <w:r>
        <w:t>010-6</w:t>
      </w:r>
      <w:r>
        <w:rPr>
          <w:rFonts w:hint="eastAsia"/>
        </w:rPr>
        <w:t>2734252</w:t>
      </w:r>
    </w:p>
    <w:p w14:paraId="63A127DF">
      <w:pPr>
        <w:tabs>
          <w:tab w:val="center" w:pos="5245"/>
          <w:tab w:val="clear" w:pos="4201"/>
        </w:tabs>
        <w:jc w:val="center"/>
      </w:pPr>
    </w:p>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Arial">
    <w:panose1 w:val="020B0604020202090204"/>
    <w:charset w:val="00"/>
    <w:family w:val="swiss"/>
    <w:pitch w:val="default"/>
    <w:sig w:usb0="E0000AFF" w:usb1="00007843" w:usb2="00000001" w:usb3="00000000" w:csb0="400001BF" w:csb1="DFF7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Courier New">
    <w:panose1 w:val="02070609020205090404"/>
    <w:charset w:val="00"/>
    <w:family w:val="modern"/>
    <w:pitch w:val="default"/>
    <w:sig w:usb0="E0000AFF" w:usb1="4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汉仪中等线KW">
    <w:panose1 w:val="01010104010101010101"/>
    <w:charset w:val="86"/>
    <w:family w:val="auto"/>
    <w:pitch w:val="default"/>
    <w:sig w:usb0="800002BF" w:usb1="004F7CFA" w:usb2="00000000" w:usb3="00000000" w:csb0="00040001" w:csb1="00000000"/>
  </w:font>
  <w:font w:name="Times New Roman Regular">
    <w:panose1 w:val="02020603050405020304"/>
    <w:charset w:val="00"/>
    <w:family w:val="auto"/>
    <w:pitch w:val="default"/>
    <w:sig w:usb0="E0002AEF" w:usb1="C0007841" w:usb2="00000009" w:usb3="00000000" w:csb0="400001FF" w:csb1="FFFF0000"/>
  </w:font>
  <w:font w:name="var(--dsw-font-markdown-h3)">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pingfang sc">
    <w:panose1 w:val="020B0400000000000000"/>
    <w:charset w:val="86"/>
    <w:family w:val="auto"/>
    <w:pitch w:val="default"/>
    <w:sig w:usb0="A00002FF" w:usb1="7ACFFDFB" w:usb2="00000017" w:usb3="00000000" w:csb0="00040001" w:csb1="00000000"/>
  </w:font>
  <w:font w:name="songti sc">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966E0">
    <w:pPr>
      <w:pStyle w:val="1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DC013">
    <w:pPr>
      <w:pStyle w:val="1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01729">
    <w:pPr>
      <w:pStyle w:val="1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EAC9C">
    <w:pPr>
      <w:pStyle w:val="56"/>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9F451">
                          <w:pPr>
                            <w:pStyle w:val="18"/>
                            <w:ind w:firstLine="36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4709F451">
                    <w:pPr>
                      <w:pStyle w:val="18"/>
                      <w:ind w:firstLine="360"/>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69CEF">
    <w:pPr>
      <w:pStyle w:val="18"/>
      <w:ind w:firstLine="360"/>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42CD24">
                          <w:pPr>
                            <w:pStyle w:val="18"/>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5642CD24">
                    <w:pPr>
                      <w:pStyle w:val="18"/>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55473">
    <w:pPr>
      <w:pStyle w:val="56"/>
    </w:pPr>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E7AE85">
                          <w:pPr>
                            <w:pStyle w:val="18"/>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23E7AE85">
                    <w:pPr>
                      <w:pStyle w:val="18"/>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90444">
    <w:pPr>
      <w:pStyle w:val="18"/>
      <w:ind w:firstLine="360"/>
    </w:pPr>
    <w: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400AC4">
                          <w:pPr>
                            <w:pStyle w:val="18"/>
                            <w:ind w:firstLine="360"/>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60400AC4">
                    <w:pPr>
                      <w:pStyle w:val="18"/>
                      <w:ind w:firstLine="360"/>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6B8E7">
    <w:pPr>
      <w:pStyle w:val="56"/>
      <w:ind w:right="407"/>
    </w:pPr>
    <w: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2CF811">
                          <w:pPr>
                            <w:pStyle w:val="18"/>
                            <w:ind w:firstLine="36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1C2CF811">
                    <w:pPr>
                      <w:pStyle w:val="18"/>
                      <w:ind w:firstLine="360"/>
                    </w:pP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E8FEF">
    <w:pPr>
      <w:pStyle w:val="18"/>
      <w:ind w:firstLine="360"/>
    </w:pPr>
    <w: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E90267">
                          <w:pPr>
                            <w:pStyle w:val="18"/>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0EE90267">
                    <w:pPr>
                      <w:pStyle w:val="18"/>
                      <w:ind w:firstLine="360"/>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73FF7">
    <w:pPr>
      <w:pStyle w:val="19"/>
      <w:framePr w:wrap="around"/>
      <w:rPr>
        <w:rFonts w:hint="eastAsia"/>
      </w:rPr>
    </w:pPr>
    <w:r>
      <w:t>Q/LB.</w:t>
    </w:r>
    <w:r>
      <w:rPr>
        <w:rFonts w:hint="eastAsia"/>
      </w:rPr>
      <w:t>□</w:t>
    </w:r>
    <w: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AE907">
    <w:pPr>
      <w:pStyle w:val="19"/>
      <w:framePr w:wrap="around"/>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65F21">
    <w:pPr>
      <w:pStyle w:val="19"/>
      <w:framePr w:wrap="around"/>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DC40E">
    <w:pPr>
      <w:pStyle w:val="65"/>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9E530">
    <w:pPr>
      <w:pStyle w:val="65"/>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8F1D7">
    <w:pPr>
      <w:pStyle w:val="65"/>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785C5">
    <w:pPr>
      <w:pStyle w:val="65"/>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01870">
    <w:pPr>
      <w:pStyle w:val="65"/>
      <w:rPr>
        <w:rFonts w:hint="eastAsia"/>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65B84">
    <w:pPr>
      <w:pStyle w:val="65"/>
      <w:jc w:val="both"/>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T/HXCY XXX—XXXX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3843D90"/>
    <w:multiLevelType w:val="multilevel"/>
    <w:tmpl w:val="43843D90"/>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2"/>
      <w:lvlJc w:val="center"/>
      <w:pPr>
        <w:tabs>
          <w:tab w:val="left" w:pos="0"/>
        </w:tabs>
        <w:ind w:left="0" w:firstLine="0"/>
      </w:pPr>
      <w:rPr>
        <w:rFonts w:hint="default"/>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3">
    <w:nsid w:val="44C50F90"/>
    <w:multiLevelType w:val="multilevel"/>
    <w:tmpl w:val="44C50F90"/>
    <w:lvl w:ilvl="0" w:tentative="0">
      <w:start w:val="1"/>
      <w:numFmt w:val="lowerLetter"/>
      <w:lvlText w:val="%1)"/>
      <w:lvlJc w:val="left"/>
      <w:pPr>
        <w:tabs>
          <w:tab w:val="left" w:pos="851"/>
        </w:tabs>
        <w:ind w:left="851" w:hanging="426"/>
      </w:pPr>
      <w:rPr>
        <w:rFonts w:hint="default" w:ascii="宋体" w:hAnsi="Times New Roman" w:eastAsia="宋体"/>
        <w:strike w:val="0"/>
        <w:sz w:val="21"/>
        <w:highlight w:val="none"/>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2">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3">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4">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7">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8">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9">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6"/>
  </w:num>
  <w:num w:numId="3">
    <w:abstractNumId w:val="5"/>
  </w:num>
  <w:num w:numId="4">
    <w:abstractNumId w:val="22"/>
  </w:num>
  <w:num w:numId="5">
    <w:abstractNumId w:val="18"/>
  </w:num>
  <w:num w:numId="6">
    <w:abstractNumId w:val="12"/>
  </w:num>
  <w:num w:numId="7">
    <w:abstractNumId w:val="8"/>
  </w:num>
  <w:num w:numId="8">
    <w:abstractNumId w:val="3"/>
  </w:num>
  <w:num w:numId="9">
    <w:abstractNumId w:val="9"/>
  </w:num>
  <w:num w:numId="10">
    <w:abstractNumId w:val="16"/>
  </w:num>
  <w:num w:numId="11">
    <w:abstractNumId w:val="24"/>
  </w:num>
  <w:num w:numId="12">
    <w:abstractNumId w:val="11"/>
  </w:num>
  <w:num w:numId="13">
    <w:abstractNumId w:val="13"/>
  </w:num>
  <w:num w:numId="14">
    <w:abstractNumId w:val="7"/>
  </w:num>
  <w:num w:numId="15">
    <w:abstractNumId w:val="19"/>
  </w:num>
  <w:num w:numId="16">
    <w:abstractNumId w:val="17"/>
  </w:num>
  <w:num w:numId="17">
    <w:abstractNumId w:val="28"/>
  </w:num>
  <w:num w:numId="18">
    <w:abstractNumId w:val="15"/>
  </w:num>
  <w:num w:numId="19">
    <w:abstractNumId w:val="1"/>
  </w:num>
  <w:num w:numId="20">
    <w:abstractNumId w:val="10"/>
  </w:num>
  <w:num w:numId="21">
    <w:abstractNumId w:val="29"/>
  </w:num>
  <w:num w:numId="22">
    <w:abstractNumId w:val="20"/>
  </w:num>
  <w:num w:numId="23">
    <w:abstractNumId w:val="6"/>
  </w:num>
  <w:num w:numId="24">
    <w:abstractNumId w:val="25"/>
  </w:num>
  <w:num w:numId="25">
    <w:abstractNumId w:val="27"/>
  </w:num>
  <w:num w:numId="26">
    <w:abstractNumId w:val="2"/>
  </w:num>
  <w:num w:numId="27">
    <w:abstractNumId w:val="4"/>
  </w:num>
  <w:num w:numId="28">
    <w:abstractNumId w:val="14"/>
  </w:num>
  <w:num w:numId="29">
    <w:abstractNumId w:val="23"/>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0"/>
  <w:bordersDoNotSurroundFooter w:val="0"/>
  <w:attachedTemplate r:id="rId1"/>
  <w:documentProtection w:edit="forms" w:enforcement="0"/>
  <w:defaultTabStop w:val="420"/>
  <w:evenAndOddHeaders w:val="1"/>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0OTI5NWViZDM0MTZiMWY5NzY4NjU1ZTI4MmEwMDkifQ=="/>
  </w:docVars>
  <w:rsids>
    <w:rsidRoot w:val="008147E7"/>
    <w:rsid w:val="00000357"/>
    <w:rsid w:val="0000040A"/>
    <w:rsid w:val="00000A94"/>
    <w:rsid w:val="00001972"/>
    <w:rsid w:val="00001D9A"/>
    <w:rsid w:val="00007B3A"/>
    <w:rsid w:val="000107E0"/>
    <w:rsid w:val="00011FDE"/>
    <w:rsid w:val="00012FFD"/>
    <w:rsid w:val="00014162"/>
    <w:rsid w:val="00014340"/>
    <w:rsid w:val="00016A9C"/>
    <w:rsid w:val="00016EB2"/>
    <w:rsid w:val="00022184"/>
    <w:rsid w:val="00022762"/>
    <w:rsid w:val="00022F3F"/>
    <w:rsid w:val="000238E0"/>
    <w:rsid w:val="000249DB"/>
    <w:rsid w:val="0002595E"/>
    <w:rsid w:val="000303C3"/>
    <w:rsid w:val="000331D3"/>
    <w:rsid w:val="000346A5"/>
    <w:rsid w:val="000359C3"/>
    <w:rsid w:val="00035A7D"/>
    <w:rsid w:val="000365ED"/>
    <w:rsid w:val="000417BE"/>
    <w:rsid w:val="0004249A"/>
    <w:rsid w:val="00042AA7"/>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4B8"/>
    <w:rsid w:val="0006357D"/>
    <w:rsid w:val="00067F1E"/>
    <w:rsid w:val="00071CC0"/>
    <w:rsid w:val="00071CFC"/>
    <w:rsid w:val="00073C8C"/>
    <w:rsid w:val="00077403"/>
    <w:rsid w:val="00077B64"/>
    <w:rsid w:val="00080A1C"/>
    <w:rsid w:val="00082317"/>
    <w:rsid w:val="00083D2C"/>
    <w:rsid w:val="00086AA1"/>
    <w:rsid w:val="00087A77"/>
    <w:rsid w:val="00090CA6"/>
    <w:rsid w:val="00092B8A"/>
    <w:rsid w:val="00092FB0"/>
    <w:rsid w:val="000934C5"/>
    <w:rsid w:val="00093D25"/>
    <w:rsid w:val="00093DAB"/>
    <w:rsid w:val="00094746"/>
    <w:rsid w:val="00094D73"/>
    <w:rsid w:val="00096D63"/>
    <w:rsid w:val="000A0B60"/>
    <w:rsid w:val="000A0D73"/>
    <w:rsid w:val="000A0EB8"/>
    <w:rsid w:val="000A19FC"/>
    <w:rsid w:val="000A296B"/>
    <w:rsid w:val="000A6032"/>
    <w:rsid w:val="000A7311"/>
    <w:rsid w:val="000B060F"/>
    <w:rsid w:val="000B1592"/>
    <w:rsid w:val="000B1FF2"/>
    <w:rsid w:val="000B3CDA"/>
    <w:rsid w:val="000B6A0B"/>
    <w:rsid w:val="000C0F6C"/>
    <w:rsid w:val="000C11DB"/>
    <w:rsid w:val="000C1492"/>
    <w:rsid w:val="000C2FBD"/>
    <w:rsid w:val="000C4B41"/>
    <w:rsid w:val="000C4E48"/>
    <w:rsid w:val="000C57D6"/>
    <w:rsid w:val="000C6362"/>
    <w:rsid w:val="000C7666"/>
    <w:rsid w:val="000D0A9C"/>
    <w:rsid w:val="000D1795"/>
    <w:rsid w:val="000D329A"/>
    <w:rsid w:val="000D4B9C"/>
    <w:rsid w:val="000D4EB6"/>
    <w:rsid w:val="000D753B"/>
    <w:rsid w:val="000E4C9E"/>
    <w:rsid w:val="000E6439"/>
    <w:rsid w:val="000E6FD7"/>
    <w:rsid w:val="000E7144"/>
    <w:rsid w:val="000F06E1"/>
    <w:rsid w:val="000F0E3C"/>
    <w:rsid w:val="000F19D5"/>
    <w:rsid w:val="000F1DC2"/>
    <w:rsid w:val="000F4050"/>
    <w:rsid w:val="000F4AEA"/>
    <w:rsid w:val="000F67E9"/>
    <w:rsid w:val="000F7E3E"/>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D20"/>
    <w:rsid w:val="001852C9"/>
    <w:rsid w:val="00187A0B"/>
    <w:rsid w:val="00190087"/>
    <w:rsid w:val="0019139A"/>
    <w:rsid w:val="001913C4"/>
    <w:rsid w:val="00192FDA"/>
    <w:rsid w:val="0019348F"/>
    <w:rsid w:val="00193A07"/>
    <w:rsid w:val="00194C95"/>
    <w:rsid w:val="00195C34"/>
    <w:rsid w:val="00196EF5"/>
    <w:rsid w:val="001A010C"/>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490"/>
    <w:rsid w:val="001F1605"/>
    <w:rsid w:val="001F2508"/>
    <w:rsid w:val="001F3F5F"/>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2602"/>
    <w:rsid w:val="002253A1"/>
    <w:rsid w:val="00225B8D"/>
    <w:rsid w:val="00225CF8"/>
    <w:rsid w:val="0022794E"/>
    <w:rsid w:val="00233D64"/>
    <w:rsid w:val="0023482A"/>
    <w:rsid w:val="002359CB"/>
    <w:rsid w:val="00237429"/>
    <w:rsid w:val="00243540"/>
    <w:rsid w:val="0024497B"/>
    <w:rsid w:val="0024515B"/>
    <w:rsid w:val="00246021"/>
    <w:rsid w:val="0024666E"/>
    <w:rsid w:val="00247F52"/>
    <w:rsid w:val="00250B25"/>
    <w:rsid w:val="00250BBE"/>
    <w:rsid w:val="002515C2"/>
    <w:rsid w:val="0025194A"/>
    <w:rsid w:val="0025194F"/>
    <w:rsid w:val="002519E8"/>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6A00"/>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2269"/>
    <w:rsid w:val="002C237C"/>
    <w:rsid w:val="002C3F07"/>
    <w:rsid w:val="002C5278"/>
    <w:rsid w:val="002C732F"/>
    <w:rsid w:val="002C7EBB"/>
    <w:rsid w:val="002D06C1"/>
    <w:rsid w:val="002D281C"/>
    <w:rsid w:val="002D42B5"/>
    <w:rsid w:val="002D4F1A"/>
    <w:rsid w:val="002D6EC6"/>
    <w:rsid w:val="002D79AC"/>
    <w:rsid w:val="002E039D"/>
    <w:rsid w:val="002E4D5A"/>
    <w:rsid w:val="002E6326"/>
    <w:rsid w:val="002F30E0"/>
    <w:rsid w:val="002F35E4"/>
    <w:rsid w:val="002F3730"/>
    <w:rsid w:val="002F38E1"/>
    <w:rsid w:val="002F7AF6"/>
    <w:rsid w:val="0030041B"/>
    <w:rsid w:val="003008CE"/>
    <w:rsid w:val="00300E63"/>
    <w:rsid w:val="00302F5F"/>
    <w:rsid w:val="0030441D"/>
    <w:rsid w:val="00306063"/>
    <w:rsid w:val="00313B85"/>
    <w:rsid w:val="0031574F"/>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9C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B72"/>
    <w:rsid w:val="00394071"/>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B7A33"/>
    <w:rsid w:val="003C010C"/>
    <w:rsid w:val="003C0A6C"/>
    <w:rsid w:val="003C14F8"/>
    <w:rsid w:val="003C5235"/>
    <w:rsid w:val="003C5340"/>
    <w:rsid w:val="003C5A43"/>
    <w:rsid w:val="003D0519"/>
    <w:rsid w:val="003D0FF6"/>
    <w:rsid w:val="003D1C4D"/>
    <w:rsid w:val="003D262C"/>
    <w:rsid w:val="003D6D61"/>
    <w:rsid w:val="003E019F"/>
    <w:rsid w:val="003E091D"/>
    <w:rsid w:val="003E1C53"/>
    <w:rsid w:val="003E2A69"/>
    <w:rsid w:val="003E2D49"/>
    <w:rsid w:val="003E2FD4"/>
    <w:rsid w:val="003E49F6"/>
    <w:rsid w:val="003E64AF"/>
    <w:rsid w:val="003E660F"/>
    <w:rsid w:val="003F0841"/>
    <w:rsid w:val="003F23D3"/>
    <w:rsid w:val="003F290F"/>
    <w:rsid w:val="003F3EDE"/>
    <w:rsid w:val="003F3F08"/>
    <w:rsid w:val="003F49F1"/>
    <w:rsid w:val="003F6272"/>
    <w:rsid w:val="00400E72"/>
    <w:rsid w:val="00401400"/>
    <w:rsid w:val="00404869"/>
    <w:rsid w:val="00405884"/>
    <w:rsid w:val="00406127"/>
    <w:rsid w:val="00407D39"/>
    <w:rsid w:val="00411E80"/>
    <w:rsid w:val="004143CF"/>
    <w:rsid w:val="0041477A"/>
    <w:rsid w:val="00415EC1"/>
    <w:rsid w:val="004167A3"/>
    <w:rsid w:val="00424EC7"/>
    <w:rsid w:val="00425257"/>
    <w:rsid w:val="00432DAA"/>
    <w:rsid w:val="00434305"/>
    <w:rsid w:val="00435DF7"/>
    <w:rsid w:val="0043741A"/>
    <w:rsid w:val="0044083F"/>
    <w:rsid w:val="00441AE7"/>
    <w:rsid w:val="00445574"/>
    <w:rsid w:val="004467FB"/>
    <w:rsid w:val="00452D6B"/>
    <w:rsid w:val="00454107"/>
    <w:rsid w:val="00454484"/>
    <w:rsid w:val="0045517B"/>
    <w:rsid w:val="00457AB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774F"/>
    <w:rsid w:val="004B0272"/>
    <w:rsid w:val="004B2701"/>
    <w:rsid w:val="004B2E1B"/>
    <w:rsid w:val="004B3929"/>
    <w:rsid w:val="004B3AA8"/>
    <w:rsid w:val="004B3E93"/>
    <w:rsid w:val="004B6855"/>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F42"/>
    <w:rsid w:val="00501139"/>
    <w:rsid w:val="0050363E"/>
    <w:rsid w:val="005039BC"/>
    <w:rsid w:val="005043BB"/>
    <w:rsid w:val="00504A3D"/>
    <w:rsid w:val="00505767"/>
    <w:rsid w:val="005073F0"/>
    <w:rsid w:val="0050790F"/>
    <w:rsid w:val="00510A7B"/>
    <w:rsid w:val="00512F6E"/>
    <w:rsid w:val="00513038"/>
    <w:rsid w:val="00514174"/>
    <w:rsid w:val="00515B1C"/>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6D9B"/>
    <w:rsid w:val="00541853"/>
    <w:rsid w:val="00543BDA"/>
    <w:rsid w:val="005441CC"/>
    <w:rsid w:val="005479DA"/>
    <w:rsid w:val="00547BCC"/>
    <w:rsid w:val="0055013B"/>
    <w:rsid w:val="00551F6F"/>
    <w:rsid w:val="00555044"/>
    <w:rsid w:val="00556BFC"/>
    <w:rsid w:val="00561475"/>
    <w:rsid w:val="00562308"/>
    <w:rsid w:val="0056487B"/>
    <w:rsid w:val="00564FB9"/>
    <w:rsid w:val="00573D9E"/>
    <w:rsid w:val="00577AD2"/>
    <w:rsid w:val="005801E3"/>
    <w:rsid w:val="00581802"/>
    <w:rsid w:val="005836A8"/>
    <w:rsid w:val="0058409C"/>
    <w:rsid w:val="00584262"/>
    <w:rsid w:val="00586630"/>
    <w:rsid w:val="00587ADD"/>
    <w:rsid w:val="00593A49"/>
    <w:rsid w:val="00596160"/>
    <w:rsid w:val="005966E2"/>
    <w:rsid w:val="00597007"/>
    <w:rsid w:val="005A0966"/>
    <w:rsid w:val="005A11B7"/>
    <w:rsid w:val="005A161B"/>
    <w:rsid w:val="005A260B"/>
    <w:rsid w:val="005A4A1B"/>
    <w:rsid w:val="005A7830"/>
    <w:rsid w:val="005A7FCE"/>
    <w:rsid w:val="005B0F3F"/>
    <w:rsid w:val="005B191C"/>
    <w:rsid w:val="005B4903"/>
    <w:rsid w:val="005B51CE"/>
    <w:rsid w:val="005B5885"/>
    <w:rsid w:val="005B5CD7"/>
    <w:rsid w:val="005B6CF6"/>
    <w:rsid w:val="005B7422"/>
    <w:rsid w:val="005C1C5B"/>
    <w:rsid w:val="005C252C"/>
    <w:rsid w:val="005C29B8"/>
    <w:rsid w:val="005C4FEF"/>
    <w:rsid w:val="005C5F21"/>
    <w:rsid w:val="005C7156"/>
    <w:rsid w:val="005D0C75"/>
    <w:rsid w:val="005D4171"/>
    <w:rsid w:val="005D674A"/>
    <w:rsid w:val="005D6A95"/>
    <w:rsid w:val="005D6B2C"/>
    <w:rsid w:val="005D6D9C"/>
    <w:rsid w:val="005E1B84"/>
    <w:rsid w:val="005E2335"/>
    <w:rsid w:val="005E34CA"/>
    <w:rsid w:val="005E3C18"/>
    <w:rsid w:val="005E4250"/>
    <w:rsid w:val="005E6812"/>
    <w:rsid w:val="005E7881"/>
    <w:rsid w:val="005E78E0"/>
    <w:rsid w:val="005F0D9C"/>
    <w:rsid w:val="005F284E"/>
    <w:rsid w:val="005F6409"/>
    <w:rsid w:val="006015CE"/>
    <w:rsid w:val="00604784"/>
    <w:rsid w:val="00606419"/>
    <w:rsid w:val="00607D29"/>
    <w:rsid w:val="00612952"/>
    <w:rsid w:val="00613804"/>
    <w:rsid w:val="00614CC1"/>
    <w:rsid w:val="00615A9D"/>
    <w:rsid w:val="00616DD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0C9"/>
    <w:rsid w:val="00643745"/>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5D6"/>
    <w:rsid w:val="00693962"/>
    <w:rsid w:val="006A07AA"/>
    <w:rsid w:val="006A25E5"/>
    <w:rsid w:val="006A2B46"/>
    <w:rsid w:val="006A336D"/>
    <w:rsid w:val="006A37B9"/>
    <w:rsid w:val="006B2672"/>
    <w:rsid w:val="006B30AC"/>
    <w:rsid w:val="006B3CB1"/>
    <w:rsid w:val="006B444E"/>
    <w:rsid w:val="006B54BF"/>
    <w:rsid w:val="006B5F44"/>
    <w:rsid w:val="006B5F90"/>
    <w:rsid w:val="006B62E4"/>
    <w:rsid w:val="006C1BBA"/>
    <w:rsid w:val="006C2079"/>
    <w:rsid w:val="006C5A62"/>
    <w:rsid w:val="006C5D68"/>
    <w:rsid w:val="006C6976"/>
    <w:rsid w:val="006C6DD0"/>
    <w:rsid w:val="006D04EA"/>
    <w:rsid w:val="006D0D0C"/>
    <w:rsid w:val="006D16C4"/>
    <w:rsid w:val="006D3E96"/>
    <w:rsid w:val="006D4515"/>
    <w:rsid w:val="006D4BB1"/>
    <w:rsid w:val="006D6593"/>
    <w:rsid w:val="006E76B3"/>
    <w:rsid w:val="006F03A8"/>
    <w:rsid w:val="006F2ACA"/>
    <w:rsid w:val="006F2ADC"/>
    <w:rsid w:val="006F2BFE"/>
    <w:rsid w:val="006F31E9"/>
    <w:rsid w:val="006F6284"/>
    <w:rsid w:val="007002C5"/>
    <w:rsid w:val="007025F2"/>
    <w:rsid w:val="00704387"/>
    <w:rsid w:val="00707669"/>
    <w:rsid w:val="00711CBA"/>
    <w:rsid w:val="00711FB5"/>
    <w:rsid w:val="00712A01"/>
    <w:rsid w:val="00714F58"/>
    <w:rsid w:val="00716ED4"/>
    <w:rsid w:val="00722FBF"/>
    <w:rsid w:val="00722FC2"/>
    <w:rsid w:val="00722FDA"/>
    <w:rsid w:val="00724E1B"/>
    <w:rsid w:val="00725949"/>
    <w:rsid w:val="00727FA2"/>
    <w:rsid w:val="007322D9"/>
    <w:rsid w:val="00732BC0"/>
    <w:rsid w:val="00734E7F"/>
    <w:rsid w:val="0073720F"/>
    <w:rsid w:val="00737796"/>
    <w:rsid w:val="00740FFD"/>
    <w:rsid w:val="0074165C"/>
    <w:rsid w:val="00742C35"/>
    <w:rsid w:val="007432CA"/>
    <w:rsid w:val="007439EB"/>
    <w:rsid w:val="00743CB4"/>
    <w:rsid w:val="00743F0A"/>
    <w:rsid w:val="007444E8"/>
    <w:rsid w:val="00744BAE"/>
    <w:rsid w:val="0074548E"/>
    <w:rsid w:val="00745773"/>
    <w:rsid w:val="00746800"/>
    <w:rsid w:val="007501A8"/>
    <w:rsid w:val="00750D61"/>
    <w:rsid w:val="00750EE1"/>
    <w:rsid w:val="00752645"/>
    <w:rsid w:val="00752B4D"/>
    <w:rsid w:val="00753026"/>
    <w:rsid w:val="00755402"/>
    <w:rsid w:val="00756B26"/>
    <w:rsid w:val="00756EDF"/>
    <w:rsid w:val="007600E3"/>
    <w:rsid w:val="00765C43"/>
    <w:rsid w:val="00765EFB"/>
    <w:rsid w:val="007671CA"/>
    <w:rsid w:val="00767C61"/>
    <w:rsid w:val="0077008A"/>
    <w:rsid w:val="007702C5"/>
    <w:rsid w:val="00773C1F"/>
    <w:rsid w:val="00774DA4"/>
    <w:rsid w:val="00776599"/>
    <w:rsid w:val="0078114B"/>
    <w:rsid w:val="00781DD2"/>
    <w:rsid w:val="0078226C"/>
    <w:rsid w:val="007822FF"/>
    <w:rsid w:val="00783ECF"/>
    <w:rsid w:val="0078413A"/>
    <w:rsid w:val="007959E8"/>
    <w:rsid w:val="00795E9C"/>
    <w:rsid w:val="007A0521"/>
    <w:rsid w:val="007A2E12"/>
    <w:rsid w:val="007A3475"/>
    <w:rsid w:val="007A41C8"/>
    <w:rsid w:val="007A54CE"/>
    <w:rsid w:val="007A5D3A"/>
    <w:rsid w:val="007A6A2B"/>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47E7"/>
    <w:rsid w:val="00815419"/>
    <w:rsid w:val="008163C8"/>
    <w:rsid w:val="008164A1"/>
    <w:rsid w:val="00817325"/>
    <w:rsid w:val="008209E6"/>
    <w:rsid w:val="00821D19"/>
    <w:rsid w:val="00823303"/>
    <w:rsid w:val="008233B2"/>
    <w:rsid w:val="00823A9F"/>
    <w:rsid w:val="00823C85"/>
    <w:rsid w:val="00825138"/>
    <w:rsid w:val="0082625A"/>
    <w:rsid w:val="008269DD"/>
    <w:rsid w:val="00830621"/>
    <w:rsid w:val="0083348C"/>
    <w:rsid w:val="008373D3"/>
    <w:rsid w:val="008405FA"/>
    <w:rsid w:val="00840617"/>
    <w:rsid w:val="00840F84"/>
    <w:rsid w:val="00842A47"/>
    <w:rsid w:val="00843C13"/>
    <w:rsid w:val="00843DEF"/>
    <w:rsid w:val="008454F8"/>
    <w:rsid w:val="0085173A"/>
    <w:rsid w:val="00854192"/>
    <w:rsid w:val="00855B84"/>
    <w:rsid w:val="008603CE"/>
    <w:rsid w:val="008620FC"/>
    <w:rsid w:val="008627A5"/>
    <w:rsid w:val="0086300F"/>
    <w:rsid w:val="00863E05"/>
    <w:rsid w:val="00865ACA"/>
    <w:rsid w:val="00865D28"/>
    <w:rsid w:val="00865F85"/>
    <w:rsid w:val="00867198"/>
    <w:rsid w:val="00867C10"/>
    <w:rsid w:val="00867FFD"/>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1E29"/>
    <w:rsid w:val="008B3615"/>
    <w:rsid w:val="008B4AC4"/>
    <w:rsid w:val="008B50C8"/>
    <w:rsid w:val="008B5281"/>
    <w:rsid w:val="008B53E7"/>
    <w:rsid w:val="008B7E05"/>
    <w:rsid w:val="008C1797"/>
    <w:rsid w:val="008C219C"/>
    <w:rsid w:val="008C4605"/>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1D20"/>
    <w:rsid w:val="008E2319"/>
    <w:rsid w:val="008E4BB6"/>
    <w:rsid w:val="008E5518"/>
    <w:rsid w:val="008E6A84"/>
    <w:rsid w:val="008F0CDC"/>
    <w:rsid w:val="008F1150"/>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47722"/>
    <w:rsid w:val="00952237"/>
    <w:rsid w:val="00953604"/>
    <w:rsid w:val="0095496B"/>
    <w:rsid w:val="00955F47"/>
    <w:rsid w:val="00957926"/>
    <w:rsid w:val="00960F1E"/>
    <w:rsid w:val="0096105D"/>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8E1"/>
    <w:rsid w:val="009B6029"/>
    <w:rsid w:val="009B6971"/>
    <w:rsid w:val="009C20FA"/>
    <w:rsid w:val="009C27F1"/>
    <w:rsid w:val="009C3152"/>
    <w:rsid w:val="009C3257"/>
    <w:rsid w:val="009C4CFA"/>
    <w:rsid w:val="009C5070"/>
    <w:rsid w:val="009C5D97"/>
    <w:rsid w:val="009C5DE7"/>
    <w:rsid w:val="009D112C"/>
    <w:rsid w:val="009D1385"/>
    <w:rsid w:val="009D47FA"/>
    <w:rsid w:val="009D4C5B"/>
    <w:rsid w:val="009D50D2"/>
    <w:rsid w:val="009D6BCA"/>
    <w:rsid w:val="009E0F62"/>
    <w:rsid w:val="009E4A58"/>
    <w:rsid w:val="009E5A2D"/>
    <w:rsid w:val="009E5AB2"/>
    <w:rsid w:val="009E6219"/>
    <w:rsid w:val="009F03B3"/>
    <w:rsid w:val="009F22FB"/>
    <w:rsid w:val="009F7B8F"/>
    <w:rsid w:val="00A0096C"/>
    <w:rsid w:val="00A01757"/>
    <w:rsid w:val="00A028C0"/>
    <w:rsid w:val="00A02BAE"/>
    <w:rsid w:val="00A06A6B"/>
    <w:rsid w:val="00A07E47"/>
    <w:rsid w:val="00A129D0"/>
    <w:rsid w:val="00A12C33"/>
    <w:rsid w:val="00A138BA"/>
    <w:rsid w:val="00A14C8E"/>
    <w:rsid w:val="00A15134"/>
    <w:rsid w:val="00A153D9"/>
    <w:rsid w:val="00A15F09"/>
    <w:rsid w:val="00A169B6"/>
    <w:rsid w:val="00A179A1"/>
    <w:rsid w:val="00A20B7D"/>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745"/>
    <w:rsid w:val="00A44E69"/>
    <w:rsid w:val="00A4661E"/>
    <w:rsid w:val="00A53E10"/>
    <w:rsid w:val="00A55BD6"/>
    <w:rsid w:val="00A55D50"/>
    <w:rsid w:val="00A57142"/>
    <w:rsid w:val="00A648CD"/>
    <w:rsid w:val="00A6537A"/>
    <w:rsid w:val="00A67866"/>
    <w:rsid w:val="00A70B07"/>
    <w:rsid w:val="00A723F8"/>
    <w:rsid w:val="00A77CCB"/>
    <w:rsid w:val="00A81829"/>
    <w:rsid w:val="00A83D8D"/>
    <w:rsid w:val="00A8446B"/>
    <w:rsid w:val="00A8473F"/>
    <w:rsid w:val="00A862D6"/>
    <w:rsid w:val="00A8715E"/>
    <w:rsid w:val="00A87F74"/>
    <w:rsid w:val="00A9295B"/>
    <w:rsid w:val="00A92B66"/>
    <w:rsid w:val="00A93B09"/>
    <w:rsid w:val="00A952D7"/>
    <w:rsid w:val="00A963F7"/>
    <w:rsid w:val="00A96AD8"/>
    <w:rsid w:val="00A97089"/>
    <w:rsid w:val="00AA052C"/>
    <w:rsid w:val="00AA0FFD"/>
    <w:rsid w:val="00AA1E45"/>
    <w:rsid w:val="00AA4286"/>
    <w:rsid w:val="00AA456B"/>
    <w:rsid w:val="00AA49B7"/>
    <w:rsid w:val="00AA57F5"/>
    <w:rsid w:val="00AA672E"/>
    <w:rsid w:val="00AA6EC9"/>
    <w:rsid w:val="00AB6309"/>
    <w:rsid w:val="00AB6C5F"/>
    <w:rsid w:val="00AB7129"/>
    <w:rsid w:val="00AC27A6"/>
    <w:rsid w:val="00AC30F7"/>
    <w:rsid w:val="00AC3A5A"/>
    <w:rsid w:val="00AC4D95"/>
    <w:rsid w:val="00AC5DF4"/>
    <w:rsid w:val="00AC7B17"/>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27A1B"/>
    <w:rsid w:val="00B31FB1"/>
    <w:rsid w:val="00B33952"/>
    <w:rsid w:val="00B33C5E"/>
    <w:rsid w:val="00B342F4"/>
    <w:rsid w:val="00B34369"/>
    <w:rsid w:val="00B34DC2"/>
    <w:rsid w:val="00B378E5"/>
    <w:rsid w:val="00B4346D"/>
    <w:rsid w:val="00B440F4"/>
    <w:rsid w:val="00B447A5"/>
    <w:rsid w:val="00B4654C"/>
    <w:rsid w:val="00B47293"/>
    <w:rsid w:val="00B50E50"/>
    <w:rsid w:val="00B51407"/>
    <w:rsid w:val="00B52120"/>
    <w:rsid w:val="00B54ABC"/>
    <w:rsid w:val="00B56FBE"/>
    <w:rsid w:val="00B60ACF"/>
    <w:rsid w:val="00B62B58"/>
    <w:rsid w:val="00B65149"/>
    <w:rsid w:val="00B66567"/>
    <w:rsid w:val="00B667C8"/>
    <w:rsid w:val="00B66E10"/>
    <w:rsid w:val="00B66F52"/>
    <w:rsid w:val="00B66FE5"/>
    <w:rsid w:val="00B72880"/>
    <w:rsid w:val="00B758BF"/>
    <w:rsid w:val="00B773C1"/>
    <w:rsid w:val="00B77EC8"/>
    <w:rsid w:val="00B827A6"/>
    <w:rsid w:val="00B831CE"/>
    <w:rsid w:val="00B86677"/>
    <w:rsid w:val="00B87131"/>
    <w:rsid w:val="00B939B1"/>
    <w:rsid w:val="00B95F60"/>
    <w:rsid w:val="00B96D40"/>
    <w:rsid w:val="00B97386"/>
    <w:rsid w:val="00BA18A4"/>
    <w:rsid w:val="00BA263B"/>
    <w:rsid w:val="00BA42B2"/>
    <w:rsid w:val="00BA58D4"/>
    <w:rsid w:val="00BA5B9E"/>
    <w:rsid w:val="00BA7C9A"/>
    <w:rsid w:val="00BB5F8F"/>
    <w:rsid w:val="00BB657A"/>
    <w:rsid w:val="00BC1A4E"/>
    <w:rsid w:val="00BC5DC7"/>
    <w:rsid w:val="00BC6B8B"/>
    <w:rsid w:val="00BC73D8"/>
    <w:rsid w:val="00BD52D7"/>
    <w:rsid w:val="00BD5AD2"/>
    <w:rsid w:val="00BD6850"/>
    <w:rsid w:val="00BE22F3"/>
    <w:rsid w:val="00BE5B52"/>
    <w:rsid w:val="00BE78C5"/>
    <w:rsid w:val="00BE7B8D"/>
    <w:rsid w:val="00BF0993"/>
    <w:rsid w:val="00BF10A9"/>
    <w:rsid w:val="00BF1703"/>
    <w:rsid w:val="00BF231C"/>
    <w:rsid w:val="00BF2AAC"/>
    <w:rsid w:val="00BF51E5"/>
    <w:rsid w:val="00BF74A6"/>
    <w:rsid w:val="00C013AD"/>
    <w:rsid w:val="00C04904"/>
    <w:rsid w:val="00C056B3"/>
    <w:rsid w:val="00C103E5"/>
    <w:rsid w:val="00C1156F"/>
    <w:rsid w:val="00C13319"/>
    <w:rsid w:val="00C13EE9"/>
    <w:rsid w:val="00C165E7"/>
    <w:rsid w:val="00C21540"/>
    <w:rsid w:val="00C21906"/>
    <w:rsid w:val="00C21BFA"/>
    <w:rsid w:val="00C24C8D"/>
    <w:rsid w:val="00C24EBE"/>
    <w:rsid w:val="00C25FE2"/>
    <w:rsid w:val="00C26B53"/>
    <w:rsid w:val="00C279B2"/>
    <w:rsid w:val="00C31ED8"/>
    <w:rsid w:val="00C33E50"/>
    <w:rsid w:val="00C34C20"/>
    <w:rsid w:val="00C35A3E"/>
    <w:rsid w:val="00C36A3C"/>
    <w:rsid w:val="00C42130"/>
    <w:rsid w:val="00C423A4"/>
    <w:rsid w:val="00C423E3"/>
    <w:rsid w:val="00C44BF5"/>
    <w:rsid w:val="00C502BD"/>
    <w:rsid w:val="00C521D6"/>
    <w:rsid w:val="00C55232"/>
    <w:rsid w:val="00C553A4"/>
    <w:rsid w:val="00C55A06"/>
    <w:rsid w:val="00C55D03"/>
    <w:rsid w:val="00C601BC"/>
    <w:rsid w:val="00C61823"/>
    <w:rsid w:val="00C62464"/>
    <w:rsid w:val="00C6329F"/>
    <w:rsid w:val="00C63340"/>
    <w:rsid w:val="00C643F9"/>
    <w:rsid w:val="00C64E95"/>
    <w:rsid w:val="00C71372"/>
    <w:rsid w:val="00C72410"/>
    <w:rsid w:val="00C7287F"/>
    <w:rsid w:val="00C749C3"/>
    <w:rsid w:val="00C75B2C"/>
    <w:rsid w:val="00C77FD4"/>
    <w:rsid w:val="00C80CB8"/>
    <w:rsid w:val="00C819F8"/>
    <w:rsid w:val="00C8248C"/>
    <w:rsid w:val="00C84E33"/>
    <w:rsid w:val="00C84EC2"/>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4C7"/>
    <w:rsid w:val="00CE0C4F"/>
    <w:rsid w:val="00CE30EA"/>
    <w:rsid w:val="00CF048A"/>
    <w:rsid w:val="00CF155A"/>
    <w:rsid w:val="00CF2947"/>
    <w:rsid w:val="00CF4F0E"/>
    <w:rsid w:val="00CF686F"/>
    <w:rsid w:val="00CF6E60"/>
    <w:rsid w:val="00CF7BCA"/>
    <w:rsid w:val="00D008FD"/>
    <w:rsid w:val="00D03010"/>
    <w:rsid w:val="00D0321C"/>
    <w:rsid w:val="00D035EC"/>
    <w:rsid w:val="00D04956"/>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B"/>
    <w:rsid w:val="00D352A2"/>
    <w:rsid w:val="00D4162B"/>
    <w:rsid w:val="00D441CA"/>
    <w:rsid w:val="00D4514F"/>
    <w:rsid w:val="00D451E2"/>
    <w:rsid w:val="00D45E89"/>
    <w:rsid w:val="00D45E8D"/>
    <w:rsid w:val="00D466AE"/>
    <w:rsid w:val="00D4734F"/>
    <w:rsid w:val="00D51BF3"/>
    <w:rsid w:val="00D52EEF"/>
    <w:rsid w:val="00D60A8B"/>
    <w:rsid w:val="00D66846"/>
    <w:rsid w:val="00D675FB"/>
    <w:rsid w:val="00D71F25"/>
    <w:rsid w:val="00D72A9C"/>
    <w:rsid w:val="00D77031"/>
    <w:rsid w:val="00D814FE"/>
    <w:rsid w:val="00D84941"/>
    <w:rsid w:val="00D84FA1"/>
    <w:rsid w:val="00D851F0"/>
    <w:rsid w:val="00D86857"/>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112"/>
    <w:rsid w:val="00DA7663"/>
    <w:rsid w:val="00DB0258"/>
    <w:rsid w:val="00DB1981"/>
    <w:rsid w:val="00DB38EE"/>
    <w:rsid w:val="00DB498B"/>
    <w:rsid w:val="00DB66CA"/>
    <w:rsid w:val="00DB6BCA"/>
    <w:rsid w:val="00DB6F54"/>
    <w:rsid w:val="00DB73F7"/>
    <w:rsid w:val="00DC0321"/>
    <w:rsid w:val="00DC3067"/>
    <w:rsid w:val="00DC370B"/>
    <w:rsid w:val="00DC4041"/>
    <w:rsid w:val="00DC5B90"/>
    <w:rsid w:val="00DD00FF"/>
    <w:rsid w:val="00DD0619"/>
    <w:rsid w:val="00DD066E"/>
    <w:rsid w:val="00DD07FB"/>
    <w:rsid w:val="00DD189E"/>
    <w:rsid w:val="00DD25C6"/>
    <w:rsid w:val="00DD4099"/>
    <w:rsid w:val="00DD48BB"/>
    <w:rsid w:val="00DD4FE5"/>
    <w:rsid w:val="00DD54B0"/>
    <w:rsid w:val="00DD57EE"/>
    <w:rsid w:val="00DD6BCC"/>
    <w:rsid w:val="00DE0A4B"/>
    <w:rsid w:val="00DE2410"/>
    <w:rsid w:val="00DE2939"/>
    <w:rsid w:val="00DE6E81"/>
    <w:rsid w:val="00DE703F"/>
    <w:rsid w:val="00DE7595"/>
    <w:rsid w:val="00DF1961"/>
    <w:rsid w:val="00DF22A7"/>
    <w:rsid w:val="00DF44DE"/>
    <w:rsid w:val="00DF5BA5"/>
    <w:rsid w:val="00DF7AFE"/>
    <w:rsid w:val="00E003FE"/>
    <w:rsid w:val="00E01138"/>
    <w:rsid w:val="00E02DFB"/>
    <w:rsid w:val="00E030F9"/>
    <w:rsid w:val="00E0311A"/>
    <w:rsid w:val="00E03138"/>
    <w:rsid w:val="00E06404"/>
    <w:rsid w:val="00E11A85"/>
    <w:rsid w:val="00E12495"/>
    <w:rsid w:val="00E15CCD"/>
    <w:rsid w:val="00E202EF"/>
    <w:rsid w:val="00E210B5"/>
    <w:rsid w:val="00E2552F"/>
    <w:rsid w:val="00E3137A"/>
    <w:rsid w:val="00E32757"/>
    <w:rsid w:val="00E32CCF"/>
    <w:rsid w:val="00E34A98"/>
    <w:rsid w:val="00E35D1E"/>
    <w:rsid w:val="00E364F9"/>
    <w:rsid w:val="00E365FA"/>
    <w:rsid w:val="00E36789"/>
    <w:rsid w:val="00E44A83"/>
    <w:rsid w:val="00E47CDB"/>
    <w:rsid w:val="00E502C1"/>
    <w:rsid w:val="00E502DD"/>
    <w:rsid w:val="00E50D3A"/>
    <w:rsid w:val="00E50FB2"/>
    <w:rsid w:val="00E51387"/>
    <w:rsid w:val="00E51E68"/>
    <w:rsid w:val="00E52EFD"/>
    <w:rsid w:val="00E5408A"/>
    <w:rsid w:val="00E55359"/>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A774A"/>
    <w:rsid w:val="00EB1E69"/>
    <w:rsid w:val="00EB2086"/>
    <w:rsid w:val="00EB31ED"/>
    <w:rsid w:val="00EB5EDF"/>
    <w:rsid w:val="00EB60FE"/>
    <w:rsid w:val="00EB74DB"/>
    <w:rsid w:val="00EC18B6"/>
    <w:rsid w:val="00EC5359"/>
    <w:rsid w:val="00EC562A"/>
    <w:rsid w:val="00EC6733"/>
    <w:rsid w:val="00ED067A"/>
    <w:rsid w:val="00ED12E8"/>
    <w:rsid w:val="00ED2B50"/>
    <w:rsid w:val="00EE0350"/>
    <w:rsid w:val="00EE0719"/>
    <w:rsid w:val="00EE0E80"/>
    <w:rsid w:val="00EE5D96"/>
    <w:rsid w:val="00EE613F"/>
    <w:rsid w:val="00EE7295"/>
    <w:rsid w:val="00EE7869"/>
    <w:rsid w:val="00EF054A"/>
    <w:rsid w:val="00EF3235"/>
    <w:rsid w:val="00EF7E72"/>
    <w:rsid w:val="00F01AA1"/>
    <w:rsid w:val="00F06D37"/>
    <w:rsid w:val="00F07B9D"/>
    <w:rsid w:val="00F11276"/>
    <w:rsid w:val="00F11586"/>
    <w:rsid w:val="00F1183B"/>
    <w:rsid w:val="00F11C9F"/>
    <w:rsid w:val="00F12263"/>
    <w:rsid w:val="00F1409D"/>
    <w:rsid w:val="00F14214"/>
    <w:rsid w:val="00F157A9"/>
    <w:rsid w:val="00F16F00"/>
    <w:rsid w:val="00F203A9"/>
    <w:rsid w:val="00F21D2D"/>
    <w:rsid w:val="00F2437E"/>
    <w:rsid w:val="00F25BB6"/>
    <w:rsid w:val="00F26B7E"/>
    <w:rsid w:val="00F27A3B"/>
    <w:rsid w:val="00F32780"/>
    <w:rsid w:val="00F33817"/>
    <w:rsid w:val="00F420D5"/>
    <w:rsid w:val="00F43428"/>
    <w:rsid w:val="00F43EE7"/>
    <w:rsid w:val="00F451EA"/>
    <w:rsid w:val="00F45447"/>
    <w:rsid w:val="00F456C6"/>
    <w:rsid w:val="00F4577B"/>
    <w:rsid w:val="00F46496"/>
    <w:rsid w:val="00F474D0"/>
    <w:rsid w:val="00F50179"/>
    <w:rsid w:val="00F515EE"/>
    <w:rsid w:val="00F5316E"/>
    <w:rsid w:val="00F56511"/>
    <w:rsid w:val="00F57E57"/>
    <w:rsid w:val="00F6194E"/>
    <w:rsid w:val="00F623AC"/>
    <w:rsid w:val="00F6412A"/>
    <w:rsid w:val="00F65893"/>
    <w:rsid w:val="00F66A4A"/>
    <w:rsid w:val="00F71E22"/>
    <w:rsid w:val="00F72142"/>
    <w:rsid w:val="00F72AE7"/>
    <w:rsid w:val="00F80277"/>
    <w:rsid w:val="00F833BA"/>
    <w:rsid w:val="00F84AD8"/>
    <w:rsid w:val="00F84EB9"/>
    <w:rsid w:val="00F84FD0"/>
    <w:rsid w:val="00F8531D"/>
    <w:rsid w:val="00F859A8"/>
    <w:rsid w:val="00F86D87"/>
    <w:rsid w:val="00F87D6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93F"/>
    <w:rsid w:val="00FF7CE4"/>
    <w:rsid w:val="00FF7E39"/>
    <w:rsid w:val="01156D31"/>
    <w:rsid w:val="014922E3"/>
    <w:rsid w:val="0156177E"/>
    <w:rsid w:val="015F7491"/>
    <w:rsid w:val="01BA61B0"/>
    <w:rsid w:val="01D34B7C"/>
    <w:rsid w:val="022E26FA"/>
    <w:rsid w:val="0273635F"/>
    <w:rsid w:val="029C3B08"/>
    <w:rsid w:val="02C95F7F"/>
    <w:rsid w:val="03785DE9"/>
    <w:rsid w:val="03C9092D"/>
    <w:rsid w:val="03FB660C"/>
    <w:rsid w:val="04133956"/>
    <w:rsid w:val="046E3282"/>
    <w:rsid w:val="055661F0"/>
    <w:rsid w:val="055E6A42"/>
    <w:rsid w:val="05A91BE3"/>
    <w:rsid w:val="05B20F4D"/>
    <w:rsid w:val="05BE5B1B"/>
    <w:rsid w:val="05CA098C"/>
    <w:rsid w:val="060617A9"/>
    <w:rsid w:val="0607573C"/>
    <w:rsid w:val="06473D8B"/>
    <w:rsid w:val="06654211"/>
    <w:rsid w:val="06916F35"/>
    <w:rsid w:val="06E17D3B"/>
    <w:rsid w:val="0708351A"/>
    <w:rsid w:val="07577FFE"/>
    <w:rsid w:val="07A3029B"/>
    <w:rsid w:val="081D7BB2"/>
    <w:rsid w:val="08294E5C"/>
    <w:rsid w:val="083245C7"/>
    <w:rsid w:val="083D5469"/>
    <w:rsid w:val="08674270"/>
    <w:rsid w:val="0994100B"/>
    <w:rsid w:val="0A344626"/>
    <w:rsid w:val="0ABF0394"/>
    <w:rsid w:val="0B9335CE"/>
    <w:rsid w:val="0BA12B07"/>
    <w:rsid w:val="0BCA3494"/>
    <w:rsid w:val="0BF16C73"/>
    <w:rsid w:val="0C175FAD"/>
    <w:rsid w:val="0C5E3BDC"/>
    <w:rsid w:val="0C994C14"/>
    <w:rsid w:val="0D3A1F53"/>
    <w:rsid w:val="0D42705A"/>
    <w:rsid w:val="0D576FA9"/>
    <w:rsid w:val="0DEE0F90"/>
    <w:rsid w:val="0E3B0878"/>
    <w:rsid w:val="0E4868F2"/>
    <w:rsid w:val="0E903DF5"/>
    <w:rsid w:val="0E904CC5"/>
    <w:rsid w:val="0EBC4BEA"/>
    <w:rsid w:val="0ED818B2"/>
    <w:rsid w:val="0F080F37"/>
    <w:rsid w:val="0F135152"/>
    <w:rsid w:val="0F2A5FF8"/>
    <w:rsid w:val="0F3C1993"/>
    <w:rsid w:val="0F827BE2"/>
    <w:rsid w:val="0FE8213B"/>
    <w:rsid w:val="10134CDE"/>
    <w:rsid w:val="10521CAA"/>
    <w:rsid w:val="10675755"/>
    <w:rsid w:val="10A06571"/>
    <w:rsid w:val="10A0797A"/>
    <w:rsid w:val="10F30871"/>
    <w:rsid w:val="110765F0"/>
    <w:rsid w:val="11785740"/>
    <w:rsid w:val="118440E5"/>
    <w:rsid w:val="11A42091"/>
    <w:rsid w:val="11D861DF"/>
    <w:rsid w:val="120B3C17"/>
    <w:rsid w:val="12B84F7B"/>
    <w:rsid w:val="133F5002"/>
    <w:rsid w:val="13561AB1"/>
    <w:rsid w:val="13685DC6"/>
    <w:rsid w:val="13702B73"/>
    <w:rsid w:val="13CC2D7F"/>
    <w:rsid w:val="143E4A1F"/>
    <w:rsid w:val="145B7611"/>
    <w:rsid w:val="14613072"/>
    <w:rsid w:val="1536513E"/>
    <w:rsid w:val="159E5049"/>
    <w:rsid w:val="16930926"/>
    <w:rsid w:val="17471E3D"/>
    <w:rsid w:val="17490941"/>
    <w:rsid w:val="17A96653"/>
    <w:rsid w:val="17AA4FAE"/>
    <w:rsid w:val="18784278"/>
    <w:rsid w:val="18920DBD"/>
    <w:rsid w:val="18C33745"/>
    <w:rsid w:val="18DC65B5"/>
    <w:rsid w:val="1A4E34E2"/>
    <w:rsid w:val="1A8E4A9F"/>
    <w:rsid w:val="1AC50CB7"/>
    <w:rsid w:val="1B45283A"/>
    <w:rsid w:val="1B4C29E2"/>
    <w:rsid w:val="1B7906D2"/>
    <w:rsid w:val="1D5B36DB"/>
    <w:rsid w:val="1D862F93"/>
    <w:rsid w:val="1DE1641B"/>
    <w:rsid w:val="1E9A4F48"/>
    <w:rsid w:val="1EDC1087"/>
    <w:rsid w:val="1F134CFA"/>
    <w:rsid w:val="1F2E1635"/>
    <w:rsid w:val="1F777AF7"/>
    <w:rsid w:val="1FAF4A23"/>
    <w:rsid w:val="2001000A"/>
    <w:rsid w:val="201176A9"/>
    <w:rsid w:val="203B04ED"/>
    <w:rsid w:val="204B44D0"/>
    <w:rsid w:val="20914159"/>
    <w:rsid w:val="209B7C66"/>
    <w:rsid w:val="20CA13E8"/>
    <w:rsid w:val="20CE1D3D"/>
    <w:rsid w:val="20D64231"/>
    <w:rsid w:val="218310E8"/>
    <w:rsid w:val="22075285"/>
    <w:rsid w:val="229B46E4"/>
    <w:rsid w:val="231C5EB2"/>
    <w:rsid w:val="238041A2"/>
    <w:rsid w:val="23810484"/>
    <w:rsid w:val="244B45EE"/>
    <w:rsid w:val="247100A9"/>
    <w:rsid w:val="24B41E6E"/>
    <w:rsid w:val="25024FDC"/>
    <w:rsid w:val="25090731"/>
    <w:rsid w:val="255D6CCF"/>
    <w:rsid w:val="259F2E44"/>
    <w:rsid w:val="25B34B41"/>
    <w:rsid w:val="25DE388A"/>
    <w:rsid w:val="25F27756"/>
    <w:rsid w:val="260E1D77"/>
    <w:rsid w:val="262D71DD"/>
    <w:rsid w:val="26722306"/>
    <w:rsid w:val="26A52B26"/>
    <w:rsid w:val="271370C3"/>
    <w:rsid w:val="273E172E"/>
    <w:rsid w:val="27653582"/>
    <w:rsid w:val="27800A53"/>
    <w:rsid w:val="27B958A3"/>
    <w:rsid w:val="284E0B51"/>
    <w:rsid w:val="285C501C"/>
    <w:rsid w:val="28F705D6"/>
    <w:rsid w:val="28FA4916"/>
    <w:rsid w:val="29086F52"/>
    <w:rsid w:val="299B4658"/>
    <w:rsid w:val="29C4731D"/>
    <w:rsid w:val="29FA689B"/>
    <w:rsid w:val="2A043BBD"/>
    <w:rsid w:val="2A7D408E"/>
    <w:rsid w:val="2B4324C3"/>
    <w:rsid w:val="2B544339"/>
    <w:rsid w:val="2B8A6344"/>
    <w:rsid w:val="2BFA7026"/>
    <w:rsid w:val="2C053A71"/>
    <w:rsid w:val="2D457A8B"/>
    <w:rsid w:val="2D621C92"/>
    <w:rsid w:val="2D662499"/>
    <w:rsid w:val="2D7B4196"/>
    <w:rsid w:val="2DA13BA0"/>
    <w:rsid w:val="2E5A0250"/>
    <w:rsid w:val="2E6B4F35"/>
    <w:rsid w:val="2E7F1F03"/>
    <w:rsid w:val="2EE93382"/>
    <w:rsid w:val="2EEB534C"/>
    <w:rsid w:val="2F010CAC"/>
    <w:rsid w:val="2F2B5748"/>
    <w:rsid w:val="2F39477D"/>
    <w:rsid w:val="2F4F58DB"/>
    <w:rsid w:val="2F8337D6"/>
    <w:rsid w:val="2F837332"/>
    <w:rsid w:val="2F9C03F4"/>
    <w:rsid w:val="303625F7"/>
    <w:rsid w:val="30EE4C7F"/>
    <w:rsid w:val="31326E84"/>
    <w:rsid w:val="31A47D5F"/>
    <w:rsid w:val="31BC1D93"/>
    <w:rsid w:val="3220020C"/>
    <w:rsid w:val="32D81AF3"/>
    <w:rsid w:val="32F80037"/>
    <w:rsid w:val="330F7ACB"/>
    <w:rsid w:val="343432F1"/>
    <w:rsid w:val="349D49F2"/>
    <w:rsid w:val="34FA6078"/>
    <w:rsid w:val="350727B3"/>
    <w:rsid w:val="35131158"/>
    <w:rsid w:val="35BD4BE3"/>
    <w:rsid w:val="35CE329E"/>
    <w:rsid w:val="35D54660"/>
    <w:rsid w:val="36851BE2"/>
    <w:rsid w:val="36A4650C"/>
    <w:rsid w:val="36F9612C"/>
    <w:rsid w:val="37132821"/>
    <w:rsid w:val="37735EDE"/>
    <w:rsid w:val="37863E63"/>
    <w:rsid w:val="37CD3B9E"/>
    <w:rsid w:val="37E82293"/>
    <w:rsid w:val="386341A5"/>
    <w:rsid w:val="38F11738"/>
    <w:rsid w:val="398268AC"/>
    <w:rsid w:val="3A445910"/>
    <w:rsid w:val="3A58602E"/>
    <w:rsid w:val="3A5F2C13"/>
    <w:rsid w:val="3A742699"/>
    <w:rsid w:val="3A8D633E"/>
    <w:rsid w:val="3ACC6031"/>
    <w:rsid w:val="3B3512A5"/>
    <w:rsid w:val="3BD05BCD"/>
    <w:rsid w:val="3BDB4052"/>
    <w:rsid w:val="3C0E0A2E"/>
    <w:rsid w:val="3C5E53AF"/>
    <w:rsid w:val="3C85293C"/>
    <w:rsid w:val="3C9862CE"/>
    <w:rsid w:val="3CCD4A84"/>
    <w:rsid w:val="3D037D04"/>
    <w:rsid w:val="3D167A38"/>
    <w:rsid w:val="3D622C7D"/>
    <w:rsid w:val="3DB72FC9"/>
    <w:rsid w:val="3DBF2D27"/>
    <w:rsid w:val="3DFD6502"/>
    <w:rsid w:val="3F0B017D"/>
    <w:rsid w:val="3F3F3186"/>
    <w:rsid w:val="3F4343E8"/>
    <w:rsid w:val="3F446ADE"/>
    <w:rsid w:val="3F9C35BF"/>
    <w:rsid w:val="3FA6322C"/>
    <w:rsid w:val="3FD6035E"/>
    <w:rsid w:val="40204729"/>
    <w:rsid w:val="41016309"/>
    <w:rsid w:val="411424E0"/>
    <w:rsid w:val="412C5A7C"/>
    <w:rsid w:val="41412BA9"/>
    <w:rsid w:val="41AC44C7"/>
    <w:rsid w:val="41D57EC1"/>
    <w:rsid w:val="41D81760"/>
    <w:rsid w:val="41EB3320"/>
    <w:rsid w:val="41F9319D"/>
    <w:rsid w:val="425608D6"/>
    <w:rsid w:val="42C83582"/>
    <w:rsid w:val="42F9198D"/>
    <w:rsid w:val="43252782"/>
    <w:rsid w:val="43301127"/>
    <w:rsid w:val="4366490F"/>
    <w:rsid w:val="437F6500"/>
    <w:rsid w:val="43886A20"/>
    <w:rsid w:val="43BB4E95"/>
    <w:rsid w:val="43FD36FF"/>
    <w:rsid w:val="44150A49"/>
    <w:rsid w:val="44224F14"/>
    <w:rsid w:val="44BF6C07"/>
    <w:rsid w:val="44CB55AC"/>
    <w:rsid w:val="450B3BFA"/>
    <w:rsid w:val="4553726F"/>
    <w:rsid w:val="4582210E"/>
    <w:rsid w:val="463158E2"/>
    <w:rsid w:val="47584F75"/>
    <w:rsid w:val="477F442B"/>
    <w:rsid w:val="479814DE"/>
    <w:rsid w:val="47DE27A0"/>
    <w:rsid w:val="47EF7803"/>
    <w:rsid w:val="48220A60"/>
    <w:rsid w:val="48802209"/>
    <w:rsid w:val="489214AE"/>
    <w:rsid w:val="49964AD1"/>
    <w:rsid w:val="49EC224C"/>
    <w:rsid w:val="4A665B7D"/>
    <w:rsid w:val="4A8E69F4"/>
    <w:rsid w:val="4BB5041C"/>
    <w:rsid w:val="4BFE6267"/>
    <w:rsid w:val="4CB42DC9"/>
    <w:rsid w:val="4D2C295F"/>
    <w:rsid w:val="4D5B2DE2"/>
    <w:rsid w:val="4D7428B7"/>
    <w:rsid w:val="4DC51394"/>
    <w:rsid w:val="4DFC67D6"/>
    <w:rsid w:val="4E712D20"/>
    <w:rsid w:val="4E7736AC"/>
    <w:rsid w:val="4EDD6607"/>
    <w:rsid w:val="4F5D3557"/>
    <w:rsid w:val="4FAB146F"/>
    <w:rsid w:val="5068151D"/>
    <w:rsid w:val="506A211C"/>
    <w:rsid w:val="50EA6DB9"/>
    <w:rsid w:val="511773E3"/>
    <w:rsid w:val="51204589"/>
    <w:rsid w:val="5175259D"/>
    <w:rsid w:val="51BE7A70"/>
    <w:rsid w:val="521450B8"/>
    <w:rsid w:val="5237347A"/>
    <w:rsid w:val="52C13B4A"/>
    <w:rsid w:val="52C741A1"/>
    <w:rsid w:val="52D843DB"/>
    <w:rsid w:val="52DE46FC"/>
    <w:rsid w:val="54176117"/>
    <w:rsid w:val="551B75AE"/>
    <w:rsid w:val="55425416"/>
    <w:rsid w:val="55505FDA"/>
    <w:rsid w:val="55A21A11"/>
    <w:rsid w:val="55B0022C"/>
    <w:rsid w:val="55BD0C29"/>
    <w:rsid w:val="56431446"/>
    <w:rsid w:val="573C40E7"/>
    <w:rsid w:val="574436DA"/>
    <w:rsid w:val="57D926EC"/>
    <w:rsid w:val="585F62DF"/>
    <w:rsid w:val="58C32357"/>
    <w:rsid w:val="59A044B9"/>
    <w:rsid w:val="59C3464B"/>
    <w:rsid w:val="5A8E4C59"/>
    <w:rsid w:val="5AB31B90"/>
    <w:rsid w:val="5ABF12B7"/>
    <w:rsid w:val="5C6B224F"/>
    <w:rsid w:val="5CBF10FA"/>
    <w:rsid w:val="5D047455"/>
    <w:rsid w:val="5D0C7971"/>
    <w:rsid w:val="5D75737A"/>
    <w:rsid w:val="5D79399F"/>
    <w:rsid w:val="5E29270A"/>
    <w:rsid w:val="5EF85E29"/>
    <w:rsid w:val="5F48233E"/>
    <w:rsid w:val="5FBB72FA"/>
    <w:rsid w:val="5FD26470"/>
    <w:rsid w:val="603D6F06"/>
    <w:rsid w:val="606C77EB"/>
    <w:rsid w:val="610C541D"/>
    <w:rsid w:val="6192630B"/>
    <w:rsid w:val="62015D11"/>
    <w:rsid w:val="621E76E6"/>
    <w:rsid w:val="62E96ED1"/>
    <w:rsid w:val="62EC66BA"/>
    <w:rsid w:val="62EE5B8A"/>
    <w:rsid w:val="63161C90"/>
    <w:rsid w:val="642301C1"/>
    <w:rsid w:val="64346872"/>
    <w:rsid w:val="644C7B14"/>
    <w:rsid w:val="64E738E4"/>
    <w:rsid w:val="6562740E"/>
    <w:rsid w:val="656960A7"/>
    <w:rsid w:val="65AC2974"/>
    <w:rsid w:val="6624302C"/>
    <w:rsid w:val="669B6734"/>
    <w:rsid w:val="669F417B"/>
    <w:rsid w:val="66AB0941"/>
    <w:rsid w:val="671E5F06"/>
    <w:rsid w:val="676E209B"/>
    <w:rsid w:val="67BF46A4"/>
    <w:rsid w:val="689F6284"/>
    <w:rsid w:val="68E85E7D"/>
    <w:rsid w:val="69470DF5"/>
    <w:rsid w:val="69603C65"/>
    <w:rsid w:val="69A578CA"/>
    <w:rsid w:val="69C44A72"/>
    <w:rsid w:val="69FD357E"/>
    <w:rsid w:val="6A681023"/>
    <w:rsid w:val="6A70612A"/>
    <w:rsid w:val="6AC470BB"/>
    <w:rsid w:val="6AC51191"/>
    <w:rsid w:val="6AE7688B"/>
    <w:rsid w:val="6B39716E"/>
    <w:rsid w:val="6B581D59"/>
    <w:rsid w:val="6BBA6837"/>
    <w:rsid w:val="6BBD714D"/>
    <w:rsid w:val="6BCA7826"/>
    <w:rsid w:val="6C066D46"/>
    <w:rsid w:val="6C702411"/>
    <w:rsid w:val="6CB25EF6"/>
    <w:rsid w:val="6CCF2537"/>
    <w:rsid w:val="6DA53CCB"/>
    <w:rsid w:val="6E602BF0"/>
    <w:rsid w:val="6E941791"/>
    <w:rsid w:val="6F0F5F11"/>
    <w:rsid w:val="6F1A0AE1"/>
    <w:rsid w:val="6F2E06B1"/>
    <w:rsid w:val="6F491EC8"/>
    <w:rsid w:val="6F71097A"/>
    <w:rsid w:val="6FFC3047"/>
    <w:rsid w:val="704C0B64"/>
    <w:rsid w:val="7075449A"/>
    <w:rsid w:val="70A46B2D"/>
    <w:rsid w:val="70E909E4"/>
    <w:rsid w:val="713C6848"/>
    <w:rsid w:val="7148395C"/>
    <w:rsid w:val="71497C49"/>
    <w:rsid w:val="715208DE"/>
    <w:rsid w:val="71653A85"/>
    <w:rsid w:val="71A5490B"/>
    <w:rsid w:val="71C86BE2"/>
    <w:rsid w:val="71E52F59"/>
    <w:rsid w:val="72394E7F"/>
    <w:rsid w:val="726C7D64"/>
    <w:rsid w:val="727420D6"/>
    <w:rsid w:val="72B03567"/>
    <w:rsid w:val="73012015"/>
    <w:rsid w:val="735008A6"/>
    <w:rsid w:val="74065BA0"/>
    <w:rsid w:val="74827185"/>
    <w:rsid w:val="74D47E1D"/>
    <w:rsid w:val="753F5076"/>
    <w:rsid w:val="755734F1"/>
    <w:rsid w:val="75FA0956"/>
    <w:rsid w:val="75FE0A8D"/>
    <w:rsid w:val="76571BB5"/>
    <w:rsid w:val="76AC6AD9"/>
    <w:rsid w:val="76EF6628"/>
    <w:rsid w:val="77277675"/>
    <w:rsid w:val="77D80043"/>
    <w:rsid w:val="781F4CEB"/>
    <w:rsid w:val="78222DC2"/>
    <w:rsid w:val="78544641"/>
    <w:rsid w:val="7859644F"/>
    <w:rsid w:val="786B1CDE"/>
    <w:rsid w:val="796E7CD8"/>
    <w:rsid w:val="79AC25AE"/>
    <w:rsid w:val="7A37456E"/>
    <w:rsid w:val="7A7845A4"/>
    <w:rsid w:val="7AB160CE"/>
    <w:rsid w:val="7ACA7190"/>
    <w:rsid w:val="7AE77D42"/>
    <w:rsid w:val="7B3F192C"/>
    <w:rsid w:val="7C0A2C05"/>
    <w:rsid w:val="7C0D37D8"/>
    <w:rsid w:val="7C8021FC"/>
    <w:rsid w:val="7C8E41ED"/>
    <w:rsid w:val="7C9C690A"/>
    <w:rsid w:val="7CDA1398"/>
    <w:rsid w:val="7CDF26B8"/>
    <w:rsid w:val="7D01709E"/>
    <w:rsid w:val="7D4939A5"/>
    <w:rsid w:val="7D930B6C"/>
    <w:rsid w:val="7DC66335"/>
    <w:rsid w:val="7DDE43D4"/>
    <w:rsid w:val="7E8F2BCB"/>
    <w:rsid w:val="7EB95919"/>
    <w:rsid w:val="7F923FF5"/>
    <w:rsid w:val="7FCA5219"/>
    <w:rsid w:val="7FE72592"/>
    <w:rsid w:val="7FE74CF3"/>
    <w:rsid w:val="FD690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tabs>
        <w:tab w:val="center" w:pos="4201"/>
        <w:tab w:val="right" w:leader="dot" w:pos="9298"/>
      </w:tabs>
      <w:autoSpaceDE w:val="0"/>
      <w:autoSpaceDN w:val="0"/>
      <w:adjustRightInd w:val="0"/>
      <w:ind w:firstLine="420" w:firstLineChars="200"/>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41"/>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autoRedefine/>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style>
  <w:style w:type="paragraph" w:styleId="13">
    <w:name w:val="annotation text"/>
    <w:basedOn w:val="1"/>
    <w:link w:val="242"/>
    <w:semiHidden/>
    <w:unhideWhenUsed/>
    <w:qFormat/>
    <w:uiPriority w:val="99"/>
    <w:pPr>
      <w:jc w:val="left"/>
    </w:pPr>
  </w:style>
  <w:style w:type="paragraph" w:styleId="14">
    <w:name w:val="Body Text"/>
    <w:basedOn w:val="1"/>
    <w:link w:val="90"/>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9"/>
    <w:autoRedefine/>
    <w:semiHidden/>
    <w:unhideWhenUsed/>
    <w:qFormat/>
    <w:uiPriority w:val="99"/>
    <w:rPr>
      <w:sz w:val="18"/>
      <w:szCs w:val="18"/>
    </w:rPr>
  </w:style>
  <w:style w:type="paragraph" w:styleId="18">
    <w:name w:val="footer"/>
    <w:basedOn w:val="1"/>
    <w:link w:val="48"/>
    <w:autoRedefine/>
    <w:qFormat/>
    <w:uiPriority w:val="99"/>
    <w:pPr>
      <w:tabs>
        <w:tab w:val="center" w:pos="4153"/>
        <w:tab w:val="right" w:pos="8306"/>
      </w:tabs>
      <w:adjustRightInd/>
      <w:snapToGrid w:val="0"/>
      <w:jc w:val="right"/>
    </w:pPr>
    <w:rPr>
      <w:rFonts w:ascii="宋体"/>
      <w:sz w:val="18"/>
      <w:szCs w:val="18"/>
    </w:rPr>
  </w:style>
  <w:style w:type="paragraph" w:styleId="19">
    <w:name w:val="header"/>
    <w:basedOn w:val="1"/>
    <w:link w:val="47"/>
    <w:autoRedefine/>
    <w:qFormat/>
    <w:uiPriority w:val="99"/>
    <w:pPr>
      <w:framePr w:hSpace="180" w:wrap="around" w:vAnchor="text" w:hAnchor="margin" w:y="-999"/>
      <w:tabs>
        <w:tab w:val="center" w:pos="4153"/>
        <w:tab w:val="right" w:pos="8306"/>
      </w:tabs>
      <w:adjustRightInd/>
      <w:snapToGrid w:val="0"/>
      <w:ind w:firstLine="0" w:firstLineChars="0"/>
    </w:pPr>
    <w:rPr>
      <w:rFonts w:ascii="黑体" w:hAnsi="黑体" w:eastAsia="黑体"/>
    </w:rPr>
  </w:style>
  <w:style w:type="paragraph" w:styleId="20">
    <w:name w:val="toc 1"/>
    <w:basedOn w:val="1"/>
    <w:next w:val="1"/>
    <w:autoRedefine/>
    <w:unhideWhenUsed/>
    <w:qFormat/>
    <w:uiPriority w:val="39"/>
    <w:pPr>
      <w:tabs>
        <w:tab w:val="clear" w:pos="4201"/>
      </w:tabs>
      <w:spacing w:line="400" w:lineRule="exact"/>
    </w:pPr>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3"/>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qFormat/>
    <w:uiPriority w:val="0"/>
    <w:pPr>
      <w:spacing w:before="100" w:beforeAutospacing="1" w:after="100" w:afterAutospacing="1"/>
      <w:jc w:val="left"/>
    </w:pPr>
    <w:rPr>
      <w:kern w:val="0"/>
      <w:sz w:val="24"/>
    </w:rPr>
  </w:style>
  <w:style w:type="paragraph" w:styleId="27">
    <w:name w:val="Title"/>
    <w:basedOn w:val="1"/>
    <w:link w:val="52"/>
    <w:autoRedefine/>
    <w:qFormat/>
    <w:uiPriority w:val="0"/>
    <w:pPr>
      <w:spacing w:before="240" w:after="60"/>
      <w:jc w:val="center"/>
      <w:outlineLvl w:val="0"/>
    </w:pPr>
    <w:rPr>
      <w:rFonts w:ascii="Arial" w:hAnsi="Arial" w:cs="Arial"/>
      <w:b/>
      <w:bCs/>
      <w:sz w:val="32"/>
      <w:szCs w:val="32"/>
    </w:rPr>
  </w:style>
  <w:style w:type="paragraph" w:styleId="28">
    <w:name w:val="annotation subject"/>
    <w:basedOn w:val="13"/>
    <w:next w:val="13"/>
    <w:link w:val="243"/>
    <w:semiHidden/>
    <w:unhideWhenUsed/>
    <w:qFormat/>
    <w:uiPriority w:val="99"/>
    <w:rPr>
      <w:b/>
      <w:bCs/>
    </w:rPr>
  </w:style>
  <w:style w:type="table" w:styleId="30">
    <w:name w:val="Table Grid"/>
    <w:basedOn w:val="29"/>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autoRedefine/>
    <w:qFormat/>
    <w:uiPriority w:val="22"/>
    <w:rPr>
      <w:b/>
      <w:bCs/>
    </w:rPr>
  </w:style>
  <w:style w:type="character" w:styleId="33">
    <w:name w:val="page number"/>
    <w:autoRedefine/>
    <w:qFormat/>
    <w:uiPriority w:val="0"/>
    <w:rPr>
      <w:rFonts w:ascii="宋体" w:hAnsi="Times New Roman" w:eastAsia="宋体"/>
      <w:sz w:val="18"/>
    </w:rPr>
  </w:style>
  <w:style w:type="character" w:styleId="34">
    <w:name w:val="Emphasis"/>
    <w:autoRedefine/>
    <w:qFormat/>
    <w:uiPriority w:val="20"/>
    <w:rPr>
      <w:i/>
      <w:iCs/>
    </w:rPr>
  </w:style>
  <w:style w:type="character" w:styleId="35">
    <w:name w:val="Hyperlink"/>
    <w:autoRedefine/>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qFormat/>
    <w:uiPriority w:val="99"/>
    <w:rPr>
      <w:sz w:val="21"/>
      <w:szCs w:val="21"/>
    </w:rPr>
  </w:style>
  <w:style w:type="character" w:styleId="37">
    <w:name w:val="footnote reference"/>
    <w:autoRedefine/>
    <w:semiHidden/>
    <w:qFormat/>
    <w:uiPriority w:val="0"/>
    <w:rPr>
      <w:rFonts w:ascii="宋体" w:hAnsi="宋体" w:eastAsia="宋体" w:cs="Times New Roman"/>
      <w:spacing w:val="0"/>
      <w:sz w:val="18"/>
      <w:vertAlign w:val="superscript"/>
    </w:rPr>
  </w:style>
  <w:style w:type="character" w:customStyle="1" w:styleId="38">
    <w:name w:val="标题 1 字符"/>
    <w:link w:val="2"/>
    <w:autoRedefine/>
    <w:qFormat/>
    <w:uiPriority w:val="0"/>
    <w:rPr>
      <w:b/>
      <w:bCs/>
      <w:kern w:val="44"/>
      <w:sz w:val="44"/>
      <w:szCs w:val="44"/>
    </w:rPr>
  </w:style>
  <w:style w:type="character" w:customStyle="1" w:styleId="39">
    <w:name w:val="标题 2 字符"/>
    <w:link w:val="3"/>
    <w:autoRedefine/>
    <w:qFormat/>
    <w:uiPriority w:val="0"/>
    <w:rPr>
      <w:rFonts w:ascii="Arial" w:hAnsi="Arial" w:eastAsia="黑体"/>
      <w:b/>
      <w:bCs/>
      <w:kern w:val="2"/>
      <w:sz w:val="32"/>
      <w:szCs w:val="32"/>
    </w:rPr>
  </w:style>
  <w:style w:type="character" w:customStyle="1" w:styleId="40">
    <w:name w:val="标题 3 字符"/>
    <w:link w:val="4"/>
    <w:autoRedefine/>
    <w:qFormat/>
    <w:uiPriority w:val="0"/>
    <w:rPr>
      <w:b/>
      <w:bCs/>
      <w:kern w:val="2"/>
      <w:sz w:val="32"/>
      <w:szCs w:val="32"/>
    </w:rPr>
  </w:style>
  <w:style w:type="character" w:customStyle="1" w:styleId="41">
    <w:name w:val="标题 4 字符"/>
    <w:link w:val="5"/>
    <w:autoRedefine/>
    <w:qFormat/>
    <w:uiPriority w:val="0"/>
    <w:rPr>
      <w:rFonts w:ascii="Arial" w:hAnsi="Arial" w:eastAsia="黑体"/>
      <w:b/>
      <w:bCs/>
      <w:kern w:val="2"/>
      <w:sz w:val="28"/>
      <w:szCs w:val="28"/>
    </w:rPr>
  </w:style>
  <w:style w:type="character" w:customStyle="1" w:styleId="42">
    <w:name w:val="标题 5 字符"/>
    <w:link w:val="6"/>
    <w:autoRedefine/>
    <w:qFormat/>
    <w:uiPriority w:val="0"/>
    <w:rPr>
      <w:b/>
      <w:bCs/>
      <w:kern w:val="2"/>
      <w:sz w:val="28"/>
      <w:szCs w:val="28"/>
    </w:rPr>
  </w:style>
  <w:style w:type="character" w:customStyle="1" w:styleId="43">
    <w:name w:val="标题 6 字符"/>
    <w:link w:val="7"/>
    <w:autoRedefine/>
    <w:qFormat/>
    <w:uiPriority w:val="0"/>
    <w:rPr>
      <w:rFonts w:ascii="Arial" w:hAnsi="Arial" w:eastAsia="黑体"/>
      <w:b/>
      <w:bCs/>
      <w:kern w:val="2"/>
      <w:sz w:val="24"/>
      <w:szCs w:val="24"/>
    </w:rPr>
  </w:style>
  <w:style w:type="character" w:customStyle="1" w:styleId="44">
    <w:name w:val="标题 7 字符"/>
    <w:link w:val="8"/>
    <w:autoRedefine/>
    <w:qFormat/>
    <w:uiPriority w:val="0"/>
    <w:rPr>
      <w:b/>
      <w:bCs/>
      <w:kern w:val="2"/>
      <w:sz w:val="24"/>
      <w:szCs w:val="24"/>
    </w:rPr>
  </w:style>
  <w:style w:type="character" w:customStyle="1" w:styleId="45">
    <w:name w:val="标题 8 字符"/>
    <w:link w:val="9"/>
    <w:autoRedefine/>
    <w:qFormat/>
    <w:uiPriority w:val="0"/>
    <w:rPr>
      <w:rFonts w:ascii="Arial" w:hAnsi="Arial" w:eastAsia="黑体"/>
      <w:kern w:val="2"/>
      <w:sz w:val="24"/>
      <w:szCs w:val="24"/>
    </w:rPr>
  </w:style>
  <w:style w:type="character" w:customStyle="1" w:styleId="46">
    <w:name w:val="标题 9 字符"/>
    <w:link w:val="10"/>
    <w:autoRedefine/>
    <w:qFormat/>
    <w:uiPriority w:val="0"/>
    <w:rPr>
      <w:rFonts w:ascii="Arial" w:hAnsi="Arial" w:eastAsia="黑体"/>
      <w:kern w:val="2"/>
      <w:sz w:val="21"/>
      <w:szCs w:val="21"/>
    </w:rPr>
  </w:style>
  <w:style w:type="character" w:customStyle="1" w:styleId="47">
    <w:name w:val="页眉 字符"/>
    <w:link w:val="19"/>
    <w:autoRedefine/>
    <w:qFormat/>
    <w:uiPriority w:val="99"/>
    <w:rPr>
      <w:rFonts w:ascii="黑体" w:hAnsi="黑体" w:eastAsia="黑体" w:cs="Times New Roman"/>
      <w:kern w:val="2"/>
      <w:sz w:val="21"/>
      <w:szCs w:val="21"/>
    </w:rPr>
  </w:style>
  <w:style w:type="character" w:customStyle="1" w:styleId="48">
    <w:name w:val="页脚 字符"/>
    <w:link w:val="18"/>
    <w:autoRedefine/>
    <w:qFormat/>
    <w:uiPriority w:val="99"/>
    <w:rPr>
      <w:rFonts w:ascii="宋体"/>
      <w:kern w:val="2"/>
      <w:sz w:val="18"/>
      <w:szCs w:val="18"/>
    </w:rPr>
  </w:style>
  <w:style w:type="character" w:customStyle="1" w:styleId="49">
    <w:name w:val="批注框文本 字符"/>
    <w:link w:val="17"/>
    <w:autoRedefine/>
    <w:semiHidden/>
    <w:qFormat/>
    <w:uiPriority w:val="99"/>
    <w:rPr>
      <w:kern w:val="2"/>
      <w:sz w:val="18"/>
      <w:szCs w:val="18"/>
    </w:rPr>
  </w:style>
  <w:style w:type="paragraph" w:styleId="50">
    <w:name w:val="Quote"/>
    <w:basedOn w:val="1"/>
    <w:next w:val="1"/>
    <w:link w:val="51"/>
    <w:autoRedefine/>
    <w:qFormat/>
    <w:uiPriority w:val="29"/>
    <w:rPr>
      <w:i/>
      <w:iCs/>
      <w:color w:val="000000"/>
    </w:rPr>
  </w:style>
  <w:style w:type="character" w:customStyle="1" w:styleId="51">
    <w:name w:val="引用 字符"/>
    <w:link w:val="50"/>
    <w:autoRedefine/>
    <w:qFormat/>
    <w:uiPriority w:val="29"/>
    <w:rPr>
      <w:i/>
      <w:iCs/>
      <w:color w:val="000000"/>
      <w:kern w:val="2"/>
      <w:sz w:val="21"/>
      <w:szCs w:val="21"/>
    </w:rPr>
  </w:style>
  <w:style w:type="character" w:customStyle="1" w:styleId="52">
    <w:name w:val="标题 字符"/>
    <w:link w:val="27"/>
    <w:autoRedefine/>
    <w:qFormat/>
    <w:uiPriority w:val="0"/>
    <w:rPr>
      <w:rFonts w:ascii="Arial" w:hAnsi="Arial" w:cs="Arial"/>
      <w:b/>
      <w:bCs/>
      <w:kern w:val="2"/>
      <w:sz w:val="32"/>
      <w:szCs w:val="32"/>
    </w:rPr>
  </w:style>
  <w:style w:type="paragraph" w:customStyle="1" w:styleId="53">
    <w:name w:val="标准标志"/>
    <w:next w:val="1"/>
    <w:autoRedefine/>
    <w:qFormat/>
    <w:uiPriority w:val="0"/>
    <w:pPr>
      <w:framePr w:hSpace="180" w:wrap="around" w:vAnchor="text" w:hAnchor="margin" w:y="-999"/>
      <w:shd w:val="solid" w:color="FFFFFF" w:fill="FFFFFF"/>
      <w:spacing w:line="0" w:lineRule="atLeast"/>
      <w:ind w:left="420" w:right="1762"/>
      <w:jc w:val="right"/>
    </w:pPr>
    <w:rPr>
      <w:rFonts w:ascii="黑体" w:hAnsi="黑体" w:eastAsia="黑体" w:cs="Times New Roman"/>
      <w:bCs/>
      <w:w w:val="130"/>
      <w:sz w:val="84"/>
      <w:szCs w:val="84"/>
      <w:lang w:val="en-US" w:eastAsia="zh-CN" w:bidi="ar-SA"/>
    </w:rPr>
  </w:style>
  <w:style w:type="paragraph" w:customStyle="1" w:styleId="54">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autoRedefine/>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autoRedefine/>
    <w:qFormat/>
    <w:uiPriority w:val="0"/>
    <w:pPr>
      <w:spacing w:line="0" w:lineRule="atLeast"/>
    </w:pPr>
    <w:rPr>
      <w:rFonts w:ascii="黑体" w:hAnsi="宋体" w:eastAsia="黑体"/>
    </w:rPr>
  </w:style>
  <w:style w:type="paragraph" w:customStyle="1" w:styleId="59">
    <w:name w:val="标准文件_标准正文"/>
    <w:basedOn w:val="1"/>
    <w:next w:val="60"/>
    <w:autoRedefine/>
    <w:qFormat/>
    <w:uiPriority w:val="0"/>
    <w:pPr>
      <w:snapToGrid w:val="0"/>
      <w:ind w:firstLine="200"/>
    </w:pPr>
    <w:rPr>
      <w:kern w:val="0"/>
    </w:rPr>
  </w:style>
  <w:style w:type="paragraph" w:customStyle="1" w:styleId="60">
    <w:name w:val="标准文件_段"/>
    <w:link w:val="188"/>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autoRedefine/>
    <w:qFormat/>
    <w:uiPriority w:val="0"/>
    <w:pPr>
      <w:adjustRightInd/>
      <w:snapToGrid/>
      <w:ind w:firstLine="0" w:firstLineChars="0"/>
    </w:pPr>
    <w:rPr>
      <w:rFonts w:ascii="宋体" w:hAnsi="宋体"/>
      <w:kern w:val="2"/>
    </w:rPr>
  </w:style>
  <w:style w:type="paragraph" w:customStyle="1" w:styleId="62">
    <w:name w:val="标准文件_标准部门"/>
    <w:basedOn w:val="1"/>
    <w:autoRedefine/>
    <w:qFormat/>
    <w:uiPriority w:val="0"/>
    <w:pPr>
      <w:jc w:val="center"/>
    </w:pPr>
    <w:rPr>
      <w:rFonts w:ascii="黑体" w:eastAsia="黑体"/>
      <w:kern w:val="0"/>
      <w:sz w:val="44"/>
    </w:rPr>
  </w:style>
  <w:style w:type="paragraph" w:customStyle="1" w:styleId="63">
    <w:name w:val="标准文件_标准代替"/>
    <w:basedOn w:val="1"/>
    <w:next w:val="1"/>
    <w:autoRedefine/>
    <w:qFormat/>
    <w:uiPriority w:val="0"/>
    <w:pPr>
      <w:spacing w:line="310" w:lineRule="exact"/>
      <w:jc w:val="right"/>
    </w:pPr>
    <w:rPr>
      <w:rFonts w:ascii="宋体" w:hAnsi="宋体"/>
      <w:kern w:val="0"/>
    </w:rPr>
  </w:style>
  <w:style w:type="paragraph" w:customStyle="1" w:styleId="64">
    <w:name w:val="标准文件_标准名称标题"/>
    <w:basedOn w:val="1"/>
    <w:next w:val="1"/>
    <w:autoRedefine/>
    <w:qFormat/>
    <w:uiPriority w:val="0"/>
    <w:pPr>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autoRedefine/>
    <w:qFormat/>
    <w:uiPriority w:val="0"/>
    <w:pPr>
      <w:tabs>
        <w:tab w:val="center" w:pos="4154"/>
        <w:tab w:val="right" w:pos="8306"/>
      </w:tabs>
      <w:spacing w:line="400" w:lineRule="exact"/>
      <w:jc w:val="right"/>
    </w:pPr>
    <w:rPr>
      <w:rFonts w:ascii="黑体" w:hAnsi="宋体" w:eastAsia="黑体" w:cs="Times New Roman"/>
      <w:sz w:val="21"/>
      <w:lang w:val="en-US" w:eastAsia="zh-CN" w:bidi="ar-SA"/>
    </w:rPr>
  </w:style>
  <w:style w:type="paragraph" w:customStyle="1" w:styleId="66">
    <w:name w:val="标准文件_页眉偶数页"/>
    <w:basedOn w:val="65"/>
    <w:next w:val="1"/>
    <w:autoRedefine/>
    <w:qFormat/>
    <w:uiPriority w:val="0"/>
    <w:pPr>
      <w:jc w:val="left"/>
    </w:pPr>
  </w:style>
  <w:style w:type="paragraph" w:customStyle="1" w:styleId="67">
    <w:name w:val="标准文件_参考文献标题"/>
    <w:basedOn w:val="1"/>
    <w:next w:val="1"/>
    <w:autoRedefine/>
    <w:qFormat/>
    <w:uiPriority w:val="0"/>
    <w:pPr>
      <w:shd w:val="clear" w:color="FFFFFF" w:fill="FFFFFF"/>
      <w:adjustRightInd/>
      <w:spacing w:before="560" w:after="50" w:afterLines="50"/>
      <w:jc w:val="center"/>
      <w:outlineLvl w:val="0"/>
    </w:pPr>
    <w:rPr>
      <w:rFonts w:ascii="黑体" w:eastAsia="黑体"/>
      <w:kern w:val="0"/>
    </w:rPr>
  </w:style>
  <w:style w:type="paragraph" w:customStyle="1" w:styleId="68">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0">
    <w:name w:val="标准文件_发布"/>
    <w:autoRedefine/>
    <w:qFormat/>
    <w:uiPriority w:val="0"/>
    <w:rPr>
      <w:rFonts w:ascii="黑体" w:eastAsia="黑体"/>
      <w:spacing w:val="0"/>
      <w:w w:val="100"/>
      <w:position w:val="3"/>
      <w:sz w:val="28"/>
    </w:rPr>
  </w:style>
  <w:style w:type="paragraph" w:customStyle="1" w:styleId="71">
    <w:name w:val="标准文件_方框数字列项"/>
    <w:basedOn w:val="60"/>
    <w:autoRedefine/>
    <w:qFormat/>
    <w:uiPriority w:val="0"/>
    <w:pPr>
      <w:numPr>
        <w:ilvl w:val="0"/>
        <w:numId w:val="3"/>
      </w:numPr>
      <w:ind w:firstLine="0" w:firstLineChars="0"/>
    </w:pPr>
  </w:style>
  <w:style w:type="paragraph" w:customStyle="1" w:styleId="72">
    <w:name w:val="标准文件_封面标准编号"/>
    <w:basedOn w:val="1"/>
    <w:next w:val="63"/>
    <w:autoRedefine/>
    <w:qFormat/>
    <w:uiPriority w:val="0"/>
    <w:pPr>
      <w:spacing w:line="310" w:lineRule="exact"/>
      <w:jc w:val="right"/>
    </w:pPr>
    <w:rPr>
      <w:rFonts w:ascii="黑体" w:eastAsia="黑体"/>
      <w:kern w:val="0"/>
      <w:sz w:val="28"/>
    </w:rPr>
  </w:style>
  <w:style w:type="paragraph" w:customStyle="1" w:styleId="73">
    <w:name w:val="标准文件_封面标准分类号"/>
    <w:basedOn w:val="1"/>
    <w:autoRedefine/>
    <w:qFormat/>
    <w:uiPriority w:val="0"/>
    <w:rPr>
      <w:rFonts w:ascii="黑体" w:eastAsia="黑体"/>
      <w:b/>
      <w:kern w:val="0"/>
      <w:sz w:val="28"/>
    </w:rPr>
  </w:style>
  <w:style w:type="paragraph" w:customStyle="1" w:styleId="74">
    <w:name w:val="标准文件_封面标准名称"/>
    <w:basedOn w:val="1"/>
    <w:autoRedefine/>
    <w:qFormat/>
    <w:uiPriority w:val="0"/>
    <w:pPr>
      <w:jc w:val="center"/>
    </w:pPr>
    <w:rPr>
      <w:rFonts w:ascii="黑体" w:eastAsia="黑体"/>
      <w:kern w:val="0"/>
      <w:sz w:val="52"/>
    </w:rPr>
  </w:style>
  <w:style w:type="paragraph" w:customStyle="1" w:styleId="75">
    <w:name w:val="标准文件_封面标准英文名称"/>
    <w:basedOn w:val="1"/>
    <w:autoRedefine/>
    <w:qFormat/>
    <w:uiPriority w:val="0"/>
    <w:pPr>
      <w:jc w:val="center"/>
    </w:pPr>
    <w:rPr>
      <w:rFonts w:ascii="黑体" w:eastAsia="黑体"/>
      <w:b/>
      <w:sz w:val="28"/>
    </w:rPr>
  </w:style>
  <w:style w:type="paragraph" w:customStyle="1" w:styleId="76">
    <w:name w:val="标准文件_封面发布日期"/>
    <w:basedOn w:val="1"/>
    <w:autoRedefine/>
    <w:qFormat/>
    <w:uiPriority w:val="0"/>
    <w:pPr>
      <w:spacing w:line="310" w:lineRule="exact"/>
    </w:pPr>
    <w:rPr>
      <w:rFonts w:ascii="黑体" w:eastAsia="黑体"/>
      <w:kern w:val="0"/>
      <w:sz w:val="28"/>
    </w:rPr>
  </w:style>
  <w:style w:type="paragraph" w:customStyle="1" w:styleId="77">
    <w:name w:val="标准文件_封面密级"/>
    <w:basedOn w:val="1"/>
    <w:autoRedefine/>
    <w:qFormat/>
    <w:uiPriority w:val="0"/>
    <w:rPr>
      <w:rFonts w:eastAsia="黑体"/>
      <w:sz w:val="32"/>
    </w:rPr>
  </w:style>
  <w:style w:type="paragraph" w:customStyle="1" w:styleId="78">
    <w:name w:val="标准文件_封面实施日期"/>
    <w:basedOn w:val="1"/>
    <w:autoRedefine/>
    <w:qFormat/>
    <w:uiPriority w:val="0"/>
    <w:pPr>
      <w:spacing w:line="310" w:lineRule="exact"/>
      <w:jc w:val="right"/>
    </w:pPr>
    <w:rPr>
      <w:rFonts w:ascii="黑体" w:eastAsia="黑体"/>
      <w:sz w:val="28"/>
    </w:rPr>
  </w:style>
  <w:style w:type="paragraph" w:customStyle="1" w:styleId="79">
    <w:name w:val="标准文件_封面抬头"/>
    <w:basedOn w:val="60"/>
    <w:autoRedefine/>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autoRedefine/>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autoRedefine/>
    <w:qFormat/>
    <w:uiPriority w:val="0"/>
    <w:pPr>
      <w:tabs>
        <w:tab w:val="center" w:pos="4678"/>
        <w:tab w:val="right" w:leader="middleDot" w:pos="9356"/>
      </w:tabs>
      <w:ind w:right="-51" w:firstLine="0" w:firstLineChars="0"/>
    </w:pPr>
    <w:rPr>
      <w:rFonts w:ascii="宋体" w:hAnsi="宋体"/>
    </w:rPr>
  </w:style>
  <w:style w:type="paragraph" w:customStyle="1" w:styleId="85">
    <w:name w:val="标准文件_附录三级条标题"/>
    <w:next w:val="60"/>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14"/>
    <w:autoRedefine/>
    <w:qFormat/>
    <w:uiPriority w:val="0"/>
    <w:rPr>
      <w:kern w:val="2"/>
      <w:sz w:val="21"/>
      <w:szCs w:val="21"/>
    </w:rPr>
  </w:style>
  <w:style w:type="paragraph" w:customStyle="1" w:styleId="91">
    <w:name w:val="标准文件_附录章标题"/>
    <w:next w:val="60"/>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autoRedefine/>
    <w:qFormat/>
    <w:uiPriority w:val="0"/>
    <w:pPr>
      <w:ind w:left="488" w:leftChars="200" w:hanging="289" w:hangingChars="290"/>
    </w:pPr>
  </w:style>
  <w:style w:type="paragraph" w:customStyle="1" w:styleId="93">
    <w:name w:val="标准文件_前言、引言标题"/>
    <w:next w:val="1"/>
    <w:autoRedefine/>
    <w:qFormat/>
    <w:uiPriority w:val="0"/>
    <w:pPr>
      <w:numPr>
        <w:ilvl w:val="0"/>
        <w:numId w:val="8"/>
      </w:numPr>
      <w:shd w:val="clear" w:color="FFFFFF" w:fill="FFFFFF"/>
      <w:spacing w:before="1200" w:after="680"/>
      <w:ind w:left="0" w:firstLine="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autoRedefine/>
    <w:qFormat/>
    <w:uiPriority w:val="0"/>
    <w:pPr>
      <w:spacing w:line="460" w:lineRule="exact"/>
    </w:pPr>
  </w:style>
  <w:style w:type="paragraph" w:customStyle="1" w:styleId="95">
    <w:name w:val="标准文件_目录标题"/>
    <w:basedOn w:val="1"/>
    <w:autoRedefine/>
    <w:qFormat/>
    <w:uiPriority w:val="0"/>
    <w:pPr>
      <w:spacing w:before="850" w:after="680"/>
      <w:ind w:firstLine="0" w:firstLineChars="0"/>
      <w:jc w:val="center"/>
    </w:pPr>
    <w:rPr>
      <w:rFonts w:ascii="黑体" w:eastAsia="黑体"/>
      <w:sz w:val="32"/>
    </w:rPr>
  </w:style>
  <w:style w:type="paragraph" w:customStyle="1" w:styleId="96">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autoRedefine/>
    <w:qFormat/>
    <w:uiPriority w:val="0"/>
    <w:pPr>
      <w:numPr>
        <w:numId w:val="10"/>
      </w:numPr>
    </w:pPr>
  </w:style>
  <w:style w:type="paragraph" w:customStyle="1" w:styleId="98">
    <w:name w:val="标准文件_三级条标题"/>
    <w:basedOn w:val="69"/>
    <w:next w:val="60"/>
    <w:autoRedefine/>
    <w:qFormat/>
    <w:uiPriority w:val="0"/>
    <w:pPr>
      <w:widowControl/>
      <w:numPr>
        <w:ilvl w:val="4"/>
      </w:numPr>
      <w:outlineLvl w:val="3"/>
    </w:pPr>
  </w:style>
  <w:style w:type="character" w:customStyle="1" w:styleId="99">
    <w:name w:val="不明显参考1"/>
    <w:autoRedefine/>
    <w:qFormat/>
    <w:uiPriority w:val="31"/>
    <w:rPr>
      <w:smallCaps/>
      <w:color w:val="C0504D"/>
      <w:u w:val="single"/>
    </w:rPr>
  </w:style>
  <w:style w:type="paragraph" w:customStyle="1" w:styleId="100">
    <w:name w:val="标准文件_示例后续"/>
    <w:basedOn w:val="1"/>
    <w:autoRedefine/>
    <w:qFormat/>
    <w:uiPriority w:val="0"/>
    <w:pPr>
      <w:adjustRightInd/>
      <w:ind w:firstLine="200"/>
    </w:pPr>
    <w:rPr>
      <w:sz w:val="18"/>
      <w:szCs w:val="24"/>
    </w:rPr>
  </w:style>
  <w:style w:type="paragraph" w:customStyle="1" w:styleId="101">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2"/>
    <w:autoRedefine/>
    <w:semiHidden/>
    <w:qFormat/>
    <w:uiPriority w:val="0"/>
    <w:rPr>
      <w:rFonts w:ascii="宋体"/>
      <w:kern w:val="2"/>
      <w:sz w:val="18"/>
      <w:szCs w:val="18"/>
    </w:rPr>
  </w:style>
  <w:style w:type="paragraph" w:customStyle="1" w:styleId="104">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autoRedefine/>
    <w:qFormat/>
    <w:uiPriority w:val="0"/>
    <w:pPr>
      <w:numPr>
        <w:ilvl w:val="0"/>
        <w:numId w:val="12"/>
      </w:numPr>
      <w:jc w:val="left"/>
    </w:pPr>
    <w:rPr>
      <w:rFonts w:ascii="宋体" w:hAnsi="宋体"/>
      <w:sz w:val="18"/>
    </w:rPr>
  </w:style>
  <w:style w:type="character" w:customStyle="1" w:styleId="106">
    <w:name w:val="标准文件_图表脚注内容"/>
    <w:autoRedefine/>
    <w:qFormat/>
    <w:uiPriority w:val="0"/>
    <w:rPr>
      <w:rFonts w:ascii="宋体" w:hAnsi="宋体" w:eastAsia="宋体" w:cs="Times New Roman"/>
      <w:spacing w:val="0"/>
      <w:sz w:val="18"/>
      <w:vertAlign w:val="superscript"/>
    </w:rPr>
  </w:style>
  <w:style w:type="paragraph" w:customStyle="1" w:styleId="107">
    <w:name w:val="标准文件_五级条标题"/>
    <w:next w:val="60"/>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autoRedefine/>
    <w:qFormat/>
    <w:uiPriority w:val="0"/>
    <w:pPr>
      <w:numPr>
        <w:ilvl w:val="2"/>
      </w:numPr>
      <w:spacing w:before="50" w:beforeLines="50" w:after="50" w:afterLines="50"/>
      <w:outlineLvl w:val="1"/>
    </w:pPr>
  </w:style>
  <w:style w:type="paragraph" w:customStyle="1" w:styleId="110">
    <w:name w:val="标准文件_一致程度"/>
    <w:basedOn w:val="1"/>
    <w:autoRedefine/>
    <w:qFormat/>
    <w:uiPriority w:val="0"/>
    <w:pPr>
      <w:spacing w:line="440" w:lineRule="exact"/>
      <w:jc w:val="center"/>
    </w:pPr>
    <w:rPr>
      <w:sz w:val="28"/>
    </w:rPr>
  </w:style>
  <w:style w:type="paragraph" w:customStyle="1" w:styleId="111">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autoRedefine/>
    <w:qFormat/>
    <w:uiPriority w:val="0"/>
    <w:pPr>
      <w:adjustRightInd/>
      <w:snapToGrid/>
      <w:ind w:left="79" w:hanging="79" w:hangingChars="80"/>
    </w:pPr>
    <w:rPr>
      <w:rFonts w:ascii="宋体" w:hAnsi="宋体"/>
    </w:rPr>
  </w:style>
  <w:style w:type="paragraph" w:customStyle="1" w:styleId="113">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0"/>
    <w:autoRedefine/>
    <w:qFormat/>
    <w:uiPriority w:val="0"/>
    <w:pPr>
      <w:numPr>
        <w:ilvl w:val="0"/>
        <w:numId w:val="14"/>
      </w:numPr>
      <w:tabs>
        <w:tab w:val="left" w:pos="420"/>
      </w:tabs>
    </w:pPr>
    <w:rPr>
      <w:rFonts w:ascii="宋体" w:hAnsi="宋体"/>
      <w:kern w:val="0"/>
      <w:sz w:val="18"/>
      <w:szCs w:val="20"/>
    </w:rPr>
  </w:style>
  <w:style w:type="paragraph" w:customStyle="1" w:styleId="115">
    <w:name w:val="标准文件_英文注×："/>
    <w:basedOn w:val="1"/>
    <w:autoRedefine/>
    <w:qFormat/>
    <w:uiPriority w:val="0"/>
    <w:pPr>
      <w:numPr>
        <w:ilvl w:val="0"/>
        <w:numId w:val="15"/>
      </w:numPr>
      <w:tabs>
        <w:tab w:val="left" w:pos="210"/>
      </w:tabs>
    </w:pPr>
    <w:rPr>
      <w:rFonts w:ascii="宋体" w:hAnsi="宋体"/>
      <w:kern w:val="0"/>
      <w:szCs w:val="20"/>
    </w:rPr>
  </w:style>
  <w:style w:type="paragraph" w:customStyle="1" w:styleId="116">
    <w:name w:val="标准文件_正文表标题"/>
    <w:next w:val="60"/>
    <w:autoRedefine/>
    <w:qFormat/>
    <w:uiPriority w:val="0"/>
    <w:pPr>
      <w:tabs>
        <w:tab w:val="left" w:pos="0"/>
      </w:tabs>
      <w:spacing w:before="120" w:beforeLines="50" w:after="12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autoRedefine/>
    <w:qFormat/>
    <w:uiPriority w:val="0"/>
    <w:pPr>
      <w:tabs>
        <w:tab w:val="center" w:pos="4678"/>
        <w:tab w:val="right" w:leader="middleDot" w:pos="9356"/>
      </w:tabs>
    </w:pPr>
    <w:rPr>
      <w:rFonts w:ascii="宋体" w:hAnsi="宋体"/>
    </w:rPr>
  </w:style>
  <w:style w:type="paragraph" w:customStyle="1" w:styleId="118">
    <w:name w:val="标准文件_正文图标题"/>
    <w:next w:val="60"/>
    <w:autoRedefine/>
    <w:qFormat/>
    <w:uiPriority w:val="0"/>
    <w:pPr>
      <w:numPr>
        <w:ilvl w:val="0"/>
        <w:numId w:val="16"/>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autoRedefine/>
    <w:qFormat/>
    <w:uiPriority w:val="0"/>
    <w:pPr>
      <w:numPr>
        <w:ilvl w:val="0"/>
        <w:numId w:val="17"/>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1">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autoRedefine/>
    <w:qFormat/>
    <w:uiPriority w:val="0"/>
    <w:pPr>
      <w:numPr>
        <w:ilvl w:val="3"/>
        <w:numId w:val="19"/>
      </w:numPr>
      <w:adjustRightInd/>
    </w:pPr>
    <w:rPr>
      <w:rFonts w:ascii="宋体" w:hAnsi="宋体"/>
      <w:szCs w:val="24"/>
    </w:rPr>
  </w:style>
  <w:style w:type="paragraph" w:customStyle="1" w:styleId="123">
    <w:name w:val="发布部门"/>
    <w:next w:val="60"/>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autoRedefine/>
    <w:qFormat/>
    <w:uiPriority w:val="0"/>
    <w:pPr>
      <w:framePr w:w="9138" w:h="1244" w:hRule="exact" w:wrap="auto" w:vAnchor="page" w:hAnchor="margin" w:y="2908"/>
      <w:kinsoku w:val="0"/>
      <w:overflowPunct w:val="0"/>
      <w:spacing w:before="57" w:line="280" w:lineRule="exact"/>
      <w:jc w:val="right"/>
      <w:textAlignment w:val="center"/>
    </w:pPr>
    <w:rPr>
      <w:rFonts w:ascii="宋体" w:hAnsi="Times New Roman"/>
      <w:kern w:val="0"/>
      <w:szCs w:val="20"/>
    </w:rPr>
  </w:style>
  <w:style w:type="paragraph" w:customStyle="1" w:styleId="126">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autoRedefine/>
    <w:qFormat/>
    <w:uiPriority w:val="0"/>
    <w:pPr>
      <w:framePr w:w="9639" w:h="6974" w:hRule="exact" w:wrap="around" w:vAnchor="page" w:hAnchor="page" w:x="1498" w:y="7572" w:anchorLock="1"/>
      <w:widowControl w:val="0"/>
      <w:spacing w:before="240" w:beforeLines="100" w:line="360" w:lineRule="exact"/>
      <w:jc w:val="center"/>
      <w:textAlignment w:val="bottom"/>
    </w:pPr>
    <w:rPr>
      <w:rFonts w:ascii="Times New Roman" w:hAnsi="Times New Roman" w:eastAsia="宋体" w:cs="Times New Roman"/>
      <w:sz w:val="28"/>
      <w:lang w:val="en-US" w:eastAsia="zh-CN" w:bidi="ar-SA"/>
    </w:rPr>
  </w:style>
  <w:style w:type="paragraph" w:customStyle="1" w:styleId="130">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autoRedefine/>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autoRedefine/>
    <w:qFormat/>
    <w:uiPriority w:val="0"/>
    <w:pPr>
      <w:wordWrap w:val="0"/>
      <w:overflowPunct w:val="0"/>
      <w:adjustRightInd/>
      <w:textAlignment w:val="baseline"/>
      <w:outlineLvl w:val="3"/>
    </w:pPr>
    <w:rPr>
      <w:rFonts w:ascii="宋体" w:hAnsi="宋体"/>
      <w:kern w:val="21"/>
    </w:rPr>
  </w:style>
  <w:style w:type="paragraph" w:customStyle="1" w:styleId="133">
    <w:name w:val="附录三级无标题条"/>
    <w:basedOn w:val="132"/>
    <w:next w:val="60"/>
    <w:autoRedefine/>
    <w:qFormat/>
    <w:uiPriority w:val="0"/>
    <w:pPr>
      <w:outlineLvl w:val="4"/>
    </w:pPr>
  </w:style>
  <w:style w:type="paragraph" w:customStyle="1" w:styleId="134">
    <w:name w:val="附录四级无标题条"/>
    <w:basedOn w:val="133"/>
    <w:next w:val="60"/>
    <w:autoRedefine/>
    <w:qFormat/>
    <w:uiPriority w:val="0"/>
    <w:pPr>
      <w:outlineLvl w:val="5"/>
    </w:pPr>
  </w:style>
  <w:style w:type="paragraph" w:customStyle="1" w:styleId="135">
    <w:name w:val="附录图"/>
    <w:next w:val="60"/>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autoRedefine/>
    <w:qFormat/>
    <w:uiPriority w:val="0"/>
    <w:pPr>
      <w:numPr>
        <w:ilvl w:val="0"/>
        <w:numId w:val="20"/>
      </w:numPr>
    </w:pPr>
    <w:rPr>
      <w:rFonts w:ascii="宋体" w:hAnsi="Times New Roman" w:eastAsia="宋体" w:cs="Times New Roman"/>
      <w:sz w:val="21"/>
      <w:lang w:val="en-US" w:eastAsia="zh-CN" w:bidi="ar-SA"/>
    </w:rPr>
  </w:style>
  <w:style w:type="paragraph" w:customStyle="1" w:styleId="137">
    <w:name w:val="附录五级无标题条"/>
    <w:basedOn w:val="134"/>
    <w:next w:val="60"/>
    <w:autoRedefine/>
    <w:qFormat/>
    <w:uiPriority w:val="0"/>
    <w:pPr>
      <w:outlineLvl w:val="6"/>
    </w:pPr>
  </w:style>
  <w:style w:type="paragraph" w:customStyle="1" w:styleId="138">
    <w:name w:val="附录性质"/>
    <w:basedOn w:val="1"/>
    <w:autoRedefine/>
    <w:qFormat/>
    <w:uiPriority w:val="0"/>
    <w:pPr>
      <w:adjustRightInd/>
      <w:jc w:val="center"/>
    </w:pPr>
    <w:rPr>
      <w:rFonts w:ascii="黑体" w:eastAsia="黑体"/>
    </w:rPr>
  </w:style>
  <w:style w:type="paragraph" w:customStyle="1" w:styleId="139">
    <w:name w:val="附录一级无标题条"/>
    <w:basedOn w:val="91"/>
    <w:next w:val="60"/>
    <w:autoRedefine/>
    <w:qFormat/>
    <w:uiPriority w:val="0"/>
    <w:pPr>
      <w:autoSpaceDN w:val="0"/>
      <w:outlineLvl w:val="2"/>
    </w:pPr>
    <w:rPr>
      <w:rFonts w:ascii="宋体" w:hAnsi="宋体" w:eastAsia="宋体"/>
    </w:rPr>
  </w:style>
  <w:style w:type="character" w:customStyle="1" w:styleId="140">
    <w:name w:val="个人答复风格"/>
    <w:autoRedefine/>
    <w:qFormat/>
    <w:uiPriority w:val="0"/>
    <w:rPr>
      <w:rFonts w:ascii="Arial" w:hAnsi="Arial" w:eastAsia="宋体" w:cs="Arial"/>
      <w:color w:val="auto"/>
      <w:spacing w:val="0"/>
      <w:sz w:val="20"/>
    </w:rPr>
  </w:style>
  <w:style w:type="character" w:customStyle="1" w:styleId="141">
    <w:name w:val="个人撰写风格"/>
    <w:autoRedefine/>
    <w:qFormat/>
    <w:uiPriority w:val="0"/>
    <w:rPr>
      <w:rFonts w:ascii="Arial" w:hAnsi="Arial" w:eastAsia="宋体" w:cs="Arial"/>
      <w:color w:val="auto"/>
      <w:spacing w:val="0"/>
      <w:sz w:val="20"/>
    </w:rPr>
  </w:style>
  <w:style w:type="paragraph" w:customStyle="1" w:styleId="142">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autoRedefine/>
    <w:qFormat/>
    <w:uiPriority w:val="0"/>
    <w:pPr>
      <w:widowControl w:val="0"/>
      <w:numPr>
        <w:ilvl w:val="0"/>
        <w:numId w:val="21"/>
      </w:numPr>
      <w:jc w:val="both"/>
    </w:pPr>
    <w:rPr>
      <w:rFonts w:ascii="宋体" w:hAnsi="宋体" w:eastAsia="宋体" w:cs="Times New Roman"/>
      <w:sz w:val="21"/>
      <w:lang w:val="en-US" w:eastAsia="zh-CN" w:bidi="ar-SA"/>
    </w:rPr>
  </w:style>
  <w:style w:type="paragraph" w:customStyle="1" w:styleId="144">
    <w:name w:val="列项·"/>
    <w:basedOn w:val="60"/>
    <w:autoRedefine/>
    <w:qFormat/>
    <w:uiPriority w:val="0"/>
    <w:pPr>
      <w:tabs>
        <w:tab w:val="left" w:pos="840"/>
      </w:tabs>
    </w:pPr>
  </w:style>
  <w:style w:type="paragraph" w:customStyle="1" w:styleId="145">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autoRedefine/>
    <w:semiHidden/>
    <w:qFormat/>
    <w:uiPriority w:val="0"/>
    <w:pPr>
      <w:adjustRightInd/>
      <w:jc w:val="left"/>
    </w:pPr>
    <w:rPr>
      <w:bCs/>
      <w:iCs/>
    </w:rPr>
  </w:style>
  <w:style w:type="paragraph" w:customStyle="1" w:styleId="147">
    <w:name w:val="目录 31"/>
    <w:basedOn w:val="1"/>
    <w:next w:val="1"/>
    <w:autoRedefine/>
    <w:semiHidden/>
    <w:qFormat/>
    <w:uiPriority w:val="0"/>
    <w:rPr>
      <w:rFonts w:ascii="宋体" w:hAnsi="宋体"/>
      <w:iCs/>
    </w:rPr>
  </w:style>
  <w:style w:type="paragraph" w:customStyle="1" w:styleId="148">
    <w:name w:val="目录 41"/>
    <w:basedOn w:val="1"/>
    <w:next w:val="1"/>
    <w:autoRedefine/>
    <w:semiHidden/>
    <w:qFormat/>
    <w:uiPriority w:val="0"/>
    <w:pPr>
      <w:adjustRightInd/>
      <w:jc w:val="left"/>
    </w:pPr>
  </w:style>
  <w:style w:type="paragraph" w:customStyle="1" w:styleId="149">
    <w:name w:val="目录 51"/>
    <w:basedOn w:val="1"/>
    <w:next w:val="1"/>
    <w:autoRedefine/>
    <w:semiHidden/>
    <w:qFormat/>
    <w:uiPriority w:val="0"/>
    <w:rPr>
      <w:rFonts w:ascii="宋体" w:hAnsi="宋体"/>
    </w:rPr>
  </w:style>
  <w:style w:type="paragraph" w:customStyle="1" w:styleId="150">
    <w:name w:val="目录 61"/>
    <w:basedOn w:val="1"/>
    <w:next w:val="1"/>
    <w:autoRedefine/>
    <w:semiHidden/>
    <w:qFormat/>
    <w:uiPriority w:val="0"/>
    <w:pPr>
      <w:adjustRightInd/>
      <w:jc w:val="left"/>
    </w:pPr>
  </w:style>
  <w:style w:type="paragraph" w:customStyle="1" w:styleId="151">
    <w:name w:val="目录 71"/>
    <w:basedOn w:val="150"/>
    <w:autoRedefine/>
    <w:semiHidden/>
    <w:qFormat/>
    <w:uiPriority w:val="0"/>
    <w:pPr>
      <w:ind w:left="1260"/>
    </w:pPr>
  </w:style>
  <w:style w:type="paragraph" w:customStyle="1" w:styleId="152">
    <w:name w:val="目录 81"/>
    <w:basedOn w:val="151"/>
    <w:autoRedefine/>
    <w:semiHidden/>
    <w:qFormat/>
    <w:uiPriority w:val="0"/>
    <w:pPr>
      <w:ind w:left="1470"/>
    </w:pPr>
  </w:style>
  <w:style w:type="paragraph" w:customStyle="1" w:styleId="153">
    <w:name w:val="目录 91"/>
    <w:basedOn w:val="152"/>
    <w:autoRedefine/>
    <w:semiHidden/>
    <w:qFormat/>
    <w:uiPriority w:val="0"/>
    <w:pPr>
      <w:ind w:left="1680"/>
    </w:pPr>
  </w:style>
  <w:style w:type="paragraph" w:customStyle="1" w:styleId="154">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autoRedefine/>
    <w:qFormat/>
    <w:uiPriority w:val="0"/>
    <w:pPr>
      <w:framePr w:wrap="around"/>
      <w:spacing w:line="0" w:lineRule="atLeast"/>
    </w:pPr>
    <w:rPr>
      <w:rFonts w:ascii="黑体" w:eastAsia="黑体"/>
      <w:b w:val="0"/>
    </w:rPr>
  </w:style>
  <w:style w:type="paragraph" w:customStyle="1" w:styleId="156">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autoRedefine/>
    <w:qFormat/>
    <w:uiPriority w:val="0"/>
    <w:pPr>
      <w:numPr>
        <w:ilvl w:val="4"/>
        <w:numId w:val="19"/>
      </w:numPr>
      <w:adjustRightInd/>
    </w:pPr>
    <w:rPr>
      <w:rFonts w:ascii="宋体" w:hAnsi="宋体"/>
      <w:szCs w:val="24"/>
    </w:rPr>
  </w:style>
  <w:style w:type="paragraph" w:customStyle="1" w:styleId="158">
    <w:name w:val="实施日期"/>
    <w:basedOn w:val="124"/>
    <w:autoRedefine/>
    <w:qFormat/>
    <w:uiPriority w:val="0"/>
    <w:pPr>
      <w:framePr w:hSpace="0" w:wrap="around" w:xAlign="right"/>
      <w:jc w:val="right"/>
    </w:pPr>
  </w:style>
  <w:style w:type="paragraph" w:customStyle="1" w:styleId="159">
    <w:name w:val="四级无标题条"/>
    <w:basedOn w:val="1"/>
    <w:autoRedefine/>
    <w:qFormat/>
    <w:uiPriority w:val="0"/>
    <w:pPr>
      <w:numPr>
        <w:ilvl w:val="5"/>
        <w:numId w:val="19"/>
      </w:numPr>
      <w:adjustRightInd/>
    </w:pPr>
    <w:rPr>
      <w:rFonts w:ascii="宋体" w:hAnsi="宋体"/>
      <w:szCs w:val="24"/>
    </w:rPr>
  </w:style>
  <w:style w:type="paragraph" w:customStyle="1" w:styleId="160">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autoRedefine/>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autoRedefine/>
    <w:qFormat/>
    <w:uiPriority w:val="0"/>
    <w:pPr>
      <w:numPr>
        <w:ilvl w:val="6"/>
        <w:numId w:val="19"/>
      </w:numPr>
      <w:adjustRightInd/>
    </w:pPr>
    <w:rPr>
      <w:szCs w:val="24"/>
    </w:rPr>
  </w:style>
  <w:style w:type="paragraph" w:customStyle="1" w:styleId="163">
    <w:name w:val="一级无标题条"/>
    <w:basedOn w:val="1"/>
    <w:autoRedefine/>
    <w:qFormat/>
    <w:uiPriority w:val="0"/>
    <w:pPr>
      <w:numPr>
        <w:ilvl w:val="2"/>
        <w:numId w:val="19"/>
      </w:numPr>
      <w:adjustRightInd/>
      <w:spacing w:before="10" w:after="10"/>
    </w:pPr>
    <w:rPr>
      <w:rFonts w:ascii="宋体" w:hAnsi="宋体"/>
      <w:szCs w:val="24"/>
    </w:rPr>
  </w:style>
  <w:style w:type="paragraph" w:customStyle="1" w:styleId="164">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autoRedefine/>
    <w:qFormat/>
    <w:uiPriority w:val="0"/>
    <w:pPr>
      <w:ind w:left="1406" w:leftChars="0" w:hanging="499" w:firstLineChars="0"/>
    </w:pPr>
  </w:style>
  <w:style w:type="paragraph" w:customStyle="1" w:styleId="166">
    <w:name w:val="标准文件_一级无标题"/>
    <w:basedOn w:val="109"/>
    <w:autoRedefine/>
    <w:qFormat/>
    <w:uiPriority w:val="0"/>
    <w:pPr>
      <w:spacing w:before="0" w:beforeLines="0" w:after="0" w:afterLines="0"/>
      <w:outlineLvl w:val="9"/>
    </w:pPr>
    <w:rPr>
      <w:rFonts w:ascii="宋体" w:eastAsia="宋体"/>
    </w:rPr>
  </w:style>
  <w:style w:type="paragraph" w:customStyle="1" w:styleId="167">
    <w:name w:val="标准文件_五级无标题"/>
    <w:basedOn w:val="107"/>
    <w:autoRedefine/>
    <w:qFormat/>
    <w:uiPriority w:val="0"/>
    <w:pPr>
      <w:spacing w:before="0" w:beforeLines="0" w:after="0" w:afterLines="0"/>
      <w:outlineLvl w:val="9"/>
    </w:pPr>
    <w:rPr>
      <w:rFonts w:ascii="宋体" w:eastAsia="宋体"/>
    </w:rPr>
  </w:style>
  <w:style w:type="paragraph" w:customStyle="1" w:styleId="168">
    <w:name w:val="标准文件_三级无标题"/>
    <w:basedOn w:val="98"/>
    <w:autoRedefine/>
    <w:qFormat/>
    <w:uiPriority w:val="0"/>
    <w:pPr>
      <w:spacing w:before="0" w:beforeLines="0" w:after="0" w:afterLines="0"/>
      <w:outlineLvl w:val="9"/>
    </w:pPr>
    <w:rPr>
      <w:rFonts w:ascii="宋体" w:eastAsia="宋体"/>
    </w:rPr>
  </w:style>
  <w:style w:type="paragraph" w:customStyle="1" w:styleId="169">
    <w:name w:val="标准文件_二级无标题"/>
    <w:basedOn w:val="69"/>
    <w:autoRedefine/>
    <w:qFormat/>
    <w:uiPriority w:val="0"/>
    <w:pPr>
      <w:spacing w:before="0" w:beforeLines="0" w:after="0" w:afterLines="0"/>
      <w:outlineLvl w:val="9"/>
    </w:pPr>
    <w:rPr>
      <w:rFonts w:ascii="宋体" w:eastAsia="宋体"/>
    </w:rPr>
  </w:style>
  <w:style w:type="paragraph" w:customStyle="1" w:styleId="170">
    <w:name w:val="标准_四级无标题"/>
    <w:basedOn w:val="102"/>
    <w:next w:val="60"/>
    <w:autoRedefine/>
    <w:qFormat/>
    <w:uiPriority w:val="0"/>
    <w:rPr>
      <w:rFonts w:eastAsia="宋体"/>
    </w:rPr>
  </w:style>
  <w:style w:type="paragraph" w:customStyle="1" w:styleId="171">
    <w:name w:val="标准文件_四级无标题"/>
    <w:basedOn w:val="102"/>
    <w:autoRedefine/>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autoRedefine/>
    <w:qFormat/>
    <w:uiPriority w:val="0"/>
    <w:pPr>
      <w:numPr>
        <w:ilvl w:val="0"/>
        <w:numId w:val="22"/>
      </w:numPr>
      <w:ind w:firstLine="0" w:firstLineChars="0"/>
    </w:pPr>
    <w:rPr>
      <w:rFonts w:ascii="Times New Roman" w:cs="Arial"/>
      <w:szCs w:val="28"/>
    </w:rPr>
  </w:style>
  <w:style w:type="paragraph" w:customStyle="1" w:styleId="173">
    <w:name w:val="标准文件_小写罗马数字编号列项"/>
    <w:basedOn w:val="60"/>
    <w:autoRedefine/>
    <w:qFormat/>
    <w:uiPriority w:val="0"/>
    <w:pPr>
      <w:numPr>
        <w:ilvl w:val="0"/>
        <w:numId w:val="23"/>
      </w:numPr>
      <w:ind w:firstLine="0" w:firstLineChars="0"/>
    </w:pPr>
    <w:rPr>
      <w:rFonts w:cs="Arial"/>
      <w:szCs w:val="28"/>
    </w:rPr>
  </w:style>
  <w:style w:type="paragraph" w:customStyle="1" w:styleId="174">
    <w:name w:val="标准文件_附录标题"/>
    <w:basedOn w:val="80"/>
    <w:autoRedefine/>
    <w:qFormat/>
    <w:uiPriority w:val="0"/>
    <w:pPr>
      <w:numPr>
        <w:numId w:val="0"/>
      </w:numPr>
      <w:spacing w:after="280"/>
      <w:outlineLvl w:val="9"/>
    </w:pPr>
  </w:style>
  <w:style w:type="paragraph" w:customStyle="1" w:styleId="175">
    <w:name w:val="标准文件_二级项"/>
    <w:autoRedefine/>
    <w:qFormat/>
    <w:uiPriority w:val="0"/>
    <w:rPr>
      <w:rFonts w:ascii="宋体" w:hAnsi="Times New Roman" w:eastAsia="宋体" w:cs="Times New Roman"/>
      <w:sz w:val="21"/>
      <w:lang w:val="en-US" w:eastAsia="zh-CN" w:bidi="ar-SA"/>
    </w:rPr>
  </w:style>
  <w:style w:type="paragraph" w:customStyle="1" w:styleId="176">
    <w:name w:val="标准文件_三级项"/>
    <w:basedOn w:val="1"/>
    <w:autoRedefine/>
    <w:qFormat/>
    <w:uiPriority w:val="0"/>
    <w:pPr>
      <w:numPr>
        <w:ilvl w:val="2"/>
        <w:numId w:val="20"/>
      </w:numPr>
      <w:spacing w:line="536870612" w:lineRule="auto"/>
    </w:pPr>
    <w:rPr>
      <w:rFonts w:ascii="Times New Roman" w:hAnsi="Times New Roman"/>
    </w:rPr>
  </w:style>
  <w:style w:type="paragraph" w:customStyle="1" w:styleId="177">
    <w:name w:val="图表脚注说明"/>
    <w:basedOn w:val="1"/>
    <w:next w:val="60"/>
    <w:autoRedefine/>
    <w:qFormat/>
    <w:uiPriority w:val="0"/>
    <w:pPr>
      <w:numPr>
        <w:ilvl w:val="0"/>
        <w:numId w:val="24"/>
      </w:numPr>
      <w:adjustRightInd/>
    </w:pPr>
    <w:rPr>
      <w:rFonts w:ascii="宋体" w:hAnsi="Times New Roman"/>
      <w:sz w:val="18"/>
      <w:szCs w:val="18"/>
    </w:rPr>
  </w:style>
  <w:style w:type="paragraph" w:customStyle="1" w:styleId="178">
    <w:name w:val="标准文件_字母编号列项（一级）"/>
    <w:autoRedefine/>
    <w:qFormat/>
    <w:uiPriority w:val="0"/>
    <w:pPr>
      <w:tabs>
        <w:tab w:val="left" w:pos="851"/>
      </w:tabs>
      <w:ind w:firstLine="420" w:firstLineChars="200"/>
      <w:jc w:val="both"/>
    </w:pPr>
    <w:rPr>
      <w:rFonts w:ascii="宋体" w:hAnsi="Times New Roman" w:eastAsia="宋体" w:cs="Times New Roman"/>
      <w:sz w:val="21"/>
      <w:lang w:val="en-US" w:eastAsia="zh-CN" w:bidi="ar-SA"/>
    </w:rPr>
  </w:style>
  <w:style w:type="paragraph" w:customStyle="1" w:styleId="179">
    <w:name w:val="标准文件_索引字母"/>
    <w:next w:val="60"/>
    <w:autoRedefine/>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autoRedefine/>
    <w:qFormat/>
    <w:uiPriority w:val="0"/>
    <w:pPr>
      <w:ind w:firstLine="0" w:firstLineChars="0"/>
      <w:jc w:val="center"/>
    </w:pPr>
    <w:rPr>
      <w:sz w:val="18"/>
      <w:szCs w:val="18"/>
    </w:rPr>
  </w:style>
  <w:style w:type="paragraph" w:customStyle="1" w:styleId="183">
    <w:name w:val="标准文件_注："/>
    <w:next w:val="60"/>
    <w:autoRedefine/>
    <w:qFormat/>
    <w:uiPriority w:val="0"/>
    <w:pPr>
      <w:widowControl w:val="0"/>
      <w:numPr>
        <w:ilvl w:val="0"/>
        <w:numId w:val="25"/>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autoRedefine/>
    <w:qFormat/>
    <w:uiPriority w:val="0"/>
    <w:pPr>
      <w:widowControl w:val="0"/>
      <w:numPr>
        <w:ilvl w:val="0"/>
        <w:numId w:val="27"/>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autoRedefine/>
    <w:qFormat/>
    <w:uiPriority w:val="0"/>
    <w:pPr>
      <w:ind w:firstLine="420"/>
    </w:pPr>
    <w:rPr>
      <w:sz w:val="18"/>
    </w:rPr>
  </w:style>
  <w:style w:type="paragraph" w:customStyle="1" w:styleId="187">
    <w:name w:val="标准文件_示例×："/>
    <w:basedOn w:val="1"/>
    <w:next w:val="186"/>
    <w:autoRedefine/>
    <w:qFormat/>
    <w:uiPriority w:val="0"/>
    <w:pPr>
      <w:numPr>
        <w:ilvl w:val="0"/>
        <w:numId w:val="28"/>
      </w:numPr>
      <w:adjustRightInd/>
    </w:pPr>
    <w:rPr>
      <w:rFonts w:ascii="宋体" w:hAnsi="Times New Roman"/>
      <w:kern w:val="0"/>
      <w:sz w:val="18"/>
      <w:szCs w:val="18"/>
    </w:rPr>
  </w:style>
  <w:style w:type="character" w:customStyle="1" w:styleId="188">
    <w:name w:val="标准文件_段 Char"/>
    <w:link w:val="60"/>
    <w:autoRedefine/>
    <w:qFormat/>
    <w:uiPriority w:val="0"/>
    <w:rPr>
      <w:rFonts w:ascii="宋体" w:hAnsi="Times New Roman"/>
      <w:sz w:val="21"/>
    </w:rPr>
  </w:style>
  <w:style w:type="paragraph" w:customStyle="1" w:styleId="189">
    <w:name w:val="标准文件_表格续"/>
    <w:basedOn w:val="60"/>
    <w:next w:val="60"/>
    <w:autoRedefine/>
    <w:qFormat/>
    <w:uiPriority w:val="0"/>
    <w:pPr>
      <w:jc w:val="center"/>
    </w:pPr>
    <w:rPr>
      <w:rFonts w:ascii="黑体" w:hAnsi="黑体" w:eastAsia="黑体"/>
    </w:rPr>
  </w:style>
  <w:style w:type="character" w:styleId="190">
    <w:name w:val="Placeholder Text"/>
    <w:basedOn w:val="31"/>
    <w:autoRedefine/>
    <w:semiHidden/>
    <w:qFormat/>
    <w:uiPriority w:val="99"/>
    <w:rPr>
      <w:color w:val="808080"/>
    </w:rPr>
  </w:style>
  <w:style w:type="paragraph" w:customStyle="1" w:styleId="191">
    <w:name w:val="标准文件_二级项2"/>
    <w:basedOn w:val="60"/>
    <w:autoRedefine/>
    <w:qFormat/>
    <w:uiPriority w:val="0"/>
    <w:pPr>
      <w:numPr>
        <w:ilvl w:val="1"/>
        <w:numId w:val="20"/>
      </w:numPr>
      <w:ind w:firstLine="0" w:firstLineChars="0"/>
    </w:pPr>
  </w:style>
  <w:style w:type="paragraph" w:customStyle="1" w:styleId="192">
    <w:name w:val="标准文件_三级项2"/>
    <w:basedOn w:val="60"/>
    <w:autoRedefine/>
    <w:qFormat/>
    <w:uiPriority w:val="0"/>
    <w:pPr>
      <w:numPr>
        <w:ilvl w:val="0"/>
        <w:numId w:val="29"/>
      </w:numPr>
      <w:spacing w:line="300" w:lineRule="exact"/>
      <w:ind w:firstLineChars="0"/>
    </w:pPr>
    <w:rPr>
      <w:rFonts w:ascii="Times New Roman"/>
    </w:rPr>
  </w:style>
  <w:style w:type="paragraph" w:customStyle="1" w:styleId="193">
    <w:name w:val="标准文件_一级项2"/>
    <w:basedOn w:val="60"/>
    <w:autoRedefine/>
    <w:qFormat/>
    <w:uiPriority w:val="0"/>
    <w:pPr>
      <w:numPr>
        <w:ilvl w:val="0"/>
        <w:numId w:val="30"/>
      </w:numPr>
      <w:spacing w:line="300" w:lineRule="exact"/>
      <w:ind w:firstLineChars="0"/>
    </w:pPr>
    <w:rPr>
      <w:rFonts w:ascii="Times New Roman"/>
    </w:rPr>
  </w:style>
  <w:style w:type="paragraph" w:customStyle="1" w:styleId="194">
    <w:name w:val="标准文件_提示"/>
    <w:basedOn w:val="60"/>
    <w:next w:val="60"/>
    <w:autoRedefine/>
    <w:qFormat/>
    <w:uiPriority w:val="0"/>
    <w:pPr>
      <w:ind w:firstLine="420"/>
    </w:pPr>
    <w:rPr>
      <w:rFonts w:ascii="黑体" w:eastAsia="黑体"/>
    </w:rPr>
  </w:style>
  <w:style w:type="character" w:customStyle="1" w:styleId="195">
    <w:name w:val="标准文件_来源"/>
    <w:basedOn w:val="31"/>
    <w:autoRedefine/>
    <w:qFormat/>
    <w:uiPriority w:val="1"/>
    <w:rPr>
      <w:rFonts w:eastAsia="宋体"/>
      <w:sz w:val="21"/>
    </w:rPr>
  </w:style>
  <w:style w:type="paragraph" w:customStyle="1" w:styleId="196">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autoRedefine/>
    <w:qFormat/>
    <w:uiPriority w:val="0"/>
    <w:pPr>
      <w:framePr w:w="3997" w:h="471" w:hRule="exact" w:hSpace="0" w:vSpace="181" w:wrap="around" w:vAnchor="page" w:hAnchor="page" w:x="1419" w:y="14097"/>
    </w:pPr>
  </w:style>
  <w:style w:type="paragraph" w:customStyle="1" w:styleId="198">
    <w:name w:val="其他实施日期"/>
    <w:basedOn w:val="158"/>
    <w:autoRedefine/>
    <w:qFormat/>
    <w:uiPriority w:val="0"/>
    <w:pPr>
      <w:framePr w:w="3997" w:h="471" w:hRule="exact" w:vSpace="181" w:wrap="around" w:vAnchor="page" w:hAnchor="page" w:x="7089" w:y="14097"/>
    </w:pPr>
  </w:style>
  <w:style w:type="paragraph" w:customStyle="1" w:styleId="199">
    <w:name w:val="标准文件_文件编号"/>
    <w:basedOn w:val="60"/>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autoRedefine/>
    <w:qFormat/>
    <w:uiPriority w:val="0"/>
    <w:pPr>
      <w:framePr/>
      <w:spacing w:before="57"/>
    </w:pPr>
    <w:rPr>
      <w:sz w:val="21"/>
    </w:rPr>
  </w:style>
  <w:style w:type="paragraph" w:customStyle="1" w:styleId="201">
    <w:name w:val="标准文件_文件名称"/>
    <w:basedOn w:val="60"/>
    <w:next w:val="60"/>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autoRedefine/>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autoRedefine/>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autoRedefine/>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autoRedefine/>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autoRedefine/>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autoRedefine/>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autoRedefine/>
    <w:qFormat/>
    <w:uiPriority w:val="0"/>
    <w:pPr>
      <w:ind w:left="811" w:firstLine="0" w:firstLineChars="0"/>
    </w:pPr>
    <w:rPr>
      <w:sz w:val="18"/>
    </w:rPr>
  </w:style>
  <w:style w:type="paragraph" w:customStyle="1" w:styleId="210">
    <w:name w:val="标准文件_注X后"/>
    <w:basedOn w:val="60"/>
    <w:autoRedefine/>
    <w:qFormat/>
    <w:uiPriority w:val="0"/>
    <w:pPr>
      <w:ind w:left="811" w:firstLine="0" w:firstLineChars="0"/>
    </w:pPr>
    <w:rPr>
      <w:sz w:val="18"/>
    </w:rPr>
  </w:style>
  <w:style w:type="paragraph" w:customStyle="1" w:styleId="211">
    <w:name w:val="标准文件_示例后"/>
    <w:basedOn w:val="60"/>
    <w:autoRedefine/>
    <w:qFormat/>
    <w:uiPriority w:val="0"/>
    <w:pPr>
      <w:ind w:left="964" w:firstLine="0" w:firstLineChars="0"/>
    </w:pPr>
    <w:rPr>
      <w:sz w:val="18"/>
    </w:rPr>
  </w:style>
  <w:style w:type="paragraph" w:customStyle="1" w:styleId="212">
    <w:name w:val="标准文件_示例X后"/>
    <w:basedOn w:val="60"/>
    <w:link w:val="213"/>
    <w:autoRedefine/>
    <w:qFormat/>
    <w:uiPriority w:val="0"/>
    <w:pPr>
      <w:ind w:left="1049" w:firstLine="0" w:firstLineChars="0"/>
    </w:pPr>
    <w:rPr>
      <w:sz w:val="18"/>
    </w:rPr>
  </w:style>
  <w:style w:type="character" w:customStyle="1" w:styleId="213">
    <w:name w:val="标准文件_示例X后 字符"/>
    <w:basedOn w:val="188"/>
    <w:link w:val="212"/>
    <w:autoRedefine/>
    <w:qFormat/>
    <w:uiPriority w:val="0"/>
    <w:rPr>
      <w:rFonts w:ascii="宋体" w:hAnsi="Times New Roman"/>
      <w:sz w:val="18"/>
    </w:rPr>
  </w:style>
  <w:style w:type="paragraph" w:customStyle="1" w:styleId="214">
    <w:name w:val="标准文件_索引项"/>
    <w:basedOn w:val="60"/>
    <w:next w:val="60"/>
    <w:autoRedefine/>
    <w:qFormat/>
    <w:uiPriority w:val="0"/>
    <w:pPr>
      <w:tabs>
        <w:tab w:val="right" w:leader="dot" w:pos="9356"/>
      </w:tabs>
      <w:ind w:left="210" w:hanging="210" w:firstLineChars="0"/>
      <w:jc w:val="left"/>
    </w:pPr>
  </w:style>
  <w:style w:type="paragraph" w:customStyle="1" w:styleId="215">
    <w:name w:val="标准文件_附录一级无标题"/>
    <w:basedOn w:val="82"/>
    <w:autoRedefine/>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autoRedefine/>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autoRedefine/>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autoRedefine/>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autoRedefine/>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autoRedefine/>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autoRedefine/>
    <w:qFormat/>
    <w:uiPriority w:val="0"/>
    <w:pPr>
      <w:spacing w:before="0" w:beforeLines="0" w:after="0" w:afterLines="0" w:line="276" w:lineRule="auto"/>
    </w:pPr>
    <w:rPr>
      <w:rFonts w:ascii="宋体" w:eastAsia="宋体"/>
    </w:rPr>
  </w:style>
  <w:style w:type="paragraph" w:customStyle="1" w:styleId="222">
    <w:name w:val="标准文件_引言三级无标题"/>
    <w:basedOn w:val="206"/>
    <w:autoRedefine/>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autoRedefine/>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autoRedefine/>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autoRedefine/>
    <w:qFormat/>
    <w:uiPriority w:val="0"/>
    <w:rPr>
      <w:rFonts w:hAnsi="黑体"/>
    </w:rPr>
  </w:style>
  <w:style w:type="paragraph" w:customStyle="1" w:styleId="226">
    <w:name w:val="标准文件_脚注内容"/>
    <w:basedOn w:val="60"/>
    <w:autoRedefine/>
    <w:qFormat/>
    <w:uiPriority w:val="0"/>
    <w:pPr>
      <w:ind w:left="400" w:leftChars="200" w:hanging="200" w:hangingChars="200"/>
    </w:pPr>
    <w:rPr>
      <w:sz w:val="15"/>
    </w:rPr>
  </w:style>
  <w:style w:type="paragraph" w:customStyle="1" w:styleId="227">
    <w:name w:val="标准文件_术语条一"/>
    <w:basedOn w:val="166"/>
    <w:next w:val="60"/>
    <w:autoRedefine/>
    <w:qFormat/>
    <w:uiPriority w:val="0"/>
  </w:style>
  <w:style w:type="paragraph" w:customStyle="1" w:styleId="228">
    <w:name w:val="标准文件_术语条二"/>
    <w:basedOn w:val="169"/>
    <w:next w:val="60"/>
    <w:autoRedefine/>
    <w:qFormat/>
    <w:uiPriority w:val="0"/>
  </w:style>
  <w:style w:type="paragraph" w:customStyle="1" w:styleId="229">
    <w:name w:val="标准文件_术语条三"/>
    <w:basedOn w:val="168"/>
    <w:next w:val="60"/>
    <w:autoRedefine/>
    <w:qFormat/>
    <w:uiPriority w:val="0"/>
  </w:style>
  <w:style w:type="paragraph" w:customStyle="1" w:styleId="230">
    <w:name w:val="标准文件_术语条四"/>
    <w:basedOn w:val="171"/>
    <w:next w:val="60"/>
    <w:autoRedefine/>
    <w:qFormat/>
    <w:uiPriority w:val="0"/>
  </w:style>
  <w:style w:type="paragraph" w:customStyle="1" w:styleId="231">
    <w:name w:val="标准文件_术语条五"/>
    <w:basedOn w:val="167"/>
    <w:next w:val="60"/>
    <w:autoRedefine/>
    <w:qFormat/>
    <w:uiPriority w:val="0"/>
  </w:style>
  <w:style w:type="paragraph" w:customStyle="1" w:styleId="232">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autoRedefine/>
    <w:qFormat/>
    <w:uiPriority w:val="0"/>
    <w:rPr>
      <w:rFonts w:ascii="黑体" w:eastAsia="黑体"/>
      <w:spacing w:val="85"/>
      <w:w w:val="100"/>
      <w:position w:val="3"/>
      <w:sz w:val="28"/>
      <w:szCs w:val="28"/>
    </w:rPr>
  </w:style>
  <w:style w:type="character" w:customStyle="1" w:styleId="234">
    <w:name w:val="fontstyle01"/>
    <w:autoRedefine/>
    <w:qFormat/>
    <w:uiPriority w:val="0"/>
    <w:rPr>
      <w:rFonts w:hint="eastAsia" w:ascii="黑体" w:hAnsi="黑体" w:eastAsia="黑体"/>
      <w:color w:val="000000"/>
      <w:sz w:val="46"/>
      <w:szCs w:val="46"/>
    </w:rPr>
  </w:style>
  <w:style w:type="character" w:customStyle="1" w:styleId="235">
    <w:name w:val="font21"/>
    <w:basedOn w:val="31"/>
    <w:autoRedefine/>
    <w:qFormat/>
    <w:uiPriority w:val="0"/>
    <w:rPr>
      <w:rFonts w:hint="eastAsia" w:ascii="宋体" w:hAnsi="宋体" w:eastAsia="宋体" w:cs="宋体"/>
      <w:color w:val="000000"/>
      <w:sz w:val="21"/>
      <w:szCs w:val="21"/>
      <w:u w:val="none"/>
    </w:rPr>
  </w:style>
  <w:style w:type="character" w:customStyle="1" w:styleId="236">
    <w:name w:val="font31"/>
    <w:basedOn w:val="31"/>
    <w:autoRedefine/>
    <w:qFormat/>
    <w:uiPriority w:val="0"/>
    <w:rPr>
      <w:rFonts w:hint="eastAsia" w:ascii="宋体" w:hAnsi="宋体" w:eastAsia="宋体" w:cs="宋体"/>
      <w:color w:val="000000"/>
      <w:sz w:val="18"/>
      <w:szCs w:val="18"/>
      <w:u w:val="none"/>
    </w:rPr>
  </w:style>
  <w:style w:type="paragraph" w:customStyle="1" w:styleId="237">
    <w:name w:val="段"/>
    <w:link w:val="239"/>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8">
    <w:name w:val="Char"/>
    <w:basedOn w:val="1"/>
    <w:qFormat/>
    <w:uiPriority w:val="0"/>
    <w:pPr>
      <w:adjustRightInd/>
    </w:pPr>
    <w:rPr>
      <w:rFonts w:ascii="宋体" w:hAnsi="宋体" w:cs="Courier New"/>
      <w:sz w:val="32"/>
      <w:szCs w:val="32"/>
    </w:rPr>
  </w:style>
  <w:style w:type="character" w:customStyle="1" w:styleId="239">
    <w:name w:val="段 Char"/>
    <w:link w:val="237"/>
    <w:qFormat/>
    <w:uiPriority w:val="0"/>
    <w:rPr>
      <w:rFonts w:ascii="宋体" w:hAnsi="Times New Roman" w:cs="Times New Roman"/>
      <w:sz w:val="21"/>
    </w:rPr>
  </w:style>
  <w:style w:type="paragraph" w:styleId="240">
    <w:name w:val="List Paragraph"/>
    <w:basedOn w:val="1"/>
    <w:qFormat/>
    <w:uiPriority w:val="99"/>
    <w:pPr>
      <w:adjustRightInd/>
    </w:pPr>
    <w:rPr>
      <w:rFonts w:ascii="Times New Roman" w:hAnsi="Times New Roman"/>
      <w:szCs w:val="24"/>
    </w:rPr>
  </w:style>
  <w:style w:type="paragraph" w:customStyle="1" w:styleId="241">
    <w:name w:val="章标题"/>
    <w:next w:val="237"/>
    <w:qFormat/>
    <w:uiPriority w:val="0"/>
    <w:pPr>
      <w:tabs>
        <w:tab w:val="left" w:pos="1646"/>
      </w:tabs>
      <w:spacing w:beforeLines="100" w:afterLines="100"/>
      <w:ind w:left="1646" w:hanging="648"/>
      <w:jc w:val="both"/>
      <w:outlineLvl w:val="1"/>
    </w:pPr>
    <w:rPr>
      <w:rFonts w:ascii="黑体" w:hAnsi="Times New Roman" w:eastAsia="黑体" w:cs="Times New Roman"/>
      <w:sz w:val="21"/>
      <w:lang w:val="en-US" w:eastAsia="zh-CN" w:bidi="ar-SA"/>
    </w:rPr>
  </w:style>
  <w:style w:type="character" w:customStyle="1" w:styleId="242">
    <w:name w:val="批注文字 字符"/>
    <w:basedOn w:val="31"/>
    <w:link w:val="13"/>
    <w:semiHidden/>
    <w:qFormat/>
    <w:uiPriority w:val="99"/>
    <w:rPr>
      <w:rFonts w:cs="Times New Roman"/>
      <w:kern w:val="2"/>
      <w:sz w:val="21"/>
      <w:szCs w:val="21"/>
    </w:rPr>
  </w:style>
  <w:style w:type="character" w:customStyle="1" w:styleId="243">
    <w:name w:val="批注主题 字符"/>
    <w:basedOn w:val="242"/>
    <w:link w:val="28"/>
    <w:semiHidden/>
    <w:qFormat/>
    <w:uiPriority w:val="99"/>
    <w:rPr>
      <w:rFonts w:cs="Times New Roman"/>
      <w:b/>
      <w:bCs/>
      <w:kern w:val="2"/>
      <w:sz w:val="21"/>
      <w:szCs w:val="21"/>
    </w:rPr>
  </w:style>
  <w:style w:type="paragraph" w:customStyle="1" w:styleId="244">
    <w:name w:val="p1"/>
    <w:basedOn w:val="1"/>
    <w:uiPriority w:val="0"/>
    <w:pPr>
      <w:spacing w:before="0" w:beforeAutospacing="0" w:after="0" w:afterAutospacing="0"/>
      <w:ind w:left="0" w:right="0"/>
      <w:jc w:val="left"/>
    </w:pPr>
    <w:rPr>
      <w:rFonts w:ascii="Helvetica Neue" w:hAnsi="Helvetica Neue" w:eastAsia="Helvetica Neue" w:cs="Helvetica Neue"/>
      <w:color w:val="000000"/>
      <w:kern w:val="0"/>
      <w:sz w:val="24"/>
      <w:szCs w:val="24"/>
      <w:lang w:val="en-US" w:eastAsia="zh-CN" w:bidi="ar"/>
    </w:rPr>
  </w:style>
  <w:style w:type="character" w:customStyle="1" w:styleId="245">
    <w:name w:val="s2"/>
    <w:basedOn w:val="31"/>
    <w:uiPriority w:val="0"/>
    <w:rPr>
      <w:rFonts w:hint="default" w:ascii="Helvetica Neue" w:hAnsi="Helvetica Neue" w:eastAsia="Helvetica Neue" w:cs="Helvetica Neue"/>
      <w:sz w:val="24"/>
      <w:szCs w:val="24"/>
    </w:rPr>
  </w:style>
  <w:style w:type="paragraph" w:customStyle="1" w:styleId="246">
    <w:name w:val="p3"/>
    <w:basedOn w:val="1"/>
    <w:uiPriority w:val="0"/>
    <w:pPr>
      <w:spacing w:before="0" w:beforeAutospacing="0" w:after="0" w:afterAutospacing="0"/>
      <w:ind w:left="0" w:right="0"/>
      <w:jc w:val="left"/>
    </w:pPr>
    <w:rPr>
      <w:rFonts w:ascii="pingfang sc" w:hAnsi="pingfang sc" w:eastAsia="pingfang sc" w:cs="pingfang sc"/>
      <w:color w:val="000000"/>
      <w:kern w:val="0"/>
      <w:sz w:val="24"/>
      <w:szCs w:val="24"/>
      <w:lang w:val="en-US" w:eastAsia="zh-CN" w:bidi="ar"/>
    </w:rPr>
  </w:style>
  <w:style w:type="paragraph" w:customStyle="1" w:styleId="247">
    <w:name w:val="p2"/>
    <w:basedOn w:val="1"/>
    <w:uiPriority w:val="0"/>
    <w:pPr>
      <w:spacing w:before="0" w:beforeAutospacing="0" w:after="0" w:afterAutospacing="0"/>
      <w:ind w:left="0" w:right="0"/>
      <w:jc w:val="left"/>
    </w:pPr>
    <w:rPr>
      <w:rFonts w:hint="default" w:ascii="Helvetica Neue" w:hAnsi="Helvetica Neue" w:eastAsia="Helvetica Neue" w:cs="Helvetica Neue"/>
      <w:color w:val="000000"/>
      <w:kern w:val="0"/>
      <w:sz w:val="24"/>
      <w:szCs w:val="24"/>
      <w:lang w:val="en-US" w:eastAsia="zh-CN" w:bidi="ar"/>
    </w:rPr>
  </w:style>
  <w:style w:type="character" w:customStyle="1" w:styleId="248">
    <w:name w:val="s1"/>
    <w:basedOn w:val="31"/>
    <w:uiPriority w:val="0"/>
    <w:rPr>
      <w:rFonts w:hint="eastAsia" w:ascii="pingfang sc" w:hAnsi="pingfang sc" w:eastAsia="pingfang sc" w:cs="pingfang sc"/>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glossaryDocument" Target="glossary/document.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png"/><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liumeijun/Library/Containers/com.kingsoft.wpsoffice.mac/Data/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007BED21D5A4928A5350D6486970120"/>
        <w:style w:val=""/>
        <w:category>
          <w:name w:val="常规"/>
          <w:gallery w:val="placeholder"/>
        </w:category>
        <w:types>
          <w:type w:val="bbPlcHdr"/>
        </w:types>
        <w:behaviors>
          <w:behavior w:val="content"/>
        </w:behaviors>
        <w:description w:val=""/>
        <w:guid w:val="{1EA36FD5-5A14-4B66-A7DA-29929ECB3E8B}"/>
      </w:docPartPr>
      <w:docPartBody>
        <w:p w14:paraId="2687FC79">
          <w:pPr>
            <w:pStyle w:val="5"/>
            <w:rPr>
              <w:rFonts w:hint="eastAsia"/>
            </w:rPr>
          </w:pPr>
          <w:r>
            <w:rPr>
              <w:rStyle w:val="4"/>
              <w:rFonts w:hint="eastAsia"/>
            </w:rPr>
            <w:t>单击或点击此处输入文字。</w:t>
          </w:r>
        </w:p>
      </w:docPartBody>
    </w:docPart>
    <w:docPart>
      <w:docPartPr>
        <w:name w:val="9B680971242B4054BE292EE029BC114D"/>
        <w:style w:val=""/>
        <w:category>
          <w:name w:val="常规"/>
          <w:gallery w:val="placeholder"/>
        </w:category>
        <w:types>
          <w:type w:val="bbPlcHdr"/>
        </w:types>
        <w:behaviors>
          <w:behavior w:val="content"/>
        </w:behaviors>
        <w:description w:val=""/>
        <w:guid w:val="{268747A4-14C5-4E33-9AC5-5836A7590B03}"/>
      </w:docPartPr>
      <w:docPartBody>
        <w:p w14:paraId="128D0CF6">
          <w:pPr>
            <w:pStyle w:val="6"/>
            <w:rPr>
              <w:rFonts w:hint="eastAsia"/>
            </w:rPr>
          </w:pPr>
          <w:r>
            <w:rPr>
              <w:rStyle w:val="4"/>
              <w:rFonts w:hint="eastAsia"/>
            </w:rPr>
            <w:t>选择一项。</w:t>
          </w:r>
        </w:p>
      </w:docPartBody>
    </w:docPart>
    <w:docPart>
      <w:docPartPr>
        <w:name w:val="9E7E122402384C4FADCD8D498C60658A"/>
        <w:style w:val=""/>
        <w:category>
          <w:name w:val="常规"/>
          <w:gallery w:val="placeholder"/>
        </w:category>
        <w:types>
          <w:type w:val="bbPlcHdr"/>
        </w:types>
        <w:behaviors>
          <w:behavior w:val="content"/>
        </w:behaviors>
        <w:description w:val=""/>
        <w:guid w:val="{C5FDEF88-9290-4475-ABED-A34407DBFF8F}"/>
      </w:docPartPr>
      <w:docPartBody>
        <w:p w14:paraId="5D6AF347">
          <w:pPr>
            <w:pStyle w:val="7"/>
            <w:rPr>
              <w:rFonts w:hint="eastAsia"/>
            </w:rPr>
          </w:pPr>
          <w:r>
            <w:rPr>
              <w:rStyle w:val="4"/>
              <w:rFonts w:hint="eastAsia"/>
            </w:rPr>
            <w:t>选择一项。</w:t>
          </w:r>
        </w:p>
      </w:docPartBody>
    </w:docPart>
    <w:docPart>
      <w:docPartPr>
        <w:name w:val="{fc4e62a1-4d19-4fbc-893f-7dce222d055d}"/>
        <w:style w:val=""/>
        <w:category>
          <w:name w:val="常规"/>
          <w:gallery w:val="placeholder"/>
        </w:category>
        <w:types>
          <w:type w:val="bbPlcHdr"/>
        </w:types>
        <w:behaviors>
          <w:behavior w:val="content"/>
        </w:behaviors>
        <w:description w:val=""/>
        <w:guid w:val="{FC4E62A1-4D19-4FBC-893F-7DCE222D055D}"/>
      </w:docPartPr>
      <w:docPartBody>
        <w:p w14:paraId="22310AFF">
          <w:pPr>
            <w:pStyle w:val="8"/>
            <w:rPr>
              <w:rFonts w:hint="eastAsia"/>
            </w:rPr>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66E"/>
    <w:rsid w:val="0004706D"/>
    <w:rsid w:val="00061637"/>
    <w:rsid w:val="0006753E"/>
    <w:rsid w:val="00071F40"/>
    <w:rsid w:val="00094746"/>
    <w:rsid w:val="000A0D73"/>
    <w:rsid w:val="000A6032"/>
    <w:rsid w:val="00181BCA"/>
    <w:rsid w:val="00185863"/>
    <w:rsid w:val="00196C90"/>
    <w:rsid w:val="001D4A5A"/>
    <w:rsid w:val="001F67A6"/>
    <w:rsid w:val="002317E6"/>
    <w:rsid w:val="0025194A"/>
    <w:rsid w:val="002C237C"/>
    <w:rsid w:val="002F2D85"/>
    <w:rsid w:val="00367A4E"/>
    <w:rsid w:val="003869FC"/>
    <w:rsid w:val="00394071"/>
    <w:rsid w:val="003D4D8A"/>
    <w:rsid w:val="003F5E93"/>
    <w:rsid w:val="00420025"/>
    <w:rsid w:val="00457CCB"/>
    <w:rsid w:val="005661F6"/>
    <w:rsid w:val="00583834"/>
    <w:rsid w:val="00584E38"/>
    <w:rsid w:val="005B7EDD"/>
    <w:rsid w:val="00722FDA"/>
    <w:rsid w:val="007933BE"/>
    <w:rsid w:val="007C731E"/>
    <w:rsid w:val="008A4664"/>
    <w:rsid w:val="009A23D0"/>
    <w:rsid w:val="00A0366E"/>
    <w:rsid w:val="00A05521"/>
    <w:rsid w:val="00A44139"/>
    <w:rsid w:val="00AA0BAA"/>
    <w:rsid w:val="00B27BBD"/>
    <w:rsid w:val="00B51407"/>
    <w:rsid w:val="00B51478"/>
    <w:rsid w:val="00BB433F"/>
    <w:rsid w:val="00BC7477"/>
    <w:rsid w:val="00BF2AAC"/>
    <w:rsid w:val="00C24EBE"/>
    <w:rsid w:val="00C2750C"/>
    <w:rsid w:val="00C33916"/>
    <w:rsid w:val="00C72695"/>
    <w:rsid w:val="00C75B2C"/>
    <w:rsid w:val="00CA550F"/>
    <w:rsid w:val="00CB0DD4"/>
    <w:rsid w:val="00CD3124"/>
    <w:rsid w:val="00CE3F0A"/>
    <w:rsid w:val="00D04956"/>
    <w:rsid w:val="00D13BB5"/>
    <w:rsid w:val="00D87C0F"/>
    <w:rsid w:val="00DA46C8"/>
    <w:rsid w:val="00E62472"/>
    <w:rsid w:val="00E709D0"/>
    <w:rsid w:val="00E72C4D"/>
    <w:rsid w:val="00EA774A"/>
    <w:rsid w:val="00F86DCD"/>
    <w:rsid w:val="00FA743D"/>
    <w:rsid w:val="00FF1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9007BED21D5A4928A5350D6486970120"/>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9B680971242B4054BE292EE029BC114D"/>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9E7E122402384C4FADCD8D498C60658A"/>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
    <w:name w:val="939E1CAF223E4CE6BBD43D816E30569B"/>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2650B7-32EB-4202-A925-6F00B85571E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9</Pages>
  <Words>804</Words>
  <Characters>4588</Characters>
  <Lines>38</Lines>
  <Paragraphs>10</Paragraphs>
  <TotalTime>1</TotalTime>
  <ScaleCrop>false</ScaleCrop>
  <LinksUpToDate>false</LinksUpToDate>
  <CharactersWithSpaces>5382</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2025-10-21T18:31:00Z</dcterms:created>
  <dc:creator>刘旭彤</dc:creator>
  <cp:lastModifiedBy>风兮</cp:lastModifiedBy>
  <cp:lastPrinted>2025-07-15T15:59:00Z</cp:lastPrinted>
  <dcterms:modified xsi:type="dcterms:W3CDTF">2026-05-16T02:28:51Z</dcterms:modified>
  <dc:title>团体标准</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2052-7.2.2.8955</vt:lpwstr>
  </property>
  <property fmtid="{D5CDD505-2E9C-101B-9397-08002B2CF9AE}" pid="15" name="ICV">
    <vt:lpwstr>F2D9BFF73A77C0287060076AA53A67B3_43</vt:lpwstr>
  </property>
  <property fmtid="{D5CDD505-2E9C-101B-9397-08002B2CF9AE}" pid="16" name="KSOTemplateDocerSaveRecord">
    <vt:lpwstr>eyJoZGlkIjoiNzc5OTRjYmZmZDYyZjgxZDhmMDljNjM0ZWIwNGU4NDkiLCJ1c2VySWQiOiI2MDA5MTI1MTkifQ==</vt:lpwstr>
  </property>
</Properties>
</file>