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ffffb"/>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2"/>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tc>
          <w:tcPr>
            <w:tcW w:w="1098" w:type="dxa"/>
          </w:tcPr>
          <w:bookmarkEnd w:id="0"/>
          <w:p>
            <w:pPr>
              <w:pStyle w:val="afffc"/>
              <w:framePr w:hSpace="0" w:wrap="auto" w:vAnchor="margin" w:hAnchor="text" w:yAlign="inline"/>
            </w:pPr>
            <w:r>
              <w:t>ICS</w:t>
            </w:r>
            <w:r>
              <w:rPr>
                <w:rFonts w:hint="eastAsia"/>
              </w:rPr>
              <w:t xml:space="preserve"> 65.020</w:t>
            </w:r>
          </w:p>
        </w:tc>
        <w:tc>
          <w:tcPr>
            <w:tcW w:w="8608" w:type="dxa"/>
          </w:tcPr>
          <w:p>
            <w:pPr>
              <w:pStyle w:val="afffc"/>
              <w:framePr w:hSpace="0" w:wrap="auto" w:vAnchor="margin" w:hAnchor="text" w:yAlign="inline"/>
            </w:pPr>
            <w:r>
              <w:rPr>
                <w:rFonts w:hint="eastAsia"/>
              </w:rPr>
              <w:t xml:space="preserve"> </w:t>
            </w:r>
          </w:p>
        </w:tc>
      </w:tr>
      <w:tr>
        <w:tc>
          <w:tcPr>
            <w:tcW w:w="1098" w:type="dxa"/>
          </w:tcPr>
          <w:p>
            <w:pPr>
              <w:pStyle w:val="afffc"/>
              <w:framePr w:hSpace="0" w:wrap="auto" w:vAnchor="margin" w:hAnchor="text" w:yAlign="inline"/>
            </w:pPr>
            <w:r>
              <w:t>CCS</w:t>
            </w:r>
            <w:r>
              <w:rPr>
                <w:rFonts w:hint="eastAsia"/>
              </w:rPr>
              <w:t xml:space="preserve"> B 05</w:t>
            </w:r>
          </w:p>
        </w:tc>
        <w:tc>
          <w:tcPr>
            <w:tcW w:w="8608" w:type="dxa"/>
          </w:tcPr>
          <w:tbl>
            <w:tblPr>
              <w:tblStyle w:val="affff2"/>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trPr>
                <w:trHeight w:hRule="exact" w:val="1021"/>
              </w:trPr>
              <w:tc>
                <w:tcPr>
                  <w:tcW w:w="9242" w:type="dxa"/>
                  <w:vAlign w:val="center"/>
                </w:tcPr>
                <w:p>
                  <w:pPr>
                    <w:pStyle w:val="affffa"/>
                    <w:framePr w:hSpace="0" w:wrap="auto" w:vAnchor="margin" w:hAnchor="text" w:yAlign="inline"/>
                  </w:pPr>
                  <w:r>
                    <w:t>T</w:t>
                  </w:r>
                  <w:r>
                    <w:rPr>
                      <w:rFonts w:hint="eastAsia"/>
                    </w:rPr>
                    <w:t xml:space="preserve">  </w:t>
                  </w:r>
                </w:p>
              </w:tc>
            </w:tr>
          </w:tbl>
          <w:p>
            <w:pPr>
              <w:pStyle w:val="afffc"/>
              <w:framePr w:hSpace="0" w:wrap="auto" w:vAnchor="margin" w:hAnchor="text" w:yAlign="inline"/>
            </w:pPr>
          </w:p>
        </w:tc>
      </w:tr>
    </w:tbl>
    <w:p>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2FEC8D"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pPr>
        <w:pStyle w:val="affffb"/>
        <w:framePr w:w="9639" w:h="6976" w:hRule="exact" w:hSpace="0" w:vSpace="0" w:wrap="around" w:hAnchor="page" w:y="6408"/>
        <w:jc w:val="center"/>
        <w:rPr>
          <w:rFonts w:ascii="黑体" w:eastAsia="黑体" w:hAnsi="黑体"/>
          <w:b w:val="0"/>
          <w:bCs w:val="0"/>
          <w:w w:val="100"/>
        </w:rPr>
      </w:pPr>
    </w:p>
    <w:p>
      <w:pPr>
        <w:pStyle w:val="affffffffff"/>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pPr>
        <w:pStyle w:val="affffffffff0"/>
        <w:framePr w:wrap="auto"/>
      </w:pPr>
    </w:p>
    <w:p/>
    <w:p>
      <w:pPr>
        <w:pStyle w:val="afffffff4"/>
        <w:framePr w:wrap="around"/>
      </w:pPr>
      <w:r>
        <w:fldChar w:fldCharType="begin">
          <w:ffData>
            <w:name w:val="ESTD_NAME"/>
            <w:enabled/>
            <w:calcOnExit w:val="0"/>
            <w:textInput>
              <w:default w:val="Code of practice for replanting in hilly grazing and mowing grasslands of southern China"/>
            </w:textInput>
          </w:ffData>
        </w:fldChar>
      </w:r>
      <w:bookmarkStart w:id="4" w:name="ESTD_NAME"/>
      <w:r>
        <w:instrText xml:space="preserve"> FORMTEXT </w:instrText>
      </w:r>
      <w:r>
        <w:fldChar w:fldCharType="separate"/>
      </w:r>
      <w:r>
        <w:rPr>
          <w:noProof/>
        </w:rPr>
        <w:t>Code of practice for replanting in hilly grazing and mowing grasslands of southern China</w:t>
      </w:r>
      <w:r>
        <w:fldChar w:fldCharType="end"/>
      </w:r>
      <w:bookmarkEnd w:id="4"/>
    </w:p>
    <w:p>
      <w:pPr>
        <w:pStyle w:val="afffffff4"/>
        <w:framePr w:wrap="around"/>
      </w:pPr>
      <w:r>
        <w:rPr>
          <w:rFonts w:hint="eastAsia"/>
        </w:rPr>
        <w:t>（征求意见稿）</w:t>
      </w:r>
    </w:p>
    <w:p>
      <w:pPr>
        <w:pStyle w:val="afffffff4"/>
        <w:framePr w:wrap="around"/>
      </w:pPr>
      <w:r>
        <w:rPr>
          <w:rFonts w:hint="eastAsia"/>
        </w:rPr>
        <w:t>在提交反馈意见时，请将您知道的相关专利连同支持性文件一并附上。</w:t>
      </w:r>
    </w:p>
    <w:p/>
    <w:p>
      <w:pPr>
        <w:pStyle w:val="afffffffffd"/>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pPr>
        <w:pStyle w:val="afffffffffe"/>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pPr>
        <w:pStyle w:val="affffffff4"/>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pPr>
        <w:pStyle w:val="affffffffff1"/>
        <w:framePr w:wrap="auto" w:x="1513" w:y="6181"/>
      </w:pPr>
      <w:r>
        <w:rPr>
          <w:rFonts w:hint="eastAsia"/>
        </w:rPr>
        <w:fldChar w:fldCharType="begin">
          <w:ffData>
            <w:name w:val="CSTD_NAME"/>
            <w:enabled/>
            <w:calcOnExit w:val="0"/>
            <w:textInput>
              <w:default w:val="南方丘陵刈牧草地补播技术规程"/>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南方丘陵刈牧草地补播技术规程</w:t>
      </w:r>
      <w:r>
        <w:rPr>
          <w:rFonts w:hint="eastAsia"/>
        </w:rPr>
        <w:fldChar w:fldCharType="end"/>
      </w:r>
      <w:bookmarkEnd w:id="8"/>
    </w:p>
    <w:p>
      <w:pPr>
        <w:rPr>
          <w:rFonts w:ascii="宋体" w:hAnsi="宋体"/>
          <w:sz w:val="28"/>
          <w:szCs w:val="28"/>
        </w:rPr>
        <w:sectPr>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C5AFAF"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pPr>
        <w:pStyle w:val="affffff5"/>
      </w:pPr>
      <w:bookmarkStart w:id="9" w:name="BookMark1"/>
      <w:r>
        <w:rPr>
          <w:rFonts w:hint="eastAsia"/>
          <w:spacing w:val="320"/>
        </w:rPr>
        <w:lastRenderedPageBreak/>
        <w:t>目</w:t>
      </w:r>
      <w:r>
        <w:rPr>
          <w:rFonts w:hint="eastAsia"/>
        </w:rPr>
        <w:t>次</w:t>
      </w:r>
    </w:p>
    <w:p>
      <w:pPr>
        <w:pStyle w:val="10"/>
        <w:rPr>
          <w:rStyle w:val="affff6"/>
        </w:rPr>
      </w:pPr>
      <w:r>
        <w:rPr>
          <w:rStyle w:val="affff6"/>
        </w:rPr>
        <w:fldChar w:fldCharType="begin"/>
      </w:r>
      <w:r>
        <w:rPr>
          <w:rStyle w:val="affff6"/>
        </w:rPr>
        <w:instrText xml:space="preserve"> TOC \o "1-1" \h </w:instrText>
      </w:r>
      <w:r>
        <w:rPr>
          <w:rStyle w:val="affff6"/>
        </w:rPr>
        <w:fldChar w:fldCharType="separate"/>
      </w:r>
      <w:hyperlink w:anchor="_Toc211935585" w:history="1">
        <w:r>
          <w:rPr>
            <w:rStyle w:val="affff6"/>
            <w:rFonts w:hint="eastAsia"/>
          </w:rPr>
          <w:t>前言</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_Toc211935585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II</w:t>
        </w:r>
        <w:r>
          <w:rPr>
            <w:rStyle w:val="affff6"/>
            <w:rFonts w:hint="eastAsia"/>
          </w:rPr>
          <w:fldChar w:fldCharType="end"/>
        </w:r>
      </w:hyperlink>
    </w:p>
    <w:p>
      <w:pPr>
        <w:pStyle w:val="10"/>
        <w:rPr>
          <w:rStyle w:val="affff6"/>
        </w:rPr>
      </w:pPr>
      <w:hyperlink w:anchor="_Toc211935586" w:history="1">
        <w:r>
          <w:rPr>
            <w:rStyle w:val="affff6"/>
            <w:rFonts w:hint="eastAsia"/>
          </w:rPr>
          <w:t>1 范围</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_Toc211935586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pPr>
        <w:pStyle w:val="10"/>
        <w:rPr>
          <w:rStyle w:val="affff6"/>
        </w:rPr>
      </w:pPr>
      <w:hyperlink w:anchor="_Toc211935587" w:history="1">
        <w:r>
          <w:rPr>
            <w:rStyle w:val="affff6"/>
            <w:rFonts w:hint="eastAsia"/>
          </w:rPr>
          <w:t>2 规范性引用文件</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_Toc211935587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pPr>
        <w:pStyle w:val="10"/>
        <w:rPr>
          <w:rStyle w:val="affff6"/>
        </w:rPr>
      </w:pPr>
      <w:hyperlink w:anchor="_Toc211935588" w:history="1">
        <w:r>
          <w:rPr>
            <w:rStyle w:val="affff6"/>
            <w:rFonts w:hint="eastAsia"/>
          </w:rPr>
          <w:t>3 术语和定义</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_Toc211935588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pPr>
        <w:pStyle w:val="10"/>
        <w:rPr>
          <w:rStyle w:val="affff6"/>
        </w:rPr>
      </w:pPr>
      <w:hyperlink w:anchor="_Toc211935589" w:history="1">
        <w:r>
          <w:rPr>
            <w:rStyle w:val="affff6"/>
            <w:rFonts w:hint="eastAsia"/>
          </w:rPr>
          <w:t>4 补播策略</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_Toc211935589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1</w:t>
        </w:r>
        <w:r>
          <w:rPr>
            <w:rStyle w:val="affff6"/>
            <w:rFonts w:hint="eastAsia"/>
          </w:rPr>
          <w:fldChar w:fldCharType="end"/>
        </w:r>
      </w:hyperlink>
    </w:p>
    <w:p>
      <w:pPr>
        <w:pStyle w:val="10"/>
        <w:rPr>
          <w:rStyle w:val="affff6"/>
        </w:rPr>
      </w:pPr>
      <w:hyperlink w:anchor="_Toc211935590" w:history="1">
        <w:r>
          <w:rPr>
            <w:rStyle w:val="affff6"/>
            <w:rFonts w:hint="eastAsia"/>
          </w:rPr>
          <w:t>5 补播配套施肥技术</w:t>
        </w:r>
        <w:r>
          <w:rPr>
            <w:rStyle w:val="affff6"/>
            <w:rFonts w:hint="eastAsia"/>
          </w:rPr>
          <w:tab/>
          <w:t>2</w:t>
        </w:r>
      </w:hyperlink>
    </w:p>
    <w:p>
      <w:pPr>
        <w:pStyle w:val="10"/>
        <w:rPr>
          <w:rStyle w:val="affff6"/>
        </w:rPr>
      </w:pPr>
      <w:hyperlink w:anchor="_Toc211935591" w:history="1">
        <w:r>
          <w:rPr>
            <w:rStyle w:val="affff6"/>
            <w:rFonts w:hint="eastAsia"/>
          </w:rPr>
          <w:t>6 补播后管理</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_Toc211935591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2</w:t>
        </w:r>
        <w:r>
          <w:rPr>
            <w:rStyle w:val="affff6"/>
            <w:rFonts w:hint="eastAsia"/>
          </w:rPr>
          <w:fldChar w:fldCharType="end"/>
        </w:r>
      </w:hyperlink>
    </w:p>
    <w:p>
      <w:pPr>
        <w:pStyle w:val="10"/>
        <w:sectPr>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Pr>
          <w:rStyle w:val="affff6"/>
        </w:rPr>
        <w:fldChar w:fldCharType="end"/>
      </w:r>
    </w:p>
    <w:p>
      <w:pPr>
        <w:pStyle w:val="a6"/>
      </w:pPr>
      <w:bookmarkStart w:id="10" w:name="_Toc211935585"/>
      <w:bookmarkStart w:id="11" w:name="BookMark2"/>
      <w:bookmarkEnd w:id="9"/>
      <w:r>
        <w:rPr>
          <w:spacing w:val="320"/>
        </w:rPr>
        <w:lastRenderedPageBreak/>
        <w:t>前</w:t>
      </w:r>
      <w:r>
        <w:t>言</w:t>
      </w:r>
      <w:bookmarkEnd w:id="10"/>
    </w:p>
    <w:p>
      <w:pPr>
        <w:pStyle w:val="afffff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pPr>
        <w:pStyle w:val="afffff0"/>
      </w:pPr>
      <w:r>
        <w:rPr>
          <w:rFonts w:hint="eastAsia"/>
        </w:rPr>
        <w:t>本文件的某些内容可能涉及专利。本文件的发布机构不承担识别这些专利的责任。</w:t>
      </w:r>
    </w:p>
    <w:p>
      <w:pPr>
        <w:pStyle w:val="afffff0"/>
      </w:pPr>
      <w:r>
        <w:t>本</w:t>
      </w:r>
      <w:r>
        <w:rPr>
          <w:rFonts w:hint="eastAsia"/>
        </w:rPr>
        <w:t>文件</w:t>
      </w:r>
      <w:r>
        <w:t>由北京华夏草业产业技术创新战略联盟提出并归口。</w:t>
      </w:r>
    </w:p>
    <w:p>
      <w:pPr>
        <w:pStyle w:val="afffff0"/>
      </w:pPr>
      <w:r>
        <w:t>本</w:t>
      </w:r>
      <w:r>
        <w:rPr>
          <w:rFonts w:hint="eastAsia"/>
        </w:rPr>
        <w:t>文件</w:t>
      </w:r>
      <w:r>
        <w:t>起草单位：</w:t>
      </w:r>
      <w:r>
        <w:rPr>
          <w:rFonts w:hint="eastAsia"/>
        </w:rPr>
        <w:t>兰州大学、全国畜牧总站、广南县畜牧兽医站、云南省草地动物科学研究院、王春梅。</w:t>
      </w:r>
    </w:p>
    <w:p>
      <w:pPr>
        <w:pStyle w:val="afffff0"/>
      </w:pPr>
      <w:r>
        <w:t>本</w:t>
      </w:r>
      <w:r>
        <w:rPr>
          <w:rFonts w:hint="eastAsia"/>
        </w:rPr>
        <w:t>文件</w:t>
      </w:r>
      <w:r>
        <w:t>主要起草人：</w:t>
      </w:r>
      <w:r>
        <w:rPr>
          <w:rFonts w:hint="eastAsia"/>
        </w:rPr>
        <w:t>刘永杰、宁玉茂、李</w:t>
      </w:r>
      <w:proofErr w:type="gramStart"/>
      <w:r>
        <w:rPr>
          <w:rFonts w:hint="eastAsia"/>
        </w:rPr>
        <w:t>桧</w:t>
      </w:r>
      <w:proofErr w:type="gramEnd"/>
      <w:r>
        <w:rPr>
          <w:rFonts w:hint="eastAsia"/>
        </w:rPr>
        <w:t>、刘世婷、刘明蕊、朱勤文、庞世玉、侯湃、侯扶江、王加亭、彭泽晨、徐震、杨启尧、季树春、张美艳、王春梅。</w:t>
      </w:r>
    </w:p>
    <w:p>
      <w:pPr>
        <w:pStyle w:val="afffff0"/>
      </w:pPr>
      <w:r>
        <w:t>本</w:t>
      </w:r>
      <w:r>
        <w:rPr>
          <w:rFonts w:hint="eastAsia"/>
        </w:rPr>
        <w:t>文件</w:t>
      </w:r>
      <w:r>
        <w:t>为首次发布。</w:t>
      </w:r>
    </w:p>
    <w:p>
      <w:pPr>
        <w:pStyle w:val="afffff0"/>
        <w:sectPr>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11" w:displacedByCustomXml="next"/>
    <w:bookmarkStart w:id="12" w:name="NEW_STAND_NAME" w:displacedByCustomXml="next"/>
    <w:bookmarkStart w:id="13"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pPr>
                <w:pStyle w:val="afffffffff5"/>
                <w:spacing w:before="850" w:after="680" w:line="240" w:lineRule="auto"/>
              </w:pPr>
              <w:r>
                <w:rPr>
                  <w:rFonts w:hint="eastAsia"/>
                </w:rPr>
                <w:t>南方丘陵</w:t>
              </w:r>
              <w:proofErr w:type="gramStart"/>
              <w:r>
                <w:rPr>
                  <w:rFonts w:hint="eastAsia"/>
                </w:rPr>
                <w:t>刈</w:t>
              </w:r>
              <w:proofErr w:type="gramEnd"/>
              <w:r>
                <w:rPr>
                  <w:rFonts w:hint="eastAsia"/>
                </w:rPr>
                <w:t>牧草地补播技术规程</w:t>
              </w:r>
            </w:p>
          </w:sdtContent>
        </w:sdt>
      </w:sdtContent>
    </w:sdt>
    <w:p>
      <w:pPr>
        <w:pStyle w:val="affa"/>
        <w:snapToGrid w:val="0"/>
        <w:spacing w:before="240" w:after="240"/>
      </w:pPr>
      <w:bookmarkStart w:id="14" w:name="_Toc24884211"/>
      <w:bookmarkStart w:id="15" w:name="_Toc97192964"/>
      <w:bookmarkStart w:id="16" w:name="_Toc17233333"/>
      <w:bookmarkStart w:id="17" w:name="_Toc17233325"/>
      <w:bookmarkStart w:id="18" w:name="_Toc26718930"/>
      <w:bookmarkStart w:id="19" w:name="_Toc26648465"/>
      <w:bookmarkStart w:id="20" w:name="_Toc26986771"/>
      <w:bookmarkStart w:id="21" w:name="_Toc211935586"/>
      <w:bookmarkStart w:id="22" w:name="_Toc26986530"/>
      <w:bookmarkStart w:id="23" w:name="_Toc24884218"/>
      <w:bookmarkEnd w:id="12"/>
      <w:r>
        <w:rPr>
          <w:rFonts w:hint="eastAsia"/>
        </w:rPr>
        <w:t>范围</w:t>
      </w:r>
      <w:bookmarkEnd w:id="14"/>
      <w:bookmarkEnd w:id="15"/>
      <w:bookmarkEnd w:id="16"/>
      <w:bookmarkEnd w:id="17"/>
      <w:bookmarkEnd w:id="18"/>
      <w:bookmarkEnd w:id="19"/>
      <w:bookmarkEnd w:id="20"/>
      <w:bookmarkEnd w:id="21"/>
      <w:bookmarkEnd w:id="22"/>
      <w:bookmarkEnd w:id="23"/>
    </w:p>
    <w:p>
      <w:pPr>
        <w:pStyle w:val="afffff0"/>
      </w:pPr>
      <w:bookmarkStart w:id="24" w:name="_Hlk152665020"/>
      <w:bookmarkStart w:id="25" w:name="_Toc24884212"/>
      <w:bookmarkStart w:id="26" w:name="_Toc26648466"/>
      <w:bookmarkStart w:id="27" w:name="_Toc24884219"/>
      <w:bookmarkStart w:id="28" w:name="_Toc17233326"/>
      <w:bookmarkStart w:id="29" w:name="_Toc17233334"/>
      <w:r>
        <w:rPr>
          <w:rFonts w:hint="eastAsia"/>
        </w:rPr>
        <w:t>本文件规定了南方丘陵</w:t>
      </w:r>
      <w:proofErr w:type="gramStart"/>
      <w:r>
        <w:rPr>
          <w:rFonts w:hint="eastAsia"/>
        </w:rPr>
        <w:t>刈</w:t>
      </w:r>
      <w:proofErr w:type="gramEnd"/>
      <w:r>
        <w:rPr>
          <w:rFonts w:hint="eastAsia"/>
        </w:rPr>
        <w:t>牧草地补播技术的术语和定义、补播策略、补播配套施肥技术及补播后的管理措施。</w:t>
      </w:r>
    </w:p>
    <w:p>
      <w:pPr>
        <w:pStyle w:val="afffff0"/>
      </w:pPr>
      <w:r>
        <w:rPr>
          <w:rFonts w:hint="eastAsia"/>
        </w:rPr>
        <w:t>本文件适用于南方丘陵区红壤或砖红壤地区（pH 4.5～6.5）、海拔低于1500 m、坡度小于40°的退化</w:t>
      </w:r>
      <w:proofErr w:type="gramStart"/>
      <w:r>
        <w:rPr>
          <w:rFonts w:hint="eastAsia"/>
        </w:rPr>
        <w:t>刈</w:t>
      </w:r>
      <w:proofErr w:type="gramEnd"/>
      <w:r>
        <w:rPr>
          <w:rFonts w:hint="eastAsia"/>
        </w:rPr>
        <w:t>牧草地。年均降水量宜≥800 mm，年均温12～20℃。</w:t>
      </w:r>
    </w:p>
    <w:p>
      <w:pPr>
        <w:pStyle w:val="affa"/>
        <w:snapToGrid w:val="0"/>
        <w:spacing w:before="240" w:after="240"/>
      </w:pPr>
      <w:bookmarkStart w:id="30" w:name="_Toc26986531"/>
      <w:bookmarkStart w:id="31" w:name="_Toc211935587"/>
      <w:bookmarkStart w:id="32" w:name="_Toc26718931"/>
      <w:bookmarkStart w:id="33" w:name="_Toc97192965"/>
      <w:bookmarkStart w:id="34" w:name="_Toc26986772"/>
      <w:bookmarkEnd w:id="24"/>
      <w:r>
        <w:rPr>
          <w:rFonts w:hint="eastAsia"/>
        </w:rPr>
        <w:t>规范性引用文件</w:t>
      </w:r>
      <w:bookmarkEnd w:id="25"/>
      <w:bookmarkEnd w:id="26"/>
      <w:bookmarkEnd w:id="27"/>
      <w:bookmarkEnd w:id="28"/>
      <w:bookmarkEnd w:id="29"/>
      <w:bookmarkEnd w:id="30"/>
      <w:bookmarkEnd w:id="31"/>
      <w:bookmarkEnd w:id="32"/>
      <w:bookmarkEnd w:id="33"/>
      <w:bookmarkEnd w:id="34"/>
    </w:p>
    <w:bookmarkStart w:id="35"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pPr>
            <w:pStyle w:val="afffff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afffff0"/>
      </w:pPr>
      <w:bookmarkStart w:id="36" w:name="_Toc97192966"/>
      <w:bookmarkEnd w:id="35"/>
      <w:r>
        <w:rPr>
          <w:rFonts w:hint="eastAsia"/>
        </w:rPr>
        <w:t xml:space="preserve">NY/T 889 </w:t>
      </w:r>
      <w:r>
        <w:tab/>
      </w:r>
      <w:r>
        <w:tab/>
      </w:r>
      <w:r>
        <w:rPr>
          <w:rFonts w:hint="eastAsia"/>
        </w:rPr>
        <w:t>土壤速效钾和缓效钾含量的测定</w:t>
      </w:r>
    </w:p>
    <w:p>
      <w:pPr>
        <w:pStyle w:val="afffff0"/>
      </w:pPr>
      <w:r>
        <w:rPr>
          <w:rFonts w:hint="eastAsia"/>
        </w:rPr>
        <w:t xml:space="preserve">NY/T 1121.6 </w:t>
      </w:r>
      <w:r>
        <w:tab/>
      </w:r>
      <w:r>
        <w:rPr>
          <w:rFonts w:hint="eastAsia"/>
        </w:rPr>
        <w:t>土壤检测 第6部分：土壤有机质的测定</w:t>
      </w:r>
    </w:p>
    <w:p>
      <w:pPr>
        <w:pStyle w:val="afffff0"/>
      </w:pPr>
      <w:r>
        <w:rPr>
          <w:rFonts w:hint="eastAsia"/>
        </w:rPr>
        <w:t xml:space="preserve">LY/T 1228 </w:t>
      </w:r>
      <w:r>
        <w:tab/>
      </w:r>
      <w:r>
        <w:tab/>
      </w:r>
      <w:r>
        <w:rPr>
          <w:rFonts w:hint="eastAsia"/>
        </w:rPr>
        <w:t>森林土壤氮的测定</w:t>
      </w:r>
    </w:p>
    <w:p>
      <w:pPr>
        <w:pStyle w:val="afffff0"/>
      </w:pPr>
      <w:r>
        <w:rPr>
          <w:rFonts w:hint="eastAsia"/>
        </w:rPr>
        <w:t xml:space="preserve">LY/T 1232 </w:t>
      </w:r>
      <w:r>
        <w:tab/>
      </w:r>
      <w:r>
        <w:tab/>
      </w:r>
      <w:r>
        <w:rPr>
          <w:rFonts w:hint="eastAsia"/>
        </w:rPr>
        <w:t>森林土壤磷的测定</w:t>
      </w:r>
    </w:p>
    <w:p>
      <w:pPr>
        <w:pStyle w:val="affa"/>
        <w:spacing w:before="240" w:after="240"/>
      </w:pPr>
      <w:bookmarkStart w:id="37" w:name="_Toc211935588"/>
      <w:r>
        <w:rPr>
          <w:rFonts w:hint="eastAsia"/>
        </w:rPr>
        <w:t>术语和定义</w:t>
      </w:r>
      <w:bookmarkEnd w:id="36"/>
      <w:bookmarkEnd w:id="37"/>
    </w:p>
    <w:bookmarkStart w:id="38" w:name="_Toc26986532" w:displacedByCustomXml="next"/>
    <w:bookmarkEnd w:id="38" w:displacedByCustomXml="next"/>
    <w:bookmarkStart w:id="39"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afffff0"/>
            <w:rPr>
              <w:rFonts w:ascii="黑体" w:eastAsia="黑体" w:hAnsi="黑体"/>
            </w:rPr>
          </w:pPr>
          <w:r>
            <w:t>下列术语和定义适用于本文件。</w:t>
          </w:r>
        </w:p>
      </w:sdtContent>
    </w:sdt>
    <w:bookmarkEnd w:id="39"/>
    <w:p>
      <w:pPr>
        <w:pStyle w:val="affb"/>
        <w:spacing w:beforeLines="0" w:before="0" w:afterLines="0" w:after="0"/>
      </w:pPr>
    </w:p>
    <w:p>
      <w:pPr>
        <w:pStyle w:val="afffff0"/>
      </w:pPr>
      <w:proofErr w:type="gramStart"/>
      <w:r>
        <w:rPr>
          <w:rFonts w:hint="eastAsia"/>
        </w:rPr>
        <w:t>刈</w:t>
      </w:r>
      <w:proofErr w:type="gramEnd"/>
      <w:r>
        <w:rPr>
          <w:rFonts w:hint="eastAsia"/>
        </w:rPr>
        <w:t>牧草地 grazing and mowing grassland</w:t>
      </w:r>
    </w:p>
    <w:p>
      <w:pPr>
        <w:pStyle w:val="afffff0"/>
        <w:rPr>
          <w:color w:val="000000" w:themeColor="text1"/>
        </w:rPr>
      </w:pPr>
      <w:r>
        <w:rPr>
          <w:rFonts w:hint="eastAsia"/>
        </w:rPr>
        <w:t>通过农业技术措施栽培形成的草地，主要用于高产牧草生产及刈割、放牧利用</w:t>
      </w:r>
    </w:p>
    <w:p>
      <w:pPr>
        <w:pStyle w:val="affb"/>
        <w:spacing w:beforeLines="0" w:before="0" w:afterLines="0" w:after="0"/>
      </w:pPr>
    </w:p>
    <w:p>
      <w:pPr>
        <w:pStyle w:val="afffff0"/>
      </w:pPr>
      <w:r>
        <w:rPr>
          <w:rFonts w:hint="eastAsia"/>
        </w:rPr>
        <w:t>补播 replanting</w:t>
      </w:r>
    </w:p>
    <w:p>
      <w:pPr>
        <w:pStyle w:val="afffff0"/>
      </w:pPr>
      <w:r>
        <w:rPr>
          <w:rFonts w:hint="eastAsia"/>
        </w:rPr>
        <w:t>在不全面翻耕原有草地的条件下，人工补播优良牧草种子以恢复或提高草地生产能力和生态功能的措施。</w:t>
      </w:r>
    </w:p>
    <w:p>
      <w:pPr>
        <w:pStyle w:val="affb"/>
        <w:spacing w:beforeLines="0" w:before="0" w:afterLines="0" w:after="0"/>
      </w:pPr>
    </w:p>
    <w:p>
      <w:pPr>
        <w:pStyle w:val="afffff0"/>
      </w:pPr>
      <w:r>
        <w:rPr>
          <w:rFonts w:hint="eastAsia"/>
        </w:rPr>
        <w:t>条带施肥 strip fertilization</w:t>
      </w:r>
    </w:p>
    <w:p>
      <w:pPr>
        <w:pStyle w:val="afffff0"/>
      </w:pPr>
      <w:r>
        <w:rPr>
          <w:rFonts w:hint="eastAsia"/>
        </w:rPr>
        <w:t>与补播行向一致，将肥料以条状形式施入土壤中、覆土掩埋的施肥方法，作为补播的配套技术。</w:t>
      </w:r>
    </w:p>
    <w:bookmarkEnd w:id="13"/>
    <w:p>
      <w:pPr>
        <w:pStyle w:val="affa"/>
        <w:spacing w:before="240" w:after="240"/>
      </w:pPr>
      <w:r>
        <w:rPr>
          <w:rFonts w:hint="eastAsia"/>
        </w:rPr>
        <w:t>补播策略</w:t>
      </w:r>
    </w:p>
    <w:p>
      <w:pPr>
        <w:pStyle w:val="affb"/>
        <w:snapToGrid w:val="0"/>
        <w:spacing w:before="120" w:after="120"/>
      </w:pPr>
      <w:r>
        <w:rPr>
          <w:rFonts w:hint="eastAsia"/>
        </w:rPr>
        <w:t>补播牧草种类</w:t>
      </w:r>
    </w:p>
    <w:p>
      <w:pPr>
        <w:pStyle w:val="afffffffff2"/>
      </w:pPr>
      <w:r>
        <w:rPr>
          <w:rFonts w:hint="eastAsia"/>
        </w:rPr>
        <w:t>在退化草地上，选用豆科与禾本科牧草混播，物种为：白三叶（</w:t>
      </w:r>
      <w:proofErr w:type="spellStart"/>
      <w:r>
        <w:rPr>
          <w:rFonts w:hint="eastAsia"/>
          <w:i/>
        </w:rPr>
        <w:t>Trifolium</w:t>
      </w:r>
      <w:proofErr w:type="spellEnd"/>
      <w:r>
        <w:rPr>
          <w:rFonts w:hint="eastAsia"/>
          <w:i/>
        </w:rPr>
        <w:t xml:space="preserve"> </w:t>
      </w:r>
      <w:proofErr w:type="spellStart"/>
      <w:r>
        <w:rPr>
          <w:rFonts w:hint="eastAsia"/>
          <w:i/>
        </w:rPr>
        <w:t>repens</w:t>
      </w:r>
      <w:proofErr w:type="spellEnd"/>
      <w:r>
        <w:rPr>
          <w:rFonts w:hint="eastAsia"/>
        </w:rPr>
        <w:t>）、红三叶（</w:t>
      </w:r>
      <w:proofErr w:type="spellStart"/>
      <w:r>
        <w:rPr>
          <w:rFonts w:hint="eastAsia"/>
          <w:i/>
        </w:rPr>
        <w:t>Trifolium</w:t>
      </w:r>
      <w:proofErr w:type="spellEnd"/>
      <w:r>
        <w:rPr>
          <w:rFonts w:hint="eastAsia"/>
          <w:i/>
        </w:rPr>
        <w:t xml:space="preserve"> </w:t>
      </w:r>
      <w:proofErr w:type="spellStart"/>
      <w:r>
        <w:rPr>
          <w:rFonts w:hint="eastAsia"/>
          <w:i/>
        </w:rPr>
        <w:t>pratense</w:t>
      </w:r>
      <w:proofErr w:type="spellEnd"/>
      <w:r>
        <w:rPr>
          <w:rFonts w:hint="eastAsia"/>
        </w:rPr>
        <w:t>）、鸭</w:t>
      </w:r>
      <w:proofErr w:type="gramStart"/>
      <w:r>
        <w:rPr>
          <w:rFonts w:hint="eastAsia"/>
        </w:rPr>
        <w:t>茅</w:t>
      </w:r>
      <w:proofErr w:type="gramEnd"/>
      <w:r>
        <w:rPr>
          <w:rFonts w:hint="eastAsia"/>
        </w:rPr>
        <w:t>（</w:t>
      </w:r>
      <w:proofErr w:type="spellStart"/>
      <w:r>
        <w:rPr>
          <w:rFonts w:hint="eastAsia"/>
          <w:i/>
        </w:rPr>
        <w:t>Dactylis</w:t>
      </w:r>
      <w:proofErr w:type="spellEnd"/>
      <w:r>
        <w:rPr>
          <w:rFonts w:hint="eastAsia"/>
          <w:i/>
        </w:rPr>
        <w:t xml:space="preserve"> </w:t>
      </w:r>
      <w:proofErr w:type="spellStart"/>
      <w:r>
        <w:rPr>
          <w:rFonts w:hint="eastAsia"/>
          <w:i/>
        </w:rPr>
        <w:t>glomerata</w:t>
      </w:r>
      <w:proofErr w:type="spellEnd"/>
      <w:r>
        <w:rPr>
          <w:rFonts w:hint="eastAsia"/>
        </w:rPr>
        <w:t>）、紫羊茅（</w:t>
      </w:r>
      <w:proofErr w:type="spellStart"/>
      <w:r>
        <w:rPr>
          <w:rFonts w:hint="eastAsia"/>
          <w:i/>
        </w:rPr>
        <w:t>Festuca</w:t>
      </w:r>
      <w:proofErr w:type="spellEnd"/>
      <w:r>
        <w:rPr>
          <w:rFonts w:hint="eastAsia"/>
          <w:i/>
        </w:rPr>
        <w:t xml:space="preserve"> </w:t>
      </w:r>
      <w:proofErr w:type="spellStart"/>
      <w:r>
        <w:rPr>
          <w:rFonts w:hint="eastAsia"/>
          <w:i/>
        </w:rPr>
        <w:t>rubra</w:t>
      </w:r>
      <w:proofErr w:type="spellEnd"/>
      <w:r>
        <w:rPr>
          <w:rFonts w:hint="eastAsia"/>
        </w:rPr>
        <w:t>）和黑麦草（</w:t>
      </w:r>
      <w:proofErr w:type="spellStart"/>
      <w:r>
        <w:rPr>
          <w:rFonts w:hint="eastAsia"/>
          <w:i/>
        </w:rPr>
        <w:t>Lolium</w:t>
      </w:r>
      <w:proofErr w:type="spellEnd"/>
      <w:r>
        <w:rPr>
          <w:rFonts w:hint="eastAsia"/>
          <w:i/>
        </w:rPr>
        <w:t xml:space="preserve"> </w:t>
      </w:r>
      <w:proofErr w:type="spellStart"/>
      <w:r>
        <w:rPr>
          <w:rFonts w:hint="eastAsia"/>
          <w:i/>
        </w:rPr>
        <w:t>perenne</w:t>
      </w:r>
      <w:proofErr w:type="spellEnd"/>
      <w:r>
        <w:rPr>
          <w:rFonts w:hint="eastAsia"/>
        </w:rPr>
        <w:t>）。</w:t>
      </w:r>
    </w:p>
    <w:p>
      <w:pPr>
        <w:pStyle w:val="affb"/>
        <w:snapToGrid w:val="0"/>
        <w:spacing w:before="120" w:after="120"/>
      </w:pPr>
      <w:r>
        <w:rPr>
          <w:rFonts w:hint="eastAsia"/>
        </w:rPr>
        <w:t>补播比例与播种量</w:t>
      </w:r>
    </w:p>
    <w:p>
      <w:pPr>
        <w:pStyle w:val="afffffffff2"/>
      </w:pPr>
      <w:r>
        <w:rPr>
          <w:rFonts w:hint="eastAsia"/>
        </w:rPr>
        <w:t>牧草</w:t>
      </w:r>
      <w:bookmarkStart w:id="40" w:name="_GoBack"/>
      <w:bookmarkEnd w:id="40"/>
      <w:r>
        <w:rPr>
          <w:rFonts w:hint="eastAsia"/>
        </w:rPr>
        <w:t>补播比例为白三叶:红三叶:鸭茅:紫羊茅:黑麦草 = 15:15:20:20:30。其中白三叶的播种量为1 g/m</w:t>
      </w:r>
      <w:r>
        <w:rPr>
          <w:rFonts w:hint="eastAsia"/>
          <w:vertAlign w:val="superscript"/>
        </w:rPr>
        <w:t>2</w:t>
      </w:r>
      <w:r>
        <w:rPr>
          <w:rFonts w:hint="eastAsia"/>
        </w:rPr>
        <w:t>。</w:t>
      </w:r>
    </w:p>
    <w:p>
      <w:pPr>
        <w:pStyle w:val="affb"/>
        <w:spacing w:before="120" w:after="120"/>
      </w:pPr>
      <w:bookmarkStart w:id="41" w:name="_Hlk228884747"/>
      <w:r>
        <w:rPr>
          <w:rFonts w:hint="eastAsia"/>
        </w:rPr>
        <w:t>补播时间</w:t>
      </w:r>
    </w:p>
    <w:bookmarkEnd w:id="41"/>
    <w:p>
      <w:pPr>
        <w:pStyle w:val="afffff0"/>
      </w:pPr>
      <w:r>
        <w:rPr>
          <w:rFonts w:hint="eastAsia"/>
        </w:rPr>
        <w:lastRenderedPageBreak/>
        <w:t>在旱季末（11月～12月）或雨季来临前（5月～6月）进行，宜在雨后土壤墒情良好时播种。</w:t>
      </w:r>
    </w:p>
    <w:p>
      <w:pPr>
        <w:pStyle w:val="affb"/>
        <w:spacing w:before="120" w:after="120"/>
      </w:pPr>
      <w:r>
        <w:rPr>
          <w:rFonts w:hint="eastAsia"/>
        </w:rPr>
        <w:t>补播方式</w:t>
      </w:r>
    </w:p>
    <w:p>
      <w:pPr>
        <w:pStyle w:val="afffff0"/>
      </w:pPr>
      <w:r>
        <w:rPr>
          <w:rFonts w:hint="eastAsia"/>
        </w:rPr>
        <w:t>采用条带补播，行距 25 cm，补播前对退化草地刈割（留茬5 cm～8 cm），清除枯草层，若地表板结则用圆盘耙浅耙（深度3 cm～5 cm）以利种子接触土壤，使用条播机或人工开沟播种，播深 1 cm～2 cm，补播后覆土1 cm，并用镇压器轻度镇压（压力≤0.3 kg/cm²），使种子与土壤紧密接触。</w:t>
      </w:r>
    </w:p>
    <w:p>
      <w:pPr>
        <w:pStyle w:val="affa"/>
        <w:spacing w:before="240" w:after="240"/>
      </w:pPr>
      <w:r>
        <w:rPr>
          <w:rFonts w:hint="eastAsia"/>
        </w:rPr>
        <w:t>补播配套施肥技术</w:t>
      </w:r>
    </w:p>
    <w:p>
      <w:pPr>
        <w:pStyle w:val="afffff0"/>
      </w:pPr>
      <w:r>
        <w:rPr>
          <w:rFonts w:hint="eastAsia"/>
        </w:rPr>
        <w:t>条带施肥为补播的辅助措施，旨在满足补播牧草幼苗生长所需的磷、钾养分。</w:t>
      </w:r>
    </w:p>
    <w:p>
      <w:pPr>
        <w:pStyle w:val="affb"/>
        <w:snapToGrid w:val="0"/>
        <w:spacing w:before="120" w:after="120"/>
      </w:pPr>
      <w:r>
        <w:rPr>
          <w:rFonts w:hint="eastAsia"/>
        </w:rPr>
        <w:t>施肥种类</w:t>
      </w:r>
    </w:p>
    <w:p>
      <w:pPr>
        <w:pStyle w:val="afffffffff2"/>
      </w:pPr>
      <w:r>
        <w:rPr>
          <w:rFonts w:hint="eastAsia"/>
        </w:rPr>
        <w:t>磷肥：过磷酸钙（有效</w:t>
      </w:r>
      <w:r>
        <w:t>P</w:t>
      </w:r>
      <w:r>
        <w:t>₂</w:t>
      </w:r>
      <w:r>
        <w:t>O</w:t>
      </w:r>
      <w:r>
        <w:t>₅</w:t>
      </w:r>
      <w:r>
        <w:rPr>
          <w:rFonts w:hint="eastAsia"/>
        </w:rPr>
        <w:t>≥</w:t>
      </w:r>
      <w:r>
        <w:t>12%</w:t>
      </w:r>
      <w:r>
        <w:rPr>
          <w:rFonts w:hint="eastAsia"/>
        </w:rPr>
        <w:t>）；钾肥：硫酸钾（</w:t>
      </w:r>
      <w:r>
        <w:t>K</w:t>
      </w:r>
      <w:r>
        <w:t>₂</w:t>
      </w:r>
      <w:r>
        <w:t>O</w:t>
      </w:r>
      <w:r>
        <w:rPr>
          <w:rFonts w:hint="eastAsia"/>
        </w:rPr>
        <w:t>≥</w:t>
      </w:r>
      <w:r>
        <w:t>50%</w:t>
      </w:r>
      <w:r>
        <w:rPr>
          <w:rFonts w:hint="eastAsia"/>
        </w:rPr>
        <w:t>）。</w:t>
      </w:r>
    </w:p>
    <w:p>
      <w:pPr>
        <w:pStyle w:val="affb"/>
        <w:snapToGrid w:val="0"/>
        <w:spacing w:before="120" w:after="120"/>
      </w:pPr>
      <w:bookmarkStart w:id="42" w:name="_Hlk228885136"/>
      <w:r>
        <w:rPr>
          <w:rFonts w:hint="eastAsia"/>
        </w:rPr>
        <w:t>肥料施用量</w:t>
      </w:r>
    </w:p>
    <w:bookmarkEnd w:id="42"/>
    <w:p>
      <w:pPr>
        <w:pStyle w:val="afffffffff2"/>
      </w:pPr>
      <w:r>
        <w:rPr>
          <w:rFonts w:hint="eastAsia"/>
        </w:rPr>
        <w:t>不同养分组合下的施肥量方案如下：</w:t>
      </w:r>
    </w:p>
    <w:p>
      <w:pPr>
        <w:pStyle w:val="afffffffff2"/>
      </w:pPr>
      <w:r>
        <w:rPr>
          <w:rFonts w:hint="eastAsia"/>
        </w:rPr>
        <w:t>低钾中磷：磷肥施用量为200 kg/hm</w:t>
      </w:r>
      <w:r>
        <w:rPr>
          <w:rFonts w:hint="eastAsia"/>
          <w:vertAlign w:val="superscript"/>
        </w:rPr>
        <w:t>2</w:t>
      </w:r>
      <w:r>
        <w:rPr>
          <w:rFonts w:hint="eastAsia"/>
        </w:rPr>
        <w:t>，钾肥施用量为45 kg/hm</w:t>
      </w:r>
      <w:r>
        <w:rPr>
          <w:rFonts w:hint="eastAsia"/>
          <w:vertAlign w:val="superscript"/>
        </w:rPr>
        <w:t>2</w:t>
      </w:r>
      <w:r>
        <w:rPr>
          <w:rFonts w:hint="eastAsia"/>
        </w:rPr>
        <w:t>；</w:t>
      </w:r>
    </w:p>
    <w:p>
      <w:pPr>
        <w:pStyle w:val="afffffffff2"/>
      </w:pPr>
      <w:r>
        <w:rPr>
          <w:rFonts w:hint="eastAsia"/>
        </w:rPr>
        <w:t>中钾中磷：磷肥施用量为200 kg/hm</w:t>
      </w:r>
      <w:r>
        <w:rPr>
          <w:rFonts w:hint="eastAsia"/>
          <w:vertAlign w:val="superscript"/>
        </w:rPr>
        <w:t>2</w:t>
      </w:r>
      <w:r>
        <w:rPr>
          <w:rFonts w:hint="eastAsia"/>
        </w:rPr>
        <w:t>，钾肥施用量为90 kg/hm</w:t>
      </w:r>
      <w:r>
        <w:rPr>
          <w:rFonts w:hint="eastAsia"/>
          <w:vertAlign w:val="superscript"/>
        </w:rPr>
        <w:t>2</w:t>
      </w:r>
      <w:r>
        <w:rPr>
          <w:rFonts w:hint="eastAsia"/>
        </w:rPr>
        <w:t>；</w:t>
      </w:r>
    </w:p>
    <w:p>
      <w:pPr>
        <w:pStyle w:val="afffffffff2"/>
      </w:pPr>
      <w:r>
        <w:rPr>
          <w:rFonts w:hint="eastAsia"/>
        </w:rPr>
        <w:t>高钾中磷：磷肥施用量为200 kg/hm</w:t>
      </w:r>
      <w:r>
        <w:rPr>
          <w:rFonts w:hint="eastAsia"/>
          <w:vertAlign w:val="superscript"/>
        </w:rPr>
        <w:t>2</w:t>
      </w:r>
      <w:r>
        <w:rPr>
          <w:rFonts w:hint="eastAsia"/>
        </w:rPr>
        <w:t>，钾肥施用量为135 kg/hm</w:t>
      </w:r>
      <w:r>
        <w:rPr>
          <w:rFonts w:hint="eastAsia"/>
          <w:vertAlign w:val="superscript"/>
        </w:rPr>
        <w:t>2</w:t>
      </w:r>
      <w:r>
        <w:rPr>
          <w:rFonts w:hint="eastAsia"/>
        </w:rPr>
        <w:t>；</w:t>
      </w:r>
    </w:p>
    <w:p>
      <w:pPr>
        <w:pStyle w:val="afffffffff2"/>
      </w:pPr>
      <w:r>
        <w:rPr>
          <w:rFonts w:hint="eastAsia"/>
        </w:rPr>
        <w:t>中钾低磷：磷肥施用量为100 kg/hm</w:t>
      </w:r>
      <w:r>
        <w:rPr>
          <w:rFonts w:hint="eastAsia"/>
          <w:vertAlign w:val="superscript"/>
        </w:rPr>
        <w:t>2</w:t>
      </w:r>
      <w:r>
        <w:rPr>
          <w:rFonts w:hint="eastAsia"/>
        </w:rPr>
        <w:t>，钾肥施用量为90 kg/hm</w:t>
      </w:r>
      <w:r>
        <w:rPr>
          <w:rFonts w:hint="eastAsia"/>
          <w:vertAlign w:val="superscript"/>
        </w:rPr>
        <w:t>2</w:t>
      </w:r>
      <w:r>
        <w:rPr>
          <w:rFonts w:hint="eastAsia"/>
        </w:rPr>
        <w:t>；</w:t>
      </w:r>
    </w:p>
    <w:p>
      <w:pPr>
        <w:pStyle w:val="afffffffff2"/>
      </w:pPr>
      <w:r>
        <w:rPr>
          <w:rFonts w:hint="eastAsia"/>
        </w:rPr>
        <w:t>中钾高磷：磷肥施用量为300 kg/hm</w:t>
      </w:r>
      <w:r>
        <w:rPr>
          <w:rFonts w:hint="eastAsia"/>
          <w:vertAlign w:val="superscript"/>
        </w:rPr>
        <w:t>2</w:t>
      </w:r>
      <w:r>
        <w:rPr>
          <w:rFonts w:hint="eastAsia"/>
        </w:rPr>
        <w:t>，钾肥施用量为90 kg/hm</w:t>
      </w:r>
      <w:r>
        <w:rPr>
          <w:rFonts w:hint="eastAsia"/>
          <w:vertAlign w:val="superscript"/>
        </w:rPr>
        <w:t>2</w:t>
      </w:r>
      <w:r>
        <w:rPr>
          <w:rFonts w:hint="eastAsia"/>
        </w:rPr>
        <w:t>。</w:t>
      </w:r>
    </w:p>
    <w:p>
      <w:pPr>
        <w:pStyle w:val="affb"/>
        <w:spacing w:before="120" w:after="120"/>
      </w:pPr>
      <w:bookmarkStart w:id="43" w:name="_Hlk228885180"/>
      <w:r>
        <w:rPr>
          <w:rFonts w:hint="eastAsia"/>
        </w:rPr>
        <w:t>施肥时间</w:t>
      </w:r>
    </w:p>
    <w:bookmarkEnd w:id="43"/>
    <w:p>
      <w:pPr>
        <w:pStyle w:val="afffff0"/>
      </w:pPr>
      <w:r>
        <w:rPr>
          <w:rFonts w:hint="eastAsia"/>
        </w:rPr>
        <w:t>与补播同步进行，宜在补播前或补播当天完成施肥，使肥料与种子在相近的土壤层次中。</w:t>
      </w:r>
    </w:p>
    <w:p>
      <w:pPr>
        <w:pStyle w:val="affb"/>
        <w:spacing w:before="120" w:after="120"/>
      </w:pPr>
      <w:r>
        <w:rPr>
          <w:rFonts w:hint="eastAsia"/>
        </w:rPr>
        <w:t>条带施肥方法</w:t>
      </w:r>
    </w:p>
    <w:p>
      <w:pPr>
        <w:pStyle w:val="afffff0"/>
      </w:pPr>
      <w:r>
        <w:rPr>
          <w:rFonts w:hint="eastAsia"/>
        </w:rPr>
        <w:t>施肥行距与补播行距一致（25 cm），且肥料条带应位于种子条带侧下方 3 cm～5 cm 处，避免烧苗。开沟深度 8 cm～10 cm，施入肥料后覆土 2 cm～3 cm，再于上方播种或先播种后侧深施。可采用专用种肥同播机一次性完成开沟、施肥、播种、覆土、镇压作业。</w:t>
      </w:r>
    </w:p>
    <w:p>
      <w:pPr>
        <w:pStyle w:val="affa"/>
        <w:spacing w:before="240" w:after="240"/>
      </w:pPr>
      <w:r>
        <w:rPr>
          <w:rFonts w:hint="eastAsia"/>
        </w:rPr>
        <w:t>补播后管理</w:t>
      </w:r>
    </w:p>
    <w:p>
      <w:pPr>
        <w:pStyle w:val="affb"/>
        <w:snapToGrid w:val="0"/>
        <w:spacing w:before="120" w:after="120"/>
      </w:pPr>
      <w:r>
        <w:rPr>
          <w:rFonts w:hint="eastAsia"/>
        </w:rPr>
        <w:t>休牧期</w:t>
      </w:r>
    </w:p>
    <w:p>
      <w:pPr>
        <w:pStyle w:val="afffffffff2"/>
      </w:pPr>
      <w:r>
        <w:rPr>
          <w:rFonts w:hint="eastAsia"/>
        </w:rPr>
        <w:t>补播施肥后立即休牧至少 60 天，待牧草株高普遍达到 20 cm 以上或形成</w:t>
      </w:r>
      <w:proofErr w:type="gramStart"/>
      <w:r>
        <w:rPr>
          <w:rFonts w:hint="eastAsia"/>
        </w:rPr>
        <w:t>稳定草</w:t>
      </w:r>
      <w:proofErr w:type="gramEnd"/>
      <w:r>
        <w:rPr>
          <w:rFonts w:hint="eastAsia"/>
        </w:rPr>
        <w:t>层（覆盖度&gt;70%）后方可轻度放牧或刈割。</w:t>
      </w:r>
    </w:p>
    <w:p>
      <w:pPr>
        <w:pStyle w:val="affb"/>
        <w:snapToGrid w:val="0"/>
        <w:spacing w:before="120" w:after="120"/>
      </w:pPr>
      <w:r>
        <w:rPr>
          <w:rFonts w:hint="eastAsia"/>
        </w:rPr>
        <w:t>水分管理</w:t>
      </w:r>
    </w:p>
    <w:p>
      <w:pPr>
        <w:pStyle w:val="afffffffff2"/>
      </w:pPr>
      <w:r>
        <w:rPr>
          <w:rFonts w:hint="eastAsia"/>
        </w:rPr>
        <w:t>多雨季节（月降水量&gt;200 mm）应避免连续放牧，防止踩踏导致养分流失和幼苗死亡。</w:t>
      </w:r>
    </w:p>
    <w:p>
      <w:pPr>
        <w:pStyle w:val="afffffffff2"/>
      </w:pPr>
      <w:r>
        <w:rPr>
          <w:rFonts w:hint="eastAsia"/>
        </w:rPr>
        <w:t>干旱时段（连续15天无有效降水）应适当延长休牧期至90天，并视条件采取覆盖保墒（如留茬覆盖）或人工灌溉。</w:t>
      </w:r>
    </w:p>
    <w:p>
      <w:pPr>
        <w:pStyle w:val="affb"/>
        <w:snapToGrid w:val="0"/>
        <w:spacing w:before="120" w:after="120"/>
      </w:pPr>
      <w:bookmarkStart w:id="44" w:name="_Hlk228885389"/>
      <w:r>
        <w:rPr>
          <w:rFonts w:hint="eastAsia"/>
        </w:rPr>
        <w:t>杂草控制</w:t>
      </w:r>
    </w:p>
    <w:bookmarkEnd w:id="44"/>
    <w:p>
      <w:pPr>
        <w:pStyle w:val="afffffffff2"/>
      </w:pPr>
      <w:r>
        <w:rPr>
          <w:rFonts w:hint="eastAsia"/>
        </w:rPr>
        <w:t>若补播后杂草盖度超过30%，应在杂草种子成熟前进行一次刈割（留茬10 cm），抑制杂草并促进牧草分枝。</w:t>
      </w:r>
    </w:p>
    <w:p>
      <w:pPr>
        <w:pStyle w:val="affb"/>
        <w:spacing w:before="120" w:after="120"/>
      </w:pPr>
      <w:r>
        <w:rPr>
          <w:rFonts w:hint="eastAsia"/>
        </w:rPr>
        <w:t>补播成效评估</w:t>
      </w:r>
    </w:p>
    <w:p>
      <w:pPr>
        <w:pStyle w:val="afffff0"/>
      </w:pPr>
      <w:r>
        <w:rPr>
          <w:rFonts w:hint="eastAsia"/>
        </w:rPr>
        <w:t>补播后6个月～8个月，随机取10个样方（0.5 m × 0.5 m）调查补播牧草密度，若每平方米不足20株应下一年度再次补播。</w:t>
      </w:r>
    </w:p>
    <w:p>
      <w:pPr>
        <w:pStyle w:val="afffffffff2"/>
        <w:sectPr>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r>
        <w:rPr>
          <w:noProof/>
        </w:rPr>
        <w:lastRenderedPageBreak/>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p>
    <w:p>
      <w:pPr>
        <w:pStyle w:val="afff9"/>
      </w:pPr>
      <w:r>
        <w:rPr>
          <w:rFonts w:hint="eastAsia"/>
        </w:rPr>
        <w:t xml:space="preserve">   </w:t>
      </w:r>
    </w:p>
    <w:p>
      <w:pPr>
        <w:pStyle w:val="afff9"/>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pPr>
        <w:pStyle w:val="afff9"/>
        <w:tabs>
          <w:tab w:val="clear" w:pos="4201"/>
        </w:tabs>
        <w:jc w:val="center"/>
      </w:pPr>
      <w:r>
        <w:rPr>
          <w:rFonts w:hint="eastAsia"/>
        </w:rPr>
        <w:t xml:space="preserve">                        </w:t>
      </w:r>
      <w:r>
        <w:t>团</w:t>
      </w:r>
      <w:r>
        <w:t xml:space="preserve"> </w:t>
      </w:r>
      <w:r>
        <w:t>体</w:t>
      </w:r>
      <w:r>
        <w:t xml:space="preserve"> </w:t>
      </w:r>
      <w:r>
        <w:t>标</w:t>
      </w:r>
      <w:r>
        <w:t xml:space="preserve"> </w:t>
      </w:r>
      <w:r>
        <w:t>准</w:t>
      </w:r>
    </w:p>
    <w:p>
      <w:pPr>
        <w:pStyle w:val="afff9"/>
        <w:tabs>
          <w:tab w:val="clear" w:pos="4201"/>
        </w:tabs>
        <w:jc w:val="center"/>
      </w:pPr>
      <w:r>
        <w:rPr>
          <w:rFonts w:hint="eastAsia"/>
        </w:rPr>
        <w:t xml:space="preserve">                          </w:t>
      </w:r>
      <w:r>
        <w:rPr>
          <w:rFonts w:hint="eastAsia"/>
        </w:rPr>
        <w:t>南方丘陵</w:t>
      </w:r>
      <w:proofErr w:type="gramStart"/>
      <w:r>
        <w:rPr>
          <w:rFonts w:hint="eastAsia"/>
        </w:rPr>
        <w:t>刈</w:t>
      </w:r>
      <w:proofErr w:type="gramEnd"/>
      <w:r>
        <w:rPr>
          <w:rFonts w:hint="eastAsia"/>
        </w:rPr>
        <w:t>牧草地补播技术规程</w:t>
      </w:r>
    </w:p>
    <w:p>
      <w:pPr>
        <w:pStyle w:val="afff9"/>
        <w:tabs>
          <w:tab w:val="clear" w:pos="4201"/>
        </w:tabs>
        <w:jc w:val="center"/>
      </w:pPr>
      <w:r>
        <w:rPr>
          <w:rFonts w:hint="eastAsia"/>
        </w:rPr>
        <w:t xml:space="preserve">                          </w:t>
      </w:r>
      <w:r>
        <w:t>T/</w:t>
      </w:r>
      <w:r>
        <w:rPr>
          <w:rFonts w:hint="eastAsia"/>
        </w:rPr>
        <w:t>HXCY XXX</w:t>
      </w:r>
      <w:r>
        <w:t>-</w:t>
      </w:r>
      <w:r>
        <w:rPr>
          <w:rFonts w:hint="eastAsia"/>
        </w:rPr>
        <w:t>2025</w:t>
      </w:r>
    </w:p>
    <w:p>
      <w:pPr>
        <w:pStyle w:val="afff9"/>
        <w:tabs>
          <w:tab w:val="clear" w:pos="4201"/>
        </w:tabs>
        <w:ind w:firstLine="413"/>
        <w:jc w:val="center"/>
      </w:pPr>
      <w:r>
        <w:rPr>
          <w:rFonts w:hint="eastAsia"/>
          <w:w w:val="99"/>
        </w:rPr>
        <w:t xml:space="preserve">                          </w:t>
      </w:r>
      <w:r>
        <w:rPr>
          <w:w w:val="99"/>
        </w:rPr>
        <w:t>*</w:t>
      </w:r>
    </w:p>
    <w:p>
      <w:pPr>
        <w:pStyle w:val="afff9"/>
        <w:tabs>
          <w:tab w:val="clear" w:pos="4201"/>
        </w:tabs>
        <w:jc w:val="center"/>
      </w:pPr>
      <w:r>
        <w:rPr>
          <w:rFonts w:hint="eastAsia"/>
        </w:rPr>
        <w:t xml:space="preserve">                           </w:t>
      </w:r>
      <w:r>
        <w:rPr>
          <w:rFonts w:hint="eastAsia"/>
        </w:rPr>
        <w:t>北京华夏草业产业技术创新战略联盟</w:t>
      </w:r>
    </w:p>
    <w:p>
      <w:pPr>
        <w:pStyle w:val="afff9"/>
        <w:tabs>
          <w:tab w:val="clear" w:pos="4201"/>
        </w:tabs>
        <w:jc w:val="center"/>
      </w:pPr>
      <w:r>
        <w:rPr>
          <w:rFonts w:hint="eastAsia"/>
        </w:rPr>
        <w:t xml:space="preserve">                         </w:t>
      </w:r>
      <w:r>
        <w:rPr>
          <w:rFonts w:hint="eastAsia"/>
        </w:rPr>
        <w:t>北京华夏草业产业技术创新战略联盟标准与认证专业委员会</w:t>
      </w:r>
    </w:p>
    <w:p>
      <w:pPr>
        <w:pStyle w:val="afff9"/>
        <w:tabs>
          <w:tab w:val="clear" w:pos="4201"/>
        </w:tabs>
        <w:ind w:firstLine="413"/>
        <w:jc w:val="center"/>
      </w:pPr>
      <w:r>
        <w:rPr>
          <w:rFonts w:hint="eastAsia"/>
          <w:w w:val="99"/>
        </w:rPr>
        <w:t xml:space="preserve">                           </w:t>
      </w:r>
      <w:r>
        <w:rPr>
          <w:w w:val="99"/>
        </w:rPr>
        <w:t>*</w:t>
      </w:r>
    </w:p>
    <w:p>
      <w:pPr>
        <w:pStyle w:val="afff9"/>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pPr>
        <w:pStyle w:val="afff9"/>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pPr>
        <w:pStyle w:val="afff9"/>
        <w:tabs>
          <w:tab w:val="clear" w:pos="4201"/>
        </w:tabs>
        <w:jc w:val="center"/>
        <w:rPr>
          <w:w w:val="99"/>
        </w:rPr>
      </w:pPr>
      <w:r>
        <w:rPr>
          <w:noProof/>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9"/>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pPr>
        <w:pStyle w:val="afff9"/>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pPr>
        <w:pStyle w:val="afff9"/>
        <w:tabs>
          <w:tab w:val="clear" w:pos="4201"/>
        </w:tabs>
        <w:jc w:val="center"/>
      </w:pPr>
      <w:r>
        <w:rPr>
          <w:rFonts w:hint="eastAsia"/>
        </w:rPr>
        <w:t xml:space="preserve">                            </w:t>
      </w:r>
      <w:r>
        <w:rPr>
          <w:rFonts w:hint="eastAsia"/>
        </w:rPr>
        <w:t>版权专有</w:t>
      </w:r>
      <w:r>
        <w:t xml:space="preserve">  </w:t>
      </w:r>
      <w:r>
        <w:rPr>
          <w:rFonts w:hint="eastAsia"/>
        </w:rPr>
        <w:t>侵权必究</w:t>
      </w:r>
    </w:p>
    <w:p>
      <w:pPr>
        <w:pStyle w:val="afff9"/>
        <w:tabs>
          <w:tab w:val="clear" w:pos="4201"/>
        </w:tabs>
        <w:jc w:val="center"/>
      </w:pPr>
      <w:r>
        <w:rPr>
          <w:noProof/>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A22586"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69EB99D5" w14:textId="77777777" w:rsidR="00B8663A" w:rsidRDefault="00DB26C1">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pPr>
        <w:tabs>
          <w:tab w:val="clear" w:pos="4201"/>
          <w:tab w:val="center" w:pos="5245"/>
        </w:tabs>
        <w:jc w:val="center"/>
      </w:pPr>
    </w:p>
    <w:sectPr>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EEA995" w15:done="0"/>
  <w15:commentEx w15:paraId="50233754" w15:done="0"/>
  <w15:commentEx w15:paraId="35AAD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E03BB3" w16cex:dateUtc="2026-05-13T12:06:00Z"/>
  <w16cex:commentExtensible w16cex:durableId="5E75AD63" w16cex:dateUtc="2026-05-13T12:07:00Z"/>
  <w16cex:commentExtensible w16cex:durableId="5765ABDB" w16cex:dateUtc="2026-05-13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EEA995" w16cid:durableId="30E03BB3"/>
  <w16cid:commentId w16cid:paraId="50233754" w16cid:durableId="5E75AD63"/>
  <w16cid:commentId w16cid:paraId="35AADA79" w16cid:durableId="5765AB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r>
      <w:rPr>
        <w:noProof/>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F3DD2B"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571AB116" w14:textId="77777777" w:rsidR="00B8663A" w:rsidRDefault="00DB26C1">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d"/>
      <w:ind w:right="407"/>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E39681"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7E2CDB68" w14:textId="77777777" w:rsidR="00B8663A" w:rsidRDefault="00B8663A">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570B323"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65BB3D2" w14:textId="77777777" w:rsidR="00B8663A" w:rsidRDefault="00DB26C1">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pPr>
                      <w:pStyle w:val="afffb"/>
                      <w:ind w:firstLine="360"/>
                    </w:pPr>
                    <w:r>
                      <w:fldChar w:fldCharType="begin"/>
                    </w:r>
                    <w:r>
                      <w:instrText xml:space="preserve"> PAGE  \* MERGEFORMAT </w:instrText>
                    </w:r>
                    <w:r>
                      <w:fldChar w:fldCharType="separate"/>
                    </w:r>
                    <w:r>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pPr>
                      <w:pStyle w:val="afffb"/>
                      <w:ind w:firstLine="360"/>
                    </w:pPr>
                    <w:r>
                      <w:fldChar w:fldCharType="begin"/>
                    </w:r>
                    <w:r>
                      <w:instrText xml:space="preserve"> PAGE  \* MERGEFORMAT </w:instrText>
                    </w:r>
                    <w:r>
                      <w:fldChar w:fldCharType="separate"/>
                    </w:r>
                    <w:r>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d"/>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B184B0"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117F278" w14:textId="77777777" w:rsidR="00B8663A" w:rsidRDefault="00DB26C1">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b"/>
      <w:ind w:firstLine="360"/>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pPr>
                      <w:pStyle w:val="afffb"/>
                      <w:ind w:firstLine="360"/>
                    </w:pPr>
                    <w:r>
                      <w:fldChar w:fldCharType="begin"/>
                    </w:r>
                    <w:r>
                      <w:instrText xml:space="preserve"> PAGE  \* MERGEFORMAT </w:instrText>
                    </w:r>
                    <w:r>
                      <w:fldChar w:fldCharType="separate"/>
                    </w:r>
                    <w:r>
                      <w:rPr>
                        <w:noProof/>
                      </w:rPr>
                      <w:t>2</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d"/>
      <w:ind w:right="407"/>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afffb"/>
                            <w:ind w:firstLine="360"/>
                          </w:pPr>
                          <w:r>
                            <w:fldChar w:fldCharType="begin"/>
                          </w:r>
                          <w:r>
                            <w:instrText xml:space="preserve"> PAGE  \* MERGEFORMAT </w:instrText>
                          </w:r>
                          <w:r>
                            <w:fldChar w:fldCharType="separate"/>
                          </w:r>
                          <w:r>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pPr>
                      <w:pStyle w:val="afffb"/>
                      <w:ind w:firstLine="360"/>
                    </w:pPr>
                    <w:r>
                      <w:fldChar w:fldCharType="begin"/>
                    </w:r>
                    <w:r>
                      <w:instrText xml:space="preserve"> PAGE  \* MERGEFORMAT </w:instrText>
                    </w:r>
                    <w:r>
                      <w:fldChar w:fldCharType="separate"/>
                    </w:r>
                    <w:r>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c"/>
      <w:framePr w:wrap="aroun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c"/>
      <w:framePr w:wrap="around"/>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c"/>
      <w:framePr w:wrap="arou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r>
      <w:fldChar w:fldCharType="begin"/>
    </w:r>
    <w:r>
      <w:instrText xml:space="preserve"> STYLEREF  标准文件_文件编号  \* MERGEFORMAT </w:instrText>
    </w:r>
    <w:r>
      <w:fldChar w:fldCharType="separate"/>
    </w:r>
    <w:r>
      <w:rPr>
        <w:noProof/>
      </w:rPr>
      <w:t>T/HXCY XXX</w:t>
    </w:r>
    <w:r>
      <w:rPr>
        <w:noProof/>
      </w:rPr>
      <w:t>—</w:t>
    </w:r>
    <w:r>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r>
      <w:fldChar w:fldCharType="begin"/>
    </w:r>
    <w:r>
      <w:instrText xml:space="preserve"> STYLEREF  标准文件_文件编号  \* MERGEFORMAT </w:instrText>
    </w:r>
    <w:r>
      <w:fldChar w:fldCharType="separate"/>
    </w:r>
    <w:r>
      <w:rPr>
        <w:noProof/>
      </w:rPr>
      <w:t>T/HXCY 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Pr>
        <w:noProof/>
      </w:rPr>
      <w:t>T/HXCY XXX</w:t>
    </w:r>
    <w:r>
      <w:rPr>
        <w:noProof/>
      </w:rPr>
      <w:t>—</w:t>
    </w:r>
    <w:r>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ffff5"/>
    </w:pPr>
    <w:r>
      <w:fldChar w:fldCharType="begin"/>
    </w:r>
    <w:r>
      <w:instrText xml:space="preserve"> STYLEREF  标准文件_文件编号  \* MERGEFORMAT </w:instrText>
    </w:r>
    <w:r>
      <w:fldChar w:fldCharType="separate"/>
    </w:r>
    <w:r>
      <w:rPr>
        <w:noProof/>
      </w:rPr>
      <w:t>T/HXCY XXX</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 Jing">
    <w15:presenceInfo w15:providerId="Windows Live" w15:userId="15670efc99c0cd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0OTI5NWViZDM0MTZiMWY5NzY4NjU1ZTI4MmEwMDkifQ=="/>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0E9DFA-988B-4647-98C5-C4E53C37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55</TotalTime>
  <Pages>9</Pages>
  <Words>524</Words>
  <Characters>2991</Characters>
  <Application>Microsoft Office Word</Application>
  <DocSecurity>0</DocSecurity>
  <Lines>24</Lines>
  <Paragraphs>7</Paragraphs>
  <ScaleCrop>false</ScaleCrop>
  <Company>PCMI</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2024</cp:lastModifiedBy>
  <cp:revision>20</cp:revision>
  <cp:lastPrinted>2025-07-15T07:59:00Z</cp:lastPrinted>
  <dcterms:created xsi:type="dcterms:W3CDTF">2026-05-05T06:24:00Z</dcterms:created>
  <dcterms:modified xsi:type="dcterms:W3CDTF">2026-05-13T12:56:00Z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6b6e59c4-3e6e-4815-8210-827bff88c749</vt:lpwstr>
  </property>
</Properties>
</file>