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A0131">
      <w:pPr>
        <w:jc w:val="center"/>
        <w:rPr>
          <w:rFonts w:hint="default" w:ascii="Times New Roman" w:hAnsi="Times New Roman" w:cs="Times New Roman"/>
          <w:sz w:val="52"/>
          <w:szCs w:val="52"/>
        </w:rPr>
      </w:pPr>
      <w:bookmarkStart w:id="0" w:name="_Hlk528261495"/>
      <w:bookmarkStart w:id="1" w:name="OLE_LINK3"/>
    </w:p>
    <w:p w14:paraId="3C2BCF01">
      <w:pPr>
        <w:jc w:val="center"/>
        <w:rPr>
          <w:rFonts w:hint="default" w:ascii="Times New Roman" w:hAnsi="Times New Roman" w:cs="Times New Roman"/>
          <w:sz w:val="52"/>
          <w:szCs w:val="52"/>
        </w:rPr>
      </w:pPr>
      <w:r>
        <w:rPr>
          <w:rFonts w:hint="default" w:ascii="Times New Roman" w:hAnsi="Times New Roman" w:cs="Times New Roman"/>
          <w:sz w:val="52"/>
          <w:szCs w:val="52"/>
        </w:rPr>
        <w:t>团 体 标 准</w:t>
      </w:r>
    </w:p>
    <w:p w14:paraId="77B13FDD">
      <w:pPr>
        <w:jc w:val="center"/>
        <w:rPr>
          <w:rFonts w:hint="default" w:ascii="Times New Roman" w:hAnsi="Times New Roman" w:eastAsia="黑体" w:cs="Times New Roman"/>
          <w:sz w:val="48"/>
          <w:szCs w:val="48"/>
        </w:rPr>
      </w:pPr>
    </w:p>
    <w:p w14:paraId="65EBEDB4">
      <w:pPr>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《农牧交错带刈牧草地地力提升和高效利用技术评价指标体系》</w:t>
      </w:r>
    </w:p>
    <w:p w14:paraId="270B0C4D">
      <w:pPr>
        <w:spacing w:before="312" w:beforeLines="100" w:after="312" w:afterLines="100" w:line="480" w:lineRule="auto"/>
        <w:ind w:left="-67"/>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编制说明</w:t>
      </w:r>
    </w:p>
    <w:p w14:paraId="6DE3ADC0">
      <w:pPr>
        <w:spacing w:line="360" w:lineRule="auto"/>
        <w:rPr>
          <w:rFonts w:hint="default" w:ascii="Times New Roman" w:hAnsi="Times New Roman" w:cs="Times New Roman"/>
          <w:bCs/>
          <w:sz w:val="36"/>
          <w:szCs w:val="36"/>
        </w:rPr>
      </w:pPr>
    </w:p>
    <w:p w14:paraId="528D9F67">
      <w:pPr>
        <w:spacing w:line="360" w:lineRule="auto"/>
        <w:rPr>
          <w:rFonts w:hint="default" w:ascii="Times New Roman" w:hAnsi="Times New Roman" w:cs="Times New Roman"/>
          <w:bCs/>
          <w:sz w:val="36"/>
          <w:szCs w:val="36"/>
        </w:rPr>
      </w:pPr>
    </w:p>
    <w:p w14:paraId="1E29079D">
      <w:pPr>
        <w:spacing w:line="360" w:lineRule="auto"/>
        <w:rPr>
          <w:rFonts w:hint="default" w:ascii="Times New Roman" w:hAnsi="Times New Roman" w:cs="Times New Roman"/>
          <w:bCs/>
          <w:sz w:val="36"/>
          <w:szCs w:val="36"/>
        </w:rPr>
      </w:pPr>
    </w:p>
    <w:p w14:paraId="2715D9AB">
      <w:pPr>
        <w:spacing w:line="360" w:lineRule="auto"/>
        <w:rPr>
          <w:rFonts w:hint="default" w:ascii="Times New Roman" w:hAnsi="Times New Roman" w:cs="Times New Roman"/>
          <w:bCs/>
          <w:sz w:val="36"/>
          <w:szCs w:val="36"/>
        </w:rPr>
      </w:pPr>
    </w:p>
    <w:p w14:paraId="0C4C417A">
      <w:pPr>
        <w:spacing w:line="360" w:lineRule="auto"/>
        <w:rPr>
          <w:rFonts w:hint="default" w:ascii="Times New Roman" w:hAnsi="Times New Roman" w:cs="Times New Roman"/>
          <w:bCs/>
          <w:sz w:val="36"/>
          <w:szCs w:val="36"/>
        </w:rPr>
      </w:pPr>
    </w:p>
    <w:p w14:paraId="64789C51">
      <w:pPr>
        <w:spacing w:line="360" w:lineRule="auto"/>
        <w:rPr>
          <w:rFonts w:hint="default" w:ascii="Times New Roman" w:hAnsi="Times New Roman" w:cs="Times New Roman"/>
          <w:bCs/>
          <w:sz w:val="36"/>
          <w:szCs w:val="36"/>
        </w:rPr>
      </w:pPr>
    </w:p>
    <w:p w14:paraId="0211B5B5">
      <w:pPr>
        <w:spacing w:line="360" w:lineRule="auto"/>
        <w:rPr>
          <w:rFonts w:hint="default" w:ascii="Times New Roman" w:hAnsi="Times New Roman" w:cs="Times New Roman"/>
          <w:bCs/>
          <w:sz w:val="36"/>
          <w:szCs w:val="36"/>
        </w:rPr>
      </w:pPr>
    </w:p>
    <w:p w14:paraId="1F0E511F">
      <w:pPr>
        <w:widowControl/>
        <w:rPr>
          <w:rFonts w:hint="default" w:ascii="Times New Roman" w:hAnsi="Times New Roman" w:cs="Times New Roman"/>
          <w:bCs/>
          <w:sz w:val="44"/>
          <w:szCs w:val="44"/>
        </w:rPr>
      </w:pPr>
    </w:p>
    <w:p w14:paraId="034AC298">
      <w:pPr>
        <w:ind w:left="-52" w:leftChars="-67" w:right="-382" w:rightChars="-182" w:hanging="89" w:hangingChars="32"/>
        <w:jc w:val="center"/>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《农牧交错带刈牧草地地力提升和高效利用技术评价指标体系》团标制定组</w:t>
      </w:r>
    </w:p>
    <w:p w14:paraId="6617FAC3">
      <w:pPr>
        <w:widowControl/>
        <w:jc w:val="center"/>
        <w:rPr>
          <w:rFonts w:hint="default" w:ascii="Times New Roman" w:hAnsi="Times New Roman" w:eastAsia="黑体" w:cs="Times New Roman"/>
          <w:bCs/>
          <w:sz w:val="28"/>
          <w:szCs w:val="28"/>
        </w:rPr>
      </w:pPr>
      <w:r>
        <w:rPr>
          <w:rFonts w:hint="eastAsia" w:eastAsia="黑体" w:cs="Times New Roman"/>
          <w:bCs/>
          <w:sz w:val="28"/>
          <w:szCs w:val="28"/>
          <w:lang w:val="en-US" w:eastAsia="zh-CN"/>
        </w:rPr>
        <w:t>2026</w:t>
      </w:r>
      <w:r>
        <w:rPr>
          <w:rFonts w:hint="default" w:ascii="Times New Roman" w:hAnsi="Times New Roman" w:eastAsia="黑体" w:cs="Times New Roman"/>
          <w:bCs/>
          <w:sz w:val="28"/>
          <w:szCs w:val="28"/>
        </w:rPr>
        <w:t>年</w:t>
      </w:r>
      <w:r>
        <w:rPr>
          <w:rFonts w:hint="eastAsia" w:eastAsia="黑体" w:cs="Times New Roman"/>
          <w:bCs/>
          <w:sz w:val="28"/>
          <w:szCs w:val="28"/>
          <w:lang w:val="en-US" w:eastAsia="zh-CN"/>
        </w:rPr>
        <w:t>5</w:t>
      </w:r>
      <w:r>
        <w:rPr>
          <w:rFonts w:hint="default" w:ascii="Times New Roman" w:hAnsi="Times New Roman" w:eastAsia="黑体" w:cs="Times New Roman"/>
          <w:bCs/>
          <w:sz w:val="28"/>
          <w:szCs w:val="28"/>
        </w:rPr>
        <w:t>月</w:t>
      </w:r>
    </w:p>
    <w:bookmarkEnd w:id="0"/>
    <w:p w14:paraId="40FBF7DD">
      <w:pPr>
        <w:pStyle w:val="32"/>
        <w:spacing w:before="312" w:beforeLines="100" w:after="312" w:afterLines="100" w:line="420" w:lineRule="exact"/>
        <w:ind w:firstLineChars="0"/>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br w:type="page"/>
      </w:r>
      <w:r>
        <w:rPr>
          <w:rFonts w:hint="default" w:ascii="Times New Roman" w:hAnsi="Times New Roman" w:cs="Times New Roman"/>
          <w:b/>
          <w:color w:val="000000"/>
          <w:sz w:val="28"/>
          <w:szCs w:val="28"/>
        </w:rPr>
        <w:t>目  次</w:t>
      </w:r>
    </w:p>
    <w:p w14:paraId="1D60AEC8">
      <w:pPr>
        <w:pStyle w:val="32"/>
        <w:spacing w:line="360" w:lineRule="auto"/>
        <w:ind w:firstLineChars="0"/>
        <w:rPr>
          <w:rFonts w:hint="default" w:ascii="Times New Roman" w:hAnsi="Times New Roman" w:cs="Times New Roman"/>
          <w:b/>
          <w:color w:val="000000"/>
          <w:sz w:val="22"/>
          <w:szCs w:val="22"/>
        </w:rPr>
      </w:pPr>
    </w:p>
    <w:p w14:paraId="15A7EF7D">
      <w:pPr>
        <w:pStyle w:val="12"/>
        <w:tabs>
          <w:tab w:val="right" w:leader="dot" w:pos="8548"/>
          <w:tab w:val="clear" w:pos="8538"/>
        </w:tabs>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TOC \o "1-3" \h \z \u </w:instrText>
      </w:r>
      <w:r>
        <w:rPr>
          <w:rFonts w:hint="default" w:ascii="Times New Roman" w:hAnsi="Times New Roman" w:cs="Times New Roman"/>
          <w:sz w:val="24"/>
          <w:szCs w:val="24"/>
        </w:rPr>
        <w:fldChar w:fldCharType="separate"/>
      </w: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_Toc10530 </w:instrText>
      </w:r>
      <w:r>
        <w:rPr>
          <w:rFonts w:hint="default" w:ascii="Times New Roman" w:hAnsi="Times New Roman" w:cs="Times New Roman"/>
          <w:szCs w:val="24"/>
        </w:rPr>
        <w:fldChar w:fldCharType="separate"/>
      </w:r>
      <w:r>
        <w:rPr>
          <w:rFonts w:hint="default" w:ascii="Times New Roman" w:hAnsi="Times New Roman" w:cs="Times New Roman"/>
          <w:szCs w:val="40"/>
        </w:rPr>
        <w:t>一、任务来源及标准制定背景</w:t>
      </w:r>
      <w:r>
        <w:tab/>
      </w:r>
      <w:r>
        <w:fldChar w:fldCharType="begin"/>
      </w:r>
      <w:r>
        <w:instrText xml:space="preserve"> PAGEREF _Toc10530 \h </w:instrText>
      </w:r>
      <w:r>
        <w:fldChar w:fldCharType="separate"/>
      </w:r>
      <w:r>
        <w:t>4</w:t>
      </w:r>
      <w:r>
        <w:fldChar w:fldCharType="end"/>
      </w:r>
      <w:r>
        <w:rPr>
          <w:rFonts w:hint="default" w:ascii="Times New Roman" w:hAnsi="Times New Roman" w:cs="Times New Roman"/>
          <w:szCs w:val="24"/>
        </w:rPr>
        <w:fldChar w:fldCharType="end"/>
      </w:r>
    </w:p>
    <w:p w14:paraId="6101DAB0">
      <w:pPr>
        <w:pStyle w:val="13"/>
        <w:tabs>
          <w:tab w:val="right" w:leader="dot" w:pos="854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_Toc31816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28"/>
        </w:rPr>
        <w:t>1、任务来源</w:t>
      </w:r>
      <w:r>
        <w:tab/>
      </w:r>
      <w:r>
        <w:fldChar w:fldCharType="begin"/>
      </w:r>
      <w:r>
        <w:instrText xml:space="preserve"> PAGEREF _Toc31816 \h </w:instrText>
      </w:r>
      <w:r>
        <w:fldChar w:fldCharType="separate"/>
      </w:r>
      <w:r>
        <w:t>4</w:t>
      </w:r>
      <w:r>
        <w:fldChar w:fldCharType="end"/>
      </w:r>
      <w:r>
        <w:rPr>
          <w:rFonts w:hint="default" w:ascii="Times New Roman" w:hAnsi="Times New Roman" w:cs="Times New Roman"/>
          <w:bCs/>
          <w:szCs w:val="24"/>
          <w:lang w:val="zh-CN"/>
        </w:rPr>
        <w:fldChar w:fldCharType="end"/>
      </w:r>
    </w:p>
    <w:p w14:paraId="156722B2">
      <w:pPr>
        <w:pStyle w:val="13"/>
        <w:tabs>
          <w:tab w:val="right" w:leader="dot" w:pos="854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_Toc25427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28"/>
        </w:rPr>
        <w:t>2、标准制定背景</w:t>
      </w:r>
      <w:r>
        <w:tab/>
      </w:r>
      <w:r>
        <w:fldChar w:fldCharType="begin"/>
      </w:r>
      <w:r>
        <w:instrText xml:space="preserve"> PAGEREF _Toc25427 \h </w:instrText>
      </w:r>
      <w:r>
        <w:fldChar w:fldCharType="separate"/>
      </w:r>
      <w:r>
        <w:t>4</w:t>
      </w:r>
      <w:r>
        <w:fldChar w:fldCharType="end"/>
      </w:r>
      <w:r>
        <w:rPr>
          <w:rFonts w:hint="default" w:ascii="Times New Roman" w:hAnsi="Times New Roman" w:cs="Times New Roman"/>
          <w:bCs/>
          <w:szCs w:val="24"/>
          <w:lang w:val="zh-CN"/>
        </w:rPr>
        <w:fldChar w:fldCharType="end"/>
      </w:r>
    </w:p>
    <w:p w14:paraId="6E6ECFDB">
      <w:pPr>
        <w:pStyle w:val="12"/>
        <w:tabs>
          <w:tab w:val="right" w:leader="dot" w:pos="8548"/>
          <w:tab w:val="clear" w:pos="853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_Toc13870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40"/>
        </w:rPr>
        <w:t>二、主要工作过程</w:t>
      </w:r>
      <w:r>
        <w:tab/>
      </w:r>
      <w:r>
        <w:fldChar w:fldCharType="begin"/>
      </w:r>
      <w:r>
        <w:instrText xml:space="preserve"> PAGEREF _Toc13870 \h </w:instrText>
      </w:r>
      <w:r>
        <w:fldChar w:fldCharType="separate"/>
      </w:r>
      <w:r>
        <w:t>4</w:t>
      </w:r>
      <w:r>
        <w:fldChar w:fldCharType="end"/>
      </w:r>
      <w:r>
        <w:rPr>
          <w:rFonts w:hint="default" w:ascii="Times New Roman" w:hAnsi="Times New Roman" w:cs="Times New Roman"/>
          <w:bCs/>
          <w:szCs w:val="24"/>
          <w:lang w:val="zh-CN"/>
        </w:rPr>
        <w:fldChar w:fldCharType="end"/>
      </w:r>
    </w:p>
    <w:p w14:paraId="1A665472">
      <w:pPr>
        <w:pStyle w:val="12"/>
        <w:tabs>
          <w:tab w:val="right" w:leader="dot" w:pos="8548"/>
          <w:tab w:val="clear" w:pos="853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_Toc26967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40"/>
        </w:rPr>
        <w:t>三、标准编制原则和主要技术内容确定的依据</w:t>
      </w:r>
      <w:r>
        <w:tab/>
      </w:r>
      <w:r>
        <w:fldChar w:fldCharType="begin"/>
      </w:r>
      <w:r>
        <w:instrText xml:space="preserve"> PAGEREF _Toc26967 \h </w:instrText>
      </w:r>
      <w:r>
        <w:fldChar w:fldCharType="separate"/>
      </w:r>
      <w:r>
        <w:t>5</w:t>
      </w:r>
      <w:r>
        <w:fldChar w:fldCharType="end"/>
      </w:r>
      <w:r>
        <w:rPr>
          <w:rFonts w:hint="default" w:ascii="Times New Roman" w:hAnsi="Times New Roman" w:cs="Times New Roman"/>
          <w:bCs/>
          <w:szCs w:val="24"/>
          <w:lang w:val="zh-CN"/>
        </w:rPr>
        <w:fldChar w:fldCharType="end"/>
      </w:r>
    </w:p>
    <w:p w14:paraId="7C58C9C6">
      <w:pPr>
        <w:pStyle w:val="13"/>
        <w:tabs>
          <w:tab w:val="right" w:leader="dot" w:pos="854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_Toc16801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28"/>
        </w:rPr>
        <w:t>1、标准编制原则</w:t>
      </w:r>
      <w:r>
        <w:tab/>
      </w:r>
      <w:r>
        <w:fldChar w:fldCharType="begin"/>
      </w:r>
      <w:r>
        <w:instrText xml:space="preserve"> PAGEREF _Toc16801 \h </w:instrText>
      </w:r>
      <w:r>
        <w:fldChar w:fldCharType="separate"/>
      </w:r>
      <w:r>
        <w:t>5</w:t>
      </w:r>
      <w:r>
        <w:fldChar w:fldCharType="end"/>
      </w:r>
      <w:r>
        <w:rPr>
          <w:rFonts w:hint="default" w:ascii="Times New Roman" w:hAnsi="Times New Roman" w:cs="Times New Roman"/>
          <w:bCs/>
          <w:szCs w:val="24"/>
          <w:lang w:val="zh-CN"/>
        </w:rPr>
        <w:fldChar w:fldCharType="end"/>
      </w:r>
    </w:p>
    <w:p w14:paraId="77A02A82">
      <w:pPr>
        <w:pStyle w:val="13"/>
        <w:tabs>
          <w:tab w:val="right" w:leader="dot" w:pos="854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_Toc17569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28"/>
        </w:rPr>
        <w:t>2、主要技术内容确定的论据</w:t>
      </w:r>
      <w:r>
        <w:tab/>
      </w:r>
      <w:r>
        <w:fldChar w:fldCharType="begin"/>
      </w:r>
      <w:r>
        <w:instrText xml:space="preserve"> PAGEREF _Toc17569 \h </w:instrText>
      </w:r>
      <w:r>
        <w:fldChar w:fldCharType="separate"/>
      </w:r>
      <w:r>
        <w:t>5</w:t>
      </w:r>
      <w:r>
        <w:fldChar w:fldCharType="end"/>
      </w:r>
      <w:r>
        <w:rPr>
          <w:rFonts w:hint="default" w:ascii="Times New Roman" w:hAnsi="Times New Roman" w:cs="Times New Roman"/>
          <w:bCs/>
          <w:szCs w:val="24"/>
          <w:lang w:val="zh-CN"/>
        </w:rPr>
        <w:fldChar w:fldCharType="end"/>
      </w:r>
    </w:p>
    <w:p w14:paraId="29569513">
      <w:pPr>
        <w:pStyle w:val="12"/>
        <w:tabs>
          <w:tab w:val="right" w:leader="dot" w:pos="8548"/>
          <w:tab w:val="clear" w:pos="853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_Toc13434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40"/>
        </w:rPr>
        <w:t>四、采用的国际标准</w:t>
      </w:r>
      <w:r>
        <w:tab/>
      </w:r>
      <w:r>
        <w:fldChar w:fldCharType="begin"/>
      </w:r>
      <w:r>
        <w:instrText xml:space="preserve"> PAGEREF _Toc13434 \h </w:instrText>
      </w:r>
      <w:r>
        <w:fldChar w:fldCharType="separate"/>
      </w:r>
      <w:r>
        <w:t>8</w:t>
      </w:r>
      <w:r>
        <w:fldChar w:fldCharType="end"/>
      </w:r>
      <w:r>
        <w:rPr>
          <w:rFonts w:hint="default" w:ascii="Times New Roman" w:hAnsi="Times New Roman" w:cs="Times New Roman"/>
          <w:bCs/>
          <w:szCs w:val="24"/>
          <w:lang w:val="zh-CN"/>
        </w:rPr>
        <w:fldChar w:fldCharType="end"/>
      </w:r>
    </w:p>
    <w:p w14:paraId="3C8094CB">
      <w:pPr>
        <w:pStyle w:val="12"/>
        <w:tabs>
          <w:tab w:val="right" w:leader="dot" w:pos="8548"/>
          <w:tab w:val="clear" w:pos="853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_Toc25871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40"/>
        </w:rPr>
        <w:t>五、与现行法律法规和强制性标准的关系</w:t>
      </w:r>
      <w:r>
        <w:tab/>
      </w:r>
      <w:r>
        <w:fldChar w:fldCharType="begin"/>
      </w:r>
      <w:r>
        <w:instrText xml:space="preserve"> PAGEREF _Toc25871 \h </w:instrText>
      </w:r>
      <w:r>
        <w:fldChar w:fldCharType="separate"/>
      </w:r>
      <w:r>
        <w:t>8</w:t>
      </w:r>
      <w:r>
        <w:fldChar w:fldCharType="end"/>
      </w:r>
      <w:r>
        <w:rPr>
          <w:rFonts w:hint="default" w:ascii="Times New Roman" w:hAnsi="Times New Roman" w:cs="Times New Roman"/>
          <w:bCs/>
          <w:szCs w:val="24"/>
          <w:lang w:val="zh-CN"/>
        </w:rPr>
        <w:fldChar w:fldCharType="end"/>
      </w:r>
    </w:p>
    <w:p w14:paraId="726FB00C">
      <w:pPr>
        <w:pStyle w:val="12"/>
        <w:tabs>
          <w:tab w:val="right" w:leader="dot" w:pos="8548"/>
          <w:tab w:val="clear" w:pos="853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_Toc21218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40"/>
        </w:rPr>
        <w:t>六、重大分歧意见的处理经过和依据</w:t>
      </w:r>
      <w:r>
        <w:tab/>
      </w:r>
      <w:r>
        <w:fldChar w:fldCharType="begin"/>
      </w:r>
      <w:r>
        <w:instrText xml:space="preserve"> PAGEREF _Toc21218 \h </w:instrText>
      </w:r>
      <w:r>
        <w:fldChar w:fldCharType="separate"/>
      </w:r>
      <w:r>
        <w:t>8</w:t>
      </w:r>
      <w:r>
        <w:fldChar w:fldCharType="end"/>
      </w:r>
      <w:r>
        <w:rPr>
          <w:rFonts w:hint="default" w:ascii="Times New Roman" w:hAnsi="Times New Roman" w:cs="Times New Roman"/>
          <w:bCs/>
          <w:szCs w:val="24"/>
          <w:lang w:val="zh-CN"/>
        </w:rPr>
        <w:fldChar w:fldCharType="end"/>
      </w:r>
    </w:p>
    <w:p w14:paraId="7ADC1167">
      <w:pPr>
        <w:pStyle w:val="12"/>
        <w:tabs>
          <w:tab w:val="right" w:leader="dot" w:pos="8548"/>
          <w:tab w:val="clear" w:pos="853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_Toc19171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40"/>
        </w:rPr>
        <w:t>七、标准作为强制性或推荐性标准的意见</w:t>
      </w:r>
      <w:r>
        <w:tab/>
      </w:r>
      <w:r>
        <w:fldChar w:fldCharType="begin"/>
      </w:r>
      <w:r>
        <w:instrText xml:space="preserve"> PAGEREF _Toc19171 \h </w:instrText>
      </w:r>
      <w:r>
        <w:fldChar w:fldCharType="separate"/>
      </w:r>
      <w:r>
        <w:t>8</w:t>
      </w:r>
      <w:r>
        <w:fldChar w:fldCharType="end"/>
      </w:r>
      <w:r>
        <w:rPr>
          <w:rFonts w:hint="default" w:ascii="Times New Roman" w:hAnsi="Times New Roman" w:cs="Times New Roman"/>
          <w:bCs/>
          <w:szCs w:val="24"/>
          <w:lang w:val="zh-CN"/>
        </w:rPr>
        <w:fldChar w:fldCharType="end"/>
      </w:r>
    </w:p>
    <w:p w14:paraId="55E354B5">
      <w:pPr>
        <w:pStyle w:val="12"/>
        <w:tabs>
          <w:tab w:val="right" w:leader="dot" w:pos="8548"/>
          <w:tab w:val="clear" w:pos="853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_Toc7651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40"/>
        </w:rPr>
        <w:t>八、贯彻标准的要求和措施建议</w:t>
      </w:r>
      <w:r>
        <w:tab/>
      </w:r>
      <w:r>
        <w:fldChar w:fldCharType="begin"/>
      </w:r>
      <w:r>
        <w:instrText xml:space="preserve"> PAGEREF _Toc7651 \h </w:instrText>
      </w:r>
      <w:r>
        <w:fldChar w:fldCharType="separate"/>
      </w:r>
      <w:r>
        <w:t>8</w:t>
      </w:r>
      <w:r>
        <w:fldChar w:fldCharType="end"/>
      </w:r>
      <w:r>
        <w:rPr>
          <w:rFonts w:hint="default" w:ascii="Times New Roman" w:hAnsi="Times New Roman" w:cs="Times New Roman"/>
          <w:bCs/>
          <w:szCs w:val="24"/>
          <w:lang w:val="zh-CN"/>
        </w:rPr>
        <w:fldChar w:fldCharType="end"/>
      </w:r>
    </w:p>
    <w:p w14:paraId="6B44E420">
      <w:pPr>
        <w:pStyle w:val="12"/>
        <w:tabs>
          <w:tab w:val="right" w:leader="dot" w:pos="8548"/>
          <w:tab w:val="clear" w:pos="853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_Toc13703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40"/>
        </w:rPr>
        <w:t>九、废止现行有关标准的建议</w:t>
      </w:r>
      <w:r>
        <w:tab/>
      </w:r>
      <w:r>
        <w:fldChar w:fldCharType="begin"/>
      </w:r>
      <w:r>
        <w:instrText xml:space="preserve"> PAGEREF _Toc13703 \h </w:instrText>
      </w:r>
      <w:r>
        <w:fldChar w:fldCharType="separate"/>
      </w:r>
      <w:r>
        <w:t>9</w:t>
      </w:r>
      <w:r>
        <w:fldChar w:fldCharType="end"/>
      </w:r>
      <w:r>
        <w:rPr>
          <w:rFonts w:hint="default" w:ascii="Times New Roman" w:hAnsi="Times New Roman" w:cs="Times New Roman"/>
          <w:bCs/>
          <w:szCs w:val="24"/>
          <w:lang w:val="zh-CN"/>
        </w:rPr>
        <w:fldChar w:fldCharType="end"/>
      </w:r>
    </w:p>
    <w:p w14:paraId="135BB2BE">
      <w:pPr>
        <w:pStyle w:val="12"/>
        <w:tabs>
          <w:tab w:val="right" w:leader="dot" w:pos="8548"/>
          <w:tab w:val="clear" w:pos="8538"/>
        </w:tabs>
      </w:pPr>
      <w:r>
        <w:rPr>
          <w:rFonts w:hint="default" w:ascii="Times New Roman" w:hAnsi="Times New Roman" w:cs="Times New Roman"/>
          <w:bCs/>
          <w:szCs w:val="24"/>
          <w:lang w:val="zh-CN"/>
        </w:rPr>
        <w:fldChar w:fldCharType="begin"/>
      </w:r>
      <w:r>
        <w:rPr>
          <w:rFonts w:hint="default" w:ascii="Times New Roman" w:hAnsi="Times New Roman" w:cs="Times New Roman"/>
          <w:bCs/>
          <w:szCs w:val="24"/>
          <w:lang w:val="zh-CN"/>
        </w:rPr>
        <w:instrText xml:space="preserve"> HYPERLINK \l _Toc14245 </w:instrText>
      </w:r>
      <w:r>
        <w:rPr>
          <w:rFonts w:hint="default" w:ascii="Times New Roman" w:hAnsi="Times New Roman" w:cs="Times New Roman"/>
          <w:bCs/>
          <w:szCs w:val="24"/>
          <w:lang w:val="zh-CN"/>
        </w:rPr>
        <w:fldChar w:fldCharType="separate"/>
      </w:r>
      <w:r>
        <w:rPr>
          <w:rFonts w:hint="default" w:ascii="Times New Roman" w:hAnsi="Times New Roman" w:cs="Times New Roman"/>
          <w:szCs w:val="40"/>
        </w:rPr>
        <w:t>十、其他应予说明的事项</w:t>
      </w:r>
      <w:r>
        <w:tab/>
      </w:r>
      <w:r>
        <w:fldChar w:fldCharType="begin"/>
      </w:r>
      <w:r>
        <w:instrText xml:space="preserve"> PAGEREF _Toc14245 \h </w:instrText>
      </w:r>
      <w:r>
        <w:fldChar w:fldCharType="separate"/>
      </w:r>
      <w:r>
        <w:t>9</w:t>
      </w:r>
      <w:r>
        <w:fldChar w:fldCharType="end"/>
      </w:r>
      <w:r>
        <w:rPr>
          <w:rFonts w:hint="default" w:ascii="Times New Roman" w:hAnsi="Times New Roman" w:cs="Times New Roman"/>
          <w:bCs/>
          <w:szCs w:val="24"/>
          <w:lang w:val="zh-CN"/>
        </w:rPr>
        <w:fldChar w:fldCharType="end"/>
      </w:r>
    </w:p>
    <w:p w14:paraId="7755D24F">
      <w:pPr>
        <w:spacing w:line="360" w:lineRule="auto"/>
        <w:rPr>
          <w:rFonts w:hint="default" w:ascii="Times New Roman" w:hAnsi="Times New Roman" w:cs="Times New Roman"/>
          <w:sz w:val="24"/>
          <w:szCs w:val="24"/>
        </w:rPr>
      </w:pPr>
      <w:r>
        <w:rPr>
          <w:rFonts w:hint="default" w:ascii="Times New Roman" w:hAnsi="Times New Roman" w:cs="Times New Roman"/>
          <w:bCs/>
          <w:szCs w:val="24"/>
          <w:lang w:val="zh-CN"/>
        </w:rPr>
        <w:fldChar w:fldCharType="end"/>
      </w:r>
    </w:p>
    <w:p w14:paraId="32720C13">
      <w:pPr>
        <w:pStyle w:val="32"/>
        <w:spacing w:before="312" w:beforeLines="100" w:after="312" w:afterLines="100" w:line="420" w:lineRule="exact"/>
        <w:ind w:firstLineChars="0"/>
        <w:rPr>
          <w:rFonts w:hint="default" w:ascii="Times New Roman" w:hAnsi="Times New Roman" w:cs="Times New Roman"/>
          <w:b/>
          <w:color w:val="000000"/>
          <w:sz w:val="28"/>
          <w:szCs w:val="28"/>
        </w:rPr>
      </w:pPr>
    </w:p>
    <w:p w14:paraId="3EB17BB0">
      <w:pPr>
        <w:pStyle w:val="2"/>
        <w:spacing w:before="0" w:after="0"/>
        <w:rPr>
          <w:rFonts w:hint="default" w:ascii="Times New Roman" w:hAnsi="Times New Roman" w:cs="Times New Roman"/>
          <w:sz w:val="24"/>
          <w:szCs w:val="40"/>
        </w:rPr>
      </w:pPr>
      <w:r>
        <w:rPr>
          <w:rFonts w:hint="default" w:ascii="Times New Roman" w:hAnsi="Times New Roman" w:cs="Times New Roman"/>
        </w:rPr>
        <w:br w:type="page"/>
      </w:r>
      <w:r>
        <w:rPr>
          <w:rFonts w:hint="default" w:ascii="Times New Roman" w:hAnsi="Times New Roman" w:cs="Times New Roman"/>
        </w:rPr>
        <w:t xml:space="preserve"> </w:t>
      </w:r>
      <w:bookmarkStart w:id="2" w:name="_Toc10530"/>
      <w:r>
        <w:rPr>
          <w:rFonts w:hint="default" w:ascii="Times New Roman" w:hAnsi="Times New Roman" w:cs="Times New Roman"/>
          <w:sz w:val="24"/>
          <w:szCs w:val="40"/>
        </w:rPr>
        <w:t>一、任务来源及标准制定背景</w:t>
      </w:r>
      <w:bookmarkEnd w:id="2"/>
    </w:p>
    <w:p w14:paraId="39E2EE66">
      <w:pPr>
        <w:pStyle w:val="3"/>
        <w:spacing w:before="0" w:after="0"/>
        <w:rPr>
          <w:rFonts w:hint="default" w:ascii="Times New Roman" w:hAnsi="Times New Roman" w:cs="Times New Roman"/>
          <w:sz w:val="22"/>
          <w:szCs w:val="28"/>
        </w:rPr>
      </w:pPr>
      <w:bookmarkStart w:id="3" w:name="_Toc31816"/>
      <w:r>
        <w:rPr>
          <w:rFonts w:hint="default" w:ascii="Times New Roman" w:hAnsi="Times New Roman" w:cs="Times New Roman"/>
          <w:sz w:val="22"/>
          <w:szCs w:val="28"/>
        </w:rPr>
        <w:t>1、任务来源</w:t>
      </w:r>
      <w:bookmarkEnd w:id="3"/>
    </w:p>
    <w:p w14:paraId="51E08244">
      <w:pPr>
        <w:widowControl/>
        <w:adjustRightInd w:val="0"/>
        <w:snapToGrid w:val="0"/>
        <w:spacing w:line="360" w:lineRule="auto"/>
        <w:ind w:firstLine="440" w:firstLineChars="200"/>
        <w:rPr>
          <w:rFonts w:hint="default" w:ascii="Times New Roman" w:hAnsi="Times New Roman" w:cs="Times New Roman"/>
          <w:kern w:val="0"/>
          <w:sz w:val="22"/>
          <w:szCs w:val="20"/>
        </w:rPr>
      </w:pPr>
      <w:r>
        <w:rPr>
          <w:rFonts w:hint="default" w:ascii="Times New Roman" w:hAnsi="Times New Roman" w:cs="Times New Roman"/>
          <w:kern w:val="0"/>
          <w:sz w:val="22"/>
          <w:szCs w:val="20"/>
        </w:rPr>
        <w:t>本技术规程由中国农业科学院草原研究所牵头，联合全国畜牧总站、北京市农林科学院、四川省草原科学研究院、西华师范大学、四川省川草生态草业科技开发有限公司以及北京助尔生物科学研究院（有限合伙）共同申报。该标准的研制工作在国家农业农村部重大科技攻关项目子课题“农牧交错带刈牧草地地力提升及高效利用技术评价”（项目编号：NK2022181008）的资助和支持下完成。</w:t>
      </w:r>
    </w:p>
    <w:p w14:paraId="2CF241EC">
      <w:pPr>
        <w:pStyle w:val="3"/>
        <w:spacing w:before="0" w:after="0"/>
        <w:rPr>
          <w:rFonts w:hint="default" w:ascii="Times New Roman" w:hAnsi="Times New Roman" w:cs="Times New Roman"/>
          <w:sz w:val="22"/>
          <w:szCs w:val="28"/>
        </w:rPr>
      </w:pPr>
      <w:bookmarkStart w:id="4" w:name="_Toc25427"/>
      <w:r>
        <w:rPr>
          <w:rFonts w:hint="default" w:ascii="Times New Roman" w:hAnsi="Times New Roman" w:cs="Times New Roman"/>
          <w:sz w:val="22"/>
          <w:szCs w:val="28"/>
        </w:rPr>
        <w:t>2、标准制定背景</w:t>
      </w:r>
      <w:bookmarkEnd w:id="4"/>
    </w:p>
    <w:p w14:paraId="1C386A4D">
      <w:pPr>
        <w:widowControl/>
        <w:adjustRightInd w:val="0"/>
        <w:snapToGrid w:val="0"/>
        <w:spacing w:line="360" w:lineRule="auto"/>
        <w:ind w:firstLine="440" w:firstLineChars="200"/>
        <w:rPr>
          <w:rFonts w:hint="default" w:ascii="Times New Roman" w:hAnsi="Times New Roman" w:cs="Times New Roman"/>
          <w:kern w:val="0"/>
          <w:sz w:val="22"/>
          <w:szCs w:val="20"/>
        </w:rPr>
      </w:pPr>
      <w:r>
        <w:rPr>
          <w:rFonts w:hint="default" w:ascii="Times New Roman" w:hAnsi="Times New Roman" w:cs="Times New Roman"/>
          <w:kern w:val="0"/>
          <w:sz w:val="22"/>
          <w:szCs w:val="20"/>
        </w:rPr>
        <w:t>农牧交错带是我国北方重要生态安全屏障和草食畜牧业核心产区。然而，长期以来受气候波动、土壤贫瘠、不合理刈割与过度放牧等因素影响，该区域80%的草地发生了不同程度的退化，普遍存在地力低下、产草量不稳等问题。 2024年，国家发展和改革委员会联合多部门印发了《关于推动饲草产业高质量发展的意见》（发改农经〔2024〕1579号），明确要求推进草原改良与地力提升，支持在农牧交错带科学有序开展人工草地建植。 为贯彻国家大农业观与大食物观要求，大力发展生态草牧业，必须突破当前技术评价手段单一、推广模式缺乏科学评估的瓶颈。因此，制定一套客观、量化的地力提升和高效利用技术评价指标体系，对于实现草地的精准管理、规范技术成果转化、加快畜牧业转型升级具有重大的现实意义与应用价值。</w:t>
      </w:r>
    </w:p>
    <w:p w14:paraId="64DA9786">
      <w:pPr>
        <w:pStyle w:val="2"/>
        <w:spacing w:before="0" w:after="0"/>
        <w:rPr>
          <w:rFonts w:hint="default" w:ascii="Times New Roman" w:hAnsi="Times New Roman" w:cs="Times New Roman"/>
          <w:sz w:val="24"/>
          <w:szCs w:val="40"/>
        </w:rPr>
      </w:pPr>
      <w:bookmarkStart w:id="5" w:name="_Toc13870"/>
      <w:r>
        <w:rPr>
          <w:rFonts w:hint="default" w:ascii="Times New Roman" w:hAnsi="Times New Roman" w:cs="Times New Roman"/>
          <w:sz w:val="24"/>
          <w:szCs w:val="40"/>
        </w:rPr>
        <w:t>二、主要工作过程</w:t>
      </w:r>
      <w:bookmarkEnd w:id="5"/>
    </w:p>
    <w:p w14:paraId="257C27B4">
      <w:pPr>
        <w:spacing w:line="360" w:lineRule="auto"/>
        <w:ind w:firstLine="440" w:firstLineChars="200"/>
        <w:rPr>
          <w:rFonts w:hint="default" w:ascii="Times New Roman" w:hAnsi="Times New Roman" w:cs="Times New Roman"/>
          <w:bCs/>
          <w:sz w:val="22"/>
          <w:szCs w:val="20"/>
        </w:rPr>
      </w:pPr>
      <w:r>
        <w:rPr>
          <w:rFonts w:hint="default" w:ascii="Times New Roman" w:hAnsi="Times New Roman" w:cs="Times New Roman"/>
          <w:bCs/>
          <w:sz w:val="22"/>
          <w:szCs w:val="20"/>
        </w:rPr>
        <w:t>2026年3月：中国农业科学院草原研究所牵头，组织相关人员总结“农牧交错带刈牧草地地力提升及高效利用技术评价”课题组的已有研究成果，讨论决定并提交了《农牧交错带刈牧草地地力提升和高效利用技术评价指标体系》团体标准的立项申请表至北京华夏草业产业技术创新战略联盟。</w:t>
      </w:r>
    </w:p>
    <w:p w14:paraId="74A467A2">
      <w:pPr>
        <w:spacing w:line="360" w:lineRule="auto"/>
        <w:ind w:firstLine="440" w:firstLineChars="200"/>
        <w:rPr>
          <w:rFonts w:hint="default" w:ascii="Times New Roman" w:hAnsi="Times New Roman" w:cs="Times New Roman"/>
          <w:bCs/>
          <w:sz w:val="22"/>
          <w:szCs w:val="20"/>
        </w:rPr>
      </w:pPr>
      <w:r>
        <w:rPr>
          <w:rFonts w:hint="default" w:ascii="Times New Roman" w:hAnsi="Times New Roman" w:cs="Times New Roman"/>
          <w:bCs/>
          <w:sz w:val="22"/>
          <w:szCs w:val="20"/>
        </w:rPr>
        <w:t>2026年4-6月：标准起草小组在整理多地示范区田间实测数据的基础上，结合收集的国内外关于土壤评价方面的文献资料，完成标准文本草稿及编制说明征求意见稿，并向高等院校、科研机构及企业等利益相关方广泛征求意见。</w:t>
      </w:r>
    </w:p>
    <w:p w14:paraId="22F721A7">
      <w:pPr>
        <w:spacing w:line="360" w:lineRule="auto"/>
        <w:ind w:firstLine="440" w:firstLineChars="200"/>
        <w:rPr>
          <w:rFonts w:hint="default" w:ascii="Times New Roman" w:hAnsi="Times New Roman" w:cs="Times New Roman"/>
          <w:bCs/>
          <w:sz w:val="22"/>
          <w:szCs w:val="20"/>
        </w:rPr>
      </w:pPr>
      <w:r>
        <w:rPr>
          <w:rFonts w:hint="default" w:ascii="Times New Roman" w:hAnsi="Times New Roman" w:cs="Times New Roman"/>
          <w:bCs/>
          <w:sz w:val="22"/>
          <w:szCs w:val="20"/>
        </w:rPr>
        <w:t>2026年7-8月：起草单位研究处理反馈的意见或建议，对各项指标进行再次论证，形成送审稿，报送北京华夏草业产业技术创新战略联盟组织技术审查。</w:t>
      </w:r>
    </w:p>
    <w:p w14:paraId="10ADADFA">
      <w:pPr>
        <w:spacing w:line="360" w:lineRule="auto"/>
        <w:ind w:firstLine="440" w:firstLineChars="200"/>
        <w:rPr>
          <w:rFonts w:hint="default" w:ascii="Times New Roman" w:hAnsi="Times New Roman" w:cs="Times New Roman"/>
          <w:bCs/>
          <w:sz w:val="22"/>
          <w:szCs w:val="20"/>
        </w:rPr>
      </w:pPr>
      <w:r>
        <w:rPr>
          <w:rFonts w:hint="default" w:ascii="Times New Roman" w:hAnsi="Times New Roman" w:cs="Times New Roman"/>
          <w:bCs/>
          <w:sz w:val="22"/>
          <w:szCs w:val="20"/>
        </w:rPr>
        <w:t>2026年9-10月：起草单位根据专家审查意见，进行最终修改，完成标准报批稿及相关资料，正式报批发布。</w:t>
      </w:r>
    </w:p>
    <w:p w14:paraId="71F810C8">
      <w:pPr>
        <w:pStyle w:val="2"/>
        <w:spacing w:before="0" w:after="0"/>
        <w:rPr>
          <w:rFonts w:hint="default" w:ascii="Times New Roman" w:hAnsi="Times New Roman" w:cs="Times New Roman"/>
          <w:sz w:val="24"/>
          <w:szCs w:val="40"/>
        </w:rPr>
      </w:pPr>
      <w:bookmarkStart w:id="6" w:name="_Toc26967"/>
      <w:r>
        <w:rPr>
          <w:rFonts w:hint="default" w:ascii="Times New Roman" w:hAnsi="Times New Roman" w:cs="Times New Roman"/>
          <w:sz w:val="24"/>
          <w:szCs w:val="40"/>
        </w:rPr>
        <w:t>三、标准编制原则和主要技术内容确定的依据</w:t>
      </w:r>
      <w:bookmarkEnd w:id="6"/>
    </w:p>
    <w:p w14:paraId="54A8B500">
      <w:pPr>
        <w:pStyle w:val="3"/>
        <w:spacing w:before="0" w:after="0"/>
        <w:rPr>
          <w:rFonts w:hint="default" w:ascii="Times New Roman" w:hAnsi="Times New Roman" w:cs="Times New Roman"/>
          <w:sz w:val="22"/>
          <w:szCs w:val="28"/>
        </w:rPr>
      </w:pPr>
      <w:bookmarkStart w:id="7" w:name="_Toc16801"/>
      <w:r>
        <w:rPr>
          <w:rFonts w:hint="default" w:ascii="Times New Roman" w:hAnsi="Times New Roman" w:cs="Times New Roman"/>
          <w:sz w:val="22"/>
          <w:szCs w:val="28"/>
        </w:rPr>
        <w:t>1、标准编制原则</w:t>
      </w:r>
      <w:bookmarkEnd w:id="7"/>
    </w:p>
    <w:p w14:paraId="6BEAD052">
      <w:pPr>
        <w:spacing w:line="360" w:lineRule="auto"/>
        <w:ind w:firstLine="440" w:firstLineChars="200"/>
        <w:rPr>
          <w:rFonts w:hint="default" w:ascii="Times New Roman" w:hAnsi="Times New Roman" w:cs="Times New Roman"/>
          <w:bCs/>
          <w:color w:val="000000"/>
          <w:sz w:val="22"/>
          <w:szCs w:val="20"/>
        </w:rPr>
      </w:pPr>
      <w:r>
        <w:rPr>
          <w:rFonts w:hint="default" w:ascii="Times New Roman" w:hAnsi="Times New Roman" w:cs="Times New Roman"/>
          <w:bCs/>
          <w:color w:val="000000"/>
          <w:sz w:val="22"/>
          <w:szCs w:val="20"/>
        </w:rPr>
        <w:t>按照GB/T 1.1-2020《标准化工作导则第1部分：标准化文件的结构和起草规则》的要求和规定编写本标准内容。本标准制定过程中，始终遵循密切联系生产实践的原则，确保标准具有较强的科学性与可操作性。坚持以“实用性、系统性、独立性”为指导思想，在文字结构上力求严谨、简洁；在技术内容上力求涵盖农牧交错带土壤理化指标</w:t>
      </w:r>
      <w:r>
        <w:rPr>
          <w:rFonts w:hint="eastAsia" w:cs="Times New Roman"/>
          <w:bCs/>
          <w:color w:val="000000"/>
          <w:sz w:val="22"/>
          <w:szCs w:val="20"/>
          <w:lang w:val="en-US" w:eastAsia="zh-CN"/>
        </w:rPr>
        <w:t>和</w:t>
      </w:r>
      <w:r>
        <w:rPr>
          <w:rFonts w:hint="default" w:ascii="Times New Roman" w:hAnsi="Times New Roman" w:cs="Times New Roman"/>
          <w:bCs/>
          <w:color w:val="000000"/>
          <w:sz w:val="22"/>
          <w:szCs w:val="20"/>
        </w:rPr>
        <w:t>高产建植等关键环节。</w:t>
      </w:r>
    </w:p>
    <w:p w14:paraId="2A46D5F2">
      <w:pPr>
        <w:pStyle w:val="3"/>
        <w:spacing w:before="0" w:after="0"/>
        <w:rPr>
          <w:rFonts w:hint="default" w:ascii="Times New Roman" w:hAnsi="Times New Roman" w:eastAsia="宋体" w:cs="Times New Roman"/>
          <w:sz w:val="16"/>
          <w:szCs w:val="16"/>
        </w:rPr>
      </w:pPr>
      <w:bookmarkStart w:id="8" w:name="_Toc17569"/>
      <w:r>
        <w:rPr>
          <w:rFonts w:hint="default" w:ascii="Times New Roman" w:hAnsi="Times New Roman" w:cs="Times New Roman"/>
          <w:sz w:val="22"/>
          <w:szCs w:val="28"/>
        </w:rPr>
        <w:t>2、主要技术内容确定的论据</w:t>
      </w:r>
      <w:bookmarkEnd w:id="8"/>
    </w:p>
    <w:p w14:paraId="7A8A7E00">
      <w:pPr>
        <w:numPr>
          <w:ilvl w:val="0"/>
          <w:numId w:val="1"/>
        </w:numPr>
        <w:spacing w:line="360" w:lineRule="auto"/>
        <w:rPr>
          <w:rFonts w:hint="default" w:ascii="Times New Roman" w:hAnsi="Times New Roman" w:cs="Times New Roman"/>
          <w:b/>
          <w:color w:val="000000"/>
          <w:sz w:val="22"/>
          <w:szCs w:val="20"/>
        </w:rPr>
      </w:pPr>
      <w:r>
        <w:rPr>
          <w:rFonts w:hint="default" w:ascii="Times New Roman" w:hAnsi="Times New Roman" w:cs="Times New Roman"/>
          <w:b/>
          <w:color w:val="000000"/>
          <w:sz w:val="22"/>
          <w:szCs w:val="20"/>
        </w:rPr>
        <w:t>适用范围</w:t>
      </w:r>
    </w:p>
    <w:p w14:paraId="12BAE632">
      <w:pPr>
        <w:spacing w:line="360" w:lineRule="auto"/>
        <w:ind w:firstLine="440" w:firstLineChars="200"/>
        <w:rPr>
          <w:rFonts w:hint="default" w:ascii="Times New Roman" w:hAnsi="Times New Roman" w:cs="Times New Roman"/>
          <w:sz w:val="22"/>
          <w:szCs w:val="20"/>
        </w:rPr>
      </w:pPr>
      <w:r>
        <w:rPr>
          <w:rFonts w:hint="default" w:ascii="Times New Roman" w:hAnsi="Times New Roman" w:cs="Times New Roman"/>
          <w:sz w:val="22"/>
          <w:szCs w:val="20"/>
        </w:rPr>
        <w:t>本标准适用于农牧交错带刈牧草地地力提升技术、高产建植技术以及生态效益提升技术的综合评价。标准制定过程中参</w:t>
      </w:r>
      <w:r>
        <w:rPr>
          <w:rFonts w:hint="default" w:ascii="Times New Roman" w:hAnsi="Times New Roman" w:cs="Times New Roman"/>
          <w:sz w:val="22"/>
          <w:szCs w:val="20"/>
          <w:highlight w:val="none"/>
        </w:rPr>
        <w:t>考了 GB/T 33469《耕地质量等级》</w:t>
      </w:r>
      <w:r>
        <w:rPr>
          <w:rFonts w:hint="eastAsia" w:ascii="Times New Roman" w:hAnsi="Times New Roman" w:cs="Times New Roman"/>
          <w:sz w:val="22"/>
          <w:szCs w:val="20"/>
          <w:highlight w:val="none"/>
          <w:lang w:eastAsia="zh-CN"/>
        </w:rPr>
        <w:t>、</w:t>
      </w:r>
      <w:r>
        <w:rPr>
          <w:rFonts w:hint="default" w:ascii="Times New Roman" w:hAnsi="Times New Roman" w:cs="Times New Roman"/>
          <w:sz w:val="22"/>
          <w:szCs w:val="20"/>
          <w:highlight w:val="none"/>
        </w:rPr>
        <w:t>GB/T 6432《饲料</w:t>
      </w:r>
      <w:r>
        <w:rPr>
          <w:rFonts w:hint="default" w:ascii="Times New Roman" w:hAnsi="Times New Roman" w:cs="Times New Roman"/>
          <w:sz w:val="22"/>
          <w:szCs w:val="20"/>
        </w:rPr>
        <w:t>中粗蛋白的测定》、NY/T 1121 系列土壤检测方法、HJ 1173《生态状况调查评估技术规范》等现行国家及行业标准，确保各项指标的测定方法科学、规范、可操作。</w:t>
      </w:r>
    </w:p>
    <w:p w14:paraId="52005B57">
      <w:pPr>
        <w:numPr>
          <w:ilvl w:val="0"/>
          <w:numId w:val="1"/>
        </w:numPr>
        <w:spacing w:line="360" w:lineRule="auto"/>
        <w:rPr>
          <w:rFonts w:hint="default" w:ascii="Times New Roman" w:hAnsi="Times New Roman" w:cs="Times New Roman"/>
          <w:b/>
          <w:color w:val="000000"/>
          <w:sz w:val="22"/>
          <w:szCs w:val="20"/>
        </w:rPr>
      </w:pPr>
      <w:r>
        <w:rPr>
          <w:rFonts w:hint="default" w:ascii="Times New Roman" w:hAnsi="Times New Roman" w:cs="Times New Roman"/>
          <w:b/>
          <w:color w:val="000000"/>
          <w:sz w:val="22"/>
          <w:szCs w:val="20"/>
        </w:rPr>
        <w:t>规范性引用文件</w:t>
      </w:r>
    </w:p>
    <w:p w14:paraId="72BD0792">
      <w:pPr>
        <w:spacing w:line="360" w:lineRule="auto"/>
        <w:ind w:firstLine="440" w:firstLineChars="200"/>
        <w:rPr>
          <w:rFonts w:hint="default" w:ascii="Times New Roman" w:hAnsi="Times New Roman" w:cs="Times New Roman"/>
          <w:sz w:val="22"/>
          <w:szCs w:val="20"/>
        </w:rPr>
      </w:pPr>
      <w:r>
        <w:rPr>
          <w:rFonts w:hint="default" w:ascii="Times New Roman" w:hAnsi="Times New Roman" w:cs="Times New Roman"/>
          <w:sz w:val="22"/>
          <w:szCs w:val="20"/>
        </w:rPr>
        <w:t>本标准制定时，系统查阅并引用了与土壤理化性质测定</w:t>
      </w:r>
      <w:r>
        <w:rPr>
          <w:rFonts w:hint="eastAsia" w:cs="Times New Roman"/>
          <w:sz w:val="22"/>
          <w:szCs w:val="20"/>
          <w:lang w:val="en-US" w:eastAsia="zh-CN"/>
        </w:rPr>
        <w:t>和</w:t>
      </w:r>
      <w:r>
        <w:rPr>
          <w:rFonts w:hint="default" w:ascii="Times New Roman" w:hAnsi="Times New Roman" w:cs="Times New Roman"/>
          <w:sz w:val="22"/>
          <w:szCs w:val="20"/>
        </w:rPr>
        <w:t>牧草产量与品质评价以及生态服务功能评估相关的国家标准、行业标准和地方标准。引用文件包括但不限于 GB/T 6432、GB/T 33469、NY/T 1121 系列、HJ 1173 等，以保证评价体系的科学性和规范性。</w:t>
      </w:r>
    </w:p>
    <w:p w14:paraId="58D86C9D">
      <w:pPr>
        <w:spacing w:line="360" w:lineRule="auto"/>
        <w:ind w:firstLine="442" w:firstLineChars="200"/>
        <w:rPr>
          <w:rFonts w:hint="default" w:ascii="Times New Roman" w:hAnsi="Times New Roman" w:cs="Times New Roman"/>
          <w:b/>
          <w:bCs/>
          <w:sz w:val="22"/>
          <w:szCs w:val="20"/>
        </w:rPr>
      </w:pPr>
      <w:r>
        <w:rPr>
          <w:rFonts w:hint="default" w:ascii="Times New Roman" w:hAnsi="Times New Roman" w:cs="Times New Roman"/>
          <w:b/>
          <w:bCs/>
          <w:sz w:val="22"/>
          <w:szCs w:val="20"/>
        </w:rPr>
        <w:t>（3）术语与定义</w:t>
      </w:r>
    </w:p>
    <w:p w14:paraId="01CBB78E">
      <w:pPr>
        <w:spacing w:line="360" w:lineRule="auto"/>
        <w:ind w:firstLine="440" w:firstLineChars="200"/>
        <w:rPr>
          <w:rFonts w:hint="default" w:ascii="Times New Roman" w:hAnsi="Times New Roman" w:cs="Times New Roman"/>
          <w:sz w:val="22"/>
          <w:szCs w:val="20"/>
        </w:rPr>
      </w:pPr>
      <w:r>
        <w:rPr>
          <w:rFonts w:hint="default" w:ascii="Times New Roman" w:hAnsi="Times New Roman" w:cs="Times New Roman"/>
          <w:sz w:val="22"/>
          <w:szCs w:val="20"/>
        </w:rPr>
        <w:t>本标准所采用的术语与定义是在系统梳理国内外相关研究成果的基础上形成的，参考了专著、学术论文、技术报告及现行标准等多类文献资料，并结合标准起草单位在农牧交错带草地改良、高产建植</w:t>
      </w:r>
      <w:r>
        <w:rPr>
          <w:rFonts w:hint="eastAsia" w:cs="Times New Roman"/>
          <w:sz w:val="22"/>
          <w:szCs w:val="20"/>
          <w:lang w:val="en-US" w:eastAsia="zh-CN"/>
        </w:rPr>
        <w:t>和</w:t>
      </w:r>
      <w:r>
        <w:rPr>
          <w:rFonts w:hint="default" w:ascii="Times New Roman" w:hAnsi="Times New Roman" w:cs="Times New Roman"/>
          <w:sz w:val="22"/>
          <w:szCs w:val="20"/>
        </w:rPr>
        <w:t>生态效益评价等方面的长期研究实践，为确保评价体系的科学性、规范性与可比性，本标准重点对</w:t>
      </w:r>
      <w:r>
        <w:rPr>
          <w:rFonts w:hint="eastAsia" w:cs="Times New Roman"/>
          <w:sz w:val="22"/>
          <w:szCs w:val="20"/>
          <w:lang w:eastAsia="zh-CN"/>
        </w:rPr>
        <w:t>“</w:t>
      </w:r>
      <w:r>
        <w:rPr>
          <w:rFonts w:hint="default" w:ascii="Times New Roman" w:hAnsi="Times New Roman" w:cs="Times New Roman"/>
          <w:sz w:val="22"/>
          <w:szCs w:val="20"/>
        </w:rPr>
        <w:t>地力提升</w:t>
      </w:r>
      <w:r>
        <w:rPr>
          <w:rFonts w:hint="eastAsia" w:cs="Times New Roman"/>
          <w:sz w:val="22"/>
          <w:szCs w:val="20"/>
          <w:lang w:eastAsia="zh-CN"/>
        </w:rPr>
        <w:t>”“</w:t>
      </w:r>
      <w:r>
        <w:rPr>
          <w:rFonts w:hint="default" w:ascii="Times New Roman" w:hAnsi="Times New Roman" w:cs="Times New Roman"/>
          <w:sz w:val="22"/>
          <w:szCs w:val="20"/>
        </w:rPr>
        <w:t>养分转化率</w:t>
      </w:r>
      <w:r>
        <w:rPr>
          <w:rFonts w:hint="eastAsia" w:cs="Times New Roman"/>
          <w:sz w:val="22"/>
          <w:szCs w:val="20"/>
          <w:lang w:eastAsia="zh-CN"/>
        </w:rPr>
        <w:t>”“</w:t>
      </w:r>
      <w:r>
        <w:rPr>
          <w:rFonts w:hint="default" w:ascii="Times New Roman" w:hAnsi="Times New Roman" w:cs="Times New Roman"/>
          <w:sz w:val="22"/>
          <w:szCs w:val="20"/>
        </w:rPr>
        <w:t>牧草收益增幅</w:t>
      </w:r>
      <w:r>
        <w:rPr>
          <w:rFonts w:hint="eastAsia" w:cs="Times New Roman"/>
          <w:sz w:val="22"/>
          <w:szCs w:val="20"/>
          <w:lang w:eastAsia="zh-CN"/>
        </w:rPr>
        <w:t>”“</w:t>
      </w:r>
      <w:r>
        <w:rPr>
          <w:rFonts w:hint="default" w:ascii="Times New Roman" w:hAnsi="Times New Roman" w:cs="Times New Roman"/>
          <w:sz w:val="22"/>
          <w:szCs w:val="20"/>
        </w:rPr>
        <w:t>固碳价值增幅</w:t>
      </w:r>
      <w:r>
        <w:rPr>
          <w:rFonts w:hint="eastAsia" w:cs="Times New Roman"/>
          <w:sz w:val="22"/>
          <w:szCs w:val="20"/>
          <w:lang w:eastAsia="zh-CN"/>
        </w:rPr>
        <w:t>”</w:t>
      </w:r>
      <w:r>
        <w:rPr>
          <w:rFonts w:hint="default" w:ascii="Times New Roman" w:hAnsi="Times New Roman" w:cs="Times New Roman"/>
          <w:sz w:val="22"/>
          <w:szCs w:val="20"/>
        </w:rPr>
        <w:t>等关键术语进行了明确界定，使其内涵、外延及使用范围在技术评价过程中保持一致，为后续指标体系构建、数据采集与评价结果解释提供统一依据。</w:t>
      </w:r>
    </w:p>
    <w:p w14:paraId="7F4D6101">
      <w:pPr>
        <w:pStyle w:val="32"/>
        <w:spacing w:line="360" w:lineRule="auto"/>
        <w:ind w:left="480" w:firstLine="0" w:firstLineChars="0"/>
        <w:rPr>
          <w:rFonts w:hint="default" w:ascii="Times New Roman" w:hAnsi="Times New Roman" w:cs="Times New Roman"/>
          <w:b/>
          <w:bCs/>
          <w:sz w:val="22"/>
          <w:szCs w:val="20"/>
        </w:rPr>
      </w:pPr>
      <w:r>
        <w:rPr>
          <w:rFonts w:hint="default" w:ascii="Times New Roman" w:hAnsi="Times New Roman" w:cs="Times New Roman"/>
          <w:b/>
          <w:bCs/>
          <w:kern w:val="0"/>
          <w:sz w:val="22"/>
          <w:szCs w:val="20"/>
        </w:rPr>
        <w:t>（4）主要</w:t>
      </w:r>
      <w:r>
        <w:rPr>
          <w:rFonts w:hint="default" w:ascii="Times New Roman" w:hAnsi="Times New Roman" w:cs="Times New Roman"/>
          <w:b/>
          <w:bCs/>
          <w:sz w:val="22"/>
          <w:szCs w:val="20"/>
        </w:rPr>
        <w:t>技术指标确定的依据</w:t>
      </w:r>
    </w:p>
    <w:p w14:paraId="568F59D4">
      <w:pPr>
        <w:spacing w:line="360" w:lineRule="auto"/>
        <w:ind w:firstLine="440" w:firstLineChars="200"/>
        <w:rPr>
          <w:rFonts w:hint="default" w:ascii="Times New Roman" w:hAnsi="Times New Roman" w:cs="Times New Roman"/>
          <w:sz w:val="22"/>
          <w:szCs w:val="20"/>
        </w:rPr>
      </w:pPr>
      <w:r>
        <w:rPr>
          <w:rFonts w:hint="eastAsia" w:cs="Times New Roman"/>
          <w:kern w:val="0"/>
          <w:sz w:val="22"/>
          <w:szCs w:val="20"/>
          <w:lang w:val="en-US" w:eastAsia="zh-CN"/>
        </w:rPr>
        <w:t>本标准的技术内容涵盖农牧交错带刈牧草地地力提升、高产建植及生态效益评价等关键技术领域。地力提升技术一般指通过物理、化学、生物及农艺调控等措施，改良土壤理化性状、修复退化土地、提升土壤肥力、增强土地生产力与生态稳定性的综合技术体系，主要包括土壤改良、肥力培肥、退化耕地/草原修复、盐碱地治理、沙化土地固土培肥、有机物料还田、微生物改良、轮作</w:t>
      </w:r>
      <w:bookmarkStart w:id="16" w:name="_GoBack"/>
      <w:bookmarkEnd w:id="16"/>
      <w:r>
        <w:rPr>
          <w:rFonts w:hint="eastAsia" w:cs="Times New Roman"/>
          <w:kern w:val="0"/>
          <w:sz w:val="22"/>
          <w:szCs w:val="20"/>
          <w:lang w:val="en-US" w:eastAsia="zh-CN"/>
        </w:rPr>
        <w:t>休耕、生态植被固土等技术。根据文献查阅、相关技术标准，本标准对于地力提升技术的评价体系共分为技术先进性和经济合理性两个目标层，各项量化指标的确定主要依据国内外文献资料、相关研究成果以及农牧交错带典型区域的实践经验。技术先进性部分包括地力提升效果（如土壤紧实度、pH值、有机质、肥力、养分转化率等）和高产建植效果（如牧草产量、粗蛋白含量等）；经济合理性部分包括经济效益与生态效益（如牧草收益增幅、固碳价值增幅、保土、保肥、保水价值增幅等）；生产可行性部分则关注技术研发与示范区建设的达标率及投入产出比。该体系旨在科学、系统地评价农牧交错带草地改良与高效利用技术的综合效益，为技术推广和政策制定提供量化依据。</w:t>
      </w:r>
    </w:p>
    <w:p w14:paraId="3335020D">
      <w:pPr>
        <w:pStyle w:val="44"/>
        <w:spacing w:line="360" w:lineRule="auto"/>
        <w:ind w:left="0" w:leftChars="0" w:firstLine="442" w:firstLineChars="200"/>
        <w:rPr>
          <w:rFonts w:hint="default" w:ascii="Times New Roman" w:hAnsi="Times New Roman" w:cs="Times New Roman"/>
          <w:b w:val="0"/>
          <w:bCs w:val="0"/>
          <w:sz w:val="22"/>
          <w:szCs w:val="22"/>
        </w:rPr>
      </w:pPr>
      <w:r>
        <w:rPr>
          <w:rFonts w:hint="default" w:ascii="Times New Roman" w:hAnsi="Times New Roman" w:cs="Times New Roman"/>
          <w:b/>
          <w:bCs/>
          <w:sz w:val="22"/>
          <w:szCs w:val="22"/>
        </w:rPr>
        <w:t>地力提升指标：</w:t>
      </w:r>
      <w:r>
        <w:rPr>
          <w:rFonts w:hint="default" w:ascii="Times New Roman" w:hAnsi="Times New Roman" w:cs="Times New Roman"/>
          <w:b w:val="0"/>
          <w:bCs w:val="0"/>
          <w:sz w:val="22"/>
          <w:szCs w:val="22"/>
        </w:rPr>
        <w:t>地力提升指标的构建基于系统的文献调研、相关试验研究结果以及长期生产实践经验，最终确定包括土壤紧实度、土壤 pH 值、土壤有机质、土壤肥力和养分转化率等关键指标。这些指标能够全面反映农牧交错带刈牧草地土壤健康状况及其对草地生产力的支撑能力，是评价地力提升技术成效的核心内容。农牧交错带先天土层浅薄、成土过程缓慢、土壤本底养分整体匮乏，加之草地高频刈割、过度放牧等不合理利用方式长期扰动，易造成土壤结构板结紧实、孔隙度减小、水分入渗受阻、土体通气性变差；进而导致土壤微生物活性衰减、养分循环速率降低，最终引发刈牧草地退化，出现产草量波动不稳、牧草品质下降等突出问题。因此，开展地力定向提升是区域退化草地改良与可持续利用的首要目标。本研究选取的各项指标均紧扣农牧交错带本底特征与刈牧草地退化实际，遴选依据明确、针对性极强。土壤紧实度：农牧交错带土壤质地偏轻、结构稳定性弱，长期人畜踩踏与机械作业极易造成表层土壤压实、非毛管孔隙度降低，直接抑制根系下扎、阻碍水分入渗与气体交换，是制约草地长势的关键物理障碍，因此将其作为表征土壤结构优劣的核心指标。土壤 pH 值：区域地处气候过渡带，局部存在次生盐碱化隐患，土壤酸碱失衡易造成养分有效性降低、牧草适生环境变差，监测 pH 值可及时反映土壤盐碱化演变趋势，为盐碱化草地改良与地力调控提供重要依据。土壤有机质：农牧交错带整体土壤先天贫瘠、有机质本底含量普遍偏低，而有机质是维系土壤团粒结构、储备养分、调节保水保肥能力的核心载体，是本区域草地地力提升的首要限制性因子，可直观体现土壤基础健康水平。土壤肥力作为综合性评价指标，涵盖土壤有机质、全氮、有效磷、速效钾、pH 值、阳离子交换量、土壤质地等多重基础属性，能够系统表征土壤为牧草生长供给养分、调节水土环境的综合能力，适配农牧交错带土壤理化性状复杂、肥力差异大的区域特点。养分转化率是衡量土壤内部物质循环与养分高效利用的关键参数，农牧交错带刈牧草地长期高强度利用易造成养分投入多、损耗大、循环利用率低，该指标可科学评价深松改良、有机肥还田、精准施肥等措施对土壤养分活化、吸收利用及土</w:t>
      </w:r>
      <w:r>
        <w:rPr>
          <w:rFonts w:hint="eastAsia" w:ascii="宋体" w:hAnsi="宋体" w:eastAsia="宋体" w:cs="宋体"/>
          <w:b w:val="0"/>
          <w:bCs w:val="0"/>
          <w:sz w:val="22"/>
          <w:szCs w:val="22"/>
          <w:lang w:val="en-US" w:eastAsia="zh-CN"/>
        </w:rPr>
        <w:t>-</w:t>
      </w:r>
      <w:r>
        <w:rPr>
          <w:rFonts w:hint="default" w:ascii="Times New Roman" w:hAnsi="Times New Roman" w:cs="Times New Roman"/>
          <w:b w:val="0"/>
          <w:bCs w:val="0"/>
          <w:sz w:val="22"/>
          <w:szCs w:val="22"/>
        </w:rPr>
        <w:t>草系统内部循环效率的促进作用，是评判刈牧草地生产系统能否长期可持续运营的重要依据。土壤紧实度、土壤有机质和土壤肥力等指标在国内外草地生态与土壤科学研究中被广泛采用，是反映土壤结构、养分供给能力和生态功能的重要参数，能够敏感体现草地质量变化及改良措施的实施效果。大量研究表明，深松免耕、有机肥施用、精准施肥等改良措施能够显著改善土壤结构、提高土壤有机质含量、增强土壤肥力并促进氮磷钾等元素在土–草系统中的循环利用效率（Fan et al., 2016；江娜等，2022）。因此，本标准将上述五项指标共同纳入地力提升评价体系，可科学、全面、精准反映技术措施对农牧交错带刈牧草地土壤理化性状、养分禀赋及循环功能的实际改善效果。</w:t>
      </w:r>
    </w:p>
    <w:p w14:paraId="582DB85D">
      <w:pPr>
        <w:pStyle w:val="44"/>
        <w:spacing w:line="360" w:lineRule="auto"/>
        <w:ind w:left="0" w:leftChars="0" w:firstLine="422" w:firstLineChars="200"/>
        <w:rPr>
          <w:rFonts w:hint="default" w:ascii="Times New Roman" w:hAnsi="Times New Roman" w:cs="Times New Roman"/>
          <w:sz w:val="22"/>
          <w:szCs w:val="22"/>
        </w:rPr>
      </w:pPr>
      <w:r>
        <w:rPr>
          <w:rFonts w:hint="default" w:ascii="Times New Roman" w:hAnsi="Times New Roman" w:eastAsia="宋体" w:cs="Times New Roman"/>
          <w:b/>
          <w:bCs/>
          <w:i w:val="0"/>
          <w:iCs w:val="0"/>
          <w:color w:val="000000"/>
          <w:kern w:val="0"/>
          <w:sz w:val="21"/>
          <w:szCs w:val="21"/>
          <w:u w:val="none"/>
          <w:lang w:val="en-US" w:eastAsia="zh-CN" w:bidi="ar"/>
        </w:rPr>
        <w:t>高产建植效果</w:t>
      </w:r>
      <w:r>
        <w:rPr>
          <w:rFonts w:hint="eastAsia" w:ascii="Times New Roman" w:cs="Times New Roman"/>
          <w:b/>
          <w:bCs/>
          <w:i w:val="0"/>
          <w:iCs w:val="0"/>
          <w:color w:val="000000"/>
          <w:kern w:val="0"/>
          <w:sz w:val="21"/>
          <w:szCs w:val="21"/>
          <w:u w:val="none"/>
          <w:lang w:val="en-US" w:eastAsia="zh-CN" w:bidi="ar"/>
        </w:rPr>
        <w:t>指标</w:t>
      </w:r>
      <w:r>
        <w:rPr>
          <w:rFonts w:hint="default" w:ascii="Times New Roman" w:hAnsi="Times New Roman" w:cs="Times New Roman"/>
          <w:b/>
          <w:bCs/>
          <w:sz w:val="22"/>
          <w:szCs w:val="22"/>
        </w:rPr>
        <w:t>：</w:t>
      </w:r>
      <w:r>
        <w:rPr>
          <w:rFonts w:hint="default" w:ascii="Times New Roman" w:hAnsi="Times New Roman" w:cs="Times New Roman"/>
          <w:sz w:val="22"/>
          <w:szCs w:val="22"/>
        </w:rPr>
        <w:t>根据文献查阅、相关试验研究结果以及多年的实践经验，确定了本标准中产能与品质的关键指标，包括亩均牧草产量和牧草粗蛋白含量。农牧交错带草地普遍存在产草量低、品质不稳的问题，因此高产建植与优质牧草培育是提升草地利用效率的关键。国内外研究表明，良种引进、混播建植、科学施肥等措施均可显著提高牧草产量和营养品质（张永亮等, 2020；Iliev et al., 2022）。牧草粗蛋白含量是评价饲草营养价值的重要指标，与家畜生产性能密切相关，因此被广泛用于草地生产力评价体系中。</w:t>
      </w:r>
    </w:p>
    <w:p w14:paraId="682AD576">
      <w:pPr>
        <w:pStyle w:val="44"/>
        <w:spacing w:line="360" w:lineRule="auto"/>
        <w:ind w:left="0" w:leftChars="0" w:firstLine="440" w:firstLineChars="200"/>
        <w:rPr>
          <w:rFonts w:hint="default" w:ascii="Times New Roman" w:hAnsi="Times New Roman" w:cs="Times New Roman"/>
          <w:sz w:val="22"/>
          <w:szCs w:val="22"/>
        </w:rPr>
      </w:pPr>
      <w:r>
        <w:rPr>
          <w:rFonts w:hint="default" w:ascii="Times New Roman" w:hAnsi="Times New Roman" w:cs="Times New Roman"/>
          <w:sz w:val="22"/>
          <w:szCs w:val="22"/>
        </w:rPr>
        <w:t>张永亮, 于铁峰, 郝凤等. 施肥与混播比例对豆禾混播牧草产量及氮磷钾利用效率的影响. 草业学报, 2020, 29(11): 91–101.</w:t>
      </w:r>
    </w:p>
    <w:p w14:paraId="1C3258B0">
      <w:pPr>
        <w:pStyle w:val="44"/>
        <w:spacing w:line="360" w:lineRule="auto"/>
        <w:ind w:left="0" w:leftChars="0" w:firstLine="422" w:firstLineChars="200"/>
        <w:rPr>
          <w:rFonts w:hint="default" w:ascii="Times New Roman" w:hAnsi="Times New Roman" w:cs="Times New Roman"/>
          <w:b w:val="0"/>
          <w:bCs w:val="0"/>
          <w:sz w:val="22"/>
          <w:szCs w:val="22"/>
        </w:rPr>
      </w:pPr>
      <w:r>
        <w:rPr>
          <w:rFonts w:hint="default" w:ascii="Times New Roman" w:hAnsi="Times New Roman" w:eastAsia="宋体" w:cs="Times New Roman"/>
          <w:b/>
          <w:bCs/>
          <w:i w:val="0"/>
          <w:iCs w:val="0"/>
          <w:color w:val="000000"/>
          <w:kern w:val="0"/>
          <w:sz w:val="21"/>
          <w:szCs w:val="21"/>
          <w:u w:val="none"/>
          <w:lang w:val="en-US" w:eastAsia="zh-CN" w:bidi="ar"/>
        </w:rPr>
        <w:t>经济效益</w:t>
      </w:r>
      <w:r>
        <w:rPr>
          <w:rFonts w:hint="eastAsia" w:ascii="Times New Roman" w:cs="Times New Roman"/>
          <w:b/>
          <w:bCs/>
          <w:i w:val="0"/>
          <w:iCs w:val="0"/>
          <w:color w:val="000000"/>
          <w:kern w:val="0"/>
          <w:sz w:val="21"/>
          <w:szCs w:val="21"/>
          <w:u w:val="none"/>
          <w:lang w:val="en-US" w:eastAsia="zh-CN" w:bidi="ar"/>
        </w:rPr>
        <w:t>指标</w:t>
      </w:r>
      <w:r>
        <w:rPr>
          <w:rFonts w:hint="default" w:ascii="Times New Roman" w:hAnsi="Times New Roman" w:cs="Times New Roman"/>
          <w:b/>
          <w:bCs/>
          <w:sz w:val="22"/>
          <w:szCs w:val="22"/>
        </w:rPr>
        <w:t>：</w:t>
      </w:r>
      <w:r>
        <w:rPr>
          <w:rFonts w:hint="default" w:ascii="Times New Roman" w:hAnsi="Times New Roman" w:cs="Times New Roman"/>
          <w:b w:val="0"/>
          <w:bCs w:val="0"/>
          <w:sz w:val="22"/>
          <w:szCs w:val="22"/>
        </w:rPr>
        <w:t>根据文献查阅、相关试验研究结果以及多年的实践经验，确定了本标准中转化与效益的关键指标。牧草收益增幅则通过经济统计方法测算，用于评价技术措施带来的经济效益提升，是农牧交错带草地改良技术推广应用的重要依据。</w:t>
      </w:r>
    </w:p>
    <w:p w14:paraId="50776A77">
      <w:pPr>
        <w:widowControl/>
        <w:spacing w:line="360" w:lineRule="auto"/>
        <w:ind w:firstLine="422" w:firstLineChars="200"/>
        <w:rPr>
          <w:rFonts w:hint="eastAsia" w:ascii="Times New Roman" w:hAnsi="Times New Roman" w:cs="Times New Roman"/>
          <w:b w:val="0"/>
          <w:bCs w:val="0"/>
          <w:sz w:val="22"/>
          <w:szCs w:val="22"/>
          <w:lang w:eastAsia="zh-CN"/>
        </w:rPr>
      </w:pPr>
      <w:r>
        <w:rPr>
          <w:rFonts w:hint="default" w:ascii="Times New Roman" w:hAnsi="Times New Roman" w:eastAsia="宋体" w:cs="Times New Roman"/>
          <w:b/>
          <w:bCs/>
          <w:i w:val="0"/>
          <w:iCs w:val="0"/>
          <w:color w:val="000000"/>
          <w:kern w:val="0"/>
          <w:sz w:val="21"/>
          <w:szCs w:val="21"/>
          <w:u w:val="none"/>
          <w:lang w:val="en-US" w:eastAsia="zh-CN" w:bidi="ar"/>
        </w:rPr>
        <w:t>生态效益</w:t>
      </w:r>
      <w:r>
        <w:rPr>
          <w:rFonts w:hint="eastAsia" w:cs="Times New Roman"/>
          <w:b/>
          <w:bCs/>
          <w:i w:val="0"/>
          <w:iCs w:val="0"/>
          <w:color w:val="000000"/>
          <w:kern w:val="0"/>
          <w:sz w:val="21"/>
          <w:szCs w:val="21"/>
          <w:u w:val="none"/>
          <w:lang w:val="en-US" w:eastAsia="zh-CN" w:bidi="ar"/>
        </w:rPr>
        <w:t>指标</w:t>
      </w:r>
      <w:r>
        <w:rPr>
          <w:rFonts w:hint="eastAsia" w:ascii="Times New Roman" w:hAnsi="Times New Roman" w:cs="Times New Roman"/>
          <w:b/>
          <w:bCs/>
          <w:sz w:val="22"/>
          <w:szCs w:val="22"/>
          <w:lang w:eastAsia="zh-CN"/>
        </w:rPr>
        <w:t>：</w:t>
      </w:r>
      <w:r>
        <w:rPr>
          <w:rFonts w:hint="eastAsia" w:ascii="Times New Roman" w:hAnsi="Times New Roman" w:cs="Times New Roman"/>
          <w:b w:val="0"/>
          <w:bCs w:val="0"/>
          <w:sz w:val="22"/>
          <w:szCs w:val="22"/>
          <w:lang w:eastAsia="zh-CN"/>
        </w:rPr>
        <w:t>根据文献查阅、相关试验研究结果以及多年的实践经验，</w:t>
      </w:r>
      <w:r>
        <w:rPr>
          <w:rFonts w:hint="eastAsia" w:cs="Times New Roman"/>
          <w:b w:val="0"/>
          <w:bCs w:val="0"/>
          <w:sz w:val="22"/>
          <w:szCs w:val="22"/>
          <w:lang w:val="en-US" w:eastAsia="zh-CN"/>
        </w:rPr>
        <w:t>结合</w:t>
      </w:r>
      <w:r>
        <w:rPr>
          <w:rFonts w:hint="eastAsia" w:ascii="Times New Roman" w:hAnsi="Times New Roman" w:cs="Times New Roman"/>
          <w:b w:val="0"/>
          <w:bCs w:val="0"/>
          <w:sz w:val="22"/>
          <w:szCs w:val="22"/>
          <w:lang w:eastAsia="zh-CN"/>
        </w:rPr>
        <w:t>农牧交错带生态脆弱、水土禀赋差、人工刈牧草地退化突出的典型特征，确定了本标准中生态与经济效益的关键指标，包括固碳价值增幅、保土价值增幅、保肥价值增幅和保水价值增幅。草地生态系统在碳汇、水土保持和养分保持方面具有重要功能，是国家生态安全的重要组成部分。研究表明，草地改良措施能够显著提升土壤有机碳固存能力、减少水土流失并提高土壤养分保持能力（林枫等, 2021；Yang et al., 2019）。</w:t>
      </w:r>
      <w:r>
        <w:rPr>
          <w:rFonts w:hint="eastAsia" w:ascii="Times New Roman" w:hAnsi="Times New Roman" w:cs="Times New Roman"/>
          <w:b w:val="0"/>
          <w:bCs w:val="0"/>
          <w:sz w:val="22"/>
          <w:szCs w:val="22"/>
          <w:lang w:eastAsia="zh-CN"/>
        </w:rPr>
        <w:t>其中，保水价值增幅聚焦农牧交错带降水不均、土层浅薄、天然蓄水能力不足的短板，反映改良措施对土壤入渗储水能力的提升，缓解频繁刈割导致的地表保水能力下降与土壤干旱；保肥价值增幅量化技术措施对土壤有机质及氮、磷、钾等养分的固持效果，解决高强度刈牧利用引发的养分透支、地力持续衰退，阻断“利用-退化-贫瘠”的恶性循环；保土价值增幅表征改良措施对表层土壤的固持效果，抵御风蚀与水蚀交替侵蚀，遏制水土流失与土地沙化，夯实荒漠化防治基础；固碳价值增幅评价退化草地修复后的碳汇提升潜力，助力区域生态增汇与绿色发展。四项指标相互协同，系统反映技术措施对农牧交错带脆弱草地生态系统服务功能的提升成效。</w:t>
      </w:r>
      <w:r>
        <w:rPr>
          <w:rFonts w:hint="eastAsia" w:ascii="Times New Roman" w:hAnsi="Times New Roman" w:cs="Times New Roman"/>
          <w:b w:val="0"/>
          <w:bCs w:val="0"/>
          <w:sz w:val="22"/>
          <w:szCs w:val="22"/>
          <w:lang w:eastAsia="zh-CN"/>
        </w:rPr>
        <w:t>这些指标能够全面反映技术措施对生态系统服务功能的提升效果，是构建绿色、高效草牧业体系的重要依据。</w:t>
      </w:r>
    </w:p>
    <w:p w14:paraId="0A5160D0">
      <w:pPr>
        <w:pStyle w:val="44"/>
        <w:spacing w:line="360" w:lineRule="auto"/>
        <w:ind w:left="0" w:leftChars="0" w:firstLine="440" w:firstLineChars="200"/>
        <w:rPr>
          <w:rFonts w:hint="default" w:ascii="Times New Roman" w:hAnsi="Times New Roman" w:eastAsia="宋体" w:cs="Times New Roman"/>
          <w:b w:val="0"/>
          <w:bCs w:val="0"/>
          <w:kern w:val="2"/>
          <w:sz w:val="22"/>
          <w:szCs w:val="22"/>
          <w:lang w:val="en-US" w:eastAsia="zh-CN" w:bidi="ar-SA"/>
        </w:rPr>
      </w:pPr>
      <w:r>
        <w:rPr>
          <w:rFonts w:hint="default" w:ascii="Times New Roman" w:hAnsi="Times New Roman" w:eastAsia="宋体" w:cs="Times New Roman"/>
          <w:b w:val="0"/>
          <w:bCs w:val="0"/>
          <w:kern w:val="2"/>
          <w:sz w:val="22"/>
          <w:szCs w:val="22"/>
          <w:lang w:val="en-US" w:eastAsia="zh-CN" w:bidi="ar-SA"/>
        </w:rPr>
        <w:t>Fan, J.W., Du, Y.L., Wang, B.R., et al. Forage yield, soil water depletion, shoot nitrogen and phosphorus uptake and concentration, of young and old stands of alfalfa in response to nitrogen and phosphorus fertilization in a semiarid environment. Field Crops Research, 2016, 198: 247–257.</w:t>
      </w:r>
    </w:p>
    <w:p w14:paraId="20726081">
      <w:pPr>
        <w:pStyle w:val="44"/>
        <w:spacing w:line="360" w:lineRule="auto"/>
        <w:ind w:left="0" w:leftChars="0" w:firstLine="440" w:firstLineChars="200"/>
        <w:rPr>
          <w:rFonts w:hint="default" w:ascii="Times New Roman" w:hAnsi="Times New Roman" w:eastAsia="宋体" w:cs="Times New Roman"/>
          <w:b w:val="0"/>
          <w:bCs w:val="0"/>
          <w:kern w:val="2"/>
          <w:sz w:val="22"/>
          <w:szCs w:val="22"/>
          <w:lang w:val="en-US" w:eastAsia="zh-CN" w:bidi="ar-SA"/>
        </w:rPr>
      </w:pPr>
      <w:r>
        <w:rPr>
          <w:rFonts w:hint="default" w:ascii="Times New Roman" w:hAnsi="Times New Roman" w:eastAsia="宋体" w:cs="Times New Roman"/>
          <w:b w:val="0"/>
          <w:bCs w:val="0"/>
          <w:kern w:val="2"/>
          <w:sz w:val="22"/>
          <w:szCs w:val="22"/>
          <w:lang w:val="en-US" w:eastAsia="zh-CN" w:bidi="ar-SA"/>
        </w:rPr>
        <w:t>江娜, 史东梅, 曾小英, 叶青, 张健乐, 李辉丹. 土壤侵蚀对紫色土坡耕地耕层障碍因素的影响. 土壤学报, 2022, 59(01): 105–117.</w:t>
      </w:r>
    </w:p>
    <w:p w14:paraId="5C6E74BC">
      <w:pPr>
        <w:pStyle w:val="44"/>
        <w:spacing w:line="360" w:lineRule="auto"/>
        <w:ind w:left="0" w:leftChars="0" w:firstLine="440" w:firstLineChars="200"/>
        <w:rPr>
          <w:rFonts w:hint="default" w:ascii="Times New Roman" w:hAnsi="Times New Roman" w:eastAsia="宋体" w:cs="Times New Roman"/>
          <w:b w:val="0"/>
          <w:bCs w:val="0"/>
          <w:kern w:val="2"/>
          <w:sz w:val="22"/>
          <w:szCs w:val="22"/>
          <w:lang w:val="en-US" w:eastAsia="zh-CN" w:bidi="ar-SA"/>
        </w:rPr>
      </w:pPr>
      <w:r>
        <w:rPr>
          <w:rFonts w:hint="default" w:ascii="Times New Roman" w:hAnsi="Times New Roman" w:cs="Times New Roman"/>
          <w:sz w:val="22"/>
          <w:szCs w:val="22"/>
        </w:rPr>
        <w:t>Iliev, M., Bozhanski, B., Petkova, M. Yield of crude protein and accumulation rate in natural grass associations. Agronomy Series A, 2022.</w:t>
      </w:r>
    </w:p>
    <w:p w14:paraId="14834B00">
      <w:pPr>
        <w:pStyle w:val="44"/>
        <w:spacing w:line="360" w:lineRule="auto"/>
        <w:ind w:left="0" w:leftChars="0" w:firstLine="440" w:firstLineChars="200"/>
        <w:rPr>
          <w:rFonts w:hint="eastAsia" w:ascii="Times New Roman" w:hAnsi="Times New Roman" w:eastAsia="宋体" w:cs="Times New Roman"/>
          <w:color w:val="000000"/>
          <w:kern w:val="2"/>
          <w:sz w:val="22"/>
          <w:szCs w:val="20"/>
          <w:lang w:val="en-US" w:eastAsia="zh-CN" w:bidi="ar-SA"/>
        </w:rPr>
      </w:pPr>
      <w:r>
        <w:rPr>
          <w:rFonts w:hint="default" w:ascii="Times New Roman" w:hAnsi="Times New Roman" w:eastAsia="宋体" w:cs="Times New Roman"/>
          <w:color w:val="000000"/>
          <w:kern w:val="2"/>
          <w:sz w:val="22"/>
          <w:szCs w:val="20"/>
          <w:lang w:val="en-US" w:eastAsia="zh-CN" w:bidi="ar-SA"/>
        </w:rPr>
        <w:t xml:space="preserve">Zhu, X., Tan, D., Li, Y., Shao, C., Yan, R., Zhou, W., Xin, X. Grass-livestock interaction: a critical review of current research progress. Frontiers in Sustainable Food Systems, 2024, 8:1378058. </w:t>
      </w:r>
    </w:p>
    <w:p w14:paraId="021A9DB4">
      <w:pPr>
        <w:widowControl/>
        <w:spacing w:line="360" w:lineRule="auto"/>
        <w:ind w:firstLine="440" w:firstLineChars="200"/>
        <w:rPr>
          <w:rFonts w:hint="eastAsia" w:ascii="Times New Roman" w:hAnsi="Times New Roman" w:eastAsia="宋体" w:cs="Times New Roman"/>
          <w:color w:val="000000"/>
          <w:kern w:val="2"/>
          <w:sz w:val="22"/>
          <w:szCs w:val="20"/>
          <w:lang w:val="en-US" w:eastAsia="zh-CN" w:bidi="ar-SA"/>
        </w:rPr>
      </w:pPr>
      <w:r>
        <w:rPr>
          <w:rFonts w:hint="eastAsia" w:ascii="Times New Roman" w:hAnsi="Times New Roman" w:eastAsia="宋体" w:cs="Times New Roman"/>
          <w:color w:val="000000"/>
          <w:kern w:val="2"/>
          <w:sz w:val="22"/>
          <w:szCs w:val="20"/>
          <w:lang w:val="en-US" w:eastAsia="zh-CN" w:bidi="ar-SA"/>
        </w:rPr>
        <w:t xml:space="preserve">林枫, 王丽芳, 文琦. 黄土高原土壤有机碳固存对植被恢复的动态响应及其碳汇价值. 水土保持研究, 2021, 28(3): 53–58. </w:t>
      </w:r>
    </w:p>
    <w:p w14:paraId="282D31AA">
      <w:pPr>
        <w:widowControl/>
        <w:spacing w:line="360" w:lineRule="auto"/>
        <w:ind w:firstLine="440" w:firstLineChars="200"/>
        <w:rPr>
          <w:rFonts w:hint="eastAsia" w:ascii="Times New Roman" w:hAnsi="Times New Roman" w:eastAsia="宋体" w:cs="Times New Roman"/>
          <w:color w:val="000000"/>
          <w:kern w:val="2"/>
          <w:sz w:val="22"/>
          <w:szCs w:val="20"/>
          <w:lang w:val="en-US" w:eastAsia="zh-CN" w:bidi="ar-SA"/>
        </w:rPr>
      </w:pPr>
      <w:r>
        <w:rPr>
          <w:rFonts w:hint="eastAsia" w:ascii="Times New Roman" w:hAnsi="Times New Roman" w:eastAsia="宋体" w:cs="Times New Roman"/>
          <w:color w:val="000000"/>
          <w:kern w:val="2"/>
          <w:sz w:val="22"/>
          <w:szCs w:val="20"/>
          <w:lang w:val="en-US" w:eastAsia="zh-CN" w:bidi="ar-SA"/>
        </w:rPr>
        <w:t xml:space="preserve">Yang, Y., Tilman, D., Furey, G., Lehman, C. Soil carbon sequestration accelerated by restoration of grassland biodiversity. Nature Communications, 2019, 10(1): 718. </w:t>
      </w:r>
    </w:p>
    <w:p w14:paraId="79BBEAAF">
      <w:pPr>
        <w:pStyle w:val="2"/>
        <w:spacing w:before="0" w:after="0"/>
        <w:rPr>
          <w:rFonts w:hint="default" w:ascii="Times New Roman" w:hAnsi="Times New Roman" w:cs="Times New Roman"/>
          <w:sz w:val="24"/>
          <w:szCs w:val="40"/>
        </w:rPr>
      </w:pPr>
      <w:bookmarkStart w:id="9" w:name="_Toc13434"/>
      <w:r>
        <w:rPr>
          <w:rFonts w:hint="default" w:ascii="Times New Roman" w:hAnsi="Times New Roman" w:cs="Times New Roman"/>
          <w:sz w:val="24"/>
          <w:szCs w:val="40"/>
        </w:rPr>
        <w:t>四、采用的国际标准</w:t>
      </w:r>
      <w:bookmarkEnd w:id="9"/>
    </w:p>
    <w:p w14:paraId="3927399B">
      <w:pPr>
        <w:spacing w:line="360" w:lineRule="auto"/>
        <w:ind w:firstLine="482"/>
        <w:rPr>
          <w:rFonts w:hint="default" w:ascii="Times New Roman" w:hAnsi="Times New Roman" w:cs="Times New Roman"/>
          <w:color w:val="000000"/>
          <w:sz w:val="22"/>
          <w:szCs w:val="20"/>
        </w:rPr>
      </w:pPr>
      <w:r>
        <w:rPr>
          <w:rFonts w:hint="default" w:ascii="Times New Roman" w:hAnsi="Times New Roman" w:cs="Times New Roman"/>
          <w:color w:val="000000"/>
          <w:sz w:val="22"/>
          <w:szCs w:val="20"/>
        </w:rPr>
        <w:t>无。</w:t>
      </w:r>
    </w:p>
    <w:p w14:paraId="30D9B6DE">
      <w:pPr>
        <w:pStyle w:val="2"/>
        <w:spacing w:before="0" w:after="0"/>
        <w:rPr>
          <w:rFonts w:hint="default" w:ascii="Times New Roman" w:hAnsi="Times New Roman" w:cs="Times New Roman"/>
          <w:sz w:val="24"/>
          <w:szCs w:val="40"/>
        </w:rPr>
      </w:pPr>
      <w:bookmarkStart w:id="10" w:name="_Toc25871"/>
      <w:r>
        <w:rPr>
          <w:rFonts w:hint="default" w:ascii="Times New Roman" w:hAnsi="Times New Roman" w:cs="Times New Roman"/>
          <w:sz w:val="24"/>
          <w:szCs w:val="40"/>
        </w:rPr>
        <w:t>五、与现行法律法规和强制性标准的关系</w:t>
      </w:r>
      <w:bookmarkEnd w:id="10"/>
    </w:p>
    <w:p w14:paraId="2B492809">
      <w:pPr>
        <w:spacing w:line="360" w:lineRule="auto"/>
        <w:ind w:firstLine="482"/>
        <w:rPr>
          <w:rFonts w:hint="default" w:ascii="Times New Roman" w:hAnsi="Times New Roman" w:cs="Times New Roman"/>
          <w:color w:val="000000"/>
          <w:sz w:val="22"/>
          <w:szCs w:val="20"/>
        </w:rPr>
      </w:pPr>
      <w:r>
        <w:rPr>
          <w:rFonts w:hint="default" w:ascii="Times New Roman" w:hAnsi="Times New Roman" w:cs="Times New Roman"/>
          <w:color w:val="000000"/>
          <w:sz w:val="22"/>
          <w:szCs w:val="20"/>
        </w:rPr>
        <w:t>本标准与《中华人民共和国草原法》、《中华人民共和国农业法》中关于草地利用和保护的相关条款无冲突。标准的检测与评估模型规范引用了相关现行国家及行业推荐性标准，填补了现有《耕地质量等级》（GB/T 33469）在农牧交错专用草地综合评价维度的空白。</w:t>
      </w:r>
    </w:p>
    <w:p w14:paraId="30919C64">
      <w:pPr>
        <w:pStyle w:val="2"/>
        <w:spacing w:before="0" w:after="0"/>
        <w:rPr>
          <w:rFonts w:hint="default" w:ascii="Times New Roman" w:hAnsi="Times New Roman" w:cs="Times New Roman"/>
          <w:sz w:val="24"/>
          <w:szCs w:val="40"/>
        </w:rPr>
      </w:pPr>
      <w:bookmarkStart w:id="11" w:name="_Toc21218"/>
      <w:r>
        <w:rPr>
          <w:rFonts w:hint="default" w:ascii="Times New Roman" w:hAnsi="Times New Roman" w:cs="Times New Roman"/>
          <w:sz w:val="24"/>
          <w:szCs w:val="40"/>
        </w:rPr>
        <w:t>六、重大分歧意见的处理经过和依据</w:t>
      </w:r>
      <w:bookmarkEnd w:id="11"/>
    </w:p>
    <w:p w14:paraId="5D2967DE">
      <w:pPr>
        <w:spacing w:line="360" w:lineRule="auto"/>
        <w:ind w:firstLine="482"/>
        <w:rPr>
          <w:rFonts w:hint="default" w:ascii="Times New Roman" w:hAnsi="Times New Roman" w:cs="Times New Roman"/>
          <w:color w:val="000000"/>
          <w:sz w:val="22"/>
          <w:szCs w:val="20"/>
        </w:rPr>
      </w:pPr>
      <w:r>
        <w:rPr>
          <w:rFonts w:hint="default" w:ascii="Times New Roman" w:hAnsi="Times New Roman" w:cs="Times New Roman"/>
          <w:color w:val="000000"/>
          <w:sz w:val="22"/>
          <w:szCs w:val="20"/>
        </w:rPr>
        <w:t>无。</w:t>
      </w:r>
    </w:p>
    <w:p w14:paraId="18828AB0">
      <w:pPr>
        <w:pStyle w:val="2"/>
        <w:spacing w:before="0" w:after="0"/>
        <w:rPr>
          <w:rFonts w:hint="default" w:ascii="Times New Roman" w:hAnsi="Times New Roman" w:cs="Times New Roman"/>
          <w:sz w:val="24"/>
          <w:szCs w:val="40"/>
        </w:rPr>
      </w:pPr>
      <w:bookmarkStart w:id="12" w:name="_Toc19171"/>
      <w:r>
        <w:rPr>
          <w:rFonts w:hint="default" w:ascii="Times New Roman" w:hAnsi="Times New Roman" w:cs="Times New Roman"/>
          <w:sz w:val="24"/>
          <w:szCs w:val="40"/>
        </w:rPr>
        <w:t>七、标准作为强制性或推荐性标准的意见</w:t>
      </w:r>
      <w:bookmarkEnd w:id="12"/>
    </w:p>
    <w:p w14:paraId="630F5003">
      <w:pPr>
        <w:spacing w:line="360" w:lineRule="auto"/>
        <w:ind w:firstLine="482"/>
        <w:rPr>
          <w:rFonts w:hint="default" w:ascii="Times New Roman" w:hAnsi="Times New Roman" w:cs="Times New Roman"/>
          <w:color w:val="000000"/>
          <w:sz w:val="22"/>
          <w:szCs w:val="20"/>
        </w:rPr>
      </w:pPr>
      <w:r>
        <w:rPr>
          <w:rFonts w:hint="default" w:ascii="Times New Roman" w:hAnsi="Times New Roman" w:cs="Times New Roman"/>
          <w:color w:val="000000"/>
          <w:sz w:val="22"/>
          <w:szCs w:val="20"/>
        </w:rPr>
        <w:t>建议将本标准作为推荐性标准发布实施，并加强标准的宣贯。</w:t>
      </w:r>
    </w:p>
    <w:p w14:paraId="5D7D6744">
      <w:pPr>
        <w:pStyle w:val="2"/>
        <w:spacing w:before="0" w:after="0"/>
        <w:rPr>
          <w:rFonts w:hint="default" w:ascii="Times New Roman" w:hAnsi="Times New Roman" w:cs="Times New Roman"/>
          <w:sz w:val="24"/>
          <w:szCs w:val="40"/>
        </w:rPr>
      </w:pPr>
      <w:bookmarkStart w:id="13" w:name="_Toc7651"/>
      <w:r>
        <w:rPr>
          <w:rFonts w:hint="default" w:ascii="Times New Roman" w:hAnsi="Times New Roman" w:cs="Times New Roman"/>
          <w:sz w:val="24"/>
          <w:szCs w:val="40"/>
        </w:rPr>
        <w:t>八、贯彻标准的要求和措施建议</w:t>
      </w:r>
      <w:bookmarkEnd w:id="13"/>
    </w:p>
    <w:p w14:paraId="043DE211">
      <w:pPr>
        <w:spacing w:line="360" w:lineRule="auto"/>
        <w:ind w:firstLine="482"/>
        <w:rPr>
          <w:rFonts w:hint="default" w:ascii="Times New Roman" w:hAnsi="Times New Roman" w:cs="Times New Roman"/>
          <w:sz w:val="22"/>
          <w:szCs w:val="20"/>
        </w:rPr>
      </w:pPr>
      <w:r>
        <w:rPr>
          <w:rFonts w:hint="default" w:ascii="Times New Roman" w:hAnsi="Times New Roman" w:cs="Times New Roman"/>
          <w:sz w:val="22"/>
          <w:szCs w:val="20"/>
        </w:rPr>
        <w:t xml:space="preserve">1、本标准属于北京华夏草业产业技术创新战略联盟团体标准，为成功实施农牧交错带相关草牧业工程的综合评价，各地项目申报与验收单位应认真执行本标准的相关技术要求。 </w:t>
      </w:r>
    </w:p>
    <w:p w14:paraId="5861DF4C">
      <w:pPr>
        <w:spacing w:line="360" w:lineRule="auto"/>
        <w:ind w:firstLine="482"/>
        <w:rPr>
          <w:rFonts w:hint="default" w:ascii="Times New Roman" w:hAnsi="Times New Roman" w:cs="Times New Roman"/>
          <w:sz w:val="22"/>
          <w:szCs w:val="20"/>
        </w:rPr>
      </w:pPr>
      <w:r>
        <w:rPr>
          <w:rFonts w:hint="default" w:ascii="Times New Roman" w:hAnsi="Times New Roman" w:cs="Times New Roman"/>
          <w:sz w:val="22"/>
          <w:szCs w:val="20"/>
        </w:rPr>
        <w:t xml:space="preserve">2、应加强对标准的宣传、讲解和技术指导，促进基层农技人员与实施者熟练掌握标准中的技术规范与采样测算方法，保证本标准的广泛推广应用。 </w:t>
      </w:r>
    </w:p>
    <w:p w14:paraId="6324B8B3">
      <w:pPr>
        <w:spacing w:line="360" w:lineRule="auto"/>
        <w:ind w:firstLine="482"/>
        <w:rPr>
          <w:rFonts w:hint="default" w:ascii="Times New Roman" w:hAnsi="Times New Roman" w:cs="Times New Roman"/>
          <w:sz w:val="22"/>
          <w:szCs w:val="20"/>
        </w:rPr>
      </w:pPr>
      <w:r>
        <w:rPr>
          <w:rFonts w:hint="default" w:ascii="Times New Roman" w:hAnsi="Times New Roman" w:cs="Times New Roman"/>
          <w:sz w:val="22"/>
          <w:szCs w:val="20"/>
        </w:rPr>
        <w:t xml:space="preserve">3、随着科技发展与气候演变，本标准中的基准线与技术规范势必会出现变化，因此本标准在执行过程中要不断收集数据，对内容进行动态校验与修订补充。 </w:t>
      </w:r>
    </w:p>
    <w:p w14:paraId="198DD66F">
      <w:pPr>
        <w:spacing w:line="360" w:lineRule="auto"/>
        <w:ind w:firstLine="482"/>
        <w:rPr>
          <w:rFonts w:hint="default" w:ascii="Times New Roman" w:hAnsi="Times New Roman" w:cs="Times New Roman"/>
          <w:color w:val="000000"/>
          <w:sz w:val="22"/>
          <w:szCs w:val="20"/>
        </w:rPr>
      </w:pPr>
      <w:r>
        <w:rPr>
          <w:rFonts w:hint="default" w:ascii="Times New Roman" w:hAnsi="Times New Roman" w:cs="Times New Roman"/>
          <w:sz w:val="22"/>
          <w:szCs w:val="20"/>
        </w:rPr>
        <w:t>4、希望应用本标准的单位在使用过程中对其中出现的问题和不足给予积极反馈。</w:t>
      </w:r>
    </w:p>
    <w:p w14:paraId="716810CD">
      <w:pPr>
        <w:pStyle w:val="2"/>
        <w:spacing w:before="0" w:after="0"/>
        <w:rPr>
          <w:rFonts w:hint="default" w:ascii="Times New Roman" w:hAnsi="Times New Roman" w:cs="Times New Roman"/>
          <w:sz w:val="24"/>
          <w:szCs w:val="40"/>
        </w:rPr>
      </w:pPr>
      <w:bookmarkStart w:id="14" w:name="_Toc13703"/>
      <w:r>
        <w:rPr>
          <w:rFonts w:hint="default" w:ascii="Times New Roman" w:hAnsi="Times New Roman" w:cs="Times New Roman"/>
          <w:sz w:val="24"/>
          <w:szCs w:val="40"/>
        </w:rPr>
        <w:t>九、废止现行有关标准的建议</w:t>
      </w:r>
      <w:bookmarkEnd w:id="14"/>
    </w:p>
    <w:p w14:paraId="40597651">
      <w:pPr>
        <w:spacing w:before="156" w:beforeLines="50" w:line="360" w:lineRule="auto"/>
        <w:ind w:firstLine="482"/>
        <w:rPr>
          <w:rFonts w:hint="default" w:ascii="Times New Roman" w:hAnsi="Times New Roman" w:cs="Times New Roman"/>
          <w:color w:val="000000"/>
          <w:sz w:val="22"/>
          <w:szCs w:val="20"/>
        </w:rPr>
      </w:pPr>
      <w:r>
        <w:rPr>
          <w:rFonts w:hint="default" w:ascii="Times New Roman" w:hAnsi="Times New Roman" w:cs="Times New Roman"/>
          <w:color w:val="000000"/>
          <w:sz w:val="22"/>
          <w:szCs w:val="20"/>
        </w:rPr>
        <w:t>无。</w:t>
      </w:r>
    </w:p>
    <w:p w14:paraId="431CE65B">
      <w:pPr>
        <w:pStyle w:val="2"/>
        <w:spacing w:before="0" w:after="0"/>
        <w:rPr>
          <w:rFonts w:hint="default" w:ascii="Times New Roman" w:hAnsi="Times New Roman" w:cs="Times New Roman"/>
          <w:sz w:val="24"/>
          <w:szCs w:val="40"/>
        </w:rPr>
      </w:pPr>
      <w:bookmarkStart w:id="15" w:name="_Toc14245"/>
      <w:r>
        <w:rPr>
          <w:rFonts w:hint="default" w:ascii="Times New Roman" w:hAnsi="Times New Roman" w:cs="Times New Roman"/>
          <w:sz w:val="24"/>
          <w:szCs w:val="40"/>
        </w:rPr>
        <w:t>十、其他应予说明的事项</w:t>
      </w:r>
      <w:bookmarkEnd w:id="15"/>
    </w:p>
    <w:p w14:paraId="46BDFE3C">
      <w:pPr>
        <w:spacing w:before="156" w:beforeLines="50" w:line="360" w:lineRule="auto"/>
        <w:ind w:firstLine="482"/>
        <w:rPr>
          <w:rFonts w:hint="default" w:ascii="Times New Roman" w:hAnsi="Times New Roman" w:cs="Times New Roman"/>
          <w:b/>
          <w:bCs/>
          <w:sz w:val="24"/>
          <w:szCs w:val="24"/>
        </w:rPr>
      </w:pPr>
      <w:r>
        <w:rPr>
          <w:rFonts w:hint="default" w:ascii="Times New Roman" w:hAnsi="Times New Roman" w:cs="Times New Roman"/>
          <w:color w:val="000000"/>
          <w:sz w:val="22"/>
          <w:szCs w:val="20"/>
        </w:rPr>
        <w:t>无。</w:t>
      </w:r>
    </w:p>
    <w:bookmarkEnd w:id="1"/>
    <w:p w14:paraId="118F0DAF">
      <w:pPr>
        <w:pStyle w:val="2"/>
        <w:spacing w:before="0" w:after="0"/>
        <w:rPr>
          <w:rFonts w:hint="default" w:ascii="Times New Roman" w:hAnsi="Times New Roman" w:cs="Times New Roman"/>
          <w:color w:val="000000"/>
          <w:sz w:val="24"/>
        </w:rPr>
      </w:pPr>
    </w:p>
    <w:sectPr>
      <w:footerReference r:id="rId3" w:type="default"/>
      <w:footerReference r:id="rId4" w:type="even"/>
      <w:pgSz w:w="11906" w:h="16838"/>
      <w:pgMar w:top="1843" w:right="1558" w:bottom="1702"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1A48C">
    <w:pPr>
      <w:pStyle w:val="10"/>
      <w:jc w:val="center"/>
    </w:pPr>
    <w:r>
      <w:fldChar w:fldCharType="begin"/>
    </w:r>
    <w:r>
      <w:instrText xml:space="preserve"> PAGE   \* MERGEFORMAT </w:instrText>
    </w:r>
    <w:r>
      <w:fldChar w:fldCharType="separate"/>
    </w:r>
    <w:r>
      <w:rPr>
        <w:lang w:val="zh-CN"/>
      </w:rPr>
      <w:t>8</w:t>
    </w:r>
    <w:r>
      <w:rPr>
        <w:lang w:val="zh-CN"/>
      </w:rPr>
      <w:fldChar w:fldCharType="end"/>
    </w:r>
  </w:p>
  <w:p w14:paraId="59F259B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9A38A">
    <w:pPr>
      <w:pStyle w:val="10"/>
      <w:framePr w:wrap="around" w:vAnchor="text" w:hAnchor="margin" w:xAlign="center" w:y="1"/>
      <w:rPr>
        <w:rStyle w:val="18"/>
      </w:rPr>
    </w:pPr>
    <w:r>
      <w:fldChar w:fldCharType="begin"/>
    </w:r>
    <w:r>
      <w:rPr>
        <w:rStyle w:val="18"/>
      </w:rPr>
      <w:instrText xml:space="preserve">PAGE  </w:instrText>
    </w:r>
    <w:r>
      <w:fldChar w:fldCharType="end"/>
    </w:r>
  </w:p>
  <w:p w14:paraId="08B3C798">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03B02E"/>
    <w:multiLevelType w:val="singleLevel"/>
    <w:tmpl w:val="FA03B02E"/>
    <w:lvl w:ilvl="0" w:tentative="0">
      <w:start w:val="1"/>
      <w:numFmt w:val="decimal"/>
      <w:suff w:val="nothing"/>
      <w:lvlText w:val="（%1）"/>
      <w:lvlJc w:val="left"/>
      <w:pPr>
        <w:ind w:left="4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627C"/>
    <w:rsid w:val="00126374"/>
    <w:rsid w:val="0013098F"/>
    <w:rsid w:val="00132DB4"/>
    <w:rsid w:val="001372F7"/>
    <w:rsid w:val="00137BD4"/>
    <w:rsid w:val="00140742"/>
    <w:rsid w:val="00147E5E"/>
    <w:rsid w:val="001650ED"/>
    <w:rsid w:val="00173D9B"/>
    <w:rsid w:val="0017441B"/>
    <w:rsid w:val="001877A5"/>
    <w:rsid w:val="001A3DFC"/>
    <w:rsid w:val="001A3E3C"/>
    <w:rsid w:val="001A6550"/>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301EF9"/>
    <w:rsid w:val="00315468"/>
    <w:rsid w:val="00324544"/>
    <w:rsid w:val="0033768E"/>
    <w:rsid w:val="00353076"/>
    <w:rsid w:val="00355292"/>
    <w:rsid w:val="00357EA9"/>
    <w:rsid w:val="003616FA"/>
    <w:rsid w:val="0036445F"/>
    <w:rsid w:val="003647ED"/>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E25C4"/>
    <w:rsid w:val="005F21F2"/>
    <w:rsid w:val="005F7967"/>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242BD"/>
    <w:rsid w:val="0082475F"/>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215F0"/>
    <w:rsid w:val="00922670"/>
    <w:rsid w:val="00935406"/>
    <w:rsid w:val="00945B8A"/>
    <w:rsid w:val="0095204F"/>
    <w:rsid w:val="0095404A"/>
    <w:rsid w:val="00973876"/>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B619E"/>
    <w:rsid w:val="00CD6231"/>
    <w:rsid w:val="00CE53AB"/>
    <w:rsid w:val="00D00CC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62DD5"/>
    <w:rsid w:val="00E8551F"/>
    <w:rsid w:val="00E923DA"/>
    <w:rsid w:val="00E93DBA"/>
    <w:rsid w:val="00E9519E"/>
    <w:rsid w:val="00E96678"/>
    <w:rsid w:val="00E967AE"/>
    <w:rsid w:val="00EA3B73"/>
    <w:rsid w:val="00EB7CF2"/>
    <w:rsid w:val="00EE1047"/>
    <w:rsid w:val="00EF0176"/>
    <w:rsid w:val="00EF4463"/>
    <w:rsid w:val="00F10D01"/>
    <w:rsid w:val="00F11312"/>
    <w:rsid w:val="00F143A4"/>
    <w:rsid w:val="00F21D5B"/>
    <w:rsid w:val="00F2339E"/>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9CD4F9F"/>
    <w:rsid w:val="09EC65A2"/>
    <w:rsid w:val="0A0E7F26"/>
    <w:rsid w:val="0A585E88"/>
    <w:rsid w:val="0D7F514F"/>
    <w:rsid w:val="11AC29A0"/>
    <w:rsid w:val="131B44C8"/>
    <w:rsid w:val="150E269C"/>
    <w:rsid w:val="166F5222"/>
    <w:rsid w:val="184A31E0"/>
    <w:rsid w:val="199B0968"/>
    <w:rsid w:val="1E711A49"/>
    <w:rsid w:val="20A67D62"/>
    <w:rsid w:val="253E083A"/>
    <w:rsid w:val="2AA17567"/>
    <w:rsid w:val="2C8376D8"/>
    <w:rsid w:val="2FE34275"/>
    <w:rsid w:val="30A071CD"/>
    <w:rsid w:val="3100387E"/>
    <w:rsid w:val="311A3CC6"/>
    <w:rsid w:val="32F41833"/>
    <w:rsid w:val="35D66C79"/>
    <w:rsid w:val="363F0E23"/>
    <w:rsid w:val="366F04F9"/>
    <w:rsid w:val="36B25025"/>
    <w:rsid w:val="39020CB7"/>
    <w:rsid w:val="391F59BB"/>
    <w:rsid w:val="39707CB8"/>
    <w:rsid w:val="3A8C79E3"/>
    <w:rsid w:val="3AA54E14"/>
    <w:rsid w:val="3EF33504"/>
    <w:rsid w:val="43712A92"/>
    <w:rsid w:val="482C3F1D"/>
    <w:rsid w:val="48F055E1"/>
    <w:rsid w:val="498A77E3"/>
    <w:rsid w:val="4AD420FB"/>
    <w:rsid w:val="4D9E3FA3"/>
    <w:rsid w:val="4E193658"/>
    <w:rsid w:val="4F8C3B89"/>
    <w:rsid w:val="52BD4306"/>
    <w:rsid w:val="52C935E2"/>
    <w:rsid w:val="5420452F"/>
    <w:rsid w:val="560D45D3"/>
    <w:rsid w:val="58C919AA"/>
    <w:rsid w:val="5BC14BBB"/>
    <w:rsid w:val="5C9D7268"/>
    <w:rsid w:val="5F97769F"/>
    <w:rsid w:val="615A37DE"/>
    <w:rsid w:val="633A0287"/>
    <w:rsid w:val="63B36E26"/>
    <w:rsid w:val="64B659E6"/>
    <w:rsid w:val="66AA38F8"/>
    <w:rsid w:val="682B3AD0"/>
    <w:rsid w:val="694960C1"/>
    <w:rsid w:val="69C77840"/>
    <w:rsid w:val="69F152C0"/>
    <w:rsid w:val="6C305B70"/>
    <w:rsid w:val="6D2A1A28"/>
    <w:rsid w:val="6E253618"/>
    <w:rsid w:val="6F5053F2"/>
    <w:rsid w:val="6F9E5BF8"/>
    <w:rsid w:val="732950C8"/>
    <w:rsid w:val="73CE5A0F"/>
    <w:rsid w:val="759F5B15"/>
    <w:rsid w:val="774B1A43"/>
    <w:rsid w:val="77785FC7"/>
    <w:rsid w:val="78EC706A"/>
    <w:rsid w:val="7A4F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40"/>
    <w:qFormat/>
    <w:uiPriority w:val="9"/>
    <w:pPr>
      <w:keepNext/>
      <w:keepLines/>
      <w:spacing w:before="240" w:after="240" w:line="360" w:lineRule="auto"/>
      <w:outlineLvl w:val="0"/>
    </w:pPr>
    <w:rPr>
      <w:b/>
      <w:bCs/>
      <w:kern w:val="44"/>
      <w:sz w:val="28"/>
      <w:szCs w:val="44"/>
    </w:rPr>
  </w:style>
  <w:style w:type="paragraph" w:styleId="3">
    <w:name w:val="heading 2"/>
    <w:basedOn w:val="1"/>
    <w:next w:val="1"/>
    <w:link w:val="21"/>
    <w:qFormat/>
    <w:uiPriority w:val="9"/>
    <w:pPr>
      <w:keepNext/>
      <w:keepLines/>
      <w:spacing w:before="240" w:after="240" w:line="360" w:lineRule="auto"/>
      <w:outlineLvl w:val="1"/>
    </w:pPr>
    <w:rPr>
      <w:rFonts w:ascii="等线 Light" w:hAnsi="等线 Light" w:eastAsia="黑体"/>
      <w:bCs/>
      <w:sz w:val="24"/>
      <w:szCs w:val="32"/>
    </w:rPr>
  </w:style>
  <w:style w:type="paragraph" w:styleId="4">
    <w:name w:val="heading 3"/>
    <w:basedOn w:val="1"/>
    <w:next w:val="1"/>
    <w:link w:val="42"/>
    <w:unhideWhenUsed/>
    <w:qFormat/>
    <w:uiPriority w:val="9"/>
    <w:pPr>
      <w:keepNext/>
      <w:keepLines/>
      <w:spacing w:line="360" w:lineRule="auto"/>
      <w:outlineLvl w:val="2"/>
    </w:pPr>
    <w:rPr>
      <w:b/>
      <w:bCs/>
      <w:sz w:val="24"/>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等线 Light" w:hAnsi="等线 Light" w:eastAsia="黑体"/>
      <w:sz w:val="20"/>
      <w:szCs w:val="20"/>
    </w:rPr>
  </w:style>
  <w:style w:type="paragraph" w:styleId="6">
    <w:name w:val="toc 3"/>
    <w:basedOn w:val="1"/>
    <w:next w:val="1"/>
    <w:autoRedefine/>
    <w:unhideWhenUsed/>
    <w:qFormat/>
    <w:uiPriority w:val="39"/>
    <w:pPr>
      <w:ind w:left="840" w:leftChars="400"/>
    </w:pPr>
  </w:style>
  <w:style w:type="paragraph" w:styleId="7">
    <w:name w:val="Plain Text"/>
    <w:basedOn w:val="1"/>
    <w:qFormat/>
    <w:uiPriority w:val="99"/>
    <w:rPr>
      <w:rFonts w:ascii="宋体" w:hAnsi="Courier New" w:cs="宋体"/>
    </w:rPr>
  </w:style>
  <w:style w:type="paragraph" w:styleId="8">
    <w:name w:val="Date"/>
    <w:basedOn w:val="1"/>
    <w:next w:val="1"/>
    <w:link w:val="22"/>
    <w:qFormat/>
    <w:uiPriority w:val="0"/>
    <w:pPr>
      <w:ind w:left="100" w:leftChars="2500"/>
    </w:pPr>
    <w:rPr>
      <w:szCs w:val="24"/>
    </w:rPr>
  </w:style>
  <w:style w:type="paragraph" w:styleId="9">
    <w:name w:val="Balloon Text"/>
    <w:basedOn w:val="1"/>
    <w:link w:val="23"/>
    <w:unhideWhenUsed/>
    <w:qFormat/>
    <w:uiPriority w:val="0"/>
    <w:rPr>
      <w:sz w:val="18"/>
      <w:szCs w:val="18"/>
    </w:rPr>
  </w:style>
  <w:style w:type="paragraph" w:styleId="10">
    <w:name w:val="footer"/>
    <w:basedOn w:val="1"/>
    <w:link w:val="24"/>
    <w:unhideWhenUsed/>
    <w:qFormat/>
    <w:uiPriority w:val="99"/>
    <w:pPr>
      <w:tabs>
        <w:tab w:val="center" w:pos="4153"/>
        <w:tab w:val="right" w:pos="8306"/>
      </w:tabs>
      <w:snapToGrid w:val="0"/>
      <w:jc w:val="left"/>
    </w:pPr>
    <w:rPr>
      <w:sz w:val="18"/>
      <w:szCs w:val="18"/>
    </w:rPr>
  </w:style>
  <w:style w:type="paragraph" w:styleId="11">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unhideWhenUsed/>
    <w:qFormat/>
    <w:uiPriority w:val="39"/>
    <w:pPr>
      <w:tabs>
        <w:tab w:val="right" w:leader="dot" w:pos="8538"/>
      </w:tabs>
      <w:spacing w:line="360" w:lineRule="auto"/>
    </w:pPr>
  </w:style>
  <w:style w:type="paragraph" w:styleId="13">
    <w:name w:val="toc 2"/>
    <w:basedOn w:val="1"/>
    <w:next w:val="1"/>
    <w:autoRedefine/>
    <w:unhideWhenUsed/>
    <w:qFormat/>
    <w:uiPriority w:val="39"/>
    <w:pPr>
      <w:ind w:left="420" w:leftChars="20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7">
    <w:name w:val="Strong"/>
    <w:qFormat/>
    <w:uiPriority w:val="0"/>
    <w:rPr>
      <w:b/>
    </w:rPr>
  </w:style>
  <w:style w:type="character" w:styleId="18">
    <w:name w:val="page number"/>
    <w:qFormat/>
    <w:uiPriority w:val="0"/>
  </w:style>
  <w:style w:type="character" w:styleId="19">
    <w:name w:val="Emphasis"/>
    <w:basedOn w:val="16"/>
    <w:qFormat/>
    <w:uiPriority w:val="20"/>
    <w:rPr>
      <w:i/>
    </w:rPr>
  </w:style>
  <w:style w:type="character" w:styleId="20">
    <w:name w:val="Hyperlink"/>
    <w:unhideWhenUsed/>
    <w:qFormat/>
    <w:uiPriority w:val="99"/>
    <w:rPr>
      <w:color w:val="0563C1"/>
      <w:u w:val="single"/>
    </w:rPr>
  </w:style>
  <w:style w:type="character" w:customStyle="1" w:styleId="21">
    <w:name w:val="标题 2 字符"/>
    <w:link w:val="3"/>
    <w:qFormat/>
    <w:uiPriority w:val="9"/>
    <w:rPr>
      <w:rFonts w:ascii="等线 Light" w:hAnsi="等线 Light" w:eastAsia="黑体"/>
      <w:bCs/>
      <w:kern w:val="2"/>
      <w:sz w:val="24"/>
      <w:szCs w:val="32"/>
    </w:rPr>
  </w:style>
  <w:style w:type="character" w:customStyle="1" w:styleId="22">
    <w:name w:val="日期 字符"/>
    <w:link w:val="8"/>
    <w:qFormat/>
    <w:uiPriority w:val="0"/>
    <w:rPr>
      <w:rFonts w:ascii="Times New Roman" w:hAnsi="Times New Roman" w:eastAsia="宋体" w:cs="Times New Roman"/>
      <w:kern w:val="2"/>
      <w:sz w:val="21"/>
      <w:szCs w:val="24"/>
    </w:rPr>
  </w:style>
  <w:style w:type="character" w:customStyle="1" w:styleId="23">
    <w:name w:val="批注框文本 字符"/>
    <w:link w:val="9"/>
    <w:semiHidden/>
    <w:qFormat/>
    <w:uiPriority w:val="99"/>
    <w:rPr>
      <w:rFonts w:ascii="Times New Roman" w:hAnsi="Times New Roman" w:eastAsia="宋体" w:cs="Times New Roman"/>
      <w:kern w:val="2"/>
      <w:sz w:val="18"/>
      <w:szCs w:val="18"/>
    </w:rPr>
  </w:style>
  <w:style w:type="character" w:customStyle="1" w:styleId="24">
    <w:name w:val="页脚 字符"/>
    <w:link w:val="10"/>
    <w:qFormat/>
    <w:uiPriority w:val="99"/>
    <w:rPr>
      <w:rFonts w:ascii="Times New Roman" w:hAnsi="Times New Roman" w:eastAsia="宋体" w:cs="Times New Roman"/>
      <w:sz w:val="18"/>
      <w:szCs w:val="18"/>
    </w:rPr>
  </w:style>
  <w:style w:type="character" w:customStyle="1" w:styleId="25">
    <w:name w:val="页眉 字符"/>
    <w:link w:val="11"/>
    <w:qFormat/>
    <w:uiPriority w:val="0"/>
    <w:rPr>
      <w:rFonts w:ascii="Times New Roman" w:hAnsi="Times New Roman" w:eastAsia="宋体" w:cs="Times New Roman"/>
      <w:sz w:val="18"/>
      <w:szCs w:val="18"/>
    </w:rPr>
  </w:style>
  <w:style w:type="character" w:customStyle="1" w:styleId="26">
    <w:name w:val="fontstyle01"/>
    <w:qFormat/>
    <w:uiPriority w:val="0"/>
    <w:rPr>
      <w:rFonts w:hint="eastAsia" w:ascii="黑体" w:hAnsi="黑体" w:eastAsia="黑体"/>
      <w:color w:val="000000"/>
      <w:sz w:val="32"/>
      <w:szCs w:val="32"/>
    </w:rPr>
  </w:style>
  <w:style w:type="character" w:customStyle="1" w:styleId="27">
    <w:name w:val="未处理的提及1"/>
    <w:unhideWhenUsed/>
    <w:qFormat/>
    <w:uiPriority w:val="99"/>
    <w:rPr>
      <w:color w:val="605E5C"/>
      <w:shd w:val="clear" w:color="auto" w:fill="E1DFDD"/>
    </w:rPr>
  </w:style>
  <w:style w:type="character" w:customStyle="1" w:styleId="28">
    <w:name w:val="段 Char"/>
    <w:link w:val="29"/>
    <w:qFormat/>
    <w:uiPriority w:val="0"/>
    <w:rPr>
      <w:rFonts w:ascii="宋体" w:hAnsi="Times New Roman" w:eastAsia="宋体" w:cs="Times New Roman"/>
      <w:kern w:val="0"/>
      <w:szCs w:val="20"/>
    </w:rPr>
  </w:style>
  <w:style w:type="paragraph" w:customStyle="1" w:styleId="29">
    <w:name w:val="段"/>
    <w:link w:val="2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0">
    <w:name w:val="fontstyle11"/>
    <w:qFormat/>
    <w:uiPriority w:val="0"/>
    <w:rPr>
      <w:rFonts w:hint="default" w:ascii="TimesNewRomanPSMT" w:hAnsi="TimesNewRomanPSMT"/>
      <w:color w:val="000000"/>
      <w:sz w:val="22"/>
      <w:szCs w:val="22"/>
    </w:rPr>
  </w:style>
  <w:style w:type="character" w:customStyle="1" w:styleId="31">
    <w:name w:val="apple-style-span"/>
    <w:semiHidden/>
    <w:qFormat/>
    <w:uiPriority w:val="0"/>
  </w:style>
  <w:style w:type="paragraph" w:styleId="32">
    <w:name w:val="List Paragraph"/>
    <w:basedOn w:val="1"/>
    <w:qFormat/>
    <w:uiPriority w:val="99"/>
    <w:pPr>
      <w:ind w:firstLine="420" w:firstLineChars="200"/>
    </w:pPr>
  </w:style>
  <w:style w:type="paragraph" w:customStyle="1" w:styleId="33">
    <w:name w:val="Char1 Char Char Char Char Char Char Char Char Char"/>
    <w:basedOn w:val="1"/>
    <w:qFormat/>
    <w:uiPriority w:val="0"/>
    <w:pPr>
      <w:spacing w:line="360" w:lineRule="auto"/>
    </w:pPr>
    <w:rPr>
      <w:rFonts w:ascii="Tahoma" w:hAnsi="Tahoma"/>
      <w:sz w:val="24"/>
      <w:szCs w:val="20"/>
    </w:rPr>
  </w:style>
  <w:style w:type="paragraph" w:customStyle="1" w:styleId="34">
    <w:name w:val="图标标题"/>
    <w:basedOn w:val="5"/>
    <w:qFormat/>
    <w:uiPriority w:val="0"/>
    <w:pPr>
      <w:jc w:val="center"/>
    </w:pPr>
    <w:rPr>
      <w:sz w:val="21"/>
    </w:rPr>
  </w:style>
  <w:style w:type="paragraph" w:customStyle="1" w:styleId="35">
    <w:name w:val="修订1"/>
    <w:unhideWhenUsed/>
    <w:qFormat/>
    <w:uiPriority w:val="99"/>
    <w:rPr>
      <w:rFonts w:ascii="Times New Roman" w:hAnsi="Times New Roman" w:eastAsia="宋体" w:cs="Times New Roman"/>
      <w:kern w:val="2"/>
      <w:sz w:val="21"/>
      <w:szCs w:val="21"/>
      <w:lang w:val="en-US" w:eastAsia="zh-CN" w:bidi="ar-SA"/>
    </w:rPr>
  </w:style>
  <w:style w:type="paragraph" w:customStyle="1" w:styleId="36">
    <w:name w:val="EndNote Bibliography"/>
    <w:basedOn w:val="1"/>
    <w:link w:val="37"/>
    <w:qFormat/>
    <w:uiPriority w:val="0"/>
    <w:rPr>
      <w:rFonts w:eastAsia="等线"/>
      <w:sz w:val="20"/>
      <w:szCs w:val="22"/>
    </w:rPr>
  </w:style>
  <w:style w:type="character" w:customStyle="1" w:styleId="37">
    <w:name w:val="EndNote Bibliography 字符"/>
    <w:link w:val="36"/>
    <w:qFormat/>
    <w:uiPriority w:val="0"/>
    <w:rPr>
      <w:rFonts w:eastAsia="等线"/>
      <w:kern w:val="2"/>
      <w:szCs w:val="22"/>
    </w:rPr>
  </w:style>
  <w:style w:type="paragraph" w:customStyle="1" w:styleId="38">
    <w:name w:val="EndNote Bibliography Title"/>
    <w:basedOn w:val="1"/>
    <w:link w:val="39"/>
    <w:qFormat/>
    <w:uiPriority w:val="0"/>
    <w:pPr>
      <w:jc w:val="center"/>
    </w:pPr>
    <w:rPr>
      <w:sz w:val="20"/>
    </w:rPr>
  </w:style>
  <w:style w:type="character" w:customStyle="1" w:styleId="39">
    <w:name w:val="EndNote Bibliography Title 字符"/>
    <w:link w:val="38"/>
    <w:qFormat/>
    <w:uiPriority w:val="0"/>
    <w:rPr>
      <w:kern w:val="2"/>
      <w:szCs w:val="21"/>
      <w:lang w:val="en-US" w:eastAsia="zh-CN"/>
    </w:rPr>
  </w:style>
  <w:style w:type="character" w:customStyle="1" w:styleId="40">
    <w:name w:val="标题 1 字符"/>
    <w:link w:val="2"/>
    <w:qFormat/>
    <w:uiPriority w:val="9"/>
    <w:rPr>
      <w:b/>
      <w:bCs/>
      <w:kern w:val="44"/>
      <w:sz w:val="28"/>
      <w:szCs w:val="44"/>
    </w:rPr>
  </w:style>
  <w:style w:type="paragraph" w:customStyle="1" w:styleId="41">
    <w:name w:val="TOC 标题1"/>
    <w:basedOn w:val="2"/>
    <w:next w:val="1"/>
    <w:unhideWhenUsed/>
    <w:qFormat/>
    <w:uiPriority w:val="39"/>
    <w:pPr>
      <w:widowControl/>
      <w:spacing w:after="0" w:line="259" w:lineRule="auto"/>
      <w:jc w:val="left"/>
      <w:outlineLvl w:val="9"/>
    </w:pPr>
    <w:rPr>
      <w:rFonts w:ascii="等线 Light" w:hAnsi="等线 Light" w:eastAsia="等线 Light"/>
      <w:b w:val="0"/>
      <w:bCs w:val="0"/>
      <w:color w:val="2F5496"/>
      <w:kern w:val="0"/>
      <w:sz w:val="32"/>
      <w:szCs w:val="32"/>
    </w:rPr>
  </w:style>
  <w:style w:type="character" w:customStyle="1" w:styleId="42">
    <w:name w:val="标题 3 字符"/>
    <w:link w:val="4"/>
    <w:qFormat/>
    <w:uiPriority w:val="9"/>
    <w:rPr>
      <w:b/>
      <w:bCs/>
      <w:kern w:val="2"/>
      <w:sz w:val="24"/>
      <w:szCs w:val="32"/>
    </w:rPr>
  </w:style>
  <w:style w:type="character" w:customStyle="1" w:styleId="43">
    <w:name w:val="标准文件_段 Char"/>
    <w:link w:val="44"/>
    <w:qFormat/>
    <w:locked/>
    <w:uiPriority w:val="0"/>
    <w:rPr>
      <w:rFonts w:ascii="宋体"/>
      <w:sz w:val="21"/>
    </w:rPr>
  </w:style>
  <w:style w:type="paragraph" w:customStyle="1" w:styleId="44">
    <w:name w:val="标准文件_段"/>
    <w:link w:val="43"/>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4103</Words>
  <Characters>4852</Characters>
  <Lines>38</Lines>
  <Paragraphs>10</Paragraphs>
  <TotalTime>13</TotalTime>
  <ScaleCrop>false</ScaleCrop>
  <LinksUpToDate>false</LinksUpToDate>
  <CharactersWithSpaces>5044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2025-12-17T06:59:00Z</dcterms:created>
  <dc:creator>win10</dc:creator>
  <cp:lastModifiedBy>USER</cp:lastModifiedBy>
  <cp:lastPrinted>2021-10-27T07:09:00Z</cp:lastPrinted>
  <dcterms:modified xsi:type="dcterms:W3CDTF">2026-05-15T08:32:09Z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66E9E5E34BDE4066B40B04D1AB10F5EF_13</vt:lpwstr>
  </property>
  <property fmtid="{D5CDD505-2E9C-101B-9397-08002B2CF9AE}" pid="4" name="KSOTemplateDocerSaveRecord">
    <vt:lpwstr>eyJoZGlkIjoiNzcxY2I4ZWQ4M2UwMGZjMzNkOGUwM2ZjMzdmZmEyYzYiLCJ1c2VySWQiOiIyNTM5NDM5MzEifQ==</vt:lpwstr>
  </property>
</Properties>
</file>