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86B6" w14:textId="77777777" w:rsidR="007F0445" w:rsidRDefault="007F0445">
      <w:pPr>
        <w:spacing w:line="360" w:lineRule="auto"/>
        <w:rPr>
          <w:bCs/>
          <w:color w:val="C00000"/>
          <w:sz w:val="48"/>
          <w:szCs w:val="48"/>
        </w:rPr>
      </w:pPr>
      <w:bookmarkStart w:id="0" w:name="_Hlk528261495"/>
      <w:bookmarkStart w:id="1" w:name="OLE_LINK3"/>
    </w:p>
    <w:p w14:paraId="3C2BCF01" w14:textId="77777777" w:rsidR="007F0445" w:rsidRDefault="00000000">
      <w:pPr>
        <w:jc w:val="center"/>
        <w:rPr>
          <w:sz w:val="52"/>
          <w:szCs w:val="52"/>
        </w:rPr>
      </w:pPr>
      <w:r>
        <w:rPr>
          <w:sz w:val="52"/>
          <w:szCs w:val="52"/>
        </w:rPr>
        <w:t>团</w:t>
      </w:r>
      <w:r>
        <w:rPr>
          <w:sz w:val="52"/>
          <w:szCs w:val="52"/>
        </w:rPr>
        <w:t xml:space="preserve"> </w:t>
      </w:r>
      <w:r>
        <w:rPr>
          <w:sz w:val="52"/>
          <w:szCs w:val="52"/>
        </w:rPr>
        <w:t>体</w:t>
      </w:r>
      <w:r>
        <w:rPr>
          <w:sz w:val="52"/>
          <w:szCs w:val="52"/>
        </w:rPr>
        <w:t xml:space="preserve"> </w:t>
      </w:r>
      <w:r>
        <w:rPr>
          <w:sz w:val="52"/>
          <w:szCs w:val="52"/>
        </w:rPr>
        <w:t>标</w:t>
      </w:r>
      <w:r>
        <w:rPr>
          <w:sz w:val="52"/>
          <w:szCs w:val="52"/>
        </w:rPr>
        <w:t xml:space="preserve"> </w:t>
      </w:r>
      <w:r>
        <w:rPr>
          <w:sz w:val="52"/>
          <w:szCs w:val="52"/>
        </w:rPr>
        <w:t>准</w:t>
      </w:r>
    </w:p>
    <w:p w14:paraId="77B13FDD" w14:textId="77777777" w:rsidR="007F0445" w:rsidRDefault="007F0445">
      <w:pPr>
        <w:jc w:val="center"/>
        <w:rPr>
          <w:rFonts w:ascii="黑体" w:eastAsia="黑体" w:hAnsi="黑体" w:hint="eastAsia"/>
          <w:sz w:val="48"/>
          <w:szCs w:val="48"/>
        </w:rPr>
      </w:pPr>
    </w:p>
    <w:p w14:paraId="65EBEDB4" w14:textId="77777777" w:rsidR="007F0445" w:rsidRDefault="00000000">
      <w:pPr>
        <w:jc w:val="center"/>
        <w:rPr>
          <w:rFonts w:ascii="黑体" w:eastAsia="黑体" w:hAnsi="黑体" w:hint="eastAsia"/>
          <w:sz w:val="44"/>
          <w:szCs w:val="44"/>
        </w:rPr>
      </w:pPr>
      <w:r>
        <w:rPr>
          <w:rFonts w:ascii="黑体" w:eastAsia="黑体" w:hAnsi="黑体" w:hint="eastAsia"/>
          <w:sz w:val="44"/>
          <w:szCs w:val="44"/>
        </w:rPr>
        <w:t>《</w:t>
      </w:r>
      <w:bookmarkStart w:id="2" w:name="OLE_LINK16"/>
      <w:r>
        <w:rPr>
          <w:rFonts w:ascii="黑体" w:eastAsia="黑体" w:hAnsi="黑体" w:hint="eastAsia"/>
          <w:sz w:val="44"/>
          <w:szCs w:val="44"/>
        </w:rPr>
        <w:t>内蒙古东部典型草原固碳增汇技术评价规范</w:t>
      </w:r>
      <w:bookmarkEnd w:id="2"/>
      <w:r>
        <w:rPr>
          <w:rFonts w:ascii="黑体" w:eastAsia="黑体" w:hAnsi="黑体" w:hint="eastAsia"/>
          <w:sz w:val="44"/>
          <w:szCs w:val="44"/>
        </w:rPr>
        <w:t>》</w:t>
      </w:r>
    </w:p>
    <w:p w14:paraId="270B0C4D" w14:textId="77777777" w:rsidR="007F0445" w:rsidRDefault="00000000">
      <w:pPr>
        <w:spacing w:beforeLines="100" w:before="312" w:afterLines="100" w:after="312" w:line="480" w:lineRule="auto"/>
        <w:ind w:left="-67"/>
        <w:jc w:val="center"/>
        <w:rPr>
          <w:rFonts w:ascii="黑体" w:eastAsia="黑体" w:hAnsi="黑体" w:hint="eastAsia"/>
          <w:sz w:val="44"/>
          <w:szCs w:val="44"/>
        </w:rPr>
      </w:pPr>
      <w:r>
        <w:rPr>
          <w:rFonts w:ascii="黑体" w:eastAsia="黑体" w:hAnsi="黑体"/>
          <w:sz w:val="44"/>
          <w:szCs w:val="44"/>
        </w:rPr>
        <w:t>编制说明</w:t>
      </w:r>
    </w:p>
    <w:p w14:paraId="6DE3ADC0" w14:textId="77777777" w:rsidR="007F0445" w:rsidRDefault="007F0445">
      <w:pPr>
        <w:spacing w:line="360" w:lineRule="auto"/>
        <w:rPr>
          <w:bCs/>
          <w:sz w:val="36"/>
          <w:szCs w:val="36"/>
        </w:rPr>
      </w:pPr>
    </w:p>
    <w:p w14:paraId="528D9F67" w14:textId="77777777" w:rsidR="007F0445" w:rsidRDefault="007F0445">
      <w:pPr>
        <w:spacing w:line="360" w:lineRule="auto"/>
        <w:rPr>
          <w:bCs/>
          <w:sz w:val="36"/>
          <w:szCs w:val="36"/>
        </w:rPr>
      </w:pPr>
    </w:p>
    <w:p w14:paraId="1E29079D" w14:textId="77777777" w:rsidR="007F0445" w:rsidRDefault="007F0445">
      <w:pPr>
        <w:spacing w:line="360" w:lineRule="auto"/>
        <w:rPr>
          <w:bCs/>
          <w:sz w:val="36"/>
          <w:szCs w:val="36"/>
        </w:rPr>
      </w:pPr>
    </w:p>
    <w:p w14:paraId="2715D9AB" w14:textId="77777777" w:rsidR="007F0445" w:rsidRDefault="007F0445">
      <w:pPr>
        <w:spacing w:line="360" w:lineRule="auto"/>
        <w:rPr>
          <w:bCs/>
          <w:sz w:val="36"/>
          <w:szCs w:val="36"/>
        </w:rPr>
      </w:pPr>
    </w:p>
    <w:p w14:paraId="0C4C417A" w14:textId="77777777" w:rsidR="007F0445" w:rsidRDefault="007F0445">
      <w:pPr>
        <w:spacing w:line="360" w:lineRule="auto"/>
        <w:rPr>
          <w:bCs/>
          <w:sz w:val="36"/>
          <w:szCs w:val="36"/>
        </w:rPr>
      </w:pPr>
    </w:p>
    <w:p w14:paraId="64789C51" w14:textId="77777777" w:rsidR="007F0445" w:rsidRDefault="007F0445">
      <w:pPr>
        <w:spacing w:line="360" w:lineRule="auto"/>
        <w:rPr>
          <w:bCs/>
          <w:sz w:val="36"/>
          <w:szCs w:val="36"/>
        </w:rPr>
      </w:pPr>
    </w:p>
    <w:p w14:paraId="0211B5B5" w14:textId="77777777" w:rsidR="007F0445" w:rsidRDefault="007F0445">
      <w:pPr>
        <w:spacing w:line="360" w:lineRule="auto"/>
        <w:rPr>
          <w:bCs/>
          <w:sz w:val="36"/>
          <w:szCs w:val="36"/>
        </w:rPr>
      </w:pPr>
    </w:p>
    <w:p w14:paraId="7C7491E7" w14:textId="77777777" w:rsidR="007F0445" w:rsidRDefault="007F0445">
      <w:pPr>
        <w:widowControl/>
        <w:rPr>
          <w:bCs/>
          <w:sz w:val="44"/>
          <w:szCs w:val="44"/>
        </w:rPr>
      </w:pPr>
    </w:p>
    <w:p w14:paraId="1F0E511F" w14:textId="77777777" w:rsidR="007F0445" w:rsidRDefault="007F0445">
      <w:pPr>
        <w:widowControl/>
        <w:rPr>
          <w:bCs/>
          <w:sz w:val="44"/>
          <w:szCs w:val="44"/>
        </w:rPr>
      </w:pPr>
    </w:p>
    <w:p w14:paraId="034AC298" w14:textId="77777777" w:rsidR="007F0445" w:rsidRDefault="00000000">
      <w:pPr>
        <w:ind w:leftChars="-67" w:left="-51" w:rightChars="-182" w:right="-382" w:hangingChars="32" w:hanging="90"/>
        <w:jc w:val="center"/>
        <w:rPr>
          <w:rFonts w:ascii="黑体" w:eastAsia="黑体" w:hAnsi="黑体" w:hint="eastAsia"/>
          <w:bCs/>
          <w:sz w:val="28"/>
          <w:szCs w:val="28"/>
        </w:rPr>
      </w:pPr>
      <w:r>
        <w:rPr>
          <w:rFonts w:ascii="黑体" w:eastAsia="黑体" w:hAnsi="黑体" w:hint="eastAsia"/>
          <w:bCs/>
          <w:sz w:val="28"/>
          <w:szCs w:val="28"/>
        </w:rPr>
        <w:t>《</w:t>
      </w:r>
      <w:bookmarkStart w:id="3" w:name="OLE_LINK17"/>
      <w:r>
        <w:rPr>
          <w:rFonts w:ascii="黑体" w:eastAsia="黑体" w:hAnsi="黑体" w:hint="eastAsia"/>
          <w:bCs/>
          <w:sz w:val="28"/>
          <w:szCs w:val="28"/>
        </w:rPr>
        <w:t>内蒙古东部典型草原固碳增汇技术评价规范</w:t>
      </w:r>
      <w:bookmarkEnd w:id="3"/>
      <w:r>
        <w:rPr>
          <w:rFonts w:ascii="黑体" w:eastAsia="黑体" w:hAnsi="黑体" w:hint="eastAsia"/>
          <w:bCs/>
          <w:sz w:val="28"/>
          <w:szCs w:val="28"/>
        </w:rPr>
        <w:t>》团标制定组</w:t>
      </w:r>
    </w:p>
    <w:p w14:paraId="6617FAC3" w14:textId="4865100C" w:rsidR="007F0445" w:rsidRDefault="00E84E99">
      <w:pPr>
        <w:widowControl/>
        <w:jc w:val="center"/>
        <w:rPr>
          <w:rFonts w:ascii="黑体" w:eastAsia="黑体" w:hAnsi="黑体" w:hint="eastAsia"/>
          <w:bCs/>
          <w:sz w:val="28"/>
          <w:szCs w:val="28"/>
        </w:rPr>
      </w:pPr>
      <w:r>
        <w:rPr>
          <w:rFonts w:ascii="黑体" w:eastAsia="黑体" w:hAnsi="黑体" w:hint="eastAsia"/>
          <w:bCs/>
          <w:sz w:val="28"/>
          <w:szCs w:val="28"/>
        </w:rPr>
        <w:t>2026</w:t>
      </w:r>
      <w:r w:rsidR="00000000">
        <w:rPr>
          <w:rFonts w:ascii="黑体" w:eastAsia="黑体" w:hAnsi="黑体"/>
          <w:bCs/>
          <w:sz w:val="28"/>
          <w:szCs w:val="28"/>
        </w:rPr>
        <w:t>年</w:t>
      </w:r>
      <w:r>
        <w:rPr>
          <w:rFonts w:ascii="黑体" w:eastAsia="黑体" w:hAnsi="黑体" w:hint="eastAsia"/>
          <w:bCs/>
          <w:sz w:val="28"/>
          <w:szCs w:val="28"/>
        </w:rPr>
        <w:t>5</w:t>
      </w:r>
      <w:r w:rsidR="00000000">
        <w:rPr>
          <w:rFonts w:ascii="黑体" w:eastAsia="黑体" w:hAnsi="黑体"/>
          <w:bCs/>
          <w:sz w:val="28"/>
          <w:szCs w:val="28"/>
        </w:rPr>
        <w:t>月</w:t>
      </w:r>
    </w:p>
    <w:bookmarkEnd w:id="0"/>
    <w:p w14:paraId="40FBF7DD" w14:textId="77777777" w:rsidR="007F0445" w:rsidRDefault="00000000">
      <w:pPr>
        <w:pStyle w:val="af3"/>
        <w:spacing w:beforeLines="100" w:before="312" w:afterLines="100" w:after="312" w:line="420" w:lineRule="exact"/>
        <w:ind w:firstLineChars="0"/>
        <w:jc w:val="center"/>
        <w:rPr>
          <w:b/>
          <w:color w:val="000000"/>
          <w:sz w:val="28"/>
          <w:szCs w:val="28"/>
        </w:rPr>
      </w:pPr>
      <w:r>
        <w:rPr>
          <w:b/>
          <w:color w:val="000000"/>
          <w:sz w:val="28"/>
          <w:szCs w:val="28"/>
        </w:rPr>
        <w:br w:type="page"/>
      </w:r>
      <w:r>
        <w:rPr>
          <w:rFonts w:hint="eastAsia"/>
          <w:b/>
          <w:color w:val="000000"/>
          <w:sz w:val="28"/>
          <w:szCs w:val="28"/>
        </w:rPr>
        <w:lastRenderedPageBreak/>
        <w:t>目</w:t>
      </w:r>
      <w:r>
        <w:rPr>
          <w:rFonts w:hint="eastAsia"/>
          <w:b/>
          <w:color w:val="000000"/>
          <w:sz w:val="28"/>
          <w:szCs w:val="28"/>
        </w:rPr>
        <w:t xml:space="preserve">  </w:t>
      </w:r>
      <w:r>
        <w:rPr>
          <w:rFonts w:hint="eastAsia"/>
          <w:b/>
          <w:color w:val="000000"/>
          <w:sz w:val="28"/>
          <w:szCs w:val="28"/>
        </w:rPr>
        <w:t>次</w:t>
      </w:r>
    </w:p>
    <w:p w14:paraId="1D60AEC8" w14:textId="77777777" w:rsidR="007F0445" w:rsidRDefault="007F0445">
      <w:pPr>
        <w:pStyle w:val="af3"/>
        <w:spacing w:line="360" w:lineRule="auto"/>
        <w:ind w:firstLineChars="0"/>
        <w:rPr>
          <w:b/>
          <w:color w:val="000000"/>
          <w:sz w:val="22"/>
          <w:szCs w:val="22"/>
        </w:rPr>
      </w:pPr>
    </w:p>
    <w:p w14:paraId="34904CF9" w14:textId="77777777" w:rsidR="007F0445" w:rsidRDefault="00000000">
      <w:pPr>
        <w:pStyle w:val="TOC1"/>
        <w:tabs>
          <w:tab w:val="clear" w:pos="8538"/>
          <w:tab w:val="right" w:leader="dot" w:pos="8548"/>
        </w:tabs>
      </w:pPr>
      <w:r>
        <w:rPr>
          <w:sz w:val="24"/>
          <w:szCs w:val="24"/>
        </w:rPr>
        <w:fldChar w:fldCharType="begin"/>
      </w:r>
      <w:r>
        <w:rPr>
          <w:sz w:val="24"/>
          <w:szCs w:val="24"/>
        </w:rPr>
        <w:instrText xml:space="preserve"> TOC \o "1-3" \h \z \u </w:instrText>
      </w:r>
      <w:r>
        <w:rPr>
          <w:sz w:val="24"/>
          <w:szCs w:val="24"/>
        </w:rPr>
        <w:fldChar w:fldCharType="separate"/>
      </w:r>
      <w:hyperlink w:anchor="_Toc28321" w:history="1">
        <w:r w:rsidR="007F0445">
          <w:rPr>
            <w:rFonts w:hint="eastAsia"/>
            <w:szCs w:val="40"/>
          </w:rPr>
          <w:t>一、任务来源及标准制定背景</w:t>
        </w:r>
        <w:r w:rsidR="007F0445">
          <w:tab/>
        </w:r>
        <w:r w:rsidR="007F0445">
          <w:fldChar w:fldCharType="begin"/>
        </w:r>
        <w:r w:rsidR="007F0445">
          <w:instrText xml:space="preserve"> PAGEREF _Toc28321 \h </w:instrText>
        </w:r>
        <w:r w:rsidR="007F0445">
          <w:fldChar w:fldCharType="separate"/>
        </w:r>
        <w:r w:rsidR="007F0445">
          <w:t>4</w:t>
        </w:r>
        <w:r w:rsidR="007F0445">
          <w:fldChar w:fldCharType="end"/>
        </w:r>
      </w:hyperlink>
    </w:p>
    <w:p w14:paraId="42CE28AE" w14:textId="77777777" w:rsidR="007F0445" w:rsidRDefault="007F0445">
      <w:pPr>
        <w:pStyle w:val="TOC2"/>
        <w:tabs>
          <w:tab w:val="right" w:leader="dot" w:pos="8548"/>
        </w:tabs>
      </w:pPr>
      <w:hyperlink w:anchor="_Toc16462" w:history="1">
        <w:r>
          <w:rPr>
            <w:rFonts w:hint="eastAsia"/>
            <w:szCs w:val="28"/>
          </w:rPr>
          <w:t>1</w:t>
        </w:r>
        <w:r>
          <w:rPr>
            <w:rFonts w:hint="eastAsia"/>
            <w:szCs w:val="28"/>
          </w:rPr>
          <w:t>、任务来源</w:t>
        </w:r>
        <w:r>
          <w:tab/>
        </w:r>
        <w:r>
          <w:fldChar w:fldCharType="begin"/>
        </w:r>
        <w:r>
          <w:instrText xml:space="preserve"> PAGEREF _Toc16462 \h </w:instrText>
        </w:r>
        <w:r>
          <w:fldChar w:fldCharType="separate"/>
        </w:r>
        <w:r>
          <w:t>4</w:t>
        </w:r>
        <w:r>
          <w:fldChar w:fldCharType="end"/>
        </w:r>
      </w:hyperlink>
    </w:p>
    <w:p w14:paraId="6940F030" w14:textId="77777777" w:rsidR="007F0445" w:rsidRDefault="007F0445">
      <w:pPr>
        <w:pStyle w:val="TOC2"/>
        <w:tabs>
          <w:tab w:val="right" w:leader="dot" w:pos="8548"/>
        </w:tabs>
      </w:pPr>
      <w:hyperlink w:anchor="_Toc283" w:history="1">
        <w:r>
          <w:rPr>
            <w:rFonts w:hint="eastAsia"/>
            <w:szCs w:val="28"/>
          </w:rPr>
          <w:t>2</w:t>
        </w:r>
        <w:r>
          <w:rPr>
            <w:rFonts w:hint="eastAsia"/>
            <w:szCs w:val="28"/>
          </w:rPr>
          <w:t>、标准制定背景</w:t>
        </w:r>
        <w:r>
          <w:tab/>
        </w:r>
        <w:r>
          <w:fldChar w:fldCharType="begin"/>
        </w:r>
        <w:r>
          <w:instrText xml:space="preserve"> PAGEREF _Toc283 \h </w:instrText>
        </w:r>
        <w:r>
          <w:fldChar w:fldCharType="separate"/>
        </w:r>
        <w:r>
          <w:t>4</w:t>
        </w:r>
        <w:r>
          <w:fldChar w:fldCharType="end"/>
        </w:r>
      </w:hyperlink>
    </w:p>
    <w:p w14:paraId="65D092BA" w14:textId="77777777" w:rsidR="007F0445" w:rsidRDefault="007F0445">
      <w:pPr>
        <w:pStyle w:val="TOC2"/>
        <w:tabs>
          <w:tab w:val="right" w:leader="dot" w:pos="8548"/>
        </w:tabs>
      </w:pPr>
      <w:hyperlink w:anchor="_Toc10541" w:history="1">
        <w:r>
          <w:rPr>
            <w:rFonts w:hint="eastAsia"/>
            <w:szCs w:val="28"/>
          </w:rPr>
          <w:t>3</w:t>
        </w:r>
        <w:r>
          <w:rPr>
            <w:rFonts w:hint="eastAsia"/>
            <w:szCs w:val="28"/>
          </w:rPr>
          <w:t>、主要起草人情况</w:t>
        </w:r>
        <w:r>
          <w:tab/>
        </w:r>
        <w:r>
          <w:fldChar w:fldCharType="begin"/>
        </w:r>
        <w:r>
          <w:instrText xml:space="preserve"> PAGEREF _Toc10541 \h </w:instrText>
        </w:r>
        <w:r>
          <w:fldChar w:fldCharType="separate"/>
        </w:r>
        <w:r>
          <w:t>4</w:t>
        </w:r>
        <w:r>
          <w:fldChar w:fldCharType="end"/>
        </w:r>
      </w:hyperlink>
    </w:p>
    <w:p w14:paraId="5E7414F6" w14:textId="77777777" w:rsidR="007F0445" w:rsidRDefault="007F0445">
      <w:pPr>
        <w:pStyle w:val="TOC2"/>
        <w:tabs>
          <w:tab w:val="right" w:leader="dot" w:pos="8548"/>
        </w:tabs>
      </w:pPr>
      <w:hyperlink w:anchor="_Toc3513" w:history="1">
        <w:r>
          <w:rPr>
            <w:rFonts w:hint="eastAsia"/>
            <w:szCs w:val="28"/>
          </w:rPr>
          <w:t>4</w:t>
        </w:r>
        <w:r>
          <w:rPr>
            <w:rFonts w:hint="eastAsia"/>
            <w:szCs w:val="28"/>
          </w:rPr>
          <w:t>、起草过程</w:t>
        </w:r>
        <w:r>
          <w:tab/>
        </w:r>
        <w:r>
          <w:fldChar w:fldCharType="begin"/>
        </w:r>
        <w:r>
          <w:instrText xml:space="preserve"> PAGEREF _Toc3513 \h </w:instrText>
        </w:r>
        <w:r>
          <w:fldChar w:fldCharType="separate"/>
        </w:r>
        <w:r>
          <w:t>5</w:t>
        </w:r>
        <w:r>
          <w:fldChar w:fldCharType="end"/>
        </w:r>
      </w:hyperlink>
    </w:p>
    <w:p w14:paraId="333855B0" w14:textId="77777777" w:rsidR="007F0445" w:rsidRDefault="007F0445">
      <w:pPr>
        <w:pStyle w:val="TOC1"/>
        <w:tabs>
          <w:tab w:val="clear" w:pos="8538"/>
          <w:tab w:val="right" w:leader="dot" w:pos="8548"/>
        </w:tabs>
      </w:pPr>
      <w:hyperlink w:anchor="_Toc13625" w:history="1">
        <w:r>
          <w:rPr>
            <w:rFonts w:hint="eastAsia"/>
            <w:szCs w:val="40"/>
          </w:rPr>
          <w:t>二、</w:t>
        </w:r>
        <w:r>
          <w:rPr>
            <w:rFonts w:hint="eastAsia"/>
            <w:szCs w:val="40"/>
          </w:rPr>
          <w:t xml:space="preserve"> </w:t>
        </w:r>
        <w:r>
          <w:rPr>
            <w:rFonts w:hint="eastAsia"/>
            <w:szCs w:val="40"/>
          </w:rPr>
          <w:t>标准编制原则和确定标准主要内容</w:t>
        </w:r>
        <w:r>
          <w:tab/>
        </w:r>
        <w:r>
          <w:fldChar w:fldCharType="begin"/>
        </w:r>
        <w:r>
          <w:instrText xml:space="preserve"> PAGEREF _Toc13625 \h </w:instrText>
        </w:r>
        <w:r>
          <w:fldChar w:fldCharType="separate"/>
        </w:r>
        <w:r>
          <w:t>5</w:t>
        </w:r>
        <w:r>
          <w:fldChar w:fldCharType="end"/>
        </w:r>
      </w:hyperlink>
    </w:p>
    <w:p w14:paraId="1949A1F3" w14:textId="77777777" w:rsidR="007F0445" w:rsidRDefault="007F0445">
      <w:pPr>
        <w:pStyle w:val="TOC2"/>
        <w:tabs>
          <w:tab w:val="right" w:leader="dot" w:pos="8548"/>
        </w:tabs>
      </w:pPr>
      <w:hyperlink w:anchor="_Toc15613" w:history="1">
        <w:r>
          <w:rPr>
            <w:rFonts w:hint="eastAsia"/>
            <w:szCs w:val="28"/>
          </w:rPr>
          <w:t>1</w:t>
        </w:r>
        <w:r>
          <w:rPr>
            <w:rFonts w:hint="eastAsia"/>
            <w:szCs w:val="28"/>
          </w:rPr>
          <w:t>、标准编制原则</w:t>
        </w:r>
        <w:r>
          <w:tab/>
        </w:r>
        <w:r>
          <w:fldChar w:fldCharType="begin"/>
        </w:r>
        <w:r>
          <w:instrText xml:space="preserve"> PAGEREF _Toc15613 \h </w:instrText>
        </w:r>
        <w:r>
          <w:fldChar w:fldCharType="separate"/>
        </w:r>
        <w:r>
          <w:t>5</w:t>
        </w:r>
        <w:r>
          <w:fldChar w:fldCharType="end"/>
        </w:r>
      </w:hyperlink>
    </w:p>
    <w:p w14:paraId="7DFD9BE7" w14:textId="77777777" w:rsidR="007F0445" w:rsidRDefault="007F0445">
      <w:pPr>
        <w:pStyle w:val="TOC2"/>
        <w:tabs>
          <w:tab w:val="right" w:leader="dot" w:pos="8548"/>
        </w:tabs>
      </w:pPr>
      <w:hyperlink w:anchor="_Toc29139" w:history="1">
        <w:r>
          <w:rPr>
            <w:szCs w:val="28"/>
          </w:rPr>
          <w:t>2</w:t>
        </w:r>
        <w:r>
          <w:rPr>
            <w:szCs w:val="28"/>
          </w:rPr>
          <w:t>、</w:t>
        </w:r>
        <w:r>
          <w:rPr>
            <w:rFonts w:hint="eastAsia"/>
            <w:szCs w:val="28"/>
          </w:rPr>
          <w:t>主要技术内容确定的论据</w:t>
        </w:r>
        <w:r>
          <w:tab/>
        </w:r>
        <w:r>
          <w:fldChar w:fldCharType="begin"/>
        </w:r>
        <w:r>
          <w:instrText xml:space="preserve"> PAGEREF _Toc29139 \h </w:instrText>
        </w:r>
        <w:r>
          <w:fldChar w:fldCharType="separate"/>
        </w:r>
        <w:r>
          <w:t>5</w:t>
        </w:r>
        <w:r>
          <w:fldChar w:fldCharType="end"/>
        </w:r>
      </w:hyperlink>
    </w:p>
    <w:p w14:paraId="062FD53B" w14:textId="77777777" w:rsidR="007F0445" w:rsidRDefault="007F0445">
      <w:pPr>
        <w:pStyle w:val="TOC1"/>
        <w:tabs>
          <w:tab w:val="clear" w:pos="8538"/>
          <w:tab w:val="right" w:leader="dot" w:pos="8548"/>
        </w:tabs>
      </w:pPr>
      <w:hyperlink w:anchor="_Toc23070" w:history="1">
        <w:r>
          <w:rPr>
            <w:rFonts w:hint="eastAsia"/>
            <w:szCs w:val="40"/>
          </w:rPr>
          <w:t>三、主要试验的分析</w:t>
        </w:r>
        <w:r>
          <w:tab/>
        </w:r>
        <w:r>
          <w:fldChar w:fldCharType="begin"/>
        </w:r>
        <w:r>
          <w:instrText xml:space="preserve"> PAGEREF _Toc23070 \h </w:instrText>
        </w:r>
        <w:r>
          <w:fldChar w:fldCharType="separate"/>
        </w:r>
        <w:r>
          <w:t>7</w:t>
        </w:r>
        <w:r>
          <w:fldChar w:fldCharType="end"/>
        </w:r>
      </w:hyperlink>
    </w:p>
    <w:p w14:paraId="396BA091" w14:textId="77777777" w:rsidR="007F0445" w:rsidRDefault="007F0445">
      <w:pPr>
        <w:pStyle w:val="TOC1"/>
        <w:tabs>
          <w:tab w:val="clear" w:pos="8538"/>
          <w:tab w:val="right" w:leader="dot" w:pos="8548"/>
        </w:tabs>
      </w:pPr>
      <w:hyperlink w:anchor="_Toc2888" w:history="1">
        <w:r>
          <w:rPr>
            <w:rFonts w:hint="eastAsia"/>
            <w:szCs w:val="40"/>
          </w:rPr>
          <w:t>四</w:t>
        </w:r>
        <w:r>
          <w:rPr>
            <w:szCs w:val="40"/>
          </w:rPr>
          <w:t>、</w:t>
        </w:r>
        <w:r>
          <w:rPr>
            <w:rFonts w:hint="eastAsia"/>
            <w:szCs w:val="40"/>
          </w:rPr>
          <w:t>采用的国际标准</w:t>
        </w:r>
        <w:r>
          <w:tab/>
        </w:r>
        <w:r>
          <w:fldChar w:fldCharType="begin"/>
        </w:r>
        <w:r>
          <w:instrText xml:space="preserve"> PAGEREF _Toc2888 \h </w:instrText>
        </w:r>
        <w:r>
          <w:fldChar w:fldCharType="separate"/>
        </w:r>
        <w:r>
          <w:t>8</w:t>
        </w:r>
        <w:r>
          <w:fldChar w:fldCharType="end"/>
        </w:r>
      </w:hyperlink>
    </w:p>
    <w:p w14:paraId="6896A11F" w14:textId="77777777" w:rsidR="007F0445" w:rsidRDefault="007F0445">
      <w:pPr>
        <w:pStyle w:val="TOC1"/>
        <w:tabs>
          <w:tab w:val="clear" w:pos="8538"/>
          <w:tab w:val="right" w:leader="dot" w:pos="8548"/>
        </w:tabs>
      </w:pPr>
      <w:hyperlink w:anchor="_Toc32348" w:history="1">
        <w:r>
          <w:rPr>
            <w:rFonts w:hint="eastAsia"/>
            <w:szCs w:val="40"/>
          </w:rPr>
          <w:t>五</w:t>
        </w:r>
        <w:r>
          <w:rPr>
            <w:szCs w:val="40"/>
          </w:rPr>
          <w:t>、</w:t>
        </w:r>
        <w:r>
          <w:rPr>
            <w:rFonts w:hint="eastAsia"/>
            <w:szCs w:val="40"/>
          </w:rPr>
          <w:t>与现行法律法规和强制性标准的关系</w:t>
        </w:r>
        <w:r>
          <w:tab/>
        </w:r>
        <w:r>
          <w:fldChar w:fldCharType="begin"/>
        </w:r>
        <w:r>
          <w:instrText xml:space="preserve"> PAGEREF _Toc32348 \h </w:instrText>
        </w:r>
        <w:r>
          <w:fldChar w:fldCharType="separate"/>
        </w:r>
        <w:r>
          <w:t>8</w:t>
        </w:r>
        <w:r>
          <w:fldChar w:fldCharType="end"/>
        </w:r>
      </w:hyperlink>
    </w:p>
    <w:p w14:paraId="7B5C653E" w14:textId="77777777" w:rsidR="007F0445" w:rsidRDefault="007F0445">
      <w:pPr>
        <w:pStyle w:val="TOC1"/>
        <w:tabs>
          <w:tab w:val="clear" w:pos="8538"/>
          <w:tab w:val="right" w:leader="dot" w:pos="8548"/>
        </w:tabs>
      </w:pPr>
      <w:hyperlink w:anchor="_Toc854" w:history="1">
        <w:r>
          <w:rPr>
            <w:rFonts w:hint="eastAsia"/>
            <w:szCs w:val="40"/>
          </w:rPr>
          <w:t>六</w:t>
        </w:r>
        <w:r>
          <w:rPr>
            <w:szCs w:val="40"/>
          </w:rPr>
          <w:t>、</w:t>
        </w:r>
        <w:r>
          <w:rPr>
            <w:rFonts w:hint="eastAsia"/>
            <w:szCs w:val="40"/>
          </w:rPr>
          <w:t>重大分歧意见的处理经过和依据</w:t>
        </w:r>
        <w:r>
          <w:tab/>
        </w:r>
        <w:r>
          <w:fldChar w:fldCharType="begin"/>
        </w:r>
        <w:r>
          <w:instrText xml:space="preserve"> PAGEREF _Toc854 \h </w:instrText>
        </w:r>
        <w:r>
          <w:fldChar w:fldCharType="separate"/>
        </w:r>
        <w:r>
          <w:t>8</w:t>
        </w:r>
        <w:r>
          <w:fldChar w:fldCharType="end"/>
        </w:r>
      </w:hyperlink>
    </w:p>
    <w:p w14:paraId="5FC1A28A" w14:textId="77777777" w:rsidR="007F0445" w:rsidRDefault="007F0445">
      <w:pPr>
        <w:pStyle w:val="TOC1"/>
        <w:tabs>
          <w:tab w:val="clear" w:pos="8538"/>
          <w:tab w:val="right" w:leader="dot" w:pos="8548"/>
        </w:tabs>
      </w:pPr>
      <w:hyperlink w:anchor="_Toc17401" w:history="1">
        <w:r>
          <w:rPr>
            <w:szCs w:val="40"/>
          </w:rPr>
          <w:t>七、</w:t>
        </w:r>
        <w:r>
          <w:rPr>
            <w:rFonts w:hint="eastAsia"/>
            <w:szCs w:val="40"/>
          </w:rPr>
          <w:t>标准作为强制性或推荐性标准的意见</w:t>
        </w:r>
        <w:r>
          <w:tab/>
        </w:r>
        <w:r>
          <w:fldChar w:fldCharType="begin"/>
        </w:r>
        <w:r>
          <w:instrText xml:space="preserve"> PAGEREF _Toc17401 \h </w:instrText>
        </w:r>
        <w:r>
          <w:fldChar w:fldCharType="separate"/>
        </w:r>
        <w:r>
          <w:t>8</w:t>
        </w:r>
        <w:r>
          <w:fldChar w:fldCharType="end"/>
        </w:r>
      </w:hyperlink>
    </w:p>
    <w:p w14:paraId="356A2F47" w14:textId="77777777" w:rsidR="007F0445" w:rsidRDefault="007F0445">
      <w:pPr>
        <w:pStyle w:val="TOC1"/>
        <w:tabs>
          <w:tab w:val="clear" w:pos="8538"/>
          <w:tab w:val="right" w:leader="dot" w:pos="8548"/>
        </w:tabs>
      </w:pPr>
      <w:hyperlink w:anchor="_Toc5323" w:history="1">
        <w:r>
          <w:rPr>
            <w:szCs w:val="40"/>
          </w:rPr>
          <w:t>八、贯彻标准的要求和措施建议</w:t>
        </w:r>
        <w:r>
          <w:tab/>
        </w:r>
        <w:r>
          <w:fldChar w:fldCharType="begin"/>
        </w:r>
        <w:r>
          <w:instrText xml:space="preserve"> PAGEREF _Toc5323 \h </w:instrText>
        </w:r>
        <w:r>
          <w:fldChar w:fldCharType="separate"/>
        </w:r>
        <w:r>
          <w:t>8</w:t>
        </w:r>
        <w:r>
          <w:fldChar w:fldCharType="end"/>
        </w:r>
      </w:hyperlink>
    </w:p>
    <w:p w14:paraId="29FBD811" w14:textId="77777777" w:rsidR="007F0445" w:rsidRDefault="007F0445">
      <w:pPr>
        <w:pStyle w:val="TOC1"/>
        <w:tabs>
          <w:tab w:val="clear" w:pos="8538"/>
          <w:tab w:val="right" w:leader="dot" w:pos="8548"/>
        </w:tabs>
      </w:pPr>
      <w:hyperlink w:anchor="_Toc9685" w:history="1">
        <w:r>
          <w:rPr>
            <w:szCs w:val="40"/>
          </w:rPr>
          <w:t>九、废止现行有关标准的建议</w:t>
        </w:r>
        <w:r>
          <w:tab/>
        </w:r>
        <w:r>
          <w:fldChar w:fldCharType="begin"/>
        </w:r>
        <w:r>
          <w:instrText xml:space="preserve"> PAGEREF _Toc9685 \h </w:instrText>
        </w:r>
        <w:r>
          <w:fldChar w:fldCharType="separate"/>
        </w:r>
        <w:r>
          <w:t>8</w:t>
        </w:r>
        <w:r>
          <w:fldChar w:fldCharType="end"/>
        </w:r>
      </w:hyperlink>
    </w:p>
    <w:p w14:paraId="5A3F4FDA" w14:textId="77777777" w:rsidR="007F0445" w:rsidRDefault="007F0445">
      <w:pPr>
        <w:pStyle w:val="TOC1"/>
        <w:tabs>
          <w:tab w:val="clear" w:pos="8538"/>
          <w:tab w:val="right" w:leader="dot" w:pos="8548"/>
        </w:tabs>
      </w:pPr>
      <w:hyperlink w:anchor="_Toc29995" w:history="1">
        <w:r>
          <w:rPr>
            <w:szCs w:val="40"/>
          </w:rPr>
          <w:t>十、其他应予说明的事项</w:t>
        </w:r>
        <w:r>
          <w:tab/>
        </w:r>
        <w:r>
          <w:fldChar w:fldCharType="begin"/>
        </w:r>
        <w:r>
          <w:instrText xml:space="preserve"> PAGEREF _Toc29995 \h </w:instrText>
        </w:r>
        <w:r>
          <w:fldChar w:fldCharType="separate"/>
        </w:r>
        <w:r>
          <w:t>9</w:t>
        </w:r>
        <w:r>
          <w:fldChar w:fldCharType="end"/>
        </w:r>
      </w:hyperlink>
    </w:p>
    <w:p w14:paraId="7755D24F" w14:textId="77777777" w:rsidR="007F0445" w:rsidRDefault="00000000">
      <w:pPr>
        <w:spacing w:line="360" w:lineRule="auto"/>
        <w:rPr>
          <w:sz w:val="24"/>
          <w:szCs w:val="24"/>
        </w:rPr>
      </w:pPr>
      <w:r>
        <w:rPr>
          <w:bCs/>
          <w:szCs w:val="24"/>
          <w:lang w:val="zh-CN"/>
        </w:rPr>
        <w:fldChar w:fldCharType="end"/>
      </w:r>
    </w:p>
    <w:p w14:paraId="32720C13" w14:textId="77777777" w:rsidR="007F0445" w:rsidRDefault="007F0445">
      <w:pPr>
        <w:pStyle w:val="af3"/>
        <w:spacing w:beforeLines="100" w:before="312" w:afterLines="100" w:after="312" w:line="420" w:lineRule="exact"/>
        <w:ind w:firstLineChars="0"/>
        <w:rPr>
          <w:b/>
          <w:color w:val="000000"/>
          <w:sz w:val="28"/>
          <w:szCs w:val="28"/>
        </w:rPr>
      </w:pPr>
    </w:p>
    <w:p w14:paraId="3EB17BB0" w14:textId="77777777" w:rsidR="007F0445" w:rsidRDefault="00000000">
      <w:pPr>
        <w:pStyle w:val="1"/>
        <w:spacing w:before="0" w:after="0"/>
        <w:rPr>
          <w:sz w:val="24"/>
          <w:szCs w:val="40"/>
        </w:rPr>
      </w:pPr>
      <w:r>
        <w:br w:type="page"/>
        <w:t xml:space="preserve"> </w:t>
      </w:r>
      <w:bookmarkStart w:id="4" w:name="_Toc28321"/>
      <w:r>
        <w:rPr>
          <w:rFonts w:hint="eastAsia"/>
          <w:sz w:val="24"/>
          <w:szCs w:val="40"/>
        </w:rPr>
        <w:t>一、任务来源及标准制定背景</w:t>
      </w:r>
      <w:bookmarkEnd w:id="4"/>
    </w:p>
    <w:p w14:paraId="39E2EE66" w14:textId="77777777" w:rsidR="007F0445" w:rsidRDefault="00000000">
      <w:pPr>
        <w:pStyle w:val="2"/>
        <w:spacing w:before="0" w:after="0"/>
        <w:rPr>
          <w:rFonts w:hint="eastAsia"/>
          <w:sz w:val="22"/>
          <w:szCs w:val="28"/>
        </w:rPr>
      </w:pPr>
      <w:bookmarkStart w:id="5" w:name="_Toc16462"/>
      <w:r>
        <w:rPr>
          <w:rFonts w:hint="eastAsia"/>
          <w:sz w:val="22"/>
          <w:szCs w:val="28"/>
        </w:rPr>
        <w:t>1</w:t>
      </w:r>
      <w:r>
        <w:rPr>
          <w:rFonts w:hint="eastAsia"/>
          <w:sz w:val="22"/>
          <w:szCs w:val="28"/>
        </w:rPr>
        <w:t>、任务来源</w:t>
      </w:r>
      <w:bookmarkEnd w:id="5"/>
    </w:p>
    <w:p w14:paraId="51E08244"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本技术规范由内蒙古大学、兰州大学、中国科学院西北生态环境资源研究院、内蒙古蒙草土壤科技有限责任公司、蒙草生态环境（集团）股份有限公司共同向北京华夏草业产业技术创新战略联盟提出立项申请。针对内蒙古东部典型草原固碳增汇技术评价标准不完善、不统一的现实问题，联盟于2026年第二季度批准了《内蒙古东部典型草原固碳增汇技术评价规范》团体标准的制定任务。本标准旨在为区域草地固碳增汇技术的筛选、应用与效果评估提供技术依据。</w:t>
      </w:r>
    </w:p>
    <w:p w14:paraId="2CF241EC" w14:textId="77777777" w:rsidR="007F0445" w:rsidRDefault="00000000">
      <w:pPr>
        <w:pStyle w:val="2"/>
        <w:spacing w:before="0" w:after="0"/>
        <w:rPr>
          <w:rFonts w:hint="eastAsia"/>
          <w:sz w:val="22"/>
          <w:szCs w:val="28"/>
        </w:rPr>
      </w:pPr>
      <w:bookmarkStart w:id="6" w:name="_Toc283"/>
      <w:r>
        <w:rPr>
          <w:rFonts w:hint="eastAsia"/>
          <w:sz w:val="22"/>
          <w:szCs w:val="28"/>
        </w:rPr>
        <w:t>2</w:t>
      </w:r>
      <w:r>
        <w:rPr>
          <w:rFonts w:hint="eastAsia"/>
          <w:sz w:val="22"/>
          <w:szCs w:val="28"/>
        </w:rPr>
        <w:t>、标准制定背景</w:t>
      </w:r>
      <w:bookmarkEnd w:id="6"/>
    </w:p>
    <w:p w14:paraId="3506F585" w14:textId="77777777" w:rsidR="007F0445" w:rsidRDefault="00000000">
      <w:pPr>
        <w:widowControl/>
        <w:adjustRightInd w:val="0"/>
        <w:snapToGrid w:val="0"/>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（1）国家“双碳”战略对草原碳汇提出明确需求</w:t>
      </w:r>
    </w:p>
    <w:p w14:paraId="1C386A4D"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实现“碳达峰、碳中和”是国家重大战略决策。草原作为我国最大的陆地生态系统，碳汇潜力巨大。内蒙古东部草原是京津冀地区的重要生态屏障，在应对气候变化中扮演关键角色。然而，该区域草地退化问题突出，固碳功能受损。国家林草局《林业和草原草原碳汇行动方案（2021-2030年）》明确要求建立健全草原碳汇计量监测体系和技术标准。制定本评价规范，是落实国家战略、科学评估和提升草原碳汇功能的基础性工作。</w:t>
      </w:r>
    </w:p>
    <w:p w14:paraId="21754E7A" w14:textId="77777777" w:rsidR="007F0445" w:rsidRDefault="00000000">
      <w:pPr>
        <w:widowControl/>
        <w:adjustRightInd w:val="0"/>
        <w:snapToGrid w:val="0"/>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（2）区域碳汇交易市场亟待技术支撑</w:t>
      </w:r>
    </w:p>
    <w:p w14:paraId="203D6622"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随着全国碳排放权交易市场的逐步完善，草原碳汇项目（如VCS、CCER）开发日益受到关注。内蒙古东部是潜在的草原碳汇项目重点区域。但当前缺乏针对该区域的固碳增汇技术效果评价标准，导致碳汇量核算不准、技术选择盲目、项目不确定性高。本标准旨在解决“用什么技术、如何评价、效果如何”的核心问题，为碳汇项目的方法学选择和第三方评估提供关键技术支持。</w:t>
      </w:r>
    </w:p>
    <w:p w14:paraId="4846891B" w14:textId="77777777" w:rsidR="007F0445" w:rsidRDefault="00000000">
      <w:pPr>
        <w:widowControl/>
        <w:adjustRightInd w:val="0"/>
        <w:snapToGrid w:val="0"/>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（3）现有技术标准存在局限</w:t>
      </w:r>
    </w:p>
    <w:p w14:paraId="003127C4"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目前，虽有GB/T 37067-2018《退化草地修复技术规范》和DB15/T 3762-2024《草地固碳增汇技术评价规范》等标准，但存在以下不足：一是地方标准（DB15/T 3762-2024）虽具指导性，但缺乏对“内蒙古东部典型草原”这一特定区域的针对性；二是现有标准多为原则性规定，缺少可量化的综合评价方法（如TOPSIS法）和具体操作流程（如样地布设、取样方法）；三是未将技术的经济可行性和协同效益纳入综合评价体系。本标准的制定，是对现有标准的细化和补充，填补了区域化、综合性技术评价标准的空白。</w:t>
      </w:r>
    </w:p>
    <w:p w14:paraId="36E8FB41" w14:textId="77777777" w:rsidR="007F0445" w:rsidRDefault="00000000">
      <w:pPr>
        <w:pStyle w:val="2"/>
        <w:spacing w:before="0" w:after="0"/>
        <w:rPr>
          <w:rFonts w:hint="eastAsia"/>
          <w:sz w:val="22"/>
          <w:szCs w:val="28"/>
        </w:rPr>
      </w:pPr>
      <w:bookmarkStart w:id="7" w:name="_Toc10541"/>
      <w:r>
        <w:rPr>
          <w:rFonts w:hint="eastAsia"/>
          <w:sz w:val="22"/>
          <w:szCs w:val="28"/>
        </w:rPr>
        <w:t>3</w:t>
      </w:r>
      <w:r>
        <w:rPr>
          <w:rFonts w:hint="eastAsia"/>
          <w:sz w:val="22"/>
          <w:szCs w:val="28"/>
        </w:rPr>
        <w:t>、主要起草人情况</w:t>
      </w:r>
      <w:bookmarkEnd w:id="7"/>
    </w:p>
    <w:p w14:paraId="669042B6"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本标准主要起草人包括祁乐、于梦柯、吴越强、王强、岳平、徐柱文、李寅龙、刘亚玲。团队成员由来自高校、科研院所和企业的草地生态学、土壤学、碳汇计量、标准制定和产业推广领域的专家组成，具有长期在内蒙古东部草原开展碳循环、退化草原修复和碳汇项目开发的实践经验，确保了标准内容的科学性、先进性和可操作性。</w:t>
      </w:r>
    </w:p>
    <w:p w14:paraId="354DAC59" w14:textId="77777777" w:rsidR="007F0445" w:rsidRDefault="00000000">
      <w:pPr>
        <w:pStyle w:val="2"/>
        <w:spacing w:before="0" w:after="0"/>
        <w:rPr>
          <w:rFonts w:hint="eastAsia"/>
          <w:sz w:val="22"/>
          <w:szCs w:val="28"/>
        </w:rPr>
      </w:pPr>
      <w:bookmarkStart w:id="8" w:name="_Toc3513"/>
      <w:r>
        <w:rPr>
          <w:rFonts w:hint="eastAsia"/>
          <w:sz w:val="22"/>
          <w:szCs w:val="28"/>
        </w:rPr>
        <w:t>4</w:t>
      </w:r>
      <w:r>
        <w:rPr>
          <w:rFonts w:hint="eastAsia"/>
          <w:sz w:val="22"/>
          <w:szCs w:val="28"/>
        </w:rPr>
        <w:t>、起草过程</w:t>
      </w:r>
      <w:bookmarkEnd w:id="8"/>
    </w:p>
    <w:p w14:paraId="47591B00" w14:textId="77777777" w:rsidR="007F0445" w:rsidRDefault="00000000">
      <w:pPr>
        <w:widowControl/>
        <w:adjustRightInd w:val="0"/>
        <w:snapToGrid w:val="0"/>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（1）资料收集与调研阶段（2025年1月-2025年9月）</w:t>
      </w:r>
    </w:p>
    <w:p w14:paraId="54A6C370"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系统收集国内外关于草地碳汇、碳计量、技术评价等方面的文献、法律、法规和标准（如IPCC指南、LY/T 2988、DB15/T 3762等）。赴内蒙古呼伦贝尔、锡林郭勒等典型草原区进行实地调研，了解当前固碳增汇技术的应用现状、存在问题及一线需求。</w:t>
      </w:r>
    </w:p>
    <w:p w14:paraId="757FD6C1" w14:textId="77777777" w:rsidR="007F0445" w:rsidRDefault="00000000">
      <w:pPr>
        <w:widowControl/>
        <w:adjustRightInd w:val="0"/>
        <w:snapToGrid w:val="0"/>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（2）草案编制阶段（2025年10月-2026年3月）</w:t>
      </w:r>
    </w:p>
    <w:p w14:paraId="10D2D7F0"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在充分调研和数据分析基础上，确定了标准的基本框架和核心技术内容，包括评价指标体系（固碳能力、技术适用性、协同效益）、综合评价方法（TOPSIS法）和技术要求（样地设计、取样方法）。</w:t>
      </w:r>
      <w:r>
        <w:rPr>
          <w:rFonts w:ascii="宋体" w:hAnsi="宋体" w:cs="宋体"/>
          <w:sz w:val="22"/>
          <w:szCs w:val="20"/>
        </w:rPr>
        <w:t>形成工作组讨论稿</w:t>
      </w:r>
      <w:r>
        <w:rPr>
          <w:rFonts w:ascii="宋体" w:hAnsi="宋体" w:cs="黑体" w:hint="eastAsia"/>
          <w:kern w:val="0"/>
          <w:sz w:val="22"/>
          <w:szCs w:val="20"/>
        </w:rPr>
        <w:t>完成标准草案和编制说明初稿。</w:t>
      </w:r>
    </w:p>
    <w:p w14:paraId="1018AB80" w14:textId="77777777" w:rsidR="007F0445" w:rsidRDefault="00000000">
      <w:pPr>
        <w:widowControl/>
        <w:adjustRightInd w:val="0"/>
        <w:snapToGrid w:val="0"/>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（3）</w:t>
      </w:r>
      <w:bookmarkStart w:id="9" w:name="OLE_LINK6"/>
      <w:r>
        <w:rPr>
          <w:rFonts w:ascii="宋体" w:hAnsi="宋体" w:cs="黑体"/>
          <w:b/>
          <w:bCs/>
          <w:kern w:val="0"/>
          <w:sz w:val="22"/>
          <w:szCs w:val="20"/>
        </w:rPr>
        <w:t>编写征求意见稿标准文本</w:t>
      </w:r>
      <w:bookmarkEnd w:id="9"/>
      <w:r>
        <w:rPr>
          <w:rFonts w:ascii="宋体" w:hAnsi="宋体" w:cs="黑体" w:hint="eastAsia"/>
          <w:b/>
          <w:bCs/>
          <w:kern w:val="0"/>
          <w:sz w:val="22"/>
          <w:szCs w:val="20"/>
        </w:rPr>
        <w:t>（2026年4月-2026年5月）</w:t>
      </w:r>
    </w:p>
    <w:p w14:paraId="406E4B02"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bookmarkStart w:id="10" w:name="OLE_LINK7"/>
      <w:r>
        <w:rPr>
          <w:rFonts w:ascii="宋体" w:hAnsi="宋体" w:cs="黑体" w:hint="eastAsia"/>
          <w:kern w:val="0"/>
          <w:sz w:val="22"/>
          <w:szCs w:val="20"/>
        </w:rPr>
        <w:t>在前期调研和数据分析基础上，起草组正式启动标准文本征求意见稿的编写工作。</w:t>
      </w:r>
    </w:p>
    <w:p w14:paraId="64DA9786" w14:textId="77777777" w:rsidR="007F0445" w:rsidRDefault="00000000">
      <w:pPr>
        <w:pStyle w:val="1"/>
        <w:numPr>
          <w:ilvl w:val="0"/>
          <w:numId w:val="1"/>
        </w:numPr>
        <w:spacing w:before="0" w:after="0"/>
        <w:rPr>
          <w:sz w:val="24"/>
          <w:szCs w:val="40"/>
        </w:rPr>
      </w:pPr>
      <w:bookmarkStart w:id="11" w:name="_Toc13625"/>
      <w:bookmarkEnd w:id="10"/>
      <w:r>
        <w:rPr>
          <w:rFonts w:hint="eastAsia"/>
          <w:sz w:val="24"/>
          <w:szCs w:val="40"/>
        </w:rPr>
        <w:t>标准编制原则和确定标准主要内容</w:t>
      </w:r>
      <w:bookmarkEnd w:id="11"/>
    </w:p>
    <w:p w14:paraId="57AF0A7B" w14:textId="77777777" w:rsidR="007F0445" w:rsidRDefault="00000000">
      <w:pPr>
        <w:pStyle w:val="2"/>
        <w:spacing w:before="0" w:after="0"/>
        <w:rPr>
          <w:rFonts w:hint="eastAsia"/>
          <w:sz w:val="22"/>
          <w:szCs w:val="28"/>
        </w:rPr>
      </w:pPr>
      <w:bookmarkStart w:id="12" w:name="_Toc15613"/>
      <w:r>
        <w:rPr>
          <w:rFonts w:hint="eastAsia"/>
          <w:sz w:val="22"/>
          <w:szCs w:val="28"/>
        </w:rPr>
        <w:t>1</w:t>
      </w:r>
      <w:r>
        <w:rPr>
          <w:rFonts w:hint="eastAsia"/>
          <w:sz w:val="22"/>
          <w:szCs w:val="28"/>
        </w:rPr>
        <w:t>、标准编制原则</w:t>
      </w:r>
      <w:bookmarkEnd w:id="12"/>
    </w:p>
    <w:p w14:paraId="2D65F1AF"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本标准按照GB/T 1.1-2020《标准化工作导则 第1部分：标准化文件的结构和起草规则》的规定起草。编制过程中遵循“科学性、可操作性、系统性、区域特色”的原则。以草地生态系统碳循环理论为基础，确保评价指标的科学性；紧密结合内蒙古东部草原生产实际，确保技术方法的可操作性；构建涵盖固碳能力、经济效益、社会效应的多维评价体系，确保评价的系统性；同时突出该区域作为典型草原的代表性和特殊性，确保标准的适用性。</w:t>
      </w:r>
    </w:p>
    <w:p w14:paraId="2870429D" w14:textId="77777777" w:rsidR="007F0445" w:rsidRDefault="00000000">
      <w:pPr>
        <w:pStyle w:val="2"/>
        <w:numPr>
          <w:ilvl w:val="0"/>
          <w:numId w:val="2"/>
        </w:numPr>
        <w:spacing w:before="0" w:after="0"/>
        <w:rPr>
          <w:rFonts w:hint="eastAsia"/>
          <w:sz w:val="22"/>
          <w:szCs w:val="28"/>
        </w:rPr>
      </w:pPr>
      <w:bookmarkStart w:id="13" w:name="_Toc29139"/>
      <w:r>
        <w:rPr>
          <w:rFonts w:hint="eastAsia"/>
          <w:sz w:val="22"/>
          <w:szCs w:val="28"/>
        </w:rPr>
        <w:t>主要技术内容确定的论据</w:t>
      </w:r>
      <w:bookmarkEnd w:id="13"/>
    </w:p>
    <w:p w14:paraId="36E90CEA" w14:textId="77777777" w:rsidR="007F0445" w:rsidRDefault="00000000">
      <w:pPr>
        <w:widowControl/>
        <w:adjustRightInd w:val="0"/>
        <w:snapToGrid w:val="0"/>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（1）适用范围</w:t>
      </w:r>
    </w:p>
    <w:p w14:paraId="2A7A797D"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本标准明确规定了适用范围为“内蒙古东部各级政府草原工作站、农牧企业、科研机构及相关碳汇项目组织”。</w:t>
      </w:r>
    </w:p>
    <w:p w14:paraId="73A455AA" w14:textId="77777777" w:rsidR="007F0445" w:rsidRDefault="00000000">
      <w:pPr>
        <w:widowControl/>
        <w:adjustRightInd w:val="0"/>
        <w:snapToGrid w:val="0"/>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（2）规范性引用文件</w:t>
      </w:r>
    </w:p>
    <w:p w14:paraId="3C1CEC19" w14:textId="77777777" w:rsidR="007F044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本标准主要是内蒙古东部区典型草原固碳增汇技术的实践中，参照了GB/T</w:t>
      </w:r>
      <w:r>
        <w:rPr>
          <w:rFonts w:ascii="宋体" w:hAnsi="宋体" w:cs="黑体"/>
          <w:kern w:val="0"/>
          <w:sz w:val="22"/>
          <w:szCs w:val="20"/>
        </w:rPr>
        <w:t xml:space="preserve"> </w:t>
      </w:r>
      <w:r>
        <w:rPr>
          <w:rFonts w:ascii="宋体" w:hAnsi="宋体" w:cs="黑体" w:hint="eastAsia"/>
          <w:kern w:val="0"/>
          <w:sz w:val="22"/>
          <w:szCs w:val="20"/>
        </w:rPr>
        <w:t>37067-2018退化草地修复技术规范、GB/T 40451—2021草原与牧草术语、GB/T 46105—2025陆地生态系统碳汇核算指南、LY/T 3370-2024草原术语及分类、NY/T 1579-2007天然草原等级评定技术规范、DB15/T 3762-2024草地固碳增汇技术评价规范、DB42/T 2430—2025湿地碳收支监测技术规程以及IPCC国家温室气体清单指南，在不断完善的基础上初步制定形成了本规程。</w:t>
      </w:r>
    </w:p>
    <w:p w14:paraId="6EF8A880" w14:textId="77777777" w:rsidR="007F0445" w:rsidRDefault="00000000">
      <w:pPr>
        <w:widowControl/>
        <w:adjustRightInd w:val="0"/>
        <w:snapToGrid w:val="0"/>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（3）术语与定义</w:t>
      </w:r>
    </w:p>
    <w:p w14:paraId="5FFCEE19" w14:textId="77777777" w:rsidR="007F0445" w:rsidRDefault="00000000">
      <w:pPr>
        <w:widowControl/>
        <w:spacing w:line="360" w:lineRule="auto"/>
        <w:ind w:firstLineChars="200" w:firstLine="440"/>
        <w:rPr>
          <w:rFonts w:ascii="宋体" w:hAnsi="宋体" w:cs="黑体" w:hint="eastAsia"/>
          <w:kern w:val="0"/>
          <w:sz w:val="22"/>
          <w:szCs w:val="20"/>
        </w:rPr>
      </w:pPr>
      <w:r>
        <w:rPr>
          <w:rFonts w:hint="eastAsia"/>
          <w:sz w:val="22"/>
          <w:szCs w:val="20"/>
        </w:rPr>
        <w:t>本标准中出现的术语和定义依据国内外相关文献资料，包括著作、专著、已发表的论文、各级标准等。同时结合标准起草单位研究应用实践经验，最后经参编人员讨论确定了本标准的术语为“</w:t>
      </w:r>
      <w:r>
        <w:rPr>
          <w:rFonts w:ascii="宋体" w:hAnsi="宋体" w:cs="黑体" w:hint="eastAsia"/>
          <w:kern w:val="0"/>
          <w:sz w:val="22"/>
          <w:szCs w:val="20"/>
        </w:rPr>
        <w:t>草地固碳增汇、</w:t>
      </w:r>
      <w:r>
        <w:rPr>
          <w:sz w:val="22"/>
          <w:szCs w:val="20"/>
        </w:rPr>
        <w:t>草地</w:t>
      </w:r>
      <w:r>
        <w:rPr>
          <w:rFonts w:hint="eastAsia"/>
          <w:sz w:val="22"/>
          <w:szCs w:val="20"/>
        </w:rPr>
        <w:t>碳通</w:t>
      </w:r>
      <w:r>
        <w:rPr>
          <w:rFonts w:ascii="宋体" w:hAnsi="宋体" w:cs="黑体" w:hint="eastAsia"/>
          <w:kern w:val="0"/>
          <w:sz w:val="22"/>
          <w:szCs w:val="20"/>
        </w:rPr>
        <w:t>量、草地碳汇、草地碳库、草地碳收支、草地固碳增汇技术、草地固碳增汇技术评价、典型草原</w:t>
      </w:r>
      <w:r>
        <w:rPr>
          <w:rFonts w:hint="eastAsia"/>
          <w:sz w:val="22"/>
          <w:szCs w:val="20"/>
        </w:rPr>
        <w:t>”，并给出相应定义。</w:t>
      </w:r>
    </w:p>
    <w:p w14:paraId="0349F6A4" w14:textId="77777777" w:rsidR="007F0445" w:rsidRDefault="00000000">
      <w:pPr>
        <w:widowControl/>
        <w:numPr>
          <w:ilvl w:val="0"/>
          <w:numId w:val="3"/>
        </w:numPr>
        <w:adjustRightInd w:val="0"/>
        <w:snapToGrid w:val="0"/>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主要技术指标确定的依据</w:t>
      </w:r>
    </w:p>
    <w:p w14:paraId="31FFC854" w14:textId="77777777" w:rsidR="007F0445" w:rsidRDefault="00000000">
      <w:pPr>
        <w:pStyle w:val="af5"/>
        <w:numPr>
          <w:ilvl w:val="0"/>
          <w:numId w:val="4"/>
        </w:numPr>
        <w:spacing w:line="360" w:lineRule="auto"/>
        <w:ind w:firstLineChars="0"/>
        <w:rPr>
          <w:rFonts w:hAnsi="宋体" w:cs="黑体" w:hint="eastAsia"/>
          <w:b/>
          <w:bCs/>
          <w:sz w:val="22"/>
          <w:szCs w:val="22"/>
        </w:rPr>
      </w:pPr>
      <w:r>
        <w:rPr>
          <w:rFonts w:hAnsi="宋体" w:cs="黑体" w:hint="eastAsia"/>
          <w:b/>
          <w:bCs/>
          <w:sz w:val="22"/>
          <w:szCs w:val="22"/>
        </w:rPr>
        <w:t>固碳指标与测定方法</w:t>
      </w:r>
    </w:p>
    <w:p w14:paraId="333ACAE2" w14:textId="77777777" w:rsidR="007F0445" w:rsidRDefault="00000000">
      <w:pPr>
        <w:pStyle w:val="af5"/>
        <w:spacing w:line="360" w:lineRule="auto"/>
        <w:ind w:firstLine="440"/>
        <w:rPr>
          <w:rFonts w:hAnsi="宋体" w:cs="黑体" w:hint="eastAsia"/>
          <w:sz w:val="22"/>
          <w:szCs w:val="22"/>
        </w:rPr>
      </w:pPr>
      <w:r>
        <w:rPr>
          <w:rFonts w:hAnsi="宋体" w:cs="黑体" w:hint="eastAsia"/>
          <w:sz w:val="22"/>
          <w:szCs w:val="22"/>
        </w:rPr>
        <w:t>指标选取：综合了植被（植被种类组成、牧草产量）、土壤（总碳、有机碳）和地表（枯落物组成、枯落物产量）三类指标。这些指标是草地生态系统碳循环的关键参量，其测定方法均采用标准或文献中的经典方法，确保了数据的可靠性和可比性。详细规定了草本和灌木植物地上、地下产量的测定方法，并明确了样地代表性、重复数、取样深度等要求，这些具体规定提升了固碳增汇技术的可操作性。</w:t>
      </w:r>
    </w:p>
    <w:p w14:paraId="03AAE50C" w14:textId="77777777" w:rsidR="007F0445" w:rsidRDefault="00000000">
      <w:pPr>
        <w:pStyle w:val="af5"/>
        <w:spacing w:line="360" w:lineRule="auto"/>
        <w:ind w:firstLine="442"/>
        <w:rPr>
          <w:rFonts w:ascii="Times New Roman"/>
          <w:b/>
          <w:bCs/>
          <w:sz w:val="22"/>
          <w:szCs w:val="22"/>
        </w:rPr>
      </w:pPr>
      <w:r>
        <w:rPr>
          <w:rFonts w:hAnsi="宋体" w:cs="黑体" w:hint="eastAsia"/>
          <w:b/>
          <w:bCs/>
          <w:sz w:val="22"/>
          <w:szCs w:val="22"/>
        </w:rPr>
        <w:t>②</w:t>
      </w:r>
      <w:r>
        <w:rPr>
          <w:rFonts w:ascii="Times New Roman" w:hint="eastAsia"/>
          <w:b/>
          <w:bCs/>
          <w:sz w:val="22"/>
          <w:szCs w:val="22"/>
        </w:rPr>
        <w:t>评价指标体系</w:t>
      </w:r>
    </w:p>
    <w:p w14:paraId="24C7B45F" w14:textId="77777777" w:rsidR="007F0445" w:rsidRDefault="00000000">
      <w:pPr>
        <w:pStyle w:val="af5"/>
        <w:spacing w:line="360" w:lineRule="auto"/>
        <w:ind w:firstLine="440"/>
        <w:rPr>
          <w:rFonts w:ascii="Times New Roman"/>
          <w:sz w:val="22"/>
          <w:szCs w:val="22"/>
        </w:rPr>
      </w:pPr>
      <w:r>
        <w:rPr>
          <w:rFonts w:ascii="Times New Roman" w:hint="eastAsia"/>
          <w:sz w:val="22"/>
          <w:szCs w:val="22"/>
        </w:rPr>
        <w:t>构建原则与维度：遵循科学性、可操作性和系统性原则，构建了包含固碳能力、技术适用性和协同效益三大维度的评价体系。</w:t>
      </w:r>
    </w:p>
    <w:p w14:paraId="3C6BD8A1" w14:textId="77777777" w:rsidR="007F0445" w:rsidRDefault="00000000">
      <w:pPr>
        <w:pStyle w:val="af5"/>
        <w:spacing w:line="360" w:lineRule="auto"/>
        <w:ind w:firstLine="440"/>
        <w:rPr>
          <w:rFonts w:hAnsi="宋体" w:cs="黑体" w:hint="eastAsia"/>
          <w:sz w:val="22"/>
          <w:szCs w:val="22"/>
        </w:rPr>
      </w:pPr>
      <w:r>
        <w:rPr>
          <w:rFonts w:hAnsi="宋体" w:cs="黑体" w:hint="eastAsia"/>
          <w:sz w:val="22"/>
          <w:szCs w:val="22"/>
        </w:rPr>
        <w:t>固碳能力指标：包括年平均碳汇（ΔC）、土壤碳储量和碳收支动态，直接回应评价核心目标。</w:t>
      </w:r>
    </w:p>
    <w:p w14:paraId="08CEC502" w14:textId="77777777" w:rsidR="007F0445" w:rsidRDefault="00000000">
      <w:pPr>
        <w:tabs>
          <w:tab w:val="center" w:pos="4400"/>
          <w:tab w:val="right" w:leader="middleDot" w:pos="8360"/>
        </w:tabs>
        <w:wordWrap w:val="0"/>
        <w:ind w:firstLineChars="200" w:firstLine="420"/>
        <w:jc w:val="left"/>
        <w:rPr>
          <w:rFonts w:hAnsi="Cambria Math"/>
        </w:rPr>
      </w:pPr>
      <w:r>
        <w:t xml:space="preserve"> </w:t>
      </w:r>
      <w:r>
        <w:rPr>
          <w:rFonts w:hint="eastAsia"/>
        </w:rPr>
        <w:tab/>
      </w:r>
      <w:bookmarkStart w:id="14" w:name="OLE_LINK295"/>
      <w:r>
        <w:t xml:space="preserve"> </w:t>
      </w:r>
      <m:oMath>
        <m:r>
          <m:rPr>
            <m:sty m:val="p"/>
          </m:rPr>
          <w:rPr>
            <w:rFonts w:ascii="Cambria Math" w:hAnsi="Cambria Math"/>
          </w:rPr>
          <m:t>ΔC</m:t>
        </m:r>
        <m:r>
          <m:rPr>
            <m:nor/>
          </m:rPr>
          <m:t>=</m:t>
        </m:r>
        <m:f>
          <m:fPr>
            <m:ctrlPr>
              <w:rPr>
                <w:rFonts w:ascii="Cambria Math" w:hAnsi="Cambria Math"/>
                <w:i/>
              </w:rPr>
            </m:ctrlPr>
          </m:fPr>
          <m:num>
            <m:sSub>
              <m:sSubPr>
                <m:ctrlPr>
                  <w:rPr>
                    <w:rFonts w:ascii="Cambria Math" w:hAnsi="Cambria Math"/>
                    <w:iCs/>
                  </w:rPr>
                </m:ctrlPr>
              </m:sSubPr>
              <m:e>
                <m:r>
                  <m:rPr>
                    <m:sty m:val="p"/>
                  </m:rPr>
                  <w:rPr>
                    <w:rFonts w:ascii="Cambria Math" w:hAnsi="Cambria Math"/>
                  </w:rPr>
                  <m:t>C</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sub>
            </m:sSub>
            <m:r>
              <m:rPr>
                <m:nor/>
              </m:rPr>
              <w:rPr>
                <w:vertAlign w:val="subscript"/>
              </w:rPr>
              <m:t>-</m:t>
            </m:r>
            <m:sSub>
              <m:sSubPr>
                <m:ctrlPr>
                  <w:rPr>
                    <w:rFonts w:ascii="Cambria Math" w:hAnsi="Cambria Math"/>
                    <w:iCs/>
                  </w:rPr>
                </m:ctrlPr>
              </m:sSubPr>
              <m:e>
                <m:r>
                  <m:rPr>
                    <m:sty m:val="p"/>
                  </m:rPr>
                  <w:rPr>
                    <w:rFonts w:ascii="Cambria Math" w:hAnsi="Cambria Math"/>
                  </w:rPr>
                  <m:t>C</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sub>
            </m:sSub>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r>
              <m:rPr>
                <m:nor/>
              </m: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den>
        </m:f>
      </m:oMath>
      <w:bookmarkEnd w:id="14"/>
      <w:r>
        <w:rPr>
          <w:rFonts w:hint="eastAsia"/>
        </w:rPr>
        <w:tab/>
      </w:r>
      <w:r>
        <w:rPr>
          <w:rFonts w:ascii="宋体" w:hint="eastAsia"/>
        </w:rPr>
        <w:t xml:space="preserve"> (1)</w:t>
      </w:r>
    </w:p>
    <w:p w14:paraId="6B2B510D" w14:textId="77777777" w:rsidR="007F0445" w:rsidRDefault="00000000">
      <w:pPr>
        <w:wordWrap w:val="0"/>
        <w:snapToGrid w:val="0"/>
        <w:spacing w:line="360" w:lineRule="auto"/>
        <w:ind w:firstLineChars="200" w:firstLine="440"/>
        <w:rPr>
          <w:kern w:val="0"/>
          <w:sz w:val="22"/>
          <w:szCs w:val="24"/>
        </w:rPr>
      </w:pPr>
      <w:r>
        <w:rPr>
          <w:kern w:val="0"/>
          <w:sz w:val="22"/>
          <w:szCs w:val="24"/>
        </w:rPr>
        <w:t>式中：</w:t>
      </w:r>
    </w:p>
    <w:p w14:paraId="77D1513C" w14:textId="77777777" w:rsidR="007F0445" w:rsidRDefault="00000000">
      <w:pPr>
        <w:autoSpaceDE w:val="0"/>
        <w:autoSpaceDN w:val="0"/>
        <w:spacing w:line="360" w:lineRule="auto"/>
        <w:ind w:firstLineChars="200" w:firstLine="420"/>
      </w:pPr>
      <w:r>
        <w:t>ΔC-</w:t>
      </w:r>
      <w:r>
        <w:t>为</w:t>
      </w:r>
      <w:r>
        <w:t>t</w:t>
      </w:r>
      <w:r>
        <w:rPr>
          <w:vertAlign w:val="subscript"/>
        </w:rPr>
        <w:t>2</w:t>
      </w:r>
      <w:r>
        <w:t>和</w:t>
      </w:r>
      <w:r>
        <w:t>t</w:t>
      </w:r>
      <w:r>
        <w:rPr>
          <w:vertAlign w:val="subscript"/>
        </w:rPr>
        <w:t>1</w:t>
      </w:r>
      <w:r>
        <w:t xml:space="preserve"> 2</w:t>
      </w:r>
      <w:r>
        <w:t>个时间点年平均碳汇，单位为吨每公顷每年</w:t>
      </w:r>
      <w:r>
        <w:t xml:space="preserve">(t </w:t>
      </w:r>
      <m:oMath>
        <m:sSup>
          <m:sSupPr>
            <m:ctrlPr>
              <w:rPr>
                <w:rFonts w:ascii="Cambria Math" w:hAnsi="Cambria Math"/>
                <w:iCs/>
              </w:rPr>
            </m:ctrlPr>
          </m:sSupPr>
          <m:e>
            <m:r>
              <m:rPr>
                <m:sty m:val="p"/>
              </m:rPr>
              <w:rPr>
                <w:rFonts w:ascii="Cambria Math" w:hAnsi="Cambria Math"/>
              </w:rPr>
              <m:t>ha</m:t>
            </m:r>
          </m:e>
          <m:sup>
            <m:r>
              <m:rPr>
                <m:sty m:val="p"/>
              </m:rPr>
              <w:rPr>
                <w:rFonts w:ascii="Cambria Math" w:hAnsi="Cambria Math"/>
              </w:rPr>
              <m:t>-1</m:t>
            </m:r>
          </m:sup>
        </m:sSup>
        <m:sSup>
          <m:sSupPr>
            <m:ctrlPr>
              <w:rPr>
                <w:rFonts w:ascii="Cambria Math" w:hAnsi="Cambria Math"/>
                <w:iCs/>
              </w:rPr>
            </m:ctrlPr>
          </m:sSupPr>
          <m:e>
            <m:r>
              <m:rPr>
                <m:sty m:val="p"/>
              </m:rPr>
              <w:rPr>
                <w:rFonts w:ascii="Cambria Math" w:hAnsi="Cambria Math"/>
              </w:rPr>
              <m:t>a</m:t>
            </m:r>
          </m:e>
          <m:sup>
            <m:r>
              <m:rPr>
                <m:sty m:val="p"/>
              </m:rPr>
              <w:rPr>
                <w:rFonts w:ascii="Cambria Math" w:hAnsi="Cambria Math"/>
              </w:rPr>
              <m:t>-1</m:t>
            </m:r>
          </m:sup>
        </m:sSup>
      </m:oMath>
      <w:r>
        <w:t>)</w:t>
      </w:r>
      <w:r>
        <w:t>；</w:t>
      </w:r>
    </w:p>
    <w:p w14:paraId="34267231" w14:textId="77777777" w:rsidR="007F0445" w:rsidRDefault="00000000">
      <w:pPr>
        <w:autoSpaceDE w:val="0"/>
        <w:autoSpaceDN w:val="0"/>
        <w:spacing w:line="360" w:lineRule="auto"/>
        <w:ind w:firstLineChars="200" w:firstLine="420"/>
      </w:pPr>
      <m:oMath>
        <m:sSub>
          <m:sSubPr>
            <m:ctrlPr>
              <w:rPr>
                <w:rFonts w:ascii="Cambria Math" w:hAnsi="Cambria Math"/>
                <w:iCs/>
              </w:rPr>
            </m:ctrlPr>
          </m:sSubPr>
          <m:e>
            <m:r>
              <m:rPr>
                <m:sty m:val="p"/>
              </m:rPr>
              <w:rPr>
                <w:rFonts w:ascii="Cambria Math" w:hAnsi="Cambria Math"/>
              </w:rPr>
              <m:t>C</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sub>
        </m:sSub>
      </m:oMath>
      <w:r>
        <w:t>-</w:t>
      </w:r>
      <w:r>
        <w:t>为面积为</w:t>
      </w:r>
      <w:r>
        <w:t>S</w:t>
      </w:r>
      <w:r>
        <w:t>的草原在当年调查样地的碳储量，单位为吨</w:t>
      </w:r>
      <w:r>
        <w:t>(t)</w:t>
      </w:r>
      <w:r>
        <w:t>；</w:t>
      </w:r>
    </w:p>
    <w:p w14:paraId="41F7A455" w14:textId="77777777" w:rsidR="007F0445" w:rsidRDefault="00000000">
      <w:pPr>
        <w:autoSpaceDE w:val="0"/>
        <w:autoSpaceDN w:val="0"/>
        <w:spacing w:line="360" w:lineRule="auto"/>
        <w:ind w:firstLineChars="200" w:firstLine="420"/>
      </w:pPr>
      <m:oMath>
        <m:sSub>
          <m:sSubPr>
            <m:ctrlPr>
              <w:rPr>
                <w:rFonts w:ascii="Cambria Math" w:hAnsi="Cambria Math"/>
                <w:iCs/>
              </w:rPr>
            </m:ctrlPr>
          </m:sSubPr>
          <m:e>
            <m:r>
              <m:rPr>
                <m:sty m:val="p"/>
              </m:rPr>
              <w:rPr>
                <w:rFonts w:ascii="Cambria Math" w:hAnsi="Cambria Math"/>
              </w:rPr>
              <m:t>C</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sub>
        </m:sSub>
      </m:oMath>
      <w:r>
        <w:t>-</w:t>
      </w:r>
      <w:r>
        <w:t>为面积为</w:t>
      </w:r>
      <w:r>
        <w:t>S</w:t>
      </w:r>
      <w:r>
        <w:t>的草原在基年调查样地的碳储量，单位为吨</w:t>
      </w:r>
      <w:r>
        <w:t>(t)</w:t>
      </w:r>
      <w:r>
        <w:t>；</w:t>
      </w:r>
    </w:p>
    <w:p w14:paraId="5468253F" w14:textId="77777777" w:rsidR="007F0445" w:rsidRDefault="00000000">
      <w:pPr>
        <w:autoSpaceDE w:val="0"/>
        <w:autoSpaceDN w:val="0"/>
        <w:spacing w:line="360" w:lineRule="auto"/>
        <w:ind w:firstLineChars="200" w:firstLine="420"/>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oMath>
      <w:r>
        <w:rPr>
          <w:iCs/>
        </w:rPr>
        <w:t>-</w:t>
      </w:r>
      <w:r>
        <w:t>为当年的年份，单位为年</w:t>
      </w:r>
      <w:r>
        <w:t>(a)</w:t>
      </w:r>
      <w:r>
        <w:t>；</w:t>
      </w:r>
    </w:p>
    <w:p w14:paraId="3A69CFF5" w14:textId="77777777" w:rsidR="007F0445" w:rsidRDefault="00000000">
      <w:pPr>
        <w:autoSpaceDE w:val="0"/>
        <w:autoSpaceDN w:val="0"/>
        <w:spacing w:line="360" w:lineRule="auto"/>
        <w:ind w:firstLineChars="200" w:firstLine="420"/>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oMath>
      <w:r>
        <w:rPr>
          <w:iCs/>
        </w:rPr>
        <w:t>-</w:t>
      </w:r>
      <w:r>
        <w:t>为基年的年份，单位为年</w:t>
      </w:r>
      <w:r>
        <w:t>(a)</w:t>
      </w:r>
      <w:r>
        <w:t>。</w:t>
      </w:r>
    </w:p>
    <w:p w14:paraId="4561E8F1" w14:textId="77777777" w:rsidR="007F0445" w:rsidRDefault="00000000">
      <w:pPr>
        <w:wordWrap w:val="0"/>
        <w:spacing w:line="360" w:lineRule="auto"/>
        <w:ind w:firstLineChars="200" w:firstLine="420"/>
      </w:pPr>
      <w:r>
        <w:t>其中</w:t>
      </w:r>
      <m:oMath>
        <m:sSub>
          <m:sSubPr>
            <m:ctrlPr>
              <w:rPr>
                <w:rFonts w:ascii="Cambria Math" w:hAnsi="Cambria Math"/>
                <w:iCs/>
              </w:rPr>
            </m:ctrlPr>
          </m:sSubPr>
          <m:e>
            <m:r>
              <m:rPr>
                <m:sty m:val="p"/>
              </m:rPr>
              <w:rPr>
                <w:rFonts w:ascii="Cambria Math" w:hAnsi="Cambria Math"/>
              </w:rPr>
              <m:t>C</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sub>
        </m:sSub>
      </m:oMath>
      <w:r>
        <w:t>和</w:t>
      </w:r>
      <m:oMath>
        <m:sSub>
          <m:sSubPr>
            <m:ctrlPr>
              <w:rPr>
                <w:rFonts w:ascii="Cambria Math" w:hAnsi="Cambria Math"/>
                <w:iCs/>
              </w:rPr>
            </m:ctrlPr>
          </m:sSubPr>
          <m:e>
            <m:r>
              <m:rPr>
                <m:sty m:val="p"/>
              </m:rPr>
              <w:rPr>
                <w:rFonts w:ascii="Cambria Math" w:hAnsi="Cambria Math"/>
              </w:rPr>
              <m:t>C</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sub>
        </m:sSub>
      </m:oMath>
      <w:r>
        <w:t>分别为当年和基年碳储量。</w:t>
      </w:r>
    </w:p>
    <w:p w14:paraId="58323E1D" w14:textId="77777777" w:rsidR="007F0445" w:rsidRDefault="00000000">
      <w:pPr>
        <w:tabs>
          <w:tab w:val="center" w:pos="4180"/>
          <w:tab w:val="right" w:leader="middleDot" w:pos="8360"/>
        </w:tabs>
        <w:snapToGrid w:val="0"/>
        <w:ind w:firstLineChars="200" w:firstLine="420"/>
        <w:jc w:val="left"/>
        <w:textAlignment w:val="center"/>
      </w:pPr>
      <w:r>
        <w:rPr>
          <w:rFonts w:hint="eastAsia"/>
        </w:rPr>
        <w:tab/>
      </w:r>
      <m:oMath>
        <m:r>
          <m:rPr>
            <m:sty m:val="p"/>
          </m:rPr>
          <w:rPr>
            <w:rFonts w:ascii="Cambria Math" w:hAnsi="Cambria Math"/>
          </w:rPr>
          <m:t xml:space="preserve">NECB </m:t>
        </m:r>
        <m:r>
          <m:rPr>
            <m:nor/>
          </m:rPr>
          <m:t xml:space="preserve">= </m:t>
        </m:r>
        <m:r>
          <w:rPr>
            <w:rFonts w:ascii="Cambria Math" w:hAnsi="Cambria Math"/>
          </w:rPr>
          <m:t xml:space="preserve"> </m:t>
        </m:r>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input</m:t>
            </m:r>
          </m:sub>
        </m:sSub>
        <m:r>
          <w:rPr>
            <w:rFonts w:ascii="Cambria Math" w:hAnsi="Cambria Math" w:cs="Cambria Math"/>
          </w:rPr>
          <m:t>-</m:t>
        </m:r>
        <m:r>
          <w:rPr>
            <w:rFonts w:ascii="Cambria Math" w:hAnsi="Cambria Math"/>
          </w:rPr>
          <m:t xml:space="preserve"> </m:t>
        </m:r>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output</m:t>
            </m:r>
          </m:sub>
        </m:sSub>
      </m:oMath>
      <w:r>
        <w:rPr>
          <w:rFonts w:hint="eastAsia"/>
        </w:rPr>
        <w:tab/>
        <w:t>(2)</w:t>
      </w:r>
    </w:p>
    <w:p w14:paraId="1A85D333" w14:textId="77777777" w:rsidR="007F0445" w:rsidRDefault="00000000">
      <w:pPr>
        <w:wordWrap w:val="0"/>
        <w:ind w:firstLineChars="200" w:firstLine="420"/>
      </w:pPr>
      <w:r>
        <w:rPr>
          <w:lang w:val="fr-FR"/>
        </w:rPr>
        <w:t>式中：</w:t>
      </w:r>
    </w:p>
    <w:p w14:paraId="4FDE3EB9" w14:textId="77777777" w:rsidR="007F0445" w:rsidRDefault="00000000">
      <w:pPr>
        <w:pStyle w:val="af5"/>
        <w:spacing w:line="360" w:lineRule="auto"/>
        <w:ind w:firstLine="420"/>
        <w:rPr>
          <w:rFonts w:hAnsi="宋体" w:cs="黑体" w:hint="eastAsia"/>
          <w:sz w:val="22"/>
          <w:szCs w:val="22"/>
        </w:rPr>
      </w:pPr>
      <m:oMath>
        <m:sSub>
          <m:sSubPr>
            <m:ctrlPr>
              <w:rPr>
                <w:rFonts w:ascii="Cambria Math" w:hAnsi="Cambria Math"/>
                <w:iCs/>
                <w:szCs w:val="21"/>
              </w:rPr>
            </m:ctrlPr>
          </m:sSubPr>
          <m:e>
            <m:r>
              <m:rPr>
                <m:sty m:val="p"/>
              </m:rPr>
              <w:rPr>
                <w:rFonts w:ascii="Cambria Math" w:hAnsi="Cambria Math"/>
                <w:szCs w:val="21"/>
              </w:rPr>
              <m:t>C</m:t>
            </m:r>
          </m:e>
          <m:sub>
            <m:r>
              <m:rPr>
                <m:sty m:val="p"/>
              </m:rPr>
              <w:rPr>
                <w:rFonts w:ascii="Cambria Math" w:hAnsi="Cambria Math"/>
                <w:szCs w:val="21"/>
              </w:rPr>
              <m:t>input</m:t>
            </m:r>
          </m:sub>
        </m:sSub>
      </m:oMath>
      <w:r>
        <w:rPr>
          <w:szCs w:val="21"/>
          <w:lang w:val="fr-FR"/>
        </w:rPr>
        <w:t>是草地生态系统碳投入量(</w:t>
      </w:r>
      <m:oMath>
        <m:sSup>
          <m:sSupPr>
            <m:ctrlPr>
              <w:rPr>
                <w:rFonts w:ascii="Cambria Math" w:hAnsi="Cambria Math"/>
                <w:iCs/>
              </w:rPr>
            </m:ctrlPr>
          </m:sSupPr>
          <m:e>
            <m:r>
              <m:rPr>
                <m:sty m:val="p"/>
              </m:rPr>
              <w:rPr>
                <w:rFonts w:ascii="Cambria Math" w:hAnsi="Cambria Math"/>
              </w:rPr>
              <m:t>kg C ha</m:t>
            </m:r>
          </m:e>
          <m:sup>
            <m:r>
              <m:rPr>
                <m:sty m:val="p"/>
              </m:rPr>
              <w:rPr>
                <w:rFonts w:ascii="Cambria Math" w:hAnsi="Cambria Math"/>
              </w:rPr>
              <m:t>-1</m:t>
            </m:r>
          </m:sup>
        </m:sSup>
      </m:oMath>
      <w:r>
        <w:rPr>
          <w:szCs w:val="21"/>
          <w:lang w:val="fr-FR"/>
        </w:rPr>
        <w:t>)；</w:t>
      </w:r>
      <m:oMath>
        <m:sSub>
          <m:sSubPr>
            <m:ctrlPr>
              <w:rPr>
                <w:rFonts w:ascii="Cambria Math" w:hAnsi="Cambria Math"/>
                <w:iCs/>
                <w:szCs w:val="21"/>
              </w:rPr>
            </m:ctrlPr>
          </m:sSubPr>
          <m:e>
            <m:r>
              <m:rPr>
                <m:sty m:val="p"/>
              </m:rPr>
              <w:rPr>
                <w:rFonts w:ascii="Cambria Math" w:hAnsi="Cambria Math"/>
                <w:szCs w:val="21"/>
              </w:rPr>
              <m:t>C</m:t>
            </m:r>
          </m:e>
          <m:sub>
            <m:r>
              <m:rPr>
                <m:sty m:val="p"/>
              </m:rPr>
              <w:rPr>
                <w:rFonts w:ascii="Cambria Math" w:hAnsi="Cambria Math"/>
                <w:szCs w:val="21"/>
              </w:rPr>
              <m:t>output</m:t>
            </m:r>
          </m:sub>
        </m:sSub>
      </m:oMath>
      <w:r>
        <w:rPr>
          <w:szCs w:val="21"/>
          <w:lang w:val="fr-FR"/>
        </w:rPr>
        <w:t>是草地生态系统碳输出量(</w:t>
      </w:r>
      <m:oMath>
        <m:sSup>
          <m:sSupPr>
            <m:ctrlPr>
              <w:rPr>
                <w:rFonts w:ascii="Cambria Math" w:hAnsi="Cambria Math"/>
                <w:iCs/>
              </w:rPr>
            </m:ctrlPr>
          </m:sSupPr>
          <m:e>
            <m:r>
              <m:rPr>
                <m:sty m:val="p"/>
              </m:rPr>
              <w:rPr>
                <w:rFonts w:ascii="Cambria Math" w:hAnsi="Cambria Math"/>
              </w:rPr>
              <m:t>kg C ha</m:t>
            </m:r>
          </m:e>
          <m:sup>
            <m:r>
              <m:rPr>
                <m:sty m:val="p"/>
              </m:rPr>
              <w:rPr>
                <w:rFonts w:ascii="Cambria Math" w:hAnsi="Cambria Math"/>
              </w:rPr>
              <m:t>-1</m:t>
            </m:r>
          </m:sup>
        </m:sSup>
      </m:oMath>
      <w:r>
        <w:rPr>
          <w:szCs w:val="21"/>
          <w:lang w:val="fr-FR"/>
        </w:rPr>
        <w:t>)；</w:t>
      </w:r>
      <w:r>
        <w:rPr>
          <w:szCs w:val="21"/>
        </w:rPr>
        <w:t>NECB是</w:t>
      </w:r>
      <w:r>
        <w:rPr>
          <w:szCs w:val="21"/>
          <w:lang w:val="fr-FR"/>
        </w:rPr>
        <w:t>是草地生态系统</w:t>
      </w:r>
      <w:r>
        <w:rPr>
          <w:szCs w:val="21"/>
        </w:rPr>
        <w:t>净碳收支</w:t>
      </w:r>
      <w:r>
        <w:rPr>
          <w:szCs w:val="21"/>
          <w:lang w:val="fr-FR"/>
        </w:rPr>
        <w:t>(</w:t>
      </w:r>
      <m:oMath>
        <m:sSup>
          <m:sSupPr>
            <m:ctrlPr>
              <w:rPr>
                <w:rFonts w:ascii="Cambria Math" w:hAnsi="Cambria Math"/>
                <w:iCs/>
              </w:rPr>
            </m:ctrlPr>
          </m:sSupPr>
          <m:e>
            <m:r>
              <m:rPr>
                <m:sty m:val="p"/>
              </m:rPr>
              <w:rPr>
                <w:rFonts w:ascii="Cambria Math" w:hAnsi="Cambria Math"/>
              </w:rPr>
              <m:t>kg C ha</m:t>
            </m:r>
          </m:e>
          <m:sup>
            <m:r>
              <m:rPr>
                <m:sty m:val="p"/>
              </m:rPr>
              <w:rPr>
                <w:rFonts w:ascii="Cambria Math" w:hAnsi="Cambria Math"/>
              </w:rPr>
              <m:t>-1</m:t>
            </m:r>
          </m:sup>
        </m:sSup>
      </m:oMath>
      <w:r>
        <w:rPr>
          <w:rFonts w:hint="eastAsia"/>
          <w:szCs w:val="21"/>
        </w:rPr>
        <w:t xml:space="preserve"> </w:t>
      </w:r>
      <w:r>
        <w:rPr>
          <w:szCs w:val="21"/>
          <w:lang w:val="fr-FR"/>
        </w:rPr>
        <w:t>)</w:t>
      </w:r>
      <w:r>
        <w:rPr>
          <w:szCs w:val="21"/>
        </w:rPr>
        <w:t>。</w:t>
      </w:r>
    </w:p>
    <w:p w14:paraId="78E41830" w14:textId="77777777" w:rsidR="007F0445" w:rsidRDefault="00000000">
      <w:pPr>
        <w:pStyle w:val="af5"/>
        <w:spacing w:line="360" w:lineRule="auto"/>
        <w:ind w:firstLine="440"/>
        <w:rPr>
          <w:rFonts w:ascii="Times New Roman"/>
          <w:sz w:val="22"/>
          <w:szCs w:val="22"/>
        </w:rPr>
      </w:pPr>
      <w:r>
        <w:rPr>
          <w:rFonts w:hAnsi="宋体" w:cs="黑体" w:hint="eastAsia"/>
          <w:sz w:val="22"/>
          <w:szCs w:val="22"/>
        </w:rPr>
        <w:t>技术适用性指标包括生态适宜性、经济可行性</w:t>
      </w:r>
      <w:r>
        <w:rPr>
          <w:rFonts w:ascii="Times New Roman" w:hint="eastAsia"/>
          <w:sz w:val="22"/>
          <w:szCs w:val="22"/>
        </w:rPr>
        <w:t>和社会接受度。</w:t>
      </w:r>
    </w:p>
    <w:p w14:paraId="1B22188D" w14:textId="77777777" w:rsidR="007F0445" w:rsidRDefault="00000000">
      <w:pPr>
        <w:pStyle w:val="af5"/>
        <w:spacing w:line="360" w:lineRule="auto"/>
        <w:ind w:firstLine="440"/>
        <w:rPr>
          <w:rFonts w:hAnsi="宋体" w:cs="黑体" w:hint="eastAsia"/>
          <w:b/>
          <w:bCs/>
          <w:sz w:val="22"/>
          <w:szCs w:val="22"/>
        </w:rPr>
      </w:pPr>
      <w:r>
        <w:rPr>
          <w:rFonts w:ascii="Times New Roman" w:hint="eastAsia"/>
          <w:sz w:val="22"/>
          <w:szCs w:val="22"/>
        </w:rPr>
        <w:t>协同效益指标：涵盖生态、经济和社会等方面。</w:t>
      </w:r>
    </w:p>
    <w:p w14:paraId="7ADF29D6" w14:textId="77777777" w:rsidR="007F0445" w:rsidRDefault="00000000">
      <w:pPr>
        <w:widowControl/>
        <w:spacing w:line="360" w:lineRule="auto"/>
        <w:ind w:firstLineChars="200" w:firstLine="442"/>
        <w:rPr>
          <w:rFonts w:hAnsi="宋体" w:cs="黑体" w:hint="eastAsia"/>
          <w:b/>
          <w:bCs/>
          <w:sz w:val="22"/>
          <w:szCs w:val="22"/>
        </w:rPr>
      </w:pPr>
      <w:r>
        <w:rPr>
          <w:rFonts w:hAnsi="宋体" w:cs="黑体" w:hint="eastAsia"/>
          <w:b/>
          <w:bCs/>
          <w:sz w:val="22"/>
          <w:szCs w:val="22"/>
        </w:rPr>
        <w:t>③综合评价方法</w:t>
      </w:r>
    </w:p>
    <w:p w14:paraId="36B3CE06" w14:textId="77777777" w:rsidR="007F0445" w:rsidRDefault="00000000">
      <w:pPr>
        <w:widowControl/>
        <w:spacing w:line="360" w:lineRule="auto"/>
        <w:ind w:firstLineChars="200" w:firstLine="440"/>
        <w:rPr>
          <w:color w:val="000000"/>
          <w:kern w:val="0"/>
          <w:sz w:val="22"/>
          <w:szCs w:val="22"/>
          <w:lang w:bidi="ar"/>
          <w14:ligatures w14:val="standardContextual"/>
        </w:rPr>
      </w:pPr>
      <w:r>
        <w:rPr>
          <w:rFonts w:hint="eastAsia"/>
          <w:color w:val="000000"/>
          <w:kern w:val="0"/>
          <w:sz w:val="22"/>
          <w:szCs w:val="22"/>
          <w:lang w:bidi="ar"/>
          <w14:ligatures w14:val="standardContextual"/>
        </w:rPr>
        <w:t>方法选择：采用</w:t>
      </w:r>
      <w:r>
        <w:rPr>
          <w:rFonts w:hint="eastAsia"/>
          <w:color w:val="000000"/>
          <w:kern w:val="0"/>
          <w:sz w:val="22"/>
          <w:szCs w:val="22"/>
          <w:lang w:bidi="ar"/>
          <w14:ligatures w14:val="standardContextual"/>
        </w:rPr>
        <w:t>TOPSIS</w:t>
      </w:r>
      <w:r>
        <w:rPr>
          <w:rFonts w:hint="eastAsia"/>
          <w:color w:val="000000"/>
          <w:kern w:val="0"/>
          <w:sz w:val="22"/>
          <w:szCs w:val="22"/>
          <w:lang w:bidi="ar"/>
          <w14:ligatures w14:val="standardContextual"/>
        </w:rPr>
        <w:t>法（逼近理想解排序法）进行综合评价。该方法能充分利用原始数据信息，定量反映各评价方案之间的差距，结果直观（</w:t>
      </w:r>
      <w:r>
        <w:rPr>
          <w:rFonts w:hint="eastAsia"/>
          <w:color w:val="000000"/>
          <w:kern w:val="0"/>
          <w:sz w:val="22"/>
          <w:szCs w:val="22"/>
          <w:lang w:bidi="ar"/>
          <w14:ligatures w14:val="standardContextual"/>
        </w:rPr>
        <w:t>C</w:t>
      </w:r>
      <w:r>
        <w:rPr>
          <w:rFonts w:hint="eastAsia"/>
          <w:color w:val="000000"/>
          <w:kern w:val="0"/>
          <w:sz w:val="22"/>
          <w:szCs w:val="22"/>
          <w:lang w:bidi="ar"/>
          <w14:ligatures w14:val="standardContextual"/>
        </w:rPr>
        <w:t>值），是解决多指标决策问题的成熟算法，广泛应用于环境科学和工程技术评价领域。</w:t>
      </w:r>
    </w:p>
    <w:p w14:paraId="450F72C2" w14:textId="77777777" w:rsidR="007F0445" w:rsidRDefault="00000000">
      <w:pPr>
        <w:widowControl/>
        <w:spacing w:line="360" w:lineRule="auto"/>
        <w:ind w:firstLineChars="200" w:firstLine="440"/>
        <w:rPr>
          <w:rFonts w:hAnsi="宋体" w:cs="黑体" w:hint="eastAsia"/>
          <w:sz w:val="22"/>
          <w:szCs w:val="22"/>
        </w:rPr>
      </w:pPr>
      <w:r>
        <w:rPr>
          <w:rFonts w:hint="eastAsia"/>
          <w:color w:val="000000"/>
          <w:kern w:val="0"/>
          <w:sz w:val="22"/>
          <w:szCs w:val="22"/>
          <w:lang w:bidi="ar"/>
          <w14:ligatures w14:val="standardContextual"/>
        </w:rPr>
        <w:t>操作流程：详细给出了数据标准化、权重确定（熵值法或层次分析法</w:t>
      </w:r>
      <w:r>
        <w:rPr>
          <w:rFonts w:hint="eastAsia"/>
          <w:color w:val="000000"/>
          <w:kern w:val="0"/>
          <w:sz w:val="22"/>
          <w:szCs w:val="22"/>
          <w:lang w:bidi="ar"/>
          <w14:ligatures w14:val="standardContextual"/>
        </w:rPr>
        <w:t>+</w:t>
      </w:r>
      <w:r>
        <w:rPr>
          <w:rFonts w:hint="eastAsia"/>
          <w:color w:val="000000"/>
          <w:kern w:val="0"/>
          <w:sz w:val="22"/>
          <w:szCs w:val="22"/>
          <w:lang w:bidi="ar"/>
          <w14:ligatures w14:val="standardContextual"/>
        </w:rPr>
        <w:t>专家判断）和相对贴近度（</w:t>
      </w:r>
      <w:r>
        <w:rPr>
          <w:rFonts w:hint="eastAsia"/>
          <w:color w:val="000000"/>
          <w:kern w:val="0"/>
          <w:sz w:val="22"/>
          <w:szCs w:val="22"/>
          <w:lang w:bidi="ar"/>
          <w14:ligatures w14:val="standardContextual"/>
        </w:rPr>
        <w:t>C</w:t>
      </w:r>
      <w:r>
        <w:rPr>
          <w:rFonts w:hint="eastAsia"/>
          <w:color w:val="000000"/>
          <w:kern w:val="0"/>
          <w:sz w:val="22"/>
          <w:szCs w:val="22"/>
          <w:lang w:bidi="ar"/>
          <w14:ligatures w14:val="standardContextual"/>
        </w:rPr>
        <w:t>值）计算的完整步骤。并设置了四级评价等级（优秀</w:t>
      </w:r>
      <w:r>
        <w:rPr>
          <w:rFonts w:hint="eastAsia"/>
          <w:color w:val="000000"/>
          <w:kern w:val="0"/>
          <w:sz w:val="22"/>
          <w:szCs w:val="22"/>
          <w:lang w:bidi="ar"/>
          <w14:ligatures w14:val="standardContextual"/>
        </w:rPr>
        <w:t>C</w:t>
      </w:r>
      <w:r>
        <w:rPr>
          <w:rFonts w:hint="eastAsia"/>
          <w:color w:val="000000"/>
          <w:kern w:val="0"/>
          <w:sz w:val="22"/>
          <w:szCs w:val="22"/>
          <w:lang w:bidi="ar"/>
          <w14:ligatures w14:val="standardContextual"/>
        </w:rPr>
        <w:t>≥</w:t>
      </w:r>
      <w:r>
        <w:rPr>
          <w:rFonts w:hint="eastAsia"/>
          <w:color w:val="000000"/>
          <w:kern w:val="0"/>
          <w:sz w:val="22"/>
          <w:szCs w:val="22"/>
          <w:lang w:bidi="ar"/>
          <w14:ligatures w14:val="standardContextual"/>
        </w:rPr>
        <w:t>0.8</w:t>
      </w:r>
      <w:r>
        <w:rPr>
          <w:rFonts w:hint="eastAsia"/>
          <w:color w:val="000000"/>
          <w:kern w:val="0"/>
          <w:sz w:val="22"/>
          <w:szCs w:val="22"/>
          <w:lang w:bidi="ar"/>
          <w14:ligatures w14:val="standardContextual"/>
        </w:rPr>
        <w:t>，良好</w:t>
      </w:r>
      <w:r>
        <w:rPr>
          <w:rFonts w:hint="eastAsia"/>
          <w:color w:val="000000"/>
          <w:kern w:val="0"/>
          <w:sz w:val="22"/>
          <w:szCs w:val="22"/>
          <w:lang w:bidi="ar"/>
          <w14:ligatures w14:val="standardContextual"/>
        </w:rPr>
        <w:t>0.6</w:t>
      </w:r>
      <w:r>
        <w:rPr>
          <w:rFonts w:hint="eastAsia"/>
          <w:color w:val="000000"/>
          <w:kern w:val="0"/>
          <w:sz w:val="22"/>
          <w:szCs w:val="22"/>
          <w:lang w:bidi="ar"/>
          <w14:ligatures w14:val="standardContextual"/>
        </w:rPr>
        <w:t>≤</w:t>
      </w:r>
      <w:r>
        <w:rPr>
          <w:rFonts w:hint="eastAsia"/>
          <w:color w:val="000000"/>
          <w:kern w:val="0"/>
          <w:sz w:val="22"/>
          <w:szCs w:val="22"/>
          <w:lang w:bidi="ar"/>
          <w14:ligatures w14:val="standardContextual"/>
        </w:rPr>
        <w:t>C&lt;0.8</w:t>
      </w:r>
      <w:r>
        <w:rPr>
          <w:rFonts w:hint="eastAsia"/>
          <w:color w:val="000000"/>
          <w:kern w:val="0"/>
          <w:sz w:val="22"/>
          <w:szCs w:val="22"/>
          <w:lang w:bidi="ar"/>
          <w14:ligatures w14:val="standardContextual"/>
        </w:rPr>
        <w:t>，一般</w:t>
      </w:r>
      <w:r>
        <w:rPr>
          <w:rFonts w:hint="eastAsia"/>
          <w:color w:val="000000"/>
          <w:kern w:val="0"/>
          <w:sz w:val="22"/>
          <w:szCs w:val="22"/>
          <w:lang w:bidi="ar"/>
          <w14:ligatures w14:val="standardContextual"/>
        </w:rPr>
        <w:t>0.4</w:t>
      </w:r>
      <w:r>
        <w:rPr>
          <w:rFonts w:hint="eastAsia"/>
          <w:color w:val="000000"/>
          <w:kern w:val="0"/>
          <w:sz w:val="22"/>
          <w:szCs w:val="22"/>
          <w:lang w:bidi="ar"/>
          <w14:ligatures w14:val="standardContextual"/>
        </w:rPr>
        <w:t>≤</w:t>
      </w:r>
      <w:r>
        <w:rPr>
          <w:rFonts w:hint="eastAsia"/>
          <w:color w:val="000000"/>
          <w:kern w:val="0"/>
          <w:sz w:val="22"/>
          <w:szCs w:val="22"/>
          <w:lang w:bidi="ar"/>
          <w14:ligatures w14:val="standardContextual"/>
        </w:rPr>
        <w:t>C&lt;0.6</w:t>
      </w:r>
      <w:r>
        <w:rPr>
          <w:rFonts w:hint="eastAsia"/>
          <w:color w:val="000000"/>
          <w:kern w:val="0"/>
          <w:sz w:val="22"/>
          <w:szCs w:val="22"/>
          <w:lang w:bidi="ar"/>
          <w14:ligatures w14:val="standardContextual"/>
        </w:rPr>
        <w:t>，较差</w:t>
      </w:r>
      <w:r>
        <w:rPr>
          <w:rFonts w:hint="eastAsia"/>
          <w:color w:val="000000"/>
          <w:kern w:val="0"/>
          <w:sz w:val="22"/>
          <w:szCs w:val="22"/>
          <w:lang w:bidi="ar"/>
          <w14:ligatures w14:val="standardContextual"/>
        </w:rPr>
        <w:t>C&lt;0.4</w:t>
      </w:r>
      <w:r>
        <w:rPr>
          <w:rFonts w:hint="eastAsia"/>
          <w:color w:val="000000"/>
          <w:kern w:val="0"/>
          <w:sz w:val="22"/>
          <w:szCs w:val="22"/>
          <w:lang w:bidi="ar"/>
          <w14:ligatures w14:val="standardContextual"/>
        </w:rPr>
        <w:t>），使评价结果清晰明了，便于用户直接应用。</w:t>
      </w:r>
    </w:p>
    <w:p w14:paraId="76D7E691" w14:textId="77777777" w:rsidR="007F0445" w:rsidRDefault="00000000">
      <w:pPr>
        <w:spacing w:line="360" w:lineRule="auto"/>
        <w:ind w:firstLineChars="200" w:firstLine="442"/>
        <w:rPr>
          <w:rFonts w:ascii="宋体" w:hAnsi="宋体" w:cs="黑体" w:hint="eastAsia"/>
          <w:b/>
          <w:bCs/>
          <w:kern w:val="0"/>
          <w:sz w:val="22"/>
          <w:szCs w:val="20"/>
        </w:rPr>
      </w:pPr>
      <w:r>
        <w:rPr>
          <w:rFonts w:ascii="宋体" w:hAnsi="宋体" w:cs="黑体" w:hint="eastAsia"/>
          <w:b/>
          <w:bCs/>
          <w:kern w:val="0"/>
          <w:sz w:val="22"/>
          <w:szCs w:val="20"/>
        </w:rPr>
        <w:t>④技术要求。</w:t>
      </w:r>
    </w:p>
    <w:p w14:paraId="5821F179" w14:textId="77777777" w:rsidR="007F0445" w:rsidRDefault="00000000">
      <w:pPr>
        <w:spacing w:line="360" w:lineRule="auto"/>
        <w:ind w:firstLineChars="200" w:firstLine="440"/>
        <w:rPr>
          <w:sz w:val="22"/>
          <w:szCs w:val="22"/>
        </w:rPr>
      </w:pPr>
      <w:r>
        <w:rPr>
          <w:rFonts w:hint="eastAsia"/>
          <w:sz w:val="22"/>
          <w:szCs w:val="22"/>
        </w:rPr>
        <w:t>取样设计与布设：采用随机系统布设法、网格布设法、典型取样法等方法，并要求设置对照样方和不少于</w:t>
      </w:r>
      <w:r>
        <w:rPr>
          <w:rFonts w:hint="eastAsia"/>
          <w:sz w:val="22"/>
          <w:szCs w:val="22"/>
        </w:rPr>
        <w:t>3</w:t>
      </w:r>
      <w:r>
        <w:rPr>
          <w:rFonts w:hint="eastAsia"/>
          <w:sz w:val="22"/>
          <w:szCs w:val="22"/>
        </w:rPr>
        <w:t>个重复，确保数据采集的统计有效性和科学性。</w:t>
      </w:r>
    </w:p>
    <w:p w14:paraId="484C14C6" w14:textId="77777777" w:rsidR="007F0445" w:rsidRDefault="00000000">
      <w:pPr>
        <w:spacing w:line="360" w:lineRule="auto"/>
        <w:ind w:firstLineChars="200" w:firstLine="440"/>
        <w:rPr>
          <w:sz w:val="22"/>
          <w:szCs w:val="22"/>
        </w:rPr>
      </w:pPr>
      <w:r>
        <w:rPr>
          <w:rFonts w:hint="eastAsia"/>
          <w:sz w:val="22"/>
          <w:szCs w:val="22"/>
        </w:rPr>
        <w:t>取样内容与频次：明确了植被、土壤、温室气体的具体取样要求，具有一定操作指导性。</w:t>
      </w:r>
    </w:p>
    <w:p w14:paraId="7B144A95" w14:textId="77777777" w:rsidR="007F0445" w:rsidRDefault="00000000">
      <w:pPr>
        <w:widowControl/>
        <w:spacing w:line="360" w:lineRule="auto"/>
        <w:ind w:firstLineChars="200" w:firstLine="440"/>
        <w:rPr>
          <w:rFonts w:ascii="宋体" w:hAnsi="宋体" w:cs="黑体" w:hint="eastAsia"/>
          <w:b/>
          <w:bCs/>
          <w:kern w:val="0"/>
          <w:sz w:val="22"/>
          <w:szCs w:val="20"/>
        </w:rPr>
      </w:pPr>
      <w:r>
        <w:rPr>
          <w:rFonts w:hint="eastAsia"/>
          <w:sz w:val="22"/>
          <w:szCs w:val="22"/>
        </w:rPr>
        <w:t>附录</w:t>
      </w:r>
      <w:r>
        <w:rPr>
          <w:rFonts w:hint="eastAsia"/>
          <w:sz w:val="22"/>
          <w:szCs w:val="22"/>
        </w:rPr>
        <w:t>A</w:t>
      </w:r>
      <w:r>
        <w:rPr>
          <w:rFonts w:hint="eastAsia"/>
          <w:sz w:val="22"/>
          <w:szCs w:val="22"/>
        </w:rPr>
        <w:t>（技术清单）：以规范性附录形式，列出了退化草原修复、天然草原保护、草地改良、降低放牧压力、治沙种草等适用于内蒙古东部典型草原的固碳增汇技术及其主要措施。</w:t>
      </w:r>
    </w:p>
    <w:p w14:paraId="54A8B500" w14:textId="77777777" w:rsidR="007F0445" w:rsidRDefault="00000000">
      <w:pPr>
        <w:pStyle w:val="1"/>
        <w:spacing w:before="0" w:after="0"/>
        <w:rPr>
          <w:sz w:val="24"/>
          <w:szCs w:val="40"/>
        </w:rPr>
      </w:pPr>
      <w:bookmarkStart w:id="15" w:name="_Toc23070"/>
      <w:r>
        <w:rPr>
          <w:rFonts w:hint="eastAsia"/>
          <w:sz w:val="24"/>
          <w:szCs w:val="40"/>
        </w:rPr>
        <w:t>三、主要试验的分析</w:t>
      </w:r>
      <w:bookmarkEnd w:id="15"/>
    </w:p>
    <w:p w14:paraId="7AC5699A" w14:textId="77777777" w:rsidR="007F0445" w:rsidRDefault="00000000">
      <w:pPr>
        <w:spacing w:line="360" w:lineRule="auto"/>
        <w:ind w:firstLineChars="200" w:firstLine="440"/>
        <w:rPr>
          <w:bCs/>
          <w:color w:val="000000"/>
          <w:sz w:val="22"/>
          <w:szCs w:val="20"/>
        </w:rPr>
      </w:pPr>
      <w:r>
        <w:rPr>
          <w:rFonts w:hint="eastAsia"/>
          <w:bCs/>
          <w:color w:val="000000"/>
          <w:sz w:val="22"/>
          <w:szCs w:val="20"/>
        </w:rPr>
        <w:t>本标准的核心技术与评价方法，是基于起草单位在内蒙古典型草原生态系统教育部野外科学观测研究站长达</w:t>
      </w:r>
      <w:r>
        <w:rPr>
          <w:rFonts w:hint="eastAsia"/>
          <w:bCs/>
          <w:color w:val="000000"/>
          <w:sz w:val="22"/>
          <w:szCs w:val="20"/>
        </w:rPr>
        <w:t>5</w:t>
      </w:r>
      <w:r>
        <w:rPr>
          <w:rFonts w:hint="eastAsia"/>
          <w:bCs/>
          <w:color w:val="000000"/>
          <w:sz w:val="22"/>
          <w:szCs w:val="20"/>
        </w:rPr>
        <w:t>年以上的定位监测试验和内蒙古东部典型草原生态系统进行固碳增汇的样带调查取样工作（范围包括锡林郭勒盟、赤峰市、通辽市、呼伦贝尔市及兴安盟）。不同固碳增汇技术（如围栏封育、轻中度放牧、不同放牧方式及放牧家畜种类）实施前后，植被、土壤和地表各项碳汇指标（牧草产量、土壤有机碳、枯落物量等）的变化特征。按照本标准草案中规定的样地布设方法和取样方法，进行连续监测。采集的土壤样品采用重铬酸钾氧化法和元素分析仪测定土壤有机碳和总碳含量。结果显示，在轻度放牧优化管理下，样地土壤有机碳储量在</w:t>
      </w:r>
      <w:r>
        <w:rPr>
          <w:rFonts w:hint="eastAsia"/>
          <w:bCs/>
          <w:color w:val="000000"/>
          <w:sz w:val="22"/>
          <w:szCs w:val="20"/>
        </w:rPr>
        <w:t>5</w:t>
      </w:r>
      <w:r>
        <w:rPr>
          <w:rFonts w:hint="eastAsia"/>
          <w:bCs/>
          <w:color w:val="000000"/>
          <w:sz w:val="22"/>
          <w:szCs w:val="20"/>
        </w:rPr>
        <w:t>年内平均每年增加</w:t>
      </w:r>
      <w:r>
        <w:rPr>
          <w:rFonts w:hint="eastAsia"/>
          <w:bCs/>
          <w:color w:val="000000"/>
          <w:sz w:val="22"/>
          <w:szCs w:val="20"/>
        </w:rPr>
        <w:t>0.</w:t>
      </w:r>
      <w:r>
        <w:rPr>
          <w:bCs/>
          <w:color w:val="000000"/>
          <w:sz w:val="22"/>
          <w:szCs w:val="20"/>
        </w:rPr>
        <w:t>32</w:t>
      </w:r>
      <w:r>
        <w:rPr>
          <w:rFonts w:hint="eastAsia"/>
          <w:bCs/>
          <w:color w:val="000000"/>
          <w:sz w:val="22"/>
          <w:szCs w:val="20"/>
        </w:rPr>
        <w:t xml:space="preserve"> t C/ha</w:t>
      </w:r>
      <w:r>
        <w:rPr>
          <w:rFonts w:hint="eastAsia"/>
          <w:bCs/>
          <w:color w:val="000000"/>
          <w:sz w:val="22"/>
          <w:szCs w:val="20"/>
        </w:rPr>
        <w:t>。同时，采用</w:t>
      </w:r>
      <w:r>
        <w:rPr>
          <w:rFonts w:hint="eastAsia"/>
          <w:bCs/>
          <w:color w:val="000000"/>
          <w:sz w:val="22"/>
          <w:szCs w:val="20"/>
        </w:rPr>
        <w:t>TOPSIS</w:t>
      </w:r>
      <w:r>
        <w:rPr>
          <w:rFonts w:hint="eastAsia"/>
          <w:bCs/>
          <w:color w:val="000000"/>
          <w:sz w:val="22"/>
          <w:szCs w:val="20"/>
        </w:rPr>
        <w:t>法可以清晰地区分不同技术组合的综合效果，体现了综合评价模型的区分度和有效性。</w:t>
      </w:r>
    </w:p>
    <w:p w14:paraId="79BBEAAF" w14:textId="77777777" w:rsidR="007F0445" w:rsidRDefault="00000000">
      <w:pPr>
        <w:pStyle w:val="1"/>
        <w:spacing w:before="0" w:after="0"/>
        <w:rPr>
          <w:sz w:val="24"/>
          <w:szCs w:val="40"/>
        </w:rPr>
      </w:pPr>
      <w:bookmarkStart w:id="16" w:name="_Toc2888"/>
      <w:r>
        <w:rPr>
          <w:rFonts w:hint="eastAsia"/>
          <w:sz w:val="24"/>
          <w:szCs w:val="40"/>
        </w:rPr>
        <w:t>四</w:t>
      </w:r>
      <w:r>
        <w:rPr>
          <w:sz w:val="24"/>
          <w:szCs w:val="40"/>
        </w:rPr>
        <w:t>、</w:t>
      </w:r>
      <w:r>
        <w:rPr>
          <w:rFonts w:hint="eastAsia"/>
          <w:sz w:val="24"/>
          <w:szCs w:val="40"/>
        </w:rPr>
        <w:t>采用的国际标准</w:t>
      </w:r>
      <w:bookmarkEnd w:id="16"/>
    </w:p>
    <w:p w14:paraId="3927399B" w14:textId="77777777" w:rsidR="007F0445" w:rsidRDefault="00000000">
      <w:pPr>
        <w:spacing w:line="360" w:lineRule="auto"/>
        <w:ind w:firstLine="482"/>
        <w:rPr>
          <w:color w:val="000000"/>
          <w:sz w:val="22"/>
          <w:szCs w:val="20"/>
        </w:rPr>
      </w:pPr>
      <w:r>
        <w:rPr>
          <w:rFonts w:hint="eastAsia"/>
          <w:color w:val="000000"/>
          <w:sz w:val="22"/>
          <w:szCs w:val="20"/>
        </w:rPr>
        <w:t>无。</w:t>
      </w:r>
    </w:p>
    <w:p w14:paraId="30D9B6DE" w14:textId="77777777" w:rsidR="007F0445" w:rsidRDefault="00000000">
      <w:pPr>
        <w:pStyle w:val="1"/>
        <w:spacing w:before="0" w:after="0"/>
        <w:rPr>
          <w:sz w:val="24"/>
          <w:szCs w:val="40"/>
        </w:rPr>
      </w:pPr>
      <w:bookmarkStart w:id="17" w:name="_Toc32348"/>
      <w:r>
        <w:rPr>
          <w:rFonts w:hint="eastAsia"/>
          <w:sz w:val="24"/>
          <w:szCs w:val="40"/>
        </w:rPr>
        <w:t>五</w:t>
      </w:r>
      <w:r>
        <w:rPr>
          <w:sz w:val="24"/>
          <w:szCs w:val="40"/>
        </w:rPr>
        <w:t>、</w:t>
      </w:r>
      <w:r>
        <w:rPr>
          <w:rFonts w:hint="eastAsia"/>
          <w:sz w:val="24"/>
          <w:szCs w:val="40"/>
        </w:rPr>
        <w:t>与现行法律法规和强制性标准的关系</w:t>
      </w:r>
      <w:bookmarkEnd w:id="17"/>
    </w:p>
    <w:p w14:paraId="2B492809" w14:textId="77777777" w:rsidR="007F0445" w:rsidRDefault="00000000">
      <w:pPr>
        <w:spacing w:line="360" w:lineRule="auto"/>
        <w:ind w:firstLine="482"/>
        <w:rPr>
          <w:color w:val="000000"/>
          <w:sz w:val="22"/>
          <w:szCs w:val="20"/>
        </w:rPr>
      </w:pPr>
      <w:r>
        <w:rPr>
          <w:rFonts w:hint="eastAsia"/>
          <w:color w:val="000000"/>
          <w:sz w:val="22"/>
          <w:szCs w:val="20"/>
        </w:rPr>
        <w:t>本标准与</w:t>
      </w:r>
      <w:r>
        <w:rPr>
          <w:rFonts w:ascii="宋体" w:hAnsi="宋体" w:hint="eastAsia"/>
          <w:color w:val="000000"/>
          <w:sz w:val="22"/>
          <w:szCs w:val="22"/>
        </w:rPr>
        <w:t>现行法律法规和强制性标准的相关条例没有冲突</w:t>
      </w:r>
      <w:r>
        <w:rPr>
          <w:rFonts w:hint="eastAsia"/>
          <w:color w:val="000000"/>
          <w:sz w:val="22"/>
          <w:szCs w:val="20"/>
        </w:rPr>
        <w:t>。</w:t>
      </w:r>
    </w:p>
    <w:p w14:paraId="30919C64" w14:textId="77777777" w:rsidR="007F0445" w:rsidRDefault="00000000">
      <w:pPr>
        <w:pStyle w:val="1"/>
        <w:spacing w:before="0" w:after="0"/>
        <w:rPr>
          <w:sz w:val="24"/>
          <w:szCs w:val="40"/>
        </w:rPr>
      </w:pPr>
      <w:bookmarkStart w:id="18" w:name="_Toc854"/>
      <w:r>
        <w:rPr>
          <w:rFonts w:hint="eastAsia"/>
          <w:sz w:val="24"/>
          <w:szCs w:val="40"/>
        </w:rPr>
        <w:t>六</w:t>
      </w:r>
      <w:r>
        <w:rPr>
          <w:sz w:val="24"/>
          <w:szCs w:val="40"/>
        </w:rPr>
        <w:t>、</w:t>
      </w:r>
      <w:r>
        <w:rPr>
          <w:rFonts w:hint="eastAsia"/>
          <w:sz w:val="24"/>
          <w:szCs w:val="40"/>
        </w:rPr>
        <w:t>重大分歧意见的处理经过和依据</w:t>
      </w:r>
      <w:bookmarkEnd w:id="18"/>
    </w:p>
    <w:p w14:paraId="5D2967DE" w14:textId="77777777" w:rsidR="007F0445" w:rsidRDefault="00000000">
      <w:pPr>
        <w:spacing w:line="360" w:lineRule="auto"/>
        <w:ind w:firstLine="482"/>
        <w:rPr>
          <w:color w:val="000000"/>
          <w:sz w:val="22"/>
          <w:szCs w:val="20"/>
        </w:rPr>
      </w:pPr>
      <w:r>
        <w:rPr>
          <w:color w:val="000000"/>
          <w:sz w:val="22"/>
          <w:szCs w:val="20"/>
        </w:rPr>
        <w:t>无。</w:t>
      </w:r>
    </w:p>
    <w:p w14:paraId="18828AB0" w14:textId="77777777" w:rsidR="007F0445" w:rsidRDefault="00000000">
      <w:pPr>
        <w:pStyle w:val="1"/>
        <w:spacing w:before="0" w:after="0"/>
        <w:rPr>
          <w:sz w:val="24"/>
          <w:szCs w:val="40"/>
        </w:rPr>
      </w:pPr>
      <w:bookmarkStart w:id="19" w:name="_Toc17401"/>
      <w:r>
        <w:rPr>
          <w:sz w:val="24"/>
          <w:szCs w:val="40"/>
        </w:rPr>
        <w:t>七、</w:t>
      </w:r>
      <w:r>
        <w:rPr>
          <w:rFonts w:hint="eastAsia"/>
          <w:sz w:val="24"/>
          <w:szCs w:val="40"/>
        </w:rPr>
        <w:t>标准作为强制性或推荐性标准的意见</w:t>
      </w:r>
      <w:bookmarkEnd w:id="19"/>
    </w:p>
    <w:p w14:paraId="630F5003" w14:textId="77777777" w:rsidR="007F0445" w:rsidRDefault="00000000">
      <w:pPr>
        <w:spacing w:line="360" w:lineRule="auto"/>
        <w:ind w:firstLine="482"/>
        <w:rPr>
          <w:color w:val="000000"/>
          <w:sz w:val="22"/>
          <w:szCs w:val="20"/>
        </w:rPr>
      </w:pPr>
      <w:r>
        <w:rPr>
          <w:color w:val="000000"/>
          <w:sz w:val="22"/>
          <w:szCs w:val="20"/>
        </w:rPr>
        <w:t>建议将本标准作为推荐性标准发布实施，并加强标准的宣贯。</w:t>
      </w:r>
    </w:p>
    <w:p w14:paraId="5D7D6744" w14:textId="77777777" w:rsidR="007F0445" w:rsidRDefault="00000000">
      <w:pPr>
        <w:pStyle w:val="1"/>
        <w:spacing w:before="0" w:after="0"/>
        <w:rPr>
          <w:sz w:val="24"/>
          <w:szCs w:val="40"/>
        </w:rPr>
      </w:pPr>
      <w:bookmarkStart w:id="20" w:name="_Toc5323"/>
      <w:r>
        <w:rPr>
          <w:sz w:val="24"/>
          <w:szCs w:val="40"/>
        </w:rPr>
        <w:t>八、贯彻标准的要求和措施建议</w:t>
      </w:r>
      <w:bookmarkEnd w:id="20"/>
    </w:p>
    <w:p w14:paraId="2EEF964A" w14:textId="77777777" w:rsidR="007F0445" w:rsidRDefault="00000000">
      <w:pPr>
        <w:spacing w:line="360" w:lineRule="auto"/>
        <w:ind w:firstLineChars="225" w:firstLine="495"/>
        <w:rPr>
          <w:sz w:val="22"/>
          <w:szCs w:val="20"/>
        </w:rPr>
      </w:pPr>
      <w:r>
        <w:rPr>
          <w:rFonts w:hint="eastAsia"/>
          <w:sz w:val="22"/>
          <w:szCs w:val="20"/>
        </w:rPr>
        <w:t>1</w:t>
      </w:r>
      <w:r>
        <w:rPr>
          <w:rFonts w:hint="eastAsia"/>
          <w:sz w:val="22"/>
          <w:szCs w:val="20"/>
        </w:rPr>
        <w:t>、组织措施：成立领导小组、工作小组或标准化委员会，由内蒙古大学、兰州大学、中国科学院西北生态环境资源研究院、内蒙古蒙草土壤科技有限责任公司、蒙草生态环境</w:t>
      </w:r>
      <w:r>
        <w:rPr>
          <w:rFonts w:hint="eastAsia"/>
          <w:sz w:val="22"/>
          <w:szCs w:val="20"/>
        </w:rPr>
        <w:t>(</w:t>
      </w:r>
      <w:r>
        <w:rPr>
          <w:rFonts w:hint="eastAsia"/>
          <w:sz w:val="22"/>
          <w:szCs w:val="20"/>
        </w:rPr>
        <w:t>集团</w:t>
      </w:r>
      <w:r>
        <w:rPr>
          <w:rFonts w:hint="eastAsia"/>
          <w:sz w:val="22"/>
          <w:szCs w:val="20"/>
        </w:rPr>
        <w:t>)</w:t>
      </w:r>
      <w:r>
        <w:rPr>
          <w:rFonts w:hint="eastAsia"/>
          <w:sz w:val="22"/>
          <w:szCs w:val="20"/>
        </w:rPr>
        <w:t>股份有限公司制定标准，北京华夏草业产业技术创新战略联盟组织评审并颁布，联合内蒙古自治区各级林业和草原主管部门，组织面向草原工作站、农牧企业、第三方评估机构的专项宣贯培训班。成立标准推广专家组，负责技术咨询和答疑。</w:t>
      </w:r>
    </w:p>
    <w:p w14:paraId="38654EA7" w14:textId="77777777" w:rsidR="007F0445" w:rsidRDefault="00000000">
      <w:pPr>
        <w:spacing w:line="360" w:lineRule="auto"/>
        <w:ind w:firstLineChars="225" w:firstLine="495"/>
        <w:rPr>
          <w:sz w:val="22"/>
          <w:szCs w:val="20"/>
        </w:rPr>
      </w:pPr>
      <w:r>
        <w:rPr>
          <w:rFonts w:hint="eastAsia"/>
          <w:sz w:val="22"/>
          <w:szCs w:val="20"/>
        </w:rPr>
        <w:t>2</w:t>
      </w:r>
      <w:r>
        <w:rPr>
          <w:rFonts w:hint="eastAsia"/>
          <w:sz w:val="22"/>
          <w:szCs w:val="20"/>
        </w:rPr>
        <w:t>、技术措施：编写《标准实施操作手册》，开发配套的数据处理模板，降低基层用户的使用难度。鼓励碳汇项目开发方在本标准框架下编制项目设计文件，并在项目监测中直接应用本标准的样地布设与采样方法。</w:t>
      </w:r>
    </w:p>
    <w:p w14:paraId="2187383C" w14:textId="77777777" w:rsidR="007F0445" w:rsidRDefault="00000000">
      <w:pPr>
        <w:spacing w:line="360" w:lineRule="auto"/>
        <w:ind w:firstLineChars="225" w:firstLine="495"/>
        <w:rPr>
          <w:sz w:val="22"/>
          <w:szCs w:val="20"/>
        </w:rPr>
      </w:pPr>
      <w:r>
        <w:rPr>
          <w:rFonts w:hint="eastAsia"/>
          <w:sz w:val="22"/>
          <w:szCs w:val="20"/>
        </w:rPr>
        <w:t>3</w:t>
      </w:r>
      <w:r>
        <w:rPr>
          <w:rFonts w:hint="eastAsia"/>
          <w:sz w:val="22"/>
          <w:szCs w:val="20"/>
        </w:rPr>
        <w:t>、过渡办法：建议自标准发布之日起，设置</w:t>
      </w:r>
      <w:r>
        <w:rPr>
          <w:rFonts w:hint="eastAsia"/>
          <w:sz w:val="22"/>
          <w:szCs w:val="20"/>
        </w:rPr>
        <w:t>6</w:t>
      </w:r>
      <w:r>
        <w:rPr>
          <w:rFonts w:hint="eastAsia"/>
          <w:sz w:val="22"/>
          <w:szCs w:val="20"/>
        </w:rPr>
        <w:t>个月的过渡期。过渡期内，鼓励相关主体参照执行，并对现有项目进行评估，逐步替换或修订与本标准不一致的技术文件。随着科技发展，本标准中的技术规范势必会出现过时的情况，也会出现新的技术要求，因此本标准执行过程中要不断对内容进行修订和补充。</w:t>
      </w:r>
    </w:p>
    <w:p w14:paraId="5B8507EC" w14:textId="77777777" w:rsidR="007F0445" w:rsidRDefault="00000000">
      <w:pPr>
        <w:spacing w:line="360" w:lineRule="auto"/>
        <w:ind w:firstLine="482"/>
        <w:rPr>
          <w:sz w:val="22"/>
          <w:szCs w:val="20"/>
        </w:rPr>
      </w:pPr>
      <w:r>
        <w:rPr>
          <w:rFonts w:hint="eastAsia"/>
          <w:sz w:val="22"/>
          <w:szCs w:val="20"/>
        </w:rPr>
        <w:t>4</w:t>
      </w:r>
      <w:r>
        <w:rPr>
          <w:rFonts w:hint="eastAsia"/>
          <w:sz w:val="22"/>
          <w:szCs w:val="20"/>
        </w:rPr>
        <w:t>、</w:t>
      </w:r>
      <w:r>
        <w:rPr>
          <w:sz w:val="22"/>
          <w:szCs w:val="20"/>
        </w:rPr>
        <w:t>希望</w:t>
      </w:r>
      <w:r>
        <w:rPr>
          <w:rFonts w:hint="eastAsia"/>
          <w:sz w:val="22"/>
          <w:szCs w:val="20"/>
        </w:rPr>
        <w:t>应用本标准的</w:t>
      </w:r>
      <w:r>
        <w:rPr>
          <w:sz w:val="22"/>
          <w:szCs w:val="20"/>
        </w:rPr>
        <w:t>单位</w:t>
      </w:r>
      <w:r>
        <w:rPr>
          <w:rFonts w:hint="eastAsia"/>
          <w:sz w:val="22"/>
          <w:szCs w:val="20"/>
        </w:rPr>
        <w:t>在使用过程中</w:t>
      </w:r>
      <w:r>
        <w:rPr>
          <w:sz w:val="22"/>
          <w:szCs w:val="20"/>
        </w:rPr>
        <w:t>对</w:t>
      </w:r>
      <w:r>
        <w:rPr>
          <w:rFonts w:hint="eastAsia"/>
          <w:sz w:val="22"/>
          <w:szCs w:val="20"/>
        </w:rPr>
        <w:t>其</w:t>
      </w:r>
      <w:r>
        <w:rPr>
          <w:sz w:val="22"/>
          <w:szCs w:val="20"/>
        </w:rPr>
        <w:t>中出现的问题</w:t>
      </w:r>
      <w:r>
        <w:rPr>
          <w:rFonts w:hint="eastAsia"/>
          <w:sz w:val="22"/>
          <w:szCs w:val="20"/>
        </w:rPr>
        <w:t>和不足</w:t>
      </w:r>
      <w:r>
        <w:rPr>
          <w:sz w:val="22"/>
          <w:szCs w:val="20"/>
        </w:rPr>
        <w:t>给予反馈，以便</w:t>
      </w:r>
      <w:r>
        <w:rPr>
          <w:rFonts w:hint="eastAsia"/>
          <w:sz w:val="22"/>
          <w:szCs w:val="20"/>
        </w:rPr>
        <w:t>再进行</w:t>
      </w:r>
      <w:r>
        <w:rPr>
          <w:sz w:val="22"/>
          <w:szCs w:val="20"/>
        </w:rPr>
        <w:t>修订</w:t>
      </w:r>
      <w:r>
        <w:rPr>
          <w:rFonts w:hint="eastAsia"/>
          <w:sz w:val="22"/>
          <w:szCs w:val="20"/>
        </w:rPr>
        <w:t>和</w:t>
      </w:r>
      <w:r>
        <w:rPr>
          <w:sz w:val="22"/>
          <w:szCs w:val="20"/>
        </w:rPr>
        <w:t>补充。</w:t>
      </w:r>
    </w:p>
    <w:p w14:paraId="198DD66F" w14:textId="77777777" w:rsidR="007F0445" w:rsidRDefault="00000000">
      <w:pPr>
        <w:spacing w:line="360" w:lineRule="auto"/>
        <w:ind w:firstLine="482"/>
        <w:rPr>
          <w:color w:val="000000"/>
          <w:sz w:val="22"/>
          <w:szCs w:val="20"/>
        </w:rPr>
      </w:pPr>
      <w:r>
        <w:rPr>
          <w:rFonts w:hint="eastAsia"/>
          <w:sz w:val="22"/>
          <w:szCs w:val="20"/>
        </w:rPr>
        <w:t>5</w:t>
      </w:r>
      <w:r>
        <w:rPr>
          <w:rFonts w:hint="eastAsia"/>
          <w:sz w:val="22"/>
          <w:szCs w:val="20"/>
        </w:rPr>
        <w:t>、</w:t>
      </w:r>
      <w:r>
        <w:rPr>
          <w:color w:val="000000"/>
          <w:sz w:val="22"/>
          <w:szCs w:val="20"/>
        </w:rPr>
        <w:t>组织学习</w:t>
      </w:r>
      <w:r>
        <w:rPr>
          <w:rFonts w:hint="eastAsia"/>
          <w:color w:val="000000"/>
          <w:sz w:val="22"/>
          <w:szCs w:val="20"/>
        </w:rPr>
        <w:t>团体</w:t>
      </w:r>
      <w:r>
        <w:rPr>
          <w:color w:val="000000"/>
          <w:sz w:val="22"/>
          <w:szCs w:val="20"/>
        </w:rPr>
        <w:t>标准，加大对标准的宣传及贯彻力度，标准委员会作为企业之间的桥梁，做好沟通，推进行业进一步发展。</w:t>
      </w:r>
    </w:p>
    <w:p w14:paraId="716810CD" w14:textId="77777777" w:rsidR="007F0445" w:rsidRDefault="00000000">
      <w:pPr>
        <w:pStyle w:val="1"/>
        <w:spacing w:before="0" w:after="0"/>
        <w:rPr>
          <w:sz w:val="24"/>
          <w:szCs w:val="40"/>
        </w:rPr>
      </w:pPr>
      <w:bookmarkStart w:id="21" w:name="_Toc9685"/>
      <w:r>
        <w:rPr>
          <w:sz w:val="24"/>
          <w:szCs w:val="40"/>
        </w:rPr>
        <w:t>九、废止现行有关标准的建议</w:t>
      </w:r>
      <w:bookmarkEnd w:id="21"/>
    </w:p>
    <w:p w14:paraId="40597651" w14:textId="77777777" w:rsidR="007F0445" w:rsidRDefault="00000000">
      <w:pPr>
        <w:spacing w:beforeLines="50" w:before="156" w:line="360" w:lineRule="auto"/>
        <w:ind w:firstLine="482"/>
        <w:rPr>
          <w:color w:val="000000"/>
          <w:sz w:val="22"/>
          <w:szCs w:val="20"/>
        </w:rPr>
      </w:pPr>
      <w:r>
        <w:rPr>
          <w:color w:val="000000"/>
          <w:sz w:val="22"/>
          <w:szCs w:val="20"/>
        </w:rPr>
        <w:t>无。</w:t>
      </w:r>
    </w:p>
    <w:p w14:paraId="431CE65B" w14:textId="77777777" w:rsidR="007F0445" w:rsidRDefault="00000000">
      <w:pPr>
        <w:pStyle w:val="1"/>
        <w:spacing w:before="0" w:after="0"/>
        <w:rPr>
          <w:sz w:val="24"/>
          <w:szCs w:val="40"/>
        </w:rPr>
      </w:pPr>
      <w:bookmarkStart w:id="22" w:name="_Toc29995"/>
      <w:r>
        <w:rPr>
          <w:sz w:val="24"/>
          <w:szCs w:val="40"/>
        </w:rPr>
        <w:t>十、其他应予说明的事项</w:t>
      </w:r>
      <w:bookmarkEnd w:id="22"/>
    </w:p>
    <w:p w14:paraId="46BDFE3C" w14:textId="77777777" w:rsidR="007F0445" w:rsidRDefault="00000000">
      <w:pPr>
        <w:spacing w:beforeLines="50" w:before="156" w:line="360" w:lineRule="auto"/>
        <w:ind w:firstLine="482"/>
        <w:rPr>
          <w:rFonts w:ascii="宋体" w:hAnsi="宋体" w:cs="宋体" w:hint="eastAsia"/>
          <w:b/>
          <w:bCs/>
          <w:sz w:val="24"/>
          <w:szCs w:val="24"/>
        </w:rPr>
      </w:pPr>
      <w:r>
        <w:rPr>
          <w:color w:val="000000"/>
          <w:sz w:val="22"/>
          <w:szCs w:val="20"/>
        </w:rPr>
        <w:t>无。</w:t>
      </w:r>
    </w:p>
    <w:bookmarkEnd w:id="1"/>
    <w:p w14:paraId="118F0DAF" w14:textId="77777777" w:rsidR="007F0445" w:rsidRDefault="007F0445">
      <w:pPr>
        <w:pStyle w:val="1"/>
        <w:spacing w:before="0" w:after="0"/>
        <w:rPr>
          <w:color w:val="000000"/>
          <w:sz w:val="24"/>
        </w:rPr>
      </w:pPr>
    </w:p>
    <w:sectPr w:rsidR="007F0445">
      <w:footerReference w:type="even" r:id="rId8"/>
      <w:footerReference w:type="default" r:id="rId9"/>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4CF1" w14:textId="77777777" w:rsidR="000C71F1" w:rsidRDefault="000C71F1">
      <w:r>
        <w:separator/>
      </w:r>
    </w:p>
  </w:endnote>
  <w:endnote w:type="continuationSeparator" w:id="0">
    <w:p w14:paraId="23B2C3F3" w14:textId="77777777" w:rsidR="000C71F1" w:rsidRDefault="000C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A38A" w14:textId="77777777" w:rsidR="007F0445"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08B3C798" w14:textId="77777777" w:rsidR="007F0445" w:rsidRDefault="007F044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A48C" w14:textId="77777777" w:rsidR="007F0445" w:rsidRDefault="00000000">
    <w:pPr>
      <w:pStyle w:val="a9"/>
      <w:jc w:val="center"/>
    </w:pPr>
    <w:r>
      <w:fldChar w:fldCharType="begin"/>
    </w:r>
    <w:r>
      <w:instrText xml:space="preserve"> PAGE   \* MERGEFORMAT </w:instrText>
    </w:r>
    <w:r>
      <w:fldChar w:fldCharType="separate"/>
    </w:r>
    <w:r>
      <w:rPr>
        <w:lang w:val="zh-CN"/>
      </w:rPr>
      <w:t>11</w:t>
    </w:r>
    <w:r>
      <w:rPr>
        <w:lang w:val="zh-CN"/>
      </w:rPr>
      <w:fldChar w:fldCharType="end"/>
    </w:r>
  </w:p>
  <w:p w14:paraId="59F259B6" w14:textId="77777777" w:rsidR="007F0445" w:rsidRDefault="007F044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7631C" w14:textId="77777777" w:rsidR="000C71F1" w:rsidRDefault="000C71F1">
      <w:r>
        <w:separator/>
      </w:r>
    </w:p>
  </w:footnote>
  <w:footnote w:type="continuationSeparator" w:id="0">
    <w:p w14:paraId="767907BB" w14:textId="77777777" w:rsidR="000C71F1" w:rsidRDefault="000C7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02E5A2"/>
    <w:multiLevelType w:val="singleLevel"/>
    <w:tmpl w:val="E202E5A2"/>
    <w:lvl w:ilvl="0">
      <w:start w:val="4"/>
      <w:numFmt w:val="decimal"/>
      <w:suff w:val="nothing"/>
      <w:lvlText w:val="（%1）"/>
      <w:lvlJc w:val="left"/>
    </w:lvl>
  </w:abstractNum>
  <w:abstractNum w:abstractNumId="1" w15:restartNumberingAfterBreak="0">
    <w:nsid w:val="17FC24BC"/>
    <w:multiLevelType w:val="singleLevel"/>
    <w:tmpl w:val="17FC24BC"/>
    <w:lvl w:ilvl="0">
      <w:start w:val="2"/>
      <w:numFmt w:val="chineseCounting"/>
      <w:suff w:val="nothing"/>
      <w:lvlText w:val="%1、"/>
      <w:lvlJc w:val="left"/>
      <w:rPr>
        <w:rFonts w:hint="eastAsia"/>
      </w:rPr>
    </w:lvl>
  </w:abstractNum>
  <w:abstractNum w:abstractNumId="2" w15:restartNumberingAfterBreak="0">
    <w:nsid w:val="4878676C"/>
    <w:multiLevelType w:val="multilevel"/>
    <w:tmpl w:val="4878676C"/>
    <w:lvl w:ilvl="0">
      <w:start w:val="1"/>
      <w:numFmt w:val="decimalEnclosedCircle"/>
      <w:lvlText w:val="%1"/>
      <w:lvlJc w:val="left"/>
      <w:pPr>
        <w:ind w:left="802" w:hanging="360"/>
      </w:pPr>
      <w:rPr>
        <w:rFonts w:hint="default"/>
      </w:rPr>
    </w:lvl>
    <w:lvl w:ilvl="1">
      <w:start w:val="1"/>
      <w:numFmt w:val="lowerLetter"/>
      <w:lvlText w:val="%2)"/>
      <w:lvlJc w:val="left"/>
      <w:pPr>
        <w:ind w:left="1282" w:hanging="420"/>
      </w:pPr>
    </w:lvl>
    <w:lvl w:ilvl="2">
      <w:start w:val="1"/>
      <w:numFmt w:val="lowerRoman"/>
      <w:lvlText w:val="%3."/>
      <w:lvlJc w:val="right"/>
      <w:pPr>
        <w:ind w:left="1702" w:hanging="420"/>
      </w:pPr>
    </w:lvl>
    <w:lvl w:ilvl="3">
      <w:start w:val="1"/>
      <w:numFmt w:val="decimal"/>
      <w:lvlText w:val="%4."/>
      <w:lvlJc w:val="left"/>
      <w:pPr>
        <w:ind w:left="2122" w:hanging="420"/>
      </w:pPr>
    </w:lvl>
    <w:lvl w:ilvl="4">
      <w:start w:val="1"/>
      <w:numFmt w:val="lowerLetter"/>
      <w:lvlText w:val="%5)"/>
      <w:lvlJc w:val="left"/>
      <w:pPr>
        <w:ind w:left="2542" w:hanging="420"/>
      </w:pPr>
    </w:lvl>
    <w:lvl w:ilvl="5">
      <w:start w:val="1"/>
      <w:numFmt w:val="lowerRoman"/>
      <w:lvlText w:val="%6."/>
      <w:lvlJc w:val="right"/>
      <w:pPr>
        <w:ind w:left="2962" w:hanging="420"/>
      </w:pPr>
    </w:lvl>
    <w:lvl w:ilvl="6">
      <w:start w:val="1"/>
      <w:numFmt w:val="decimal"/>
      <w:lvlText w:val="%7."/>
      <w:lvlJc w:val="left"/>
      <w:pPr>
        <w:ind w:left="3382" w:hanging="420"/>
      </w:pPr>
    </w:lvl>
    <w:lvl w:ilvl="7">
      <w:start w:val="1"/>
      <w:numFmt w:val="lowerLetter"/>
      <w:lvlText w:val="%8)"/>
      <w:lvlJc w:val="left"/>
      <w:pPr>
        <w:ind w:left="3802" w:hanging="420"/>
      </w:pPr>
    </w:lvl>
    <w:lvl w:ilvl="8">
      <w:start w:val="1"/>
      <w:numFmt w:val="lowerRoman"/>
      <w:lvlText w:val="%9."/>
      <w:lvlJc w:val="right"/>
      <w:pPr>
        <w:ind w:left="4222" w:hanging="420"/>
      </w:pPr>
    </w:lvl>
  </w:abstractNum>
  <w:abstractNum w:abstractNumId="3" w15:restartNumberingAfterBreak="0">
    <w:nsid w:val="5E3F05AB"/>
    <w:multiLevelType w:val="singleLevel"/>
    <w:tmpl w:val="5E3F05AB"/>
    <w:lvl w:ilvl="0">
      <w:start w:val="2"/>
      <w:numFmt w:val="decimal"/>
      <w:suff w:val="nothing"/>
      <w:lvlText w:val="%1、"/>
      <w:lvlJc w:val="left"/>
    </w:lvl>
  </w:abstractNum>
  <w:num w:numId="1" w16cid:durableId="953437779">
    <w:abstractNumId w:val="1"/>
  </w:num>
  <w:num w:numId="2" w16cid:durableId="938488078">
    <w:abstractNumId w:val="3"/>
  </w:num>
  <w:num w:numId="3" w16cid:durableId="1918705658">
    <w:abstractNumId w:val="0"/>
  </w:num>
  <w:num w:numId="4" w16cid:durableId="1444348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20C8"/>
    <w:rsid w:val="000155DB"/>
    <w:rsid w:val="00017D16"/>
    <w:rsid w:val="000308A3"/>
    <w:rsid w:val="00032402"/>
    <w:rsid w:val="00035FCB"/>
    <w:rsid w:val="00036A34"/>
    <w:rsid w:val="000429E1"/>
    <w:rsid w:val="000434FB"/>
    <w:rsid w:val="00044247"/>
    <w:rsid w:val="0004735E"/>
    <w:rsid w:val="00057930"/>
    <w:rsid w:val="000610CF"/>
    <w:rsid w:val="00061E22"/>
    <w:rsid w:val="00076D67"/>
    <w:rsid w:val="0008074C"/>
    <w:rsid w:val="000B474F"/>
    <w:rsid w:val="000C12BD"/>
    <w:rsid w:val="000C71F1"/>
    <w:rsid w:val="000D4591"/>
    <w:rsid w:val="000E0375"/>
    <w:rsid w:val="000F7801"/>
    <w:rsid w:val="00112EE8"/>
    <w:rsid w:val="00113F8F"/>
    <w:rsid w:val="001155D9"/>
    <w:rsid w:val="00122CF2"/>
    <w:rsid w:val="0012627C"/>
    <w:rsid w:val="00126374"/>
    <w:rsid w:val="0013098F"/>
    <w:rsid w:val="00132DB4"/>
    <w:rsid w:val="0013325C"/>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5979"/>
    <w:rsid w:val="001F6496"/>
    <w:rsid w:val="00202DDE"/>
    <w:rsid w:val="00230B2D"/>
    <w:rsid w:val="002313E0"/>
    <w:rsid w:val="00231604"/>
    <w:rsid w:val="00232FFF"/>
    <w:rsid w:val="00237F30"/>
    <w:rsid w:val="00240E83"/>
    <w:rsid w:val="002433E2"/>
    <w:rsid w:val="00246C40"/>
    <w:rsid w:val="002538BD"/>
    <w:rsid w:val="00255BC8"/>
    <w:rsid w:val="00256EDA"/>
    <w:rsid w:val="00257083"/>
    <w:rsid w:val="00257498"/>
    <w:rsid w:val="002574A2"/>
    <w:rsid w:val="00264E4C"/>
    <w:rsid w:val="00266508"/>
    <w:rsid w:val="002679DB"/>
    <w:rsid w:val="002A2BE5"/>
    <w:rsid w:val="002A38D8"/>
    <w:rsid w:val="002B25B7"/>
    <w:rsid w:val="002B5E17"/>
    <w:rsid w:val="002C0292"/>
    <w:rsid w:val="002C3275"/>
    <w:rsid w:val="002C5FEC"/>
    <w:rsid w:val="002D17E1"/>
    <w:rsid w:val="002D653D"/>
    <w:rsid w:val="002E35C6"/>
    <w:rsid w:val="002F1A92"/>
    <w:rsid w:val="002F74AA"/>
    <w:rsid w:val="002F773B"/>
    <w:rsid w:val="002F78D3"/>
    <w:rsid w:val="00301EF9"/>
    <w:rsid w:val="00315468"/>
    <w:rsid w:val="00324544"/>
    <w:rsid w:val="0033768E"/>
    <w:rsid w:val="00347229"/>
    <w:rsid w:val="00353076"/>
    <w:rsid w:val="00355292"/>
    <w:rsid w:val="00357EA9"/>
    <w:rsid w:val="003616FA"/>
    <w:rsid w:val="0036445F"/>
    <w:rsid w:val="003647ED"/>
    <w:rsid w:val="003679D6"/>
    <w:rsid w:val="00371521"/>
    <w:rsid w:val="003763C5"/>
    <w:rsid w:val="00376C0E"/>
    <w:rsid w:val="00377593"/>
    <w:rsid w:val="00381AA6"/>
    <w:rsid w:val="00384379"/>
    <w:rsid w:val="00390FB0"/>
    <w:rsid w:val="00395E51"/>
    <w:rsid w:val="00397219"/>
    <w:rsid w:val="003A467C"/>
    <w:rsid w:val="003A7FFA"/>
    <w:rsid w:val="003B4101"/>
    <w:rsid w:val="003B4925"/>
    <w:rsid w:val="003B492F"/>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908E7"/>
    <w:rsid w:val="004A3AE7"/>
    <w:rsid w:val="004A4D6E"/>
    <w:rsid w:val="004B6B44"/>
    <w:rsid w:val="004C3612"/>
    <w:rsid w:val="004C40C4"/>
    <w:rsid w:val="004C500C"/>
    <w:rsid w:val="004C64C5"/>
    <w:rsid w:val="004C7768"/>
    <w:rsid w:val="004D3A8C"/>
    <w:rsid w:val="004D7696"/>
    <w:rsid w:val="004E670F"/>
    <w:rsid w:val="004F338A"/>
    <w:rsid w:val="004F5652"/>
    <w:rsid w:val="004F7B86"/>
    <w:rsid w:val="0050276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2E32"/>
    <w:rsid w:val="005D70F9"/>
    <w:rsid w:val="005E25C4"/>
    <w:rsid w:val="005F21F2"/>
    <w:rsid w:val="005F5E6E"/>
    <w:rsid w:val="005F7967"/>
    <w:rsid w:val="0061280C"/>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196D"/>
    <w:rsid w:val="006D3074"/>
    <w:rsid w:val="006D5BF9"/>
    <w:rsid w:val="006E08FA"/>
    <w:rsid w:val="006E0E00"/>
    <w:rsid w:val="006E4C06"/>
    <w:rsid w:val="006F1DD4"/>
    <w:rsid w:val="006F237B"/>
    <w:rsid w:val="006F3702"/>
    <w:rsid w:val="006F740A"/>
    <w:rsid w:val="006F7783"/>
    <w:rsid w:val="00701F8B"/>
    <w:rsid w:val="007038ED"/>
    <w:rsid w:val="00706039"/>
    <w:rsid w:val="007227A4"/>
    <w:rsid w:val="00722A10"/>
    <w:rsid w:val="00732883"/>
    <w:rsid w:val="007356A0"/>
    <w:rsid w:val="007508FD"/>
    <w:rsid w:val="00750DD8"/>
    <w:rsid w:val="0075399B"/>
    <w:rsid w:val="00757F83"/>
    <w:rsid w:val="007665CB"/>
    <w:rsid w:val="00775AB7"/>
    <w:rsid w:val="00777351"/>
    <w:rsid w:val="00792549"/>
    <w:rsid w:val="00793A3A"/>
    <w:rsid w:val="007A1632"/>
    <w:rsid w:val="007A1885"/>
    <w:rsid w:val="007A2731"/>
    <w:rsid w:val="007B11B3"/>
    <w:rsid w:val="007B6620"/>
    <w:rsid w:val="007B75B7"/>
    <w:rsid w:val="007C4CB1"/>
    <w:rsid w:val="007D1E41"/>
    <w:rsid w:val="007D6459"/>
    <w:rsid w:val="007E63DA"/>
    <w:rsid w:val="007F0445"/>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D42EB"/>
    <w:rsid w:val="008E5F14"/>
    <w:rsid w:val="008E5F71"/>
    <w:rsid w:val="008E66D9"/>
    <w:rsid w:val="008F08FA"/>
    <w:rsid w:val="008F2E1B"/>
    <w:rsid w:val="008F773A"/>
    <w:rsid w:val="00904055"/>
    <w:rsid w:val="00907DBA"/>
    <w:rsid w:val="00914A4F"/>
    <w:rsid w:val="0091549B"/>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056E0"/>
    <w:rsid w:val="00A1717E"/>
    <w:rsid w:val="00A21B84"/>
    <w:rsid w:val="00A255CB"/>
    <w:rsid w:val="00A26331"/>
    <w:rsid w:val="00A2746C"/>
    <w:rsid w:val="00A27F7F"/>
    <w:rsid w:val="00A447CB"/>
    <w:rsid w:val="00A44C95"/>
    <w:rsid w:val="00A464AD"/>
    <w:rsid w:val="00A46547"/>
    <w:rsid w:val="00A542B0"/>
    <w:rsid w:val="00A5557B"/>
    <w:rsid w:val="00A56B82"/>
    <w:rsid w:val="00A61FF9"/>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1383D"/>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3535"/>
    <w:rsid w:val="00BB71D2"/>
    <w:rsid w:val="00BC0C02"/>
    <w:rsid w:val="00BC70BC"/>
    <w:rsid w:val="00BD1027"/>
    <w:rsid w:val="00BD35CA"/>
    <w:rsid w:val="00BD385F"/>
    <w:rsid w:val="00BD39E2"/>
    <w:rsid w:val="00BD3CA0"/>
    <w:rsid w:val="00BD7771"/>
    <w:rsid w:val="00BE0B0E"/>
    <w:rsid w:val="00BE3F98"/>
    <w:rsid w:val="00BF1329"/>
    <w:rsid w:val="00BF72F5"/>
    <w:rsid w:val="00BF7605"/>
    <w:rsid w:val="00BF7F6D"/>
    <w:rsid w:val="00C04DE6"/>
    <w:rsid w:val="00C0677E"/>
    <w:rsid w:val="00C16421"/>
    <w:rsid w:val="00C22140"/>
    <w:rsid w:val="00C2658A"/>
    <w:rsid w:val="00C31237"/>
    <w:rsid w:val="00C32C34"/>
    <w:rsid w:val="00C35D5A"/>
    <w:rsid w:val="00C42D41"/>
    <w:rsid w:val="00C43B8F"/>
    <w:rsid w:val="00C43FAD"/>
    <w:rsid w:val="00C45F48"/>
    <w:rsid w:val="00C474C8"/>
    <w:rsid w:val="00C50C74"/>
    <w:rsid w:val="00C54D42"/>
    <w:rsid w:val="00C679AC"/>
    <w:rsid w:val="00C758D8"/>
    <w:rsid w:val="00C81D94"/>
    <w:rsid w:val="00C900AE"/>
    <w:rsid w:val="00C9570B"/>
    <w:rsid w:val="00CA1927"/>
    <w:rsid w:val="00CA3AB7"/>
    <w:rsid w:val="00CA51C8"/>
    <w:rsid w:val="00CB619E"/>
    <w:rsid w:val="00CD6231"/>
    <w:rsid w:val="00CE0937"/>
    <w:rsid w:val="00CE53AB"/>
    <w:rsid w:val="00D00CC8"/>
    <w:rsid w:val="00D22D66"/>
    <w:rsid w:val="00D250E5"/>
    <w:rsid w:val="00D253BE"/>
    <w:rsid w:val="00D26985"/>
    <w:rsid w:val="00D3529E"/>
    <w:rsid w:val="00D46F1D"/>
    <w:rsid w:val="00D53C06"/>
    <w:rsid w:val="00D60D26"/>
    <w:rsid w:val="00D60EB5"/>
    <w:rsid w:val="00D73891"/>
    <w:rsid w:val="00D73C2F"/>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17F7C"/>
    <w:rsid w:val="00E21921"/>
    <w:rsid w:val="00E33DCF"/>
    <w:rsid w:val="00E373AD"/>
    <w:rsid w:val="00E4036C"/>
    <w:rsid w:val="00E418B3"/>
    <w:rsid w:val="00E448EF"/>
    <w:rsid w:val="00E52D55"/>
    <w:rsid w:val="00E56FB6"/>
    <w:rsid w:val="00E57815"/>
    <w:rsid w:val="00E62DD5"/>
    <w:rsid w:val="00E70333"/>
    <w:rsid w:val="00E83EAE"/>
    <w:rsid w:val="00E84E99"/>
    <w:rsid w:val="00E8551F"/>
    <w:rsid w:val="00E923DA"/>
    <w:rsid w:val="00E93DBA"/>
    <w:rsid w:val="00E9404F"/>
    <w:rsid w:val="00E9519E"/>
    <w:rsid w:val="00E96678"/>
    <w:rsid w:val="00E967AE"/>
    <w:rsid w:val="00EA3B73"/>
    <w:rsid w:val="00EB7CF2"/>
    <w:rsid w:val="00EC0551"/>
    <w:rsid w:val="00EE1047"/>
    <w:rsid w:val="00EF0176"/>
    <w:rsid w:val="00EF34C4"/>
    <w:rsid w:val="00EF4463"/>
    <w:rsid w:val="00F10D01"/>
    <w:rsid w:val="00F11312"/>
    <w:rsid w:val="00F143A4"/>
    <w:rsid w:val="00F21D5B"/>
    <w:rsid w:val="00F2339E"/>
    <w:rsid w:val="00F25756"/>
    <w:rsid w:val="00F266DE"/>
    <w:rsid w:val="00F33865"/>
    <w:rsid w:val="00F3389A"/>
    <w:rsid w:val="00F4018F"/>
    <w:rsid w:val="00F46585"/>
    <w:rsid w:val="00F465B9"/>
    <w:rsid w:val="00F50FA6"/>
    <w:rsid w:val="00F537CC"/>
    <w:rsid w:val="00F53EE5"/>
    <w:rsid w:val="00F55084"/>
    <w:rsid w:val="00F62E99"/>
    <w:rsid w:val="00F65A3A"/>
    <w:rsid w:val="00F70A79"/>
    <w:rsid w:val="00F73820"/>
    <w:rsid w:val="00F75167"/>
    <w:rsid w:val="00F765AB"/>
    <w:rsid w:val="00F810F1"/>
    <w:rsid w:val="00F85661"/>
    <w:rsid w:val="00F863BA"/>
    <w:rsid w:val="00F92A89"/>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B1B3C1B"/>
    <w:rsid w:val="0BD9022B"/>
    <w:rsid w:val="0D7F514F"/>
    <w:rsid w:val="11677D97"/>
    <w:rsid w:val="12B34D61"/>
    <w:rsid w:val="13B1335A"/>
    <w:rsid w:val="150E269C"/>
    <w:rsid w:val="166F5222"/>
    <w:rsid w:val="184A31E0"/>
    <w:rsid w:val="1E711A49"/>
    <w:rsid w:val="20A67D62"/>
    <w:rsid w:val="253E083A"/>
    <w:rsid w:val="25E776CC"/>
    <w:rsid w:val="26D0430F"/>
    <w:rsid w:val="27A877A0"/>
    <w:rsid w:val="290A36CB"/>
    <w:rsid w:val="2A7D5344"/>
    <w:rsid w:val="2AA17567"/>
    <w:rsid w:val="2C8376D8"/>
    <w:rsid w:val="30A071CD"/>
    <w:rsid w:val="3100387E"/>
    <w:rsid w:val="32F41833"/>
    <w:rsid w:val="33313477"/>
    <w:rsid w:val="35D66C79"/>
    <w:rsid w:val="363F0E23"/>
    <w:rsid w:val="366F04F9"/>
    <w:rsid w:val="391F59BB"/>
    <w:rsid w:val="39707CB8"/>
    <w:rsid w:val="3EF33504"/>
    <w:rsid w:val="41EC3B01"/>
    <w:rsid w:val="43712A92"/>
    <w:rsid w:val="45851742"/>
    <w:rsid w:val="482C3F1D"/>
    <w:rsid w:val="4AD420FB"/>
    <w:rsid w:val="4D9E3FA3"/>
    <w:rsid w:val="4E193658"/>
    <w:rsid w:val="4EA33192"/>
    <w:rsid w:val="4EF41C97"/>
    <w:rsid w:val="52BD4306"/>
    <w:rsid w:val="52C935E2"/>
    <w:rsid w:val="5420452F"/>
    <w:rsid w:val="560D45D3"/>
    <w:rsid w:val="56A00A3C"/>
    <w:rsid w:val="5BC14BBB"/>
    <w:rsid w:val="5C9D7268"/>
    <w:rsid w:val="5F97769F"/>
    <w:rsid w:val="615A37DE"/>
    <w:rsid w:val="61F401C1"/>
    <w:rsid w:val="62221D01"/>
    <w:rsid w:val="633A0287"/>
    <w:rsid w:val="63B36E26"/>
    <w:rsid w:val="6445282D"/>
    <w:rsid w:val="649577B0"/>
    <w:rsid w:val="64B659E6"/>
    <w:rsid w:val="66AA38F8"/>
    <w:rsid w:val="692C53EF"/>
    <w:rsid w:val="694960C1"/>
    <w:rsid w:val="69F152C0"/>
    <w:rsid w:val="6D2A1A28"/>
    <w:rsid w:val="6DA1163D"/>
    <w:rsid w:val="6E253618"/>
    <w:rsid w:val="6E5B0407"/>
    <w:rsid w:val="6F9E5BF8"/>
    <w:rsid w:val="72D51F74"/>
    <w:rsid w:val="73CE5A0F"/>
    <w:rsid w:val="76D31F1A"/>
    <w:rsid w:val="77785FC7"/>
    <w:rsid w:val="78EC706A"/>
    <w:rsid w:val="7B633FEE"/>
    <w:rsid w:val="7E765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A1AA12"/>
  <w15:docId w15:val="{75FE053E-54BE-4DFE-A4DA-0E6A7C603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0"/>
    <w:uiPriority w:val="9"/>
    <w:unhideWhenUsed/>
    <w:qFormat/>
    <w:pPr>
      <w:keepNext/>
      <w:keepLines/>
      <w:spacing w:line="360" w:lineRule="auto"/>
      <w:outlineLvl w:val="2"/>
    </w:pPr>
    <w:rPr>
      <w:b/>
      <w:bCs/>
      <w:sz w:val="24"/>
      <w:szCs w:val="32"/>
    </w:rPr>
  </w:style>
  <w:style w:type="paragraph" w:styleId="4">
    <w:name w:val="heading 4"/>
    <w:basedOn w:val="a"/>
    <w:next w:val="a"/>
    <w:uiPriority w:val="9"/>
    <w:semiHidden/>
    <w:unhideWhenUsed/>
    <w:qFormat/>
    <w:pPr>
      <w:spacing w:beforeAutospacing="1" w:afterAutospacing="1"/>
      <w:jc w:val="left"/>
      <w:outlineLvl w:val="3"/>
    </w:pPr>
    <w:rPr>
      <w:rFonts w:ascii="宋体" w:hAnsi="宋体"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TOC3">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a6"/>
    <w:qFormat/>
    <w:pPr>
      <w:ind w:leftChars="2500" w:left="100"/>
    </w:pPr>
    <w:rPr>
      <w:szCs w:val="24"/>
    </w:rPr>
  </w:style>
  <w:style w:type="paragraph" w:styleId="a7">
    <w:name w:val="Balloon Text"/>
    <w:basedOn w:val="a"/>
    <w:link w:val="a8"/>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right" w:leader="dot" w:pos="8538"/>
      </w:tabs>
      <w:spacing w:line="360" w:lineRule="auto"/>
    </w:pPr>
  </w:style>
  <w:style w:type="paragraph" w:styleId="TOC2">
    <w:name w:val="toc 2"/>
    <w:basedOn w:val="a"/>
    <w:next w:val="a"/>
    <w:autoRedefine/>
    <w:uiPriority w:val="39"/>
    <w:unhideWhenUsed/>
    <w:qFormat/>
    <w:pPr>
      <w:ind w:leftChars="200" w:left="420"/>
    </w:pPr>
  </w:style>
  <w:style w:type="paragraph" w:styleId="ad">
    <w:name w:val="Normal (Web)"/>
    <w:basedOn w:val="a"/>
    <w:uiPriority w:val="99"/>
    <w:semiHidden/>
    <w:unhideWhenUsed/>
    <w:qFormat/>
    <w:rPr>
      <w:sz w:val="24"/>
    </w:rPr>
  </w:style>
  <w:style w:type="table" w:styleId="ae">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f">
    <w:name w:val="Strong"/>
    <w:qFormat/>
    <w:rPr>
      <w:b/>
    </w:rPr>
  </w:style>
  <w:style w:type="character" w:styleId="af0">
    <w:name w:val="page number"/>
    <w:qFormat/>
  </w:style>
  <w:style w:type="character" w:styleId="af1">
    <w:name w:val="Hyperlink"/>
    <w:uiPriority w:val="99"/>
    <w:unhideWhenUsed/>
    <w:qFormat/>
    <w:rPr>
      <w:color w:val="0563C1"/>
      <w:u w:val="single"/>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6">
    <w:name w:val="日期 字符"/>
    <w:link w:val="a5"/>
    <w:qFormat/>
    <w:rPr>
      <w:rFonts w:ascii="Times New Roman" w:eastAsia="宋体" w:hAnsi="Times New Roman" w:cs="Times New Roman"/>
      <w:kern w:val="2"/>
      <w:sz w:val="21"/>
      <w:szCs w:val="24"/>
    </w:rPr>
  </w:style>
  <w:style w:type="character" w:customStyle="1" w:styleId="a8">
    <w:name w:val="批注框文本 字符"/>
    <w:link w:val="a7"/>
    <w:uiPriority w:val="99"/>
    <w:semiHidden/>
    <w:qFormat/>
    <w:rPr>
      <w:rFonts w:ascii="Times New Roman" w:eastAsia="宋体" w:hAnsi="Times New Roman" w:cs="Times New Roman"/>
      <w:kern w:val="2"/>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ac">
    <w:name w:val="页眉 字符"/>
    <w:link w:val="ab"/>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
    <w:name w:val="段 Char"/>
    <w:link w:val="af2"/>
    <w:qFormat/>
    <w:rPr>
      <w:rFonts w:ascii="宋体" w:eastAsia="宋体" w:hAnsi="Times New Roman" w:cs="Times New Roman"/>
      <w:kern w:val="0"/>
      <w:szCs w:val="20"/>
    </w:rPr>
  </w:style>
  <w:style w:type="paragraph" w:customStyle="1" w:styleId="af2">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3">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f4">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0">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Pr>
      <w:b/>
      <w:bCs/>
      <w:kern w:val="2"/>
      <w:sz w:val="24"/>
      <w:szCs w:val="32"/>
    </w:rPr>
  </w:style>
  <w:style w:type="character" w:customStyle="1" w:styleId="Char0">
    <w:name w:val="标准文件_段 Char"/>
    <w:link w:val="af5"/>
    <w:qFormat/>
    <w:locked/>
    <w:rPr>
      <w:rFonts w:ascii="宋体"/>
      <w:sz w:val="21"/>
    </w:rPr>
  </w:style>
  <w:style w:type="paragraph" w:customStyle="1" w:styleId="af5">
    <w:name w:val="标准文件_段"/>
    <w:link w:val="Char0"/>
    <w:qFormat/>
    <w:pPr>
      <w:autoSpaceDE w:val="0"/>
      <w:autoSpaceDN w:val="0"/>
      <w:ind w:firstLineChars="200" w:firstLine="200"/>
      <w:jc w:val="both"/>
    </w:pPr>
    <w:rPr>
      <w:rFonts w:ascii="宋体"/>
      <w:sz w:val="21"/>
    </w:rPr>
  </w:style>
  <w:style w:type="paragraph" w:customStyle="1" w:styleId="21">
    <w:name w:val="修订2"/>
    <w:hidden/>
    <w:uiPriority w:val="99"/>
    <w:unhideWhenUsed/>
    <w:qFormat/>
    <w:rPr>
      <w:kern w:val="2"/>
      <w:sz w:val="21"/>
      <w:szCs w:val="21"/>
    </w:rPr>
  </w:style>
  <w:style w:type="paragraph" w:customStyle="1" w:styleId="31">
    <w:name w:val="修订3"/>
    <w:hidden/>
    <w:uiPriority w:val="99"/>
    <w:unhideWhenUsed/>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C0003-37D3-4AAD-A1E0-DA3E3DE43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837</Words>
  <Characters>4776</Characters>
  <Application>Microsoft Office Word</Application>
  <DocSecurity>0</DocSecurity>
  <Lines>39</Lines>
  <Paragraphs>11</Paragraphs>
  <ScaleCrop>false</ScaleCrop>
  <Company>Lenovo</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周晓丽</cp:lastModifiedBy>
  <cp:revision>3</cp:revision>
  <cp:lastPrinted>2021-10-27T07:09:00Z</cp:lastPrinted>
  <dcterms:created xsi:type="dcterms:W3CDTF">2026-05-15T02:05:00Z</dcterms:created>
  <dcterms:modified xsi:type="dcterms:W3CDTF">2026-05-16T15:34:00Z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A78B99E758584AAA9BC4AF3F11914FC4_13</vt:lpwstr>
  </property>
  <property fmtid="{D5CDD505-2E9C-101B-9397-08002B2CF9AE}" pid="4" name="KSOTemplateDocerSaveRecord">
    <vt:lpwstr>eyJoZGlkIjoiMzEwNTM5NzYwMDRjMzkwZTVkZjY2ODkwMGIxNGU0OTUiLCJ1c2VySWQiOiIxNzUwMDYzMjEyIn0=</vt:lpwstr>
  </property>
</Properties>
</file>