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A1E28B">
      <w:pPr>
        <w:jc w:val="center"/>
        <w:rPr>
          <w:rFonts w:ascii="黑体" w:hAnsi="宋体" w:eastAsia="黑体"/>
          <w:b/>
          <w:color w:val="000000"/>
          <w:sz w:val="36"/>
          <w:szCs w:val="36"/>
        </w:rPr>
      </w:pPr>
      <w:r>
        <w:rPr>
          <w:rFonts w:hint="eastAsia" w:ascii="黑体" w:hAnsi="宋体" w:eastAsia="黑体"/>
          <w:b/>
          <w:color w:val="000000"/>
          <w:sz w:val="36"/>
          <w:szCs w:val="36"/>
        </w:rPr>
        <w:t>柳州市标准技术协会团体标准</w:t>
      </w:r>
      <w:r>
        <w:rPr>
          <w:rFonts w:ascii="黑体" w:hAnsi="宋体" w:eastAsia="黑体"/>
          <w:b/>
          <w:color w:val="000000"/>
          <w:sz w:val="36"/>
          <w:szCs w:val="36"/>
        </w:rPr>
        <w:t>《</w:t>
      </w:r>
      <w:r>
        <w:rPr>
          <w:rFonts w:hint="eastAsia" w:ascii="黑体" w:hAnsi="宋体" w:eastAsia="黑体"/>
          <w:b/>
          <w:color w:val="000000"/>
          <w:sz w:val="36"/>
          <w:szCs w:val="36"/>
          <w:lang w:val="en-US" w:eastAsia="zh-CN"/>
        </w:rPr>
        <w:t>土壤环境背景值</w:t>
      </w:r>
      <w:r>
        <w:rPr>
          <w:rFonts w:ascii="黑体" w:hAnsi="宋体" w:eastAsia="黑体"/>
          <w:b/>
          <w:color w:val="000000"/>
          <w:sz w:val="36"/>
          <w:szCs w:val="36"/>
        </w:rPr>
        <w:t>》</w:t>
      </w:r>
    </w:p>
    <w:p w14:paraId="4BCA54AE">
      <w:pPr>
        <w:jc w:val="center"/>
        <w:outlineLvl w:val="0"/>
        <w:rPr>
          <w:rFonts w:ascii="黑体" w:hAnsi="宋体" w:eastAsia="黑体"/>
          <w:color w:val="000000"/>
          <w:sz w:val="36"/>
          <w:szCs w:val="36"/>
        </w:rPr>
      </w:pPr>
      <w:r>
        <w:rPr>
          <w:rFonts w:hint="eastAsia" w:ascii="黑体" w:hAnsi="宋体" w:eastAsia="黑体"/>
          <w:b/>
          <w:color w:val="000000"/>
          <w:sz w:val="36"/>
          <w:szCs w:val="36"/>
        </w:rPr>
        <w:t>（征求意见稿）编制说明</w:t>
      </w:r>
    </w:p>
    <w:p w14:paraId="15BEDAC9">
      <w:pPr>
        <w:jc w:val="center"/>
        <w:rPr>
          <w:rFonts w:ascii="宋体" w:hAnsi="宋体"/>
          <w:b/>
          <w:color w:val="000000"/>
          <w:sz w:val="32"/>
          <w:szCs w:val="32"/>
        </w:rPr>
      </w:pPr>
    </w:p>
    <w:p w14:paraId="5C460F43">
      <w:pPr>
        <w:autoSpaceDE w:val="0"/>
        <w:autoSpaceDN w:val="0"/>
        <w:adjustRightInd w:val="0"/>
        <w:ind w:firstLine="560" w:firstLineChars="200"/>
        <w:jc w:val="left"/>
        <w:outlineLvl w:val="0"/>
        <w:rPr>
          <w:rFonts w:ascii="黑体" w:hAnsi="黑体" w:eastAsia="黑体" w:cs="仿宋_GB2312"/>
          <w:sz w:val="28"/>
          <w:szCs w:val="28"/>
        </w:rPr>
      </w:pPr>
      <w:r>
        <w:rPr>
          <w:rFonts w:hint="eastAsia" w:ascii="黑体" w:hAnsi="黑体" w:eastAsia="黑体" w:cs="仿宋_GB2312"/>
          <w:sz w:val="28"/>
          <w:szCs w:val="28"/>
        </w:rPr>
        <w:t>一、项目来源</w:t>
      </w:r>
    </w:p>
    <w:p w14:paraId="6470C568">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0" w:firstLineChars="200"/>
        <w:jc w:val="both"/>
        <w:textAlignment w:val="baseline"/>
        <w:rPr>
          <w:rFonts w:hint="eastAsia" w:ascii="仿宋" w:hAnsi="仿宋" w:eastAsia="仿宋" w:cs="仿宋"/>
          <w:color w:val="auto"/>
          <w:sz w:val="28"/>
          <w:szCs w:val="28"/>
        </w:rPr>
      </w:pPr>
      <w:r>
        <w:rPr>
          <w:rFonts w:hint="eastAsia" w:ascii="仿宋" w:hAnsi="仿宋" w:eastAsia="仿宋" w:cs="仿宋"/>
          <w:color w:val="auto"/>
          <w:sz w:val="28"/>
          <w:szCs w:val="28"/>
        </w:rPr>
        <w:t>2016年5月，国务院印发《土壤污染防治行动计划》（国发〔2016〕31号），提出要系统构建土壤标准体系。2018年，发布了《土壤环境质量农用地土壤污染风险管控标准（试行）》（GB15618-2018）、《土壤环境质量建设用地土壤污染风险管控标准（试行）》（GB36600-2018），同时废止《土壤环境质量标准》（GB15618-1995），不再规定全国统一的土壤环境质量标准。《中华人民共和国土壤污染防治法》明确提出支持开展土壤环境背景值研究。2017年12月，原环境保护部、财政部联合印发《关于加强土壤污染综合防治先行区建设的指导意见》（环土壤〔2017〕165号），开展国家级土壤污染防治先行区建设。2018年，广西壮族自治区人民政府批准设立柳州市为自治区土壤污染综合防治先行区，成为首个自治区级土壤污染综合防治先行区。2019年，柳州市人民政府印发《柳州市土壤污染综合防治先行区建设方案》，明确提出：根据柳州市主要土壤类型和分布特点，在柳城、融水、鹿寨等区县逐步铺开，进行柳州市土壤环境背景值专项调查，掌握土壤重金属高背景值区域分布范围及特点。</w:t>
      </w:r>
    </w:p>
    <w:p w14:paraId="735D49ED">
      <w:pPr>
        <w:autoSpaceDE w:val="0"/>
        <w:autoSpaceDN w:val="0"/>
        <w:adjustRightInd w:val="0"/>
        <w:ind w:firstLine="560" w:firstLineChars="200"/>
        <w:jc w:val="left"/>
        <w:outlineLvl w:val="0"/>
        <w:rPr>
          <w:rFonts w:ascii="黑体" w:hAnsi="黑体" w:eastAsia="黑体" w:cs="仿宋_GB2312"/>
          <w:sz w:val="28"/>
          <w:szCs w:val="28"/>
          <w:highlight w:val="yellow"/>
        </w:rPr>
      </w:pPr>
      <w:r>
        <w:rPr>
          <w:rFonts w:hint="eastAsia" w:ascii="黑体" w:hAnsi="黑体" w:eastAsia="黑体" w:cs="仿宋_GB2312"/>
          <w:sz w:val="28"/>
          <w:szCs w:val="28"/>
        </w:rPr>
        <w:t>二、项目背景及目的意义</w:t>
      </w:r>
    </w:p>
    <w:p w14:paraId="41855202">
      <w:pPr>
        <w:autoSpaceDE w:val="0"/>
        <w:autoSpaceDN w:val="0"/>
        <w:adjustRightInd w:val="0"/>
        <w:ind w:firstLine="560" w:firstLineChars="200"/>
        <w:jc w:val="left"/>
        <w:outlineLvl w:val="0"/>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柳州是广西第一大工业城市，有着工业门类齐全、土壤污染特征明显、代表性强等特点，在工业化发展过程中，涉重金属工矿企业的长期排放累积导致局部区域土壤重金属超标；同时柳州市矿产资源丰富，分布较广，由于矿化和一些特殊的地质作用，自然因素也会导致柳州土壤母质中重金属呈现高度富集的现象。根据对柳州市矿区、山体表层土壤的初步调查和监测结果，全市矿区周边土壤部分监测点位出现了镉、砷、铬等超标情况，可能受到天然背景及矿业开采行为双重影响，对于土壤环境管理和居民身体健康造成不良影响，阻碍了经济社会发展。</w:t>
      </w:r>
    </w:p>
    <w:p w14:paraId="5096E98D">
      <w:pPr>
        <w:autoSpaceDE w:val="0"/>
        <w:autoSpaceDN w:val="0"/>
        <w:adjustRightInd w:val="0"/>
        <w:ind w:firstLine="560" w:firstLineChars="200"/>
        <w:jc w:val="left"/>
        <w:outlineLvl w:val="0"/>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柳州市地方标准《土壤环境背景值》的制定是贯彻落实国家《中华人民共和国土壤污染防治法》、《土壤污染防治行动计划》和《柳州市土壤污染综合防治先行区建设方案》等文件要求的具体行动，是完善柳州市土壤环境保护标准体系的重要举措，为柳州市土壤健康风险评估、耕地、自然保护区、矿集区、建设用地等用地的土壤环境质量评价及是否需要采取风险管控及土壤修复措施提供科学依据；减少不必要的风险管控及土壤修复措施，促进建设项目的快速落地；为土壤环境管理提供相关依据具有重要意义。</w:t>
      </w:r>
    </w:p>
    <w:p w14:paraId="52C5806C">
      <w:pPr>
        <w:autoSpaceDE w:val="0"/>
        <w:autoSpaceDN w:val="0"/>
        <w:adjustRightInd w:val="0"/>
        <w:ind w:firstLine="560" w:firstLineChars="200"/>
        <w:jc w:val="left"/>
        <w:outlineLvl w:val="0"/>
        <w:rPr>
          <w:rFonts w:ascii="黑体" w:hAnsi="黑体" w:eastAsia="黑体" w:cs="仿宋_GB2312"/>
          <w:sz w:val="28"/>
          <w:szCs w:val="28"/>
        </w:rPr>
      </w:pPr>
      <w:r>
        <w:rPr>
          <w:rFonts w:hint="eastAsia" w:ascii="黑体" w:hAnsi="黑体" w:eastAsia="黑体" w:cs="仿宋_GB2312"/>
          <w:sz w:val="28"/>
          <w:szCs w:val="28"/>
        </w:rPr>
        <w:t>三、项目编制过程</w:t>
      </w:r>
    </w:p>
    <w:p w14:paraId="06441773">
      <w:pPr>
        <w:ind w:firstLine="562" w:firstLineChars="200"/>
        <w:outlineLvl w:val="0"/>
        <w:rPr>
          <w:rFonts w:ascii="仿宋_GB2312" w:hAnsi="宋体" w:eastAsia="仿宋_GB2312"/>
          <w:sz w:val="28"/>
          <w:szCs w:val="28"/>
        </w:rPr>
      </w:pPr>
      <w:r>
        <w:rPr>
          <w:rFonts w:hint="eastAsia" w:ascii="仿宋_GB2312" w:hAnsi="仿宋_GB2312" w:eastAsia="仿宋_GB2312" w:cs="仿宋_GB2312"/>
          <w:b/>
          <w:sz w:val="28"/>
          <w:szCs w:val="28"/>
        </w:rPr>
        <w:t>（一）成立标准编制工作组</w:t>
      </w:r>
    </w:p>
    <w:p w14:paraId="39142036">
      <w:pPr>
        <w:ind w:firstLine="560" w:firstLineChars="200"/>
        <w:rPr>
          <w:rFonts w:ascii="仿宋_GB2312" w:hAnsi="宋体" w:eastAsia="仿宋_GB2312"/>
          <w:sz w:val="28"/>
          <w:szCs w:val="28"/>
        </w:rPr>
      </w:pPr>
      <w:r>
        <w:rPr>
          <w:rFonts w:hint="eastAsia" w:ascii="仿宋_GB2312" w:hAnsi="宋体" w:eastAsia="仿宋_GB2312"/>
          <w:sz w:val="28"/>
          <w:szCs w:val="28"/>
        </w:rPr>
        <w:t>2021年12月</w:t>
      </w:r>
      <w:r>
        <w:rPr>
          <w:rFonts w:hint="eastAsia" w:ascii="仿宋_GB2312" w:hAnsi="宋体" w:eastAsia="仿宋_GB2312"/>
          <w:sz w:val="28"/>
          <w:szCs w:val="28"/>
          <w:lang w:eastAsia="zh-CN"/>
        </w:rPr>
        <w:t>，</w:t>
      </w:r>
      <w:r>
        <w:rPr>
          <w:rFonts w:hint="eastAsia" w:ascii="仿宋_GB2312" w:hAnsi="宋体" w:eastAsia="仿宋_GB2312"/>
          <w:sz w:val="28"/>
          <w:szCs w:val="28"/>
        </w:rPr>
        <w:t>柳州市生态环境局牵头，同柳州市生态环境技术保障中心和生态环境部土壤与农业农村生态环境监管技术中心组织成立了《土壤环境背景值》标准起草工作小组，制定实施方案，并按照项目要求，明确了任务分工、确定了工作重点和时间进度。</w:t>
      </w:r>
    </w:p>
    <w:p w14:paraId="38CE8DDD">
      <w:pPr>
        <w:ind w:firstLine="562" w:firstLineChars="200"/>
        <w:outlineLvl w:val="0"/>
        <w:rPr>
          <w:rFonts w:ascii="仿宋_GB2312" w:hAnsi="仿宋_GB2312" w:eastAsia="仿宋_GB2312" w:cs="仿宋_GB2312"/>
          <w:b/>
          <w:sz w:val="28"/>
          <w:szCs w:val="28"/>
        </w:rPr>
      </w:pPr>
      <w:r>
        <w:rPr>
          <w:rFonts w:hint="eastAsia" w:ascii="仿宋_GB2312" w:hAnsi="仿宋_GB2312" w:eastAsia="仿宋_GB2312" w:cs="仿宋_GB2312"/>
          <w:b/>
          <w:sz w:val="28"/>
          <w:szCs w:val="28"/>
        </w:rPr>
        <w:t>（二）收集整理资料</w:t>
      </w:r>
    </w:p>
    <w:p w14:paraId="50E015AF">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0" w:firstLineChars="200"/>
        <w:jc w:val="both"/>
        <w:textAlignment w:val="baseline"/>
        <w:rPr>
          <w:rFonts w:hint="default" w:ascii="仿宋_GB2312" w:hAnsi="宋体" w:eastAsia="仿宋_GB2312" w:cs="Times New Roman"/>
          <w:kern w:val="2"/>
          <w:sz w:val="28"/>
          <w:szCs w:val="28"/>
          <w:lang w:val="en-US" w:eastAsia="zh-CN" w:bidi="ar-SA"/>
        </w:rPr>
      </w:pPr>
      <w:r>
        <w:rPr>
          <w:rFonts w:hint="eastAsia" w:ascii="仿宋_GB2312" w:hAnsi="宋体" w:eastAsia="仿宋_GB2312" w:cs="Times New Roman"/>
          <w:kern w:val="2"/>
          <w:sz w:val="28"/>
          <w:szCs w:val="28"/>
          <w:lang w:val="en-US" w:eastAsia="zh-CN" w:bidi="ar-SA"/>
        </w:rPr>
        <w:t>2019年12月-2021年5月，</w:t>
      </w:r>
      <w:r>
        <w:rPr>
          <w:rFonts w:hint="eastAsia" w:ascii="仿宋_GB2312" w:hAnsi="宋体" w:eastAsia="仿宋_GB2312" w:cs="Times New Roman"/>
          <w:kern w:val="2"/>
          <w:sz w:val="28"/>
          <w:szCs w:val="28"/>
          <w:lang w:val="en-US" w:eastAsia="zh-CN" w:bidi="ar-SA"/>
        </w:rPr>
        <w:t>开展柳州市土壤环境背景值专项调查工作，采集样品2619件，建立柳州市（重点生态功能区）土壤环境数据库，完成《柳州市土壤环境背景值专项调查报告》和柳州市土壤背景值调查图集（22幅），召开点位布设、成果集成、专家论证和背景值分析等主题会议十余次。</w:t>
      </w:r>
    </w:p>
    <w:p w14:paraId="54DE5359">
      <w:pPr>
        <w:ind w:firstLine="562" w:firstLineChars="200"/>
        <w:outlineLvl w:val="0"/>
        <w:rPr>
          <w:rFonts w:ascii="仿宋_GB2312" w:hAnsi="仿宋_GB2312" w:eastAsia="仿宋_GB2312" w:cs="仿宋_GB2312"/>
          <w:b/>
          <w:sz w:val="28"/>
          <w:szCs w:val="28"/>
        </w:rPr>
      </w:pPr>
      <w:r>
        <w:rPr>
          <w:rFonts w:hint="eastAsia" w:ascii="仿宋_GB2312" w:hAnsi="仿宋_GB2312" w:eastAsia="仿宋_GB2312" w:cs="仿宋_GB2312"/>
          <w:b/>
          <w:sz w:val="28"/>
          <w:szCs w:val="28"/>
        </w:rPr>
        <w:t>（三）研讨确定标准主体内容</w:t>
      </w:r>
    </w:p>
    <w:p w14:paraId="00F81787">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0" w:firstLineChars="200"/>
        <w:jc w:val="both"/>
        <w:textAlignment w:val="baseline"/>
        <w:rPr>
          <w:rFonts w:hint="eastAsia" w:ascii="仿宋_GB2312" w:hAnsi="宋体" w:eastAsia="仿宋_GB2312" w:cs="Times New Roman"/>
          <w:kern w:val="2"/>
          <w:sz w:val="28"/>
          <w:szCs w:val="28"/>
          <w:lang w:val="en-US" w:eastAsia="zh-CN" w:bidi="ar-SA"/>
        </w:rPr>
      </w:pPr>
      <w:r>
        <w:rPr>
          <w:rFonts w:hint="eastAsia" w:ascii="仿宋_GB2312" w:hAnsi="宋体" w:eastAsia="仿宋_GB2312" w:cs="Times New Roman"/>
          <w:kern w:val="2"/>
          <w:sz w:val="28"/>
          <w:szCs w:val="28"/>
          <w:lang w:val="en-US" w:eastAsia="zh-CN" w:bidi="ar-SA"/>
        </w:rPr>
        <w:t>2022年1月-4月，收集、分析我国相关法律、法规和其他省市地方标准制定工作管理经验的基础上，总结、提炼、识别、梳理了柳州市土壤环境背景值专项调查的相关内容，明确了柳州市《土壤环境背景值》地方标准制定的范围，搭建标准框架，形成标准草案并修改完善。</w:t>
      </w:r>
    </w:p>
    <w:p w14:paraId="2C2C108E">
      <w:pPr>
        <w:ind w:firstLine="562" w:firstLineChars="200"/>
        <w:outlineLvl w:val="0"/>
        <w:rPr>
          <w:rFonts w:ascii="仿宋_GB2312" w:hAnsi="仿宋_GB2312" w:eastAsia="仿宋_GB2312" w:cs="仿宋_GB2312"/>
          <w:b/>
          <w:sz w:val="28"/>
          <w:szCs w:val="28"/>
        </w:rPr>
      </w:pPr>
      <w:r>
        <w:rPr>
          <w:rFonts w:hint="eastAsia" w:ascii="仿宋_GB2312" w:hAnsi="仿宋_GB2312" w:eastAsia="仿宋_GB2312" w:cs="仿宋_GB2312"/>
          <w:b/>
          <w:sz w:val="28"/>
          <w:szCs w:val="28"/>
        </w:rPr>
        <w:t>（四）调研、形成征求意见稿</w:t>
      </w:r>
    </w:p>
    <w:p w14:paraId="7E2F28CE">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560" w:firstLineChars="200"/>
        <w:jc w:val="both"/>
        <w:textAlignment w:val="baseline"/>
        <w:rPr>
          <w:rFonts w:hint="eastAsia" w:ascii="仿宋_GB2312" w:hAnsi="宋体" w:eastAsia="仿宋_GB2312" w:cs="Times New Roman"/>
          <w:kern w:val="2"/>
          <w:sz w:val="28"/>
          <w:szCs w:val="28"/>
          <w:lang w:val="en-US" w:eastAsia="zh-CN" w:bidi="ar-SA"/>
        </w:rPr>
      </w:pPr>
      <w:r>
        <w:rPr>
          <w:rFonts w:hint="eastAsia" w:ascii="仿宋_GB2312" w:hAnsi="宋体" w:eastAsia="仿宋_GB2312" w:cs="Times New Roman"/>
          <w:kern w:val="2"/>
          <w:sz w:val="28"/>
          <w:szCs w:val="28"/>
          <w:lang w:val="en-US" w:eastAsia="zh-CN" w:bidi="ar-SA"/>
        </w:rPr>
        <w:t>2022年5月-2022 年8月，向市级以上标准化主管部门或者有关行政主管部门提出地方标准立项建议，并向同级标准化主管部门提出地方标准立项申请。2022年9月-12月，广泛征求意见（征求意见日期为2022年11月8日至12月8日），整理规范送审稿；征求有关行政主管部门以及企业事业组织、社会团体、消费者组织、科研机构、标准使用单位等方面意见，根据征求意见情况修改完善后报送同级标准化主管部门。</w:t>
      </w:r>
    </w:p>
    <w:p w14:paraId="03420807">
      <w:pPr>
        <w:autoSpaceDE w:val="0"/>
        <w:autoSpaceDN w:val="0"/>
        <w:adjustRightInd w:val="0"/>
        <w:ind w:firstLine="640" w:firstLineChars="200"/>
        <w:jc w:val="left"/>
        <w:outlineLvl w:val="0"/>
        <w:rPr>
          <w:rFonts w:ascii="黑体" w:hAnsi="黑体" w:eastAsia="黑体" w:cs="仿宋_GB2312"/>
          <w:sz w:val="32"/>
          <w:szCs w:val="32"/>
        </w:rPr>
      </w:pPr>
      <w:bookmarkStart w:id="0" w:name="_Toc526940083"/>
      <w:r>
        <w:rPr>
          <w:rFonts w:hint="eastAsia" w:ascii="黑体" w:hAnsi="黑体" w:eastAsia="黑体" w:cs="仿宋_GB2312"/>
          <w:sz w:val="32"/>
          <w:szCs w:val="32"/>
        </w:rPr>
        <w:t>四、标准制定原则</w:t>
      </w:r>
      <w:bookmarkEnd w:id="0"/>
    </w:p>
    <w:p w14:paraId="445BD3DF">
      <w:pPr>
        <w:ind w:firstLine="560" w:firstLineChars="200"/>
        <w:rPr>
          <w:rFonts w:ascii="仿宋_GB2312" w:hAnsi="宋体" w:eastAsia="仿宋_GB2312"/>
          <w:sz w:val="28"/>
          <w:szCs w:val="28"/>
        </w:rPr>
      </w:pPr>
      <w:r>
        <w:rPr>
          <w:rFonts w:hint="eastAsia" w:ascii="仿宋_GB2312" w:hAnsi="宋体" w:eastAsia="仿宋_GB2312"/>
          <w:sz w:val="28"/>
          <w:szCs w:val="28"/>
        </w:rPr>
        <w:t>1、实用性原则</w:t>
      </w:r>
    </w:p>
    <w:p w14:paraId="50412107">
      <w:pPr>
        <w:ind w:firstLine="560" w:firstLineChars="200"/>
        <w:outlineLvl w:val="0"/>
        <w:rPr>
          <w:rFonts w:hint="eastAsia" w:ascii="仿宋_GB2312" w:hAnsi="宋体" w:eastAsia="仿宋_GB2312"/>
          <w:sz w:val="28"/>
          <w:szCs w:val="28"/>
        </w:rPr>
      </w:pPr>
      <w:r>
        <w:rPr>
          <w:rFonts w:hint="eastAsia" w:ascii="仿宋_GB2312" w:hAnsi="宋体" w:eastAsia="仿宋_GB2312"/>
          <w:sz w:val="28"/>
          <w:szCs w:val="28"/>
        </w:rPr>
        <w:t>根据柳州市土壤污染综合防治先行区建设方案的部署，结合柳州市地质高背景区重金属元素的检出实际，参考国家农用地和建设用地土壤污染风险管控标准中的主要重金属元素项目，确定柳州市土壤环境背景值标准需考虑的重金属元素项目。</w:t>
      </w:r>
    </w:p>
    <w:p w14:paraId="5B61ACD9">
      <w:pPr>
        <w:ind w:firstLine="560" w:firstLineChars="200"/>
        <w:outlineLvl w:val="0"/>
        <w:rPr>
          <w:rFonts w:hint="eastAsia" w:ascii="仿宋_GB2312" w:hAnsi="宋体" w:eastAsia="仿宋_GB2312"/>
          <w:sz w:val="28"/>
          <w:szCs w:val="28"/>
        </w:rPr>
      </w:pPr>
      <w:r>
        <w:rPr>
          <w:rFonts w:hint="eastAsia" w:ascii="仿宋_GB2312" w:hAnsi="宋体" w:eastAsia="仿宋_GB2312"/>
          <w:sz w:val="28"/>
          <w:szCs w:val="28"/>
        </w:rPr>
        <w:t>2、协调性原则</w:t>
      </w:r>
    </w:p>
    <w:p w14:paraId="31C7B79F">
      <w:pPr>
        <w:ind w:firstLine="560" w:firstLineChars="200"/>
        <w:outlineLvl w:val="0"/>
        <w:rPr>
          <w:rFonts w:hint="eastAsia" w:ascii="仿宋_GB2312" w:hAnsi="宋体" w:eastAsia="仿宋_GB2312"/>
          <w:sz w:val="28"/>
          <w:szCs w:val="28"/>
        </w:rPr>
      </w:pPr>
      <w:r>
        <w:rPr>
          <w:rFonts w:hint="eastAsia" w:ascii="仿宋_GB2312" w:hAnsi="宋体" w:eastAsia="仿宋_GB2312"/>
          <w:sz w:val="28"/>
          <w:szCs w:val="28"/>
        </w:rPr>
        <w:t>与相关环保政策法规、技术导则和标准体系相结合，互相支持。</w:t>
      </w:r>
    </w:p>
    <w:p w14:paraId="13EE982E">
      <w:pPr>
        <w:ind w:firstLine="560" w:firstLineChars="200"/>
        <w:outlineLvl w:val="0"/>
        <w:rPr>
          <w:rFonts w:hint="eastAsia" w:ascii="仿宋_GB2312" w:hAnsi="宋体" w:eastAsia="仿宋_GB2312"/>
          <w:sz w:val="28"/>
          <w:szCs w:val="28"/>
        </w:rPr>
      </w:pPr>
      <w:r>
        <w:rPr>
          <w:rFonts w:hint="eastAsia" w:ascii="仿宋_GB2312" w:hAnsi="宋体" w:eastAsia="仿宋_GB2312"/>
          <w:sz w:val="28"/>
          <w:szCs w:val="28"/>
        </w:rPr>
        <w:t>3、规范性原则</w:t>
      </w:r>
    </w:p>
    <w:p w14:paraId="776EEE2E">
      <w:pPr>
        <w:pStyle w:val="2"/>
        <w:rPr>
          <w:rFonts w:hint="eastAsia" w:ascii="仿宋_GB2312" w:hAnsi="宋体" w:eastAsia="仿宋_GB2312" w:cs="Times New Roman"/>
          <w:kern w:val="2"/>
          <w:sz w:val="28"/>
          <w:szCs w:val="28"/>
          <w:lang w:val="en-US" w:eastAsia="zh-CN" w:bidi="ar-SA"/>
        </w:rPr>
      </w:pPr>
      <w:r>
        <w:rPr>
          <w:rFonts w:hint="eastAsia" w:ascii="仿宋_GB2312" w:hAnsi="宋体" w:eastAsia="仿宋_GB2312" w:cs="Times New Roman"/>
          <w:kern w:val="2"/>
          <w:sz w:val="28"/>
          <w:szCs w:val="28"/>
          <w:lang w:val="en-US" w:eastAsia="zh-CN" w:bidi="ar-SA"/>
        </w:rPr>
        <w:t>充分借鉴国内外较成熟的土壤环境背景值标准制定方法，结合实际进行集成创新，保证土壤环境背景值标准的编制具有科学性、合理性和可操作性。</w:t>
      </w:r>
    </w:p>
    <w:p w14:paraId="22533E83">
      <w:pPr>
        <w:ind w:firstLine="560" w:firstLineChars="200"/>
        <w:outlineLvl w:val="0"/>
        <w:rPr>
          <w:rFonts w:ascii="仿宋_GB2312" w:hAnsi="宋体" w:eastAsia="仿宋_GB2312"/>
          <w:sz w:val="28"/>
          <w:szCs w:val="28"/>
        </w:rPr>
      </w:pPr>
      <w:r>
        <w:rPr>
          <w:rFonts w:hint="eastAsia" w:ascii="仿宋_GB2312" w:hAnsi="宋体" w:eastAsia="仿宋_GB2312"/>
          <w:sz w:val="28"/>
          <w:szCs w:val="28"/>
        </w:rPr>
        <w:t>4、指导性原则</w:t>
      </w:r>
    </w:p>
    <w:p w14:paraId="3D5A7CDF">
      <w:pPr>
        <w:ind w:firstLine="560" w:firstLineChars="200"/>
        <w:outlineLvl w:val="0"/>
        <w:rPr>
          <w:rFonts w:hint="eastAsia" w:ascii="仿宋_GB2312" w:hAnsi="宋体" w:eastAsia="仿宋_GB2312" w:cs="Times New Roman"/>
          <w:sz w:val="28"/>
          <w:szCs w:val="28"/>
        </w:rPr>
      </w:pPr>
      <w:bookmarkStart w:id="1" w:name="_Toc526940084"/>
      <w:r>
        <w:rPr>
          <w:rFonts w:hint="eastAsia" w:ascii="仿宋_GB2312" w:hAnsi="宋体" w:eastAsia="仿宋_GB2312" w:cs="Times New Roman"/>
          <w:sz w:val="28"/>
          <w:szCs w:val="28"/>
        </w:rPr>
        <w:t>《土壤环境背景值》的制定为柳州市土壤健康风险评估、耕地、自然保护区、矿集区、建设用地等用地的土壤环境质量评价及是否需要采取风险管控及土壤修复措施提供科学依据；减少不必要的风险管控及土壤修复措施，促进建设项目的快速落地；对推动土壤分用途、分级、分类管理具有重要</w:t>
      </w:r>
      <w:r>
        <w:rPr>
          <w:rFonts w:hint="eastAsia" w:ascii="仿宋_GB2312" w:hAnsi="宋体" w:eastAsia="仿宋_GB2312" w:cs="Times New Roman"/>
          <w:sz w:val="28"/>
          <w:szCs w:val="28"/>
          <w:lang w:val="en-US" w:eastAsia="zh-CN"/>
        </w:rPr>
        <w:t>指导</w:t>
      </w:r>
      <w:r>
        <w:rPr>
          <w:rFonts w:hint="eastAsia" w:ascii="仿宋_GB2312" w:hAnsi="宋体" w:eastAsia="仿宋_GB2312" w:cs="Times New Roman"/>
          <w:sz w:val="28"/>
          <w:szCs w:val="28"/>
        </w:rPr>
        <w:t>意义。</w:t>
      </w:r>
    </w:p>
    <w:p w14:paraId="03D4D2FA">
      <w:pPr>
        <w:autoSpaceDE w:val="0"/>
        <w:autoSpaceDN w:val="0"/>
        <w:adjustRightInd w:val="0"/>
        <w:ind w:firstLine="640" w:firstLineChars="200"/>
        <w:jc w:val="left"/>
        <w:rPr>
          <w:rFonts w:ascii="黑体" w:hAnsi="黑体" w:eastAsia="黑体" w:cs="仿宋_GB2312"/>
          <w:sz w:val="32"/>
          <w:szCs w:val="32"/>
        </w:rPr>
      </w:pPr>
      <w:r>
        <w:rPr>
          <w:rFonts w:hint="eastAsia" w:ascii="黑体" w:hAnsi="黑体" w:eastAsia="黑体" w:cs="仿宋_GB2312"/>
          <w:sz w:val="32"/>
          <w:szCs w:val="32"/>
        </w:rPr>
        <w:t>五、标准主要内容及依据来源</w:t>
      </w:r>
      <w:bookmarkEnd w:id="1"/>
    </w:p>
    <w:p w14:paraId="3CB029DD">
      <w:pPr>
        <w:pStyle w:val="21"/>
        <w:ind w:firstLine="420" w:firstLineChars="150"/>
        <w:outlineLvl w:val="0"/>
        <w:rPr>
          <w:rFonts w:hint="eastAsia" w:ascii="黑体" w:hAnsi="黑体" w:eastAsia="黑体" w:cs="仿宋_GB2312"/>
          <w:sz w:val="32"/>
          <w:szCs w:val="32"/>
        </w:rPr>
      </w:pPr>
      <w:r>
        <w:rPr>
          <w:rFonts w:hint="eastAsia" w:ascii="仿宋_GB2312" w:hAnsi="宋体" w:eastAsia="仿宋_GB2312"/>
          <w:sz w:val="28"/>
          <w:szCs w:val="28"/>
        </w:rPr>
        <w:t>本标准制定主要依据“柳州市土壤环境背景值专项调查”项目的研究成果，结合《区域性土壤环境背景含量统计技术导则（试行）》（HJ1185—2021）相关技术要求和方法建议，参考《土壤质量－背景值确定指南》（ISO/DIS19258:2004(E)）等国外在土壤环境背景值标准制定方面的研究成果，调研柳州地区在重金属地质高背景分布特征方面的实践经验和管理需求。</w:t>
      </w:r>
    </w:p>
    <w:p w14:paraId="450798AB">
      <w:pPr>
        <w:pStyle w:val="21"/>
        <w:ind w:firstLine="480" w:firstLineChars="150"/>
        <w:outlineLvl w:val="0"/>
        <w:rPr>
          <w:rFonts w:ascii="黑体" w:hAnsi="黑体" w:eastAsia="黑体" w:cs="仿宋_GB2312"/>
          <w:sz w:val="32"/>
          <w:szCs w:val="32"/>
        </w:rPr>
      </w:pPr>
      <w:r>
        <w:rPr>
          <w:rFonts w:hint="eastAsia" w:ascii="黑体" w:hAnsi="黑体" w:eastAsia="黑体" w:cs="仿宋_GB2312"/>
          <w:sz w:val="32"/>
          <w:szCs w:val="32"/>
        </w:rPr>
        <w:t>六、国内同类标准制修订情况及与法律法规、强制性标准关系</w:t>
      </w:r>
    </w:p>
    <w:p w14:paraId="3E47540F">
      <w:pPr>
        <w:autoSpaceDE w:val="0"/>
        <w:autoSpaceDN w:val="0"/>
        <w:adjustRightInd w:val="0"/>
        <w:ind w:firstLine="560" w:firstLineChars="200"/>
        <w:jc w:val="left"/>
        <w:rPr>
          <w:rFonts w:hint="eastAsia" w:ascii="仿宋_GB2312" w:hAnsi="宋体" w:eastAsia="仿宋_GB2312"/>
          <w:sz w:val="28"/>
          <w:szCs w:val="28"/>
        </w:rPr>
      </w:pPr>
      <w:bookmarkStart w:id="2" w:name="_Toc526940086"/>
      <w:r>
        <w:rPr>
          <w:rFonts w:hint="eastAsia" w:ascii="仿宋_GB2312" w:hAnsi="宋体" w:eastAsia="仿宋_GB2312"/>
          <w:sz w:val="28"/>
          <w:szCs w:val="28"/>
        </w:rPr>
        <w:t>柳州市生态环境技术保障中心委托广西壮族自治区标准技术研究院于2022年1月17日完成查新报告,找到现行有效项目的相关技术标准如下：</w:t>
      </w:r>
    </w:p>
    <w:p w14:paraId="09130183">
      <w:pPr>
        <w:autoSpaceDE w:val="0"/>
        <w:autoSpaceDN w:val="0"/>
        <w:adjustRightInd w:val="0"/>
        <w:ind w:firstLine="560" w:firstLineChars="200"/>
        <w:jc w:val="left"/>
        <w:rPr>
          <w:rFonts w:hint="eastAsia" w:ascii="仿宋_GB2312" w:hAnsi="宋体" w:eastAsia="仿宋_GB2312"/>
          <w:sz w:val="28"/>
          <w:szCs w:val="28"/>
        </w:rPr>
      </w:pPr>
      <w:r>
        <w:rPr>
          <w:rFonts w:hint="eastAsia" w:ascii="仿宋_GB2312" w:hAnsi="宋体" w:eastAsia="仿宋_GB2312"/>
          <w:sz w:val="28"/>
          <w:szCs w:val="28"/>
        </w:rPr>
        <w:t>《区域性土壤环境背景含量统计技术导则（试行）》（HJ 1185-2021）</w:t>
      </w:r>
    </w:p>
    <w:p w14:paraId="4E19165A">
      <w:pPr>
        <w:autoSpaceDE w:val="0"/>
        <w:autoSpaceDN w:val="0"/>
        <w:adjustRightInd w:val="0"/>
        <w:ind w:firstLine="560" w:firstLineChars="200"/>
        <w:jc w:val="left"/>
        <w:rPr>
          <w:rFonts w:hint="eastAsia" w:ascii="仿宋_GB2312" w:hAnsi="宋体" w:eastAsia="仿宋_GB2312"/>
          <w:sz w:val="28"/>
          <w:szCs w:val="28"/>
        </w:rPr>
      </w:pPr>
      <w:r>
        <w:rPr>
          <w:rFonts w:hint="eastAsia" w:ascii="仿宋_GB2312" w:hAnsi="宋体" w:eastAsia="仿宋_GB2312"/>
          <w:sz w:val="28"/>
          <w:szCs w:val="28"/>
        </w:rPr>
        <w:t>《土壤环境质量农用地土壤污染风险管控标准（试行）》（GB 15618-2018 ）</w:t>
      </w:r>
    </w:p>
    <w:p w14:paraId="559C38DA">
      <w:pPr>
        <w:autoSpaceDE w:val="0"/>
        <w:autoSpaceDN w:val="0"/>
        <w:adjustRightInd w:val="0"/>
        <w:ind w:firstLine="560" w:firstLineChars="200"/>
        <w:jc w:val="left"/>
        <w:rPr>
          <w:rFonts w:hint="eastAsia" w:ascii="仿宋_GB2312" w:hAnsi="宋体" w:eastAsia="仿宋_GB2312"/>
          <w:sz w:val="28"/>
          <w:szCs w:val="28"/>
        </w:rPr>
      </w:pPr>
      <w:r>
        <w:rPr>
          <w:rFonts w:hint="eastAsia" w:ascii="仿宋_GB2312" w:hAnsi="宋体" w:eastAsia="仿宋_GB2312"/>
          <w:sz w:val="28"/>
          <w:szCs w:val="28"/>
        </w:rPr>
        <w:t xml:space="preserve">《土壤环境背景值》DB 4403/T 68-2020 </w:t>
      </w:r>
    </w:p>
    <w:p w14:paraId="742156E6">
      <w:pPr>
        <w:autoSpaceDE w:val="0"/>
        <w:autoSpaceDN w:val="0"/>
        <w:adjustRightInd w:val="0"/>
        <w:ind w:firstLine="560" w:firstLineChars="200"/>
        <w:jc w:val="left"/>
        <w:rPr>
          <w:rFonts w:hint="eastAsia" w:ascii="仿宋_GB2312" w:hAnsi="宋体" w:eastAsia="仿宋_GB2312"/>
          <w:sz w:val="28"/>
          <w:szCs w:val="28"/>
        </w:rPr>
      </w:pPr>
      <w:r>
        <w:rPr>
          <w:rFonts w:hint="eastAsia" w:ascii="仿宋_GB2312" w:hAnsi="宋体" w:eastAsia="仿宋_GB2312"/>
          <w:sz w:val="28"/>
          <w:szCs w:val="28"/>
        </w:rPr>
        <w:t>《土壤环境背景值》DB 4402/T 08-2021</w:t>
      </w:r>
    </w:p>
    <w:p w14:paraId="468F529C">
      <w:pPr>
        <w:autoSpaceDE w:val="0"/>
        <w:autoSpaceDN w:val="0"/>
        <w:adjustRightInd w:val="0"/>
        <w:ind w:firstLine="560" w:firstLineChars="200"/>
        <w:jc w:val="left"/>
        <w:rPr>
          <w:rFonts w:hint="eastAsia" w:ascii="仿宋_GB2312" w:hAnsi="宋体" w:eastAsia="仿宋_GB2312"/>
          <w:sz w:val="28"/>
          <w:szCs w:val="28"/>
        </w:rPr>
      </w:pPr>
      <w:r>
        <w:rPr>
          <w:rFonts w:hint="eastAsia" w:ascii="仿宋_GB2312" w:hAnsi="宋体" w:eastAsia="仿宋_GB2312"/>
          <w:sz w:val="28"/>
          <w:szCs w:val="28"/>
        </w:rPr>
        <w:t>《区域性土壤环境背景含量统计技术导则（试行）》（HJ 1185-2021）规定了区域性土壤环境背景含量统计工作程序以及数据获取、数据处理分析、统计与表征等技术要求。《土壤环境质量农用地土壤污染风险管控标准（试行）》（GB 15618-2018 ）规定了农用地土壤污染风险筛选值和管制值，以及监测、实施与监督要求。《土壤环背景值》（DB 4403/T 68-2020）、《土壤环背景值》（DB 4402/T 08-2021）分别为深圳市和韶关市颁布的地方性土壤环境背景值标准，其内容主要针对当地行业特征，制定了符合当地情况的土壤背景值。另外《土壤环境质量建设用地土壤污染风险管控标准（试行）》（GB 36600-2018）规定了保护人体健康的建设用地土壤污染风险筛选值和管制值，以及监测、实施与监督要求。</w:t>
      </w:r>
    </w:p>
    <w:p w14:paraId="725ADF47">
      <w:pPr>
        <w:autoSpaceDE w:val="0"/>
        <w:autoSpaceDN w:val="0"/>
        <w:adjustRightInd w:val="0"/>
        <w:ind w:firstLine="560" w:firstLineChars="200"/>
        <w:jc w:val="left"/>
        <w:rPr>
          <w:rFonts w:ascii="仿宋_GB2312" w:hAnsi="宋体" w:eastAsia="仿宋_GB2312"/>
          <w:sz w:val="28"/>
          <w:szCs w:val="28"/>
        </w:rPr>
      </w:pPr>
      <w:r>
        <w:rPr>
          <w:rFonts w:hint="eastAsia" w:ascii="仿宋_GB2312" w:hAnsi="宋体" w:eastAsia="仿宋_GB2312"/>
          <w:sz w:val="28"/>
          <w:szCs w:val="28"/>
        </w:rPr>
        <w:t>本标准（征求意见稿）的制定是遵循《中华人民共和国标准化法》等国家相关的法规和强制性标准，结合地方实际情况制定出来的，与现行的法律、法规及强制性标准无冲突。</w:t>
      </w:r>
    </w:p>
    <w:p w14:paraId="1030994E">
      <w:pPr>
        <w:autoSpaceDE w:val="0"/>
        <w:autoSpaceDN w:val="0"/>
        <w:adjustRightInd w:val="0"/>
        <w:ind w:firstLine="560" w:firstLineChars="200"/>
        <w:jc w:val="left"/>
        <w:rPr>
          <w:rFonts w:ascii="仿宋_GB2312" w:hAnsi="宋体" w:eastAsia="仿宋_GB2312"/>
          <w:sz w:val="28"/>
          <w:szCs w:val="28"/>
        </w:rPr>
      </w:pPr>
      <w:r>
        <w:rPr>
          <w:rFonts w:hint="eastAsia" w:ascii="仿宋_GB2312" w:hAnsi="宋体" w:eastAsia="仿宋_GB2312"/>
          <w:sz w:val="28"/>
          <w:szCs w:val="28"/>
        </w:rPr>
        <w:t>综上所述，以上标准内未见与本项目关键词完全符合的标准。</w:t>
      </w:r>
    </w:p>
    <w:p w14:paraId="59A532A9">
      <w:pPr>
        <w:autoSpaceDE w:val="0"/>
        <w:autoSpaceDN w:val="0"/>
        <w:adjustRightInd w:val="0"/>
        <w:ind w:firstLine="640" w:firstLineChars="200"/>
        <w:jc w:val="left"/>
        <w:outlineLvl w:val="0"/>
        <w:rPr>
          <w:rFonts w:ascii="黑体" w:hAnsi="黑体" w:eastAsia="黑体" w:cs="仿宋_GB2312"/>
          <w:sz w:val="32"/>
          <w:szCs w:val="32"/>
        </w:rPr>
      </w:pPr>
      <w:r>
        <w:rPr>
          <w:rFonts w:hint="eastAsia" w:ascii="黑体" w:hAnsi="黑体" w:eastAsia="黑体" w:cs="仿宋_GB2312"/>
          <w:sz w:val="32"/>
          <w:szCs w:val="32"/>
        </w:rPr>
        <w:t>七、标准实施预期的效果</w:t>
      </w:r>
      <w:bookmarkEnd w:id="2"/>
    </w:p>
    <w:p w14:paraId="468E7EC7">
      <w:pPr>
        <w:autoSpaceDE w:val="0"/>
        <w:autoSpaceDN w:val="0"/>
        <w:adjustRightInd w:val="0"/>
        <w:ind w:firstLine="560" w:firstLineChars="200"/>
        <w:jc w:val="left"/>
        <w:rPr>
          <w:rFonts w:ascii="仿宋_GB2312" w:eastAsia="仿宋_GB2312"/>
          <w:sz w:val="28"/>
          <w:szCs w:val="28"/>
        </w:rPr>
      </w:pPr>
      <w:r>
        <w:rPr>
          <w:rFonts w:hint="eastAsia" w:ascii="仿宋_GB2312" w:hAnsi="宋体" w:eastAsia="仿宋_GB2312"/>
          <w:sz w:val="28"/>
          <w:szCs w:val="28"/>
        </w:rPr>
        <w:t>通过柳州市标准技术协会团体标准《</w:t>
      </w:r>
      <w:r>
        <w:rPr>
          <w:rFonts w:hint="eastAsia" w:ascii="仿宋_GB2312" w:hAnsi="宋体" w:eastAsia="仿宋_GB2312"/>
          <w:sz w:val="28"/>
          <w:szCs w:val="28"/>
          <w:lang w:val="en-US" w:eastAsia="zh-CN"/>
        </w:rPr>
        <w:t>土壤环境背景值</w:t>
      </w:r>
      <w:r>
        <w:rPr>
          <w:rFonts w:hint="eastAsia" w:ascii="仿宋_GB2312" w:hAnsi="宋体" w:eastAsia="仿宋_GB2312"/>
          <w:sz w:val="28"/>
          <w:szCs w:val="28"/>
        </w:rPr>
        <w:t>》的制定实施，</w:t>
      </w:r>
      <w:r>
        <w:rPr>
          <w:rFonts w:hint="eastAsia" w:ascii="仿宋_GB2312" w:eastAsia="仿宋_GB2312"/>
          <w:sz w:val="28"/>
          <w:szCs w:val="28"/>
        </w:rPr>
        <w:t>将</w:t>
      </w:r>
      <w:r>
        <w:rPr>
          <w:rFonts w:hint="eastAsia" w:ascii="仿宋_GB2312" w:eastAsia="仿宋_GB2312"/>
          <w:sz w:val="28"/>
          <w:szCs w:val="28"/>
          <w:lang w:val="en-US" w:eastAsia="zh-CN"/>
        </w:rPr>
        <w:t>引导标准相关企业、单位准确掌握本标准的指标参数和要求，在柳州市土壤健康风险评估、耕地、自然保护区、矿集区、建设用地等用地的土壤环境质量评价；减少不必要的风险管控及土壤修复措施，促进建设项目的快速落地；推动土壤分用途、分级、分类管理等方面积极采纳、引用、实施本标准，发挥标准指导实践、促进柳州工业高质量发展的作用。</w:t>
      </w:r>
      <w:r>
        <w:rPr>
          <w:rFonts w:hint="eastAsia" w:ascii="仿宋_GB2312" w:eastAsia="仿宋_GB2312"/>
          <w:sz w:val="28"/>
          <w:szCs w:val="28"/>
        </w:rPr>
        <w:t>。</w:t>
      </w:r>
    </w:p>
    <w:p w14:paraId="73773148">
      <w:pPr>
        <w:autoSpaceDE w:val="0"/>
        <w:autoSpaceDN w:val="0"/>
        <w:adjustRightInd w:val="0"/>
        <w:ind w:firstLine="640" w:firstLineChars="200"/>
        <w:jc w:val="left"/>
        <w:outlineLvl w:val="0"/>
        <w:rPr>
          <w:rFonts w:ascii="黑体" w:hAnsi="黑体" w:eastAsia="黑体" w:cs="仿宋_GB2312"/>
          <w:sz w:val="32"/>
          <w:szCs w:val="32"/>
        </w:rPr>
      </w:pPr>
      <w:r>
        <w:rPr>
          <w:rFonts w:hint="eastAsia" w:ascii="黑体" w:hAnsi="黑体" w:eastAsia="黑体" w:cs="仿宋_GB2312"/>
          <w:sz w:val="32"/>
          <w:szCs w:val="32"/>
        </w:rPr>
        <w:t>八、重大分歧意见的处理经过和依据</w:t>
      </w:r>
    </w:p>
    <w:p w14:paraId="28B9C3A8">
      <w:pPr>
        <w:ind w:firstLine="560" w:firstLineChars="200"/>
        <w:rPr>
          <w:rFonts w:ascii="仿宋_GB2312" w:hAnsi="宋体" w:eastAsia="仿宋_GB2312"/>
          <w:sz w:val="28"/>
          <w:szCs w:val="28"/>
        </w:rPr>
      </w:pPr>
      <w:r>
        <w:rPr>
          <w:rFonts w:hint="eastAsia" w:ascii="仿宋_GB2312" w:hAnsi="宋体" w:eastAsia="仿宋_GB2312"/>
          <w:sz w:val="28"/>
          <w:szCs w:val="28"/>
        </w:rPr>
        <w:t>本标准研制过程中无重大分歧意见。</w:t>
      </w:r>
    </w:p>
    <w:p w14:paraId="69391126">
      <w:pPr>
        <w:autoSpaceDE w:val="0"/>
        <w:autoSpaceDN w:val="0"/>
        <w:adjustRightInd w:val="0"/>
        <w:spacing w:before="156" w:beforeLines="50" w:after="156" w:afterLines="50" w:line="520" w:lineRule="exact"/>
        <w:ind w:firstLine="640" w:firstLineChars="200"/>
        <w:jc w:val="left"/>
        <w:outlineLvl w:val="0"/>
        <w:rPr>
          <w:rFonts w:ascii="黑体" w:hAnsi="黑体" w:eastAsia="黑体" w:cs="仿宋_GB2312"/>
          <w:sz w:val="32"/>
          <w:szCs w:val="32"/>
        </w:rPr>
      </w:pPr>
      <w:r>
        <w:rPr>
          <w:rFonts w:hint="eastAsia" w:ascii="黑体" w:hAnsi="黑体" w:eastAsia="黑体" w:cs="仿宋_GB2312"/>
          <w:sz w:val="32"/>
          <w:szCs w:val="32"/>
        </w:rPr>
        <w:t>九、自我承诺</w:t>
      </w:r>
    </w:p>
    <w:p w14:paraId="7896165F">
      <w:pPr>
        <w:spacing w:line="520" w:lineRule="exact"/>
        <w:ind w:firstLine="560" w:firstLineChars="200"/>
        <w:rPr>
          <w:rFonts w:ascii="仿宋_GB2312" w:hAnsi="宋体" w:eastAsia="仿宋_GB2312"/>
          <w:sz w:val="28"/>
          <w:szCs w:val="28"/>
        </w:rPr>
      </w:pPr>
      <w:r>
        <w:rPr>
          <w:rFonts w:hint="eastAsia" w:ascii="仿宋_GB2312" w:hAnsi="宋体" w:eastAsia="仿宋_GB2312"/>
          <w:sz w:val="28"/>
          <w:szCs w:val="28"/>
        </w:rPr>
        <w:t>本标准内容与各项指标不低于国家强制性标准、推荐性国家标准和行业标准。</w:t>
      </w:r>
    </w:p>
    <w:p w14:paraId="22B8162A">
      <w:pPr>
        <w:jc w:val="right"/>
        <w:rPr>
          <w:rFonts w:ascii="仿宋_GB2312" w:hAnsi="仿宋" w:eastAsia="仿宋_GB2312" w:cs="黑体"/>
          <w:sz w:val="28"/>
          <w:szCs w:val="28"/>
        </w:rPr>
      </w:pPr>
      <w:r>
        <w:rPr>
          <w:rFonts w:hint="eastAsia" w:ascii="仿宋_GB2312" w:hAnsi="黑体" w:eastAsia="仿宋_GB2312" w:cs="黑体"/>
          <w:sz w:val="28"/>
          <w:szCs w:val="28"/>
        </w:rPr>
        <w:t>柳州市标准技术协会团体标准《</w:t>
      </w:r>
      <w:r>
        <w:rPr>
          <w:rFonts w:hint="eastAsia" w:ascii="仿宋_GB2312" w:hAnsi="黑体" w:eastAsia="仿宋_GB2312" w:cs="黑体"/>
          <w:sz w:val="28"/>
          <w:szCs w:val="28"/>
          <w:lang w:val="en-US" w:eastAsia="zh-CN"/>
        </w:rPr>
        <w:t>土壤环境背景值</w:t>
      </w:r>
      <w:r>
        <w:rPr>
          <w:rFonts w:hint="eastAsia" w:ascii="仿宋_GB2312" w:hAnsi="黑体" w:eastAsia="仿宋_GB2312" w:cs="黑体"/>
          <w:sz w:val="28"/>
          <w:szCs w:val="28"/>
        </w:rPr>
        <w:t>》</w:t>
      </w:r>
    </w:p>
    <w:p w14:paraId="3A9EAD9D">
      <w:pPr>
        <w:rPr>
          <w:rFonts w:ascii="仿宋_GB2312" w:hAnsi="仿宋" w:eastAsia="仿宋_GB2312" w:cs="黑体"/>
          <w:sz w:val="28"/>
          <w:szCs w:val="28"/>
        </w:rPr>
      </w:pPr>
      <w:r>
        <w:rPr>
          <w:rFonts w:hint="eastAsia" w:ascii="仿宋_GB2312" w:hAnsi="仿宋" w:eastAsia="仿宋_GB2312" w:cs="黑体"/>
          <w:sz w:val="28"/>
          <w:szCs w:val="28"/>
        </w:rPr>
        <w:t xml:space="preserve">                                      </w:t>
      </w:r>
      <w:bookmarkStart w:id="3" w:name="OLE_LINK13"/>
      <w:bookmarkStart w:id="4" w:name="OLE_LINK14"/>
      <w:r>
        <w:rPr>
          <w:rFonts w:hint="eastAsia" w:ascii="仿宋_GB2312" w:hAnsi="仿宋" w:eastAsia="仿宋_GB2312" w:cs="黑体"/>
          <w:sz w:val="28"/>
          <w:szCs w:val="28"/>
        </w:rPr>
        <w:t>标准编制工作组</w:t>
      </w:r>
      <w:bookmarkEnd w:id="3"/>
      <w:bookmarkEnd w:id="4"/>
    </w:p>
    <w:p w14:paraId="430B1441">
      <w:pPr>
        <w:rPr>
          <w:rFonts w:ascii="仿宋_GB2312" w:hAnsi="仿宋" w:eastAsia="仿宋_GB2312" w:cs="黑体"/>
          <w:sz w:val="28"/>
          <w:szCs w:val="28"/>
        </w:rPr>
      </w:pPr>
      <w:r>
        <w:rPr>
          <w:rFonts w:hint="eastAsia" w:ascii="仿宋_GB2312" w:hAnsi="仿宋" w:eastAsia="仿宋_GB2312" w:cs="黑体"/>
          <w:sz w:val="28"/>
          <w:szCs w:val="28"/>
        </w:rPr>
        <w:t xml:space="preserve">                                    </w:t>
      </w:r>
      <w:r>
        <w:rPr>
          <w:rFonts w:hint="eastAsia" w:ascii="仿宋_GB2312" w:hAnsi="仿宋" w:eastAsia="仿宋_GB2312" w:cs="黑体"/>
          <w:sz w:val="28"/>
          <w:szCs w:val="28"/>
          <w:lang w:val="en-US" w:eastAsia="zh-CN"/>
        </w:rPr>
        <w:t xml:space="preserve"> </w:t>
      </w:r>
      <w:bookmarkStart w:id="5" w:name="_GoBack"/>
      <w:bookmarkEnd w:id="5"/>
      <w:r>
        <w:rPr>
          <w:rFonts w:hint="eastAsia" w:ascii="仿宋_GB2312" w:hAnsi="仿宋" w:eastAsia="仿宋_GB2312" w:cs="黑体"/>
          <w:sz w:val="28"/>
          <w:szCs w:val="28"/>
        </w:rPr>
        <w:t xml:space="preserve"> </w:t>
      </w:r>
      <w:r>
        <w:rPr>
          <w:rFonts w:hint="eastAsia" w:ascii="仿宋_GB2312" w:hAnsi="仿宋" w:eastAsia="仿宋_GB2312" w:cs="黑体"/>
          <w:sz w:val="28"/>
          <w:szCs w:val="28"/>
          <w:lang w:val="en-US" w:eastAsia="zh-CN"/>
        </w:rPr>
        <w:t>2026</w:t>
      </w:r>
      <w:r>
        <w:rPr>
          <w:rFonts w:hint="eastAsia" w:ascii="仿宋_GB2312" w:hAnsi="仿宋" w:eastAsia="仿宋_GB2312" w:cs="黑体"/>
          <w:sz w:val="28"/>
          <w:szCs w:val="28"/>
        </w:rPr>
        <w:t>年</w:t>
      </w:r>
      <w:r>
        <w:rPr>
          <w:rFonts w:hint="eastAsia" w:ascii="仿宋_GB2312" w:hAnsi="仿宋" w:eastAsia="仿宋_GB2312" w:cs="黑体"/>
          <w:sz w:val="28"/>
          <w:szCs w:val="28"/>
          <w:lang w:val="en-US" w:eastAsia="zh-CN"/>
        </w:rPr>
        <w:t>4</w:t>
      </w:r>
      <w:r>
        <w:rPr>
          <w:rFonts w:hint="eastAsia" w:ascii="仿宋_GB2312" w:hAnsi="仿宋" w:eastAsia="仿宋_GB2312" w:cs="黑体"/>
          <w:sz w:val="28"/>
          <w:szCs w:val="28"/>
        </w:rPr>
        <w:t>月</w:t>
      </w:r>
      <w:r>
        <w:rPr>
          <w:rFonts w:hint="eastAsia" w:ascii="仿宋_GB2312" w:hAnsi="仿宋" w:eastAsia="仿宋_GB2312" w:cs="黑体"/>
          <w:sz w:val="28"/>
          <w:szCs w:val="28"/>
          <w:lang w:val="en-US" w:eastAsia="zh-CN"/>
        </w:rPr>
        <w:t>10</w:t>
      </w:r>
      <w:r>
        <w:rPr>
          <w:rFonts w:hint="eastAsia" w:ascii="仿宋_GB2312" w:hAnsi="仿宋" w:eastAsia="仿宋_GB2312" w:cs="黑体"/>
          <w:sz w:val="28"/>
          <w:szCs w:val="28"/>
        </w:rPr>
        <w:t>日</w:t>
      </w:r>
    </w:p>
    <w:sectPr>
      <w:headerReference r:id="rId3" w:type="default"/>
      <w:footerReference r:id="rId4" w:type="default"/>
      <w:pgSz w:w="11906" w:h="16838"/>
      <w:pgMar w:top="1474" w:right="1418" w:bottom="1474"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34896897"/>
      <w:docPartObj>
        <w:docPartGallery w:val="autotext"/>
      </w:docPartObj>
    </w:sdtPr>
    <w:sdtContent>
      <w:p w14:paraId="1784B465">
        <w:pPr>
          <w:pStyle w:val="8"/>
          <w:jc w:val="center"/>
        </w:pPr>
        <w:r>
          <w:fldChar w:fldCharType="begin"/>
        </w:r>
        <w:r>
          <w:instrText xml:space="preserve">PAGE   \* MERGEFORMAT</w:instrText>
        </w:r>
        <w:r>
          <w:fldChar w:fldCharType="separate"/>
        </w:r>
        <w:r>
          <w:rPr>
            <w:lang w:val="zh-CN"/>
          </w:rPr>
          <w:t>5</w:t>
        </w:r>
        <w:r>
          <w:fldChar w:fldCharType="end"/>
        </w:r>
      </w:p>
    </w:sdtContent>
  </w:sdt>
  <w:p w14:paraId="2257D9A3">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CC211E">
    <w:pPr>
      <w:spacing w:line="14" w:lineRule="auto"/>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AE237B"/>
    <w:multiLevelType w:val="multilevel"/>
    <w:tmpl w:val="E8AE237B"/>
    <w:lvl w:ilvl="0" w:tentative="0">
      <w:start w:val="1"/>
      <w:numFmt w:val="decimal"/>
      <w:pStyle w:val="5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5"/>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
    <w:nsid w:val="079102AD"/>
    <w:multiLevelType w:val="multilevel"/>
    <w:tmpl w:val="079102AD"/>
    <w:lvl w:ilvl="0" w:tentative="0">
      <w:start w:val="1"/>
      <w:numFmt w:val="decimal"/>
      <w:pStyle w:val="28"/>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
    <w:nsid w:val="1FC91163"/>
    <w:multiLevelType w:val="multilevel"/>
    <w:tmpl w:val="1FC91163"/>
    <w:lvl w:ilvl="0" w:tentative="0">
      <w:start w:val="1"/>
      <w:numFmt w:val="decimal"/>
      <w:pStyle w:val="27"/>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0"/>
      <w:suff w:val="nothing"/>
      <w:lvlText w:val="%1.%2　"/>
      <w:lvlJc w:val="left"/>
      <w:pPr>
        <w:ind w:left="525"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19"/>
      <w:suff w:val="nothing"/>
      <w:lvlText w:val="%1.%2.%3　"/>
      <w:lvlJc w:val="left"/>
      <w:pPr>
        <w:ind w:left="0" w:firstLine="0"/>
      </w:pPr>
      <w:rPr>
        <w:rFonts w:hint="eastAsia" w:ascii="黑体" w:hAnsi="Times New Roman" w:eastAsia="黑体"/>
        <w:b w:val="0"/>
        <w:i w:val="0"/>
        <w:sz w:val="21"/>
      </w:rPr>
    </w:lvl>
    <w:lvl w:ilvl="3" w:tentative="0">
      <w:start w:val="1"/>
      <w:numFmt w:val="decimal"/>
      <w:pStyle w:val="18"/>
      <w:suff w:val="nothing"/>
      <w:lvlText w:val="%1.%2.%3.%4　"/>
      <w:lvlJc w:val="left"/>
      <w:pPr>
        <w:ind w:left="0" w:firstLine="0"/>
      </w:pPr>
      <w:rPr>
        <w:rFonts w:hint="eastAsia" w:ascii="黑体" w:hAnsi="Times New Roman" w:eastAsia="黑体"/>
        <w:b w:val="0"/>
        <w:i w:val="0"/>
        <w:sz w:val="21"/>
      </w:rPr>
    </w:lvl>
    <w:lvl w:ilvl="4" w:tentative="0">
      <w:start w:val="1"/>
      <w:numFmt w:val="decimal"/>
      <w:pStyle w:val="17"/>
      <w:suff w:val="nothing"/>
      <w:lvlText w:val="%1.%2.%3.%4.%5　"/>
      <w:lvlJc w:val="left"/>
      <w:pPr>
        <w:ind w:left="0" w:firstLine="0"/>
      </w:pPr>
      <w:rPr>
        <w:rFonts w:hint="eastAsia" w:ascii="黑体" w:hAnsi="Times New Roman" w:eastAsia="黑体"/>
        <w:b w:val="0"/>
        <w:i w:val="0"/>
        <w:sz w:val="21"/>
      </w:rPr>
    </w:lvl>
    <w:lvl w:ilvl="5" w:tentative="0">
      <w:start w:val="1"/>
      <w:numFmt w:val="decimal"/>
      <w:pStyle w:val="16"/>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2A8F7113"/>
    <w:multiLevelType w:val="multilevel"/>
    <w:tmpl w:val="2A8F7113"/>
    <w:lvl w:ilvl="0" w:tentative="0">
      <w:start w:val="1"/>
      <w:numFmt w:val="upperLetter"/>
      <w:pStyle w:val="22"/>
      <w:suff w:val="space"/>
      <w:lvlText w:val="%1"/>
      <w:lvlJc w:val="left"/>
      <w:pPr>
        <w:ind w:left="623" w:hanging="425"/>
      </w:pPr>
      <w:rPr>
        <w:rFonts w:hint="eastAsia"/>
      </w:rPr>
    </w:lvl>
    <w:lvl w:ilvl="1" w:tentative="0">
      <w:start w:val="1"/>
      <w:numFmt w:val="decimal"/>
      <w:pStyle w:val="23"/>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4">
    <w:nsid w:val="557C2AF5"/>
    <w:multiLevelType w:val="multilevel"/>
    <w:tmpl w:val="557C2AF5"/>
    <w:lvl w:ilvl="0" w:tentative="0">
      <w:start w:val="1"/>
      <w:numFmt w:val="decimal"/>
      <w:pStyle w:val="29"/>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60B55DC2"/>
    <w:multiLevelType w:val="multilevel"/>
    <w:tmpl w:val="60B55DC2"/>
    <w:lvl w:ilvl="0" w:tentative="0">
      <w:start w:val="1"/>
      <w:numFmt w:val="upperLetter"/>
      <w:lvlText w:val="%1"/>
      <w:lvlJc w:val="left"/>
      <w:pPr>
        <w:tabs>
          <w:tab w:val="left" w:pos="0"/>
        </w:tabs>
        <w:ind w:left="0" w:hanging="425"/>
      </w:pPr>
      <w:rPr>
        <w:rFonts w:hint="eastAsia"/>
      </w:rPr>
    </w:lvl>
    <w:lvl w:ilvl="1" w:tentative="0">
      <w:start w:val="1"/>
      <w:numFmt w:val="decimal"/>
      <w:pStyle w:val="24"/>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6">
    <w:nsid w:val="646260FA"/>
    <w:multiLevelType w:val="multilevel"/>
    <w:tmpl w:val="646260FA"/>
    <w:lvl w:ilvl="0" w:tentative="0">
      <w:start w:val="1"/>
      <w:numFmt w:val="decimal"/>
      <w:pStyle w:val="25"/>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2"/>
  </w:num>
  <w:num w:numId="2">
    <w:abstractNumId w:val="3"/>
  </w:num>
  <w:num w:numId="3">
    <w:abstractNumId w:val="5"/>
  </w:num>
  <w:num w:numId="4">
    <w:abstractNumId w:val="6"/>
  </w:num>
  <w:num w:numId="5">
    <w:abstractNumId w:val="1"/>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zYTVkZjdmOGI4NWYwZDE1Zjk3Mjg2YmU1MTlhYzYifQ=="/>
  </w:docVars>
  <w:rsids>
    <w:rsidRoot w:val="0042062E"/>
    <w:rsid w:val="00002AB5"/>
    <w:rsid w:val="00011411"/>
    <w:rsid w:val="0001541D"/>
    <w:rsid w:val="00016055"/>
    <w:rsid w:val="00021104"/>
    <w:rsid w:val="00023B4A"/>
    <w:rsid w:val="00024212"/>
    <w:rsid w:val="00024664"/>
    <w:rsid w:val="00024C32"/>
    <w:rsid w:val="000267B1"/>
    <w:rsid w:val="00030436"/>
    <w:rsid w:val="00031247"/>
    <w:rsid w:val="00033B64"/>
    <w:rsid w:val="00034233"/>
    <w:rsid w:val="00034BDB"/>
    <w:rsid w:val="00037FA0"/>
    <w:rsid w:val="000439C5"/>
    <w:rsid w:val="0006396F"/>
    <w:rsid w:val="00064AFD"/>
    <w:rsid w:val="00073031"/>
    <w:rsid w:val="000750BE"/>
    <w:rsid w:val="00080718"/>
    <w:rsid w:val="00085BEA"/>
    <w:rsid w:val="00090537"/>
    <w:rsid w:val="0009177A"/>
    <w:rsid w:val="00093E74"/>
    <w:rsid w:val="000973C9"/>
    <w:rsid w:val="000A0201"/>
    <w:rsid w:val="000A4601"/>
    <w:rsid w:val="000A64C4"/>
    <w:rsid w:val="000A6716"/>
    <w:rsid w:val="000A77CD"/>
    <w:rsid w:val="000B2D8F"/>
    <w:rsid w:val="000B4F43"/>
    <w:rsid w:val="000C2999"/>
    <w:rsid w:val="000C2F5F"/>
    <w:rsid w:val="000C7EAF"/>
    <w:rsid w:val="000D136E"/>
    <w:rsid w:val="000D1951"/>
    <w:rsid w:val="000D2643"/>
    <w:rsid w:val="000D5463"/>
    <w:rsid w:val="000D6612"/>
    <w:rsid w:val="000D7374"/>
    <w:rsid w:val="000E769A"/>
    <w:rsid w:val="000F040B"/>
    <w:rsid w:val="000F3365"/>
    <w:rsid w:val="000F7869"/>
    <w:rsid w:val="0010088E"/>
    <w:rsid w:val="001029B9"/>
    <w:rsid w:val="00104B83"/>
    <w:rsid w:val="00114946"/>
    <w:rsid w:val="001172A0"/>
    <w:rsid w:val="0012221F"/>
    <w:rsid w:val="00124BDB"/>
    <w:rsid w:val="00125FE1"/>
    <w:rsid w:val="00131E01"/>
    <w:rsid w:val="001454D1"/>
    <w:rsid w:val="001472B1"/>
    <w:rsid w:val="001474DF"/>
    <w:rsid w:val="0015270A"/>
    <w:rsid w:val="001606D1"/>
    <w:rsid w:val="00162A50"/>
    <w:rsid w:val="001630D1"/>
    <w:rsid w:val="001638FC"/>
    <w:rsid w:val="001639F1"/>
    <w:rsid w:val="00164265"/>
    <w:rsid w:val="00165926"/>
    <w:rsid w:val="0017366B"/>
    <w:rsid w:val="00181B5D"/>
    <w:rsid w:val="00184DD6"/>
    <w:rsid w:val="001923CF"/>
    <w:rsid w:val="001A04D3"/>
    <w:rsid w:val="001A0E4B"/>
    <w:rsid w:val="001A442E"/>
    <w:rsid w:val="001A4FE8"/>
    <w:rsid w:val="001C33D5"/>
    <w:rsid w:val="001C5F01"/>
    <w:rsid w:val="001C793C"/>
    <w:rsid w:val="001D14D7"/>
    <w:rsid w:val="001D21A4"/>
    <w:rsid w:val="001D4DAB"/>
    <w:rsid w:val="001D7816"/>
    <w:rsid w:val="001F0F63"/>
    <w:rsid w:val="001F4242"/>
    <w:rsid w:val="001F660A"/>
    <w:rsid w:val="0020345B"/>
    <w:rsid w:val="00205603"/>
    <w:rsid w:val="002116FB"/>
    <w:rsid w:val="00217F8F"/>
    <w:rsid w:val="002223DD"/>
    <w:rsid w:val="002268A0"/>
    <w:rsid w:val="002335C2"/>
    <w:rsid w:val="00234969"/>
    <w:rsid w:val="00235285"/>
    <w:rsid w:val="002357DB"/>
    <w:rsid w:val="0024414F"/>
    <w:rsid w:val="00244ADA"/>
    <w:rsid w:val="002465C7"/>
    <w:rsid w:val="0025321C"/>
    <w:rsid w:val="00262753"/>
    <w:rsid w:val="00264A7D"/>
    <w:rsid w:val="002662DB"/>
    <w:rsid w:val="002701A3"/>
    <w:rsid w:val="00274ABF"/>
    <w:rsid w:val="002768F4"/>
    <w:rsid w:val="00283085"/>
    <w:rsid w:val="0029084D"/>
    <w:rsid w:val="00292D3C"/>
    <w:rsid w:val="002B34EA"/>
    <w:rsid w:val="002B7C2C"/>
    <w:rsid w:val="002C2282"/>
    <w:rsid w:val="002C73B6"/>
    <w:rsid w:val="002D04D5"/>
    <w:rsid w:val="002D2312"/>
    <w:rsid w:val="002D3273"/>
    <w:rsid w:val="002E073F"/>
    <w:rsid w:val="002E17AF"/>
    <w:rsid w:val="002F0FAF"/>
    <w:rsid w:val="002F1D2C"/>
    <w:rsid w:val="002F21A9"/>
    <w:rsid w:val="002F4460"/>
    <w:rsid w:val="00300EDC"/>
    <w:rsid w:val="00303E23"/>
    <w:rsid w:val="00310912"/>
    <w:rsid w:val="00313CD9"/>
    <w:rsid w:val="00314DAC"/>
    <w:rsid w:val="003170B1"/>
    <w:rsid w:val="00331C9C"/>
    <w:rsid w:val="0033568D"/>
    <w:rsid w:val="00336FB4"/>
    <w:rsid w:val="0034189D"/>
    <w:rsid w:val="00343C24"/>
    <w:rsid w:val="003478B0"/>
    <w:rsid w:val="00351136"/>
    <w:rsid w:val="00355583"/>
    <w:rsid w:val="00362F10"/>
    <w:rsid w:val="00376BB8"/>
    <w:rsid w:val="003821B3"/>
    <w:rsid w:val="0038467E"/>
    <w:rsid w:val="00386CCB"/>
    <w:rsid w:val="00387EC4"/>
    <w:rsid w:val="003A1120"/>
    <w:rsid w:val="003A6D5F"/>
    <w:rsid w:val="003B4114"/>
    <w:rsid w:val="003C02F1"/>
    <w:rsid w:val="003C137D"/>
    <w:rsid w:val="003C13F3"/>
    <w:rsid w:val="003C6885"/>
    <w:rsid w:val="003C78B7"/>
    <w:rsid w:val="003D3679"/>
    <w:rsid w:val="003D5A8A"/>
    <w:rsid w:val="003D5CB5"/>
    <w:rsid w:val="003E6589"/>
    <w:rsid w:val="003E74E7"/>
    <w:rsid w:val="003F28D0"/>
    <w:rsid w:val="003F3119"/>
    <w:rsid w:val="003F4E82"/>
    <w:rsid w:val="0040035D"/>
    <w:rsid w:val="00401114"/>
    <w:rsid w:val="00406D12"/>
    <w:rsid w:val="0042062E"/>
    <w:rsid w:val="00422300"/>
    <w:rsid w:val="00424FCB"/>
    <w:rsid w:val="00425860"/>
    <w:rsid w:val="00426672"/>
    <w:rsid w:val="00430C32"/>
    <w:rsid w:val="004330B1"/>
    <w:rsid w:val="00434E46"/>
    <w:rsid w:val="00437192"/>
    <w:rsid w:val="00442B11"/>
    <w:rsid w:val="00446004"/>
    <w:rsid w:val="00446249"/>
    <w:rsid w:val="004503F4"/>
    <w:rsid w:val="00451379"/>
    <w:rsid w:val="0046025A"/>
    <w:rsid w:val="004605D8"/>
    <w:rsid w:val="00461B2A"/>
    <w:rsid w:val="004626AF"/>
    <w:rsid w:val="00463883"/>
    <w:rsid w:val="00474B2B"/>
    <w:rsid w:val="004765BE"/>
    <w:rsid w:val="004805D0"/>
    <w:rsid w:val="00482055"/>
    <w:rsid w:val="0048357F"/>
    <w:rsid w:val="00484EF3"/>
    <w:rsid w:val="004865C9"/>
    <w:rsid w:val="0049011A"/>
    <w:rsid w:val="00491E0D"/>
    <w:rsid w:val="0049390C"/>
    <w:rsid w:val="00496A1A"/>
    <w:rsid w:val="004A76AB"/>
    <w:rsid w:val="004B013D"/>
    <w:rsid w:val="004B18A5"/>
    <w:rsid w:val="004B2AC0"/>
    <w:rsid w:val="004B4F2A"/>
    <w:rsid w:val="004B551C"/>
    <w:rsid w:val="004C007F"/>
    <w:rsid w:val="004C4136"/>
    <w:rsid w:val="004C4623"/>
    <w:rsid w:val="004C6896"/>
    <w:rsid w:val="004C700C"/>
    <w:rsid w:val="004E234E"/>
    <w:rsid w:val="004F0C3B"/>
    <w:rsid w:val="004F48C2"/>
    <w:rsid w:val="00500180"/>
    <w:rsid w:val="00502B6E"/>
    <w:rsid w:val="00505181"/>
    <w:rsid w:val="0051279E"/>
    <w:rsid w:val="005160D9"/>
    <w:rsid w:val="005238C6"/>
    <w:rsid w:val="00525442"/>
    <w:rsid w:val="00530C2E"/>
    <w:rsid w:val="00535AC6"/>
    <w:rsid w:val="00541425"/>
    <w:rsid w:val="005428DD"/>
    <w:rsid w:val="00542A9D"/>
    <w:rsid w:val="00543105"/>
    <w:rsid w:val="00543B7B"/>
    <w:rsid w:val="005465CE"/>
    <w:rsid w:val="00560007"/>
    <w:rsid w:val="005639F8"/>
    <w:rsid w:val="00570FD7"/>
    <w:rsid w:val="005802BD"/>
    <w:rsid w:val="0058151C"/>
    <w:rsid w:val="00582397"/>
    <w:rsid w:val="005847F6"/>
    <w:rsid w:val="00584877"/>
    <w:rsid w:val="0059738A"/>
    <w:rsid w:val="005A4523"/>
    <w:rsid w:val="005A5F12"/>
    <w:rsid w:val="005A62C7"/>
    <w:rsid w:val="005A7762"/>
    <w:rsid w:val="005B0CDC"/>
    <w:rsid w:val="005B7B7E"/>
    <w:rsid w:val="005C00DD"/>
    <w:rsid w:val="005C49A1"/>
    <w:rsid w:val="005C6275"/>
    <w:rsid w:val="005C7DAD"/>
    <w:rsid w:val="005D1E48"/>
    <w:rsid w:val="005D1EE1"/>
    <w:rsid w:val="005D3F96"/>
    <w:rsid w:val="005D6A5C"/>
    <w:rsid w:val="005D7123"/>
    <w:rsid w:val="005E207A"/>
    <w:rsid w:val="005E2143"/>
    <w:rsid w:val="005E299F"/>
    <w:rsid w:val="005F18BE"/>
    <w:rsid w:val="005F41F3"/>
    <w:rsid w:val="005F6CE2"/>
    <w:rsid w:val="005F73E4"/>
    <w:rsid w:val="00606B5A"/>
    <w:rsid w:val="00610884"/>
    <w:rsid w:val="006113DA"/>
    <w:rsid w:val="00612920"/>
    <w:rsid w:val="00612ACE"/>
    <w:rsid w:val="00614D27"/>
    <w:rsid w:val="00621B66"/>
    <w:rsid w:val="00637FAF"/>
    <w:rsid w:val="006404F1"/>
    <w:rsid w:val="00644377"/>
    <w:rsid w:val="006610FC"/>
    <w:rsid w:val="006616D7"/>
    <w:rsid w:val="006624DD"/>
    <w:rsid w:val="0066640D"/>
    <w:rsid w:val="00670571"/>
    <w:rsid w:val="0067285A"/>
    <w:rsid w:val="0067289A"/>
    <w:rsid w:val="006811BF"/>
    <w:rsid w:val="00682FAD"/>
    <w:rsid w:val="0068494D"/>
    <w:rsid w:val="00687A44"/>
    <w:rsid w:val="00691C60"/>
    <w:rsid w:val="006938C0"/>
    <w:rsid w:val="00696788"/>
    <w:rsid w:val="00696D6C"/>
    <w:rsid w:val="00697164"/>
    <w:rsid w:val="00697F9F"/>
    <w:rsid w:val="006A39A9"/>
    <w:rsid w:val="006B1324"/>
    <w:rsid w:val="006B1333"/>
    <w:rsid w:val="006C383B"/>
    <w:rsid w:val="006E155C"/>
    <w:rsid w:val="006E1B80"/>
    <w:rsid w:val="006F51BD"/>
    <w:rsid w:val="00700D32"/>
    <w:rsid w:val="0070581A"/>
    <w:rsid w:val="007115E2"/>
    <w:rsid w:val="00712BC5"/>
    <w:rsid w:val="00713097"/>
    <w:rsid w:val="00720395"/>
    <w:rsid w:val="00723A72"/>
    <w:rsid w:val="00726016"/>
    <w:rsid w:val="007350AE"/>
    <w:rsid w:val="00736414"/>
    <w:rsid w:val="00742C96"/>
    <w:rsid w:val="0075401E"/>
    <w:rsid w:val="007626E1"/>
    <w:rsid w:val="007641A9"/>
    <w:rsid w:val="0076442C"/>
    <w:rsid w:val="00765E21"/>
    <w:rsid w:val="00766E51"/>
    <w:rsid w:val="007723C1"/>
    <w:rsid w:val="00772FB7"/>
    <w:rsid w:val="00773CEE"/>
    <w:rsid w:val="00775A56"/>
    <w:rsid w:val="00775B1C"/>
    <w:rsid w:val="00777372"/>
    <w:rsid w:val="007812EA"/>
    <w:rsid w:val="00781F1A"/>
    <w:rsid w:val="007911AD"/>
    <w:rsid w:val="00797654"/>
    <w:rsid w:val="007A0B2A"/>
    <w:rsid w:val="007A36E9"/>
    <w:rsid w:val="007A79E8"/>
    <w:rsid w:val="007B1349"/>
    <w:rsid w:val="007B2D48"/>
    <w:rsid w:val="007B74D5"/>
    <w:rsid w:val="007B7812"/>
    <w:rsid w:val="007B7EF6"/>
    <w:rsid w:val="007C4C1F"/>
    <w:rsid w:val="007C56D9"/>
    <w:rsid w:val="007D646F"/>
    <w:rsid w:val="007D710E"/>
    <w:rsid w:val="007D7B5D"/>
    <w:rsid w:val="007E0035"/>
    <w:rsid w:val="007E7D3E"/>
    <w:rsid w:val="007F05BA"/>
    <w:rsid w:val="007F5002"/>
    <w:rsid w:val="007F68DD"/>
    <w:rsid w:val="007F6EE5"/>
    <w:rsid w:val="00804451"/>
    <w:rsid w:val="00806117"/>
    <w:rsid w:val="008076A3"/>
    <w:rsid w:val="0081273A"/>
    <w:rsid w:val="00813BE2"/>
    <w:rsid w:val="008179BA"/>
    <w:rsid w:val="00820BAF"/>
    <w:rsid w:val="00825BEF"/>
    <w:rsid w:val="00826432"/>
    <w:rsid w:val="008275DE"/>
    <w:rsid w:val="00832E44"/>
    <w:rsid w:val="00837777"/>
    <w:rsid w:val="0085555C"/>
    <w:rsid w:val="008571E3"/>
    <w:rsid w:val="00857A24"/>
    <w:rsid w:val="00860076"/>
    <w:rsid w:val="00861122"/>
    <w:rsid w:val="00861F0A"/>
    <w:rsid w:val="00862E1E"/>
    <w:rsid w:val="00867D28"/>
    <w:rsid w:val="008757A2"/>
    <w:rsid w:val="00876FB0"/>
    <w:rsid w:val="0088023F"/>
    <w:rsid w:val="008853E8"/>
    <w:rsid w:val="00885E38"/>
    <w:rsid w:val="008860C3"/>
    <w:rsid w:val="00886C98"/>
    <w:rsid w:val="00890B67"/>
    <w:rsid w:val="00894920"/>
    <w:rsid w:val="008A4E80"/>
    <w:rsid w:val="008A5709"/>
    <w:rsid w:val="008A59D4"/>
    <w:rsid w:val="008B173F"/>
    <w:rsid w:val="008B1A6F"/>
    <w:rsid w:val="008B2B8B"/>
    <w:rsid w:val="008B4C8C"/>
    <w:rsid w:val="008C50B7"/>
    <w:rsid w:val="008D3059"/>
    <w:rsid w:val="008D3A8A"/>
    <w:rsid w:val="008D44E2"/>
    <w:rsid w:val="008D5C1F"/>
    <w:rsid w:val="008E0053"/>
    <w:rsid w:val="008E1868"/>
    <w:rsid w:val="008E6E4F"/>
    <w:rsid w:val="008F1626"/>
    <w:rsid w:val="008F24FB"/>
    <w:rsid w:val="008F3D40"/>
    <w:rsid w:val="00910D7C"/>
    <w:rsid w:val="0091499C"/>
    <w:rsid w:val="00917188"/>
    <w:rsid w:val="009226F2"/>
    <w:rsid w:val="009229D5"/>
    <w:rsid w:val="009252F7"/>
    <w:rsid w:val="00925604"/>
    <w:rsid w:val="009270FE"/>
    <w:rsid w:val="00933333"/>
    <w:rsid w:val="009341C1"/>
    <w:rsid w:val="00935693"/>
    <w:rsid w:val="00936A0A"/>
    <w:rsid w:val="00941269"/>
    <w:rsid w:val="009473B2"/>
    <w:rsid w:val="009535D5"/>
    <w:rsid w:val="00954D53"/>
    <w:rsid w:val="00956C23"/>
    <w:rsid w:val="009570E9"/>
    <w:rsid w:val="00967DA8"/>
    <w:rsid w:val="009728C7"/>
    <w:rsid w:val="0097322B"/>
    <w:rsid w:val="00975377"/>
    <w:rsid w:val="00977E22"/>
    <w:rsid w:val="009825F5"/>
    <w:rsid w:val="00983CDC"/>
    <w:rsid w:val="00986A46"/>
    <w:rsid w:val="0099135A"/>
    <w:rsid w:val="009934E0"/>
    <w:rsid w:val="00995208"/>
    <w:rsid w:val="00996801"/>
    <w:rsid w:val="00996B69"/>
    <w:rsid w:val="009A4DC7"/>
    <w:rsid w:val="009A64F9"/>
    <w:rsid w:val="009B609B"/>
    <w:rsid w:val="009B6515"/>
    <w:rsid w:val="009B6F4E"/>
    <w:rsid w:val="009C5703"/>
    <w:rsid w:val="009C793A"/>
    <w:rsid w:val="009D38DB"/>
    <w:rsid w:val="009E0AF8"/>
    <w:rsid w:val="009E4C08"/>
    <w:rsid w:val="009F0866"/>
    <w:rsid w:val="009F5386"/>
    <w:rsid w:val="00A06101"/>
    <w:rsid w:val="00A07644"/>
    <w:rsid w:val="00A11E9D"/>
    <w:rsid w:val="00A12368"/>
    <w:rsid w:val="00A12ECA"/>
    <w:rsid w:val="00A15750"/>
    <w:rsid w:val="00A21B62"/>
    <w:rsid w:val="00A304A7"/>
    <w:rsid w:val="00A32180"/>
    <w:rsid w:val="00A4094F"/>
    <w:rsid w:val="00A415B3"/>
    <w:rsid w:val="00A461B0"/>
    <w:rsid w:val="00A54EE3"/>
    <w:rsid w:val="00A57D80"/>
    <w:rsid w:val="00A60040"/>
    <w:rsid w:val="00A64033"/>
    <w:rsid w:val="00A64B84"/>
    <w:rsid w:val="00A65D09"/>
    <w:rsid w:val="00A713C1"/>
    <w:rsid w:val="00A7226B"/>
    <w:rsid w:val="00A760DE"/>
    <w:rsid w:val="00A83654"/>
    <w:rsid w:val="00A9034B"/>
    <w:rsid w:val="00AA482E"/>
    <w:rsid w:val="00AA5950"/>
    <w:rsid w:val="00AA6572"/>
    <w:rsid w:val="00AB5239"/>
    <w:rsid w:val="00AC28B8"/>
    <w:rsid w:val="00AC46BE"/>
    <w:rsid w:val="00AC73BF"/>
    <w:rsid w:val="00AD1275"/>
    <w:rsid w:val="00AD2DEA"/>
    <w:rsid w:val="00AD7458"/>
    <w:rsid w:val="00AE24A8"/>
    <w:rsid w:val="00AE41E8"/>
    <w:rsid w:val="00AE5FAF"/>
    <w:rsid w:val="00AE7774"/>
    <w:rsid w:val="00AF00B0"/>
    <w:rsid w:val="00AF02B6"/>
    <w:rsid w:val="00AF0C1B"/>
    <w:rsid w:val="00AF1437"/>
    <w:rsid w:val="00AF55C0"/>
    <w:rsid w:val="00B15395"/>
    <w:rsid w:val="00B17EA4"/>
    <w:rsid w:val="00B27F1E"/>
    <w:rsid w:val="00B35A2B"/>
    <w:rsid w:val="00B377FF"/>
    <w:rsid w:val="00B4108A"/>
    <w:rsid w:val="00B42191"/>
    <w:rsid w:val="00B52BC2"/>
    <w:rsid w:val="00B53603"/>
    <w:rsid w:val="00B54C81"/>
    <w:rsid w:val="00B652CF"/>
    <w:rsid w:val="00B6686A"/>
    <w:rsid w:val="00B71A93"/>
    <w:rsid w:val="00B846C4"/>
    <w:rsid w:val="00B91C42"/>
    <w:rsid w:val="00B91FFE"/>
    <w:rsid w:val="00B92326"/>
    <w:rsid w:val="00B93087"/>
    <w:rsid w:val="00B9665A"/>
    <w:rsid w:val="00BA156F"/>
    <w:rsid w:val="00BB0ED6"/>
    <w:rsid w:val="00BB4B74"/>
    <w:rsid w:val="00BC5615"/>
    <w:rsid w:val="00BD4F39"/>
    <w:rsid w:val="00BE3D94"/>
    <w:rsid w:val="00BE54B4"/>
    <w:rsid w:val="00BF2F71"/>
    <w:rsid w:val="00BF4A70"/>
    <w:rsid w:val="00BF4D95"/>
    <w:rsid w:val="00C070A2"/>
    <w:rsid w:val="00C110C7"/>
    <w:rsid w:val="00C1550E"/>
    <w:rsid w:val="00C20056"/>
    <w:rsid w:val="00C31CB8"/>
    <w:rsid w:val="00C31FF2"/>
    <w:rsid w:val="00C3361C"/>
    <w:rsid w:val="00C361AC"/>
    <w:rsid w:val="00C41D95"/>
    <w:rsid w:val="00C44645"/>
    <w:rsid w:val="00C44776"/>
    <w:rsid w:val="00C45595"/>
    <w:rsid w:val="00C47FF2"/>
    <w:rsid w:val="00C50A3F"/>
    <w:rsid w:val="00C51B7D"/>
    <w:rsid w:val="00C56649"/>
    <w:rsid w:val="00C6137D"/>
    <w:rsid w:val="00C61540"/>
    <w:rsid w:val="00C706FA"/>
    <w:rsid w:val="00C72660"/>
    <w:rsid w:val="00C7391B"/>
    <w:rsid w:val="00C73C82"/>
    <w:rsid w:val="00C757EA"/>
    <w:rsid w:val="00C776F6"/>
    <w:rsid w:val="00C82744"/>
    <w:rsid w:val="00C87122"/>
    <w:rsid w:val="00C919B8"/>
    <w:rsid w:val="00C93DED"/>
    <w:rsid w:val="00C94DDF"/>
    <w:rsid w:val="00C95A07"/>
    <w:rsid w:val="00C96D6E"/>
    <w:rsid w:val="00CA0CFD"/>
    <w:rsid w:val="00CA0F2F"/>
    <w:rsid w:val="00CA2E0F"/>
    <w:rsid w:val="00CA37C8"/>
    <w:rsid w:val="00CA3802"/>
    <w:rsid w:val="00CA617E"/>
    <w:rsid w:val="00CA6785"/>
    <w:rsid w:val="00CC2ACE"/>
    <w:rsid w:val="00CC2F06"/>
    <w:rsid w:val="00CC4EE7"/>
    <w:rsid w:val="00CC5609"/>
    <w:rsid w:val="00CD2392"/>
    <w:rsid w:val="00CD457E"/>
    <w:rsid w:val="00CD604E"/>
    <w:rsid w:val="00CE46F3"/>
    <w:rsid w:val="00CE57DF"/>
    <w:rsid w:val="00CF17A0"/>
    <w:rsid w:val="00D0021A"/>
    <w:rsid w:val="00D01E3B"/>
    <w:rsid w:val="00D07330"/>
    <w:rsid w:val="00D17591"/>
    <w:rsid w:val="00D21CD3"/>
    <w:rsid w:val="00D22354"/>
    <w:rsid w:val="00D264DA"/>
    <w:rsid w:val="00D26568"/>
    <w:rsid w:val="00D34827"/>
    <w:rsid w:val="00D414CE"/>
    <w:rsid w:val="00D42241"/>
    <w:rsid w:val="00D43721"/>
    <w:rsid w:val="00D451AB"/>
    <w:rsid w:val="00D4613C"/>
    <w:rsid w:val="00D55DB6"/>
    <w:rsid w:val="00D578AF"/>
    <w:rsid w:val="00D61621"/>
    <w:rsid w:val="00D642D9"/>
    <w:rsid w:val="00D65D7A"/>
    <w:rsid w:val="00D6793A"/>
    <w:rsid w:val="00D70550"/>
    <w:rsid w:val="00D7347C"/>
    <w:rsid w:val="00D75572"/>
    <w:rsid w:val="00D77A8E"/>
    <w:rsid w:val="00D811D1"/>
    <w:rsid w:val="00D821B5"/>
    <w:rsid w:val="00D87CD2"/>
    <w:rsid w:val="00D9410C"/>
    <w:rsid w:val="00D944CB"/>
    <w:rsid w:val="00D94A98"/>
    <w:rsid w:val="00DA59FA"/>
    <w:rsid w:val="00DB295F"/>
    <w:rsid w:val="00DB3826"/>
    <w:rsid w:val="00DB38F3"/>
    <w:rsid w:val="00DB57E2"/>
    <w:rsid w:val="00DC21EB"/>
    <w:rsid w:val="00DC4486"/>
    <w:rsid w:val="00DD54DD"/>
    <w:rsid w:val="00DD5F2B"/>
    <w:rsid w:val="00DE00C5"/>
    <w:rsid w:val="00DE3DDE"/>
    <w:rsid w:val="00DE3FB5"/>
    <w:rsid w:val="00DE4E1B"/>
    <w:rsid w:val="00DF1E6B"/>
    <w:rsid w:val="00E00D0A"/>
    <w:rsid w:val="00E07A34"/>
    <w:rsid w:val="00E10DA6"/>
    <w:rsid w:val="00E13FE6"/>
    <w:rsid w:val="00E1441D"/>
    <w:rsid w:val="00E15E47"/>
    <w:rsid w:val="00E224D8"/>
    <w:rsid w:val="00E250B0"/>
    <w:rsid w:val="00E40596"/>
    <w:rsid w:val="00E40EE7"/>
    <w:rsid w:val="00E427C0"/>
    <w:rsid w:val="00E45EC3"/>
    <w:rsid w:val="00E50371"/>
    <w:rsid w:val="00E60B6F"/>
    <w:rsid w:val="00E638C8"/>
    <w:rsid w:val="00E658DD"/>
    <w:rsid w:val="00E765E2"/>
    <w:rsid w:val="00E812DC"/>
    <w:rsid w:val="00E82204"/>
    <w:rsid w:val="00E8377B"/>
    <w:rsid w:val="00E853BC"/>
    <w:rsid w:val="00E9630A"/>
    <w:rsid w:val="00E96877"/>
    <w:rsid w:val="00EA1188"/>
    <w:rsid w:val="00EA3A5B"/>
    <w:rsid w:val="00EA6788"/>
    <w:rsid w:val="00EA79D5"/>
    <w:rsid w:val="00EB33B9"/>
    <w:rsid w:val="00ED4DE4"/>
    <w:rsid w:val="00EE3D56"/>
    <w:rsid w:val="00EE597A"/>
    <w:rsid w:val="00EF122C"/>
    <w:rsid w:val="00EF2E34"/>
    <w:rsid w:val="00EF5A9B"/>
    <w:rsid w:val="00F02764"/>
    <w:rsid w:val="00F041BF"/>
    <w:rsid w:val="00F043FA"/>
    <w:rsid w:val="00F04FEF"/>
    <w:rsid w:val="00F051BA"/>
    <w:rsid w:val="00F101D4"/>
    <w:rsid w:val="00F10FC9"/>
    <w:rsid w:val="00F14F24"/>
    <w:rsid w:val="00F171CA"/>
    <w:rsid w:val="00F210FD"/>
    <w:rsid w:val="00F26AEE"/>
    <w:rsid w:val="00F339EF"/>
    <w:rsid w:val="00F4155A"/>
    <w:rsid w:val="00F47F48"/>
    <w:rsid w:val="00F51DF0"/>
    <w:rsid w:val="00F52C16"/>
    <w:rsid w:val="00F54E72"/>
    <w:rsid w:val="00F71D75"/>
    <w:rsid w:val="00F72F06"/>
    <w:rsid w:val="00F76618"/>
    <w:rsid w:val="00F831BE"/>
    <w:rsid w:val="00F85E04"/>
    <w:rsid w:val="00F915EB"/>
    <w:rsid w:val="00F9209E"/>
    <w:rsid w:val="00F927DD"/>
    <w:rsid w:val="00F93339"/>
    <w:rsid w:val="00FA1098"/>
    <w:rsid w:val="00FA3EE8"/>
    <w:rsid w:val="00FA6535"/>
    <w:rsid w:val="00FB26D2"/>
    <w:rsid w:val="00FB408C"/>
    <w:rsid w:val="00FB4548"/>
    <w:rsid w:val="00FC0F17"/>
    <w:rsid w:val="00FC19B9"/>
    <w:rsid w:val="00FD00A5"/>
    <w:rsid w:val="00FD0924"/>
    <w:rsid w:val="00FD1850"/>
    <w:rsid w:val="00FD66A6"/>
    <w:rsid w:val="00FE0A17"/>
    <w:rsid w:val="01450DBF"/>
    <w:rsid w:val="019A2AAA"/>
    <w:rsid w:val="02CB0298"/>
    <w:rsid w:val="02FF2217"/>
    <w:rsid w:val="046B50D0"/>
    <w:rsid w:val="05973600"/>
    <w:rsid w:val="065B01FC"/>
    <w:rsid w:val="07123294"/>
    <w:rsid w:val="08163323"/>
    <w:rsid w:val="08B75F8F"/>
    <w:rsid w:val="09502F56"/>
    <w:rsid w:val="0AA103E4"/>
    <w:rsid w:val="0B093153"/>
    <w:rsid w:val="0BCA69ED"/>
    <w:rsid w:val="0D5F331D"/>
    <w:rsid w:val="0DE35BF4"/>
    <w:rsid w:val="0DFF4F4B"/>
    <w:rsid w:val="0ECB2CE4"/>
    <w:rsid w:val="101C4465"/>
    <w:rsid w:val="10254503"/>
    <w:rsid w:val="10FA1934"/>
    <w:rsid w:val="129E286B"/>
    <w:rsid w:val="15077B29"/>
    <w:rsid w:val="15936C45"/>
    <w:rsid w:val="16021453"/>
    <w:rsid w:val="1741230D"/>
    <w:rsid w:val="175F5F0F"/>
    <w:rsid w:val="17A55019"/>
    <w:rsid w:val="1A3B7A63"/>
    <w:rsid w:val="1B867962"/>
    <w:rsid w:val="1CEB4B8B"/>
    <w:rsid w:val="1DBE6F83"/>
    <w:rsid w:val="1EAA7130"/>
    <w:rsid w:val="1F1B7305"/>
    <w:rsid w:val="1F2B5457"/>
    <w:rsid w:val="22297B88"/>
    <w:rsid w:val="222A0897"/>
    <w:rsid w:val="229923DC"/>
    <w:rsid w:val="235B29DA"/>
    <w:rsid w:val="242D64E2"/>
    <w:rsid w:val="25054A3B"/>
    <w:rsid w:val="256B1CBE"/>
    <w:rsid w:val="25910D3D"/>
    <w:rsid w:val="28406939"/>
    <w:rsid w:val="28AC5FFC"/>
    <w:rsid w:val="29272DC4"/>
    <w:rsid w:val="2B022F40"/>
    <w:rsid w:val="2C9B5A87"/>
    <w:rsid w:val="2CEA68E0"/>
    <w:rsid w:val="30A672FE"/>
    <w:rsid w:val="30E50C9B"/>
    <w:rsid w:val="31C6098D"/>
    <w:rsid w:val="31DE5AFA"/>
    <w:rsid w:val="32E96F13"/>
    <w:rsid w:val="3315234D"/>
    <w:rsid w:val="3345169B"/>
    <w:rsid w:val="35E73E53"/>
    <w:rsid w:val="372C4223"/>
    <w:rsid w:val="383047C2"/>
    <w:rsid w:val="38D82C75"/>
    <w:rsid w:val="39E87308"/>
    <w:rsid w:val="3A2F1869"/>
    <w:rsid w:val="3B1B545C"/>
    <w:rsid w:val="3BDD57A8"/>
    <w:rsid w:val="3CA15000"/>
    <w:rsid w:val="3E152797"/>
    <w:rsid w:val="3ECE280A"/>
    <w:rsid w:val="3F3705D0"/>
    <w:rsid w:val="454A5450"/>
    <w:rsid w:val="45FB7F8E"/>
    <w:rsid w:val="4698163E"/>
    <w:rsid w:val="48E7179C"/>
    <w:rsid w:val="4B1916F3"/>
    <w:rsid w:val="4B2E0B85"/>
    <w:rsid w:val="4C1C47CB"/>
    <w:rsid w:val="4F502704"/>
    <w:rsid w:val="4F813E7A"/>
    <w:rsid w:val="5300673D"/>
    <w:rsid w:val="561E20DC"/>
    <w:rsid w:val="56737A74"/>
    <w:rsid w:val="57320BE6"/>
    <w:rsid w:val="57E430B1"/>
    <w:rsid w:val="5A695B69"/>
    <w:rsid w:val="5AD41B7B"/>
    <w:rsid w:val="614A1220"/>
    <w:rsid w:val="639E0253"/>
    <w:rsid w:val="64903001"/>
    <w:rsid w:val="649946C8"/>
    <w:rsid w:val="649B02DD"/>
    <w:rsid w:val="6560040A"/>
    <w:rsid w:val="65EA47FC"/>
    <w:rsid w:val="68DD74D8"/>
    <w:rsid w:val="68E424F2"/>
    <w:rsid w:val="6A0A2218"/>
    <w:rsid w:val="6ABA4EA1"/>
    <w:rsid w:val="6BDF6867"/>
    <w:rsid w:val="6C36637B"/>
    <w:rsid w:val="6F1564CF"/>
    <w:rsid w:val="6F286FD3"/>
    <w:rsid w:val="6F4935AF"/>
    <w:rsid w:val="70E754D7"/>
    <w:rsid w:val="71E10B20"/>
    <w:rsid w:val="74635EC1"/>
    <w:rsid w:val="74C62EC7"/>
    <w:rsid w:val="76932202"/>
    <w:rsid w:val="77AE0291"/>
    <w:rsid w:val="791333D0"/>
    <w:rsid w:val="79F813BD"/>
    <w:rsid w:val="7CD27BF6"/>
    <w:rsid w:val="7CF35F24"/>
    <w:rsid w:val="7D724FF2"/>
    <w:rsid w:val="7E856BD8"/>
    <w:rsid w:val="7E9223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44"/>
    <w:qFormat/>
    <w:uiPriority w:val="0"/>
    <w:pPr>
      <w:keepNext/>
      <w:keepLines/>
      <w:spacing w:before="340" w:after="330" w:line="576" w:lineRule="auto"/>
      <w:outlineLvl w:val="0"/>
    </w:pPr>
    <w:rPr>
      <w:b/>
      <w:kern w:val="44"/>
      <w:sz w:val="44"/>
    </w:rPr>
  </w:style>
  <w:style w:type="character" w:default="1" w:styleId="13">
    <w:name w:val="Default Paragraph Font"/>
    <w:semiHidden/>
    <w:unhideWhenUsed/>
    <w:qFormat/>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link w:val="43"/>
    <w:qFormat/>
    <w:uiPriority w:val="0"/>
    <w:pPr>
      <w:spacing w:after="120"/>
    </w:pPr>
  </w:style>
  <w:style w:type="paragraph" w:styleId="5">
    <w:name w:val="Document Map"/>
    <w:basedOn w:val="1"/>
    <w:link w:val="35"/>
    <w:qFormat/>
    <w:uiPriority w:val="0"/>
    <w:rPr>
      <w:rFonts w:ascii="宋体"/>
      <w:sz w:val="18"/>
      <w:szCs w:val="18"/>
    </w:rPr>
  </w:style>
  <w:style w:type="paragraph" w:styleId="6">
    <w:name w:val="Date"/>
    <w:basedOn w:val="1"/>
    <w:next w:val="1"/>
    <w:link w:val="31"/>
    <w:qFormat/>
    <w:uiPriority w:val="0"/>
    <w:pPr>
      <w:ind w:left="100" w:leftChars="2500"/>
    </w:pPr>
  </w:style>
  <w:style w:type="paragraph" w:styleId="7">
    <w:name w:val="Balloon Text"/>
    <w:basedOn w:val="1"/>
    <w:link w:val="34"/>
    <w:qFormat/>
    <w:uiPriority w:val="99"/>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30"/>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semiHidden/>
    <w:unhideWhenUsed/>
    <w:qFormat/>
    <w:uiPriority w:val="0"/>
    <w:rPr>
      <w:sz w:val="24"/>
    </w:rPr>
  </w:style>
  <w:style w:type="table" w:styleId="12">
    <w:name w:val="Table Grid"/>
    <w:basedOn w:val="11"/>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4">
    <w:name w:val="FollowedHyperlink"/>
    <w:basedOn w:val="13"/>
    <w:semiHidden/>
    <w:unhideWhenUsed/>
    <w:qFormat/>
    <w:uiPriority w:val="0"/>
    <w:rPr>
      <w:color w:val="333333"/>
      <w:u w:val="none"/>
    </w:rPr>
  </w:style>
  <w:style w:type="character" w:styleId="15">
    <w:name w:val="Hyperlink"/>
    <w:basedOn w:val="13"/>
    <w:unhideWhenUsed/>
    <w:qFormat/>
    <w:uiPriority w:val="0"/>
    <w:rPr>
      <w:color w:val="0000FF" w:themeColor="hyperlink"/>
      <w:u w:val="single"/>
      <w14:textFill>
        <w14:solidFill>
          <w14:schemeClr w14:val="hlink"/>
        </w14:solidFill>
      </w14:textFill>
    </w:rPr>
  </w:style>
  <w:style w:type="paragraph" w:customStyle="1" w:styleId="16">
    <w:name w:val="五级条标题"/>
    <w:basedOn w:val="17"/>
    <w:next w:val="21"/>
    <w:qFormat/>
    <w:uiPriority w:val="0"/>
    <w:pPr>
      <w:numPr>
        <w:ilvl w:val="5"/>
      </w:numPr>
      <w:outlineLvl w:val="6"/>
    </w:pPr>
  </w:style>
  <w:style w:type="paragraph" w:customStyle="1" w:styleId="17">
    <w:name w:val="四级条标题"/>
    <w:basedOn w:val="18"/>
    <w:next w:val="21"/>
    <w:qFormat/>
    <w:uiPriority w:val="0"/>
    <w:pPr>
      <w:numPr>
        <w:ilvl w:val="4"/>
      </w:numPr>
      <w:outlineLvl w:val="5"/>
    </w:pPr>
  </w:style>
  <w:style w:type="paragraph" w:customStyle="1" w:styleId="18">
    <w:name w:val="三级条标题"/>
    <w:basedOn w:val="19"/>
    <w:next w:val="21"/>
    <w:qFormat/>
    <w:uiPriority w:val="0"/>
    <w:pPr>
      <w:numPr>
        <w:ilvl w:val="3"/>
      </w:numPr>
      <w:outlineLvl w:val="4"/>
    </w:pPr>
  </w:style>
  <w:style w:type="paragraph" w:customStyle="1" w:styleId="19">
    <w:name w:val="二级条标题"/>
    <w:basedOn w:val="20"/>
    <w:next w:val="21"/>
    <w:qFormat/>
    <w:uiPriority w:val="0"/>
    <w:pPr>
      <w:numPr>
        <w:ilvl w:val="2"/>
      </w:numPr>
      <w:spacing w:before="50" w:after="50"/>
      <w:outlineLvl w:val="3"/>
    </w:pPr>
  </w:style>
  <w:style w:type="paragraph" w:customStyle="1" w:styleId="20">
    <w:name w:val="一级条标题"/>
    <w:next w:val="21"/>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21">
    <w:name w:val="段"/>
    <w:link w:val="33"/>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2">
    <w:name w:val="附录图标号"/>
    <w:basedOn w:val="1"/>
    <w:qFormat/>
    <w:uiPriority w:val="0"/>
    <w:pPr>
      <w:keepNext/>
      <w:pageBreakBefore/>
      <w:widowControl/>
      <w:numPr>
        <w:ilvl w:val="0"/>
        <w:numId w:val="2"/>
      </w:numPr>
      <w:spacing w:line="14" w:lineRule="exact"/>
      <w:ind w:left="0" w:firstLine="363"/>
      <w:jc w:val="center"/>
      <w:outlineLvl w:val="0"/>
    </w:pPr>
    <w:rPr>
      <w:color w:val="FFFFFF"/>
    </w:rPr>
  </w:style>
  <w:style w:type="paragraph" w:customStyle="1" w:styleId="23">
    <w:name w:val="附录图标题"/>
    <w:basedOn w:val="1"/>
    <w:next w:val="21"/>
    <w:qFormat/>
    <w:uiPriority w:val="0"/>
    <w:pPr>
      <w:numPr>
        <w:ilvl w:val="1"/>
        <w:numId w:val="2"/>
      </w:numPr>
      <w:tabs>
        <w:tab w:val="left" w:pos="363"/>
      </w:tabs>
      <w:spacing w:beforeLines="50" w:afterLines="50"/>
      <w:ind w:left="0" w:firstLine="0"/>
      <w:jc w:val="center"/>
    </w:pPr>
    <w:rPr>
      <w:rFonts w:ascii="黑体" w:eastAsia="黑体"/>
      <w:szCs w:val="21"/>
    </w:rPr>
  </w:style>
  <w:style w:type="paragraph" w:customStyle="1" w:styleId="24">
    <w:name w:val="附录表标题"/>
    <w:basedOn w:val="1"/>
    <w:next w:val="21"/>
    <w:qFormat/>
    <w:uiPriority w:val="0"/>
    <w:pPr>
      <w:numPr>
        <w:ilvl w:val="1"/>
        <w:numId w:val="3"/>
      </w:numPr>
      <w:tabs>
        <w:tab w:val="left" w:pos="180"/>
      </w:tabs>
      <w:spacing w:beforeLines="50" w:afterLines="50"/>
      <w:ind w:left="0" w:firstLine="0"/>
      <w:jc w:val="center"/>
    </w:pPr>
    <w:rPr>
      <w:rFonts w:ascii="黑体" w:eastAsia="黑体"/>
      <w:szCs w:val="21"/>
    </w:rPr>
  </w:style>
  <w:style w:type="paragraph" w:customStyle="1" w:styleId="25">
    <w:name w:val="正文图标题"/>
    <w:next w:val="21"/>
    <w:qFormat/>
    <w:uiPriority w:val="0"/>
    <w:pPr>
      <w:numPr>
        <w:ilvl w:val="0"/>
        <w:numId w:val="4"/>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26">
    <w:name w:val="正文表标题"/>
    <w:next w:val="21"/>
    <w:qFormat/>
    <w:uiPriority w:val="0"/>
    <w:pPr>
      <w:spacing w:beforeLines="50" w:afterLines="50"/>
      <w:jc w:val="center"/>
    </w:pPr>
    <w:rPr>
      <w:rFonts w:ascii="黑体" w:hAnsi="Times New Roman" w:eastAsia="黑体" w:cs="Times New Roman"/>
      <w:sz w:val="21"/>
      <w:lang w:val="en-US" w:eastAsia="zh-CN" w:bidi="ar-SA"/>
    </w:rPr>
  </w:style>
  <w:style w:type="paragraph" w:customStyle="1" w:styleId="27">
    <w:name w:val="章标题"/>
    <w:next w:val="21"/>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28">
    <w:name w:val="注："/>
    <w:next w:val="21"/>
    <w:qFormat/>
    <w:uiPriority w:val="0"/>
    <w:pPr>
      <w:widowControl w:val="0"/>
      <w:numPr>
        <w:ilvl w:val="0"/>
        <w:numId w:val="5"/>
      </w:numPr>
      <w:autoSpaceDE w:val="0"/>
      <w:autoSpaceDN w:val="0"/>
      <w:jc w:val="both"/>
    </w:pPr>
    <w:rPr>
      <w:rFonts w:ascii="宋体" w:hAnsi="Times New Roman" w:eastAsia="宋体" w:cs="Times New Roman"/>
      <w:sz w:val="18"/>
      <w:szCs w:val="18"/>
      <w:lang w:val="en-US" w:eastAsia="zh-CN" w:bidi="ar-SA"/>
    </w:rPr>
  </w:style>
  <w:style w:type="paragraph" w:customStyle="1" w:styleId="29">
    <w:name w:val="其他发布日期"/>
    <w:basedOn w:val="1"/>
    <w:qFormat/>
    <w:uiPriority w:val="0"/>
    <w:pPr>
      <w:framePr w:w="3997" w:h="471" w:hRule="exact" w:vSpace="181" w:wrap="around" w:vAnchor="page" w:hAnchor="page" w:x="1419" w:y="14097" w:anchorLock="1"/>
      <w:widowControl/>
      <w:numPr>
        <w:ilvl w:val="0"/>
        <w:numId w:val="6"/>
      </w:numPr>
      <w:jc w:val="left"/>
    </w:pPr>
    <w:rPr>
      <w:rFonts w:eastAsia="黑体"/>
      <w:kern w:val="0"/>
      <w:sz w:val="28"/>
      <w:szCs w:val="20"/>
    </w:rPr>
  </w:style>
  <w:style w:type="character" w:customStyle="1" w:styleId="30">
    <w:name w:val="页眉 Char"/>
    <w:basedOn w:val="13"/>
    <w:link w:val="9"/>
    <w:qFormat/>
    <w:uiPriority w:val="99"/>
    <w:rPr>
      <w:kern w:val="2"/>
      <w:sz w:val="18"/>
      <w:szCs w:val="18"/>
    </w:rPr>
  </w:style>
  <w:style w:type="character" w:customStyle="1" w:styleId="31">
    <w:name w:val="日期 Char"/>
    <w:basedOn w:val="13"/>
    <w:link w:val="6"/>
    <w:qFormat/>
    <w:uiPriority w:val="0"/>
    <w:rPr>
      <w:kern w:val="2"/>
      <w:sz w:val="21"/>
      <w:szCs w:val="24"/>
    </w:rPr>
  </w:style>
  <w:style w:type="character" w:customStyle="1" w:styleId="32">
    <w:name w:val="页脚 Char"/>
    <w:basedOn w:val="13"/>
    <w:link w:val="8"/>
    <w:qFormat/>
    <w:uiPriority w:val="99"/>
    <w:rPr>
      <w:kern w:val="2"/>
      <w:sz w:val="18"/>
      <w:szCs w:val="18"/>
    </w:rPr>
  </w:style>
  <w:style w:type="character" w:customStyle="1" w:styleId="33">
    <w:name w:val="段 Char"/>
    <w:basedOn w:val="13"/>
    <w:link w:val="21"/>
    <w:qFormat/>
    <w:uiPriority w:val="0"/>
    <w:rPr>
      <w:rFonts w:ascii="宋体"/>
      <w:sz w:val="21"/>
      <w:lang w:val="en-US" w:eastAsia="zh-CN" w:bidi="ar-SA"/>
    </w:rPr>
  </w:style>
  <w:style w:type="character" w:customStyle="1" w:styleId="34">
    <w:name w:val="批注框文本 Char"/>
    <w:basedOn w:val="13"/>
    <w:link w:val="7"/>
    <w:qFormat/>
    <w:uiPriority w:val="99"/>
    <w:rPr>
      <w:kern w:val="2"/>
      <w:sz w:val="18"/>
      <w:szCs w:val="18"/>
    </w:rPr>
  </w:style>
  <w:style w:type="character" w:customStyle="1" w:styleId="35">
    <w:name w:val="文档结构图 Char"/>
    <w:basedOn w:val="13"/>
    <w:link w:val="5"/>
    <w:qFormat/>
    <w:uiPriority w:val="0"/>
    <w:rPr>
      <w:rFonts w:ascii="宋体"/>
      <w:kern w:val="2"/>
      <w:sz w:val="18"/>
      <w:szCs w:val="18"/>
    </w:rPr>
  </w:style>
  <w:style w:type="table" w:customStyle="1" w:styleId="36">
    <w:name w:val="Table Normal"/>
    <w:semiHidden/>
    <w:unhideWhenUsed/>
    <w:qFormat/>
    <w:uiPriority w:val="2"/>
    <w:pPr>
      <w:widowControl w:val="0"/>
    </w:pPr>
    <w:rPr>
      <w:sz w:val="22"/>
      <w:szCs w:val="22"/>
      <w:lang w:eastAsia="en-US"/>
    </w:rPr>
    <w:tblPr>
      <w:tblCellMar>
        <w:top w:w="0" w:type="dxa"/>
        <w:left w:w="0" w:type="dxa"/>
        <w:bottom w:w="0" w:type="dxa"/>
        <w:right w:w="0" w:type="dxa"/>
      </w:tblCellMar>
    </w:tblPr>
  </w:style>
  <w:style w:type="paragraph" w:customStyle="1" w:styleId="37">
    <w:name w:val="正文文本1"/>
    <w:basedOn w:val="1"/>
    <w:next w:val="3"/>
    <w:link w:val="38"/>
    <w:qFormat/>
    <w:uiPriority w:val="1"/>
    <w:pPr>
      <w:spacing w:before="10"/>
      <w:ind w:left="142"/>
      <w:jc w:val="left"/>
    </w:pPr>
    <w:rPr>
      <w:rFonts w:ascii="宋体" w:hAnsi="宋体"/>
      <w:kern w:val="0"/>
      <w:sz w:val="24"/>
    </w:rPr>
  </w:style>
  <w:style w:type="character" w:customStyle="1" w:styleId="38">
    <w:name w:val="正文文本 Char"/>
    <w:basedOn w:val="13"/>
    <w:link w:val="37"/>
    <w:qFormat/>
    <w:uiPriority w:val="1"/>
    <w:rPr>
      <w:rFonts w:ascii="宋体" w:hAnsi="宋体" w:eastAsia="宋体"/>
      <w:sz w:val="24"/>
      <w:szCs w:val="24"/>
    </w:rPr>
  </w:style>
  <w:style w:type="paragraph" w:customStyle="1" w:styleId="39">
    <w:name w:val="标题 11"/>
    <w:basedOn w:val="1"/>
    <w:qFormat/>
    <w:uiPriority w:val="1"/>
    <w:pPr>
      <w:ind w:left="20"/>
      <w:jc w:val="left"/>
      <w:outlineLvl w:val="1"/>
    </w:pPr>
    <w:rPr>
      <w:rFonts w:ascii="黑体" w:hAnsi="黑体" w:eastAsia="黑体"/>
      <w:kern w:val="0"/>
      <w:sz w:val="28"/>
      <w:szCs w:val="28"/>
      <w:lang w:eastAsia="en-US"/>
    </w:rPr>
  </w:style>
  <w:style w:type="paragraph" w:customStyle="1" w:styleId="40">
    <w:name w:val="列出段落1"/>
    <w:basedOn w:val="1"/>
    <w:next w:val="41"/>
    <w:qFormat/>
    <w:uiPriority w:val="1"/>
    <w:pPr>
      <w:jc w:val="left"/>
    </w:pPr>
    <w:rPr>
      <w:rFonts w:ascii="Calibri" w:hAnsi="Calibri"/>
      <w:kern w:val="0"/>
      <w:sz w:val="22"/>
      <w:szCs w:val="22"/>
      <w:lang w:eastAsia="en-US"/>
    </w:rPr>
  </w:style>
  <w:style w:type="paragraph" w:styleId="41">
    <w:name w:val="List Paragraph"/>
    <w:basedOn w:val="1"/>
    <w:unhideWhenUsed/>
    <w:qFormat/>
    <w:uiPriority w:val="99"/>
    <w:pPr>
      <w:ind w:firstLine="420" w:firstLineChars="200"/>
    </w:pPr>
  </w:style>
  <w:style w:type="paragraph" w:customStyle="1" w:styleId="42">
    <w:name w:val="Table Paragraph"/>
    <w:basedOn w:val="1"/>
    <w:qFormat/>
    <w:uiPriority w:val="1"/>
    <w:pPr>
      <w:jc w:val="left"/>
    </w:pPr>
    <w:rPr>
      <w:rFonts w:ascii="Calibri" w:hAnsi="Calibri"/>
      <w:kern w:val="0"/>
      <w:sz w:val="22"/>
      <w:szCs w:val="22"/>
      <w:lang w:eastAsia="en-US"/>
    </w:rPr>
  </w:style>
  <w:style w:type="character" w:customStyle="1" w:styleId="43">
    <w:name w:val="正文文本 Char1"/>
    <w:basedOn w:val="13"/>
    <w:link w:val="3"/>
    <w:qFormat/>
    <w:uiPriority w:val="0"/>
    <w:rPr>
      <w:kern w:val="2"/>
      <w:sz w:val="21"/>
      <w:szCs w:val="24"/>
    </w:rPr>
  </w:style>
  <w:style w:type="character" w:customStyle="1" w:styleId="44">
    <w:name w:val="标题 1 Char"/>
    <w:basedOn w:val="13"/>
    <w:link w:val="4"/>
    <w:qFormat/>
    <w:uiPriority w:val="0"/>
    <w:rPr>
      <w:b/>
      <w:bCs/>
      <w:kern w:val="44"/>
      <w:sz w:val="44"/>
      <w:szCs w:val="44"/>
    </w:rPr>
  </w:style>
  <w:style w:type="character" w:customStyle="1" w:styleId="45">
    <w:name w:val="sysj"/>
    <w:basedOn w:val="13"/>
    <w:qFormat/>
    <w:uiPriority w:val="0"/>
  </w:style>
  <w:style w:type="character" w:customStyle="1" w:styleId="46">
    <w:name w:val="thisit"/>
    <w:basedOn w:val="13"/>
    <w:qFormat/>
    <w:uiPriority w:val="0"/>
  </w:style>
  <w:style w:type="character" w:customStyle="1" w:styleId="47">
    <w:name w:val="bzmc"/>
    <w:basedOn w:val="13"/>
    <w:qFormat/>
    <w:uiPriority w:val="0"/>
  </w:style>
  <w:style w:type="character" w:customStyle="1" w:styleId="48">
    <w:name w:val="bzmc1"/>
    <w:basedOn w:val="13"/>
    <w:qFormat/>
    <w:uiPriority w:val="0"/>
  </w:style>
  <w:style w:type="character" w:customStyle="1" w:styleId="49">
    <w:name w:val="bzmc2"/>
    <w:basedOn w:val="13"/>
    <w:qFormat/>
    <w:uiPriority w:val="0"/>
  </w:style>
  <w:style w:type="character" w:customStyle="1" w:styleId="50">
    <w:name w:val="f_r6"/>
    <w:basedOn w:val="13"/>
    <w:qFormat/>
    <w:uiPriority w:val="0"/>
  </w:style>
  <w:style w:type="character" w:customStyle="1" w:styleId="51">
    <w:name w:val="bzrq2"/>
    <w:basedOn w:val="13"/>
    <w:qFormat/>
    <w:uiPriority w:val="0"/>
  </w:style>
  <w:style w:type="character" w:customStyle="1" w:styleId="52">
    <w:name w:val="bsharetext"/>
    <w:basedOn w:val="13"/>
    <w:qFormat/>
    <w:uiPriority w:val="0"/>
  </w:style>
  <w:style w:type="paragraph" w:customStyle="1" w:styleId="53">
    <w:name w:val="标准文件_表格"/>
    <w:basedOn w:val="1"/>
    <w:qFormat/>
    <w:uiPriority w:val="0"/>
    <w:pPr>
      <w:widowControl/>
      <w:autoSpaceDE w:val="0"/>
      <w:autoSpaceDN w:val="0"/>
      <w:jc w:val="center"/>
    </w:pPr>
    <w:rPr>
      <w:rFonts w:hint="eastAsia" w:ascii="宋体"/>
      <w:kern w:val="0"/>
      <w:sz w:val="18"/>
      <w:szCs w:val="20"/>
    </w:rPr>
  </w:style>
  <w:style w:type="paragraph" w:customStyle="1" w:styleId="54">
    <w:name w:val="标准文件_正文表标题"/>
    <w:basedOn w:val="1"/>
    <w:next w:val="1"/>
    <w:qFormat/>
    <w:uiPriority w:val="0"/>
    <w:pPr>
      <w:widowControl/>
      <w:numPr>
        <w:ilvl w:val="0"/>
        <w:numId w:val="7"/>
      </w:numPr>
      <w:tabs>
        <w:tab w:val="left" w:pos="0"/>
      </w:tabs>
      <w:spacing w:beforeLines="50"/>
      <w:jc w:val="center"/>
    </w:pPr>
    <w:rPr>
      <w:rFonts w:hint="eastAsia" w:ascii="黑体" w:eastAsia="黑体"/>
      <w:kern w:val="0"/>
      <w:szCs w:val="20"/>
    </w:rPr>
  </w:style>
  <w:style w:type="character" w:customStyle="1" w:styleId="55">
    <w:name w:val="标准文件_段 Char"/>
    <w:basedOn w:val="13"/>
    <w:link w:val="56"/>
    <w:qFormat/>
    <w:uiPriority w:val="0"/>
    <w:rPr>
      <w:rFonts w:hint="eastAsia" w:ascii="宋体" w:hAnsi="Times New Roman" w:eastAsia="宋体" w:cs="宋体"/>
      <w:sz w:val="21"/>
    </w:rPr>
  </w:style>
  <w:style w:type="paragraph" w:customStyle="1" w:styleId="56">
    <w:name w:val="标准文件_段"/>
    <w:basedOn w:val="1"/>
    <w:link w:val="55"/>
    <w:qFormat/>
    <w:uiPriority w:val="0"/>
    <w:pPr>
      <w:widowControl/>
      <w:autoSpaceDE w:val="0"/>
      <w:autoSpaceDN w:val="0"/>
      <w:ind w:firstLine="200" w:firstLineChars="200"/>
    </w:pPr>
    <w:rPr>
      <w:rFonts w:hint="eastAsia" w:ascii="宋体"/>
      <w:kern w:val="0"/>
      <w:szCs w:val="20"/>
    </w:rPr>
  </w:style>
  <w:style w:type="paragraph" w:customStyle="1" w:styleId="57">
    <w:name w:val="样式1"/>
    <w:basedOn w:val="1"/>
    <w:qFormat/>
    <w:uiPriority w:val="99"/>
    <w:pPr>
      <w:jc w:val="left"/>
    </w:pPr>
    <w:rPr>
      <w:rFonts w:eastAsia="仿宋_GB2312"/>
      <w:sz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WWW.YlmF.CoM</Company>
  <Pages>6</Pages>
  <Words>463</Words>
  <Characters>493</Characters>
  <Lines>28</Lines>
  <Paragraphs>7</Paragraphs>
  <TotalTime>0</TotalTime>
  <ScaleCrop>false</ScaleCrop>
  <LinksUpToDate>false</LinksUpToDate>
  <CharactersWithSpaces>568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2021-01-20T08:38:00Z</dcterms:created>
  <dc:creator>Microsoft</dc:creator>
  <cp:lastModifiedBy>王fddddddddddd</cp:lastModifiedBy>
  <cp:lastPrinted>2021-01-28T03:42:00Z</cp:lastPrinted>
  <dcterms:modified xsi:type="dcterms:W3CDTF">2026-04-10T00:58:51Z</dcterms:modified>
  <dc:title>广西地方标准《脱氢枞酸》（征求意见稿）</dc:title>
  <cp:revision>135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A5F26D5AE74D4BD9864984FE8189E07C</vt:lpwstr>
  </property>
  <property fmtid="{D5CDD505-2E9C-101B-9397-08002B2CF9AE}" pid="4" name="KSOTemplateDocerSaveRecord">
    <vt:lpwstr>eyJoZGlkIjoiMTgyY2Y5Y2UxZjkwY2NiYzg1MTM4ZmQzOTFhYWJhY2IiLCJ1c2VySWQiOiI1OTE4NzU4NTUifQ==</vt:lpwstr>
  </property>
</Properties>
</file>