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498964">
      <w:pPr>
        <w:spacing w:line="700" w:lineRule="exact"/>
        <w:jc w:val="center"/>
        <w:rPr>
          <w:rFonts w:ascii="黑体" w:hAnsi="黑体" w:eastAsia="黑体" w:cs="黑体"/>
          <w:sz w:val="44"/>
          <w:szCs w:val="44"/>
        </w:rPr>
      </w:pPr>
    </w:p>
    <w:p w14:paraId="33C062E1">
      <w:pPr>
        <w:spacing w:line="700" w:lineRule="exact"/>
        <w:jc w:val="center"/>
        <w:rPr>
          <w:rFonts w:ascii="黑体" w:hAnsi="黑体" w:eastAsia="黑体" w:cs="黑体"/>
          <w:sz w:val="44"/>
          <w:szCs w:val="44"/>
        </w:rPr>
      </w:pPr>
    </w:p>
    <w:p w14:paraId="2C113B1A">
      <w:pPr>
        <w:spacing w:line="700" w:lineRule="exact"/>
        <w:jc w:val="center"/>
        <w:rPr>
          <w:rFonts w:ascii="黑体" w:hAnsi="黑体" w:eastAsia="黑体" w:cs="黑体"/>
          <w:sz w:val="44"/>
          <w:szCs w:val="44"/>
        </w:rPr>
      </w:pPr>
    </w:p>
    <w:p w14:paraId="7326D237">
      <w:pPr>
        <w:spacing w:line="700" w:lineRule="exact"/>
        <w:jc w:val="center"/>
        <w:rPr>
          <w:rFonts w:ascii="黑体" w:hAnsi="黑体" w:eastAsia="黑体" w:cs="黑体"/>
          <w:sz w:val="44"/>
          <w:szCs w:val="44"/>
        </w:rPr>
      </w:pPr>
    </w:p>
    <w:p w14:paraId="34F3895A">
      <w:pPr>
        <w:spacing w:line="700" w:lineRule="exact"/>
        <w:jc w:val="center"/>
        <w:rPr>
          <w:rFonts w:ascii="黑体" w:hAnsi="黑体" w:eastAsia="黑体" w:cs="黑体"/>
          <w:sz w:val="44"/>
          <w:szCs w:val="44"/>
        </w:rPr>
      </w:pPr>
      <w:r>
        <w:rPr>
          <w:rFonts w:hint="eastAsia" w:ascii="黑体" w:hAnsi="黑体" w:eastAsia="黑体" w:cs="黑体"/>
          <w:sz w:val="44"/>
          <w:szCs w:val="44"/>
        </w:rPr>
        <w:t>《地表水新污染物监测技术规范》</w:t>
      </w:r>
    </w:p>
    <w:p w14:paraId="645F6A65">
      <w:pPr>
        <w:spacing w:line="700" w:lineRule="exact"/>
        <w:rPr>
          <w:rFonts w:ascii="黑体" w:hAnsi="黑体" w:eastAsia="黑体" w:cs="黑体"/>
          <w:sz w:val="44"/>
          <w:szCs w:val="44"/>
        </w:rPr>
      </w:pPr>
    </w:p>
    <w:p w14:paraId="633A56E4">
      <w:pPr>
        <w:spacing w:line="700" w:lineRule="exact"/>
        <w:jc w:val="center"/>
        <w:rPr>
          <w:rFonts w:ascii="黑体" w:hAnsi="黑体" w:eastAsia="黑体" w:cs="黑体"/>
          <w:sz w:val="44"/>
          <w:szCs w:val="44"/>
        </w:rPr>
      </w:pPr>
      <w:r>
        <w:rPr>
          <w:rFonts w:hint="eastAsia" w:ascii="黑体" w:hAnsi="黑体" w:eastAsia="黑体" w:cs="黑体"/>
          <w:sz w:val="44"/>
          <w:szCs w:val="44"/>
        </w:rPr>
        <w:t>（征求意见稿）</w:t>
      </w:r>
    </w:p>
    <w:p w14:paraId="3AC31A3C">
      <w:pPr>
        <w:spacing w:line="700" w:lineRule="exact"/>
        <w:jc w:val="center"/>
        <w:rPr>
          <w:rFonts w:ascii="黑体" w:hAnsi="黑体" w:eastAsia="黑体" w:cs="黑体"/>
          <w:sz w:val="44"/>
          <w:szCs w:val="44"/>
        </w:rPr>
      </w:pPr>
    </w:p>
    <w:p w14:paraId="607564DA">
      <w:pPr>
        <w:spacing w:line="700" w:lineRule="exact"/>
        <w:jc w:val="center"/>
        <w:rPr>
          <w:rFonts w:ascii="黑体" w:hAnsi="黑体" w:eastAsia="黑体" w:cs="黑体"/>
          <w:sz w:val="44"/>
          <w:szCs w:val="44"/>
        </w:rPr>
      </w:pPr>
    </w:p>
    <w:p w14:paraId="430F1091">
      <w:pPr>
        <w:spacing w:line="700" w:lineRule="exact"/>
        <w:jc w:val="center"/>
        <w:rPr>
          <w:rFonts w:ascii="黑体" w:hAnsi="黑体" w:eastAsia="黑体" w:cs="黑体"/>
          <w:sz w:val="44"/>
          <w:szCs w:val="44"/>
        </w:rPr>
      </w:pPr>
      <w:r>
        <w:rPr>
          <w:rFonts w:hint="eastAsia" w:ascii="黑体" w:hAnsi="黑体" w:eastAsia="黑体" w:cs="黑体"/>
          <w:sz w:val="44"/>
          <w:szCs w:val="44"/>
        </w:rPr>
        <w:t>编制说明</w:t>
      </w:r>
    </w:p>
    <w:p w14:paraId="310A30C3"/>
    <w:p w14:paraId="1048FDBD"/>
    <w:p w14:paraId="639888CB"/>
    <w:p w14:paraId="08C1C495"/>
    <w:p w14:paraId="6E66B1CA"/>
    <w:p w14:paraId="26E08F81"/>
    <w:p w14:paraId="7455BB7C"/>
    <w:p w14:paraId="2B608825"/>
    <w:p w14:paraId="07B3CC24"/>
    <w:p w14:paraId="5153D1AF"/>
    <w:p w14:paraId="3C7876B1"/>
    <w:p w14:paraId="52409BD0"/>
    <w:p w14:paraId="2C9916AE"/>
    <w:p w14:paraId="25BEFC41"/>
    <w:p w14:paraId="5AA48470"/>
    <w:p w14:paraId="63DD093E"/>
    <w:p w14:paraId="46132489"/>
    <w:p w14:paraId="05F4F5BD">
      <w:pPr>
        <w:jc w:val="center"/>
        <w:rPr>
          <w:rFonts w:ascii="黑体" w:hAnsi="黑体" w:eastAsia="黑体" w:cs="黑体"/>
          <w:sz w:val="28"/>
          <w:szCs w:val="28"/>
        </w:rPr>
      </w:pPr>
      <w:r>
        <w:rPr>
          <w:rFonts w:hint="eastAsia" w:ascii="黑体" w:hAnsi="黑体" w:eastAsia="黑体" w:cs="黑体"/>
          <w:sz w:val="28"/>
          <w:szCs w:val="28"/>
        </w:rPr>
        <w:t>河北工院云环境检测技术有限公司</w:t>
      </w:r>
    </w:p>
    <w:p w14:paraId="1D17CE6D">
      <w:pPr>
        <w:jc w:val="center"/>
        <w:rPr>
          <w:rFonts w:ascii="黑体" w:hAnsi="黑体" w:eastAsia="黑体" w:cs="黑体"/>
          <w:sz w:val="28"/>
          <w:szCs w:val="28"/>
        </w:rPr>
        <w:sectPr>
          <w:pgSz w:w="11906" w:h="16838"/>
          <w:pgMar w:top="1440" w:right="1800" w:bottom="1440" w:left="1800" w:header="851" w:footer="992" w:gutter="0"/>
          <w:cols w:space="425" w:num="1"/>
          <w:docGrid w:type="lines" w:linePitch="312" w:charSpace="0"/>
        </w:sectPr>
      </w:pPr>
      <w:r>
        <w:rPr>
          <w:rFonts w:hint="eastAsia" w:ascii="黑体" w:hAnsi="黑体" w:eastAsia="黑体" w:cs="黑体"/>
          <w:sz w:val="28"/>
          <w:szCs w:val="28"/>
        </w:rPr>
        <w:t>二〇二六年四月</w:t>
      </w:r>
    </w:p>
    <w:sdt>
      <w:sdtPr>
        <w:rPr>
          <w:rFonts w:hint="eastAsia" w:ascii="宋体" w:hAnsi="宋体" w:eastAsia="宋体" w:cs="宋体"/>
          <w:b/>
          <w:bCs/>
          <w:sz w:val="32"/>
          <w:szCs w:val="32"/>
        </w:rPr>
        <w:id w:val="147462955"/>
        <w:docPartObj>
          <w:docPartGallery w:val="Table of Contents"/>
          <w:docPartUnique/>
        </w:docPartObj>
      </w:sdtPr>
      <w:sdtEndPr>
        <w:rPr>
          <w:rFonts w:hint="eastAsia" w:ascii="黑体" w:hAnsi="黑体" w:eastAsia="黑体" w:cs="黑体"/>
          <w:b/>
          <w:bCs/>
          <w:sz w:val="21"/>
          <w:szCs w:val="28"/>
        </w:rPr>
      </w:sdtEndPr>
      <w:sdtContent>
        <w:p w14:paraId="160D1227">
          <w:pPr>
            <w:jc w:val="center"/>
            <w:rPr>
              <w:rFonts w:ascii="宋体" w:hAnsi="宋体" w:eastAsia="宋体" w:cs="宋体"/>
              <w:b/>
              <w:bCs/>
              <w:sz w:val="32"/>
              <w:szCs w:val="32"/>
            </w:rPr>
          </w:pPr>
          <w:r>
            <w:rPr>
              <w:rFonts w:hint="eastAsia" w:ascii="宋体" w:hAnsi="宋体" w:eastAsia="宋体" w:cs="宋体"/>
              <w:b/>
              <w:bCs/>
              <w:sz w:val="32"/>
              <w:szCs w:val="32"/>
            </w:rPr>
            <w:t>目  录</w:t>
          </w:r>
        </w:p>
        <w:p w14:paraId="0428D158">
          <w:pPr>
            <w:pStyle w:val="7"/>
            <w:tabs>
              <w:tab w:val="right" w:leader="dot" w:pos="8296"/>
            </w:tabs>
            <w:spacing w:line="360" w:lineRule="auto"/>
            <w:rPr>
              <w:szCs w:val="22"/>
            </w:rPr>
          </w:pPr>
          <w:r>
            <w:rPr>
              <w:rFonts w:hint="eastAsia" w:ascii="Times New Roman" w:hAnsi="Times New Roman" w:eastAsia="宋体" w:cs="黑体"/>
              <w:sz w:val="28"/>
              <w:szCs w:val="28"/>
            </w:rPr>
            <w:fldChar w:fldCharType="begin"/>
          </w:r>
          <w:r>
            <w:rPr>
              <w:rFonts w:hint="eastAsia" w:ascii="Times New Roman" w:hAnsi="Times New Roman" w:eastAsia="宋体" w:cs="黑体"/>
              <w:sz w:val="28"/>
              <w:szCs w:val="28"/>
            </w:rPr>
            <w:instrText xml:space="preserve">TOC \o "1-2" \h \u </w:instrText>
          </w:r>
          <w:r>
            <w:rPr>
              <w:rFonts w:hint="eastAsia" w:ascii="Times New Roman" w:hAnsi="Times New Roman" w:eastAsia="宋体" w:cs="黑体"/>
              <w:sz w:val="28"/>
              <w:szCs w:val="28"/>
            </w:rPr>
            <w:fldChar w:fldCharType="separate"/>
          </w:r>
          <w:r>
            <w:fldChar w:fldCharType="begin"/>
          </w:r>
          <w:r>
            <w:instrText xml:space="preserve"> HYPERLINK \l "_Toc229157986" </w:instrText>
          </w:r>
          <w:r>
            <w:fldChar w:fldCharType="separate"/>
          </w:r>
          <w:r>
            <w:rPr>
              <w:rStyle w:val="14"/>
              <w:rFonts w:ascii="Times New Roman" w:hAnsi="Times New Roman" w:eastAsia="宋体"/>
              <w:b/>
              <w:bCs/>
              <w:color w:val="auto"/>
            </w:rPr>
            <w:t xml:space="preserve">1 </w:t>
          </w:r>
          <w:r>
            <w:rPr>
              <w:rStyle w:val="14"/>
              <w:rFonts w:hint="eastAsia" w:ascii="Times New Roman" w:hAnsi="Times New Roman" w:eastAsia="宋体"/>
              <w:b/>
              <w:bCs/>
              <w:color w:val="auto"/>
            </w:rPr>
            <w:t>项目背景</w:t>
          </w:r>
          <w:r>
            <w:tab/>
          </w:r>
          <w:r>
            <w:fldChar w:fldCharType="begin"/>
          </w:r>
          <w:r>
            <w:instrText xml:space="preserve"> PAGEREF _Toc229157986 \h </w:instrText>
          </w:r>
          <w:r>
            <w:fldChar w:fldCharType="separate"/>
          </w:r>
          <w:r>
            <w:t>1</w:t>
          </w:r>
          <w:r>
            <w:fldChar w:fldCharType="end"/>
          </w:r>
          <w:r>
            <w:fldChar w:fldCharType="end"/>
          </w:r>
        </w:p>
        <w:p w14:paraId="5F503FBE">
          <w:pPr>
            <w:pStyle w:val="8"/>
            <w:tabs>
              <w:tab w:val="right" w:leader="dot" w:pos="8296"/>
            </w:tabs>
            <w:spacing w:line="360" w:lineRule="auto"/>
            <w:rPr>
              <w:szCs w:val="22"/>
            </w:rPr>
          </w:pPr>
          <w:r>
            <w:fldChar w:fldCharType="begin"/>
          </w:r>
          <w:r>
            <w:instrText xml:space="preserve"> HYPERLINK \l "_Toc229157987" </w:instrText>
          </w:r>
          <w:r>
            <w:fldChar w:fldCharType="separate"/>
          </w:r>
          <w:r>
            <w:rPr>
              <w:rStyle w:val="14"/>
              <w:rFonts w:ascii="Times New Roman" w:hAnsi="Times New Roman" w:eastAsia="宋体"/>
              <w:b/>
              <w:bCs/>
              <w:color w:val="auto"/>
            </w:rPr>
            <w:t>1.1</w:t>
          </w:r>
          <w:r>
            <w:rPr>
              <w:rStyle w:val="14"/>
              <w:rFonts w:hint="eastAsia" w:ascii="Times New Roman" w:hAnsi="Times New Roman" w:eastAsia="宋体"/>
              <w:b/>
              <w:bCs/>
              <w:color w:val="auto"/>
            </w:rPr>
            <w:t>任务来源</w:t>
          </w:r>
          <w:r>
            <w:tab/>
          </w:r>
          <w:r>
            <w:fldChar w:fldCharType="begin"/>
          </w:r>
          <w:r>
            <w:instrText xml:space="preserve"> PAGEREF _Toc229157987 \h </w:instrText>
          </w:r>
          <w:r>
            <w:fldChar w:fldCharType="separate"/>
          </w:r>
          <w:r>
            <w:t>1</w:t>
          </w:r>
          <w:r>
            <w:fldChar w:fldCharType="end"/>
          </w:r>
          <w:r>
            <w:fldChar w:fldCharType="end"/>
          </w:r>
        </w:p>
        <w:p w14:paraId="0695A974">
          <w:pPr>
            <w:pStyle w:val="8"/>
            <w:tabs>
              <w:tab w:val="right" w:leader="dot" w:pos="8296"/>
            </w:tabs>
            <w:spacing w:line="360" w:lineRule="auto"/>
            <w:rPr>
              <w:szCs w:val="22"/>
            </w:rPr>
          </w:pPr>
          <w:r>
            <w:fldChar w:fldCharType="begin"/>
          </w:r>
          <w:r>
            <w:instrText xml:space="preserve"> HYPERLINK \l "_Toc229157988" </w:instrText>
          </w:r>
          <w:r>
            <w:fldChar w:fldCharType="separate"/>
          </w:r>
          <w:r>
            <w:rPr>
              <w:rStyle w:val="14"/>
              <w:rFonts w:ascii="Times New Roman" w:hAnsi="Times New Roman" w:eastAsia="宋体"/>
              <w:b/>
              <w:bCs/>
              <w:color w:val="auto"/>
            </w:rPr>
            <w:t>1.2</w:t>
          </w:r>
          <w:r>
            <w:rPr>
              <w:rStyle w:val="14"/>
              <w:rFonts w:hint="eastAsia" w:ascii="Times New Roman" w:hAnsi="Times New Roman" w:eastAsia="宋体"/>
              <w:b/>
              <w:bCs/>
              <w:color w:val="auto"/>
            </w:rPr>
            <w:t>标准制订的必要性</w:t>
          </w:r>
          <w:r>
            <w:tab/>
          </w:r>
          <w:r>
            <w:fldChar w:fldCharType="begin"/>
          </w:r>
          <w:r>
            <w:instrText xml:space="preserve"> PAGEREF _Toc229157988 \h </w:instrText>
          </w:r>
          <w:r>
            <w:fldChar w:fldCharType="separate"/>
          </w:r>
          <w:r>
            <w:t>2</w:t>
          </w:r>
          <w:r>
            <w:fldChar w:fldCharType="end"/>
          </w:r>
          <w:r>
            <w:fldChar w:fldCharType="end"/>
          </w:r>
        </w:p>
        <w:p w14:paraId="1BA25F95">
          <w:pPr>
            <w:pStyle w:val="8"/>
            <w:tabs>
              <w:tab w:val="right" w:leader="dot" w:pos="8296"/>
            </w:tabs>
            <w:spacing w:line="360" w:lineRule="auto"/>
            <w:rPr>
              <w:szCs w:val="22"/>
            </w:rPr>
          </w:pPr>
          <w:r>
            <w:fldChar w:fldCharType="begin"/>
          </w:r>
          <w:r>
            <w:instrText xml:space="preserve"> HYPERLINK \l "_Toc229157989" </w:instrText>
          </w:r>
          <w:r>
            <w:fldChar w:fldCharType="separate"/>
          </w:r>
          <w:r>
            <w:rPr>
              <w:rStyle w:val="14"/>
              <w:rFonts w:ascii="Times New Roman" w:hAnsi="Times New Roman" w:eastAsia="宋体"/>
              <w:b/>
              <w:bCs/>
              <w:color w:val="auto"/>
            </w:rPr>
            <w:t>1.3</w:t>
          </w:r>
          <w:r>
            <w:rPr>
              <w:rStyle w:val="14"/>
              <w:rFonts w:hint="eastAsia" w:ascii="Times New Roman" w:hAnsi="Times New Roman" w:eastAsia="宋体"/>
              <w:b/>
              <w:bCs/>
              <w:color w:val="auto"/>
            </w:rPr>
            <w:t>国内、国外标准制订情况</w:t>
          </w:r>
          <w:r>
            <w:tab/>
          </w:r>
          <w:r>
            <w:fldChar w:fldCharType="begin"/>
          </w:r>
          <w:r>
            <w:instrText xml:space="preserve"> PAGEREF _Toc229157989 \h </w:instrText>
          </w:r>
          <w:r>
            <w:fldChar w:fldCharType="separate"/>
          </w:r>
          <w:r>
            <w:t>3</w:t>
          </w:r>
          <w:r>
            <w:fldChar w:fldCharType="end"/>
          </w:r>
          <w:r>
            <w:fldChar w:fldCharType="end"/>
          </w:r>
        </w:p>
        <w:p w14:paraId="561A60ED">
          <w:pPr>
            <w:pStyle w:val="7"/>
            <w:tabs>
              <w:tab w:val="right" w:leader="dot" w:pos="8296"/>
            </w:tabs>
            <w:spacing w:line="360" w:lineRule="auto"/>
            <w:rPr>
              <w:szCs w:val="22"/>
            </w:rPr>
          </w:pPr>
          <w:r>
            <w:fldChar w:fldCharType="begin"/>
          </w:r>
          <w:r>
            <w:instrText xml:space="preserve"> HYPERLINK \l "_Toc229157990" </w:instrText>
          </w:r>
          <w:r>
            <w:fldChar w:fldCharType="separate"/>
          </w:r>
          <w:r>
            <w:rPr>
              <w:rStyle w:val="14"/>
              <w:rFonts w:ascii="Times New Roman" w:hAnsi="Times New Roman" w:eastAsia="宋体"/>
              <w:b/>
              <w:bCs/>
              <w:color w:val="auto"/>
            </w:rPr>
            <w:t xml:space="preserve">2 </w:t>
          </w:r>
          <w:r>
            <w:rPr>
              <w:rStyle w:val="14"/>
              <w:rFonts w:hint="eastAsia" w:ascii="Times New Roman" w:hAnsi="Times New Roman" w:eastAsia="宋体"/>
              <w:b/>
              <w:bCs/>
              <w:color w:val="auto"/>
            </w:rPr>
            <w:t>标准编制过程</w:t>
          </w:r>
          <w:r>
            <w:tab/>
          </w:r>
          <w:r>
            <w:fldChar w:fldCharType="begin"/>
          </w:r>
          <w:r>
            <w:instrText xml:space="preserve"> PAGEREF _Toc229157990 \h </w:instrText>
          </w:r>
          <w:r>
            <w:fldChar w:fldCharType="separate"/>
          </w:r>
          <w:r>
            <w:t>7</w:t>
          </w:r>
          <w:r>
            <w:fldChar w:fldCharType="end"/>
          </w:r>
          <w:r>
            <w:fldChar w:fldCharType="end"/>
          </w:r>
        </w:p>
        <w:p w14:paraId="2A6C3BEC">
          <w:pPr>
            <w:pStyle w:val="8"/>
            <w:tabs>
              <w:tab w:val="right" w:leader="dot" w:pos="8296"/>
            </w:tabs>
            <w:spacing w:line="360" w:lineRule="auto"/>
            <w:rPr>
              <w:szCs w:val="22"/>
            </w:rPr>
          </w:pPr>
          <w:r>
            <w:fldChar w:fldCharType="begin"/>
          </w:r>
          <w:r>
            <w:instrText xml:space="preserve"> HYPERLINK \l "_Toc229157991" </w:instrText>
          </w:r>
          <w:r>
            <w:fldChar w:fldCharType="separate"/>
          </w:r>
          <w:r>
            <w:rPr>
              <w:rStyle w:val="14"/>
              <w:rFonts w:ascii="Times New Roman" w:hAnsi="Times New Roman" w:eastAsia="宋体"/>
              <w:b/>
              <w:bCs/>
              <w:color w:val="auto"/>
            </w:rPr>
            <w:t>2.1</w:t>
          </w:r>
          <w:r>
            <w:rPr>
              <w:rStyle w:val="14"/>
              <w:rFonts w:hint="eastAsia" w:ascii="Times New Roman" w:hAnsi="Times New Roman" w:eastAsia="宋体"/>
              <w:b/>
              <w:bCs/>
              <w:color w:val="auto"/>
            </w:rPr>
            <w:t>技术力量</w:t>
          </w:r>
          <w:r>
            <w:tab/>
          </w:r>
          <w:r>
            <w:fldChar w:fldCharType="begin"/>
          </w:r>
          <w:r>
            <w:instrText xml:space="preserve"> PAGEREF _Toc229157991 \h </w:instrText>
          </w:r>
          <w:r>
            <w:fldChar w:fldCharType="separate"/>
          </w:r>
          <w:r>
            <w:t>7</w:t>
          </w:r>
          <w:r>
            <w:fldChar w:fldCharType="end"/>
          </w:r>
          <w:r>
            <w:fldChar w:fldCharType="end"/>
          </w:r>
        </w:p>
        <w:p w14:paraId="156E7566">
          <w:pPr>
            <w:pStyle w:val="8"/>
            <w:tabs>
              <w:tab w:val="right" w:leader="dot" w:pos="8296"/>
            </w:tabs>
            <w:spacing w:line="360" w:lineRule="auto"/>
            <w:rPr>
              <w:szCs w:val="22"/>
            </w:rPr>
          </w:pPr>
          <w:r>
            <w:fldChar w:fldCharType="begin"/>
          </w:r>
          <w:r>
            <w:instrText xml:space="preserve"> HYPERLINK \l "_Toc229157992" </w:instrText>
          </w:r>
          <w:r>
            <w:fldChar w:fldCharType="separate"/>
          </w:r>
          <w:r>
            <w:rPr>
              <w:rStyle w:val="14"/>
              <w:rFonts w:ascii="Times New Roman" w:hAnsi="Times New Roman" w:eastAsia="宋体"/>
              <w:b/>
              <w:bCs/>
              <w:color w:val="auto"/>
            </w:rPr>
            <w:t>2.2</w:t>
          </w:r>
          <w:r>
            <w:rPr>
              <w:rStyle w:val="14"/>
              <w:rFonts w:hint="eastAsia" w:ascii="Times New Roman" w:hAnsi="Times New Roman" w:eastAsia="宋体"/>
              <w:b/>
              <w:bCs/>
              <w:color w:val="auto"/>
            </w:rPr>
            <w:t>编制过程</w:t>
          </w:r>
          <w:r>
            <w:tab/>
          </w:r>
          <w:r>
            <w:fldChar w:fldCharType="begin"/>
          </w:r>
          <w:r>
            <w:instrText xml:space="preserve"> PAGEREF _Toc229157992 \h </w:instrText>
          </w:r>
          <w:r>
            <w:fldChar w:fldCharType="separate"/>
          </w:r>
          <w:r>
            <w:t>7</w:t>
          </w:r>
          <w:r>
            <w:fldChar w:fldCharType="end"/>
          </w:r>
          <w:r>
            <w:fldChar w:fldCharType="end"/>
          </w:r>
        </w:p>
        <w:p w14:paraId="394E4930">
          <w:pPr>
            <w:pStyle w:val="7"/>
            <w:tabs>
              <w:tab w:val="right" w:leader="dot" w:pos="8296"/>
            </w:tabs>
            <w:spacing w:line="360" w:lineRule="auto"/>
            <w:rPr>
              <w:szCs w:val="22"/>
            </w:rPr>
          </w:pPr>
          <w:r>
            <w:fldChar w:fldCharType="begin"/>
          </w:r>
          <w:r>
            <w:instrText xml:space="preserve"> HYPERLINK \l "_Toc229157993" </w:instrText>
          </w:r>
          <w:r>
            <w:fldChar w:fldCharType="separate"/>
          </w:r>
          <w:r>
            <w:rPr>
              <w:rStyle w:val="14"/>
              <w:rFonts w:ascii="Times New Roman" w:hAnsi="Times New Roman" w:eastAsia="宋体"/>
              <w:b/>
              <w:bCs/>
              <w:color w:val="auto"/>
            </w:rPr>
            <w:t xml:space="preserve">3 </w:t>
          </w:r>
          <w:r>
            <w:rPr>
              <w:rStyle w:val="14"/>
              <w:rFonts w:hint="eastAsia" w:ascii="Times New Roman" w:hAnsi="Times New Roman" w:eastAsia="宋体"/>
              <w:b/>
              <w:bCs/>
              <w:color w:val="auto"/>
            </w:rPr>
            <w:t>标准编制原则与依据</w:t>
          </w:r>
          <w:r>
            <w:tab/>
          </w:r>
          <w:r>
            <w:fldChar w:fldCharType="begin"/>
          </w:r>
          <w:r>
            <w:instrText xml:space="preserve"> PAGEREF _Toc229157993 \h </w:instrText>
          </w:r>
          <w:r>
            <w:fldChar w:fldCharType="separate"/>
          </w:r>
          <w:r>
            <w:t>9</w:t>
          </w:r>
          <w:r>
            <w:fldChar w:fldCharType="end"/>
          </w:r>
          <w:r>
            <w:fldChar w:fldCharType="end"/>
          </w:r>
        </w:p>
        <w:p w14:paraId="0D1B9D16">
          <w:pPr>
            <w:pStyle w:val="8"/>
            <w:tabs>
              <w:tab w:val="right" w:leader="dot" w:pos="8296"/>
            </w:tabs>
            <w:spacing w:line="360" w:lineRule="auto"/>
            <w:rPr>
              <w:szCs w:val="22"/>
            </w:rPr>
          </w:pPr>
          <w:r>
            <w:fldChar w:fldCharType="begin"/>
          </w:r>
          <w:r>
            <w:instrText xml:space="preserve"> HYPERLINK \l "_Toc229157994" </w:instrText>
          </w:r>
          <w:r>
            <w:fldChar w:fldCharType="separate"/>
          </w:r>
          <w:r>
            <w:rPr>
              <w:rStyle w:val="14"/>
              <w:rFonts w:ascii="Times New Roman" w:hAnsi="Times New Roman" w:eastAsia="宋体"/>
              <w:b/>
              <w:bCs/>
              <w:color w:val="auto"/>
            </w:rPr>
            <w:t>3.1</w:t>
          </w:r>
          <w:r>
            <w:rPr>
              <w:rStyle w:val="14"/>
              <w:rFonts w:hint="eastAsia" w:ascii="Times New Roman" w:hAnsi="Times New Roman" w:eastAsia="宋体"/>
              <w:b/>
              <w:bCs/>
              <w:color w:val="auto"/>
            </w:rPr>
            <w:t>编制原则</w:t>
          </w:r>
          <w:r>
            <w:tab/>
          </w:r>
          <w:r>
            <w:fldChar w:fldCharType="begin"/>
          </w:r>
          <w:r>
            <w:instrText xml:space="preserve"> PAGEREF _Toc229157994 \h </w:instrText>
          </w:r>
          <w:r>
            <w:fldChar w:fldCharType="separate"/>
          </w:r>
          <w:r>
            <w:t>9</w:t>
          </w:r>
          <w:r>
            <w:fldChar w:fldCharType="end"/>
          </w:r>
          <w:r>
            <w:fldChar w:fldCharType="end"/>
          </w:r>
        </w:p>
        <w:p w14:paraId="6782D56C">
          <w:pPr>
            <w:pStyle w:val="8"/>
            <w:tabs>
              <w:tab w:val="right" w:leader="dot" w:pos="8296"/>
            </w:tabs>
            <w:spacing w:line="360" w:lineRule="auto"/>
            <w:rPr>
              <w:szCs w:val="22"/>
            </w:rPr>
          </w:pPr>
          <w:r>
            <w:fldChar w:fldCharType="begin"/>
          </w:r>
          <w:r>
            <w:instrText xml:space="preserve"> HYPERLINK \l "_Toc229157995" </w:instrText>
          </w:r>
          <w:r>
            <w:fldChar w:fldCharType="separate"/>
          </w:r>
          <w:r>
            <w:rPr>
              <w:rStyle w:val="14"/>
              <w:rFonts w:ascii="Times New Roman" w:hAnsi="Times New Roman" w:eastAsia="宋体" w:cs="Times New Roman"/>
              <w:b/>
              <w:bCs/>
              <w:color w:val="auto"/>
              <w:lang w:bidi="ar"/>
            </w:rPr>
            <w:t xml:space="preserve">3.2 </w:t>
          </w:r>
          <w:r>
            <w:rPr>
              <w:rStyle w:val="14"/>
              <w:rFonts w:hint="eastAsia" w:ascii="宋体" w:hAnsi="宋体" w:eastAsia="宋体" w:cs="宋体"/>
              <w:b/>
              <w:bCs/>
              <w:color w:val="auto"/>
              <w:lang w:bidi="ar"/>
            </w:rPr>
            <w:t>技术路线</w:t>
          </w:r>
          <w:r>
            <w:tab/>
          </w:r>
          <w:r>
            <w:fldChar w:fldCharType="begin"/>
          </w:r>
          <w:r>
            <w:instrText xml:space="preserve"> PAGEREF _Toc229157995 \h </w:instrText>
          </w:r>
          <w:r>
            <w:fldChar w:fldCharType="separate"/>
          </w:r>
          <w:r>
            <w:t>9</w:t>
          </w:r>
          <w:r>
            <w:fldChar w:fldCharType="end"/>
          </w:r>
          <w:r>
            <w:fldChar w:fldCharType="end"/>
          </w:r>
        </w:p>
        <w:p w14:paraId="3CF01F65">
          <w:pPr>
            <w:pStyle w:val="8"/>
            <w:tabs>
              <w:tab w:val="right" w:leader="dot" w:pos="8296"/>
            </w:tabs>
            <w:spacing w:line="360" w:lineRule="auto"/>
            <w:rPr>
              <w:szCs w:val="22"/>
            </w:rPr>
          </w:pPr>
          <w:r>
            <w:fldChar w:fldCharType="begin"/>
          </w:r>
          <w:r>
            <w:instrText xml:space="preserve"> HYPERLINK \l "_Toc229157996" </w:instrText>
          </w:r>
          <w:r>
            <w:fldChar w:fldCharType="separate"/>
          </w:r>
          <w:r>
            <w:rPr>
              <w:rStyle w:val="14"/>
              <w:rFonts w:ascii="Times New Roman" w:hAnsi="Times New Roman" w:eastAsia="宋体"/>
              <w:b/>
              <w:bCs/>
              <w:color w:val="auto"/>
            </w:rPr>
            <w:t>3.3</w:t>
          </w:r>
          <w:r>
            <w:rPr>
              <w:rStyle w:val="14"/>
              <w:rFonts w:hint="eastAsia" w:ascii="Times New Roman" w:hAnsi="Times New Roman" w:eastAsia="宋体"/>
              <w:b/>
              <w:bCs/>
              <w:color w:val="auto"/>
            </w:rPr>
            <w:t>编制依据</w:t>
          </w:r>
          <w:r>
            <w:tab/>
          </w:r>
          <w:r>
            <w:fldChar w:fldCharType="begin"/>
          </w:r>
          <w:r>
            <w:instrText xml:space="preserve"> PAGEREF _Toc229157996 \h </w:instrText>
          </w:r>
          <w:r>
            <w:fldChar w:fldCharType="separate"/>
          </w:r>
          <w:r>
            <w:t>10</w:t>
          </w:r>
          <w:r>
            <w:fldChar w:fldCharType="end"/>
          </w:r>
          <w:r>
            <w:fldChar w:fldCharType="end"/>
          </w:r>
        </w:p>
        <w:p w14:paraId="43C64F2B">
          <w:pPr>
            <w:pStyle w:val="7"/>
            <w:tabs>
              <w:tab w:val="right" w:leader="dot" w:pos="8296"/>
            </w:tabs>
            <w:spacing w:line="360" w:lineRule="auto"/>
            <w:rPr>
              <w:szCs w:val="22"/>
            </w:rPr>
          </w:pPr>
          <w:r>
            <w:fldChar w:fldCharType="begin"/>
          </w:r>
          <w:r>
            <w:instrText xml:space="preserve"> HYPERLINK \l "_Toc229157997" </w:instrText>
          </w:r>
          <w:r>
            <w:fldChar w:fldCharType="separate"/>
          </w:r>
          <w:r>
            <w:rPr>
              <w:rStyle w:val="14"/>
              <w:rFonts w:ascii="Times New Roman" w:hAnsi="Times New Roman" w:eastAsia="宋体"/>
              <w:b/>
              <w:bCs/>
              <w:color w:val="auto"/>
            </w:rPr>
            <w:t xml:space="preserve">4 </w:t>
          </w:r>
          <w:r>
            <w:rPr>
              <w:rStyle w:val="14"/>
              <w:rFonts w:hint="eastAsia" w:ascii="Times New Roman" w:hAnsi="Times New Roman" w:eastAsia="宋体"/>
              <w:b/>
              <w:bCs/>
              <w:color w:val="auto"/>
            </w:rPr>
            <w:t>标准主要技术内容</w:t>
          </w:r>
          <w:r>
            <w:tab/>
          </w:r>
          <w:r>
            <w:fldChar w:fldCharType="begin"/>
          </w:r>
          <w:r>
            <w:instrText xml:space="preserve"> PAGEREF _Toc229157997 \h </w:instrText>
          </w:r>
          <w:r>
            <w:fldChar w:fldCharType="separate"/>
          </w:r>
          <w:r>
            <w:t>12</w:t>
          </w:r>
          <w:r>
            <w:fldChar w:fldCharType="end"/>
          </w:r>
          <w:r>
            <w:fldChar w:fldCharType="end"/>
          </w:r>
        </w:p>
        <w:p w14:paraId="03708A6C">
          <w:pPr>
            <w:pStyle w:val="8"/>
            <w:tabs>
              <w:tab w:val="right" w:leader="dot" w:pos="8296"/>
            </w:tabs>
            <w:spacing w:line="360" w:lineRule="auto"/>
            <w:rPr>
              <w:szCs w:val="22"/>
            </w:rPr>
          </w:pPr>
          <w:r>
            <w:fldChar w:fldCharType="begin"/>
          </w:r>
          <w:r>
            <w:instrText xml:space="preserve"> HYPERLINK \l "_Toc229157998" </w:instrText>
          </w:r>
          <w:r>
            <w:fldChar w:fldCharType="separate"/>
          </w:r>
          <w:r>
            <w:rPr>
              <w:rStyle w:val="14"/>
              <w:rFonts w:ascii="Times New Roman" w:hAnsi="Times New Roman" w:eastAsia="宋体"/>
              <w:b/>
              <w:bCs/>
              <w:color w:val="auto"/>
            </w:rPr>
            <w:t>4.1</w:t>
          </w:r>
          <w:r>
            <w:rPr>
              <w:rStyle w:val="14"/>
              <w:rFonts w:hint="eastAsia" w:ascii="Times New Roman" w:hAnsi="Times New Roman" w:eastAsia="宋体"/>
              <w:b/>
              <w:bCs/>
              <w:color w:val="auto"/>
            </w:rPr>
            <w:t>标准适用范围</w:t>
          </w:r>
          <w:r>
            <w:tab/>
          </w:r>
          <w:r>
            <w:fldChar w:fldCharType="begin"/>
          </w:r>
          <w:r>
            <w:instrText xml:space="preserve"> PAGEREF _Toc229157998 \h </w:instrText>
          </w:r>
          <w:r>
            <w:fldChar w:fldCharType="separate"/>
          </w:r>
          <w:r>
            <w:t>12</w:t>
          </w:r>
          <w:r>
            <w:fldChar w:fldCharType="end"/>
          </w:r>
          <w:r>
            <w:fldChar w:fldCharType="end"/>
          </w:r>
        </w:p>
        <w:p w14:paraId="7D119F32">
          <w:pPr>
            <w:pStyle w:val="8"/>
            <w:tabs>
              <w:tab w:val="right" w:leader="dot" w:pos="8296"/>
            </w:tabs>
            <w:spacing w:line="360" w:lineRule="auto"/>
            <w:rPr>
              <w:szCs w:val="22"/>
            </w:rPr>
          </w:pPr>
          <w:r>
            <w:fldChar w:fldCharType="begin"/>
          </w:r>
          <w:r>
            <w:instrText xml:space="preserve"> HYPERLINK \l "_Toc229157999" </w:instrText>
          </w:r>
          <w:r>
            <w:fldChar w:fldCharType="separate"/>
          </w:r>
          <w:r>
            <w:rPr>
              <w:rStyle w:val="14"/>
              <w:rFonts w:ascii="Times New Roman" w:hAnsi="Times New Roman" w:eastAsia="宋体"/>
              <w:b/>
              <w:bCs/>
              <w:color w:val="auto"/>
            </w:rPr>
            <w:t>4.2</w:t>
          </w:r>
          <w:r>
            <w:rPr>
              <w:rStyle w:val="14"/>
              <w:rFonts w:hint="eastAsia" w:ascii="Times New Roman" w:hAnsi="Times New Roman" w:eastAsia="宋体"/>
              <w:b/>
              <w:bCs/>
              <w:color w:val="auto"/>
            </w:rPr>
            <w:t>规范性引用文件</w:t>
          </w:r>
          <w:r>
            <w:tab/>
          </w:r>
          <w:r>
            <w:fldChar w:fldCharType="begin"/>
          </w:r>
          <w:r>
            <w:instrText xml:space="preserve"> PAGEREF _Toc229157999 \h </w:instrText>
          </w:r>
          <w:r>
            <w:fldChar w:fldCharType="separate"/>
          </w:r>
          <w:r>
            <w:t>12</w:t>
          </w:r>
          <w:r>
            <w:fldChar w:fldCharType="end"/>
          </w:r>
          <w:r>
            <w:fldChar w:fldCharType="end"/>
          </w:r>
        </w:p>
        <w:p w14:paraId="44E0FF9C">
          <w:pPr>
            <w:pStyle w:val="8"/>
            <w:tabs>
              <w:tab w:val="right" w:leader="dot" w:pos="8296"/>
            </w:tabs>
            <w:spacing w:line="360" w:lineRule="auto"/>
            <w:rPr>
              <w:szCs w:val="22"/>
            </w:rPr>
          </w:pPr>
          <w:r>
            <w:fldChar w:fldCharType="begin"/>
          </w:r>
          <w:r>
            <w:instrText xml:space="preserve"> HYPERLINK \l "_Toc229158000" </w:instrText>
          </w:r>
          <w:r>
            <w:fldChar w:fldCharType="separate"/>
          </w:r>
          <w:r>
            <w:rPr>
              <w:rStyle w:val="14"/>
              <w:rFonts w:ascii="Times New Roman" w:hAnsi="Times New Roman" w:eastAsia="宋体"/>
              <w:b/>
              <w:bCs/>
              <w:color w:val="auto"/>
            </w:rPr>
            <w:t>4.3</w:t>
          </w:r>
          <w:r>
            <w:rPr>
              <w:rStyle w:val="14"/>
              <w:rFonts w:hint="eastAsia" w:ascii="Times New Roman" w:hAnsi="Times New Roman" w:eastAsia="宋体"/>
              <w:b/>
              <w:bCs/>
              <w:color w:val="auto"/>
            </w:rPr>
            <w:t>术语和定义</w:t>
          </w:r>
          <w:r>
            <w:tab/>
          </w:r>
          <w:r>
            <w:fldChar w:fldCharType="begin"/>
          </w:r>
          <w:r>
            <w:instrText xml:space="preserve"> PAGEREF _Toc229158000 \h </w:instrText>
          </w:r>
          <w:r>
            <w:fldChar w:fldCharType="separate"/>
          </w:r>
          <w:r>
            <w:t>13</w:t>
          </w:r>
          <w:r>
            <w:fldChar w:fldCharType="end"/>
          </w:r>
          <w:r>
            <w:fldChar w:fldCharType="end"/>
          </w:r>
        </w:p>
        <w:p w14:paraId="7860B949">
          <w:pPr>
            <w:pStyle w:val="8"/>
            <w:tabs>
              <w:tab w:val="right" w:leader="dot" w:pos="8296"/>
            </w:tabs>
            <w:spacing w:line="360" w:lineRule="auto"/>
            <w:rPr>
              <w:szCs w:val="22"/>
            </w:rPr>
          </w:pPr>
          <w:r>
            <w:fldChar w:fldCharType="begin"/>
          </w:r>
          <w:r>
            <w:instrText xml:space="preserve"> HYPERLINK \l "_Toc229158001" </w:instrText>
          </w:r>
          <w:r>
            <w:fldChar w:fldCharType="separate"/>
          </w:r>
          <w:r>
            <w:rPr>
              <w:rStyle w:val="14"/>
              <w:rFonts w:ascii="Times New Roman" w:hAnsi="Times New Roman" w:eastAsia="宋体"/>
              <w:b/>
              <w:bCs/>
              <w:color w:val="auto"/>
            </w:rPr>
            <w:t>4.4</w:t>
          </w:r>
          <w:r>
            <w:rPr>
              <w:rStyle w:val="14"/>
              <w:rFonts w:hint="eastAsia" w:ascii="Times New Roman" w:hAnsi="Times New Roman" w:eastAsia="宋体"/>
              <w:b/>
              <w:bCs/>
              <w:color w:val="auto"/>
            </w:rPr>
            <w:t>监测原则</w:t>
          </w:r>
          <w:r>
            <w:tab/>
          </w:r>
          <w:r>
            <w:fldChar w:fldCharType="begin"/>
          </w:r>
          <w:r>
            <w:instrText xml:space="preserve"> PAGEREF _Toc229158001 \h </w:instrText>
          </w:r>
          <w:r>
            <w:fldChar w:fldCharType="separate"/>
          </w:r>
          <w:r>
            <w:t>13</w:t>
          </w:r>
          <w:r>
            <w:fldChar w:fldCharType="end"/>
          </w:r>
          <w:r>
            <w:fldChar w:fldCharType="end"/>
          </w:r>
        </w:p>
        <w:p w14:paraId="1518D593">
          <w:pPr>
            <w:pStyle w:val="8"/>
            <w:tabs>
              <w:tab w:val="right" w:leader="dot" w:pos="8296"/>
            </w:tabs>
            <w:spacing w:line="360" w:lineRule="auto"/>
            <w:rPr>
              <w:szCs w:val="22"/>
            </w:rPr>
          </w:pPr>
          <w:r>
            <w:fldChar w:fldCharType="begin"/>
          </w:r>
          <w:r>
            <w:instrText xml:space="preserve"> HYPERLINK \l "_Toc229158002" </w:instrText>
          </w:r>
          <w:r>
            <w:fldChar w:fldCharType="separate"/>
          </w:r>
          <w:r>
            <w:rPr>
              <w:rStyle w:val="14"/>
              <w:rFonts w:ascii="Times New Roman" w:hAnsi="Times New Roman" w:eastAsia="宋体"/>
              <w:b/>
              <w:bCs/>
              <w:color w:val="auto"/>
            </w:rPr>
            <w:t>4.5</w:t>
          </w:r>
          <w:r>
            <w:rPr>
              <w:rStyle w:val="14"/>
              <w:rFonts w:hint="eastAsia" w:ascii="Times New Roman" w:hAnsi="Times New Roman" w:eastAsia="宋体"/>
              <w:b/>
              <w:bCs/>
              <w:color w:val="auto"/>
            </w:rPr>
            <w:t>监测方案制定</w:t>
          </w:r>
          <w:r>
            <w:tab/>
          </w:r>
          <w:r>
            <w:fldChar w:fldCharType="begin"/>
          </w:r>
          <w:r>
            <w:instrText xml:space="preserve"> PAGEREF _Toc229158002 \h </w:instrText>
          </w:r>
          <w:r>
            <w:fldChar w:fldCharType="separate"/>
          </w:r>
          <w:r>
            <w:t>13</w:t>
          </w:r>
          <w:r>
            <w:fldChar w:fldCharType="end"/>
          </w:r>
          <w:r>
            <w:fldChar w:fldCharType="end"/>
          </w:r>
        </w:p>
        <w:p w14:paraId="0C58F3C2">
          <w:pPr>
            <w:pStyle w:val="8"/>
            <w:tabs>
              <w:tab w:val="right" w:leader="dot" w:pos="8296"/>
            </w:tabs>
            <w:spacing w:line="360" w:lineRule="auto"/>
            <w:rPr>
              <w:szCs w:val="22"/>
            </w:rPr>
          </w:pPr>
          <w:r>
            <w:fldChar w:fldCharType="begin"/>
          </w:r>
          <w:r>
            <w:instrText xml:space="preserve"> HYPERLINK \l "_Toc229158003" </w:instrText>
          </w:r>
          <w:r>
            <w:fldChar w:fldCharType="separate"/>
          </w:r>
          <w:r>
            <w:rPr>
              <w:rStyle w:val="14"/>
              <w:rFonts w:ascii="Times New Roman" w:hAnsi="Times New Roman" w:eastAsia="宋体"/>
              <w:b/>
              <w:bCs/>
              <w:color w:val="auto"/>
            </w:rPr>
            <w:t>4.6</w:t>
          </w:r>
          <w:r>
            <w:rPr>
              <w:rStyle w:val="14"/>
              <w:rFonts w:hint="eastAsia" w:ascii="Times New Roman" w:hAnsi="Times New Roman" w:eastAsia="宋体"/>
              <w:b/>
              <w:bCs/>
              <w:color w:val="auto"/>
            </w:rPr>
            <w:t>点位布设与采样频次</w:t>
          </w:r>
          <w:r>
            <w:tab/>
          </w:r>
          <w:r>
            <w:fldChar w:fldCharType="begin"/>
          </w:r>
          <w:r>
            <w:instrText xml:space="preserve"> PAGEREF _Toc229158003 \h </w:instrText>
          </w:r>
          <w:r>
            <w:fldChar w:fldCharType="separate"/>
          </w:r>
          <w:r>
            <w:t>15</w:t>
          </w:r>
          <w:r>
            <w:fldChar w:fldCharType="end"/>
          </w:r>
          <w:r>
            <w:fldChar w:fldCharType="end"/>
          </w:r>
        </w:p>
        <w:p w14:paraId="4D142F33">
          <w:pPr>
            <w:pStyle w:val="8"/>
            <w:tabs>
              <w:tab w:val="right" w:leader="dot" w:pos="8296"/>
            </w:tabs>
            <w:spacing w:line="360" w:lineRule="auto"/>
            <w:rPr>
              <w:szCs w:val="22"/>
            </w:rPr>
          </w:pPr>
          <w:r>
            <w:fldChar w:fldCharType="begin"/>
          </w:r>
          <w:r>
            <w:instrText xml:space="preserve"> HYPERLINK \l "_Toc229158004" </w:instrText>
          </w:r>
          <w:r>
            <w:fldChar w:fldCharType="separate"/>
          </w:r>
          <w:r>
            <w:rPr>
              <w:rStyle w:val="14"/>
              <w:rFonts w:ascii="Times New Roman" w:hAnsi="Times New Roman" w:eastAsia="宋体"/>
              <w:b/>
              <w:bCs/>
              <w:color w:val="auto"/>
            </w:rPr>
            <w:t>4.7</w:t>
          </w:r>
          <w:r>
            <w:rPr>
              <w:rStyle w:val="14"/>
              <w:rFonts w:hint="eastAsia" w:ascii="Times New Roman" w:hAnsi="Times New Roman" w:eastAsia="宋体"/>
              <w:b/>
              <w:bCs/>
              <w:color w:val="auto"/>
            </w:rPr>
            <w:t>样品采集、保存与运输</w:t>
          </w:r>
          <w:r>
            <w:tab/>
          </w:r>
          <w:r>
            <w:fldChar w:fldCharType="begin"/>
          </w:r>
          <w:r>
            <w:instrText xml:space="preserve"> PAGEREF _Toc229158004 \h </w:instrText>
          </w:r>
          <w:r>
            <w:fldChar w:fldCharType="separate"/>
          </w:r>
          <w:r>
            <w:t>15</w:t>
          </w:r>
          <w:r>
            <w:fldChar w:fldCharType="end"/>
          </w:r>
          <w:r>
            <w:fldChar w:fldCharType="end"/>
          </w:r>
        </w:p>
        <w:p w14:paraId="6401BBEA">
          <w:pPr>
            <w:pStyle w:val="8"/>
            <w:tabs>
              <w:tab w:val="right" w:leader="dot" w:pos="8296"/>
            </w:tabs>
            <w:spacing w:line="360" w:lineRule="auto"/>
            <w:rPr>
              <w:szCs w:val="22"/>
            </w:rPr>
          </w:pPr>
          <w:r>
            <w:fldChar w:fldCharType="begin"/>
          </w:r>
          <w:r>
            <w:instrText xml:space="preserve"> HYPERLINK \l "_Toc229158005" </w:instrText>
          </w:r>
          <w:r>
            <w:fldChar w:fldCharType="separate"/>
          </w:r>
          <w:r>
            <w:rPr>
              <w:rStyle w:val="14"/>
              <w:rFonts w:ascii="Times New Roman" w:hAnsi="Times New Roman" w:eastAsia="宋体"/>
              <w:b/>
              <w:bCs/>
              <w:color w:val="auto"/>
            </w:rPr>
            <w:t>4.8</w:t>
          </w:r>
          <w:r>
            <w:rPr>
              <w:rStyle w:val="14"/>
              <w:rFonts w:hint="eastAsia" w:ascii="Times New Roman" w:hAnsi="Times New Roman" w:eastAsia="宋体"/>
              <w:b/>
              <w:bCs/>
              <w:color w:val="auto"/>
            </w:rPr>
            <w:t>实验室分析测试</w:t>
          </w:r>
          <w:r>
            <w:tab/>
          </w:r>
          <w:r>
            <w:fldChar w:fldCharType="begin"/>
          </w:r>
          <w:r>
            <w:instrText xml:space="preserve"> PAGEREF _Toc229158005 \h </w:instrText>
          </w:r>
          <w:r>
            <w:fldChar w:fldCharType="separate"/>
          </w:r>
          <w:r>
            <w:t>16</w:t>
          </w:r>
          <w:r>
            <w:fldChar w:fldCharType="end"/>
          </w:r>
          <w:r>
            <w:fldChar w:fldCharType="end"/>
          </w:r>
        </w:p>
        <w:p w14:paraId="60D78071">
          <w:pPr>
            <w:pStyle w:val="8"/>
            <w:tabs>
              <w:tab w:val="right" w:leader="dot" w:pos="8296"/>
            </w:tabs>
            <w:spacing w:line="360" w:lineRule="auto"/>
            <w:rPr>
              <w:szCs w:val="22"/>
            </w:rPr>
          </w:pPr>
          <w:r>
            <w:fldChar w:fldCharType="begin"/>
          </w:r>
          <w:r>
            <w:instrText xml:space="preserve"> HYPERLINK \l "_Toc229158006" </w:instrText>
          </w:r>
          <w:r>
            <w:fldChar w:fldCharType="separate"/>
          </w:r>
          <w:r>
            <w:rPr>
              <w:rStyle w:val="14"/>
              <w:rFonts w:ascii="Times New Roman" w:hAnsi="Times New Roman" w:eastAsia="宋体"/>
              <w:b/>
              <w:bCs/>
              <w:color w:val="auto"/>
            </w:rPr>
            <w:t>4.9</w:t>
          </w:r>
          <w:r>
            <w:rPr>
              <w:rStyle w:val="14"/>
              <w:rFonts w:hint="eastAsia" w:ascii="Times New Roman" w:hAnsi="Times New Roman" w:eastAsia="宋体"/>
              <w:b/>
              <w:bCs/>
              <w:color w:val="auto"/>
            </w:rPr>
            <w:t>质量保证与质量控制</w:t>
          </w:r>
          <w:r>
            <w:tab/>
          </w:r>
          <w:r>
            <w:fldChar w:fldCharType="begin"/>
          </w:r>
          <w:r>
            <w:instrText xml:space="preserve"> PAGEREF _Toc229158006 \h </w:instrText>
          </w:r>
          <w:r>
            <w:fldChar w:fldCharType="separate"/>
          </w:r>
          <w:r>
            <w:t>17</w:t>
          </w:r>
          <w:r>
            <w:fldChar w:fldCharType="end"/>
          </w:r>
          <w:r>
            <w:fldChar w:fldCharType="end"/>
          </w:r>
        </w:p>
        <w:p w14:paraId="1A95D07D">
          <w:pPr>
            <w:pStyle w:val="8"/>
            <w:tabs>
              <w:tab w:val="right" w:leader="dot" w:pos="8296"/>
            </w:tabs>
            <w:spacing w:line="360" w:lineRule="auto"/>
            <w:rPr>
              <w:szCs w:val="22"/>
            </w:rPr>
          </w:pPr>
          <w:r>
            <w:fldChar w:fldCharType="begin"/>
          </w:r>
          <w:r>
            <w:instrText xml:space="preserve"> HYPERLINK \l "_Toc229158007" </w:instrText>
          </w:r>
          <w:r>
            <w:fldChar w:fldCharType="separate"/>
          </w:r>
          <w:r>
            <w:rPr>
              <w:rStyle w:val="14"/>
              <w:rFonts w:ascii="Times New Roman" w:hAnsi="Times New Roman" w:eastAsia="宋体"/>
              <w:b/>
              <w:bCs/>
              <w:color w:val="auto"/>
            </w:rPr>
            <w:t>4.10</w:t>
          </w:r>
          <w:r>
            <w:rPr>
              <w:rStyle w:val="14"/>
              <w:rFonts w:hint="eastAsia" w:ascii="Times New Roman" w:hAnsi="Times New Roman" w:eastAsia="宋体"/>
              <w:b/>
              <w:bCs/>
              <w:color w:val="auto"/>
            </w:rPr>
            <w:t>数据处理与报告编制</w:t>
          </w:r>
          <w:r>
            <w:tab/>
          </w:r>
          <w:r>
            <w:fldChar w:fldCharType="begin"/>
          </w:r>
          <w:r>
            <w:instrText xml:space="preserve"> PAGEREF _Toc229158007 \h </w:instrText>
          </w:r>
          <w:r>
            <w:fldChar w:fldCharType="separate"/>
          </w:r>
          <w:r>
            <w:t>19</w:t>
          </w:r>
          <w:r>
            <w:fldChar w:fldCharType="end"/>
          </w:r>
          <w:r>
            <w:fldChar w:fldCharType="end"/>
          </w:r>
        </w:p>
        <w:p w14:paraId="787378D6">
          <w:pPr>
            <w:pStyle w:val="8"/>
            <w:tabs>
              <w:tab w:val="right" w:leader="dot" w:pos="8296"/>
            </w:tabs>
            <w:spacing w:line="360" w:lineRule="auto"/>
            <w:rPr>
              <w:szCs w:val="22"/>
            </w:rPr>
          </w:pPr>
          <w:r>
            <w:fldChar w:fldCharType="begin"/>
          </w:r>
          <w:r>
            <w:instrText xml:space="preserve"> HYPERLINK \l "_Toc229158008" </w:instrText>
          </w:r>
          <w:r>
            <w:fldChar w:fldCharType="separate"/>
          </w:r>
          <w:r>
            <w:rPr>
              <w:rStyle w:val="14"/>
              <w:rFonts w:ascii="Times New Roman" w:hAnsi="Times New Roman" w:eastAsia="宋体"/>
              <w:b/>
              <w:bCs/>
              <w:color w:val="auto"/>
            </w:rPr>
            <w:t>4.11</w:t>
          </w:r>
          <w:r>
            <w:rPr>
              <w:rStyle w:val="14"/>
              <w:rFonts w:hint="eastAsia" w:ascii="Times New Roman" w:hAnsi="Times New Roman" w:eastAsia="宋体"/>
              <w:b/>
              <w:bCs/>
              <w:color w:val="auto"/>
            </w:rPr>
            <w:t>附录设置</w:t>
          </w:r>
          <w:r>
            <w:tab/>
          </w:r>
          <w:r>
            <w:fldChar w:fldCharType="begin"/>
          </w:r>
          <w:r>
            <w:instrText xml:space="preserve"> PAGEREF _Toc229158008 \h </w:instrText>
          </w:r>
          <w:r>
            <w:fldChar w:fldCharType="separate"/>
          </w:r>
          <w:r>
            <w:t>19</w:t>
          </w:r>
          <w:r>
            <w:fldChar w:fldCharType="end"/>
          </w:r>
          <w:r>
            <w:fldChar w:fldCharType="end"/>
          </w:r>
        </w:p>
        <w:p w14:paraId="21D673F5">
          <w:pPr>
            <w:pStyle w:val="7"/>
            <w:tabs>
              <w:tab w:val="right" w:leader="dot" w:pos="8296"/>
            </w:tabs>
            <w:spacing w:line="360" w:lineRule="auto"/>
            <w:rPr>
              <w:szCs w:val="22"/>
            </w:rPr>
          </w:pPr>
          <w:r>
            <w:fldChar w:fldCharType="begin"/>
          </w:r>
          <w:r>
            <w:instrText xml:space="preserve"> HYPERLINK \l "_Toc229158009" </w:instrText>
          </w:r>
          <w:r>
            <w:fldChar w:fldCharType="separate"/>
          </w:r>
          <w:r>
            <w:rPr>
              <w:rStyle w:val="14"/>
              <w:rFonts w:ascii="Times New Roman" w:hAnsi="Times New Roman" w:eastAsia="宋体"/>
              <w:b/>
              <w:bCs/>
              <w:color w:val="auto"/>
            </w:rPr>
            <w:t xml:space="preserve">5 </w:t>
          </w:r>
          <w:r>
            <w:rPr>
              <w:rStyle w:val="14"/>
              <w:rFonts w:hint="eastAsia" w:ascii="Times New Roman" w:hAnsi="Times New Roman" w:eastAsia="宋体"/>
              <w:b/>
              <w:bCs/>
              <w:color w:val="auto"/>
            </w:rPr>
            <w:t>实施本标准的建议</w:t>
          </w:r>
          <w:r>
            <w:tab/>
          </w:r>
          <w:r>
            <w:fldChar w:fldCharType="begin"/>
          </w:r>
          <w:r>
            <w:instrText xml:space="preserve"> PAGEREF _Toc229158009 \h </w:instrText>
          </w:r>
          <w:r>
            <w:fldChar w:fldCharType="separate"/>
          </w:r>
          <w:r>
            <w:t>20</w:t>
          </w:r>
          <w:r>
            <w:fldChar w:fldCharType="end"/>
          </w:r>
          <w:r>
            <w:fldChar w:fldCharType="end"/>
          </w:r>
        </w:p>
        <w:p w14:paraId="313C679B">
          <w:pPr>
            <w:spacing w:line="360" w:lineRule="auto"/>
            <w:rPr>
              <w:rFonts w:ascii="黑体" w:hAnsi="黑体" w:eastAsia="黑体" w:cs="黑体"/>
              <w:szCs w:val="28"/>
            </w:rPr>
          </w:pPr>
          <w:r>
            <w:rPr>
              <w:rFonts w:hint="eastAsia" w:ascii="Times New Roman" w:hAnsi="Times New Roman" w:eastAsia="宋体" w:cs="黑体"/>
              <w:sz w:val="28"/>
              <w:szCs w:val="28"/>
            </w:rPr>
            <w:fldChar w:fldCharType="end"/>
          </w:r>
        </w:p>
      </w:sdtContent>
    </w:sdt>
    <w:p w14:paraId="12B1F26A"/>
    <w:p w14:paraId="3B6956B2">
      <w:pPr>
        <w:sectPr>
          <w:footerReference r:id="rId3" w:type="default"/>
          <w:pgSz w:w="11906" w:h="16838"/>
          <w:pgMar w:top="1440" w:right="1800" w:bottom="1440" w:left="1800" w:header="851" w:footer="992" w:gutter="0"/>
          <w:pgNumType w:start="1"/>
          <w:cols w:space="425" w:num="1"/>
          <w:docGrid w:type="lines" w:linePitch="312" w:charSpace="0"/>
        </w:sectPr>
      </w:pPr>
    </w:p>
    <w:p w14:paraId="4F4F88FC">
      <w:pPr>
        <w:jc w:val="center"/>
        <w:rPr>
          <w:rFonts w:ascii="宋体" w:hAnsi="宋体" w:eastAsia="宋体" w:cs="宋体"/>
          <w:b/>
          <w:bCs/>
          <w:sz w:val="32"/>
          <w:szCs w:val="32"/>
        </w:rPr>
      </w:pPr>
      <w:r>
        <w:rPr>
          <w:rFonts w:hint="eastAsia" w:ascii="宋体" w:hAnsi="宋体" w:eastAsia="宋体" w:cs="宋体"/>
          <w:b/>
          <w:bCs/>
          <w:sz w:val="32"/>
          <w:szCs w:val="32"/>
        </w:rPr>
        <w:t>地表水新污染物监测技术规范</w:t>
      </w:r>
    </w:p>
    <w:p w14:paraId="1666E19F">
      <w:pPr>
        <w:jc w:val="center"/>
        <w:rPr>
          <w:rFonts w:ascii="宋体" w:hAnsi="宋体" w:eastAsia="宋体" w:cs="宋体"/>
          <w:b/>
          <w:bCs/>
          <w:sz w:val="32"/>
          <w:szCs w:val="32"/>
        </w:rPr>
      </w:pPr>
      <w:r>
        <w:rPr>
          <w:rFonts w:hint="eastAsia" w:ascii="宋体" w:hAnsi="宋体" w:eastAsia="宋体" w:cs="宋体"/>
          <w:b/>
          <w:bCs/>
          <w:sz w:val="32"/>
          <w:szCs w:val="32"/>
        </w:rPr>
        <w:t>编制说明</w:t>
      </w:r>
    </w:p>
    <w:p w14:paraId="5370922D">
      <w:pPr>
        <w:outlineLvl w:val="0"/>
        <w:rPr>
          <w:rFonts w:ascii="Times New Roman" w:hAnsi="Times New Roman" w:eastAsia="宋体"/>
          <w:b/>
          <w:bCs/>
          <w:sz w:val="28"/>
        </w:rPr>
      </w:pPr>
      <w:bookmarkStart w:id="0" w:name="_Toc229157986"/>
      <w:r>
        <w:rPr>
          <w:rFonts w:hint="eastAsia" w:ascii="Times New Roman" w:hAnsi="Times New Roman" w:eastAsia="宋体"/>
          <w:b/>
          <w:bCs/>
          <w:sz w:val="28"/>
        </w:rPr>
        <w:t>1 项目背景</w:t>
      </w:r>
      <w:bookmarkEnd w:id="0"/>
    </w:p>
    <w:p w14:paraId="04F7C28F">
      <w:pPr>
        <w:outlineLvl w:val="1"/>
        <w:rPr>
          <w:rFonts w:ascii="Times New Roman" w:hAnsi="Times New Roman" w:eastAsia="宋体"/>
          <w:b/>
          <w:bCs/>
          <w:sz w:val="28"/>
        </w:rPr>
      </w:pPr>
      <w:bookmarkStart w:id="1" w:name="_Toc229157987"/>
      <w:r>
        <w:rPr>
          <w:rFonts w:hint="eastAsia" w:ascii="Times New Roman" w:hAnsi="Times New Roman" w:eastAsia="宋体"/>
          <w:b/>
          <w:bCs/>
          <w:sz w:val="28"/>
        </w:rPr>
        <w:t>1.1任务来源</w:t>
      </w:r>
      <w:bookmarkEnd w:id="1"/>
    </w:p>
    <w:p w14:paraId="5921DF87">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新污染物是指新近发现或受到重点关注，对生态环境与人体健康存在风险，尚未纳入环境管理体系，或现有管理措施难以有效防控风险的污染物。这类物质普遍具有生物毒性、环境持久性、生物累积性等特征，即便在环境中处于低浓度水平，也可能产生显著的生态与健康危害，且危害过程具有明显的潜在性和隐蔽性；一旦形成污染，治理难度大、成本高、周期长，已成为当前生态环境领域的重点防控对象。为深入贯彻落实国家及河北省新污染物治理相关部署，结合京津冀生态环境支撑区建设需求与地方新污染物监测试点实践，申请制订团体标准《地表水新污染物监测技术规范》，旨在填补地表水新污染物全流程监测技术规范空白，统一监测技术要求、保障监测数据质量，支撑新污染物常态化监测与精准管控工作落地。</w:t>
      </w:r>
    </w:p>
    <w:p w14:paraId="757719BC">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本标准制订工作严格遵循团体标准制修订管理要求，以国家 “十五五” 规划纲要、国务院《新污染物治理行动方案》（国办发〔2022〕15号）、生态环境部《新污染物生态环境监测标准体系表（2024 年版）》（环办监测函〔2024〕310号）及《河北省新污染物治理工作方案》（冀政办字〔2022〕159号）为政策依据，立足河北省地表水新污染物试点监测成果，聚焦监测全流程规范化需求，立项开展标准编制工作。</w:t>
      </w:r>
    </w:p>
    <w:p w14:paraId="52D9D6B3">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2026年4月28日，河北环保联合会在石家庄市组织召开了《地表水新污染物监测技术规范》团体标准立项专家评审会，会议提出制订地表水新污染物监测技术规范团体标准的必要性，针对申请单位河北工院云环境检测技术有限公司申请立项材料形成评审意见，并对下一步编制计划提出科学的工作建议，《地表水新污染物监测技术规范》正式立项，标准的编制工作正式启动。</w:t>
      </w:r>
    </w:p>
    <w:p w14:paraId="3E7B3E15">
      <w:pPr>
        <w:outlineLvl w:val="1"/>
        <w:rPr>
          <w:rFonts w:ascii="Times New Roman" w:hAnsi="Times New Roman" w:eastAsia="宋体"/>
          <w:b/>
          <w:bCs/>
          <w:sz w:val="28"/>
        </w:rPr>
      </w:pPr>
      <w:bookmarkStart w:id="2" w:name="_Toc229157988"/>
      <w:r>
        <w:rPr>
          <w:rFonts w:hint="eastAsia" w:ascii="Times New Roman" w:hAnsi="Times New Roman" w:eastAsia="宋体"/>
          <w:b/>
          <w:bCs/>
          <w:sz w:val="28"/>
        </w:rPr>
        <w:t>1.2标准制订的必要性</w:t>
      </w:r>
      <w:bookmarkEnd w:id="2"/>
    </w:p>
    <w:p w14:paraId="34BD9292">
      <w:pPr>
        <w:ind w:firstLine="562" w:firstLineChars="200"/>
        <w:rPr>
          <w:rFonts w:ascii="Times New Roman" w:hAnsi="Times New Roman" w:eastAsia="宋体"/>
          <w:b/>
          <w:bCs/>
          <w:sz w:val="28"/>
        </w:rPr>
      </w:pPr>
      <w:r>
        <w:rPr>
          <w:rFonts w:hint="eastAsia" w:ascii="Times New Roman" w:hAnsi="Times New Roman" w:eastAsia="宋体"/>
          <w:b/>
          <w:bCs/>
          <w:sz w:val="28"/>
        </w:rPr>
        <w:t>（1）落实国家与地方新污染物治理战略的必然要求</w:t>
      </w:r>
    </w:p>
    <w:p w14:paraId="7D4D5647">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新污染物具有生物毒性、环境持久性、生物累积性等特征，低浓度即可产生显著生态与健康危害，已成为生态环境领域重点防控对象。国家层面将新污染物治理提升至生态安全战略高度，明确要求建立持久性有机污染物、内分泌干扰物、抗生素、微塑料等协同治理与风险管控体系；河北省作为京津冀生态环境支撑区，需在 2025 年底前初步建成新污染物环境调查监测体系，完成重点管控新污染物监测与风险评估。当前缺少专项监测技术规范，已成为制约治理任务落地的关键瓶颈，亟需制定本标准承接国家战略、落实地方部署。</w:t>
      </w:r>
    </w:p>
    <w:p w14:paraId="199F92E4">
      <w:pPr>
        <w:ind w:firstLine="562" w:firstLineChars="200"/>
        <w:rPr>
          <w:rFonts w:ascii="Times New Roman" w:hAnsi="Times New Roman" w:eastAsia="宋体"/>
          <w:b/>
          <w:bCs/>
          <w:sz w:val="28"/>
        </w:rPr>
      </w:pPr>
      <w:r>
        <w:rPr>
          <w:rFonts w:hint="eastAsia" w:ascii="Times New Roman" w:hAnsi="Times New Roman" w:eastAsia="宋体"/>
          <w:b/>
          <w:bCs/>
          <w:sz w:val="28"/>
        </w:rPr>
        <w:t>（2）解决当前监测技术短板的迫切需要</w:t>
      </w:r>
    </w:p>
    <w:p w14:paraId="62DDA826">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我国地表水新污染物监测面临底数不清、技术不足、标准不匹配核心问题：</w:t>
      </w:r>
    </w:p>
    <w:p w14:paraId="26B912A0">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常规监测规范（如HJ 91.2—2022）未考虑新污染物痕量 / 超痕量、易降解、易吸附、易交叉污染特性，采样、保存、质控等环节无法适配；</w:t>
      </w:r>
    </w:p>
    <w:p w14:paraId="705D6878">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现有标准多为单一污染物分析方法，缺少覆盖布点、采样、运输、分析、质控、报告的全流程体系，各地操作不一、数据不可比；</w:t>
      </w:r>
    </w:p>
    <w:p w14:paraId="0BAFC8DD">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基层监测机构缺乏可落地、低成本的技术指引，难以保障痕量分析数据准确性。本标准可统一全流程技术要求，破解监测技术短板，提升数据质量与可比性。</w:t>
      </w:r>
    </w:p>
    <w:p w14:paraId="0EF99604">
      <w:pPr>
        <w:ind w:firstLine="562" w:firstLineChars="200"/>
        <w:rPr>
          <w:rFonts w:ascii="Times New Roman" w:hAnsi="Times New Roman" w:eastAsia="宋体"/>
          <w:b/>
          <w:bCs/>
          <w:sz w:val="28"/>
        </w:rPr>
      </w:pPr>
      <w:r>
        <w:rPr>
          <w:rFonts w:hint="eastAsia" w:ascii="Times New Roman" w:hAnsi="Times New Roman" w:eastAsia="宋体"/>
          <w:b/>
          <w:bCs/>
          <w:sz w:val="28"/>
        </w:rPr>
        <w:t>（3）完善新污染物监测标准体系的关键举措</w:t>
      </w:r>
    </w:p>
    <w:p w14:paraId="742BB7B6">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生态环境部已将新污染物监测标准体系建设列为重点任务，但国内尚无全国统一、专门针对地表水全流程的新污染物监测技术规范，现有团标、地标、作业指导书仅覆盖单项方法或局部环节。本标准填补标准体系空白，构建多类型监测框架，为全国地表水新污染物常态化、规范化监测提供统一技术依据，支撑风险防控与科学治理。</w:t>
      </w:r>
    </w:p>
    <w:p w14:paraId="42893BBE">
      <w:pPr>
        <w:outlineLvl w:val="1"/>
        <w:rPr>
          <w:rFonts w:ascii="Times New Roman" w:hAnsi="Times New Roman" w:eastAsia="宋体"/>
          <w:b/>
          <w:bCs/>
          <w:sz w:val="28"/>
        </w:rPr>
      </w:pPr>
      <w:bookmarkStart w:id="3" w:name="_Toc229157989"/>
      <w:r>
        <w:rPr>
          <w:rFonts w:hint="eastAsia" w:ascii="Times New Roman" w:hAnsi="Times New Roman" w:eastAsia="宋体"/>
          <w:b/>
          <w:bCs/>
          <w:sz w:val="28"/>
        </w:rPr>
        <w:t>1.3国内、国外标准制订情况</w:t>
      </w:r>
      <w:bookmarkEnd w:id="3"/>
    </w:p>
    <w:p w14:paraId="58B2CEFE">
      <w:pPr>
        <w:ind w:firstLine="562" w:firstLineChars="200"/>
        <w:rPr>
          <w:rFonts w:ascii="Times New Roman" w:hAnsi="Times New Roman" w:eastAsia="宋体" w:cs="Times New Roman"/>
          <w:b/>
          <w:bCs/>
          <w:sz w:val="28"/>
          <w:szCs w:val="28"/>
        </w:rPr>
      </w:pPr>
      <w:r>
        <w:rPr>
          <w:rFonts w:hint="eastAsia" w:ascii="Times New Roman" w:hAnsi="Times New Roman" w:eastAsia="宋体" w:cs="Times New Roman"/>
          <w:b/>
          <w:bCs/>
          <w:sz w:val="28"/>
          <w:szCs w:val="28"/>
        </w:rPr>
        <w:t>（1）国内同类型标准的制订情况</w:t>
      </w:r>
    </w:p>
    <w:p w14:paraId="0838ADDB">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随着《新污染物治理行动方案》《“十四五”生态环境监测规划》等政策文件的发布实施，我国已将地表水新污染物监测纳入生态环境监测重点工作，明确要求完善新污染物监测技术体系，提升全链条监测能力。近年来，国内生态环境领域已发布多项典型新污染物的分析方法标准，在全氟和多氟烷基物质、抗生素、微塑料等污染物的监测技术研发上取得了系列成果，部分省级监测机构已开展地表水新污染物试点监测工作，积累了一定的实践经验。</w:t>
      </w:r>
    </w:p>
    <w:p w14:paraId="0FBF41D9">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但目前我国地表水新污染物监测工作仍处于发展阶段，尚未形成统一、系统的监测技术规范体系。不同地区、不同监测机构的监测操作流程差异较大，点位布设原则、样品采集规范、分析方法选择、质量控制指标不统一，导致监测数据缺乏区域间、时间序列上的可比性；基层监测机构缺乏可落地、易推广的全流程技术指引，针对新污染物痕量、超痕量分析的质量控制体系不完善，监测数据质量难以有效保障；常规监测、专项监测、应急监测的技术要求未形成统一规范，尤其是新污染物突发污染事件的应急监测，缺乏标准化的快速响应与操作流程；现有技术要求分散在各类单一污染物方法标准中，未形成覆盖地表水新污染物监测全流程的综合性技术规范，难以满足全国地表水新污染物常态化监测、环境风险管控与治理成效评估的实际需求。国内尚无全国统一、专门针对地表水全流程的新污染物监测技术规范；现有团标、地标、作业指导书多为单项方法、局部环节、区域试点，未形成覆盖布点、采样、保存、分析、质控、报告的一体化技术体系，本标准可有效填补空白。</w:t>
      </w:r>
    </w:p>
    <w:p w14:paraId="79046819">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目前国内已有部分省、市发布了新污染物监测相关文件，主要包括环保部、江苏省、湖北省、重庆市等（详见表1），均为新污染物监测通用标准或作业指导书，其中部分地方标准尚在征求意见中。</w:t>
      </w:r>
    </w:p>
    <w:p w14:paraId="21ECBDD5">
      <w:pPr>
        <w:ind w:firstLine="560" w:firstLineChars="200"/>
        <w:jc w:val="center"/>
        <w:rPr>
          <w:rFonts w:ascii="Times New Roman" w:hAnsi="Times New Roman" w:eastAsia="宋体" w:cs="Times New Roman"/>
          <w:sz w:val="28"/>
          <w:szCs w:val="28"/>
        </w:rPr>
      </w:pPr>
      <w:r>
        <w:rPr>
          <w:rFonts w:hint="eastAsia" w:ascii="Times New Roman" w:hAnsi="Times New Roman" w:eastAsia="宋体" w:cs="Times New Roman"/>
          <w:sz w:val="28"/>
          <w:szCs w:val="28"/>
        </w:rPr>
        <w:t>表1  相关标准情况</w:t>
      </w:r>
    </w:p>
    <w:tbl>
      <w:tblPr>
        <w:tblStyle w:val="11"/>
        <w:tblW w:w="88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1"/>
        <w:gridCol w:w="4114"/>
        <w:gridCol w:w="1980"/>
        <w:gridCol w:w="1691"/>
      </w:tblGrid>
      <w:tr w14:paraId="5D9DC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blHeader/>
        </w:trPr>
        <w:tc>
          <w:tcPr>
            <w:tcW w:w="1021" w:type="dxa"/>
            <w:vAlign w:val="center"/>
          </w:tcPr>
          <w:p w14:paraId="6AB63016">
            <w:pPr>
              <w:spacing w:line="360" w:lineRule="exact"/>
              <w:jc w:val="center"/>
              <w:rPr>
                <w:rFonts w:ascii="Times New Roman" w:hAnsi="Times New Roman" w:eastAsia="宋体" w:cs="Times New Roman"/>
                <w:b/>
                <w:bCs/>
                <w:sz w:val="24"/>
              </w:rPr>
            </w:pPr>
            <w:r>
              <w:rPr>
                <w:rFonts w:hint="eastAsia" w:ascii="Times New Roman" w:hAnsi="Times New Roman" w:eastAsia="宋体" w:cs="Times New Roman"/>
                <w:b/>
                <w:bCs/>
                <w:sz w:val="24"/>
              </w:rPr>
              <w:t>序号</w:t>
            </w:r>
          </w:p>
        </w:tc>
        <w:tc>
          <w:tcPr>
            <w:tcW w:w="4114" w:type="dxa"/>
            <w:vAlign w:val="center"/>
          </w:tcPr>
          <w:p w14:paraId="552F4D50">
            <w:pPr>
              <w:spacing w:line="360" w:lineRule="exact"/>
              <w:jc w:val="center"/>
              <w:rPr>
                <w:rFonts w:ascii="Times New Roman" w:hAnsi="Times New Roman" w:eastAsia="宋体" w:cs="Times New Roman"/>
                <w:b/>
                <w:bCs/>
                <w:sz w:val="24"/>
              </w:rPr>
            </w:pPr>
            <w:r>
              <w:rPr>
                <w:rFonts w:hint="eastAsia" w:ascii="Times New Roman" w:hAnsi="Times New Roman" w:eastAsia="宋体" w:cs="Times New Roman"/>
                <w:b/>
                <w:bCs/>
                <w:sz w:val="24"/>
              </w:rPr>
              <w:t>名称</w:t>
            </w:r>
          </w:p>
        </w:tc>
        <w:tc>
          <w:tcPr>
            <w:tcW w:w="1980" w:type="dxa"/>
            <w:vAlign w:val="center"/>
          </w:tcPr>
          <w:p w14:paraId="7A5238BD">
            <w:pPr>
              <w:spacing w:line="360" w:lineRule="exact"/>
              <w:jc w:val="center"/>
              <w:rPr>
                <w:rFonts w:ascii="Times New Roman" w:hAnsi="Times New Roman" w:eastAsia="宋体" w:cs="Times New Roman"/>
                <w:b/>
                <w:bCs/>
                <w:sz w:val="24"/>
              </w:rPr>
            </w:pPr>
            <w:r>
              <w:rPr>
                <w:rFonts w:hint="eastAsia" w:ascii="Times New Roman" w:hAnsi="Times New Roman" w:eastAsia="宋体" w:cs="Times New Roman"/>
                <w:b/>
                <w:bCs/>
                <w:sz w:val="24"/>
              </w:rPr>
              <w:t>地区</w:t>
            </w:r>
          </w:p>
        </w:tc>
        <w:tc>
          <w:tcPr>
            <w:tcW w:w="1691" w:type="dxa"/>
            <w:vAlign w:val="center"/>
          </w:tcPr>
          <w:p w14:paraId="673DA020">
            <w:pPr>
              <w:spacing w:line="360" w:lineRule="exact"/>
              <w:jc w:val="center"/>
              <w:rPr>
                <w:rFonts w:ascii="Times New Roman" w:hAnsi="Times New Roman" w:eastAsia="宋体" w:cs="Times New Roman"/>
                <w:b/>
                <w:bCs/>
                <w:sz w:val="24"/>
              </w:rPr>
            </w:pPr>
            <w:r>
              <w:rPr>
                <w:rFonts w:hint="eastAsia" w:ascii="Times New Roman" w:hAnsi="Times New Roman" w:eastAsia="宋体" w:cs="Times New Roman"/>
                <w:b/>
                <w:bCs/>
                <w:sz w:val="24"/>
              </w:rPr>
              <w:t>类别</w:t>
            </w:r>
          </w:p>
        </w:tc>
      </w:tr>
      <w:tr w14:paraId="7589E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trPr>
        <w:tc>
          <w:tcPr>
            <w:tcW w:w="1021" w:type="dxa"/>
            <w:vAlign w:val="center"/>
          </w:tcPr>
          <w:p w14:paraId="4D63C776">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1</w:t>
            </w:r>
          </w:p>
        </w:tc>
        <w:tc>
          <w:tcPr>
            <w:tcW w:w="4114" w:type="dxa"/>
            <w:vAlign w:val="center"/>
          </w:tcPr>
          <w:p w14:paraId="0F677751">
            <w:pPr>
              <w:spacing w:line="360" w:lineRule="exact"/>
              <w:jc w:val="center"/>
              <w:rPr>
                <w:rFonts w:ascii="Times New Roman" w:hAnsi="Times New Roman" w:eastAsia="宋体" w:cs="Times New Roman"/>
                <w:sz w:val="24"/>
              </w:rPr>
            </w:pPr>
            <w:r>
              <w:rPr>
                <w:rFonts w:ascii="宋体" w:hAnsi="宋体" w:eastAsia="宋体" w:cs="宋体"/>
                <w:sz w:val="24"/>
              </w:rPr>
              <w:t>《地表水新污染物监测技术规范》（DB32/T）</w:t>
            </w:r>
          </w:p>
        </w:tc>
        <w:tc>
          <w:tcPr>
            <w:tcW w:w="1980" w:type="dxa"/>
            <w:vAlign w:val="center"/>
          </w:tcPr>
          <w:p w14:paraId="3634A8F1">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江苏省</w:t>
            </w:r>
          </w:p>
        </w:tc>
        <w:tc>
          <w:tcPr>
            <w:tcW w:w="1691" w:type="dxa"/>
            <w:vAlign w:val="center"/>
          </w:tcPr>
          <w:p w14:paraId="629CB338">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地方标准征求意见</w:t>
            </w:r>
          </w:p>
        </w:tc>
      </w:tr>
      <w:tr w14:paraId="1075F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1021" w:type="dxa"/>
            <w:vAlign w:val="center"/>
          </w:tcPr>
          <w:p w14:paraId="47A4B1E8">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2</w:t>
            </w:r>
          </w:p>
        </w:tc>
        <w:tc>
          <w:tcPr>
            <w:tcW w:w="4114" w:type="dxa"/>
            <w:vAlign w:val="center"/>
          </w:tcPr>
          <w:p w14:paraId="2A8C313F">
            <w:pPr>
              <w:spacing w:line="360" w:lineRule="exact"/>
              <w:jc w:val="center"/>
              <w:rPr>
                <w:rFonts w:ascii="宋体" w:hAnsi="宋体" w:eastAsia="宋体" w:cs="宋体"/>
                <w:sz w:val="24"/>
              </w:rPr>
            </w:pPr>
            <w:r>
              <w:rPr>
                <w:rFonts w:ascii="宋体" w:hAnsi="宋体" w:eastAsia="宋体" w:cs="宋体"/>
                <w:sz w:val="24"/>
              </w:rPr>
              <w:t>《新污染物环境调查监测技术指南》</w:t>
            </w:r>
          </w:p>
          <w:p w14:paraId="4BB84344">
            <w:pPr>
              <w:spacing w:line="360" w:lineRule="exact"/>
              <w:jc w:val="center"/>
              <w:rPr>
                <w:rFonts w:ascii="宋体" w:hAnsi="宋体" w:eastAsia="宋体" w:cs="宋体"/>
                <w:sz w:val="24"/>
              </w:rPr>
            </w:pPr>
            <w:r>
              <w:rPr>
                <w:rFonts w:hint="eastAsia" w:ascii="宋体" w:hAnsi="宋体" w:eastAsia="宋体" w:cs="宋体"/>
                <w:sz w:val="24"/>
              </w:rPr>
              <w:t>（</w:t>
            </w:r>
            <w:r>
              <w:rPr>
                <w:rFonts w:ascii="宋体" w:hAnsi="宋体" w:eastAsia="宋体" w:cs="宋体"/>
                <w:sz w:val="24"/>
              </w:rPr>
              <w:t>DB43/T XXXX—2025</w:t>
            </w:r>
            <w:r>
              <w:rPr>
                <w:rFonts w:hint="eastAsia" w:ascii="宋体" w:hAnsi="宋体" w:eastAsia="宋体" w:cs="宋体"/>
                <w:sz w:val="24"/>
              </w:rPr>
              <w:t>）</w:t>
            </w:r>
          </w:p>
        </w:tc>
        <w:tc>
          <w:tcPr>
            <w:tcW w:w="1980" w:type="dxa"/>
            <w:vAlign w:val="center"/>
          </w:tcPr>
          <w:p w14:paraId="2D66424F">
            <w:pPr>
              <w:spacing w:line="360" w:lineRule="exact"/>
              <w:jc w:val="center"/>
              <w:rPr>
                <w:rFonts w:ascii="Times New Roman" w:hAnsi="Times New Roman" w:eastAsia="宋体" w:cs="Times New Roman"/>
                <w:sz w:val="24"/>
              </w:rPr>
            </w:pPr>
            <w:r>
              <w:rPr>
                <w:rFonts w:ascii="宋体" w:hAnsi="宋体" w:eastAsia="宋体" w:cs="宋体"/>
                <w:sz w:val="24"/>
              </w:rPr>
              <w:t>湖南省</w:t>
            </w:r>
          </w:p>
        </w:tc>
        <w:tc>
          <w:tcPr>
            <w:tcW w:w="1691" w:type="dxa"/>
            <w:vAlign w:val="center"/>
          </w:tcPr>
          <w:p w14:paraId="1327DF26">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地方标准征求意见</w:t>
            </w:r>
          </w:p>
        </w:tc>
      </w:tr>
      <w:tr w14:paraId="50301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1021" w:type="dxa"/>
            <w:vAlign w:val="center"/>
          </w:tcPr>
          <w:p w14:paraId="50403C64">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3</w:t>
            </w:r>
          </w:p>
        </w:tc>
        <w:tc>
          <w:tcPr>
            <w:tcW w:w="4114" w:type="dxa"/>
            <w:vAlign w:val="center"/>
          </w:tcPr>
          <w:p w14:paraId="149C9D78">
            <w:pPr>
              <w:spacing w:line="360" w:lineRule="exact"/>
              <w:jc w:val="center"/>
              <w:rPr>
                <w:rFonts w:ascii="Times New Roman" w:hAnsi="Times New Roman" w:eastAsia="宋体" w:cs="Times New Roman"/>
                <w:sz w:val="24"/>
              </w:rPr>
            </w:pPr>
            <w:r>
              <w:rPr>
                <w:rFonts w:ascii="宋体" w:hAnsi="宋体" w:eastAsia="宋体" w:cs="宋体"/>
                <w:sz w:val="24"/>
              </w:rPr>
              <w:t>《新污染物环境监测作业指导书（2023 年版修订）》</w:t>
            </w:r>
          </w:p>
        </w:tc>
        <w:tc>
          <w:tcPr>
            <w:tcW w:w="1980" w:type="dxa"/>
            <w:vAlign w:val="center"/>
          </w:tcPr>
          <w:p w14:paraId="7C620CA0">
            <w:pPr>
              <w:spacing w:line="360" w:lineRule="exact"/>
              <w:jc w:val="center"/>
              <w:rPr>
                <w:rFonts w:ascii="Times New Roman" w:hAnsi="Times New Roman" w:eastAsia="宋体" w:cs="Times New Roman"/>
                <w:sz w:val="24"/>
              </w:rPr>
            </w:pPr>
            <w:r>
              <w:rPr>
                <w:rFonts w:ascii="宋体" w:hAnsi="宋体" w:eastAsia="宋体" w:cs="宋体"/>
                <w:sz w:val="24"/>
              </w:rPr>
              <w:t>生态环境部</w:t>
            </w:r>
          </w:p>
        </w:tc>
        <w:tc>
          <w:tcPr>
            <w:tcW w:w="1691" w:type="dxa"/>
            <w:vAlign w:val="center"/>
          </w:tcPr>
          <w:p w14:paraId="59950AD5">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作业指导书</w:t>
            </w:r>
          </w:p>
        </w:tc>
      </w:tr>
      <w:tr w14:paraId="02888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1021" w:type="dxa"/>
            <w:vAlign w:val="center"/>
          </w:tcPr>
          <w:p w14:paraId="58FD3C08">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4</w:t>
            </w:r>
          </w:p>
        </w:tc>
        <w:tc>
          <w:tcPr>
            <w:tcW w:w="4114" w:type="dxa"/>
            <w:vAlign w:val="center"/>
          </w:tcPr>
          <w:p w14:paraId="1B9A78C3">
            <w:pPr>
              <w:spacing w:line="360" w:lineRule="exact"/>
              <w:jc w:val="center"/>
              <w:rPr>
                <w:rFonts w:ascii="Times New Roman" w:hAnsi="Times New Roman" w:eastAsia="宋体" w:cs="Times New Roman"/>
                <w:sz w:val="24"/>
              </w:rPr>
            </w:pPr>
            <w:r>
              <w:rPr>
                <w:rFonts w:ascii="宋体" w:hAnsi="宋体" w:eastAsia="宋体" w:cs="宋体"/>
                <w:sz w:val="24"/>
              </w:rPr>
              <w:t>《江苏省新污染物监测方法作业指导书（2024 年版）》</w:t>
            </w:r>
          </w:p>
        </w:tc>
        <w:tc>
          <w:tcPr>
            <w:tcW w:w="1980" w:type="dxa"/>
            <w:vAlign w:val="center"/>
          </w:tcPr>
          <w:p w14:paraId="3A7A4FA4">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江苏省</w:t>
            </w:r>
          </w:p>
        </w:tc>
        <w:tc>
          <w:tcPr>
            <w:tcW w:w="1691" w:type="dxa"/>
            <w:vAlign w:val="center"/>
          </w:tcPr>
          <w:p w14:paraId="30829CB7">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作业指导书</w:t>
            </w:r>
          </w:p>
        </w:tc>
      </w:tr>
      <w:tr w14:paraId="63FDA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1021" w:type="dxa"/>
            <w:vAlign w:val="center"/>
          </w:tcPr>
          <w:p w14:paraId="5954CA7B">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5</w:t>
            </w:r>
          </w:p>
        </w:tc>
        <w:tc>
          <w:tcPr>
            <w:tcW w:w="4114" w:type="dxa"/>
            <w:vAlign w:val="center"/>
          </w:tcPr>
          <w:p w14:paraId="483A7C5D">
            <w:pPr>
              <w:spacing w:line="360" w:lineRule="exact"/>
              <w:jc w:val="center"/>
              <w:rPr>
                <w:rFonts w:ascii="Times New Roman" w:hAnsi="Times New Roman" w:eastAsia="宋体" w:cs="Times New Roman"/>
                <w:sz w:val="24"/>
              </w:rPr>
            </w:pPr>
            <w:r>
              <w:rPr>
                <w:rFonts w:ascii="宋体" w:hAnsi="宋体" w:eastAsia="宋体" w:cs="宋体"/>
                <w:sz w:val="24"/>
              </w:rPr>
              <w:t>重庆市新污染物监测作业指导书</w:t>
            </w:r>
          </w:p>
        </w:tc>
        <w:tc>
          <w:tcPr>
            <w:tcW w:w="1980" w:type="dxa"/>
            <w:vAlign w:val="center"/>
          </w:tcPr>
          <w:p w14:paraId="10BDFF8B">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重庆市</w:t>
            </w:r>
          </w:p>
        </w:tc>
        <w:tc>
          <w:tcPr>
            <w:tcW w:w="1691" w:type="dxa"/>
            <w:vAlign w:val="center"/>
          </w:tcPr>
          <w:p w14:paraId="68F23F13">
            <w:pPr>
              <w:spacing w:line="360" w:lineRule="exact"/>
              <w:jc w:val="center"/>
              <w:rPr>
                <w:rFonts w:ascii="Times New Roman" w:hAnsi="Times New Roman" w:eastAsia="宋体" w:cs="Times New Roman"/>
                <w:sz w:val="24"/>
              </w:rPr>
            </w:pPr>
            <w:r>
              <w:rPr>
                <w:rFonts w:hint="eastAsia" w:ascii="Times New Roman" w:hAnsi="Times New Roman" w:eastAsia="宋体" w:cs="Times New Roman"/>
                <w:sz w:val="24"/>
              </w:rPr>
              <w:t>作业指导书</w:t>
            </w:r>
          </w:p>
        </w:tc>
      </w:tr>
    </w:tbl>
    <w:p w14:paraId="67D079D5">
      <w:pPr>
        <w:ind w:firstLine="562" w:firstLineChars="200"/>
        <w:rPr>
          <w:rFonts w:ascii="Times New Roman" w:hAnsi="Times New Roman" w:eastAsia="宋体" w:cs="Times New Roman"/>
          <w:b/>
          <w:bCs/>
          <w:sz w:val="28"/>
          <w:szCs w:val="28"/>
        </w:rPr>
      </w:pPr>
      <w:r>
        <w:rPr>
          <w:rFonts w:hint="eastAsia" w:ascii="Times New Roman" w:hAnsi="Times New Roman" w:eastAsia="宋体" w:cs="Times New Roman"/>
          <w:b/>
          <w:bCs/>
          <w:sz w:val="28"/>
          <w:szCs w:val="28"/>
        </w:rPr>
        <w:t>（2）国外同类型标准的制定情况</w:t>
      </w:r>
    </w:p>
    <w:p w14:paraId="723FDE41">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国际上对地表水新污染物监测起步较早，已形成较为完善的监测体系、技术方法与标准框架，技术整体处于规范化、高通量、高灵敏度发展阶段。欧盟以水框架指令为核心，建立地表水监测网络，动态更新优先控制物质清单与观察清单，要求对新污染物开展常态化监测，明确点位布设、采样频次、分析方法与检出限要求；美国EPA建立污染物候选清单（CCL）+未管控污染物监测规则（UCMR）制度，每5年更新清单并组织全国监测，重点覆盖饮用水源地与地表水，形成长期监测数据支撑风险评估；加拿大、日本等均建立优先评估物质清单，将地表水新污染物纳入常规监测与风险评估，强调长期趋势监测与重点区域加密监测。</w:t>
      </w:r>
    </w:p>
    <w:p w14:paraId="52C64842">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尽管国际技术体系相对成熟，但尚未形成专门针对地表水新污染物的专项、全流程监测技术规范。现有标准与技术文件大多聚焦单一污染物的实验室检测方法，主要规范前处理与仪器分析环节，缺乏覆盖监测方案制定、点位网络布设、样品采集保存运输、实验室分析、全流程质控、数据处理、报告编制、应急监测、成果应用的全链条系统性指引。同时，国际标准未充分考虑新污染物痕量 / 超痕量赋存、易吸附、易降解、易交叉污染的核心特征，缺少统一的防污染控制、全程序空白、基质效应校正等全流程质量保证体系。</w:t>
      </w:r>
    </w:p>
    <w:p w14:paraId="17513513">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此外，欧美技术体系高度依赖高分辨质谱、在线前处理、自动化监测等高端设备，对人员专业能力与实验室条件要求严苛，与我国基层监测机构能力现状不匹配，普遍存在适配性不足、落地成本高的问题。国际规范多以常规监测为主，缺少新污染物突发污染事件的标准化应急监测流程与快速筛查机制，难以支撑快速响应与溯源处置。总体而言，国际现有技术成果虽具参考价值，但碎片化、分段式、高端化特征明显，无法为我国地表水新污染物常态化、规范化、低成本可落地的全域监测提供完整技术支撑。</w:t>
      </w:r>
    </w:p>
    <w:p w14:paraId="41B6DE0B">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综上，国外尚无与本标准定位一致、覆盖地表水新污染物全流程的专项监测技术规范，其技术体系多聚焦单一污染物检测方法，且设备要求高、与我国基层监测能力不匹配，可直接参考与借鉴价值有限。</w:t>
      </w:r>
    </w:p>
    <w:p w14:paraId="414CDABA">
      <w:pPr>
        <w:ind w:firstLine="560" w:firstLineChars="200"/>
        <w:rPr>
          <w:rFonts w:ascii="Times New Roman" w:hAnsi="Times New Roman" w:eastAsia="宋体" w:cs="Times New Roman"/>
          <w:sz w:val="28"/>
          <w:szCs w:val="28"/>
        </w:rPr>
        <w:sectPr>
          <w:footerReference r:id="rId4" w:type="default"/>
          <w:pgSz w:w="11906" w:h="16838"/>
          <w:pgMar w:top="1440" w:right="1800" w:bottom="1440" w:left="1800" w:header="851" w:footer="992" w:gutter="0"/>
          <w:pgNumType w:start="1"/>
          <w:cols w:space="425" w:num="1"/>
          <w:docGrid w:type="lines" w:linePitch="312" w:charSpace="0"/>
        </w:sectPr>
      </w:pPr>
      <w:r>
        <w:rPr>
          <w:rFonts w:hint="eastAsia" w:ascii="Times New Roman" w:hAnsi="Times New Roman" w:eastAsia="宋体" w:cs="Times New Roman"/>
          <w:sz w:val="28"/>
          <w:szCs w:val="28"/>
        </w:rPr>
        <w:t>目前国内仅少数省份出台地方规范，国家级专项技术规范仍为空白，现有标准存在覆盖不全、针对性不足、操作不统一等突出问题，难以满足全国及河北省常态化、规范化监测需求。为统一技术要求、保障数据质量、支撑精准管控，亟需制定本地表水新污染物监测技术规范，填补国内标准体系空白，切实服务新污染物治理工作落地见效。</w:t>
      </w:r>
    </w:p>
    <w:p w14:paraId="78FC505E">
      <w:pPr>
        <w:outlineLvl w:val="0"/>
        <w:rPr>
          <w:rFonts w:ascii="Times New Roman" w:hAnsi="Times New Roman" w:eastAsia="宋体"/>
          <w:b/>
          <w:bCs/>
          <w:sz w:val="28"/>
        </w:rPr>
      </w:pPr>
      <w:bookmarkStart w:id="4" w:name="_Toc229157990"/>
      <w:r>
        <w:rPr>
          <w:rFonts w:hint="eastAsia" w:ascii="Times New Roman" w:hAnsi="Times New Roman" w:eastAsia="宋体"/>
          <w:b/>
          <w:bCs/>
          <w:sz w:val="28"/>
        </w:rPr>
        <w:t>2 标准编制过程</w:t>
      </w:r>
      <w:bookmarkEnd w:id="4"/>
    </w:p>
    <w:p w14:paraId="4FAF5AB9">
      <w:pPr>
        <w:outlineLvl w:val="1"/>
        <w:rPr>
          <w:rFonts w:ascii="Times New Roman" w:hAnsi="Times New Roman" w:eastAsia="宋体"/>
          <w:b/>
          <w:bCs/>
          <w:sz w:val="28"/>
        </w:rPr>
      </w:pPr>
      <w:bookmarkStart w:id="5" w:name="_Toc229157991"/>
      <w:r>
        <w:rPr>
          <w:rFonts w:hint="eastAsia" w:ascii="Times New Roman" w:hAnsi="Times New Roman" w:eastAsia="宋体"/>
          <w:b/>
          <w:bCs/>
          <w:sz w:val="28"/>
        </w:rPr>
        <w:t>2.1技术力量</w:t>
      </w:r>
      <w:bookmarkEnd w:id="5"/>
    </w:p>
    <w:p w14:paraId="4DDF6C3F">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本标准牵头组织制订单位：河北工院云环境检测技术有限公司。</w:t>
      </w:r>
    </w:p>
    <w:p w14:paraId="2B149514">
      <w:pPr>
        <w:ind w:firstLine="560" w:firstLineChars="200"/>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rPr>
        <w:t>本标准主要编制单位：河北工院云环境检测技术有限公司、河北省产品质量监督检验研究院</w:t>
      </w:r>
      <w:r>
        <w:rPr>
          <w:rFonts w:hint="eastAsia" w:ascii="Times New Roman" w:hAnsi="Times New Roman" w:eastAsia="宋体" w:cs="Times New Roman"/>
          <w:sz w:val="28"/>
          <w:szCs w:val="28"/>
          <w:lang w:eastAsia="zh-CN"/>
        </w:rPr>
        <w:t>、</w:t>
      </w:r>
      <w:r>
        <w:rPr>
          <w:rFonts w:hint="eastAsia" w:ascii="Times New Roman" w:hAnsi="Times New Roman" w:eastAsia="宋体" w:cs="Times New Roman"/>
          <w:sz w:val="28"/>
          <w:szCs w:val="28"/>
          <w:lang w:val="en-US" w:eastAsia="zh-CN"/>
        </w:rPr>
        <w:t>河北省生态环境应急与重污染天气预警中心</w:t>
      </w:r>
    </w:p>
    <w:p w14:paraId="28EC781B">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本标准起草人为：刘焕、朱烁、周冰、王玥、王克、耿慧、杨艳伦、默婧、袁世辉、孟一赐、吴晓姣、王苏、李梦秋、段晓晨</w:t>
      </w:r>
    </w:p>
    <w:p w14:paraId="3E210E21">
      <w:pPr>
        <w:outlineLvl w:val="1"/>
        <w:rPr>
          <w:rFonts w:ascii="Times New Roman" w:hAnsi="Times New Roman" w:eastAsia="宋体"/>
          <w:b/>
          <w:bCs/>
          <w:sz w:val="28"/>
        </w:rPr>
      </w:pPr>
      <w:bookmarkStart w:id="6" w:name="_Toc229157992"/>
      <w:r>
        <w:rPr>
          <w:rFonts w:hint="eastAsia" w:ascii="Times New Roman" w:hAnsi="Times New Roman" w:eastAsia="宋体"/>
          <w:b/>
          <w:bCs/>
          <w:sz w:val="28"/>
        </w:rPr>
        <w:t>2.2编制过程</w:t>
      </w:r>
      <w:bookmarkEnd w:id="6"/>
    </w:p>
    <w:p w14:paraId="15879369">
      <w:pPr>
        <w:outlineLvl w:val="2"/>
        <w:rPr>
          <w:rFonts w:ascii="Times New Roman" w:hAnsi="Times New Roman" w:eastAsia="宋体"/>
          <w:b/>
          <w:bCs/>
          <w:sz w:val="28"/>
        </w:rPr>
      </w:pPr>
      <w:r>
        <w:rPr>
          <w:rFonts w:hint="eastAsia" w:ascii="Times New Roman" w:hAnsi="Times New Roman" w:eastAsia="宋体"/>
          <w:b/>
          <w:bCs/>
          <w:sz w:val="28"/>
        </w:rPr>
        <w:t>2.2.1前期准备工作</w:t>
      </w:r>
    </w:p>
    <w:p w14:paraId="1AF087F4">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为保障《地表水新污染物监测技术规范》科学严谨、贴合实际，编制组全面完成前期准备。系统梳理国家及河北省新污染物治理政策文件，调研国内外相关标准、技术文献与试点成果，形成标准对比分析报告。开展全国及省内监测现状调研，走访监测机构、实验室与管理部门，精准掌握基层监测痛点与规范化需求。针对PFAS、抗生素、内分泌干扰物等重点物质，开展采样、保存、前处理、分析测试等关键技术比对与适用性验证。依托河北本地地表水开展全流程试点监测，优化技术参数与质控指标。依据 GB/T 1.1—2020 搭建标准框架，明确章节内容与编制大纲。组建专业技术团队，建立专家咨询机制，落实专项经费与实验室、仪器设备等硬件条件，为标准起草奠定坚实的政策、技术、实践与保障基础。由河北工院云环境检测技术有限公司与河北省产品质量监督检验研究院编制完成《地表水新污染物监测技术规范》范围、大纲、编制思路等，并提出《地表水新污染物监测技术规范》的编制申请。</w:t>
      </w:r>
    </w:p>
    <w:p w14:paraId="40FB9C82">
      <w:pPr>
        <w:outlineLvl w:val="2"/>
        <w:rPr>
          <w:rFonts w:ascii="Times New Roman" w:hAnsi="Times New Roman" w:eastAsia="宋体"/>
          <w:b/>
          <w:bCs/>
          <w:sz w:val="28"/>
        </w:rPr>
      </w:pPr>
      <w:r>
        <w:rPr>
          <w:rFonts w:hint="eastAsia" w:ascii="Times New Roman" w:hAnsi="Times New Roman" w:eastAsia="宋体"/>
          <w:b/>
          <w:bCs/>
          <w:sz w:val="28"/>
        </w:rPr>
        <w:t>2.2.2标准立项</w:t>
      </w:r>
    </w:p>
    <w:p w14:paraId="23B9D2D6">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2026年4月，河北环保联合会组织行业专家对《地表水新污染物监测技术规范》开展了立项专家评审会，会议由3位专家组成专家评审组，与会专家就申请单位河北工院云环境检测技术有限公司申请立项材料进行讨论质询，专家组认为该标准对地表水新污染物规范化、标准化监测具有指导意义，同意该标准通过立项。</w:t>
      </w:r>
    </w:p>
    <w:p w14:paraId="4A7C07C5">
      <w:pPr>
        <w:outlineLvl w:val="2"/>
        <w:rPr>
          <w:rFonts w:ascii="Times New Roman" w:hAnsi="Times New Roman" w:eastAsia="宋体"/>
          <w:b/>
          <w:bCs/>
          <w:sz w:val="28"/>
        </w:rPr>
      </w:pPr>
      <w:r>
        <w:rPr>
          <w:rFonts w:hint="eastAsia" w:ascii="Times New Roman" w:hAnsi="Times New Roman" w:eastAsia="宋体"/>
          <w:b/>
          <w:bCs/>
          <w:sz w:val="28"/>
        </w:rPr>
        <w:t>2.2.3编制标准初稿及编制说明</w:t>
      </w:r>
    </w:p>
    <w:p w14:paraId="535BCD48">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2026年5月，成立《地表水新污染物监测技术规范》标准编制组，明确了标准编制核心内容、整体框架及任务完成节点，对组内各成员单位进行工作分工与任务安排。各单位严格按照分工开展资料收集、调查研究与技术梳理等工作，在此基础上形成《地表水新污染物监测技术规范》（一次稿）。</w:t>
      </w:r>
    </w:p>
    <w:p w14:paraId="5693C8AC">
      <w:pPr>
        <w:ind w:firstLine="560" w:firstLineChars="200"/>
        <w:rPr>
          <w:rFonts w:ascii="Times New Roman" w:hAnsi="Times New Roman" w:eastAsia="宋体" w:cs="Times New Roman"/>
          <w:sz w:val="28"/>
          <w:szCs w:val="28"/>
        </w:rPr>
      </w:pPr>
      <w:r>
        <w:rPr>
          <w:rFonts w:hint="eastAsia" w:ascii="Times New Roman" w:hAnsi="Times New Roman" w:eastAsia="宋体" w:cs="Times New Roman"/>
          <w:sz w:val="28"/>
          <w:szCs w:val="28"/>
        </w:rPr>
        <w:t>编制组采用线上线下相结合的方式组织专题研讨会，围绕标准一次稿开展深度研讨论证。参会成员单位针对文稿存在的不足提出修改意见和优化建议，编制组汇总吸纳各方意见，对标准文本进行系统修改完善，最终形成《地表水新污染物监测技术规范》（</w:t>
      </w:r>
      <w:r>
        <w:rPr>
          <w:rFonts w:hint="eastAsia" w:ascii="Times New Roman" w:hAnsi="Times New Roman" w:eastAsia="宋体" w:cs="Times New Roman"/>
          <w:sz w:val="28"/>
          <w:szCs w:val="28"/>
          <w:lang w:val="en-US" w:eastAsia="zh-CN"/>
        </w:rPr>
        <w:t>征求意见稿</w:t>
      </w:r>
      <w:bookmarkStart w:id="24" w:name="_GoBack"/>
      <w:bookmarkEnd w:id="24"/>
      <w:r>
        <w:rPr>
          <w:rFonts w:hint="eastAsia" w:ascii="Times New Roman" w:hAnsi="Times New Roman" w:eastAsia="宋体" w:cs="Times New Roman"/>
          <w:sz w:val="28"/>
          <w:szCs w:val="28"/>
        </w:rPr>
        <w:t>）及相应编制说明。</w:t>
      </w:r>
    </w:p>
    <w:p w14:paraId="1E09454C">
      <w:pPr>
        <w:ind w:firstLine="560" w:firstLineChars="200"/>
        <w:rPr>
          <w:rFonts w:ascii="Times New Roman" w:hAnsi="Times New Roman" w:eastAsia="宋体" w:cs="Times New Roman"/>
          <w:sz w:val="28"/>
          <w:szCs w:val="28"/>
        </w:rPr>
        <w:sectPr>
          <w:pgSz w:w="11906" w:h="16838"/>
          <w:pgMar w:top="1440" w:right="1800" w:bottom="1440" w:left="1800" w:header="851" w:footer="992" w:gutter="0"/>
          <w:cols w:space="425" w:num="1"/>
          <w:docGrid w:type="lines" w:linePitch="312" w:charSpace="0"/>
        </w:sectPr>
      </w:pPr>
    </w:p>
    <w:p w14:paraId="6B63EA3D">
      <w:pPr>
        <w:autoSpaceDE w:val="0"/>
        <w:rPr>
          <w:rFonts w:ascii="宋体" w:hAnsi="宋体" w:eastAsia="宋体" w:cs="宋体"/>
          <w:sz w:val="24"/>
        </w:rPr>
      </w:pPr>
      <w:r>
        <w:rPr>
          <w:rFonts w:hint="eastAsia" w:ascii="宋体" w:hAnsi="宋体" w:eastAsia="宋体" w:cs="宋体"/>
          <w:sz w:val="24"/>
          <w:lang w:bidi="ar"/>
        </w:rPr>
        <w:t xml:space="preserve"> </w:t>
      </w:r>
    </w:p>
    <w:p w14:paraId="41E7BE12">
      <w:pPr>
        <w:outlineLvl w:val="0"/>
        <w:rPr>
          <w:rFonts w:ascii="Times New Roman" w:hAnsi="Times New Roman" w:eastAsia="宋体"/>
          <w:b/>
          <w:bCs/>
          <w:sz w:val="28"/>
        </w:rPr>
      </w:pPr>
      <w:bookmarkStart w:id="7" w:name="_Toc229157993"/>
      <w:r>
        <w:rPr>
          <w:rFonts w:hint="eastAsia" w:ascii="Times New Roman" w:hAnsi="Times New Roman" w:eastAsia="宋体"/>
          <w:b/>
          <w:bCs/>
          <w:sz w:val="28"/>
        </w:rPr>
        <w:t>3 标准编制原则与依据</w:t>
      </w:r>
      <w:bookmarkEnd w:id="7"/>
    </w:p>
    <w:p w14:paraId="2C842410">
      <w:pPr>
        <w:outlineLvl w:val="1"/>
        <w:rPr>
          <w:rFonts w:ascii="Times New Roman" w:hAnsi="Times New Roman" w:eastAsia="宋体"/>
          <w:b/>
          <w:bCs/>
          <w:sz w:val="28"/>
        </w:rPr>
      </w:pPr>
      <w:bookmarkStart w:id="8" w:name="_Toc229157994"/>
      <w:r>
        <w:rPr>
          <w:rFonts w:hint="eastAsia" w:ascii="Times New Roman" w:hAnsi="Times New Roman" w:eastAsia="宋体"/>
          <w:b/>
          <w:bCs/>
          <w:sz w:val="28"/>
        </w:rPr>
        <w:t>3.1编制原则</w:t>
      </w:r>
      <w:bookmarkEnd w:id="8"/>
    </w:p>
    <w:p w14:paraId="05C32D0C">
      <w:pPr>
        <w:spacing w:line="360" w:lineRule="atLeast"/>
        <w:jc w:val="left"/>
        <w:rPr>
          <w:rStyle w:val="13"/>
          <w:bCs/>
          <w:sz w:val="28"/>
          <w:szCs w:val="28"/>
        </w:rPr>
      </w:pPr>
      <w:r>
        <w:rPr>
          <w:rFonts w:hint="eastAsia" w:ascii="Times New Roman" w:hAnsi="Times New Roman" w:eastAsia="宋体"/>
          <w:b/>
          <w:bCs/>
          <w:sz w:val="28"/>
        </w:rPr>
        <w:t>3.1.1</w:t>
      </w:r>
      <w:r>
        <w:rPr>
          <w:rStyle w:val="13"/>
          <w:bCs/>
          <w:sz w:val="28"/>
          <w:szCs w:val="28"/>
        </w:rPr>
        <w:t>科学性原则</w:t>
      </w:r>
    </w:p>
    <w:p w14:paraId="19CAF708">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贴合新污染物痕量/超痕量、易降解、易污染特性，匹配高灵敏度分析方法，保障数据真实准确。</w:t>
      </w:r>
    </w:p>
    <w:p w14:paraId="75017A81">
      <w:pPr>
        <w:spacing w:line="360" w:lineRule="atLeast"/>
        <w:jc w:val="left"/>
        <w:rPr>
          <w:rStyle w:val="13"/>
          <w:bCs/>
          <w:sz w:val="28"/>
          <w:szCs w:val="28"/>
        </w:rPr>
      </w:pPr>
      <w:r>
        <w:rPr>
          <w:rFonts w:hint="eastAsia" w:ascii="Times New Roman" w:hAnsi="Times New Roman" w:eastAsia="宋体"/>
          <w:b/>
          <w:bCs/>
          <w:sz w:val="28"/>
        </w:rPr>
        <w:t xml:space="preserve">3.1.2 </w:t>
      </w:r>
      <w:r>
        <w:rPr>
          <w:rStyle w:val="13"/>
          <w:bCs/>
          <w:sz w:val="28"/>
          <w:szCs w:val="28"/>
        </w:rPr>
        <w:t>规范性原则</w:t>
      </w:r>
    </w:p>
    <w:p w14:paraId="58C4F2E5">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统一流程、技术参数与质控指标，确保跨区域、跨时段数据可比。</w:t>
      </w:r>
    </w:p>
    <w:p w14:paraId="65DEABE8">
      <w:pPr>
        <w:spacing w:line="360" w:lineRule="atLeast"/>
        <w:jc w:val="left"/>
        <w:rPr>
          <w:rStyle w:val="13"/>
          <w:bCs/>
          <w:sz w:val="28"/>
          <w:szCs w:val="28"/>
        </w:rPr>
      </w:pPr>
      <w:r>
        <w:rPr>
          <w:rFonts w:hint="eastAsia" w:ascii="Times New Roman" w:hAnsi="Times New Roman" w:eastAsia="宋体"/>
          <w:b/>
          <w:bCs/>
          <w:sz w:val="28"/>
        </w:rPr>
        <w:t>3.1.3</w:t>
      </w:r>
      <w:r>
        <w:rPr>
          <w:rFonts w:hint="eastAsia" w:ascii="宋体" w:hAnsi="宋体" w:eastAsia="宋体" w:cs="宋体"/>
          <w:b/>
          <w:bCs/>
          <w:sz w:val="24"/>
        </w:rPr>
        <w:t xml:space="preserve"> </w:t>
      </w:r>
      <w:r>
        <w:rPr>
          <w:rStyle w:val="13"/>
          <w:bCs/>
          <w:sz w:val="28"/>
          <w:szCs w:val="28"/>
        </w:rPr>
        <w:t>风险导向原则</w:t>
      </w:r>
    </w:p>
    <w:p w14:paraId="719A097F">
      <w:pPr>
        <w:spacing w:line="360" w:lineRule="atLeast"/>
        <w:ind w:firstLine="560" w:firstLineChars="200"/>
        <w:jc w:val="left"/>
        <w:rPr>
          <w:sz w:val="24"/>
        </w:rPr>
      </w:pPr>
      <w:r>
        <w:rPr>
          <w:rFonts w:hint="eastAsia" w:ascii="Times New Roman" w:hAnsi="Times New Roman" w:eastAsia="宋体" w:cs="Times New Roman"/>
          <w:sz w:val="28"/>
          <w:szCs w:val="28"/>
        </w:rPr>
        <w:t>优先覆盖饮用水水源地、生态保护红线、工业园区、跨界水体等敏感区域，聚焦国家重点管控新污染物。</w:t>
      </w:r>
    </w:p>
    <w:p w14:paraId="0D168130">
      <w:pPr>
        <w:spacing w:line="360" w:lineRule="atLeast"/>
        <w:jc w:val="left"/>
        <w:rPr>
          <w:rStyle w:val="13"/>
          <w:bCs/>
          <w:sz w:val="28"/>
          <w:szCs w:val="28"/>
        </w:rPr>
      </w:pPr>
      <w:r>
        <w:rPr>
          <w:rFonts w:hint="eastAsia" w:ascii="Times New Roman" w:hAnsi="Times New Roman" w:eastAsia="宋体"/>
          <w:b/>
          <w:bCs/>
          <w:sz w:val="28"/>
        </w:rPr>
        <w:t xml:space="preserve">3.1.4 </w:t>
      </w:r>
      <w:r>
        <w:rPr>
          <w:rStyle w:val="13"/>
          <w:bCs/>
          <w:sz w:val="28"/>
          <w:szCs w:val="28"/>
        </w:rPr>
        <w:t>全程质控原则</w:t>
      </w:r>
    </w:p>
    <w:p w14:paraId="58446805">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建立采样—保存—运输—前处理—分析—数据全流程可追溯质控体系。</w:t>
      </w:r>
    </w:p>
    <w:p w14:paraId="455F0E78">
      <w:pPr>
        <w:spacing w:line="360" w:lineRule="atLeast"/>
        <w:jc w:val="left"/>
        <w:rPr>
          <w:rStyle w:val="13"/>
          <w:bCs/>
          <w:sz w:val="28"/>
          <w:szCs w:val="28"/>
        </w:rPr>
      </w:pPr>
      <w:r>
        <w:rPr>
          <w:rFonts w:hint="eastAsia" w:ascii="Times New Roman" w:hAnsi="Times New Roman" w:eastAsia="宋体"/>
          <w:b/>
          <w:bCs/>
          <w:sz w:val="28"/>
        </w:rPr>
        <w:t xml:space="preserve">3.1.5 </w:t>
      </w:r>
      <w:r>
        <w:rPr>
          <w:rStyle w:val="13"/>
          <w:bCs/>
          <w:sz w:val="28"/>
          <w:szCs w:val="28"/>
        </w:rPr>
        <w:t>实用性原则</w:t>
      </w:r>
    </w:p>
    <w:p w14:paraId="2120D22D">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贴合基层监测机构能力，方法可落地、可执行、可考核。</w:t>
      </w:r>
    </w:p>
    <w:p w14:paraId="0A9023F8">
      <w:pPr>
        <w:autoSpaceDE w:val="0"/>
        <w:outlineLvl w:val="1"/>
        <w:rPr>
          <w:rFonts w:ascii="Times New Roman" w:hAnsi="Times New Roman" w:eastAsia="宋体" w:cs="Times New Roman"/>
          <w:b/>
          <w:bCs/>
          <w:sz w:val="28"/>
          <w:szCs w:val="28"/>
        </w:rPr>
      </w:pPr>
      <w:bookmarkStart w:id="9" w:name="_Toc229157995"/>
      <w:r>
        <w:rPr>
          <w:rFonts w:ascii="Times New Roman" w:hAnsi="Times New Roman" w:eastAsia="宋体" w:cs="Times New Roman"/>
          <w:b/>
          <w:bCs/>
          <w:sz w:val="28"/>
          <w:szCs w:val="28"/>
          <w:lang w:bidi="ar"/>
        </w:rPr>
        <w:t>3.2</w:t>
      </w:r>
      <w:r>
        <w:rPr>
          <w:rFonts w:hint="eastAsia" w:ascii="Times New Roman" w:hAnsi="Times New Roman" w:eastAsia="宋体" w:cs="Times New Roman"/>
          <w:b/>
          <w:bCs/>
          <w:sz w:val="28"/>
          <w:szCs w:val="28"/>
          <w:lang w:bidi="ar"/>
        </w:rPr>
        <w:t xml:space="preserve"> </w:t>
      </w:r>
      <w:r>
        <w:rPr>
          <w:rFonts w:hint="eastAsia" w:ascii="宋体" w:hAnsi="宋体" w:eastAsia="宋体" w:cs="宋体"/>
          <w:b/>
          <w:bCs/>
          <w:sz w:val="28"/>
          <w:szCs w:val="28"/>
          <w:lang w:bidi="ar"/>
        </w:rPr>
        <w:t>技术路线</w:t>
      </w:r>
      <w:bookmarkEnd w:id="9"/>
    </w:p>
    <w:p w14:paraId="67BDAD71">
      <w:pPr>
        <w:autoSpaceDE w:val="0"/>
        <w:ind w:firstLine="560" w:firstLineChars="200"/>
        <w:rPr>
          <w:rFonts w:ascii="Times New Roman" w:hAnsi="Times New Roman" w:eastAsia="宋体" w:cs="Times New Roman"/>
          <w:sz w:val="28"/>
          <w:szCs w:val="28"/>
        </w:rPr>
      </w:pPr>
      <w:r>
        <w:rPr>
          <w:rFonts w:hint="eastAsia" w:ascii="宋体" w:hAnsi="宋体" w:eastAsia="宋体" w:cs="宋体"/>
          <w:sz w:val="28"/>
          <w:szCs w:val="28"/>
          <w:lang w:bidi="ar"/>
        </w:rPr>
        <w:t>本标准制定的技术路线图如图</w:t>
      </w:r>
      <w:r>
        <w:rPr>
          <w:rFonts w:ascii="Times New Roman" w:hAnsi="Times New Roman" w:eastAsia="宋体" w:cs="Times New Roman"/>
          <w:sz w:val="28"/>
          <w:szCs w:val="28"/>
          <w:lang w:bidi="ar"/>
        </w:rPr>
        <w:t>1</w:t>
      </w:r>
      <w:r>
        <w:rPr>
          <w:rFonts w:hint="eastAsia" w:ascii="宋体" w:hAnsi="宋体" w:eastAsia="宋体" w:cs="宋体"/>
          <w:sz w:val="28"/>
          <w:szCs w:val="28"/>
          <w:lang w:bidi="ar"/>
        </w:rPr>
        <w:t>。</w:t>
      </w:r>
    </w:p>
    <w:tbl>
      <w:tblPr>
        <w:tblStyle w:val="11"/>
        <w:tblW w:w="0" w:type="auto"/>
        <w:jc w:val="center"/>
        <w:tblBorders>
          <w:top w:val="none" w:color="auto" w:sz="4" w:space="0"/>
          <w:left w:val="none" w:color="auto" w:sz="4" w:space="0"/>
          <w:bottom w:val="none" w:color="auto" w:sz="4" w:space="0"/>
          <w:right w:val="non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238DFD1">
        <w:tblPrEx>
          <w:tblBorders>
            <w:top w:val="none" w:color="auto" w:sz="4" w:space="0"/>
            <w:left w:val="none" w:color="auto" w:sz="4" w:space="0"/>
            <w:bottom w:val="none" w:color="auto" w:sz="4" w:space="0"/>
            <w:right w:val="non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tcBorders>
              <w:top w:val="nil"/>
              <w:left w:val="nil"/>
              <w:bottom w:val="nil"/>
              <w:right w:val="nil"/>
            </w:tcBorders>
            <w:shd w:val="clear" w:color="auto" w:fill="auto"/>
          </w:tcPr>
          <w:p w14:paraId="5BBB5548">
            <w:pPr>
              <w:autoSpaceDE w:val="0"/>
              <w:rPr>
                <w:rFonts w:ascii="宋体" w:hAnsi="宋体" w:eastAsia="宋体" w:cs="宋体"/>
                <w:sz w:val="24"/>
              </w:rPr>
            </w:pPr>
            <w:r>
              <w:rPr>
                <w:rFonts w:hint="eastAsia" w:ascii="宋体" w:hAnsi="宋体" w:eastAsia="宋体" w:cs="宋体"/>
                <w:sz w:val="24"/>
              </w:rPr>
              <w:drawing>
                <wp:inline distT="0" distB="0" distL="114300" distR="114300">
                  <wp:extent cx="5414645" cy="6500495"/>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6"/>
                          <a:stretch>
                            <a:fillRect/>
                          </a:stretch>
                        </pic:blipFill>
                        <pic:spPr>
                          <a:xfrm>
                            <a:off x="0" y="0"/>
                            <a:ext cx="5414645" cy="6500495"/>
                          </a:xfrm>
                          <a:prstGeom prst="rect">
                            <a:avLst/>
                          </a:prstGeom>
                        </pic:spPr>
                      </pic:pic>
                    </a:graphicData>
                  </a:graphic>
                </wp:inline>
              </w:drawing>
            </w:r>
          </w:p>
        </w:tc>
      </w:tr>
    </w:tbl>
    <w:p w14:paraId="0CEF0B95">
      <w:pPr>
        <w:autoSpaceDE w:val="0"/>
        <w:jc w:val="center"/>
        <w:rPr>
          <w:rFonts w:ascii="Times New Roman" w:hAnsi="Times New Roman" w:eastAsia="宋体" w:cs="Times New Roman"/>
          <w:b/>
          <w:bCs/>
          <w:sz w:val="28"/>
          <w:szCs w:val="28"/>
        </w:rPr>
      </w:pPr>
      <w:r>
        <w:rPr>
          <w:rFonts w:hint="eastAsia" w:ascii="宋体" w:hAnsi="宋体" w:eastAsia="宋体" w:cs="宋体"/>
          <w:b/>
          <w:bCs/>
          <w:sz w:val="28"/>
          <w:szCs w:val="28"/>
          <w:lang w:bidi="ar"/>
        </w:rPr>
        <w:t>图</w:t>
      </w:r>
      <w:r>
        <w:rPr>
          <w:rFonts w:ascii="Times New Roman" w:hAnsi="Times New Roman" w:eastAsia="宋体" w:cs="Times New Roman"/>
          <w:b/>
          <w:bCs/>
          <w:sz w:val="28"/>
          <w:szCs w:val="28"/>
          <w:lang w:bidi="ar"/>
        </w:rPr>
        <w:t xml:space="preserve">1  </w:t>
      </w:r>
      <w:r>
        <w:rPr>
          <w:rFonts w:hint="eastAsia" w:ascii="宋体" w:hAnsi="宋体" w:eastAsia="宋体" w:cs="宋体"/>
          <w:b/>
          <w:bCs/>
          <w:sz w:val="28"/>
          <w:szCs w:val="28"/>
          <w:lang w:bidi="ar"/>
        </w:rPr>
        <w:t>技术路线图</w:t>
      </w:r>
    </w:p>
    <w:p w14:paraId="37E807DC">
      <w:pPr>
        <w:outlineLvl w:val="1"/>
        <w:rPr>
          <w:rFonts w:ascii="Times New Roman" w:hAnsi="Times New Roman" w:eastAsia="宋体"/>
          <w:b/>
          <w:bCs/>
          <w:sz w:val="28"/>
        </w:rPr>
      </w:pPr>
      <w:bookmarkStart w:id="10" w:name="_Toc229157996"/>
      <w:r>
        <w:rPr>
          <w:rFonts w:hint="eastAsia" w:ascii="Times New Roman" w:hAnsi="Times New Roman" w:eastAsia="宋体"/>
          <w:b/>
          <w:bCs/>
          <w:sz w:val="28"/>
        </w:rPr>
        <w:t>3.3编制依据</w:t>
      </w:r>
      <w:bookmarkEnd w:id="10"/>
    </w:p>
    <w:p w14:paraId="6C17F3D8">
      <w:pPr>
        <w:spacing w:line="360" w:lineRule="atLeast"/>
        <w:jc w:val="left"/>
        <w:rPr>
          <w:rFonts w:ascii="Times New Roman" w:hAnsi="Times New Roman" w:eastAsia="宋体" w:cs="Times New Roman"/>
          <w:b/>
          <w:bCs/>
          <w:sz w:val="28"/>
          <w:szCs w:val="28"/>
        </w:rPr>
      </w:pPr>
      <w:r>
        <w:rPr>
          <w:rFonts w:hint="eastAsia" w:ascii="Times New Roman" w:hAnsi="Times New Roman" w:eastAsia="宋体"/>
          <w:b/>
          <w:bCs/>
          <w:sz w:val="28"/>
        </w:rPr>
        <w:t>3.3.1</w:t>
      </w:r>
      <w:r>
        <w:rPr>
          <w:rFonts w:hint="eastAsia" w:ascii="宋体" w:hAnsi="宋体" w:eastAsia="宋体" w:cs="宋体"/>
          <w:b/>
          <w:bCs/>
          <w:sz w:val="24"/>
        </w:rPr>
        <w:t xml:space="preserve"> </w:t>
      </w:r>
      <w:r>
        <w:rPr>
          <w:rFonts w:hint="eastAsia" w:ascii="Times New Roman" w:hAnsi="Times New Roman" w:eastAsia="宋体" w:cs="Times New Roman"/>
          <w:b/>
          <w:bCs/>
          <w:sz w:val="28"/>
          <w:szCs w:val="28"/>
        </w:rPr>
        <w:t>法律法规与政策</w:t>
      </w:r>
    </w:p>
    <w:p w14:paraId="6B3B40E2">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《中华人民共和国环境保护法》《中华人民共和国水污染防治法》《新污染物治理行动方案》《重点管控新污染物清单（2023 年版）》。</w:t>
      </w:r>
    </w:p>
    <w:p w14:paraId="2B725A4F">
      <w:pPr>
        <w:spacing w:line="360" w:lineRule="atLeast"/>
        <w:jc w:val="left"/>
        <w:rPr>
          <w:rFonts w:ascii="Times New Roman" w:hAnsi="Times New Roman" w:eastAsia="宋体"/>
          <w:b/>
          <w:bCs/>
          <w:sz w:val="28"/>
        </w:rPr>
      </w:pPr>
    </w:p>
    <w:p w14:paraId="19F6854B">
      <w:pPr>
        <w:spacing w:line="360" w:lineRule="atLeast"/>
        <w:jc w:val="left"/>
        <w:rPr>
          <w:rFonts w:ascii="Times New Roman" w:hAnsi="Times New Roman" w:eastAsia="宋体" w:cs="Times New Roman"/>
          <w:b/>
          <w:bCs/>
          <w:sz w:val="28"/>
          <w:szCs w:val="28"/>
        </w:rPr>
      </w:pPr>
      <w:r>
        <w:rPr>
          <w:rFonts w:hint="eastAsia" w:ascii="Times New Roman" w:hAnsi="Times New Roman" w:eastAsia="宋体"/>
          <w:b/>
          <w:bCs/>
          <w:sz w:val="28"/>
        </w:rPr>
        <w:t xml:space="preserve">3.3.2 </w:t>
      </w:r>
      <w:r>
        <w:rPr>
          <w:rFonts w:hint="eastAsia" w:ascii="Times New Roman" w:hAnsi="Times New Roman" w:eastAsia="宋体" w:cs="Times New Roman"/>
          <w:b/>
          <w:bCs/>
          <w:sz w:val="28"/>
          <w:szCs w:val="28"/>
        </w:rPr>
        <w:t>国家/行业标准</w:t>
      </w:r>
    </w:p>
    <w:p w14:paraId="40DABC91">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GB/T 1.1—2020、GB/T 6682、GB/T 8170、HJ 91.2、HJ 493、HJ 494、HJ 630 及相关新污染物检测方法标准。</w:t>
      </w:r>
    </w:p>
    <w:p w14:paraId="1E46EE70">
      <w:pPr>
        <w:spacing w:line="360" w:lineRule="atLeast"/>
        <w:jc w:val="left"/>
        <w:rPr>
          <w:rFonts w:ascii="Times New Roman" w:hAnsi="Times New Roman" w:eastAsia="宋体" w:cs="Times New Roman"/>
          <w:b/>
          <w:bCs/>
          <w:sz w:val="28"/>
          <w:szCs w:val="28"/>
        </w:rPr>
      </w:pPr>
      <w:r>
        <w:rPr>
          <w:rFonts w:hint="eastAsia" w:ascii="Times New Roman" w:hAnsi="Times New Roman" w:eastAsia="宋体"/>
          <w:b/>
          <w:bCs/>
          <w:sz w:val="28"/>
        </w:rPr>
        <w:t xml:space="preserve">3.3.3 </w:t>
      </w:r>
      <w:r>
        <w:rPr>
          <w:rFonts w:hint="eastAsia" w:ascii="Times New Roman" w:hAnsi="Times New Roman" w:eastAsia="宋体" w:cs="Times New Roman"/>
          <w:b/>
          <w:bCs/>
          <w:sz w:val="28"/>
          <w:szCs w:val="28"/>
        </w:rPr>
        <w:t>技术文献</w:t>
      </w:r>
    </w:p>
    <w:p w14:paraId="4312AE0F">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国内外地表水新污染物监测技术指南、痕量分析质控规范、微塑料/ PFAS专项监测技术要求。</w:t>
      </w:r>
    </w:p>
    <w:p w14:paraId="6D12BDCD">
      <w:pPr>
        <w:spacing w:line="360" w:lineRule="atLeast"/>
        <w:jc w:val="left"/>
        <w:rPr>
          <w:rFonts w:ascii="Times New Roman" w:hAnsi="Times New Roman" w:eastAsia="宋体" w:cs="Times New Roman"/>
          <w:sz w:val="28"/>
          <w:szCs w:val="28"/>
        </w:rPr>
      </w:pPr>
    </w:p>
    <w:p w14:paraId="16C786E3">
      <w:pPr>
        <w:spacing w:line="360" w:lineRule="atLeast"/>
        <w:jc w:val="left"/>
        <w:rPr>
          <w:rFonts w:ascii="Times New Roman" w:hAnsi="Times New Roman" w:eastAsia="宋体" w:cs="Times New Roman"/>
          <w:sz w:val="28"/>
          <w:szCs w:val="28"/>
        </w:rPr>
        <w:sectPr>
          <w:pgSz w:w="11906" w:h="16838"/>
          <w:pgMar w:top="1440" w:right="1800" w:bottom="1440" w:left="1800" w:header="851" w:footer="992" w:gutter="0"/>
          <w:cols w:space="425" w:num="1"/>
          <w:docGrid w:type="lines" w:linePitch="312" w:charSpace="0"/>
        </w:sectPr>
      </w:pPr>
    </w:p>
    <w:p w14:paraId="61A4C3B5">
      <w:pPr>
        <w:outlineLvl w:val="0"/>
        <w:rPr>
          <w:rFonts w:ascii="Times New Roman" w:hAnsi="Times New Roman" w:eastAsia="宋体"/>
          <w:b/>
          <w:bCs/>
          <w:sz w:val="28"/>
        </w:rPr>
      </w:pPr>
      <w:bookmarkStart w:id="11" w:name="_Toc229157997"/>
      <w:r>
        <w:rPr>
          <w:rFonts w:hint="eastAsia" w:ascii="Times New Roman" w:hAnsi="Times New Roman" w:eastAsia="宋体"/>
          <w:b/>
          <w:bCs/>
          <w:sz w:val="28"/>
        </w:rPr>
        <w:t>4 标准主要技术内容</w:t>
      </w:r>
      <w:bookmarkEnd w:id="11"/>
    </w:p>
    <w:p w14:paraId="5B98BD6C">
      <w:pPr>
        <w:outlineLvl w:val="1"/>
        <w:rPr>
          <w:rFonts w:ascii="Times New Roman" w:hAnsi="Times New Roman" w:eastAsia="宋体"/>
          <w:b/>
          <w:bCs/>
          <w:sz w:val="28"/>
        </w:rPr>
      </w:pPr>
      <w:bookmarkStart w:id="12" w:name="_Toc229157998"/>
      <w:r>
        <w:rPr>
          <w:rFonts w:hint="eastAsia" w:ascii="Times New Roman" w:hAnsi="Times New Roman" w:eastAsia="宋体"/>
          <w:b/>
          <w:bCs/>
          <w:sz w:val="28"/>
        </w:rPr>
        <w:t>4.1标准适用范围</w:t>
      </w:r>
      <w:bookmarkEnd w:id="12"/>
    </w:p>
    <w:p w14:paraId="797E58B4">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明确适用于江河、湖泊、水库、渠道等地表水环境质量手工监测，覆盖新污染物监测全流程技术要求，覆盖术语定义、监测准备、布点采样、保存运输、分析测试、质控质保、数据处理、报告编制全流程。适用于指导第三方环境检测公司为地表水中新污染物监测服务。</w:t>
      </w:r>
    </w:p>
    <w:p w14:paraId="16A49D9C">
      <w:pPr>
        <w:outlineLvl w:val="1"/>
        <w:rPr>
          <w:rFonts w:ascii="Times New Roman" w:hAnsi="Times New Roman" w:eastAsia="宋体"/>
          <w:b/>
          <w:bCs/>
          <w:sz w:val="28"/>
        </w:rPr>
      </w:pPr>
      <w:bookmarkStart w:id="13" w:name="_Toc229157999"/>
      <w:r>
        <w:rPr>
          <w:rFonts w:hint="eastAsia" w:ascii="Times New Roman" w:hAnsi="Times New Roman" w:eastAsia="宋体"/>
          <w:b/>
          <w:bCs/>
          <w:sz w:val="28"/>
        </w:rPr>
        <w:t>4.2规范性引用文件</w:t>
      </w:r>
      <w:bookmarkEnd w:id="13"/>
    </w:p>
    <w:p w14:paraId="21AE7C5C">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依据新污染物管控相关规定，针对地表水环境监测在点位布设、样品采集、分析方法制修订、方法验证与确认等环节的技术规范要求，梳理提出规范性引用文件清单。文件主要涵盖水环境监测技术规范、分析方法制修订标准及监测质量管理相关标准等类别。</w:t>
      </w:r>
    </w:p>
    <w:p w14:paraId="417F55E0">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按照标准制修订通用规则，本文件中未标注日期的引用文件，均以其后续修订、修编的现行有效版本为准；引用文件按GB、GB/T、HJ/T、公告、通知的层级顺序分类罗列：</w:t>
      </w:r>
    </w:p>
    <w:p w14:paraId="3AFDEC2D">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GB/T 6682  分析实验室用水规格和试验方法</w:t>
      </w:r>
    </w:p>
    <w:p w14:paraId="54970C6A">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GB/T 8170  数值修约规则与极限数值的表示和判定</w:t>
      </w:r>
    </w:p>
    <w:p w14:paraId="2CCD6683">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HJ/T 52  水质 河流采样技术指导</w:t>
      </w:r>
    </w:p>
    <w:p w14:paraId="7CA8BD5A">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HJ 91.2  地表水环境质量监测技术规范</w:t>
      </w:r>
    </w:p>
    <w:p w14:paraId="431AD583">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HJ 493  水质 样品的保存和管理技术规定</w:t>
      </w:r>
    </w:p>
    <w:p w14:paraId="05B25248">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HJ 494  水质 采样技术指导</w:t>
      </w:r>
    </w:p>
    <w:p w14:paraId="322E67A5">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HJ 630  环境监测质量管理技术导则</w:t>
      </w:r>
    </w:p>
    <w:p w14:paraId="60A8C219">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HJ 1192  水质 9种烷基酚类化合物和双酚A的测定 固相萃取/高效液相色谱法</w:t>
      </w:r>
    </w:p>
    <w:p w14:paraId="392B9193">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HJ 1242  水质6种邻苯二甲酸酯类化合物的测定 液相色谱-三重四极杆质谱法</w:t>
      </w:r>
    </w:p>
    <w:p w14:paraId="3F5CD44D">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HJ 1398  水质18种磺胺类抗生素和甲氧苄氨嘧啶的测定 高效液相色谱-三重四极杆质谱法</w:t>
      </w:r>
    </w:p>
    <w:p w14:paraId="7AA2741B">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HJ 1399  水质17种氟喹诺酮类抗生素的测定 高效液相色谱-三重四极杆质谱法</w:t>
      </w:r>
    </w:p>
    <w:p w14:paraId="6FA25FD6">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《新污染物治理行动方案》（国办发〔2022〕15号）</w:t>
      </w:r>
    </w:p>
    <w:p w14:paraId="5AD6962C">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《重点管控新污染物清单》（2023年版）</w:t>
      </w:r>
    </w:p>
    <w:p w14:paraId="3CEE72E3">
      <w:pPr>
        <w:outlineLvl w:val="1"/>
        <w:rPr>
          <w:rFonts w:ascii="Times New Roman" w:hAnsi="Times New Roman" w:eastAsia="宋体"/>
          <w:b/>
          <w:bCs/>
          <w:sz w:val="28"/>
        </w:rPr>
      </w:pPr>
      <w:bookmarkStart w:id="14" w:name="_Toc229158000"/>
      <w:r>
        <w:rPr>
          <w:rFonts w:hint="eastAsia" w:ascii="Times New Roman" w:hAnsi="Times New Roman" w:eastAsia="宋体"/>
          <w:b/>
          <w:bCs/>
          <w:sz w:val="28"/>
        </w:rPr>
        <w:t>4.3术语和定义</w:t>
      </w:r>
      <w:bookmarkEnd w:id="14"/>
    </w:p>
    <w:p w14:paraId="5A87E562">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规范新污染物、常规监测、专项监测核心定义，与国家新污染物治理政策保持一致，便于统一理解与执行。</w:t>
      </w:r>
    </w:p>
    <w:p w14:paraId="283967B0">
      <w:pPr>
        <w:outlineLvl w:val="1"/>
        <w:rPr>
          <w:rFonts w:ascii="Times New Roman" w:hAnsi="Times New Roman" w:eastAsia="宋体"/>
          <w:b/>
          <w:bCs/>
          <w:sz w:val="28"/>
        </w:rPr>
      </w:pPr>
      <w:bookmarkStart w:id="15" w:name="_Toc229158001"/>
      <w:r>
        <w:rPr>
          <w:rFonts w:hint="eastAsia" w:ascii="Times New Roman" w:hAnsi="Times New Roman" w:eastAsia="宋体"/>
          <w:b/>
          <w:bCs/>
          <w:sz w:val="28"/>
        </w:rPr>
        <w:t>4.4监测原则</w:t>
      </w:r>
      <w:bookmarkEnd w:id="15"/>
    </w:p>
    <w:p w14:paraId="72B62586">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坚持科学性、规范性、风险导向、全程质控原则。</w:t>
      </w:r>
    </w:p>
    <w:p w14:paraId="6AB1FAC5">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依据监测目的及技术管控要求，将地表水新污染物监测划分为常规监测、专项监测两类，并明确两类监测的功能定位与核心技术差异。其中常规监测以长期掌握区域新污染物时空分布及变化趋势为目标，实行定点、定频、定项目连续监测；专项监测聚焦污染排查、溯源解析、风险评价及治理成效评估，可灵活调整监测点位、频次与指标，并按需增补特征污染物监测内容。</w:t>
      </w:r>
    </w:p>
    <w:p w14:paraId="51201C19">
      <w:pPr>
        <w:outlineLvl w:val="1"/>
        <w:rPr>
          <w:rFonts w:ascii="Times New Roman" w:hAnsi="Times New Roman" w:eastAsia="宋体"/>
          <w:b/>
          <w:bCs/>
          <w:sz w:val="28"/>
        </w:rPr>
      </w:pPr>
      <w:bookmarkStart w:id="16" w:name="_Toc229158002"/>
      <w:r>
        <w:rPr>
          <w:rFonts w:hint="eastAsia" w:ascii="Times New Roman" w:hAnsi="Times New Roman" w:eastAsia="宋体"/>
          <w:b/>
          <w:bCs/>
          <w:sz w:val="28"/>
        </w:rPr>
        <w:t>4.5监测方案制定</w:t>
      </w:r>
      <w:bookmarkEnd w:id="16"/>
    </w:p>
    <w:p w14:paraId="5AA2AB12">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现阶段我国尚未出台新污染物专项环境质量标准及污染物排放标准，因此在开展新污染物监测工作时，监测项目设定、分析方法选取及监测方案编制，均需结合实际任务需求统筹梳理。本章立足当前新污染物监测的独有特点，对监测工作提出监测项目筛选要求，为新污染物监测工作规范有序开展提供技术指导。</w:t>
      </w:r>
    </w:p>
    <w:p w14:paraId="7460662D">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（1）监测项目筛选原则</w:t>
      </w:r>
    </w:p>
    <w:p w14:paraId="3C52DA1E">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明确新污染物监测项目需结合监测目的、区域污染特征及国家管控要求科学遴选，并根据区域污染源管控变化动态更新。划分必选、可选两类项目：必选项目优先选取重点管控清单内有水环境排放途径、配套成熟分析方法的核心物质；可选项目结合区域重点行业排放特征、环境高检出率及高生态风险物质酌情选取。</w:t>
      </w:r>
    </w:p>
    <w:p w14:paraId="01010408">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（2）监测项目分类与筛选流程</w:t>
      </w:r>
    </w:p>
    <w:p w14:paraId="7339FB84">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监测项目分为必选项目与可选项目，清单详见附录 A。必选项目为类别核心管控物质，不要求全类别强制监测；可选项目按区域实际情况动态调整。同时明确四步筛选流程：先选定区域必选基础项目，再结合产业与污染源特征增补可选特征污染物，专项监测按需增设目标污染物，最后验证分析方法可行性，确保检出限满足环境风险管控要求。</w:t>
      </w:r>
    </w:p>
    <w:p w14:paraId="04016F61">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（3）监测方案核心内容</w:t>
      </w:r>
    </w:p>
    <w:p w14:paraId="458C1DD9">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规范地表水新污染物监测方案编制框架，要求方案须明确监测目的、监测类型及分工、区域背景概况、监测项目及筛选依据、布点与采样频次时序、样品采集保存运输、分析方法与设备、质量保证与控制、数据审核及报告编制上报等关键技术内容，保障监测工作规范、完整、可落地实施。</w:t>
      </w:r>
    </w:p>
    <w:p w14:paraId="20554578">
      <w:pPr>
        <w:outlineLvl w:val="1"/>
        <w:rPr>
          <w:rFonts w:ascii="Times New Roman" w:hAnsi="Times New Roman" w:eastAsia="宋体"/>
          <w:b/>
          <w:bCs/>
          <w:sz w:val="28"/>
        </w:rPr>
      </w:pPr>
      <w:bookmarkStart w:id="17" w:name="_Toc229158003"/>
      <w:r>
        <w:rPr>
          <w:rFonts w:hint="eastAsia" w:ascii="Times New Roman" w:hAnsi="Times New Roman" w:eastAsia="宋体"/>
          <w:b/>
          <w:bCs/>
          <w:sz w:val="28"/>
        </w:rPr>
        <w:t>4.6点位布设与采样频次</w:t>
      </w:r>
      <w:bookmarkEnd w:id="17"/>
    </w:p>
    <w:p w14:paraId="4E51ADE1">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明确地表水新污染物监测布点布设及采样频次技术要求，在遵循通用布点规范基础上强化重点区域加密布点，同时结合水体功能、排污特征分类制定常规与专项监测采样频次，保障监测点位代表性与监测时序合理性。</w:t>
      </w:r>
    </w:p>
    <w:p w14:paraId="50CE2C6C">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（1）布点</w:t>
      </w:r>
    </w:p>
    <w:p w14:paraId="258DB070">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地表水新污染物监测布点以HJ91.2为基础执行，同时兼顾新污染物管控与风险评估的点位代表性要求。针对新污染物产排源周边水域，需在受纳河湖库设置上游对照断面、下游控制断面与消减断面，实现污染溯源与变化特征监控。对重点区域进行加密布点。</w:t>
      </w:r>
    </w:p>
    <w:p w14:paraId="1B14CD5B">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（2）采样频次</w:t>
      </w:r>
    </w:p>
    <w:p w14:paraId="0CE95187">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先确立采样频次制定原则：结合水体功能、水文条件及排污现状，以经济高效方式保障水样时间代表性与工作可操作性。</w:t>
      </w:r>
    </w:p>
    <w:p w14:paraId="2C305020">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常规监测：按国家、省市县不同层级断面及饮用水源地，分级设定年度最低监测次数，要求覆盖各水文期，采样避开暴雨及洪峰时段，优选水文稳定时段；</w:t>
      </w:r>
    </w:p>
    <w:p w14:paraId="09822B76">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专项监测：区分污染排查、源解析、治理效果评估、风险评估四类场景，分别明确分阶段、同步比对、治理全周期、多水期覆盖的最低监测频次与实施要求，满足不同专项工作技术需求。</w:t>
      </w:r>
    </w:p>
    <w:p w14:paraId="1DEC9D97">
      <w:pPr>
        <w:outlineLvl w:val="1"/>
        <w:rPr>
          <w:rFonts w:ascii="Times New Roman" w:hAnsi="Times New Roman" w:eastAsia="宋体"/>
          <w:b/>
          <w:bCs/>
          <w:sz w:val="28"/>
        </w:rPr>
      </w:pPr>
      <w:bookmarkStart w:id="18" w:name="_Toc229158004"/>
      <w:r>
        <w:rPr>
          <w:rFonts w:hint="eastAsia" w:ascii="Times New Roman" w:hAnsi="Times New Roman" w:eastAsia="宋体"/>
          <w:b/>
          <w:bCs/>
          <w:sz w:val="28"/>
        </w:rPr>
        <w:t>4.7样品采集、保存与运输</w:t>
      </w:r>
      <w:bookmarkEnd w:id="18"/>
    </w:p>
    <w:p w14:paraId="201056C0">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在采样准备阶段，要求采样人员明确监测任务，制定包含点位、人员、质控、安全等内容的采样计划；结合新污染物理化特性差异化选用惰性采样容器，严格区分污水与地表水采样器材，同时明确容器清洗原则与清洗要求，规避材质吸附、溶出及交叉污染问题。</w:t>
      </w:r>
    </w:p>
    <w:p w14:paraId="36F21F4D">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样品采集以HJ 91.2为基础规范采样位置与方式，要求做好现场定位、拍照及原始记录，同步测定水文水质现场参数；针对微塑料、无氟特征新污染物，分别制定专用采样材质、操作流程、防污染管控等专项采集要求。同时完善现场质控体系，明确器具空白抽检、全程序空白、现场平行样、现场加标样的采集比例与管控标准，保障采样质量。</w:t>
      </w:r>
    </w:p>
    <w:p w14:paraId="4E2BB1A4">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样品保存遵照检测方法及HJ 493规范要求，合理选用保存剂，专项污染物保存要求详见附录B。</w:t>
      </w:r>
    </w:p>
    <w:p w14:paraId="07AD1F3D">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样品运输与交接环节明确密封、冷藏、减震、避光等防护措施，规范样品标签标注、装箱及运输管控要求；严格执行实验室交接核验流程，留存可追溯记录，对异常样品及时处置，最大限度保障水样完整性、稳定性，避免样品污染、变质，确保监测数据真实可靠。</w:t>
      </w:r>
    </w:p>
    <w:p w14:paraId="03447783">
      <w:pPr>
        <w:outlineLvl w:val="1"/>
        <w:rPr>
          <w:rFonts w:ascii="Times New Roman" w:hAnsi="Times New Roman" w:eastAsia="宋体"/>
          <w:b/>
          <w:bCs/>
          <w:sz w:val="28"/>
        </w:rPr>
      </w:pPr>
      <w:bookmarkStart w:id="19" w:name="_Toc229158005"/>
      <w:r>
        <w:rPr>
          <w:rFonts w:hint="eastAsia" w:ascii="Times New Roman" w:hAnsi="Times New Roman" w:eastAsia="宋体"/>
          <w:b/>
          <w:bCs/>
          <w:sz w:val="28"/>
        </w:rPr>
        <w:t>4.8实验室分析测试</w:t>
      </w:r>
      <w:bookmarkEnd w:id="19"/>
    </w:p>
    <w:p w14:paraId="59684A1C">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明确地表水新污染物实验室分析测试相关技术规定，从实验条件、分析方法、样品前处理、仪器定性定量分析四方面进行规范化要求。</w:t>
      </w:r>
    </w:p>
    <w:p w14:paraId="0E6FD7E3">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一是明确实验室基础要求。为满足痕量分析严苛条件，对实验室进行功能分区，有机、无机分析区域分离，针对全氟化合物、微塑料等易受外源污染的特殊污染物设置独立实验空间及专用器具；同时对仪器设备、实验用水、试剂耗材及实验人员资质作出硬性规定，要求仪器定期检定校准、耗材纯度达标、人员经专项培训考核上岗，保障痕量分析基础实验条件合规可控。</w:t>
      </w:r>
    </w:p>
    <w:p w14:paraId="6D768E54">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二是确定分析方法选用原则。优先采用现行国家及行业标准分析方法，暂无标准方法时，可选用国际权威方法，并依据规范完成方法验证工作；要求方法检出限满足环境风险管控要求，区分现场快速筛查与实验室精准确证的使用场景，保障分析方法科学适用。</w:t>
      </w:r>
    </w:p>
    <w:p w14:paraId="1B0F7A57">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三是规范样品前处理技术。根据目标污染物理化性质选用适配的萃取处理方式，针对不同类型有机污染物划分前处理手段；严格管控前处理过程外源污染，配套设置方法空白、基质加标、平行样等质控措施，对易挥发、易降解污染物采取低温避光防护，对复杂水体进行基质净化，降低干扰影响。</w:t>
      </w:r>
    </w:p>
    <w:p w14:paraId="1FBF49FD">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四是统一仪器分析与定性定量要求。结合污染物类型匹配专属检测仪器，明确各类新污染物检测设备；规范校准曲线、中间浓度核查、定性判定等量化指标，严格把控分析准确度；单独制定微塑料分析判定及结果报送要求，细化形貌、粒径、成分统计内容，全面完善实验室分析质控体系，确保监测数据准确、可靠、可比。</w:t>
      </w:r>
    </w:p>
    <w:p w14:paraId="0FCD9A40">
      <w:pPr>
        <w:outlineLvl w:val="1"/>
        <w:rPr>
          <w:rFonts w:ascii="Times New Roman" w:hAnsi="Times New Roman" w:eastAsia="宋体"/>
          <w:b/>
          <w:bCs/>
          <w:sz w:val="28"/>
        </w:rPr>
      </w:pPr>
      <w:bookmarkStart w:id="20" w:name="_Toc229158006"/>
      <w:r>
        <w:rPr>
          <w:rFonts w:hint="eastAsia" w:ascii="Times New Roman" w:hAnsi="Times New Roman" w:eastAsia="宋体"/>
          <w:b/>
          <w:bCs/>
          <w:sz w:val="28"/>
        </w:rPr>
        <w:t>4.9质量保证与质量控制</w:t>
      </w:r>
      <w:bookmarkEnd w:id="20"/>
    </w:p>
    <w:p w14:paraId="52AA3241">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针对地表水新污染物监测制定全过程质量控制要求，构建现场采样、实验室分析至数据处理的完整质控体系，明确各环节质控指标、判定标准及管理要求，保障监测数据的准确性、精密性、可比性与可追溯性。</w:t>
      </w:r>
    </w:p>
    <w:p w14:paraId="698DFF38">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（1）全流程质控总体要求</w:t>
      </w:r>
    </w:p>
    <w:p w14:paraId="66080614">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本文件建立覆盖采样、保存、运输、前处理、分析及数据处理的全链条质控体系，设置关键质控节点并留存完整记录。严格规范监测执行流程，明确方法偏离需履行审批及备案手续。同时要求实验室定期开展能力验证，每年至少参加一次国家级或省级新污染物监测能力考核，确保实验室检测能力持续满足监测工作要求。</w:t>
      </w:r>
    </w:p>
    <w:p w14:paraId="2512CAA7">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（2）现场质量控制要求</w:t>
      </w:r>
    </w:p>
    <w:p w14:paraId="5FB2EA31">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为规避采样阶段污染与误差，细化多项现场质控措施：通过设置全程序空白判断现场外源污染；规定现场平行样采集比例，并针对不同浓度水平污染物及微塑料差异化设定相对偏差限值；明确现场加标比例、加标量及不同类别污染物的回收率控制范围。同时要求开展采样设备空白检验，防止器具交叉污染；采样前对仪器进行校准，严控仪器示值误差，保障采样过程规范可控。</w:t>
      </w:r>
    </w:p>
    <w:p w14:paraId="76536DDD">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（3）实验室质量控制要求</w:t>
      </w:r>
    </w:p>
    <w:p w14:paraId="4DD4BB10">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从空白管控、曲线校准、平行样、加标回收、基质效应、仪器性能六个方面规范实验室分析质控。通过方法空白、溶剂空白、仪器空白多级空白试验排查污染；严格把控标准曲线相关系数、中间浓度点偏差及标准物质核查频次；实验室平行样、基质加标执行与现场一致的偏差及回收率限值。增设基质效应评估要求，根据基质干扰强度选择合适定量方式；每次上机前开展仪器性能核查，保证仪器运行状态稳定。</w:t>
      </w:r>
    </w:p>
    <w:p w14:paraId="03F83416">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（4）数据质量控制要求</w:t>
      </w:r>
    </w:p>
    <w:p w14:paraId="2A588242">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统一数据修约、结果表示规范，明确未检出、检出未定量的数据表达形式及统计计算规则。建立异常值识别、溯源、检验及处置流程，区分过失误差异常值与统计异常值的处理原则，杜绝随意剔除数据。要求建立监测数据溯源台账，实现从原始记录到监测报告的全流程可追溯，保证监测数据真实合规、有据可查。</w:t>
      </w:r>
    </w:p>
    <w:p w14:paraId="03A3B910">
      <w:pPr>
        <w:outlineLvl w:val="1"/>
        <w:rPr>
          <w:rFonts w:ascii="Times New Roman" w:hAnsi="Times New Roman" w:eastAsia="宋体"/>
          <w:b/>
          <w:bCs/>
          <w:sz w:val="28"/>
        </w:rPr>
      </w:pPr>
      <w:bookmarkStart w:id="21" w:name="_Toc229158007"/>
      <w:r>
        <w:rPr>
          <w:rFonts w:hint="eastAsia" w:ascii="Times New Roman" w:hAnsi="Times New Roman" w:eastAsia="宋体"/>
          <w:b/>
          <w:bCs/>
          <w:sz w:val="28"/>
        </w:rPr>
        <w:t>4.10数据处理与报告编制</w:t>
      </w:r>
      <w:bookmarkEnd w:id="21"/>
    </w:p>
    <w:p w14:paraId="613E2E52">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本章统一规范新污染物监测数据处理准则，明确有效数字、近似计算、数值修约、异常值判别处理及监测结果表示等全部技术要求，均严格遵照GB/T 8170、HJ 630等现行标准执行。通过统一数据处理口径，规范数据计算、整理、判定流程，保障监测数据处理规范化、标准化，确保数据结果严谨统一、科学合规。</w:t>
      </w:r>
    </w:p>
    <w:p w14:paraId="2A7C0B36">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监测报告可分为常规监测报告与专项监测报告两类，分级明确编制框架与技术内容。常规监测报告明确基础信息、监测概况、质控数据、监测结果及评价结论五大核心模块，完整披露监测基本情况、质控有效性、污染物分布变化特征并给出合规评价。专项监测报告在常规报告基础上，增设污染源排查、污染来源解析、迁移转化规律、风险评估及管控建议等专项分析内容，深度剖析区域污染特征与污染成因，精准研判环境风险，为区域新污染物治理、环境监管及管控决策提供可靠技术依据。</w:t>
      </w:r>
    </w:p>
    <w:p w14:paraId="07725165">
      <w:pPr>
        <w:outlineLvl w:val="1"/>
        <w:rPr>
          <w:rFonts w:hint="eastAsia" w:ascii="Times New Roman" w:hAnsi="Times New Roman" w:eastAsia="宋体"/>
          <w:b/>
          <w:bCs/>
          <w:sz w:val="28"/>
        </w:rPr>
      </w:pPr>
      <w:bookmarkStart w:id="22" w:name="_Toc229158008"/>
      <w:r>
        <w:rPr>
          <w:rFonts w:hint="eastAsia" w:ascii="Times New Roman" w:hAnsi="Times New Roman" w:eastAsia="宋体"/>
          <w:b/>
          <w:bCs/>
          <w:sz w:val="28"/>
        </w:rPr>
        <w:t>4.11附录设置</w:t>
      </w:r>
      <w:bookmarkEnd w:id="22"/>
    </w:p>
    <w:p w14:paraId="5F06B34D">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附录内容分为附录</w:t>
      </w:r>
      <w:r>
        <w:rPr>
          <w:rFonts w:ascii="Times New Roman" w:hAnsi="Times New Roman" w:eastAsia="宋体" w:cs="Times New Roman"/>
          <w:sz w:val="28"/>
          <w:szCs w:val="28"/>
        </w:rPr>
        <w:t>A</w:t>
      </w:r>
      <w:r>
        <w:rPr>
          <w:rFonts w:hint="eastAsia" w:ascii="Times New Roman" w:hAnsi="Times New Roman" w:eastAsia="宋体" w:cs="Times New Roman"/>
          <w:sz w:val="28"/>
          <w:szCs w:val="28"/>
        </w:rPr>
        <w:t>列明了地表水优先监测新污染物清单及推荐分析方法；附录</w:t>
      </w:r>
      <w:r>
        <w:rPr>
          <w:rFonts w:ascii="Times New Roman" w:hAnsi="Times New Roman" w:eastAsia="宋体" w:cs="Times New Roman"/>
          <w:sz w:val="28"/>
          <w:szCs w:val="28"/>
        </w:rPr>
        <w:t>B</w:t>
      </w:r>
      <w:r>
        <w:rPr>
          <w:rFonts w:hint="eastAsia" w:ascii="Times New Roman" w:hAnsi="Times New Roman" w:eastAsia="宋体" w:cs="Times New Roman"/>
          <w:sz w:val="28"/>
          <w:szCs w:val="28"/>
        </w:rPr>
        <w:t>列明了新污染物监测项目的采样要求；附录</w:t>
      </w:r>
      <w:r>
        <w:rPr>
          <w:rFonts w:ascii="Times New Roman" w:hAnsi="Times New Roman" w:eastAsia="宋体" w:cs="Times New Roman"/>
          <w:sz w:val="28"/>
          <w:szCs w:val="28"/>
        </w:rPr>
        <w:t>C</w:t>
      </w:r>
      <w:r>
        <w:rPr>
          <w:rFonts w:hint="eastAsia" w:ascii="Times New Roman" w:hAnsi="Times New Roman" w:eastAsia="宋体" w:cs="Times New Roman"/>
          <w:sz w:val="28"/>
          <w:szCs w:val="28"/>
        </w:rPr>
        <w:t>给出了地表水新污染物采样原始记录单资料性表单。</w:t>
      </w:r>
    </w:p>
    <w:p w14:paraId="30C0F9D3">
      <w:pPr>
        <w:spacing w:line="360" w:lineRule="atLeast"/>
        <w:ind w:firstLine="560" w:firstLineChars="200"/>
        <w:jc w:val="left"/>
        <w:rPr>
          <w:rFonts w:ascii="Times New Roman" w:hAnsi="Times New Roman" w:eastAsia="宋体" w:cs="Times New Roman"/>
          <w:sz w:val="28"/>
          <w:szCs w:val="28"/>
        </w:rPr>
      </w:pPr>
      <w:r>
        <w:rPr>
          <w:rFonts w:hint="eastAsia" w:ascii="Times New Roman" w:hAnsi="Times New Roman" w:eastAsia="宋体" w:cs="Times New Roman"/>
          <w:sz w:val="28"/>
          <w:szCs w:val="28"/>
        </w:rPr>
        <w:t>以上附录内容分别对应本标准文件中的“5监测方案制定”“8实验室分析测试”等章节内容进行编制。</w:t>
      </w:r>
    </w:p>
    <w:p w14:paraId="3ED233B2">
      <w:pPr>
        <w:outlineLvl w:val="0"/>
        <w:rPr>
          <w:rFonts w:ascii="Times New Roman" w:hAnsi="Times New Roman" w:eastAsia="宋体"/>
          <w:b/>
          <w:bCs/>
          <w:sz w:val="28"/>
        </w:rPr>
      </w:pPr>
      <w:bookmarkStart w:id="23" w:name="_Toc229158009"/>
      <w:r>
        <w:rPr>
          <w:rFonts w:hint="eastAsia" w:ascii="Times New Roman" w:hAnsi="Times New Roman" w:eastAsia="宋体"/>
          <w:b/>
          <w:bCs/>
          <w:sz w:val="28"/>
        </w:rPr>
        <w:t>5 实施本标准的建议</w:t>
      </w:r>
      <w:bookmarkEnd w:id="23"/>
    </w:p>
    <w:p w14:paraId="7CCEB100">
      <w:pPr>
        <w:spacing w:line="360" w:lineRule="atLeast"/>
        <w:jc w:val="left"/>
        <w:rPr>
          <w:rFonts w:hint="eastAsia" w:ascii="Times New Roman" w:hAnsi="Times New Roman" w:eastAsia="宋体" w:cs="Times New Roman"/>
          <w:sz w:val="28"/>
          <w:szCs w:val="28"/>
        </w:rPr>
      </w:pPr>
      <w:r>
        <w:rPr>
          <w:rFonts w:hint="eastAsia" w:ascii="Times New Roman" w:hAnsi="Times New Roman" w:eastAsia="宋体" w:cs="Times New Roman"/>
          <w:sz w:val="28"/>
          <w:szCs w:val="28"/>
        </w:rPr>
        <w:t>（1）建议加强本标准的宣传贯彻力度，有序开展宣贯培训、试点应用与示范推广工作，推动标准有效落地实施。</w:t>
      </w:r>
    </w:p>
    <w:p w14:paraId="27F0D802">
      <w:pPr>
        <w:numPr>
          <w:ilvl w:val="0"/>
          <w:numId w:val="0"/>
        </w:numPr>
        <w:spacing w:line="360" w:lineRule="atLeast"/>
        <w:rPr>
          <w:rFonts w:hint="eastAsia" w:ascii="Times New Roman" w:hAnsi="Times New Roman" w:eastAsia="宋体" w:cs="Times New Roman"/>
          <w:sz w:val="28"/>
          <w:szCs w:val="28"/>
        </w:rPr>
      </w:pPr>
      <w:r>
        <w:rPr>
          <w:rFonts w:ascii="宋体" w:hAnsi="宋体" w:eastAsia="宋体" w:cs="宋体"/>
          <w:sz w:val="24"/>
          <w:szCs w:val="24"/>
        </w:rPr>
        <w:t xml:space="preserve"> </w:t>
      </w:r>
      <w:r>
        <w:rPr>
          <w:rFonts w:hint="eastAsia" w:ascii="Times New Roman" w:hAnsi="Times New Roman" w:eastAsia="宋体" w:cs="Times New Roman"/>
          <w:sz w:val="28"/>
          <w:szCs w:val="28"/>
        </w:rPr>
        <w:t>（</w:t>
      </w:r>
      <w:r>
        <w:rPr>
          <w:rFonts w:hint="eastAsia" w:ascii="Times New Roman" w:hAnsi="Times New Roman" w:eastAsia="宋体" w:cs="Times New Roman"/>
          <w:sz w:val="28"/>
          <w:szCs w:val="28"/>
          <w:lang w:val="en-US" w:eastAsia="zh-CN"/>
        </w:rPr>
        <w:t>2</w:t>
      </w:r>
      <w:r>
        <w:rPr>
          <w:rFonts w:hint="eastAsia" w:ascii="Times New Roman" w:hAnsi="Times New Roman" w:eastAsia="宋体" w:cs="Times New Roman"/>
          <w:sz w:val="28"/>
          <w:szCs w:val="28"/>
        </w:rPr>
        <w:t>）建议河北工院云环境检测技术有限公司定期开展标准实施情况调研，动态掌握执行状况，持续跟踪评估实施效果；对实施过程中出现的问题及时研究解决，并根据实际需求不断修订完善，进一步提升标准的科学性、合理性、协调性与可操作性。</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F35D2A">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60BF28">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20410A">
                          <w:pPr>
                            <w:pStyle w:val="5"/>
                          </w:pPr>
                          <w:r>
                            <w:fldChar w:fldCharType="begin"/>
                          </w:r>
                          <w:r>
                            <w:instrText xml:space="preserve"> PAGE  \* MERGEFORMAT </w:instrText>
                          </w:r>
                          <w:r>
                            <w:fldChar w:fldCharType="separate"/>
                          </w:r>
                          <w:r>
                            <w:t>12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A20410A">
                    <w:pPr>
                      <w:pStyle w:val="5"/>
                    </w:pPr>
                    <w:r>
                      <w:fldChar w:fldCharType="begin"/>
                    </w:r>
                    <w:r>
                      <w:instrText xml:space="preserve"> PAGE  \* MERGEFORMAT </w:instrText>
                    </w:r>
                    <w:r>
                      <w:fldChar w:fldCharType="separate"/>
                    </w:r>
                    <w:r>
                      <w:t>12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7733C2"/>
    <w:rsid w:val="000B14FC"/>
    <w:rsid w:val="00263013"/>
    <w:rsid w:val="003C3D86"/>
    <w:rsid w:val="066D63D8"/>
    <w:rsid w:val="14FC0436"/>
    <w:rsid w:val="15171B5E"/>
    <w:rsid w:val="1755EDCF"/>
    <w:rsid w:val="1AF31D95"/>
    <w:rsid w:val="1BB43819"/>
    <w:rsid w:val="21C27B15"/>
    <w:rsid w:val="2245341D"/>
    <w:rsid w:val="254239DD"/>
    <w:rsid w:val="29143B49"/>
    <w:rsid w:val="3266374F"/>
    <w:rsid w:val="33DC6097"/>
    <w:rsid w:val="358C551A"/>
    <w:rsid w:val="37D394AC"/>
    <w:rsid w:val="37FE18D0"/>
    <w:rsid w:val="38BDE3FE"/>
    <w:rsid w:val="39E59FA0"/>
    <w:rsid w:val="3B8023C8"/>
    <w:rsid w:val="3C6F4609"/>
    <w:rsid w:val="3C7F1822"/>
    <w:rsid w:val="3D7F5320"/>
    <w:rsid w:val="3E350C46"/>
    <w:rsid w:val="3EFB7B89"/>
    <w:rsid w:val="3F5E7756"/>
    <w:rsid w:val="3F798C69"/>
    <w:rsid w:val="45EF520B"/>
    <w:rsid w:val="47DF658B"/>
    <w:rsid w:val="49A21E84"/>
    <w:rsid w:val="5670016F"/>
    <w:rsid w:val="59FB9CC4"/>
    <w:rsid w:val="5A1C45D4"/>
    <w:rsid w:val="5CCC6FF0"/>
    <w:rsid w:val="5D6902EA"/>
    <w:rsid w:val="5EF9DECA"/>
    <w:rsid w:val="60B371C8"/>
    <w:rsid w:val="69DD71FC"/>
    <w:rsid w:val="6B37EB44"/>
    <w:rsid w:val="6B4C26F3"/>
    <w:rsid w:val="6DA61743"/>
    <w:rsid w:val="6DE1B851"/>
    <w:rsid w:val="6FBBEAE2"/>
    <w:rsid w:val="6FF3E881"/>
    <w:rsid w:val="729CF8E4"/>
    <w:rsid w:val="72FF4721"/>
    <w:rsid w:val="73E43BF2"/>
    <w:rsid w:val="74C3179F"/>
    <w:rsid w:val="75F97EE4"/>
    <w:rsid w:val="76F70B5B"/>
    <w:rsid w:val="771D3195"/>
    <w:rsid w:val="778E7470"/>
    <w:rsid w:val="77FD13DA"/>
    <w:rsid w:val="77FFC47E"/>
    <w:rsid w:val="78DC37A1"/>
    <w:rsid w:val="7A7733C2"/>
    <w:rsid w:val="7B5F3521"/>
    <w:rsid w:val="7BE579E0"/>
    <w:rsid w:val="7CFED801"/>
    <w:rsid w:val="7D396EF2"/>
    <w:rsid w:val="7DF6DB2B"/>
    <w:rsid w:val="7DFFD52E"/>
    <w:rsid w:val="7E6873EC"/>
    <w:rsid w:val="7EFB32C9"/>
    <w:rsid w:val="7EFF5975"/>
    <w:rsid w:val="7EFF6304"/>
    <w:rsid w:val="7F0F479C"/>
    <w:rsid w:val="7F7F3DFB"/>
    <w:rsid w:val="7FADD9BA"/>
    <w:rsid w:val="7FB126CD"/>
    <w:rsid w:val="7FBB5D00"/>
    <w:rsid w:val="7FD950DF"/>
    <w:rsid w:val="8AFFCC78"/>
    <w:rsid w:val="97DD600D"/>
    <w:rsid w:val="AB7DF728"/>
    <w:rsid w:val="AFDE709F"/>
    <w:rsid w:val="B98F4E42"/>
    <w:rsid w:val="BA7B3246"/>
    <w:rsid w:val="BD670AAC"/>
    <w:rsid w:val="BED775C1"/>
    <w:rsid w:val="C7D7094E"/>
    <w:rsid w:val="DD7EFBBD"/>
    <w:rsid w:val="E6FF7518"/>
    <w:rsid w:val="EA7FA1AB"/>
    <w:rsid w:val="EB6D7346"/>
    <w:rsid w:val="F2BF3118"/>
    <w:rsid w:val="F69F61BB"/>
    <w:rsid w:val="F743DB26"/>
    <w:rsid w:val="F757E658"/>
    <w:rsid w:val="F97D2581"/>
    <w:rsid w:val="FB3FA962"/>
    <w:rsid w:val="FB77F609"/>
    <w:rsid w:val="FBB06852"/>
    <w:rsid w:val="FBFF1FC2"/>
    <w:rsid w:val="FD7F8AFE"/>
    <w:rsid w:val="FE3490BD"/>
    <w:rsid w:val="FF5720CE"/>
    <w:rsid w:val="FFCFB09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ind w:firstLine="560" w:firstLineChars="200"/>
      <w:outlineLvl w:val="1"/>
    </w:pPr>
    <w:rPr>
      <w:rFonts w:ascii="Times New Roman" w:hAnsi="Times New Roman"/>
      <w:sz w:val="28"/>
      <w:szCs w:val="2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alloon Text"/>
    <w:basedOn w:val="1"/>
    <w:link w:val="21"/>
    <w:qFormat/>
    <w:uiPriority w:val="0"/>
    <w:rPr>
      <w:sz w:val="18"/>
      <w:szCs w:val="1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toc 1"/>
    <w:basedOn w:val="1"/>
    <w:next w:val="1"/>
    <w:qFormat/>
    <w:uiPriority w:val="39"/>
  </w:style>
  <w:style w:type="paragraph" w:styleId="8">
    <w:name w:val="toc 2"/>
    <w:basedOn w:val="1"/>
    <w:next w:val="1"/>
    <w:qFormat/>
    <w:uiPriority w:val="39"/>
    <w:pPr>
      <w:ind w:left="420" w:leftChars="200"/>
    </w:pPr>
  </w:style>
  <w:style w:type="paragraph" w:styleId="9">
    <w:name w:val="Normal (Web)"/>
    <w:basedOn w:val="1"/>
    <w:qFormat/>
    <w:uiPriority w:val="0"/>
    <w:rPr>
      <w:sz w:val="24"/>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tcBorders>
        <w:top w:val="single" w:color="auto" w:sz="4" w:space="0"/>
        <w:left w:val="single" w:color="auto" w:sz="4" w:space="0"/>
        <w:bottom w:val="single" w:color="auto" w:sz="4" w:space="0"/>
        <w:right w:val="single" w:color="auto" w:sz="4" w:space="0"/>
      </w:tcBorders>
    </w:tcPr>
  </w:style>
  <w:style w:type="character" w:styleId="13">
    <w:name w:val="Strong"/>
    <w:basedOn w:val="12"/>
    <w:qFormat/>
    <w:uiPriority w:val="0"/>
    <w:rPr>
      <w:b/>
    </w:rPr>
  </w:style>
  <w:style w:type="character" w:styleId="14">
    <w:name w:val="Hyperlink"/>
    <w:basedOn w:val="12"/>
    <w:unhideWhenUsed/>
    <w:qFormat/>
    <w:uiPriority w:val="99"/>
    <w:rPr>
      <w:color w:val="0563C1" w:themeColor="hyperlink"/>
      <w:u w:val="single"/>
      <w14:textFill>
        <w14:solidFill>
          <w14:schemeClr w14:val="hlink"/>
        </w14:solidFill>
      </w14:textFill>
    </w:rPr>
  </w:style>
  <w:style w:type="character" w:customStyle="1" w:styleId="15">
    <w:name w:val="15"/>
    <w:basedOn w:val="12"/>
    <w:qFormat/>
    <w:uiPriority w:val="0"/>
    <w:rPr>
      <w:rFonts w:hint="default" w:ascii="Times New Roman" w:hAnsi="Times New Roman" w:cs="Times New Roman"/>
      <w:b/>
    </w:rPr>
  </w:style>
  <w:style w:type="character" w:customStyle="1" w:styleId="16">
    <w:name w:val="10"/>
    <w:basedOn w:val="12"/>
    <w:qFormat/>
    <w:uiPriority w:val="0"/>
    <w:rPr>
      <w:rFonts w:hint="default" w:ascii="Times New Roman" w:hAnsi="Times New Roman" w:cs="Times New Roman"/>
    </w:rPr>
  </w:style>
  <w:style w:type="table" w:customStyle="1" w:styleId="17">
    <w:name w:val="Table Normal"/>
    <w:basedOn w:val="10"/>
    <w:qFormat/>
    <w:uiPriority w:val="0"/>
    <w:tblPr>
      <w:tblCellMar>
        <w:left w:w="0" w:type="dxa"/>
        <w:right w:w="0" w:type="dxa"/>
      </w:tblCellMar>
    </w:tblPr>
  </w:style>
  <w:style w:type="paragraph" w:customStyle="1" w:styleId="18">
    <w:name w:val="标准文件_段"/>
    <w:basedOn w:val="1"/>
    <w:qFormat/>
    <w:uiPriority w:val="0"/>
    <w:pPr>
      <w:autoSpaceDE w:val="0"/>
      <w:autoSpaceDN w:val="0"/>
      <w:ind w:firstLine="200" w:firstLineChars="200"/>
    </w:pPr>
    <w:rPr>
      <w:rFonts w:hint="eastAsia" w:ascii="宋体" w:hAnsi="Times New Roman" w:eastAsia="宋体" w:cs="Times New Roman"/>
      <w:kern w:val="0"/>
      <w:szCs w:val="21"/>
    </w:rPr>
  </w:style>
  <w:style w:type="paragraph" w:customStyle="1" w:styleId="19">
    <w:name w:val="标准文件_章标题"/>
    <w:basedOn w:val="1"/>
    <w:qFormat/>
    <w:uiPriority w:val="0"/>
    <w:pPr>
      <w:spacing w:before="100" w:beforeLines="100" w:after="100" w:afterLines="100"/>
      <w:outlineLvl w:val="0"/>
    </w:pPr>
    <w:rPr>
      <w:rFonts w:ascii="黑体" w:hAnsi="Times New Roman" w:eastAsia="黑体" w:cs="Times New Roman"/>
      <w:kern w:val="0"/>
      <w:szCs w:val="21"/>
    </w:rPr>
  </w:style>
  <w:style w:type="paragraph" w:customStyle="1" w:styleId="20">
    <w:name w:val="标准文件_附录标识"/>
    <w:basedOn w:val="1"/>
    <w:qFormat/>
    <w:uiPriority w:val="0"/>
    <w:pPr>
      <w:shd w:val="clear" w:color="auto" w:fill="FFFFFF"/>
      <w:tabs>
        <w:tab w:val="left" w:pos="6406"/>
      </w:tabs>
      <w:spacing w:before="560" w:after="50" w:afterLines="50"/>
      <w:jc w:val="center"/>
      <w:outlineLvl w:val="0"/>
    </w:pPr>
    <w:rPr>
      <w:rFonts w:ascii="黑体" w:hAnsi="Times New Roman" w:eastAsia="黑体" w:cs="Times New Roman"/>
      <w:kern w:val="0"/>
      <w:szCs w:val="21"/>
    </w:rPr>
  </w:style>
  <w:style w:type="character" w:customStyle="1" w:styleId="21">
    <w:name w:val="批注框文本 Char"/>
    <w:basedOn w:val="12"/>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7431</Words>
  <Characters>7758</Characters>
  <Lines>19</Lines>
  <Paragraphs>22</Paragraphs>
  <TotalTime>5</TotalTime>
  <ScaleCrop>false</ScaleCrop>
  <LinksUpToDate>false</LinksUpToDate>
  <CharactersWithSpaces>7925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2025-07-18T23:42:00Z</dcterms:created>
  <dc:creator>zrkj2</dc:creator>
  <cp:lastModifiedBy>Administrator</cp:lastModifiedBy>
  <dcterms:modified xsi:type="dcterms:W3CDTF">2026-05-15T01:34:28Z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0FE13D3CF87E75ACD4BCFD6990FB10BA_43</vt:lpwstr>
  </property>
  <property fmtid="{D5CDD505-2E9C-101B-9397-08002B2CF9AE}" pid="4" name="KSOTemplateDocerSaveRecord">
    <vt:lpwstr>eyJoZGlkIjoiMDNhYWY5NDkxM2RmMTEzZGZmNTU2NWZjMzhkNmUxZmIiLCJ1c2VySWQiOiIxMDMyNjI0Nzg4In0=</vt:lpwstr>
  </property>
</Properties>
</file>