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155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B35D521">
            <w:pPr>
              <w:pStyle w:val="18"/>
              <w:framePr w:wrap="notBeside" w:vAnchor="page" w:hAnchor="page" w:x="1372" w:y="568"/>
              <w:tabs>
                <w:tab w:val="clear" w:pos="4153"/>
                <w:tab w:val="clear" w:pos="8306"/>
              </w:tabs>
              <w:spacing w:line="240" w:lineRule="auto"/>
              <w:jc w:val="left"/>
              <w:rPr>
                <w:rFonts w:ascii="黑体" w:hAnsi="黑体" w:eastAsia="黑体"/>
                <w:color w:val="auto"/>
                <w:sz w:val="21"/>
                <w:szCs w:val="21"/>
                <w:highlight w:val="none"/>
              </w:rPr>
            </w:pPr>
            <w:r>
              <w:rPr>
                <w:rFonts w:ascii="Times New Roman" w:hAnsi="Times New Roman" w:eastAsia="黑体"/>
                <w:color w:val="auto"/>
                <w:sz w:val="21"/>
                <w:szCs w:val="21"/>
                <w:highlight w:val="none"/>
              </w:rPr>
              <w:t>ICS</w:t>
            </w:r>
            <w:r>
              <w:rPr>
                <w:rFonts w:ascii="黑体" w:hAnsi="黑体" w:eastAsia="黑体"/>
                <w:color w:val="auto"/>
                <w:sz w:val="21"/>
                <w:szCs w:val="21"/>
                <w:highlight w:val="none"/>
              </w:rPr>
              <w:t xml:space="preserve">  </w:t>
            </w:r>
          </w:p>
        </w:tc>
        <w:tc>
          <w:tcPr>
            <w:tcW w:w="8855" w:type="dxa"/>
          </w:tcPr>
          <w:p w14:paraId="43980047">
            <w:pPr>
              <w:pStyle w:val="18"/>
              <w:framePr w:wrap="notBeside" w:vAnchor="page" w:hAnchor="page" w:x="1372" w:y="568"/>
              <w:tabs>
                <w:tab w:val="clear" w:pos="4153"/>
                <w:tab w:val="clear" w:pos="8306"/>
              </w:tabs>
              <w:spacing w:line="240" w:lineRule="auto"/>
              <w:jc w:val="both"/>
              <w:rPr>
                <w:rFonts w:ascii="黑体" w:hAnsi="黑体" w:eastAsia="黑体"/>
                <w:color w:val="auto"/>
                <w:sz w:val="21"/>
                <w:szCs w:val="21"/>
                <w:highlight w:val="none"/>
              </w:rPr>
            </w:pPr>
            <w:r>
              <w:rPr>
                <w:rFonts w:ascii="黑体" w:hAnsi="黑体" w:eastAsia="黑体"/>
                <w:color w:val="auto"/>
                <w:sz w:val="21"/>
                <w:szCs w:val="21"/>
                <w:highlight w:val="none"/>
              </w:rPr>
              <w:fldChar w:fldCharType="begin">
                <w:ffData>
                  <w:name w:val="ICS"/>
                  <w:enabled/>
                  <w:calcOnExit w:val="0"/>
                  <w:textInput>
                    <w:default w:val="点击此处添加ICS号"/>
                  </w:textInput>
                </w:ffData>
              </w:fldChar>
            </w:r>
            <w:bookmarkStart w:id="0" w:name="ICS"/>
            <w:r>
              <w:rPr>
                <w:rFonts w:ascii="黑体" w:hAnsi="黑体" w:eastAsia="黑体"/>
                <w:color w:val="auto"/>
                <w:sz w:val="21"/>
                <w:szCs w:val="21"/>
                <w:highlight w:val="none"/>
              </w:rPr>
              <w:instrText xml:space="preserve"> FORMTEXT </w:instrText>
            </w:r>
            <w:r>
              <w:rPr>
                <w:rFonts w:ascii="黑体" w:hAnsi="黑体" w:eastAsia="黑体"/>
                <w:color w:val="auto"/>
                <w:sz w:val="21"/>
                <w:szCs w:val="21"/>
                <w:highlight w:val="none"/>
              </w:rPr>
              <w:fldChar w:fldCharType="separate"/>
            </w:r>
            <w:r>
              <w:rPr>
                <w:rFonts w:hint="eastAsia" w:ascii="黑体" w:hAnsi="黑体" w:eastAsia="黑体"/>
                <w:color w:val="auto"/>
                <w:sz w:val="21"/>
                <w:szCs w:val="21"/>
                <w:highlight w:val="none"/>
              </w:rPr>
              <w:t>13.060.01</w:t>
            </w:r>
            <w:r>
              <w:rPr>
                <w:rFonts w:ascii="黑体" w:hAnsi="黑体" w:eastAsia="黑体"/>
                <w:color w:val="auto"/>
                <w:sz w:val="21"/>
                <w:szCs w:val="21"/>
                <w:highlight w:val="none"/>
              </w:rPr>
              <w:fldChar w:fldCharType="end"/>
            </w:r>
            <w:bookmarkEnd w:id="0"/>
          </w:p>
        </w:tc>
      </w:tr>
      <w:tr w14:paraId="078EF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6038F8A">
            <w:pPr>
              <w:pStyle w:val="18"/>
              <w:framePr w:wrap="notBeside" w:vAnchor="page" w:hAnchor="page" w:x="1372" w:y="568"/>
              <w:tabs>
                <w:tab w:val="clear" w:pos="4153"/>
                <w:tab w:val="clear" w:pos="8306"/>
              </w:tabs>
              <w:spacing w:before="40" w:line="240" w:lineRule="auto"/>
              <w:jc w:val="left"/>
              <w:rPr>
                <w:rFonts w:ascii="黑体" w:hAnsi="黑体" w:eastAsia="黑体"/>
                <w:color w:val="auto"/>
                <w:sz w:val="21"/>
                <w:szCs w:val="21"/>
                <w:highlight w:val="none"/>
              </w:rPr>
            </w:pPr>
            <w:r>
              <w:rPr>
                <w:rFonts w:ascii="Times New Roman" w:hAnsi="Times New Roman" w:eastAsia="黑体"/>
                <w:color w:val="auto"/>
                <w:sz w:val="21"/>
                <w:szCs w:val="21"/>
                <w:highlight w:val="none"/>
              </w:rPr>
              <w:t xml:space="preserve">CCS </w:t>
            </w:r>
            <w:r>
              <w:rPr>
                <w:rFonts w:ascii="黑体" w:hAnsi="黑体" w:eastAsia="黑体"/>
                <w:color w:val="auto"/>
                <w:sz w:val="21"/>
                <w:szCs w:val="21"/>
                <w:highlight w:val="none"/>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41D4B230">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475F8AB1">
                  <w:pPr>
                    <w:pStyle w:val="49"/>
                    <w:framePr w:wrap="notBeside" w:vAnchor="page" w:hAnchor="page" w:x="1372" w:y="568"/>
                    <w:ind w:left="420" w:right="624"/>
                    <w:rPr>
                      <w:rFonts w:ascii="宋体" w:hAnsi="宋体"/>
                      <w:color w:val="auto"/>
                      <w:sz w:val="28"/>
                      <w:szCs w:val="28"/>
                      <w:highlight w:val="none"/>
                    </w:rPr>
                  </w:pPr>
                  <w:r>
                    <w:rPr>
                      <w:color w:val="auto"/>
                      <w:highlight w:val="none"/>
                    </w:rP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color w:val="auto"/>
                      <w:highlight w:val="none"/>
                    </w:rP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color w:val="auto"/>
                      <w:sz w:val="21"/>
                      <w:szCs w:val="21"/>
                      <w:highlight w:val="none"/>
                    </w:rPr>
                    <w:t xml:space="preserve"> </w:t>
                  </w:r>
                  <w:r>
                    <w:rPr>
                      <w:color w:val="auto"/>
                      <w:highlight w:val="none"/>
                    </w:rPr>
                    <w:fldChar w:fldCharType="begin">
                      <w:ffData>
                        <w:name w:val="c1"/>
                        <w:enabled/>
                        <w:calcOnExit w:val="0"/>
                        <w:textInput>
                          <w:maxLength w:val="7"/>
                        </w:textInput>
                      </w:ffData>
                    </w:fldChar>
                  </w:r>
                  <w:bookmarkStart w:id="1" w:name="c1"/>
                  <w:r>
                    <w:rPr>
                      <w:color w:val="auto"/>
                      <w:highlight w:val="none"/>
                    </w:rPr>
                    <w:instrText xml:space="preserve"> FORMTEXT </w:instrText>
                  </w:r>
                  <w:r>
                    <w:rPr>
                      <w:color w:val="auto"/>
                      <w:highlight w:val="none"/>
                    </w:rPr>
                    <w:fldChar w:fldCharType="separate"/>
                  </w:r>
                  <w:r>
                    <w:rPr>
                      <w:rFonts w:hint="eastAsia"/>
                      <w:color w:val="auto"/>
                      <w:highlight w:val="none"/>
                    </w:rPr>
                    <w:t>XXX</w:t>
                  </w:r>
                  <w:r>
                    <w:rPr>
                      <w:color w:val="auto"/>
                      <w:highlight w:val="none"/>
                    </w:rPr>
                    <w:fldChar w:fldCharType="end"/>
                  </w:r>
                  <w:bookmarkEnd w:id="1"/>
                </w:p>
              </w:tc>
            </w:tr>
          </w:tbl>
          <w:p w14:paraId="461374B8">
            <w:pPr>
              <w:pStyle w:val="18"/>
              <w:framePr w:wrap="notBeside" w:vAnchor="page" w:hAnchor="page" w:x="1372" w:y="568"/>
              <w:tabs>
                <w:tab w:val="clear" w:pos="4153"/>
                <w:tab w:val="clear" w:pos="8306"/>
              </w:tabs>
              <w:spacing w:before="40" w:line="240" w:lineRule="auto"/>
              <w:jc w:val="left"/>
              <w:rPr>
                <w:rFonts w:ascii="黑体" w:hAnsi="黑体" w:eastAsia="黑体"/>
                <w:color w:val="auto"/>
                <w:sz w:val="21"/>
                <w:szCs w:val="21"/>
                <w:highlight w:val="none"/>
              </w:rPr>
            </w:pPr>
            <w:r>
              <w:rPr>
                <w:rFonts w:ascii="黑体" w:hAnsi="黑体" w:eastAsia="黑体"/>
                <w:color w:val="auto"/>
                <w:sz w:val="21"/>
                <w:szCs w:val="21"/>
                <w:highlight w:val="none"/>
              </w:rPr>
              <w:fldChar w:fldCharType="begin">
                <w:ffData>
                  <w:name w:val="CSDN"/>
                  <w:enabled/>
                  <w:calcOnExit w:val="0"/>
                  <w:textInput>
                    <w:default w:val="点击此处添加CCS号"/>
                  </w:textInput>
                </w:ffData>
              </w:fldChar>
            </w:r>
            <w:bookmarkStart w:id="2" w:name="CSDN"/>
            <w:r>
              <w:rPr>
                <w:rFonts w:ascii="黑体" w:hAnsi="黑体" w:eastAsia="黑体"/>
                <w:color w:val="auto"/>
                <w:sz w:val="21"/>
                <w:szCs w:val="21"/>
                <w:highlight w:val="none"/>
              </w:rPr>
              <w:instrText xml:space="preserve"> FORMTEXT </w:instrText>
            </w:r>
            <w:r>
              <w:rPr>
                <w:rFonts w:ascii="黑体" w:hAnsi="黑体" w:eastAsia="黑体"/>
                <w:color w:val="auto"/>
                <w:sz w:val="21"/>
                <w:szCs w:val="21"/>
                <w:highlight w:val="none"/>
              </w:rPr>
              <w:fldChar w:fldCharType="separate"/>
            </w:r>
            <w:r>
              <w:rPr>
                <w:rFonts w:hint="eastAsia" w:ascii="黑体" w:hAnsi="黑体" w:eastAsia="黑体"/>
                <w:color w:val="auto"/>
                <w:sz w:val="21"/>
                <w:szCs w:val="21"/>
                <w:highlight w:val="none"/>
              </w:rPr>
              <w:t xml:space="preserve">Z 10  </w:t>
            </w:r>
            <w:r>
              <w:rPr>
                <w:rFonts w:ascii="黑体" w:hAnsi="黑体" w:eastAsia="黑体"/>
                <w:color w:val="auto"/>
                <w:sz w:val="21"/>
                <w:szCs w:val="21"/>
                <w:highlight w:val="none"/>
              </w:rPr>
              <w:fldChar w:fldCharType="end"/>
            </w:r>
            <w:bookmarkEnd w:id="2"/>
          </w:p>
        </w:tc>
      </w:tr>
    </w:tbl>
    <w:p w14:paraId="510330D4">
      <w:pPr>
        <w:pStyle w:val="50"/>
        <w:framePr w:w="9639" w:h="624" w:hRule="exact" w:hSpace="181" w:vSpace="181" w:wrap="around" w:hAnchor="page" w:x="1305" w:y="2269"/>
        <w:rPr>
          <w:rFonts w:ascii="黑体" w:hAnsi="黑体" w:eastAsia="黑体"/>
          <w:b w:val="0"/>
          <w:bCs w:val="0"/>
          <w:color w:val="auto"/>
          <w:w w:val="100"/>
          <w:sz w:val="48"/>
          <w:szCs w:val="48"/>
          <w:highlight w:val="none"/>
        </w:rPr>
      </w:pPr>
      <w:bookmarkStart w:id="3" w:name="_Hlk26473981"/>
      <w:r>
        <w:rPr>
          <w:rFonts w:ascii="黑体" w:eastAsia="黑体"/>
          <w:b w:val="0"/>
          <w:color w:val="auto"/>
          <w:w w:val="100"/>
          <w:sz w:val="48"/>
          <w:highlight w:val="none"/>
        </w:rPr>
        <w:fldChar w:fldCharType="begin">
          <w:ffData>
            <w:name w:val="c2"/>
            <w:enabled/>
            <w:calcOnExit w:val="0"/>
            <w:textInput/>
          </w:ffData>
        </w:fldChar>
      </w:r>
      <w:bookmarkStart w:id="4" w:name="c2"/>
      <w:r>
        <w:rPr>
          <w:rFonts w:ascii="黑体" w:eastAsia="黑体"/>
          <w:b w:val="0"/>
          <w:color w:val="auto"/>
          <w:w w:val="100"/>
          <w:sz w:val="48"/>
          <w:highlight w:val="none"/>
        </w:rPr>
        <w:instrText xml:space="preserve"> FORMTEXT </w:instrText>
      </w:r>
      <w:r>
        <w:rPr>
          <w:rFonts w:ascii="黑体" w:eastAsia="黑体"/>
          <w:b w:val="0"/>
          <w:color w:val="auto"/>
          <w:w w:val="100"/>
          <w:sz w:val="48"/>
          <w:highlight w:val="none"/>
        </w:rPr>
        <w:fldChar w:fldCharType="separate"/>
      </w:r>
      <w:r>
        <w:rPr>
          <w:rFonts w:hint="eastAsia" w:ascii="黑体" w:eastAsia="黑体"/>
          <w:b w:val="0"/>
          <w:color w:val="auto"/>
          <w:w w:val="100"/>
          <w:sz w:val="48"/>
          <w:highlight w:val="none"/>
        </w:rPr>
        <w:t>XXX协会</w:t>
      </w:r>
      <w:r>
        <w:rPr>
          <w:rFonts w:ascii="黑体" w:eastAsia="黑体"/>
          <w:b w:val="0"/>
          <w:color w:val="auto"/>
          <w:w w:val="100"/>
          <w:sz w:val="48"/>
          <w:highlight w:val="none"/>
        </w:rPr>
        <w:fldChar w:fldCharType="end"/>
      </w:r>
      <w:bookmarkEnd w:id="4"/>
      <w:r>
        <w:rPr>
          <w:rFonts w:hint="eastAsia" w:ascii="黑体" w:eastAsia="黑体"/>
          <w:b w:val="0"/>
          <w:color w:val="auto"/>
          <w:w w:val="100"/>
          <w:sz w:val="48"/>
          <w:highlight w:val="none"/>
        </w:rPr>
        <w:t>团体</w:t>
      </w:r>
      <w:r>
        <w:rPr>
          <w:rFonts w:hint="eastAsia" w:ascii="黑体" w:hAnsi="黑体" w:eastAsia="黑体"/>
          <w:b w:val="0"/>
          <w:bCs w:val="0"/>
          <w:color w:val="auto"/>
          <w:w w:val="100"/>
          <w:sz w:val="48"/>
          <w:szCs w:val="48"/>
          <w:highlight w:val="none"/>
        </w:rPr>
        <w:t>标准</w:t>
      </w:r>
    </w:p>
    <w:bookmarkEnd w:id="3"/>
    <w:p w14:paraId="1B4A3061">
      <w:pPr>
        <w:pStyle w:val="195"/>
        <w:rPr>
          <w:color w:val="auto"/>
          <w:highlight w:val="none"/>
        </w:rPr>
      </w:pPr>
      <w:r>
        <w:rPr>
          <w:color w:val="auto"/>
          <w:highlight w:val="none"/>
        </w:rPr>
        <w:t>T/</w:t>
      </w:r>
      <w:r>
        <w:rPr>
          <w:color w:val="auto"/>
          <w:highlight w:val="none"/>
        </w:rPr>
        <w:fldChar w:fldCharType="begin">
          <w:ffData>
            <w:name w:val="文字1"/>
            <w:enabled/>
            <w:calcOnExit w:val="0"/>
            <w:textInput>
              <w:default w:val="XXX"/>
            </w:textInput>
          </w:ffData>
        </w:fldChar>
      </w:r>
      <w:bookmarkStart w:id="5" w:name="文字1"/>
      <w:r>
        <w:rPr>
          <w:color w:val="auto"/>
          <w:highlight w:val="none"/>
        </w:rPr>
        <w:instrText xml:space="preserve"> FORMTEXT </w:instrText>
      </w:r>
      <w:r>
        <w:rPr>
          <w:color w:val="auto"/>
          <w:highlight w:val="none"/>
        </w:rPr>
        <w:fldChar w:fldCharType="separate"/>
      </w:r>
      <w:r>
        <w:rPr>
          <w:color w:val="auto"/>
          <w:highlight w:val="none"/>
        </w:rPr>
        <w:t>XXX</w:t>
      </w:r>
      <w:r>
        <w:rPr>
          <w:color w:val="auto"/>
          <w:highlight w:val="none"/>
        </w:rPr>
        <w:fldChar w:fldCharType="end"/>
      </w:r>
      <w:bookmarkEnd w:id="5"/>
      <w:r>
        <w:rPr>
          <w:color w:val="auto"/>
          <w:highlight w:val="none"/>
        </w:rPr>
        <w:t xml:space="preserve"> </w:t>
      </w:r>
      <w:r>
        <w:rPr>
          <w:color w:val="auto"/>
          <w:highlight w:val="none"/>
        </w:rPr>
        <w:fldChar w:fldCharType="begin">
          <w:ffData>
            <w:name w:val="NSTD_CODE_F"/>
            <w:enabled/>
            <w:calcOnExit w:val="0"/>
            <w:textInput>
              <w:default w:val="XXXX"/>
            </w:textInput>
          </w:ffData>
        </w:fldChar>
      </w:r>
      <w:bookmarkStart w:id="6" w:name="NSTD_CODE_F"/>
      <w:r>
        <w:rPr>
          <w:color w:val="auto"/>
          <w:highlight w:val="none"/>
        </w:rPr>
        <w:instrText xml:space="preserve"> FORMTEXT </w:instrText>
      </w:r>
      <w:r>
        <w:rPr>
          <w:color w:val="auto"/>
          <w:highlight w:val="none"/>
        </w:rPr>
        <w:fldChar w:fldCharType="separate"/>
      </w:r>
      <w:r>
        <w:rPr>
          <w:color w:val="auto"/>
          <w:highlight w:val="none"/>
        </w:rPr>
        <w:t>XXXX</w:t>
      </w:r>
      <w:r>
        <w:rPr>
          <w:color w:val="auto"/>
          <w:highlight w:val="none"/>
        </w:rPr>
        <w:fldChar w:fldCharType="end"/>
      </w:r>
      <w:bookmarkEnd w:id="6"/>
      <w:r>
        <w:rPr>
          <w:rFonts w:hAnsi="黑体"/>
          <w:color w:val="auto"/>
          <w:highlight w:val="none"/>
        </w:rPr>
        <w:t>—</w:t>
      </w:r>
      <w:r>
        <w:rPr>
          <w:color w:val="auto"/>
          <w:highlight w:val="none"/>
        </w:rPr>
        <w:fldChar w:fldCharType="begin">
          <w:ffData>
            <w:name w:val="NSTD_CODE_B"/>
            <w:enabled/>
            <w:calcOnExit w:val="0"/>
            <w:textInput>
              <w:default w:val="XXXX"/>
            </w:textInput>
          </w:ffData>
        </w:fldChar>
      </w:r>
      <w:bookmarkStart w:id="7" w:name="NSTD_CODE_B"/>
      <w:r>
        <w:rPr>
          <w:color w:val="auto"/>
          <w:highlight w:val="none"/>
        </w:rPr>
        <w:instrText xml:space="preserve"> FORMTEXT </w:instrText>
      </w:r>
      <w:r>
        <w:rPr>
          <w:color w:val="auto"/>
          <w:highlight w:val="none"/>
        </w:rPr>
        <w:fldChar w:fldCharType="separate"/>
      </w:r>
      <w:r>
        <w:rPr>
          <w:color w:val="auto"/>
          <w:highlight w:val="none"/>
        </w:rPr>
        <w:t>XXXX</w:t>
      </w:r>
      <w:r>
        <w:rPr>
          <w:color w:val="auto"/>
          <w:highlight w:val="none"/>
        </w:rPr>
        <w:fldChar w:fldCharType="end"/>
      </w:r>
      <w:bookmarkEnd w:id="7"/>
    </w:p>
    <w:p w14:paraId="71B1F3AA">
      <w:pPr>
        <w:pStyle w:val="196"/>
        <w:rPr>
          <w:rFonts w:hAnsi="黑体"/>
          <w:color w:val="auto"/>
          <w:highlight w:val="none"/>
        </w:rPr>
      </w:pPr>
      <w:r>
        <w:rPr>
          <w:rFonts w:hAnsi="黑体"/>
          <w:color w:val="auto"/>
          <w:highlight w:val="none"/>
        </w:rPr>
        <w:fldChar w:fldCharType="begin">
          <w:ffData>
            <w:name w:val="OSTD_CODE"/>
            <w:enabled/>
            <w:calcOnExit w:val="0"/>
            <w:textInput/>
          </w:ffData>
        </w:fldChar>
      </w:r>
      <w:bookmarkStart w:id="8" w:name="OSTD_CODE"/>
      <w:r>
        <w:rPr>
          <w:rFonts w:hAnsi="黑体"/>
          <w:color w:val="auto"/>
          <w:highlight w:val="none"/>
        </w:rPr>
        <w:instrText xml:space="preserve"> FORMTEXT </w:instrText>
      </w:r>
      <w:r>
        <w:rPr>
          <w:rFonts w:hAnsi="黑体"/>
          <w:color w:val="auto"/>
          <w:highlight w:val="none"/>
        </w:rPr>
        <w:fldChar w:fldCharType="separate"/>
      </w:r>
      <w:r>
        <w:rPr>
          <w:rFonts w:hAnsi="黑体"/>
          <w:color w:val="auto"/>
          <w:highlight w:val="none"/>
        </w:rPr>
        <w:t>     </w:t>
      </w:r>
      <w:r>
        <w:rPr>
          <w:rFonts w:hAnsi="黑体"/>
          <w:color w:val="auto"/>
          <w:highlight w:val="none"/>
        </w:rPr>
        <w:fldChar w:fldCharType="end"/>
      </w:r>
      <w:bookmarkEnd w:id="8"/>
    </w:p>
    <w:p w14:paraId="532C974D">
      <w:pPr>
        <w:spacing w:line="240" w:lineRule="auto"/>
        <w:rPr>
          <w:rFonts w:ascii="黑体" w:hAnsi="黑体" w:eastAsia="黑体"/>
          <w:color w:val="auto"/>
          <w:kern w:val="0"/>
          <w:sz w:val="10"/>
          <w:szCs w:val="10"/>
          <w:highlight w:val="none"/>
        </w:rPr>
      </w:pPr>
      <w:r>
        <w:rPr>
          <w:rFonts w:ascii="黑体" w:hAnsi="黑体" w:eastAsia="黑体"/>
          <w:color w:val="auto"/>
          <w:kern w:val="0"/>
          <w:sz w:val="10"/>
          <w:szCs w:val="10"/>
          <w:highlight w:val="none"/>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5CA1FED">
      <w:pPr>
        <w:pStyle w:val="50"/>
        <w:framePr w:w="9639" w:h="6976" w:hRule="exact" w:hSpace="0" w:vSpace="0" w:wrap="around" w:hAnchor="page" w:y="6408"/>
        <w:jc w:val="center"/>
        <w:rPr>
          <w:rFonts w:ascii="黑体" w:hAnsi="黑体" w:eastAsia="黑体"/>
          <w:b w:val="0"/>
          <w:bCs w:val="0"/>
          <w:color w:val="auto"/>
          <w:w w:val="100"/>
          <w:highlight w:val="none"/>
        </w:rPr>
      </w:pPr>
    </w:p>
    <w:p w14:paraId="269A1F87">
      <w:pPr>
        <w:pStyle w:val="197"/>
        <w:framePr w:h="6974" w:hRule="exact" w:wrap="around" w:x="1419" w:anchorLock="1"/>
        <w:rPr>
          <w:color w:val="auto"/>
          <w:highlight w:val="none"/>
        </w:rPr>
      </w:pPr>
      <w:r>
        <w:rPr>
          <w:color w:val="auto"/>
          <w:highlight w:val="none"/>
        </w:rPr>
        <w:fldChar w:fldCharType="begin">
          <w:ffData>
            <w:name w:val="CSTD_NAME"/>
            <w:enabled/>
            <w:calcOnExit w:val="0"/>
            <w:textInput>
              <w:default w:val="点击此处添加标准名称"/>
            </w:textInput>
          </w:ffData>
        </w:fldChar>
      </w:r>
      <w:bookmarkStart w:id="9" w:name="CSTD_NAME"/>
      <w:r>
        <w:rPr>
          <w:color w:val="auto"/>
          <w:highlight w:val="none"/>
        </w:rPr>
        <w:instrText xml:space="preserve"> FORMTEXT </w:instrText>
      </w:r>
      <w:r>
        <w:rPr>
          <w:color w:val="auto"/>
          <w:highlight w:val="none"/>
        </w:rPr>
        <w:fldChar w:fldCharType="separate"/>
      </w:r>
      <w:r>
        <w:rPr>
          <w:rFonts w:hint="eastAsia"/>
          <w:color w:val="auto"/>
          <w:highlight w:val="none"/>
        </w:rPr>
        <w:t>地表水新污染物监测技术规范</w:t>
      </w:r>
      <w:r>
        <w:rPr>
          <w:color w:val="auto"/>
          <w:highlight w:val="none"/>
        </w:rPr>
        <w:fldChar w:fldCharType="end"/>
      </w:r>
      <w:bookmarkEnd w:id="9"/>
    </w:p>
    <w:p w14:paraId="59B89AC4">
      <w:pPr>
        <w:framePr w:w="9639" w:h="6974" w:hRule="exact" w:wrap="around" w:vAnchor="page" w:hAnchor="page" w:x="1419" w:y="6408" w:anchorLock="1"/>
        <w:ind w:left="-1418"/>
        <w:rPr>
          <w:color w:val="auto"/>
          <w:highlight w:val="none"/>
        </w:rPr>
      </w:pPr>
    </w:p>
    <w:p w14:paraId="0227F506">
      <w:pPr>
        <w:pStyle w:val="125"/>
        <w:framePr w:w="9639" w:h="6974" w:hRule="exact" w:wrap="around" w:vAnchor="page" w:hAnchor="page" w:x="1419" w:y="6408" w:anchorLock="1"/>
        <w:textAlignment w:val="bottom"/>
        <w:rPr>
          <w:rFonts w:eastAsia="黑体"/>
          <w:color w:val="auto"/>
          <w:szCs w:val="28"/>
          <w:highlight w:val="none"/>
        </w:rPr>
      </w:pPr>
      <w:r>
        <w:rPr>
          <w:rFonts w:eastAsia="黑体"/>
          <w:color w:val="auto"/>
          <w:szCs w:val="28"/>
          <w:highlight w:val="none"/>
        </w:rPr>
        <w:fldChar w:fldCharType="begin">
          <w:ffData>
            <w:name w:val="ESTD_NAME"/>
            <w:enabled/>
            <w:calcOnExit w:val="0"/>
            <w:textInput>
              <w:default w:val="点击此处添加标准名称的英文译名"/>
            </w:textInput>
          </w:ffData>
        </w:fldChar>
      </w:r>
      <w:bookmarkStart w:id="10" w:name="ESTD_NAME"/>
      <w:r>
        <w:rPr>
          <w:rFonts w:eastAsia="黑体"/>
          <w:color w:val="auto"/>
          <w:szCs w:val="28"/>
          <w:highlight w:val="none"/>
        </w:rPr>
        <w:instrText xml:space="preserve"> FORMTEXT </w:instrText>
      </w:r>
      <w:r>
        <w:rPr>
          <w:rFonts w:eastAsia="黑体"/>
          <w:color w:val="auto"/>
          <w:szCs w:val="28"/>
          <w:highlight w:val="none"/>
        </w:rPr>
        <w:fldChar w:fldCharType="separate"/>
      </w:r>
      <w:r>
        <w:rPr>
          <w:rFonts w:hint="eastAsia" w:eastAsia="黑体"/>
          <w:color w:val="auto"/>
          <w:szCs w:val="28"/>
          <w:highlight w:val="none"/>
        </w:rPr>
        <w:t>T</w:t>
      </w:r>
      <w:r>
        <w:rPr>
          <w:rFonts w:eastAsia="黑体"/>
          <w:color w:val="auto"/>
          <w:szCs w:val="28"/>
          <w:highlight w:val="none"/>
        </w:rPr>
        <w:t>echnical specification for monitoring of emerging contaminants in surface water</w:t>
      </w:r>
      <w:r>
        <w:rPr>
          <w:rFonts w:eastAsia="黑体"/>
          <w:color w:val="auto"/>
          <w:szCs w:val="28"/>
          <w:highlight w:val="none"/>
        </w:rPr>
        <w:fldChar w:fldCharType="end"/>
      </w:r>
      <w:bookmarkEnd w:id="10"/>
    </w:p>
    <w:p w14:paraId="00B5AB84">
      <w:pPr>
        <w:framePr w:w="9639" w:h="6974" w:hRule="exact" w:wrap="around" w:vAnchor="page" w:hAnchor="page" w:x="1419" w:y="6408" w:anchorLock="1"/>
        <w:spacing w:line="760" w:lineRule="exact"/>
        <w:ind w:left="-1418"/>
        <w:rPr>
          <w:color w:val="auto"/>
          <w:highlight w:val="none"/>
        </w:rPr>
      </w:pPr>
    </w:p>
    <w:p w14:paraId="00E36D0D">
      <w:pPr>
        <w:pStyle w:val="125"/>
        <w:framePr w:w="9639" w:h="6974" w:hRule="exact" w:wrap="around" w:vAnchor="page" w:hAnchor="page" w:x="1419" w:y="6408" w:anchorLock="1"/>
        <w:textAlignment w:val="bottom"/>
        <w:rPr>
          <w:rFonts w:eastAsia="黑体"/>
          <w:color w:val="auto"/>
          <w:szCs w:val="28"/>
          <w:highlight w:val="none"/>
        </w:rPr>
      </w:pPr>
    </w:p>
    <w:p w14:paraId="0A12BAD1">
      <w:pPr>
        <w:pStyle w:val="125"/>
        <w:framePr w:w="9639" w:h="6974" w:hRule="exact" w:wrap="around" w:vAnchor="page" w:hAnchor="page" w:x="1419" w:y="6408" w:anchorLock="1"/>
        <w:spacing w:before="440" w:after="160"/>
        <w:textAlignment w:val="bottom"/>
        <w:rPr>
          <w:rFonts w:hint="eastAsia" w:eastAsia="宋体"/>
          <w:color w:val="auto"/>
          <w:sz w:val="24"/>
          <w:szCs w:val="28"/>
          <w:highlight w:val="none"/>
          <w:lang w:eastAsia="zh-CN"/>
        </w:rPr>
      </w:pPr>
      <w:r>
        <w:rPr>
          <w:rFonts w:hint="eastAsia"/>
          <w:color w:val="auto"/>
          <w:sz w:val="24"/>
          <w:szCs w:val="28"/>
          <w:highlight w:val="none"/>
          <w:lang w:eastAsia="zh-CN"/>
        </w:rPr>
        <w:t>（</w:t>
      </w:r>
      <w:r>
        <w:rPr>
          <w:rFonts w:hint="eastAsia"/>
          <w:color w:val="auto"/>
          <w:sz w:val="24"/>
          <w:szCs w:val="28"/>
          <w:highlight w:val="none"/>
          <w:lang w:val="en-US" w:eastAsia="zh-CN"/>
        </w:rPr>
        <w:t>征求意见稿</w:t>
      </w:r>
      <w:r>
        <w:rPr>
          <w:rFonts w:hint="eastAsia"/>
          <w:color w:val="auto"/>
          <w:sz w:val="24"/>
          <w:szCs w:val="28"/>
          <w:highlight w:val="none"/>
          <w:lang w:eastAsia="zh-CN"/>
        </w:rPr>
        <w:t>）</w:t>
      </w:r>
    </w:p>
    <w:p w14:paraId="1B16C336">
      <w:pPr>
        <w:pStyle w:val="125"/>
        <w:framePr w:w="9639" w:h="6974" w:hRule="exact" w:wrap="around" w:vAnchor="page" w:hAnchor="page" w:x="1419" w:y="6408" w:anchorLock="1"/>
        <w:spacing w:before="180" w:line="240" w:lineRule="atLeast"/>
        <w:textAlignment w:val="bottom"/>
        <w:rPr>
          <w:color w:val="auto"/>
          <w:sz w:val="21"/>
          <w:szCs w:val="28"/>
          <w:highlight w:val="none"/>
        </w:rPr>
      </w:pPr>
      <w:r>
        <w:rPr>
          <w:color w:val="auto"/>
          <w:sz w:val="21"/>
          <w:szCs w:val="28"/>
          <w:highlight w:val="none"/>
        </w:rPr>
        <w:fldChar w:fldCharType="begin">
          <w:ffData>
            <w:name w:val="CMPLSH_DATE"/>
            <w:enabled/>
            <w:calcOnExit w:val="0"/>
            <w:textInput/>
          </w:ffData>
        </w:fldChar>
      </w:r>
      <w:bookmarkStart w:id="11" w:name="CMPLSH_DATE"/>
      <w:r>
        <w:rPr>
          <w:color w:val="auto"/>
          <w:sz w:val="21"/>
          <w:szCs w:val="28"/>
          <w:highlight w:val="none"/>
        </w:rPr>
        <w:instrText xml:space="preserve"> FORMTEXT </w:instrText>
      </w:r>
      <w:r>
        <w:rPr>
          <w:color w:val="auto"/>
          <w:sz w:val="21"/>
          <w:szCs w:val="28"/>
          <w:highlight w:val="none"/>
        </w:rPr>
        <w:fldChar w:fldCharType="separate"/>
      </w:r>
      <w:r>
        <w:rPr>
          <w:color w:val="auto"/>
          <w:sz w:val="21"/>
          <w:szCs w:val="28"/>
          <w:highlight w:val="none"/>
        </w:rPr>
        <w:t>     </w:t>
      </w:r>
      <w:r>
        <w:rPr>
          <w:color w:val="auto"/>
          <w:sz w:val="21"/>
          <w:szCs w:val="28"/>
          <w:highlight w:val="none"/>
        </w:rPr>
        <w:fldChar w:fldCharType="end"/>
      </w:r>
      <w:bookmarkEnd w:id="11"/>
    </w:p>
    <w:p w14:paraId="4D6D81F1">
      <w:pPr>
        <w:pStyle w:val="125"/>
        <w:framePr w:w="9639" w:h="6974" w:hRule="exact" w:wrap="around" w:vAnchor="page" w:hAnchor="page" w:x="1419" w:y="6408" w:anchorLock="1"/>
        <w:spacing w:before="720" w:beforeLines="300" w:after="72" w:afterLines="30" w:line="240" w:lineRule="auto"/>
        <w:textAlignment w:val="bottom"/>
        <w:rPr>
          <w:b/>
          <w:color w:val="auto"/>
          <w:sz w:val="21"/>
          <w:szCs w:val="28"/>
          <w:highlight w:val="none"/>
        </w:rPr>
      </w:pPr>
      <w:r>
        <w:rPr>
          <w:b/>
          <w:color w:val="auto"/>
          <w:sz w:val="21"/>
          <w:szCs w:val="28"/>
          <w:highlight w:val="none"/>
        </w:rPr>
        <w:fldChar w:fldCharType="begin">
          <w:ffData>
            <w:name w:val="下拉2"/>
            <w:enabled/>
            <w:calcOnExit w:val="0"/>
            <w:ddList>
              <w:listEntry w:val=" "/>
              <w:listEntry w:val="在提交反馈意见时，请将您知道的相关专利连同支持性文件一并附上。"/>
            </w:ddList>
          </w:ffData>
        </w:fldChar>
      </w:r>
      <w:bookmarkStart w:id="12" w:name="下拉2"/>
      <w:r>
        <w:rPr>
          <w:b/>
          <w:color w:val="auto"/>
          <w:sz w:val="21"/>
          <w:szCs w:val="28"/>
          <w:highlight w:val="none"/>
        </w:rPr>
        <w:instrText xml:space="preserve"> FORMDROPDOWN </w:instrText>
      </w:r>
      <w:r>
        <w:rPr>
          <w:b/>
          <w:color w:val="auto"/>
          <w:sz w:val="21"/>
          <w:szCs w:val="28"/>
          <w:highlight w:val="none"/>
        </w:rPr>
        <w:fldChar w:fldCharType="separate"/>
      </w:r>
      <w:r>
        <w:rPr>
          <w:b/>
          <w:color w:val="auto"/>
          <w:sz w:val="21"/>
          <w:szCs w:val="28"/>
          <w:highlight w:val="none"/>
        </w:rPr>
        <w:fldChar w:fldCharType="end"/>
      </w:r>
      <w:bookmarkEnd w:id="12"/>
    </w:p>
    <w:p w14:paraId="21BD9FC7">
      <w:pPr>
        <w:pStyle w:val="193"/>
        <w:framePr w:wrap="around" w:y="14176"/>
        <w:rPr>
          <w:color w:val="auto"/>
          <w:highlight w:val="none"/>
        </w:rPr>
      </w:pPr>
      <w:r>
        <w:rPr>
          <w:rFonts w:ascii="黑体"/>
          <w:color w:val="auto"/>
          <w:highlight w:val="none"/>
        </w:rPr>
        <w:fldChar w:fldCharType="begin">
          <w:ffData>
            <w:name w:val="PLSH_DATE_Y"/>
            <w:enabled/>
            <w:calcOnExit w:val="0"/>
            <w:textInput>
              <w:default w:val="XXXX"/>
              <w:maxLength w:val="4"/>
            </w:textInput>
          </w:ffData>
        </w:fldChar>
      </w:r>
      <w:bookmarkStart w:id="13" w:name="PLSH_DATE_Y"/>
      <w:r>
        <w:rPr>
          <w:rFonts w:ascii="黑体"/>
          <w:color w:val="auto"/>
          <w:highlight w:val="none"/>
        </w:rPr>
        <w:instrText xml:space="preserve"> FORMTEXT </w:instrText>
      </w:r>
      <w:r>
        <w:rPr>
          <w:rFonts w:ascii="黑体"/>
          <w:color w:val="auto"/>
          <w:highlight w:val="none"/>
        </w:rPr>
        <w:fldChar w:fldCharType="separate"/>
      </w:r>
      <w:r>
        <w:rPr>
          <w:rFonts w:ascii="黑体"/>
          <w:color w:val="auto"/>
          <w:highlight w:val="none"/>
        </w:rPr>
        <w:t>XXXX</w:t>
      </w:r>
      <w:r>
        <w:rPr>
          <w:rFonts w:ascii="黑体"/>
          <w:color w:val="auto"/>
          <w:highlight w:val="none"/>
        </w:rPr>
        <w:fldChar w:fldCharType="end"/>
      </w:r>
      <w:bookmarkEnd w:id="13"/>
      <w:r>
        <w:rPr>
          <w:color w:val="auto"/>
          <w:highlight w:val="none"/>
        </w:rPr>
        <w:t xml:space="preserve"> </w:t>
      </w:r>
      <w:r>
        <w:rPr>
          <w:rFonts w:ascii="黑体"/>
          <w:color w:val="auto"/>
          <w:highlight w:val="none"/>
        </w:rPr>
        <w:t>-</w:t>
      </w:r>
      <w:r>
        <w:rPr>
          <w:color w:val="auto"/>
          <w:highlight w:val="none"/>
        </w:rPr>
        <w:t xml:space="preserve"> </w:t>
      </w:r>
      <w:r>
        <w:rPr>
          <w:rFonts w:ascii="黑体"/>
          <w:color w:val="auto"/>
          <w:highlight w:val="none"/>
        </w:rPr>
        <w:fldChar w:fldCharType="begin">
          <w:ffData>
            <w:name w:val="PLSH_DATE_M"/>
            <w:enabled/>
            <w:calcOnExit w:val="0"/>
            <w:textInput>
              <w:default w:val="XX"/>
              <w:maxLength w:val="2"/>
            </w:textInput>
          </w:ffData>
        </w:fldChar>
      </w:r>
      <w:bookmarkStart w:id="14" w:name="PLSH_DATE_M"/>
      <w:r>
        <w:rPr>
          <w:rFonts w:ascii="黑体"/>
          <w:color w:val="auto"/>
          <w:highlight w:val="none"/>
        </w:rPr>
        <w:instrText xml:space="preserve"> FORMTEXT </w:instrText>
      </w:r>
      <w:r>
        <w:rPr>
          <w:rFonts w:ascii="黑体"/>
          <w:color w:val="auto"/>
          <w:highlight w:val="none"/>
        </w:rPr>
        <w:fldChar w:fldCharType="separate"/>
      </w:r>
      <w:r>
        <w:rPr>
          <w:rFonts w:ascii="黑体"/>
          <w:color w:val="auto"/>
          <w:highlight w:val="none"/>
        </w:rPr>
        <w:t>XX</w:t>
      </w:r>
      <w:r>
        <w:rPr>
          <w:rFonts w:ascii="黑体"/>
          <w:color w:val="auto"/>
          <w:highlight w:val="none"/>
        </w:rPr>
        <w:fldChar w:fldCharType="end"/>
      </w:r>
      <w:bookmarkEnd w:id="14"/>
      <w:r>
        <w:rPr>
          <w:color w:val="auto"/>
          <w:highlight w:val="none"/>
        </w:rPr>
        <w:t xml:space="preserve"> </w:t>
      </w:r>
      <w:r>
        <w:rPr>
          <w:rFonts w:ascii="黑体"/>
          <w:color w:val="auto"/>
          <w:highlight w:val="none"/>
        </w:rPr>
        <w:t>-</w:t>
      </w:r>
      <w:r>
        <w:rPr>
          <w:color w:val="auto"/>
          <w:highlight w:val="none"/>
        </w:rPr>
        <w:t xml:space="preserve"> </w:t>
      </w:r>
      <w:r>
        <w:rPr>
          <w:rFonts w:ascii="黑体"/>
          <w:color w:val="auto"/>
          <w:highlight w:val="none"/>
        </w:rPr>
        <w:fldChar w:fldCharType="begin">
          <w:ffData>
            <w:name w:val="PLSH_DATE_D"/>
            <w:enabled/>
            <w:calcOnExit w:val="0"/>
            <w:textInput>
              <w:default w:val="XX"/>
              <w:maxLength w:val="2"/>
            </w:textInput>
          </w:ffData>
        </w:fldChar>
      </w:r>
      <w:bookmarkStart w:id="15" w:name="PLSH_DATE_D"/>
      <w:r>
        <w:rPr>
          <w:rFonts w:ascii="黑体"/>
          <w:color w:val="auto"/>
          <w:highlight w:val="none"/>
        </w:rPr>
        <w:instrText xml:space="preserve"> FORMTEXT </w:instrText>
      </w:r>
      <w:r>
        <w:rPr>
          <w:rFonts w:ascii="黑体"/>
          <w:color w:val="auto"/>
          <w:highlight w:val="none"/>
        </w:rPr>
        <w:fldChar w:fldCharType="separate"/>
      </w:r>
      <w:r>
        <w:rPr>
          <w:rFonts w:ascii="黑体"/>
          <w:color w:val="auto"/>
          <w:highlight w:val="none"/>
        </w:rPr>
        <w:t>XX</w:t>
      </w:r>
      <w:r>
        <w:rPr>
          <w:rFonts w:ascii="黑体"/>
          <w:color w:val="auto"/>
          <w:highlight w:val="none"/>
        </w:rPr>
        <w:fldChar w:fldCharType="end"/>
      </w:r>
      <w:bookmarkEnd w:id="15"/>
      <w:r>
        <w:rPr>
          <w:rFonts w:hint="eastAsia"/>
          <w:color w:val="auto"/>
          <w:highlight w:val="none"/>
        </w:rPr>
        <w:t>发布</w:t>
      </w:r>
    </w:p>
    <w:p w14:paraId="20F808C0">
      <w:pPr>
        <w:pStyle w:val="194"/>
        <w:framePr w:wrap="around" w:y="14176"/>
        <w:rPr>
          <w:color w:val="auto"/>
          <w:highlight w:val="none"/>
        </w:rPr>
      </w:pPr>
      <w:r>
        <w:rPr>
          <w:rFonts w:ascii="黑体"/>
          <w:color w:val="auto"/>
          <w:highlight w:val="none"/>
        </w:rPr>
        <w:fldChar w:fldCharType="begin">
          <w:ffData>
            <w:name w:val="CROT_DATE_Y"/>
            <w:enabled/>
            <w:calcOnExit w:val="0"/>
            <w:textInput>
              <w:default w:val="XXXX"/>
              <w:maxLength w:val="4"/>
            </w:textInput>
          </w:ffData>
        </w:fldChar>
      </w:r>
      <w:bookmarkStart w:id="16" w:name="CROT_DATE_Y"/>
      <w:r>
        <w:rPr>
          <w:rFonts w:ascii="黑体"/>
          <w:color w:val="auto"/>
          <w:highlight w:val="none"/>
        </w:rPr>
        <w:instrText xml:space="preserve"> FORMTEXT </w:instrText>
      </w:r>
      <w:r>
        <w:rPr>
          <w:rFonts w:ascii="黑体"/>
          <w:color w:val="auto"/>
          <w:highlight w:val="none"/>
        </w:rPr>
        <w:fldChar w:fldCharType="separate"/>
      </w:r>
      <w:r>
        <w:rPr>
          <w:rFonts w:ascii="黑体"/>
          <w:color w:val="auto"/>
          <w:highlight w:val="none"/>
        </w:rPr>
        <w:t>XXXX</w:t>
      </w:r>
      <w:r>
        <w:rPr>
          <w:rFonts w:ascii="黑体"/>
          <w:color w:val="auto"/>
          <w:highlight w:val="none"/>
        </w:rPr>
        <w:fldChar w:fldCharType="end"/>
      </w:r>
      <w:bookmarkEnd w:id="16"/>
      <w:r>
        <w:rPr>
          <w:color w:val="auto"/>
          <w:highlight w:val="none"/>
        </w:rPr>
        <w:t xml:space="preserve"> </w:t>
      </w:r>
      <w:r>
        <w:rPr>
          <w:rFonts w:ascii="黑体"/>
          <w:color w:val="auto"/>
          <w:highlight w:val="none"/>
        </w:rPr>
        <w:t>-</w:t>
      </w:r>
      <w:r>
        <w:rPr>
          <w:color w:val="auto"/>
          <w:highlight w:val="none"/>
        </w:rPr>
        <w:t xml:space="preserve"> </w:t>
      </w:r>
      <w:r>
        <w:rPr>
          <w:rFonts w:ascii="黑体"/>
          <w:color w:val="auto"/>
          <w:highlight w:val="none"/>
        </w:rPr>
        <w:fldChar w:fldCharType="begin">
          <w:ffData>
            <w:name w:val="CROT_DATE_M"/>
            <w:enabled/>
            <w:calcOnExit w:val="0"/>
            <w:textInput>
              <w:default w:val="XX"/>
              <w:maxLength w:val="2"/>
            </w:textInput>
          </w:ffData>
        </w:fldChar>
      </w:r>
      <w:bookmarkStart w:id="17" w:name="CROT_DATE_M"/>
      <w:r>
        <w:rPr>
          <w:rFonts w:ascii="黑体"/>
          <w:color w:val="auto"/>
          <w:highlight w:val="none"/>
        </w:rPr>
        <w:instrText xml:space="preserve"> FORMTEXT </w:instrText>
      </w:r>
      <w:r>
        <w:rPr>
          <w:rFonts w:ascii="黑体"/>
          <w:color w:val="auto"/>
          <w:highlight w:val="none"/>
        </w:rPr>
        <w:fldChar w:fldCharType="separate"/>
      </w:r>
      <w:r>
        <w:rPr>
          <w:rFonts w:ascii="黑体"/>
          <w:color w:val="auto"/>
          <w:highlight w:val="none"/>
        </w:rPr>
        <w:t>XX</w:t>
      </w:r>
      <w:r>
        <w:rPr>
          <w:rFonts w:ascii="黑体"/>
          <w:color w:val="auto"/>
          <w:highlight w:val="none"/>
        </w:rPr>
        <w:fldChar w:fldCharType="end"/>
      </w:r>
      <w:bookmarkEnd w:id="17"/>
      <w:r>
        <w:rPr>
          <w:color w:val="auto"/>
          <w:highlight w:val="none"/>
        </w:rPr>
        <w:t xml:space="preserve"> </w:t>
      </w:r>
      <w:r>
        <w:rPr>
          <w:rFonts w:ascii="黑体"/>
          <w:color w:val="auto"/>
          <w:highlight w:val="none"/>
        </w:rPr>
        <w:t>-</w:t>
      </w:r>
      <w:r>
        <w:rPr>
          <w:color w:val="auto"/>
          <w:highlight w:val="none"/>
        </w:rPr>
        <w:t xml:space="preserve"> </w:t>
      </w:r>
      <w:r>
        <w:rPr>
          <w:rFonts w:ascii="黑体"/>
          <w:color w:val="auto"/>
          <w:highlight w:val="none"/>
        </w:rPr>
        <w:fldChar w:fldCharType="begin">
          <w:ffData>
            <w:name w:val="CROT_DATE_D"/>
            <w:enabled/>
            <w:calcOnExit w:val="0"/>
            <w:textInput>
              <w:default w:val="XX"/>
              <w:maxLength w:val="2"/>
            </w:textInput>
          </w:ffData>
        </w:fldChar>
      </w:r>
      <w:bookmarkStart w:id="18" w:name="CROT_DATE_D"/>
      <w:r>
        <w:rPr>
          <w:rFonts w:ascii="黑体"/>
          <w:color w:val="auto"/>
          <w:highlight w:val="none"/>
        </w:rPr>
        <w:instrText xml:space="preserve"> FORMTEXT </w:instrText>
      </w:r>
      <w:r>
        <w:rPr>
          <w:rFonts w:ascii="黑体"/>
          <w:color w:val="auto"/>
          <w:highlight w:val="none"/>
        </w:rPr>
        <w:fldChar w:fldCharType="separate"/>
      </w:r>
      <w:r>
        <w:rPr>
          <w:rFonts w:ascii="黑体"/>
          <w:color w:val="auto"/>
          <w:highlight w:val="none"/>
        </w:rPr>
        <w:t>XX</w:t>
      </w:r>
      <w:r>
        <w:rPr>
          <w:rFonts w:ascii="黑体"/>
          <w:color w:val="auto"/>
          <w:highlight w:val="none"/>
        </w:rPr>
        <w:fldChar w:fldCharType="end"/>
      </w:r>
      <w:bookmarkEnd w:id="18"/>
      <w:r>
        <w:rPr>
          <w:rFonts w:hint="eastAsia"/>
          <w:color w:val="auto"/>
          <w:highlight w:val="none"/>
        </w:rPr>
        <w:t>实施</w:t>
      </w:r>
    </w:p>
    <w:p w14:paraId="3365F44D">
      <w:pPr>
        <w:pStyle w:val="151"/>
        <w:framePr w:h="584" w:hRule="exact" w:hSpace="181" w:vSpace="181" w:wrap="around" w:y="14800"/>
        <w:rPr>
          <w:rFonts w:hAnsi="黑体"/>
          <w:color w:val="auto"/>
          <w:highlight w:val="none"/>
        </w:rPr>
      </w:pPr>
      <w:r>
        <w:rPr>
          <w:rFonts w:hAnsi="黑体"/>
          <w:color w:val="auto"/>
          <w:w w:val="100"/>
          <w:sz w:val="28"/>
          <w:highlight w:val="none"/>
        </w:rPr>
        <w:fldChar w:fldCharType="begin">
          <w:ffData>
            <w:name w:val="fm"/>
            <w:enabled/>
            <w:calcOnExit w:val="0"/>
            <w:textInput/>
          </w:ffData>
        </w:fldChar>
      </w:r>
      <w:bookmarkStart w:id="19" w:name="fm"/>
      <w:r>
        <w:rPr>
          <w:rFonts w:hAnsi="黑体"/>
          <w:color w:val="auto"/>
          <w:w w:val="100"/>
          <w:sz w:val="28"/>
          <w:highlight w:val="none"/>
        </w:rPr>
        <w:instrText xml:space="preserve"> FORMTEXT </w:instrText>
      </w:r>
      <w:r>
        <w:rPr>
          <w:rFonts w:hAnsi="黑体"/>
          <w:color w:val="auto"/>
          <w:w w:val="100"/>
          <w:sz w:val="28"/>
          <w:highlight w:val="none"/>
        </w:rPr>
        <w:fldChar w:fldCharType="separate"/>
      </w:r>
      <w:r>
        <w:rPr>
          <w:rFonts w:hint="eastAsia" w:hAnsi="黑体"/>
          <w:color w:val="auto"/>
          <w:w w:val="100"/>
          <w:sz w:val="28"/>
          <w:highlight w:val="none"/>
        </w:rPr>
        <w:t>XXX协会</w:t>
      </w:r>
      <w:r>
        <w:rPr>
          <w:rFonts w:hAnsi="黑体"/>
          <w:color w:val="auto"/>
          <w:w w:val="100"/>
          <w:sz w:val="28"/>
          <w:highlight w:val="none"/>
        </w:rPr>
        <w:fldChar w:fldCharType="end"/>
      </w:r>
      <w:bookmarkEnd w:id="19"/>
      <w:r>
        <w:rPr>
          <w:rFonts w:ascii="Times New Roman"/>
          <w:color w:val="auto"/>
          <w:w w:val="100"/>
          <w:sz w:val="28"/>
          <w:highlight w:val="none"/>
        </w:rPr>
        <w:t>  </w:t>
      </w:r>
      <w:r>
        <w:rPr>
          <w:rStyle w:val="229"/>
          <w:rFonts w:hint="eastAsia" w:hAnsi="黑体"/>
          <w:color w:val="auto"/>
          <w:position w:val="0"/>
          <w:highlight w:val="none"/>
        </w:rPr>
        <w:t>发</w:t>
      </w:r>
      <w:r>
        <w:rPr>
          <w:rStyle w:val="229"/>
          <w:rFonts w:hint="eastAsia" w:hAnsi="黑体"/>
          <w:color w:val="auto"/>
          <w:spacing w:val="0"/>
          <w:position w:val="0"/>
          <w:highlight w:val="none"/>
        </w:rPr>
        <w:t>布</w:t>
      </w:r>
    </w:p>
    <w:p w14:paraId="1DB9489C">
      <w:pPr>
        <w:rPr>
          <w:rFonts w:ascii="宋体" w:hAnsi="宋体"/>
          <w:color w:val="auto"/>
          <w:sz w:val="28"/>
          <w:szCs w:val="28"/>
          <w:highlight w:val="none"/>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color w:val="auto"/>
          <w:sz w:val="28"/>
          <w:szCs w:val="28"/>
          <w:highlight w:val="none"/>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65414D20">
      <w:pPr>
        <w:pStyle w:val="91"/>
        <w:spacing w:after="360"/>
        <w:rPr>
          <w:color w:val="auto"/>
          <w:highlight w:val="none"/>
        </w:rPr>
      </w:pPr>
      <w:bookmarkStart w:id="20" w:name="BookMark1"/>
      <w:bookmarkStart w:id="21" w:name="_Toc223795208"/>
      <w:r>
        <w:rPr>
          <w:rFonts w:hint="eastAsia"/>
          <w:color w:val="auto"/>
          <w:spacing w:val="320"/>
          <w:highlight w:val="none"/>
        </w:rPr>
        <w:t>目</w:t>
      </w:r>
      <w:r>
        <w:rPr>
          <w:rFonts w:hint="eastAsia"/>
          <w:color w:val="auto"/>
          <w:highlight w:val="none"/>
        </w:rPr>
        <w:t>次</w:t>
      </w:r>
    </w:p>
    <w:p w14:paraId="7B2E29B2">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TOC \o "1-1" \h \t "标准文件_一级条标题,2,标准文件_附录一级条标题,2," </w:instrText>
      </w:r>
      <w:r>
        <w:rPr>
          <w:color w:val="auto"/>
          <w:highlight w:val="none"/>
        </w:rPr>
        <w:fldChar w:fldCharType="separate"/>
      </w:r>
      <w:r>
        <w:rPr>
          <w:color w:val="auto"/>
          <w:highlight w:val="none"/>
        </w:rPr>
        <w:fldChar w:fldCharType="begin"/>
      </w:r>
      <w:r>
        <w:rPr>
          <w:color w:val="auto"/>
          <w:highlight w:val="none"/>
        </w:rPr>
        <w:instrText xml:space="preserve"> HYPERLINK \l "_Toc229148090" </w:instrText>
      </w:r>
      <w:r>
        <w:rPr>
          <w:color w:val="auto"/>
          <w:highlight w:val="none"/>
        </w:rPr>
        <w:fldChar w:fldCharType="separate"/>
      </w:r>
      <w:r>
        <w:rPr>
          <w:rStyle w:val="32"/>
          <w:rFonts w:hint="eastAsia"/>
          <w:color w:val="auto"/>
          <w:spacing w:val="320"/>
          <w:highlight w:val="none"/>
        </w:rPr>
        <w:t>前</w:t>
      </w:r>
      <w:r>
        <w:rPr>
          <w:rStyle w:val="32"/>
          <w:rFonts w:hint="eastAsia"/>
          <w:color w:val="auto"/>
          <w:highlight w:val="none"/>
        </w:rPr>
        <w:t>言</w:t>
      </w:r>
      <w:r>
        <w:rPr>
          <w:color w:val="auto"/>
          <w:highlight w:val="none"/>
        </w:rPr>
        <w:tab/>
      </w:r>
      <w:r>
        <w:rPr>
          <w:color w:val="auto"/>
          <w:highlight w:val="none"/>
        </w:rPr>
        <w:fldChar w:fldCharType="begin"/>
      </w:r>
      <w:r>
        <w:rPr>
          <w:color w:val="auto"/>
          <w:highlight w:val="none"/>
        </w:rPr>
        <w:instrText xml:space="preserve"> PAGEREF _Toc229148090 \h </w:instrText>
      </w:r>
      <w:r>
        <w:rPr>
          <w:color w:val="auto"/>
          <w:highlight w:val="none"/>
        </w:rPr>
        <w:fldChar w:fldCharType="separate"/>
      </w:r>
      <w:r>
        <w:rPr>
          <w:color w:val="auto"/>
          <w:highlight w:val="none"/>
        </w:rPr>
        <w:t>2</w:t>
      </w:r>
      <w:r>
        <w:rPr>
          <w:color w:val="auto"/>
          <w:highlight w:val="none"/>
        </w:rPr>
        <w:fldChar w:fldCharType="end"/>
      </w:r>
      <w:r>
        <w:rPr>
          <w:color w:val="auto"/>
          <w:highlight w:val="none"/>
        </w:rPr>
        <w:fldChar w:fldCharType="end"/>
      </w:r>
    </w:p>
    <w:p w14:paraId="580EF8EB">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"_Toc229148091" </w:instrText>
      </w:r>
      <w:r>
        <w:rPr>
          <w:color w:val="auto"/>
          <w:highlight w:val="none"/>
        </w:rPr>
        <w:fldChar w:fldCharType="separate"/>
      </w:r>
      <w:r>
        <w:rPr>
          <w:rStyle w:val="32"/>
          <w:color w:val="auto"/>
          <w:highlight w:val="none"/>
        </w:rPr>
        <w:t>1</w:t>
      </w:r>
      <w:r>
        <w:rPr>
          <w:rStyle w:val="32"/>
          <w:rFonts w:hint="eastAsia"/>
          <w:color w:val="auto"/>
          <w:highlight w:val="none"/>
        </w:rPr>
        <w:t xml:space="preserve"> 范围</w:t>
      </w:r>
      <w:r>
        <w:rPr>
          <w:color w:val="auto"/>
          <w:highlight w:val="none"/>
        </w:rPr>
        <w:tab/>
      </w:r>
      <w:r>
        <w:rPr>
          <w:color w:val="auto"/>
          <w:highlight w:val="none"/>
        </w:rPr>
        <w:fldChar w:fldCharType="begin"/>
      </w:r>
      <w:r>
        <w:rPr>
          <w:color w:val="auto"/>
          <w:highlight w:val="none"/>
        </w:rPr>
        <w:instrText xml:space="preserve"> PAGEREF _Toc229148091 \h </w:instrText>
      </w:r>
      <w:r>
        <w:rPr>
          <w:color w:val="auto"/>
          <w:highlight w:val="none"/>
        </w:rPr>
        <w:fldChar w:fldCharType="separate"/>
      </w:r>
      <w:r>
        <w:rPr>
          <w:color w:val="auto"/>
          <w:highlight w:val="none"/>
        </w:rPr>
        <w:t>3</w:t>
      </w:r>
      <w:r>
        <w:rPr>
          <w:color w:val="auto"/>
          <w:highlight w:val="none"/>
        </w:rPr>
        <w:fldChar w:fldCharType="end"/>
      </w:r>
      <w:r>
        <w:rPr>
          <w:color w:val="auto"/>
          <w:highlight w:val="none"/>
        </w:rPr>
        <w:fldChar w:fldCharType="end"/>
      </w:r>
    </w:p>
    <w:p w14:paraId="5EB1CE59">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"_Toc229148092" </w:instrText>
      </w:r>
      <w:r>
        <w:rPr>
          <w:color w:val="auto"/>
          <w:highlight w:val="none"/>
        </w:rPr>
        <w:fldChar w:fldCharType="separate"/>
      </w:r>
      <w:r>
        <w:rPr>
          <w:rStyle w:val="32"/>
          <w:color w:val="auto"/>
          <w:highlight w:val="none"/>
        </w:rPr>
        <w:t>2</w:t>
      </w:r>
      <w:r>
        <w:rPr>
          <w:rStyle w:val="32"/>
          <w:rFonts w:hint="eastAsia"/>
          <w:color w:val="auto"/>
          <w:highlight w:val="none"/>
        </w:rPr>
        <w:t xml:space="preserve"> 规范性引用文件</w:t>
      </w:r>
      <w:r>
        <w:rPr>
          <w:color w:val="auto"/>
          <w:highlight w:val="none"/>
        </w:rPr>
        <w:tab/>
      </w:r>
      <w:r>
        <w:rPr>
          <w:color w:val="auto"/>
          <w:highlight w:val="none"/>
        </w:rPr>
        <w:fldChar w:fldCharType="begin"/>
      </w:r>
      <w:r>
        <w:rPr>
          <w:color w:val="auto"/>
          <w:highlight w:val="none"/>
        </w:rPr>
        <w:instrText xml:space="preserve"> PAGEREF _Toc229148092 \h </w:instrText>
      </w:r>
      <w:r>
        <w:rPr>
          <w:color w:val="auto"/>
          <w:highlight w:val="none"/>
        </w:rPr>
        <w:fldChar w:fldCharType="separate"/>
      </w:r>
      <w:r>
        <w:rPr>
          <w:color w:val="auto"/>
          <w:highlight w:val="none"/>
        </w:rPr>
        <w:t>3</w:t>
      </w:r>
      <w:r>
        <w:rPr>
          <w:color w:val="auto"/>
          <w:highlight w:val="none"/>
        </w:rPr>
        <w:fldChar w:fldCharType="end"/>
      </w:r>
      <w:r>
        <w:rPr>
          <w:color w:val="auto"/>
          <w:highlight w:val="none"/>
        </w:rPr>
        <w:fldChar w:fldCharType="end"/>
      </w:r>
    </w:p>
    <w:p w14:paraId="7F1A19A9">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"_Toc229148093" </w:instrText>
      </w:r>
      <w:r>
        <w:rPr>
          <w:color w:val="auto"/>
          <w:highlight w:val="none"/>
        </w:rPr>
        <w:fldChar w:fldCharType="separate"/>
      </w:r>
      <w:r>
        <w:rPr>
          <w:rStyle w:val="32"/>
          <w:color w:val="auto"/>
          <w:highlight w:val="none"/>
        </w:rPr>
        <w:t>3</w:t>
      </w:r>
      <w:r>
        <w:rPr>
          <w:rStyle w:val="32"/>
          <w:rFonts w:hint="eastAsia"/>
          <w:color w:val="auto"/>
          <w:highlight w:val="none"/>
        </w:rPr>
        <w:t xml:space="preserve"> 术语和定义</w:t>
      </w:r>
      <w:r>
        <w:rPr>
          <w:color w:val="auto"/>
          <w:highlight w:val="none"/>
        </w:rPr>
        <w:tab/>
      </w:r>
      <w:r>
        <w:rPr>
          <w:color w:val="auto"/>
          <w:highlight w:val="none"/>
        </w:rPr>
        <w:fldChar w:fldCharType="begin"/>
      </w:r>
      <w:r>
        <w:rPr>
          <w:color w:val="auto"/>
          <w:highlight w:val="none"/>
        </w:rPr>
        <w:instrText xml:space="preserve"> PAGEREF _Toc229148093 \h </w:instrText>
      </w:r>
      <w:r>
        <w:rPr>
          <w:color w:val="auto"/>
          <w:highlight w:val="none"/>
        </w:rPr>
        <w:fldChar w:fldCharType="separate"/>
      </w:r>
      <w:r>
        <w:rPr>
          <w:color w:val="auto"/>
          <w:highlight w:val="none"/>
        </w:rPr>
        <w:t>3</w:t>
      </w:r>
      <w:r>
        <w:rPr>
          <w:color w:val="auto"/>
          <w:highlight w:val="none"/>
        </w:rPr>
        <w:fldChar w:fldCharType="end"/>
      </w:r>
      <w:r>
        <w:rPr>
          <w:color w:val="auto"/>
          <w:highlight w:val="none"/>
        </w:rPr>
        <w:fldChar w:fldCharType="end"/>
      </w:r>
    </w:p>
    <w:p w14:paraId="754FB6F2">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"_Toc229148094" </w:instrText>
      </w:r>
      <w:r>
        <w:rPr>
          <w:color w:val="auto"/>
          <w:highlight w:val="none"/>
        </w:rPr>
        <w:fldChar w:fldCharType="separate"/>
      </w:r>
      <w:r>
        <w:rPr>
          <w:rStyle w:val="32"/>
          <w:color w:val="auto"/>
          <w:highlight w:val="none"/>
        </w:rPr>
        <w:t>4</w:t>
      </w:r>
      <w:r>
        <w:rPr>
          <w:rStyle w:val="32"/>
          <w:rFonts w:hint="eastAsia"/>
          <w:color w:val="auto"/>
          <w:highlight w:val="none"/>
        </w:rPr>
        <w:t xml:space="preserve"> 总则</w:t>
      </w:r>
      <w:r>
        <w:rPr>
          <w:color w:val="auto"/>
          <w:highlight w:val="none"/>
        </w:rPr>
        <w:tab/>
      </w:r>
      <w:r>
        <w:rPr>
          <w:color w:val="auto"/>
          <w:highlight w:val="none"/>
        </w:rPr>
        <w:fldChar w:fldCharType="begin"/>
      </w:r>
      <w:r>
        <w:rPr>
          <w:color w:val="auto"/>
          <w:highlight w:val="none"/>
        </w:rPr>
        <w:instrText xml:space="preserve"> PAGEREF _Toc229148094 \h </w:instrText>
      </w:r>
      <w:r>
        <w:rPr>
          <w:color w:val="auto"/>
          <w:highlight w:val="none"/>
        </w:rPr>
        <w:fldChar w:fldCharType="separate"/>
      </w:r>
      <w:r>
        <w:rPr>
          <w:color w:val="auto"/>
          <w:highlight w:val="none"/>
        </w:rPr>
        <w:t>3</w:t>
      </w:r>
      <w:r>
        <w:rPr>
          <w:color w:val="auto"/>
          <w:highlight w:val="none"/>
        </w:rPr>
        <w:fldChar w:fldCharType="end"/>
      </w:r>
      <w:r>
        <w:rPr>
          <w:color w:val="auto"/>
          <w:highlight w:val="none"/>
        </w:rPr>
        <w:fldChar w:fldCharType="end"/>
      </w:r>
    </w:p>
    <w:p w14:paraId="24517170">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"_Toc229148095" </w:instrText>
      </w:r>
      <w:r>
        <w:rPr>
          <w:color w:val="auto"/>
          <w:highlight w:val="none"/>
        </w:rPr>
        <w:fldChar w:fldCharType="separate"/>
      </w:r>
      <w:r>
        <w:rPr>
          <w:rStyle w:val="32"/>
          <w:color w:val="auto"/>
          <w:highlight w:val="none"/>
          <w14:scene3d>
            <w14:lightRig w14:rig="threePt" w14:dir="t">
              <w14:rot w14:lat="0" w14:lon="0" w14:rev="0"/>
            </w14:lightRig>
          </w14:scene3d>
        </w:rPr>
        <w:t>4.1</w:t>
      </w:r>
      <w:r>
        <w:rPr>
          <w:rStyle w:val="32"/>
          <w:rFonts w:hint="eastAsia"/>
          <w:color w:val="auto"/>
          <w:highlight w:val="none"/>
        </w:rPr>
        <w:t xml:space="preserve"> 基本原则</w:t>
      </w:r>
      <w:r>
        <w:rPr>
          <w:color w:val="auto"/>
          <w:highlight w:val="none"/>
        </w:rPr>
        <w:tab/>
      </w:r>
      <w:r>
        <w:rPr>
          <w:color w:val="auto"/>
          <w:highlight w:val="none"/>
        </w:rPr>
        <w:fldChar w:fldCharType="begin"/>
      </w:r>
      <w:r>
        <w:rPr>
          <w:color w:val="auto"/>
          <w:highlight w:val="none"/>
        </w:rPr>
        <w:instrText xml:space="preserve"> PAGEREF _Toc229148095 \h </w:instrText>
      </w:r>
      <w:r>
        <w:rPr>
          <w:color w:val="auto"/>
          <w:highlight w:val="none"/>
        </w:rPr>
        <w:fldChar w:fldCharType="separate"/>
      </w:r>
      <w:r>
        <w:rPr>
          <w:color w:val="auto"/>
          <w:highlight w:val="none"/>
        </w:rPr>
        <w:t>3</w:t>
      </w:r>
      <w:r>
        <w:rPr>
          <w:color w:val="auto"/>
          <w:highlight w:val="none"/>
        </w:rPr>
        <w:fldChar w:fldCharType="end"/>
      </w:r>
      <w:r>
        <w:rPr>
          <w:color w:val="auto"/>
          <w:highlight w:val="none"/>
        </w:rPr>
        <w:fldChar w:fldCharType="end"/>
      </w:r>
    </w:p>
    <w:p w14:paraId="338DE5C9">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"_Toc229148096" </w:instrText>
      </w:r>
      <w:r>
        <w:rPr>
          <w:color w:val="auto"/>
          <w:highlight w:val="none"/>
        </w:rPr>
        <w:fldChar w:fldCharType="separate"/>
      </w:r>
      <w:r>
        <w:rPr>
          <w:rStyle w:val="32"/>
          <w:color w:val="auto"/>
          <w:highlight w:val="none"/>
          <w14:scene3d>
            <w14:lightRig w14:rig="threePt" w14:dir="t">
              <w14:rot w14:lat="0" w14:lon="0" w14:rev="0"/>
            </w14:lightRig>
          </w14:scene3d>
        </w:rPr>
        <w:t>4.2</w:t>
      </w:r>
      <w:r>
        <w:rPr>
          <w:rStyle w:val="32"/>
          <w:rFonts w:hint="eastAsia"/>
          <w:color w:val="auto"/>
          <w:highlight w:val="none"/>
        </w:rPr>
        <w:t xml:space="preserve"> 监测分类与技术定位</w:t>
      </w:r>
      <w:r>
        <w:rPr>
          <w:color w:val="auto"/>
          <w:highlight w:val="none"/>
        </w:rPr>
        <w:tab/>
      </w:r>
      <w:r>
        <w:rPr>
          <w:color w:val="auto"/>
          <w:highlight w:val="none"/>
        </w:rPr>
        <w:fldChar w:fldCharType="begin"/>
      </w:r>
      <w:r>
        <w:rPr>
          <w:color w:val="auto"/>
          <w:highlight w:val="none"/>
        </w:rPr>
        <w:instrText xml:space="preserve"> PAGEREF _Toc229148096 \h </w:instrText>
      </w:r>
      <w:r>
        <w:rPr>
          <w:color w:val="auto"/>
          <w:highlight w:val="none"/>
        </w:rPr>
        <w:fldChar w:fldCharType="separate"/>
      </w:r>
      <w:r>
        <w:rPr>
          <w:color w:val="auto"/>
          <w:highlight w:val="none"/>
        </w:rPr>
        <w:t>4</w:t>
      </w:r>
      <w:r>
        <w:rPr>
          <w:color w:val="auto"/>
          <w:highlight w:val="none"/>
        </w:rPr>
        <w:fldChar w:fldCharType="end"/>
      </w:r>
      <w:r>
        <w:rPr>
          <w:color w:val="auto"/>
          <w:highlight w:val="none"/>
        </w:rPr>
        <w:fldChar w:fldCharType="end"/>
      </w:r>
    </w:p>
    <w:p w14:paraId="562057BD">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"_Toc229148097" </w:instrText>
      </w:r>
      <w:r>
        <w:rPr>
          <w:color w:val="auto"/>
          <w:highlight w:val="none"/>
        </w:rPr>
        <w:fldChar w:fldCharType="separate"/>
      </w:r>
      <w:r>
        <w:rPr>
          <w:rStyle w:val="32"/>
          <w:color w:val="auto"/>
          <w:highlight w:val="none"/>
        </w:rPr>
        <w:t>5</w:t>
      </w:r>
      <w:r>
        <w:rPr>
          <w:rStyle w:val="32"/>
          <w:rFonts w:hint="eastAsia"/>
          <w:color w:val="auto"/>
          <w:highlight w:val="none"/>
        </w:rPr>
        <w:t xml:space="preserve"> 监测方案制定</w:t>
      </w:r>
      <w:r>
        <w:rPr>
          <w:color w:val="auto"/>
          <w:highlight w:val="none"/>
        </w:rPr>
        <w:tab/>
      </w:r>
      <w:r>
        <w:rPr>
          <w:color w:val="auto"/>
          <w:highlight w:val="none"/>
        </w:rPr>
        <w:fldChar w:fldCharType="begin"/>
      </w:r>
      <w:r>
        <w:rPr>
          <w:color w:val="auto"/>
          <w:highlight w:val="none"/>
        </w:rPr>
        <w:instrText xml:space="preserve"> PAGEREF _Toc229148097 \h </w:instrText>
      </w:r>
      <w:r>
        <w:rPr>
          <w:color w:val="auto"/>
          <w:highlight w:val="none"/>
        </w:rPr>
        <w:fldChar w:fldCharType="separate"/>
      </w:r>
      <w:r>
        <w:rPr>
          <w:color w:val="auto"/>
          <w:highlight w:val="none"/>
        </w:rPr>
        <w:t>4</w:t>
      </w:r>
      <w:r>
        <w:rPr>
          <w:color w:val="auto"/>
          <w:highlight w:val="none"/>
        </w:rPr>
        <w:fldChar w:fldCharType="end"/>
      </w:r>
      <w:r>
        <w:rPr>
          <w:color w:val="auto"/>
          <w:highlight w:val="none"/>
        </w:rPr>
        <w:fldChar w:fldCharType="end"/>
      </w:r>
    </w:p>
    <w:p w14:paraId="72121C1D">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"_Toc229148098" </w:instrText>
      </w:r>
      <w:r>
        <w:rPr>
          <w:color w:val="auto"/>
          <w:highlight w:val="none"/>
        </w:rPr>
        <w:fldChar w:fldCharType="separate"/>
      </w:r>
      <w:r>
        <w:rPr>
          <w:rStyle w:val="32"/>
          <w:color w:val="auto"/>
          <w:highlight w:val="none"/>
          <w14:scene3d>
            <w14:lightRig w14:rig="threePt" w14:dir="t">
              <w14:rot w14:lat="0" w14:lon="0" w14:rev="0"/>
            </w14:lightRig>
          </w14:scene3d>
        </w:rPr>
        <w:t>5.1</w:t>
      </w:r>
      <w:r>
        <w:rPr>
          <w:rStyle w:val="32"/>
          <w:rFonts w:hint="eastAsia"/>
          <w:color w:val="auto"/>
          <w:highlight w:val="none"/>
        </w:rPr>
        <w:t xml:space="preserve"> 监测项目筛选原则</w:t>
      </w:r>
      <w:r>
        <w:rPr>
          <w:color w:val="auto"/>
          <w:highlight w:val="none"/>
        </w:rPr>
        <w:tab/>
      </w:r>
      <w:r>
        <w:rPr>
          <w:color w:val="auto"/>
          <w:highlight w:val="none"/>
        </w:rPr>
        <w:fldChar w:fldCharType="begin"/>
      </w:r>
      <w:r>
        <w:rPr>
          <w:color w:val="auto"/>
          <w:highlight w:val="none"/>
        </w:rPr>
        <w:instrText xml:space="preserve"> PAGEREF _Toc229148098 \h </w:instrText>
      </w:r>
      <w:r>
        <w:rPr>
          <w:color w:val="auto"/>
          <w:highlight w:val="none"/>
        </w:rPr>
        <w:fldChar w:fldCharType="separate"/>
      </w:r>
      <w:r>
        <w:rPr>
          <w:color w:val="auto"/>
          <w:highlight w:val="none"/>
        </w:rPr>
        <w:t>4</w:t>
      </w:r>
      <w:r>
        <w:rPr>
          <w:color w:val="auto"/>
          <w:highlight w:val="none"/>
        </w:rPr>
        <w:fldChar w:fldCharType="end"/>
      </w:r>
      <w:r>
        <w:rPr>
          <w:color w:val="auto"/>
          <w:highlight w:val="none"/>
        </w:rPr>
        <w:fldChar w:fldCharType="end"/>
      </w:r>
    </w:p>
    <w:p w14:paraId="2C1FD461">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"_Toc229148099" </w:instrText>
      </w:r>
      <w:r>
        <w:rPr>
          <w:color w:val="auto"/>
          <w:highlight w:val="none"/>
        </w:rPr>
        <w:fldChar w:fldCharType="separate"/>
      </w:r>
      <w:r>
        <w:rPr>
          <w:rStyle w:val="32"/>
          <w:color w:val="auto"/>
          <w:highlight w:val="none"/>
          <w14:scene3d>
            <w14:lightRig w14:rig="threePt" w14:dir="t">
              <w14:rot w14:lat="0" w14:lon="0" w14:rev="0"/>
            </w14:lightRig>
          </w14:scene3d>
        </w:rPr>
        <w:t>5.2</w:t>
      </w:r>
      <w:r>
        <w:rPr>
          <w:rStyle w:val="32"/>
          <w:rFonts w:hint="eastAsia"/>
          <w:color w:val="auto"/>
          <w:highlight w:val="none"/>
        </w:rPr>
        <w:t xml:space="preserve"> 监测项目分类与筛选流程</w:t>
      </w:r>
      <w:r>
        <w:rPr>
          <w:color w:val="auto"/>
          <w:highlight w:val="none"/>
        </w:rPr>
        <w:tab/>
      </w:r>
      <w:r>
        <w:rPr>
          <w:color w:val="auto"/>
          <w:highlight w:val="none"/>
        </w:rPr>
        <w:fldChar w:fldCharType="begin"/>
      </w:r>
      <w:r>
        <w:rPr>
          <w:color w:val="auto"/>
          <w:highlight w:val="none"/>
        </w:rPr>
        <w:instrText xml:space="preserve"> PAGEREF _Toc229148099 \h </w:instrText>
      </w:r>
      <w:r>
        <w:rPr>
          <w:color w:val="auto"/>
          <w:highlight w:val="none"/>
        </w:rPr>
        <w:fldChar w:fldCharType="separate"/>
      </w:r>
      <w:r>
        <w:rPr>
          <w:color w:val="auto"/>
          <w:highlight w:val="none"/>
        </w:rPr>
        <w:t>4</w:t>
      </w:r>
      <w:r>
        <w:rPr>
          <w:color w:val="auto"/>
          <w:highlight w:val="none"/>
        </w:rPr>
        <w:fldChar w:fldCharType="end"/>
      </w:r>
      <w:r>
        <w:rPr>
          <w:color w:val="auto"/>
          <w:highlight w:val="none"/>
        </w:rPr>
        <w:fldChar w:fldCharType="end"/>
      </w:r>
    </w:p>
    <w:p w14:paraId="51149013">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"_Toc229148100" </w:instrText>
      </w:r>
      <w:r>
        <w:rPr>
          <w:color w:val="auto"/>
          <w:highlight w:val="none"/>
        </w:rPr>
        <w:fldChar w:fldCharType="separate"/>
      </w:r>
      <w:r>
        <w:rPr>
          <w:rStyle w:val="32"/>
          <w:color w:val="auto"/>
          <w:highlight w:val="none"/>
          <w14:scene3d>
            <w14:lightRig w14:rig="threePt" w14:dir="t">
              <w14:rot w14:lat="0" w14:lon="0" w14:rev="0"/>
            </w14:lightRig>
          </w14:scene3d>
        </w:rPr>
        <w:t>5.3</w:t>
      </w:r>
      <w:r>
        <w:rPr>
          <w:rStyle w:val="32"/>
          <w:rFonts w:hint="eastAsia"/>
          <w:color w:val="auto"/>
          <w:highlight w:val="none"/>
        </w:rPr>
        <w:t xml:space="preserve"> 监测方案核心内容</w:t>
      </w:r>
      <w:r>
        <w:rPr>
          <w:color w:val="auto"/>
          <w:highlight w:val="none"/>
        </w:rPr>
        <w:tab/>
      </w:r>
      <w:r>
        <w:rPr>
          <w:color w:val="auto"/>
          <w:highlight w:val="none"/>
        </w:rPr>
        <w:fldChar w:fldCharType="begin"/>
      </w:r>
      <w:r>
        <w:rPr>
          <w:color w:val="auto"/>
          <w:highlight w:val="none"/>
        </w:rPr>
        <w:instrText xml:space="preserve"> PAGEREF _Toc229148100 \h </w:instrText>
      </w:r>
      <w:r>
        <w:rPr>
          <w:color w:val="auto"/>
          <w:highlight w:val="none"/>
        </w:rPr>
        <w:fldChar w:fldCharType="separate"/>
      </w:r>
      <w:r>
        <w:rPr>
          <w:color w:val="auto"/>
          <w:highlight w:val="none"/>
        </w:rPr>
        <w:t>4</w:t>
      </w:r>
      <w:r>
        <w:rPr>
          <w:color w:val="auto"/>
          <w:highlight w:val="none"/>
        </w:rPr>
        <w:fldChar w:fldCharType="end"/>
      </w:r>
      <w:r>
        <w:rPr>
          <w:color w:val="auto"/>
          <w:highlight w:val="none"/>
        </w:rPr>
        <w:fldChar w:fldCharType="end"/>
      </w:r>
    </w:p>
    <w:p w14:paraId="236E6D4F">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"_Toc229148101" </w:instrText>
      </w:r>
      <w:r>
        <w:rPr>
          <w:color w:val="auto"/>
          <w:highlight w:val="none"/>
        </w:rPr>
        <w:fldChar w:fldCharType="separate"/>
      </w:r>
      <w:r>
        <w:rPr>
          <w:rStyle w:val="32"/>
          <w:color w:val="auto"/>
          <w:highlight w:val="none"/>
        </w:rPr>
        <w:t>6</w:t>
      </w:r>
      <w:r>
        <w:rPr>
          <w:rStyle w:val="32"/>
          <w:rFonts w:hint="eastAsia"/>
          <w:color w:val="auto"/>
          <w:highlight w:val="none"/>
        </w:rPr>
        <w:t xml:space="preserve"> 点位布设与采样频次</w:t>
      </w:r>
      <w:r>
        <w:rPr>
          <w:color w:val="auto"/>
          <w:highlight w:val="none"/>
        </w:rPr>
        <w:tab/>
      </w:r>
      <w:r>
        <w:rPr>
          <w:color w:val="auto"/>
          <w:highlight w:val="none"/>
        </w:rPr>
        <w:fldChar w:fldCharType="begin"/>
      </w:r>
      <w:r>
        <w:rPr>
          <w:color w:val="auto"/>
          <w:highlight w:val="none"/>
        </w:rPr>
        <w:instrText xml:space="preserve"> PAGEREF _Toc229148101 \h </w:instrText>
      </w:r>
      <w:r>
        <w:rPr>
          <w:color w:val="auto"/>
          <w:highlight w:val="none"/>
        </w:rPr>
        <w:fldChar w:fldCharType="separate"/>
      </w:r>
      <w:r>
        <w:rPr>
          <w:color w:val="auto"/>
          <w:highlight w:val="none"/>
        </w:rPr>
        <w:t>5</w:t>
      </w:r>
      <w:r>
        <w:rPr>
          <w:color w:val="auto"/>
          <w:highlight w:val="none"/>
        </w:rPr>
        <w:fldChar w:fldCharType="end"/>
      </w:r>
      <w:r>
        <w:rPr>
          <w:color w:val="auto"/>
          <w:highlight w:val="none"/>
        </w:rPr>
        <w:fldChar w:fldCharType="end"/>
      </w:r>
    </w:p>
    <w:p w14:paraId="29B78700">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"_Toc229148102" </w:instrText>
      </w:r>
      <w:r>
        <w:rPr>
          <w:color w:val="auto"/>
          <w:highlight w:val="none"/>
        </w:rPr>
        <w:fldChar w:fldCharType="separate"/>
      </w:r>
      <w:r>
        <w:rPr>
          <w:rStyle w:val="32"/>
          <w:color w:val="auto"/>
          <w:highlight w:val="none"/>
          <w14:scene3d>
            <w14:lightRig w14:rig="threePt" w14:dir="t">
              <w14:rot w14:lat="0" w14:lon="0" w14:rev="0"/>
            </w14:lightRig>
          </w14:scene3d>
        </w:rPr>
        <w:t>6.1</w:t>
      </w:r>
      <w:r>
        <w:rPr>
          <w:rStyle w:val="32"/>
          <w:rFonts w:hint="eastAsia"/>
          <w:color w:val="auto"/>
          <w:highlight w:val="none"/>
        </w:rPr>
        <w:t xml:space="preserve"> 布点</w:t>
      </w:r>
      <w:r>
        <w:rPr>
          <w:color w:val="auto"/>
          <w:highlight w:val="none"/>
        </w:rPr>
        <w:tab/>
      </w:r>
      <w:r>
        <w:rPr>
          <w:color w:val="auto"/>
          <w:highlight w:val="none"/>
        </w:rPr>
        <w:fldChar w:fldCharType="begin"/>
      </w:r>
      <w:r>
        <w:rPr>
          <w:color w:val="auto"/>
          <w:highlight w:val="none"/>
        </w:rPr>
        <w:instrText xml:space="preserve"> PAGEREF _Toc229148102 \h </w:instrText>
      </w:r>
      <w:r>
        <w:rPr>
          <w:color w:val="auto"/>
          <w:highlight w:val="none"/>
        </w:rPr>
        <w:fldChar w:fldCharType="separate"/>
      </w:r>
      <w:r>
        <w:rPr>
          <w:color w:val="auto"/>
          <w:highlight w:val="none"/>
        </w:rPr>
        <w:t>5</w:t>
      </w:r>
      <w:r>
        <w:rPr>
          <w:color w:val="auto"/>
          <w:highlight w:val="none"/>
        </w:rPr>
        <w:fldChar w:fldCharType="end"/>
      </w:r>
      <w:r>
        <w:rPr>
          <w:color w:val="auto"/>
          <w:highlight w:val="none"/>
        </w:rPr>
        <w:fldChar w:fldCharType="end"/>
      </w:r>
    </w:p>
    <w:p w14:paraId="00096D43">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"_Toc229148103" </w:instrText>
      </w:r>
      <w:r>
        <w:rPr>
          <w:color w:val="auto"/>
          <w:highlight w:val="none"/>
        </w:rPr>
        <w:fldChar w:fldCharType="separate"/>
      </w:r>
      <w:r>
        <w:rPr>
          <w:rStyle w:val="32"/>
          <w:color w:val="auto"/>
          <w:highlight w:val="none"/>
          <w14:scene3d>
            <w14:lightRig w14:rig="threePt" w14:dir="t">
              <w14:rot w14:lat="0" w14:lon="0" w14:rev="0"/>
            </w14:lightRig>
          </w14:scene3d>
        </w:rPr>
        <w:t>6.2</w:t>
      </w:r>
      <w:r>
        <w:rPr>
          <w:rStyle w:val="32"/>
          <w:rFonts w:hint="eastAsia"/>
          <w:color w:val="auto"/>
          <w:highlight w:val="none"/>
        </w:rPr>
        <w:t xml:space="preserve"> 重点区域加密布点技术要求</w:t>
      </w:r>
      <w:r>
        <w:rPr>
          <w:color w:val="auto"/>
          <w:highlight w:val="none"/>
        </w:rPr>
        <w:tab/>
      </w:r>
      <w:r>
        <w:rPr>
          <w:color w:val="auto"/>
          <w:highlight w:val="none"/>
        </w:rPr>
        <w:fldChar w:fldCharType="begin"/>
      </w:r>
      <w:r>
        <w:rPr>
          <w:color w:val="auto"/>
          <w:highlight w:val="none"/>
        </w:rPr>
        <w:instrText xml:space="preserve"> PAGEREF _Toc229148103 \h </w:instrText>
      </w:r>
      <w:r>
        <w:rPr>
          <w:color w:val="auto"/>
          <w:highlight w:val="none"/>
        </w:rPr>
        <w:fldChar w:fldCharType="separate"/>
      </w:r>
      <w:r>
        <w:rPr>
          <w:color w:val="auto"/>
          <w:highlight w:val="none"/>
        </w:rPr>
        <w:t>5</w:t>
      </w:r>
      <w:r>
        <w:rPr>
          <w:color w:val="auto"/>
          <w:highlight w:val="none"/>
        </w:rPr>
        <w:fldChar w:fldCharType="end"/>
      </w:r>
      <w:r>
        <w:rPr>
          <w:color w:val="auto"/>
          <w:highlight w:val="none"/>
        </w:rPr>
        <w:fldChar w:fldCharType="end"/>
      </w:r>
    </w:p>
    <w:p w14:paraId="19F87BCC">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"_Toc229148104" </w:instrText>
      </w:r>
      <w:r>
        <w:rPr>
          <w:color w:val="auto"/>
          <w:highlight w:val="none"/>
        </w:rPr>
        <w:fldChar w:fldCharType="separate"/>
      </w:r>
      <w:r>
        <w:rPr>
          <w:rStyle w:val="32"/>
          <w:color w:val="auto"/>
          <w:highlight w:val="none"/>
          <w14:scene3d>
            <w14:lightRig w14:rig="threePt" w14:dir="t">
              <w14:rot w14:lat="0" w14:lon="0" w14:rev="0"/>
            </w14:lightRig>
          </w14:scene3d>
        </w:rPr>
        <w:t>6.3</w:t>
      </w:r>
      <w:r>
        <w:rPr>
          <w:rStyle w:val="32"/>
          <w:rFonts w:hint="eastAsia"/>
          <w:color w:val="auto"/>
          <w:highlight w:val="none"/>
        </w:rPr>
        <w:t xml:space="preserve"> 不同监测类型采样频次</w:t>
      </w:r>
      <w:r>
        <w:rPr>
          <w:color w:val="auto"/>
          <w:highlight w:val="none"/>
        </w:rPr>
        <w:tab/>
      </w:r>
      <w:r>
        <w:rPr>
          <w:color w:val="auto"/>
          <w:highlight w:val="none"/>
        </w:rPr>
        <w:fldChar w:fldCharType="begin"/>
      </w:r>
      <w:r>
        <w:rPr>
          <w:color w:val="auto"/>
          <w:highlight w:val="none"/>
        </w:rPr>
        <w:instrText xml:space="preserve"> PAGEREF _Toc229148104 \h </w:instrText>
      </w:r>
      <w:r>
        <w:rPr>
          <w:color w:val="auto"/>
          <w:highlight w:val="none"/>
        </w:rPr>
        <w:fldChar w:fldCharType="separate"/>
      </w:r>
      <w:r>
        <w:rPr>
          <w:color w:val="auto"/>
          <w:highlight w:val="none"/>
        </w:rPr>
        <w:t>5</w:t>
      </w:r>
      <w:r>
        <w:rPr>
          <w:color w:val="auto"/>
          <w:highlight w:val="none"/>
        </w:rPr>
        <w:fldChar w:fldCharType="end"/>
      </w:r>
      <w:r>
        <w:rPr>
          <w:color w:val="auto"/>
          <w:highlight w:val="none"/>
        </w:rPr>
        <w:fldChar w:fldCharType="end"/>
      </w:r>
    </w:p>
    <w:p w14:paraId="75E2808C">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"_Toc229148105" </w:instrText>
      </w:r>
      <w:r>
        <w:rPr>
          <w:color w:val="auto"/>
          <w:highlight w:val="none"/>
        </w:rPr>
        <w:fldChar w:fldCharType="separate"/>
      </w:r>
      <w:r>
        <w:rPr>
          <w:rStyle w:val="32"/>
          <w:color w:val="auto"/>
          <w:highlight w:val="none"/>
        </w:rPr>
        <w:t>7</w:t>
      </w:r>
      <w:r>
        <w:rPr>
          <w:rStyle w:val="32"/>
          <w:rFonts w:hint="eastAsia"/>
          <w:color w:val="auto"/>
          <w:highlight w:val="none"/>
        </w:rPr>
        <w:t xml:space="preserve"> 样品采集、保存与运输</w:t>
      </w:r>
      <w:r>
        <w:rPr>
          <w:color w:val="auto"/>
          <w:highlight w:val="none"/>
        </w:rPr>
        <w:tab/>
      </w:r>
      <w:r>
        <w:rPr>
          <w:color w:val="auto"/>
          <w:highlight w:val="none"/>
        </w:rPr>
        <w:fldChar w:fldCharType="begin"/>
      </w:r>
      <w:r>
        <w:rPr>
          <w:color w:val="auto"/>
          <w:highlight w:val="none"/>
        </w:rPr>
        <w:instrText xml:space="preserve"> PAGEREF _Toc229148105 \h </w:instrText>
      </w:r>
      <w:r>
        <w:rPr>
          <w:color w:val="auto"/>
          <w:highlight w:val="none"/>
        </w:rPr>
        <w:fldChar w:fldCharType="separate"/>
      </w:r>
      <w:r>
        <w:rPr>
          <w:color w:val="auto"/>
          <w:highlight w:val="none"/>
        </w:rPr>
        <w:t>6</w:t>
      </w:r>
      <w:r>
        <w:rPr>
          <w:color w:val="auto"/>
          <w:highlight w:val="none"/>
        </w:rPr>
        <w:fldChar w:fldCharType="end"/>
      </w:r>
      <w:r>
        <w:rPr>
          <w:color w:val="auto"/>
          <w:highlight w:val="none"/>
        </w:rPr>
        <w:fldChar w:fldCharType="end"/>
      </w:r>
    </w:p>
    <w:p w14:paraId="03DD7FC5">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"_Toc229148106" </w:instrText>
      </w:r>
      <w:r>
        <w:rPr>
          <w:color w:val="auto"/>
          <w:highlight w:val="none"/>
        </w:rPr>
        <w:fldChar w:fldCharType="separate"/>
      </w:r>
      <w:r>
        <w:rPr>
          <w:rStyle w:val="32"/>
          <w:color w:val="auto"/>
          <w:highlight w:val="none"/>
          <w14:scene3d>
            <w14:lightRig w14:rig="threePt" w14:dir="t">
              <w14:rot w14:lat="0" w14:lon="0" w14:rev="0"/>
            </w14:lightRig>
          </w14:scene3d>
        </w:rPr>
        <w:t>7.1</w:t>
      </w:r>
      <w:r>
        <w:rPr>
          <w:rStyle w:val="32"/>
          <w:rFonts w:hint="eastAsia"/>
          <w:color w:val="auto"/>
          <w:highlight w:val="none"/>
        </w:rPr>
        <w:t xml:space="preserve"> 采样准备</w:t>
      </w:r>
      <w:r>
        <w:rPr>
          <w:color w:val="auto"/>
          <w:highlight w:val="none"/>
        </w:rPr>
        <w:tab/>
      </w:r>
      <w:r>
        <w:rPr>
          <w:color w:val="auto"/>
          <w:highlight w:val="none"/>
        </w:rPr>
        <w:fldChar w:fldCharType="begin"/>
      </w:r>
      <w:r>
        <w:rPr>
          <w:color w:val="auto"/>
          <w:highlight w:val="none"/>
        </w:rPr>
        <w:instrText xml:space="preserve"> PAGEREF _Toc229148106 \h </w:instrText>
      </w:r>
      <w:r>
        <w:rPr>
          <w:color w:val="auto"/>
          <w:highlight w:val="none"/>
        </w:rPr>
        <w:fldChar w:fldCharType="separate"/>
      </w:r>
      <w:r>
        <w:rPr>
          <w:color w:val="auto"/>
          <w:highlight w:val="none"/>
        </w:rPr>
        <w:t>6</w:t>
      </w:r>
      <w:r>
        <w:rPr>
          <w:color w:val="auto"/>
          <w:highlight w:val="none"/>
        </w:rPr>
        <w:fldChar w:fldCharType="end"/>
      </w:r>
      <w:r>
        <w:rPr>
          <w:color w:val="auto"/>
          <w:highlight w:val="none"/>
        </w:rPr>
        <w:fldChar w:fldCharType="end"/>
      </w:r>
    </w:p>
    <w:p w14:paraId="370F6673">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"_Toc229148107" </w:instrText>
      </w:r>
      <w:r>
        <w:rPr>
          <w:color w:val="auto"/>
          <w:highlight w:val="none"/>
        </w:rPr>
        <w:fldChar w:fldCharType="separate"/>
      </w:r>
      <w:r>
        <w:rPr>
          <w:rStyle w:val="32"/>
          <w:color w:val="auto"/>
          <w:highlight w:val="none"/>
          <w14:scene3d>
            <w14:lightRig w14:rig="threePt" w14:dir="t">
              <w14:rot w14:lat="0" w14:lon="0" w14:rev="0"/>
            </w14:lightRig>
          </w14:scene3d>
        </w:rPr>
        <w:t>7.2</w:t>
      </w:r>
      <w:r>
        <w:rPr>
          <w:rStyle w:val="32"/>
          <w:rFonts w:hint="eastAsia"/>
          <w:color w:val="auto"/>
          <w:highlight w:val="none"/>
        </w:rPr>
        <w:t xml:space="preserve"> 样品采集</w:t>
      </w:r>
      <w:r>
        <w:rPr>
          <w:color w:val="auto"/>
          <w:highlight w:val="none"/>
        </w:rPr>
        <w:tab/>
      </w:r>
      <w:r>
        <w:rPr>
          <w:color w:val="auto"/>
          <w:highlight w:val="none"/>
        </w:rPr>
        <w:fldChar w:fldCharType="begin"/>
      </w:r>
      <w:r>
        <w:rPr>
          <w:color w:val="auto"/>
          <w:highlight w:val="none"/>
        </w:rPr>
        <w:instrText xml:space="preserve"> PAGEREF _Toc229148107 \h </w:instrText>
      </w:r>
      <w:r>
        <w:rPr>
          <w:color w:val="auto"/>
          <w:highlight w:val="none"/>
        </w:rPr>
        <w:fldChar w:fldCharType="separate"/>
      </w:r>
      <w:r>
        <w:rPr>
          <w:color w:val="auto"/>
          <w:highlight w:val="none"/>
        </w:rPr>
        <w:t>6</w:t>
      </w:r>
      <w:r>
        <w:rPr>
          <w:color w:val="auto"/>
          <w:highlight w:val="none"/>
        </w:rPr>
        <w:fldChar w:fldCharType="end"/>
      </w:r>
      <w:r>
        <w:rPr>
          <w:color w:val="auto"/>
          <w:highlight w:val="none"/>
        </w:rPr>
        <w:fldChar w:fldCharType="end"/>
      </w:r>
    </w:p>
    <w:p w14:paraId="759F061B">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"_Toc229148108" </w:instrText>
      </w:r>
      <w:r>
        <w:rPr>
          <w:color w:val="auto"/>
          <w:highlight w:val="none"/>
        </w:rPr>
        <w:fldChar w:fldCharType="separate"/>
      </w:r>
      <w:r>
        <w:rPr>
          <w:rStyle w:val="32"/>
          <w:color w:val="auto"/>
          <w:highlight w:val="none"/>
          <w14:scene3d>
            <w14:lightRig w14:rig="threePt" w14:dir="t">
              <w14:rot w14:lat="0" w14:lon="0" w14:rev="0"/>
            </w14:lightRig>
          </w14:scene3d>
        </w:rPr>
        <w:t>7.3</w:t>
      </w:r>
      <w:r>
        <w:rPr>
          <w:rStyle w:val="32"/>
          <w:rFonts w:hint="eastAsia"/>
          <w:color w:val="auto"/>
          <w:highlight w:val="none"/>
        </w:rPr>
        <w:t xml:space="preserve"> 样品保存</w:t>
      </w:r>
      <w:r>
        <w:rPr>
          <w:color w:val="auto"/>
          <w:highlight w:val="none"/>
        </w:rPr>
        <w:tab/>
      </w:r>
      <w:r>
        <w:rPr>
          <w:color w:val="auto"/>
          <w:highlight w:val="none"/>
        </w:rPr>
        <w:fldChar w:fldCharType="begin"/>
      </w:r>
      <w:r>
        <w:rPr>
          <w:color w:val="auto"/>
          <w:highlight w:val="none"/>
        </w:rPr>
        <w:instrText xml:space="preserve"> PAGEREF _Toc229148108 \h </w:instrText>
      </w:r>
      <w:r>
        <w:rPr>
          <w:color w:val="auto"/>
          <w:highlight w:val="none"/>
        </w:rPr>
        <w:fldChar w:fldCharType="separate"/>
      </w:r>
      <w:r>
        <w:rPr>
          <w:color w:val="auto"/>
          <w:highlight w:val="none"/>
        </w:rPr>
        <w:t>7</w:t>
      </w:r>
      <w:r>
        <w:rPr>
          <w:color w:val="auto"/>
          <w:highlight w:val="none"/>
        </w:rPr>
        <w:fldChar w:fldCharType="end"/>
      </w:r>
      <w:r>
        <w:rPr>
          <w:color w:val="auto"/>
          <w:highlight w:val="none"/>
        </w:rPr>
        <w:fldChar w:fldCharType="end"/>
      </w:r>
    </w:p>
    <w:p w14:paraId="25D26BF6">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"_Toc229148109" </w:instrText>
      </w:r>
      <w:r>
        <w:rPr>
          <w:color w:val="auto"/>
          <w:highlight w:val="none"/>
        </w:rPr>
        <w:fldChar w:fldCharType="separate"/>
      </w:r>
      <w:r>
        <w:rPr>
          <w:rStyle w:val="32"/>
          <w:color w:val="auto"/>
          <w:highlight w:val="none"/>
          <w14:scene3d>
            <w14:lightRig w14:rig="threePt" w14:dir="t">
              <w14:rot w14:lat="0" w14:lon="0" w14:rev="0"/>
            </w14:lightRig>
          </w14:scene3d>
        </w:rPr>
        <w:t>7.4</w:t>
      </w:r>
      <w:r>
        <w:rPr>
          <w:rStyle w:val="32"/>
          <w:rFonts w:hint="eastAsia"/>
          <w:color w:val="auto"/>
          <w:highlight w:val="none"/>
        </w:rPr>
        <w:t xml:space="preserve"> 样品运输与交接</w:t>
      </w:r>
      <w:r>
        <w:rPr>
          <w:color w:val="auto"/>
          <w:highlight w:val="none"/>
        </w:rPr>
        <w:tab/>
      </w:r>
      <w:r>
        <w:rPr>
          <w:color w:val="auto"/>
          <w:highlight w:val="none"/>
        </w:rPr>
        <w:fldChar w:fldCharType="begin"/>
      </w:r>
      <w:r>
        <w:rPr>
          <w:color w:val="auto"/>
          <w:highlight w:val="none"/>
        </w:rPr>
        <w:instrText xml:space="preserve"> PAGEREF _Toc229148109 \h </w:instrText>
      </w:r>
      <w:r>
        <w:rPr>
          <w:color w:val="auto"/>
          <w:highlight w:val="none"/>
        </w:rPr>
        <w:fldChar w:fldCharType="separate"/>
      </w:r>
      <w:r>
        <w:rPr>
          <w:color w:val="auto"/>
          <w:highlight w:val="none"/>
        </w:rPr>
        <w:t>7</w:t>
      </w:r>
      <w:r>
        <w:rPr>
          <w:color w:val="auto"/>
          <w:highlight w:val="none"/>
        </w:rPr>
        <w:fldChar w:fldCharType="end"/>
      </w:r>
      <w:r>
        <w:rPr>
          <w:color w:val="auto"/>
          <w:highlight w:val="none"/>
        </w:rPr>
        <w:fldChar w:fldCharType="end"/>
      </w:r>
    </w:p>
    <w:p w14:paraId="6901D7E7">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"_Toc229148110" </w:instrText>
      </w:r>
      <w:r>
        <w:rPr>
          <w:color w:val="auto"/>
          <w:highlight w:val="none"/>
        </w:rPr>
        <w:fldChar w:fldCharType="separate"/>
      </w:r>
      <w:r>
        <w:rPr>
          <w:rStyle w:val="32"/>
          <w:color w:val="auto"/>
          <w:highlight w:val="none"/>
        </w:rPr>
        <w:t>8</w:t>
      </w:r>
      <w:r>
        <w:rPr>
          <w:rStyle w:val="32"/>
          <w:rFonts w:hint="eastAsia"/>
          <w:color w:val="auto"/>
          <w:highlight w:val="none"/>
        </w:rPr>
        <w:t xml:space="preserve"> 实验室分析测试</w:t>
      </w:r>
      <w:r>
        <w:rPr>
          <w:color w:val="auto"/>
          <w:highlight w:val="none"/>
        </w:rPr>
        <w:tab/>
      </w:r>
      <w:r>
        <w:rPr>
          <w:color w:val="auto"/>
          <w:highlight w:val="none"/>
        </w:rPr>
        <w:fldChar w:fldCharType="begin"/>
      </w:r>
      <w:r>
        <w:rPr>
          <w:color w:val="auto"/>
          <w:highlight w:val="none"/>
        </w:rPr>
        <w:instrText xml:space="preserve"> PAGEREF _Toc229148110 \h </w:instrText>
      </w:r>
      <w:r>
        <w:rPr>
          <w:color w:val="auto"/>
          <w:highlight w:val="none"/>
        </w:rPr>
        <w:fldChar w:fldCharType="separate"/>
      </w:r>
      <w:r>
        <w:rPr>
          <w:color w:val="auto"/>
          <w:highlight w:val="none"/>
        </w:rPr>
        <w:t>7</w:t>
      </w:r>
      <w:r>
        <w:rPr>
          <w:color w:val="auto"/>
          <w:highlight w:val="none"/>
        </w:rPr>
        <w:fldChar w:fldCharType="end"/>
      </w:r>
      <w:r>
        <w:rPr>
          <w:color w:val="auto"/>
          <w:highlight w:val="none"/>
        </w:rPr>
        <w:fldChar w:fldCharType="end"/>
      </w:r>
    </w:p>
    <w:p w14:paraId="77E3E9C5">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"_Toc229148111" </w:instrText>
      </w:r>
      <w:r>
        <w:rPr>
          <w:color w:val="auto"/>
          <w:highlight w:val="none"/>
        </w:rPr>
        <w:fldChar w:fldCharType="separate"/>
      </w:r>
      <w:r>
        <w:rPr>
          <w:rStyle w:val="32"/>
          <w:color w:val="auto"/>
          <w:highlight w:val="none"/>
          <w14:scene3d>
            <w14:lightRig w14:rig="threePt" w14:dir="t">
              <w14:rot w14:lat="0" w14:lon="0" w14:rev="0"/>
            </w14:lightRig>
          </w14:scene3d>
        </w:rPr>
        <w:t>8.1</w:t>
      </w:r>
      <w:r>
        <w:rPr>
          <w:rStyle w:val="32"/>
          <w:rFonts w:hint="eastAsia"/>
          <w:color w:val="auto"/>
          <w:highlight w:val="none"/>
        </w:rPr>
        <w:t xml:space="preserve"> 一般要求</w:t>
      </w:r>
      <w:r>
        <w:rPr>
          <w:color w:val="auto"/>
          <w:highlight w:val="none"/>
        </w:rPr>
        <w:tab/>
      </w:r>
      <w:r>
        <w:rPr>
          <w:color w:val="auto"/>
          <w:highlight w:val="none"/>
        </w:rPr>
        <w:fldChar w:fldCharType="begin"/>
      </w:r>
      <w:r>
        <w:rPr>
          <w:color w:val="auto"/>
          <w:highlight w:val="none"/>
        </w:rPr>
        <w:instrText xml:space="preserve"> PAGEREF _Toc229148111 \h </w:instrText>
      </w:r>
      <w:r>
        <w:rPr>
          <w:color w:val="auto"/>
          <w:highlight w:val="none"/>
        </w:rPr>
        <w:fldChar w:fldCharType="separate"/>
      </w:r>
      <w:r>
        <w:rPr>
          <w:color w:val="auto"/>
          <w:highlight w:val="none"/>
        </w:rPr>
        <w:t>7</w:t>
      </w:r>
      <w:r>
        <w:rPr>
          <w:color w:val="auto"/>
          <w:highlight w:val="none"/>
        </w:rPr>
        <w:fldChar w:fldCharType="end"/>
      </w:r>
      <w:r>
        <w:rPr>
          <w:color w:val="auto"/>
          <w:highlight w:val="none"/>
        </w:rPr>
        <w:fldChar w:fldCharType="end"/>
      </w:r>
    </w:p>
    <w:p w14:paraId="775BCA61">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"_Toc229148112" </w:instrText>
      </w:r>
      <w:r>
        <w:rPr>
          <w:color w:val="auto"/>
          <w:highlight w:val="none"/>
        </w:rPr>
        <w:fldChar w:fldCharType="separate"/>
      </w:r>
      <w:r>
        <w:rPr>
          <w:rStyle w:val="32"/>
          <w:color w:val="auto"/>
          <w:highlight w:val="none"/>
          <w14:scene3d>
            <w14:lightRig w14:rig="threePt" w14:dir="t">
              <w14:rot w14:lat="0" w14:lon="0" w14:rev="0"/>
            </w14:lightRig>
          </w14:scene3d>
        </w:rPr>
        <w:t>8.2</w:t>
      </w:r>
      <w:r>
        <w:rPr>
          <w:rStyle w:val="32"/>
          <w:rFonts w:hint="eastAsia"/>
          <w:color w:val="auto"/>
          <w:highlight w:val="none"/>
        </w:rPr>
        <w:t xml:space="preserve"> 分析方法选择原则</w:t>
      </w:r>
      <w:r>
        <w:rPr>
          <w:color w:val="auto"/>
          <w:highlight w:val="none"/>
        </w:rPr>
        <w:tab/>
      </w:r>
      <w:r>
        <w:rPr>
          <w:color w:val="auto"/>
          <w:highlight w:val="none"/>
        </w:rPr>
        <w:fldChar w:fldCharType="begin"/>
      </w:r>
      <w:r>
        <w:rPr>
          <w:color w:val="auto"/>
          <w:highlight w:val="none"/>
        </w:rPr>
        <w:instrText xml:space="preserve"> PAGEREF _Toc229148112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24C6E9C6">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"_Toc229148113" </w:instrText>
      </w:r>
      <w:r>
        <w:rPr>
          <w:color w:val="auto"/>
          <w:highlight w:val="none"/>
        </w:rPr>
        <w:fldChar w:fldCharType="separate"/>
      </w:r>
      <w:r>
        <w:rPr>
          <w:rStyle w:val="32"/>
          <w:color w:val="auto"/>
          <w:highlight w:val="none"/>
          <w14:scene3d>
            <w14:lightRig w14:rig="threePt" w14:dir="t">
              <w14:rot w14:lat="0" w14:lon="0" w14:rev="0"/>
            </w14:lightRig>
          </w14:scene3d>
        </w:rPr>
        <w:t>8.3</w:t>
      </w:r>
      <w:r>
        <w:rPr>
          <w:rStyle w:val="32"/>
          <w:rFonts w:hint="eastAsia"/>
          <w:color w:val="auto"/>
          <w:highlight w:val="none"/>
        </w:rPr>
        <w:t xml:space="preserve"> 样品前处理</w:t>
      </w:r>
      <w:r>
        <w:rPr>
          <w:color w:val="auto"/>
          <w:highlight w:val="none"/>
        </w:rPr>
        <w:tab/>
      </w:r>
      <w:r>
        <w:rPr>
          <w:color w:val="auto"/>
          <w:highlight w:val="none"/>
        </w:rPr>
        <w:fldChar w:fldCharType="begin"/>
      </w:r>
      <w:r>
        <w:rPr>
          <w:color w:val="auto"/>
          <w:highlight w:val="none"/>
        </w:rPr>
        <w:instrText xml:space="preserve"> PAGEREF _Toc229148113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798B227D">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"_Toc229148114" </w:instrText>
      </w:r>
      <w:r>
        <w:rPr>
          <w:color w:val="auto"/>
          <w:highlight w:val="none"/>
        </w:rPr>
        <w:fldChar w:fldCharType="separate"/>
      </w:r>
      <w:r>
        <w:rPr>
          <w:rStyle w:val="32"/>
          <w:color w:val="auto"/>
          <w:highlight w:val="none"/>
          <w14:scene3d>
            <w14:lightRig w14:rig="threePt" w14:dir="t">
              <w14:rot w14:lat="0" w14:lon="0" w14:rev="0"/>
            </w14:lightRig>
          </w14:scene3d>
        </w:rPr>
        <w:t>8.4</w:t>
      </w:r>
      <w:r>
        <w:rPr>
          <w:rStyle w:val="32"/>
          <w:rFonts w:hint="eastAsia"/>
          <w:color w:val="auto"/>
          <w:highlight w:val="none"/>
        </w:rPr>
        <w:t xml:space="preserve"> 仪器分析与定性定量</w:t>
      </w:r>
      <w:r>
        <w:rPr>
          <w:color w:val="auto"/>
          <w:highlight w:val="none"/>
        </w:rPr>
        <w:tab/>
      </w:r>
      <w:r>
        <w:rPr>
          <w:color w:val="auto"/>
          <w:highlight w:val="none"/>
        </w:rPr>
        <w:fldChar w:fldCharType="begin"/>
      </w:r>
      <w:r>
        <w:rPr>
          <w:color w:val="auto"/>
          <w:highlight w:val="none"/>
        </w:rPr>
        <w:instrText xml:space="preserve"> PAGEREF _Toc229148114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4115A63A">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"_Toc229148115" </w:instrText>
      </w:r>
      <w:r>
        <w:rPr>
          <w:color w:val="auto"/>
          <w:highlight w:val="none"/>
        </w:rPr>
        <w:fldChar w:fldCharType="separate"/>
      </w:r>
      <w:r>
        <w:rPr>
          <w:rStyle w:val="32"/>
          <w:color w:val="auto"/>
          <w:highlight w:val="none"/>
        </w:rPr>
        <w:t>9</w:t>
      </w:r>
      <w:r>
        <w:rPr>
          <w:rStyle w:val="32"/>
          <w:rFonts w:hint="eastAsia"/>
          <w:color w:val="auto"/>
          <w:highlight w:val="none"/>
        </w:rPr>
        <w:t xml:space="preserve"> 质量保证与质量控制</w:t>
      </w:r>
      <w:r>
        <w:rPr>
          <w:color w:val="auto"/>
          <w:highlight w:val="none"/>
        </w:rPr>
        <w:tab/>
      </w:r>
      <w:r>
        <w:rPr>
          <w:color w:val="auto"/>
          <w:highlight w:val="none"/>
        </w:rPr>
        <w:fldChar w:fldCharType="begin"/>
      </w:r>
      <w:r>
        <w:rPr>
          <w:color w:val="auto"/>
          <w:highlight w:val="none"/>
        </w:rPr>
        <w:instrText xml:space="preserve"> PAGEREF _Toc229148115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7E32B7EB">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"_Toc229148116" </w:instrText>
      </w:r>
      <w:r>
        <w:rPr>
          <w:color w:val="auto"/>
          <w:highlight w:val="none"/>
        </w:rPr>
        <w:fldChar w:fldCharType="separate"/>
      </w:r>
      <w:r>
        <w:rPr>
          <w:rStyle w:val="32"/>
          <w:color w:val="auto"/>
          <w:highlight w:val="none"/>
          <w14:scene3d>
            <w14:lightRig w14:rig="threePt" w14:dir="t">
              <w14:rot w14:lat="0" w14:lon="0" w14:rev="0"/>
            </w14:lightRig>
          </w14:scene3d>
        </w:rPr>
        <w:t>9.1</w:t>
      </w:r>
      <w:r>
        <w:rPr>
          <w:rStyle w:val="32"/>
          <w:rFonts w:hint="eastAsia"/>
          <w:color w:val="auto"/>
          <w:highlight w:val="none"/>
        </w:rPr>
        <w:t xml:space="preserve"> 全流程质控总体要求</w:t>
      </w:r>
      <w:r>
        <w:rPr>
          <w:color w:val="auto"/>
          <w:highlight w:val="none"/>
        </w:rPr>
        <w:tab/>
      </w:r>
      <w:r>
        <w:rPr>
          <w:color w:val="auto"/>
          <w:highlight w:val="none"/>
        </w:rPr>
        <w:fldChar w:fldCharType="begin"/>
      </w:r>
      <w:r>
        <w:rPr>
          <w:color w:val="auto"/>
          <w:highlight w:val="none"/>
        </w:rPr>
        <w:instrText xml:space="preserve"> PAGEREF _Toc229148116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7F0F07EC">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"_Toc229148117" </w:instrText>
      </w:r>
      <w:r>
        <w:rPr>
          <w:color w:val="auto"/>
          <w:highlight w:val="none"/>
        </w:rPr>
        <w:fldChar w:fldCharType="separate"/>
      </w:r>
      <w:r>
        <w:rPr>
          <w:rStyle w:val="32"/>
          <w:color w:val="auto"/>
          <w:highlight w:val="none"/>
          <w14:scene3d>
            <w14:lightRig w14:rig="threePt" w14:dir="t">
              <w14:rot w14:lat="0" w14:lon="0" w14:rev="0"/>
            </w14:lightRig>
          </w14:scene3d>
        </w:rPr>
        <w:t>9.2</w:t>
      </w:r>
      <w:r>
        <w:rPr>
          <w:rStyle w:val="32"/>
          <w:rFonts w:hint="eastAsia"/>
          <w:color w:val="auto"/>
          <w:highlight w:val="none"/>
        </w:rPr>
        <w:t xml:space="preserve"> 现场质量控制</w:t>
      </w:r>
      <w:r>
        <w:rPr>
          <w:color w:val="auto"/>
          <w:highlight w:val="none"/>
        </w:rPr>
        <w:tab/>
      </w:r>
      <w:r>
        <w:rPr>
          <w:color w:val="auto"/>
          <w:highlight w:val="none"/>
        </w:rPr>
        <w:fldChar w:fldCharType="begin"/>
      </w:r>
      <w:r>
        <w:rPr>
          <w:color w:val="auto"/>
          <w:highlight w:val="none"/>
        </w:rPr>
        <w:instrText xml:space="preserve"> PAGEREF _Toc229148117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25961A35">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"_Toc229148118" </w:instrText>
      </w:r>
      <w:r>
        <w:rPr>
          <w:color w:val="auto"/>
          <w:highlight w:val="none"/>
        </w:rPr>
        <w:fldChar w:fldCharType="separate"/>
      </w:r>
      <w:r>
        <w:rPr>
          <w:rStyle w:val="32"/>
          <w:color w:val="auto"/>
          <w:highlight w:val="none"/>
          <w14:scene3d>
            <w14:lightRig w14:rig="threePt" w14:dir="t">
              <w14:rot w14:lat="0" w14:lon="0" w14:rev="0"/>
            </w14:lightRig>
          </w14:scene3d>
        </w:rPr>
        <w:t>9.3</w:t>
      </w:r>
      <w:r>
        <w:rPr>
          <w:rStyle w:val="32"/>
          <w:rFonts w:hint="eastAsia"/>
          <w:color w:val="auto"/>
          <w:highlight w:val="none"/>
        </w:rPr>
        <w:t xml:space="preserve"> 实验室质量控制</w:t>
      </w:r>
      <w:r>
        <w:rPr>
          <w:color w:val="auto"/>
          <w:highlight w:val="none"/>
        </w:rPr>
        <w:tab/>
      </w:r>
      <w:r>
        <w:rPr>
          <w:color w:val="auto"/>
          <w:highlight w:val="none"/>
        </w:rPr>
        <w:fldChar w:fldCharType="begin"/>
      </w:r>
      <w:r>
        <w:rPr>
          <w:color w:val="auto"/>
          <w:highlight w:val="none"/>
        </w:rPr>
        <w:instrText xml:space="preserve"> PAGEREF _Toc229148118 \h </w:instrText>
      </w:r>
      <w:r>
        <w:rPr>
          <w:color w:val="auto"/>
          <w:highlight w:val="none"/>
        </w:rPr>
        <w:fldChar w:fldCharType="separate"/>
      </w:r>
      <w:r>
        <w:rPr>
          <w:color w:val="auto"/>
          <w:highlight w:val="none"/>
        </w:rPr>
        <w:t>9</w:t>
      </w:r>
      <w:r>
        <w:rPr>
          <w:color w:val="auto"/>
          <w:highlight w:val="none"/>
        </w:rPr>
        <w:fldChar w:fldCharType="end"/>
      </w:r>
      <w:r>
        <w:rPr>
          <w:color w:val="auto"/>
          <w:highlight w:val="none"/>
        </w:rPr>
        <w:fldChar w:fldCharType="end"/>
      </w:r>
    </w:p>
    <w:p w14:paraId="68332987">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"_Toc229148119" </w:instrText>
      </w:r>
      <w:r>
        <w:rPr>
          <w:color w:val="auto"/>
          <w:highlight w:val="none"/>
        </w:rPr>
        <w:fldChar w:fldCharType="separate"/>
      </w:r>
      <w:r>
        <w:rPr>
          <w:rStyle w:val="32"/>
          <w:color w:val="auto"/>
          <w:highlight w:val="none"/>
          <w14:scene3d>
            <w14:lightRig w14:rig="threePt" w14:dir="t">
              <w14:rot w14:lat="0" w14:lon="0" w14:rev="0"/>
            </w14:lightRig>
          </w14:scene3d>
        </w:rPr>
        <w:t>9.4</w:t>
      </w:r>
      <w:r>
        <w:rPr>
          <w:rStyle w:val="32"/>
          <w:rFonts w:hint="eastAsia"/>
          <w:color w:val="auto"/>
          <w:highlight w:val="none"/>
        </w:rPr>
        <w:t xml:space="preserve"> 数据质量控制</w:t>
      </w:r>
      <w:r>
        <w:rPr>
          <w:color w:val="auto"/>
          <w:highlight w:val="none"/>
        </w:rPr>
        <w:tab/>
      </w:r>
      <w:r>
        <w:rPr>
          <w:color w:val="auto"/>
          <w:highlight w:val="none"/>
        </w:rPr>
        <w:fldChar w:fldCharType="begin"/>
      </w:r>
      <w:r>
        <w:rPr>
          <w:color w:val="auto"/>
          <w:highlight w:val="none"/>
        </w:rPr>
        <w:instrText xml:space="preserve"> PAGEREF _Toc229148119 \h </w:instrText>
      </w:r>
      <w:r>
        <w:rPr>
          <w:color w:val="auto"/>
          <w:highlight w:val="none"/>
        </w:rPr>
        <w:fldChar w:fldCharType="separate"/>
      </w:r>
      <w:r>
        <w:rPr>
          <w:color w:val="auto"/>
          <w:highlight w:val="none"/>
        </w:rPr>
        <w:t>9</w:t>
      </w:r>
      <w:r>
        <w:rPr>
          <w:color w:val="auto"/>
          <w:highlight w:val="none"/>
        </w:rPr>
        <w:fldChar w:fldCharType="end"/>
      </w:r>
      <w:r>
        <w:rPr>
          <w:color w:val="auto"/>
          <w:highlight w:val="none"/>
        </w:rPr>
        <w:fldChar w:fldCharType="end"/>
      </w:r>
    </w:p>
    <w:p w14:paraId="7A0FAD3B">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"_Toc229148120" </w:instrText>
      </w:r>
      <w:r>
        <w:rPr>
          <w:color w:val="auto"/>
          <w:highlight w:val="none"/>
        </w:rPr>
        <w:fldChar w:fldCharType="separate"/>
      </w:r>
      <w:r>
        <w:rPr>
          <w:rStyle w:val="32"/>
          <w:color w:val="auto"/>
          <w:highlight w:val="none"/>
        </w:rPr>
        <w:t>10</w:t>
      </w:r>
      <w:r>
        <w:rPr>
          <w:rStyle w:val="32"/>
          <w:rFonts w:hint="eastAsia"/>
          <w:color w:val="auto"/>
          <w:highlight w:val="none"/>
        </w:rPr>
        <w:t xml:space="preserve"> 数据处理与报告编制</w:t>
      </w:r>
      <w:r>
        <w:rPr>
          <w:color w:val="auto"/>
          <w:highlight w:val="none"/>
        </w:rPr>
        <w:tab/>
      </w:r>
      <w:r>
        <w:rPr>
          <w:color w:val="auto"/>
          <w:highlight w:val="none"/>
        </w:rPr>
        <w:fldChar w:fldCharType="begin"/>
      </w:r>
      <w:r>
        <w:rPr>
          <w:color w:val="auto"/>
          <w:highlight w:val="none"/>
        </w:rPr>
        <w:instrText xml:space="preserve"> PAGEREF _Toc229148120 \h </w:instrText>
      </w:r>
      <w:r>
        <w:rPr>
          <w:color w:val="auto"/>
          <w:highlight w:val="none"/>
        </w:rPr>
        <w:fldChar w:fldCharType="separate"/>
      </w:r>
      <w:r>
        <w:rPr>
          <w:color w:val="auto"/>
          <w:highlight w:val="none"/>
        </w:rPr>
        <w:t>10</w:t>
      </w:r>
      <w:r>
        <w:rPr>
          <w:color w:val="auto"/>
          <w:highlight w:val="none"/>
        </w:rPr>
        <w:fldChar w:fldCharType="end"/>
      </w:r>
      <w:r>
        <w:rPr>
          <w:color w:val="auto"/>
          <w:highlight w:val="none"/>
        </w:rPr>
        <w:fldChar w:fldCharType="end"/>
      </w:r>
    </w:p>
    <w:p w14:paraId="68AA2E8D">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"_Toc229148121" </w:instrText>
      </w:r>
      <w:r>
        <w:rPr>
          <w:color w:val="auto"/>
          <w:highlight w:val="none"/>
        </w:rPr>
        <w:fldChar w:fldCharType="separate"/>
      </w:r>
      <w:r>
        <w:rPr>
          <w:rStyle w:val="32"/>
          <w:color w:val="auto"/>
          <w:highlight w:val="none"/>
          <w14:scene3d>
            <w14:lightRig w14:rig="threePt" w14:dir="t">
              <w14:rot w14:lat="0" w14:lon="0" w14:rev="0"/>
            </w14:lightRig>
          </w14:scene3d>
        </w:rPr>
        <w:t>10.1</w:t>
      </w:r>
      <w:r>
        <w:rPr>
          <w:rStyle w:val="32"/>
          <w:rFonts w:hint="eastAsia"/>
          <w:color w:val="auto"/>
          <w:highlight w:val="none"/>
        </w:rPr>
        <w:t xml:space="preserve"> 数据处理</w:t>
      </w:r>
      <w:r>
        <w:rPr>
          <w:color w:val="auto"/>
          <w:highlight w:val="none"/>
        </w:rPr>
        <w:tab/>
      </w:r>
      <w:r>
        <w:rPr>
          <w:color w:val="auto"/>
          <w:highlight w:val="none"/>
        </w:rPr>
        <w:fldChar w:fldCharType="begin"/>
      </w:r>
      <w:r>
        <w:rPr>
          <w:color w:val="auto"/>
          <w:highlight w:val="none"/>
        </w:rPr>
        <w:instrText xml:space="preserve"> PAGEREF _Toc229148121 \h </w:instrText>
      </w:r>
      <w:r>
        <w:rPr>
          <w:color w:val="auto"/>
          <w:highlight w:val="none"/>
        </w:rPr>
        <w:fldChar w:fldCharType="separate"/>
      </w:r>
      <w:r>
        <w:rPr>
          <w:color w:val="auto"/>
          <w:highlight w:val="none"/>
        </w:rPr>
        <w:t>10</w:t>
      </w:r>
      <w:r>
        <w:rPr>
          <w:color w:val="auto"/>
          <w:highlight w:val="none"/>
        </w:rPr>
        <w:fldChar w:fldCharType="end"/>
      </w:r>
      <w:r>
        <w:rPr>
          <w:color w:val="auto"/>
          <w:highlight w:val="none"/>
        </w:rPr>
        <w:fldChar w:fldCharType="end"/>
      </w:r>
    </w:p>
    <w:p w14:paraId="1BBAB5FC">
      <w:pPr>
        <w:pStyle w:val="24"/>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"_Toc229148122" </w:instrText>
      </w:r>
      <w:r>
        <w:rPr>
          <w:color w:val="auto"/>
          <w:highlight w:val="none"/>
        </w:rPr>
        <w:fldChar w:fldCharType="separate"/>
      </w:r>
      <w:r>
        <w:rPr>
          <w:rStyle w:val="32"/>
          <w:color w:val="auto"/>
          <w:highlight w:val="none"/>
          <w14:scene3d>
            <w14:lightRig w14:rig="threePt" w14:dir="t">
              <w14:rot w14:lat="0" w14:lon="0" w14:rev="0"/>
            </w14:lightRig>
          </w14:scene3d>
        </w:rPr>
        <w:t>10.2</w:t>
      </w:r>
      <w:r>
        <w:rPr>
          <w:rStyle w:val="32"/>
          <w:rFonts w:hint="eastAsia"/>
          <w:color w:val="auto"/>
          <w:highlight w:val="none"/>
        </w:rPr>
        <w:t xml:space="preserve"> 监测报告技术要求</w:t>
      </w:r>
      <w:r>
        <w:rPr>
          <w:color w:val="auto"/>
          <w:highlight w:val="none"/>
        </w:rPr>
        <w:tab/>
      </w:r>
      <w:r>
        <w:rPr>
          <w:color w:val="auto"/>
          <w:highlight w:val="none"/>
        </w:rPr>
        <w:fldChar w:fldCharType="begin"/>
      </w:r>
      <w:r>
        <w:rPr>
          <w:color w:val="auto"/>
          <w:highlight w:val="none"/>
        </w:rPr>
        <w:instrText xml:space="preserve"> PAGEREF _Toc229148122 \h </w:instrText>
      </w:r>
      <w:r>
        <w:rPr>
          <w:color w:val="auto"/>
          <w:highlight w:val="none"/>
        </w:rPr>
        <w:fldChar w:fldCharType="separate"/>
      </w:r>
      <w:r>
        <w:rPr>
          <w:color w:val="auto"/>
          <w:highlight w:val="none"/>
        </w:rPr>
        <w:t>10</w:t>
      </w:r>
      <w:r>
        <w:rPr>
          <w:color w:val="auto"/>
          <w:highlight w:val="none"/>
        </w:rPr>
        <w:fldChar w:fldCharType="end"/>
      </w:r>
      <w:r>
        <w:rPr>
          <w:color w:val="auto"/>
          <w:highlight w:val="none"/>
        </w:rPr>
        <w:fldChar w:fldCharType="end"/>
      </w:r>
    </w:p>
    <w:p w14:paraId="4F019C87">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"_Toc229148123" </w:instrText>
      </w:r>
      <w:r>
        <w:rPr>
          <w:color w:val="auto"/>
          <w:highlight w:val="none"/>
        </w:rPr>
        <w:fldChar w:fldCharType="separate"/>
      </w:r>
      <w:r>
        <w:rPr>
          <w:rStyle w:val="32"/>
          <w:rFonts w:hint="eastAsia"/>
          <w:color w:val="auto"/>
          <w:spacing w:val="100"/>
          <w:highlight w:val="none"/>
        </w:rPr>
        <w:t>附录A</w:t>
      </w:r>
      <w:r>
        <w:rPr>
          <w:rStyle w:val="32"/>
          <w:rFonts w:hint="eastAsia"/>
          <w:color w:val="auto"/>
          <w:highlight w:val="none"/>
        </w:rPr>
        <w:t xml:space="preserve"> （规范性）</w:t>
      </w:r>
      <w:r>
        <w:rPr>
          <w:rStyle w:val="32"/>
          <w:color w:val="auto"/>
          <w:highlight w:val="none"/>
        </w:rPr>
        <w:t xml:space="preserve"> </w:t>
      </w:r>
      <w:r>
        <w:rPr>
          <w:rStyle w:val="32"/>
          <w:rFonts w:hint="eastAsia"/>
          <w:color w:val="auto"/>
          <w:highlight w:val="none"/>
        </w:rPr>
        <w:t>地表水优先监测新污染物清单及推荐分析方法</w:t>
      </w:r>
      <w:r>
        <w:rPr>
          <w:color w:val="auto"/>
          <w:highlight w:val="none"/>
        </w:rPr>
        <w:tab/>
      </w:r>
      <w:r>
        <w:rPr>
          <w:color w:val="auto"/>
          <w:highlight w:val="none"/>
        </w:rPr>
        <w:fldChar w:fldCharType="begin"/>
      </w:r>
      <w:r>
        <w:rPr>
          <w:color w:val="auto"/>
          <w:highlight w:val="none"/>
        </w:rPr>
        <w:instrText xml:space="preserve"> PAGEREF _Toc229148123 \h </w:instrText>
      </w:r>
      <w:r>
        <w:rPr>
          <w:color w:val="auto"/>
          <w:highlight w:val="none"/>
        </w:rPr>
        <w:fldChar w:fldCharType="separate"/>
      </w:r>
      <w:r>
        <w:rPr>
          <w:color w:val="auto"/>
          <w:highlight w:val="none"/>
        </w:rPr>
        <w:t>11</w:t>
      </w:r>
      <w:r>
        <w:rPr>
          <w:color w:val="auto"/>
          <w:highlight w:val="none"/>
        </w:rPr>
        <w:fldChar w:fldCharType="end"/>
      </w:r>
      <w:r>
        <w:rPr>
          <w:color w:val="auto"/>
          <w:highlight w:val="none"/>
        </w:rPr>
        <w:fldChar w:fldCharType="end"/>
      </w:r>
    </w:p>
    <w:p w14:paraId="648AACA0">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"_Toc229148124" </w:instrText>
      </w:r>
      <w:r>
        <w:rPr>
          <w:color w:val="auto"/>
          <w:highlight w:val="none"/>
        </w:rPr>
        <w:fldChar w:fldCharType="separate"/>
      </w:r>
      <w:r>
        <w:rPr>
          <w:rStyle w:val="32"/>
          <w:rFonts w:hint="eastAsia"/>
          <w:color w:val="auto"/>
          <w:spacing w:val="100"/>
          <w:highlight w:val="none"/>
        </w:rPr>
        <w:t>附录B</w:t>
      </w:r>
      <w:r>
        <w:rPr>
          <w:rStyle w:val="32"/>
          <w:rFonts w:hint="eastAsia"/>
          <w:color w:val="auto"/>
          <w:highlight w:val="none"/>
        </w:rPr>
        <w:t xml:space="preserve"> （规范性）</w:t>
      </w:r>
      <w:r>
        <w:rPr>
          <w:rStyle w:val="32"/>
          <w:color w:val="auto"/>
          <w:highlight w:val="none"/>
        </w:rPr>
        <w:t xml:space="preserve"> </w:t>
      </w:r>
      <w:r>
        <w:rPr>
          <w:rStyle w:val="32"/>
          <w:rFonts w:hint="eastAsia"/>
          <w:color w:val="auto"/>
          <w:highlight w:val="none"/>
        </w:rPr>
        <w:t>地表水新污染物样品保存要求</w:t>
      </w:r>
      <w:r>
        <w:rPr>
          <w:color w:val="auto"/>
          <w:highlight w:val="none"/>
        </w:rPr>
        <w:tab/>
      </w:r>
      <w:r>
        <w:rPr>
          <w:color w:val="auto"/>
          <w:highlight w:val="none"/>
        </w:rPr>
        <w:fldChar w:fldCharType="begin"/>
      </w:r>
      <w:r>
        <w:rPr>
          <w:color w:val="auto"/>
          <w:highlight w:val="none"/>
        </w:rPr>
        <w:instrText xml:space="preserve"> PAGEREF _Toc229148124 \h </w:instrText>
      </w:r>
      <w:r>
        <w:rPr>
          <w:color w:val="auto"/>
          <w:highlight w:val="none"/>
        </w:rPr>
        <w:fldChar w:fldCharType="separate"/>
      </w:r>
      <w:r>
        <w:rPr>
          <w:color w:val="auto"/>
          <w:highlight w:val="none"/>
        </w:rPr>
        <w:t>12</w:t>
      </w:r>
      <w:r>
        <w:rPr>
          <w:color w:val="auto"/>
          <w:highlight w:val="none"/>
        </w:rPr>
        <w:fldChar w:fldCharType="end"/>
      </w:r>
      <w:r>
        <w:rPr>
          <w:color w:val="auto"/>
          <w:highlight w:val="none"/>
        </w:rPr>
        <w:fldChar w:fldCharType="end"/>
      </w:r>
    </w:p>
    <w:p w14:paraId="473740C6">
      <w:pPr>
        <w:pStyle w:val="19"/>
        <w:tabs>
          <w:tab w:val="right" w:leader="dot" w:pos="9344"/>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"_Toc229148125" </w:instrText>
      </w:r>
      <w:r>
        <w:rPr>
          <w:color w:val="auto"/>
          <w:highlight w:val="none"/>
        </w:rPr>
        <w:fldChar w:fldCharType="separate"/>
      </w:r>
      <w:r>
        <w:rPr>
          <w:rStyle w:val="32"/>
          <w:rFonts w:hint="eastAsia"/>
          <w:color w:val="auto"/>
          <w:spacing w:val="100"/>
          <w:highlight w:val="none"/>
        </w:rPr>
        <w:t>附录C</w:t>
      </w:r>
      <w:r>
        <w:rPr>
          <w:rStyle w:val="32"/>
          <w:rFonts w:hint="eastAsia"/>
          <w:color w:val="auto"/>
          <w:highlight w:val="none"/>
        </w:rPr>
        <w:t xml:space="preserve"> （资料性）</w:t>
      </w:r>
      <w:r>
        <w:rPr>
          <w:rStyle w:val="32"/>
          <w:color w:val="auto"/>
          <w:highlight w:val="none"/>
        </w:rPr>
        <w:t xml:space="preserve"> </w:t>
      </w:r>
      <w:r>
        <w:rPr>
          <w:rStyle w:val="32"/>
          <w:rFonts w:hint="eastAsia"/>
          <w:color w:val="auto"/>
          <w:highlight w:val="none"/>
        </w:rPr>
        <w:t>地表水新污染物采样原始记录单</w:t>
      </w:r>
      <w:r>
        <w:rPr>
          <w:color w:val="auto"/>
          <w:highlight w:val="none"/>
        </w:rPr>
        <w:tab/>
      </w:r>
      <w:r>
        <w:rPr>
          <w:color w:val="auto"/>
          <w:highlight w:val="none"/>
        </w:rPr>
        <w:fldChar w:fldCharType="begin"/>
      </w:r>
      <w:r>
        <w:rPr>
          <w:color w:val="auto"/>
          <w:highlight w:val="none"/>
        </w:rPr>
        <w:instrText xml:space="preserve"> PAGEREF _Toc229148125 \h </w:instrText>
      </w:r>
      <w:r>
        <w:rPr>
          <w:color w:val="auto"/>
          <w:highlight w:val="none"/>
        </w:rPr>
        <w:fldChar w:fldCharType="separate"/>
      </w:r>
      <w:r>
        <w:rPr>
          <w:color w:val="auto"/>
          <w:highlight w:val="none"/>
        </w:rPr>
        <w:t>15</w:t>
      </w:r>
      <w:r>
        <w:rPr>
          <w:color w:val="auto"/>
          <w:highlight w:val="none"/>
        </w:rPr>
        <w:fldChar w:fldCharType="end"/>
      </w:r>
      <w:r>
        <w:rPr>
          <w:color w:val="auto"/>
          <w:highlight w:val="none"/>
        </w:rPr>
        <w:fldChar w:fldCharType="end"/>
      </w:r>
    </w:p>
    <w:p w14:paraId="3FC744EC">
      <w:pPr>
        <w:pStyle w:val="91"/>
        <w:spacing w:after="360"/>
        <w:rPr>
          <w:color w:val="auto"/>
          <w:highlight w:val="none"/>
        </w:rPr>
        <w:sectPr>
          <w:headerReference r:id="rId9" w:type="default"/>
          <w:footerReference r:id="rId11" w:type="default"/>
          <w:headerReference r:id="rId10" w:type="even"/>
          <w:pgSz w:w="11906" w:h="16838"/>
          <w:pgMar w:top="1928" w:right="1134" w:bottom="1134" w:left="1134" w:header="1418" w:footer="907" w:gutter="284"/>
          <w:pgNumType w:start="1"/>
          <w:cols w:space="425" w:num="1"/>
          <w:formProt w:val="0"/>
          <w:docGrid w:linePitch="312" w:charSpace="0"/>
        </w:sectPr>
      </w:pPr>
      <w:r>
        <w:rPr>
          <w:color w:val="auto"/>
          <w:highlight w:val="none"/>
        </w:rPr>
        <w:fldChar w:fldCharType="end"/>
      </w:r>
    </w:p>
    <w:bookmarkEnd w:id="20"/>
    <w:p w14:paraId="6479B4D2">
      <w:pPr>
        <w:pStyle w:val="89"/>
        <w:spacing w:before="560" w:after="360"/>
        <w:rPr>
          <w:color w:val="auto"/>
          <w:highlight w:val="none"/>
        </w:rPr>
      </w:pPr>
      <w:bookmarkStart w:id="22" w:name="_Toc229148090"/>
      <w:bookmarkStart w:id="23" w:name="BookMark2"/>
      <w:r>
        <w:rPr>
          <w:rFonts w:hint="eastAsia"/>
          <w:color w:val="auto"/>
          <w:spacing w:val="320"/>
          <w:highlight w:val="none"/>
        </w:rPr>
        <w:t>前</w:t>
      </w:r>
      <w:r>
        <w:rPr>
          <w:rFonts w:hint="eastAsia"/>
          <w:color w:val="auto"/>
          <w:highlight w:val="none"/>
        </w:rPr>
        <w:t>言</w:t>
      </w:r>
      <w:bookmarkEnd w:id="21"/>
      <w:bookmarkEnd w:id="22"/>
    </w:p>
    <w:p w14:paraId="42D78E07">
      <w:pPr>
        <w:pStyle w:val="56"/>
        <w:ind w:firstLine="420"/>
        <w:rPr>
          <w:color w:val="auto"/>
          <w:highlight w:val="none"/>
        </w:rPr>
      </w:pPr>
      <w:r>
        <w:rPr>
          <w:rFonts w:hint="eastAsia"/>
          <w:color w:val="auto"/>
          <w:highlight w:val="none"/>
        </w:rPr>
        <w:t>本文件按照GB/T 1.1—2020《标准化工作导则  第1部分：标准化文件的结构和起草规则》的规定起草。</w:t>
      </w:r>
    </w:p>
    <w:p w14:paraId="172B4BAC">
      <w:pPr>
        <w:pStyle w:val="56"/>
        <w:ind w:firstLine="420"/>
        <w:rPr>
          <w:color w:val="auto"/>
          <w:highlight w:val="none"/>
        </w:rPr>
      </w:pPr>
      <w:r>
        <w:rPr>
          <w:rFonts w:hint="eastAsia"/>
          <w:color w:val="auto"/>
          <w:highlight w:val="none"/>
        </w:rPr>
        <w:t>请注意本文件的某些内容可能涉及专利。本文件的发布机构不承担识别专利的责任。</w:t>
      </w:r>
    </w:p>
    <w:p w14:paraId="6C5A1829">
      <w:pPr>
        <w:pStyle w:val="56"/>
        <w:ind w:firstLine="420"/>
        <w:rPr>
          <w:color w:val="auto"/>
          <w:highlight w:val="none"/>
        </w:rPr>
      </w:pPr>
      <w:r>
        <w:rPr>
          <w:rFonts w:hint="eastAsia"/>
          <w:color w:val="auto"/>
          <w:highlight w:val="none"/>
        </w:rPr>
        <w:t>本文件由××××提出。</w:t>
      </w:r>
      <w:bookmarkStart w:id="89" w:name="_GoBack"/>
      <w:bookmarkEnd w:id="89"/>
    </w:p>
    <w:p w14:paraId="46EDC050">
      <w:pPr>
        <w:pStyle w:val="56"/>
        <w:ind w:firstLine="420"/>
        <w:rPr>
          <w:color w:val="auto"/>
          <w:highlight w:val="none"/>
        </w:rPr>
      </w:pPr>
      <w:r>
        <w:rPr>
          <w:rFonts w:hint="eastAsia"/>
          <w:color w:val="auto"/>
          <w:highlight w:val="none"/>
        </w:rPr>
        <w:t>本文件由××××归口。</w:t>
      </w:r>
    </w:p>
    <w:p w14:paraId="06789EF7">
      <w:pPr>
        <w:pStyle w:val="56"/>
        <w:ind w:firstLine="420"/>
        <w:rPr>
          <w:rFonts w:hint="default" w:eastAsia="宋体"/>
          <w:color w:val="auto"/>
          <w:highlight w:val="none"/>
          <w:lang w:val="en-US" w:eastAsia="zh-CN"/>
        </w:rPr>
      </w:pPr>
      <w:r>
        <w:rPr>
          <w:rFonts w:hint="eastAsia"/>
          <w:color w:val="auto"/>
          <w:highlight w:val="none"/>
        </w:rPr>
        <w:t>本文件起草单位：</w:t>
      </w:r>
    </w:p>
    <w:p w14:paraId="3DFEDB23">
      <w:pPr>
        <w:pStyle w:val="56"/>
        <w:ind w:firstLine="420"/>
        <w:rPr>
          <w:color w:val="auto"/>
          <w:highlight w:val="none"/>
        </w:rPr>
      </w:pPr>
      <w:r>
        <w:rPr>
          <w:rFonts w:hint="eastAsia"/>
          <w:color w:val="auto"/>
          <w:highlight w:val="none"/>
        </w:rPr>
        <w:t>本文件主要起草人：</w:t>
      </w:r>
    </w:p>
    <w:p w14:paraId="59C5DF82">
      <w:pPr>
        <w:pStyle w:val="56"/>
        <w:ind w:firstLine="420"/>
        <w:rPr>
          <w:color w:val="auto"/>
          <w:highlight w:val="none"/>
        </w:rPr>
      </w:pPr>
    </w:p>
    <w:p w14:paraId="1C06A61B">
      <w:pPr>
        <w:pStyle w:val="56"/>
        <w:ind w:firstLine="420"/>
        <w:rPr>
          <w:color w:val="auto"/>
          <w:highlight w:val="none"/>
        </w:rPr>
        <w:sectPr>
          <w:pgSz w:w="11906" w:h="16838"/>
          <w:pgMar w:top="1928" w:right="1134" w:bottom="1134" w:left="1134" w:header="1418" w:footer="907" w:gutter="284"/>
          <w:cols w:space="425" w:num="1"/>
          <w:formProt w:val="0"/>
          <w:docGrid w:linePitch="312" w:charSpace="0"/>
        </w:sectPr>
      </w:pPr>
    </w:p>
    <w:bookmarkEnd w:id="23"/>
    <w:p w14:paraId="6C2AA5A0">
      <w:pPr>
        <w:spacing w:line="20" w:lineRule="exact"/>
        <w:jc w:val="center"/>
        <w:rPr>
          <w:rFonts w:ascii="黑体" w:hAnsi="黑体" w:eastAsia="黑体"/>
          <w:color w:val="auto"/>
          <w:sz w:val="32"/>
          <w:szCs w:val="32"/>
          <w:highlight w:val="none"/>
        </w:rPr>
      </w:pPr>
      <w:bookmarkStart w:id="24" w:name="BookMark4"/>
    </w:p>
    <w:p w14:paraId="50D34DFC">
      <w:pPr>
        <w:spacing w:line="20" w:lineRule="exact"/>
        <w:jc w:val="center"/>
        <w:rPr>
          <w:rFonts w:ascii="黑体" w:hAnsi="黑体" w:eastAsia="黑体"/>
          <w:color w:val="auto"/>
          <w:sz w:val="32"/>
          <w:szCs w:val="32"/>
          <w:highlight w:val="none"/>
        </w:rPr>
      </w:pPr>
    </w:p>
    <w:sdt>
      <w:sdtPr>
        <w:rPr>
          <w:color w:val="auto"/>
          <w:highlight w:val="none"/>
        </w:rPr>
        <w:tag w:val="NEW_STAND_NAME"/>
        <w:id w:val="595910757"/>
        <w:lock w:val="sdtLocked"/>
        <w:placeholder>
          <w:docPart w:val="DEDD3587662B447AA4C08A3BFF73D393"/>
        </w:placeholder>
      </w:sdtPr>
      <w:sdtEndPr>
        <w:rPr>
          <w:color w:val="auto"/>
          <w:highlight w:val="none"/>
        </w:rPr>
      </w:sdtEndPr>
      <w:sdtContent>
        <w:p w14:paraId="5B80B483">
          <w:pPr>
            <w:pStyle w:val="177"/>
            <w:spacing w:before="240" w:beforeLines="100" w:after="528" w:afterLines="220"/>
            <w:rPr>
              <w:color w:val="auto"/>
              <w:highlight w:val="none"/>
            </w:rPr>
          </w:pPr>
          <w:bookmarkStart w:id="25" w:name="NEW_STAND_NAME"/>
          <w:r>
            <w:rPr>
              <w:rFonts w:hint="eastAsia"/>
              <w:color w:val="auto"/>
              <w:highlight w:val="none"/>
            </w:rPr>
            <w:t>地表水新污染物监测技术规范</w:t>
          </w:r>
        </w:p>
      </w:sdtContent>
    </w:sdt>
    <w:bookmarkEnd w:id="25"/>
    <w:p w14:paraId="17D6EE8A">
      <w:pPr>
        <w:pStyle w:val="104"/>
        <w:spacing w:before="240" w:after="240"/>
        <w:rPr>
          <w:color w:val="auto"/>
          <w:highlight w:val="none"/>
        </w:rPr>
      </w:pPr>
      <w:bookmarkStart w:id="26" w:name="_Toc26986530"/>
      <w:bookmarkStart w:id="27" w:name="_Toc17233333"/>
      <w:bookmarkStart w:id="28" w:name="_Toc97192964"/>
      <w:bookmarkStart w:id="29" w:name="_Toc223795209"/>
      <w:bookmarkStart w:id="30" w:name="_Toc26986771"/>
      <w:bookmarkStart w:id="31" w:name="_Toc26648465"/>
      <w:bookmarkStart w:id="32" w:name="_Toc17233325"/>
      <w:bookmarkStart w:id="33" w:name="_Toc24884211"/>
      <w:bookmarkStart w:id="34" w:name="_Toc229148091"/>
      <w:bookmarkStart w:id="35" w:name="_Toc26718930"/>
      <w:bookmarkStart w:id="36" w:name="_Toc24884218"/>
      <w:r>
        <w:rPr>
          <w:rFonts w:hint="eastAsia"/>
          <w:color w:val="auto"/>
          <w:highlight w:val="none"/>
        </w:rPr>
        <w:t>范围</w:t>
      </w:r>
      <w:bookmarkEnd w:id="26"/>
      <w:bookmarkEnd w:id="27"/>
      <w:bookmarkEnd w:id="28"/>
      <w:bookmarkEnd w:id="29"/>
      <w:bookmarkEnd w:id="30"/>
      <w:bookmarkEnd w:id="31"/>
      <w:bookmarkEnd w:id="32"/>
      <w:bookmarkEnd w:id="33"/>
      <w:bookmarkEnd w:id="34"/>
      <w:bookmarkEnd w:id="35"/>
      <w:bookmarkEnd w:id="36"/>
    </w:p>
    <w:p w14:paraId="52D1E01B">
      <w:pPr>
        <w:pStyle w:val="56"/>
        <w:ind w:firstLine="420"/>
        <w:rPr>
          <w:color w:val="auto"/>
          <w:highlight w:val="none"/>
        </w:rPr>
      </w:pPr>
      <w:bookmarkStart w:id="37" w:name="_Toc17233326"/>
      <w:bookmarkStart w:id="38" w:name="_Toc24884212"/>
      <w:bookmarkStart w:id="39" w:name="_Toc26648466"/>
      <w:bookmarkStart w:id="40" w:name="_Toc17233334"/>
      <w:bookmarkStart w:id="41" w:name="_Toc24884219"/>
      <w:r>
        <w:rPr>
          <w:rFonts w:hint="eastAsia"/>
          <w:color w:val="auto"/>
          <w:highlight w:val="none"/>
        </w:rPr>
        <w:t>本文件规定了地表水新污染物监测的监测方案制定、点位布设、采样频次、样品采集保存运输、实验室分析测试、质量保证与质量控制、数据处理与报告编制的全流程技术要求。</w:t>
      </w:r>
    </w:p>
    <w:p w14:paraId="55451764">
      <w:pPr>
        <w:pStyle w:val="56"/>
        <w:ind w:firstLine="420"/>
        <w:rPr>
          <w:color w:val="auto"/>
          <w:highlight w:val="none"/>
        </w:rPr>
      </w:pPr>
      <w:r>
        <w:rPr>
          <w:rFonts w:hint="eastAsia"/>
          <w:color w:val="auto"/>
          <w:highlight w:val="none"/>
        </w:rPr>
        <w:t>本文件适用于江河、湖泊、水库和渠道等地表水的水环境质量手工监测。</w:t>
      </w:r>
    </w:p>
    <w:p w14:paraId="7B04920F">
      <w:pPr>
        <w:pStyle w:val="104"/>
        <w:spacing w:before="240" w:after="240"/>
        <w:rPr>
          <w:color w:val="auto"/>
          <w:highlight w:val="none"/>
        </w:rPr>
      </w:pPr>
      <w:bookmarkStart w:id="42" w:name="_Toc223795210"/>
      <w:bookmarkStart w:id="43" w:name="_Toc97192965"/>
      <w:bookmarkStart w:id="44" w:name="_Toc26718931"/>
      <w:bookmarkStart w:id="45" w:name="_Toc26986772"/>
      <w:bookmarkStart w:id="46" w:name="_Toc229148092"/>
      <w:bookmarkStart w:id="47" w:name="_Toc26986531"/>
      <w:r>
        <w:rPr>
          <w:rFonts w:hint="eastAsia"/>
          <w:color w:val="auto"/>
          <w:highlight w:val="none"/>
        </w:rPr>
        <w:t>规范性引用文件</w:t>
      </w:r>
      <w:bookmarkEnd w:id="37"/>
      <w:bookmarkEnd w:id="38"/>
      <w:bookmarkEnd w:id="39"/>
      <w:bookmarkEnd w:id="40"/>
      <w:bookmarkEnd w:id="41"/>
      <w:bookmarkEnd w:id="42"/>
      <w:bookmarkEnd w:id="43"/>
      <w:bookmarkEnd w:id="44"/>
      <w:bookmarkEnd w:id="45"/>
      <w:bookmarkEnd w:id="46"/>
      <w:bookmarkEnd w:id="47"/>
    </w:p>
    <w:p w14:paraId="2BC0EEDC">
      <w:pPr>
        <w:pStyle w:val="56"/>
        <w:ind w:firstLine="420"/>
        <w:rPr>
          <w:color w:val="auto"/>
          <w:highlight w:val="none"/>
        </w:rPr>
      </w:pPr>
      <w:r>
        <w:rPr>
          <w:color w:val="auto"/>
          <w:highlight w:val="none"/>
        </w:rPr>
        <w:t>本</w:t>
      </w:r>
      <w:r>
        <w:rPr>
          <w:rFonts w:hint="eastAsia"/>
          <w:color w:val="auto"/>
          <w:highlight w:val="none"/>
        </w:rPr>
        <w:t>文件</w:t>
      </w:r>
      <w:r>
        <w:rPr>
          <w:color w:val="auto"/>
          <w:highlight w:val="none"/>
        </w:rPr>
        <w:t>引用了下列文件或其中的条款。凡是注明日期的引用文件，仅注日期的版本适用于本标准。 凡是未注日期的引用文件，其最新版本（包括所有的修改单）适用于本标准。</w:t>
      </w:r>
    </w:p>
    <w:p w14:paraId="612BFEE8">
      <w:pPr>
        <w:pStyle w:val="56"/>
        <w:ind w:firstLine="420"/>
        <w:rPr>
          <w:color w:val="auto"/>
          <w:highlight w:val="none"/>
        </w:rPr>
      </w:pPr>
      <w:bookmarkStart w:id="48" w:name="_Toc97192966"/>
      <w:r>
        <w:rPr>
          <w:color w:val="auto"/>
          <w:highlight w:val="none"/>
        </w:rPr>
        <w:t>GB/T 6682</w:t>
      </w:r>
      <w:r>
        <w:rPr>
          <w:rFonts w:hint="eastAsia"/>
          <w:color w:val="auto"/>
          <w:highlight w:val="none"/>
        </w:rPr>
        <w:t xml:space="preserve">  分析实验室用水规格和试验方法</w:t>
      </w:r>
    </w:p>
    <w:p w14:paraId="3321C509">
      <w:pPr>
        <w:pStyle w:val="56"/>
        <w:ind w:firstLine="420"/>
        <w:rPr>
          <w:color w:val="auto"/>
          <w:highlight w:val="none"/>
        </w:rPr>
      </w:pPr>
      <w:r>
        <w:rPr>
          <w:color w:val="auto"/>
          <w:highlight w:val="none"/>
        </w:rPr>
        <w:t>GB/T 8170</w:t>
      </w:r>
      <w:r>
        <w:rPr>
          <w:rFonts w:hint="eastAsia"/>
          <w:color w:val="auto"/>
          <w:highlight w:val="none"/>
        </w:rPr>
        <w:t xml:space="preserve">  数值修约规则与极限数值的表示和判定</w:t>
      </w:r>
    </w:p>
    <w:p w14:paraId="07909F6E">
      <w:pPr>
        <w:pStyle w:val="56"/>
        <w:ind w:firstLine="420"/>
        <w:rPr>
          <w:color w:val="auto"/>
          <w:highlight w:val="none"/>
        </w:rPr>
      </w:pPr>
      <w:r>
        <w:rPr>
          <w:rFonts w:hint="eastAsia"/>
          <w:color w:val="auto"/>
          <w:highlight w:val="none"/>
        </w:rPr>
        <w:t>HJ/T 52  水质 河流采样技术指导</w:t>
      </w:r>
    </w:p>
    <w:p w14:paraId="614D0DA7">
      <w:pPr>
        <w:pStyle w:val="56"/>
        <w:ind w:firstLine="420"/>
        <w:rPr>
          <w:color w:val="auto"/>
          <w:highlight w:val="none"/>
        </w:rPr>
      </w:pPr>
      <w:r>
        <w:rPr>
          <w:rFonts w:hint="eastAsia"/>
          <w:color w:val="auto"/>
          <w:highlight w:val="none"/>
        </w:rPr>
        <w:t>HJ 91.2  地表水环境质量监测技术规范</w:t>
      </w:r>
    </w:p>
    <w:p w14:paraId="5C75E262">
      <w:pPr>
        <w:pStyle w:val="56"/>
        <w:ind w:firstLine="420"/>
        <w:rPr>
          <w:color w:val="auto"/>
          <w:highlight w:val="none"/>
        </w:rPr>
      </w:pPr>
      <w:r>
        <w:rPr>
          <w:rFonts w:hint="eastAsia"/>
          <w:color w:val="auto"/>
          <w:highlight w:val="none"/>
        </w:rPr>
        <w:t>HJ 493  水质 样品的保存和管理技术规定</w:t>
      </w:r>
    </w:p>
    <w:p w14:paraId="43DB7B8C">
      <w:pPr>
        <w:pStyle w:val="56"/>
        <w:ind w:firstLine="420"/>
        <w:rPr>
          <w:color w:val="auto"/>
          <w:highlight w:val="none"/>
        </w:rPr>
      </w:pPr>
      <w:r>
        <w:rPr>
          <w:rFonts w:hint="eastAsia"/>
          <w:color w:val="auto"/>
          <w:highlight w:val="none"/>
        </w:rPr>
        <w:t>HJ 494  水质 采样技术指导</w:t>
      </w:r>
    </w:p>
    <w:p w14:paraId="6C2A56E5">
      <w:pPr>
        <w:pStyle w:val="56"/>
        <w:ind w:firstLine="420"/>
        <w:rPr>
          <w:color w:val="auto"/>
          <w:highlight w:val="none"/>
        </w:rPr>
      </w:pPr>
      <w:r>
        <w:rPr>
          <w:rFonts w:hint="eastAsia" w:hAnsi="宋体" w:cs="宋体"/>
          <w:color w:val="auto"/>
          <w:szCs w:val="21"/>
          <w:highlight w:val="none"/>
        </w:rPr>
        <w:t>HJ 630  环境监测质量管理技术导则</w:t>
      </w:r>
    </w:p>
    <w:p w14:paraId="08BCB5C9">
      <w:pPr>
        <w:pStyle w:val="56"/>
        <w:ind w:firstLine="420"/>
        <w:rPr>
          <w:color w:val="auto"/>
          <w:highlight w:val="none"/>
        </w:rPr>
      </w:pPr>
      <w:r>
        <w:rPr>
          <w:color w:val="auto"/>
          <w:highlight w:val="none"/>
        </w:rPr>
        <w:t xml:space="preserve">HJ </w:t>
      </w:r>
      <w:r>
        <w:rPr>
          <w:rFonts w:hint="eastAsia"/>
          <w:color w:val="auto"/>
          <w:highlight w:val="none"/>
        </w:rPr>
        <w:t>1192  水质 9种烷基酚类化合物和双酚A的测定 固相萃取/高效液相色谱法</w:t>
      </w:r>
    </w:p>
    <w:p w14:paraId="7FFA03CD">
      <w:pPr>
        <w:pStyle w:val="56"/>
        <w:ind w:firstLine="420"/>
        <w:rPr>
          <w:color w:val="auto"/>
          <w:highlight w:val="none"/>
        </w:rPr>
      </w:pPr>
      <w:r>
        <w:rPr>
          <w:color w:val="auto"/>
          <w:highlight w:val="none"/>
        </w:rPr>
        <w:t>HJ 1242</w:t>
      </w:r>
      <w:r>
        <w:rPr>
          <w:rFonts w:hint="eastAsia"/>
          <w:color w:val="auto"/>
          <w:highlight w:val="none"/>
        </w:rPr>
        <w:t xml:space="preserve">  水质 6种邻苯二甲酸酯类化合物的测定 液相色谱-三重四极杆质谱法</w:t>
      </w:r>
    </w:p>
    <w:p w14:paraId="61FBA5F3">
      <w:pPr>
        <w:pStyle w:val="56"/>
        <w:ind w:firstLine="420"/>
        <w:rPr>
          <w:color w:val="auto"/>
          <w:highlight w:val="none"/>
        </w:rPr>
      </w:pPr>
      <w:r>
        <w:rPr>
          <w:color w:val="auto"/>
          <w:highlight w:val="none"/>
        </w:rPr>
        <w:t>HJ 1398</w:t>
      </w:r>
      <w:r>
        <w:rPr>
          <w:rFonts w:hint="eastAsia"/>
          <w:color w:val="auto"/>
          <w:highlight w:val="none"/>
        </w:rPr>
        <w:t xml:space="preserve">  水质 18种磺胺类抗生素和甲氧苄氨嘧啶的测定 高效液相色谱-三重四极杆质谱法</w:t>
      </w:r>
    </w:p>
    <w:p w14:paraId="7CE882D1">
      <w:pPr>
        <w:pStyle w:val="56"/>
        <w:ind w:firstLine="420"/>
        <w:rPr>
          <w:color w:val="auto"/>
          <w:highlight w:val="none"/>
        </w:rPr>
      </w:pPr>
      <w:r>
        <w:rPr>
          <w:color w:val="auto"/>
          <w:highlight w:val="none"/>
        </w:rPr>
        <w:t>HJ 1399</w:t>
      </w:r>
      <w:r>
        <w:rPr>
          <w:rFonts w:hint="eastAsia"/>
          <w:color w:val="auto"/>
          <w:highlight w:val="none"/>
        </w:rPr>
        <w:t xml:space="preserve">  水质 17种氟喹诺酮类抗生素的测定 高效液相色谱-三重四极杆质谱法</w:t>
      </w:r>
    </w:p>
    <w:p w14:paraId="2DFA8B09">
      <w:pPr>
        <w:pStyle w:val="56"/>
        <w:ind w:firstLine="420"/>
        <w:rPr>
          <w:color w:val="auto"/>
          <w:highlight w:val="none"/>
        </w:rPr>
      </w:pPr>
      <w:r>
        <w:rPr>
          <w:rFonts w:hint="eastAsia"/>
          <w:color w:val="auto"/>
          <w:highlight w:val="none"/>
        </w:rPr>
        <w:t>《新污染物治理行动方案》（国办发〔2022〕15号）</w:t>
      </w:r>
    </w:p>
    <w:p w14:paraId="0163D495">
      <w:pPr>
        <w:pStyle w:val="56"/>
        <w:ind w:firstLine="420"/>
        <w:rPr>
          <w:color w:val="auto"/>
          <w:highlight w:val="none"/>
        </w:rPr>
      </w:pPr>
      <w:r>
        <w:rPr>
          <w:rFonts w:hint="eastAsia"/>
          <w:color w:val="auto"/>
          <w:highlight w:val="none"/>
        </w:rPr>
        <w:t>《重点管控新污染物清单》（2023年版）</w:t>
      </w:r>
    </w:p>
    <w:p w14:paraId="7FBEE36F">
      <w:pPr>
        <w:pStyle w:val="104"/>
        <w:spacing w:before="240" w:after="240"/>
        <w:rPr>
          <w:color w:val="auto"/>
          <w:highlight w:val="none"/>
        </w:rPr>
      </w:pPr>
      <w:bookmarkStart w:id="49" w:name="_Toc229148093"/>
      <w:bookmarkStart w:id="50" w:name="_Toc223795211"/>
      <w:r>
        <w:rPr>
          <w:rFonts w:hint="eastAsia"/>
          <w:color w:val="auto"/>
          <w:szCs w:val="21"/>
          <w:highlight w:val="none"/>
        </w:rPr>
        <w:t>术语和定义</w:t>
      </w:r>
      <w:bookmarkEnd w:id="48"/>
      <w:bookmarkEnd w:id="49"/>
      <w:bookmarkEnd w:id="50"/>
    </w:p>
    <w:sdt>
      <w:sdtPr>
        <w:rPr>
          <w:color w:val="auto"/>
          <w:highlight w:val="none"/>
        </w:rPr>
        <w:id w:val="-1909835108"/>
        <w:placeholder>
          <w:docPart w:val="9BB8A5A8396D405881A140E15C41174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color w:val="auto"/>
          <w:highlight w:val="none"/>
        </w:rPr>
      </w:sdtEndPr>
      <w:sdtContent>
        <w:p w14:paraId="01732F8A">
          <w:pPr>
            <w:pStyle w:val="56"/>
            <w:ind w:firstLine="420"/>
            <w:rPr>
              <w:color w:val="auto"/>
              <w:highlight w:val="none"/>
            </w:rPr>
          </w:pPr>
          <w:bookmarkStart w:id="51" w:name="_Toc26986532"/>
          <w:bookmarkEnd w:id="51"/>
          <w:r>
            <w:rPr>
              <w:color w:val="auto"/>
              <w:highlight w:val="none"/>
            </w:rPr>
            <w:t>下列术语和定义适用于本文件。</w:t>
          </w:r>
        </w:p>
      </w:sdtContent>
    </w:sdt>
    <w:p w14:paraId="0028B2CB">
      <w:pPr>
        <w:pStyle w:val="223"/>
        <w:ind w:left="420" w:hanging="420" w:hangingChars="200"/>
        <w:rPr>
          <w:rFonts w:ascii="黑体" w:hAnsi="黑体" w:eastAsia="黑体"/>
          <w:color w:val="auto"/>
          <w:highlight w:val="none"/>
        </w:rPr>
      </w:pPr>
      <w:r>
        <w:rPr>
          <w:rFonts w:ascii="黑体" w:hAnsi="黑体" w:eastAsia="黑体"/>
          <w:color w:val="auto"/>
          <w:highlight w:val="none"/>
        </w:rPr>
        <w:br w:type="textWrapping"/>
      </w:r>
      <w:r>
        <w:rPr>
          <w:rFonts w:hint="eastAsia" w:ascii="黑体" w:hAnsi="黑体" w:eastAsia="黑体"/>
          <w:color w:val="auto"/>
          <w:highlight w:val="none"/>
        </w:rPr>
        <w:t xml:space="preserve">新污染物  </w:t>
      </w:r>
      <w:r>
        <w:rPr>
          <w:rFonts w:ascii="黑体" w:hAnsi="宋体" w:eastAsia="黑体" w:cs="黑体"/>
          <w:color w:val="auto"/>
          <w:szCs w:val="21"/>
          <w:highlight w:val="none"/>
        </w:rPr>
        <w:t>new pollutants</w:t>
      </w:r>
    </w:p>
    <w:p w14:paraId="4C435E09">
      <w:pPr>
        <w:pStyle w:val="56"/>
        <w:ind w:firstLine="420"/>
        <w:rPr>
          <w:color w:val="auto"/>
          <w:highlight w:val="none"/>
        </w:rPr>
      </w:pPr>
      <w:r>
        <w:rPr>
          <w:rFonts w:hint="eastAsia"/>
          <w:color w:val="auto"/>
          <w:highlight w:val="none"/>
        </w:rPr>
        <w:t>新污染物是指排放到环境中的具有生物毒性、环境持久性、生物累积性等特征，对生态环境或者人体健康存在较大风险，但尚未纳入管理或者现有管理措施不足的有毒有害化学物质。</w:t>
      </w:r>
    </w:p>
    <w:p w14:paraId="172DFD9C">
      <w:pPr>
        <w:pStyle w:val="223"/>
        <w:ind w:left="420" w:hanging="420" w:hangingChars="200"/>
        <w:rPr>
          <w:rFonts w:ascii="黑体" w:hAnsi="黑体" w:eastAsia="黑体"/>
          <w:color w:val="auto"/>
          <w:highlight w:val="none"/>
        </w:rPr>
      </w:pPr>
      <w:r>
        <w:rPr>
          <w:rFonts w:ascii="黑体" w:hAnsi="黑体" w:eastAsia="黑体"/>
          <w:color w:val="auto"/>
          <w:highlight w:val="none"/>
        </w:rPr>
        <w:br w:type="textWrapping"/>
      </w:r>
      <w:r>
        <w:rPr>
          <w:rFonts w:hint="eastAsia" w:ascii="黑体" w:hAnsi="黑体" w:eastAsia="黑体"/>
          <w:color w:val="auto"/>
          <w:highlight w:val="none"/>
        </w:rPr>
        <w:t>常规监测  routine monitoring</w:t>
      </w:r>
    </w:p>
    <w:p w14:paraId="2CBDAFCF">
      <w:pPr>
        <w:pStyle w:val="56"/>
        <w:ind w:firstLine="420"/>
        <w:rPr>
          <w:color w:val="auto"/>
          <w:highlight w:val="none"/>
        </w:rPr>
      </w:pPr>
      <w:r>
        <w:rPr>
          <w:rFonts w:hint="eastAsia"/>
          <w:color w:val="auto"/>
          <w:highlight w:val="none"/>
        </w:rPr>
        <w:t>为掌握地表水新污染物的长期时空分布特征、变化趋势，按照固定点位、固定频次、固定项目开展的连续性监测活动。</w:t>
      </w:r>
    </w:p>
    <w:p w14:paraId="5116AB5A">
      <w:pPr>
        <w:pStyle w:val="56"/>
        <w:ind w:firstLine="420"/>
        <w:rPr>
          <w:color w:val="auto"/>
          <w:highlight w:val="none"/>
        </w:rPr>
      </w:pPr>
    </w:p>
    <w:p w14:paraId="6262FC2D">
      <w:pPr>
        <w:pStyle w:val="223"/>
        <w:ind w:left="420" w:hanging="420" w:hangingChars="200"/>
        <w:rPr>
          <w:rFonts w:ascii="黑体" w:hAnsi="黑体" w:eastAsia="黑体"/>
          <w:color w:val="auto"/>
          <w:highlight w:val="none"/>
        </w:rPr>
      </w:pPr>
      <w:r>
        <w:rPr>
          <w:rFonts w:ascii="黑体" w:hAnsi="黑体" w:eastAsia="黑体"/>
          <w:color w:val="auto"/>
          <w:highlight w:val="none"/>
        </w:rPr>
        <w:br w:type="textWrapping"/>
      </w:r>
      <w:r>
        <w:rPr>
          <w:rFonts w:hint="eastAsia" w:ascii="黑体" w:hAnsi="黑体" w:eastAsia="黑体"/>
          <w:color w:val="auto"/>
          <w:highlight w:val="none"/>
        </w:rPr>
        <w:t>专项监测  special monitoring</w:t>
      </w:r>
    </w:p>
    <w:p w14:paraId="73A5DD59">
      <w:pPr>
        <w:pStyle w:val="56"/>
        <w:ind w:firstLine="420"/>
        <w:rPr>
          <w:color w:val="auto"/>
          <w:highlight w:val="none"/>
        </w:rPr>
      </w:pPr>
      <w:r>
        <w:rPr>
          <w:rFonts w:hint="eastAsia"/>
          <w:color w:val="auto"/>
          <w:highlight w:val="none"/>
        </w:rPr>
        <w:t>针对特定区域、特定污染源、特定新污染物，为排查污染来源、评估环境风险、支撑污染管控开展的针对性监测活动。</w:t>
      </w:r>
    </w:p>
    <w:p w14:paraId="363A5EE2">
      <w:pPr>
        <w:pStyle w:val="104"/>
        <w:spacing w:before="240" w:after="240"/>
        <w:rPr>
          <w:color w:val="auto"/>
          <w:highlight w:val="none"/>
        </w:rPr>
      </w:pPr>
      <w:bookmarkStart w:id="52" w:name="_Toc229148094"/>
      <w:r>
        <w:rPr>
          <w:rFonts w:hint="eastAsia"/>
          <w:color w:val="auto"/>
          <w:highlight w:val="none"/>
        </w:rPr>
        <w:t>总则</w:t>
      </w:r>
      <w:bookmarkEnd w:id="52"/>
    </w:p>
    <w:p w14:paraId="48865D45">
      <w:pPr>
        <w:pStyle w:val="105"/>
        <w:spacing w:before="120" w:after="120"/>
        <w:rPr>
          <w:color w:val="auto"/>
          <w:highlight w:val="none"/>
        </w:rPr>
      </w:pPr>
      <w:bookmarkStart w:id="53" w:name="_Toc229148095"/>
      <w:r>
        <w:rPr>
          <w:rFonts w:hint="eastAsia"/>
          <w:color w:val="auto"/>
          <w:highlight w:val="none"/>
        </w:rPr>
        <w:t>基本原则</w:t>
      </w:r>
      <w:bookmarkEnd w:id="53"/>
    </w:p>
    <w:p w14:paraId="3628FD2D">
      <w:pPr>
        <w:pStyle w:val="65"/>
        <w:spacing w:before="120" w:after="120"/>
        <w:rPr>
          <w:color w:val="auto"/>
          <w:highlight w:val="none"/>
        </w:rPr>
      </w:pPr>
      <w:r>
        <w:rPr>
          <w:rFonts w:hint="eastAsia"/>
          <w:color w:val="auto"/>
          <w:highlight w:val="none"/>
        </w:rPr>
        <w:t>科学性原则</w:t>
      </w:r>
    </w:p>
    <w:p w14:paraId="1867125C">
      <w:pPr>
        <w:pStyle w:val="56"/>
        <w:ind w:firstLine="420"/>
        <w:rPr>
          <w:color w:val="auto"/>
          <w:highlight w:val="none"/>
        </w:rPr>
      </w:pPr>
      <w:r>
        <w:rPr>
          <w:rFonts w:hint="eastAsia"/>
          <w:color w:val="auto"/>
          <w:highlight w:val="none"/>
        </w:rPr>
        <w:t>针对新污染物痕量、超痕量、易降解、易受外源性污染的特性，选择适配的布点、采样、分析方法，确保监测数据真实准确。</w:t>
      </w:r>
    </w:p>
    <w:p w14:paraId="4AB20411">
      <w:pPr>
        <w:pStyle w:val="65"/>
        <w:spacing w:before="120" w:after="120"/>
        <w:rPr>
          <w:color w:val="auto"/>
          <w:highlight w:val="none"/>
        </w:rPr>
      </w:pPr>
      <w:r>
        <w:rPr>
          <w:rFonts w:hint="eastAsia"/>
          <w:color w:val="auto"/>
          <w:highlight w:val="none"/>
        </w:rPr>
        <w:t>规范性原则</w:t>
      </w:r>
    </w:p>
    <w:p w14:paraId="77BE4ABE">
      <w:pPr>
        <w:pStyle w:val="56"/>
        <w:ind w:firstLine="420"/>
        <w:rPr>
          <w:color w:val="auto"/>
          <w:highlight w:val="none"/>
        </w:rPr>
      </w:pPr>
      <w:r>
        <w:rPr>
          <w:rFonts w:hint="eastAsia"/>
          <w:color w:val="auto"/>
          <w:highlight w:val="none"/>
        </w:rPr>
        <w:t>统一监测流程、技术要求、质量控制指标，确保不同区域、不同时段的监测数据具有可比性。</w:t>
      </w:r>
    </w:p>
    <w:p w14:paraId="6AA263A8">
      <w:pPr>
        <w:pStyle w:val="65"/>
        <w:spacing w:before="120" w:after="120"/>
        <w:rPr>
          <w:color w:val="auto"/>
          <w:highlight w:val="none"/>
        </w:rPr>
      </w:pPr>
      <w:r>
        <w:rPr>
          <w:rFonts w:hint="eastAsia"/>
          <w:color w:val="auto"/>
          <w:highlight w:val="none"/>
        </w:rPr>
        <w:t>风险导向原则</w:t>
      </w:r>
    </w:p>
    <w:p w14:paraId="4D638360">
      <w:pPr>
        <w:pStyle w:val="56"/>
        <w:ind w:firstLine="420"/>
        <w:rPr>
          <w:color w:val="auto"/>
          <w:highlight w:val="none"/>
        </w:rPr>
      </w:pPr>
      <w:r>
        <w:rPr>
          <w:rFonts w:hint="eastAsia"/>
          <w:color w:val="auto"/>
          <w:highlight w:val="none"/>
        </w:rPr>
        <w:t>优先覆盖饮用水水源地、生态保护红线区、工业园区周边、跨界水体等敏感区域，重点监测《重点管控新污染物清单》内的高风险物质。</w:t>
      </w:r>
    </w:p>
    <w:p w14:paraId="3488BF06">
      <w:pPr>
        <w:pStyle w:val="65"/>
        <w:spacing w:before="120" w:after="120"/>
        <w:rPr>
          <w:color w:val="auto"/>
          <w:highlight w:val="none"/>
        </w:rPr>
      </w:pPr>
      <w:r>
        <w:rPr>
          <w:rFonts w:hint="eastAsia"/>
          <w:color w:val="auto"/>
          <w:highlight w:val="none"/>
        </w:rPr>
        <w:t>全程质控原则</w:t>
      </w:r>
    </w:p>
    <w:p w14:paraId="5828ECD2">
      <w:pPr>
        <w:pStyle w:val="56"/>
        <w:ind w:firstLine="420"/>
        <w:rPr>
          <w:color w:val="auto"/>
          <w:highlight w:val="none"/>
        </w:rPr>
      </w:pPr>
      <w:r>
        <w:rPr>
          <w:rFonts w:hint="eastAsia"/>
          <w:color w:val="auto"/>
          <w:highlight w:val="none"/>
        </w:rPr>
        <w:t>建立从采样到报告的全流程质量控制体系，实现监测全过程可追溯。</w:t>
      </w:r>
    </w:p>
    <w:p w14:paraId="4AF5EA46">
      <w:pPr>
        <w:pStyle w:val="56"/>
        <w:ind w:firstLine="420"/>
        <w:rPr>
          <w:color w:val="auto"/>
          <w:highlight w:val="none"/>
        </w:rPr>
      </w:pPr>
    </w:p>
    <w:p w14:paraId="063FABD0">
      <w:pPr>
        <w:pStyle w:val="105"/>
        <w:spacing w:before="120" w:after="120"/>
        <w:rPr>
          <w:color w:val="auto"/>
          <w:highlight w:val="none"/>
        </w:rPr>
      </w:pPr>
      <w:bookmarkStart w:id="54" w:name="_Toc229148096"/>
      <w:r>
        <w:rPr>
          <w:rFonts w:hint="eastAsia"/>
          <w:color w:val="auto"/>
          <w:highlight w:val="none"/>
        </w:rPr>
        <w:t>监测分类与技术定位</w:t>
      </w:r>
      <w:bookmarkEnd w:id="54"/>
    </w:p>
    <w:p w14:paraId="0F1206E8">
      <w:pPr>
        <w:pStyle w:val="56"/>
        <w:ind w:firstLine="420"/>
        <w:rPr>
          <w:color w:val="auto"/>
          <w:highlight w:val="none"/>
        </w:rPr>
      </w:pPr>
      <w:r>
        <w:rPr>
          <w:rFonts w:hint="eastAsia"/>
          <w:color w:val="auto"/>
          <w:highlight w:val="none"/>
        </w:rPr>
        <w:t>根据监测目的与技术要求，地表水新污染物监测分为以下三类，核心技术差异如下：</w:t>
      </w:r>
    </w:p>
    <w:p w14:paraId="7763CF48">
      <w:pPr>
        <w:pStyle w:val="174"/>
        <w:rPr>
          <w:color w:val="auto"/>
          <w:highlight w:val="none"/>
        </w:rPr>
      </w:pPr>
      <w:r>
        <w:rPr>
          <w:rFonts w:hint="eastAsia"/>
          <w:color w:val="auto"/>
          <w:highlight w:val="none"/>
        </w:rPr>
        <w:t>常规监测：用于掌握区域地表水新污染物长期时空分布与变化趋势，采用固定点位、固定频次、固定必选项目开展连续性监测；</w:t>
      </w:r>
    </w:p>
    <w:p w14:paraId="596462A6">
      <w:pPr>
        <w:pStyle w:val="174"/>
        <w:rPr>
          <w:color w:val="auto"/>
          <w:highlight w:val="none"/>
        </w:rPr>
      </w:pPr>
      <w:r>
        <w:rPr>
          <w:rFonts w:hint="eastAsia"/>
          <w:color w:val="auto"/>
          <w:highlight w:val="none"/>
        </w:rPr>
        <w:t>专项监测：用于污染排查、来源解析、风险评估、治理效果评估，可动态调整监测点位、频次与项目，增加特征污染物监测；</w:t>
      </w:r>
    </w:p>
    <w:p w14:paraId="752E923E">
      <w:pPr>
        <w:pStyle w:val="104"/>
        <w:spacing w:before="240" w:after="240"/>
        <w:rPr>
          <w:color w:val="auto"/>
          <w:highlight w:val="none"/>
        </w:rPr>
      </w:pPr>
      <w:bookmarkStart w:id="55" w:name="_Toc229148097"/>
      <w:r>
        <w:rPr>
          <w:rFonts w:hint="eastAsia"/>
          <w:color w:val="auto"/>
          <w:highlight w:val="none"/>
        </w:rPr>
        <w:t>监测方案制定</w:t>
      </w:r>
      <w:bookmarkEnd w:id="55"/>
    </w:p>
    <w:p w14:paraId="457168B1">
      <w:pPr>
        <w:pStyle w:val="105"/>
        <w:spacing w:before="120" w:after="120"/>
        <w:rPr>
          <w:color w:val="auto"/>
          <w:highlight w:val="none"/>
        </w:rPr>
      </w:pPr>
      <w:bookmarkStart w:id="56" w:name="_Toc229148098"/>
      <w:r>
        <w:rPr>
          <w:rFonts w:hint="eastAsia"/>
          <w:color w:val="auto"/>
          <w:highlight w:val="none"/>
        </w:rPr>
        <w:t>监测项目筛选原则</w:t>
      </w:r>
      <w:bookmarkEnd w:id="56"/>
    </w:p>
    <w:p w14:paraId="61777CCA">
      <w:pPr>
        <w:pStyle w:val="56"/>
        <w:ind w:firstLine="420"/>
        <w:rPr>
          <w:color w:val="auto"/>
          <w:highlight w:val="none"/>
        </w:rPr>
      </w:pPr>
      <w:r>
        <w:rPr>
          <w:rFonts w:hint="eastAsia"/>
          <w:color w:val="auto"/>
          <w:highlight w:val="none"/>
        </w:rPr>
        <w:t>监测项目应结合监测目的、区域污染特征、国家管控要求科学筛选。</w:t>
      </w:r>
      <w:r>
        <w:rPr>
          <w:rFonts w:hint="eastAsia" w:hAnsi="宋体" w:cs="宋体"/>
          <w:color w:val="auto"/>
          <w:szCs w:val="21"/>
          <w:highlight w:val="none"/>
        </w:rPr>
        <w:t>依据国家管控要求、地方监管需求或任务目标等，结合区域信息梳理或实测筛查结果，确定监测区 域地表水中的新污染物监测项目。应结合监测区域污染源的管控措施调整，动态更新新污染物监测项目。</w:t>
      </w:r>
      <w:r>
        <w:rPr>
          <w:rFonts w:hint="eastAsia"/>
          <w:color w:val="auto"/>
          <w:highlight w:val="none"/>
        </w:rPr>
        <w:t>遵循以下原则：</w:t>
      </w:r>
    </w:p>
    <w:p w14:paraId="7AC983CB">
      <w:pPr>
        <w:pStyle w:val="174"/>
        <w:numPr>
          <w:ilvl w:val="0"/>
          <w:numId w:val="32"/>
        </w:numPr>
        <w:rPr>
          <w:color w:val="auto"/>
          <w:highlight w:val="none"/>
        </w:rPr>
      </w:pPr>
      <w:r>
        <w:rPr>
          <w:rFonts w:hint="eastAsia"/>
          <w:color w:val="auto"/>
          <w:highlight w:val="none"/>
        </w:rPr>
        <w:t>必选项目：优先纳入《重点管控新污染物清单》中具有水环境排放途径、已建立成熟标准分析方法的核心物质；</w:t>
      </w:r>
    </w:p>
    <w:p w14:paraId="18906D24">
      <w:pPr>
        <w:pStyle w:val="174"/>
        <w:rPr>
          <w:color w:val="auto"/>
          <w:highlight w:val="none"/>
        </w:rPr>
      </w:pPr>
      <w:r>
        <w:rPr>
          <w:rFonts w:hint="eastAsia"/>
          <w:color w:val="auto"/>
          <w:highlight w:val="none"/>
        </w:rPr>
        <w:t>可选项目：结合区域重点行业（化工、制药、印染、水产养殖等）特征排放、环境检出率高、生态风险大的新污染物；</w:t>
      </w:r>
    </w:p>
    <w:p w14:paraId="688D1399">
      <w:pPr>
        <w:pStyle w:val="105"/>
        <w:spacing w:before="120" w:after="120"/>
        <w:rPr>
          <w:color w:val="auto"/>
          <w:highlight w:val="none"/>
        </w:rPr>
      </w:pPr>
      <w:bookmarkStart w:id="57" w:name="_Toc229148099"/>
      <w:r>
        <w:rPr>
          <w:rFonts w:hint="eastAsia"/>
          <w:color w:val="auto"/>
          <w:highlight w:val="none"/>
        </w:rPr>
        <w:t>监测项目分类与筛选流程</w:t>
      </w:r>
      <w:bookmarkEnd w:id="57"/>
    </w:p>
    <w:p w14:paraId="36303608">
      <w:pPr>
        <w:pStyle w:val="165"/>
        <w:rPr>
          <w:color w:val="auto"/>
          <w:highlight w:val="none"/>
        </w:rPr>
      </w:pPr>
      <w:r>
        <w:rPr>
          <w:rFonts w:hint="eastAsia"/>
          <w:color w:val="auto"/>
          <w:highlight w:val="none"/>
        </w:rPr>
        <w:t>监测项目分为必选项目和可选项目，具体清单见附录A。必选项目为每类新污染物中的核心管控物质，不是全类别强制监测；可选项目根据区域实际需求动态调整。</w:t>
      </w:r>
    </w:p>
    <w:p w14:paraId="59564D19">
      <w:pPr>
        <w:pStyle w:val="165"/>
        <w:rPr>
          <w:color w:val="auto"/>
          <w:highlight w:val="none"/>
        </w:rPr>
      </w:pPr>
      <w:r>
        <w:rPr>
          <w:rFonts w:hint="eastAsia"/>
          <w:color w:val="auto"/>
          <w:highlight w:val="none"/>
        </w:rPr>
        <w:t>监测项目筛选应按以下流程执行：</w:t>
      </w:r>
    </w:p>
    <w:p w14:paraId="171F7F16">
      <w:pPr>
        <w:pStyle w:val="174"/>
        <w:numPr>
          <w:ilvl w:val="0"/>
          <w:numId w:val="33"/>
        </w:numPr>
        <w:rPr>
          <w:color w:val="auto"/>
          <w:highlight w:val="none"/>
        </w:rPr>
      </w:pPr>
      <w:r>
        <w:rPr>
          <w:rFonts w:hint="eastAsia"/>
          <w:color w:val="auto"/>
          <w:highlight w:val="none"/>
        </w:rPr>
        <w:t>第一步：从附录A必选项目中，筛选出符合本区域管控要求的基础监测项目；</w:t>
      </w:r>
    </w:p>
    <w:p w14:paraId="5ED3C327">
      <w:pPr>
        <w:pStyle w:val="174"/>
        <w:rPr>
          <w:color w:val="auto"/>
          <w:highlight w:val="none"/>
        </w:rPr>
      </w:pPr>
      <w:r>
        <w:rPr>
          <w:rFonts w:hint="eastAsia"/>
          <w:color w:val="auto"/>
          <w:highlight w:val="none"/>
        </w:rPr>
        <w:t>第二步：结合区域产业结构、污染源排放特征，从附录A可选项目中补充特征污染物；</w:t>
      </w:r>
    </w:p>
    <w:p w14:paraId="6ABE11E6">
      <w:pPr>
        <w:pStyle w:val="174"/>
        <w:rPr>
          <w:color w:val="auto"/>
          <w:highlight w:val="none"/>
        </w:rPr>
      </w:pPr>
      <w:r>
        <w:rPr>
          <w:rFonts w:hint="eastAsia"/>
          <w:color w:val="auto"/>
          <w:highlight w:val="none"/>
        </w:rPr>
        <w:t>第三步：针对专项监测，额外增加针对性的目标污染物；</w:t>
      </w:r>
    </w:p>
    <w:p w14:paraId="1B60CF08">
      <w:pPr>
        <w:pStyle w:val="174"/>
        <w:rPr>
          <w:color w:val="auto"/>
          <w:highlight w:val="none"/>
        </w:rPr>
      </w:pPr>
      <w:r>
        <w:rPr>
          <w:rFonts w:hint="eastAsia"/>
          <w:color w:val="auto"/>
          <w:highlight w:val="none"/>
        </w:rPr>
        <w:t>第四步：验证所选项目的分析方法可行性，确保方法检出限低于环境风险管控阈值。</w:t>
      </w:r>
    </w:p>
    <w:p w14:paraId="335ADDEB">
      <w:pPr>
        <w:pStyle w:val="105"/>
        <w:spacing w:before="120" w:after="120"/>
        <w:rPr>
          <w:color w:val="auto"/>
          <w:highlight w:val="none"/>
        </w:rPr>
      </w:pPr>
      <w:bookmarkStart w:id="58" w:name="_Toc229148100"/>
      <w:r>
        <w:rPr>
          <w:rFonts w:hint="eastAsia"/>
          <w:color w:val="auto"/>
          <w:highlight w:val="none"/>
        </w:rPr>
        <w:t>监测方案核心内容</w:t>
      </w:r>
      <w:bookmarkEnd w:id="58"/>
    </w:p>
    <w:p w14:paraId="46C3A112">
      <w:pPr>
        <w:pStyle w:val="56"/>
        <w:ind w:firstLine="420"/>
        <w:rPr>
          <w:color w:val="auto"/>
          <w:highlight w:val="none"/>
        </w:rPr>
      </w:pPr>
      <w:r>
        <w:rPr>
          <w:rFonts w:hint="eastAsia"/>
          <w:color w:val="auto"/>
          <w:highlight w:val="none"/>
        </w:rPr>
        <w:t>监测方案应明确以下技术内容：</w:t>
      </w:r>
    </w:p>
    <w:p w14:paraId="766F423F">
      <w:pPr>
        <w:pStyle w:val="174"/>
        <w:numPr>
          <w:ilvl w:val="0"/>
          <w:numId w:val="34"/>
        </w:numPr>
        <w:rPr>
          <w:color w:val="auto"/>
          <w:highlight w:val="none"/>
        </w:rPr>
      </w:pPr>
      <w:r>
        <w:rPr>
          <w:rFonts w:hint="eastAsia"/>
          <w:color w:val="auto"/>
          <w:highlight w:val="none"/>
        </w:rPr>
        <w:t>监测目的</w:t>
      </w:r>
      <w:r>
        <w:rPr>
          <w:rFonts w:hint="eastAsia" w:hAnsi="宋体" w:cs="宋体"/>
          <w:color w:val="auto"/>
          <w:szCs w:val="21"/>
          <w:highlight w:val="none"/>
        </w:rPr>
        <w:t>，包括监测任务来源、目标；</w:t>
      </w:r>
    </w:p>
    <w:p w14:paraId="7975F09E">
      <w:pPr>
        <w:pStyle w:val="174"/>
        <w:numPr>
          <w:ilvl w:val="0"/>
          <w:numId w:val="34"/>
        </w:numPr>
        <w:rPr>
          <w:color w:val="auto"/>
          <w:highlight w:val="none"/>
        </w:rPr>
      </w:pPr>
      <w:r>
        <w:rPr>
          <w:rFonts w:hint="eastAsia"/>
          <w:color w:val="auto"/>
          <w:highlight w:val="none"/>
        </w:rPr>
        <w:t>监测类型、</w:t>
      </w:r>
      <w:r>
        <w:rPr>
          <w:rFonts w:hint="eastAsia" w:hAnsi="宋体" w:cs="宋体"/>
          <w:color w:val="auto"/>
          <w:szCs w:val="21"/>
          <w:highlight w:val="none"/>
        </w:rPr>
        <w:t>组织形式与任务分工</w:t>
      </w:r>
      <w:r>
        <w:rPr>
          <w:rFonts w:hint="eastAsia"/>
          <w:color w:val="auto"/>
          <w:highlight w:val="none"/>
        </w:rPr>
        <w:t>；</w:t>
      </w:r>
    </w:p>
    <w:p w14:paraId="781526B8">
      <w:pPr>
        <w:pStyle w:val="174"/>
        <w:rPr>
          <w:color w:val="auto"/>
          <w:highlight w:val="none"/>
        </w:rPr>
      </w:pPr>
      <w:r>
        <w:rPr>
          <w:rFonts w:hint="eastAsia"/>
          <w:color w:val="auto"/>
          <w:highlight w:val="none"/>
        </w:rPr>
        <w:t>监测范围与区域水文、产业、污染源概况；</w:t>
      </w:r>
    </w:p>
    <w:p w14:paraId="4E66D066">
      <w:pPr>
        <w:pStyle w:val="174"/>
        <w:rPr>
          <w:color w:val="auto"/>
          <w:highlight w:val="none"/>
        </w:rPr>
      </w:pPr>
      <w:r>
        <w:rPr>
          <w:rFonts w:hint="eastAsia"/>
          <w:color w:val="auto"/>
          <w:highlight w:val="none"/>
        </w:rPr>
        <w:t>监测项目及筛选依据；</w:t>
      </w:r>
    </w:p>
    <w:p w14:paraId="639AEACB">
      <w:pPr>
        <w:pStyle w:val="174"/>
        <w:rPr>
          <w:color w:val="auto"/>
          <w:highlight w:val="none"/>
        </w:rPr>
      </w:pPr>
      <w:r>
        <w:rPr>
          <w:rFonts w:hint="eastAsia"/>
          <w:color w:val="auto"/>
          <w:highlight w:val="none"/>
        </w:rPr>
        <w:t>点位布设、采样频次与采样时间；</w:t>
      </w:r>
    </w:p>
    <w:p w14:paraId="67BE83F9">
      <w:pPr>
        <w:pStyle w:val="174"/>
        <w:rPr>
          <w:color w:val="auto"/>
          <w:highlight w:val="none"/>
        </w:rPr>
      </w:pPr>
      <w:r>
        <w:rPr>
          <w:rFonts w:hint="eastAsia"/>
          <w:color w:val="auto"/>
          <w:highlight w:val="none"/>
        </w:rPr>
        <w:t>采样方法、样品保存与运输要求；</w:t>
      </w:r>
    </w:p>
    <w:p w14:paraId="0A23C46F">
      <w:pPr>
        <w:pStyle w:val="174"/>
        <w:rPr>
          <w:color w:val="auto"/>
          <w:highlight w:val="none"/>
        </w:rPr>
      </w:pPr>
      <w:r>
        <w:rPr>
          <w:rFonts w:hint="eastAsia"/>
          <w:color w:val="auto"/>
          <w:highlight w:val="none"/>
        </w:rPr>
        <w:t>分析测试方法与仪器设备；</w:t>
      </w:r>
    </w:p>
    <w:p w14:paraId="4E436550">
      <w:pPr>
        <w:pStyle w:val="174"/>
        <w:rPr>
          <w:color w:val="auto"/>
          <w:highlight w:val="none"/>
        </w:rPr>
      </w:pPr>
      <w:r>
        <w:rPr>
          <w:rFonts w:hint="eastAsia" w:hAnsi="宋体" w:cs="宋体"/>
          <w:color w:val="auto"/>
          <w:szCs w:val="21"/>
          <w:highlight w:val="none"/>
        </w:rPr>
        <w:t xml:space="preserve">质量控制与保证措施； </w:t>
      </w:r>
    </w:p>
    <w:p w14:paraId="2B7CD56A">
      <w:pPr>
        <w:pStyle w:val="174"/>
        <w:rPr>
          <w:color w:val="auto"/>
          <w:highlight w:val="none"/>
        </w:rPr>
      </w:pPr>
      <w:r>
        <w:rPr>
          <w:rFonts w:hint="eastAsia" w:hAnsi="宋体" w:cs="宋体"/>
          <w:color w:val="auto"/>
          <w:szCs w:val="21"/>
          <w:highlight w:val="none"/>
        </w:rPr>
        <w:t>结果表示、数据审核、监测报告编写及上报要求等</w:t>
      </w:r>
      <w:r>
        <w:rPr>
          <w:rFonts w:hint="eastAsia"/>
          <w:color w:val="auto"/>
          <w:highlight w:val="none"/>
        </w:rPr>
        <w:t>。</w:t>
      </w:r>
    </w:p>
    <w:p w14:paraId="3343BF99">
      <w:pPr>
        <w:pStyle w:val="104"/>
        <w:spacing w:before="240" w:after="240"/>
        <w:rPr>
          <w:color w:val="auto"/>
          <w:highlight w:val="none"/>
        </w:rPr>
      </w:pPr>
      <w:bookmarkStart w:id="59" w:name="_Toc229148101"/>
      <w:r>
        <w:rPr>
          <w:rFonts w:hint="eastAsia"/>
          <w:color w:val="auto"/>
          <w:highlight w:val="none"/>
        </w:rPr>
        <w:t>点位布设与采样频次</w:t>
      </w:r>
      <w:bookmarkEnd w:id="59"/>
    </w:p>
    <w:p w14:paraId="46E5332E">
      <w:pPr>
        <w:pStyle w:val="105"/>
        <w:spacing w:before="120" w:after="120"/>
        <w:rPr>
          <w:color w:val="auto"/>
          <w:highlight w:val="none"/>
        </w:rPr>
      </w:pPr>
      <w:bookmarkStart w:id="60" w:name="_Toc229148102"/>
      <w:r>
        <w:rPr>
          <w:rFonts w:hint="eastAsia"/>
          <w:color w:val="auto"/>
          <w:highlight w:val="none"/>
        </w:rPr>
        <w:t>布点</w:t>
      </w:r>
      <w:bookmarkEnd w:id="60"/>
    </w:p>
    <w:p w14:paraId="6F4DA697">
      <w:pPr>
        <w:pStyle w:val="56"/>
        <w:ind w:firstLine="420"/>
        <w:rPr>
          <w:color w:val="auto"/>
          <w:highlight w:val="none"/>
        </w:rPr>
      </w:pPr>
      <w:r>
        <w:rPr>
          <w:rFonts w:hint="eastAsia"/>
          <w:color w:val="auto"/>
          <w:highlight w:val="none"/>
        </w:rPr>
        <w:t>地表水新污染物监测布点按照HJ91.2执行，同时需满足新污染物管控和风险评估中对监测点位代 表性的要求。涉及新污染物生产或使用源周边地表水监测，应在污染源排放的受纳河流（湖、库）的上 游设置对照断面，下游设置控制断面和消减断面。</w:t>
      </w:r>
    </w:p>
    <w:p w14:paraId="521948EA">
      <w:pPr>
        <w:pStyle w:val="105"/>
        <w:spacing w:before="120" w:after="120"/>
        <w:rPr>
          <w:color w:val="auto"/>
          <w:highlight w:val="none"/>
        </w:rPr>
      </w:pPr>
      <w:bookmarkStart w:id="61" w:name="_Toc229148103"/>
      <w:r>
        <w:rPr>
          <w:rFonts w:hint="eastAsia"/>
          <w:color w:val="auto"/>
          <w:highlight w:val="none"/>
        </w:rPr>
        <w:t>重点区域加密布点技术要求</w:t>
      </w:r>
      <w:bookmarkEnd w:id="61"/>
    </w:p>
    <w:p w14:paraId="75C244FF">
      <w:pPr>
        <w:pStyle w:val="65"/>
        <w:spacing w:before="120" w:after="120"/>
        <w:rPr>
          <w:color w:val="auto"/>
          <w:highlight w:val="none"/>
        </w:rPr>
      </w:pPr>
      <w:r>
        <w:rPr>
          <w:rFonts w:hint="eastAsia"/>
          <w:color w:val="auto"/>
          <w:highlight w:val="none"/>
        </w:rPr>
        <w:t>工业园区周边及重点排污口下游</w:t>
      </w:r>
    </w:p>
    <w:p w14:paraId="3FDE4079">
      <w:pPr>
        <w:pStyle w:val="164"/>
        <w:rPr>
          <w:color w:val="auto"/>
          <w:highlight w:val="none"/>
        </w:rPr>
      </w:pPr>
      <w:r>
        <w:rPr>
          <w:rFonts w:hint="eastAsia"/>
          <w:color w:val="auto"/>
          <w:highlight w:val="none"/>
        </w:rPr>
        <w:t>排污口汇入处、下游500</w:t>
      </w:r>
      <w:r>
        <w:rPr>
          <w:rFonts w:hint="eastAsia"/>
          <w:color w:val="auto"/>
          <w:highlight w:val="none"/>
          <w:vertAlign w:val="superscript"/>
        </w:rPr>
        <w:t xml:space="preserve"> </w:t>
      </w:r>
      <w:r>
        <w:rPr>
          <w:rFonts w:hint="eastAsia"/>
          <w:color w:val="auto"/>
          <w:highlight w:val="none"/>
        </w:rPr>
        <w:t>m、1000</w:t>
      </w:r>
      <w:r>
        <w:rPr>
          <w:rFonts w:hint="eastAsia"/>
          <w:color w:val="auto"/>
          <w:highlight w:val="none"/>
          <w:vertAlign w:val="superscript"/>
        </w:rPr>
        <w:t xml:space="preserve"> </w:t>
      </w:r>
      <w:r>
        <w:rPr>
          <w:rFonts w:hint="eastAsia"/>
          <w:color w:val="auto"/>
          <w:highlight w:val="none"/>
        </w:rPr>
        <w:t>m、2000</w:t>
      </w:r>
      <w:r>
        <w:rPr>
          <w:rFonts w:hint="eastAsia"/>
          <w:color w:val="auto"/>
          <w:highlight w:val="none"/>
          <w:vertAlign w:val="superscript"/>
        </w:rPr>
        <w:t xml:space="preserve"> </w:t>
      </w:r>
      <w:r>
        <w:rPr>
          <w:rFonts w:hint="eastAsia"/>
          <w:color w:val="auto"/>
          <w:highlight w:val="none"/>
        </w:rPr>
        <w:t>m处分别布设控制断面。</w:t>
      </w:r>
    </w:p>
    <w:p w14:paraId="4FAA8348">
      <w:pPr>
        <w:pStyle w:val="164"/>
        <w:rPr>
          <w:color w:val="auto"/>
          <w:highlight w:val="none"/>
        </w:rPr>
      </w:pPr>
      <w:r>
        <w:rPr>
          <w:rFonts w:hint="eastAsia"/>
          <w:color w:val="auto"/>
          <w:highlight w:val="none"/>
        </w:rPr>
        <w:t>排污口上游1000</w:t>
      </w:r>
      <w:r>
        <w:rPr>
          <w:rFonts w:hint="eastAsia"/>
          <w:color w:val="auto"/>
          <w:highlight w:val="none"/>
          <w:vertAlign w:val="superscript"/>
        </w:rPr>
        <w:t xml:space="preserve"> </w:t>
      </w:r>
      <w:r>
        <w:rPr>
          <w:rFonts w:hint="eastAsia"/>
          <w:color w:val="auto"/>
          <w:highlight w:val="none"/>
        </w:rPr>
        <w:t>m处布设对照断面。</w:t>
      </w:r>
    </w:p>
    <w:p w14:paraId="68372AF8">
      <w:pPr>
        <w:pStyle w:val="164"/>
        <w:rPr>
          <w:color w:val="auto"/>
          <w:highlight w:val="none"/>
        </w:rPr>
      </w:pPr>
      <w:r>
        <w:rPr>
          <w:rFonts w:hint="eastAsia"/>
          <w:color w:val="auto"/>
          <w:highlight w:val="none"/>
        </w:rPr>
        <w:t>对于特征污染物排放量大的园区，可加密至每200</w:t>
      </w:r>
      <w:r>
        <w:rPr>
          <w:rFonts w:hint="eastAsia"/>
          <w:color w:val="auto"/>
          <w:highlight w:val="none"/>
          <w:vertAlign w:val="superscript"/>
        </w:rPr>
        <w:t xml:space="preserve"> </w:t>
      </w:r>
      <w:r>
        <w:rPr>
          <w:rFonts w:hint="eastAsia"/>
          <w:color w:val="auto"/>
          <w:highlight w:val="none"/>
        </w:rPr>
        <w:t>m～500</w:t>
      </w:r>
      <w:r>
        <w:rPr>
          <w:rFonts w:hint="eastAsia"/>
          <w:color w:val="auto"/>
          <w:highlight w:val="none"/>
          <w:vertAlign w:val="superscript"/>
        </w:rPr>
        <w:t xml:space="preserve"> </w:t>
      </w:r>
      <w:r>
        <w:rPr>
          <w:rFonts w:hint="eastAsia"/>
          <w:color w:val="auto"/>
          <w:highlight w:val="none"/>
        </w:rPr>
        <w:t>m一个断面，精准掌握污染扩散规律。</w:t>
      </w:r>
    </w:p>
    <w:p w14:paraId="62128BAF">
      <w:pPr>
        <w:pStyle w:val="65"/>
        <w:spacing w:before="120" w:after="120"/>
        <w:rPr>
          <w:color w:val="auto"/>
          <w:highlight w:val="none"/>
        </w:rPr>
      </w:pPr>
      <w:r>
        <w:rPr>
          <w:rFonts w:hint="eastAsia"/>
          <w:color w:val="auto"/>
          <w:highlight w:val="none"/>
        </w:rPr>
        <w:t>饮用水水源地保护区</w:t>
      </w:r>
    </w:p>
    <w:p w14:paraId="516160B1">
      <w:pPr>
        <w:pStyle w:val="164"/>
        <w:rPr>
          <w:color w:val="auto"/>
          <w:highlight w:val="none"/>
        </w:rPr>
      </w:pPr>
      <w:r>
        <w:rPr>
          <w:rFonts w:hint="eastAsia"/>
          <w:color w:val="auto"/>
          <w:highlight w:val="none"/>
        </w:rPr>
        <w:t>一级保护区取水口、保护区边界、支流汇入处各布设1个点位。</w:t>
      </w:r>
    </w:p>
    <w:p w14:paraId="7698A992">
      <w:pPr>
        <w:pStyle w:val="164"/>
        <w:rPr>
          <w:color w:val="auto"/>
          <w:highlight w:val="none"/>
        </w:rPr>
      </w:pPr>
      <w:r>
        <w:rPr>
          <w:rFonts w:hint="eastAsia"/>
          <w:color w:val="auto"/>
          <w:highlight w:val="none"/>
        </w:rPr>
        <w:t>二级保护区上游来水断面、主要排污口下游断面各布设1个点位。</w:t>
      </w:r>
    </w:p>
    <w:p w14:paraId="1D28A58B">
      <w:pPr>
        <w:pStyle w:val="164"/>
        <w:rPr>
          <w:color w:val="auto"/>
          <w:highlight w:val="none"/>
        </w:rPr>
      </w:pPr>
      <w:r>
        <w:rPr>
          <w:rFonts w:hint="eastAsia"/>
          <w:color w:val="auto"/>
          <w:highlight w:val="none"/>
        </w:rPr>
        <w:t>每月至少开展1次必选项目监测，高风险季节加密至每两周1次。</w:t>
      </w:r>
    </w:p>
    <w:p w14:paraId="58716496">
      <w:pPr>
        <w:pStyle w:val="65"/>
        <w:spacing w:before="120" w:after="120"/>
        <w:rPr>
          <w:color w:val="auto"/>
          <w:highlight w:val="none"/>
        </w:rPr>
      </w:pPr>
      <w:r>
        <w:rPr>
          <w:rFonts w:hint="eastAsia"/>
          <w:color w:val="auto"/>
          <w:highlight w:val="none"/>
        </w:rPr>
        <w:t>跨界水体</w:t>
      </w:r>
    </w:p>
    <w:p w14:paraId="16C86DA1">
      <w:pPr>
        <w:pStyle w:val="164"/>
        <w:rPr>
          <w:color w:val="auto"/>
          <w:highlight w:val="none"/>
        </w:rPr>
      </w:pPr>
      <w:r>
        <w:rPr>
          <w:rFonts w:hint="eastAsia"/>
          <w:color w:val="auto"/>
          <w:highlight w:val="none"/>
        </w:rPr>
        <w:t>省界、市界、县界上下游各500</w:t>
      </w:r>
      <w:r>
        <w:rPr>
          <w:rFonts w:hint="eastAsia"/>
          <w:color w:val="auto"/>
          <w:highlight w:val="none"/>
          <w:vertAlign w:val="superscript"/>
        </w:rPr>
        <w:t xml:space="preserve"> </w:t>
      </w:r>
      <w:r>
        <w:rPr>
          <w:rFonts w:hint="eastAsia"/>
          <w:color w:val="auto"/>
          <w:highlight w:val="none"/>
        </w:rPr>
        <w:t>m处分别布设监测断面。</w:t>
      </w:r>
    </w:p>
    <w:p w14:paraId="23BEF6FC">
      <w:pPr>
        <w:pStyle w:val="164"/>
        <w:rPr>
          <w:color w:val="auto"/>
          <w:highlight w:val="none"/>
        </w:rPr>
      </w:pPr>
      <w:r>
        <w:rPr>
          <w:rFonts w:hint="eastAsia"/>
          <w:color w:val="auto"/>
          <w:highlight w:val="none"/>
        </w:rPr>
        <w:t>跨界支流汇入处布设控制断面。</w:t>
      </w:r>
    </w:p>
    <w:p w14:paraId="5DB509FA">
      <w:pPr>
        <w:pStyle w:val="164"/>
        <w:rPr>
          <w:color w:val="auto"/>
          <w:highlight w:val="none"/>
        </w:rPr>
      </w:pPr>
      <w:r>
        <w:rPr>
          <w:rFonts w:hint="eastAsia"/>
          <w:color w:val="auto"/>
          <w:highlight w:val="none"/>
        </w:rPr>
        <w:t>常规监测每季度1次，污染高发期加密至每月1次。</w:t>
      </w:r>
    </w:p>
    <w:p w14:paraId="17583560">
      <w:pPr>
        <w:pStyle w:val="65"/>
        <w:spacing w:before="120" w:after="120"/>
        <w:rPr>
          <w:color w:val="auto"/>
          <w:highlight w:val="none"/>
        </w:rPr>
      </w:pPr>
      <w:r>
        <w:rPr>
          <w:rFonts w:hint="eastAsia"/>
          <w:color w:val="auto"/>
          <w:highlight w:val="none"/>
        </w:rPr>
        <w:t>生态保护红线区</w:t>
      </w:r>
    </w:p>
    <w:p w14:paraId="65ECAD20">
      <w:pPr>
        <w:pStyle w:val="164"/>
        <w:rPr>
          <w:color w:val="auto"/>
          <w:highlight w:val="none"/>
        </w:rPr>
      </w:pPr>
      <w:r>
        <w:rPr>
          <w:rFonts w:hint="eastAsia"/>
          <w:color w:val="auto"/>
          <w:highlight w:val="none"/>
        </w:rPr>
        <w:t>核心区、缓冲区、实验区分别布设点位。</w:t>
      </w:r>
    </w:p>
    <w:p w14:paraId="28DC623B">
      <w:pPr>
        <w:pStyle w:val="164"/>
        <w:rPr>
          <w:color w:val="auto"/>
          <w:highlight w:val="none"/>
        </w:rPr>
      </w:pPr>
      <w:r>
        <w:rPr>
          <w:rFonts w:hint="eastAsia"/>
          <w:color w:val="auto"/>
          <w:highlight w:val="none"/>
        </w:rPr>
        <w:t>重点监测对水生生物毒性大的持久性有机污染物、PFAS、抗生素等。</w:t>
      </w:r>
    </w:p>
    <w:p w14:paraId="4A4D2363">
      <w:pPr>
        <w:pStyle w:val="105"/>
        <w:spacing w:before="120" w:after="120"/>
        <w:rPr>
          <w:color w:val="auto"/>
          <w:highlight w:val="none"/>
        </w:rPr>
      </w:pPr>
      <w:bookmarkStart w:id="62" w:name="_Toc229148104"/>
      <w:r>
        <w:rPr>
          <w:rFonts w:hint="eastAsia"/>
          <w:color w:val="auto"/>
          <w:highlight w:val="none"/>
        </w:rPr>
        <w:t>不同监测类型采样频次</w:t>
      </w:r>
      <w:bookmarkEnd w:id="62"/>
    </w:p>
    <w:p w14:paraId="525AF55E">
      <w:pPr>
        <w:pStyle w:val="65"/>
        <w:spacing w:before="120" w:after="120"/>
        <w:rPr>
          <w:color w:val="auto"/>
          <w:highlight w:val="none"/>
        </w:rPr>
      </w:pPr>
      <w:r>
        <w:rPr>
          <w:color w:val="auto"/>
          <w:highlight w:val="none"/>
        </w:rPr>
        <w:t>确定采样频次的原则</w:t>
      </w:r>
    </w:p>
    <w:p w14:paraId="4BFCF713">
      <w:pPr>
        <w:pStyle w:val="56"/>
        <w:ind w:firstLine="420"/>
        <w:rPr>
          <w:color w:val="auto"/>
          <w:highlight w:val="none"/>
        </w:rPr>
      </w:pPr>
      <w:r>
        <w:rPr>
          <w:color w:val="auto"/>
          <w:highlight w:val="none"/>
        </w:rPr>
        <w:t>依据不同的水体功能、水文要素和污染源、污染物排放等实际情况，力求以最低的采样频次，取得 最具有时间代表性的样品，既要满足反映水质状况的要求，又要切实可行。</w:t>
      </w:r>
    </w:p>
    <w:p w14:paraId="052DB210">
      <w:pPr>
        <w:pStyle w:val="65"/>
        <w:spacing w:before="120" w:after="120"/>
        <w:rPr>
          <w:color w:val="auto"/>
          <w:highlight w:val="none"/>
        </w:rPr>
      </w:pPr>
      <w:r>
        <w:rPr>
          <w:rFonts w:hint="eastAsia"/>
          <w:color w:val="auto"/>
          <w:highlight w:val="none"/>
        </w:rPr>
        <w:t>常规监测</w:t>
      </w:r>
    </w:p>
    <w:p w14:paraId="37A4DEBD">
      <w:pPr>
        <w:pStyle w:val="164"/>
        <w:rPr>
          <w:color w:val="auto"/>
          <w:highlight w:val="none"/>
        </w:rPr>
      </w:pPr>
      <w:r>
        <w:rPr>
          <w:rFonts w:hint="eastAsia"/>
          <w:color w:val="auto"/>
          <w:highlight w:val="none"/>
        </w:rPr>
        <w:t>国家、省级重点管控断面每季度1次，全年不少于4次，覆盖丰水期、平水期、枯水期。</w:t>
      </w:r>
    </w:p>
    <w:p w14:paraId="44F919A2">
      <w:pPr>
        <w:pStyle w:val="164"/>
        <w:rPr>
          <w:color w:val="auto"/>
          <w:highlight w:val="none"/>
        </w:rPr>
      </w:pPr>
      <w:r>
        <w:rPr>
          <w:rFonts w:hint="eastAsia"/>
          <w:color w:val="auto"/>
          <w:highlight w:val="none"/>
        </w:rPr>
        <w:t>市、县级常规断面每半年1次，全年不少于2次。</w:t>
      </w:r>
    </w:p>
    <w:p w14:paraId="6CEDF1B6">
      <w:pPr>
        <w:pStyle w:val="164"/>
        <w:rPr>
          <w:color w:val="auto"/>
          <w:highlight w:val="none"/>
        </w:rPr>
      </w:pPr>
      <w:r>
        <w:rPr>
          <w:rFonts w:hint="eastAsia"/>
          <w:color w:val="auto"/>
          <w:highlight w:val="none"/>
        </w:rPr>
        <w:t>饮用水水源地保护区每两个月1次，全年不少于6次。</w:t>
      </w:r>
    </w:p>
    <w:p w14:paraId="29C20EFC">
      <w:pPr>
        <w:pStyle w:val="164"/>
        <w:rPr>
          <w:color w:val="auto"/>
          <w:highlight w:val="none"/>
        </w:rPr>
      </w:pPr>
      <w:r>
        <w:rPr>
          <w:rFonts w:hint="eastAsia"/>
          <w:color w:val="auto"/>
          <w:highlight w:val="none"/>
        </w:rPr>
        <w:t>采样时间应避开暴雨期、汛期洪峰，优先选择水文条件稳定的平水期。</w:t>
      </w:r>
    </w:p>
    <w:p w14:paraId="77383A92">
      <w:pPr>
        <w:pStyle w:val="65"/>
        <w:spacing w:before="120" w:after="120"/>
        <w:rPr>
          <w:color w:val="auto"/>
          <w:highlight w:val="none"/>
        </w:rPr>
      </w:pPr>
      <w:r>
        <w:rPr>
          <w:rFonts w:hint="eastAsia"/>
          <w:color w:val="auto"/>
          <w:highlight w:val="none"/>
        </w:rPr>
        <w:t>专项监测</w:t>
      </w:r>
    </w:p>
    <w:p w14:paraId="66E19332">
      <w:pPr>
        <w:pStyle w:val="94"/>
        <w:spacing w:before="120" w:after="120"/>
        <w:rPr>
          <w:color w:val="auto"/>
          <w:highlight w:val="none"/>
        </w:rPr>
      </w:pPr>
      <w:r>
        <w:rPr>
          <w:rFonts w:hint="eastAsia"/>
          <w:color w:val="auto"/>
          <w:highlight w:val="none"/>
        </w:rPr>
        <w:t>污染排查监测</w:t>
      </w:r>
    </w:p>
    <w:p w14:paraId="612E2EBB">
      <w:pPr>
        <w:pStyle w:val="56"/>
        <w:ind w:firstLine="420"/>
        <w:rPr>
          <w:color w:val="auto"/>
          <w:highlight w:val="none"/>
        </w:rPr>
      </w:pPr>
      <w:r>
        <w:rPr>
          <w:rFonts w:hint="eastAsia"/>
          <w:color w:val="auto"/>
          <w:highlight w:val="none"/>
        </w:rPr>
        <w:t>分阶段开展1～3次全覆盖监测，重点区域加密至每月1次。</w:t>
      </w:r>
    </w:p>
    <w:p w14:paraId="11823CB8">
      <w:pPr>
        <w:pStyle w:val="94"/>
        <w:spacing w:before="120" w:after="120"/>
        <w:rPr>
          <w:color w:val="auto"/>
          <w:highlight w:val="none"/>
        </w:rPr>
      </w:pPr>
      <w:r>
        <w:rPr>
          <w:rFonts w:hint="eastAsia"/>
          <w:color w:val="auto"/>
          <w:highlight w:val="none"/>
        </w:rPr>
        <w:t>污染源解析监测</w:t>
      </w:r>
    </w:p>
    <w:p w14:paraId="70E988BA">
      <w:pPr>
        <w:pStyle w:val="56"/>
        <w:ind w:firstLine="420"/>
        <w:rPr>
          <w:color w:val="auto"/>
          <w:highlight w:val="none"/>
        </w:rPr>
      </w:pPr>
      <w:r>
        <w:rPr>
          <w:rFonts w:hint="eastAsia"/>
          <w:color w:val="auto"/>
          <w:highlight w:val="none"/>
        </w:rPr>
        <w:t>同步监测污染源排放口与受纳水体，监测频次不少于3次，覆盖不同水文期。</w:t>
      </w:r>
    </w:p>
    <w:p w14:paraId="4FF0959F">
      <w:pPr>
        <w:pStyle w:val="94"/>
        <w:spacing w:before="120" w:after="120"/>
        <w:rPr>
          <w:color w:val="auto"/>
          <w:highlight w:val="none"/>
        </w:rPr>
      </w:pPr>
      <w:r>
        <w:rPr>
          <w:rFonts w:hint="eastAsia"/>
          <w:color w:val="auto"/>
          <w:highlight w:val="none"/>
        </w:rPr>
        <w:t>治理效果评估监测</w:t>
      </w:r>
    </w:p>
    <w:p w14:paraId="527DF6EB">
      <w:pPr>
        <w:pStyle w:val="56"/>
        <w:ind w:firstLine="420"/>
        <w:rPr>
          <w:color w:val="auto"/>
          <w:highlight w:val="none"/>
        </w:rPr>
      </w:pPr>
      <w:r>
        <w:rPr>
          <w:rFonts w:hint="eastAsia"/>
          <w:color w:val="auto"/>
          <w:highlight w:val="none"/>
        </w:rPr>
        <w:t>治理前、中、后分别监测，竣工后连续监测2年，每季度1次。</w:t>
      </w:r>
    </w:p>
    <w:p w14:paraId="0D5FB02F">
      <w:pPr>
        <w:pStyle w:val="94"/>
        <w:spacing w:before="120" w:after="120"/>
        <w:rPr>
          <w:color w:val="auto"/>
          <w:highlight w:val="none"/>
        </w:rPr>
      </w:pPr>
      <w:r>
        <w:rPr>
          <w:rFonts w:hint="eastAsia"/>
          <w:color w:val="auto"/>
          <w:highlight w:val="none"/>
        </w:rPr>
        <w:t>风险评估监测</w:t>
      </w:r>
    </w:p>
    <w:p w14:paraId="67333494">
      <w:pPr>
        <w:pStyle w:val="56"/>
        <w:ind w:firstLine="420"/>
        <w:rPr>
          <w:color w:val="auto"/>
          <w:highlight w:val="none"/>
        </w:rPr>
      </w:pPr>
      <w:r>
        <w:rPr>
          <w:rFonts w:hint="eastAsia"/>
          <w:color w:val="auto"/>
          <w:highlight w:val="none"/>
        </w:rPr>
        <w:t>不少于4次，覆盖丰水期、平水期、枯水期。</w:t>
      </w:r>
    </w:p>
    <w:p w14:paraId="59062003">
      <w:pPr>
        <w:pStyle w:val="104"/>
        <w:spacing w:before="240" w:after="240"/>
        <w:rPr>
          <w:color w:val="auto"/>
          <w:highlight w:val="none"/>
        </w:rPr>
      </w:pPr>
      <w:bookmarkStart w:id="63" w:name="_Toc229148105"/>
      <w:r>
        <w:rPr>
          <w:rFonts w:hint="eastAsia"/>
          <w:color w:val="auto"/>
          <w:highlight w:val="none"/>
        </w:rPr>
        <w:t>样品采集、保存与运输</w:t>
      </w:r>
      <w:bookmarkEnd w:id="63"/>
      <w:r>
        <w:rPr>
          <w:rFonts w:hint="eastAsia"/>
          <w:color w:val="auto"/>
          <w:highlight w:val="none"/>
        </w:rPr>
        <w:t xml:space="preserve">    </w:t>
      </w:r>
    </w:p>
    <w:p w14:paraId="5F450F6F">
      <w:pPr>
        <w:pStyle w:val="105"/>
        <w:spacing w:before="120" w:after="120"/>
        <w:rPr>
          <w:color w:val="auto"/>
          <w:highlight w:val="none"/>
        </w:rPr>
      </w:pPr>
      <w:bookmarkStart w:id="64" w:name="_Toc229148106"/>
      <w:r>
        <w:rPr>
          <w:rFonts w:hint="eastAsia"/>
          <w:color w:val="auto"/>
          <w:highlight w:val="none"/>
        </w:rPr>
        <w:t>采样准备</w:t>
      </w:r>
      <w:bookmarkEnd w:id="64"/>
    </w:p>
    <w:p w14:paraId="243BBDA0">
      <w:pPr>
        <w:pStyle w:val="65"/>
        <w:spacing w:before="120" w:after="120"/>
        <w:rPr>
          <w:rFonts w:hAnsi="宋体" w:cs="黑体"/>
          <w:color w:val="auto"/>
          <w:szCs w:val="21"/>
          <w:highlight w:val="none"/>
        </w:rPr>
      </w:pPr>
      <w:r>
        <w:rPr>
          <w:rFonts w:hAnsi="宋体" w:cs="黑体"/>
          <w:color w:val="auto"/>
          <w:szCs w:val="21"/>
          <w:highlight w:val="none"/>
        </w:rPr>
        <w:t>采样</w:t>
      </w:r>
      <w:r>
        <w:rPr>
          <w:rFonts w:hint="eastAsia" w:hAnsi="宋体" w:cs="黑体"/>
          <w:color w:val="auto"/>
          <w:szCs w:val="21"/>
          <w:highlight w:val="none"/>
        </w:rPr>
        <w:t>计划的制定</w:t>
      </w:r>
    </w:p>
    <w:p w14:paraId="1F230532">
      <w:pPr>
        <w:pStyle w:val="56"/>
        <w:ind w:firstLine="420"/>
        <w:rPr>
          <w:rFonts w:ascii="黑体" w:hAnsi="宋体" w:eastAsia="黑体" w:cs="黑体"/>
          <w:color w:val="auto"/>
          <w:szCs w:val="21"/>
          <w:highlight w:val="none"/>
        </w:rPr>
      </w:pPr>
      <w:r>
        <w:rPr>
          <w:rFonts w:hint="eastAsia" w:hAnsi="宋体" w:cs="宋体"/>
          <w:color w:val="auto"/>
          <w:szCs w:val="21"/>
          <w:highlight w:val="none"/>
        </w:rPr>
        <w:t>采样人员应明确监测任务、目的和要求，了解监测断面周围情况，熟悉地表水采样方法和技术要求。 采样计划内容应包括：监测断面（采样垂线和采样点）、监测项目、采样器具、采样时间和路线、 采样人员和分工、现场测定项目、采样质量保证措施和安全保证等。</w:t>
      </w:r>
    </w:p>
    <w:p w14:paraId="4BAD207D">
      <w:pPr>
        <w:pStyle w:val="65"/>
        <w:spacing w:before="120" w:after="120"/>
        <w:rPr>
          <w:color w:val="auto"/>
          <w:highlight w:val="none"/>
        </w:rPr>
      </w:pPr>
      <w:r>
        <w:rPr>
          <w:rFonts w:hint="eastAsia"/>
          <w:color w:val="auto"/>
          <w:highlight w:val="none"/>
        </w:rPr>
        <w:t>采样容器与工具</w:t>
      </w:r>
    </w:p>
    <w:p w14:paraId="2EBCB339">
      <w:pPr>
        <w:pStyle w:val="56"/>
        <w:ind w:firstLine="420"/>
        <w:rPr>
          <w:color w:val="auto"/>
          <w:highlight w:val="none"/>
        </w:rPr>
      </w:pPr>
      <w:r>
        <w:rPr>
          <w:rFonts w:hint="eastAsia"/>
          <w:color w:val="auto"/>
          <w:highlight w:val="none"/>
        </w:rPr>
        <w:t>容器材质应根据目标污染物特性选择，避免吸附或污染，具体要求如下：</w:t>
      </w:r>
    </w:p>
    <w:p w14:paraId="54E2CBDF">
      <w:pPr>
        <w:pStyle w:val="174"/>
        <w:numPr>
          <w:ilvl w:val="0"/>
          <w:numId w:val="35"/>
        </w:numPr>
        <w:rPr>
          <w:color w:val="auto"/>
          <w:highlight w:val="none"/>
        </w:rPr>
      </w:pPr>
      <w:r>
        <w:rPr>
          <w:rFonts w:hint="eastAsia"/>
          <w:color w:val="auto"/>
          <w:highlight w:val="none"/>
        </w:rPr>
        <w:t>采样容器及器具应选用化学、生物惰性材质，避免与样品组分发生理化反应，同时防止对目标污染物产生吸附作用，造成样品浓度失真；</w:t>
      </w:r>
    </w:p>
    <w:p w14:paraId="21FCBDAC">
      <w:pPr>
        <w:pStyle w:val="174"/>
        <w:numPr>
          <w:ilvl w:val="0"/>
          <w:numId w:val="35"/>
        </w:numPr>
        <w:rPr>
          <w:color w:val="auto"/>
          <w:highlight w:val="none"/>
        </w:rPr>
      </w:pPr>
      <w:r>
        <w:rPr>
          <w:rFonts w:hint="eastAsia"/>
          <w:color w:val="auto"/>
          <w:highlight w:val="none"/>
        </w:rPr>
        <w:t>最大限度地防止容器及瓶塞对样品的污染。一般的玻璃在贮存水样时可溶出钠、钙、镁、硅、硼等元素，在测定这些项目时应避免使用玻璃容器，以防止新的污染。一些有色瓶塞含有大量的重金属；</w:t>
      </w:r>
    </w:p>
    <w:p w14:paraId="21DFD47E">
      <w:pPr>
        <w:pStyle w:val="174"/>
        <w:numPr>
          <w:ilvl w:val="0"/>
          <w:numId w:val="35"/>
        </w:numPr>
        <w:rPr>
          <w:color w:val="auto"/>
          <w:highlight w:val="none"/>
        </w:rPr>
      </w:pPr>
      <w:r>
        <w:rPr>
          <w:rFonts w:hint="eastAsia"/>
          <w:color w:val="auto"/>
          <w:highlight w:val="none"/>
        </w:rPr>
        <w:t xml:space="preserve">容器或容器塞的化学和生物性质应该是惰性的，以防止容器与样品组分发生反应。如测氟时，水样不能贮于玻璃瓶中，因为玻璃与氟化物发生反应； </w:t>
      </w:r>
    </w:p>
    <w:p w14:paraId="62D39045">
      <w:pPr>
        <w:pStyle w:val="174"/>
        <w:numPr>
          <w:ilvl w:val="0"/>
          <w:numId w:val="35"/>
        </w:numPr>
        <w:rPr>
          <w:color w:val="auto"/>
          <w:highlight w:val="none"/>
        </w:rPr>
      </w:pPr>
      <w:r>
        <w:rPr>
          <w:rFonts w:hint="eastAsia"/>
          <w:color w:val="auto"/>
          <w:highlight w:val="none"/>
        </w:rPr>
        <w:t>防止容器吸收或吸附待测组分，引起待测组分浓度的变化。微量金属易于受这些因素的影响，其他如清洁剂、杀虫剂、磷酸盐同样也受到影响；</w:t>
      </w:r>
    </w:p>
    <w:p w14:paraId="31C4148E">
      <w:pPr>
        <w:pStyle w:val="174"/>
        <w:numPr>
          <w:ilvl w:val="0"/>
          <w:numId w:val="35"/>
        </w:numPr>
        <w:rPr>
          <w:color w:val="auto"/>
          <w:highlight w:val="none"/>
        </w:rPr>
      </w:pPr>
      <w:r>
        <w:rPr>
          <w:rFonts w:hint="eastAsia"/>
          <w:color w:val="auto"/>
          <w:highlight w:val="none"/>
        </w:rPr>
        <w:t>新污染物地表水采样专用器材须与污水采样器材严格分区、分开使用，严禁混用交叉；</w:t>
      </w:r>
    </w:p>
    <w:p w14:paraId="56FAFDAE">
      <w:pPr>
        <w:pStyle w:val="174"/>
        <w:numPr>
          <w:ilvl w:val="0"/>
          <w:numId w:val="35"/>
        </w:numPr>
        <w:rPr>
          <w:color w:val="auto"/>
          <w:highlight w:val="none"/>
        </w:rPr>
      </w:pPr>
      <w:r>
        <w:rPr>
          <w:rFonts w:hint="eastAsia"/>
          <w:color w:val="auto"/>
          <w:highlight w:val="none"/>
        </w:rPr>
        <w:t>若启用新容器，事先应充分清洗。</w:t>
      </w:r>
    </w:p>
    <w:p w14:paraId="0569C1D8">
      <w:pPr>
        <w:pStyle w:val="65"/>
        <w:spacing w:before="120" w:after="120"/>
        <w:rPr>
          <w:color w:val="auto"/>
          <w:highlight w:val="none"/>
        </w:rPr>
      </w:pPr>
      <w:r>
        <w:rPr>
          <w:rFonts w:hint="eastAsia"/>
          <w:color w:val="auto"/>
          <w:highlight w:val="none"/>
        </w:rPr>
        <w:t>容器清洗要求</w:t>
      </w:r>
    </w:p>
    <w:p w14:paraId="18AC3B82">
      <w:pPr>
        <w:pStyle w:val="164"/>
        <w:rPr>
          <w:color w:val="auto"/>
          <w:highlight w:val="none"/>
        </w:rPr>
      </w:pPr>
      <w:r>
        <w:rPr>
          <w:rFonts w:hint="eastAsia"/>
          <w:color w:val="auto"/>
          <w:highlight w:val="none"/>
        </w:rPr>
        <w:t>容器清洗应遵循“分类清洗、专瓶专用”原则，尽可能使用专用容器。如不能使用专用容器，那么最好准备一套容器进行特定污染物的测定，以减少交叉污染。同时应注意防止以前采集高浓度分析物的容器因洗涤不彻底污染随后采集的低浓度污染物的样品。</w:t>
      </w:r>
    </w:p>
    <w:p w14:paraId="281D8A65">
      <w:pPr>
        <w:pStyle w:val="164"/>
        <w:rPr>
          <w:color w:val="auto"/>
          <w:highlight w:val="none"/>
        </w:rPr>
      </w:pPr>
      <w:r>
        <w:rPr>
          <w:rFonts w:hint="eastAsia"/>
          <w:color w:val="auto"/>
          <w:highlight w:val="none"/>
        </w:rPr>
        <w:t>对于新容器，一般应先用洗涤剂清洗，再用纯水彻底清洗。如果使用，应确保洗涤剂和溶剂的质量，所用的洗涤剂类型和选用的容器材质要随待测组分来确定。</w:t>
      </w:r>
    </w:p>
    <w:p w14:paraId="62FF17AC">
      <w:pPr>
        <w:pStyle w:val="105"/>
        <w:spacing w:before="120" w:after="120"/>
        <w:rPr>
          <w:color w:val="auto"/>
          <w:highlight w:val="none"/>
        </w:rPr>
      </w:pPr>
      <w:bookmarkStart w:id="65" w:name="_Toc229148107"/>
      <w:r>
        <w:rPr>
          <w:rFonts w:hint="eastAsia"/>
          <w:color w:val="auto"/>
          <w:highlight w:val="none"/>
        </w:rPr>
        <w:t>样品采集</w:t>
      </w:r>
      <w:bookmarkEnd w:id="65"/>
      <w:r>
        <w:rPr>
          <w:rFonts w:hint="eastAsia"/>
          <w:color w:val="auto"/>
          <w:highlight w:val="none"/>
        </w:rPr>
        <w:t xml:space="preserve">   </w:t>
      </w:r>
    </w:p>
    <w:p w14:paraId="7FBA460D">
      <w:pPr>
        <w:pStyle w:val="165"/>
        <w:rPr>
          <w:color w:val="auto"/>
          <w:highlight w:val="none"/>
        </w:rPr>
      </w:pPr>
      <w:r>
        <w:rPr>
          <w:rFonts w:hint="eastAsia"/>
          <w:color w:val="auto"/>
          <w:highlight w:val="none"/>
        </w:rPr>
        <w:t>采样位置及采样方式按照HJ91.2执行</w:t>
      </w:r>
    </w:p>
    <w:p w14:paraId="2C16D1EA">
      <w:pPr>
        <w:pStyle w:val="165"/>
        <w:rPr>
          <w:color w:val="auto"/>
          <w:highlight w:val="none"/>
        </w:rPr>
      </w:pPr>
      <w:r>
        <w:rPr>
          <w:color w:val="auto"/>
          <w:highlight w:val="none"/>
        </w:rPr>
        <w:t>采样时应保证采样点位置准确，必要时使用定位仪定位，并拍摄水体现场情况，做好记录。不能抵 达指定采样位置时，应记录现场情况和调整后的实际采样位置。</w:t>
      </w:r>
    </w:p>
    <w:p w14:paraId="56F15521">
      <w:pPr>
        <w:pStyle w:val="165"/>
        <w:rPr>
          <w:color w:val="auto"/>
          <w:highlight w:val="none"/>
        </w:rPr>
      </w:pPr>
      <w:r>
        <w:rPr>
          <w:rFonts w:hint="eastAsia"/>
          <w:color w:val="auto"/>
          <w:highlight w:val="none"/>
        </w:rPr>
        <w:t>采样前应先测定现场参数（水温、pH、溶解氧、电导率、浊度、流速、水深），记录在采样原始记录单上。</w:t>
      </w:r>
    </w:p>
    <w:p w14:paraId="6967E2C9">
      <w:pPr>
        <w:pStyle w:val="165"/>
        <w:rPr>
          <w:color w:val="auto"/>
          <w:highlight w:val="none"/>
        </w:rPr>
      </w:pPr>
      <w:r>
        <w:rPr>
          <w:rFonts w:hint="eastAsia"/>
          <w:color w:val="auto"/>
          <w:highlight w:val="none"/>
        </w:rPr>
        <w:t>采样时应避免搅动水底沉积物，避免水面漂浮物进入容器；有机类样品应确保容器无顶空，微塑料样品严禁润洗容器。</w:t>
      </w:r>
    </w:p>
    <w:p w14:paraId="3CC6C0A2">
      <w:pPr>
        <w:pStyle w:val="165"/>
        <w:rPr>
          <w:color w:val="auto"/>
          <w:highlight w:val="none"/>
        </w:rPr>
      </w:pPr>
      <w:r>
        <w:rPr>
          <w:rFonts w:hint="eastAsia"/>
          <w:color w:val="auto"/>
          <w:highlight w:val="none"/>
        </w:rPr>
        <w:t>微塑料样品采集应符合以下要求：</w:t>
      </w:r>
    </w:p>
    <w:p w14:paraId="76940D15">
      <w:pPr>
        <w:pStyle w:val="174"/>
        <w:numPr>
          <w:ilvl w:val="0"/>
          <w:numId w:val="36"/>
        </w:numPr>
        <w:rPr>
          <w:color w:val="auto"/>
          <w:highlight w:val="none"/>
        </w:rPr>
      </w:pPr>
      <w:r>
        <w:rPr>
          <w:rFonts w:hint="eastAsia"/>
          <w:color w:val="auto"/>
          <w:highlight w:val="none"/>
        </w:rPr>
        <w:t>表层水样应使用不锈钢采样桶采集，水体中微塑料应使用不锈钢网式浮游生物网（孔径 330μm）采集；</w:t>
      </w:r>
    </w:p>
    <w:p w14:paraId="5F0038AA">
      <w:pPr>
        <w:pStyle w:val="174"/>
        <w:numPr>
          <w:ilvl w:val="0"/>
          <w:numId w:val="36"/>
        </w:numPr>
        <w:rPr>
          <w:color w:val="auto"/>
          <w:highlight w:val="none"/>
        </w:rPr>
      </w:pPr>
      <w:r>
        <w:rPr>
          <w:rFonts w:hint="eastAsia"/>
          <w:color w:val="auto"/>
          <w:highlight w:val="none"/>
        </w:rPr>
        <w:t>采样容器使用带聚四氟乙烯衬垫螺旋盖的棕色玻璃容器，采样前经洁净处理并确认空白合格；</w:t>
      </w:r>
    </w:p>
    <w:p w14:paraId="71BF3FDC">
      <w:pPr>
        <w:pStyle w:val="174"/>
        <w:numPr>
          <w:ilvl w:val="0"/>
          <w:numId w:val="36"/>
        </w:numPr>
        <w:rPr>
          <w:color w:val="auto"/>
          <w:highlight w:val="none"/>
        </w:rPr>
      </w:pPr>
      <w:r>
        <w:rPr>
          <w:rFonts w:hint="eastAsia"/>
          <w:color w:val="auto"/>
          <w:highlight w:val="none"/>
        </w:rPr>
        <w:t>采样人员应全程穿着纯棉实验服、佩戴无粉棉手套，严禁穿戴化纤衣物、使用塑料手套或橡胶器具；</w:t>
      </w:r>
    </w:p>
    <w:p w14:paraId="48493189">
      <w:pPr>
        <w:pStyle w:val="174"/>
        <w:numPr>
          <w:ilvl w:val="0"/>
          <w:numId w:val="36"/>
        </w:numPr>
        <w:rPr>
          <w:color w:val="auto"/>
          <w:highlight w:val="none"/>
        </w:rPr>
      </w:pPr>
      <w:r>
        <w:rPr>
          <w:rFonts w:hint="eastAsia"/>
          <w:color w:val="auto"/>
          <w:highlight w:val="none"/>
        </w:rPr>
        <w:t>采样工具使用前以超纯水充分冲洗，不得使用洗涤剂、润滑剂等可能引入微塑料的物品；</w:t>
      </w:r>
    </w:p>
    <w:p w14:paraId="3435F8FF">
      <w:pPr>
        <w:pStyle w:val="174"/>
        <w:numPr>
          <w:ilvl w:val="0"/>
          <w:numId w:val="36"/>
        </w:numPr>
        <w:rPr>
          <w:color w:val="auto"/>
          <w:highlight w:val="none"/>
        </w:rPr>
      </w:pPr>
      <w:r>
        <w:rPr>
          <w:rFonts w:hint="eastAsia"/>
          <w:color w:val="auto"/>
          <w:highlight w:val="none"/>
        </w:rPr>
        <w:t>采集时应避开水面漂浮杂物与沉积物，样品不得润洗容器，避免引入外源微塑料；</w:t>
      </w:r>
    </w:p>
    <w:p w14:paraId="10D7C160">
      <w:pPr>
        <w:pStyle w:val="174"/>
        <w:numPr>
          <w:ilvl w:val="0"/>
          <w:numId w:val="36"/>
        </w:numPr>
        <w:rPr>
          <w:color w:val="auto"/>
          <w:highlight w:val="none"/>
        </w:rPr>
      </w:pPr>
      <w:r>
        <w:rPr>
          <w:rFonts w:hint="eastAsia"/>
          <w:color w:val="auto"/>
          <w:highlight w:val="none"/>
        </w:rPr>
        <w:t>每批次采样应设置现场空白，将容器开盖暴露于现场空气中相同时间，与样品同法保存与分析；</w:t>
      </w:r>
    </w:p>
    <w:p w14:paraId="0DB9A902">
      <w:pPr>
        <w:pStyle w:val="174"/>
        <w:numPr>
          <w:ilvl w:val="0"/>
          <w:numId w:val="36"/>
        </w:numPr>
        <w:rPr>
          <w:color w:val="auto"/>
          <w:highlight w:val="none"/>
        </w:rPr>
      </w:pPr>
      <w:r>
        <w:rPr>
          <w:rFonts w:hint="eastAsia"/>
          <w:color w:val="auto"/>
          <w:highlight w:val="none"/>
        </w:rPr>
        <w:t>样品采集后常温避光保存，不得添加任何固定剂，严格防止交叉污染。</w:t>
      </w:r>
    </w:p>
    <w:p w14:paraId="127D4FD6">
      <w:pPr>
        <w:pStyle w:val="165"/>
        <w:rPr>
          <w:color w:val="auto"/>
          <w:highlight w:val="none"/>
        </w:rPr>
      </w:pPr>
      <w:r>
        <w:rPr>
          <w:rFonts w:hint="eastAsia"/>
          <w:color w:val="auto"/>
          <w:highlight w:val="none"/>
        </w:rPr>
        <w:t>无氟采样应符合以下要求：</w:t>
      </w:r>
    </w:p>
    <w:p w14:paraId="5FBD2263">
      <w:pPr>
        <w:pStyle w:val="174"/>
        <w:numPr>
          <w:ilvl w:val="0"/>
          <w:numId w:val="37"/>
        </w:numPr>
        <w:rPr>
          <w:color w:val="auto"/>
          <w:highlight w:val="none"/>
        </w:rPr>
      </w:pPr>
      <w:r>
        <w:rPr>
          <w:rFonts w:hint="eastAsia"/>
          <w:color w:val="auto"/>
          <w:highlight w:val="none"/>
        </w:rPr>
        <w:t>全程使用聚丙烯或聚乙烯材质的采样桶、采样瓶、移液管、滤膜等；</w:t>
      </w:r>
    </w:p>
    <w:p w14:paraId="6CFAD6A5">
      <w:pPr>
        <w:pStyle w:val="174"/>
        <w:rPr>
          <w:color w:val="auto"/>
          <w:highlight w:val="none"/>
        </w:rPr>
      </w:pPr>
      <w:r>
        <w:rPr>
          <w:rFonts w:hint="eastAsia"/>
          <w:color w:val="auto"/>
          <w:highlight w:val="none"/>
        </w:rPr>
        <w:t>采样前用待采水样润洗容器3次，润洗废水不得倒入原水体；</w:t>
      </w:r>
    </w:p>
    <w:p w14:paraId="15685A20">
      <w:pPr>
        <w:pStyle w:val="174"/>
        <w:rPr>
          <w:color w:val="auto"/>
          <w:highlight w:val="none"/>
        </w:rPr>
      </w:pPr>
      <w:r>
        <w:rPr>
          <w:rFonts w:hint="eastAsia"/>
          <w:color w:val="auto"/>
          <w:highlight w:val="none"/>
        </w:rPr>
        <w:t>采样过程中避免接触玻璃、含氟橡胶、聚四氟乙烯以外的含氟材质。</w:t>
      </w:r>
    </w:p>
    <w:p w14:paraId="43DE4252">
      <w:pPr>
        <w:pStyle w:val="165"/>
        <w:rPr>
          <w:color w:val="auto"/>
          <w:highlight w:val="none"/>
        </w:rPr>
      </w:pPr>
      <w:r>
        <w:rPr>
          <w:rFonts w:hint="eastAsia"/>
          <w:color w:val="auto"/>
          <w:highlight w:val="none"/>
        </w:rPr>
        <w:t>现场质控样品采集应符合以下要求：</w:t>
      </w:r>
    </w:p>
    <w:p w14:paraId="2CDCBAC4">
      <w:pPr>
        <w:pStyle w:val="174"/>
        <w:numPr>
          <w:ilvl w:val="0"/>
          <w:numId w:val="38"/>
        </w:numPr>
        <w:rPr>
          <w:color w:val="auto"/>
          <w:highlight w:val="none"/>
        </w:rPr>
      </w:pPr>
      <w:r>
        <w:rPr>
          <w:rFonts w:hint="eastAsia"/>
          <w:color w:val="auto"/>
          <w:highlight w:val="none"/>
        </w:rPr>
        <w:t>采样器材应分架存放，不得混用。采样前对清洗干净的采样器材进行空白本底抽检，每个采样批次每种器具至少抽取 3%，检测结果应低于方法检出限或方法规定的限值；</w:t>
      </w:r>
    </w:p>
    <w:p w14:paraId="3FD9D5F1">
      <w:pPr>
        <w:pStyle w:val="174"/>
        <w:numPr>
          <w:ilvl w:val="0"/>
          <w:numId w:val="38"/>
        </w:numPr>
        <w:rPr>
          <w:color w:val="auto"/>
          <w:highlight w:val="none"/>
        </w:rPr>
      </w:pPr>
      <w:r>
        <w:rPr>
          <w:rFonts w:hint="eastAsia"/>
          <w:color w:val="auto"/>
          <w:highlight w:val="none"/>
        </w:rPr>
        <w:t>对监测质量有影响的试剂耗材使用前应进行抽检，被测目标物检测结果应低于方法检出限或方法规定的限值；</w:t>
      </w:r>
    </w:p>
    <w:p w14:paraId="0CB6EB5E">
      <w:pPr>
        <w:pStyle w:val="174"/>
        <w:numPr>
          <w:ilvl w:val="0"/>
          <w:numId w:val="38"/>
        </w:numPr>
        <w:rPr>
          <w:color w:val="auto"/>
          <w:highlight w:val="none"/>
        </w:rPr>
      </w:pPr>
      <w:r>
        <w:rPr>
          <w:rFonts w:hint="eastAsia"/>
          <w:color w:val="auto"/>
          <w:highlight w:val="none"/>
        </w:rPr>
        <w:t>每个采样批次至少采集一个全程序空白样品，与水样一起送实验室分析，空白测定值应满足标准分析方法规定的要求；</w:t>
      </w:r>
    </w:p>
    <w:p w14:paraId="1A157DEA">
      <w:pPr>
        <w:pStyle w:val="174"/>
        <w:rPr>
          <w:color w:val="auto"/>
          <w:highlight w:val="none"/>
        </w:rPr>
      </w:pPr>
      <w:r>
        <w:rPr>
          <w:rFonts w:hint="eastAsia"/>
          <w:color w:val="auto"/>
          <w:highlight w:val="none"/>
        </w:rPr>
        <w:t>每批次样品采集不少于10％的现场平行样，样品数量少于10个的至少采集1组；</w:t>
      </w:r>
    </w:p>
    <w:p w14:paraId="09C7BD77">
      <w:pPr>
        <w:pStyle w:val="174"/>
        <w:rPr>
          <w:color w:val="auto"/>
          <w:highlight w:val="none"/>
        </w:rPr>
      </w:pPr>
      <w:r>
        <w:rPr>
          <w:rFonts w:hint="eastAsia"/>
          <w:color w:val="auto"/>
          <w:highlight w:val="none"/>
        </w:rPr>
        <w:t>基质复杂的样品，每批次采集不少于5％的现场加标样。</w:t>
      </w:r>
    </w:p>
    <w:p w14:paraId="62AAC641">
      <w:pPr>
        <w:pStyle w:val="105"/>
        <w:spacing w:before="120" w:after="120"/>
        <w:rPr>
          <w:color w:val="auto"/>
          <w:highlight w:val="none"/>
        </w:rPr>
      </w:pPr>
      <w:bookmarkStart w:id="66" w:name="_Toc229148108"/>
      <w:r>
        <w:rPr>
          <w:rFonts w:hint="eastAsia"/>
          <w:color w:val="auto"/>
          <w:highlight w:val="none"/>
        </w:rPr>
        <w:t>样品保存</w:t>
      </w:r>
      <w:bookmarkEnd w:id="66"/>
    </w:p>
    <w:p w14:paraId="025C3E60">
      <w:pPr>
        <w:pStyle w:val="56"/>
        <w:ind w:firstLine="420"/>
        <w:rPr>
          <w:color w:val="auto"/>
          <w:highlight w:val="none"/>
        </w:rPr>
      </w:pPr>
      <w:r>
        <w:rPr>
          <w:rFonts w:hint="eastAsia"/>
          <w:color w:val="auto"/>
          <w:highlight w:val="none"/>
        </w:rPr>
        <w:t>水样保存剂应严格按照各监测项目标准分析方法要求选用；若现行标准分析方法未作明确规定，均遵照HJ 493相关要求执行。保存剂添加操作过程中，所用器具须专用专用、严禁混用，杜绝交叉污染。新污染物各监测项目水样具体保存要求，详见附录 B。</w:t>
      </w:r>
    </w:p>
    <w:p w14:paraId="2AB5858D">
      <w:pPr>
        <w:pStyle w:val="105"/>
        <w:spacing w:before="120" w:after="120"/>
        <w:rPr>
          <w:color w:val="auto"/>
          <w:highlight w:val="none"/>
        </w:rPr>
      </w:pPr>
      <w:bookmarkStart w:id="67" w:name="_Toc229148109"/>
      <w:r>
        <w:rPr>
          <w:rFonts w:hint="eastAsia"/>
          <w:color w:val="auto"/>
          <w:highlight w:val="none"/>
        </w:rPr>
        <w:t>样品运输与交接</w:t>
      </w:r>
      <w:bookmarkEnd w:id="67"/>
    </w:p>
    <w:p w14:paraId="681A4FCF">
      <w:pPr>
        <w:pStyle w:val="165"/>
        <w:rPr>
          <w:color w:val="auto"/>
          <w:highlight w:val="none"/>
        </w:rPr>
      </w:pPr>
      <w:r>
        <w:rPr>
          <w:rFonts w:hint="eastAsia"/>
          <w:color w:val="auto"/>
          <w:highlight w:val="none"/>
        </w:rPr>
        <w:t>水样运输前，须将样品瓶内、外盖均盖紧密封，防止水样泄漏或受到污染；对于需冷藏保存的水样，应严格按照对应监测项目标准分析方法要求进行冷藏处理，并在整个运输过程中持续保障冷藏效果，确保水样保存条件符合规范；</w:t>
      </w:r>
    </w:p>
    <w:p w14:paraId="48DAF2A2">
      <w:pPr>
        <w:pStyle w:val="165"/>
        <w:rPr>
          <w:color w:val="auto"/>
          <w:highlight w:val="none"/>
        </w:rPr>
      </w:pPr>
      <w:r>
        <w:rPr>
          <w:rFonts w:hint="eastAsia"/>
          <w:color w:val="auto"/>
          <w:highlight w:val="none"/>
        </w:rPr>
        <w:t>水样装箱时，应采用泡沫塑料等减震材料对每个样品瓶进行分隔固定，避免样品瓶在运输过程中发生碰撞、摩擦，防止容器破损导致水样流失或污染；</w:t>
      </w:r>
    </w:p>
    <w:p w14:paraId="7D84F498">
      <w:pPr>
        <w:pStyle w:val="165"/>
        <w:rPr>
          <w:color w:val="auto"/>
          <w:highlight w:val="none"/>
        </w:rPr>
      </w:pPr>
      <w:r>
        <w:rPr>
          <w:rFonts w:hint="eastAsia"/>
          <w:color w:val="auto"/>
          <w:highlight w:val="none"/>
        </w:rPr>
        <w:t>水样采集后应尽快送往实验室，采样前需结合采样点地理位置、各监测项目标准分析方法允许的最长保存时间，合理规划采样及送样时间，选用适宜的运输方式，提前做好运输安排，杜绝因运输延误导致水样变质、失效；</w:t>
      </w:r>
    </w:p>
    <w:p w14:paraId="141BC03D">
      <w:pPr>
        <w:pStyle w:val="165"/>
        <w:rPr>
          <w:color w:val="auto"/>
          <w:highlight w:val="none"/>
        </w:rPr>
      </w:pPr>
      <w:r>
        <w:rPr>
          <w:rFonts w:hint="eastAsia"/>
          <w:color w:val="auto"/>
          <w:highlight w:val="none"/>
        </w:rPr>
        <w:t>样品运输全过程需采取有效防护措施，严禁样品受到沾污、损失或丢失；包装箱顶部及侧面需用醒目色彩标注“切勿倒置”标记，同时避免日光直射、剧烈震动及高温环境，防止新污染物进入容器或沾污瓶口，确保水样性质稳定；</w:t>
      </w:r>
    </w:p>
    <w:p w14:paraId="2D7CE3F7">
      <w:pPr>
        <w:pStyle w:val="165"/>
        <w:rPr>
          <w:color w:val="auto"/>
          <w:highlight w:val="none"/>
        </w:rPr>
      </w:pPr>
      <w:r>
        <w:rPr>
          <w:rFonts w:hint="eastAsia"/>
          <w:color w:val="auto"/>
          <w:highlight w:val="none"/>
        </w:rPr>
        <w:t>每个水样瓶均需规范粘贴标签，明确标注采样点位编号、采样日期与时间、测定项目、保存方法及所用保存剂种类；同一采样点的样品宜装入同一包装箱，若需分装入多个包装箱，需在每个包装箱内放置相同的现场采样记录表；</w:t>
      </w:r>
    </w:p>
    <w:p w14:paraId="1464A07E">
      <w:pPr>
        <w:pStyle w:val="165"/>
        <w:rPr>
          <w:color w:val="auto"/>
          <w:highlight w:val="none"/>
        </w:rPr>
      </w:pPr>
      <w:r>
        <w:rPr>
          <w:rFonts w:hint="eastAsia"/>
          <w:color w:val="auto"/>
          <w:highlight w:val="none"/>
        </w:rPr>
        <w:t>水样交付实验室时，需双方共同清点样品数量，核查样品完整性、有效性，如实填写样品交接记录表；运输过程中若发现样品异常、容器破损等情况，应及时如实记录，并迅速采取相应处理措施，必要时重新采集水样；同时确保采样记录、样品标签及包装完整无缺，全程留存可追溯记录。</w:t>
      </w:r>
    </w:p>
    <w:p w14:paraId="4EB36466">
      <w:pPr>
        <w:pStyle w:val="104"/>
        <w:spacing w:before="240" w:after="240"/>
        <w:rPr>
          <w:color w:val="auto"/>
          <w:highlight w:val="none"/>
        </w:rPr>
      </w:pPr>
      <w:bookmarkStart w:id="68" w:name="_Toc229148110"/>
      <w:r>
        <w:rPr>
          <w:rFonts w:hint="eastAsia"/>
          <w:color w:val="auto"/>
          <w:highlight w:val="none"/>
        </w:rPr>
        <w:t>实验室分析测试</w:t>
      </w:r>
      <w:bookmarkEnd w:id="68"/>
    </w:p>
    <w:p w14:paraId="1403BF53">
      <w:pPr>
        <w:pStyle w:val="105"/>
        <w:spacing w:before="120" w:after="120"/>
        <w:rPr>
          <w:color w:val="auto"/>
          <w:highlight w:val="none"/>
        </w:rPr>
      </w:pPr>
      <w:bookmarkStart w:id="69" w:name="_Toc229148111"/>
      <w:r>
        <w:rPr>
          <w:rFonts w:hint="eastAsia"/>
          <w:color w:val="auto"/>
          <w:highlight w:val="none"/>
        </w:rPr>
        <w:t>一般要求</w:t>
      </w:r>
      <w:bookmarkEnd w:id="69"/>
    </w:p>
    <w:p w14:paraId="1ABB6F96">
      <w:pPr>
        <w:pStyle w:val="165"/>
        <w:rPr>
          <w:color w:val="auto"/>
          <w:highlight w:val="none"/>
        </w:rPr>
      </w:pPr>
      <w:r>
        <w:rPr>
          <w:rFonts w:hint="eastAsia"/>
          <w:color w:val="auto"/>
          <w:highlight w:val="none"/>
        </w:rPr>
        <w:t>实验室环境应满足痕量分析要求：有机分析与无机分析实验室分开；微塑料分析在万级及以上洁净实验室进行；PFAS分析实验室严禁使用含氟材质的设备、耗材；PFAS、微塑料、邻苯二甲酸酯、内分泌干扰物等项目应独立分区、专用器具、独立通风，严禁混用。</w:t>
      </w:r>
    </w:p>
    <w:p w14:paraId="7269A181">
      <w:pPr>
        <w:pStyle w:val="165"/>
        <w:rPr>
          <w:color w:val="auto"/>
          <w:highlight w:val="none"/>
        </w:rPr>
      </w:pPr>
      <w:r>
        <w:rPr>
          <w:rFonts w:hint="eastAsia"/>
          <w:color w:val="auto"/>
          <w:highlight w:val="none"/>
        </w:rPr>
        <w:t>仪器设备应经检定/校准，在有效期内使用；使用前进行性能核查，建立全生命周期使用台账。</w:t>
      </w:r>
    </w:p>
    <w:p w14:paraId="1F884024">
      <w:pPr>
        <w:pStyle w:val="165"/>
        <w:rPr>
          <w:color w:val="auto"/>
          <w:highlight w:val="none"/>
        </w:rPr>
      </w:pPr>
      <w:r>
        <w:rPr>
          <w:rFonts w:hint="eastAsia"/>
          <w:color w:val="auto"/>
          <w:highlight w:val="none"/>
        </w:rPr>
        <w:t>实验用水符合</w:t>
      </w:r>
      <w:r>
        <w:rPr>
          <w:color w:val="auto"/>
          <w:highlight w:val="none"/>
        </w:rPr>
        <w:t>GB/T 6682</w:t>
      </w:r>
      <w:r>
        <w:rPr>
          <w:rFonts w:hint="eastAsia"/>
          <w:color w:val="auto"/>
          <w:highlight w:val="none"/>
        </w:rPr>
        <w:t>一级水要求（电阻率≥</w:t>
      </w:r>
      <w:r>
        <w:rPr>
          <w:color w:val="auto"/>
          <w:highlight w:val="none"/>
        </w:rPr>
        <w:t>18.2</w:t>
      </w:r>
      <w:r>
        <w:rPr>
          <w:rFonts w:hint="eastAsia"/>
          <w:color w:val="auto"/>
          <w:highlight w:val="none"/>
          <w:vertAlign w:val="superscript"/>
        </w:rPr>
        <w:t xml:space="preserve"> </w:t>
      </w:r>
      <w:r>
        <w:rPr>
          <w:color w:val="auto"/>
          <w:highlight w:val="none"/>
        </w:rPr>
        <w:t>MΩ</w:t>
      </w:r>
      <w:r>
        <w:rPr>
          <w:rFonts w:hint="eastAsia" w:hAnsi="宋体" w:cs="微软雅黑"/>
          <w:color w:val="auto"/>
          <w:highlight w:val="none"/>
        </w:rPr>
        <w:t>·</w:t>
      </w:r>
      <w:r>
        <w:rPr>
          <w:color w:val="auto"/>
          <w:highlight w:val="none"/>
        </w:rPr>
        <w:t>cm</w:t>
      </w:r>
      <w:r>
        <w:rPr>
          <w:rFonts w:hint="eastAsia"/>
          <w:color w:val="auto"/>
          <w:highlight w:val="none"/>
        </w:rPr>
        <w:t>，</w:t>
      </w:r>
      <w:r>
        <w:rPr>
          <w:color w:val="auto"/>
          <w:highlight w:val="none"/>
        </w:rPr>
        <w:t>25</w:t>
      </w:r>
      <w:r>
        <w:rPr>
          <w:rFonts w:hint="eastAsia"/>
          <w:color w:val="auto"/>
          <w:highlight w:val="none"/>
        </w:rPr>
        <w:t>℃），不含目标化合物；分析时均使用符合国家标准的分析纯试剂，有机溶剂采用色谱纯及以上级别；标准物质采用有证标准物质。</w:t>
      </w:r>
    </w:p>
    <w:p w14:paraId="1FAB60F7">
      <w:pPr>
        <w:pStyle w:val="165"/>
        <w:rPr>
          <w:color w:val="auto"/>
          <w:highlight w:val="none"/>
        </w:rPr>
      </w:pPr>
      <w:r>
        <w:rPr>
          <w:rFonts w:hint="eastAsia"/>
          <w:color w:val="auto"/>
          <w:highlight w:val="none"/>
        </w:rPr>
        <w:t>分析人员应经新污染物痕量分析专项培训，考核合格后方可上岗；实验室应建立人员技术档案，定期开展能力评价、技能考核与技术复核，保持并持续提升监测人员专业能力。</w:t>
      </w:r>
    </w:p>
    <w:p w14:paraId="6EE82EFE">
      <w:pPr>
        <w:pStyle w:val="105"/>
        <w:spacing w:before="120" w:after="120"/>
        <w:rPr>
          <w:color w:val="auto"/>
          <w:highlight w:val="none"/>
        </w:rPr>
      </w:pPr>
      <w:bookmarkStart w:id="70" w:name="_Toc229148112"/>
      <w:r>
        <w:rPr>
          <w:rFonts w:hint="eastAsia"/>
          <w:color w:val="auto"/>
          <w:highlight w:val="none"/>
        </w:rPr>
        <w:t>分析方法选择原则</w:t>
      </w:r>
      <w:bookmarkEnd w:id="70"/>
    </w:p>
    <w:p w14:paraId="3E3BFDF8">
      <w:pPr>
        <w:pStyle w:val="165"/>
        <w:rPr>
          <w:color w:val="auto"/>
          <w:highlight w:val="none"/>
        </w:rPr>
      </w:pPr>
      <w:r>
        <w:rPr>
          <w:rFonts w:hint="eastAsia"/>
          <w:color w:val="auto"/>
          <w:highlight w:val="none"/>
        </w:rPr>
        <w:t>优先选用国家、行业现行有效的标准分析方法，附录A列出了各类新污染物的推荐标准方法。</w:t>
      </w:r>
    </w:p>
    <w:p w14:paraId="10912C14">
      <w:pPr>
        <w:pStyle w:val="165"/>
        <w:rPr>
          <w:color w:val="auto"/>
          <w:highlight w:val="none"/>
        </w:rPr>
      </w:pPr>
      <w:r>
        <w:rPr>
          <w:rFonts w:hint="eastAsia"/>
          <w:color w:val="auto"/>
          <w:highlight w:val="none"/>
        </w:rPr>
        <w:t>暂无标准方法的，可选用ISO、美国EPA等发布的权威方法，使用前按HJ 168完成方法验证，验证内容包括检出限、定量限、精密度、准确度、基质效应等。</w:t>
      </w:r>
    </w:p>
    <w:p w14:paraId="5CCED457">
      <w:pPr>
        <w:pStyle w:val="165"/>
        <w:rPr>
          <w:color w:val="auto"/>
          <w:highlight w:val="none"/>
        </w:rPr>
      </w:pPr>
      <w:r>
        <w:rPr>
          <w:rFonts w:hint="eastAsia"/>
          <w:color w:val="auto"/>
          <w:highlight w:val="none"/>
        </w:rPr>
        <w:t>所选方法的检出限应低于对应新污染物的环境风险管控阈值；可选用现场快速筛查方法确定污染物，阳性样品必须经实验室标准方法确证。</w:t>
      </w:r>
    </w:p>
    <w:p w14:paraId="2F5090DF">
      <w:pPr>
        <w:pStyle w:val="105"/>
        <w:spacing w:before="120" w:after="120"/>
        <w:rPr>
          <w:color w:val="auto"/>
          <w:highlight w:val="none"/>
        </w:rPr>
      </w:pPr>
      <w:bookmarkStart w:id="71" w:name="_Toc229148113"/>
      <w:r>
        <w:rPr>
          <w:rFonts w:hint="eastAsia"/>
          <w:color w:val="auto"/>
          <w:highlight w:val="none"/>
        </w:rPr>
        <w:t>样品前处理</w:t>
      </w:r>
      <w:bookmarkEnd w:id="71"/>
    </w:p>
    <w:p w14:paraId="3A1CADAF">
      <w:pPr>
        <w:pStyle w:val="165"/>
        <w:rPr>
          <w:color w:val="auto"/>
          <w:highlight w:val="none"/>
        </w:rPr>
      </w:pPr>
      <w:r>
        <w:rPr>
          <w:rFonts w:hint="eastAsia"/>
          <w:color w:val="auto"/>
          <w:highlight w:val="none"/>
        </w:rPr>
        <w:t>前处理方法应根据目标物理化性质、水样基质特征选择，常用方法包括：</w:t>
      </w:r>
    </w:p>
    <w:p w14:paraId="2F6BA215">
      <w:pPr>
        <w:pStyle w:val="174"/>
        <w:numPr>
          <w:ilvl w:val="0"/>
          <w:numId w:val="39"/>
        </w:numPr>
        <w:rPr>
          <w:color w:val="auto"/>
          <w:highlight w:val="none"/>
        </w:rPr>
      </w:pPr>
      <w:r>
        <w:rPr>
          <w:rFonts w:hint="eastAsia"/>
          <w:color w:val="auto"/>
          <w:highlight w:val="none"/>
        </w:rPr>
        <w:t>液液萃取：适用于疏水性强的有机新污染物（如多环芳烃、有机氯农药）；</w:t>
      </w:r>
    </w:p>
    <w:p w14:paraId="6703B650">
      <w:pPr>
        <w:pStyle w:val="174"/>
        <w:rPr>
          <w:color w:val="auto"/>
          <w:highlight w:val="none"/>
        </w:rPr>
      </w:pPr>
      <w:r>
        <w:rPr>
          <w:rFonts w:hint="eastAsia"/>
          <w:color w:val="auto"/>
          <w:highlight w:val="none"/>
        </w:rPr>
        <w:t>固相萃取：适用于大多数极性、半极性有机新污染物（如抗生素、PFAS、内分泌干扰物）；</w:t>
      </w:r>
    </w:p>
    <w:p w14:paraId="61430CEA">
      <w:pPr>
        <w:pStyle w:val="174"/>
        <w:rPr>
          <w:color w:val="auto"/>
          <w:highlight w:val="none"/>
        </w:rPr>
      </w:pPr>
      <w:r>
        <w:rPr>
          <w:rFonts w:hint="eastAsia"/>
          <w:color w:val="auto"/>
          <w:highlight w:val="none"/>
        </w:rPr>
        <w:t>固相微萃取：适用于挥发性、半挥发性有机新污染物；</w:t>
      </w:r>
    </w:p>
    <w:p w14:paraId="62FFFCC0">
      <w:pPr>
        <w:pStyle w:val="165"/>
        <w:rPr>
          <w:color w:val="auto"/>
          <w:highlight w:val="none"/>
        </w:rPr>
      </w:pPr>
      <w:r>
        <w:rPr>
          <w:rFonts w:hint="eastAsia"/>
          <w:color w:val="auto"/>
          <w:highlight w:val="none"/>
        </w:rPr>
        <w:t>前处理过程应严格控制外源性污染，每批次样品同步做方法空白、基质加标、平行样；空白样品中目标物检出值应低于方法检出限。</w:t>
      </w:r>
    </w:p>
    <w:p w14:paraId="72184048">
      <w:pPr>
        <w:pStyle w:val="165"/>
        <w:rPr>
          <w:color w:val="auto"/>
          <w:highlight w:val="none"/>
        </w:rPr>
      </w:pPr>
      <w:r>
        <w:rPr>
          <w:rFonts w:hint="eastAsia"/>
          <w:color w:val="auto"/>
          <w:highlight w:val="none"/>
        </w:rPr>
        <w:t>易挥发、易降解的目标物应在低温、避光环境下操作，前处理完成后立即进行仪器分析。</w:t>
      </w:r>
    </w:p>
    <w:p w14:paraId="44EEE134">
      <w:pPr>
        <w:pStyle w:val="165"/>
        <w:rPr>
          <w:color w:val="auto"/>
          <w:highlight w:val="none"/>
        </w:rPr>
      </w:pPr>
      <w:r>
        <w:rPr>
          <w:rFonts w:hint="eastAsia"/>
          <w:color w:val="auto"/>
          <w:highlight w:val="none"/>
        </w:rPr>
        <w:t>基质复杂的水样应采用合适的净化方法去除干扰，降低基质效应。</w:t>
      </w:r>
    </w:p>
    <w:p w14:paraId="2325BDBA">
      <w:pPr>
        <w:pStyle w:val="105"/>
        <w:spacing w:before="120" w:after="120"/>
        <w:rPr>
          <w:color w:val="auto"/>
          <w:highlight w:val="none"/>
        </w:rPr>
      </w:pPr>
      <w:bookmarkStart w:id="72" w:name="_Toc229148114"/>
      <w:r>
        <w:rPr>
          <w:rFonts w:hint="eastAsia"/>
          <w:color w:val="auto"/>
          <w:highlight w:val="none"/>
        </w:rPr>
        <w:t>仪器分析与定性定量</w:t>
      </w:r>
      <w:bookmarkEnd w:id="72"/>
    </w:p>
    <w:p w14:paraId="0389A474">
      <w:pPr>
        <w:pStyle w:val="165"/>
        <w:rPr>
          <w:color w:val="auto"/>
          <w:highlight w:val="none"/>
        </w:rPr>
      </w:pPr>
      <w:r>
        <w:rPr>
          <w:rFonts w:hint="eastAsia"/>
          <w:color w:val="auto"/>
          <w:highlight w:val="none"/>
        </w:rPr>
        <w:t>有机新污染物优先采用高效液相色谱-串联质谱法（LC-MS/MS）、气相色谱-质谱法（GC-MS）分析；金属类采用ICP-OES、ICP-MS分析；微塑料采用傅里叶变换红外光谱法（FTIR）确证成分。</w:t>
      </w:r>
    </w:p>
    <w:p w14:paraId="40E57BC6">
      <w:pPr>
        <w:pStyle w:val="165"/>
        <w:rPr>
          <w:color w:val="auto"/>
          <w:highlight w:val="none"/>
        </w:rPr>
      </w:pPr>
      <w:r>
        <w:rPr>
          <w:rFonts w:hint="eastAsia"/>
          <w:color w:val="auto"/>
          <w:highlight w:val="none"/>
        </w:rPr>
        <w:t xml:space="preserve">校准曲线应执行相应标准方法的规定，原则上要求至少包含 </w:t>
      </w:r>
      <w:r>
        <w:rPr>
          <w:color w:val="auto"/>
          <w:highlight w:val="none"/>
        </w:rPr>
        <w:t xml:space="preserve">5 </w:t>
      </w:r>
      <w:r>
        <w:rPr>
          <w:rFonts w:hint="eastAsia"/>
          <w:color w:val="auto"/>
          <w:highlight w:val="none"/>
        </w:rPr>
        <w:t>个非零浓度点，相关系数≥</w:t>
      </w:r>
      <w:r>
        <w:rPr>
          <w:color w:val="auto"/>
          <w:highlight w:val="none"/>
        </w:rPr>
        <w:t>0.995</w:t>
      </w:r>
      <w:r>
        <w:rPr>
          <w:rFonts w:hint="eastAsia"/>
          <w:color w:val="auto"/>
          <w:highlight w:val="none"/>
        </w:rPr>
        <w:t xml:space="preserve">。每 </w:t>
      </w:r>
      <w:r>
        <w:rPr>
          <w:color w:val="auto"/>
          <w:highlight w:val="none"/>
        </w:rPr>
        <w:t xml:space="preserve">20 </w:t>
      </w:r>
      <w:r>
        <w:rPr>
          <w:rFonts w:hint="eastAsia"/>
          <w:color w:val="auto"/>
          <w:highlight w:val="none"/>
        </w:rPr>
        <w:t>个样品或每批次样品（少于</w:t>
      </w:r>
      <w:r>
        <w:rPr>
          <w:color w:val="auto"/>
          <w:highlight w:val="none"/>
        </w:rPr>
        <w:t>20</w:t>
      </w:r>
      <w:r>
        <w:rPr>
          <w:rFonts w:hint="eastAsia"/>
          <w:color w:val="auto"/>
          <w:highlight w:val="none"/>
        </w:rPr>
        <w:t>个），应测定一个标准曲线的中间浓度点，目标化合物的测定值与标准浓度值相对偏差应在±15%以内，否则应查找原因，重新绘制标准曲线。</w:t>
      </w:r>
    </w:p>
    <w:p w14:paraId="07077DB2">
      <w:pPr>
        <w:pStyle w:val="165"/>
        <w:rPr>
          <w:color w:val="auto"/>
          <w:highlight w:val="none"/>
        </w:rPr>
      </w:pPr>
      <w:r>
        <w:rPr>
          <w:rFonts w:hint="eastAsia"/>
          <w:color w:val="auto"/>
          <w:highlight w:val="none"/>
        </w:rPr>
        <w:t>定性确认要求：样品中目标物的保留时间与标准溶液偏差≤±2.5％；定性离子对的相对丰度比与标准溶液偏差符合相关标准要求。</w:t>
      </w:r>
    </w:p>
    <w:p w14:paraId="19E3277D">
      <w:pPr>
        <w:pStyle w:val="165"/>
        <w:rPr>
          <w:color w:val="auto"/>
          <w:highlight w:val="none"/>
        </w:rPr>
      </w:pPr>
      <w:r>
        <w:rPr>
          <w:rFonts w:hint="eastAsia"/>
          <w:color w:val="auto"/>
          <w:highlight w:val="none"/>
        </w:rPr>
        <w:t>微塑料分析应完成目视分拣、粒径统计、成分确证，结果以“个/L”为单位报告，同步报告粒径分布、聚合物类型、形态特征。</w:t>
      </w:r>
    </w:p>
    <w:p w14:paraId="15F8942E">
      <w:pPr>
        <w:pStyle w:val="104"/>
        <w:spacing w:before="240" w:after="240"/>
        <w:rPr>
          <w:color w:val="auto"/>
          <w:highlight w:val="none"/>
        </w:rPr>
      </w:pPr>
      <w:bookmarkStart w:id="73" w:name="_Toc229148115"/>
      <w:r>
        <w:rPr>
          <w:rFonts w:hint="eastAsia"/>
          <w:color w:val="auto"/>
          <w:highlight w:val="none"/>
        </w:rPr>
        <w:t>质量保证与质量控制</w:t>
      </w:r>
      <w:bookmarkEnd w:id="73"/>
    </w:p>
    <w:p w14:paraId="4C3D4B93">
      <w:pPr>
        <w:pStyle w:val="105"/>
        <w:spacing w:before="120" w:after="120"/>
        <w:rPr>
          <w:color w:val="auto"/>
          <w:highlight w:val="none"/>
        </w:rPr>
      </w:pPr>
      <w:bookmarkStart w:id="74" w:name="_Toc229148116"/>
      <w:r>
        <w:rPr>
          <w:rFonts w:hint="eastAsia"/>
          <w:color w:val="auto"/>
          <w:highlight w:val="none"/>
        </w:rPr>
        <w:t>全流程质控总体要求</w:t>
      </w:r>
      <w:bookmarkEnd w:id="74"/>
    </w:p>
    <w:p w14:paraId="0A2AC19A">
      <w:pPr>
        <w:pStyle w:val="165"/>
        <w:rPr>
          <w:color w:val="auto"/>
          <w:highlight w:val="none"/>
        </w:rPr>
      </w:pPr>
      <w:r>
        <w:rPr>
          <w:rFonts w:hint="eastAsia"/>
          <w:color w:val="auto"/>
          <w:highlight w:val="none"/>
        </w:rPr>
        <w:t>建立“采样-保存-运输-前处理-分析-数据处理”全流程质量控制体系，每个环节设置质控节点，留存完整质控记录。</w:t>
      </w:r>
    </w:p>
    <w:p w14:paraId="6B298846">
      <w:pPr>
        <w:pStyle w:val="165"/>
        <w:rPr>
          <w:color w:val="auto"/>
          <w:highlight w:val="none"/>
        </w:rPr>
      </w:pPr>
      <w:r>
        <w:rPr>
          <w:rFonts w:hint="eastAsia"/>
          <w:color w:val="auto"/>
          <w:highlight w:val="none"/>
        </w:rPr>
        <w:t>所有监测活动应严格执行本文件规定的质控要求，方法偏离应经技术负责人批准并记录在案。</w:t>
      </w:r>
    </w:p>
    <w:p w14:paraId="1A046349">
      <w:pPr>
        <w:pStyle w:val="165"/>
        <w:rPr>
          <w:color w:val="auto"/>
          <w:highlight w:val="none"/>
        </w:rPr>
      </w:pPr>
      <w:r>
        <w:rPr>
          <w:rFonts w:hint="eastAsia"/>
          <w:color w:val="auto"/>
          <w:highlight w:val="none"/>
        </w:rPr>
        <w:t>实验室每年至少参加1次国家级或省级新污染物监测能力验证，结果满意方可开展相关工作。</w:t>
      </w:r>
    </w:p>
    <w:p w14:paraId="50E49007">
      <w:pPr>
        <w:pStyle w:val="105"/>
        <w:spacing w:before="120" w:after="120"/>
        <w:rPr>
          <w:color w:val="auto"/>
          <w:highlight w:val="none"/>
        </w:rPr>
      </w:pPr>
      <w:bookmarkStart w:id="75" w:name="_Toc229148117"/>
      <w:r>
        <w:rPr>
          <w:rFonts w:hint="eastAsia"/>
          <w:color w:val="auto"/>
          <w:highlight w:val="none"/>
        </w:rPr>
        <w:t>现场质量控制</w:t>
      </w:r>
      <w:bookmarkEnd w:id="75"/>
    </w:p>
    <w:p w14:paraId="5D24F978">
      <w:pPr>
        <w:pStyle w:val="65"/>
        <w:spacing w:before="120" w:after="120"/>
        <w:rPr>
          <w:color w:val="auto"/>
          <w:highlight w:val="none"/>
        </w:rPr>
      </w:pPr>
      <w:r>
        <w:rPr>
          <w:rFonts w:hint="eastAsia"/>
          <w:color w:val="auto"/>
          <w:highlight w:val="none"/>
        </w:rPr>
        <w:t>全程序空白</w:t>
      </w:r>
    </w:p>
    <w:p w14:paraId="79A91788">
      <w:pPr>
        <w:widowControl/>
        <w:ind w:firstLine="420" w:firstLineChars="200"/>
        <w:jc w:val="left"/>
        <w:rPr>
          <w:color w:val="auto"/>
          <w:highlight w:val="none"/>
        </w:rPr>
      </w:pPr>
      <w:r>
        <w:rPr>
          <w:rFonts w:hint="eastAsia"/>
          <w:color w:val="auto"/>
          <w:highlight w:val="none"/>
        </w:rPr>
        <w:t>每批样品应至少采集1个全程序空白样品，其测定结果应低于方法检出限。</w:t>
      </w:r>
    </w:p>
    <w:p w14:paraId="07F28FC3">
      <w:pPr>
        <w:pStyle w:val="56"/>
        <w:ind w:firstLine="420"/>
        <w:rPr>
          <w:color w:val="auto"/>
          <w:highlight w:val="none"/>
        </w:rPr>
      </w:pPr>
    </w:p>
    <w:p w14:paraId="5BEE36DD">
      <w:pPr>
        <w:pStyle w:val="65"/>
        <w:spacing w:before="120" w:after="120"/>
        <w:rPr>
          <w:color w:val="auto"/>
          <w:highlight w:val="none"/>
        </w:rPr>
      </w:pPr>
      <w:r>
        <w:rPr>
          <w:rFonts w:hint="eastAsia"/>
          <w:color w:val="auto"/>
          <w:highlight w:val="none"/>
        </w:rPr>
        <w:t>现场平行样</w:t>
      </w:r>
    </w:p>
    <w:p w14:paraId="71792AE0">
      <w:pPr>
        <w:pStyle w:val="56"/>
        <w:ind w:firstLine="420"/>
        <w:rPr>
          <w:color w:val="auto"/>
          <w:highlight w:val="none"/>
        </w:rPr>
      </w:pPr>
      <w:r>
        <w:rPr>
          <w:rFonts w:hint="eastAsia"/>
          <w:color w:val="auto"/>
          <w:highlight w:val="none"/>
        </w:rPr>
        <w:t>每批样品应至少采集</w:t>
      </w:r>
      <w:r>
        <w:rPr>
          <w:color w:val="auto"/>
          <w:highlight w:val="none"/>
        </w:rPr>
        <w:t>10%</w:t>
      </w:r>
      <w:r>
        <w:rPr>
          <w:rFonts w:hint="eastAsia"/>
          <w:color w:val="auto"/>
          <w:highlight w:val="none"/>
        </w:rPr>
        <w:t>的平行双样，样品数量不足</w:t>
      </w:r>
      <w:r>
        <w:rPr>
          <w:color w:val="auto"/>
          <w:highlight w:val="none"/>
        </w:rPr>
        <w:t>10</w:t>
      </w:r>
      <w:r>
        <w:rPr>
          <w:rFonts w:hint="eastAsia"/>
          <w:color w:val="auto"/>
          <w:highlight w:val="none"/>
        </w:rPr>
        <w:t>个时，应至少采集</w:t>
      </w:r>
      <w:r>
        <w:rPr>
          <w:color w:val="auto"/>
          <w:highlight w:val="none"/>
        </w:rPr>
        <w:t>1</w:t>
      </w:r>
      <w:r>
        <w:rPr>
          <w:rFonts w:hint="eastAsia"/>
          <w:color w:val="auto"/>
          <w:highlight w:val="none"/>
        </w:rPr>
        <w:t>个平行双样，平行样相对偏差要求：</w:t>
      </w:r>
    </w:p>
    <w:p w14:paraId="58CCD7DB">
      <w:pPr>
        <w:pStyle w:val="174"/>
        <w:numPr>
          <w:ilvl w:val="0"/>
          <w:numId w:val="40"/>
        </w:numPr>
        <w:rPr>
          <w:color w:val="auto"/>
          <w:highlight w:val="none"/>
        </w:rPr>
      </w:pPr>
      <w:r>
        <w:rPr>
          <w:rFonts w:hint="eastAsia"/>
          <w:color w:val="auto"/>
          <w:highlight w:val="none"/>
        </w:rPr>
        <w:t>浓度≥10倍定量限：≤20％；</w:t>
      </w:r>
    </w:p>
    <w:p w14:paraId="24E72C53">
      <w:pPr>
        <w:pStyle w:val="174"/>
        <w:rPr>
          <w:color w:val="auto"/>
          <w:highlight w:val="none"/>
        </w:rPr>
      </w:pPr>
      <w:r>
        <w:rPr>
          <w:rFonts w:hint="eastAsia"/>
          <w:color w:val="auto"/>
          <w:highlight w:val="none"/>
        </w:rPr>
        <w:t>浓度＜10倍定量限：≤30％；</w:t>
      </w:r>
    </w:p>
    <w:p w14:paraId="4B09B260">
      <w:pPr>
        <w:pStyle w:val="174"/>
        <w:rPr>
          <w:color w:val="auto"/>
          <w:highlight w:val="none"/>
        </w:rPr>
      </w:pPr>
      <w:r>
        <w:rPr>
          <w:rFonts w:hint="eastAsia"/>
          <w:color w:val="auto"/>
          <w:highlight w:val="none"/>
        </w:rPr>
        <w:t>微塑料：≤40％。</w:t>
      </w:r>
    </w:p>
    <w:p w14:paraId="343E0378">
      <w:pPr>
        <w:pStyle w:val="65"/>
        <w:spacing w:before="120" w:after="120"/>
        <w:rPr>
          <w:color w:val="auto"/>
          <w:highlight w:val="none"/>
        </w:rPr>
      </w:pPr>
      <w:r>
        <w:rPr>
          <w:rFonts w:hint="eastAsia"/>
          <w:color w:val="auto"/>
          <w:highlight w:val="none"/>
        </w:rPr>
        <w:t>现场加标样</w:t>
      </w:r>
    </w:p>
    <w:p w14:paraId="7AC0FEE9">
      <w:pPr>
        <w:widowControl/>
        <w:ind w:firstLine="420" w:firstLineChars="200"/>
        <w:jc w:val="left"/>
        <w:rPr>
          <w:color w:val="auto"/>
          <w:highlight w:val="none"/>
        </w:rPr>
      </w:pPr>
      <w:r>
        <w:rPr>
          <w:rFonts w:hint="eastAsia" w:ascii="宋体" w:hAnsi="Times New Roman"/>
          <w:color w:val="auto"/>
          <w:kern w:val="0"/>
          <w:szCs w:val="20"/>
          <w:highlight w:val="none"/>
        </w:rPr>
        <w:t>每批样品应至少采集5</w:t>
      </w:r>
      <w:r>
        <w:rPr>
          <w:rFonts w:ascii="宋体" w:hAnsi="Times New Roman"/>
          <w:color w:val="auto"/>
          <w:kern w:val="0"/>
          <w:szCs w:val="20"/>
          <w:highlight w:val="none"/>
        </w:rPr>
        <w:t>%</w:t>
      </w:r>
      <w:r>
        <w:rPr>
          <w:rFonts w:hint="eastAsia" w:ascii="宋体" w:hAnsi="Times New Roman"/>
          <w:color w:val="auto"/>
          <w:kern w:val="0"/>
          <w:szCs w:val="20"/>
          <w:highlight w:val="none"/>
        </w:rPr>
        <w:t>的基体加标样品，样品数量不足20个时，应至少采集</w:t>
      </w:r>
      <w:r>
        <w:rPr>
          <w:rFonts w:ascii="宋体" w:hAnsi="Times New Roman"/>
          <w:color w:val="auto"/>
          <w:kern w:val="0"/>
          <w:szCs w:val="20"/>
          <w:highlight w:val="none"/>
        </w:rPr>
        <w:t>1</w:t>
      </w:r>
      <w:r>
        <w:rPr>
          <w:rFonts w:hint="eastAsia" w:ascii="宋体" w:hAnsi="Times New Roman"/>
          <w:color w:val="auto"/>
          <w:kern w:val="0"/>
          <w:szCs w:val="20"/>
          <w:highlight w:val="none"/>
        </w:rPr>
        <w:t>个基体加标样品，</w:t>
      </w:r>
      <w:r>
        <w:rPr>
          <w:rFonts w:hint="eastAsia" w:ascii="宋体" w:hAnsi="宋体" w:cs="宋体"/>
          <w:color w:val="auto"/>
          <w:kern w:val="0"/>
          <w:sz w:val="20"/>
          <w:szCs w:val="20"/>
          <w:highlight w:val="none"/>
          <w:lang w:bidi="ar"/>
        </w:rPr>
        <w:t xml:space="preserve"> </w:t>
      </w:r>
    </w:p>
    <w:p w14:paraId="460CE138">
      <w:pPr>
        <w:pStyle w:val="56"/>
        <w:ind w:firstLine="0" w:firstLineChars="0"/>
        <w:rPr>
          <w:color w:val="auto"/>
          <w:highlight w:val="none"/>
        </w:rPr>
      </w:pPr>
      <w:r>
        <w:rPr>
          <w:rFonts w:hint="eastAsia"/>
          <w:color w:val="auto"/>
          <w:highlight w:val="none"/>
        </w:rPr>
        <w:t>加标量为样品浓度的0.5～2倍，加标回收率要求：</w:t>
      </w:r>
    </w:p>
    <w:p w14:paraId="25BF440F">
      <w:pPr>
        <w:pStyle w:val="174"/>
        <w:numPr>
          <w:ilvl w:val="0"/>
          <w:numId w:val="41"/>
        </w:numPr>
        <w:rPr>
          <w:color w:val="auto"/>
          <w:highlight w:val="none"/>
        </w:rPr>
      </w:pPr>
      <w:r>
        <w:rPr>
          <w:rFonts w:hint="eastAsia"/>
          <w:color w:val="auto"/>
          <w:highlight w:val="none"/>
        </w:rPr>
        <w:t>常规有机污染物：60％～130％；</w:t>
      </w:r>
    </w:p>
    <w:p w14:paraId="3F330D97">
      <w:pPr>
        <w:pStyle w:val="174"/>
        <w:rPr>
          <w:color w:val="auto"/>
          <w:highlight w:val="none"/>
        </w:rPr>
      </w:pPr>
      <w:r>
        <w:rPr>
          <w:rFonts w:hint="eastAsia"/>
          <w:color w:val="auto"/>
          <w:highlight w:val="none"/>
        </w:rPr>
        <w:t>痕量超痕量污染物（＜10 倍定量限）：50％～150％；</w:t>
      </w:r>
    </w:p>
    <w:p w14:paraId="1A17B2DF">
      <w:pPr>
        <w:pStyle w:val="174"/>
        <w:rPr>
          <w:color w:val="auto"/>
          <w:highlight w:val="none"/>
        </w:rPr>
      </w:pPr>
      <w:r>
        <w:rPr>
          <w:rFonts w:hint="eastAsia"/>
          <w:color w:val="auto"/>
          <w:highlight w:val="none"/>
        </w:rPr>
        <w:t>微塑料：40％～160％。</w:t>
      </w:r>
    </w:p>
    <w:p w14:paraId="5C9D7A29">
      <w:pPr>
        <w:pStyle w:val="65"/>
        <w:spacing w:before="120" w:after="120"/>
        <w:rPr>
          <w:color w:val="auto"/>
          <w:highlight w:val="none"/>
        </w:rPr>
      </w:pPr>
      <w:r>
        <w:rPr>
          <w:rFonts w:hint="eastAsia"/>
          <w:color w:val="auto"/>
          <w:highlight w:val="none"/>
        </w:rPr>
        <w:t>采样设备空白</w:t>
      </w:r>
    </w:p>
    <w:p w14:paraId="59CBE28D">
      <w:pPr>
        <w:pStyle w:val="56"/>
        <w:ind w:firstLine="420"/>
        <w:rPr>
          <w:color w:val="auto"/>
          <w:highlight w:val="none"/>
        </w:rPr>
      </w:pPr>
      <w:r>
        <w:rPr>
          <w:rFonts w:hint="eastAsia"/>
          <w:color w:val="auto"/>
          <w:highlight w:val="none"/>
        </w:rPr>
        <w:t>每批次采样前对工具、容器进行空白检验，无目标物检出方可使用；采样后进行空白冲洗检验，避免交叉污染。</w:t>
      </w:r>
    </w:p>
    <w:p w14:paraId="366435A3">
      <w:pPr>
        <w:pStyle w:val="65"/>
        <w:spacing w:before="120" w:after="120"/>
        <w:rPr>
          <w:color w:val="auto"/>
          <w:highlight w:val="none"/>
        </w:rPr>
      </w:pPr>
      <w:r>
        <w:rPr>
          <w:rFonts w:hint="eastAsia"/>
          <w:color w:val="auto"/>
          <w:highlight w:val="none"/>
        </w:rPr>
        <w:t>现场参数校准</w:t>
      </w:r>
    </w:p>
    <w:p w14:paraId="4F0AD9AA">
      <w:pPr>
        <w:pStyle w:val="56"/>
        <w:ind w:firstLine="420"/>
        <w:rPr>
          <w:color w:val="auto"/>
          <w:highlight w:val="none"/>
        </w:rPr>
      </w:pPr>
      <w:r>
        <w:rPr>
          <w:rFonts w:hint="eastAsia"/>
          <w:color w:val="auto"/>
          <w:highlight w:val="none"/>
        </w:rPr>
        <w:t>采样前应对采样器进行外观检查及流量/示值校准，示值相对误差应控制在±5％以内。</w:t>
      </w:r>
    </w:p>
    <w:p w14:paraId="4D9563C5">
      <w:pPr>
        <w:pStyle w:val="105"/>
        <w:spacing w:before="120" w:after="120"/>
        <w:rPr>
          <w:color w:val="auto"/>
          <w:highlight w:val="none"/>
        </w:rPr>
      </w:pPr>
      <w:bookmarkStart w:id="76" w:name="_Toc229148118"/>
      <w:r>
        <w:rPr>
          <w:rFonts w:hint="eastAsia"/>
          <w:color w:val="auto"/>
          <w:highlight w:val="none"/>
        </w:rPr>
        <w:t>实验室质量控制</w:t>
      </w:r>
      <w:bookmarkEnd w:id="76"/>
    </w:p>
    <w:p w14:paraId="54D278E0">
      <w:pPr>
        <w:pStyle w:val="65"/>
        <w:spacing w:before="120" w:after="120"/>
        <w:rPr>
          <w:color w:val="auto"/>
          <w:highlight w:val="none"/>
        </w:rPr>
      </w:pPr>
      <w:r>
        <w:rPr>
          <w:rFonts w:hint="eastAsia"/>
          <w:color w:val="auto"/>
          <w:highlight w:val="none"/>
        </w:rPr>
        <w:t>空白试验</w:t>
      </w:r>
    </w:p>
    <w:p w14:paraId="7EEF93D9">
      <w:pPr>
        <w:pStyle w:val="94"/>
        <w:spacing w:before="120" w:after="120"/>
        <w:rPr>
          <w:color w:val="auto"/>
          <w:highlight w:val="none"/>
        </w:rPr>
      </w:pPr>
      <w:r>
        <w:rPr>
          <w:rFonts w:hint="eastAsia"/>
          <w:color w:val="auto"/>
          <w:highlight w:val="none"/>
        </w:rPr>
        <w:t>方法空白</w:t>
      </w:r>
    </w:p>
    <w:p w14:paraId="1711CA03">
      <w:pPr>
        <w:pStyle w:val="56"/>
        <w:ind w:firstLine="420"/>
        <w:rPr>
          <w:color w:val="auto"/>
          <w:highlight w:val="none"/>
        </w:rPr>
      </w:pPr>
      <w:r>
        <w:rPr>
          <w:rFonts w:hint="eastAsia"/>
          <w:color w:val="auto"/>
          <w:highlight w:val="none"/>
        </w:rPr>
        <w:t>每批样品应至少分析1个实验室空白样品，其测定结果应低于方法检出限。</w:t>
      </w:r>
    </w:p>
    <w:p w14:paraId="0CF51217">
      <w:pPr>
        <w:pStyle w:val="94"/>
        <w:spacing w:before="120" w:after="120"/>
        <w:rPr>
          <w:color w:val="auto"/>
          <w:highlight w:val="none"/>
        </w:rPr>
      </w:pPr>
      <w:r>
        <w:rPr>
          <w:rFonts w:hint="eastAsia"/>
          <w:color w:val="auto"/>
          <w:highlight w:val="none"/>
        </w:rPr>
        <w:t>溶剂空白</w:t>
      </w:r>
    </w:p>
    <w:p w14:paraId="36FB0707">
      <w:pPr>
        <w:pStyle w:val="56"/>
        <w:ind w:firstLine="420"/>
        <w:rPr>
          <w:color w:val="auto"/>
          <w:highlight w:val="none"/>
        </w:rPr>
      </w:pPr>
      <w:r>
        <w:rPr>
          <w:rFonts w:hint="eastAsia"/>
          <w:color w:val="auto"/>
          <w:highlight w:val="none"/>
        </w:rPr>
        <w:t>每批样品应至少测定1个溶剂空白样品，其测定结果应低于方法检出限。</w:t>
      </w:r>
    </w:p>
    <w:p w14:paraId="491F26F9">
      <w:pPr>
        <w:pStyle w:val="94"/>
        <w:spacing w:before="120" w:after="120"/>
        <w:rPr>
          <w:color w:val="auto"/>
          <w:highlight w:val="none"/>
        </w:rPr>
      </w:pPr>
      <w:r>
        <w:rPr>
          <w:rFonts w:hint="eastAsia"/>
          <w:color w:val="auto"/>
          <w:highlight w:val="none"/>
        </w:rPr>
        <w:t>仪器空白</w:t>
      </w:r>
    </w:p>
    <w:p w14:paraId="4EE844B4">
      <w:pPr>
        <w:pStyle w:val="56"/>
        <w:ind w:firstLine="420"/>
        <w:rPr>
          <w:color w:val="auto"/>
          <w:highlight w:val="none"/>
        </w:rPr>
      </w:pPr>
      <w:r>
        <w:rPr>
          <w:rFonts w:hint="eastAsia"/>
          <w:color w:val="auto"/>
          <w:highlight w:val="none"/>
        </w:rPr>
        <w:t>每批样品分析前、后各应测定1个仪器空白样品，其测定结果应低于方法检出限。</w:t>
      </w:r>
    </w:p>
    <w:p w14:paraId="419DCE28">
      <w:pPr>
        <w:pStyle w:val="65"/>
        <w:spacing w:before="120" w:after="120"/>
        <w:rPr>
          <w:color w:val="auto"/>
          <w:highlight w:val="none"/>
        </w:rPr>
      </w:pPr>
      <w:r>
        <w:rPr>
          <w:rFonts w:hint="eastAsia"/>
          <w:color w:val="auto"/>
          <w:highlight w:val="none"/>
        </w:rPr>
        <w:t>标准曲线与校准</w:t>
      </w:r>
    </w:p>
    <w:p w14:paraId="54651337">
      <w:pPr>
        <w:pStyle w:val="164"/>
        <w:rPr>
          <w:color w:val="auto"/>
          <w:highlight w:val="none"/>
        </w:rPr>
      </w:pPr>
      <w:r>
        <w:rPr>
          <w:rFonts w:hint="eastAsia"/>
          <w:color w:val="auto"/>
          <w:highlight w:val="none"/>
        </w:rPr>
        <w:t>每批样品分析应建立新的标准曲线，标准曲线的相关系数应≥0.995。</w:t>
      </w:r>
    </w:p>
    <w:p w14:paraId="431A55E1">
      <w:pPr>
        <w:pStyle w:val="164"/>
        <w:rPr>
          <w:color w:val="auto"/>
          <w:highlight w:val="none"/>
        </w:rPr>
      </w:pPr>
      <w:r>
        <w:rPr>
          <w:rFonts w:hint="eastAsia"/>
          <w:color w:val="auto"/>
          <w:highlight w:val="none"/>
        </w:rPr>
        <w:t>每批样品应测定1个标准曲线中间点，其测定结果与标准曲线相应点浓度的相对误差应在±10%以内。</w:t>
      </w:r>
    </w:p>
    <w:p w14:paraId="50B7F22E">
      <w:pPr>
        <w:pStyle w:val="164"/>
        <w:rPr>
          <w:color w:val="auto"/>
          <w:highlight w:val="none"/>
        </w:rPr>
      </w:pPr>
      <w:r>
        <w:rPr>
          <w:rFonts w:hint="eastAsia"/>
          <w:color w:val="auto"/>
          <w:highlight w:val="none"/>
        </w:rPr>
        <w:t>定期采用有证标准物质对检测方法进行验证，验证频次不低于每季度 1 次，测定结果应满足标准物质证书不确定度要求。</w:t>
      </w:r>
    </w:p>
    <w:p w14:paraId="04D11E26">
      <w:pPr>
        <w:pStyle w:val="65"/>
        <w:spacing w:before="120" w:after="120"/>
        <w:rPr>
          <w:color w:val="auto"/>
          <w:highlight w:val="none"/>
        </w:rPr>
      </w:pPr>
      <w:r>
        <w:rPr>
          <w:rFonts w:hint="eastAsia"/>
          <w:color w:val="auto"/>
          <w:highlight w:val="none"/>
        </w:rPr>
        <w:t>实验室平行样</w:t>
      </w:r>
    </w:p>
    <w:p w14:paraId="08A7E5C4">
      <w:pPr>
        <w:pStyle w:val="56"/>
        <w:ind w:firstLine="420"/>
        <w:rPr>
          <w:color w:val="auto"/>
          <w:highlight w:val="none"/>
        </w:rPr>
      </w:pPr>
      <w:r>
        <w:rPr>
          <w:rFonts w:hint="eastAsia"/>
          <w:color w:val="auto"/>
          <w:highlight w:val="none"/>
        </w:rPr>
        <w:t>每批样品应至少测定</w:t>
      </w:r>
      <w:r>
        <w:rPr>
          <w:color w:val="auto"/>
          <w:highlight w:val="none"/>
        </w:rPr>
        <w:t>10%</w:t>
      </w:r>
      <w:r>
        <w:rPr>
          <w:rFonts w:hint="eastAsia"/>
          <w:color w:val="auto"/>
          <w:highlight w:val="none"/>
        </w:rPr>
        <w:t>的平行双样，样品数量不足</w:t>
      </w:r>
      <w:r>
        <w:rPr>
          <w:color w:val="auto"/>
          <w:highlight w:val="none"/>
        </w:rPr>
        <w:t>10</w:t>
      </w:r>
      <w:r>
        <w:rPr>
          <w:rFonts w:hint="eastAsia"/>
          <w:color w:val="auto"/>
          <w:highlight w:val="none"/>
        </w:rPr>
        <w:t>个时，应至少测定</w:t>
      </w:r>
      <w:r>
        <w:rPr>
          <w:color w:val="auto"/>
          <w:highlight w:val="none"/>
        </w:rPr>
        <w:t>1</w:t>
      </w:r>
      <w:r>
        <w:rPr>
          <w:rFonts w:hint="eastAsia"/>
          <w:color w:val="auto"/>
          <w:highlight w:val="none"/>
        </w:rPr>
        <w:t>个平行双样，相对偏差要求同现场平行样。</w:t>
      </w:r>
    </w:p>
    <w:p w14:paraId="4D741894">
      <w:pPr>
        <w:pStyle w:val="65"/>
        <w:spacing w:before="120" w:after="120"/>
        <w:rPr>
          <w:color w:val="auto"/>
          <w:highlight w:val="none"/>
        </w:rPr>
      </w:pPr>
      <w:r>
        <w:rPr>
          <w:rFonts w:hint="eastAsia"/>
          <w:color w:val="auto"/>
          <w:highlight w:val="none"/>
        </w:rPr>
        <w:t>基质加标回收率</w:t>
      </w:r>
    </w:p>
    <w:p w14:paraId="0FE2A164">
      <w:pPr>
        <w:pStyle w:val="56"/>
        <w:ind w:firstLine="420"/>
        <w:rPr>
          <w:color w:val="auto"/>
          <w:highlight w:val="none"/>
        </w:rPr>
      </w:pPr>
      <w:r>
        <w:rPr>
          <w:rFonts w:hint="eastAsia"/>
          <w:color w:val="auto"/>
          <w:highlight w:val="none"/>
        </w:rPr>
        <w:t>每批样品应至少测定5</w:t>
      </w:r>
      <w:r>
        <w:rPr>
          <w:color w:val="auto"/>
          <w:highlight w:val="none"/>
        </w:rPr>
        <w:t>%</w:t>
      </w:r>
      <w:r>
        <w:rPr>
          <w:rFonts w:hint="eastAsia"/>
          <w:color w:val="auto"/>
          <w:highlight w:val="none"/>
        </w:rPr>
        <w:t>的基体加标样品，样品数量不足20个时，应至少测定</w:t>
      </w:r>
      <w:r>
        <w:rPr>
          <w:color w:val="auto"/>
          <w:highlight w:val="none"/>
        </w:rPr>
        <w:t>1</w:t>
      </w:r>
      <w:r>
        <w:rPr>
          <w:rFonts w:hint="eastAsia"/>
          <w:color w:val="auto"/>
          <w:highlight w:val="none"/>
        </w:rPr>
        <w:t>个基体加标样品，回收率要求同现场加标样；超出范围的应优化净化方法，重新分析。</w:t>
      </w:r>
    </w:p>
    <w:p w14:paraId="43289100">
      <w:pPr>
        <w:pStyle w:val="65"/>
        <w:spacing w:before="120" w:after="120"/>
        <w:rPr>
          <w:color w:val="auto"/>
          <w:highlight w:val="none"/>
        </w:rPr>
      </w:pPr>
      <w:r>
        <w:rPr>
          <w:rFonts w:hint="eastAsia"/>
          <w:color w:val="auto"/>
          <w:highlight w:val="none"/>
        </w:rPr>
        <w:t>基质效应评估</w:t>
      </w:r>
    </w:p>
    <w:p w14:paraId="3B763375">
      <w:pPr>
        <w:pStyle w:val="56"/>
        <w:ind w:firstLine="420"/>
        <w:rPr>
          <w:color w:val="auto"/>
          <w:highlight w:val="none"/>
        </w:rPr>
      </w:pPr>
      <w:r>
        <w:rPr>
          <w:rFonts w:hint="eastAsia"/>
          <w:color w:val="auto"/>
          <w:highlight w:val="none"/>
        </w:rPr>
        <w:t>每批次至少选取1个代表性样品评估基质效应，基质效应在80％～120％之间可采用溶剂标准曲线定量；超出范围应采用基质匹配标准曲线或同位素内标法定量。</w:t>
      </w:r>
    </w:p>
    <w:p w14:paraId="7A831CE0">
      <w:pPr>
        <w:pStyle w:val="65"/>
        <w:spacing w:before="120" w:after="120"/>
        <w:rPr>
          <w:color w:val="auto"/>
          <w:highlight w:val="none"/>
        </w:rPr>
      </w:pPr>
      <w:r>
        <w:rPr>
          <w:rFonts w:hint="eastAsia"/>
          <w:color w:val="auto"/>
          <w:highlight w:val="none"/>
        </w:rPr>
        <w:t>仪器性能检查</w:t>
      </w:r>
    </w:p>
    <w:p w14:paraId="2CAF452A">
      <w:pPr>
        <w:pStyle w:val="56"/>
        <w:ind w:firstLine="420"/>
        <w:rPr>
          <w:color w:val="auto"/>
          <w:highlight w:val="none"/>
        </w:rPr>
      </w:pPr>
      <w:r>
        <w:rPr>
          <w:rFonts w:hint="eastAsia"/>
          <w:color w:val="auto"/>
          <w:highlight w:val="none"/>
        </w:rPr>
        <w:t>每次开机后进行仪器性能检查，包括质谱质量轴校准、色谱柱效、保留时间、重复性等。</w:t>
      </w:r>
    </w:p>
    <w:p w14:paraId="7C195886">
      <w:pPr>
        <w:pStyle w:val="105"/>
        <w:spacing w:before="120" w:after="120"/>
        <w:rPr>
          <w:color w:val="auto"/>
          <w:highlight w:val="none"/>
        </w:rPr>
      </w:pPr>
      <w:bookmarkStart w:id="77" w:name="_Toc229148119"/>
      <w:r>
        <w:rPr>
          <w:rFonts w:hint="eastAsia"/>
          <w:color w:val="auto"/>
          <w:highlight w:val="none"/>
        </w:rPr>
        <w:t>数据质量控制</w:t>
      </w:r>
      <w:bookmarkEnd w:id="77"/>
    </w:p>
    <w:p w14:paraId="146B98B2">
      <w:pPr>
        <w:pStyle w:val="165"/>
        <w:rPr>
          <w:color w:val="auto"/>
          <w:highlight w:val="none"/>
        </w:rPr>
      </w:pPr>
      <w:r>
        <w:rPr>
          <w:rFonts w:hint="eastAsia"/>
          <w:color w:val="auto"/>
          <w:highlight w:val="none"/>
        </w:rPr>
        <w:t>数据修约符合GB/T 8170规定，保留位数与方法检出限一致。</w:t>
      </w:r>
    </w:p>
    <w:p w14:paraId="0B20FDA0">
      <w:pPr>
        <w:pStyle w:val="165"/>
        <w:rPr>
          <w:color w:val="auto"/>
          <w:highlight w:val="none"/>
        </w:rPr>
      </w:pPr>
      <w:r>
        <w:rPr>
          <w:rFonts w:hint="eastAsia"/>
          <w:color w:val="auto"/>
          <w:highlight w:val="none"/>
        </w:rPr>
        <w:t>低于方法检出限的结果以“ND”表示，参与统计时按1/2检出限计算；低于定量限、高于检出限的结果以“＜定量限”表示。</w:t>
      </w:r>
    </w:p>
    <w:p w14:paraId="308854F4">
      <w:pPr>
        <w:pStyle w:val="165"/>
        <w:rPr>
          <w:color w:val="auto"/>
          <w:highlight w:val="none"/>
        </w:rPr>
      </w:pPr>
      <w:r>
        <w:rPr>
          <w:rFonts w:hint="eastAsia"/>
          <w:color w:val="auto"/>
          <w:highlight w:val="none"/>
        </w:rPr>
        <w:t>异常值处理技术流程：</w:t>
      </w:r>
    </w:p>
    <w:p w14:paraId="5CE26438">
      <w:pPr>
        <w:pStyle w:val="174"/>
        <w:numPr>
          <w:ilvl w:val="0"/>
          <w:numId w:val="42"/>
        </w:numPr>
        <w:rPr>
          <w:color w:val="auto"/>
          <w:highlight w:val="none"/>
        </w:rPr>
      </w:pPr>
      <w:r>
        <w:rPr>
          <w:rFonts w:hint="eastAsia"/>
          <w:color w:val="auto"/>
          <w:highlight w:val="none"/>
        </w:rPr>
        <w:t>初步识别：对偏离均值 2 倍标准差以上的数据标记为疑似异常值；</w:t>
      </w:r>
    </w:p>
    <w:p w14:paraId="02825488">
      <w:pPr>
        <w:pStyle w:val="174"/>
        <w:rPr>
          <w:color w:val="auto"/>
          <w:highlight w:val="none"/>
        </w:rPr>
      </w:pPr>
      <w:r>
        <w:rPr>
          <w:rFonts w:hint="eastAsia"/>
          <w:color w:val="auto"/>
          <w:highlight w:val="none"/>
        </w:rPr>
        <w:t>溯源核查：检查原始记录、仪器状态、质控数据，判断是否为操作失误、仪器故障或污染导致；</w:t>
      </w:r>
    </w:p>
    <w:p w14:paraId="33762D62">
      <w:pPr>
        <w:pStyle w:val="174"/>
        <w:rPr>
          <w:color w:val="auto"/>
          <w:highlight w:val="none"/>
        </w:rPr>
      </w:pPr>
      <w:r>
        <w:rPr>
          <w:rFonts w:hint="eastAsia"/>
          <w:color w:val="auto"/>
          <w:highlight w:val="none"/>
        </w:rPr>
        <w:t>统计检验：采用格拉布斯检验法或狄克逊检验法进行统计检验，显著性水平取0.01；</w:t>
      </w:r>
    </w:p>
    <w:p w14:paraId="03326994">
      <w:pPr>
        <w:pStyle w:val="174"/>
        <w:rPr>
          <w:color w:val="auto"/>
          <w:highlight w:val="none"/>
        </w:rPr>
      </w:pPr>
      <w:r>
        <w:rPr>
          <w:rFonts w:hint="eastAsia"/>
          <w:color w:val="auto"/>
          <w:highlight w:val="none"/>
        </w:rPr>
        <w:t>处理原则：确认为过失误差导致的异常值可剔除；统计检验判定的异常值不得随意剔除，应注明原因并保留原始数据。</w:t>
      </w:r>
    </w:p>
    <w:p w14:paraId="3A966641">
      <w:pPr>
        <w:pStyle w:val="165"/>
        <w:rPr>
          <w:color w:val="auto"/>
          <w:highlight w:val="none"/>
        </w:rPr>
      </w:pPr>
      <w:r>
        <w:rPr>
          <w:rFonts w:hint="eastAsia"/>
          <w:color w:val="auto"/>
          <w:highlight w:val="none"/>
        </w:rPr>
        <w:t>所有监测数据建立溯源台账，从原始采样记录到最终报告全程可追溯。</w:t>
      </w:r>
    </w:p>
    <w:p w14:paraId="60273CB6">
      <w:pPr>
        <w:pStyle w:val="56"/>
        <w:ind w:firstLine="420"/>
        <w:rPr>
          <w:color w:val="auto"/>
          <w:highlight w:val="none"/>
        </w:rPr>
      </w:pPr>
    </w:p>
    <w:p w14:paraId="67E916C9">
      <w:pPr>
        <w:pStyle w:val="104"/>
        <w:spacing w:before="240" w:after="240"/>
        <w:rPr>
          <w:color w:val="auto"/>
          <w:highlight w:val="none"/>
        </w:rPr>
      </w:pPr>
      <w:bookmarkStart w:id="78" w:name="_Toc229148120"/>
      <w:r>
        <w:rPr>
          <w:rFonts w:hint="eastAsia"/>
          <w:color w:val="auto"/>
          <w:highlight w:val="none"/>
        </w:rPr>
        <w:t>数据处理与报告编制</w:t>
      </w:r>
      <w:bookmarkEnd w:id="78"/>
    </w:p>
    <w:p w14:paraId="6C7B303C">
      <w:pPr>
        <w:pStyle w:val="105"/>
        <w:spacing w:before="120" w:after="120"/>
        <w:rPr>
          <w:color w:val="auto"/>
          <w:highlight w:val="none"/>
        </w:rPr>
      </w:pPr>
      <w:bookmarkStart w:id="79" w:name="_Toc229148121"/>
      <w:r>
        <w:rPr>
          <w:rFonts w:hint="eastAsia"/>
          <w:color w:val="auto"/>
          <w:highlight w:val="none"/>
        </w:rPr>
        <w:t>数据处理</w:t>
      </w:r>
      <w:bookmarkEnd w:id="79"/>
    </w:p>
    <w:p w14:paraId="3BDB411C">
      <w:pPr>
        <w:pStyle w:val="56"/>
        <w:ind w:firstLine="420"/>
        <w:rPr>
          <w:color w:val="auto"/>
          <w:highlight w:val="none"/>
        </w:rPr>
      </w:pPr>
      <w:r>
        <w:rPr>
          <w:rFonts w:hint="eastAsia" w:hAnsi="宋体" w:cs="宋体"/>
          <w:color w:val="auto"/>
          <w:szCs w:val="21"/>
          <w:highlight w:val="none"/>
        </w:rPr>
        <w:t>有效数字修约规则、近似计算规则、数值修约规则、异常值的判断和处理、监测结果的表示方法等 按照 GB/T 8170、HJ 630等的规定执行。</w:t>
      </w:r>
    </w:p>
    <w:p w14:paraId="7772AB61">
      <w:pPr>
        <w:pStyle w:val="105"/>
        <w:spacing w:before="120" w:after="120"/>
        <w:rPr>
          <w:color w:val="auto"/>
          <w:highlight w:val="none"/>
        </w:rPr>
      </w:pPr>
      <w:bookmarkStart w:id="80" w:name="_Toc229148122"/>
      <w:r>
        <w:rPr>
          <w:rFonts w:hint="eastAsia"/>
          <w:color w:val="auto"/>
          <w:highlight w:val="none"/>
        </w:rPr>
        <w:t>监测报告技术要求</w:t>
      </w:r>
      <w:bookmarkEnd w:id="80"/>
    </w:p>
    <w:p w14:paraId="367B67DA">
      <w:pPr>
        <w:pStyle w:val="65"/>
        <w:spacing w:before="120" w:after="120"/>
        <w:rPr>
          <w:color w:val="auto"/>
          <w:highlight w:val="none"/>
        </w:rPr>
      </w:pPr>
      <w:r>
        <w:rPr>
          <w:rFonts w:hint="eastAsia"/>
          <w:color w:val="auto"/>
          <w:highlight w:val="none"/>
        </w:rPr>
        <w:t>常规监测报告</w:t>
      </w:r>
    </w:p>
    <w:p w14:paraId="2BAE79CC">
      <w:pPr>
        <w:pStyle w:val="94"/>
        <w:spacing w:before="120" w:after="120"/>
        <w:rPr>
          <w:color w:val="auto"/>
          <w:highlight w:val="none"/>
        </w:rPr>
      </w:pPr>
      <w:r>
        <w:rPr>
          <w:rFonts w:hint="eastAsia"/>
          <w:color w:val="auto"/>
          <w:highlight w:val="none"/>
        </w:rPr>
        <w:t>基本信息</w:t>
      </w:r>
    </w:p>
    <w:p w14:paraId="33BB338F">
      <w:pPr>
        <w:pStyle w:val="56"/>
        <w:ind w:firstLine="420"/>
        <w:rPr>
          <w:color w:val="auto"/>
          <w:highlight w:val="none"/>
        </w:rPr>
      </w:pPr>
      <w:r>
        <w:rPr>
          <w:rFonts w:hint="eastAsia"/>
          <w:color w:val="auto"/>
          <w:highlight w:val="none"/>
        </w:rPr>
        <w:t>报告编号、编制单位、审核签发信息。</w:t>
      </w:r>
    </w:p>
    <w:p w14:paraId="2E87DBA4">
      <w:pPr>
        <w:pStyle w:val="94"/>
        <w:spacing w:before="120" w:after="120"/>
        <w:rPr>
          <w:color w:val="auto"/>
          <w:highlight w:val="none"/>
        </w:rPr>
      </w:pPr>
      <w:r>
        <w:rPr>
          <w:rFonts w:hint="eastAsia"/>
          <w:color w:val="auto"/>
          <w:highlight w:val="none"/>
        </w:rPr>
        <w:t>监测概况</w:t>
      </w:r>
    </w:p>
    <w:p w14:paraId="781C30A2">
      <w:pPr>
        <w:pStyle w:val="56"/>
        <w:ind w:firstLine="420"/>
        <w:rPr>
          <w:color w:val="auto"/>
          <w:highlight w:val="none"/>
        </w:rPr>
      </w:pPr>
      <w:r>
        <w:rPr>
          <w:rFonts w:hint="eastAsia"/>
          <w:color w:val="auto"/>
          <w:highlight w:val="none"/>
        </w:rPr>
        <w:t>点位、频次、时间、项目、方法。</w:t>
      </w:r>
    </w:p>
    <w:p w14:paraId="6D4F92D8">
      <w:pPr>
        <w:pStyle w:val="94"/>
        <w:spacing w:before="120" w:after="120"/>
        <w:rPr>
          <w:color w:val="auto"/>
          <w:highlight w:val="none"/>
        </w:rPr>
      </w:pPr>
      <w:r>
        <w:rPr>
          <w:rFonts w:hint="eastAsia"/>
          <w:color w:val="auto"/>
          <w:highlight w:val="none"/>
        </w:rPr>
        <w:t>质控数据</w:t>
      </w:r>
    </w:p>
    <w:p w14:paraId="40B75AFE">
      <w:pPr>
        <w:pStyle w:val="56"/>
        <w:ind w:firstLine="420"/>
        <w:rPr>
          <w:color w:val="auto"/>
          <w:highlight w:val="none"/>
        </w:rPr>
      </w:pPr>
      <w:r>
        <w:rPr>
          <w:rFonts w:hint="eastAsia"/>
          <w:color w:val="auto"/>
          <w:highlight w:val="none"/>
        </w:rPr>
        <w:t>全流程质控指标完成情况、数据有效性说明。</w:t>
      </w:r>
    </w:p>
    <w:p w14:paraId="1CAAC2D1">
      <w:pPr>
        <w:pStyle w:val="94"/>
        <w:spacing w:before="120" w:after="120"/>
        <w:rPr>
          <w:color w:val="auto"/>
          <w:highlight w:val="none"/>
        </w:rPr>
      </w:pPr>
      <w:r>
        <w:rPr>
          <w:rFonts w:hint="eastAsia"/>
          <w:color w:val="auto"/>
          <w:highlight w:val="none"/>
        </w:rPr>
        <w:t>监测结果</w:t>
      </w:r>
    </w:p>
    <w:p w14:paraId="54760CA5">
      <w:pPr>
        <w:pStyle w:val="56"/>
        <w:ind w:firstLine="420"/>
        <w:rPr>
          <w:color w:val="auto"/>
          <w:highlight w:val="none"/>
        </w:rPr>
      </w:pPr>
      <w:r>
        <w:rPr>
          <w:rFonts w:hint="eastAsia"/>
          <w:color w:val="auto"/>
          <w:highlight w:val="none"/>
        </w:rPr>
        <w:t>各点位浓度数据、检出情况、时空分布特征、变化趋势。</w:t>
      </w:r>
    </w:p>
    <w:p w14:paraId="3F6CEEA3">
      <w:pPr>
        <w:pStyle w:val="94"/>
        <w:spacing w:before="120" w:after="120"/>
        <w:rPr>
          <w:color w:val="auto"/>
          <w:highlight w:val="none"/>
        </w:rPr>
      </w:pPr>
      <w:r>
        <w:rPr>
          <w:rFonts w:hint="eastAsia"/>
          <w:color w:val="auto"/>
          <w:highlight w:val="none"/>
        </w:rPr>
        <w:t>评价结论</w:t>
      </w:r>
    </w:p>
    <w:p w14:paraId="015486A3">
      <w:pPr>
        <w:pStyle w:val="56"/>
        <w:ind w:firstLine="420"/>
        <w:rPr>
          <w:color w:val="auto"/>
          <w:highlight w:val="none"/>
        </w:rPr>
      </w:pPr>
      <w:r>
        <w:rPr>
          <w:rFonts w:hint="eastAsia"/>
          <w:color w:val="auto"/>
          <w:highlight w:val="none"/>
        </w:rPr>
        <w:t>结合管控要求的结果评价。</w:t>
      </w:r>
    </w:p>
    <w:p w14:paraId="7EDFB28B">
      <w:pPr>
        <w:pStyle w:val="65"/>
        <w:spacing w:before="120" w:after="120"/>
        <w:rPr>
          <w:color w:val="auto"/>
          <w:highlight w:val="none"/>
        </w:rPr>
      </w:pPr>
      <w:r>
        <w:rPr>
          <w:rFonts w:hint="eastAsia"/>
          <w:color w:val="auto"/>
          <w:highlight w:val="none"/>
        </w:rPr>
        <w:t>专项监测报告</w:t>
      </w:r>
    </w:p>
    <w:p w14:paraId="7E62A34C">
      <w:pPr>
        <w:pStyle w:val="56"/>
        <w:ind w:firstLine="420"/>
        <w:rPr>
          <w:color w:val="auto"/>
          <w:highlight w:val="none"/>
        </w:rPr>
      </w:pPr>
      <w:r>
        <w:rPr>
          <w:rFonts w:hint="eastAsia"/>
          <w:color w:val="auto"/>
          <w:highlight w:val="none"/>
        </w:rPr>
        <w:t>在常规报告基础上，补充以下技术内容：</w:t>
      </w:r>
    </w:p>
    <w:p w14:paraId="60864052">
      <w:pPr>
        <w:pStyle w:val="174"/>
        <w:numPr>
          <w:ilvl w:val="0"/>
          <w:numId w:val="43"/>
        </w:numPr>
        <w:rPr>
          <w:color w:val="auto"/>
          <w:highlight w:val="none"/>
        </w:rPr>
      </w:pPr>
      <w:r>
        <w:rPr>
          <w:rFonts w:hint="eastAsia"/>
          <w:color w:val="auto"/>
          <w:highlight w:val="none"/>
        </w:rPr>
        <w:t>区域污染源排查与产业排放特征分析；</w:t>
      </w:r>
    </w:p>
    <w:p w14:paraId="35C204D0">
      <w:pPr>
        <w:pStyle w:val="174"/>
        <w:rPr>
          <w:color w:val="auto"/>
          <w:highlight w:val="none"/>
        </w:rPr>
      </w:pPr>
      <w:r>
        <w:rPr>
          <w:rFonts w:hint="eastAsia"/>
          <w:color w:val="auto"/>
          <w:highlight w:val="none"/>
        </w:rPr>
        <w:t>新污染物污染来源解析技术数据（如比值法、同位素示踪法结果）；</w:t>
      </w:r>
    </w:p>
    <w:p w14:paraId="6826BEAA">
      <w:pPr>
        <w:pStyle w:val="174"/>
        <w:rPr>
          <w:color w:val="auto"/>
          <w:highlight w:val="none"/>
        </w:rPr>
      </w:pPr>
      <w:r>
        <w:rPr>
          <w:rFonts w:hint="eastAsia"/>
          <w:color w:val="auto"/>
          <w:highlight w:val="none"/>
        </w:rPr>
        <w:t>迁移转化规律分析；</w:t>
      </w:r>
    </w:p>
    <w:p w14:paraId="381D8CA9">
      <w:pPr>
        <w:pStyle w:val="174"/>
        <w:rPr>
          <w:color w:val="auto"/>
          <w:highlight w:val="none"/>
        </w:rPr>
      </w:pPr>
      <w:r>
        <w:rPr>
          <w:rFonts w:hint="eastAsia"/>
          <w:color w:val="auto"/>
          <w:highlight w:val="none"/>
        </w:rPr>
        <w:t>生态环境与健康风险评估结果；</w:t>
      </w:r>
    </w:p>
    <w:p w14:paraId="7992F2B5">
      <w:pPr>
        <w:pStyle w:val="174"/>
        <w:rPr>
          <w:color w:val="auto"/>
          <w:highlight w:val="none"/>
        </w:rPr>
      </w:pPr>
      <w:r>
        <w:rPr>
          <w:rFonts w:hint="eastAsia"/>
          <w:color w:val="auto"/>
          <w:highlight w:val="none"/>
        </w:rPr>
        <w:t>污染管控技术建议。</w:t>
      </w:r>
    </w:p>
    <w:p w14:paraId="6603C6A6">
      <w:pPr>
        <w:pStyle w:val="56"/>
        <w:ind w:firstLine="420"/>
        <w:rPr>
          <w:color w:val="auto"/>
          <w:highlight w:val="none"/>
        </w:rPr>
      </w:pPr>
    </w:p>
    <w:p w14:paraId="723729A1">
      <w:pPr>
        <w:pStyle w:val="56"/>
        <w:ind w:firstLine="420"/>
        <w:rPr>
          <w:color w:val="auto"/>
          <w:highlight w:val="none"/>
        </w:rPr>
        <w:sectPr>
          <w:pgSz w:w="11906" w:h="16838"/>
          <w:pgMar w:top="1928" w:right="1134" w:bottom="1134" w:left="1134" w:header="1418" w:footer="850" w:gutter="284"/>
          <w:cols w:space="425" w:num="1"/>
          <w:formProt w:val="0"/>
          <w:docGrid w:linePitch="312" w:charSpace="0"/>
        </w:sectPr>
      </w:pPr>
    </w:p>
    <w:bookmarkEnd w:id="24"/>
    <w:p w14:paraId="211A9030">
      <w:pPr>
        <w:pStyle w:val="198"/>
        <w:rPr>
          <w:color w:val="auto"/>
          <w:highlight w:val="none"/>
        </w:rPr>
      </w:pPr>
      <w:bookmarkStart w:id="81" w:name="BookMark5"/>
    </w:p>
    <w:p w14:paraId="512BF6D7">
      <w:pPr>
        <w:pStyle w:val="199"/>
        <w:rPr>
          <w:color w:val="auto"/>
          <w:highlight w:val="none"/>
        </w:rPr>
      </w:pPr>
    </w:p>
    <w:p w14:paraId="5576AEE3">
      <w:pPr>
        <w:pStyle w:val="76"/>
        <w:spacing w:after="120"/>
        <w:rPr>
          <w:color w:val="auto"/>
          <w:highlight w:val="none"/>
        </w:rPr>
      </w:pPr>
      <w:r>
        <w:rPr>
          <w:color w:val="auto"/>
          <w:highlight w:val="none"/>
        </w:rPr>
        <w:br w:type="textWrapping"/>
      </w:r>
      <w:bookmarkStart w:id="82" w:name="_Toc229148123"/>
      <w:bookmarkStart w:id="83" w:name="_Toc223795257"/>
      <w:r>
        <w:rPr>
          <w:rFonts w:hint="eastAsia"/>
          <w:color w:val="auto"/>
          <w:highlight w:val="none"/>
        </w:rPr>
        <w:t>（规范性）</w:t>
      </w:r>
      <w:r>
        <w:rPr>
          <w:color w:val="auto"/>
          <w:highlight w:val="none"/>
        </w:rPr>
        <w:br w:type="textWrapping"/>
      </w:r>
      <w:r>
        <w:rPr>
          <w:rFonts w:hint="eastAsia"/>
          <w:color w:val="auto"/>
          <w:highlight w:val="none"/>
        </w:rPr>
        <w:t>地表水优先监测新污染物清单及推荐分析方法</w:t>
      </w:r>
      <w:bookmarkEnd w:id="82"/>
      <w:bookmarkEnd w:id="83"/>
    </w:p>
    <w:p w14:paraId="361A550C">
      <w:pPr>
        <w:pStyle w:val="56"/>
        <w:ind w:firstLine="420"/>
        <w:rPr>
          <w:color w:val="auto"/>
          <w:highlight w:val="none"/>
        </w:rPr>
      </w:pPr>
      <w:r>
        <w:rPr>
          <w:rFonts w:hint="eastAsia"/>
          <w:color w:val="auto"/>
          <w:highlight w:val="none"/>
        </w:rPr>
        <w:t>按表A.1的要求执行。</w:t>
      </w:r>
    </w:p>
    <w:p w14:paraId="41623969">
      <w:pPr>
        <w:pStyle w:val="77"/>
        <w:spacing w:before="120" w:after="120"/>
        <w:rPr>
          <w:color w:val="auto"/>
          <w:highlight w:val="none"/>
        </w:rPr>
      </w:pPr>
      <w:r>
        <w:rPr>
          <w:rFonts w:hint="eastAsia"/>
          <w:color w:val="auto"/>
          <w:highlight w:val="none"/>
        </w:rPr>
        <w:t>地表水优先监测新污染物清单及推荐分析方法</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85" w:type="dxa"/>
          <w:bottom w:w="0" w:type="dxa"/>
          <w:right w:w="85" w:type="dxa"/>
        </w:tblCellMar>
      </w:tblPr>
      <w:tblGrid>
        <w:gridCol w:w="2334"/>
        <w:gridCol w:w="2333"/>
        <w:gridCol w:w="2333"/>
        <w:gridCol w:w="2334"/>
      </w:tblGrid>
      <w:tr w14:paraId="0B057F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307" w:hRule="atLeast"/>
          <w:tblHeader/>
          <w:jc w:val="center"/>
        </w:trPr>
        <w:tc>
          <w:tcPr>
            <w:tcW w:w="2334" w:type="dxa"/>
            <w:tcBorders>
              <w:top w:val="single" w:color="auto" w:sz="8" w:space="0"/>
              <w:bottom w:val="single" w:color="auto" w:sz="8" w:space="0"/>
            </w:tcBorders>
            <w:vAlign w:val="center"/>
          </w:tcPr>
          <w:p w14:paraId="353826AD">
            <w:pPr>
              <w:pStyle w:val="178"/>
              <w:rPr>
                <w:color w:val="auto"/>
                <w:highlight w:val="none"/>
              </w:rPr>
            </w:pPr>
            <w:r>
              <w:rPr>
                <w:rFonts w:hint="eastAsia"/>
                <w:color w:val="auto"/>
                <w:highlight w:val="none"/>
              </w:rPr>
              <w:t>新污染物类别</w:t>
            </w:r>
          </w:p>
        </w:tc>
        <w:tc>
          <w:tcPr>
            <w:tcW w:w="2333" w:type="dxa"/>
            <w:tcBorders>
              <w:top w:val="single" w:color="auto" w:sz="8" w:space="0"/>
              <w:bottom w:val="single" w:color="auto" w:sz="8" w:space="0"/>
            </w:tcBorders>
            <w:vAlign w:val="center"/>
          </w:tcPr>
          <w:p w14:paraId="2154212C">
            <w:pPr>
              <w:pStyle w:val="178"/>
              <w:rPr>
                <w:color w:val="auto"/>
                <w:highlight w:val="none"/>
              </w:rPr>
            </w:pPr>
            <w:r>
              <w:rPr>
                <w:rFonts w:hint="eastAsia"/>
                <w:color w:val="auto"/>
                <w:highlight w:val="none"/>
              </w:rPr>
              <w:t>必选项目（核心管控物质）</w:t>
            </w:r>
          </w:p>
        </w:tc>
        <w:tc>
          <w:tcPr>
            <w:tcW w:w="2333" w:type="dxa"/>
            <w:tcBorders>
              <w:top w:val="single" w:color="auto" w:sz="8" w:space="0"/>
              <w:bottom w:val="single" w:color="auto" w:sz="8" w:space="0"/>
            </w:tcBorders>
            <w:vAlign w:val="center"/>
          </w:tcPr>
          <w:p w14:paraId="3B1A4E15">
            <w:pPr>
              <w:pStyle w:val="178"/>
              <w:rPr>
                <w:color w:val="auto"/>
                <w:highlight w:val="none"/>
              </w:rPr>
            </w:pPr>
            <w:r>
              <w:rPr>
                <w:rFonts w:hint="eastAsia"/>
                <w:color w:val="auto"/>
                <w:highlight w:val="none"/>
              </w:rPr>
              <w:t>可选项目（区域特征污染物）</w:t>
            </w:r>
          </w:p>
        </w:tc>
        <w:tc>
          <w:tcPr>
            <w:tcW w:w="2334" w:type="dxa"/>
            <w:tcBorders>
              <w:top w:val="single" w:color="auto" w:sz="8" w:space="0"/>
              <w:bottom w:val="single" w:color="auto" w:sz="8" w:space="0"/>
            </w:tcBorders>
            <w:vAlign w:val="center"/>
          </w:tcPr>
          <w:p w14:paraId="48D9D588">
            <w:pPr>
              <w:pStyle w:val="178"/>
              <w:rPr>
                <w:color w:val="auto"/>
                <w:highlight w:val="none"/>
              </w:rPr>
            </w:pPr>
            <w:r>
              <w:rPr>
                <w:rFonts w:hint="eastAsia"/>
                <w:color w:val="auto"/>
                <w:highlight w:val="none"/>
              </w:rPr>
              <w:t>推荐分析方法</w:t>
            </w:r>
          </w:p>
        </w:tc>
      </w:tr>
      <w:tr w14:paraId="3DAA24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tcBorders>
              <w:top w:val="single" w:color="auto" w:sz="8" w:space="0"/>
            </w:tcBorders>
            <w:vAlign w:val="center"/>
          </w:tcPr>
          <w:p w14:paraId="64165D90">
            <w:pPr>
              <w:pStyle w:val="178"/>
              <w:rPr>
                <w:color w:val="auto"/>
                <w:highlight w:val="none"/>
              </w:rPr>
            </w:pPr>
            <w:r>
              <w:rPr>
                <w:rFonts w:hint="eastAsia"/>
                <w:color w:val="auto"/>
                <w:highlight w:val="none"/>
              </w:rPr>
              <w:t>全氟和多氟烷基物质（PFAS）</w:t>
            </w:r>
          </w:p>
        </w:tc>
        <w:tc>
          <w:tcPr>
            <w:tcW w:w="2333" w:type="dxa"/>
            <w:tcBorders>
              <w:top w:val="single" w:color="auto" w:sz="8" w:space="0"/>
            </w:tcBorders>
            <w:vAlign w:val="center"/>
          </w:tcPr>
          <w:p w14:paraId="286FE8AB">
            <w:pPr>
              <w:pStyle w:val="178"/>
              <w:rPr>
                <w:color w:val="auto"/>
                <w:highlight w:val="none"/>
              </w:rPr>
            </w:pPr>
            <w:r>
              <w:rPr>
                <w:rFonts w:hint="eastAsia"/>
                <w:color w:val="auto"/>
                <w:highlight w:val="none"/>
              </w:rPr>
              <w:t>全氟辛烷磺酸（PFOS）、全氟辛酸（PFOA）、全氟己烷磺酸（PFHxS）</w:t>
            </w:r>
          </w:p>
        </w:tc>
        <w:tc>
          <w:tcPr>
            <w:tcW w:w="2333" w:type="dxa"/>
            <w:tcBorders>
              <w:top w:val="single" w:color="auto" w:sz="8" w:space="0"/>
            </w:tcBorders>
            <w:vAlign w:val="center"/>
          </w:tcPr>
          <w:p w14:paraId="25EAC027">
            <w:pPr>
              <w:pStyle w:val="178"/>
              <w:rPr>
                <w:color w:val="auto"/>
                <w:highlight w:val="none"/>
              </w:rPr>
            </w:pPr>
            <w:r>
              <w:rPr>
                <w:rFonts w:hint="eastAsia"/>
                <w:color w:val="auto"/>
                <w:highlight w:val="none"/>
              </w:rPr>
              <w:t>全氟壬酸（PFNA）、全氟癸酸（PFDA）、全氟丁烷磺酸（PFBS）</w:t>
            </w:r>
          </w:p>
        </w:tc>
        <w:tc>
          <w:tcPr>
            <w:tcW w:w="2334" w:type="dxa"/>
            <w:tcBorders>
              <w:top w:val="single" w:color="auto" w:sz="8" w:space="0"/>
            </w:tcBorders>
            <w:vAlign w:val="center"/>
          </w:tcPr>
          <w:p w14:paraId="0D43381C">
            <w:pPr>
              <w:pStyle w:val="178"/>
              <w:rPr>
                <w:color w:val="auto"/>
                <w:highlight w:val="none"/>
              </w:rPr>
            </w:pPr>
            <w:r>
              <w:rPr>
                <w:rFonts w:hint="eastAsia"/>
                <w:color w:val="auto"/>
                <w:highlight w:val="none"/>
              </w:rPr>
              <w:t>HJ1333-2023、DB32/T4004-2021</w:t>
            </w:r>
          </w:p>
        </w:tc>
      </w:tr>
      <w:tr w14:paraId="207706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6075857E">
            <w:pPr>
              <w:pStyle w:val="178"/>
              <w:rPr>
                <w:color w:val="auto"/>
                <w:highlight w:val="none"/>
              </w:rPr>
            </w:pPr>
            <w:r>
              <w:rPr>
                <w:rFonts w:hint="eastAsia"/>
                <w:color w:val="auto"/>
                <w:highlight w:val="none"/>
              </w:rPr>
              <w:t>抗生素类</w:t>
            </w:r>
          </w:p>
        </w:tc>
        <w:tc>
          <w:tcPr>
            <w:tcW w:w="2333" w:type="dxa"/>
            <w:vAlign w:val="center"/>
          </w:tcPr>
          <w:p w14:paraId="72BDF276">
            <w:pPr>
              <w:pStyle w:val="178"/>
              <w:rPr>
                <w:color w:val="auto"/>
                <w:highlight w:val="none"/>
              </w:rPr>
            </w:pPr>
            <w:r>
              <w:rPr>
                <w:rFonts w:hint="eastAsia"/>
                <w:color w:val="auto"/>
                <w:highlight w:val="none"/>
              </w:rPr>
              <w:t>磺胺嘧啶、诺氟沙星、氧氟沙星、四环素</w:t>
            </w:r>
          </w:p>
        </w:tc>
        <w:tc>
          <w:tcPr>
            <w:tcW w:w="2333" w:type="dxa"/>
            <w:vAlign w:val="center"/>
          </w:tcPr>
          <w:p w14:paraId="416B16DA">
            <w:pPr>
              <w:pStyle w:val="178"/>
              <w:rPr>
                <w:color w:val="auto"/>
                <w:highlight w:val="none"/>
              </w:rPr>
            </w:pPr>
            <w:r>
              <w:rPr>
                <w:rFonts w:hint="eastAsia"/>
                <w:color w:val="auto"/>
                <w:highlight w:val="none"/>
              </w:rPr>
              <w:t>环丙沙星、红霉素、阿奇霉素、阿莫西林</w:t>
            </w:r>
          </w:p>
        </w:tc>
        <w:tc>
          <w:tcPr>
            <w:tcW w:w="2334" w:type="dxa"/>
            <w:vAlign w:val="center"/>
          </w:tcPr>
          <w:p w14:paraId="4B56C8AD">
            <w:pPr>
              <w:pStyle w:val="178"/>
              <w:rPr>
                <w:color w:val="auto"/>
                <w:highlight w:val="none"/>
              </w:rPr>
            </w:pPr>
            <w:r>
              <w:rPr>
                <w:rFonts w:hint="eastAsia"/>
                <w:color w:val="auto"/>
                <w:highlight w:val="none"/>
              </w:rPr>
              <w:t>HJ1398-2024、HJ1399-2024、《新污染物环境监测作业指导书（2023年版修订）（试行）》</w:t>
            </w:r>
          </w:p>
        </w:tc>
      </w:tr>
      <w:tr w14:paraId="26AC13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0F7B86FA">
            <w:pPr>
              <w:pStyle w:val="178"/>
              <w:rPr>
                <w:color w:val="auto"/>
                <w:highlight w:val="none"/>
              </w:rPr>
            </w:pPr>
            <w:r>
              <w:rPr>
                <w:rFonts w:hint="eastAsia"/>
                <w:color w:val="auto"/>
                <w:highlight w:val="none"/>
              </w:rPr>
              <w:t>内分泌干扰物</w:t>
            </w:r>
          </w:p>
        </w:tc>
        <w:tc>
          <w:tcPr>
            <w:tcW w:w="2333" w:type="dxa"/>
            <w:vAlign w:val="center"/>
          </w:tcPr>
          <w:p w14:paraId="30A545DA">
            <w:pPr>
              <w:pStyle w:val="178"/>
              <w:rPr>
                <w:color w:val="auto"/>
                <w:highlight w:val="none"/>
              </w:rPr>
            </w:pPr>
            <w:r>
              <w:rPr>
                <w:rFonts w:hint="eastAsia"/>
                <w:color w:val="auto"/>
                <w:highlight w:val="none"/>
              </w:rPr>
              <w:t>邻苯二甲酸二（2-乙基己基）酯（DEHP）、双酚A、壬基酚</w:t>
            </w:r>
          </w:p>
        </w:tc>
        <w:tc>
          <w:tcPr>
            <w:tcW w:w="2333" w:type="dxa"/>
            <w:vAlign w:val="center"/>
          </w:tcPr>
          <w:p w14:paraId="0371E615">
            <w:pPr>
              <w:pStyle w:val="178"/>
              <w:rPr>
                <w:color w:val="auto"/>
                <w:highlight w:val="none"/>
              </w:rPr>
            </w:pPr>
            <w:r>
              <w:rPr>
                <w:rFonts w:hint="eastAsia"/>
                <w:color w:val="auto"/>
                <w:highlight w:val="none"/>
              </w:rPr>
              <w:t>邻苯二甲酸二丁酯（DBP）、辛基酚、雌二醇、炔雌醇</w:t>
            </w:r>
          </w:p>
        </w:tc>
        <w:tc>
          <w:tcPr>
            <w:tcW w:w="2334" w:type="dxa"/>
            <w:vAlign w:val="center"/>
          </w:tcPr>
          <w:p w14:paraId="473AD241">
            <w:pPr>
              <w:pStyle w:val="178"/>
              <w:rPr>
                <w:color w:val="auto"/>
                <w:highlight w:val="none"/>
              </w:rPr>
            </w:pPr>
            <w:r>
              <w:rPr>
                <w:rFonts w:hint="eastAsia"/>
                <w:color w:val="auto"/>
                <w:highlight w:val="none"/>
              </w:rPr>
              <w:t>HJ1242-2022、HJ1192-2021、《新污染物环境监测作业指导书（2023年版修订）（试行）》</w:t>
            </w:r>
          </w:p>
        </w:tc>
      </w:tr>
      <w:tr w14:paraId="612440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4D77D570">
            <w:pPr>
              <w:pStyle w:val="178"/>
              <w:rPr>
                <w:color w:val="auto"/>
                <w:highlight w:val="none"/>
              </w:rPr>
            </w:pPr>
            <w:r>
              <w:rPr>
                <w:rFonts w:hint="eastAsia"/>
                <w:color w:val="auto"/>
                <w:highlight w:val="none"/>
              </w:rPr>
              <w:t>持久性有机污染物（POPs）</w:t>
            </w:r>
          </w:p>
        </w:tc>
        <w:tc>
          <w:tcPr>
            <w:tcW w:w="2333" w:type="dxa"/>
            <w:vAlign w:val="center"/>
          </w:tcPr>
          <w:p w14:paraId="4ECDC820">
            <w:pPr>
              <w:pStyle w:val="178"/>
              <w:rPr>
                <w:color w:val="auto"/>
                <w:highlight w:val="none"/>
              </w:rPr>
            </w:pPr>
            <w:r>
              <w:rPr>
                <w:rFonts w:hint="eastAsia"/>
                <w:color w:val="auto"/>
                <w:highlight w:val="none"/>
              </w:rPr>
              <w:t>多环芳烃（16种）、多氯联苯（7种）</w:t>
            </w:r>
          </w:p>
        </w:tc>
        <w:tc>
          <w:tcPr>
            <w:tcW w:w="2333" w:type="dxa"/>
            <w:vAlign w:val="center"/>
          </w:tcPr>
          <w:p w14:paraId="0A3B0032">
            <w:pPr>
              <w:pStyle w:val="178"/>
              <w:rPr>
                <w:color w:val="auto"/>
                <w:highlight w:val="none"/>
              </w:rPr>
            </w:pPr>
            <w:r>
              <w:rPr>
                <w:rFonts w:hint="eastAsia"/>
                <w:color w:val="auto"/>
                <w:highlight w:val="none"/>
              </w:rPr>
              <w:t>二噁英类、有机氯农药、多溴二苯醚</w:t>
            </w:r>
          </w:p>
        </w:tc>
        <w:tc>
          <w:tcPr>
            <w:tcW w:w="2334" w:type="dxa"/>
            <w:vAlign w:val="center"/>
          </w:tcPr>
          <w:p w14:paraId="61058509">
            <w:pPr>
              <w:pStyle w:val="178"/>
              <w:rPr>
                <w:color w:val="auto"/>
                <w:highlight w:val="none"/>
              </w:rPr>
            </w:pPr>
            <w:r>
              <w:rPr>
                <w:rFonts w:hint="eastAsia"/>
                <w:color w:val="auto"/>
                <w:highlight w:val="none"/>
              </w:rPr>
              <w:t>HJ478-2009、HJ715-2014</w:t>
            </w:r>
          </w:p>
        </w:tc>
      </w:tr>
      <w:tr w14:paraId="15279B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7BA18672">
            <w:pPr>
              <w:pStyle w:val="178"/>
              <w:rPr>
                <w:color w:val="auto"/>
                <w:highlight w:val="none"/>
              </w:rPr>
            </w:pPr>
            <w:r>
              <w:rPr>
                <w:rFonts w:hint="eastAsia"/>
                <w:color w:val="auto"/>
                <w:highlight w:val="none"/>
              </w:rPr>
              <w:t>微塑料</w:t>
            </w:r>
          </w:p>
        </w:tc>
        <w:tc>
          <w:tcPr>
            <w:tcW w:w="2333" w:type="dxa"/>
            <w:vAlign w:val="center"/>
          </w:tcPr>
          <w:p w14:paraId="6EB3BE6F">
            <w:pPr>
              <w:pStyle w:val="178"/>
              <w:rPr>
                <w:color w:val="auto"/>
                <w:highlight w:val="none"/>
              </w:rPr>
            </w:pPr>
            <w:r>
              <w:rPr>
                <w:rFonts w:hint="eastAsia"/>
                <w:color w:val="auto"/>
                <w:highlight w:val="none"/>
              </w:rPr>
              <w:t>粒径＜5</w:t>
            </w:r>
            <w:r>
              <w:rPr>
                <w:rFonts w:hint="eastAsia"/>
                <w:color w:val="auto"/>
                <w:highlight w:val="none"/>
                <w:vertAlign w:val="superscript"/>
              </w:rPr>
              <w:t xml:space="preserve"> </w:t>
            </w:r>
            <w:r>
              <w:rPr>
                <w:rFonts w:hint="eastAsia"/>
                <w:color w:val="auto"/>
                <w:highlight w:val="none"/>
              </w:rPr>
              <w:t>mm的塑料颗粒、纤维、碎片</w:t>
            </w:r>
          </w:p>
        </w:tc>
        <w:tc>
          <w:tcPr>
            <w:tcW w:w="2333" w:type="dxa"/>
            <w:vAlign w:val="center"/>
          </w:tcPr>
          <w:p w14:paraId="2068A9FC">
            <w:pPr>
              <w:pStyle w:val="178"/>
              <w:rPr>
                <w:color w:val="auto"/>
                <w:highlight w:val="none"/>
              </w:rPr>
            </w:pPr>
            <w:r>
              <w:rPr>
                <w:rFonts w:hint="eastAsia"/>
                <w:color w:val="auto"/>
                <w:highlight w:val="none"/>
              </w:rPr>
              <w:t>-</w:t>
            </w:r>
          </w:p>
        </w:tc>
        <w:tc>
          <w:tcPr>
            <w:tcW w:w="2334" w:type="dxa"/>
            <w:vAlign w:val="center"/>
          </w:tcPr>
          <w:p w14:paraId="49384325">
            <w:pPr>
              <w:pStyle w:val="178"/>
              <w:rPr>
                <w:color w:val="auto"/>
                <w:highlight w:val="none"/>
              </w:rPr>
            </w:pPr>
            <w:r>
              <w:rPr>
                <w:rFonts w:hint="eastAsia"/>
                <w:color w:val="auto"/>
                <w:highlight w:val="none"/>
              </w:rPr>
              <w:t>-</w:t>
            </w:r>
          </w:p>
        </w:tc>
      </w:tr>
      <w:tr w14:paraId="77CE64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2A3D0C0D">
            <w:pPr>
              <w:pStyle w:val="178"/>
              <w:rPr>
                <w:color w:val="auto"/>
                <w:highlight w:val="none"/>
              </w:rPr>
            </w:pPr>
            <w:r>
              <w:rPr>
                <w:rFonts w:hint="eastAsia"/>
                <w:color w:val="auto"/>
                <w:highlight w:val="none"/>
              </w:rPr>
              <w:t>新型农药</w:t>
            </w:r>
          </w:p>
        </w:tc>
        <w:tc>
          <w:tcPr>
            <w:tcW w:w="2333" w:type="dxa"/>
            <w:vAlign w:val="center"/>
          </w:tcPr>
          <w:p w14:paraId="38488A68">
            <w:pPr>
              <w:pStyle w:val="178"/>
              <w:rPr>
                <w:color w:val="auto"/>
                <w:highlight w:val="none"/>
              </w:rPr>
            </w:pPr>
            <w:r>
              <w:rPr>
                <w:rFonts w:hint="eastAsia"/>
                <w:color w:val="auto"/>
                <w:highlight w:val="none"/>
              </w:rPr>
              <w:t>草甘膦、敌草快</w:t>
            </w:r>
          </w:p>
        </w:tc>
        <w:tc>
          <w:tcPr>
            <w:tcW w:w="2333" w:type="dxa"/>
            <w:vAlign w:val="center"/>
          </w:tcPr>
          <w:p w14:paraId="7FE1E027">
            <w:pPr>
              <w:pStyle w:val="178"/>
              <w:rPr>
                <w:color w:val="auto"/>
                <w:highlight w:val="none"/>
              </w:rPr>
            </w:pPr>
            <w:r>
              <w:rPr>
                <w:rFonts w:hint="eastAsia"/>
                <w:color w:val="auto"/>
                <w:highlight w:val="none"/>
              </w:rPr>
              <w:t>新烟碱类、酰胺类除草剂</w:t>
            </w:r>
          </w:p>
        </w:tc>
        <w:tc>
          <w:tcPr>
            <w:tcW w:w="2334" w:type="dxa"/>
            <w:vAlign w:val="center"/>
          </w:tcPr>
          <w:p w14:paraId="2B9FB5D5">
            <w:pPr>
              <w:pStyle w:val="178"/>
              <w:rPr>
                <w:color w:val="auto"/>
                <w:highlight w:val="none"/>
              </w:rPr>
            </w:pPr>
            <w:r>
              <w:rPr>
                <w:rFonts w:hint="eastAsia"/>
                <w:color w:val="auto"/>
                <w:highlight w:val="none"/>
              </w:rPr>
              <w:t>GB23200.122-2026、GB23200.113-2026、HJ1191-2021</w:t>
            </w:r>
          </w:p>
        </w:tc>
      </w:tr>
      <w:tr w14:paraId="723233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tcBorders>
              <w:bottom w:val="single" w:color="auto" w:sz="8" w:space="0"/>
            </w:tcBorders>
            <w:vAlign w:val="center"/>
          </w:tcPr>
          <w:p w14:paraId="1ADC5A7C">
            <w:pPr>
              <w:pStyle w:val="178"/>
              <w:rPr>
                <w:color w:val="auto"/>
                <w:highlight w:val="none"/>
              </w:rPr>
            </w:pPr>
            <w:r>
              <w:rPr>
                <w:rFonts w:hint="eastAsia"/>
                <w:color w:val="auto"/>
                <w:highlight w:val="none"/>
              </w:rPr>
              <w:t>其他重点管控</w:t>
            </w:r>
          </w:p>
        </w:tc>
        <w:tc>
          <w:tcPr>
            <w:tcW w:w="2333" w:type="dxa"/>
            <w:tcBorders>
              <w:bottom w:val="single" w:color="auto" w:sz="8" w:space="0"/>
            </w:tcBorders>
            <w:vAlign w:val="center"/>
          </w:tcPr>
          <w:p w14:paraId="69EA9D6E">
            <w:pPr>
              <w:pStyle w:val="178"/>
              <w:rPr>
                <w:color w:val="auto"/>
                <w:highlight w:val="none"/>
              </w:rPr>
            </w:pPr>
            <w:r>
              <w:rPr>
                <w:rFonts w:hint="eastAsia"/>
                <w:color w:val="auto"/>
                <w:highlight w:val="none"/>
              </w:rPr>
              <w:t>六氯丁二烯、五氯苯酚</w:t>
            </w:r>
          </w:p>
        </w:tc>
        <w:tc>
          <w:tcPr>
            <w:tcW w:w="2333" w:type="dxa"/>
            <w:tcBorders>
              <w:bottom w:val="single" w:color="auto" w:sz="8" w:space="0"/>
            </w:tcBorders>
            <w:vAlign w:val="center"/>
          </w:tcPr>
          <w:p w14:paraId="04F12FCF">
            <w:pPr>
              <w:pStyle w:val="178"/>
              <w:rPr>
                <w:color w:val="auto"/>
                <w:highlight w:val="none"/>
              </w:rPr>
            </w:pPr>
            <w:r>
              <w:rPr>
                <w:rFonts w:hint="eastAsia"/>
                <w:color w:val="auto"/>
                <w:highlight w:val="none"/>
              </w:rPr>
              <w:t>短链氯化石蜡、药品和个人护理品</w:t>
            </w:r>
          </w:p>
        </w:tc>
        <w:tc>
          <w:tcPr>
            <w:tcW w:w="2334" w:type="dxa"/>
            <w:tcBorders>
              <w:bottom w:val="single" w:color="auto" w:sz="8" w:space="0"/>
            </w:tcBorders>
            <w:vAlign w:val="center"/>
          </w:tcPr>
          <w:p w14:paraId="5515D55E">
            <w:pPr>
              <w:pStyle w:val="178"/>
              <w:rPr>
                <w:color w:val="auto"/>
                <w:highlight w:val="none"/>
              </w:rPr>
            </w:pPr>
            <w:r>
              <w:rPr>
                <w:rFonts w:hint="eastAsia"/>
                <w:color w:val="auto"/>
                <w:highlight w:val="none"/>
              </w:rPr>
              <w:t>HJ639-2012、HJ686-2014、HJ810-2016、HJ676-2013、HJ744-2015</w:t>
            </w:r>
          </w:p>
        </w:tc>
      </w:tr>
      <w:tr w14:paraId="6B5B61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rHeight w:val="560" w:hRule="atLeast"/>
          <w:jc w:val="center"/>
        </w:trPr>
        <w:tc>
          <w:tcPr>
            <w:tcW w:w="9334" w:type="dxa"/>
            <w:gridSpan w:val="4"/>
            <w:tcBorders>
              <w:top w:val="single" w:color="auto" w:sz="8" w:space="0"/>
              <w:bottom w:val="single" w:color="auto" w:sz="8" w:space="0"/>
            </w:tcBorders>
            <w:vAlign w:val="center"/>
          </w:tcPr>
          <w:p w14:paraId="09B8F3E9">
            <w:pPr>
              <w:pStyle w:val="179"/>
              <w:rPr>
                <w:color w:val="auto"/>
                <w:highlight w:val="none"/>
              </w:rPr>
            </w:pPr>
            <w:r>
              <w:rPr>
                <w:rFonts w:hint="eastAsia"/>
                <w:color w:val="auto"/>
                <w:highlight w:val="none"/>
              </w:rPr>
              <w:t>必选项目为每类中的核心物质，监测机构可根据区域实际需求从必选项目中选取不少于3类开展监测；可选项目根据产业特征补充。</w:t>
            </w:r>
          </w:p>
        </w:tc>
      </w:tr>
    </w:tbl>
    <w:p w14:paraId="79981060">
      <w:pPr>
        <w:pStyle w:val="56"/>
        <w:ind w:firstLine="420"/>
        <w:rPr>
          <w:color w:val="auto"/>
          <w:highlight w:val="none"/>
        </w:rPr>
      </w:pPr>
    </w:p>
    <w:p w14:paraId="239203E1">
      <w:pPr>
        <w:pStyle w:val="56"/>
        <w:ind w:firstLine="420"/>
        <w:rPr>
          <w:color w:val="auto"/>
          <w:highlight w:val="none"/>
        </w:rPr>
        <w:sectPr>
          <w:pgSz w:w="11906" w:h="16838"/>
          <w:pgMar w:top="1928" w:right="1134" w:bottom="1134" w:left="1134" w:header="1418" w:footer="907" w:gutter="284"/>
          <w:cols w:space="425" w:num="1"/>
          <w:formProt w:val="0"/>
          <w:docGrid w:linePitch="312" w:charSpace="0"/>
        </w:sectPr>
      </w:pPr>
    </w:p>
    <w:p w14:paraId="4BC1B904">
      <w:pPr>
        <w:pStyle w:val="198"/>
        <w:rPr>
          <w:color w:val="auto"/>
          <w:highlight w:val="none"/>
        </w:rPr>
      </w:pPr>
    </w:p>
    <w:p w14:paraId="2D3EF77C">
      <w:pPr>
        <w:pStyle w:val="199"/>
        <w:rPr>
          <w:color w:val="auto"/>
          <w:highlight w:val="none"/>
        </w:rPr>
      </w:pPr>
    </w:p>
    <w:p w14:paraId="19769E90">
      <w:pPr>
        <w:pStyle w:val="76"/>
        <w:spacing w:before="0" w:after="120"/>
        <w:rPr>
          <w:color w:val="auto"/>
          <w:highlight w:val="none"/>
        </w:rPr>
      </w:pPr>
      <w:r>
        <w:rPr>
          <w:color w:val="auto"/>
          <w:highlight w:val="none"/>
        </w:rPr>
        <w:br w:type="textWrapping"/>
      </w:r>
      <w:bookmarkStart w:id="84" w:name="_Toc223795258"/>
      <w:bookmarkStart w:id="85" w:name="_Toc229148124"/>
      <w:r>
        <w:rPr>
          <w:rFonts w:hint="eastAsia"/>
          <w:color w:val="auto"/>
          <w:highlight w:val="none"/>
        </w:rPr>
        <w:t>（规范性）</w:t>
      </w:r>
      <w:r>
        <w:rPr>
          <w:color w:val="auto"/>
          <w:highlight w:val="none"/>
        </w:rPr>
        <w:br w:type="textWrapping"/>
      </w:r>
      <w:r>
        <w:rPr>
          <w:rFonts w:hint="eastAsia"/>
          <w:color w:val="auto"/>
          <w:highlight w:val="none"/>
        </w:rPr>
        <w:t>地表水新污染物样品保存要求</w:t>
      </w:r>
      <w:bookmarkEnd w:id="84"/>
      <w:bookmarkEnd w:id="85"/>
    </w:p>
    <w:p w14:paraId="1936447D">
      <w:pPr>
        <w:pStyle w:val="56"/>
        <w:ind w:firstLine="420"/>
        <w:rPr>
          <w:color w:val="auto"/>
          <w:highlight w:val="none"/>
        </w:rPr>
      </w:pPr>
      <w:r>
        <w:rPr>
          <w:rFonts w:hint="eastAsia"/>
          <w:color w:val="auto"/>
          <w:highlight w:val="none"/>
        </w:rPr>
        <w:t>按表B.1的要求执行。</w:t>
      </w:r>
    </w:p>
    <w:p w14:paraId="11DA258E">
      <w:pPr>
        <w:pStyle w:val="77"/>
        <w:spacing w:before="120" w:after="120"/>
        <w:rPr>
          <w:color w:val="auto"/>
          <w:highlight w:val="none"/>
        </w:rPr>
      </w:pPr>
      <w:r>
        <w:rPr>
          <w:rFonts w:hint="eastAsia" w:cs="黑体"/>
          <w:color w:val="auto"/>
          <w:szCs w:val="21"/>
          <w:highlight w:val="none"/>
        </w:rPr>
        <w:t>新污染物监测项目的采样要求</w:t>
      </w:r>
    </w:p>
    <w:tbl>
      <w:tblPr>
        <w:tblStyle w:val="26"/>
        <w:tblW w:w="10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598"/>
        <w:gridCol w:w="2284"/>
        <w:gridCol w:w="1086"/>
        <w:gridCol w:w="1820"/>
        <w:gridCol w:w="951"/>
        <w:gridCol w:w="658"/>
        <w:gridCol w:w="2809"/>
      </w:tblGrid>
      <w:tr w14:paraId="73CF0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7" w:hRule="atLeast"/>
          <w:tblHeader/>
          <w:jc w:val="center"/>
        </w:trPr>
        <w:tc>
          <w:tcPr>
            <w:tcW w:w="598" w:type="dxa"/>
            <w:vAlign w:val="center"/>
          </w:tcPr>
          <w:p w14:paraId="0A26A4D3">
            <w:pPr>
              <w:pStyle w:val="228"/>
              <w:snapToGrid w:val="0"/>
              <w:jc w:val="center"/>
              <w:rPr>
                <w:rFonts w:ascii="黑体" w:hAnsi="黑体" w:eastAsia="黑体" w:cs="方正黑体_GBK"/>
                <w:color w:val="auto"/>
                <w:sz w:val="18"/>
                <w:szCs w:val="18"/>
                <w:highlight w:val="none"/>
              </w:rPr>
            </w:pPr>
            <w:r>
              <w:rPr>
                <w:rFonts w:hint="eastAsia" w:ascii="黑体" w:hAnsi="黑体" w:eastAsia="黑体" w:cs="方正黑体_GBK"/>
                <w:color w:val="auto"/>
                <w:sz w:val="18"/>
                <w:szCs w:val="18"/>
                <w:highlight w:val="none"/>
              </w:rPr>
              <w:t>序号</w:t>
            </w:r>
          </w:p>
        </w:tc>
        <w:tc>
          <w:tcPr>
            <w:tcW w:w="2284" w:type="dxa"/>
            <w:vAlign w:val="center"/>
          </w:tcPr>
          <w:p w14:paraId="2E3CD7F0">
            <w:pPr>
              <w:pStyle w:val="228"/>
              <w:snapToGrid w:val="0"/>
              <w:jc w:val="center"/>
              <w:rPr>
                <w:rFonts w:ascii="黑体" w:hAnsi="黑体" w:eastAsia="黑体" w:cs="方正黑体_GBK"/>
                <w:color w:val="auto"/>
                <w:sz w:val="18"/>
                <w:szCs w:val="18"/>
                <w:highlight w:val="none"/>
              </w:rPr>
            </w:pPr>
            <w:r>
              <w:rPr>
                <w:rFonts w:hint="eastAsia" w:ascii="黑体" w:hAnsi="黑体" w:eastAsia="黑体" w:cs="方正黑体_GBK"/>
                <w:color w:val="auto"/>
                <w:sz w:val="18"/>
                <w:szCs w:val="18"/>
                <w:highlight w:val="none"/>
              </w:rPr>
              <w:t>分析方法</w:t>
            </w:r>
          </w:p>
        </w:tc>
        <w:tc>
          <w:tcPr>
            <w:tcW w:w="1086" w:type="dxa"/>
            <w:vAlign w:val="center"/>
          </w:tcPr>
          <w:p w14:paraId="452B08AE">
            <w:pPr>
              <w:pStyle w:val="228"/>
              <w:snapToGrid w:val="0"/>
              <w:jc w:val="center"/>
              <w:rPr>
                <w:rFonts w:ascii="黑体" w:hAnsi="黑体" w:eastAsia="黑体" w:cs="方正黑体_GBK"/>
                <w:color w:val="auto"/>
                <w:sz w:val="18"/>
                <w:szCs w:val="18"/>
                <w:highlight w:val="none"/>
              </w:rPr>
            </w:pPr>
            <w:r>
              <w:rPr>
                <w:rFonts w:hint="eastAsia" w:ascii="黑体" w:hAnsi="黑体" w:eastAsia="黑体" w:cs="方正黑体_GBK"/>
                <w:color w:val="auto"/>
                <w:sz w:val="18"/>
                <w:szCs w:val="18"/>
                <w:highlight w:val="none"/>
              </w:rPr>
              <w:t>采样容器</w:t>
            </w:r>
          </w:p>
        </w:tc>
        <w:tc>
          <w:tcPr>
            <w:tcW w:w="1820" w:type="dxa"/>
            <w:vAlign w:val="center"/>
          </w:tcPr>
          <w:p w14:paraId="06A17FA8">
            <w:pPr>
              <w:pStyle w:val="228"/>
              <w:snapToGrid w:val="0"/>
              <w:jc w:val="center"/>
              <w:rPr>
                <w:rFonts w:hint="eastAsia" w:ascii="黑体" w:hAnsi="黑体" w:eastAsia="黑体" w:cs="方正黑体_GBK"/>
                <w:color w:val="auto"/>
                <w:sz w:val="18"/>
                <w:szCs w:val="18"/>
                <w:highlight w:val="none"/>
              </w:rPr>
            </w:pPr>
            <w:r>
              <w:rPr>
                <w:rFonts w:hint="eastAsia" w:ascii="黑体" w:hAnsi="黑体" w:eastAsia="黑体" w:cs="方正黑体_GBK"/>
                <w:color w:val="auto"/>
                <w:sz w:val="18"/>
                <w:szCs w:val="18"/>
                <w:highlight w:val="none"/>
              </w:rPr>
              <w:t>保存剂</w:t>
            </w:r>
          </w:p>
          <w:p w14:paraId="0B81FDD2">
            <w:pPr>
              <w:pStyle w:val="228"/>
              <w:snapToGrid w:val="0"/>
              <w:jc w:val="center"/>
              <w:rPr>
                <w:rFonts w:ascii="黑体" w:hAnsi="黑体" w:eastAsia="黑体" w:cs="方正黑体_GBK"/>
                <w:color w:val="auto"/>
                <w:sz w:val="18"/>
                <w:szCs w:val="18"/>
                <w:highlight w:val="none"/>
              </w:rPr>
            </w:pPr>
            <w:r>
              <w:rPr>
                <w:rFonts w:hint="eastAsia" w:ascii="黑体" w:hAnsi="黑体" w:eastAsia="黑体" w:cs="方正黑体_GBK"/>
                <w:color w:val="auto"/>
                <w:sz w:val="18"/>
                <w:szCs w:val="18"/>
                <w:highlight w:val="none"/>
              </w:rPr>
              <w:t>及用量</w:t>
            </w:r>
          </w:p>
        </w:tc>
        <w:tc>
          <w:tcPr>
            <w:tcW w:w="951" w:type="dxa"/>
            <w:vAlign w:val="center"/>
          </w:tcPr>
          <w:p w14:paraId="6E824669">
            <w:pPr>
              <w:pStyle w:val="228"/>
              <w:snapToGrid w:val="0"/>
              <w:jc w:val="center"/>
              <w:rPr>
                <w:rFonts w:ascii="黑体" w:hAnsi="黑体" w:eastAsia="黑体" w:cs="方正黑体_GBK"/>
                <w:color w:val="auto"/>
                <w:sz w:val="18"/>
                <w:szCs w:val="18"/>
                <w:highlight w:val="none"/>
              </w:rPr>
            </w:pPr>
            <w:r>
              <w:rPr>
                <w:rFonts w:hint="eastAsia" w:ascii="黑体" w:hAnsi="黑体" w:eastAsia="黑体" w:cs="方正黑体_GBK"/>
                <w:color w:val="auto"/>
                <w:sz w:val="18"/>
                <w:szCs w:val="18"/>
                <w:highlight w:val="none"/>
              </w:rPr>
              <w:t>保存期</w:t>
            </w:r>
          </w:p>
        </w:tc>
        <w:tc>
          <w:tcPr>
            <w:tcW w:w="658" w:type="dxa"/>
            <w:vAlign w:val="center"/>
          </w:tcPr>
          <w:p w14:paraId="58CBC009">
            <w:pPr>
              <w:pStyle w:val="228"/>
              <w:snapToGrid w:val="0"/>
              <w:jc w:val="center"/>
              <w:rPr>
                <w:rFonts w:ascii="黑体" w:hAnsi="黑体" w:eastAsia="黑体" w:cs="方正黑体_GBK"/>
                <w:color w:val="auto"/>
                <w:sz w:val="18"/>
                <w:szCs w:val="18"/>
                <w:highlight w:val="none"/>
              </w:rPr>
            </w:pPr>
            <w:r>
              <w:rPr>
                <w:rFonts w:hint="eastAsia" w:ascii="黑体" w:hAnsi="黑体" w:eastAsia="黑体" w:cs="方正黑体_GBK"/>
                <w:color w:val="auto"/>
                <w:sz w:val="18"/>
                <w:szCs w:val="18"/>
                <w:highlight w:val="none"/>
              </w:rPr>
              <w:t>最少采样量（</w:t>
            </w:r>
            <w:r>
              <w:rPr>
                <w:rFonts w:ascii="黑体" w:hAnsi="黑体" w:eastAsia="黑体" w:cs="方正黑体_GBK"/>
                <w:color w:val="auto"/>
                <w:sz w:val="18"/>
                <w:szCs w:val="18"/>
                <w:highlight w:val="none"/>
              </w:rPr>
              <w:t>mL</w:t>
            </w:r>
            <w:r>
              <w:rPr>
                <w:rFonts w:hint="eastAsia" w:ascii="黑体" w:hAnsi="黑体" w:eastAsia="黑体" w:cs="方正黑体_GBK"/>
                <w:color w:val="auto"/>
                <w:sz w:val="18"/>
                <w:szCs w:val="18"/>
                <w:highlight w:val="none"/>
              </w:rPr>
              <w:t>）</w:t>
            </w:r>
          </w:p>
        </w:tc>
        <w:tc>
          <w:tcPr>
            <w:tcW w:w="2809" w:type="dxa"/>
            <w:vAlign w:val="center"/>
          </w:tcPr>
          <w:p w14:paraId="4443B7FB">
            <w:pPr>
              <w:pStyle w:val="228"/>
              <w:snapToGrid w:val="0"/>
              <w:jc w:val="center"/>
              <w:rPr>
                <w:rFonts w:ascii="黑体" w:hAnsi="黑体" w:eastAsia="黑体" w:cs="方正黑体_GBK"/>
                <w:color w:val="auto"/>
                <w:sz w:val="18"/>
                <w:szCs w:val="18"/>
                <w:highlight w:val="none"/>
              </w:rPr>
            </w:pPr>
            <w:r>
              <w:rPr>
                <w:rFonts w:hint="eastAsia" w:ascii="黑体" w:hAnsi="黑体" w:eastAsia="黑体" w:cs="方正黑体_GBK"/>
                <w:color w:val="auto"/>
                <w:sz w:val="18"/>
                <w:szCs w:val="18"/>
                <w:highlight w:val="none"/>
              </w:rPr>
              <w:t>采样注意事项</w:t>
            </w:r>
          </w:p>
        </w:tc>
      </w:tr>
      <w:tr w14:paraId="32DA1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72" w:hRule="atLeast"/>
          <w:jc w:val="center"/>
        </w:trPr>
        <w:tc>
          <w:tcPr>
            <w:tcW w:w="598" w:type="dxa"/>
            <w:vAlign w:val="center"/>
          </w:tcPr>
          <w:p w14:paraId="2A8444A9">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w:t>
            </w:r>
          </w:p>
        </w:tc>
        <w:tc>
          <w:tcPr>
            <w:tcW w:w="2284" w:type="dxa"/>
            <w:vAlign w:val="center"/>
          </w:tcPr>
          <w:p w14:paraId="5ABCFF48">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水质全氟辛基磺酸和全氟辛酸及其盐类的测定同位素稀释液相色谱</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三重四极杆质谱法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HJ1333-2023</w:t>
            </w:r>
          </w:p>
        </w:tc>
        <w:tc>
          <w:tcPr>
            <w:tcW w:w="1086" w:type="dxa"/>
            <w:vAlign w:val="center"/>
          </w:tcPr>
          <w:p w14:paraId="326FCBED">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聚丙烯或聚乙烯瓶</w:t>
            </w:r>
          </w:p>
        </w:tc>
        <w:tc>
          <w:tcPr>
            <w:tcW w:w="1820" w:type="dxa"/>
            <w:vAlign w:val="center"/>
          </w:tcPr>
          <w:p w14:paraId="6988D846">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c>
          <w:tcPr>
            <w:tcW w:w="951" w:type="dxa"/>
            <w:vAlign w:val="center"/>
          </w:tcPr>
          <w:p w14:paraId="0631F1C8">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以下冷藏保</w:t>
            </w:r>
            <w:r>
              <w:rPr>
                <w:rFonts w:hint="eastAsia" w:ascii="新宋体" w:hAnsi="新宋体" w:eastAsia="新宋体"/>
                <w:color w:val="auto"/>
                <w:sz w:val="18"/>
                <w:szCs w:val="18"/>
                <w:highlight w:val="none"/>
              </w:rPr>
              <w:t>存</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14d</w:t>
            </w:r>
          </w:p>
        </w:tc>
        <w:tc>
          <w:tcPr>
            <w:tcW w:w="658" w:type="dxa"/>
            <w:vAlign w:val="center"/>
          </w:tcPr>
          <w:p w14:paraId="5D257D06">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Merge w:val="restart"/>
            <w:vAlign w:val="center"/>
          </w:tcPr>
          <w:p w14:paraId="1A16ED9A">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1、采集样品时应同时采集全程序空白样品，用采样瓶装满水带至采样现场，采样时将水转移至另一个采样瓶中，作为全程序空白样品，随实际样品一起保存并运输至实验室</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2、玻璃容器可能吸附目标化合物，采样和分析过程中应避免使用玻璃材质器皿</w:t>
            </w:r>
            <w:r>
              <w:rPr>
                <w:rFonts w:hint="eastAsia" w:ascii="新宋体" w:hAnsi="新宋体" w:eastAsia="新宋体"/>
                <w:color w:val="auto"/>
                <w:sz w:val="18"/>
                <w:szCs w:val="18"/>
                <w:highlight w:val="none"/>
              </w:rPr>
              <w:t>。</w:t>
            </w:r>
          </w:p>
        </w:tc>
      </w:tr>
      <w:tr w14:paraId="5A353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68" w:hRule="atLeast"/>
          <w:jc w:val="center"/>
        </w:trPr>
        <w:tc>
          <w:tcPr>
            <w:tcW w:w="598" w:type="dxa"/>
            <w:vAlign w:val="center"/>
          </w:tcPr>
          <w:p w14:paraId="75DEF99D">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w:t>
            </w:r>
          </w:p>
        </w:tc>
        <w:tc>
          <w:tcPr>
            <w:tcW w:w="2284" w:type="dxa"/>
            <w:vAlign w:val="center"/>
          </w:tcPr>
          <w:p w14:paraId="00C5E410">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17</w:t>
            </w:r>
            <w:r>
              <w:rPr>
                <w:rFonts w:hint="eastAsia" w:ascii="新宋体" w:hAnsi="新宋体" w:eastAsia="新宋体"/>
                <w:color w:val="auto"/>
                <w:sz w:val="18"/>
                <w:szCs w:val="18"/>
                <w:highlight w:val="none"/>
              </w:rPr>
              <w:t>种全氟化合物的测定高效液相色谱串联质谱法</w:t>
            </w:r>
            <w:r>
              <w:rPr>
                <w:rFonts w:ascii="新宋体" w:hAnsi="新宋体" w:eastAsia="新宋体" w:cs="Times New Roman"/>
                <w:color w:val="auto"/>
                <w:sz w:val="18"/>
                <w:szCs w:val="18"/>
                <w:highlight w:val="none"/>
              </w:rPr>
              <w:t>DB 32/T 4004-2021</w:t>
            </w:r>
          </w:p>
        </w:tc>
        <w:tc>
          <w:tcPr>
            <w:tcW w:w="1086" w:type="dxa"/>
            <w:vAlign w:val="center"/>
          </w:tcPr>
          <w:p w14:paraId="4D56B1C5">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聚丙烯瓶</w:t>
            </w:r>
          </w:p>
        </w:tc>
        <w:tc>
          <w:tcPr>
            <w:tcW w:w="1820" w:type="dxa"/>
            <w:vAlign w:val="center"/>
          </w:tcPr>
          <w:p w14:paraId="449FA0E4">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c>
          <w:tcPr>
            <w:tcW w:w="951" w:type="dxa"/>
            <w:vAlign w:val="center"/>
          </w:tcPr>
          <w:p w14:paraId="091B9D12">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以下冷藏保</w:t>
            </w:r>
            <w:r>
              <w:rPr>
                <w:rFonts w:hint="eastAsia" w:ascii="新宋体" w:hAnsi="新宋体" w:eastAsia="新宋体"/>
                <w:color w:val="auto"/>
                <w:sz w:val="18"/>
                <w:szCs w:val="18"/>
                <w:highlight w:val="none"/>
              </w:rPr>
              <w:t>存</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28d</w:t>
            </w:r>
          </w:p>
        </w:tc>
        <w:tc>
          <w:tcPr>
            <w:tcW w:w="658" w:type="dxa"/>
            <w:vAlign w:val="center"/>
          </w:tcPr>
          <w:p w14:paraId="4A87F55D">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Merge w:val="continue"/>
            <w:vAlign w:val="center"/>
          </w:tcPr>
          <w:p w14:paraId="17179097">
            <w:pPr>
              <w:pStyle w:val="228"/>
              <w:snapToGrid w:val="0"/>
              <w:jc w:val="center"/>
              <w:rPr>
                <w:rFonts w:ascii="新宋体" w:hAnsi="新宋体" w:eastAsia="新宋体" w:cs="Times New Roman"/>
                <w:color w:val="auto"/>
                <w:sz w:val="18"/>
                <w:szCs w:val="18"/>
                <w:highlight w:val="none"/>
              </w:rPr>
            </w:pPr>
          </w:p>
        </w:tc>
      </w:tr>
      <w:tr w14:paraId="04C95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8" w:hRule="atLeast"/>
          <w:jc w:val="center"/>
        </w:trPr>
        <w:tc>
          <w:tcPr>
            <w:tcW w:w="598" w:type="dxa"/>
            <w:vAlign w:val="center"/>
          </w:tcPr>
          <w:p w14:paraId="7AEC28DA">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w:t>
            </w:r>
          </w:p>
        </w:tc>
        <w:tc>
          <w:tcPr>
            <w:tcW w:w="2284" w:type="dxa"/>
            <w:vAlign w:val="center"/>
          </w:tcPr>
          <w:p w14:paraId="0E098583">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水质多溴二苯醚的测定气相色谱</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质谱法</w:t>
            </w:r>
            <w:r>
              <w:rPr>
                <w:rFonts w:ascii="新宋体" w:hAnsi="新宋体" w:eastAsia="新宋体"/>
                <w:color w:val="auto"/>
                <w:sz w:val="18"/>
                <w:szCs w:val="18"/>
                <w:highlight w:val="none"/>
              </w:rPr>
              <w:t>HJ 909-2017</w:t>
            </w:r>
          </w:p>
        </w:tc>
        <w:tc>
          <w:tcPr>
            <w:tcW w:w="1086" w:type="dxa"/>
            <w:vAlign w:val="center"/>
          </w:tcPr>
          <w:p w14:paraId="1963BAC3">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聚四氟乙烯内衬旋盖棕色细口玻璃瓶</w:t>
            </w:r>
          </w:p>
        </w:tc>
        <w:tc>
          <w:tcPr>
            <w:tcW w:w="1820" w:type="dxa"/>
            <w:vAlign w:val="center"/>
          </w:tcPr>
          <w:p w14:paraId="7753157C">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1L水加入80mg硫代硫酸</w:t>
            </w:r>
            <w:r>
              <w:rPr>
                <w:rFonts w:hint="eastAsia" w:ascii="新宋体" w:hAnsi="新宋体" w:eastAsia="新宋体"/>
                <w:color w:val="auto"/>
                <w:sz w:val="18"/>
                <w:szCs w:val="18"/>
                <w:highlight w:val="none"/>
              </w:rPr>
              <w:t>钠</w:t>
            </w:r>
          </w:p>
        </w:tc>
        <w:tc>
          <w:tcPr>
            <w:tcW w:w="951" w:type="dxa"/>
            <w:vAlign w:val="center"/>
          </w:tcPr>
          <w:p w14:paraId="6B0D86DF">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冷藏保存14d</w:t>
            </w:r>
          </w:p>
        </w:tc>
        <w:tc>
          <w:tcPr>
            <w:tcW w:w="658" w:type="dxa"/>
            <w:vAlign w:val="center"/>
          </w:tcPr>
          <w:p w14:paraId="6E5CCA20">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Align w:val="center"/>
          </w:tcPr>
          <w:p w14:paraId="6C992A5C">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6C0AC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2999BED2">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4</w:t>
            </w:r>
          </w:p>
        </w:tc>
        <w:tc>
          <w:tcPr>
            <w:tcW w:w="2284" w:type="dxa"/>
            <w:vAlign w:val="center"/>
          </w:tcPr>
          <w:p w14:paraId="06A9BBEB">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水质挥发性有机物的测定吹扫捕集气相色谱</w:t>
            </w:r>
            <w:r>
              <w:rPr>
                <w:rFonts w:ascii="新宋体" w:hAnsi="新宋体" w:eastAsia="新宋体" w:cs="Times New Roman"/>
                <w:color w:val="auto"/>
                <w:sz w:val="18"/>
                <w:szCs w:val="18"/>
                <w:highlight w:val="none"/>
              </w:rPr>
              <w:t>-</w:t>
            </w:r>
            <w:r>
              <w:rPr>
                <w:rFonts w:hint="eastAsia" w:ascii="新宋体" w:hAnsi="新宋体" w:eastAsia="新宋体"/>
                <w:color w:val="auto"/>
                <w:sz w:val="18"/>
                <w:szCs w:val="18"/>
                <w:highlight w:val="none"/>
              </w:rPr>
              <w:t>质谱法</w:t>
            </w:r>
            <w:r>
              <w:rPr>
                <w:rFonts w:ascii="新宋体" w:hAnsi="新宋体" w:eastAsia="新宋体" w:cs="Times New Roman"/>
                <w:color w:val="auto"/>
                <w:sz w:val="18"/>
                <w:szCs w:val="18"/>
                <w:highlight w:val="none"/>
              </w:rPr>
              <w:t>HJ 639-2012</w:t>
            </w:r>
          </w:p>
        </w:tc>
        <w:tc>
          <w:tcPr>
            <w:tcW w:w="1086" w:type="dxa"/>
            <w:vMerge w:val="restart"/>
            <w:vAlign w:val="center"/>
          </w:tcPr>
          <w:p w14:paraId="47516B91">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40 ml棕色玻璃瓶</w:t>
            </w:r>
          </w:p>
        </w:tc>
        <w:tc>
          <w:tcPr>
            <w:tcW w:w="1820" w:type="dxa"/>
            <w:vMerge w:val="restart"/>
            <w:vAlign w:val="center"/>
          </w:tcPr>
          <w:p w14:paraId="7DBA5036">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存在余氯，加入</w:t>
            </w:r>
            <w:r>
              <w:rPr>
                <w:rFonts w:ascii="新宋体" w:hAnsi="新宋体" w:eastAsia="新宋体" w:cs="Times New Roman"/>
                <w:color w:val="auto"/>
                <w:sz w:val="18"/>
                <w:szCs w:val="18"/>
                <w:highlight w:val="none"/>
              </w:rPr>
              <w:t>0.5ml</w:t>
            </w:r>
            <w:r>
              <w:rPr>
                <w:rFonts w:hint="eastAsia" w:ascii="新宋体" w:hAnsi="新宋体" w:eastAsia="新宋体"/>
                <w:color w:val="auto"/>
                <w:sz w:val="18"/>
                <w:szCs w:val="18"/>
                <w:highlight w:val="none"/>
              </w:rPr>
              <w:t>盐酸；无余氯，</w:t>
            </w:r>
            <w:r>
              <w:rPr>
                <w:rFonts w:ascii="新宋体" w:hAnsi="新宋体" w:eastAsia="新宋体" w:cs="Times New Roman"/>
                <w:color w:val="auto"/>
                <w:sz w:val="18"/>
                <w:szCs w:val="18"/>
                <w:highlight w:val="none"/>
              </w:rPr>
              <w:t>25mg</w:t>
            </w:r>
            <w:r>
              <w:rPr>
                <w:rFonts w:hint="eastAsia" w:ascii="新宋体" w:hAnsi="新宋体" w:eastAsia="新宋体"/>
                <w:color w:val="auto"/>
                <w:sz w:val="18"/>
                <w:szCs w:val="18"/>
                <w:highlight w:val="none"/>
              </w:rPr>
              <w:t>的抗坏血酸和</w:t>
            </w:r>
            <w:r>
              <w:rPr>
                <w:rFonts w:ascii="新宋体" w:hAnsi="新宋体" w:eastAsia="新宋体" w:cs="Times New Roman"/>
                <w:color w:val="auto"/>
                <w:sz w:val="18"/>
                <w:szCs w:val="18"/>
                <w:highlight w:val="none"/>
              </w:rPr>
              <w:t>0.5ml</w:t>
            </w:r>
            <w:r>
              <w:rPr>
                <w:rFonts w:hint="eastAsia" w:ascii="新宋体" w:hAnsi="新宋体" w:eastAsia="新宋体"/>
                <w:color w:val="auto"/>
                <w:sz w:val="18"/>
                <w:szCs w:val="18"/>
                <w:highlight w:val="none"/>
              </w:rPr>
              <w:t>盐酸</w:t>
            </w:r>
          </w:p>
        </w:tc>
        <w:tc>
          <w:tcPr>
            <w:tcW w:w="951" w:type="dxa"/>
            <w:vMerge w:val="restart"/>
            <w:vAlign w:val="center"/>
          </w:tcPr>
          <w:p w14:paraId="156E067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以下冷藏保</w:t>
            </w:r>
            <w:r>
              <w:rPr>
                <w:rFonts w:hint="eastAsia" w:ascii="新宋体" w:hAnsi="新宋体" w:eastAsia="新宋体"/>
                <w:color w:val="auto"/>
                <w:sz w:val="18"/>
                <w:szCs w:val="18"/>
                <w:highlight w:val="none"/>
              </w:rPr>
              <w:t>存</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14d</w:t>
            </w:r>
          </w:p>
        </w:tc>
        <w:tc>
          <w:tcPr>
            <w:tcW w:w="658" w:type="dxa"/>
            <w:vMerge w:val="restart"/>
            <w:vAlign w:val="center"/>
          </w:tcPr>
          <w:p w14:paraId="4FFA6A98">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40*2</w:t>
            </w:r>
          </w:p>
        </w:tc>
        <w:tc>
          <w:tcPr>
            <w:tcW w:w="2809" w:type="dxa"/>
            <w:vMerge w:val="restart"/>
            <w:vAlign w:val="center"/>
          </w:tcPr>
          <w:p w14:paraId="4ED8A147">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所有样品均采集平行双样，每批样品应带一个全程序空白和一个运输空白。样品应充满样品瓶</w:t>
            </w:r>
          </w:p>
        </w:tc>
      </w:tr>
      <w:tr w14:paraId="61598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5C608052">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s="Times New Roman"/>
                <w:color w:val="auto"/>
                <w:sz w:val="18"/>
                <w:szCs w:val="18"/>
                <w:highlight w:val="none"/>
              </w:rPr>
              <w:t>5</w:t>
            </w:r>
          </w:p>
        </w:tc>
        <w:tc>
          <w:tcPr>
            <w:tcW w:w="2284" w:type="dxa"/>
            <w:vAlign w:val="center"/>
          </w:tcPr>
          <w:p w14:paraId="016A7E83">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水质挥发性有机物的测定吹扫捕集气相色谱法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 686-2014</w:t>
            </w:r>
          </w:p>
        </w:tc>
        <w:tc>
          <w:tcPr>
            <w:tcW w:w="1086" w:type="dxa"/>
            <w:vMerge w:val="continue"/>
            <w:vAlign w:val="center"/>
          </w:tcPr>
          <w:p w14:paraId="5D5DE22C">
            <w:pPr>
              <w:pStyle w:val="228"/>
              <w:snapToGrid w:val="0"/>
              <w:rPr>
                <w:rFonts w:ascii="新宋体" w:hAnsi="新宋体" w:eastAsia="新宋体" w:cs="Times New Roman"/>
                <w:color w:val="auto"/>
                <w:sz w:val="18"/>
                <w:szCs w:val="18"/>
                <w:highlight w:val="none"/>
              </w:rPr>
            </w:pPr>
          </w:p>
        </w:tc>
        <w:tc>
          <w:tcPr>
            <w:tcW w:w="1820" w:type="dxa"/>
            <w:vMerge w:val="continue"/>
            <w:vAlign w:val="center"/>
          </w:tcPr>
          <w:p w14:paraId="6A4585D6">
            <w:pPr>
              <w:pStyle w:val="228"/>
              <w:snapToGrid w:val="0"/>
              <w:jc w:val="center"/>
              <w:rPr>
                <w:rFonts w:ascii="新宋体" w:hAnsi="新宋体" w:eastAsia="新宋体" w:cs="Times New Roman"/>
                <w:color w:val="auto"/>
                <w:sz w:val="18"/>
                <w:szCs w:val="18"/>
                <w:highlight w:val="none"/>
              </w:rPr>
            </w:pPr>
          </w:p>
        </w:tc>
        <w:tc>
          <w:tcPr>
            <w:tcW w:w="951" w:type="dxa"/>
            <w:vMerge w:val="continue"/>
            <w:vAlign w:val="center"/>
          </w:tcPr>
          <w:p w14:paraId="1E1FED8C">
            <w:pPr>
              <w:pStyle w:val="228"/>
              <w:snapToGrid w:val="0"/>
              <w:jc w:val="center"/>
              <w:rPr>
                <w:rFonts w:ascii="新宋体" w:hAnsi="新宋体" w:eastAsia="新宋体" w:cs="Times New Roman"/>
                <w:color w:val="auto"/>
                <w:sz w:val="18"/>
                <w:szCs w:val="18"/>
                <w:highlight w:val="none"/>
              </w:rPr>
            </w:pPr>
          </w:p>
        </w:tc>
        <w:tc>
          <w:tcPr>
            <w:tcW w:w="658" w:type="dxa"/>
            <w:vMerge w:val="continue"/>
            <w:vAlign w:val="center"/>
          </w:tcPr>
          <w:p w14:paraId="5FB724B6">
            <w:pPr>
              <w:pStyle w:val="228"/>
              <w:snapToGrid w:val="0"/>
              <w:jc w:val="center"/>
              <w:rPr>
                <w:rFonts w:ascii="新宋体" w:hAnsi="新宋体" w:eastAsia="新宋体" w:cs="Times New Roman"/>
                <w:color w:val="auto"/>
                <w:sz w:val="18"/>
                <w:szCs w:val="18"/>
                <w:highlight w:val="none"/>
              </w:rPr>
            </w:pPr>
          </w:p>
        </w:tc>
        <w:tc>
          <w:tcPr>
            <w:tcW w:w="2809" w:type="dxa"/>
            <w:vMerge w:val="continue"/>
            <w:vAlign w:val="center"/>
          </w:tcPr>
          <w:p w14:paraId="7294DF02">
            <w:pPr>
              <w:pStyle w:val="228"/>
              <w:snapToGrid w:val="0"/>
              <w:jc w:val="center"/>
              <w:rPr>
                <w:rFonts w:ascii="新宋体" w:hAnsi="新宋体" w:eastAsia="新宋体" w:cs="Times New Roman"/>
                <w:color w:val="auto"/>
                <w:sz w:val="18"/>
                <w:szCs w:val="18"/>
                <w:highlight w:val="none"/>
              </w:rPr>
            </w:pPr>
          </w:p>
        </w:tc>
      </w:tr>
      <w:tr w14:paraId="6EB6E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1" w:hRule="atLeast"/>
          <w:jc w:val="center"/>
        </w:trPr>
        <w:tc>
          <w:tcPr>
            <w:tcW w:w="598" w:type="dxa"/>
            <w:vAlign w:val="center"/>
          </w:tcPr>
          <w:p w14:paraId="7364F72C">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s="Times New Roman"/>
                <w:color w:val="auto"/>
                <w:sz w:val="18"/>
                <w:szCs w:val="18"/>
                <w:highlight w:val="none"/>
              </w:rPr>
              <w:t>6</w:t>
            </w:r>
          </w:p>
        </w:tc>
        <w:tc>
          <w:tcPr>
            <w:tcW w:w="2284" w:type="dxa"/>
            <w:vAlign w:val="center"/>
          </w:tcPr>
          <w:p w14:paraId="25F332A4">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水质挥发性有机物的测定顶空气相色谱</w:t>
            </w:r>
            <w:r>
              <w:rPr>
                <w:rFonts w:ascii="新宋体" w:hAnsi="新宋体" w:eastAsia="新宋体" w:cs="Times New Roman"/>
                <w:color w:val="auto"/>
                <w:sz w:val="18"/>
                <w:szCs w:val="18"/>
                <w:highlight w:val="none"/>
              </w:rPr>
              <w:softHyphen/>
            </w:r>
            <w:r>
              <w:rPr>
                <w:rFonts w:hint="eastAsia" w:ascii="新宋体" w:hAnsi="新宋体" w:eastAsia="新宋体"/>
                <w:color w:val="auto"/>
                <w:sz w:val="18"/>
                <w:szCs w:val="18"/>
                <w:highlight w:val="none"/>
              </w:rPr>
              <w:t>质谱法</w:t>
            </w:r>
            <w:r>
              <w:rPr>
                <w:rFonts w:ascii="新宋体" w:hAnsi="新宋体" w:eastAsia="新宋体" w:cs="Times New Roman"/>
                <w:color w:val="auto"/>
                <w:sz w:val="18"/>
                <w:szCs w:val="18"/>
                <w:highlight w:val="none"/>
              </w:rPr>
              <w:t>HJ 810-2016</w:t>
            </w:r>
          </w:p>
        </w:tc>
        <w:tc>
          <w:tcPr>
            <w:tcW w:w="1086" w:type="dxa"/>
            <w:vMerge w:val="continue"/>
            <w:vAlign w:val="center"/>
          </w:tcPr>
          <w:p w14:paraId="548B7503">
            <w:pPr>
              <w:pStyle w:val="228"/>
              <w:snapToGrid w:val="0"/>
              <w:jc w:val="center"/>
              <w:rPr>
                <w:rFonts w:ascii="新宋体" w:hAnsi="新宋体" w:eastAsia="新宋体" w:cs="Times New Roman"/>
                <w:color w:val="auto"/>
                <w:sz w:val="18"/>
                <w:szCs w:val="18"/>
                <w:highlight w:val="none"/>
              </w:rPr>
            </w:pPr>
          </w:p>
        </w:tc>
        <w:tc>
          <w:tcPr>
            <w:tcW w:w="1820" w:type="dxa"/>
            <w:vMerge w:val="continue"/>
            <w:vAlign w:val="center"/>
          </w:tcPr>
          <w:p w14:paraId="5576B239">
            <w:pPr>
              <w:pStyle w:val="228"/>
              <w:snapToGrid w:val="0"/>
              <w:jc w:val="center"/>
              <w:rPr>
                <w:rFonts w:ascii="新宋体" w:hAnsi="新宋体" w:eastAsia="新宋体" w:cs="Times New Roman"/>
                <w:color w:val="auto"/>
                <w:sz w:val="18"/>
                <w:szCs w:val="18"/>
                <w:highlight w:val="none"/>
              </w:rPr>
            </w:pPr>
          </w:p>
        </w:tc>
        <w:tc>
          <w:tcPr>
            <w:tcW w:w="951" w:type="dxa"/>
            <w:vMerge w:val="continue"/>
            <w:vAlign w:val="center"/>
          </w:tcPr>
          <w:p w14:paraId="7248B675">
            <w:pPr>
              <w:pStyle w:val="228"/>
              <w:snapToGrid w:val="0"/>
              <w:jc w:val="center"/>
              <w:rPr>
                <w:rFonts w:ascii="新宋体" w:hAnsi="新宋体" w:eastAsia="新宋体" w:cs="Times New Roman"/>
                <w:color w:val="auto"/>
                <w:sz w:val="18"/>
                <w:szCs w:val="18"/>
                <w:highlight w:val="none"/>
              </w:rPr>
            </w:pPr>
          </w:p>
        </w:tc>
        <w:tc>
          <w:tcPr>
            <w:tcW w:w="658" w:type="dxa"/>
            <w:vMerge w:val="continue"/>
            <w:vAlign w:val="center"/>
          </w:tcPr>
          <w:p w14:paraId="75343847">
            <w:pPr>
              <w:pStyle w:val="228"/>
              <w:snapToGrid w:val="0"/>
              <w:jc w:val="center"/>
              <w:rPr>
                <w:rFonts w:ascii="新宋体" w:hAnsi="新宋体" w:eastAsia="新宋体" w:cs="Times New Roman"/>
                <w:color w:val="auto"/>
                <w:sz w:val="18"/>
                <w:szCs w:val="18"/>
                <w:highlight w:val="none"/>
              </w:rPr>
            </w:pPr>
          </w:p>
        </w:tc>
        <w:tc>
          <w:tcPr>
            <w:tcW w:w="2809" w:type="dxa"/>
            <w:vMerge w:val="continue"/>
            <w:vAlign w:val="center"/>
          </w:tcPr>
          <w:p w14:paraId="17CABFA3">
            <w:pPr>
              <w:pStyle w:val="228"/>
              <w:snapToGrid w:val="0"/>
              <w:jc w:val="center"/>
              <w:rPr>
                <w:rFonts w:ascii="新宋体" w:hAnsi="新宋体" w:eastAsia="新宋体" w:cs="Times New Roman"/>
                <w:color w:val="auto"/>
                <w:sz w:val="18"/>
                <w:szCs w:val="18"/>
                <w:highlight w:val="none"/>
              </w:rPr>
            </w:pPr>
          </w:p>
        </w:tc>
      </w:tr>
      <w:tr w14:paraId="15A49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3" w:hRule="atLeast"/>
          <w:jc w:val="center"/>
        </w:trPr>
        <w:tc>
          <w:tcPr>
            <w:tcW w:w="598" w:type="dxa"/>
            <w:vAlign w:val="center"/>
          </w:tcPr>
          <w:p w14:paraId="2149E3A9">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7</w:t>
            </w:r>
          </w:p>
        </w:tc>
        <w:tc>
          <w:tcPr>
            <w:tcW w:w="2284" w:type="dxa"/>
            <w:vAlign w:val="center"/>
          </w:tcPr>
          <w:p w14:paraId="290F0C54">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水质酚类化合物的测定液液萃取气相色谱法</w:t>
            </w:r>
            <w:r>
              <w:rPr>
                <w:rFonts w:ascii="新宋体" w:hAnsi="新宋体" w:eastAsia="新宋体" w:cs="Times New Roman"/>
                <w:color w:val="auto"/>
                <w:sz w:val="18"/>
                <w:szCs w:val="18"/>
                <w:highlight w:val="none"/>
              </w:rPr>
              <w:t>HJ 676-2013</w:t>
            </w:r>
          </w:p>
        </w:tc>
        <w:tc>
          <w:tcPr>
            <w:tcW w:w="1086" w:type="dxa"/>
            <w:vAlign w:val="center"/>
          </w:tcPr>
          <w:p w14:paraId="7D61A214">
            <w:pPr>
              <w:pStyle w:val="228"/>
              <w:snapToGrid w:val="0"/>
              <w:jc w:val="center"/>
              <w:rPr>
                <w:rFonts w:ascii="新宋体" w:hAnsi="新宋体" w:eastAsia="新宋体" w:cs="Times New Roman"/>
                <w:color w:val="auto"/>
                <w:sz w:val="18"/>
                <w:szCs w:val="18"/>
                <w:highlight w:val="none"/>
              </w:rPr>
            </w:pPr>
          </w:p>
        </w:tc>
        <w:tc>
          <w:tcPr>
            <w:tcW w:w="1820" w:type="dxa"/>
            <w:vAlign w:val="center"/>
          </w:tcPr>
          <w:p w14:paraId="338AF816">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盐酸，使</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pH＜2</w:t>
            </w:r>
          </w:p>
        </w:tc>
        <w:tc>
          <w:tcPr>
            <w:tcW w:w="951" w:type="dxa"/>
            <w:vAlign w:val="center"/>
          </w:tcPr>
          <w:p w14:paraId="60A1B33E">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避光保存7d</w:t>
            </w:r>
          </w:p>
        </w:tc>
        <w:tc>
          <w:tcPr>
            <w:tcW w:w="658" w:type="dxa"/>
            <w:vAlign w:val="center"/>
          </w:tcPr>
          <w:p w14:paraId="3CF643F2">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500</w:t>
            </w:r>
          </w:p>
        </w:tc>
        <w:tc>
          <w:tcPr>
            <w:tcW w:w="2809" w:type="dxa"/>
            <w:vMerge w:val="restart"/>
            <w:vAlign w:val="center"/>
          </w:tcPr>
          <w:p w14:paraId="3C1BF270">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采集样品时，不要用水样预洗采样瓶。样品应充满样品瓶</w:t>
            </w:r>
          </w:p>
        </w:tc>
      </w:tr>
      <w:tr w14:paraId="7B2AF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69497CFF">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8</w:t>
            </w:r>
          </w:p>
        </w:tc>
        <w:tc>
          <w:tcPr>
            <w:tcW w:w="2284" w:type="dxa"/>
            <w:vAlign w:val="center"/>
          </w:tcPr>
          <w:p w14:paraId="3C1E977E">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水质酚类化合物的测定气相色谱</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质谱法</w:t>
            </w:r>
            <w:r>
              <w:rPr>
                <w:rFonts w:ascii="新宋体" w:hAnsi="新宋体" w:eastAsia="新宋体"/>
                <w:color w:val="auto"/>
                <w:sz w:val="18"/>
                <w:szCs w:val="18"/>
                <w:highlight w:val="none"/>
              </w:rPr>
              <w:t>HJ 744-2015</w:t>
            </w:r>
          </w:p>
        </w:tc>
        <w:tc>
          <w:tcPr>
            <w:tcW w:w="1086" w:type="dxa"/>
            <w:vAlign w:val="center"/>
          </w:tcPr>
          <w:p w14:paraId="437616D9">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0CE7AB43">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硫酸，使</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pH≤2</w:t>
            </w:r>
          </w:p>
        </w:tc>
        <w:tc>
          <w:tcPr>
            <w:tcW w:w="951" w:type="dxa"/>
            <w:vAlign w:val="center"/>
          </w:tcPr>
          <w:p w14:paraId="024F3D9E">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避光保存7d</w:t>
            </w:r>
          </w:p>
        </w:tc>
        <w:tc>
          <w:tcPr>
            <w:tcW w:w="658" w:type="dxa"/>
            <w:vAlign w:val="center"/>
          </w:tcPr>
          <w:p w14:paraId="1B18606F">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250</w:t>
            </w:r>
          </w:p>
        </w:tc>
        <w:tc>
          <w:tcPr>
            <w:tcW w:w="2809" w:type="dxa"/>
            <w:vMerge w:val="continue"/>
            <w:vAlign w:val="center"/>
          </w:tcPr>
          <w:p w14:paraId="68ADDF87">
            <w:pPr>
              <w:pStyle w:val="228"/>
              <w:snapToGrid w:val="0"/>
              <w:jc w:val="center"/>
              <w:rPr>
                <w:rFonts w:ascii="新宋体" w:hAnsi="新宋体" w:eastAsia="新宋体" w:cs="Times New Roman"/>
                <w:color w:val="auto"/>
                <w:sz w:val="18"/>
                <w:szCs w:val="18"/>
                <w:highlight w:val="none"/>
              </w:rPr>
            </w:pPr>
          </w:p>
        </w:tc>
      </w:tr>
      <w:tr w14:paraId="56513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09C3617C">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9</w:t>
            </w:r>
          </w:p>
        </w:tc>
        <w:tc>
          <w:tcPr>
            <w:tcW w:w="2284" w:type="dxa"/>
            <w:vAlign w:val="center"/>
          </w:tcPr>
          <w:p w14:paraId="3524BBBA">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水质有机氯农药和氯苯类化合物的测定气相色谱</w:t>
            </w:r>
            <w:r>
              <w:rPr>
                <w:rFonts w:ascii="新宋体" w:hAnsi="新宋体" w:eastAsia="新宋体" w:cs="Times New Roman"/>
                <w:color w:val="auto"/>
                <w:sz w:val="18"/>
                <w:szCs w:val="18"/>
                <w:highlight w:val="none"/>
              </w:rPr>
              <w:t>-</w:t>
            </w:r>
            <w:r>
              <w:rPr>
                <w:rFonts w:hint="eastAsia" w:ascii="新宋体" w:hAnsi="新宋体" w:eastAsia="新宋体"/>
                <w:color w:val="auto"/>
                <w:sz w:val="18"/>
                <w:szCs w:val="18"/>
                <w:highlight w:val="none"/>
              </w:rPr>
              <w:t>质谱法</w:t>
            </w:r>
            <w:r>
              <w:rPr>
                <w:rFonts w:ascii="新宋体" w:hAnsi="新宋体" w:eastAsia="新宋体" w:cs="Times New Roman"/>
                <w:color w:val="auto"/>
                <w:sz w:val="18"/>
                <w:szCs w:val="18"/>
                <w:highlight w:val="none"/>
              </w:rPr>
              <w:t>HJ 699-2014</w:t>
            </w:r>
          </w:p>
        </w:tc>
        <w:tc>
          <w:tcPr>
            <w:tcW w:w="1086" w:type="dxa"/>
            <w:vAlign w:val="center"/>
          </w:tcPr>
          <w:p w14:paraId="605DB8A0">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0A085CEA">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盐酸，使</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2</w:t>
            </w:r>
          </w:p>
        </w:tc>
        <w:tc>
          <w:tcPr>
            <w:tcW w:w="951" w:type="dxa"/>
            <w:vAlign w:val="center"/>
          </w:tcPr>
          <w:p w14:paraId="5D360F1E">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冷藏保存7</w:t>
            </w:r>
            <w:r>
              <w:rPr>
                <w:rFonts w:hint="eastAsia" w:ascii="新宋体" w:hAnsi="新宋体" w:eastAsia="新宋体"/>
                <w:color w:val="auto"/>
                <w:sz w:val="18"/>
                <w:szCs w:val="18"/>
                <w:highlight w:val="none"/>
              </w:rPr>
              <w:t>天</w:t>
            </w:r>
          </w:p>
        </w:tc>
        <w:tc>
          <w:tcPr>
            <w:tcW w:w="658" w:type="dxa"/>
            <w:vAlign w:val="center"/>
          </w:tcPr>
          <w:p w14:paraId="7C6A92C9">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500</w:t>
            </w:r>
          </w:p>
        </w:tc>
        <w:tc>
          <w:tcPr>
            <w:tcW w:w="2809" w:type="dxa"/>
            <w:vMerge w:val="restart"/>
            <w:vAlign w:val="center"/>
          </w:tcPr>
          <w:p w14:paraId="1C28B32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18E7F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788FD7CF">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w:t>
            </w:r>
          </w:p>
        </w:tc>
        <w:tc>
          <w:tcPr>
            <w:tcW w:w="2284" w:type="dxa"/>
            <w:vAlign w:val="center"/>
          </w:tcPr>
          <w:p w14:paraId="55BBB910">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水质六六六、滴滴涕的测定气相色谱法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GB/T 7492-1987</w:t>
            </w:r>
          </w:p>
        </w:tc>
        <w:tc>
          <w:tcPr>
            <w:tcW w:w="1086" w:type="dxa"/>
            <w:vAlign w:val="center"/>
          </w:tcPr>
          <w:p w14:paraId="10309CAF">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36092FA0">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盐酸，使</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2</w:t>
            </w:r>
          </w:p>
        </w:tc>
        <w:tc>
          <w:tcPr>
            <w:tcW w:w="951" w:type="dxa"/>
            <w:vAlign w:val="center"/>
          </w:tcPr>
          <w:p w14:paraId="1A86A558">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冷藏保存7</w:t>
            </w:r>
            <w:r>
              <w:rPr>
                <w:rFonts w:hint="eastAsia" w:ascii="新宋体" w:hAnsi="新宋体" w:eastAsia="新宋体"/>
                <w:color w:val="auto"/>
                <w:sz w:val="18"/>
                <w:szCs w:val="18"/>
                <w:highlight w:val="none"/>
              </w:rPr>
              <w:t>天</w:t>
            </w:r>
          </w:p>
        </w:tc>
        <w:tc>
          <w:tcPr>
            <w:tcW w:w="658" w:type="dxa"/>
            <w:vAlign w:val="center"/>
          </w:tcPr>
          <w:p w14:paraId="366DFA43">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Merge w:val="continue"/>
            <w:vAlign w:val="center"/>
          </w:tcPr>
          <w:p w14:paraId="4B97FA2E">
            <w:pPr>
              <w:pStyle w:val="228"/>
              <w:snapToGrid w:val="0"/>
              <w:jc w:val="center"/>
              <w:rPr>
                <w:rFonts w:ascii="新宋体" w:hAnsi="新宋体" w:eastAsia="新宋体" w:cs="Times New Roman"/>
                <w:color w:val="auto"/>
                <w:sz w:val="18"/>
                <w:szCs w:val="18"/>
                <w:highlight w:val="none"/>
              </w:rPr>
            </w:pPr>
          </w:p>
        </w:tc>
      </w:tr>
      <w:tr w14:paraId="7C6BA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0" w:hRule="atLeast"/>
          <w:jc w:val="center"/>
        </w:trPr>
        <w:tc>
          <w:tcPr>
            <w:tcW w:w="598" w:type="dxa"/>
            <w:vAlign w:val="center"/>
          </w:tcPr>
          <w:p w14:paraId="77E8A772">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11</w:t>
            </w:r>
          </w:p>
        </w:tc>
        <w:tc>
          <w:tcPr>
            <w:tcW w:w="2284" w:type="dxa"/>
            <w:vAlign w:val="center"/>
          </w:tcPr>
          <w:p w14:paraId="496FA512">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水质氯苯类化合物的测定气相色谱法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 621-2011</w:t>
            </w:r>
          </w:p>
        </w:tc>
        <w:tc>
          <w:tcPr>
            <w:tcW w:w="1086" w:type="dxa"/>
            <w:vAlign w:val="center"/>
          </w:tcPr>
          <w:p w14:paraId="2D52C551">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77E5D0A6">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1L水加入1mL硫</w:t>
            </w:r>
            <w:r>
              <w:rPr>
                <w:rFonts w:hint="eastAsia" w:ascii="新宋体" w:hAnsi="新宋体" w:eastAsia="新宋体"/>
                <w:color w:val="auto"/>
                <w:sz w:val="18"/>
                <w:szCs w:val="18"/>
                <w:highlight w:val="none"/>
              </w:rPr>
              <w:t>酸</w:t>
            </w:r>
          </w:p>
        </w:tc>
        <w:tc>
          <w:tcPr>
            <w:tcW w:w="951" w:type="dxa"/>
            <w:vAlign w:val="center"/>
          </w:tcPr>
          <w:p w14:paraId="4C3C9109">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2</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-5</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保存7</w:t>
            </w:r>
            <w:r>
              <w:rPr>
                <w:rFonts w:hint="eastAsia" w:ascii="新宋体" w:hAnsi="新宋体" w:eastAsia="新宋体"/>
                <w:color w:val="auto"/>
                <w:sz w:val="18"/>
                <w:szCs w:val="18"/>
                <w:highlight w:val="none"/>
              </w:rPr>
              <w:t>天</w:t>
            </w:r>
          </w:p>
        </w:tc>
        <w:tc>
          <w:tcPr>
            <w:tcW w:w="658" w:type="dxa"/>
            <w:vAlign w:val="center"/>
          </w:tcPr>
          <w:p w14:paraId="272F8E30">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Align w:val="center"/>
          </w:tcPr>
          <w:p w14:paraId="6F68DF5E">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样品应充满样品瓶</w:t>
            </w:r>
          </w:p>
        </w:tc>
      </w:tr>
      <w:tr w14:paraId="64A7F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17D63B39">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12</w:t>
            </w:r>
          </w:p>
        </w:tc>
        <w:tc>
          <w:tcPr>
            <w:tcW w:w="2284" w:type="dxa"/>
            <w:vAlign w:val="center"/>
          </w:tcPr>
          <w:p w14:paraId="4D25C411">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9种烷基酚类化合物和双</w:t>
            </w:r>
            <w:r>
              <w:rPr>
                <w:rFonts w:hint="eastAsia" w:ascii="新宋体" w:hAnsi="新宋体" w:eastAsia="新宋体"/>
                <w:color w:val="auto"/>
                <w:sz w:val="18"/>
                <w:szCs w:val="18"/>
                <w:highlight w:val="none"/>
              </w:rPr>
              <w:t>酚</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A</w:t>
            </w:r>
            <w:r>
              <w:rPr>
                <w:rFonts w:hint="eastAsia" w:ascii="新宋体" w:hAnsi="新宋体" w:eastAsia="新宋体"/>
                <w:color w:val="auto"/>
                <w:sz w:val="18"/>
                <w:szCs w:val="18"/>
                <w:highlight w:val="none"/>
              </w:rPr>
              <w:t>的测定固相萃取</w:t>
            </w:r>
            <w:r>
              <w:rPr>
                <w:rFonts w:ascii="新宋体" w:hAnsi="新宋体" w:eastAsia="新宋体" w:cs="Times New Roman"/>
                <w:color w:val="auto"/>
                <w:sz w:val="18"/>
                <w:szCs w:val="18"/>
                <w:highlight w:val="none"/>
              </w:rPr>
              <w:t>/</w:t>
            </w:r>
            <w:r>
              <w:rPr>
                <w:rFonts w:hint="eastAsia" w:ascii="新宋体" w:hAnsi="新宋体" w:eastAsia="新宋体"/>
                <w:color w:val="auto"/>
                <w:sz w:val="18"/>
                <w:szCs w:val="18"/>
                <w:highlight w:val="none"/>
              </w:rPr>
              <w:t>高效液相色谱法</w:t>
            </w:r>
            <w:r>
              <w:rPr>
                <w:rFonts w:ascii="新宋体" w:hAnsi="新宋体" w:eastAsia="新宋体" w:cs="Times New Roman"/>
                <w:color w:val="auto"/>
                <w:sz w:val="18"/>
                <w:szCs w:val="18"/>
                <w:highlight w:val="none"/>
              </w:rPr>
              <w:t>HJ 1192-2021</w:t>
            </w:r>
          </w:p>
        </w:tc>
        <w:tc>
          <w:tcPr>
            <w:tcW w:w="1086" w:type="dxa"/>
            <w:vAlign w:val="center"/>
          </w:tcPr>
          <w:p w14:paraId="68B6AD20">
            <w:pPr>
              <w:pStyle w:val="228"/>
              <w:snapToGrid w:val="0"/>
              <w:jc w:val="center"/>
              <w:rPr>
                <w:rFonts w:ascii="新宋体" w:hAnsi="新宋体" w:eastAsia="新宋体" w:cs="Times New Roman"/>
                <w:color w:val="auto"/>
                <w:sz w:val="18"/>
                <w:szCs w:val="18"/>
                <w:highlight w:val="none"/>
              </w:rPr>
            </w:pPr>
          </w:p>
        </w:tc>
        <w:tc>
          <w:tcPr>
            <w:tcW w:w="1820" w:type="dxa"/>
            <w:vAlign w:val="center"/>
          </w:tcPr>
          <w:p w14:paraId="02328FCC">
            <w:pPr>
              <w:pStyle w:val="228"/>
              <w:snapToGrid w:val="0"/>
              <w:jc w:val="center"/>
              <w:rPr>
                <w:rFonts w:ascii="新宋体" w:hAnsi="新宋体" w:eastAsia="新宋体" w:cs="Times New Roman"/>
                <w:color w:val="auto"/>
                <w:sz w:val="18"/>
                <w:szCs w:val="18"/>
                <w:highlight w:val="none"/>
              </w:rPr>
            </w:pPr>
          </w:p>
        </w:tc>
        <w:tc>
          <w:tcPr>
            <w:tcW w:w="951" w:type="dxa"/>
            <w:vAlign w:val="center"/>
          </w:tcPr>
          <w:p w14:paraId="2C136C33">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以下避光保存7</w:t>
            </w:r>
            <w:r>
              <w:rPr>
                <w:rFonts w:hint="eastAsia" w:ascii="新宋体" w:hAnsi="新宋体" w:eastAsia="新宋体"/>
                <w:color w:val="auto"/>
                <w:sz w:val="18"/>
                <w:szCs w:val="18"/>
                <w:highlight w:val="none"/>
              </w:rPr>
              <w:t>天</w:t>
            </w:r>
          </w:p>
        </w:tc>
        <w:tc>
          <w:tcPr>
            <w:tcW w:w="658" w:type="dxa"/>
            <w:vAlign w:val="center"/>
          </w:tcPr>
          <w:p w14:paraId="14BCA8EA">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250</w:t>
            </w:r>
          </w:p>
        </w:tc>
        <w:tc>
          <w:tcPr>
            <w:tcW w:w="2809" w:type="dxa"/>
            <w:vMerge w:val="restart"/>
            <w:vAlign w:val="center"/>
          </w:tcPr>
          <w:p w14:paraId="6C41BE16">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1、样品应充满采样瓶并加盖密封</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2、每批次样品应至少采</w:t>
            </w:r>
            <w:r>
              <w:rPr>
                <w:rFonts w:hint="eastAsia" w:ascii="新宋体" w:hAnsi="新宋体" w:eastAsia="新宋体"/>
                <w:color w:val="auto"/>
                <w:sz w:val="18"/>
                <w:szCs w:val="18"/>
                <w:highlight w:val="none"/>
              </w:rPr>
              <w:t>集</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1个全程序空白样品，</w:t>
            </w:r>
            <w:r>
              <w:rPr>
                <w:rFonts w:hint="eastAsia" w:ascii="新宋体" w:hAnsi="新宋体" w:eastAsia="新宋体"/>
                <w:color w:val="auto"/>
                <w:sz w:val="18"/>
                <w:szCs w:val="18"/>
                <w:highlight w:val="none"/>
              </w:rPr>
              <w:t>将</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1份实验用水放入样品瓶中密封，并带到采样现场，与采样样品瓶同时开盖和密封，之后随样品运回实验室</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3、在样品采集、前处理及分析过程中不得使用塑料等含有目标化合物的器皿及耗材</w:t>
            </w:r>
            <w:r>
              <w:rPr>
                <w:rFonts w:hint="eastAsia" w:ascii="新宋体" w:hAnsi="新宋体" w:eastAsia="新宋体"/>
                <w:color w:val="auto"/>
                <w:sz w:val="18"/>
                <w:szCs w:val="18"/>
                <w:highlight w:val="none"/>
              </w:rPr>
              <w:t>。</w:t>
            </w:r>
          </w:p>
        </w:tc>
      </w:tr>
      <w:tr w14:paraId="49B14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31" w:hRule="atLeast"/>
          <w:jc w:val="center"/>
        </w:trPr>
        <w:tc>
          <w:tcPr>
            <w:tcW w:w="598" w:type="dxa"/>
            <w:vAlign w:val="center"/>
          </w:tcPr>
          <w:p w14:paraId="3DB5CFD7">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13</w:t>
            </w:r>
          </w:p>
        </w:tc>
        <w:tc>
          <w:tcPr>
            <w:tcW w:w="2284" w:type="dxa"/>
            <w:vAlign w:val="center"/>
          </w:tcPr>
          <w:p w14:paraId="71A98D78">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水质烷基酚化合物和双酚</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A</w:t>
            </w:r>
            <w:r>
              <w:rPr>
                <w:rFonts w:hint="eastAsia" w:ascii="新宋体" w:hAnsi="新宋体" w:eastAsia="新宋体"/>
                <w:color w:val="auto"/>
                <w:sz w:val="18"/>
                <w:szCs w:val="18"/>
                <w:highlight w:val="none"/>
              </w:rPr>
              <w:t>的测定固相萃取</w:t>
            </w:r>
            <w:r>
              <w:rPr>
                <w:rFonts w:ascii="新宋体" w:hAnsi="新宋体" w:eastAsia="新宋体" w:cs="Times New Roman"/>
                <w:color w:val="auto"/>
                <w:sz w:val="18"/>
                <w:szCs w:val="18"/>
                <w:highlight w:val="none"/>
              </w:rPr>
              <w:t>/</w:t>
            </w:r>
            <w:r>
              <w:rPr>
                <w:rFonts w:hint="eastAsia" w:ascii="新宋体" w:hAnsi="新宋体" w:eastAsia="新宋体"/>
                <w:color w:val="auto"/>
                <w:sz w:val="18"/>
                <w:szCs w:val="18"/>
                <w:highlight w:val="none"/>
              </w:rPr>
              <w:t>液相色谱</w:t>
            </w:r>
            <w:r>
              <w:rPr>
                <w:rFonts w:ascii="新宋体" w:hAnsi="新宋体" w:eastAsia="新宋体" w:cs="Times New Roman"/>
                <w:color w:val="auto"/>
                <w:sz w:val="18"/>
                <w:szCs w:val="18"/>
                <w:highlight w:val="none"/>
              </w:rPr>
              <w:t>-</w:t>
            </w:r>
            <w:r>
              <w:rPr>
                <w:rFonts w:hint="eastAsia" w:ascii="新宋体" w:hAnsi="新宋体" w:eastAsia="新宋体"/>
                <w:color w:val="auto"/>
                <w:sz w:val="18"/>
                <w:szCs w:val="18"/>
                <w:highlight w:val="none"/>
              </w:rPr>
              <w:t>三重四极杆质谱法《新污染物环境监测作业指导书（</w:t>
            </w:r>
            <w:r>
              <w:rPr>
                <w:rFonts w:ascii="新宋体" w:hAnsi="新宋体" w:eastAsia="新宋体" w:cs="Times New Roman"/>
                <w:color w:val="auto"/>
                <w:sz w:val="18"/>
                <w:szCs w:val="18"/>
                <w:highlight w:val="none"/>
              </w:rPr>
              <w:t>2023</w:t>
            </w:r>
            <w:r>
              <w:rPr>
                <w:rFonts w:hint="eastAsia" w:ascii="新宋体" w:hAnsi="新宋体" w:eastAsia="新宋体"/>
                <w:color w:val="auto"/>
                <w:sz w:val="18"/>
                <w:szCs w:val="18"/>
                <w:highlight w:val="none"/>
              </w:rPr>
              <w:t>年版修订）（试行）》</w:t>
            </w:r>
          </w:p>
        </w:tc>
        <w:tc>
          <w:tcPr>
            <w:tcW w:w="1086" w:type="dxa"/>
            <w:vAlign w:val="center"/>
          </w:tcPr>
          <w:p w14:paraId="7D39FB13">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677A598C">
            <w:pPr>
              <w:pStyle w:val="228"/>
              <w:snapToGrid w:val="0"/>
              <w:jc w:val="center"/>
              <w:rPr>
                <w:rFonts w:ascii="新宋体" w:hAnsi="新宋体" w:eastAsia="新宋体" w:cs="Times New Roman"/>
                <w:color w:val="auto"/>
                <w:sz w:val="18"/>
                <w:szCs w:val="18"/>
                <w:highlight w:val="none"/>
              </w:rPr>
            </w:pPr>
          </w:p>
        </w:tc>
        <w:tc>
          <w:tcPr>
            <w:tcW w:w="951" w:type="dxa"/>
            <w:vAlign w:val="center"/>
          </w:tcPr>
          <w:p w14:paraId="48461B3A">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以下避光密封保存7</w:t>
            </w:r>
            <w:r>
              <w:rPr>
                <w:rFonts w:hint="eastAsia" w:ascii="新宋体" w:hAnsi="新宋体" w:eastAsia="新宋体"/>
                <w:color w:val="auto"/>
                <w:sz w:val="18"/>
                <w:szCs w:val="18"/>
                <w:highlight w:val="none"/>
              </w:rPr>
              <w:t>天</w:t>
            </w:r>
          </w:p>
        </w:tc>
        <w:tc>
          <w:tcPr>
            <w:tcW w:w="658" w:type="dxa"/>
            <w:vAlign w:val="center"/>
          </w:tcPr>
          <w:p w14:paraId="1D9E6931">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500</w:t>
            </w:r>
          </w:p>
        </w:tc>
        <w:tc>
          <w:tcPr>
            <w:tcW w:w="2809" w:type="dxa"/>
            <w:vMerge w:val="continue"/>
            <w:vAlign w:val="center"/>
          </w:tcPr>
          <w:p w14:paraId="1E97A4A1">
            <w:pPr>
              <w:pStyle w:val="228"/>
              <w:snapToGrid w:val="0"/>
              <w:jc w:val="center"/>
              <w:rPr>
                <w:rFonts w:ascii="新宋体" w:hAnsi="新宋体" w:eastAsia="新宋体" w:cs="Times New Roman"/>
                <w:color w:val="auto"/>
                <w:sz w:val="18"/>
                <w:szCs w:val="18"/>
                <w:highlight w:val="none"/>
              </w:rPr>
            </w:pPr>
          </w:p>
        </w:tc>
      </w:tr>
      <w:tr w14:paraId="41579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72" w:hRule="atLeast"/>
          <w:jc w:val="center"/>
        </w:trPr>
        <w:tc>
          <w:tcPr>
            <w:tcW w:w="598" w:type="dxa"/>
            <w:vAlign w:val="center"/>
          </w:tcPr>
          <w:p w14:paraId="06A24B81">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14</w:t>
            </w:r>
          </w:p>
        </w:tc>
        <w:tc>
          <w:tcPr>
            <w:tcW w:w="2284" w:type="dxa"/>
            <w:vAlign w:val="center"/>
          </w:tcPr>
          <w:p w14:paraId="34DDF8B1">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水质烷基酚类化合物和双酚</w:t>
            </w:r>
            <w:r>
              <w:rPr>
                <w:rFonts w:ascii="新宋体" w:hAnsi="新宋体" w:eastAsia="新宋体"/>
                <w:color w:val="auto"/>
                <w:sz w:val="18"/>
                <w:szCs w:val="18"/>
                <w:highlight w:val="none"/>
              </w:rPr>
              <w:t>A</w:t>
            </w:r>
            <w:r>
              <w:rPr>
                <w:rFonts w:hint="eastAsia" w:ascii="新宋体" w:hAnsi="新宋体" w:eastAsia="新宋体"/>
                <w:color w:val="auto"/>
                <w:sz w:val="18"/>
                <w:szCs w:val="18"/>
                <w:highlight w:val="none"/>
              </w:rPr>
              <w:t>的测定气相色谱</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质谱法《新污染物环境监测作业指导书（</w:t>
            </w:r>
            <w:r>
              <w:rPr>
                <w:rFonts w:ascii="新宋体" w:hAnsi="新宋体" w:eastAsia="新宋体"/>
                <w:color w:val="auto"/>
                <w:sz w:val="18"/>
                <w:szCs w:val="18"/>
                <w:highlight w:val="none"/>
              </w:rPr>
              <w:t>2023</w:t>
            </w:r>
            <w:r>
              <w:rPr>
                <w:rFonts w:hint="eastAsia" w:ascii="新宋体" w:hAnsi="新宋体" w:eastAsia="新宋体"/>
                <w:color w:val="auto"/>
                <w:sz w:val="18"/>
                <w:szCs w:val="18"/>
                <w:highlight w:val="none"/>
              </w:rPr>
              <w:t>年版修订）（试行）》</w:t>
            </w:r>
          </w:p>
        </w:tc>
        <w:tc>
          <w:tcPr>
            <w:tcW w:w="1086" w:type="dxa"/>
            <w:vAlign w:val="center"/>
          </w:tcPr>
          <w:p w14:paraId="31352893">
            <w:pPr>
              <w:pStyle w:val="228"/>
              <w:snapToGrid w:val="0"/>
              <w:jc w:val="center"/>
              <w:rPr>
                <w:rFonts w:ascii="新宋体" w:hAnsi="新宋体" w:eastAsia="新宋体" w:cs="Times New Roman"/>
                <w:color w:val="auto"/>
                <w:sz w:val="18"/>
                <w:szCs w:val="18"/>
                <w:highlight w:val="none"/>
              </w:rPr>
            </w:pPr>
          </w:p>
        </w:tc>
        <w:tc>
          <w:tcPr>
            <w:tcW w:w="1820" w:type="dxa"/>
            <w:vAlign w:val="center"/>
          </w:tcPr>
          <w:p w14:paraId="4D0B1789">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盐酸，</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值</w:t>
            </w:r>
            <w:r>
              <w:rPr>
                <w:rFonts w:ascii="新宋体" w:hAnsi="新宋体" w:eastAsia="新宋体"/>
                <w:color w:val="auto"/>
                <w:sz w:val="18"/>
                <w:szCs w:val="18"/>
                <w:highlight w:val="none"/>
              </w:rPr>
              <w:t>1-2</w:t>
            </w:r>
          </w:p>
        </w:tc>
        <w:tc>
          <w:tcPr>
            <w:tcW w:w="951" w:type="dxa"/>
            <w:vAlign w:val="center"/>
          </w:tcPr>
          <w:p w14:paraId="0C0BD395">
            <w:pPr>
              <w:pStyle w:val="228"/>
              <w:snapToGrid w:val="0"/>
              <w:jc w:val="center"/>
              <w:rPr>
                <w:rFonts w:ascii="新宋体" w:hAnsi="新宋体" w:eastAsia="新宋体"/>
                <w:color w:val="auto"/>
                <w:sz w:val="18"/>
                <w:szCs w:val="18"/>
                <w:highlight w:val="none"/>
              </w:rPr>
            </w:pPr>
            <w:r>
              <w:rPr>
                <w:rFonts w:ascii="新宋体" w:hAnsi="新宋体" w:eastAsia="新宋体"/>
                <w:color w:val="auto"/>
                <w:sz w:val="18"/>
                <w:szCs w:val="18"/>
                <w:highlight w:val="none"/>
              </w:rPr>
              <w:t xml:space="preserve">4 </w:t>
            </w:r>
            <w:r>
              <w:rPr>
                <w:rFonts w:hint="eastAsia" w:ascii="新宋体" w:hAnsi="新宋体" w:eastAsia="新宋体"/>
                <w:color w:val="auto"/>
                <w:sz w:val="18"/>
                <w:szCs w:val="18"/>
                <w:highlight w:val="none"/>
              </w:rPr>
              <w:t>℃以下避光密封保存</w:t>
            </w:r>
            <w:r>
              <w:rPr>
                <w:rFonts w:ascii="新宋体" w:hAnsi="新宋体" w:eastAsia="新宋体"/>
                <w:color w:val="auto"/>
                <w:sz w:val="18"/>
                <w:szCs w:val="18"/>
                <w:highlight w:val="none"/>
              </w:rPr>
              <w:t>7</w:t>
            </w:r>
            <w:r>
              <w:rPr>
                <w:rFonts w:hint="eastAsia" w:ascii="新宋体" w:hAnsi="新宋体" w:eastAsia="新宋体"/>
                <w:color w:val="auto"/>
                <w:sz w:val="18"/>
                <w:szCs w:val="18"/>
                <w:highlight w:val="none"/>
              </w:rPr>
              <w:t>天</w:t>
            </w:r>
          </w:p>
        </w:tc>
        <w:tc>
          <w:tcPr>
            <w:tcW w:w="658" w:type="dxa"/>
            <w:vAlign w:val="center"/>
          </w:tcPr>
          <w:p w14:paraId="607579A4">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Merge w:val="continue"/>
            <w:vAlign w:val="center"/>
          </w:tcPr>
          <w:p w14:paraId="442BD2AB">
            <w:pPr>
              <w:pStyle w:val="228"/>
              <w:snapToGrid w:val="0"/>
              <w:jc w:val="center"/>
              <w:rPr>
                <w:rFonts w:ascii="新宋体" w:hAnsi="新宋体" w:eastAsia="新宋体" w:cs="Times New Roman"/>
                <w:color w:val="auto"/>
                <w:sz w:val="18"/>
                <w:szCs w:val="18"/>
                <w:highlight w:val="none"/>
              </w:rPr>
            </w:pPr>
          </w:p>
        </w:tc>
      </w:tr>
      <w:tr w14:paraId="5F9D3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72" w:hRule="atLeast"/>
          <w:jc w:val="center"/>
        </w:trPr>
        <w:tc>
          <w:tcPr>
            <w:tcW w:w="598" w:type="dxa"/>
            <w:vAlign w:val="center"/>
          </w:tcPr>
          <w:p w14:paraId="51CB4162">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15</w:t>
            </w:r>
          </w:p>
        </w:tc>
        <w:tc>
          <w:tcPr>
            <w:tcW w:w="2284" w:type="dxa"/>
            <w:vAlign w:val="center"/>
          </w:tcPr>
          <w:p w14:paraId="446D7CBB">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水中双酚</w:t>
            </w:r>
            <w:r>
              <w:rPr>
                <w:rFonts w:ascii="新宋体" w:hAnsi="新宋体" w:eastAsia="新宋体"/>
                <w:color w:val="auto"/>
                <w:sz w:val="18"/>
                <w:szCs w:val="18"/>
                <w:highlight w:val="none"/>
              </w:rPr>
              <w:t>A</w:t>
            </w:r>
            <w:r>
              <w:rPr>
                <w:rFonts w:hint="eastAsia" w:ascii="新宋体" w:hAnsi="新宋体" w:eastAsia="新宋体"/>
                <w:color w:val="auto"/>
                <w:sz w:val="18"/>
                <w:szCs w:val="18"/>
                <w:highlight w:val="none"/>
              </w:rPr>
              <w:t>、壬基酚、雌二醇等</w:t>
            </w:r>
            <w:r>
              <w:rPr>
                <w:rFonts w:ascii="新宋体" w:hAnsi="新宋体" w:eastAsia="新宋体"/>
                <w:color w:val="auto"/>
                <w:sz w:val="18"/>
                <w:szCs w:val="18"/>
                <w:highlight w:val="none"/>
              </w:rPr>
              <w:t>22</w:t>
            </w:r>
            <w:r>
              <w:rPr>
                <w:rFonts w:hint="eastAsia" w:ascii="新宋体" w:hAnsi="新宋体" w:eastAsia="新宋体"/>
                <w:color w:val="auto"/>
                <w:sz w:val="18"/>
                <w:szCs w:val="18"/>
                <w:highlight w:val="none"/>
              </w:rPr>
              <w:t>种化合物的测定在线固相萃取</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液相色谱</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三重四极杆质谱法附录</w:t>
            </w:r>
            <w:r>
              <w:rPr>
                <w:rFonts w:ascii="新宋体" w:hAnsi="新宋体" w:eastAsia="新宋体"/>
                <w:color w:val="auto"/>
                <w:sz w:val="18"/>
                <w:szCs w:val="18"/>
                <w:highlight w:val="none"/>
              </w:rPr>
              <w:t>D</w:t>
            </w:r>
          </w:p>
        </w:tc>
        <w:tc>
          <w:tcPr>
            <w:tcW w:w="1086" w:type="dxa"/>
            <w:vAlign w:val="center"/>
          </w:tcPr>
          <w:p w14:paraId="62CDD032">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40 ml棕色玻璃</w:t>
            </w:r>
            <w:r>
              <w:rPr>
                <w:rFonts w:hint="eastAsia" w:ascii="新宋体" w:hAnsi="新宋体" w:eastAsia="新宋体"/>
                <w:color w:val="auto"/>
                <w:sz w:val="18"/>
                <w:szCs w:val="18"/>
                <w:highlight w:val="none"/>
              </w:rPr>
              <w:t>瓶</w:t>
            </w:r>
          </w:p>
        </w:tc>
        <w:tc>
          <w:tcPr>
            <w:tcW w:w="1820" w:type="dxa"/>
            <w:vAlign w:val="center"/>
          </w:tcPr>
          <w:p w14:paraId="0DF5C417">
            <w:pPr>
              <w:pStyle w:val="228"/>
              <w:snapToGrid w:val="0"/>
              <w:jc w:val="center"/>
              <w:rPr>
                <w:rFonts w:ascii="新宋体" w:hAnsi="新宋体" w:eastAsia="新宋体" w:cs="Times New Roman"/>
                <w:color w:val="auto"/>
                <w:sz w:val="18"/>
                <w:szCs w:val="18"/>
                <w:highlight w:val="none"/>
              </w:rPr>
            </w:pPr>
          </w:p>
        </w:tc>
        <w:tc>
          <w:tcPr>
            <w:tcW w:w="951" w:type="dxa"/>
            <w:vAlign w:val="center"/>
          </w:tcPr>
          <w:p w14:paraId="56722878">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以下避光保存7</w:t>
            </w:r>
            <w:r>
              <w:rPr>
                <w:rFonts w:hint="eastAsia" w:ascii="新宋体" w:hAnsi="新宋体" w:eastAsia="新宋体"/>
                <w:color w:val="auto"/>
                <w:sz w:val="18"/>
                <w:szCs w:val="18"/>
                <w:highlight w:val="none"/>
              </w:rPr>
              <w:t>天</w:t>
            </w:r>
          </w:p>
        </w:tc>
        <w:tc>
          <w:tcPr>
            <w:tcW w:w="658" w:type="dxa"/>
            <w:vAlign w:val="center"/>
          </w:tcPr>
          <w:p w14:paraId="07603C0C">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40</w:t>
            </w:r>
          </w:p>
        </w:tc>
        <w:tc>
          <w:tcPr>
            <w:tcW w:w="2809" w:type="dxa"/>
            <w:vMerge w:val="continue"/>
            <w:vAlign w:val="center"/>
          </w:tcPr>
          <w:p w14:paraId="33D81CF5">
            <w:pPr>
              <w:pStyle w:val="228"/>
              <w:snapToGrid w:val="0"/>
              <w:jc w:val="center"/>
              <w:rPr>
                <w:rFonts w:ascii="新宋体" w:hAnsi="新宋体" w:eastAsia="新宋体" w:cs="Times New Roman"/>
                <w:color w:val="auto"/>
                <w:sz w:val="18"/>
                <w:szCs w:val="18"/>
                <w:highlight w:val="none"/>
              </w:rPr>
            </w:pPr>
          </w:p>
        </w:tc>
      </w:tr>
      <w:tr w14:paraId="08E0F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65" w:hRule="atLeast"/>
          <w:jc w:val="center"/>
        </w:trPr>
        <w:tc>
          <w:tcPr>
            <w:tcW w:w="598" w:type="dxa"/>
            <w:vAlign w:val="center"/>
          </w:tcPr>
          <w:p w14:paraId="792EF3DB">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16</w:t>
            </w:r>
          </w:p>
        </w:tc>
        <w:tc>
          <w:tcPr>
            <w:tcW w:w="2284" w:type="dxa"/>
            <w:vAlign w:val="center"/>
          </w:tcPr>
          <w:p w14:paraId="00219A7C">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 xml:space="preserve">18 </w:t>
            </w:r>
            <w:r>
              <w:rPr>
                <w:rFonts w:hint="eastAsia" w:ascii="新宋体" w:hAnsi="新宋体" w:eastAsia="新宋体"/>
                <w:color w:val="auto"/>
                <w:sz w:val="18"/>
                <w:szCs w:val="18"/>
                <w:highlight w:val="none"/>
              </w:rPr>
              <w:t>种磺胺类抗生素和甲氧苄氨嘧啶的测定高效液相色谱</w:t>
            </w:r>
            <w:r>
              <w:rPr>
                <w:rFonts w:hint="eastAsia" w:ascii="MS Mincho" w:hAnsi="MS Mincho" w:eastAsia="MS Mincho" w:cs="MS Mincho"/>
                <w:color w:val="auto"/>
                <w:sz w:val="18"/>
                <w:szCs w:val="18"/>
                <w:highlight w:val="none"/>
              </w:rPr>
              <w:t>⁃</w:t>
            </w:r>
            <w:r>
              <w:rPr>
                <w:rFonts w:hint="eastAsia" w:ascii="新宋体" w:hAnsi="新宋体" w:eastAsia="新宋体"/>
                <w:color w:val="auto"/>
                <w:sz w:val="18"/>
                <w:szCs w:val="18"/>
                <w:highlight w:val="none"/>
              </w:rPr>
              <w:t>三重四极杆质谱法</w:t>
            </w:r>
            <w:r>
              <w:rPr>
                <w:rFonts w:ascii="新宋体" w:hAnsi="新宋体" w:eastAsia="新宋体" w:cs="Times New Roman"/>
                <w:color w:val="auto"/>
                <w:sz w:val="18"/>
                <w:szCs w:val="18"/>
                <w:highlight w:val="none"/>
              </w:rPr>
              <w:t>HJ 1398</w:t>
            </w:r>
            <w:r>
              <w:rPr>
                <w:rFonts w:ascii="新宋体" w:hAnsi="新宋体" w:eastAsia="新宋体"/>
                <w:color w:val="auto"/>
                <w:sz w:val="18"/>
                <w:szCs w:val="18"/>
                <w:highlight w:val="none"/>
              </w:rPr>
              <w:t>-</w:t>
            </w:r>
            <w:r>
              <w:rPr>
                <w:rFonts w:ascii="新宋体" w:hAnsi="新宋体" w:eastAsia="新宋体" w:cs="Times New Roman"/>
                <w:color w:val="auto"/>
                <w:sz w:val="18"/>
                <w:szCs w:val="18"/>
                <w:highlight w:val="none"/>
              </w:rPr>
              <w:t>2024</w:t>
            </w:r>
          </w:p>
        </w:tc>
        <w:tc>
          <w:tcPr>
            <w:tcW w:w="1086" w:type="dxa"/>
            <w:vAlign w:val="center"/>
          </w:tcPr>
          <w:p w14:paraId="1462F957">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0261C648">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甲酸或氨水，</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值</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4-7抗坏血</w:t>
            </w:r>
            <w:r>
              <w:rPr>
                <w:rFonts w:hint="eastAsia" w:ascii="新宋体" w:hAnsi="新宋体" w:eastAsia="新宋体"/>
                <w:color w:val="auto"/>
                <w:sz w:val="18"/>
                <w:szCs w:val="18"/>
                <w:highlight w:val="none"/>
              </w:rPr>
              <w:t>酸</w:t>
            </w:r>
          </w:p>
        </w:tc>
        <w:tc>
          <w:tcPr>
            <w:tcW w:w="951" w:type="dxa"/>
            <w:vAlign w:val="center"/>
          </w:tcPr>
          <w:p w14:paraId="6FFE4DB7">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以下避光密封保存7</w:t>
            </w:r>
            <w:r>
              <w:rPr>
                <w:rFonts w:hint="eastAsia" w:ascii="新宋体" w:hAnsi="新宋体" w:eastAsia="新宋体"/>
                <w:color w:val="auto"/>
                <w:sz w:val="18"/>
                <w:szCs w:val="18"/>
                <w:highlight w:val="none"/>
              </w:rPr>
              <w:t>天</w:t>
            </w:r>
          </w:p>
        </w:tc>
        <w:tc>
          <w:tcPr>
            <w:tcW w:w="658" w:type="dxa"/>
            <w:vAlign w:val="center"/>
          </w:tcPr>
          <w:p w14:paraId="2DF21151">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Align w:val="center"/>
          </w:tcPr>
          <w:p w14:paraId="20065F95">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样品应充满样品瓶</w:t>
            </w:r>
          </w:p>
        </w:tc>
      </w:tr>
      <w:tr w14:paraId="2ED7E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3" w:hRule="atLeast"/>
          <w:jc w:val="center"/>
        </w:trPr>
        <w:tc>
          <w:tcPr>
            <w:tcW w:w="598" w:type="dxa"/>
            <w:vAlign w:val="center"/>
          </w:tcPr>
          <w:p w14:paraId="2DBC31C9">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17</w:t>
            </w:r>
          </w:p>
        </w:tc>
        <w:tc>
          <w:tcPr>
            <w:tcW w:w="2284" w:type="dxa"/>
            <w:vAlign w:val="center"/>
          </w:tcPr>
          <w:p w14:paraId="60D43C2C">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 xml:space="preserve">17 </w:t>
            </w:r>
            <w:r>
              <w:rPr>
                <w:rFonts w:hint="eastAsia" w:ascii="新宋体" w:hAnsi="新宋体" w:eastAsia="新宋体"/>
                <w:color w:val="auto"/>
                <w:sz w:val="18"/>
                <w:szCs w:val="18"/>
                <w:highlight w:val="none"/>
              </w:rPr>
              <w:t>种氟喹诺酮类抗生素的测定高效液相色谱</w:t>
            </w:r>
            <w:r>
              <w:rPr>
                <w:rFonts w:hint="eastAsia" w:ascii="MS Mincho" w:hAnsi="MS Mincho" w:eastAsia="MS Mincho" w:cs="MS Mincho"/>
                <w:color w:val="auto"/>
                <w:sz w:val="18"/>
                <w:szCs w:val="18"/>
                <w:highlight w:val="none"/>
              </w:rPr>
              <w:t>⁃</w:t>
            </w:r>
            <w:r>
              <w:rPr>
                <w:rFonts w:hint="eastAsia" w:ascii="新宋体" w:hAnsi="新宋体" w:eastAsia="新宋体"/>
                <w:color w:val="auto"/>
                <w:sz w:val="18"/>
                <w:szCs w:val="18"/>
                <w:highlight w:val="none"/>
              </w:rPr>
              <w:t>三重四极杆质谱法</w:t>
            </w:r>
            <w:r>
              <w:rPr>
                <w:rFonts w:ascii="新宋体" w:hAnsi="新宋体" w:eastAsia="新宋体" w:cs="Times New Roman"/>
                <w:color w:val="auto"/>
                <w:sz w:val="18"/>
                <w:szCs w:val="18"/>
                <w:highlight w:val="none"/>
              </w:rPr>
              <w:t>HJ 1399</w:t>
            </w:r>
            <w:r>
              <w:rPr>
                <w:rFonts w:ascii="新宋体" w:hAnsi="新宋体" w:eastAsia="新宋体"/>
                <w:color w:val="auto"/>
                <w:sz w:val="18"/>
                <w:szCs w:val="18"/>
                <w:highlight w:val="none"/>
              </w:rPr>
              <w:t>-</w:t>
            </w:r>
            <w:r>
              <w:rPr>
                <w:rFonts w:ascii="新宋体" w:hAnsi="新宋体" w:eastAsia="新宋体" w:cs="Times New Roman"/>
                <w:color w:val="auto"/>
                <w:sz w:val="18"/>
                <w:szCs w:val="18"/>
                <w:highlight w:val="none"/>
              </w:rPr>
              <w:t>2024</w:t>
            </w:r>
          </w:p>
        </w:tc>
        <w:tc>
          <w:tcPr>
            <w:tcW w:w="1086" w:type="dxa"/>
            <w:vAlign w:val="center"/>
          </w:tcPr>
          <w:p w14:paraId="115B3BF9">
            <w:pPr>
              <w:pStyle w:val="228"/>
              <w:snapToGrid w:val="0"/>
              <w:jc w:val="center"/>
              <w:rPr>
                <w:rFonts w:ascii="新宋体" w:hAnsi="新宋体" w:eastAsia="新宋体" w:cs="Times New Roman"/>
                <w:color w:val="auto"/>
                <w:sz w:val="18"/>
                <w:szCs w:val="18"/>
                <w:highlight w:val="none"/>
              </w:rPr>
            </w:pPr>
          </w:p>
        </w:tc>
        <w:tc>
          <w:tcPr>
            <w:tcW w:w="1820" w:type="dxa"/>
            <w:vAlign w:val="center"/>
          </w:tcPr>
          <w:p w14:paraId="591051F9">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甲酸，</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值</w:t>
            </w:r>
            <w:r>
              <w:rPr>
                <w:rFonts w:ascii="新宋体" w:hAnsi="新宋体" w:eastAsia="新宋体"/>
                <w:color w:val="auto"/>
                <w:sz w:val="18"/>
                <w:szCs w:val="18"/>
                <w:highlight w:val="none"/>
              </w:rPr>
              <w:t>2-4</w:t>
            </w:r>
          </w:p>
        </w:tc>
        <w:tc>
          <w:tcPr>
            <w:tcW w:w="951" w:type="dxa"/>
            <w:vAlign w:val="center"/>
          </w:tcPr>
          <w:p w14:paraId="0029321F">
            <w:pPr>
              <w:pStyle w:val="228"/>
              <w:snapToGrid w:val="0"/>
              <w:jc w:val="center"/>
              <w:rPr>
                <w:rFonts w:ascii="新宋体" w:hAnsi="新宋体" w:eastAsia="新宋体"/>
                <w:color w:val="auto"/>
                <w:sz w:val="18"/>
                <w:szCs w:val="18"/>
                <w:highlight w:val="none"/>
              </w:rPr>
            </w:pPr>
            <w:r>
              <w:rPr>
                <w:rFonts w:ascii="新宋体" w:hAnsi="新宋体" w:eastAsia="新宋体"/>
                <w:color w:val="auto"/>
                <w:sz w:val="18"/>
                <w:szCs w:val="18"/>
                <w:highlight w:val="none"/>
              </w:rPr>
              <w:t xml:space="preserve">4 </w:t>
            </w:r>
            <w:r>
              <w:rPr>
                <w:rFonts w:hint="eastAsia" w:ascii="新宋体" w:hAnsi="新宋体" w:eastAsia="新宋体"/>
                <w:color w:val="auto"/>
                <w:sz w:val="18"/>
                <w:szCs w:val="18"/>
                <w:highlight w:val="none"/>
              </w:rPr>
              <w:t>℃以下避光密封保存</w:t>
            </w:r>
            <w:r>
              <w:rPr>
                <w:rFonts w:ascii="新宋体" w:hAnsi="新宋体" w:eastAsia="新宋体"/>
                <w:color w:val="auto"/>
                <w:sz w:val="18"/>
                <w:szCs w:val="18"/>
                <w:highlight w:val="none"/>
              </w:rPr>
              <w:t>7</w:t>
            </w:r>
            <w:r>
              <w:rPr>
                <w:rFonts w:hint="eastAsia" w:ascii="新宋体" w:hAnsi="新宋体" w:eastAsia="新宋体"/>
                <w:color w:val="auto"/>
                <w:sz w:val="18"/>
                <w:szCs w:val="18"/>
                <w:highlight w:val="none"/>
              </w:rPr>
              <w:t>天</w:t>
            </w:r>
          </w:p>
        </w:tc>
        <w:tc>
          <w:tcPr>
            <w:tcW w:w="658" w:type="dxa"/>
            <w:vAlign w:val="center"/>
          </w:tcPr>
          <w:p w14:paraId="379CF1E0">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2500</w:t>
            </w:r>
          </w:p>
        </w:tc>
        <w:tc>
          <w:tcPr>
            <w:tcW w:w="2809" w:type="dxa"/>
            <w:vMerge w:val="restart"/>
            <w:vAlign w:val="center"/>
          </w:tcPr>
          <w:p w14:paraId="3BF74FE3">
            <w:pPr>
              <w:pStyle w:val="228"/>
              <w:snapToGrid w:val="0"/>
              <w:jc w:val="center"/>
              <w:rPr>
                <w:rFonts w:ascii="新宋体" w:hAnsi="新宋体" w:eastAsia="新宋体" w:cs="Times New Roman"/>
                <w:color w:val="auto"/>
                <w:sz w:val="18"/>
                <w:szCs w:val="18"/>
                <w:highlight w:val="none"/>
              </w:rPr>
            </w:pPr>
          </w:p>
        </w:tc>
      </w:tr>
      <w:tr w14:paraId="31C10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72" w:hRule="atLeast"/>
          <w:jc w:val="center"/>
        </w:trPr>
        <w:tc>
          <w:tcPr>
            <w:tcW w:w="598" w:type="dxa"/>
            <w:vAlign w:val="center"/>
          </w:tcPr>
          <w:p w14:paraId="024F505C">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18</w:t>
            </w:r>
          </w:p>
        </w:tc>
        <w:tc>
          <w:tcPr>
            <w:tcW w:w="2284" w:type="dxa"/>
            <w:vAlign w:val="center"/>
          </w:tcPr>
          <w:p w14:paraId="5F2A4EDB">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水质抗生素的测定高效液相色谱</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-三重四极杆质谱法《新污染物环境监测作业指导书（2023年版修订）（试行）》</w:t>
            </w:r>
          </w:p>
        </w:tc>
        <w:tc>
          <w:tcPr>
            <w:tcW w:w="1086" w:type="dxa"/>
            <w:vAlign w:val="center"/>
          </w:tcPr>
          <w:p w14:paraId="14E24A39">
            <w:pPr>
              <w:pStyle w:val="228"/>
              <w:snapToGrid w:val="0"/>
              <w:jc w:val="center"/>
              <w:rPr>
                <w:rFonts w:ascii="新宋体" w:hAnsi="新宋体" w:eastAsia="新宋体" w:cs="Times New Roman"/>
                <w:color w:val="auto"/>
                <w:sz w:val="18"/>
                <w:szCs w:val="18"/>
                <w:highlight w:val="none"/>
              </w:rPr>
            </w:pPr>
          </w:p>
        </w:tc>
        <w:tc>
          <w:tcPr>
            <w:tcW w:w="1820" w:type="dxa"/>
            <w:vAlign w:val="center"/>
          </w:tcPr>
          <w:p w14:paraId="7F482BBC">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添加</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1%甲醇抗坏血</w:t>
            </w:r>
            <w:r>
              <w:rPr>
                <w:rFonts w:hint="eastAsia" w:ascii="新宋体" w:hAnsi="新宋体" w:eastAsia="新宋体"/>
                <w:color w:val="auto"/>
                <w:sz w:val="18"/>
                <w:szCs w:val="18"/>
                <w:highlight w:val="none"/>
              </w:rPr>
              <w:t>酸</w:t>
            </w:r>
          </w:p>
        </w:tc>
        <w:tc>
          <w:tcPr>
            <w:tcW w:w="951" w:type="dxa"/>
            <w:vAlign w:val="center"/>
          </w:tcPr>
          <w:p w14:paraId="66434228">
            <w:pPr>
              <w:pStyle w:val="228"/>
              <w:snapToGrid w:val="0"/>
              <w:jc w:val="center"/>
              <w:rPr>
                <w:rFonts w:ascii="新宋体" w:hAnsi="新宋体" w:eastAsia="新宋体"/>
                <w:color w:val="auto"/>
                <w:sz w:val="18"/>
                <w:szCs w:val="18"/>
                <w:highlight w:val="none"/>
              </w:rPr>
            </w:pPr>
            <w:r>
              <w:rPr>
                <w:rFonts w:ascii="新宋体" w:hAnsi="新宋体" w:eastAsia="新宋体"/>
                <w:color w:val="auto"/>
                <w:sz w:val="18"/>
                <w:szCs w:val="18"/>
                <w:highlight w:val="none"/>
              </w:rPr>
              <w:t xml:space="preserve">4 </w:t>
            </w:r>
            <w:r>
              <w:rPr>
                <w:rFonts w:hint="eastAsia" w:ascii="新宋体" w:hAnsi="新宋体" w:eastAsia="新宋体"/>
                <w:color w:val="auto"/>
                <w:sz w:val="18"/>
                <w:szCs w:val="18"/>
                <w:highlight w:val="none"/>
              </w:rPr>
              <w:t>℃避光密封保存</w:t>
            </w:r>
            <w:r>
              <w:rPr>
                <w:rFonts w:ascii="新宋体" w:hAnsi="新宋体" w:eastAsia="新宋体"/>
                <w:color w:val="auto"/>
                <w:sz w:val="18"/>
                <w:szCs w:val="18"/>
                <w:highlight w:val="none"/>
              </w:rPr>
              <w:t xml:space="preserve"> 72h</w:t>
            </w:r>
            <w:r>
              <w:rPr>
                <w:rFonts w:hint="eastAsia" w:ascii="新宋体" w:hAnsi="新宋体" w:eastAsia="新宋体"/>
                <w:color w:val="auto"/>
                <w:sz w:val="18"/>
                <w:szCs w:val="18"/>
                <w:highlight w:val="none"/>
              </w:rPr>
              <w:t>，冷冻条件下保存</w:t>
            </w:r>
            <w:r>
              <w:rPr>
                <w:rFonts w:ascii="新宋体" w:hAnsi="新宋体" w:eastAsia="新宋体"/>
                <w:color w:val="auto"/>
                <w:sz w:val="18"/>
                <w:szCs w:val="18"/>
                <w:highlight w:val="none"/>
              </w:rPr>
              <w:t>7</w:t>
            </w:r>
            <w:r>
              <w:rPr>
                <w:rFonts w:hint="eastAsia" w:ascii="新宋体" w:hAnsi="新宋体" w:eastAsia="新宋体"/>
                <w:color w:val="auto"/>
                <w:sz w:val="18"/>
                <w:szCs w:val="18"/>
                <w:highlight w:val="none"/>
              </w:rPr>
              <w:t>天</w:t>
            </w:r>
          </w:p>
        </w:tc>
        <w:tc>
          <w:tcPr>
            <w:tcW w:w="658" w:type="dxa"/>
            <w:vAlign w:val="center"/>
          </w:tcPr>
          <w:p w14:paraId="7C536F07">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Merge w:val="continue"/>
            <w:vAlign w:val="center"/>
          </w:tcPr>
          <w:p w14:paraId="578835F0">
            <w:pPr>
              <w:pStyle w:val="228"/>
              <w:snapToGrid w:val="0"/>
              <w:jc w:val="center"/>
              <w:rPr>
                <w:rFonts w:ascii="新宋体" w:hAnsi="新宋体" w:eastAsia="新宋体" w:cs="Times New Roman"/>
                <w:color w:val="auto"/>
                <w:sz w:val="18"/>
                <w:szCs w:val="18"/>
                <w:highlight w:val="none"/>
              </w:rPr>
            </w:pPr>
          </w:p>
        </w:tc>
      </w:tr>
      <w:tr w14:paraId="61760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252669BE">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19</w:t>
            </w:r>
          </w:p>
        </w:tc>
        <w:tc>
          <w:tcPr>
            <w:tcW w:w="2284" w:type="dxa"/>
            <w:vAlign w:val="center"/>
          </w:tcPr>
          <w:p w14:paraId="13682B9A">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水中</w:t>
            </w:r>
            <w:r>
              <w:rPr>
                <w:rFonts w:ascii="新宋体" w:hAnsi="新宋体" w:eastAsia="新宋体"/>
                <w:color w:val="auto"/>
                <w:sz w:val="18"/>
                <w:szCs w:val="18"/>
                <w:highlight w:val="none"/>
              </w:rPr>
              <w:t>144</w:t>
            </w:r>
            <w:r>
              <w:rPr>
                <w:rFonts w:hint="eastAsia" w:ascii="新宋体" w:hAnsi="新宋体" w:eastAsia="新宋体"/>
                <w:color w:val="auto"/>
                <w:sz w:val="18"/>
                <w:szCs w:val="18"/>
                <w:highlight w:val="none"/>
              </w:rPr>
              <w:t>种药品和个人护理用品的测定大体积直接进样</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液相色谱</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三重四极杆质谱法附录</w:t>
            </w:r>
            <w:r>
              <w:rPr>
                <w:rFonts w:ascii="新宋体" w:hAnsi="新宋体" w:eastAsia="新宋体"/>
                <w:color w:val="auto"/>
                <w:sz w:val="18"/>
                <w:szCs w:val="18"/>
                <w:highlight w:val="none"/>
              </w:rPr>
              <w:t>C</w:t>
            </w:r>
          </w:p>
        </w:tc>
        <w:tc>
          <w:tcPr>
            <w:tcW w:w="1086" w:type="dxa"/>
            <w:vAlign w:val="center"/>
          </w:tcPr>
          <w:p w14:paraId="507B723D">
            <w:pPr>
              <w:pStyle w:val="228"/>
              <w:snapToGrid w:val="0"/>
              <w:jc w:val="center"/>
              <w:rPr>
                <w:rFonts w:ascii="新宋体" w:hAnsi="新宋体" w:eastAsia="新宋体" w:cs="Times New Roman"/>
                <w:color w:val="auto"/>
                <w:sz w:val="18"/>
                <w:szCs w:val="18"/>
                <w:highlight w:val="none"/>
              </w:rPr>
            </w:pPr>
          </w:p>
        </w:tc>
        <w:tc>
          <w:tcPr>
            <w:tcW w:w="1820" w:type="dxa"/>
            <w:vAlign w:val="center"/>
          </w:tcPr>
          <w:p w14:paraId="63C43CF7">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添加</w:t>
            </w:r>
            <w:r>
              <w:rPr>
                <w:rFonts w:ascii="新宋体" w:hAnsi="新宋体" w:eastAsia="新宋体"/>
                <w:color w:val="auto"/>
                <w:sz w:val="18"/>
                <w:szCs w:val="18"/>
                <w:highlight w:val="none"/>
              </w:rPr>
              <w:t>1.0 mL</w:t>
            </w:r>
            <w:r>
              <w:rPr>
                <w:rFonts w:hint="eastAsia" w:ascii="新宋体" w:hAnsi="新宋体" w:eastAsia="新宋体"/>
                <w:color w:val="auto"/>
                <w:sz w:val="18"/>
                <w:szCs w:val="18"/>
                <w:highlight w:val="none"/>
              </w:rPr>
              <w:t>甲醇</w:t>
            </w:r>
          </w:p>
        </w:tc>
        <w:tc>
          <w:tcPr>
            <w:tcW w:w="951" w:type="dxa"/>
            <w:vAlign w:val="center"/>
          </w:tcPr>
          <w:p w14:paraId="19240453">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冷冻保存</w:t>
            </w:r>
            <w:r>
              <w:rPr>
                <w:rFonts w:ascii="新宋体" w:hAnsi="新宋体" w:eastAsia="新宋体"/>
                <w:color w:val="auto"/>
                <w:sz w:val="18"/>
                <w:szCs w:val="18"/>
                <w:highlight w:val="none"/>
              </w:rPr>
              <w:t>7</w:t>
            </w:r>
            <w:r>
              <w:rPr>
                <w:rFonts w:hint="eastAsia" w:ascii="新宋体" w:hAnsi="新宋体" w:eastAsia="新宋体"/>
                <w:color w:val="auto"/>
                <w:sz w:val="18"/>
                <w:szCs w:val="18"/>
                <w:highlight w:val="none"/>
              </w:rPr>
              <w:t>天</w:t>
            </w:r>
          </w:p>
        </w:tc>
        <w:tc>
          <w:tcPr>
            <w:tcW w:w="658" w:type="dxa"/>
            <w:vAlign w:val="center"/>
          </w:tcPr>
          <w:p w14:paraId="735A10E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200</w:t>
            </w:r>
          </w:p>
        </w:tc>
        <w:tc>
          <w:tcPr>
            <w:tcW w:w="2809" w:type="dxa"/>
            <w:vMerge w:val="continue"/>
            <w:vAlign w:val="center"/>
          </w:tcPr>
          <w:p w14:paraId="76AA2694">
            <w:pPr>
              <w:pStyle w:val="228"/>
              <w:snapToGrid w:val="0"/>
              <w:jc w:val="center"/>
              <w:rPr>
                <w:rFonts w:ascii="新宋体" w:hAnsi="新宋体" w:eastAsia="新宋体" w:cs="Times New Roman"/>
                <w:color w:val="auto"/>
                <w:sz w:val="18"/>
                <w:szCs w:val="18"/>
                <w:highlight w:val="none"/>
              </w:rPr>
            </w:pPr>
          </w:p>
        </w:tc>
      </w:tr>
      <w:tr w14:paraId="6B9E8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1B10098F">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20</w:t>
            </w:r>
          </w:p>
        </w:tc>
        <w:tc>
          <w:tcPr>
            <w:tcW w:w="2284" w:type="dxa"/>
            <w:vAlign w:val="center"/>
          </w:tcPr>
          <w:p w14:paraId="04040747">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海水中六溴环十二烷的测定高效液相色谱</w:t>
            </w:r>
            <w:r>
              <w:rPr>
                <w:rFonts w:ascii="新宋体" w:hAnsi="新宋体" w:eastAsia="新宋体" w:cs="Times New Roman"/>
                <w:color w:val="auto"/>
                <w:sz w:val="18"/>
                <w:szCs w:val="18"/>
                <w:highlight w:val="none"/>
              </w:rPr>
              <w:t>-</w:t>
            </w:r>
            <w:r>
              <w:rPr>
                <w:rFonts w:hint="eastAsia" w:ascii="新宋体" w:hAnsi="新宋体" w:eastAsia="新宋体"/>
                <w:color w:val="auto"/>
                <w:sz w:val="18"/>
                <w:szCs w:val="18"/>
                <w:highlight w:val="none"/>
              </w:rPr>
              <w:t>串联质谱法</w:t>
            </w:r>
            <w:r>
              <w:rPr>
                <w:rFonts w:ascii="新宋体" w:hAnsi="新宋体" w:eastAsia="新宋体" w:cs="Times New Roman"/>
                <w:color w:val="auto"/>
                <w:sz w:val="18"/>
                <w:szCs w:val="18"/>
                <w:highlight w:val="none"/>
              </w:rPr>
              <w:t>HY/T 261-2018</w:t>
            </w:r>
          </w:p>
        </w:tc>
        <w:tc>
          <w:tcPr>
            <w:tcW w:w="1086" w:type="dxa"/>
            <w:vAlign w:val="center"/>
          </w:tcPr>
          <w:p w14:paraId="7DEC5C52">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0056C244">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c>
          <w:tcPr>
            <w:tcW w:w="951" w:type="dxa"/>
            <w:vAlign w:val="center"/>
          </w:tcPr>
          <w:p w14:paraId="55FB9ED8">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c>
          <w:tcPr>
            <w:tcW w:w="658" w:type="dxa"/>
            <w:vAlign w:val="center"/>
          </w:tcPr>
          <w:p w14:paraId="463B100E">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500</w:t>
            </w:r>
          </w:p>
        </w:tc>
        <w:tc>
          <w:tcPr>
            <w:tcW w:w="2809" w:type="dxa"/>
            <w:vAlign w:val="center"/>
          </w:tcPr>
          <w:p w14:paraId="605BABA0">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50643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50693912">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21</w:t>
            </w:r>
          </w:p>
        </w:tc>
        <w:tc>
          <w:tcPr>
            <w:tcW w:w="2284" w:type="dxa"/>
            <w:vAlign w:val="center"/>
          </w:tcPr>
          <w:p w14:paraId="59844D4B">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水质多氯联苯的测定气相色谱</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-质谱法HJ 715-2014</w:t>
            </w:r>
          </w:p>
        </w:tc>
        <w:tc>
          <w:tcPr>
            <w:tcW w:w="1086" w:type="dxa"/>
            <w:vAlign w:val="center"/>
          </w:tcPr>
          <w:p w14:paraId="5FB8777F">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58BAC71A">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c>
          <w:tcPr>
            <w:tcW w:w="951" w:type="dxa"/>
            <w:vAlign w:val="center"/>
          </w:tcPr>
          <w:p w14:paraId="56119F56">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避光保存7</w:t>
            </w:r>
            <w:r>
              <w:rPr>
                <w:rFonts w:hint="eastAsia" w:ascii="新宋体" w:hAnsi="新宋体" w:eastAsia="新宋体"/>
                <w:color w:val="auto"/>
                <w:sz w:val="18"/>
                <w:szCs w:val="18"/>
                <w:highlight w:val="none"/>
              </w:rPr>
              <w:t>天</w:t>
            </w:r>
          </w:p>
        </w:tc>
        <w:tc>
          <w:tcPr>
            <w:tcW w:w="658" w:type="dxa"/>
            <w:vAlign w:val="center"/>
          </w:tcPr>
          <w:p w14:paraId="1D66CDB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Align w:val="center"/>
          </w:tcPr>
          <w:p w14:paraId="5644D9F7">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样品应充满样品瓶</w:t>
            </w:r>
          </w:p>
        </w:tc>
      </w:tr>
      <w:tr w14:paraId="6B95C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03F10883">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22</w:t>
            </w:r>
          </w:p>
        </w:tc>
        <w:tc>
          <w:tcPr>
            <w:tcW w:w="2284" w:type="dxa"/>
            <w:vAlign w:val="center"/>
          </w:tcPr>
          <w:p w14:paraId="6A4DC5D4">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水质三丁基锡等</w:t>
            </w:r>
            <w:r>
              <w:rPr>
                <w:rFonts w:ascii="新宋体" w:hAnsi="新宋体" w:eastAsia="新宋体" w:cs="Times New Roman"/>
                <w:color w:val="auto"/>
                <w:sz w:val="18"/>
                <w:szCs w:val="18"/>
                <w:highlight w:val="none"/>
              </w:rPr>
              <w:t>4</w:t>
            </w:r>
            <w:r>
              <w:rPr>
                <w:rFonts w:hint="eastAsia" w:ascii="新宋体" w:hAnsi="新宋体" w:eastAsia="新宋体"/>
                <w:color w:val="auto"/>
                <w:sz w:val="18"/>
                <w:szCs w:val="18"/>
                <w:highlight w:val="none"/>
              </w:rPr>
              <w:t>种有机锡化合物的测定液相色谱</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电感耦合等离子体质谱法</w:t>
            </w:r>
            <w:r>
              <w:rPr>
                <w:rFonts w:ascii="新宋体" w:hAnsi="新宋体" w:eastAsia="新宋体" w:cs="Times New Roman"/>
                <w:color w:val="auto"/>
                <w:sz w:val="18"/>
                <w:szCs w:val="18"/>
                <w:highlight w:val="none"/>
              </w:rPr>
              <w:t>HJ 1074-2019</w:t>
            </w:r>
          </w:p>
        </w:tc>
        <w:tc>
          <w:tcPr>
            <w:tcW w:w="1086" w:type="dxa"/>
            <w:vAlign w:val="center"/>
          </w:tcPr>
          <w:p w14:paraId="26735A18">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52768EEC">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盐酸，使</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pH≤2</w:t>
            </w:r>
          </w:p>
        </w:tc>
        <w:tc>
          <w:tcPr>
            <w:tcW w:w="951" w:type="dxa"/>
            <w:vAlign w:val="center"/>
          </w:tcPr>
          <w:p w14:paraId="2EEA0AB0">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以下保存24h</w:t>
            </w:r>
          </w:p>
        </w:tc>
        <w:tc>
          <w:tcPr>
            <w:tcW w:w="658" w:type="dxa"/>
            <w:vAlign w:val="center"/>
          </w:tcPr>
          <w:p w14:paraId="35A1C6F8">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2500</w:t>
            </w:r>
          </w:p>
        </w:tc>
        <w:tc>
          <w:tcPr>
            <w:tcW w:w="2809" w:type="dxa"/>
            <w:vAlign w:val="center"/>
          </w:tcPr>
          <w:p w14:paraId="24973D3F">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1DB16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75" w:hRule="atLeast"/>
          <w:jc w:val="center"/>
        </w:trPr>
        <w:tc>
          <w:tcPr>
            <w:tcW w:w="598" w:type="dxa"/>
            <w:vAlign w:val="center"/>
          </w:tcPr>
          <w:p w14:paraId="5F66CAEE">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23</w:t>
            </w:r>
          </w:p>
        </w:tc>
        <w:tc>
          <w:tcPr>
            <w:tcW w:w="2284" w:type="dxa"/>
            <w:vAlign w:val="center"/>
          </w:tcPr>
          <w:p w14:paraId="63A6CC09">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 xml:space="preserve">6 </w:t>
            </w:r>
            <w:r>
              <w:rPr>
                <w:rFonts w:hint="eastAsia" w:ascii="新宋体" w:hAnsi="新宋体" w:eastAsia="新宋体"/>
                <w:color w:val="auto"/>
                <w:sz w:val="18"/>
                <w:szCs w:val="18"/>
                <w:highlight w:val="none"/>
              </w:rPr>
              <w:t>种邻苯二甲酸酯类化合物的测定液相色谱</w:t>
            </w:r>
            <w:r>
              <w:rPr>
                <w:rFonts w:ascii="新宋体" w:hAnsi="新宋体" w:eastAsia="新宋体" w:cs="Times New Roman"/>
                <w:color w:val="auto"/>
                <w:sz w:val="18"/>
                <w:szCs w:val="18"/>
                <w:highlight w:val="none"/>
              </w:rPr>
              <w:t>-</w:t>
            </w:r>
            <w:r>
              <w:rPr>
                <w:rFonts w:hint="eastAsia" w:ascii="新宋体" w:hAnsi="新宋体" w:eastAsia="新宋体"/>
                <w:color w:val="auto"/>
                <w:sz w:val="18"/>
                <w:szCs w:val="18"/>
                <w:highlight w:val="none"/>
              </w:rPr>
              <w:t>三重四极杆质谱法</w:t>
            </w:r>
            <w:r>
              <w:rPr>
                <w:rFonts w:ascii="新宋体" w:hAnsi="新宋体" w:eastAsia="新宋体" w:cs="Times New Roman"/>
                <w:color w:val="auto"/>
                <w:sz w:val="18"/>
                <w:szCs w:val="18"/>
                <w:highlight w:val="none"/>
              </w:rPr>
              <w:t>HJ 1242-2022</w:t>
            </w:r>
          </w:p>
        </w:tc>
        <w:tc>
          <w:tcPr>
            <w:tcW w:w="1086" w:type="dxa"/>
            <w:vAlign w:val="center"/>
          </w:tcPr>
          <w:p w14:paraId="6F8427D7">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0EAD38D6">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氢氧化钠或盐酸调节至中性</w:t>
            </w:r>
          </w:p>
        </w:tc>
        <w:tc>
          <w:tcPr>
            <w:tcW w:w="951" w:type="dxa"/>
            <w:vAlign w:val="center"/>
          </w:tcPr>
          <w:p w14:paraId="3A703930">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以下避光保存5</w:t>
            </w:r>
            <w:r>
              <w:rPr>
                <w:rFonts w:hint="eastAsia" w:ascii="新宋体" w:hAnsi="新宋体" w:eastAsia="新宋体"/>
                <w:color w:val="auto"/>
                <w:sz w:val="18"/>
                <w:szCs w:val="18"/>
                <w:highlight w:val="none"/>
              </w:rPr>
              <w:t>天</w:t>
            </w:r>
          </w:p>
        </w:tc>
        <w:tc>
          <w:tcPr>
            <w:tcW w:w="658" w:type="dxa"/>
            <w:vAlign w:val="center"/>
          </w:tcPr>
          <w:p w14:paraId="2B8D2B93">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250</w:t>
            </w:r>
          </w:p>
        </w:tc>
        <w:tc>
          <w:tcPr>
            <w:tcW w:w="2809" w:type="dxa"/>
            <w:vAlign w:val="center"/>
          </w:tcPr>
          <w:p w14:paraId="6FE6E927">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1、同时采集全程序空白样品</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2、采样瓶在采样现场使用萃取溶剂清洗后立即使用</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3、采样全过程避免接触塑料制品</w:t>
            </w:r>
            <w:r>
              <w:rPr>
                <w:rFonts w:hint="eastAsia" w:ascii="新宋体" w:hAnsi="新宋体" w:eastAsia="新宋体"/>
                <w:color w:val="auto"/>
                <w:sz w:val="18"/>
                <w:szCs w:val="18"/>
                <w:highlight w:val="none"/>
              </w:rPr>
              <w:t>。</w:t>
            </w:r>
          </w:p>
        </w:tc>
      </w:tr>
      <w:tr w14:paraId="10213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111043C7">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24</w:t>
            </w:r>
          </w:p>
        </w:tc>
        <w:tc>
          <w:tcPr>
            <w:tcW w:w="2284" w:type="dxa"/>
            <w:vAlign w:val="center"/>
          </w:tcPr>
          <w:p w14:paraId="607FDFC1">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w:t>
            </w:r>
            <w:r>
              <w:rPr>
                <w:rFonts w:ascii="新宋体" w:hAnsi="新宋体" w:eastAsia="新宋体"/>
                <w:color w:val="auto"/>
                <w:sz w:val="18"/>
                <w:szCs w:val="18"/>
                <w:highlight w:val="none"/>
              </w:rPr>
              <w:t>65</w:t>
            </w:r>
            <w:r>
              <w:rPr>
                <w:rFonts w:hint="eastAsia" w:ascii="新宋体" w:hAnsi="新宋体" w:eastAsia="新宋体"/>
                <w:color w:val="auto"/>
                <w:sz w:val="18"/>
                <w:szCs w:val="18"/>
                <w:highlight w:val="none"/>
              </w:rPr>
              <w:t>种元素的测定电感耦合等离子体质谱法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 700-2014</w:t>
            </w:r>
          </w:p>
        </w:tc>
        <w:tc>
          <w:tcPr>
            <w:tcW w:w="1086" w:type="dxa"/>
            <w:vAlign w:val="center"/>
          </w:tcPr>
          <w:p w14:paraId="11DA1B4B">
            <w:pPr>
              <w:pStyle w:val="228"/>
              <w:snapToGrid w:val="0"/>
              <w:jc w:val="center"/>
              <w:rPr>
                <w:rFonts w:ascii="新宋体" w:hAnsi="新宋体" w:eastAsia="新宋体" w:cs="Times New Roman"/>
                <w:color w:val="auto"/>
                <w:sz w:val="18"/>
                <w:szCs w:val="18"/>
                <w:highlight w:val="none"/>
              </w:rPr>
            </w:pPr>
          </w:p>
        </w:tc>
        <w:tc>
          <w:tcPr>
            <w:tcW w:w="1820" w:type="dxa"/>
            <w:vAlign w:val="center"/>
          </w:tcPr>
          <w:p w14:paraId="428B5BBA">
            <w:pPr>
              <w:pStyle w:val="228"/>
              <w:snapToGrid w:val="0"/>
              <w:jc w:val="center"/>
              <w:rPr>
                <w:rFonts w:ascii="新宋体" w:hAnsi="新宋体" w:eastAsia="新宋体" w:cs="Times New Roman"/>
                <w:color w:val="auto"/>
                <w:sz w:val="18"/>
                <w:szCs w:val="18"/>
                <w:highlight w:val="none"/>
              </w:rPr>
            </w:pPr>
          </w:p>
        </w:tc>
        <w:tc>
          <w:tcPr>
            <w:tcW w:w="951" w:type="dxa"/>
            <w:vAlign w:val="center"/>
          </w:tcPr>
          <w:p w14:paraId="049C924F">
            <w:pPr>
              <w:pStyle w:val="228"/>
              <w:snapToGrid w:val="0"/>
              <w:jc w:val="center"/>
              <w:rPr>
                <w:rFonts w:ascii="新宋体" w:hAnsi="新宋体" w:eastAsia="新宋体" w:cs="Times New Roman"/>
                <w:color w:val="auto"/>
                <w:sz w:val="18"/>
                <w:szCs w:val="18"/>
                <w:highlight w:val="none"/>
              </w:rPr>
            </w:pPr>
          </w:p>
        </w:tc>
        <w:tc>
          <w:tcPr>
            <w:tcW w:w="658" w:type="dxa"/>
            <w:vAlign w:val="center"/>
          </w:tcPr>
          <w:p w14:paraId="456DA83D">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w:t>
            </w:r>
          </w:p>
        </w:tc>
        <w:tc>
          <w:tcPr>
            <w:tcW w:w="2809" w:type="dxa"/>
            <w:vMerge w:val="restart"/>
            <w:vAlign w:val="center"/>
          </w:tcPr>
          <w:p w14:paraId="6A0899D5">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采样前，用洗涤剂和水依次洗净采样瓶，置于硝酸浸泡</w:t>
            </w:r>
            <w:r>
              <w:rPr>
                <w:rFonts w:ascii="新宋体" w:hAnsi="新宋体" w:eastAsia="新宋体"/>
                <w:color w:val="auto"/>
                <w:sz w:val="18"/>
                <w:szCs w:val="18"/>
                <w:highlight w:val="none"/>
              </w:rPr>
              <w:t>24h</w:t>
            </w:r>
            <w:r>
              <w:rPr>
                <w:rFonts w:hint="eastAsia" w:ascii="新宋体" w:hAnsi="新宋体" w:eastAsia="新宋体"/>
                <w:color w:val="auto"/>
                <w:sz w:val="18"/>
                <w:szCs w:val="18"/>
                <w:highlight w:val="none"/>
              </w:rPr>
              <w:t>，用实验用水彻底洗净。</w:t>
            </w:r>
          </w:p>
        </w:tc>
      </w:tr>
      <w:tr w14:paraId="00A83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4C3F90A6">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25</w:t>
            </w:r>
          </w:p>
        </w:tc>
        <w:tc>
          <w:tcPr>
            <w:tcW w:w="2284" w:type="dxa"/>
            <w:vAlign w:val="center"/>
          </w:tcPr>
          <w:p w14:paraId="6379DB93">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32种元素的测定电感耦合等离子发射光谱</w:t>
            </w:r>
            <w:r>
              <w:rPr>
                <w:rFonts w:hint="eastAsia" w:ascii="新宋体" w:hAnsi="新宋体" w:eastAsia="新宋体"/>
                <w:color w:val="auto"/>
                <w:sz w:val="18"/>
                <w:szCs w:val="18"/>
                <w:highlight w:val="none"/>
              </w:rPr>
              <w:t>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 776-2015</w:t>
            </w:r>
          </w:p>
        </w:tc>
        <w:tc>
          <w:tcPr>
            <w:tcW w:w="1086" w:type="dxa"/>
            <w:vAlign w:val="center"/>
          </w:tcPr>
          <w:p w14:paraId="3844DAD8">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聚乙烯瓶</w:t>
            </w:r>
          </w:p>
        </w:tc>
        <w:tc>
          <w:tcPr>
            <w:tcW w:w="1820" w:type="dxa"/>
            <w:vAlign w:val="center"/>
          </w:tcPr>
          <w:p w14:paraId="11A19292">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硝酸，使</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2</w:t>
            </w:r>
          </w:p>
        </w:tc>
        <w:tc>
          <w:tcPr>
            <w:tcW w:w="951" w:type="dxa"/>
            <w:vAlign w:val="center"/>
          </w:tcPr>
          <w:p w14:paraId="526D49AB">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14</w:t>
            </w:r>
            <w:r>
              <w:rPr>
                <w:rFonts w:hint="eastAsia" w:ascii="新宋体" w:hAnsi="新宋体" w:eastAsia="新宋体"/>
                <w:color w:val="auto"/>
                <w:sz w:val="18"/>
                <w:szCs w:val="18"/>
                <w:highlight w:val="none"/>
              </w:rPr>
              <w:t>天</w:t>
            </w:r>
          </w:p>
        </w:tc>
        <w:tc>
          <w:tcPr>
            <w:tcW w:w="658" w:type="dxa"/>
            <w:vAlign w:val="center"/>
          </w:tcPr>
          <w:p w14:paraId="06E5D721">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w:t>
            </w:r>
          </w:p>
        </w:tc>
        <w:tc>
          <w:tcPr>
            <w:tcW w:w="2809" w:type="dxa"/>
            <w:vMerge w:val="continue"/>
            <w:vAlign w:val="center"/>
          </w:tcPr>
          <w:p w14:paraId="27F5770B">
            <w:pPr>
              <w:pStyle w:val="228"/>
              <w:snapToGrid w:val="0"/>
              <w:jc w:val="center"/>
              <w:rPr>
                <w:rFonts w:ascii="新宋体" w:hAnsi="新宋体" w:eastAsia="新宋体" w:cs="Times New Roman"/>
                <w:color w:val="auto"/>
                <w:sz w:val="18"/>
                <w:szCs w:val="18"/>
                <w:highlight w:val="none"/>
              </w:rPr>
            </w:pPr>
          </w:p>
        </w:tc>
      </w:tr>
      <w:tr w14:paraId="0C7B2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36FB69A4">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26</w:t>
            </w:r>
          </w:p>
        </w:tc>
        <w:tc>
          <w:tcPr>
            <w:tcW w:w="2284" w:type="dxa"/>
            <w:vAlign w:val="center"/>
          </w:tcPr>
          <w:p w14:paraId="5E9B59DD">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水质铜、锌、铅、镉的测定原子吸收分光光度法</w:t>
            </w:r>
            <w:r>
              <w:rPr>
                <w:rFonts w:ascii="新宋体" w:hAnsi="新宋体" w:eastAsia="新宋体"/>
                <w:color w:val="auto"/>
                <w:sz w:val="18"/>
                <w:szCs w:val="18"/>
                <w:highlight w:val="none"/>
              </w:rPr>
              <w:t>GB 7475-87</w:t>
            </w:r>
          </w:p>
        </w:tc>
        <w:tc>
          <w:tcPr>
            <w:tcW w:w="1086" w:type="dxa"/>
            <w:vAlign w:val="center"/>
          </w:tcPr>
          <w:p w14:paraId="5C337FFA">
            <w:pPr>
              <w:pStyle w:val="228"/>
              <w:snapToGrid w:val="0"/>
              <w:jc w:val="center"/>
              <w:rPr>
                <w:rFonts w:ascii="新宋体" w:hAnsi="新宋体" w:eastAsia="新宋体" w:cs="Times New Roman"/>
                <w:color w:val="auto"/>
                <w:sz w:val="18"/>
                <w:szCs w:val="18"/>
                <w:highlight w:val="none"/>
              </w:rPr>
            </w:pPr>
          </w:p>
        </w:tc>
        <w:tc>
          <w:tcPr>
            <w:tcW w:w="1820" w:type="dxa"/>
            <w:vAlign w:val="center"/>
          </w:tcPr>
          <w:p w14:paraId="287DD95F">
            <w:pPr>
              <w:pStyle w:val="228"/>
              <w:snapToGrid w:val="0"/>
              <w:jc w:val="center"/>
              <w:rPr>
                <w:rFonts w:ascii="新宋体" w:hAnsi="新宋体" w:eastAsia="新宋体" w:cs="Times New Roman"/>
                <w:color w:val="auto"/>
                <w:sz w:val="18"/>
                <w:szCs w:val="18"/>
                <w:highlight w:val="none"/>
              </w:rPr>
            </w:pPr>
          </w:p>
        </w:tc>
        <w:tc>
          <w:tcPr>
            <w:tcW w:w="951" w:type="dxa"/>
            <w:vAlign w:val="center"/>
          </w:tcPr>
          <w:p w14:paraId="0AD4E183">
            <w:pPr>
              <w:pStyle w:val="228"/>
              <w:snapToGrid w:val="0"/>
              <w:jc w:val="center"/>
              <w:rPr>
                <w:rFonts w:ascii="新宋体" w:hAnsi="新宋体" w:eastAsia="新宋体" w:cs="Times New Roman"/>
                <w:color w:val="auto"/>
                <w:sz w:val="18"/>
                <w:szCs w:val="18"/>
                <w:highlight w:val="none"/>
              </w:rPr>
            </w:pPr>
          </w:p>
        </w:tc>
        <w:tc>
          <w:tcPr>
            <w:tcW w:w="658" w:type="dxa"/>
            <w:vAlign w:val="center"/>
          </w:tcPr>
          <w:p w14:paraId="228A3AF3">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250</w:t>
            </w:r>
          </w:p>
        </w:tc>
        <w:tc>
          <w:tcPr>
            <w:tcW w:w="2809" w:type="dxa"/>
            <w:vAlign w:val="center"/>
          </w:tcPr>
          <w:p w14:paraId="17498A12">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采集后立即通过</w:t>
            </w:r>
            <w:r>
              <w:rPr>
                <w:rFonts w:ascii="新宋体" w:hAnsi="新宋体" w:eastAsia="新宋体" w:cs="Times New Roman"/>
                <w:color w:val="auto"/>
                <w:sz w:val="18"/>
                <w:szCs w:val="18"/>
                <w:highlight w:val="none"/>
              </w:rPr>
              <w:t>0.45μm</w:t>
            </w:r>
            <w:r>
              <w:rPr>
                <w:rFonts w:hint="eastAsia" w:ascii="新宋体" w:hAnsi="新宋体" w:eastAsia="新宋体"/>
                <w:color w:val="auto"/>
                <w:sz w:val="18"/>
                <w:szCs w:val="18"/>
                <w:highlight w:val="none"/>
              </w:rPr>
              <w:t>滤膜过滤，立即酸化</w:t>
            </w:r>
          </w:p>
        </w:tc>
      </w:tr>
      <w:tr w14:paraId="6FBAD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1" w:hRule="atLeast"/>
          <w:jc w:val="center"/>
        </w:trPr>
        <w:tc>
          <w:tcPr>
            <w:tcW w:w="598" w:type="dxa"/>
            <w:vAlign w:val="center"/>
          </w:tcPr>
          <w:p w14:paraId="6E80D50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27</w:t>
            </w:r>
          </w:p>
        </w:tc>
        <w:tc>
          <w:tcPr>
            <w:tcW w:w="2284" w:type="dxa"/>
            <w:vAlign w:val="center"/>
          </w:tcPr>
          <w:p w14:paraId="7B3BC265">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水质汞、砷、硒、铋和锑的测定原子荧光法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 694-2014</w:t>
            </w:r>
          </w:p>
        </w:tc>
        <w:tc>
          <w:tcPr>
            <w:tcW w:w="1086" w:type="dxa"/>
            <w:vAlign w:val="center"/>
          </w:tcPr>
          <w:p w14:paraId="7CF1A348">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聚乙烯瓶</w:t>
            </w:r>
          </w:p>
        </w:tc>
        <w:tc>
          <w:tcPr>
            <w:tcW w:w="1820" w:type="dxa"/>
            <w:vAlign w:val="center"/>
          </w:tcPr>
          <w:p w14:paraId="20BE6423">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1L水中加入5mL浓盐</w:t>
            </w:r>
            <w:r>
              <w:rPr>
                <w:rFonts w:hint="eastAsia" w:ascii="新宋体" w:hAnsi="新宋体" w:eastAsia="新宋体"/>
                <w:color w:val="auto"/>
                <w:sz w:val="18"/>
                <w:szCs w:val="18"/>
                <w:highlight w:val="none"/>
              </w:rPr>
              <w:t>酸</w:t>
            </w:r>
          </w:p>
        </w:tc>
        <w:tc>
          <w:tcPr>
            <w:tcW w:w="951" w:type="dxa"/>
            <w:vAlign w:val="center"/>
          </w:tcPr>
          <w:p w14:paraId="080CE33D">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14</w:t>
            </w:r>
            <w:r>
              <w:rPr>
                <w:rFonts w:hint="eastAsia" w:ascii="新宋体" w:hAnsi="新宋体" w:eastAsia="新宋体"/>
                <w:color w:val="auto"/>
                <w:sz w:val="18"/>
                <w:szCs w:val="18"/>
                <w:highlight w:val="none"/>
              </w:rPr>
              <w:t>天</w:t>
            </w:r>
          </w:p>
        </w:tc>
        <w:tc>
          <w:tcPr>
            <w:tcW w:w="658" w:type="dxa"/>
            <w:vAlign w:val="center"/>
          </w:tcPr>
          <w:p w14:paraId="601586F9">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250</w:t>
            </w:r>
          </w:p>
        </w:tc>
        <w:tc>
          <w:tcPr>
            <w:tcW w:w="2809" w:type="dxa"/>
            <w:vAlign w:val="center"/>
          </w:tcPr>
          <w:p w14:paraId="0DD09D06">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123C1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5" w:hRule="atLeast"/>
          <w:jc w:val="center"/>
        </w:trPr>
        <w:tc>
          <w:tcPr>
            <w:tcW w:w="598" w:type="dxa"/>
            <w:vAlign w:val="center"/>
          </w:tcPr>
          <w:p w14:paraId="148401B4">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28</w:t>
            </w:r>
          </w:p>
        </w:tc>
        <w:tc>
          <w:tcPr>
            <w:tcW w:w="2284" w:type="dxa"/>
            <w:vAlign w:val="center"/>
          </w:tcPr>
          <w:p w14:paraId="7025301C">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水质总汞的测定冷原子吸收分光光度法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 597-2011</w:t>
            </w:r>
          </w:p>
        </w:tc>
        <w:tc>
          <w:tcPr>
            <w:tcW w:w="1086" w:type="dxa"/>
            <w:vAlign w:val="center"/>
          </w:tcPr>
          <w:p w14:paraId="095DADD0">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聚乙烯瓶</w:t>
            </w:r>
          </w:p>
        </w:tc>
        <w:tc>
          <w:tcPr>
            <w:tcW w:w="1820" w:type="dxa"/>
            <w:vAlign w:val="center"/>
          </w:tcPr>
          <w:p w14:paraId="19167ABF">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1L</w:t>
            </w:r>
            <w:r>
              <w:rPr>
                <w:rFonts w:hint="eastAsia" w:ascii="新宋体" w:hAnsi="新宋体" w:eastAsia="新宋体"/>
                <w:color w:val="auto"/>
                <w:sz w:val="18"/>
                <w:szCs w:val="18"/>
                <w:highlight w:val="none"/>
              </w:rPr>
              <w:t>水中加入</w:t>
            </w:r>
            <w:r>
              <w:rPr>
                <w:rFonts w:ascii="新宋体" w:hAnsi="新宋体" w:eastAsia="新宋体" w:cs="Times New Roman"/>
                <w:color w:val="auto"/>
                <w:sz w:val="18"/>
                <w:szCs w:val="18"/>
                <w:highlight w:val="none"/>
              </w:rPr>
              <w:t>10mL</w:t>
            </w:r>
            <w:r>
              <w:rPr>
                <w:rFonts w:hint="eastAsia" w:ascii="新宋体" w:hAnsi="新宋体" w:eastAsia="新宋体"/>
                <w:color w:val="auto"/>
                <w:sz w:val="18"/>
                <w:szCs w:val="18"/>
                <w:highlight w:val="none"/>
              </w:rPr>
              <w:t>浓盐酸，加入</w:t>
            </w:r>
            <w:r>
              <w:rPr>
                <w:rFonts w:ascii="新宋体" w:hAnsi="新宋体" w:eastAsia="新宋体" w:cs="Times New Roman"/>
                <w:color w:val="auto"/>
                <w:sz w:val="18"/>
                <w:szCs w:val="18"/>
                <w:highlight w:val="none"/>
              </w:rPr>
              <w:t>0.5g</w:t>
            </w:r>
            <w:r>
              <w:rPr>
                <w:rFonts w:hint="eastAsia" w:ascii="新宋体" w:hAnsi="新宋体" w:eastAsia="新宋体"/>
                <w:color w:val="auto"/>
                <w:sz w:val="18"/>
                <w:szCs w:val="18"/>
                <w:highlight w:val="none"/>
              </w:rPr>
              <w:t>重铬酸钾，若橙色消失，适量补加重铬酸钾</w:t>
            </w:r>
          </w:p>
        </w:tc>
        <w:tc>
          <w:tcPr>
            <w:tcW w:w="951" w:type="dxa"/>
            <w:vAlign w:val="center"/>
          </w:tcPr>
          <w:p w14:paraId="0F3642C6">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30</w:t>
            </w:r>
            <w:r>
              <w:rPr>
                <w:rFonts w:hint="eastAsia" w:ascii="新宋体" w:hAnsi="新宋体" w:eastAsia="新宋体"/>
                <w:color w:val="auto"/>
                <w:sz w:val="18"/>
                <w:szCs w:val="18"/>
                <w:highlight w:val="none"/>
              </w:rPr>
              <w:t>天</w:t>
            </w:r>
          </w:p>
        </w:tc>
        <w:tc>
          <w:tcPr>
            <w:tcW w:w="658" w:type="dxa"/>
            <w:vAlign w:val="center"/>
          </w:tcPr>
          <w:p w14:paraId="43F8D94D">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Align w:val="center"/>
          </w:tcPr>
          <w:p w14:paraId="0BACE429">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样品应充满样品瓶</w:t>
            </w:r>
          </w:p>
        </w:tc>
      </w:tr>
      <w:tr w14:paraId="718E9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75735E3E">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29</w:t>
            </w:r>
          </w:p>
        </w:tc>
        <w:tc>
          <w:tcPr>
            <w:tcW w:w="2284" w:type="dxa"/>
            <w:vAlign w:val="center"/>
          </w:tcPr>
          <w:p w14:paraId="7A2C7830">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水质甲醛的测定乙酰丙酮分光光度法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 601</w:t>
            </w:r>
            <w:r>
              <w:rPr>
                <w:rFonts w:ascii="新宋体" w:hAnsi="新宋体" w:eastAsia="新宋体" w:cs="Times New Roman"/>
                <w:color w:val="auto"/>
                <w:sz w:val="18"/>
                <w:szCs w:val="18"/>
                <w:highlight w:val="none"/>
              </w:rPr>
              <w:softHyphen/>
            </w:r>
            <w:r>
              <w:rPr>
                <w:rFonts w:ascii="新宋体" w:hAnsi="新宋体" w:eastAsia="新宋体" w:cs="Times New Roman"/>
                <w:color w:val="auto"/>
                <w:sz w:val="18"/>
                <w:szCs w:val="18"/>
                <w:highlight w:val="none"/>
              </w:rPr>
              <w:t>2011</w:t>
            </w:r>
          </w:p>
        </w:tc>
        <w:tc>
          <w:tcPr>
            <w:tcW w:w="1086" w:type="dxa"/>
            <w:vAlign w:val="center"/>
          </w:tcPr>
          <w:p w14:paraId="1F4F6FE1">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玻璃瓶或聚乙烯瓶</w:t>
            </w:r>
          </w:p>
        </w:tc>
        <w:tc>
          <w:tcPr>
            <w:tcW w:w="1820" w:type="dxa"/>
            <w:vAlign w:val="center"/>
          </w:tcPr>
          <w:p w14:paraId="78449DE9">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1L水中加入1mL浓硫</w:t>
            </w:r>
            <w:r>
              <w:rPr>
                <w:rFonts w:hint="eastAsia" w:ascii="新宋体" w:hAnsi="新宋体" w:eastAsia="新宋体"/>
                <w:color w:val="auto"/>
                <w:sz w:val="18"/>
                <w:szCs w:val="18"/>
                <w:highlight w:val="none"/>
              </w:rPr>
              <w:t>酸</w:t>
            </w:r>
          </w:p>
        </w:tc>
        <w:tc>
          <w:tcPr>
            <w:tcW w:w="951" w:type="dxa"/>
            <w:vAlign w:val="center"/>
          </w:tcPr>
          <w:p w14:paraId="5ADA4575">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24小</w:t>
            </w:r>
            <w:r>
              <w:rPr>
                <w:rFonts w:hint="eastAsia" w:ascii="新宋体" w:hAnsi="新宋体" w:eastAsia="新宋体"/>
                <w:color w:val="auto"/>
                <w:sz w:val="18"/>
                <w:szCs w:val="18"/>
                <w:highlight w:val="none"/>
              </w:rPr>
              <w:t>时</w:t>
            </w:r>
          </w:p>
        </w:tc>
        <w:tc>
          <w:tcPr>
            <w:tcW w:w="658" w:type="dxa"/>
            <w:vAlign w:val="center"/>
          </w:tcPr>
          <w:p w14:paraId="13625717">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200</w:t>
            </w:r>
          </w:p>
        </w:tc>
        <w:tc>
          <w:tcPr>
            <w:tcW w:w="2809" w:type="dxa"/>
            <w:vAlign w:val="center"/>
          </w:tcPr>
          <w:p w14:paraId="7E41F438">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采集时应使水样从瓶口溢出后盖上瓶塞塞紧</w:t>
            </w:r>
          </w:p>
        </w:tc>
      </w:tr>
      <w:tr w14:paraId="0746F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1AAA82E0">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30</w:t>
            </w:r>
          </w:p>
        </w:tc>
        <w:tc>
          <w:tcPr>
            <w:tcW w:w="2284" w:type="dxa"/>
            <w:vAlign w:val="center"/>
          </w:tcPr>
          <w:p w14:paraId="4329AFFB">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水质六价铬的测定二苯碳酰二肼分光光度法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GB 7467-87</w:t>
            </w:r>
          </w:p>
        </w:tc>
        <w:tc>
          <w:tcPr>
            <w:tcW w:w="1086" w:type="dxa"/>
            <w:vAlign w:val="center"/>
          </w:tcPr>
          <w:p w14:paraId="7395E135">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玻璃瓶</w:t>
            </w:r>
          </w:p>
        </w:tc>
        <w:tc>
          <w:tcPr>
            <w:tcW w:w="1820" w:type="dxa"/>
            <w:vAlign w:val="center"/>
          </w:tcPr>
          <w:p w14:paraId="620F7938">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氢氧化钠，使</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约为</w:t>
            </w:r>
            <w:r>
              <w:rPr>
                <w:rFonts w:ascii="新宋体" w:hAnsi="新宋体" w:eastAsia="新宋体"/>
                <w:color w:val="auto"/>
                <w:sz w:val="18"/>
                <w:szCs w:val="18"/>
                <w:highlight w:val="none"/>
              </w:rPr>
              <w:t>8</w:t>
            </w:r>
          </w:p>
        </w:tc>
        <w:tc>
          <w:tcPr>
            <w:tcW w:w="951" w:type="dxa"/>
            <w:vAlign w:val="center"/>
          </w:tcPr>
          <w:p w14:paraId="377EC95C">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24小</w:t>
            </w:r>
            <w:r>
              <w:rPr>
                <w:rFonts w:hint="eastAsia" w:ascii="新宋体" w:hAnsi="新宋体" w:eastAsia="新宋体"/>
                <w:color w:val="auto"/>
                <w:sz w:val="18"/>
                <w:szCs w:val="18"/>
                <w:highlight w:val="none"/>
              </w:rPr>
              <w:t>时</w:t>
            </w:r>
          </w:p>
        </w:tc>
        <w:tc>
          <w:tcPr>
            <w:tcW w:w="658" w:type="dxa"/>
            <w:vAlign w:val="center"/>
          </w:tcPr>
          <w:p w14:paraId="2F2EC56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250</w:t>
            </w:r>
          </w:p>
        </w:tc>
        <w:tc>
          <w:tcPr>
            <w:tcW w:w="2809" w:type="dxa"/>
            <w:vAlign w:val="center"/>
          </w:tcPr>
          <w:p w14:paraId="42466335">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采集后尽快测定</w:t>
            </w:r>
          </w:p>
        </w:tc>
      </w:tr>
      <w:tr w14:paraId="5531C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1CB42CB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31</w:t>
            </w:r>
          </w:p>
        </w:tc>
        <w:tc>
          <w:tcPr>
            <w:tcW w:w="2284" w:type="dxa"/>
            <w:vAlign w:val="center"/>
          </w:tcPr>
          <w:p w14:paraId="1AA39562">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水质六价铬的测定流动注射</w:t>
            </w:r>
            <w:r>
              <w:rPr>
                <w:rFonts w:ascii="新宋体" w:hAnsi="新宋体" w:eastAsia="新宋体" w:cs="Times New Roman"/>
                <w:color w:val="auto"/>
                <w:sz w:val="18"/>
                <w:szCs w:val="18"/>
                <w:highlight w:val="none"/>
              </w:rPr>
              <w:t>-</w:t>
            </w:r>
            <w:r>
              <w:rPr>
                <w:rFonts w:hint="eastAsia" w:ascii="新宋体" w:hAnsi="新宋体" w:eastAsia="新宋体"/>
                <w:color w:val="auto"/>
                <w:sz w:val="18"/>
                <w:szCs w:val="18"/>
                <w:highlight w:val="none"/>
              </w:rPr>
              <w:t>二苯碳酰二肼光度法</w:t>
            </w:r>
            <w:r>
              <w:rPr>
                <w:rFonts w:ascii="新宋体" w:hAnsi="新宋体" w:eastAsia="新宋体" w:cs="Times New Roman"/>
                <w:color w:val="auto"/>
                <w:sz w:val="18"/>
                <w:szCs w:val="18"/>
                <w:highlight w:val="none"/>
              </w:rPr>
              <w:t>HJ 908-2017</w:t>
            </w:r>
          </w:p>
        </w:tc>
        <w:tc>
          <w:tcPr>
            <w:tcW w:w="1086" w:type="dxa"/>
            <w:vAlign w:val="center"/>
          </w:tcPr>
          <w:p w14:paraId="5B37E958">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玻璃瓶</w:t>
            </w:r>
          </w:p>
        </w:tc>
        <w:tc>
          <w:tcPr>
            <w:tcW w:w="1820" w:type="dxa"/>
            <w:vAlign w:val="center"/>
          </w:tcPr>
          <w:p w14:paraId="763482C5">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氢氧化钠，使</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至</w:t>
            </w:r>
            <w:r>
              <w:rPr>
                <w:rFonts w:ascii="新宋体" w:hAnsi="新宋体" w:eastAsia="新宋体"/>
                <w:color w:val="auto"/>
                <w:sz w:val="18"/>
                <w:szCs w:val="18"/>
                <w:highlight w:val="none"/>
              </w:rPr>
              <w:t>8-9</w:t>
            </w:r>
          </w:p>
        </w:tc>
        <w:tc>
          <w:tcPr>
            <w:tcW w:w="951" w:type="dxa"/>
            <w:vAlign w:val="center"/>
          </w:tcPr>
          <w:p w14:paraId="31257C2F">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24小</w:t>
            </w:r>
            <w:r>
              <w:rPr>
                <w:rFonts w:hint="eastAsia" w:ascii="新宋体" w:hAnsi="新宋体" w:eastAsia="新宋体"/>
                <w:color w:val="auto"/>
                <w:sz w:val="18"/>
                <w:szCs w:val="18"/>
                <w:highlight w:val="none"/>
              </w:rPr>
              <w:t>时</w:t>
            </w:r>
          </w:p>
        </w:tc>
        <w:tc>
          <w:tcPr>
            <w:tcW w:w="658" w:type="dxa"/>
            <w:vAlign w:val="center"/>
          </w:tcPr>
          <w:p w14:paraId="5CD9D4AE">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250</w:t>
            </w:r>
          </w:p>
        </w:tc>
        <w:tc>
          <w:tcPr>
            <w:tcW w:w="2809" w:type="dxa"/>
            <w:vAlign w:val="center"/>
          </w:tcPr>
          <w:p w14:paraId="3C00DFB6">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683D0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72" w:hRule="atLeast"/>
          <w:jc w:val="center"/>
        </w:trPr>
        <w:tc>
          <w:tcPr>
            <w:tcW w:w="598" w:type="dxa"/>
            <w:vAlign w:val="center"/>
          </w:tcPr>
          <w:p w14:paraId="72B043D0">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32</w:t>
            </w:r>
          </w:p>
        </w:tc>
        <w:tc>
          <w:tcPr>
            <w:tcW w:w="2284" w:type="dxa"/>
            <w:vAlign w:val="center"/>
          </w:tcPr>
          <w:p w14:paraId="41450B45">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水质多环芳烃的测定液液萃取和固相萃取高效液相色谱法</w:t>
            </w:r>
            <w:r>
              <w:rPr>
                <w:rFonts w:ascii="新宋体" w:hAnsi="新宋体" w:eastAsia="新宋体" w:cs="Times New Roman"/>
                <w:color w:val="auto"/>
                <w:sz w:val="18"/>
                <w:szCs w:val="18"/>
                <w:highlight w:val="none"/>
              </w:rPr>
              <w:t>HJ 478-2009</w:t>
            </w:r>
          </w:p>
        </w:tc>
        <w:tc>
          <w:tcPr>
            <w:tcW w:w="1086" w:type="dxa"/>
            <w:vAlign w:val="center"/>
          </w:tcPr>
          <w:p w14:paraId="21D75C4F">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69B1353D">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1L水中加入80mg硫代硫酸</w:t>
            </w:r>
            <w:r>
              <w:rPr>
                <w:rFonts w:hint="eastAsia" w:ascii="新宋体" w:hAnsi="新宋体" w:eastAsia="新宋体"/>
                <w:color w:val="auto"/>
                <w:sz w:val="18"/>
                <w:szCs w:val="18"/>
                <w:highlight w:val="none"/>
              </w:rPr>
              <w:t>钠</w:t>
            </w:r>
          </w:p>
        </w:tc>
        <w:tc>
          <w:tcPr>
            <w:tcW w:w="951" w:type="dxa"/>
            <w:vAlign w:val="center"/>
          </w:tcPr>
          <w:p w14:paraId="6D176368">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以下避光保存7</w:t>
            </w:r>
            <w:r>
              <w:rPr>
                <w:rFonts w:hint="eastAsia" w:ascii="新宋体" w:hAnsi="新宋体" w:eastAsia="新宋体"/>
                <w:color w:val="auto"/>
                <w:sz w:val="18"/>
                <w:szCs w:val="18"/>
                <w:highlight w:val="none"/>
              </w:rPr>
              <w:t>天</w:t>
            </w:r>
          </w:p>
        </w:tc>
        <w:tc>
          <w:tcPr>
            <w:tcW w:w="658" w:type="dxa"/>
            <w:vAlign w:val="center"/>
          </w:tcPr>
          <w:p w14:paraId="4E41E7BB">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Align w:val="center"/>
          </w:tcPr>
          <w:p w14:paraId="602EC4D4">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1、样品必须采集在预先洗净烘干的采样瓶中，采样前不能用水样预洗采样瓶，以防止样品的沾染或吸附</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2、采样瓶要完全注满，不留气泡</w:t>
            </w:r>
            <w:r>
              <w:rPr>
                <w:rFonts w:hint="eastAsia" w:ascii="新宋体" w:hAnsi="新宋体" w:eastAsia="新宋体"/>
                <w:color w:val="auto"/>
                <w:sz w:val="18"/>
                <w:szCs w:val="18"/>
                <w:highlight w:val="none"/>
              </w:rPr>
              <w:t>。</w:t>
            </w:r>
          </w:p>
        </w:tc>
      </w:tr>
      <w:tr w14:paraId="411CE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7" w:hRule="atLeast"/>
          <w:jc w:val="center"/>
        </w:trPr>
        <w:tc>
          <w:tcPr>
            <w:tcW w:w="598" w:type="dxa"/>
            <w:vAlign w:val="center"/>
          </w:tcPr>
          <w:p w14:paraId="1481BE76">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33</w:t>
            </w:r>
          </w:p>
        </w:tc>
        <w:tc>
          <w:tcPr>
            <w:tcW w:w="2284" w:type="dxa"/>
            <w:vAlign w:val="center"/>
          </w:tcPr>
          <w:p w14:paraId="44F1D2C2">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生活饮用水标准检验方法消毒副产物指标（</w:t>
            </w:r>
            <w:r>
              <w:rPr>
                <w:rFonts w:ascii="新宋体" w:hAnsi="新宋体" w:eastAsia="新宋体" w:cs="Times New Roman"/>
                <w:color w:val="auto"/>
                <w:sz w:val="18"/>
                <w:szCs w:val="18"/>
                <w:highlight w:val="none"/>
              </w:rPr>
              <w:t>12.1</w:t>
            </w:r>
            <w:r>
              <w:rPr>
                <w:rFonts w:hint="eastAsia" w:ascii="新宋体" w:hAnsi="新宋体" w:eastAsia="新宋体"/>
                <w:color w:val="auto"/>
                <w:sz w:val="18"/>
                <w:szCs w:val="18"/>
                <w:highlight w:val="none"/>
              </w:rPr>
              <w:t>乙醛气相色谱法）</w:t>
            </w:r>
            <w:r>
              <w:rPr>
                <w:rFonts w:ascii="新宋体" w:hAnsi="新宋体" w:eastAsia="新宋体" w:cs="Times New Roman"/>
                <w:color w:val="auto"/>
                <w:sz w:val="18"/>
                <w:szCs w:val="18"/>
                <w:highlight w:val="none"/>
              </w:rPr>
              <w:t>GB/T 5750.10-2023</w:t>
            </w:r>
          </w:p>
        </w:tc>
        <w:tc>
          <w:tcPr>
            <w:tcW w:w="1086" w:type="dxa"/>
            <w:vAlign w:val="center"/>
          </w:tcPr>
          <w:p w14:paraId="096A6E81">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玻璃瓶</w:t>
            </w:r>
          </w:p>
        </w:tc>
        <w:tc>
          <w:tcPr>
            <w:tcW w:w="1820" w:type="dxa"/>
            <w:vAlign w:val="center"/>
          </w:tcPr>
          <w:p w14:paraId="57D7C9BC">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c>
          <w:tcPr>
            <w:tcW w:w="951" w:type="dxa"/>
            <w:vAlign w:val="center"/>
          </w:tcPr>
          <w:p w14:paraId="3CF8B557">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尽快分析</w:t>
            </w:r>
          </w:p>
        </w:tc>
        <w:tc>
          <w:tcPr>
            <w:tcW w:w="658" w:type="dxa"/>
            <w:vAlign w:val="center"/>
          </w:tcPr>
          <w:p w14:paraId="7D2170B7">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w:t>
            </w:r>
          </w:p>
        </w:tc>
        <w:tc>
          <w:tcPr>
            <w:tcW w:w="2809" w:type="dxa"/>
            <w:vAlign w:val="center"/>
          </w:tcPr>
          <w:p w14:paraId="5D695AD4">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5970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7" w:hRule="atLeast"/>
          <w:jc w:val="center"/>
        </w:trPr>
        <w:tc>
          <w:tcPr>
            <w:tcW w:w="598" w:type="dxa"/>
            <w:vAlign w:val="center"/>
          </w:tcPr>
          <w:p w14:paraId="5E791758">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34</w:t>
            </w:r>
          </w:p>
        </w:tc>
        <w:tc>
          <w:tcPr>
            <w:tcW w:w="2284" w:type="dxa"/>
            <w:vAlign w:val="center"/>
          </w:tcPr>
          <w:p w14:paraId="7C7D0E4F">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水质硝基苯类化合物的测定气相色谱法</w:t>
            </w:r>
            <w:r>
              <w:rPr>
                <w:rFonts w:ascii="新宋体" w:hAnsi="新宋体" w:eastAsia="新宋体"/>
                <w:color w:val="auto"/>
                <w:sz w:val="18"/>
                <w:szCs w:val="18"/>
                <w:highlight w:val="none"/>
              </w:rPr>
              <w:t>HJ 592-2010</w:t>
            </w:r>
          </w:p>
        </w:tc>
        <w:tc>
          <w:tcPr>
            <w:tcW w:w="1086" w:type="dxa"/>
            <w:vAlign w:val="center"/>
          </w:tcPr>
          <w:p w14:paraId="0068A09C">
            <w:pPr>
              <w:pStyle w:val="228"/>
              <w:snapToGrid w:val="0"/>
              <w:jc w:val="center"/>
              <w:rPr>
                <w:rFonts w:ascii="新宋体" w:hAnsi="新宋体" w:eastAsia="新宋体" w:cs="Times New Roman"/>
                <w:color w:val="auto"/>
                <w:sz w:val="18"/>
                <w:szCs w:val="18"/>
                <w:highlight w:val="none"/>
              </w:rPr>
            </w:pPr>
          </w:p>
        </w:tc>
        <w:tc>
          <w:tcPr>
            <w:tcW w:w="1820" w:type="dxa"/>
            <w:vAlign w:val="center"/>
          </w:tcPr>
          <w:p w14:paraId="2455B977">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硫酸，使</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3</w:t>
            </w:r>
          </w:p>
        </w:tc>
        <w:tc>
          <w:tcPr>
            <w:tcW w:w="951" w:type="dxa"/>
            <w:vAlign w:val="center"/>
          </w:tcPr>
          <w:p w14:paraId="3770836B">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7</w:t>
            </w:r>
            <w:r>
              <w:rPr>
                <w:rFonts w:hint="eastAsia" w:ascii="新宋体" w:hAnsi="新宋体" w:eastAsia="新宋体"/>
                <w:color w:val="auto"/>
                <w:sz w:val="18"/>
                <w:szCs w:val="18"/>
                <w:highlight w:val="none"/>
              </w:rPr>
              <w:t>天</w:t>
            </w:r>
          </w:p>
        </w:tc>
        <w:tc>
          <w:tcPr>
            <w:tcW w:w="658" w:type="dxa"/>
            <w:vAlign w:val="center"/>
          </w:tcPr>
          <w:p w14:paraId="486CCF8B">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Align w:val="center"/>
          </w:tcPr>
          <w:p w14:paraId="3D9D5D8F">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7D065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16" w:hRule="atLeast"/>
          <w:jc w:val="center"/>
        </w:trPr>
        <w:tc>
          <w:tcPr>
            <w:tcW w:w="598" w:type="dxa"/>
            <w:vAlign w:val="center"/>
          </w:tcPr>
          <w:p w14:paraId="765EAE84">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35</w:t>
            </w:r>
          </w:p>
        </w:tc>
        <w:tc>
          <w:tcPr>
            <w:tcW w:w="2284" w:type="dxa"/>
            <w:vAlign w:val="center"/>
          </w:tcPr>
          <w:p w14:paraId="5F7C3C13">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水质硝基苯类化合物的测定气相色谱</w:t>
            </w:r>
            <w:r>
              <w:rPr>
                <w:rFonts w:ascii="新宋体" w:hAnsi="新宋体" w:eastAsia="新宋体" w:cs="Times New Roman"/>
                <w:color w:val="auto"/>
                <w:sz w:val="18"/>
                <w:szCs w:val="18"/>
                <w:highlight w:val="none"/>
              </w:rPr>
              <w:t>-</w:t>
            </w:r>
            <w:r>
              <w:rPr>
                <w:rFonts w:hint="eastAsia" w:ascii="新宋体" w:hAnsi="新宋体" w:eastAsia="新宋体"/>
                <w:color w:val="auto"/>
                <w:sz w:val="18"/>
                <w:szCs w:val="18"/>
                <w:highlight w:val="none"/>
              </w:rPr>
              <w:t>质谱法</w:t>
            </w:r>
            <w:r>
              <w:rPr>
                <w:rFonts w:ascii="新宋体" w:hAnsi="新宋体" w:eastAsia="新宋体" w:cs="Times New Roman"/>
                <w:color w:val="auto"/>
                <w:sz w:val="18"/>
                <w:szCs w:val="18"/>
                <w:highlight w:val="none"/>
              </w:rPr>
              <w:t>HJ716-2014</w:t>
            </w:r>
          </w:p>
        </w:tc>
        <w:tc>
          <w:tcPr>
            <w:tcW w:w="1086" w:type="dxa"/>
            <w:vAlign w:val="center"/>
          </w:tcPr>
          <w:p w14:paraId="26F684FC">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0F07CEA7">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1L水中加入80mg硫代硫酸</w:t>
            </w:r>
            <w:r>
              <w:rPr>
                <w:rFonts w:hint="eastAsia" w:ascii="新宋体" w:hAnsi="新宋体" w:eastAsia="新宋体"/>
                <w:color w:val="auto"/>
                <w:sz w:val="18"/>
                <w:szCs w:val="18"/>
                <w:highlight w:val="none"/>
              </w:rPr>
              <w:t>钠</w:t>
            </w:r>
          </w:p>
        </w:tc>
        <w:tc>
          <w:tcPr>
            <w:tcW w:w="951" w:type="dxa"/>
            <w:vAlign w:val="center"/>
          </w:tcPr>
          <w:p w14:paraId="0B7F24DB">
            <w:pPr>
              <w:pStyle w:val="228"/>
              <w:snapToGrid w:val="0"/>
              <w:jc w:val="center"/>
              <w:rPr>
                <w:rFonts w:ascii="新宋体" w:hAnsi="新宋体" w:eastAsia="新宋体"/>
                <w:color w:val="auto"/>
                <w:sz w:val="18"/>
                <w:szCs w:val="18"/>
                <w:highlight w:val="none"/>
              </w:rPr>
            </w:pPr>
            <w:r>
              <w:rPr>
                <w:rFonts w:ascii="新宋体" w:hAnsi="新宋体" w:eastAsia="新宋体"/>
                <w:color w:val="auto"/>
                <w:sz w:val="18"/>
                <w:szCs w:val="18"/>
                <w:highlight w:val="none"/>
              </w:rPr>
              <w:t xml:space="preserve">4 </w:t>
            </w:r>
            <w:r>
              <w:rPr>
                <w:rFonts w:hint="eastAsia" w:ascii="新宋体" w:hAnsi="新宋体" w:eastAsia="新宋体"/>
                <w:color w:val="auto"/>
                <w:sz w:val="18"/>
                <w:szCs w:val="18"/>
                <w:highlight w:val="none"/>
              </w:rPr>
              <w:t>℃以下避光保存</w:t>
            </w:r>
            <w:r>
              <w:rPr>
                <w:rFonts w:ascii="新宋体" w:hAnsi="新宋体" w:eastAsia="新宋体"/>
                <w:color w:val="auto"/>
                <w:sz w:val="18"/>
                <w:szCs w:val="18"/>
                <w:highlight w:val="none"/>
              </w:rPr>
              <w:t>7</w:t>
            </w:r>
            <w:r>
              <w:rPr>
                <w:rFonts w:hint="eastAsia" w:ascii="新宋体" w:hAnsi="新宋体" w:eastAsia="新宋体"/>
                <w:color w:val="auto"/>
                <w:sz w:val="18"/>
                <w:szCs w:val="18"/>
                <w:highlight w:val="none"/>
              </w:rPr>
              <w:t>天</w:t>
            </w:r>
          </w:p>
        </w:tc>
        <w:tc>
          <w:tcPr>
            <w:tcW w:w="658" w:type="dxa"/>
            <w:vAlign w:val="center"/>
          </w:tcPr>
          <w:p w14:paraId="17CEAC97">
            <w:pPr>
              <w:pStyle w:val="228"/>
              <w:snapToGrid w:val="0"/>
              <w:jc w:val="center"/>
              <w:rPr>
                <w:rFonts w:ascii="新宋体" w:hAnsi="新宋体" w:eastAsia="新宋体" w:cs="Times New Roman"/>
                <w:color w:val="auto"/>
                <w:sz w:val="18"/>
                <w:szCs w:val="18"/>
                <w:highlight w:val="none"/>
              </w:rPr>
            </w:pPr>
          </w:p>
        </w:tc>
        <w:tc>
          <w:tcPr>
            <w:tcW w:w="2809" w:type="dxa"/>
            <w:vAlign w:val="center"/>
          </w:tcPr>
          <w:p w14:paraId="55283395">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样品应充满样品瓶</w:t>
            </w:r>
          </w:p>
        </w:tc>
      </w:tr>
      <w:tr w14:paraId="328D1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61" w:hRule="atLeast"/>
          <w:jc w:val="center"/>
        </w:trPr>
        <w:tc>
          <w:tcPr>
            <w:tcW w:w="598" w:type="dxa"/>
            <w:vAlign w:val="center"/>
          </w:tcPr>
          <w:p w14:paraId="3F51E08C">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36</w:t>
            </w:r>
          </w:p>
        </w:tc>
        <w:tc>
          <w:tcPr>
            <w:tcW w:w="2284" w:type="dxa"/>
            <w:vAlign w:val="center"/>
          </w:tcPr>
          <w:p w14:paraId="5CCBFACA">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水质苯系物的测定气相色谱法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GB 11890-89</w:t>
            </w:r>
          </w:p>
        </w:tc>
        <w:tc>
          <w:tcPr>
            <w:tcW w:w="1086" w:type="dxa"/>
            <w:vAlign w:val="center"/>
          </w:tcPr>
          <w:p w14:paraId="7BA68F27">
            <w:pPr>
              <w:pStyle w:val="228"/>
              <w:snapToGrid w:val="0"/>
              <w:jc w:val="center"/>
              <w:rPr>
                <w:rFonts w:ascii="新宋体" w:hAnsi="新宋体" w:eastAsia="新宋体" w:cs="Times New Roman"/>
                <w:color w:val="auto"/>
                <w:sz w:val="18"/>
                <w:szCs w:val="18"/>
                <w:highlight w:val="none"/>
              </w:rPr>
            </w:pPr>
          </w:p>
        </w:tc>
        <w:tc>
          <w:tcPr>
            <w:tcW w:w="1820" w:type="dxa"/>
            <w:vAlign w:val="center"/>
          </w:tcPr>
          <w:p w14:paraId="4B34CC5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c>
          <w:tcPr>
            <w:tcW w:w="951" w:type="dxa"/>
            <w:vAlign w:val="center"/>
          </w:tcPr>
          <w:p w14:paraId="69EC3355">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保存14</w:t>
            </w:r>
            <w:r>
              <w:rPr>
                <w:rFonts w:hint="eastAsia" w:ascii="新宋体" w:hAnsi="新宋体" w:eastAsia="新宋体"/>
                <w:color w:val="auto"/>
                <w:sz w:val="18"/>
                <w:szCs w:val="18"/>
                <w:highlight w:val="none"/>
              </w:rPr>
              <w:t>天</w:t>
            </w:r>
          </w:p>
        </w:tc>
        <w:tc>
          <w:tcPr>
            <w:tcW w:w="658" w:type="dxa"/>
            <w:vAlign w:val="center"/>
          </w:tcPr>
          <w:p w14:paraId="35661879">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500</w:t>
            </w:r>
          </w:p>
        </w:tc>
        <w:tc>
          <w:tcPr>
            <w:tcW w:w="2809" w:type="dxa"/>
            <w:vAlign w:val="center"/>
          </w:tcPr>
          <w:p w14:paraId="4444B2C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003CB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65" w:hRule="atLeast"/>
          <w:jc w:val="center"/>
        </w:trPr>
        <w:tc>
          <w:tcPr>
            <w:tcW w:w="598" w:type="dxa"/>
            <w:vAlign w:val="center"/>
          </w:tcPr>
          <w:p w14:paraId="17D4760B">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37</w:t>
            </w:r>
          </w:p>
        </w:tc>
        <w:tc>
          <w:tcPr>
            <w:tcW w:w="2284" w:type="dxa"/>
            <w:vAlign w:val="center"/>
          </w:tcPr>
          <w:p w14:paraId="2550EE84">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水质苯系物的测定顶空</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气相色谱法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 1067</w:t>
            </w:r>
            <w:r>
              <w:rPr>
                <w:rFonts w:ascii="新宋体" w:hAnsi="新宋体" w:eastAsia="新宋体" w:cs="Times New Roman"/>
                <w:color w:val="auto"/>
                <w:sz w:val="18"/>
                <w:szCs w:val="18"/>
                <w:highlight w:val="none"/>
              </w:rPr>
              <w:softHyphen/>
            </w:r>
            <w:r>
              <w:rPr>
                <w:rFonts w:ascii="新宋体" w:hAnsi="新宋体" w:eastAsia="新宋体" w:cs="Times New Roman"/>
                <w:color w:val="auto"/>
                <w:sz w:val="18"/>
                <w:szCs w:val="18"/>
                <w:highlight w:val="none"/>
              </w:rPr>
              <w:t>2019</w:t>
            </w:r>
          </w:p>
        </w:tc>
        <w:tc>
          <w:tcPr>
            <w:tcW w:w="1086" w:type="dxa"/>
            <w:vAlign w:val="center"/>
          </w:tcPr>
          <w:p w14:paraId="37C6E729">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792B7DDA">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加入适量盐酸，并加入</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25mg抗坏血酸，使pH</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2</w:t>
            </w:r>
          </w:p>
        </w:tc>
        <w:tc>
          <w:tcPr>
            <w:tcW w:w="951" w:type="dxa"/>
            <w:vAlign w:val="center"/>
          </w:tcPr>
          <w:p w14:paraId="58EB471A">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以下避光保存14</w:t>
            </w:r>
            <w:r>
              <w:rPr>
                <w:rFonts w:hint="eastAsia" w:ascii="新宋体" w:hAnsi="新宋体" w:eastAsia="新宋体"/>
                <w:color w:val="auto"/>
                <w:sz w:val="18"/>
                <w:szCs w:val="18"/>
                <w:highlight w:val="none"/>
              </w:rPr>
              <w:t>天</w:t>
            </w:r>
          </w:p>
        </w:tc>
        <w:tc>
          <w:tcPr>
            <w:tcW w:w="658" w:type="dxa"/>
            <w:vAlign w:val="center"/>
          </w:tcPr>
          <w:p w14:paraId="69D8C7B4">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40*2</w:t>
            </w:r>
          </w:p>
        </w:tc>
        <w:tc>
          <w:tcPr>
            <w:tcW w:w="2809" w:type="dxa"/>
            <w:vAlign w:val="center"/>
          </w:tcPr>
          <w:p w14:paraId="40B1F453">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所有样均采集平行双样</w:t>
            </w:r>
          </w:p>
        </w:tc>
      </w:tr>
      <w:tr w14:paraId="58924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937" w:hRule="atLeast"/>
          <w:jc w:val="center"/>
        </w:trPr>
        <w:tc>
          <w:tcPr>
            <w:tcW w:w="598" w:type="dxa"/>
            <w:vAlign w:val="center"/>
          </w:tcPr>
          <w:p w14:paraId="485ACF04">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38</w:t>
            </w:r>
          </w:p>
        </w:tc>
        <w:tc>
          <w:tcPr>
            <w:tcW w:w="2284" w:type="dxa"/>
            <w:vAlign w:val="center"/>
          </w:tcPr>
          <w:p w14:paraId="4D460816">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17</w:t>
            </w:r>
            <w:r>
              <w:rPr>
                <w:rFonts w:hint="eastAsia" w:ascii="新宋体" w:hAnsi="新宋体" w:eastAsia="新宋体"/>
                <w:color w:val="auto"/>
                <w:sz w:val="18"/>
                <w:szCs w:val="18"/>
                <w:highlight w:val="none"/>
              </w:rPr>
              <w:t>种苯胺类化合物的测定液相色谱</w:t>
            </w:r>
            <w:r>
              <w:rPr>
                <w:rFonts w:ascii="新宋体" w:hAnsi="新宋体" w:eastAsia="新宋体" w:cs="Times New Roman"/>
                <w:color w:val="auto"/>
                <w:sz w:val="18"/>
                <w:szCs w:val="18"/>
                <w:highlight w:val="none"/>
              </w:rPr>
              <w:t>-</w:t>
            </w:r>
            <w:r>
              <w:rPr>
                <w:rFonts w:hint="eastAsia" w:ascii="新宋体" w:hAnsi="新宋体" w:eastAsia="新宋体"/>
                <w:color w:val="auto"/>
                <w:sz w:val="18"/>
                <w:szCs w:val="18"/>
                <w:highlight w:val="none"/>
              </w:rPr>
              <w:t>三重四极杆质谱法</w:t>
            </w:r>
            <w:r>
              <w:rPr>
                <w:rFonts w:ascii="新宋体" w:hAnsi="新宋体" w:eastAsia="新宋体" w:cs="Times New Roman"/>
                <w:color w:val="auto"/>
                <w:sz w:val="18"/>
                <w:szCs w:val="18"/>
                <w:highlight w:val="none"/>
              </w:rPr>
              <w:t>HJ 1048-2019</w:t>
            </w:r>
          </w:p>
        </w:tc>
        <w:tc>
          <w:tcPr>
            <w:tcW w:w="1086" w:type="dxa"/>
            <w:vAlign w:val="center"/>
          </w:tcPr>
          <w:p w14:paraId="55FA726A">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4E560244">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用甲酸或氨水调节</w:t>
            </w:r>
            <w:r>
              <w:rPr>
                <w:rFonts w:ascii="新宋体" w:hAnsi="新宋体" w:eastAsia="新宋体" w:cs="Times New Roman"/>
                <w:color w:val="auto"/>
                <w:sz w:val="18"/>
                <w:szCs w:val="18"/>
                <w:highlight w:val="none"/>
              </w:rPr>
              <w:t>pH7</w:t>
            </w:r>
            <w:r>
              <w:rPr>
                <w:rFonts w:ascii="新宋体" w:hAnsi="新宋体" w:eastAsia="新宋体" w:cs="Times New Roman"/>
                <w:color w:val="auto"/>
                <w:sz w:val="18"/>
                <w:szCs w:val="18"/>
                <w:highlight w:val="none"/>
              </w:rPr>
              <w:softHyphen/>
            </w:r>
            <w:r>
              <w:rPr>
                <w:rFonts w:ascii="新宋体" w:hAnsi="新宋体" w:eastAsia="新宋体" w:cs="Times New Roman"/>
                <w:color w:val="auto"/>
                <w:sz w:val="18"/>
                <w:szCs w:val="18"/>
                <w:highlight w:val="none"/>
              </w:rPr>
              <w:t>8</w:t>
            </w:r>
            <w:r>
              <w:rPr>
                <w:rFonts w:hint="eastAsia" w:ascii="新宋体" w:hAnsi="新宋体" w:eastAsia="新宋体"/>
                <w:color w:val="auto"/>
                <w:sz w:val="18"/>
                <w:szCs w:val="18"/>
                <w:highlight w:val="none"/>
              </w:rPr>
              <w:t>，每</w:t>
            </w:r>
            <w:r>
              <w:rPr>
                <w:rFonts w:ascii="新宋体" w:hAnsi="新宋体" w:eastAsia="新宋体" w:cs="Times New Roman"/>
                <w:color w:val="auto"/>
                <w:sz w:val="18"/>
                <w:szCs w:val="18"/>
                <w:highlight w:val="none"/>
              </w:rPr>
              <w:t>500ml</w:t>
            </w:r>
            <w:r>
              <w:rPr>
                <w:rFonts w:hint="eastAsia" w:ascii="新宋体" w:hAnsi="新宋体" w:eastAsia="新宋体"/>
                <w:color w:val="auto"/>
                <w:sz w:val="18"/>
                <w:szCs w:val="18"/>
                <w:highlight w:val="none"/>
              </w:rPr>
              <w:t>加入</w:t>
            </w:r>
            <w:r>
              <w:rPr>
                <w:rFonts w:ascii="新宋体" w:hAnsi="新宋体" w:eastAsia="新宋体" w:cs="Times New Roman"/>
                <w:color w:val="auto"/>
                <w:sz w:val="18"/>
                <w:szCs w:val="18"/>
                <w:highlight w:val="none"/>
              </w:rPr>
              <w:t>40mg</w:t>
            </w:r>
            <w:r>
              <w:rPr>
                <w:rFonts w:hint="eastAsia" w:ascii="新宋体" w:hAnsi="新宋体" w:eastAsia="新宋体"/>
                <w:color w:val="auto"/>
                <w:sz w:val="18"/>
                <w:szCs w:val="18"/>
                <w:highlight w:val="none"/>
              </w:rPr>
              <w:t>硫代硫酸钠</w:t>
            </w:r>
          </w:p>
        </w:tc>
        <w:tc>
          <w:tcPr>
            <w:tcW w:w="951" w:type="dxa"/>
            <w:vAlign w:val="center"/>
          </w:tcPr>
          <w:p w14:paraId="38C3FBEC">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以下避光保存，其中邻苯二胺保存</w:t>
            </w:r>
            <w:r>
              <w:rPr>
                <w:rFonts w:hint="eastAsia" w:ascii="新宋体" w:hAnsi="新宋体" w:eastAsia="新宋体"/>
                <w:color w:val="auto"/>
                <w:sz w:val="18"/>
                <w:szCs w:val="18"/>
                <w:highlight w:val="none"/>
              </w:rPr>
              <w:t>期</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3天，联苯胺和3,3-二氯联苯胺保存期5天，其余目标物保存期7</w:t>
            </w:r>
            <w:r>
              <w:rPr>
                <w:rFonts w:hint="eastAsia" w:ascii="新宋体" w:hAnsi="新宋体" w:eastAsia="新宋体"/>
                <w:color w:val="auto"/>
                <w:sz w:val="18"/>
                <w:szCs w:val="18"/>
                <w:highlight w:val="none"/>
              </w:rPr>
              <w:t>天</w:t>
            </w:r>
          </w:p>
        </w:tc>
        <w:tc>
          <w:tcPr>
            <w:tcW w:w="658" w:type="dxa"/>
            <w:vAlign w:val="center"/>
          </w:tcPr>
          <w:p w14:paraId="29FFCC83">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500</w:t>
            </w:r>
          </w:p>
        </w:tc>
        <w:tc>
          <w:tcPr>
            <w:tcW w:w="2809" w:type="dxa"/>
            <w:vAlign w:val="center"/>
          </w:tcPr>
          <w:p w14:paraId="57A1299C">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样品应充满样品瓶</w:t>
            </w:r>
          </w:p>
        </w:tc>
      </w:tr>
      <w:tr w14:paraId="12ACE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63" w:hRule="atLeast"/>
          <w:jc w:val="center"/>
        </w:trPr>
        <w:tc>
          <w:tcPr>
            <w:tcW w:w="598" w:type="dxa"/>
            <w:vAlign w:val="center"/>
          </w:tcPr>
          <w:p w14:paraId="34F49614">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39</w:t>
            </w:r>
          </w:p>
        </w:tc>
        <w:tc>
          <w:tcPr>
            <w:tcW w:w="2284" w:type="dxa"/>
            <w:vAlign w:val="center"/>
          </w:tcPr>
          <w:p w14:paraId="58A0D04B">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水质氰化物的测定容量法和分光光度法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 484-2009</w:t>
            </w:r>
          </w:p>
        </w:tc>
        <w:tc>
          <w:tcPr>
            <w:tcW w:w="1086" w:type="dxa"/>
            <w:vMerge w:val="restart"/>
            <w:vAlign w:val="center"/>
          </w:tcPr>
          <w:p w14:paraId="75C4DCE2">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玻璃瓶或聚乙烯瓶</w:t>
            </w:r>
          </w:p>
        </w:tc>
        <w:tc>
          <w:tcPr>
            <w:tcW w:w="1820" w:type="dxa"/>
            <w:vMerge w:val="restart"/>
            <w:vAlign w:val="center"/>
          </w:tcPr>
          <w:p w14:paraId="3484A7CA">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1L水中加入0.5g氢氧化</w:t>
            </w:r>
            <w:r>
              <w:rPr>
                <w:rFonts w:hint="eastAsia" w:ascii="新宋体" w:hAnsi="新宋体" w:eastAsia="新宋体"/>
                <w:color w:val="auto"/>
                <w:sz w:val="18"/>
                <w:szCs w:val="18"/>
                <w:highlight w:val="none"/>
              </w:rPr>
              <w:t>钠</w:t>
            </w:r>
          </w:p>
        </w:tc>
        <w:tc>
          <w:tcPr>
            <w:tcW w:w="951" w:type="dxa"/>
            <w:vMerge w:val="restart"/>
            <w:vAlign w:val="center"/>
          </w:tcPr>
          <w:p w14:paraId="0585F306">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以下保存24小</w:t>
            </w:r>
            <w:r>
              <w:rPr>
                <w:rFonts w:hint="eastAsia" w:ascii="新宋体" w:hAnsi="新宋体" w:eastAsia="新宋体"/>
                <w:color w:val="auto"/>
                <w:sz w:val="18"/>
                <w:szCs w:val="18"/>
                <w:highlight w:val="none"/>
              </w:rPr>
              <w:t>时</w:t>
            </w:r>
          </w:p>
        </w:tc>
        <w:tc>
          <w:tcPr>
            <w:tcW w:w="658" w:type="dxa"/>
            <w:vMerge w:val="restart"/>
            <w:vAlign w:val="center"/>
          </w:tcPr>
          <w:p w14:paraId="5CF634E2">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500</w:t>
            </w:r>
          </w:p>
        </w:tc>
        <w:tc>
          <w:tcPr>
            <w:tcW w:w="2809" w:type="dxa"/>
            <w:vMerge w:val="restart"/>
            <w:vAlign w:val="center"/>
          </w:tcPr>
          <w:p w14:paraId="460F186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6EE9B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0" w:hRule="atLeast"/>
          <w:jc w:val="center"/>
        </w:trPr>
        <w:tc>
          <w:tcPr>
            <w:tcW w:w="598" w:type="dxa"/>
            <w:vAlign w:val="center"/>
          </w:tcPr>
          <w:p w14:paraId="07BFBB95">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s="Times New Roman"/>
                <w:color w:val="auto"/>
                <w:sz w:val="18"/>
                <w:szCs w:val="18"/>
                <w:highlight w:val="none"/>
              </w:rPr>
              <w:t>40</w:t>
            </w:r>
          </w:p>
        </w:tc>
        <w:tc>
          <w:tcPr>
            <w:tcW w:w="2284" w:type="dxa"/>
            <w:vAlign w:val="center"/>
          </w:tcPr>
          <w:p w14:paraId="2F684480">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水质氰化物的测定流动注射</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分光光度法</w:t>
            </w:r>
            <w:r>
              <w:rPr>
                <w:rFonts w:ascii="新宋体" w:hAnsi="新宋体" w:eastAsia="新宋体"/>
                <w:color w:val="auto"/>
                <w:sz w:val="18"/>
                <w:szCs w:val="18"/>
                <w:highlight w:val="none"/>
              </w:rPr>
              <w:t>HJ 823-2017</w:t>
            </w:r>
          </w:p>
        </w:tc>
        <w:tc>
          <w:tcPr>
            <w:tcW w:w="1086" w:type="dxa"/>
            <w:vMerge w:val="continue"/>
            <w:vAlign w:val="center"/>
          </w:tcPr>
          <w:p w14:paraId="5C01E220">
            <w:pPr>
              <w:pStyle w:val="228"/>
              <w:snapToGrid w:val="0"/>
              <w:jc w:val="center"/>
              <w:rPr>
                <w:rFonts w:ascii="新宋体" w:hAnsi="新宋体" w:eastAsia="新宋体" w:cs="Times New Roman"/>
                <w:color w:val="auto"/>
                <w:sz w:val="18"/>
                <w:szCs w:val="18"/>
                <w:highlight w:val="none"/>
              </w:rPr>
            </w:pPr>
          </w:p>
        </w:tc>
        <w:tc>
          <w:tcPr>
            <w:tcW w:w="1820" w:type="dxa"/>
            <w:vMerge w:val="continue"/>
            <w:vAlign w:val="center"/>
          </w:tcPr>
          <w:p w14:paraId="70D25748">
            <w:pPr>
              <w:pStyle w:val="228"/>
              <w:snapToGrid w:val="0"/>
              <w:jc w:val="center"/>
              <w:rPr>
                <w:rFonts w:ascii="新宋体" w:hAnsi="新宋体" w:eastAsia="新宋体" w:cs="Times New Roman"/>
                <w:color w:val="auto"/>
                <w:sz w:val="18"/>
                <w:szCs w:val="18"/>
                <w:highlight w:val="none"/>
              </w:rPr>
            </w:pPr>
          </w:p>
        </w:tc>
        <w:tc>
          <w:tcPr>
            <w:tcW w:w="951" w:type="dxa"/>
            <w:vMerge w:val="continue"/>
            <w:vAlign w:val="center"/>
          </w:tcPr>
          <w:p w14:paraId="153BC1EC">
            <w:pPr>
              <w:pStyle w:val="228"/>
              <w:snapToGrid w:val="0"/>
              <w:jc w:val="center"/>
              <w:rPr>
                <w:rFonts w:ascii="新宋体" w:hAnsi="新宋体" w:eastAsia="新宋体" w:cs="Times New Roman"/>
                <w:color w:val="auto"/>
                <w:sz w:val="18"/>
                <w:szCs w:val="18"/>
                <w:highlight w:val="none"/>
              </w:rPr>
            </w:pPr>
          </w:p>
        </w:tc>
        <w:tc>
          <w:tcPr>
            <w:tcW w:w="658" w:type="dxa"/>
            <w:vMerge w:val="continue"/>
            <w:vAlign w:val="center"/>
          </w:tcPr>
          <w:p w14:paraId="1E330F40">
            <w:pPr>
              <w:pStyle w:val="228"/>
              <w:snapToGrid w:val="0"/>
              <w:jc w:val="center"/>
              <w:rPr>
                <w:rFonts w:ascii="新宋体" w:hAnsi="新宋体" w:eastAsia="新宋体" w:cs="Times New Roman"/>
                <w:color w:val="auto"/>
                <w:sz w:val="18"/>
                <w:szCs w:val="18"/>
                <w:highlight w:val="none"/>
              </w:rPr>
            </w:pPr>
          </w:p>
        </w:tc>
        <w:tc>
          <w:tcPr>
            <w:tcW w:w="2809" w:type="dxa"/>
            <w:vMerge w:val="continue"/>
            <w:vAlign w:val="center"/>
          </w:tcPr>
          <w:p w14:paraId="26ADC9DA">
            <w:pPr>
              <w:pStyle w:val="228"/>
              <w:snapToGrid w:val="0"/>
              <w:jc w:val="center"/>
              <w:rPr>
                <w:rFonts w:ascii="新宋体" w:hAnsi="新宋体" w:eastAsia="新宋体" w:cs="Times New Roman"/>
                <w:color w:val="auto"/>
                <w:sz w:val="18"/>
                <w:szCs w:val="18"/>
                <w:highlight w:val="none"/>
              </w:rPr>
            </w:pPr>
          </w:p>
        </w:tc>
      </w:tr>
      <w:tr w14:paraId="3EA8D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30" w:hRule="atLeast"/>
          <w:jc w:val="center"/>
        </w:trPr>
        <w:tc>
          <w:tcPr>
            <w:tcW w:w="598" w:type="dxa"/>
            <w:vAlign w:val="center"/>
          </w:tcPr>
          <w:p w14:paraId="3C798C15">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41</w:t>
            </w:r>
          </w:p>
        </w:tc>
        <w:tc>
          <w:tcPr>
            <w:tcW w:w="2284" w:type="dxa"/>
            <w:vAlign w:val="center"/>
          </w:tcPr>
          <w:p w14:paraId="1D173F69">
            <w:pPr>
              <w:pStyle w:val="228"/>
              <w:snapToGrid w:val="0"/>
              <w:jc w:val="center"/>
              <w:rPr>
                <w:rFonts w:ascii="新宋体" w:hAnsi="新宋体" w:eastAsia="新宋体" w:cs="Times New Roman"/>
                <w:color w:val="auto"/>
                <w:sz w:val="18"/>
                <w:szCs w:val="18"/>
                <w:highlight w:val="none"/>
              </w:rPr>
            </w:pPr>
            <w:r>
              <w:rPr>
                <w:rFonts w:hint="eastAsia" w:ascii="新宋体" w:hAnsi="新宋体" w:eastAsia="新宋体"/>
                <w:color w:val="auto"/>
                <w:sz w:val="18"/>
                <w:szCs w:val="18"/>
                <w:highlight w:val="none"/>
              </w:rPr>
              <w:t>水质五氯酚的测定气相色谱法</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HJ 591-2010</w:t>
            </w:r>
          </w:p>
        </w:tc>
        <w:tc>
          <w:tcPr>
            <w:tcW w:w="1086" w:type="dxa"/>
            <w:vAlign w:val="center"/>
          </w:tcPr>
          <w:p w14:paraId="27F48CAC">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棕色玻璃瓶</w:t>
            </w:r>
          </w:p>
        </w:tc>
        <w:tc>
          <w:tcPr>
            <w:tcW w:w="1820" w:type="dxa"/>
            <w:vAlign w:val="center"/>
          </w:tcPr>
          <w:p w14:paraId="38249BFD">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1L水加入1mL硫酸</w:t>
            </w:r>
            <w:r>
              <w:rPr>
                <w:rFonts w:hint="eastAsia" w:ascii="新宋体" w:hAnsi="新宋体" w:eastAsia="新宋体"/>
                <w:color w:val="auto"/>
                <w:sz w:val="18"/>
                <w:szCs w:val="18"/>
                <w:highlight w:val="none"/>
              </w:rPr>
              <w:t>和</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0.5g硫酸铜；若有余</w:t>
            </w:r>
            <w:r>
              <w:rPr>
                <w:rFonts w:hint="eastAsia" w:ascii="新宋体" w:hAnsi="新宋体" w:eastAsia="新宋体"/>
                <w:color w:val="auto"/>
                <w:sz w:val="18"/>
                <w:szCs w:val="18"/>
                <w:highlight w:val="none"/>
              </w:rPr>
              <w:t>氯</w:t>
            </w:r>
            <w:r>
              <w:rPr>
                <w:rFonts w:ascii="新宋体" w:hAnsi="新宋体" w:eastAsia="新宋体"/>
                <w:color w:val="auto"/>
                <w:sz w:val="18"/>
                <w:szCs w:val="18"/>
                <w:highlight w:val="none"/>
              </w:rPr>
              <w:t xml:space="preserve"> </w:t>
            </w:r>
            <w:r>
              <w:rPr>
                <w:rFonts w:ascii="新宋体" w:hAnsi="新宋体" w:eastAsia="新宋体" w:cs="Times New Roman"/>
                <w:color w:val="auto"/>
                <w:sz w:val="18"/>
                <w:szCs w:val="18"/>
                <w:highlight w:val="none"/>
              </w:rPr>
              <w:t>100mL</w:t>
            </w:r>
            <w:r>
              <w:rPr>
                <w:rFonts w:hint="eastAsia" w:ascii="新宋体" w:hAnsi="新宋体" w:eastAsia="新宋体"/>
                <w:color w:val="auto"/>
                <w:sz w:val="18"/>
                <w:szCs w:val="18"/>
                <w:highlight w:val="none"/>
              </w:rPr>
              <w:t>水中加入</w:t>
            </w:r>
            <w:r>
              <w:rPr>
                <w:rFonts w:ascii="新宋体" w:hAnsi="新宋体" w:eastAsia="新宋体" w:cs="Times New Roman"/>
                <w:color w:val="auto"/>
                <w:sz w:val="18"/>
                <w:szCs w:val="18"/>
                <w:highlight w:val="none"/>
              </w:rPr>
              <w:t>80mg</w:t>
            </w:r>
            <w:r>
              <w:rPr>
                <w:rFonts w:hint="eastAsia" w:ascii="新宋体" w:hAnsi="新宋体" w:eastAsia="新宋体"/>
                <w:color w:val="auto"/>
                <w:sz w:val="18"/>
                <w:szCs w:val="18"/>
                <w:highlight w:val="none"/>
              </w:rPr>
              <w:t>硫代硫酸钠</w:t>
            </w:r>
          </w:p>
        </w:tc>
        <w:tc>
          <w:tcPr>
            <w:tcW w:w="951" w:type="dxa"/>
            <w:vAlign w:val="center"/>
          </w:tcPr>
          <w:p w14:paraId="203CFDC3">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7</w:t>
            </w:r>
            <w:r>
              <w:rPr>
                <w:rFonts w:hint="eastAsia" w:ascii="新宋体" w:hAnsi="新宋体" w:eastAsia="新宋体"/>
                <w:color w:val="auto"/>
                <w:sz w:val="18"/>
                <w:szCs w:val="18"/>
                <w:highlight w:val="none"/>
              </w:rPr>
              <w:t>天</w:t>
            </w:r>
          </w:p>
        </w:tc>
        <w:tc>
          <w:tcPr>
            <w:tcW w:w="658" w:type="dxa"/>
            <w:vAlign w:val="center"/>
          </w:tcPr>
          <w:p w14:paraId="41EFA38D">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Align w:val="center"/>
          </w:tcPr>
          <w:p w14:paraId="0B245873">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r w14:paraId="03FF6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66" w:hRule="atLeast"/>
          <w:jc w:val="center"/>
        </w:trPr>
        <w:tc>
          <w:tcPr>
            <w:tcW w:w="598" w:type="dxa"/>
            <w:vAlign w:val="center"/>
          </w:tcPr>
          <w:p w14:paraId="6441402E">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42</w:t>
            </w:r>
          </w:p>
        </w:tc>
        <w:tc>
          <w:tcPr>
            <w:tcW w:w="2284" w:type="dxa"/>
            <w:vAlign w:val="center"/>
          </w:tcPr>
          <w:p w14:paraId="091DD787">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附录</w:t>
            </w:r>
            <w:r>
              <w:rPr>
                <w:rFonts w:ascii="新宋体" w:hAnsi="新宋体" w:eastAsia="新宋体"/>
                <w:color w:val="auto"/>
                <w:sz w:val="18"/>
                <w:szCs w:val="18"/>
                <w:highlight w:val="none"/>
              </w:rPr>
              <w:t xml:space="preserve">E </w:t>
            </w:r>
            <w:r>
              <w:rPr>
                <w:rFonts w:hint="eastAsia" w:ascii="新宋体" w:hAnsi="新宋体" w:eastAsia="新宋体"/>
                <w:color w:val="auto"/>
                <w:sz w:val="18"/>
                <w:szCs w:val="18"/>
                <w:highlight w:val="none"/>
              </w:rPr>
              <w:t>水中</w:t>
            </w:r>
            <w:r>
              <w:rPr>
                <w:rFonts w:ascii="新宋体" w:hAnsi="新宋体" w:eastAsia="新宋体"/>
                <w:color w:val="auto"/>
                <w:sz w:val="18"/>
                <w:szCs w:val="18"/>
                <w:highlight w:val="none"/>
              </w:rPr>
              <w:t>10</w:t>
            </w:r>
            <w:r>
              <w:rPr>
                <w:rFonts w:hint="eastAsia" w:ascii="新宋体" w:hAnsi="新宋体" w:eastAsia="新宋体"/>
                <w:color w:val="auto"/>
                <w:sz w:val="18"/>
                <w:szCs w:val="18"/>
                <w:highlight w:val="none"/>
              </w:rPr>
              <w:t>种磺酰脲类、</w:t>
            </w:r>
            <w:r>
              <w:rPr>
                <w:rFonts w:ascii="新宋体" w:hAnsi="新宋体" w:eastAsia="新宋体"/>
                <w:color w:val="auto"/>
                <w:sz w:val="18"/>
                <w:szCs w:val="18"/>
                <w:highlight w:val="none"/>
              </w:rPr>
              <w:t>10</w:t>
            </w:r>
            <w:r>
              <w:rPr>
                <w:rFonts w:hint="eastAsia" w:ascii="新宋体" w:hAnsi="新宋体" w:eastAsia="新宋体"/>
                <w:color w:val="auto"/>
                <w:sz w:val="18"/>
                <w:szCs w:val="18"/>
                <w:highlight w:val="none"/>
              </w:rPr>
              <w:t>种三嗪类和</w:t>
            </w:r>
            <w:r>
              <w:rPr>
                <w:rFonts w:ascii="新宋体" w:hAnsi="新宋体" w:eastAsia="新宋体"/>
                <w:color w:val="auto"/>
                <w:sz w:val="18"/>
                <w:szCs w:val="18"/>
                <w:highlight w:val="none"/>
              </w:rPr>
              <w:t>14</w:t>
            </w:r>
            <w:r>
              <w:rPr>
                <w:rFonts w:hint="eastAsia" w:ascii="新宋体" w:hAnsi="新宋体" w:eastAsia="新宋体"/>
                <w:color w:val="auto"/>
                <w:sz w:val="18"/>
                <w:szCs w:val="18"/>
                <w:highlight w:val="none"/>
              </w:rPr>
              <w:t>种三唑类农药的测定液相色谱</w:t>
            </w:r>
            <w:r>
              <w:rPr>
                <w:rFonts w:ascii="新宋体" w:hAnsi="新宋体" w:eastAsia="新宋体"/>
                <w:color w:val="auto"/>
                <w:sz w:val="18"/>
                <w:szCs w:val="18"/>
                <w:highlight w:val="none"/>
              </w:rPr>
              <w:t>-</w:t>
            </w:r>
            <w:r>
              <w:rPr>
                <w:rFonts w:hint="eastAsia" w:ascii="新宋体" w:hAnsi="新宋体" w:eastAsia="新宋体"/>
                <w:color w:val="auto"/>
                <w:sz w:val="18"/>
                <w:szCs w:val="18"/>
                <w:highlight w:val="none"/>
              </w:rPr>
              <w:t>三重四极杆质谱法</w:t>
            </w:r>
          </w:p>
        </w:tc>
        <w:tc>
          <w:tcPr>
            <w:tcW w:w="1086" w:type="dxa"/>
            <w:vAlign w:val="center"/>
          </w:tcPr>
          <w:p w14:paraId="09A483A6">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1L具塞磨口棕色玻璃瓶</w:t>
            </w:r>
          </w:p>
        </w:tc>
        <w:tc>
          <w:tcPr>
            <w:tcW w:w="1820" w:type="dxa"/>
            <w:vAlign w:val="center"/>
          </w:tcPr>
          <w:p w14:paraId="3A347115">
            <w:pPr>
              <w:pStyle w:val="228"/>
              <w:snapToGrid w:val="0"/>
              <w:jc w:val="center"/>
              <w:rPr>
                <w:rFonts w:ascii="新宋体" w:hAnsi="新宋体" w:eastAsia="新宋体"/>
                <w:color w:val="auto"/>
                <w:sz w:val="18"/>
                <w:szCs w:val="18"/>
                <w:highlight w:val="none"/>
              </w:rPr>
            </w:pPr>
            <w:r>
              <w:rPr>
                <w:rFonts w:hint="eastAsia" w:ascii="新宋体" w:hAnsi="新宋体" w:eastAsia="新宋体"/>
                <w:color w:val="auto"/>
                <w:sz w:val="18"/>
                <w:szCs w:val="18"/>
                <w:highlight w:val="none"/>
              </w:rPr>
              <w:t>如果样品</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不在</w:t>
            </w:r>
            <w:r>
              <w:rPr>
                <w:rFonts w:ascii="新宋体" w:hAnsi="新宋体" w:eastAsia="新宋体"/>
                <w:color w:val="auto"/>
                <w:sz w:val="18"/>
                <w:szCs w:val="18"/>
                <w:highlight w:val="none"/>
              </w:rPr>
              <w:t>5</w:t>
            </w:r>
            <w:r>
              <w:rPr>
                <w:rFonts w:hint="eastAsia" w:ascii="新宋体" w:hAnsi="新宋体" w:eastAsia="新宋体"/>
                <w:color w:val="auto"/>
                <w:sz w:val="18"/>
                <w:szCs w:val="18"/>
                <w:highlight w:val="none"/>
              </w:rPr>
              <w:t>～</w:t>
            </w:r>
            <w:r>
              <w:rPr>
                <w:rFonts w:ascii="新宋体" w:hAnsi="新宋体" w:eastAsia="新宋体"/>
                <w:color w:val="auto"/>
                <w:sz w:val="18"/>
                <w:szCs w:val="18"/>
                <w:highlight w:val="none"/>
              </w:rPr>
              <w:t>9</w:t>
            </w:r>
            <w:r>
              <w:rPr>
                <w:rFonts w:hint="eastAsia" w:ascii="新宋体" w:hAnsi="新宋体" w:eastAsia="新宋体"/>
                <w:color w:val="auto"/>
                <w:sz w:val="18"/>
                <w:szCs w:val="18"/>
                <w:highlight w:val="none"/>
              </w:rPr>
              <w:t>之间，用磷酸或氢氧化钠调节</w:t>
            </w:r>
            <w:r>
              <w:rPr>
                <w:rFonts w:ascii="新宋体" w:hAnsi="新宋体" w:eastAsia="新宋体"/>
                <w:color w:val="auto"/>
                <w:sz w:val="18"/>
                <w:szCs w:val="18"/>
                <w:highlight w:val="none"/>
              </w:rPr>
              <w:t>pH</w:t>
            </w:r>
            <w:r>
              <w:rPr>
                <w:rFonts w:hint="eastAsia" w:ascii="新宋体" w:hAnsi="新宋体" w:eastAsia="新宋体"/>
                <w:color w:val="auto"/>
                <w:sz w:val="18"/>
                <w:szCs w:val="18"/>
                <w:highlight w:val="none"/>
              </w:rPr>
              <w:t>至</w:t>
            </w:r>
            <w:r>
              <w:rPr>
                <w:rFonts w:ascii="新宋体" w:hAnsi="新宋体" w:eastAsia="新宋体"/>
                <w:color w:val="auto"/>
                <w:sz w:val="18"/>
                <w:szCs w:val="18"/>
                <w:highlight w:val="none"/>
              </w:rPr>
              <w:t>5~9</w:t>
            </w:r>
            <w:r>
              <w:rPr>
                <w:rFonts w:hint="eastAsia" w:ascii="新宋体" w:hAnsi="新宋体" w:eastAsia="新宋体"/>
                <w:color w:val="auto"/>
                <w:sz w:val="18"/>
                <w:szCs w:val="18"/>
                <w:highlight w:val="none"/>
              </w:rPr>
              <w:t>之间</w:t>
            </w:r>
          </w:p>
        </w:tc>
        <w:tc>
          <w:tcPr>
            <w:tcW w:w="951" w:type="dxa"/>
            <w:vAlign w:val="center"/>
          </w:tcPr>
          <w:p w14:paraId="6C790AE5">
            <w:pPr>
              <w:pStyle w:val="228"/>
              <w:snapToGrid w:val="0"/>
              <w:jc w:val="center"/>
              <w:rPr>
                <w:rFonts w:ascii="新宋体" w:hAnsi="新宋体" w:eastAsia="新宋体"/>
                <w:color w:val="auto"/>
                <w:sz w:val="18"/>
                <w:szCs w:val="18"/>
                <w:highlight w:val="none"/>
              </w:rPr>
            </w:pPr>
            <w:r>
              <w:rPr>
                <w:rFonts w:ascii="新宋体" w:hAnsi="新宋体" w:eastAsia="新宋体" w:cs="Times New Roman"/>
                <w:color w:val="auto"/>
                <w:sz w:val="18"/>
                <w:szCs w:val="18"/>
                <w:highlight w:val="none"/>
              </w:rPr>
              <w:t xml:space="preserve">4 </w:t>
            </w:r>
            <w:r>
              <w:rPr>
                <w:rFonts w:hint="eastAsia" w:ascii="新宋体" w:hAnsi="新宋体" w:eastAsia="新宋体"/>
                <w:color w:val="auto"/>
                <w:sz w:val="18"/>
                <w:szCs w:val="18"/>
                <w:highlight w:val="none"/>
              </w:rPr>
              <w:t>℃</w:t>
            </w:r>
            <w:r>
              <w:rPr>
                <w:rFonts w:ascii="新宋体" w:hAnsi="新宋体" w:eastAsia="新宋体" w:cs="Times New Roman"/>
                <w:color w:val="auto"/>
                <w:sz w:val="18"/>
                <w:szCs w:val="18"/>
                <w:highlight w:val="none"/>
              </w:rPr>
              <w:t>以下避光保存5</w:t>
            </w:r>
            <w:r>
              <w:rPr>
                <w:rFonts w:hint="eastAsia" w:ascii="新宋体" w:hAnsi="新宋体" w:eastAsia="新宋体"/>
                <w:color w:val="auto"/>
                <w:sz w:val="18"/>
                <w:szCs w:val="18"/>
                <w:highlight w:val="none"/>
              </w:rPr>
              <w:t>天</w:t>
            </w:r>
          </w:p>
        </w:tc>
        <w:tc>
          <w:tcPr>
            <w:tcW w:w="658" w:type="dxa"/>
            <w:vAlign w:val="center"/>
          </w:tcPr>
          <w:p w14:paraId="55805827">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1000</w:t>
            </w:r>
          </w:p>
        </w:tc>
        <w:tc>
          <w:tcPr>
            <w:tcW w:w="2809" w:type="dxa"/>
            <w:vAlign w:val="center"/>
          </w:tcPr>
          <w:p w14:paraId="66B56DC8">
            <w:pPr>
              <w:pStyle w:val="228"/>
              <w:snapToGrid w:val="0"/>
              <w:jc w:val="center"/>
              <w:rPr>
                <w:rFonts w:ascii="新宋体" w:hAnsi="新宋体" w:eastAsia="新宋体" w:cs="Times New Roman"/>
                <w:color w:val="auto"/>
                <w:sz w:val="18"/>
                <w:szCs w:val="18"/>
                <w:highlight w:val="none"/>
              </w:rPr>
            </w:pPr>
            <w:r>
              <w:rPr>
                <w:rFonts w:ascii="新宋体" w:hAnsi="新宋体" w:eastAsia="新宋体" w:cs="Times New Roman"/>
                <w:color w:val="auto"/>
                <w:sz w:val="18"/>
                <w:szCs w:val="18"/>
                <w:highlight w:val="none"/>
              </w:rPr>
              <w:t>/</w:t>
            </w:r>
          </w:p>
        </w:tc>
      </w:tr>
    </w:tbl>
    <w:p w14:paraId="24C7643C">
      <w:pPr>
        <w:pStyle w:val="56"/>
        <w:ind w:firstLine="420"/>
        <w:rPr>
          <w:color w:val="auto"/>
          <w:highlight w:val="none"/>
        </w:rPr>
      </w:pPr>
    </w:p>
    <w:p w14:paraId="51681468">
      <w:pPr>
        <w:pStyle w:val="56"/>
        <w:ind w:firstLine="420"/>
        <w:rPr>
          <w:color w:val="auto"/>
          <w:highlight w:val="none"/>
        </w:rPr>
        <w:sectPr>
          <w:pgSz w:w="11906" w:h="16838"/>
          <w:pgMar w:top="1928" w:right="1134" w:bottom="1134" w:left="1134" w:header="1418" w:footer="907" w:gutter="284"/>
          <w:cols w:space="425" w:num="1"/>
          <w:formProt w:val="0"/>
          <w:docGrid w:linePitch="312" w:charSpace="0"/>
        </w:sectPr>
      </w:pPr>
    </w:p>
    <w:p w14:paraId="38C8CAE1">
      <w:pPr>
        <w:pStyle w:val="198"/>
        <w:rPr>
          <w:color w:val="auto"/>
          <w:highlight w:val="none"/>
        </w:rPr>
      </w:pPr>
    </w:p>
    <w:p w14:paraId="34FB5897">
      <w:pPr>
        <w:pStyle w:val="199"/>
        <w:rPr>
          <w:color w:val="auto"/>
          <w:highlight w:val="none"/>
        </w:rPr>
      </w:pPr>
    </w:p>
    <w:p w14:paraId="47ACAFD3">
      <w:pPr>
        <w:pStyle w:val="76"/>
        <w:spacing w:after="120"/>
        <w:rPr>
          <w:color w:val="auto"/>
          <w:highlight w:val="none"/>
        </w:rPr>
      </w:pPr>
      <w:r>
        <w:rPr>
          <w:color w:val="auto"/>
          <w:highlight w:val="none"/>
        </w:rPr>
        <w:br w:type="textWrapping"/>
      </w:r>
      <w:bookmarkStart w:id="86" w:name="_Toc229148125"/>
      <w:bookmarkStart w:id="87" w:name="_Toc223795260"/>
      <w:r>
        <w:rPr>
          <w:rFonts w:hint="eastAsia"/>
          <w:color w:val="auto"/>
          <w:highlight w:val="none"/>
        </w:rPr>
        <w:t>（资料性）</w:t>
      </w:r>
      <w:r>
        <w:rPr>
          <w:color w:val="auto"/>
          <w:highlight w:val="none"/>
        </w:rPr>
        <w:br w:type="textWrapping"/>
      </w:r>
      <w:r>
        <w:rPr>
          <w:rFonts w:hint="eastAsia"/>
          <w:color w:val="auto"/>
          <w:highlight w:val="none"/>
        </w:rPr>
        <w:t>地表水新污染物采样原始记录单</w:t>
      </w:r>
      <w:bookmarkEnd w:id="86"/>
      <w:bookmarkEnd w:id="87"/>
    </w:p>
    <w:p w14:paraId="3334B3EA">
      <w:pPr>
        <w:pStyle w:val="56"/>
        <w:ind w:firstLine="420"/>
        <w:rPr>
          <w:color w:val="auto"/>
          <w:highlight w:val="none"/>
        </w:rPr>
      </w:pPr>
      <w:r>
        <w:rPr>
          <w:rFonts w:hAnsi="宋体" w:cs="宋体"/>
          <w:color w:val="auto"/>
          <w:szCs w:val="21"/>
          <w:highlight w:val="none"/>
        </w:rPr>
        <w:t>地表水新污染物采样记录表见表 C.1。</w:t>
      </w:r>
    </w:p>
    <w:p w14:paraId="032CD817">
      <w:pPr>
        <w:pStyle w:val="56"/>
        <w:ind w:firstLine="420"/>
        <w:jc w:val="center"/>
        <w:rPr>
          <w:color w:val="auto"/>
          <w:highlight w:val="none"/>
        </w:rPr>
      </w:pPr>
      <w:r>
        <w:rPr>
          <w:rFonts w:ascii="黑体" w:hAnsi="宋体" w:eastAsia="黑体" w:cs="黑体"/>
          <w:color w:val="auto"/>
          <w:szCs w:val="21"/>
          <w:highlight w:val="none"/>
        </w:rPr>
        <w:t>表 C.1 地表水新污染物采样记录表</w:t>
      </w:r>
    </w:p>
    <w:tbl>
      <w:tblPr>
        <w:tblStyle w:val="27"/>
        <w:tblW w:w="997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13" w:type="dxa"/>
          <w:bottom w:w="0" w:type="dxa"/>
          <w:right w:w="113" w:type="dxa"/>
        </w:tblCellMar>
      </w:tblPr>
      <w:tblGrid>
        <w:gridCol w:w="764"/>
        <w:gridCol w:w="687"/>
        <w:gridCol w:w="973"/>
        <w:gridCol w:w="1218"/>
        <w:gridCol w:w="1025"/>
        <w:gridCol w:w="6"/>
        <w:gridCol w:w="732"/>
        <w:gridCol w:w="817"/>
        <w:gridCol w:w="6"/>
        <w:gridCol w:w="1261"/>
        <w:gridCol w:w="848"/>
        <w:gridCol w:w="825"/>
        <w:gridCol w:w="817"/>
      </w:tblGrid>
      <w:tr w14:paraId="306A1A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381" w:hRule="atLeast"/>
          <w:tblHeader/>
          <w:jc w:val="center"/>
        </w:trPr>
        <w:tc>
          <w:tcPr>
            <w:tcW w:w="1451" w:type="dxa"/>
            <w:gridSpan w:val="2"/>
            <w:tcBorders>
              <w:top w:val="single" w:color="auto" w:sz="8" w:space="0"/>
              <w:bottom w:val="single" w:color="auto" w:sz="8" w:space="0"/>
            </w:tcBorders>
            <w:vAlign w:val="center"/>
          </w:tcPr>
          <w:p w14:paraId="4ED9366E">
            <w:pPr>
              <w:pStyle w:val="178"/>
              <w:rPr>
                <w:color w:val="auto"/>
                <w:highlight w:val="none"/>
              </w:rPr>
            </w:pPr>
            <w:r>
              <w:rPr>
                <w:rFonts w:hint="eastAsia"/>
                <w:color w:val="auto"/>
                <w:highlight w:val="none"/>
              </w:rPr>
              <w:t>水体名称</w:t>
            </w:r>
          </w:p>
        </w:tc>
        <w:tc>
          <w:tcPr>
            <w:tcW w:w="2191" w:type="dxa"/>
            <w:gridSpan w:val="2"/>
            <w:tcBorders>
              <w:top w:val="single" w:color="auto" w:sz="8" w:space="0"/>
              <w:bottom w:val="single" w:color="auto" w:sz="8" w:space="0"/>
            </w:tcBorders>
            <w:vAlign w:val="center"/>
          </w:tcPr>
          <w:p w14:paraId="5CC6AAFF">
            <w:pPr>
              <w:pStyle w:val="178"/>
              <w:rPr>
                <w:color w:val="auto"/>
                <w:highlight w:val="none"/>
              </w:rPr>
            </w:pPr>
          </w:p>
        </w:tc>
        <w:tc>
          <w:tcPr>
            <w:tcW w:w="1025" w:type="dxa"/>
            <w:tcBorders>
              <w:top w:val="single" w:color="auto" w:sz="8" w:space="0"/>
              <w:bottom w:val="single" w:color="auto" w:sz="8" w:space="0"/>
            </w:tcBorders>
            <w:vAlign w:val="center"/>
          </w:tcPr>
          <w:p w14:paraId="0E010899">
            <w:pPr>
              <w:pStyle w:val="178"/>
              <w:rPr>
                <w:color w:val="auto"/>
                <w:highlight w:val="none"/>
              </w:rPr>
            </w:pPr>
            <w:r>
              <w:rPr>
                <w:rFonts w:hint="eastAsia"/>
                <w:color w:val="auto"/>
                <w:highlight w:val="none"/>
              </w:rPr>
              <w:t>断面名称</w:t>
            </w:r>
          </w:p>
        </w:tc>
        <w:tc>
          <w:tcPr>
            <w:tcW w:w="1555" w:type="dxa"/>
            <w:gridSpan w:val="3"/>
            <w:tcBorders>
              <w:top w:val="single" w:color="auto" w:sz="8" w:space="0"/>
              <w:bottom w:val="single" w:color="auto" w:sz="8" w:space="0"/>
            </w:tcBorders>
            <w:vAlign w:val="center"/>
          </w:tcPr>
          <w:p w14:paraId="23155C72">
            <w:pPr>
              <w:pStyle w:val="178"/>
              <w:jc w:val="both"/>
              <w:rPr>
                <w:color w:val="auto"/>
                <w:highlight w:val="none"/>
              </w:rPr>
            </w:pPr>
          </w:p>
        </w:tc>
        <w:tc>
          <w:tcPr>
            <w:tcW w:w="1267" w:type="dxa"/>
            <w:gridSpan w:val="2"/>
            <w:tcBorders>
              <w:top w:val="single" w:color="auto" w:sz="8" w:space="0"/>
              <w:bottom w:val="single" w:color="auto" w:sz="8" w:space="0"/>
            </w:tcBorders>
            <w:vAlign w:val="center"/>
          </w:tcPr>
          <w:p w14:paraId="72F3E33B">
            <w:pPr>
              <w:pStyle w:val="178"/>
              <w:rPr>
                <w:color w:val="auto"/>
                <w:highlight w:val="none"/>
              </w:rPr>
            </w:pPr>
            <w:r>
              <w:rPr>
                <w:rFonts w:hint="eastAsia"/>
                <w:color w:val="auto"/>
                <w:highlight w:val="none"/>
              </w:rPr>
              <w:t>断面周边</w:t>
            </w:r>
          </w:p>
          <w:p w14:paraId="2DB1F2CB">
            <w:pPr>
              <w:pStyle w:val="178"/>
              <w:rPr>
                <w:color w:val="auto"/>
                <w:highlight w:val="none"/>
              </w:rPr>
            </w:pPr>
            <w:r>
              <w:rPr>
                <w:rFonts w:hint="eastAsia"/>
                <w:color w:val="auto"/>
                <w:highlight w:val="none"/>
              </w:rPr>
              <w:t>环境描述</w:t>
            </w:r>
          </w:p>
        </w:tc>
        <w:tc>
          <w:tcPr>
            <w:tcW w:w="2490" w:type="dxa"/>
            <w:gridSpan w:val="3"/>
            <w:tcBorders>
              <w:top w:val="single" w:color="auto" w:sz="8" w:space="0"/>
              <w:bottom w:val="single" w:color="auto" w:sz="8" w:space="0"/>
            </w:tcBorders>
            <w:vAlign w:val="center"/>
          </w:tcPr>
          <w:p w14:paraId="05D3CDF1">
            <w:pPr>
              <w:pStyle w:val="178"/>
              <w:rPr>
                <w:color w:val="auto"/>
                <w:highlight w:val="none"/>
              </w:rPr>
            </w:pPr>
          </w:p>
        </w:tc>
      </w:tr>
      <w:tr w14:paraId="2A8E92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488" w:hRule="atLeast"/>
          <w:jc w:val="center"/>
        </w:trPr>
        <w:tc>
          <w:tcPr>
            <w:tcW w:w="1451" w:type="dxa"/>
            <w:gridSpan w:val="2"/>
            <w:tcBorders>
              <w:top w:val="single" w:color="auto" w:sz="8" w:space="0"/>
            </w:tcBorders>
            <w:vAlign w:val="center"/>
          </w:tcPr>
          <w:p w14:paraId="17FD6091">
            <w:pPr>
              <w:pStyle w:val="178"/>
              <w:rPr>
                <w:color w:val="auto"/>
                <w:highlight w:val="none"/>
              </w:rPr>
            </w:pPr>
            <w:r>
              <w:rPr>
                <w:rFonts w:hint="eastAsia"/>
                <w:color w:val="auto"/>
                <w:highlight w:val="none"/>
              </w:rPr>
              <w:t>采样日期</w:t>
            </w:r>
          </w:p>
        </w:tc>
        <w:tc>
          <w:tcPr>
            <w:tcW w:w="2191" w:type="dxa"/>
            <w:gridSpan w:val="2"/>
            <w:tcBorders>
              <w:top w:val="single" w:color="auto" w:sz="8" w:space="0"/>
            </w:tcBorders>
            <w:vAlign w:val="center"/>
          </w:tcPr>
          <w:p w14:paraId="19EDB889">
            <w:pPr>
              <w:pStyle w:val="178"/>
              <w:rPr>
                <w:color w:val="auto"/>
                <w:highlight w:val="none"/>
              </w:rPr>
            </w:pPr>
            <w:r>
              <w:rPr>
                <w:rFonts w:hint="eastAsia" w:hAnsi="宋体" w:cs="宋体"/>
                <w:color w:val="auto"/>
                <w:szCs w:val="18"/>
                <w:highlight w:val="none"/>
              </w:rPr>
              <w:t xml:space="preserve">   </w:t>
            </w:r>
            <w:r>
              <w:rPr>
                <w:rFonts w:hAnsi="宋体" w:cs="宋体"/>
                <w:color w:val="auto"/>
                <w:szCs w:val="18"/>
                <w:highlight w:val="none"/>
              </w:rPr>
              <w:t xml:space="preserve">年 </w:t>
            </w:r>
            <w:r>
              <w:rPr>
                <w:rFonts w:hint="eastAsia" w:hAnsi="宋体" w:cs="宋体"/>
                <w:color w:val="auto"/>
                <w:szCs w:val="18"/>
                <w:highlight w:val="none"/>
              </w:rPr>
              <w:t xml:space="preserve">  </w:t>
            </w:r>
            <w:r>
              <w:rPr>
                <w:rFonts w:hAnsi="宋体" w:cs="宋体"/>
                <w:color w:val="auto"/>
                <w:szCs w:val="18"/>
                <w:highlight w:val="none"/>
              </w:rPr>
              <w:t xml:space="preserve">月 </w:t>
            </w:r>
            <w:r>
              <w:rPr>
                <w:rFonts w:hint="eastAsia" w:hAnsi="宋体" w:cs="宋体"/>
                <w:color w:val="auto"/>
                <w:szCs w:val="18"/>
                <w:highlight w:val="none"/>
              </w:rPr>
              <w:t xml:space="preserve">  </w:t>
            </w:r>
            <w:r>
              <w:rPr>
                <w:rFonts w:hAnsi="宋体" w:cs="宋体"/>
                <w:color w:val="auto"/>
                <w:szCs w:val="18"/>
                <w:highlight w:val="none"/>
              </w:rPr>
              <w:t>日</w:t>
            </w:r>
          </w:p>
        </w:tc>
        <w:tc>
          <w:tcPr>
            <w:tcW w:w="1025" w:type="dxa"/>
            <w:tcBorders>
              <w:top w:val="single" w:color="auto" w:sz="8" w:space="0"/>
            </w:tcBorders>
            <w:vAlign w:val="center"/>
          </w:tcPr>
          <w:p w14:paraId="32357607">
            <w:pPr>
              <w:pStyle w:val="178"/>
              <w:rPr>
                <w:color w:val="auto"/>
                <w:highlight w:val="none"/>
              </w:rPr>
            </w:pPr>
            <w:r>
              <w:rPr>
                <w:rFonts w:hint="eastAsia"/>
                <w:color w:val="auto"/>
                <w:highlight w:val="none"/>
              </w:rPr>
              <w:t>天气状况</w:t>
            </w:r>
          </w:p>
        </w:tc>
        <w:tc>
          <w:tcPr>
            <w:tcW w:w="1555" w:type="dxa"/>
            <w:gridSpan w:val="3"/>
            <w:tcBorders>
              <w:top w:val="single" w:color="auto" w:sz="8" w:space="0"/>
            </w:tcBorders>
            <w:vAlign w:val="center"/>
          </w:tcPr>
          <w:p w14:paraId="3C01ECA6">
            <w:pPr>
              <w:pStyle w:val="178"/>
              <w:rPr>
                <w:color w:val="auto"/>
                <w:highlight w:val="none"/>
              </w:rPr>
            </w:pPr>
          </w:p>
        </w:tc>
        <w:tc>
          <w:tcPr>
            <w:tcW w:w="1267" w:type="dxa"/>
            <w:gridSpan w:val="2"/>
            <w:tcBorders>
              <w:top w:val="single" w:color="auto" w:sz="8" w:space="0"/>
            </w:tcBorders>
            <w:vAlign w:val="center"/>
          </w:tcPr>
          <w:p w14:paraId="07A441D4">
            <w:pPr>
              <w:pStyle w:val="178"/>
              <w:rPr>
                <w:color w:val="auto"/>
                <w:highlight w:val="none"/>
              </w:rPr>
            </w:pPr>
            <w:r>
              <w:rPr>
                <w:rFonts w:hint="eastAsia"/>
                <w:color w:val="auto"/>
                <w:highlight w:val="none"/>
              </w:rPr>
              <w:t>断面水质</w:t>
            </w:r>
          </w:p>
          <w:p w14:paraId="73409460">
            <w:pPr>
              <w:pStyle w:val="178"/>
              <w:rPr>
                <w:color w:val="auto"/>
                <w:highlight w:val="none"/>
              </w:rPr>
            </w:pPr>
            <w:r>
              <w:rPr>
                <w:rFonts w:hint="eastAsia"/>
                <w:color w:val="auto"/>
                <w:highlight w:val="none"/>
              </w:rPr>
              <w:t>表现</w:t>
            </w:r>
          </w:p>
        </w:tc>
        <w:tc>
          <w:tcPr>
            <w:tcW w:w="2490" w:type="dxa"/>
            <w:gridSpan w:val="3"/>
            <w:tcBorders>
              <w:top w:val="single" w:color="auto" w:sz="8" w:space="0"/>
            </w:tcBorders>
            <w:vAlign w:val="center"/>
          </w:tcPr>
          <w:p w14:paraId="3AAC3E32">
            <w:pPr>
              <w:pStyle w:val="178"/>
              <w:rPr>
                <w:color w:val="auto"/>
                <w:highlight w:val="none"/>
              </w:rPr>
            </w:pPr>
          </w:p>
        </w:tc>
      </w:tr>
      <w:tr w14:paraId="5EEFDF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270" w:hRule="atLeast"/>
          <w:jc w:val="center"/>
        </w:trPr>
        <w:tc>
          <w:tcPr>
            <w:tcW w:w="1451" w:type="dxa"/>
            <w:gridSpan w:val="2"/>
            <w:vMerge w:val="restart"/>
            <w:vAlign w:val="center"/>
          </w:tcPr>
          <w:p w14:paraId="25E63515">
            <w:pPr>
              <w:pStyle w:val="178"/>
              <w:rPr>
                <w:color w:val="auto"/>
                <w:highlight w:val="none"/>
              </w:rPr>
            </w:pPr>
            <w:r>
              <w:rPr>
                <w:rFonts w:hint="eastAsia"/>
                <w:color w:val="auto"/>
                <w:highlight w:val="none"/>
              </w:rPr>
              <w:t>地理坐标</w:t>
            </w:r>
          </w:p>
        </w:tc>
        <w:tc>
          <w:tcPr>
            <w:tcW w:w="2191" w:type="dxa"/>
            <w:gridSpan w:val="2"/>
            <w:vMerge w:val="restart"/>
            <w:vAlign w:val="center"/>
          </w:tcPr>
          <w:p w14:paraId="11B85330">
            <w:pPr>
              <w:pStyle w:val="178"/>
              <w:jc w:val="left"/>
              <w:rPr>
                <w:color w:val="auto"/>
                <w:highlight w:val="none"/>
              </w:rPr>
            </w:pPr>
            <w:r>
              <w:rPr>
                <w:rFonts w:hint="eastAsia"/>
                <w:color w:val="auto"/>
                <w:highlight w:val="none"/>
              </w:rPr>
              <w:t>经度：</w:t>
            </w:r>
          </w:p>
          <w:p w14:paraId="4EEC9585">
            <w:pPr>
              <w:pStyle w:val="178"/>
              <w:jc w:val="left"/>
              <w:rPr>
                <w:color w:val="auto"/>
                <w:highlight w:val="none"/>
              </w:rPr>
            </w:pPr>
            <w:r>
              <w:rPr>
                <w:rFonts w:hint="eastAsia"/>
                <w:color w:val="auto"/>
                <w:highlight w:val="none"/>
              </w:rPr>
              <w:t>纬度：</w:t>
            </w:r>
          </w:p>
        </w:tc>
        <w:tc>
          <w:tcPr>
            <w:tcW w:w="1025" w:type="dxa"/>
            <w:vMerge w:val="restart"/>
            <w:vAlign w:val="center"/>
          </w:tcPr>
          <w:p w14:paraId="0BA05AC4">
            <w:pPr>
              <w:pStyle w:val="178"/>
              <w:rPr>
                <w:color w:val="auto"/>
                <w:highlight w:val="none"/>
              </w:rPr>
            </w:pPr>
            <w:r>
              <w:rPr>
                <w:rFonts w:hint="eastAsia"/>
                <w:color w:val="auto"/>
                <w:highlight w:val="none"/>
              </w:rPr>
              <w:t>采样时间</w:t>
            </w:r>
          </w:p>
        </w:tc>
        <w:tc>
          <w:tcPr>
            <w:tcW w:w="1555" w:type="dxa"/>
            <w:gridSpan w:val="3"/>
            <w:vMerge w:val="restart"/>
            <w:vAlign w:val="center"/>
          </w:tcPr>
          <w:p w14:paraId="2EE925DC">
            <w:pPr>
              <w:pStyle w:val="178"/>
              <w:rPr>
                <w:color w:val="auto"/>
                <w:highlight w:val="none"/>
              </w:rPr>
            </w:pPr>
            <w:r>
              <w:rPr>
                <w:rFonts w:hint="eastAsia"/>
                <w:color w:val="auto"/>
                <w:highlight w:val="none"/>
              </w:rPr>
              <w:t>时  分</w:t>
            </w:r>
          </w:p>
        </w:tc>
        <w:tc>
          <w:tcPr>
            <w:tcW w:w="1267" w:type="dxa"/>
            <w:gridSpan w:val="2"/>
            <w:vAlign w:val="center"/>
          </w:tcPr>
          <w:p w14:paraId="3404F3D2">
            <w:pPr>
              <w:pStyle w:val="178"/>
              <w:jc w:val="both"/>
              <w:rPr>
                <w:color w:val="auto"/>
                <w:highlight w:val="none"/>
              </w:rPr>
            </w:pPr>
            <w:r>
              <w:rPr>
                <w:rFonts w:hint="eastAsia"/>
                <w:color w:val="auto"/>
                <w:highlight w:val="none"/>
              </w:rPr>
              <w:t>水面宽度（m）</w:t>
            </w:r>
          </w:p>
        </w:tc>
        <w:tc>
          <w:tcPr>
            <w:tcW w:w="2490" w:type="dxa"/>
            <w:gridSpan w:val="3"/>
            <w:vAlign w:val="center"/>
          </w:tcPr>
          <w:p w14:paraId="719ABEAB">
            <w:pPr>
              <w:pStyle w:val="178"/>
              <w:rPr>
                <w:color w:val="auto"/>
                <w:highlight w:val="none"/>
              </w:rPr>
            </w:pPr>
          </w:p>
        </w:tc>
      </w:tr>
      <w:tr w14:paraId="590A65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206" w:hRule="atLeast"/>
          <w:jc w:val="center"/>
        </w:trPr>
        <w:tc>
          <w:tcPr>
            <w:tcW w:w="1451" w:type="dxa"/>
            <w:gridSpan w:val="2"/>
            <w:vMerge w:val="continue"/>
            <w:vAlign w:val="center"/>
          </w:tcPr>
          <w:p w14:paraId="3E77CF69">
            <w:pPr>
              <w:pStyle w:val="178"/>
              <w:rPr>
                <w:color w:val="auto"/>
                <w:highlight w:val="none"/>
              </w:rPr>
            </w:pPr>
          </w:p>
        </w:tc>
        <w:tc>
          <w:tcPr>
            <w:tcW w:w="2191" w:type="dxa"/>
            <w:gridSpan w:val="2"/>
            <w:vMerge w:val="continue"/>
            <w:vAlign w:val="center"/>
          </w:tcPr>
          <w:p w14:paraId="2FC04F82">
            <w:pPr>
              <w:pStyle w:val="178"/>
              <w:jc w:val="left"/>
              <w:rPr>
                <w:color w:val="auto"/>
                <w:highlight w:val="none"/>
              </w:rPr>
            </w:pPr>
          </w:p>
        </w:tc>
        <w:tc>
          <w:tcPr>
            <w:tcW w:w="1025" w:type="dxa"/>
            <w:vMerge w:val="continue"/>
            <w:vAlign w:val="center"/>
          </w:tcPr>
          <w:p w14:paraId="7110F345">
            <w:pPr>
              <w:pStyle w:val="178"/>
              <w:rPr>
                <w:color w:val="auto"/>
                <w:highlight w:val="none"/>
              </w:rPr>
            </w:pPr>
          </w:p>
        </w:tc>
        <w:tc>
          <w:tcPr>
            <w:tcW w:w="1555" w:type="dxa"/>
            <w:gridSpan w:val="3"/>
            <w:vMerge w:val="continue"/>
            <w:vAlign w:val="center"/>
          </w:tcPr>
          <w:p w14:paraId="5088F676">
            <w:pPr>
              <w:pStyle w:val="178"/>
              <w:rPr>
                <w:color w:val="auto"/>
                <w:highlight w:val="none"/>
              </w:rPr>
            </w:pPr>
          </w:p>
        </w:tc>
        <w:tc>
          <w:tcPr>
            <w:tcW w:w="1267" w:type="dxa"/>
            <w:gridSpan w:val="2"/>
            <w:vAlign w:val="center"/>
          </w:tcPr>
          <w:p w14:paraId="5743F067">
            <w:pPr>
              <w:pStyle w:val="178"/>
              <w:rPr>
                <w:color w:val="auto"/>
                <w:highlight w:val="none"/>
              </w:rPr>
            </w:pPr>
            <w:r>
              <w:rPr>
                <w:rFonts w:hint="eastAsia"/>
                <w:color w:val="auto"/>
                <w:highlight w:val="none"/>
              </w:rPr>
              <w:t>深度（m）</w:t>
            </w:r>
          </w:p>
        </w:tc>
        <w:tc>
          <w:tcPr>
            <w:tcW w:w="2490" w:type="dxa"/>
            <w:gridSpan w:val="3"/>
            <w:vAlign w:val="center"/>
          </w:tcPr>
          <w:p w14:paraId="6C0ACE4C">
            <w:pPr>
              <w:pStyle w:val="178"/>
              <w:rPr>
                <w:color w:val="auto"/>
                <w:highlight w:val="none"/>
              </w:rPr>
            </w:pPr>
          </w:p>
        </w:tc>
      </w:tr>
      <w:tr w14:paraId="2E5F18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293" w:hRule="atLeast"/>
          <w:jc w:val="center"/>
        </w:trPr>
        <w:tc>
          <w:tcPr>
            <w:tcW w:w="1451" w:type="dxa"/>
            <w:gridSpan w:val="2"/>
            <w:vAlign w:val="center"/>
          </w:tcPr>
          <w:p w14:paraId="02035E79">
            <w:pPr>
              <w:pStyle w:val="178"/>
              <w:rPr>
                <w:color w:val="auto"/>
                <w:highlight w:val="none"/>
              </w:rPr>
            </w:pPr>
            <w:r>
              <w:rPr>
                <w:rFonts w:hint="eastAsia"/>
                <w:color w:val="auto"/>
                <w:highlight w:val="none"/>
              </w:rPr>
              <w:t>采样位置</w:t>
            </w:r>
          </w:p>
        </w:tc>
        <w:tc>
          <w:tcPr>
            <w:tcW w:w="973" w:type="dxa"/>
            <w:vMerge w:val="restart"/>
            <w:vAlign w:val="center"/>
          </w:tcPr>
          <w:p w14:paraId="6A58355A">
            <w:pPr>
              <w:pStyle w:val="178"/>
              <w:rPr>
                <w:color w:val="auto"/>
                <w:highlight w:val="none"/>
              </w:rPr>
            </w:pPr>
            <w:r>
              <w:rPr>
                <w:rFonts w:hint="eastAsia"/>
                <w:color w:val="auto"/>
                <w:highlight w:val="none"/>
              </w:rPr>
              <w:t>采样时间</w:t>
            </w:r>
          </w:p>
        </w:tc>
        <w:tc>
          <w:tcPr>
            <w:tcW w:w="1218" w:type="dxa"/>
            <w:vMerge w:val="restart"/>
            <w:vAlign w:val="center"/>
          </w:tcPr>
          <w:p w14:paraId="2448259D">
            <w:pPr>
              <w:pStyle w:val="178"/>
              <w:rPr>
                <w:color w:val="auto"/>
                <w:highlight w:val="none"/>
              </w:rPr>
            </w:pPr>
            <w:r>
              <w:rPr>
                <w:rFonts w:hint="eastAsia"/>
                <w:color w:val="auto"/>
                <w:highlight w:val="none"/>
              </w:rPr>
              <w:t>样品编号</w:t>
            </w:r>
          </w:p>
        </w:tc>
        <w:tc>
          <w:tcPr>
            <w:tcW w:w="1031" w:type="dxa"/>
            <w:gridSpan w:val="2"/>
            <w:vMerge w:val="restart"/>
            <w:vAlign w:val="center"/>
          </w:tcPr>
          <w:p w14:paraId="4DBBEF12">
            <w:pPr>
              <w:pStyle w:val="178"/>
              <w:rPr>
                <w:color w:val="auto"/>
                <w:highlight w:val="none"/>
              </w:rPr>
            </w:pPr>
            <w:r>
              <w:rPr>
                <w:rFonts w:hint="eastAsia"/>
                <w:color w:val="auto"/>
                <w:highlight w:val="none"/>
              </w:rPr>
              <w:t>监测项目</w:t>
            </w:r>
          </w:p>
        </w:tc>
        <w:tc>
          <w:tcPr>
            <w:tcW w:w="1555" w:type="dxa"/>
            <w:gridSpan w:val="3"/>
            <w:vAlign w:val="center"/>
          </w:tcPr>
          <w:p w14:paraId="6BC6F4F2">
            <w:pPr>
              <w:pStyle w:val="178"/>
              <w:rPr>
                <w:color w:val="auto"/>
                <w:highlight w:val="none"/>
              </w:rPr>
            </w:pPr>
            <w:r>
              <w:rPr>
                <w:rFonts w:hint="eastAsia"/>
                <w:color w:val="auto"/>
                <w:highlight w:val="none"/>
              </w:rPr>
              <w:t>样品储存容器</w:t>
            </w:r>
          </w:p>
        </w:tc>
        <w:tc>
          <w:tcPr>
            <w:tcW w:w="1261" w:type="dxa"/>
            <w:vMerge w:val="restart"/>
            <w:vAlign w:val="center"/>
          </w:tcPr>
          <w:p w14:paraId="2B0C7E9D">
            <w:pPr>
              <w:pStyle w:val="178"/>
              <w:rPr>
                <w:color w:val="auto"/>
                <w:highlight w:val="none"/>
              </w:rPr>
            </w:pPr>
            <w:r>
              <w:rPr>
                <w:color w:val="auto"/>
                <w:highlight w:val="none"/>
              </w:rPr>
              <w:t>采样体积</w:t>
            </w:r>
          </w:p>
          <w:p w14:paraId="6BDF2617">
            <w:pPr>
              <w:pStyle w:val="178"/>
              <w:rPr>
                <w:color w:val="auto"/>
                <w:highlight w:val="none"/>
              </w:rPr>
            </w:pPr>
            <w:r>
              <w:rPr>
                <w:color w:val="auto"/>
                <w:highlight w:val="none"/>
              </w:rPr>
              <w:t>（ml）</w:t>
            </w:r>
          </w:p>
        </w:tc>
        <w:tc>
          <w:tcPr>
            <w:tcW w:w="848" w:type="dxa"/>
            <w:vMerge w:val="restart"/>
            <w:vAlign w:val="center"/>
          </w:tcPr>
          <w:p w14:paraId="2D7ED992">
            <w:pPr>
              <w:pStyle w:val="178"/>
              <w:rPr>
                <w:color w:val="auto"/>
                <w:highlight w:val="none"/>
              </w:rPr>
            </w:pPr>
            <w:r>
              <w:rPr>
                <w:rFonts w:hint="eastAsia"/>
                <w:color w:val="auto"/>
                <w:highlight w:val="none"/>
              </w:rPr>
              <w:t>采样器材质</w:t>
            </w:r>
          </w:p>
        </w:tc>
        <w:tc>
          <w:tcPr>
            <w:tcW w:w="825" w:type="dxa"/>
            <w:vMerge w:val="restart"/>
            <w:vAlign w:val="center"/>
          </w:tcPr>
          <w:p w14:paraId="28D3E4F1">
            <w:pPr>
              <w:pStyle w:val="178"/>
              <w:rPr>
                <w:color w:val="auto"/>
                <w:highlight w:val="none"/>
              </w:rPr>
            </w:pPr>
            <w:r>
              <w:rPr>
                <w:rFonts w:hint="eastAsia"/>
                <w:color w:val="auto"/>
                <w:highlight w:val="none"/>
              </w:rPr>
              <w:t>现场是否沉降</w:t>
            </w:r>
          </w:p>
        </w:tc>
        <w:tc>
          <w:tcPr>
            <w:tcW w:w="817" w:type="dxa"/>
            <w:vMerge w:val="restart"/>
            <w:vAlign w:val="center"/>
          </w:tcPr>
          <w:p w14:paraId="016D78D7">
            <w:pPr>
              <w:pStyle w:val="178"/>
              <w:rPr>
                <w:color w:val="auto"/>
                <w:highlight w:val="none"/>
              </w:rPr>
            </w:pPr>
            <w:r>
              <w:rPr>
                <w:rFonts w:hint="eastAsia"/>
                <w:color w:val="auto"/>
                <w:highlight w:val="none"/>
              </w:rPr>
              <w:t>保存剂</w:t>
            </w:r>
          </w:p>
        </w:tc>
      </w:tr>
      <w:tr w14:paraId="6438A5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343" w:hRule="atLeast"/>
          <w:jc w:val="center"/>
        </w:trPr>
        <w:tc>
          <w:tcPr>
            <w:tcW w:w="764" w:type="dxa"/>
            <w:vAlign w:val="center"/>
          </w:tcPr>
          <w:p w14:paraId="17B83ABE">
            <w:pPr>
              <w:pStyle w:val="178"/>
              <w:rPr>
                <w:color w:val="auto"/>
                <w:highlight w:val="none"/>
              </w:rPr>
            </w:pPr>
            <w:r>
              <w:rPr>
                <w:rFonts w:hint="eastAsia"/>
                <w:color w:val="auto"/>
                <w:highlight w:val="none"/>
              </w:rPr>
              <w:t>垂线</w:t>
            </w:r>
          </w:p>
        </w:tc>
        <w:tc>
          <w:tcPr>
            <w:tcW w:w="687" w:type="dxa"/>
            <w:vAlign w:val="center"/>
          </w:tcPr>
          <w:p w14:paraId="29635BD5">
            <w:pPr>
              <w:pStyle w:val="178"/>
              <w:rPr>
                <w:color w:val="auto"/>
                <w:highlight w:val="none"/>
              </w:rPr>
            </w:pPr>
            <w:r>
              <w:rPr>
                <w:rFonts w:hint="eastAsia"/>
                <w:color w:val="auto"/>
                <w:highlight w:val="none"/>
              </w:rPr>
              <w:t>深度</w:t>
            </w:r>
          </w:p>
        </w:tc>
        <w:tc>
          <w:tcPr>
            <w:tcW w:w="973" w:type="dxa"/>
            <w:vMerge w:val="continue"/>
            <w:vAlign w:val="center"/>
          </w:tcPr>
          <w:p w14:paraId="5F192CFB">
            <w:pPr>
              <w:pStyle w:val="178"/>
              <w:rPr>
                <w:color w:val="auto"/>
                <w:highlight w:val="none"/>
              </w:rPr>
            </w:pPr>
          </w:p>
        </w:tc>
        <w:tc>
          <w:tcPr>
            <w:tcW w:w="1218" w:type="dxa"/>
            <w:vMerge w:val="continue"/>
            <w:vAlign w:val="center"/>
          </w:tcPr>
          <w:p w14:paraId="4A17698D">
            <w:pPr>
              <w:pStyle w:val="178"/>
              <w:rPr>
                <w:color w:val="auto"/>
                <w:highlight w:val="none"/>
              </w:rPr>
            </w:pPr>
          </w:p>
        </w:tc>
        <w:tc>
          <w:tcPr>
            <w:tcW w:w="1031" w:type="dxa"/>
            <w:gridSpan w:val="2"/>
            <w:vMerge w:val="continue"/>
            <w:vAlign w:val="center"/>
          </w:tcPr>
          <w:p w14:paraId="412D3CB5">
            <w:pPr>
              <w:pStyle w:val="178"/>
              <w:rPr>
                <w:color w:val="auto"/>
                <w:highlight w:val="none"/>
              </w:rPr>
            </w:pPr>
          </w:p>
        </w:tc>
        <w:tc>
          <w:tcPr>
            <w:tcW w:w="732" w:type="dxa"/>
            <w:vAlign w:val="center"/>
          </w:tcPr>
          <w:p w14:paraId="1F8EBFAC">
            <w:pPr>
              <w:pStyle w:val="178"/>
              <w:rPr>
                <w:color w:val="auto"/>
                <w:highlight w:val="none"/>
              </w:rPr>
            </w:pPr>
            <w:r>
              <w:rPr>
                <w:rFonts w:hint="eastAsia"/>
                <w:color w:val="auto"/>
                <w:highlight w:val="none"/>
              </w:rPr>
              <w:t>材质</w:t>
            </w:r>
          </w:p>
        </w:tc>
        <w:tc>
          <w:tcPr>
            <w:tcW w:w="823" w:type="dxa"/>
            <w:gridSpan w:val="2"/>
            <w:vAlign w:val="center"/>
          </w:tcPr>
          <w:p w14:paraId="62E5F9A8">
            <w:pPr>
              <w:pStyle w:val="178"/>
              <w:rPr>
                <w:color w:val="auto"/>
                <w:highlight w:val="none"/>
              </w:rPr>
            </w:pPr>
            <w:r>
              <w:rPr>
                <w:rFonts w:hint="eastAsia"/>
                <w:color w:val="auto"/>
                <w:highlight w:val="none"/>
              </w:rPr>
              <w:t>颜色</w:t>
            </w:r>
          </w:p>
        </w:tc>
        <w:tc>
          <w:tcPr>
            <w:tcW w:w="1261" w:type="dxa"/>
            <w:vMerge w:val="continue"/>
            <w:vAlign w:val="center"/>
          </w:tcPr>
          <w:p w14:paraId="74A26153">
            <w:pPr>
              <w:pStyle w:val="178"/>
              <w:rPr>
                <w:color w:val="auto"/>
                <w:highlight w:val="none"/>
              </w:rPr>
            </w:pPr>
          </w:p>
        </w:tc>
        <w:tc>
          <w:tcPr>
            <w:tcW w:w="848" w:type="dxa"/>
            <w:vMerge w:val="continue"/>
            <w:vAlign w:val="center"/>
          </w:tcPr>
          <w:p w14:paraId="54771C2B">
            <w:pPr>
              <w:pStyle w:val="178"/>
              <w:rPr>
                <w:color w:val="auto"/>
                <w:highlight w:val="none"/>
              </w:rPr>
            </w:pPr>
          </w:p>
        </w:tc>
        <w:tc>
          <w:tcPr>
            <w:tcW w:w="825" w:type="dxa"/>
            <w:vMerge w:val="continue"/>
            <w:vAlign w:val="center"/>
          </w:tcPr>
          <w:p w14:paraId="3ADDE8F1">
            <w:pPr>
              <w:pStyle w:val="178"/>
              <w:rPr>
                <w:color w:val="auto"/>
                <w:highlight w:val="none"/>
              </w:rPr>
            </w:pPr>
          </w:p>
        </w:tc>
        <w:tc>
          <w:tcPr>
            <w:tcW w:w="817" w:type="dxa"/>
            <w:vMerge w:val="continue"/>
            <w:vAlign w:val="center"/>
          </w:tcPr>
          <w:p w14:paraId="6368711A">
            <w:pPr>
              <w:pStyle w:val="178"/>
              <w:rPr>
                <w:color w:val="auto"/>
                <w:highlight w:val="none"/>
              </w:rPr>
            </w:pPr>
          </w:p>
        </w:tc>
      </w:tr>
      <w:tr w14:paraId="073A78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451" w:hRule="atLeast"/>
          <w:jc w:val="center"/>
        </w:trPr>
        <w:tc>
          <w:tcPr>
            <w:tcW w:w="764" w:type="dxa"/>
            <w:vAlign w:val="center"/>
          </w:tcPr>
          <w:p w14:paraId="6B8A22AF">
            <w:pPr>
              <w:pStyle w:val="178"/>
              <w:rPr>
                <w:color w:val="auto"/>
                <w:highlight w:val="none"/>
              </w:rPr>
            </w:pPr>
          </w:p>
        </w:tc>
        <w:tc>
          <w:tcPr>
            <w:tcW w:w="687" w:type="dxa"/>
            <w:vAlign w:val="center"/>
          </w:tcPr>
          <w:p w14:paraId="70A7F530">
            <w:pPr>
              <w:pStyle w:val="178"/>
              <w:rPr>
                <w:color w:val="auto"/>
                <w:highlight w:val="none"/>
              </w:rPr>
            </w:pPr>
          </w:p>
        </w:tc>
        <w:tc>
          <w:tcPr>
            <w:tcW w:w="973" w:type="dxa"/>
            <w:vAlign w:val="center"/>
          </w:tcPr>
          <w:p w14:paraId="65CED10F">
            <w:pPr>
              <w:pStyle w:val="178"/>
              <w:rPr>
                <w:color w:val="auto"/>
                <w:highlight w:val="none"/>
              </w:rPr>
            </w:pPr>
            <w:r>
              <w:rPr>
                <w:rFonts w:hint="eastAsia"/>
                <w:color w:val="auto"/>
                <w:highlight w:val="none"/>
              </w:rPr>
              <w:t xml:space="preserve">  时  分</w:t>
            </w:r>
          </w:p>
        </w:tc>
        <w:tc>
          <w:tcPr>
            <w:tcW w:w="1218" w:type="dxa"/>
            <w:vAlign w:val="center"/>
          </w:tcPr>
          <w:p w14:paraId="2ECB3E8A">
            <w:pPr>
              <w:pStyle w:val="178"/>
              <w:rPr>
                <w:color w:val="auto"/>
                <w:highlight w:val="none"/>
              </w:rPr>
            </w:pPr>
          </w:p>
        </w:tc>
        <w:tc>
          <w:tcPr>
            <w:tcW w:w="1031" w:type="dxa"/>
            <w:gridSpan w:val="2"/>
            <w:vAlign w:val="center"/>
          </w:tcPr>
          <w:p w14:paraId="42E20498">
            <w:pPr>
              <w:pStyle w:val="178"/>
              <w:rPr>
                <w:color w:val="auto"/>
                <w:highlight w:val="none"/>
              </w:rPr>
            </w:pPr>
          </w:p>
        </w:tc>
        <w:tc>
          <w:tcPr>
            <w:tcW w:w="732" w:type="dxa"/>
            <w:vAlign w:val="center"/>
          </w:tcPr>
          <w:p w14:paraId="33B3F125">
            <w:pPr>
              <w:pStyle w:val="178"/>
              <w:rPr>
                <w:color w:val="auto"/>
                <w:highlight w:val="none"/>
              </w:rPr>
            </w:pPr>
          </w:p>
        </w:tc>
        <w:tc>
          <w:tcPr>
            <w:tcW w:w="823" w:type="dxa"/>
            <w:gridSpan w:val="2"/>
            <w:vAlign w:val="center"/>
          </w:tcPr>
          <w:p w14:paraId="3140B119">
            <w:pPr>
              <w:pStyle w:val="178"/>
              <w:rPr>
                <w:color w:val="auto"/>
                <w:highlight w:val="none"/>
              </w:rPr>
            </w:pPr>
          </w:p>
        </w:tc>
        <w:tc>
          <w:tcPr>
            <w:tcW w:w="1261" w:type="dxa"/>
            <w:vAlign w:val="center"/>
          </w:tcPr>
          <w:p w14:paraId="6770A47C">
            <w:pPr>
              <w:pStyle w:val="178"/>
              <w:rPr>
                <w:color w:val="auto"/>
                <w:highlight w:val="none"/>
              </w:rPr>
            </w:pPr>
          </w:p>
        </w:tc>
        <w:tc>
          <w:tcPr>
            <w:tcW w:w="848" w:type="dxa"/>
            <w:vAlign w:val="center"/>
          </w:tcPr>
          <w:p w14:paraId="7DDA0B28">
            <w:pPr>
              <w:pStyle w:val="178"/>
              <w:rPr>
                <w:color w:val="auto"/>
                <w:highlight w:val="none"/>
              </w:rPr>
            </w:pPr>
          </w:p>
        </w:tc>
        <w:tc>
          <w:tcPr>
            <w:tcW w:w="825" w:type="dxa"/>
            <w:vAlign w:val="center"/>
          </w:tcPr>
          <w:p w14:paraId="22C47BB2">
            <w:pPr>
              <w:pStyle w:val="178"/>
              <w:rPr>
                <w:color w:val="auto"/>
                <w:highlight w:val="none"/>
              </w:rPr>
            </w:pPr>
          </w:p>
        </w:tc>
        <w:tc>
          <w:tcPr>
            <w:tcW w:w="817" w:type="dxa"/>
            <w:vAlign w:val="center"/>
          </w:tcPr>
          <w:p w14:paraId="16A5FFF0">
            <w:pPr>
              <w:pStyle w:val="178"/>
              <w:rPr>
                <w:color w:val="auto"/>
                <w:highlight w:val="none"/>
              </w:rPr>
            </w:pPr>
          </w:p>
        </w:tc>
      </w:tr>
      <w:tr w14:paraId="3F2D93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427" w:hRule="atLeast"/>
          <w:jc w:val="center"/>
        </w:trPr>
        <w:tc>
          <w:tcPr>
            <w:tcW w:w="764" w:type="dxa"/>
            <w:vAlign w:val="center"/>
          </w:tcPr>
          <w:p w14:paraId="167A3AA1">
            <w:pPr>
              <w:pStyle w:val="178"/>
              <w:rPr>
                <w:color w:val="auto"/>
                <w:highlight w:val="none"/>
              </w:rPr>
            </w:pPr>
          </w:p>
        </w:tc>
        <w:tc>
          <w:tcPr>
            <w:tcW w:w="687" w:type="dxa"/>
            <w:vAlign w:val="center"/>
          </w:tcPr>
          <w:p w14:paraId="0C7FACA6">
            <w:pPr>
              <w:pStyle w:val="178"/>
              <w:rPr>
                <w:color w:val="auto"/>
                <w:highlight w:val="none"/>
              </w:rPr>
            </w:pPr>
          </w:p>
        </w:tc>
        <w:tc>
          <w:tcPr>
            <w:tcW w:w="973" w:type="dxa"/>
            <w:vAlign w:val="center"/>
          </w:tcPr>
          <w:p w14:paraId="72097CE7">
            <w:pPr>
              <w:pStyle w:val="178"/>
              <w:jc w:val="right"/>
              <w:rPr>
                <w:color w:val="auto"/>
                <w:highlight w:val="none"/>
              </w:rPr>
            </w:pPr>
            <w:r>
              <w:rPr>
                <w:rFonts w:hint="eastAsia"/>
                <w:color w:val="auto"/>
                <w:highlight w:val="none"/>
              </w:rPr>
              <w:t>时  分</w:t>
            </w:r>
          </w:p>
        </w:tc>
        <w:tc>
          <w:tcPr>
            <w:tcW w:w="1218" w:type="dxa"/>
            <w:vAlign w:val="center"/>
          </w:tcPr>
          <w:p w14:paraId="340061C8">
            <w:pPr>
              <w:pStyle w:val="178"/>
              <w:rPr>
                <w:color w:val="auto"/>
                <w:highlight w:val="none"/>
              </w:rPr>
            </w:pPr>
          </w:p>
        </w:tc>
        <w:tc>
          <w:tcPr>
            <w:tcW w:w="1031" w:type="dxa"/>
            <w:gridSpan w:val="2"/>
            <w:vAlign w:val="center"/>
          </w:tcPr>
          <w:p w14:paraId="596DA01F">
            <w:pPr>
              <w:pStyle w:val="178"/>
              <w:rPr>
                <w:color w:val="auto"/>
                <w:highlight w:val="none"/>
              </w:rPr>
            </w:pPr>
          </w:p>
        </w:tc>
        <w:tc>
          <w:tcPr>
            <w:tcW w:w="732" w:type="dxa"/>
            <w:vAlign w:val="center"/>
          </w:tcPr>
          <w:p w14:paraId="3889C239">
            <w:pPr>
              <w:pStyle w:val="178"/>
              <w:rPr>
                <w:color w:val="auto"/>
                <w:highlight w:val="none"/>
              </w:rPr>
            </w:pPr>
          </w:p>
        </w:tc>
        <w:tc>
          <w:tcPr>
            <w:tcW w:w="823" w:type="dxa"/>
            <w:gridSpan w:val="2"/>
            <w:vAlign w:val="center"/>
          </w:tcPr>
          <w:p w14:paraId="048E04B8">
            <w:pPr>
              <w:pStyle w:val="178"/>
              <w:rPr>
                <w:color w:val="auto"/>
                <w:highlight w:val="none"/>
              </w:rPr>
            </w:pPr>
          </w:p>
        </w:tc>
        <w:tc>
          <w:tcPr>
            <w:tcW w:w="1261" w:type="dxa"/>
            <w:vAlign w:val="center"/>
          </w:tcPr>
          <w:p w14:paraId="28200524">
            <w:pPr>
              <w:pStyle w:val="178"/>
              <w:rPr>
                <w:color w:val="auto"/>
                <w:highlight w:val="none"/>
              </w:rPr>
            </w:pPr>
          </w:p>
        </w:tc>
        <w:tc>
          <w:tcPr>
            <w:tcW w:w="848" w:type="dxa"/>
            <w:vAlign w:val="center"/>
          </w:tcPr>
          <w:p w14:paraId="00E4D4D1">
            <w:pPr>
              <w:pStyle w:val="178"/>
              <w:rPr>
                <w:color w:val="auto"/>
                <w:highlight w:val="none"/>
              </w:rPr>
            </w:pPr>
          </w:p>
        </w:tc>
        <w:tc>
          <w:tcPr>
            <w:tcW w:w="825" w:type="dxa"/>
            <w:vAlign w:val="center"/>
          </w:tcPr>
          <w:p w14:paraId="43FE125F">
            <w:pPr>
              <w:pStyle w:val="178"/>
              <w:rPr>
                <w:color w:val="auto"/>
                <w:highlight w:val="none"/>
              </w:rPr>
            </w:pPr>
          </w:p>
        </w:tc>
        <w:tc>
          <w:tcPr>
            <w:tcW w:w="817" w:type="dxa"/>
            <w:vAlign w:val="center"/>
          </w:tcPr>
          <w:p w14:paraId="46B6735C">
            <w:pPr>
              <w:pStyle w:val="178"/>
              <w:rPr>
                <w:color w:val="auto"/>
                <w:highlight w:val="none"/>
              </w:rPr>
            </w:pPr>
          </w:p>
        </w:tc>
      </w:tr>
      <w:tr w14:paraId="57A2F4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398" w:hRule="atLeast"/>
          <w:jc w:val="center"/>
        </w:trPr>
        <w:tc>
          <w:tcPr>
            <w:tcW w:w="764" w:type="dxa"/>
            <w:vAlign w:val="center"/>
          </w:tcPr>
          <w:p w14:paraId="40309FF9">
            <w:pPr>
              <w:pStyle w:val="178"/>
              <w:rPr>
                <w:color w:val="auto"/>
                <w:highlight w:val="none"/>
              </w:rPr>
            </w:pPr>
          </w:p>
        </w:tc>
        <w:tc>
          <w:tcPr>
            <w:tcW w:w="687" w:type="dxa"/>
            <w:vAlign w:val="center"/>
          </w:tcPr>
          <w:p w14:paraId="00539DC0">
            <w:pPr>
              <w:pStyle w:val="178"/>
              <w:rPr>
                <w:color w:val="auto"/>
                <w:highlight w:val="none"/>
              </w:rPr>
            </w:pPr>
          </w:p>
        </w:tc>
        <w:tc>
          <w:tcPr>
            <w:tcW w:w="973" w:type="dxa"/>
            <w:vAlign w:val="center"/>
          </w:tcPr>
          <w:p w14:paraId="02D71F6B">
            <w:pPr>
              <w:pStyle w:val="178"/>
              <w:jc w:val="right"/>
              <w:rPr>
                <w:color w:val="auto"/>
                <w:highlight w:val="none"/>
              </w:rPr>
            </w:pPr>
            <w:r>
              <w:rPr>
                <w:rFonts w:hint="eastAsia"/>
                <w:color w:val="auto"/>
                <w:highlight w:val="none"/>
              </w:rPr>
              <w:t>时  分</w:t>
            </w:r>
          </w:p>
        </w:tc>
        <w:tc>
          <w:tcPr>
            <w:tcW w:w="1218" w:type="dxa"/>
            <w:vAlign w:val="center"/>
          </w:tcPr>
          <w:p w14:paraId="49E381D1">
            <w:pPr>
              <w:pStyle w:val="178"/>
              <w:rPr>
                <w:color w:val="auto"/>
                <w:highlight w:val="none"/>
              </w:rPr>
            </w:pPr>
          </w:p>
        </w:tc>
        <w:tc>
          <w:tcPr>
            <w:tcW w:w="1031" w:type="dxa"/>
            <w:gridSpan w:val="2"/>
            <w:vAlign w:val="center"/>
          </w:tcPr>
          <w:p w14:paraId="2C6F975C">
            <w:pPr>
              <w:pStyle w:val="178"/>
              <w:rPr>
                <w:color w:val="auto"/>
                <w:highlight w:val="none"/>
              </w:rPr>
            </w:pPr>
          </w:p>
        </w:tc>
        <w:tc>
          <w:tcPr>
            <w:tcW w:w="732" w:type="dxa"/>
            <w:vAlign w:val="center"/>
          </w:tcPr>
          <w:p w14:paraId="3F0821C4">
            <w:pPr>
              <w:pStyle w:val="178"/>
              <w:rPr>
                <w:color w:val="auto"/>
                <w:highlight w:val="none"/>
              </w:rPr>
            </w:pPr>
          </w:p>
        </w:tc>
        <w:tc>
          <w:tcPr>
            <w:tcW w:w="823" w:type="dxa"/>
            <w:gridSpan w:val="2"/>
            <w:vAlign w:val="center"/>
          </w:tcPr>
          <w:p w14:paraId="1BB8CEC8">
            <w:pPr>
              <w:pStyle w:val="178"/>
              <w:rPr>
                <w:color w:val="auto"/>
                <w:highlight w:val="none"/>
              </w:rPr>
            </w:pPr>
          </w:p>
        </w:tc>
        <w:tc>
          <w:tcPr>
            <w:tcW w:w="1261" w:type="dxa"/>
            <w:vAlign w:val="center"/>
          </w:tcPr>
          <w:p w14:paraId="5241862F">
            <w:pPr>
              <w:pStyle w:val="178"/>
              <w:rPr>
                <w:color w:val="auto"/>
                <w:highlight w:val="none"/>
              </w:rPr>
            </w:pPr>
          </w:p>
        </w:tc>
        <w:tc>
          <w:tcPr>
            <w:tcW w:w="848" w:type="dxa"/>
            <w:vAlign w:val="center"/>
          </w:tcPr>
          <w:p w14:paraId="1B24E00E">
            <w:pPr>
              <w:pStyle w:val="178"/>
              <w:rPr>
                <w:color w:val="auto"/>
                <w:highlight w:val="none"/>
              </w:rPr>
            </w:pPr>
          </w:p>
        </w:tc>
        <w:tc>
          <w:tcPr>
            <w:tcW w:w="825" w:type="dxa"/>
            <w:vAlign w:val="center"/>
          </w:tcPr>
          <w:p w14:paraId="35DABACA">
            <w:pPr>
              <w:pStyle w:val="178"/>
              <w:rPr>
                <w:color w:val="auto"/>
                <w:highlight w:val="none"/>
              </w:rPr>
            </w:pPr>
          </w:p>
        </w:tc>
        <w:tc>
          <w:tcPr>
            <w:tcW w:w="817" w:type="dxa"/>
            <w:vAlign w:val="center"/>
          </w:tcPr>
          <w:p w14:paraId="0C0B3478">
            <w:pPr>
              <w:pStyle w:val="178"/>
              <w:rPr>
                <w:color w:val="auto"/>
                <w:highlight w:val="none"/>
              </w:rPr>
            </w:pPr>
          </w:p>
        </w:tc>
      </w:tr>
      <w:tr w14:paraId="298F40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400" w:hRule="atLeast"/>
          <w:jc w:val="center"/>
        </w:trPr>
        <w:tc>
          <w:tcPr>
            <w:tcW w:w="764" w:type="dxa"/>
            <w:vAlign w:val="center"/>
          </w:tcPr>
          <w:p w14:paraId="17C85396">
            <w:pPr>
              <w:pStyle w:val="178"/>
              <w:rPr>
                <w:color w:val="auto"/>
                <w:highlight w:val="none"/>
              </w:rPr>
            </w:pPr>
          </w:p>
        </w:tc>
        <w:tc>
          <w:tcPr>
            <w:tcW w:w="687" w:type="dxa"/>
            <w:vAlign w:val="center"/>
          </w:tcPr>
          <w:p w14:paraId="1C78C5C0">
            <w:pPr>
              <w:pStyle w:val="178"/>
              <w:rPr>
                <w:color w:val="auto"/>
                <w:highlight w:val="none"/>
              </w:rPr>
            </w:pPr>
          </w:p>
        </w:tc>
        <w:tc>
          <w:tcPr>
            <w:tcW w:w="973" w:type="dxa"/>
            <w:vAlign w:val="center"/>
          </w:tcPr>
          <w:p w14:paraId="11AD6646">
            <w:pPr>
              <w:pStyle w:val="178"/>
              <w:jc w:val="right"/>
              <w:rPr>
                <w:color w:val="auto"/>
                <w:highlight w:val="none"/>
              </w:rPr>
            </w:pPr>
            <w:r>
              <w:rPr>
                <w:rFonts w:hint="eastAsia"/>
                <w:color w:val="auto"/>
                <w:highlight w:val="none"/>
              </w:rPr>
              <w:t>时  分</w:t>
            </w:r>
          </w:p>
        </w:tc>
        <w:tc>
          <w:tcPr>
            <w:tcW w:w="1218" w:type="dxa"/>
            <w:vAlign w:val="center"/>
          </w:tcPr>
          <w:p w14:paraId="4389FBE0">
            <w:pPr>
              <w:pStyle w:val="178"/>
              <w:rPr>
                <w:color w:val="auto"/>
                <w:highlight w:val="none"/>
              </w:rPr>
            </w:pPr>
          </w:p>
        </w:tc>
        <w:tc>
          <w:tcPr>
            <w:tcW w:w="1031" w:type="dxa"/>
            <w:gridSpan w:val="2"/>
            <w:vAlign w:val="center"/>
          </w:tcPr>
          <w:p w14:paraId="2ABAA378">
            <w:pPr>
              <w:pStyle w:val="178"/>
              <w:rPr>
                <w:color w:val="auto"/>
                <w:highlight w:val="none"/>
              </w:rPr>
            </w:pPr>
          </w:p>
        </w:tc>
        <w:tc>
          <w:tcPr>
            <w:tcW w:w="732" w:type="dxa"/>
            <w:vAlign w:val="center"/>
          </w:tcPr>
          <w:p w14:paraId="6B24C40F">
            <w:pPr>
              <w:pStyle w:val="178"/>
              <w:rPr>
                <w:color w:val="auto"/>
                <w:highlight w:val="none"/>
              </w:rPr>
            </w:pPr>
          </w:p>
        </w:tc>
        <w:tc>
          <w:tcPr>
            <w:tcW w:w="823" w:type="dxa"/>
            <w:gridSpan w:val="2"/>
            <w:vAlign w:val="center"/>
          </w:tcPr>
          <w:p w14:paraId="5733CC1C">
            <w:pPr>
              <w:pStyle w:val="178"/>
              <w:rPr>
                <w:color w:val="auto"/>
                <w:highlight w:val="none"/>
              </w:rPr>
            </w:pPr>
          </w:p>
        </w:tc>
        <w:tc>
          <w:tcPr>
            <w:tcW w:w="1261" w:type="dxa"/>
            <w:vAlign w:val="center"/>
          </w:tcPr>
          <w:p w14:paraId="34AF32F7">
            <w:pPr>
              <w:pStyle w:val="178"/>
              <w:rPr>
                <w:color w:val="auto"/>
                <w:highlight w:val="none"/>
              </w:rPr>
            </w:pPr>
          </w:p>
        </w:tc>
        <w:tc>
          <w:tcPr>
            <w:tcW w:w="848" w:type="dxa"/>
            <w:vAlign w:val="center"/>
          </w:tcPr>
          <w:p w14:paraId="34856056">
            <w:pPr>
              <w:pStyle w:val="178"/>
              <w:rPr>
                <w:color w:val="auto"/>
                <w:highlight w:val="none"/>
              </w:rPr>
            </w:pPr>
          </w:p>
        </w:tc>
        <w:tc>
          <w:tcPr>
            <w:tcW w:w="825" w:type="dxa"/>
            <w:vAlign w:val="center"/>
          </w:tcPr>
          <w:p w14:paraId="078D34AB">
            <w:pPr>
              <w:pStyle w:val="178"/>
              <w:rPr>
                <w:color w:val="auto"/>
                <w:highlight w:val="none"/>
              </w:rPr>
            </w:pPr>
          </w:p>
        </w:tc>
        <w:tc>
          <w:tcPr>
            <w:tcW w:w="817" w:type="dxa"/>
            <w:vAlign w:val="center"/>
          </w:tcPr>
          <w:p w14:paraId="21DED3FA">
            <w:pPr>
              <w:pStyle w:val="178"/>
              <w:rPr>
                <w:color w:val="auto"/>
                <w:highlight w:val="none"/>
              </w:rPr>
            </w:pPr>
          </w:p>
        </w:tc>
      </w:tr>
      <w:tr w14:paraId="0D1C52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461" w:hRule="atLeast"/>
          <w:jc w:val="center"/>
        </w:trPr>
        <w:tc>
          <w:tcPr>
            <w:tcW w:w="764" w:type="dxa"/>
            <w:vAlign w:val="center"/>
          </w:tcPr>
          <w:p w14:paraId="30B8CB48">
            <w:pPr>
              <w:pStyle w:val="178"/>
              <w:rPr>
                <w:color w:val="auto"/>
                <w:highlight w:val="none"/>
              </w:rPr>
            </w:pPr>
          </w:p>
        </w:tc>
        <w:tc>
          <w:tcPr>
            <w:tcW w:w="687" w:type="dxa"/>
            <w:vAlign w:val="center"/>
          </w:tcPr>
          <w:p w14:paraId="70FE72DB">
            <w:pPr>
              <w:pStyle w:val="178"/>
              <w:rPr>
                <w:color w:val="auto"/>
                <w:highlight w:val="none"/>
              </w:rPr>
            </w:pPr>
          </w:p>
        </w:tc>
        <w:tc>
          <w:tcPr>
            <w:tcW w:w="973" w:type="dxa"/>
            <w:vAlign w:val="center"/>
          </w:tcPr>
          <w:p w14:paraId="505E841A">
            <w:pPr>
              <w:pStyle w:val="178"/>
              <w:jc w:val="right"/>
              <w:rPr>
                <w:color w:val="auto"/>
                <w:highlight w:val="none"/>
              </w:rPr>
            </w:pPr>
            <w:r>
              <w:rPr>
                <w:rFonts w:hint="eastAsia"/>
                <w:color w:val="auto"/>
                <w:highlight w:val="none"/>
              </w:rPr>
              <w:t>时  分</w:t>
            </w:r>
          </w:p>
        </w:tc>
        <w:tc>
          <w:tcPr>
            <w:tcW w:w="1218" w:type="dxa"/>
            <w:vAlign w:val="center"/>
          </w:tcPr>
          <w:p w14:paraId="7627CF68">
            <w:pPr>
              <w:pStyle w:val="178"/>
              <w:rPr>
                <w:color w:val="auto"/>
                <w:highlight w:val="none"/>
              </w:rPr>
            </w:pPr>
          </w:p>
        </w:tc>
        <w:tc>
          <w:tcPr>
            <w:tcW w:w="1031" w:type="dxa"/>
            <w:gridSpan w:val="2"/>
            <w:vAlign w:val="center"/>
          </w:tcPr>
          <w:p w14:paraId="59CC9479">
            <w:pPr>
              <w:pStyle w:val="178"/>
              <w:rPr>
                <w:color w:val="auto"/>
                <w:highlight w:val="none"/>
              </w:rPr>
            </w:pPr>
          </w:p>
        </w:tc>
        <w:tc>
          <w:tcPr>
            <w:tcW w:w="732" w:type="dxa"/>
            <w:vAlign w:val="center"/>
          </w:tcPr>
          <w:p w14:paraId="751396A6">
            <w:pPr>
              <w:pStyle w:val="178"/>
              <w:rPr>
                <w:color w:val="auto"/>
                <w:highlight w:val="none"/>
              </w:rPr>
            </w:pPr>
          </w:p>
        </w:tc>
        <w:tc>
          <w:tcPr>
            <w:tcW w:w="823" w:type="dxa"/>
            <w:gridSpan w:val="2"/>
            <w:vAlign w:val="center"/>
          </w:tcPr>
          <w:p w14:paraId="693FD14F">
            <w:pPr>
              <w:pStyle w:val="178"/>
              <w:rPr>
                <w:color w:val="auto"/>
                <w:highlight w:val="none"/>
              </w:rPr>
            </w:pPr>
          </w:p>
        </w:tc>
        <w:tc>
          <w:tcPr>
            <w:tcW w:w="1261" w:type="dxa"/>
            <w:vAlign w:val="center"/>
          </w:tcPr>
          <w:p w14:paraId="3533B9D7">
            <w:pPr>
              <w:pStyle w:val="178"/>
              <w:rPr>
                <w:color w:val="auto"/>
                <w:highlight w:val="none"/>
              </w:rPr>
            </w:pPr>
          </w:p>
        </w:tc>
        <w:tc>
          <w:tcPr>
            <w:tcW w:w="848" w:type="dxa"/>
            <w:vAlign w:val="center"/>
          </w:tcPr>
          <w:p w14:paraId="79651D15">
            <w:pPr>
              <w:pStyle w:val="178"/>
              <w:rPr>
                <w:color w:val="auto"/>
                <w:highlight w:val="none"/>
              </w:rPr>
            </w:pPr>
          </w:p>
        </w:tc>
        <w:tc>
          <w:tcPr>
            <w:tcW w:w="825" w:type="dxa"/>
            <w:vAlign w:val="center"/>
          </w:tcPr>
          <w:p w14:paraId="2775F103">
            <w:pPr>
              <w:pStyle w:val="178"/>
              <w:rPr>
                <w:color w:val="auto"/>
                <w:highlight w:val="none"/>
              </w:rPr>
            </w:pPr>
          </w:p>
        </w:tc>
        <w:tc>
          <w:tcPr>
            <w:tcW w:w="817" w:type="dxa"/>
            <w:vAlign w:val="center"/>
          </w:tcPr>
          <w:p w14:paraId="66932A23">
            <w:pPr>
              <w:pStyle w:val="178"/>
              <w:rPr>
                <w:color w:val="auto"/>
                <w:highlight w:val="none"/>
              </w:rPr>
            </w:pPr>
          </w:p>
        </w:tc>
      </w:tr>
      <w:tr w14:paraId="2396D1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jc w:val="center"/>
        </w:trPr>
        <w:tc>
          <w:tcPr>
            <w:tcW w:w="764" w:type="dxa"/>
            <w:vAlign w:val="center"/>
          </w:tcPr>
          <w:p w14:paraId="1FAFD814">
            <w:pPr>
              <w:pStyle w:val="178"/>
              <w:rPr>
                <w:color w:val="auto"/>
                <w:highlight w:val="none"/>
              </w:rPr>
            </w:pPr>
          </w:p>
        </w:tc>
        <w:tc>
          <w:tcPr>
            <w:tcW w:w="687" w:type="dxa"/>
            <w:vAlign w:val="center"/>
          </w:tcPr>
          <w:p w14:paraId="62389976">
            <w:pPr>
              <w:pStyle w:val="178"/>
              <w:rPr>
                <w:color w:val="auto"/>
                <w:highlight w:val="none"/>
              </w:rPr>
            </w:pPr>
          </w:p>
        </w:tc>
        <w:tc>
          <w:tcPr>
            <w:tcW w:w="973" w:type="dxa"/>
            <w:vAlign w:val="center"/>
          </w:tcPr>
          <w:p w14:paraId="25A0A75E">
            <w:pPr>
              <w:jc w:val="right"/>
              <w:rPr>
                <w:rFonts w:ascii="宋体" w:hAnsi="Times New Roman"/>
                <w:color w:val="auto"/>
                <w:kern w:val="0"/>
                <w:sz w:val="18"/>
                <w:szCs w:val="20"/>
                <w:highlight w:val="none"/>
              </w:rPr>
            </w:pPr>
            <w:r>
              <w:rPr>
                <w:rFonts w:hint="eastAsia" w:ascii="宋体" w:hAnsi="Times New Roman"/>
                <w:color w:val="auto"/>
                <w:kern w:val="0"/>
                <w:sz w:val="18"/>
                <w:szCs w:val="20"/>
                <w:highlight w:val="none"/>
              </w:rPr>
              <w:t>时  分</w:t>
            </w:r>
          </w:p>
        </w:tc>
        <w:tc>
          <w:tcPr>
            <w:tcW w:w="1218" w:type="dxa"/>
            <w:vAlign w:val="center"/>
          </w:tcPr>
          <w:p w14:paraId="4559F720">
            <w:pPr>
              <w:pStyle w:val="178"/>
              <w:rPr>
                <w:color w:val="auto"/>
                <w:highlight w:val="none"/>
              </w:rPr>
            </w:pPr>
          </w:p>
        </w:tc>
        <w:tc>
          <w:tcPr>
            <w:tcW w:w="1031" w:type="dxa"/>
            <w:gridSpan w:val="2"/>
            <w:vAlign w:val="center"/>
          </w:tcPr>
          <w:p w14:paraId="0138068E">
            <w:pPr>
              <w:pStyle w:val="178"/>
              <w:rPr>
                <w:color w:val="auto"/>
                <w:highlight w:val="none"/>
              </w:rPr>
            </w:pPr>
          </w:p>
        </w:tc>
        <w:tc>
          <w:tcPr>
            <w:tcW w:w="732" w:type="dxa"/>
            <w:vAlign w:val="center"/>
          </w:tcPr>
          <w:p w14:paraId="3B18A0A6">
            <w:pPr>
              <w:pStyle w:val="178"/>
              <w:rPr>
                <w:color w:val="auto"/>
                <w:highlight w:val="none"/>
              </w:rPr>
            </w:pPr>
          </w:p>
        </w:tc>
        <w:tc>
          <w:tcPr>
            <w:tcW w:w="823" w:type="dxa"/>
            <w:gridSpan w:val="2"/>
            <w:vAlign w:val="center"/>
          </w:tcPr>
          <w:p w14:paraId="76731A82">
            <w:pPr>
              <w:pStyle w:val="178"/>
              <w:rPr>
                <w:color w:val="auto"/>
                <w:highlight w:val="none"/>
              </w:rPr>
            </w:pPr>
          </w:p>
        </w:tc>
        <w:tc>
          <w:tcPr>
            <w:tcW w:w="1261" w:type="dxa"/>
            <w:vAlign w:val="center"/>
          </w:tcPr>
          <w:p w14:paraId="4665E023">
            <w:pPr>
              <w:pStyle w:val="178"/>
              <w:rPr>
                <w:color w:val="auto"/>
                <w:highlight w:val="none"/>
              </w:rPr>
            </w:pPr>
          </w:p>
        </w:tc>
        <w:tc>
          <w:tcPr>
            <w:tcW w:w="848" w:type="dxa"/>
            <w:vAlign w:val="center"/>
          </w:tcPr>
          <w:p w14:paraId="150A9F8C">
            <w:pPr>
              <w:pStyle w:val="178"/>
              <w:rPr>
                <w:color w:val="auto"/>
                <w:highlight w:val="none"/>
              </w:rPr>
            </w:pPr>
          </w:p>
        </w:tc>
        <w:tc>
          <w:tcPr>
            <w:tcW w:w="825" w:type="dxa"/>
            <w:vAlign w:val="center"/>
          </w:tcPr>
          <w:p w14:paraId="6DFE94D0">
            <w:pPr>
              <w:pStyle w:val="178"/>
              <w:rPr>
                <w:color w:val="auto"/>
                <w:highlight w:val="none"/>
              </w:rPr>
            </w:pPr>
          </w:p>
        </w:tc>
        <w:tc>
          <w:tcPr>
            <w:tcW w:w="817" w:type="dxa"/>
            <w:vAlign w:val="center"/>
          </w:tcPr>
          <w:p w14:paraId="6768DDBA">
            <w:pPr>
              <w:pStyle w:val="178"/>
              <w:rPr>
                <w:color w:val="auto"/>
                <w:highlight w:val="none"/>
              </w:rPr>
            </w:pPr>
          </w:p>
        </w:tc>
      </w:tr>
      <w:tr w14:paraId="3D28A8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jc w:val="center"/>
        </w:trPr>
        <w:tc>
          <w:tcPr>
            <w:tcW w:w="764" w:type="dxa"/>
            <w:vAlign w:val="center"/>
          </w:tcPr>
          <w:p w14:paraId="2C3724D3">
            <w:pPr>
              <w:pStyle w:val="178"/>
              <w:rPr>
                <w:color w:val="auto"/>
                <w:highlight w:val="none"/>
              </w:rPr>
            </w:pPr>
          </w:p>
        </w:tc>
        <w:tc>
          <w:tcPr>
            <w:tcW w:w="687" w:type="dxa"/>
            <w:vAlign w:val="center"/>
          </w:tcPr>
          <w:p w14:paraId="65353C0F">
            <w:pPr>
              <w:pStyle w:val="178"/>
              <w:rPr>
                <w:color w:val="auto"/>
                <w:highlight w:val="none"/>
              </w:rPr>
            </w:pPr>
          </w:p>
        </w:tc>
        <w:tc>
          <w:tcPr>
            <w:tcW w:w="973" w:type="dxa"/>
            <w:vAlign w:val="center"/>
          </w:tcPr>
          <w:p w14:paraId="6BCC206D">
            <w:pPr>
              <w:jc w:val="right"/>
              <w:rPr>
                <w:rFonts w:ascii="宋体" w:hAnsi="Times New Roman"/>
                <w:color w:val="auto"/>
                <w:kern w:val="0"/>
                <w:sz w:val="18"/>
                <w:szCs w:val="20"/>
                <w:highlight w:val="none"/>
              </w:rPr>
            </w:pPr>
            <w:r>
              <w:rPr>
                <w:rFonts w:hint="eastAsia" w:ascii="宋体" w:hAnsi="Times New Roman"/>
                <w:color w:val="auto"/>
                <w:kern w:val="0"/>
                <w:sz w:val="18"/>
                <w:szCs w:val="20"/>
                <w:highlight w:val="none"/>
              </w:rPr>
              <w:t>时  分</w:t>
            </w:r>
          </w:p>
        </w:tc>
        <w:tc>
          <w:tcPr>
            <w:tcW w:w="1218" w:type="dxa"/>
            <w:vAlign w:val="center"/>
          </w:tcPr>
          <w:p w14:paraId="5B97B09C">
            <w:pPr>
              <w:pStyle w:val="178"/>
              <w:rPr>
                <w:color w:val="auto"/>
                <w:highlight w:val="none"/>
              </w:rPr>
            </w:pPr>
          </w:p>
        </w:tc>
        <w:tc>
          <w:tcPr>
            <w:tcW w:w="1031" w:type="dxa"/>
            <w:gridSpan w:val="2"/>
            <w:vAlign w:val="center"/>
          </w:tcPr>
          <w:p w14:paraId="17EE97E6">
            <w:pPr>
              <w:pStyle w:val="178"/>
              <w:rPr>
                <w:color w:val="auto"/>
                <w:highlight w:val="none"/>
              </w:rPr>
            </w:pPr>
          </w:p>
        </w:tc>
        <w:tc>
          <w:tcPr>
            <w:tcW w:w="732" w:type="dxa"/>
            <w:vAlign w:val="center"/>
          </w:tcPr>
          <w:p w14:paraId="28C61BF3">
            <w:pPr>
              <w:pStyle w:val="178"/>
              <w:rPr>
                <w:color w:val="auto"/>
                <w:highlight w:val="none"/>
              </w:rPr>
            </w:pPr>
          </w:p>
        </w:tc>
        <w:tc>
          <w:tcPr>
            <w:tcW w:w="823" w:type="dxa"/>
            <w:gridSpan w:val="2"/>
            <w:vAlign w:val="center"/>
          </w:tcPr>
          <w:p w14:paraId="3C767222">
            <w:pPr>
              <w:pStyle w:val="178"/>
              <w:rPr>
                <w:color w:val="auto"/>
                <w:highlight w:val="none"/>
              </w:rPr>
            </w:pPr>
          </w:p>
        </w:tc>
        <w:tc>
          <w:tcPr>
            <w:tcW w:w="1261" w:type="dxa"/>
            <w:vAlign w:val="center"/>
          </w:tcPr>
          <w:p w14:paraId="3E401AF3">
            <w:pPr>
              <w:pStyle w:val="178"/>
              <w:rPr>
                <w:color w:val="auto"/>
                <w:highlight w:val="none"/>
              </w:rPr>
            </w:pPr>
          </w:p>
        </w:tc>
        <w:tc>
          <w:tcPr>
            <w:tcW w:w="848" w:type="dxa"/>
            <w:vAlign w:val="center"/>
          </w:tcPr>
          <w:p w14:paraId="7E89899F">
            <w:pPr>
              <w:pStyle w:val="178"/>
              <w:rPr>
                <w:color w:val="auto"/>
                <w:highlight w:val="none"/>
              </w:rPr>
            </w:pPr>
          </w:p>
        </w:tc>
        <w:tc>
          <w:tcPr>
            <w:tcW w:w="825" w:type="dxa"/>
            <w:vAlign w:val="center"/>
          </w:tcPr>
          <w:p w14:paraId="699FF4E8">
            <w:pPr>
              <w:pStyle w:val="178"/>
              <w:rPr>
                <w:color w:val="auto"/>
                <w:highlight w:val="none"/>
              </w:rPr>
            </w:pPr>
          </w:p>
        </w:tc>
        <w:tc>
          <w:tcPr>
            <w:tcW w:w="817" w:type="dxa"/>
            <w:vAlign w:val="center"/>
          </w:tcPr>
          <w:p w14:paraId="7BAD653B">
            <w:pPr>
              <w:pStyle w:val="178"/>
              <w:rPr>
                <w:color w:val="auto"/>
                <w:highlight w:val="none"/>
              </w:rPr>
            </w:pPr>
          </w:p>
        </w:tc>
      </w:tr>
      <w:tr w14:paraId="4FB551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jc w:val="center"/>
        </w:trPr>
        <w:tc>
          <w:tcPr>
            <w:tcW w:w="764" w:type="dxa"/>
            <w:vAlign w:val="center"/>
          </w:tcPr>
          <w:p w14:paraId="2C68597D">
            <w:pPr>
              <w:pStyle w:val="178"/>
              <w:rPr>
                <w:color w:val="auto"/>
                <w:highlight w:val="none"/>
              </w:rPr>
            </w:pPr>
          </w:p>
        </w:tc>
        <w:tc>
          <w:tcPr>
            <w:tcW w:w="687" w:type="dxa"/>
            <w:vAlign w:val="center"/>
          </w:tcPr>
          <w:p w14:paraId="6BBA65BA">
            <w:pPr>
              <w:pStyle w:val="178"/>
              <w:rPr>
                <w:color w:val="auto"/>
                <w:highlight w:val="none"/>
              </w:rPr>
            </w:pPr>
          </w:p>
        </w:tc>
        <w:tc>
          <w:tcPr>
            <w:tcW w:w="973" w:type="dxa"/>
            <w:vAlign w:val="center"/>
          </w:tcPr>
          <w:p w14:paraId="3D2D3D46">
            <w:pPr>
              <w:jc w:val="right"/>
              <w:rPr>
                <w:rFonts w:ascii="宋体" w:hAnsi="Times New Roman"/>
                <w:color w:val="auto"/>
                <w:kern w:val="0"/>
                <w:sz w:val="18"/>
                <w:szCs w:val="20"/>
                <w:highlight w:val="none"/>
              </w:rPr>
            </w:pPr>
            <w:r>
              <w:rPr>
                <w:rFonts w:hint="eastAsia" w:ascii="宋体" w:hAnsi="Times New Roman"/>
                <w:color w:val="auto"/>
                <w:kern w:val="0"/>
                <w:sz w:val="18"/>
                <w:szCs w:val="20"/>
                <w:highlight w:val="none"/>
              </w:rPr>
              <w:t>时  分</w:t>
            </w:r>
          </w:p>
        </w:tc>
        <w:tc>
          <w:tcPr>
            <w:tcW w:w="1218" w:type="dxa"/>
            <w:vAlign w:val="center"/>
          </w:tcPr>
          <w:p w14:paraId="57C7E1B2">
            <w:pPr>
              <w:pStyle w:val="178"/>
              <w:rPr>
                <w:color w:val="auto"/>
                <w:highlight w:val="none"/>
              </w:rPr>
            </w:pPr>
          </w:p>
        </w:tc>
        <w:tc>
          <w:tcPr>
            <w:tcW w:w="1031" w:type="dxa"/>
            <w:gridSpan w:val="2"/>
            <w:vAlign w:val="center"/>
          </w:tcPr>
          <w:p w14:paraId="470EB54D">
            <w:pPr>
              <w:pStyle w:val="178"/>
              <w:rPr>
                <w:color w:val="auto"/>
                <w:highlight w:val="none"/>
              </w:rPr>
            </w:pPr>
          </w:p>
        </w:tc>
        <w:tc>
          <w:tcPr>
            <w:tcW w:w="732" w:type="dxa"/>
            <w:vAlign w:val="center"/>
          </w:tcPr>
          <w:p w14:paraId="0F638D55">
            <w:pPr>
              <w:pStyle w:val="178"/>
              <w:rPr>
                <w:color w:val="auto"/>
                <w:highlight w:val="none"/>
              </w:rPr>
            </w:pPr>
          </w:p>
        </w:tc>
        <w:tc>
          <w:tcPr>
            <w:tcW w:w="823" w:type="dxa"/>
            <w:gridSpan w:val="2"/>
            <w:vAlign w:val="center"/>
          </w:tcPr>
          <w:p w14:paraId="7D5FF16C">
            <w:pPr>
              <w:pStyle w:val="178"/>
              <w:rPr>
                <w:color w:val="auto"/>
                <w:highlight w:val="none"/>
              </w:rPr>
            </w:pPr>
          </w:p>
        </w:tc>
        <w:tc>
          <w:tcPr>
            <w:tcW w:w="1261" w:type="dxa"/>
            <w:vAlign w:val="center"/>
          </w:tcPr>
          <w:p w14:paraId="3B09898A">
            <w:pPr>
              <w:pStyle w:val="178"/>
              <w:rPr>
                <w:color w:val="auto"/>
                <w:highlight w:val="none"/>
              </w:rPr>
            </w:pPr>
          </w:p>
        </w:tc>
        <w:tc>
          <w:tcPr>
            <w:tcW w:w="848" w:type="dxa"/>
            <w:vAlign w:val="center"/>
          </w:tcPr>
          <w:p w14:paraId="25EA454D">
            <w:pPr>
              <w:pStyle w:val="178"/>
              <w:rPr>
                <w:color w:val="auto"/>
                <w:highlight w:val="none"/>
              </w:rPr>
            </w:pPr>
          </w:p>
        </w:tc>
        <w:tc>
          <w:tcPr>
            <w:tcW w:w="825" w:type="dxa"/>
            <w:vAlign w:val="center"/>
          </w:tcPr>
          <w:p w14:paraId="6E625E05">
            <w:pPr>
              <w:pStyle w:val="178"/>
              <w:rPr>
                <w:color w:val="auto"/>
                <w:highlight w:val="none"/>
              </w:rPr>
            </w:pPr>
          </w:p>
        </w:tc>
        <w:tc>
          <w:tcPr>
            <w:tcW w:w="817" w:type="dxa"/>
            <w:vAlign w:val="center"/>
          </w:tcPr>
          <w:p w14:paraId="240E3740">
            <w:pPr>
              <w:pStyle w:val="178"/>
              <w:rPr>
                <w:color w:val="auto"/>
                <w:highlight w:val="none"/>
              </w:rPr>
            </w:pPr>
          </w:p>
        </w:tc>
      </w:tr>
      <w:tr w14:paraId="671C54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jc w:val="center"/>
        </w:trPr>
        <w:tc>
          <w:tcPr>
            <w:tcW w:w="764" w:type="dxa"/>
            <w:vAlign w:val="center"/>
          </w:tcPr>
          <w:p w14:paraId="445074D0">
            <w:pPr>
              <w:pStyle w:val="178"/>
              <w:rPr>
                <w:color w:val="auto"/>
                <w:highlight w:val="none"/>
              </w:rPr>
            </w:pPr>
          </w:p>
        </w:tc>
        <w:tc>
          <w:tcPr>
            <w:tcW w:w="687" w:type="dxa"/>
            <w:vAlign w:val="center"/>
          </w:tcPr>
          <w:p w14:paraId="1A013CEA">
            <w:pPr>
              <w:pStyle w:val="178"/>
              <w:rPr>
                <w:color w:val="auto"/>
                <w:highlight w:val="none"/>
              </w:rPr>
            </w:pPr>
          </w:p>
        </w:tc>
        <w:tc>
          <w:tcPr>
            <w:tcW w:w="973" w:type="dxa"/>
            <w:vAlign w:val="center"/>
          </w:tcPr>
          <w:p w14:paraId="3EA4CC34">
            <w:pPr>
              <w:jc w:val="right"/>
              <w:rPr>
                <w:rFonts w:ascii="宋体" w:hAnsi="Times New Roman"/>
                <w:color w:val="auto"/>
                <w:kern w:val="0"/>
                <w:sz w:val="18"/>
                <w:szCs w:val="20"/>
                <w:highlight w:val="none"/>
              </w:rPr>
            </w:pPr>
            <w:r>
              <w:rPr>
                <w:rFonts w:hint="eastAsia" w:ascii="宋体" w:hAnsi="Times New Roman"/>
                <w:color w:val="auto"/>
                <w:kern w:val="0"/>
                <w:sz w:val="18"/>
                <w:szCs w:val="20"/>
                <w:highlight w:val="none"/>
              </w:rPr>
              <w:t>时  分</w:t>
            </w:r>
          </w:p>
        </w:tc>
        <w:tc>
          <w:tcPr>
            <w:tcW w:w="1218" w:type="dxa"/>
            <w:vAlign w:val="center"/>
          </w:tcPr>
          <w:p w14:paraId="06378CE7">
            <w:pPr>
              <w:pStyle w:val="178"/>
              <w:rPr>
                <w:color w:val="auto"/>
                <w:highlight w:val="none"/>
              </w:rPr>
            </w:pPr>
          </w:p>
        </w:tc>
        <w:tc>
          <w:tcPr>
            <w:tcW w:w="1031" w:type="dxa"/>
            <w:gridSpan w:val="2"/>
            <w:vAlign w:val="center"/>
          </w:tcPr>
          <w:p w14:paraId="4358FF9D">
            <w:pPr>
              <w:pStyle w:val="178"/>
              <w:rPr>
                <w:color w:val="auto"/>
                <w:highlight w:val="none"/>
              </w:rPr>
            </w:pPr>
          </w:p>
        </w:tc>
        <w:tc>
          <w:tcPr>
            <w:tcW w:w="732" w:type="dxa"/>
            <w:vAlign w:val="center"/>
          </w:tcPr>
          <w:p w14:paraId="3D1C480E">
            <w:pPr>
              <w:pStyle w:val="178"/>
              <w:rPr>
                <w:color w:val="auto"/>
                <w:highlight w:val="none"/>
              </w:rPr>
            </w:pPr>
          </w:p>
        </w:tc>
        <w:tc>
          <w:tcPr>
            <w:tcW w:w="823" w:type="dxa"/>
            <w:gridSpan w:val="2"/>
            <w:vAlign w:val="center"/>
          </w:tcPr>
          <w:p w14:paraId="38F0CAAA">
            <w:pPr>
              <w:pStyle w:val="178"/>
              <w:rPr>
                <w:color w:val="auto"/>
                <w:highlight w:val="none"/>
              </w:rPr>
            </w:pPr>
          </w:p>
        </w:tc>
        <w:tc>
          <w:tcPr>
            <w:tcW w:w="1261" w:type="dxa"/>
            <w:vAlign w:val="center"/>
          </w:tcPr>
          <w:p w14:paraId="524D3160">
            <w:pPr>
              <w:pStyle w:val="178"/>
              <w:rPr>
                <w:color w:val="auto"/>
                <w:highlight w:val="none"/>
              </w:rPr>
            </w:pPr>
          </w:p>
        </w:tc>
        <w:tc>
          <w:tcPr>
            <w:tcW w:w="848" w:type="dxa"/>
            <w:vAlign w:val="center"/>
          </w:tcPr>
          <w:p w14:paraId="02B71190">
            <w:pPr>
              <w:pStyle w:val="178"/>
              <w:rPr>
                <w:color w:val="auto"/>
                <w:highlight w:val="none"/>
              </w:rPr>
            </w:pPr>
          </w:p>
        </w:tc>
        <w:tc>
          <w:tcPr>
            <w:tcW w:w="825" w:type="dxa"/>
            <w:vAlign w:val="center"/>
          </w:tcPr>
          <w:p w14:paraId="7BCA65CA">
            <w:pPr>
              <w:pStyle w:val="178"/>
              <w:rPr>
                <w:color w:val="auto"/>
                <w:highlight w:val="none"/>
              </w:rPr>
            </w:pPr>
          </w:p>
        </w:tc>
        <w:tc>
          <w:tcPr>
            <w:tcW w:w="817" w:type="dxa"/>
            <w:vAlign w:val="center"/>
          </w:tcPr>
          <w:p w14:paraId="75D1746B">
            <w:pPr>
              <w:pStyle w:val="178"/>
              <w:rPr>
                <w:color w:val="auto"/>
                <w:highlight w:val="none"/>
              </w:rPr>
            </w:pPr>
          </w:p>
        </w:tc>
      </w:tr>
      <w:tr w14:paraId="73BE23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jc w:val="center"/>
        </w:trPr>
        <w:tc>
          <w:tcPr>
            <w:tcW w:w="764" w:type="dxa"/>
            <w:vAlign w:val="center"/>
          </w:tcPr>
          <w:p w14:paraId="51D8B9F8">
            <w:pPr>
              <w:pStyle w:val="178"/>
              <w:rPr>
                <w:color w:val="auto"/>
                <w:highlight w:val="none"/>
              </w:rPr>
            </w:pPr>
          </w:p>
        </w:tc>
        <w:tc>
          <w:tcPr>
            <w:tcW w:w="687" w:type="dxa"/>
            <w:vAlign w:val="center"/>
          </w:tcPr>
          <w:p w14:paraId="6C0008EC">
            <w:pPr>
              <w:pStyle w:val="178"/>
              <w:rPr>
                <w:color w:val="auto"/>
                <w:highlight w:val="none"/>
              </w:rPr>
            </w:pPr>
          </w:p>
        </w:tc>
        <w:tc>
          <w:tcPr>
            <w:tcW w:w="973" w:type="dxa"/>
            <w:vAlign w:val="center"/>
          </w:tcPr>
          <w:p w14:paraId="54400F37">
            <w:pPr>
              <w:jc w:val="right"/>
              <w:rPr>
                <w:rFonts w:ascii="宋体" w:hAnsi="Times New Roman"/>
                <w:color w:val="auto"/>
                <w:kern w:val="0"/>
                <w:sz w:val="18"/>
                <w:szCs w:val="20"/>
                <w:highlight w:val="none"/>
              </w:rPr>
            </w:pPr>
            <w:r>
              <w:rPr>
                <w:rFonts w:hint="eastAsia" w:ascii="宋体" w:hAnsi="Times New Roman"/>
                <w:color w:val="auto"/>
                <w:kern w:val="0"/>
                <w:sz w:val="18"/>
                <w:szCs w:val="20"/>
                <w:highlight w:val="none"/>
              </w:rPr>
              <w:t>时  分</w:t>
            </w:r>
          </w:p>
        </w:tc>
        <w:tc>
          <w:tcPr>
            <w:tcW w:w="1218" w:type="dxa"/>
            <w:vAlign w:val="center"/>
          </w:tcPr>
          <w:p w14:paraId="7FF29271">
            <w:pPr>
              <w:pStyle w:val="178"/>
              <w:rPr>
                <w:color w:val="auto"/>
                <w:highlight w:val="none"/>
              </w:rPr>
            </w:pPr>
          </w:p>
        </w:tc>
        <w:tc>
          <w:tcPr>
            <w:tcW w:w="1031" w:type="dxa"/>
            <w:gridSpan w:val="2"/>
            <w:vAlign w:val="center"/>
          </w:tcPr>
          <w:p w14:paraId="2C737949">
            <w:pPr>
              <w:pStyle w:val="178"/>
              <w:rPr>
                <w:color w:val="auto"/>
                <w:highlight w:val="none"/>
              </w:rPr>
            </w:pPr>
          </w:p>
        </w:tc>
        <w:tc>
          <w:tcPr>
            <w:tcW w:w="732" w:type="dxa"/>
            <w:vAlign w:val="center"/>
          </w:tcPr>
          <w:p w14:paraId="0D9F6EB6">
            <w:pPr>
              <w:pStyle w:val="178"/>
              <w:rPr>
                <w:color w:val="auto"/>
                <w:highlight w:val="none"/>
              </w:rPr>
            </w:pPr>
          </w:p>
        </w:tc>
        <w:tc>
          <w:tcPr>
            <w:tcW w:w="823" w:type="dxa"/>
            <w:gridSpan w:val="2"/>
            <w:vAlign w:val="center"/>
          </w:tcPr>
          <w:p w14:paraId="7E0B1F7E">
            <w:pPr>
              <w:pStyle w:val="178"/>
              <w:rPr>
                <w:color w:val="auto"/>
                <w:highlight w:val="none"/>
              </w:rPr>
            </w:pPr>
          </w:p>
        </w:tc>
        <w:tc>
          <w:tcPr>
            <w:tcW w:w="1261" w:type="dxa"/>
            <w:vAlign w:val="center"/>
          </w:tcPr>
          <w:p w14:paraId="1106F258">
            <w:pPr>
              <w:pStyle w:val="178"/>
              <w:rPr>
                <w:color w:val="auto"/>
                <w:highlight w:val="none"/>
              </w:rPr>
            </w:pPr>
          </w:p>
        </w:tc>
        <w:tc>
          <w:tcPr>
            <w:tcW w:w="848" w:type="dxa"/>
            <w:vAlign w:val="center"/>
          </w:tcPr>
          <w:p w14:paraId="7C3B9806">
            <w:pPr>
              <w:pStyle w:val="178"/>
              <w:rPr>
                <w:color w:val="auto"/>
                <w:highlight w:val="none"/>
              </w:rPr>
            </w:pPr>
          </w:p>
        </w:tc>
        <w:tc>
          <w:tcPr>
            <w:tcW w:w="825" w:type="dxa"/>
            <w:vAlign w:val="center"/>
          </w:tcPr>
          <w:p w14:paraId="33E57366">
            <w:pPr>
              <w:pStyle w:val="178"/>
              <w:rPr>
                <w:color w:val="auto"/>
                <w:highlight w:val="none"/>
              </w:rPr>
            </w:pPr>
          </w:p>
        </w:tc>
        <w:tc>
          <w:tcPr>
            <w:tcW w:w="817" w:type="dxa"/>
            <w:vAlign w:val="center"/>
          </w:tcPr>
          <w:p w14:paraId="2F80CA29">
            <w:pPr>
              <w:pStyle w:val="178"/>
              <w:rPr>
                <w:color w:val="auto"/>
                <w:highlight w:val="none"/>
              </w:rPr>
            </w:pPr>
          </w:p>
        </w:tc>
      </w:tr>
      <w:tr w14:paraId="6BFBA6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jc w:val="center"/>
        </w:trPr>
        <w:tc>
          <w:tcPr>
            <w:tcW w:w="764" w:type="dxa"/>
            <w:vAlign w:val="center"/>
          </w:tcPr>
          <w:p w14:paraId="3190F156">
            <w:pPr>
              <w:pStyle w:val="178"/>
              <w:rPr>
                <w:color w:val="auto"/>
                <w:highlight w:val="none"/>
              </w:rPr>
            </w:pPr>
          </w:p>
        </w:tc>
        <w:tc>
          <w:tcPr>
            <w:tcW w:w="687" w:type="dxa"/>
            <w:vAlign w:val="center"/>
          </w:tcPr>
          <w:p w14:paraId="42D51C50">
            <w:pPr>
              <w:pStyle w:val="178"/>
              <w:rPr>
                <w:color w:val="auto"/>
                <w:highlight w:val="none"/>
              </w:rPr>
            </w:pPr>
          </w:p>
        </w:tc>
        <w:tc>
          <w:tcPr>
            <w:tcW w:w="973" w:type="dxa"/>
            <w:vAlign w:val="center"/>
          </w:tcPr>
          <w:p w14:paraId="58FD4CA7">
            <w:pPr>
              <w:jc w:val="right"/>
              <w:rPr>
                <w:rFonts w:ascii="宋体" w:hAnsi="Times New Roman"/>
                <w:color w:val="auto"/>
                <w:kern w:val="0"/>
                <w:sz w:val="18"/>
                <w:szCs w:val="20"/>
                <w:highlight w:val="none"/>
              </w:rPr>
            </w:pPr>
            <w:r>
              <w:rPr>
                <w:rFonts w:hint="eastAsia" w:ascii="宋体" w:hAnsi="Times New Roman"/>
                <w:color w:val="auto"/>
                <w:kern w:val="0"/>
                <w:sz w:val="18"/>
                <w:szCs w:val="20"/>
                <w:highlight w:val="none"/>
              </w:rPr>
              <w:t>时  分</w:t>
            </w:r>
          </w:p>
        </w:tc>
        <w:tc>
          <w:tcPr>
            <w:tcW w:w="1218" w:type="dxa"/>
            <w:vAlign w:val="center"/>
          </w:tcPr>
          <w:p w14:paraId="137045DA">
            <w:pPr>
              <w:pStyle w:val="178"/>
              <w:rPr>
                <w:color w:val="auto"/>
                <w:highlight w:val="none"/>
              </w:rPr>
            </w:pPr>
          </w:p>
        </w:tc>
        <w:tc>
          <w:tcPr>
            <w:tcW w:w="1031" w:type="dxa"/>
            <w:gridSpan w:val="2"/>
            <w:vAlign w:val="center"/>
          </w:tcPr>
          <w:p w14:paraId="7AB86EBD">
            <w:pPr>
              <w:pStyle w:val="178"/>
              <w:rPr>
                <w:color w:val="auto"/>
                <w:highlight w:val="none"/>
              </w:rPr>
            </w:pPr>
          </w:p>
        </w:tc>
        <w:tc>
          <w:tcPr>
            <w:tcW w:w="732" w:type="dxa"/>
            <w:vAlign w:val="center"/>
          </w:tcPr>
          <w:p w14:paraId="09CF1282">
            <w:pPr>
              <w:pStyle w:val="178"/>
              <w:rPr>
                <w:color w:val="auto"/>
                <w:highlight w:val="none"/>
              </w:rPr>
            </w:pPr>
          </w:p>
        </w:tc>
        <w:tc>
          <w:tcPr>
            <w:tcW w:w="823" w:type="dxa"/>
            <w:gridSpan w:val="2"/>
            <w:vAlign w:val="center"/>
          </w:tcPr>
          <w:p w14:paraId="2FE61BC5">
            <w:pPr>
              <w:pStyle w:val="178"/>
              <w:rPr>
                <w:color w:val="auto"/>
                <w:highlight w:val="none"/>
              </w:rPr>
            </w:pPr>
          </w:p>
        </w:tc>
        <w:tc>
          <w:tcPr>
            <w:tcW w:w="1261" w:type="dxa"/>
            <w:vAlign w:val="center"/>
          </w:tcPr>
          <w:p w14:paraId="73373109">
            <w:pPr>
              <w:pStyle w:val="178"/>
              <w:rPr>
                <w:color w:val="auto"/>
                <w:highlight w:val="none"/>
              </w:rPr>
            </w:pPr>
          </w:p>
        </w:tc>
        <w:tc>
          <w:tcPr>
            <w:tcW w:w="848" w:type="dxa"/>
            <w:vAlign w:val="center"/>
          </w:tcPr>
          <w:p w14:paraId="1D1AF884">
            <w:pPr>
              <w:pStyle w:val="178"/>
              <w:rPr>
                <w:color w:val="auto"/>
                <w:highlight w:val="none"/>
              </w:rPr>
            </w:pPr>
          </w:p>
        </w:tc>
        <w:tc>
          <w:tcPr>
            <w:tcW w:w="825" w:type="dxa"/>
            <w:vAlign w:val="center"/>
          </w:tcPr>
          <w:p w14:paraId="6C5AEBC2">
            <w:pPr>
              <w:pStyle w:val="178"/>
              <w:rPr>
                <w:color w:val="auto"/>
                <w:highlight w:val="none"/>
              </w:rPr>
            </w:pPr>
          </w:p>
        </w:tc>
        <w:tc>
          <w:tcPr>
            <w:tcW w:w="817" w:type="dxa"/>
            <w:vAlign w:val="center"/>
          </w:tcPr>
          <w:p w14:paraId="77636717">
            <w:pPr>
              <w:pStyle w:val="178"/>
              <w:rPr>
                <w:color w:val="auto"/>
                <w:highlight w:val="none"/>
              </w:rPr>
            </w:pPr>
          </w:p>
        </w:tc>
      </w:tr>
      <w:tr w14:paraId="5C83BC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jc w:val="center"/>
        </w:trPr>
        <w:tc>
          <w:tcPr>
            <w:tcW w:w="764" w:type="dxa"/>
            <w:vAlign w:val="center"/>
          </w:tcPr>
          <w:p w14:paraId="5401838B">
            <w:pPr>
              <w:pStyle w:val="178"/>
              <w:rPr>
                <w:color w:val="auto"/>
                <w:highlight w:val="none"/>
              </w:rPr>
            </w:pPr>
          </w:p>
        </w:tc>
        <w:tc>
          <w:tcPr>
            <w:tcW w:w="687" w:type="dxa"/>
            <w:vAlign w:val="center"/>
          </w:tcPr>
          <w:p w14:paraId="7E7E5759">
            <w:pPr>
              <w:pStyle w:val="178"/>
              <w:rPr>
                <w:color w:val="auto"/>
                <w:highlight w:val="none"/>
              </w:rPr>
            </w:pPr>
          </w:p>
        </w:tc>
        <w:tc>
          <w:tcPr>
            <w:tcW w:w="973" w:type="dxa"/>
            <w:vAlign w:val="center"/>
          </w:tcPr>
          <w:p w14:paraId="3242266C">
            <w:pPr>
              <w:jc w:val="right"/>
              <w:rPr>
                <w:rFonts w:ascii="宋体" w:hAnsi="Times New Roman"/>
                <w:color w:val="auto"/>
                <w:kern w:val="0"/>
                <w:sz w:val="18"/>
                <w:szCs w:val="20"/>
                <w:highlight w:val="none"/>
              </w:rPr>
            </w:pPr>
            <w:r>
              <w:rPr>
                <w:rFonts w:hint="eastAsia" w:ascii="宋体" w:hAnsi="Times New Roman"/>
                <w:color w:val="auto"/>
                <w:kern w:val="0"/>
                <w:sz w:val="18"/>
                <w:szCs w:val="20"/>
                <w:highlight w:val="none"/>
              </w:rPr>
              <w:t>时  分</w:t>
            </w:r>
          </w:p>
        </w:tc>
        <w:tc>
          <w:tcPr>
            <w:tcW w:w="1218" w:type="dxa"/>
            <w:vAlign w:val="center"/>
          </w:tcPr>
          <w:p w14:paraId="21BF8121">
            <w:pPr>
              <w:pStyle w:val="178"/>
              <w:rPr>
                <w:color w:val="auto"/>
                <w:highlight w:val="none"/>
              </w:rPr>
            </w:pPr>
          </w:p>
        </w:tc>
        <w:tc>
          <w:tcPr>
            <w:tcW w:w="1031" w:type="dxa"/>
            <w:gridSpan w:val="2"/>
            <w:vAlign w:val="center"/>
          </w:tcPr>
          <w:p w14:paraId="0A0A3DEA">
            <w:pPr>
              <w:pStyle w:val="178"/>
              <w:rPr>
                <w:color w:val="auto"/>
                <w:highlight w:val="none"/>
              </w:rPr>
            </w:pPr>
          </w:p>
        </w:tc>
        <w:tc>
          <w:tcPr>
            <w:tcW w:w="732" w:type="dxa"/>
            <w:vAlign w:val="center"/>
          </w:tcPr>
          <w:p w14:paraId="1ECAED5B">
            <w:pPr>
              <w:pStyle w:val="178"/>
              <w:rPr>
                <w:color w:val="auto"/>
                <w:highlight w:val="none"/>
              </w:rPr>
            </w:pPr>
          </w:p>
        </w:tc>
        <w:tc>
          <w:tcPr>
            <w:tcW w:w="823" w:type="dxa"/>
            <w:gridSpan w:val="2"/>
            <w:vAlign w:val="center"/>
          </w:tcPr>
          <w:p w14:paraId="18E3E0AC">
            <w:pPr>
              <w:pStyle w:val="178"/>
              <w:rPr>
                <w:color w:val="auto"/>
                <w:highlight w:val="none"/>
              </w:rPr>
            </w:pPr>
          </w:p>
        </w:tc>
        <w:tc>
          <w:tcPr>
            <w:tcW w:w="1261" w:type="dxa"/>
            <w:vAlign w:val="center"/>
          </w:tcPr>
          <w:p w14:paraId="07606B55">
            <w:pPr>
              <w:pStyle w:val="178"/>
              <w:rPr>
                <w:color w:val="auto"/>
                <w:highlight w:val="none"/>
              </w:rPr>
            </w:pPr>
          </w:p>
        </w:tc>
        <w:tc>
          <w:tcPr>
            <w:tcW w:w="848" w:type="dxa"/>
            <w:vAlign w:val="center"/>
          </w:tcPr>
          <w:p w14:paraId="4FC543E0">
            <w:pPr>
              <w:pStyle w:val="178"/>
              <w:rPr>
                <w:color w:val="auto"/>
                <w:highlight w:val="none"/>
              </w:rPr>
            </w:pPr>
          </w:p>
        </w:tc>
        <w:tc>
          <w:tcPr>
            <w:tcW w:w="825" w:type="dxa"/>
            <w:vAlign w:val="center"/>
          </w:tcPr>
          <w:p w14:paraId="175D766A">
            <w:pPr>
              <w:pStyle w:val="178"/>
              <w:rPr>
                <w:color w:val="auto"/>
                <w:highlight w:val="none"/>
              </w:rPr>
            </w:pPr>
          </w:p>
        </w:tc>
        <w:tc>
          <w:tcPr>
            <w:tcW w:w="817" w:type="dxa"/>
            <w:vAlign w:val="center"/>
          </w:tcPr>
          <w:p w14:paraId="5592ED4F">
            <w:pPr>
              <w:pStyle w:val="178"/>
              <w:rPr>
                <w:color w:val="auto"/>
                <w:highlight w:val="none"/>
              </w:rPr>
            </w:pPr>
          </w:p>
        </w:tc>
      </w:tr>
      <w:tr w14:paraId="52DEB6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535" w:hRule="atLeast"/>
          <w:jc w:val="center"/>
        </w:trPr>
        <w:tc>
          <w:tcPr>
            <w:tcW w:w="1451" w:type="dxa"/>
            <w:gridSpan w:val="2"/>
            <w:vAlign w:val="center"/>
          </w:tcPr>
          <w:p w14:paraId="799E2E9C">
            <w:pPr>
              <w:pStyle w:val="178"/>
              <w:rPr>
                <w:color w:val="auto"/>
                <w:highlight w:val="none"/>
              </w:rPr>
            </w:pPr>
            <w:r>
              <w:rPr>
                <w:rFonts w:hint="eastAsia"/>
                <w:color w:val="auto"/>
                <w:highlight w:val="none"/>
              </w:rPr>
              <w:t>备注</w:t>
            </w:r>
          </w:p>
        </w:tc>
        <w:tc>
          <w:tcPr>
            <w:tcW w:w="8528" w:type="dxa"/>
            <w:gridSpan w:val="11"/>
            <w:vAlign w:val="center"/>
          </w:tcPr>
          <w:p w14:paraId="2208CAC4">
            <w:pPr>
              <w:pStyle w:val="178"/>
              <w:rPr>
                <w:color w:val="auto"/>
                <w:highlight w:val="none"/>
              </w:rPr>
            </w:pPr>
          </w:p>
        </w:tc>
      </w:tr>
      <w:tr w14:paraId="71F06B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13" w:type="dxa"/>
            <w:bottom w:w="0" w:type="dxa"/>
            <w:right w:w="113" w:type="dxa"/>
          </w:tblCellMar>
        </w:tblPrEx>
        <w:trPr>
          <w:trHeight w:val="383" w:hRule="atLeast"/>
          <w:jc w:val="center"/>
        </w:trPr>
        <w:tc>
          <w:tcPr>
            <w:tcW w:w="1451" w:type="dxa"/>
            <w:gridSpan w:val="2"/>
            <w:vAlign w:val="center"/>
          </w:tcPr>
          <w:p w14:paraId="261E95B4">
            <w:pPr>
              <w:pStyle w:val="178"/>
              <w:rPr>
                <w:color w:val="auto"/>
                <w:highlight w:val="none"/>
              </w:rPr>
            </w:pPr>
            <w:r>
              <w:rPr>
                <w:rFonts w:hint="eastAsia"/>
                <w:color w:val="auto"/>
                <w:highlight w:val="none"/>
              </w:rPr>
              <w:t>采样人</w:t>
            </w:r>
          </w:p>
        </w:tc>
        <w:tc>
          <w:tcPr>
            <w:tcW w:w="2191" w:type="dxa"/>
            <w:gridSpan w:val="2"/>
            <w:vAlign w:val="center"/>
          </w:tcPr>
          <w:p w14:paraId="64B0DB0E">
            <w:pPr>
              <w:pStyle w:val="178"/>
              <w:rPr>
                <w:color w:val="auto"/>
                <w:highlight w:val="none"/>
              </w:rPr>
            </w:pPr>
          </w:p>
        </w:tc>
        <w:tc>
          <w:tcPr>
            <w:tcW w:w="1025" w:type="dxa"/>
            <w:vAlign w:val="center"/>
          </w:tcPr>
          <w:p w14:paraId="1BF4FC38">
            <w:pPr>
              <w:pStyle w:val="178"/>
              <w:rPr>
                <w:color w:val="auto"/>
                <w:highlight w:val="none"/>
              </w:rPr>
            </w:pPr>
            <w:r>
              <w:rPr>
                <w:rFonts w:hint="eastAsia"/>
                <w:color w:val="auto"/>
                <w:highlight w:val="none"/>
              </w:rPr>
              <w:t>复核人</w:t>
            </w:r>
          </w:p>
        </w:tc>
        <w:tc>
          <w:tcPr>
            <w:tcW w:w="1555" w:type="dxa"/>
            <w:gridSpan w:val="3"/>
            <w:vAlign w:val="center"/>
          </w:tcPr>
          <w:p w14:paraId="295A2A5B">
            <w:pPr>
              <w:pStyle w:val="178"/>
              <w:rPr>
                <w:color w:val="auto"/>
                <w:highlight w:val="none"/>
              </w:rPr>
            </w:pPr>
          </w:p>
        </w:tc>
        <w:tc>
          <w:tcPr>
            <w:tcW w:w="1267" w:type="dxa"/>
            <w:gridSpan w:val="2"/>
            <w:vAlign w:val="center"/>
          </w:tcPr>
          <w:p w14:paraId="4B57F81B">
            <w:pPr>
              <w:pStyle w:val="178"/>
              <w:rPr>
                <w:color w:val="auto"/>
                <w:highlight w:val="none"/>
              </w:rPr>
            </w:pPr>
            <w:r>
              <w:rPr>
                <w:rFonts w:hint="eastAsia"/>
                <w:color w:val="auto"/>
                <w:highlight w:val="none"/>
              </w:rPr>
              <w:t>审核人</w:t>
            </w:r>
          </w:p>
        </w:tc>
        <w:tc>
          <w:tcPr>
            <w:tcW w:w="2490" w:type="dxa"/>
            <w:gridSpan w:val="3"/>
            <w:vAlign w:val="center"/>
          </w:tcPr>
          <w:p w14:paraId="3C57ED3E">
            <w:pPr>
              <w:pStyle w:val="178"/>
              <w:rPr>
                <w:color w:val="auto"/>
                <w:highlight w:val="none"/>
              </w:rPr>
            </w:pPr>
          </w:p>
        </w:tc>
      </w:tr>
      <w:bookmarkEnd w:id="81"/>
    </w:tbl>
    <w:p w14:paraId="42F0B647">
      <w:pPr>
        <w:pStyle w:val="56"/>
        <w:ind w:firstLine="0" w:firstLineChars="0"/>
        <w:jc w:val="center"/>
        <w:rPr>
          <w:color w:val="auto"/>
          <w:highlight w:val="none"/>
        </w:rPr>
      </w:pPr>
      <w:bookmarkStart w:id="88" w:name="BookMark8"/>
    </w:p>
    <w:p w14:paraId="16943AD7">
      <w:pPr>
        <w:pStyle w:val="56"/>
        <w:ind w:firstLine="0" w:firstLineChars="0"/>
        <w:jc w:val="center"/>
        <w:rPr>
          <w:color w:val="auto"/>
          <w:highlight w:val="none"/>
        </w:rPr>
      </w:pPr>
      <w:r>
        <w:rPr>
          <w:color w:val="auto"/>
          <w:highlight w:val="none"/>
        </w:rPr>
        <w:drawing>
          <wp:inline distT="0" distB="0" distL="0" distR="0">
            <wp:extent cx="1484630" cy="135890"/>
            <wp:effectExtent l="0" t="0" r="1270" b="0"/>
            <wp:docPr id="1926210918" name="图片 3"/>
            <wp:cNvGraphicFramePr/>
            <a:graphic xmlns:a="http://schemas.openxmlformats.org/drawingml/2006/main">
              <a:graphicData uri="http://schemas.openxmlformats.org/drawingml/2006/picture">
                <pic:pic xmlns:pic="http://schemas.openxmlformats.org/drawingml/2006/picture">
                  <pic:nvPicPr>
                    <pic:cNvPr id="1926210918" name="图片 3"/>
                    <pic:cNvPicPr/>
                  </pic:nvPicPr>
                  <pic:blipFill>
                    <a:blip r:embed="rId15">
                      <a:extLst>
                        <a:ext uri="{28A0092B-C50C-407E-A947-70E740481C1C}">
                          <a14:useLocalDpi xmlns:a14="http://schemas.microsoft.com/office/drawing/2010/main" val="0"/>
                        </a:ext>
                      </a:extLst>
                    </a:blip>
                    <a:srcRect t="57170"/>
                    <a:stretch>
                      <a:fillRect/>
                    </a:stretch>
                  </pic:blipFill>
                  <pic:spPr>
                    <a:xfrm>
                      <a:off x="0" y="0"/>
                      <a:ext cx="1485900" cy="135982"/>
                    </a:xfrm>
                    <a:prstGeom prst="rect">
                      <a:avLst/>
                    </a:prstGeom>
                    <a:ln>
                      <a:noFill/>
                    </a:ln>
                  </pic:spPr>
                </pic:pic>
              </a:graphicData>
            </a:graphic>
          </wp:inline>
        </w:drawing>
      </w:r>
      <w:bookmarkEnd w:id="88"/>
    </w:p>
    <w:sectPr>
      <w:pgSz w:w="11906" w:h="16838"/>
      <w:pgMar w:top="1928" w:right="1134" w:bottom="1134" w:left="1134" w:header="1418" w:footer="907"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12BD8D1-FDBD-4343-B457-57957567F4A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embedRegular r:id="rId2" w:fontKey="{3FC82775-53B1-47B0-9CCA-EA94AF34DD16}"/>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embedRegular r:id="rId3" w:fontKey="{6F640BAD-438F-452F-92CA-5B3F0EDE227A}"/>
  </w:font>
  <w:font w:name="方正黑体_GBK">
    <w:panose1 w:val="02010600010101010101"/>
    <w:charset w:val="86"/>
    <w:family w:val="swiss"/>
    <w:pitch w:val="default"/>
    <w:sig w:usb0="00000001" w:usb1="080E0000" w:usb2="00000000" w:usb3="00000000" w:csb0="00040000" w:csb1="00000000"/>
    <w:embedRegular r:id="rId4" w:fontKey="{1B900318-4E86-4808-9447-017067918D41}"/>
  </w:font>
  <w:font w:name="新宋体">
    <w:panose1 w:val="02010609030101010101"/>
    <w:charset w:val="86"/>
    <w:family w:val="modern"/>
    <w:pitch w:val="default"/>
    <w:sig w:usb0="00000203" w:usb1="288F0000" w:usb2="00000006" w:usb3="00000000" w:csb0="00040001" w:csb1="00000000"/>
    <w:embedRegular r:id="rId5" w:fontKey="{631ADE2A-190D-420C-9AD1-E3C03600E3DE}"/>
  </w:font>
  <w:font w:name="MS Mincho">
    <w:altName w:val="Yu Gothic UI"/>
    <w:panose1 w:val="02020609040205080304"/>
    <w:charset w:val="80"/>
    <w:family w:val="modern"/>
    <w:pitch w:val="default"/>
    <w:sig w:usb0="00000000" w:usb1="00000000" w:usb2="00000012" w:usb3="00000000" w:csb0="0002009F" w:csb1="00000000"/>
    <w:embedRegular r:id="rId6" w:fontKey="{E27182AE-6702-4AA8-B098-003EB73F177F}"/>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557CA">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DFF4F8">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8E79B4">
    <w:pPr>
      <w:pStyle w:val="52"/>
      <w:jc w:val="center"/>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6C18AD">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F79C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11A488">
    <w:pPr>
      <w:pStyle w:val="61"/>
    </w:pPr>
    <w:r>
      <w:fldChar w:fldCharType="begin"/>
    </w:r>
    <w:r>
      <w:instrText xml:space="preserve"> STYLEREF  标准文件_文件编号  \* MERGEFORMAT </w:instrText>
    </w:r>
    <w:r>
      <w:fldChar w:fldCharType="separate"/>
    </w:r>
    <w:r>
      <w:t>T/XXX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63C79D">
    <w:pPr>
      <w:pStyle w:val="18"/>
      <w:jc w:val="right"/>
    </w:pPr>
    <w:r>
      <w:fldChar w:fldCharType="begin"/>
    </w:r>
    <w:r>
      <w:instrText xml:space="preserve"> STYLEREF  标准文件_文件编号  \* MERGEFORMAT </w:instrText>
    </w:r>
    <w:r>
      <w:fldChar w:fldCharType="separate"/>
    </w:r>
    <w:r>
      <w:t>T/XXX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TrueTypeFonts/>
  <w:saveSubsetFonts/>
  <w:bordersDoNotSurroundHeader w:val="1"/>
  <w:bordersDoNotSurroundFooter w:val="1"/>
  <w:attachedTemplate r:id="rId1"/>
  <w:documentProtection w:edit="forms"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7D02"/>
    <w:rsid w:val="0000040A"/>
    <w:rsid w:val="00000A94"/>
    <w:rsid w:val="00001972"/>
    <w:rsid w:val="00001D9A"/>
    <w:rsid w:val="00007B3A"/>
    <w:rsid w:val="000107E0"/>
    <w:rsid w:val="00010EFC"/>
    <w:rsid w:val="00011FDE"/>
    <w:rsid w:val="00012FFD"/>
    <w:rsid w:val="00014162"/>
    <w:rsid w:val="00014340"/>
    <w:rsid w:val="00016A9C"/>
    <w:rsid w:val="00022184"/>
    <w:rsid w:val="00022762"/>
    <w:rsid w:val="000238E0"/>
    <w:rsid w:val="000249DB"/>
    <w:rsid w:val="0002595E"/>
    <w:rsid w:val="000302D8"/>
    <w:rsid w:val="000303C3"/>
    <w:rsid w:val="000331D3"/>
    <w:rsid w:val="000346A5"/>
    <w:rsid w:val="00034EAD"/>
    <w:rsid w:val="000359C3"/>
    <w:rsid w:val="00035A7D"/>
    <w:rsid w:val="000365ED"/>
    <w:rsid w:val="0004249A"/>
    <w:rsid w:val="00043282"/>
    <w:rsid w:val="00044286"/>
    <w:rsid w:val="000447F9"/>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4B94"/>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0C4"/>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D7923"/>
    <w:rsid w:val="000E4C9E"/>
    <w:rsid w:val="000E6FD7"/>
    <w:rsid w:val="000E7144"/>
    <w:rsid w:val="000F06E1"/>
    <w:rsid w:val="000F0E3C"/>
    <w:rsid w:val="000F19D5"/>
    <w:rsid w:val="000F4050"/>
    <w:rsid w:val="000F4AEA"/>
    <w:rsid w:val="000F67E9"/>
    <w:rsid w:val="00104926"/>
    <w:rsid w:val="00107502"/>
    <w:rsid w:val="00113B1E"/>
    <w:rsid w:val="0011711C"/>
    <w:rsid w:val="00124E4F"/>
    <w:rsid w:val="001260B7"/>
    <w:rsid w:val="001265CB"/>
    <w:rsid w:val="001321C6"/>
    <w:rsid w:val="001325C4"/>
    <w:rsid w:val="00133010"/>
    <w:rsid w:val="001338EE"/>
    <w:rsid w:val="00133AAE"/>
    <w:rsid w:val="00135323"/>
    <w:rsid w:val="001355C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39E2"/>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A7B"/>
    <w:rsid w:val="00267D02"/>
    <w:rsid w:val="00267EF4"/>
    <w:rsid w:val="00270CB8"/>
    <w:rsid w:val="00272B08"/>
    <w:rsid w:val="00281BB8"/>
    <w:rsid w:val="00281E9E"/>
    <w:rsid w:val="00282405"/>
    <w:rsid w:val="00285170"/>
    <w:rsid w:val="00285361"/>
    <w:rsid w:val="00292D60"/>
    <w:rsid w:val="00293B30"/>
    <w:rsid w:val="00294D34"/>
    <w:rsid w:val="00294E3B"/>
    <w:rsid w:val="00295CE1"/>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6A0F"/>
    <w:rsid w:val="002B7332"/>
    <w:rsid w:val="002B7F51"/>
    <w:rsid w:val="002C09E7"/>
    <w:rsid w:val="002C1E06"/>
    <w:rsid w:val="002C3F07"/>
    <w:rsid w:val="002C5278"/>
    <w:rsid w:val="002C7CBE"/>
    <w:rsid w:val="002C7EBB"/>
    <w:rsid w:val="002D06C1"/>
    <w:rsid w:val="002D2F07"/>
    <w:rsid w:val="002D42B5"/>
    <w:rsid w:val="002D4F1A"/>
    <w:rsid w:val="002D6EC6"/>
    <w:rsid w:val="002D79AC"/>
    <w:rsid w:val="002E039D"/>
    <w:rsid w:val="002E0D15"/>
    <w:rsid w:val="002E4D5A"/>
    <w:rsid w:val="002E6326"/>
    <w:rsid w:val="002F30E0"/>
    <w:rsid w:val="002F35E4"/>
    <w:rsid w:val="002F3730"/>
    <w:rsid w:val="002F38E1"/>
    <w:rsid w:val="002F3FB1"/>
    <w:rsid w:val="002F7AF6"/>
    <w:rsid w:val="00300E63"/>
    <w:rsid w:val="00302C9E"/>
    <w:rsid w:val="00302F5F"/>
    <w:rsid w:val="0030441D"/>
    <w:rsid w:val="00306063"/>
    <w:rsid w:val="00313B85"/>
    <w:rsid w:val="00317988"/>
    <w:rsid w:val="003209A4"/>
    <w:rsid w:val="003221B4"/>
    <w:rsid w:val="0032258D"/>
    <w:rsid w:val="00322E62"/>
    <w:rsid w:val="00324D13"/>
    <w:rsid w:val="00324EDD"/>
    <w:rsid w:val="003331E4"/>
    <w:rsid w:val="00336C64"/>
    <w:rsid w:val="00337162"/>
    <w:rsid w:val="0034194F"/>
    <w:rsid w:val="00344605"/>
    <w:rsid w:val="0034715C"/>
    <w:rsid w:val="003474AA"/>
    <w:rsid w:val="00350D1D"/>
    <w:rsid w:val="00352C83"/>
    <w:rsid w:val="00352F1A"/>
    <w:rsid w:val="0036107C"/>
    <w:rsid w:val="003615D2"/>
    <w:rsid w:val="00362845"/>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3F7FDA"/>
    <w:rsid w:val="00400778"/>
    <w:rsid w:val="00400E72"/>
    <w:rsid w:val="00401400"/>
    <w:rsid w:val="00403F82"/>
    <w:rsid w:val="00404869"/>
    <w:rsid w:val="00405884"/>
    <w:rsid w:val="00406C4E"/>
    <w:rsid w:val="00407D39"/>
    <w:rsid w:val="0041477A"/>
    <w:rsid w:val="004167A3"/>
    <w:rsid w:val="00431975"/>
    <w:rsid w:val="00432DAA"/>
    <w:rsid w:val="00434305"/>
    <w:rsid w:val="004356F6"/>
    <w:rsid w:val="00435DF7"/>
    <w:rsid w:val="0043741A"/>
    <w:rsid w:val="0044083F"/>
    <w:rsid w:val="00441AE7"/>
    <w:rsid w:val="00445574"/>
    <w:rsid w:val="004467FB"/>
    <w:rsid w:val="004518F8"/>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3DD"/>
    <w:rsid w:val="004B3AA8"/>
    <w:rsid w:val="004B3E93"/>
    <w:rsid w:val="004C1FBC"/>
    <w:rsid w:val="004C25A2"/>
    <w:rsid w:val="004C3F1D"/>
    <w:rsid w:val="004C458D"/>
    <w:rsid w:val="004C6604"/>
    <w:rsid w:val="004C7556"/>
    <w:rsid w:val="004C7E8B"/>
    <w:rsid w:val="004C7E9D"/>
    <w:rsid w:val="004C7F67"/>
    <w:rsid w:val="004D076D"/>
    <w:rsid w:val="004D0EF1"/>
    <w:rsid w:val="004D2253"/>
    <w:rsid w:val="004D4406"/>
    <w:rsid w:val="004D7C42"/>
    <w:rsid w:val="004E0465"/>
    <w:rsid w:val="004E127B"/>
    <w:rsid w:val="004E1C0A"/>
    <w:rsid w:val="004E25ED"/>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47CB7"/>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6597"/>
    <w:rsid w:val="005C7156"/>
    <w:rsid w:val="005D0C75"/>
    <w:rsid w:val="005D4171"/>
    <w:rsid w:val="005D6A95"/>
    <w:rsid w:val="005D6B2C"/>
    <w:rsid w:val="005D6D9C"/>
    <w:rsid w:val="005E2215"/>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292"/>
    <w:rsid w:val="00633C17"/>
    <w:rsid w:val="00634D9E"/>
    <w:rsid w:val="00636E3E"/>
    <w:rsid w:val="006379F7"/>
    <w:rsid w:val="00637E4D"/>
    <w:rsid w:val="00640620"/>
    <w:rsid w:val="00641A1F"/>
    <w:rsid w:val="00645904"/>
    <w:rsid w:val="00646BA6"/>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0B21"/>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7AC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4B46"/>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46E"/>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0143"/>
    <w:rsid w:val="007959E8"/>
    <w:rsid w:val="00795E9C"/>
    <w:rsid w:val="007A0521"/>
    <w:rsid w:val="007A2E12"/>
    <w:rsid w:val="007A3475"/>
    <w:rsid w:val="007A41C8"/>
    <w:rsid w:val="007A54CE"/>
    <w:rsid w:val="007A5552"/>
    <w:rsid w:val="007A5D3A"/>
    <w:rsid w:val="007A6FD9"/>
    <w:rsid w:val="007A7FFA"/>
    <w:rsid w:val="007B04EB"/>
    <w:rsid w:val="007B0D4F"/>
    <w:rsid w:val="007B5A3D"/>
    <w:rsid w:val="007B5B95"/>
    <w:rsid w:val="007B6032"/>
    <w:rsid w:val="007B68EA"/>
    <w:rsid w:val="007B7453"/>
    <w:rsid w:val="007C2D89"/>
    <w:rsid w:val="007C3D7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271D4"/>
    <w:rsid w:val="00830621"/>
    <w:rsid w:val="0083240D"/>
    <w:rsid w:val="0083348C"/>
    <w:rsid w:val="008373D3"/>
    <w:rsid w:val="00840617"/>
    <w:rsid w:val="00840F84"/>
    <w:rsid w:val="00842A47"/>
    <w:rsid w:val="00843C13"/>
    <w:rsid w:val="00843DEF"/>
    <w:rsid w:val="008454F8"/>
    <w:rsid w:val="0085173A"/>
    <w:rsid w:val="0085543E"/>
    <w:rsid w:val="008603CE"/>
    <w:rsid w:val="008620FC"/>
    <w:rsid w:val="008627A5"/>
    <w:rsid w:val="00863E05"/>
    <w:rsid w:val="00865ACA"/>
    <w:rsid w:val="00865D28"/>
    <w:rsid w:val="00865F85"/>
    <w:rsid w:val="00867C10"/>
    <w:rsid w:val="00870439"/>
    <w:rsid w:val="00870DA1"/>
    <w:rsid w:val="00875D5C"/>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AD6"/>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0026"/>
    <w:rsid w:val="00902722"/>
    <w:rsid w:val="009027BC"/>
    <w:rsid w:val="00905099"/>
    <w:rsid w:val="009062E6"/>
    <w:rsid w:val="00911BE5"/>
    <w:rsid w:val="00913CA9"/>
    <w:rsid w:val="009145AE"/>
    <w:rsid w:val="009146CE"/>
    <w:rsid w:val="00914CA7"/>
    <w:rsid w:val="00915C3E"/>
    <w:rsid w:val="009161A8"/>
    <w:rsid w:val="009245AE"/>
    <w:rsid w:val="009245F5"/>
    <w:rsid w:val="009249EC"/>
    <w:rsid w:val="009273B3"/>
    <w:rsid w:val="00927AAA"/>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62BF"/>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3647"/>
    <w:rsid w:val="009B543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5EF9"/>
    <w:rsid w:val="00A57142"/>
    <w:rsid w:val="00A648CD"/>
    <w:rsid w:val="00A6537A"/>
    <w:rsid w:val="00A67866"/>
    <w:rsid w:val="00A70B07"/>
    <w:rsid w:val="00A723F8"/>
    <w:rsid w:val="00A77CCB"/>
    <w:rsid w:val="00A83D8D"/>
    <w:rsid w:val="00A8446B"/>
    <w:rsid w:val="00A8473F"/>
    <w:rsid w:val="00A860A8"/>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0663"/>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0466"/>
    <w:rsid w:val="00B432CD"/>
    <w:rsid w:val="00B4346D"/>
    <w:rsid w:val="00B440F4"/>
    <w:rsid w:val="00B447A5"/>
    <w:rsid w:val="00B4654C"/>
    <w:rsid w:val="00B47293"/>
    <w:rsid w:val="00B50E50"/>
    <w:rsid w:val="00B52120"/>
    <w:rsid w:val="00B54878"/>
    <w:rsid w:val="00B54ABC"/>
    <w:rsid w:val="00B56FBE"/>
    <w:rsid w:val="00B60ACF"/>
    <w:rsid w:val="00B62B58"/>
    <w:rsid w:val="00B65149"/>
    <w:rsid w:val="00B65ED5"/>
    <w:rsid w:val="00B66567"/>
    <w:rsid w:val="00B66F52"/>
    <w:rsid w:val="00B66FE5"/>
    <w:rsid w:val="00B72880"/>
    <w:rsid w:val="00B73D5D"/>
    <w:rsid w:val="00B758BF"/>
    <w:rsid w:val="00B75E33"/>
    <w:rsid w:val="00B77EC8"/>
    <w:rsid w:val="00B827A6"/>
    <w:rsid w:val="00B831CE"/>
    <w:rsid w:val="00B86677"/>
    <w:rsid w:val="00B87131"/>
    <w:rsid w:val="00B939B1"/>
    <w:rsid w:val="00B96D40"/>
    <w:rsid w:val="00B97386"/>
    <w:rsid w:val="00BA263B"/>
    <w:rsid w:val="00BA42B2"/>
    <w:rsid w:val="00BA5045"/>
    <w:rsid w:val="00BA58D4"/>
    <w:rsid w:val="00BA5B9E"/>
    <w:rsid w:val="00BA7C9A"/>
    <w:rsid w:val="00BB5F8F"/>
    <w:rsid w:val="00BB657A"/>
    <w:rsid w:val="00BC1A4E"/>
    <w:rsid w:val="00BC3E13"/>
    <w:rsid w:val="00BC5DC7"/>
    <w:rsid w:val="00BC6B8B"/>
    <w:rsid w:val="00BC73D8"/>
    <w:rsid w:val="00BD09AE"/>
    <w:rsid w:val="00BD52D7"/>
    <w:rsid w:val="00BD5AD2"/>
    <w:rsid w:val="00BE1AC0"/>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562B6"/>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E78D4"/>
    <w:rsid w:val="00CF048A"/>
    <w:rsid w:val="00CF155A"/>
    <w:rsid w:val="00CF1BEF"/>
    <w:rsid w:val="00CF2947"/>
    <w:rsid w:val="00CF686F"/>
    <w:rsid w:val="00CF6E60"/>
    <w:rsid w:val="00CF7BCA"/>
    <w:rsid w:val="00CF7D1B"/>
    <w:rsid w:val="00D008FD"/>
    <w:rsid w:val="00D0321C"/>
    <w:rsid w:val="00D035EC"/>
    <w:rsid w:val="00D06AB1"/>
    <w:rsid w:val="00D06FC1"/>
    <w:rsid w:val="00D072ED"/>
    <w:rsid w:val="00D07A16"/>
    <w:rsid w:val="00D1067E"/>
    <w:rsid w:val="00D10CCD"/>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4B08"/>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21A"/>
    <w:rsid w:val="00DC0321"/>
    <w:rsid w:val="00DC3067"/>
    <w:rsid w:val="00DC370B"/>
    <w:rsid w:val="00DC5B90"/>
    <w:rsid w:val="00DD00FF"/>
    <w:rsid w:val="00DD0619"/>
    <w:rsid w:val="00DD07FB"/>
    <w:rsid w:val="00DD25C6"/>
    <w:rsid w:val="00DD32F3"/>
    <w:rsid w:val="00DD4FE5"/>
    <w:rsid w:val="00DD54B0"/>
    <w:rsid w:val="00DD57EE"/>
    <w:rsid w:val="00DD6BCC"/>
    <w:rsid w:val="00DE0A4B"/>
    <w:rsid w:val="00DE2410"/>
    <w:rsid w:val="00DE2939"/>
    <w:rsid w:val="00DE6E81"/>
    <w:rsid w:val="00DE703F"/>
    <w:rsid w:val="00DE7595"/>
    <w:rsid w:val="00DF1961"/>
    <w:rsid w:val="00DF44DE"/>
    <w:rsid w:val="00E0029E"/>
    <w:rsid w:val="00E01138"/>
    <w:rsid w:val="00E02DFB"/>
    <w:rsid w:val="00E030F9"/>
    <w:rsid w:val="00E0311A"/>
    <w:rsid w:val="00E03138"/>
    <w:rsid w:val="00E0517C"/>
    <w:rsid w:val="00E06404"/>
    <w:rsid w:val="00E11A85"/>
    <w:rsid w:val="00E12495"/>
    <w:rsid w:val="00E158D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1E9E"/>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9A1"/>
    <w:rsid w:val="00F25BB6"/>
    <w:rsid w:val="00F26B7E"/>
    <w:rsid w:val="00F27A3B"/>
    <w:rsid w:val="00F32780"/>
    <w:rsid w:val="00F33817"/>
    <w:rsid w:val="00F40728"/>
    <w:rsid w:val="00F420D5"/>
    <w:rsid w:val="00F451EA"/>
    <w:rsid w:val="00F45447"/>
    <w:rsid w:val="00F456C6"/>
    <w:rsid w:val="00F4577B"/>
    <w:rsid w:val="00F46496"/>
    <w:rsid w:val="00F474D0"/>
    <w:rsid w:val="00F50179"/>
    <w:rsid w:val="00F515EE"/>
    <w:rsid w:val="00F56511"/>
    <w:rsid w:val="00F60D34"/>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230B6476"/>
    <w:rsid w:val="3235513A"/>
    <w:rsid w:val="33660054"/>
    <w:rsid w:val="34737288"/>
    <w:rsid w:val="6D827901"/>
    <w:rsid w:val="6E7F4861"/>
    <w:rsid w:val="725168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Char"/>
    <w:link w:val="2"/>
    <w:qFormat/>
    <w:uiPriority w:val="0"/>
    <w:rPr>
      <w:b/>
      <w:bCs/>
      <w:kern w:val="44"/>
      <w:sz w:val="44"/>
      <w:szCs w:val="44"/>
    </w:rPr>
  </w:style>
  <w:style w:type="character" w:customStyle="1" w:styleId="35">
    <w:name w:val="标题 2 Char"/>
    <w:link w:val="3"/>
    <w:qFormat/>
    <w:uiPriority w:val="0"/>
    <w:rPr>
      <w:rFonts w:ascii="Arial" w:hAnsi="Arial" w:eastAsia="黑体"/>
      <w:b/>
      <w:bCs/>
      <w:kern w:val="2"/>
      <w:sz w:val="32"/>
      <w:szCs w:val="32"/>
    </w:rPr>
  </w:style>
  <w:style w:type="character" w:customStyle="1" w:styleId="36">
    <w:name w:val="标题 3 Char"/>
    <w:link w:val="4"/>
    <w:qFormat/>
    <w:uiPriority w:val="0"/>
    <w:rPr>
      <w:b/>
      <w:bCs/>
      <w:kern w:val="2"/>
      <w:sz w:val="32"/>
      <w:szCs w:val="32"/>
    </w:rPr>
  </w:style>
  <w:style w:type="character" w:customStyle="1" w:styleId="37">
    <w:name w:val="标题 4 Char"/>
    <w:link w:val="5"/>
    <w:qFormat/>
    <w:uiPriority w:val="0"/>
    <w:rPr>
      <w:rFonts w:ascii="Arial" w:hAnsi="Arial" w:eastAsia="黑体"/>
      <w:b/>
      <w:bCs/>
      <w:kern w:val="2"/>
      <w:sz w:val="28"/>
      <w:szCs w:val="28"/>
    </w:rPr>
  </w:style>
  <w:style w:type="character" w:customStyle="1" w:styleId="38">
    <w:name w:val="标题 5 Char"/>
    <w:link w:val="6"/>
    <w:qFormat/>
    <w:uiPriority w:val="0"/>
    <w:rPr>
      <w:b/>
      <w:bCs/>
      <w:kern w:val="2"/>
      <w:sz w:val="28"/>
      <w:szCs w:val="28"/>
    </w:rPr>
  </w:style>
  <w:style w:type="character" w:customStyle="1" w:styleId="39">
    <w:name w:val="标题 6 Char"/>
    <w:link w:val="7"/>
    <w:qFormat/>
    <w:uiPriority w:val="0"/>
    <w:rPr>
      <w:rFonts w:ascii="Arial" w:hAnsi="Arial" w:eastAsia="黑体"/>
      <w:b/>
      <w:bCs/>
      <w:kern w:val="2"/>
      <w:sz w:val="24"/>
      <w:szCs w:val="24"/>
    </w:rPr>
  </w:style>
  <w:style w:type="character" w:customStyle="1" w:styleId="40">
    <w:name w:val="标题 7 Char"/>
    <w:link w:val="8"/>
    <w:qFormat/>
    <w:uiPriority w:val="0"/>
    <w:rPr>
      <w:b/>
      <w:bCs/>
      <w:kern w:val="2"/>
      <w:sz w:val="24"/>
      <w:szCs w:val="24"/>
    </w:rPr>
  </w:style>
  <w:style w:type="character" w:customStyle="1" w:styleId="41">
    <w:name w:val="标题 8 Char"/>
    <w:link w:val="9"/>
    <w:qFormat/>
    <w:uiPriority w:val="0"/>
    <w:rPr>
      <w:rFonts w:ascii="Arial" w:hAnsi="Arial" w:eastAsia="黑体"/>
      <w:kern w:val="2"/>
      <w:sz w:val="24"/>
      <w:szCs w:val="24"/>
    </w:rPr>
  </w:style>
  <w:style w:type="character" w:customStyle="1" w:styleId="42">
    <w:name w:val="标题 9 Char"/>
    <w:link w:val="10"/>
    <w:qFormat/>
    <w:uiPriority w:val="0"/>
    <w:rPr>
      <w:rFonts w:ascii="Arial" w:hAnsi="Arial" w:eastAsia="黑体"/>
      <w:kern w:val="2"/>
      <w:sz w:val="21"/>
      <w:szCs w:val="21"/>
    </w:rPr>
  </w:style>
  <w:style w:type="character" w:customStyle="1" w:styleId="43">
    <w:name w:val="页眉 Char"/>
    <w:link w:val="18"/>
    <w:qFormat/>
    <w:uiPriority w:val="99"/>
    <w:rPr>
      <w:kern w:val="2"/>
      <w:sz w:val="18"/>
      <w:szCs w:val="18"/>
    </w:rPr>
  </w:style>
  <w:style w:type="character" w:customStyle="1" w:styleId="44">
    <w:name w:val="页脚 Char"/>
    <w:link w:val="17"/>
    <w:qFormat/>
    <w:uiPriority w:val="99"/>
    <w:rPr>
      <w:rFonts w:ascii="宋体"/>
      <w:kern w:val="2"/>
      <w:sz w:val="18"/>
      <w:szCs w:val="18"/>
    </w:rPr>
  </w:style>
  <w:style w:type="character" w:customStyle="1" w:styleId="45">
    <w:name w:val="批注框文本 Char"/>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Char"/>
    <w:link w:val="46"/>
    <w:qFormat/>
    <w:uiPriority w:val="29"/>
    <w:rPr>
      <w:i/>
      <w:iCs/>
      <w:color w:val="000000"/>
      <w:kern w:val="2"/>
      <w:sz w:val="21"/>
      <w:szCs w:val="21"/>
    </w:rPr>
  </w:style>
  <w:style w:type="character" w:customStyle="1" w:styleId="48">
    <w:name w:val="标题 Char"/>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Char"/>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Char"/>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DEDD3587662B447AA4C08A3BFF73D393"/>
        <w:style w:val=""/>
        <w:category>
          <w:name w:val="常规"/>
          <w:gallery w:val="placeholder"/>
        </w:category>
        <w:types>
          <w:type w:val="bbPlcHdr"/>
        </w:types>
        <w:behaviors>
          <w:behavior w:val="content"/>
        </w:behaviors>
        <w:description w:val=""/>
        <w:guid w:val="{E12C655A-2ACF-41A2-A930-4E2642312D52}"/>
      </w:docPartPr>
      <w:docPartBody>
        <w:p w14:paraId="232E5CDF">
          <w:pPr>
            <w:pStyle w:val="5"/>
          </w:pPr>
          <w:r>
            <w:rPr>
              <w:rStyle w:val="4"/>
              <w:rFonts w:hint="eastAsia"/>
            </w:rPr>
            <w:t>单击或点击此处输入文字。</w:t>
          </w:r>
        </w:p>
      </w:docPartBody>
    </w:docPart>
    <w:docPart>
      <w:docPartPr>
        <w:name w:val="9BB8A5A8396D405881A140E15C411742"/>
        <w:style w:val=""/>
        <w:category>
          <w:name w:val="常规"/>
          <w:gallery w:val="placeholder"/>
        </w:category>
        <w:types>
          <w:type w:val="bbPlcHdr"/>
        </w:types>
        <w:behaviors>
          <w:behavior w:val="content"/>
        </w:behaviors>
        <w:description w:val=""/>
        <w:guid w:val="{445EBB47-C854-45B9-A50E-B3219971BB13}"/>
      </w:docPartPr>
      <w:docPartBody>
        <w:p w14:paraId="5B11C068">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oNotDisplayPageBoundaries w:val="1"/>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7780"/>
    <w:rsid w:val="00242FCD"/>
    <w:rsid w:val="00267780"/>
    <w:rsid w:val="003A1B45"/>
    <w:rsid w:val="004518F8"/>
    <w:rsid w:val="00524713"/>
    <w:rsid w:val="00542DBD"/>
    <w:rsid w:val="00905099"/>
    <w:rsid w:val="00937362"/>
    <w:rsid w:val="00BD09AE"/>
    <w:rsid w:val="00CF1BEF"/>
    <w:rsid w:val="00E0029E"/>
    <w:rsid w:val="00EC2F3C"/>
    <w:rsid w:val="00EF7046"/>
    <w:rsid w:val="00F15A83"/>
    <w:rsid w:val="00FE04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DEDD3587662B447AA4C08A3BFF73D393"/>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1E125F2F972042209A0BA75FB1B5BEC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9BB8A5A8396D405881A140E15C411742"/>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04321-56E3-4494-816B-09F38834C4A3}">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16</Pages>
  <Words>8559</Words>
  <Characters>9194</Characters>
  <Lines>117</Lines>
  <Paragraphs>33</Paragraphs>
  <TotalTime>0</TotalTime>
  <ScaleCrop>false</ScaleCrop>
  <LinksUpToDate>false</LinksUpToDate>
  <CharactersWithSpaces>9397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2026-03-07T07:33:00Z</dcterms:created>
  <dc:creator>Administrator</dc:creator>
  <cp:lastModifiedBy>Administrator</cp:lastModifiedBy>
  <cp:lastPrinted>2026-04-15T19:40:00Z</cp:lastPrinted>
  <dcterms:modified xsi:type="dcterms:W3CDTF">2026-05-15T01:25:48Z</dcterms:modified>
  <dc:title>团体标准</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eyJoZGlkIjoiMDNhYWY5NDkxM2RmMTEzZGZmNTU2NWZjMzhkNmUxZmIiLCJ1c2VySWQiOiIxMDMyNjI0Nzg4In0=</vt:lpwstr>
  </property>
  <property fmtid="{D5CDD505-2E9C-101B-9397-08002B2CF9AE}" pid="15" name="KSOProductBuildVer">
    <vt:lpwstr>2052-12.1.0.26375</vt:lpwstr>
  </property>
  <property fmtid="{D5CDD505-2E9C-101B-9397-08002B2CF9AE}" pid="16" name="ICV">
    <vt:lpwstr>1BAD95ED74F948A48F1B7BC9F89146C9_13</vt:lpwstr>
  </property>
</Properties>
</file>