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9"/>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5AC5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35206C5">
            <w:pPr>
              <w:pStyle w:val="19"/>
              <w:framePr w:wrap="notBeside" w:vAnchor="page" w:hAnchor="page" w:x="1372" w:y="568"/>
              <w:tabs>
                <w:tab w:val="clear" w:pos="4153"/>
                <w:tab w:val="clear" w:pos="8306"/>
              </w:tabs>
              <w:spacing w:line="240" w:lineRule="auto"/>
              <w:jc w:val="left"/>
              <w:rPr>
                <w:rFonts w:hint="eastAsia" w:ascii="黑体" w:hAnsi="黑体" w:eastAsia="黑体"/>
                <w:color w:val="auto"/>
                <w:sz w:val="21"/>
                <w:szCs w:val="21"/>
                <w:highlight w:val="none"/>
              </w:rPr>
            </w:pPr>
            <w:r>
              <w:rPr>
                <w:rFonts w:ascii="Times New Roman" w:hAnsi="Times New Roman" w:eastAsia="黑体"/>
                <w:color w:val="auto"/>
                <w:sz w:val="21"/>
                <w:szCs w:val="21"/>
                <w:highlight w:val="none"/>
              </w:rPr>
              <w:t>ICS</w:t>
            </w:r>
            <w:r>
              <w:rPr>
                <w:rFonts w:ascii="黑体" w:hAnsi="黑体" w:eastAsia="黑体"/>
                <w:color w:val="auto"/>
                <w:sz w:val="21"/>
                <w:szCs w:val="21"/>
                <w:highlight w:val="none"/>
              </w:rPr>
              <w:t xml:space="preserve">  </w:t>
            </w:r>
          </w:p>
        </w:tc>
        <w:tc>
          <w:tcPr>
            <w:tcW w:w="8855" w:type="dxa"/>
          </w:tcPr>
          <w:p w14:paraId="3CDA81A4">
            <w:pPr>
              <w:pStyle w:val="19"/>
              <w:framePr w:wrap="notBeside" w:vAnchor="page" w:hAnchor="page" w:x="1372" w:y="568"/>
              <w:tabs>
                <w:tab w:val="clear" w:pos="4153"/>
                <w:tab w:val="clear" w:pos="8306"/>
              </w:tabs>
              <w:spacing w:line="240" w:lineRule="auto"/>
              <w:jc w:val="both"/>
              <w:rPr>
                <w:rFonts w:hint="eastAsia" w:ascii="黑体" w:hAnsi="黑体" w:eastAsia="黑体"/>
                <w:color w:val="auto"/>
                <w:sz w:val="21"/>
                <w:szCs w:val="21"/>
                <w:highlight w:val="none"/>
              </w:rPr>
            </w:pPr>
            <w:r>
              <w:rPr>
                <w:rFonts w:ascii="黑体" w:hAnsi="黑体" w:eastAsia="黑体"/>
                <w:color w:val="auto"/>
                <w:sz w:val="21"/>
                <w:szCs w:val="21"/>
                <w:highlight w:val="none"/>
              </w:rPr>
              <w:fldChar w:fldCharType="begin">
                <w:ffData>
                  <w:name w:val="ICS"/>
                  <w:enabled/>
                  <w:calcOnExit w:val="0"/>
                  <w:textInput>
                    <w:default w:val="点击此处添加ICS号"/>
                  </w:textInput>
                </w:ffData>
              </w:fldChar>
            </w:r>
            <w:bookmarkStart w:id="0" w:name="ICS"/>
            <w:r>
              <w:rPr>
                <w:rFonts w:ascii="黑体" w:hAnsi="黑体" w:eastAsia="黑体"/>
                <w:color w:val="auto"/>
                <w:sz w:val="21"/>
                <w:szCs w:val="21"/>
                <w:highlight w:val="none"/>
              </w:rPr>
              <w:instrText xml:space="preserve"> FORMTEXT </w:instrText>
            </w:r>
            <w:r>
              <w:rPr>
                <w:rFonts w:ascii="黑体" w:hAnsi="黑体" w:eastAsia="黑体"/>
                <w:color w:val="auto"/>
                <w:sz w:val="21"/>
                <w:szCs w:val="21"/>
                <w:highlight w:val="none"/>
              </w:rPr>
              <w:fldChar w:fldCharType="separate"/>
            </w:r>
            <w:r>
              <w:rPr>
                <w:rFonts w:ascii="黑体" w:hAnsi="黑体" w:eastAsia="黑体"/>
                <w:color w:val="auto"/>
                <w:sz w:val="21"/>
                <w:szCs w:val="21"/>
                <w:highlight w:val="none"/>
              </w:rPr>
              <w:t>13.020.01</w:t>
            </w:r>
            <w:r>
              <w:rPr>
                <w:rFonts w:ascii="黑体" w:hAnsi="黑体" w:eastAsia="黑体"/>
                <w:color w:val="auto"/>
                <w:sz w:val="21"/>
                <w:szCs w:val="21"/>
                <w:highlight w:val="none"/>
              </w:rPr>
              <w:fldChar w:fldCharType="end"/>
            </w:r>
            <w:bookmarkEnd w:id="0"/>
          </w:p>
        </w:tc>
      </w:tr>
      <w:tr w14:paraId="0B5D7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F3C6AB2">
            <w:pPr>
              <w:pStyle w:val="19"/>
              <w:framePr w:wrap="notBeside" w:vAnchor="page" w:hAnchor="page" w:x="1372" w:y="568"/>
              <w:tabs>
                <w:tab w:val="clear" w:pos="4153"/>
                <w:tab w:val="clear" w:pos="8306"/>
              </w:tabs>
              <w:spacing w:before="40" w:line="240" w:lineRule="auto"/>
              <w:jc w:val="left"/>
              <w:rPr>
                <w:rFonts w:hint="eastAsia" w:ascii="黑体" w:hAnsi="黑体" w:eastAsia="黑体"/>
                <w:color w:val="auto"/>
                <w:sz w:val="21"/>
                <w:szCs w:val="21"/>
                <w:highlight w:val="none"/>
              </w:rPr>
            </w:pPr>
            <w:r>
              <w:rPr>
                <w:rFonts w:ascii="Times New Roman" w:hAnsi="Times New Roman" w:eastAsia="黑体"/>
                <w:color w:val="auto"/>
                <w:sz w:val="21"/>
                <w:szCs w:val="21"/>
                <w:highlight w:val="none"/>
              </w:rPr>
              <w:t xml:space="preserve">CCS </w:t>
            </w:r>
            <w:r>
              <w:rPr>
                <w:rFonts w:ascii="黑体" w:hAnsi="黑体" w:eastAsia="黑体"/>
                <w:color w:val="auto"/>
                <w:sz w:val="21"/>
                <w:szCs w:val="21"/>
                <w:highlight w:val="none"/>
              </w:rPr>
              <w:t xml:space="preserve"> </w:t>
            </w:r>
          </w:p>
        </w:tc>
        <w:tc>
          <w:tcPr>
            <w:tcW w:w="8855" w:type="dxa"/>
          </w:tcPr>
          <w:tbl>
            <w:tblPr>
              <w:tblStyle w:val="29"/>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4E0283AC">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2BD60ECC">
                  <w:pPr>
                    <w:pStyle w:val="51"/>
                    <w:framePr w:wrap="notBeside" w:vAnchor="page" w:hAnchor="page" w:x="1372" w:y="568"/>
                    <w:ind w:left="420" w:right="624"/>
                    <w:rPr>
                      <w:rFonts w:hint="eastAsia" w:ascii="宋体" w:hAnsi="宋体"/>
                      <w:color w:val="auto"/>
                      <w:sz w:val="28"/>
                      <w:szCs w:val="28"/>
                      <w:highlight w:val="none"/>
                    </w:rPr>
                  </w:pPr>
                  <w:r>
                    <w:rPr>
                      <w:color w:val="auto"/>
                      <w:highlight w:val="none"/>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color w:val="auto"/>
                      <w:highlight w:val="none"/>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color w:val="auto"/>
                      <w:sz w:val="21"/>
                      <w:szCs w:val="21"/>
                      <w:highlight w:val="none"/>
                    </w:rPr>
                    <w:t xml:space="preserve"> </w:t>
                  </w:r>
                  <w:r>
                    <w:rPr>
                      <w:color w:val="auto"/>
                      <w:highlight w:val="none"/>
                    </w:rPr>
                    <w:fldChar w:fldCharType="begin">
                      <w:ffData>
                        <w:name w:val="c1"/>
                        <w:enabled/>
                        <w:calcOnExit w:val="0"/>
                        <w:textInput>
                          <w:maxLength w:val="7"/>
                        </w:textInput>
                      </w:ffData>
                    </w:fldChar>
                  </w:r>
                  <w:bookmarkStart w:id="1" w:name="c1"/>
                  <w:r>
                    <w:rPr>
                      <w:color w:val="auto"/>
                      <w:highlight w:val="none"/>
                    </w:rPr>
                    <w:instrText xml:space="preserve"> FORMTEXT </w:instrText>
                  </w:r>
                  <w:r>
                    <w:rPr>
                      <w:color w:val="auto"/>
                      <w:highlight w:val="none"/>
                    </w:rPr>
                    <w:fldChar w:fldCharType="separate"/>
                  </w:r>
                  <w:r>
                    <w:rPr>
                      <w:rFonts w:hint="eastAsia"/>
                      <w:color w:val="auto"/>
                      <w:highlight w:val="none"/>
                    </w:rPr>
                    <w:t>XXX</w:t>
                  </w:r>
                  <w:r>
                    <w:rPr>
                      <w:color w:val="auto"/>
                      <w:highlight w:val="none"/>
                    </w:rPr>
                    <w:fldChar w:fldCharType="end"/>
                  </w:r>
                  <w:bookmarkEnd w:id="1"/>
                </w:p>
              </w:tc>
            </w:tr>
          </w:tbl>
          <w:p w14:paraId="518235F9">
            <w:pPr>
              <w:pStyle w:val="19"/>
              <w:framePr w:wrap="notBeside" w:vAnchor="page" w:hAnchor="page" w:x="1372" w:y="568"/>
              <w:tabs>
                <w:tab w:val="clear" w:pos="4153"/>
                <w:tab w:val="clear" w:pos="8306"/>
              </w:tabs>
              <w:spacing w:before="40" w:line="240" w:lineRule="auto"/>
              <w:jc w:val="left"/>
              <w:rPr>
                <w:rFonts w:hint="eastAsia" w:ascii="黑体" w:hAnsi="黑体" w:eastAsia="黑体"/>
                <w:color w:val="auto"/>
                <w:sz w:val="21"/>
                <w:szCs w:val="21"/>
                <w:highlight w:val="none"/>
              </w:rPr>
            </w:pPr>
            <w:r>
              <w:rPr>
                <w:rFonts w:ascii="黑体" w:hAnsi="黑体" w:eastAsia="黑体"/>
                <w:color w:val="auto"/>
                <w:sz w:val="21"/>
                <w:szCs w:val="21"/>
                <w:highlight w:val="none"/>
              </w:rPr>
              <w:fldChar w:fldCharType="begin">
                <w:ffData>
                  <w:name w:val="CSDN"/>
                  <w:enabled/>
                  <w:calcOnExit w:val="0"/>
                  <w:textInput>
                    <w:default w:val="点击此处添加CCS号"/>
                  </w:textInput>
                </w:ffData>
              </w:fldChar>
            </w:r>
            <w:bookmarkStart w:id="2" w:name="CSDN"/>
            <w:r>
              <w:rPr>
                <w:rFonts w:ascii="黑体" w:hAnsi="黑体" w:eastAsia="黑体"/>
                <w:color w:val="auto"/>
                <w:sz w:val="21"/>
                <w:szCs w:val="21"/>
                <w:highlight w:val="none"/>
              </w:rPr>
              <w:instrText xml:space="preserve"> FORMTEXT </w:instrText>
            </w:r>
            <w:r>
              <w:rPr>
                <w:rFonts w:ascii="黑体" w:hAnsi="黑体" w:eastAsia="黑体"/>
                <w:color w:val="auto"/>
                <w:sz w:val="21"/>
                <w:szCs w:val="21"/>
                <w:highlight w:val="none"/>
              </w:rPr>
              <w:fldChar w:fldCharType="separate"/>
            </w:r>
            <w:r>
              <w:rPr>
                <w:rFonts w:ascii="黑体" w:hAnsi="黑体" w:eastAsia="黑体"/>
                <w:color w:val="auto"/>
                <w:sz w:val="21"/>
                <w:szCs w:val="21"/>
                <w:highlight w:val="none"/>
              </w:rPr>
              <w:t>Z 00</w:t>
            </w:r>
            <w:r>
              <w:rPr>
                <w:rFonts w:ascii="黑体" w:hAnsi="黑体" w:eastAsia="黑体"/>
                <w:color w:val="auto"/>
                <w:sz w:val="21"/>
                <w:szCs w:val="21"/>
                <w:highlight w:val="none"/>
              </w:rPr>
              <w:fldChar w:fldCharType="end"/>
            </w:r>
            <w:bookmarkEnd w:id="2"/>
          </w:p>
        </w:tc>
      </w:tr>
    </w:tbl>
    <w:p w14:paraId="1CE3D203">
      <w:pPr>
        <w:pStyle w:val="52"/>
        <w:framePr w:w="9639" w:h="624" w:hRule="exact" w:hSpace="181" w:vSpace="181" w:wrap="around" w:hAnchor="page" w:x="1305" w:y="2269"/>
        <w:rPr>
          <w:rFonts w:hint="eastAsia" w:ascii="黑体" w:hAnsi="黑体" w:eastAsia="黑体"/>
          <w:b w:val="0"/>
          <w:bCs w:val="0"/>
          <w:color w:val="auto"/>
          <w:w w:val="100"/>
          <w:sz w:val="48"/>
          <w:szCs w:val="48"/>
          <w:highlight w:val="none"/>
        </w:rPr>
      </w:pPr>
      <w:bookmarkStart w:id="3" w:name="_Hlk26473981"/>
      <w:r>
        <w:rPr>
          <w:rFonts w:ascii="黑体" w:eastAsia="黑体"/>
          <w:b w:val="0"/>
          <w:color w:val="auto"/>
          <w:w w:val="100"/>
          <w:sz w:val="48"/>
          <w:highlight w:val="none"/>
        </w:rPr>
        <w:fldChar w:fldCharType="begin">
          <w:ffData>
            <w:name w:val="c2"/>
            <w:enabled/>
            <w:calcOnExit w:val="0"/>
            <w:textInput/>
          </w:ffData>
        </w:fldChar>
      </w:r>
      <w:bookmarkStart w:id="4" w:name="c2"/>
      <w:r>
        <w:rPr>
          <w:rFonts w:ascii="黑体" w:eastAsia="黑体"/>
          <w:b w:val="0"/>
          <w:color w:val="auto"/>
          <w:w w:val="100"/>
          <w:sz w:val="48"/>
          <w:highlight w:val="none"/>
        </w:rPr>
        <w:instrText xml:space="preserve"> FORMTEXT </w:instrText>
      </w:r>
      <w:r>
        <w:rPr>
          <w:rFonts w:ascii="黑体" w:eastAsia="黑体"/>
          <w:b w:val="0"/>
          <w:color w:val="auto"/>
          <w:w w:val="100"/>
          <w:sz w:val="48"/>
          <w:highlight w:val="none"/>
        </w:rPr>
        <w:fldChar w:fldCharType="separate"/>
      </w:r>
      <w:r>
        <w:rPr>
          <w:rFonts w:hint="eastAsia" w:ascii="黑体" w:eastAsia="黑体"/>
          <w:b w:val="0"/>
          <w:color w:val="auto"/>
          <w:w w:val="100"/>
          <w:sz w:val="48"/>
          <w:highlight w:val="none"/>
        </w:rPr>
        <w:t>XXX协会</w:t>
      </w:r>
      <w:r>
        <w:rPr>
          <w:rFonts w:ascii="黑体" w:eastAsia="黑体"/>
          <w:b w:val="0"/>
          <w:color w:val="auto"/>
          <w:w w:val="100"/>
          <w:sz w:val="48"/>
          <w:highlight w:val="none"/>
        </w:rPr>
        <w:fldChar w:fldCharType="end"/>
      </w:r>
      <w:bookmarkEnd w:id="4"/>
      <w:r>
        <w:rPr>
          <w:rFonts w:hint="eastAsia" w:ascii="黑体" w:eastAsia="黑体"/>
          <w:b w:val="0"/>
          <w:color w:val="auto"/>
          <w:w w:val="100"/>
          <w:sz w:val="48"/>
          <w:highlight w:val="none"/>
        </w:rPr>
        <w:t>团体</w:t>
      </w:r>
      <w:r>
        <w:rPr>
          <w:rFonts w:hint="eastAsia" w:ascii="黑体" w:hAnsi="黑体" w:eastAsia="黑体"/>
          <w:b w:val="0"/>
          <w:bCs w:val="0"/>
          <w:color w:val="auto"/>
          <w:w w:val="100"/>
          <w:sz w:val="48"/>
          <w:szCs w:val="48"/>
          <w:highlight w:val="none"/>
        </w:rPr>
        <w:t>标准</w:t>
      </w:r>
    </w:p>
    <w:bookmarkEnd w:id="3"/>
    <w:p w14:paraId="6AFC8492">
      <w:pPr>
        <w:pStyle w:val="197"/>
        <w:rPr>
          <w:color w:val="auto"/>
          <w:highlight w:val="none"/>
        </w:rPr>
      </w:pPr>
      <w:r>
        <w:rPr>
          <w:color w:val="auto"/>
          <w:highlight w:val="none"/>
        </w:rPr>
        <w:t>T/</w:t>
      </w:r>
      <w:r>
        <w:rPr>
          <w:color w:val="auto"/>
          <w:highlight w:val="none"/>
        </w:rPr>
        <w:fldChar w:fldCharType="begin">
          <w:ffData>
            <w:name w:val="文字1"/>
            <w:enabled/>
            <w:calcOnExit w:val="0"/>
            <w:textInput>
              <w:default w:val="XXX"/>
            </w:textInput>
          </w:ffData>
        </w:fldChar>
      </w:r>
      <w:bookmarkStart w:id="5" w:name="文字1"/>
      <w:r>
        <w:rPr>
          <w:color w:val="auto"/>
          <w:highlight w:val="none"/>
        </w:rPr>
        <w:instrText xml:space="preserve"> FORMTEXT </w:instrText>
      </w:r>
      <w:r>
        <w:rPr>
          <w:color w:val="auto"/>
          <w:highlight w:val="none"/>
        </w:rPr>
        <w:fldChar w:fldCharType="separate"/>
      </w:r>
      <w:r>
        <w:rPr>
          <w:color w:val="auto"/>
          <w:highlight w:val="none"/>
        </w:rPr>
        <w:t>XXX</w:t>
      </w:r>
      <w:r>
        <w:rPr>
          <w:color w:val="auto"/>
          <w:highlight w:val="none"/>
        </w:rPr>
        <w:fldChar w:fldCharType="end"/>
      </w:r>
      <w:bookmarkEnd w:id="5"/>
      <w:r>
        <w:rPr>
          <w:color w:val="auto"/>
          <w:highlight w:val="none"/>
        </w:rPr>
        <w:t xml:space="preserve"> </w:t>
      </w:r>
      <w:r>
        <w:rPr>
          <w:color w:val="auto"/>
          <w:highlight w:val="none"/>
        </w:rPr>
        <w:fldChar w:fldCharType="begin">
          <w:ffData>
            <w:name w:val="NSTD_CODE_F"/>
            <w:enabled/>
            <w:calcOnExit w:val="0"/>
            <w:textInput>
              <w:default w:val="XXXX"/>
            </w:textInput>
          </w:ffData>
        </w:fldChar>
      </w:r>
      <w:bookmarkStart w:id="6" w:name="NSTD_CODE_F"/>
      <w:r>
        <w:rPr>
          <w:color w:val="auto"/>
          <w:highlight w:val="none"/>
        </w:rPr>
        <w:instrText xml:space="preserve"> FORMTEXT </w:instrText>
      </w:r>
      <w:r>
        <w:rPr>
          <w:color w:val="auto"/>
          <w:highlight w:val="none"/>
        </w:rPr>
        <w:fldChar w:fldCharType="separate"/>
      </w:r>
      <w:r>
        <w:rPr>
          <w:color w:val="auto"/>
          <w:highlight w:val="none"/>
        </w:rPr>
        <w:t>XXXX</w:t>
      </w:r>
      <w:r>
        <w:rPr>
          <w:color w:val="auto"/>
          <w:highlight w:val="none"/>
        </w:rPr>
        <w:fldChar w:fldCharType="end"/>
      </w:r>
      <w:bookmarkEnd w:id="6"/>
      <w:r>
        <w:rPr>
          <w:rFonts w:hAnsi="黑体"/>
          <w:color w:val="auto"/>
          <w:highlight w:val="none"/>
        </w:rPr>
        <w:t>—</w:t>
      </w:r>
      <w:r>
        <w:rPr>
          <w:color w:val="auto"/>
          <w:highlight w:val="none"/>
        </w:rPr>
        <w:fldChar w:fldCharType="begin">
          <w:ffData>
            <w:name w:val="NSTD_CODE_B"/>
            <w:enabled/>
            <w:calcOnExit w:val="0"/>
            <w:textInput>
              <w:default w:val="XXXX"/>
            </w:textInput>
          </w:ffData>
        </w:fldChar>
      </w:r>
      <w:bookmarkStart w:id="7" w:name="NSTD_CODE_B"/>
      <w:r>
        <w:rPr>
          <w:color w:val="auto"/>
          <w:highlight w:val="none"/>
        </w:rPr>
        <w:instrText xml:space="preserve"> FORMTEXT </w:instrText>
      </w:r>
      <w:r>
        <w:rPr>
          <w:color w:val="auto"/>
          <w:highlight w:val="none"/>
        </w:rPr>
        <w:fldChar w:fldCharType="separate"/>
      </w:r>
      <w:r>
        <w:rPr>
          <w:rFonts w:hint="eastAsia"/>
          <w:color w:val="auto"/>
          <w:highlight w:val="none"/>
        </w:rPr>
        <w:t>2026</w:t>
      </w:r>
      <w:r>
        <w:rPr>
          <w:color w:val="auto"/>
          <w:highlight w:val="none"/>
        </w:rPr>
        <w:fldChar w:fldCharType="end"/>
      </w:r>
      <w:bookmarkEnd w:id="7"/>
    </w:p>
    <w:p w14:paraId="7476B9D1">
      <w:pPr>
        <w:pStyle w:val="198"/>
        <w:rPr>
          <w:rFonts w:hint="eastAsia" w:hAnsi="黑体"/>
          <w:color w:val="auto"/>
          <w:highlight w:val="none"/>
        </w:rPr>
      </w:pPr>
      <w:r>
        <w:rPr>
          <w:rFonts w:hAnsi="黑体"/>
          <w:color w:val="auto"/>
          <w:highlight w:val="none"/>
        </w:rPr>
        <w:fldChar w:fldCharType="begin">
          <w:ffData>
            <w:name w:val="OSTD_CODE"/>
            <w:enabled/>
            <w:calcOnExit w:val="0"/>
            <w:textInput/>
          </w:ffData>
        </w:fldChar>
      </w:r>
      <w:bookmarkStart w:id="8" w:name="OSTD_CODE"/>
      <w:r>
        <w:rPr>
          <w:rFonts w:hAnsi="黑体"/>
          <w:color w:val="auto"/>
          <w:highlight w:val="none"/>
        </w:rPr>
        <w:instrText xml:space="preserve"> FORMTEXT </w:instrText>
      </w:r>
      <w:r>
        <w:rPr>
          <w:rFonts w:hAnsi="黑体"/>
          <w:color w:val="auto"/>
          <w:highlight w:val="none"/>
        </w:rPr>
        <w:fldChar w:fldCharType="separate"/>
      </w:r>
      <w:r>
        <w:rPr>
          <w:rFonts w:hAnsi="黑体"/>
          <w:color w:val="auto"/>
          <w:highlight w:val="none"/>
        </w:rPr>
        <w:t>     </w:t>
      </w:r>
      <w:r>
        <w:rPr>
          <w:rFonts w:hAnsi="黑体"/>
          <w:color w:val="auto"/>
          <w:highlight w:val="none"/>
        </w:rPr>
        <w:fldChar w:fldCharType="end"/>
      </w:r>
      <w:bookmarkEnd w:id="8"/>
    </w:p>
    <w:p w14:paraId="09C36C9B">
      <w:pPr>
        <w:spacing w:line="240" w:lineRule="auto"/>
        <w:rPr>
          <w:rFonts w:hint="eastAsia" w:ascii="黑体" w:hAnsi="黑体" w:eastAsia="黑体"/>
          <w:color w:val="auto"/>
          <w:kern w:val="0"/>
          <w:sz w:val="10"/>
          <w:szCs w:val="10"/>
          <w:highlight w:val="none"/>
        </w:rPr>
      </w:pPr>
      <w:r>
        <w:rPr>
          <w:rFonts w:ascii="黑体" w:hAnsi="黑体" w:eastAsia="黑体"/>
          <w:color w:val="auto"/>
          <w:kern w:val="0"/>
          <w:sz w:val="10"/>
          <w:szCs w:val="10"/>
          <w:highlight w:val="none"/>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92A3C85">
      <w:pPr>
        <w:pStyle w:val="52"/>
        <w:framePr w:w="9639" w:h="6976" w:hRule="exact" w:hSpace="0" w:vSpace="0" w:wrap="around" w:hAnchor="page" w:y="6408"/>
        <w:jc w:val="center"/>
        <w:rPr>
          <w:rFonts w:hint="eastAsia" w:ascii="黑体" w:hAnsi="黑体" w:eastAsia="黑体"/>
          <w:b w:val="0"/>
          <w:bCs w:val="0"/>
          <w:color w:val="auto"/>
          <w:w w:val="100"/>
          <w:highlight w:val="none"/>
        </w:rPr>
      </w:pPr>
    </w:p>
    <w:p w14:paraId="5460755C">
      <w:pPr>
        <w:pStyle w:val="199"/>
        <w:framePr w:h="6974" w:hRule="exact" w:wrap="around" w:x="1419" w:anchorLock="1"/>
        <w:rPr>
          <w:rFonts w:hint="eastAsia"/>
          <w:color w:val="auto"/>
          <w:highlight w:val="none"/>
        </w:rPr>
      </w:pPr>
      <w:r>
        <w:rPr>
          <w:rFonts w:hint="eastAsia"/>
          <w:color w:val="auto"/>
          <w:highlight w:val="none"/>
          <w:lang w:eastAsia="zh-CN"/>
        </w:rPr>
        <w:t>生态环境监测实验室</w:t>
      </w:r>
      <w:r>
        <w:rPr>
          <w:rFonts w:hint="eastAsia"/>
          <w:color w:val="auto"/>
          <w:highlight w:val="none"/>
        </w:rPr>
        <w:t>安全管理</w:t>
      </w:r>
      <w:r>
        <w:rPr>
          <w:rFonts w:hint="eastAsia"/>
          <w:color w:val="auto"/>
          <w:highlight w:val="none"/>
          <w:lang w:eastAsia="zh-CN"/>
        </w:rPr>
        <w:t>规范</w:t>
      </w:r>
    </w:p>
    <w:p w14:paraId="1383295C">
      <w:pPr>
        <w:framePr w:w="9639" w:h="6974" w:hRule="exact" w:wrap="around" w:vAnchor="page" w:hAnchor="page" w:x="1419" w:y="6408" w:anchorLock="1"/>
        <w:ind w:left="-1418"/>
        <w:rPr>
          <w:color w:val="auto"/>
          <w:highlight w:val="none"/>
        </w:rPr>
      </w:pPr>
    </w:p>
    <w:p w14:paraId="29D66738">
      <w:pPr>
        <w:pStyle w:val="127"/>
        <w:framePr w:w="9639" w:h="6974" w:hRule="exact" w:wrap="around" w:vAnchor="page" w:hAnchor="page" w:x="1419" w:y="6408" w:anchorLock="1"/>
        <w:textAlignment w:val="bottom"/>
        <w:rPr>
          <w:rFonts w:eastAsia="黑体"/>
          <w:color w:val="auto"/>
          <w:szCs w:val="28"/>
          <w:highlight w:val="none"/>
        </w:rPr>
      </w:pPr>
      <w:r>
        <w:rPr>
          <w:rFonts w:hint="eastAsia" w:eastAsia="黑体"/>
          <w:color w:val="auto"/>
          <w:szCs w:val="28"/>
          <w:highlight w:val="none"/>
        </w:rPr>
        <w:t>Specification for Safety Management of Eco-Environmental Monitoring Laboratories</w:t>
      </w:r>
    </w:p>
    <w:p w14:paraId="21429D0C">
      <w:pPr>
        <w:framePr w:w="9639" w:h="6974" w:hRule="exact" w:wrap="around" w:vAnchor="page" w:hAnchor="page" w:x="1419" w:y="6408" w:anchorLock="1"/>
        <w:spacing w:line="760" w:lineRule="exact"/>
        <w:ind w:left="-1418"/>
        <w:rPr>
          <w:color w:val="auto"/>
          <w:highlight w:val="none"/>
        </w:rPr>
      </w:pPr>
    </w:p>
    <w:p w14:paraId="138F96B3">
      <w:pPr>
        <w:pStyle w:val="127"/>
        <w:framePr w:w="9639" w:h="6974" w:hRule="exact" w:wrap="around" w:vAnchor="page" w:hAnchor="page" w:x="1419" w:y="6408" w:anchorLock="1"/>
        <w:textAlignment w:val="bottom"/>
        <w:rPr>
          <w:rFonts w:eastAsia="黑体"/>
          <w:color w:val="auto"/>
          <w:szCs w:val="28"/>
          <w:highlight w:val="none"/>
        </w:rPr>
      </w:pPr>
    </w:p>
    <w:p w14:paraId="0695137E">
      <w:pPr>
        <w:pStyle w:val="127"/>
        <w:framePr w:w="9639" w:h="6974" w:hRule="exact" w:wrap="around" w:vAnchor="page" w:hAnchor="page" w:x="1419" w:y="6408" w:anchorLock="1"/>
        <w:spacing w:before="440" w:after="160"/>
        <w:textAlignment w:val="bottom"/>
        <w:rPr>
          <w:rFonts w:hint="eastAsia" w:eastAsia="宋体"/>
          <w:color w:val="auto"/>
          <w:sz w:val="24"/>
          <w:szCs w:val="28"/>
          <w:highlight w:val="none"/>
          <w:lang w:eastAsia="zh-CN"/>
        </w:rPr>
      </w:pPr>
      <w:r>
        <w:rPr>
          <w:rFonts w:hint="eastAsia"/>
          <w:color w:val="auto"/>
          <w:sz w:val="24"/>
          <w:szCs w:val="28"/>
          <w:highlight w:val="none"/>
          <w:lang w:eastAsia="zh-CN"/>
        </w:rPr>
        <w:t>（</w:t>
      </w:r>
      <w:r>
        <w:rPr>
          <w:rFonts w:hint="eastAsia"/>
          <w:color w:val="auto"/>
          <w:sz w:val="24"/>
          <w:szCs w:val="28"/>
          <w:highlight w:val="none"/>
          <w:lang w:val="en-US" w:eastAsia="zh-CN"/>
        </w:rPr>
        <w:t>征求意见稿</w:t>
      </w:r>
      <w:r>
        <w:rPr>
          <w:rFonts w:hint="eastAsia"/>
          <w:color w:val="auto"/>
          <w:sz w:val="24"/>
          <w:szCs w:val="28"/>
          <w:highlight w:val="none"/>
          <w:lang w:eastAsia="zh-CN"/>
        </w:rPr>
        <w:t>）</w:t>
      </w:r>
    </w:p>
    <w:p w14:paraId="201980AC">
      <w:pPr>
        <w:pStyle w:val="127"/>
        <w:framePr w:w="9639" w:h="6974" w:hRule="exact" w:wrap="around" w:vAnchor="page" w:hAnchor="page" w:x="1419" w:y="6408" w:anchorLock="1"/>
        <w:spacing w:before="180" w:line="240" w:lineRule="atLeast"/>
        <w:textAlignment w:val="bottom"/>
        <w:rPr>
          <w:color w:val="auto"/>
          <w:sz w:val="21"/>
          <w:szCs w:val="28"/>
          <w:highlight w:val="none"/>
        </w:rPr>
      </w:pPr>
      <w:r>
        <w:rPr>
          <w:color w:val="auto"/>
          <w:sz w:val="21"/>
          <w:szCs w:val="28"/>
          <w:highlight w:val="none"/>
        </w:rPr>
        <w:fldChar w:fldCharType="begin">
          <w:ffData>
            <w:name w:val="CMPLSH_DATE"/>
            <w:enabled/>
            <w:calcOnExit w:val="0"/>
            <w:textInput/>
          </w:ffData>
        </w:fldChar>
      </w:r>
      <w:bookmarkStart w:id="9" w:name="CMPLSH_DATE"/>
      <w:r>
        <w:rPr>
          <w:color w:val="auto"/>
          <w:sz w:val="21"/>
          <w:szCs w:val="28"/>
          <w:highlight w:val="none"/>
        </w:rPr>
        <w:instrText xml:space="preserve"> FORMTEXT </w:instrText>
      </w:r>
      <w:r>
        <w:rPr>
          <w:color w:val="auto"/>
          <w:sz w:val="21"/>
          <w:szCs w:val="28"/>
          <w:highlight w:val="none"/>
        </w:rPr>
        <w:fldChar w:fldCharType="separate"/>
      </w:r>
      <w:r>
        <w:rPr>
          <w:color w:val="auto"/>
          <w:sz w:val="21"/>
          <w:szCs w:val="28"/>
          <w:highlight w:val="none"/>
        </w:rPr>
        <w:t>     </w:t>
      </w:r>
      <w:r>
        <w:rPr>
          <w:color w:val="auto"/>
          <w:sz w:val="21"/>
          <w:szCs w:val="28"/>
          <w:highlight w:val="none"/>
        </w:rPr>
        <w:fldChar w:fldCharType="end"/>
      </w:r>
      <w:bookmarkEnd w:id="9"/>
    </w:p>
    <w:p w14:paraId="0D6A0D4C">
      <w:pPr>
        <w:pStyle w:val="127"/>
        <w:framePr w:w="9639" w:h="6974" w:hRule="exact" w:wrap="around" w:vAnchor="page" w:hAnchor="page" w:x="1419" w:y="6408" w:anchorLock="1"/>
        <w:spacing w:before="720" w:beforeLines="300" w:after="72" w:afterLines="30" w:line="240" w:lineRule="auto"/>
        <w:textAlignment w:val="bottom"/>
        <w:rPr>
          <w:b/>
          <w:color w:val="auto"/>
          <w:sz w:val="21"/>
          <w:szCs w:val="28"/>
          <w:highlight w:val="none"/>
        </w:rPr>
      </w:pPr>
    </w:p>
    <w:p w14:paraId="5C728997">
      <w:pPr>
        <w:pStyle w:val="127"/>
        <w:framePr w:w="9639" w:h="6974" w:hRule="exact" w:wrap="around" w:vAnchor="page" w:hAnchor="page" w:x="1419" w:y="6408" w:anchorLock="1"/>
        <w:spacing w:before="720" w:beforeLines="300" w:after="72" w:afterLines="30" w:line="240" w:lineRule="auto"/>
        <w:textAlignment w:val="bottom"/>
        <w:rPr>
          <w:b/>
          <w:color w:val="auto"/>
          <w:sz w:val="21"/>
          <w:szCs w:val="28"/>
          <w:highlight w:val="none"/>
        </w:rPr>
      </w:pPr>
    </w:p>
    <w:p w14:paraId="388CC2AC">
      <w:pPr>
        <w:pStyle w:val="195"/>
        <w:framePr w:wrap="around" w:y="14176"/>
        <w:rPr>
          <w:color w:val="auto"/>
          <w:highlight w:val="none"/>
        </w:rPr>
      </w:pPr>
      <w:r>
        <w:rPr>
          <w:rFonts w:ascii="黑体"/>
          <w:color w:val="auto"/>
          <w:highlight w:val="none"/>
        </w:rPr>
        <w:fldChar w:fldCharType="begin">
          <w:ffData>
            <w:name w:val="PLSH_DATE_Y"/>
            <w:enabled/>
            <w:calcOnExit w:val="0"/>
            <w:textInput>
              <w:default w:val="XXXX"/>
              <w:maxLength w:val="4"/>
            </w:textInput>
          </w:ffData>
        </w:fldChar>
      </w:r>
      <w:bookmarkStart w:id="10" w:name="PLSH_DATE_Y"/>
      <w:r>
        <w:rPr>
          <w:rFonts w:ascii="黑体"/>
          <w:color w:val="auto"/>
          <w:highlight w:val="none"/>
        </w:rPr>
        <w:instrText xml:space="preserve"> FORMTEXT </w:instrText>
      </w:r>
      <w:r>
        <w:rPr>
          <w:rFonts w:ascii="黑体"/>
          <w:color w:val="auto"/>
          <w:highlight w:val="none"/>
        </w:rPr>
        <w:fldChar w:fldCharType="separate"/>
      </w:r>
      <w:r>
        <w:rPr>
          <w:rFonts w:hint="eastAsia" w:ascii="黑体"/>
          <w:color w:val="auto"/>
          <w:highlight w:val="none"/>
        </w:rPr>
        <w:t>2026</w:t>
      </w:r>
      <w:r>
        <w:rPr>
          <w:rFonts w:ascii="黑体"/>
          <w:color w:val="auto"/>
          <w:highlight w:val="none"/>
        </w:rPr>
        <w:fldChar w:fldCharType="end"/>
      </w:r>
      <w:bookmarkEnd w:id="10"/>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PLSH_DATE_M"/>
            <w:enabled/>
            <w:calcOnExit w:val="0"/>
            <w:textInput>
              <w:default w:val="XX"/>
              <w:maxLength w:val="2"/>
            </w:textInput>
          </w:ffData>
        </w:fldChar>
      </w:r>
      <w:bookmarkStart w:id="11" w:name="PLSH_DATE_M"/>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1"/>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PLSH_DATE_D"/>
            <w:enabled/>
            <w:calcOnExit w:val="0"/>
            <w:textInput>
              <w:default w:val="XX"/>
              <w:maxLength w:val="2"/>
            </w:textInput>
          </w:ffData>
        </w:fldChar>
      </w:r>
      <w:bookmarkStart w:id="12" w:name="PLSH_DATE_D"/>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2"/>
      <w:r>
        <w:rPr>
          <w:rFonts w:hint="eastAsia"/>
          <w:color w:val="auto"/>
          <w:highlight w:val="none"/>
        </w:rPr>
        <w:t>发布</w:t>
      </w:r>
    </w:p>
    <w:p w14:paraId="0B1524D1">
      <w:pPr>
        <w:pStyle w:val="196"/>
        <w:framePr w:wrap="around" w:y="14176"/>
        <w:rPr>
          <w:color w:val="auto"/>
          <w:highlight w:val="none"/>
        </w:rPr>
      </w:pPr>
      <w:r>
        <w:rPr>
          <w:rFonts w:ascii="黑体"/>
          <w:color w:val="auto"/>
          <w:highlight w:val="none"/>
        </w:rPr>
        <w:fldChar w:fldCharType="begin">
          <w:ffData>
            <w:name w:val="CROT_DATE_Y"/>
            <w:enabled/>
            <w:calcOnExit w:val="0"/>
            <w:textInput>
              <w:default w:val="XXXX"/>
              <w:maxLength w:val="4"/>
            </w:textInput>
          </w:ffData>
        </w:fldChar>
      </w:r>
      <w:bookmarkStart w:id="13" w:name="CROT_DATE_Y"/>
      <w:r>
        <w:rPr>
          <w:rFonts w:ascii="黑体"/>
          <w:color w:val="auto"/>
          <w:highlight w:val="none"/>
        </w:rPr>
        <w:instrText xml:space="preserve"> FORMTEXT </w:instrText>
      </w:r>
      <w:r>
        <w:rPr>
          <w:rFonts w:ascii="黑体"/>
          <w:color w:val="auto"/>
          <w:highlight w:val="none"/>
        </w:rPr>
        <w:fldChar w:fldCharType="separate"/>
      </w:r>
      <w:r>
        <w:rPr>
          <w:rFonts w:hint="eastAsia" w:ascii="黑体"/>
          <w:color w:val="auto"/>
          <w:highlight w:val="none"/>
        </w:rPr>
        <w:t>2026</w:t>
      </w:r>
      <w:r>
        <w:rPr>
          <w:rFonts w:ascii="黑体"/>
          <w:color w:val="auto"/>
          <w:highlight w:val="none"/>
        </w:rPr>
        <w:fldChar w:fldCharType="end"/>
      </w:r>
      <w:bookmarkEnd w:id="13"/>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CROT_DATE_M"/>
            <w:enabled/>
            <w:calcOnExit w:val="0"/>
            <w:textInput>
              <w:default w:val="XX"/>
              <w:maxLength w:val="2"/>
            </w:textInput>
          </w:ffData>
        </w:fldChar>
      </w:r>
      <w:bookmarkStart w:id="14" w:name="CROT_DATE_M"/>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4"/>
      <w:r>
        <w:rPr>
          <w:color w:val="auto"/>
          <w:highlight w:val="none"/>
        </w:rPr>
        <w:t xml:space="preserve"> </w:t>
      </w:r>
      <w:r>
        <w:rPr>
          <w:rFonts w:ascii="黑体"/>
          <w:color w:val="auto"/>
          <w:highlight w:val="none"/>
        </w:rPr>
        <w:t>-</w:t>
      </w:r>
      <w:r>
        <w:rPr>
          <w:color w:val="auto"/>
          <w:highlight w:val="none"/>
        </w:rPr>
        <w:t xml:space="preserve"> </w:t>
      </w:r>
      <w:r>
        <w:rPr>
          <w:rFonts w:ascii="黑体"/>
          <w:color w:val="auto"/>
          <w:highlight w:val="none"/>
        </w:rPr>
        <w:fldChar w:fldCharType="begin">
          <w:ffData>
            <w:name w:val="CROT_DATE_D"/>
            <w:enabled/>
            <w:calcOnExit w:val="0"/>
            <w:textInput>
              <w:default w:val="XX"/>
              <w:maxLength w:val="2"/>
            </w:textInput>
          </w:ffData>
        </w:fldChar>
      </w:r>
      <w:bookmarkStart w:id="15" w:name="CROT_DATE_D"/>
      <w:r>
        <w:rPr>
          <w:rFonts w:ascii="黑体"/>
          <w:color w:val="auto"/>
          <w:highlight w:val="none"/>
        </w:rPr>
        <w:instrText xml:space="preserve"> FORMTEXT </w:instrText>
      </w:r>
      <w:r>
        <w:rPr>
          <w:rFonts w:ascii="黑体"/>
          <w:color w:val="auto"/>
          <w:highlight w:val="none"/>
        </w:rPr>
        <w:fldChar w:fldCharType="separate"/>
      </w:r>
      <w:r>
        <w:rPr>
          <w:rFonts w:ascii="黑体"/>
          <w:color w:val="auto"/>
          <w:highlight w:val="none"/>
        </w:rPr>
        <w:t>XX</w:t>
      </w:r>
      <w:r>
        <w:rPr>
          <w:rFonts w:ascii="黑体"/>
          <w:color w:val="auto"/>
          <w:highlight w:val="none"/>
        </w:rPr>
        <w:fldChar w:fldCharType="end"/>
      </w:r>
      <w:bookmarkEnd w:id="15"/>
      <w:r>
        <w:rPr>
          <w:rFonts w:hint="eastAsia"/>
          <w:color w:val="auto"/>
          <w:highlight w:val="none"/>
        </w:rPr>
        <w:t>实施</w:t>
      </w:r>
    </w:p>
    <w:p w14:paraId="453221B8">
      <w:pPr>
        <w:pStyle w:val="153"/>
        <w:framePr w:h="584" w:hRule="exact" w:hSpace="181" w:vSpace="181" w:wrap="around" w:y="14800"/>
        <w:rPr>
          <w:rFonts w:hint="eastAsia" w:hAnsi="黑体"/>
          <w:color w:val="auto"/>
          <w:highlight w:val="none"/>
        </w:rPr>
      </w:pPr>
      <w:r>
        <w:rPr>
          <w:rFonts w:hAnsi="黑体"/>
          <w:color w:val="auto"/>
          <w:w w:val="100"/>
          <w:sz w:val="28"/>
          <w:highlight w:val="none"/>
        </w:rPr>
        <w:fldChar w:fldCharType="begin">
          <w:ffData>
            <w:name w:val="fm"/>
            <w:enabled/>
            <w:calcOnExit w:val="0"/>
            <w:textInput/>
          </w:ffData>
        </w:fldChar>
      </w:r>
      <w:bookmarkStart w:id="16" w:name="fm"/>
      <w:r>
        <w:rPr>
          <w:rFonts w:hAnsi="黑体"/>
          <w:color w:val="auto"/>
          <w:w w:val="100"/>
          <w:sz w:val="28"/>
          <w:highlight w:val="none"/>
        </w:rPr>
        <w:instrText xml:space="preserve"> FORMTEXT </w:instrText>
      </w:r>
      <w:r>
        <w:rPr>
          <w:rFonts w:hAnsi="黑体"/>
          <w:color w:val="auto"/>
          <w:w w:val="100"/>
          <w:sz w:val="28"/>
          <w:highlight w:val="none"/>
        </w:rPr>
        <w:fldChar w:fldCharType="separate"/>
      </w:r>
      <w:r>
        <w:rPr>
          <w:rFonts w:hint="eastAsia" w:hAnsi="黑体"/>
          <w:color w:val="auto"/>
          <w:w w:val="100"/>
          <w:sz w:val="28"/>
          <w:highlight w:val="none"/>
        </w:rPr>
        <w:t>XXX协会</w:t>
      </w:r>
      <w:r>
        <w:rPr>
          <w:rFonts w:hAnsi="黑体"/>
          <w:color w:val="auto"/>
          <w:w w:val="100"/>
          <w:sz w:val="28"/>
          <w:highlight w:val="none"/>
        </w:rPr>
        <w:fldChar w:fldCharType="end"/>
      </w:r>
      <w:bookmarkEnd w:id="16"/>
      <w:r>
        <w:rPr>
          <w:rFonts w:ascii="Times New Roman"/>
          <w:color w:val="auto"/>
          <w:w w:val="100"/>
          <w:sz w:val="28"/>
          <w:highlight w:val="none"/>
        </w:rPr>
        <w:t>  </w:t>
      </w:r>
      <w:r>
        <w:rPr>
          <w:rStyle w:val="231"/>
          <w:rFonts w:hint="eastAsia" w:hAnsi="黑体"/>
          <w:color w:val="auto"/>
          <w:position w:val="0"/>
          <w:highlight w:val="none"/>
        </w:rPr>
        <w:t>发</w:t>
      </w:r>
      <w:r>
        <w:rPr>
          <w:rStyle w:val="231"/>
          <w:rFonts w:hint="eastAsia" w:hAnsi="黑体"/>
          <w:color w:val="auto"/>
          <w:spacing w:val="0"/>
          <w:position w:val="0"/>
          <w:highlight w:val="none"/>
        </w:rPr>
        <w:t>布</w:t>
      </w:r>
    </w:p>
    <w:p w14:paraId="2F4467BC">
      <w:pPr>
        <w:rPr>
          <w:rFonts w:hint="eastAsia" w:ascii="宋体" w:hAnsi="宋体"/>
          <w:color w:val="auto"/>
          <w:sz w:val="28"/>
          <w:szCs w:val="28"/>
          <w:highlight w:val="none"/>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color w:val="auto"/>
          <w:sz w:val="28"/>
          <w:szCs w:val="28"/>
          <w:highlight w:val="none"/>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39FFD2F3">
      <w:pPr>
        <w:pStyle w:val="93"/>
        <w:spacing w:after="360"/>
        <w:rPr>
          <w:color w:val="auto"/>
          <w:highlight w:val="none"/>
        </w:rPr>
      </w:pPr>
      <w:bookmarkStart w:id="17" w:name="BookMark1"/>
      <w:bookmarkStart w:id="18" w:name="_Toc220311851"/>
      <w:bookmarkStart w:id="19" w:name="_Toc220313214"/>
      <w:bookmarkStart w:id="20" w:name="_Toc220314010"/>
      <w:r>
        <w:rPr>
          <w:rFonts w:hint="eastAsia"/>
          <w:color w:val="auto"/>
          <w:spacing w:val="320"/>
          <w:highlight w:val="none"/>
        </w:rPr>
        <w:t>目</w:t>
      </w:r>
      <w:r>
        <w:rPr>
          <w:rFonts w:hint="eastAsia"/>
          <w:color w:val="auto"/>
          <w:highlight w:val="none"/>
        </w:rPr>
        <w:t>次</w:t>
      </w:r>
    </w:p>
    <w:p w14:paraId="062EDD59">
      <w:pPr>
        <w:pStyle w:val="20"/>
        <w:tabs>
          <w:tab w:val="right" w:leader="dot" w:pos="9354"/>
        </w:tabs>
        <w:rPr>
          <w:color w:val="auto"/>
          <w:highlight w:val="none"/>
        </w:rPr>
      </w:pPr>
      <w:r>
        <w:rPr>
          <w:color w:val="auto"/>
          <w:highlight w:val="none"/>
        </w:rPr>
        <w:fldChar w:fldCharType="begin"/>
      </w:r>
      <w:r>
        <w:rPr>
          <w:color w:val="auto"/>
          <w:highlight w:val="none"/>
        </w:rPr>
        <w:instrText xml:space="preserve"> TOC \o "1-1" \h \t "标准文件_一级条标题,2,标准文件_附录一级条标题,2," </w:instrText>
      </w:r>
      <w:r>
        <w:rPr>
          <w:color w:val="auto"/>
          <w:highlight w:val="none"/>
        </w:rPr>
        <w:fldChar w:fldCharType="separate"/>
      </w:r>
      <w:r>
        <w:rPr>
          <w:color w:val="auto"/>
          <w:highlight w:val="none"/>
        </w:rPr>
        <w:fldChar w:fldCharType="begin"/>
      </w:r>
      <w:r>
        <w:rPr>
          <w:color w:val="auto"/>
          <w:highlight w:val="none"/>
        </w:rPr>
        <w:instrText xml:space="preserve"> HYPERLINK \l _Toc32758 </w:instrText>
      </w:r>
      <w:r>
        <w:rPr>
          <w:color w:val="auto"/>
          <w:highlight w:val="none"/>
        </w:rPr>
        <w:fldChar w:fldCharType="separate"/>
      </w:r>
      <w:r>
        <w:rPr>
          <w:rFonts w:hint="eastAsia"/>
          <w:color w:val="auto"/>
          <w:spacing w:val="320"/>
          <w:highlight w:val="none"/>
        </w:rPr>
        <w:t>前</w:t>
      </w:r>
      <w:r>
        <w:rPr>
          <w:rFonts w:hint="eastAsia"/>
          <w:color w:val="auto"/>
          <w:highlight w:val="none"/>
        </w:rPr>
        <w:t>言</w:t>
      </w:r>
      <w:r>
        <w:rPr>
          <w:color w:val="auto"/>
          <w:highlight w:val="none"/>
        </w:rPr>
        <w:tab/>
      </w:r>
      <w:r>
        <w:rPr>
          <w:color w:val="auto"/>
          <w:highlight w:val="none"/>
        </w:rPr>
        <w:fldChar w:fldCharType="begin"/>
      </w:r>
      <w:r>
        <w:rPr>
          <w:color w:val="auto"/>
          <w:highlight w:val="none"/>
        </w:rPr>
        <w:instrText xml:space="preserve"> PAGEREF _Toc32758 \h </w:instrText>
      </w:r>
      <w:r>
        <w:rPr>
          <w:color w:val="auto"/>
          <w:highlight w:val="none"/>
        </w:rPr>
        <w:fldChar w:fldCharType="separate"/>
      </w:r>
      <w:r>
        <w:rPr>
          <w:color w:val="auto"/>
          <w:highlight w:val="none"/>
        </w:rPr>
        <w:t>III</w:t>
      </w:r>
      <w:r>
        <w:rPr>
          <w:color w:val="auto"/>
          <w:highlight w:val="none"/>
        </w:rPr>
        <w:fldChar w:fldCharType="end"/>
      </w:r>
      <w:r>
        <w:rPr>
          <w:color w:val="auto"/>
          <w:highlight w:val="none"/>
        </w:rPr>
        <w:fldChar w:fldCharType="end"/>
      </w:r>
    </w:p>
    <w:p w14:paraId="796E38C2">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_Toc2481 </w:instrText>
      </w:r>
      <w:r>
        <w:rPr>
          <w:color w:val="auto"/>
          <w:highlight w:val="none"/>
        </w:rPr>
        <w:fldChar w:fldCharType="separate"/>
      </w:r>
      <w:r>
        <w:rPr>
          <w:rFonts w:hint="eastAsia" w:ascii="黑体" w:eastAsia="黑体"/>
          <w:i w:val="0"/>
          <w:color w:val="auto"/>
          <w:highlight w:val="none"/>
        </w:rPr>
        <w:t xml:space="preserve">1 </w:t>
      </w:r>
      <w:r>
        <w:rPr>
          <w:rFonts w:hint="eastAsia"/>
          <w:color w:val="auto"/>
          <w:highlight w:val="none"/>
        </w:rPr>
        <w:t>范围</w:t>
      </w:r>
      <w:r>
        <w:rPr>
          <w:color w:val="auto"/>
          <w:highlight w:val="none"/>
        </w:rPr>
        <w:tab/>
      </w:r>
      <w:r>
        <w:rPr>
          <w:color w:val="auto"/>
          <w:highlight w:val="none"/>
        </w:rPr>
        <w:fldChar w:fldCharType="begin"/>
      </w:r>
      <w:r>
        <w:rPr>
          <w:color w:val="auto"/>
          <w:highlight w:val="none"/>
        </w:rPr>
        <w:instrText xml:space="preserve"> PAGEREF _Toc2481 \h </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14:paraId="2F451BEB">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_Toc15501 </w:instrText>
      </w:r>
      <w:r>
        <w:rPr>
          <w:color w:val="auto"/>
          <w:highlight w:val="none"/>
        </w:rPr>
        <w:fldChar w:fldCharType="separate"/>
      </w:r>
      <w:r>
        <w:rPr>
          <w:rFonts w:hint="eastAsia" w:ascii="黑体" w:eastAsia="黑体"/>
          <w:i w:val="0"/>
          <w:color w:val="auto"/>
          <w:highlight w:val="none"/>
        </w:rPr>
        <w:t xml:space="preserve">2 </w:t>
      </w:r>
      <w:r>
        <w:rPr>
          <w:rFonts w:hint="eastAsia"/>
          <w:color w:val="auto"/>
          <w:highlight w:val="none"/>
        </w:rPr>
        <w:t>规范性引用文件</w:t>
      </w:r>
      <w:r>
        <w:rPr>
          <w:color w:val="auto"/>
          <w:highlight w:val="none"/>
        </w:rPr>
        <w:tab/>
      </w:r>
      <w:r>
        <w:rPr>
          <w:color w:val="auto"/>
          <w:highlight w:val="none"/>
        </w:rPr>
        <w:fldChar w:fldCharType="begin"/>
      </w:r>
      <w:r>
        <w:rPr>
          <w:color w:val="auto"/>
          <w:highlight w:val="none"/>
        </w:rPr>
        <w:instrText xml:space="preserve"> PAGEREF _Toc15501 \h </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14:paraId="0EFA7F1F">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_Toc189 </w:instrText>
      </w:r>
      <w:r>
        <w:rPr>
          <w:color w:val="auto"/>
          <w:highlight w:val="none"/>
        </w:rPr>
        <w:fldChar w:fldCharType="separate"/>
      </w:r>
      <w:r>
        <w:rPr>
          <w:rFonts w:hint="eastAsia" w:ascii="黑体" w:eastAsia="黑体"/>
          <w:i w:val="0"/>
          <w:color w:val="auto"/>
          <w:highlight w:val="none"/>
        </w:rPr>
        <w:t xml:space="preserve">3 </w:t>
      </w:r>
      <w:r>
        <w:rPr>
          <w:rFonts w:hint="eastAsia"/>
          <w:color w:val="auto"/>
          <w:szCs w:val="21"/>
          <w:highlight w:val="none"/>
        </w:rPr>
        <w:t>术语和定义</w:t>
      </w:r>
      <w:r>
        <w:rPr>
          <w:color w:val="auto"/>
          <w:highlight w:val="none"/>
        </w:rPr>
        <w:tab/>
      </w:r>
      <w:r>
        <w:rPr>
          <w:color w:val="auto"/>
          <w:highlight w:val="none"/>
        </w:rPr>
        <w:fldChar w:fldCharType="begin"/>
      </w:r>
      <w:r>
        <w:rPr>
          <w:color w:val="auto"/>
          <w:highlight w:val="none"/>
        </w:rPr>
        <w:instrText xml:space="preserve"> PAGEREF _Toc189 \h </w:instrText>
      </w:r>
      <w:r>
        <w:rPr>
          <w:color w:val="auto"/>
          <w:highlight w:val="none"/>
        </w:rPr>
        <w:fldChar w:fldCharType="separate"/>
      </w:r>
      <w:r>
        <w:rPr>
          <w:color w:val="auto"/>
          <w:highlight w:val="none"/>
        </w:rPr>
        <w:t>1</w:t>
      </w:r>
      <w:r>
        <w:rPr>
          <w:color w:val="auto"/>
          <w:highlight w:val="none"/>
        </w:rPr>
        <w:fldChar w:fldCharType="end"/>
      </w:r>
      <w:r>
        <w:rPr>
          <w:color w:val="auto"/>
          <w:highlight w:val="none"/>
        </w:rPr>
        <w:fldChar w:fldCharType="end"/>
      </w:r>
    </w:p>
    <w:p w14:paraId="54C0B0C9">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_Toc30481 </w:instrText>
      </w:r>
      <w:r>
        <w:rPr>
          <w:color w:val="auto"/>
          <w:highlight w:val="none"/>
        </w:rPr>
        <w:fldChar w:fldCharType="separate"/>
      </w:r>
      <w:r>
        <w:rPr>
          <w:rFonts w:hint="eastAsia" w:ascii="黑体" w:eastAsia="黑体"/>
          <w:i w:val="0"/>
          <w:color w:val="auto"/>
          <w:highlight w:val="none"/>
        </w:rPr>
        <w:t xml:space="preserve">4 </w:t>
      </w:r>
      <w:r>
        <w:rPr>
          <w:rFonts w:hint="eastAsia"/>
          <w:color w:val="auto"/>
          <w:highlight w:val="none"/>
        </w:rPr>
        <w:t>总则</w:t>
      </w:r>
      <w:r>
        <w:rPr>
          <w:color w:val="auto"/>
          <w:highlight w:val="none"/>
        </w:rPr>
        <w:tab/>
      </w:r>
      <w:r>
        <w:rPr>
          <w:color w:val="auto"/>
          <w:highlight w:val="none"/>
        </w:rPr>
        <w:fldChar w:fldCharType="begin"/>
      </w:r>
      <w:r>
        <w:rPr>
          <w:color w:val="auto"/>
          <w:highlight w:val="none"/>
        </w:rPr>
        <w:instrText xml:space="preserve"> PAGEREF _Toc30481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3B6620B9">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_Toc32732 </w:instrText>
      </w:r>
      <w:r>
        <w:rPr>
          <w:color w:val="auto"/>
          <w:highlight w:val="none"/>
        </w:rPr>
        <w:fldChar w:fldCharType="separate"/>
      </w:r>
      <w:r>
        <w:rPr>
          <w:rFonts w:hint="eastAsia" w:ascii="黑体" w:eastAsia="黑体"/>
          <w:i w:val="0"/>
          <w:color w:val="auto"/>
          <w:highlight w:val="none"/>
        </w:rPr>
        <w:t xml:space="preserve">5 </w:t>
      </w:r>
      <w:r>
        <w:rPr>
          <w:rFonts w:hint="eastAsia"/>
          <w:color w:val="auto"/>
          <w:highlight w:val="none"/>
        </w:rPr>
        <w:t>安全管理体系</w:t>
      </w:r>
      <w:r>
        <w:rPr>
          <w:color w:val="auto"/>
          <w:highlight w:val="none"/>
        </w:rPr>
        <w:tab/>
      </w:r>
      <w:r>
        <w:rPr>
          <w:color w:val="auto"/>
          <w:highlight w:val="none"/>
        </w:rPr>
        <w:fldChar w:fldCharType="begin"/>
      </w:r>
      <w:r>
        <w:rPr>
          <w:color w:val="auto"/>
          <w:highlight w:val="none"/>
        </w:rPr>
        <w:instrText xml:space="preserve"> PAGEREF _Toc32732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3CD3E1D8">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_Toc17617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5.1 </w:t>
      </w:r>
      <w:r>
        <w:rPr>
          <w:rFonts w:hint="eastAsia"/>
          <w:color w:val="auto"/>
          <w:highlight w:val="none"/>
        </w:rPr>
        <w:t>组织架构与职责</w:t>
      </w:r>
      <w:r>
        <w:rPr>
          <w:color w:val="auto"/>
          <w:highlight w:val="none"/>
        </w:rPr>
        <w:tab/>
      </w:r>
      <w:r>
        <w:rPr>
          <w:color w:val="auto"/>
          <w:highlight w:val="none"/>
        </w:rPr>
        <w:fldChar w:fldCharType="begin"/>
      </w:r>
      <w:r>
        <w:rPr>
          <w:color w:val="auto"/>
          <w:highlight w:val="none"/>
        </w:rPr>
        <w:instrText xml:space="preserve"> PAGEREF _Toc17617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5373C7CC">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_Toc12260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5.2 </w:t>
      </w:r>
      <w:r>
        <w:rPr>
          <w:rFonts w:hint="eastAsia"/>
          <w:color w:val="auto"/>
          <w:highlight w:val="none"/>
        </w:rPr>
        <w:t>制度与文件管理</w:t>
      </w:r>
      <w:r>
        <w:rPr>
          <w:color w:val="auto"/>
          <w:highlight w:val="none"/>
        </w:rPr>
        <w:tab/>
      </w:r>
      <w:r>
        <w:rPr>
          <w:color w:val="auto"/>
          <w:highlight w:val="none"/>
        </w:rPr>
        <w:fldChar w:fldCharType="begin"/>
      </w:r>
      <w:r>
        <w:rPr>
          <w:color w:val="auto"/>
          <w:highlight w:val="none"/>
        </w:rPr>
        <w:instrText xml:space="preserve"> PAGEREF _Toc12260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5267C424">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_Toc30985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5.3 </w:t>
      </w:r>
      <w:r>
        <w:rPr>
          <w:rFonts w:hint="eastAsia"/>
          <w:color w:val="auto"/>
          <w:highlight w:val="none"/>
        </w:rPr>
        <w:t>培训与考核</w:t>
      </w:r>
      <w:r>
        <w:rPr>
          <w:color w:val="auto"/>
          <w:highlight w:val="none"/>
        </w:rPr>
        <w:tab/>
      </w:r>
      <w:r>
        <w:rPr>
          <w:color w:val="auto"/>
          <w:highlight w:val="none"/>
        </w:rPr>
        <w:fldChar w:fldCharType="begin"/>
      </w:r>
      <w:r>
        <w:rPr>
          <w:color w:val="auto"/>
          <w:highlight w:val="none"/>
        </w:rPr>
        <w:instrText xml:space="preserve"> PAGEREF _Toc30985 \h </w:instrText>
      </w:r>
      <w:r>
        <w:rPr>
          <w:color w:val="auto"/>
          <w:highlight w:val="none"/>
        </w:rPr>
        <w:fldChar w:fldCharType="separate"/>
      </w:r>
      <w:r>
        <w:rPr>
          <w:color w:val="auto"/>
          <w:highlight w:val="none"/>
        </w:rPr>
        <w:t>2</w:t>
      </w:r>
      <w:r>
        <w:rPr>
          <w:color w:val="auto"/>
          <w:highlight w:val="none"/>
        </w:rPr>
        <w:fldChar w:fldCharType="end"/>
      </w:r>
      <w:r>
        <w:rPr>
          <w:color w:val="auto"/>
          <w:highlight w:val="none"/>
        </w:rPr>
        <w:fldChar w:fldCharType="end"/>
      </w:r>
    </w:p>
    <w:p w14:paraId="6FD154DD">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_Toc5613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5.4 </w:t>
      </w:r>
      <w:r>
        <w:rPr>
          <w:rFonts w:hint="eastAsia"/>
          <w:color w:val="auto"/>
          <w:highlight w:val="none"/>
        </w:rPr>
        <w:t>风险分级管控</w:t>
      </w:r>
      <w:r>
        <w:rPr>
          <w:color w:val="auto"/>
          <w:highlight w:val="none"/>
        </w:rPr>
        <w:tab/>
      </w:r>
      <w:r>
        <w:rPr>
          <w:color w:val="auto"/>
          <w:highlight w:val="none"/>
        </w:rPr>
        <w:fldChar w:fldCharType="begin"/>
      </w:r>
      <w:r>
        <w:rPr>
          <w:color w:val="auto"/>
          <w:highlight w:val="none"/>
        </w:rPr>
        <w:instrText xml:space="preserve"> PAGEREF _Toc5613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15410D1C">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_Toc20472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5.5 </w:t>
      </w:r>
      <w:r>
        <w:rPr>
          <w:rFonts w:hint="eastAsia"/>
          <w:color w:val="auto"/>
          <w:highlight w:val="none"/>
          <w:lang w:eastAsia="zh-CN"/>
        </w:rPr>
        <w:t>外部</w:t>
      </w:r>
      <w:r>
        <w:rPr>
          <w:rFonts w:hint="eastAsia"/>
          <w:color w:val="auto"/>
          <w:highlight w:val="none"/>
        </w:rPr>
        <w:t>人员管理</w:t>
      </w:r>
      <w:r>
        <w:rPr>
          <w:color w:val="auto"/>
          <w:highlight w:val="none"/>
        </w:rPr>
        <w:tab/>
      </w:r>
      <w:r>
        <w:rPr>
          <w:color w:val="auto"/>
          <w:highlight w:val="none"/>
        </w:rPr>
        <w:fldChar w:fldCharType="begin"/>
      </w:r>
      <w:r>
        <w:rPr>
          <w:color w:val="auto"/>
          <w:highlight w:val="none"/>
        </w:rPr>
        <w:instrText xml:space="preserve"> PAGEREF _Toc20472 \h </w:instrText>
      </w:r>
      <w:r>
        <w:rPr>
          <w:color w:val="auto"/>
          <w:highlight w:val="none"/>
        </w:rPr>
        <w:fldChar w:fldCharType="separate"/>
      </w:r>
      <w:r>
        <w:rPr>
          <w:color w:val="auto"/>
          <w:highlight w:val="none"/>
        </w:rPr>
        <w:t>3</w:t>
      </w:r>
      <w:r>
        <w:rPr>
          <w:color w:val="auto"/>
          <w:highlight w:val="none"/>
        </w:rPr>
        <w:fldChar w:fldCharType="end"/>
      </w:r>
      <w:r>
        <w:rPr>
          <w:color w:val="auto"/>
          <w:highlight w:val="none"/>
        </w:rPr>
        <w:fldChar w:fldCharType="end"/>
      </w:r>
    </w:p>
    <w:p w14:paraId="40866950">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_Toc17056 </w:instrText>
      </w:r>
      <w:r>
        <w:rPr>
          <w:color w:val="auto"/>
          <w:highlight w:val="none"/>
        </w:rPr>
        <w:fldChar w:fldCharType="separate"/>
      </w:r>
      <w:r>
        <w:rPr>
          <w:rFonts w:hint="eastAsia" w:ascii="黑体" w:eastAsia="黑体"/>
          <w:i w:val="0"/>
          <w:color w:val="auto"/>
          <w:highlight w:val="none"/>
        </w:rPr>
        <w:t xml:space="preserve">6 </w:t>
      </w:r>
      <w:r>
        <w:rPr>
          <w:rFonts w:hint="eastAsia"/>
          <w:color w:val="auto"/>
          <w:highlight w:val="none"/>
        </w:rPr>
        <w:t>设施与设备安全</w:t>
      </w:r>
      <w:r>
        <w:rPr>
          <w:color w:val="auto"/>
          <w:highlight w:val="none"/>
        </w:rPr>
        <w:tab/>
      </w:r>
      <w:r>
        <w:rPr>
          <w:color w:val="auto"/>
          <w:highlight w:val="none"/>
        </w:rPr>
        <w:fldChar w:fldCharType="begin"/>
      </w:r>
      <w:r>
        <w:rPr>
          <w:color w:val="auto"/>
          <w:highlight w:val="none"/>
        </w:rPr>
        <w:instrText xml:space="preserve"> PAGEREF _Toc17056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323C3EA7">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_Toc20351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6.1 </w:t>
      </w:r>
      <w:r>
        <w:rPr>
          <w:rFonts w:hint="eastAsia"/>
          <w:color w:val="auto"/>
          <w:highlight w:val="none"/>
        </w:rPr>
        <w:t>实验室布局与安全设施</w:t>
      </w:r>
      <w:r>
        <w:rPr>
          <w:color w:val="auto"/>
          <w:highlight w:val="none"/>
        </w:rPr>
        <w:tab/>
      </w:r>
      <w:r>
        <w:rPr>
          <w:color w:val="auto"/>
          <w:highlight w:val="none"/>
        </w:rPr>
        <w:fldChar w:fldCharType="begin"/>
      </w:r>
      <w:r>
        <w:rPr>
          <w:color w:val="auto"/>
          <w:highlight w:val="none"/>
        </w:rPr>
        <w:instrText xml:space="preserve"> PAGEREF _Toc20351 \h </w:instrText>
      </w:r>
      <w:r>
        <w:rPr>
          <w:color w:val="auto"/>
          <w:highlight w:val="none"/>
        </w:rPr>
        <w:fldChar w:fldCharType="separate"/>
      </w:r>
      <w:r>
        <w:rPr>
          <w:color w:val="auto"/>
          <w:highlight w:val="none"/>
        </w:rPr>
        <w:t>4</w:t>
      </w:r>
      <w:r>
        <w:rPr>
          <w:color w:val="auto"/>
          <w:highlight w:val="none"/>
        </w:rPr>
        <w:fldChar w:fldCharType="end"/>
      </w:r>
      <w:r>
        <w:rPr>
          <w:color w:val="auto"/>
          <w:highlight w:val="none"/>
        </w:rPr>
        <w:fldChar w:fldCharType="end"/>
      </w:r>
    </w:p>
    <w:p w14:paraId="04C773E5">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_Toc25802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6.2 </w:t>
      </w:r>
      <w:r>
        <w:rPr>
          <w:rFonts w:hint="eastAsia"/>
          <w:color w:val="auto"/>
          <w:highlight w:val="none"/>
        </w:rPr>
        <w:t>仪器设备安全</w:t>
      </w:r>
      <w:r>
        <w:rPr>
          <w:color w:val="auto"/>
          <w:highlight w:val="none"/>
        </w:rPr>
        <w:tab/>
      </w:r>
      <w:r>
        <w:rPr>
          <w:color w:val="auto"/>
          <w:highlight w:val="none"/>
        </w:rPr>
        <w:fldChar w:fldCharType="begin"/>
      </w:r>
      <w:r>
        <w:rPr>
          <w:color w:val="auto"/>
          <w:highlight w:val="none"/>
        </w:rPr>
        <w:instrText xml:space="preserve"> PAGEREF _Toc25802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2E2F2598">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_Toc29152 </w:instrText>
      </w:r>
      <w:r>
        <w:rPr>
          <w:color w:val="auto"/>
          <w:highlight w:val="none"/>
        </w:rPr>
        <w:fldChar w:fldCharType="separate"/>
      </w:r>
      <w:r>
        <w:rPr>
          <w:rFonts w:hint="eastAsia" w:ascii="黑体" w:eastAsia="黑体"/>
          <w:i w:val="0"/>
          <w:color w:val="auto"/>
          <w:highlight w:val="none"/>
        </w:rPr>
        <w:t xml:space="preserve">7 </w:t>
      </w:r>
      <w:r>
        <w:rPr>
          <w:rFonts w:hint="eastAsia"/>
          <w:color w:val="auto"/>
          <w:highlight w:val="none"/>
        </w:rPr>
        <w:t>试剂与样品安全</w:t>
      </w:r>
      <w:r>
        <w:rPr>
          <w:color w:val="auto"/>
          <w:highlight w:val="none"/>
        </w:rPr>
        <w:tab/>
      </w:r>
      <w:r>
        <w:rPr>
          <w:color w:val="auto"/>
          <w:highlight w:val="none"/>
        </w:rPr>
        <w:fldChar w:fldCharType="begin"/>
      </w:r>
      <w:r>
        <w:rPr>
          <w:color w:val="auto"/>
          <w:highlight w:val="none"/>
        </w:rPr>
        <w:instrText xml:space="preserve"> PAGEREF _Toc29152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441819E4">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_Toc8618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7.1 </w:t>
      </w:r>
      <w:r>
        <w:rPr>
          <w:rFonts w:hint="eastAsia"/>
          <w:color w:val="auto"/>
          <w:highlight w:val="none"/>
        </w:rPr>
        <w:t>危险化学品管理</w:t>
      </w:r>
      <w:r>
        <w:rPr>
          <w:color w:val="auto"/>
          <w:highlight w:val="none"/>
        </w:rPr>
        <w:tab/>
      </w:r>
      <w:r>
        <w:rPr>
          <w:color w:val="auto"/>
          <w:highlight w:val="none"/>
        </w:rPr>
        <w:fldChar w:fldCharType="begin"/>
      </w:r>
      <w:r>
        <w:rPr>
          <w:color w:val="auto"/>
          <w:highlight w:val="none"/>
        </w:rPr>
        <w:instrText xml:space="preserve"> PAGEREF _Toc8618 \h </w:instrText>
      </w:r>
      <w:r>
        <w:rPr>
          <w:color w:val="auto"/>
          <w:highlight w:val="none"/>
        </w:rPr>
        <w:fldChar w:fldCharType="separate"/>
      </w:r>
      <w:r>
        <w:rPr>
          <w:color w:val="auto"/>
          <w:highlight w:val="none"/>
        </w:rPr>
        <w:t>5</w:t>
      </w:r>
      <w:r>
        <w:rPr>
          <w:color w:val="auto"/>
          <w:highlight w:val="none"/>
        </w:rPr>
        <w:fldChar w:fldCharType="end"/>
      </w:r>
      <w:r>
        <w:rPr>
          <w:color w:val="auto"/>
          <w:highlight w:val="none"/>
        </w:rPr>
        <w:fldChar w:fldCharType="end"/>
      </w:r>
    </w:p>
    <w:p w14:paraId="24BDE60D">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_Toc4952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7.2 </w:t>
      </w:r>
      <w:r>
        <w:rPr>
          <w:rFonts w:hint="eastAsia"/>
          <w:color w:val="auto"/>
          <w:highlight w:val="none"/>
        </w:rPr>
        <w:t>样品管理</w:t>
      </w:r>
      <w:r>
        <w:rPr>
          <w:color w:val="auto"/>
          <w:highlight w:val="none"/>
        </w:rPr>
        <w:tab/>
      </w:r>
      <w:r>
        <w:rPr>
          <w:color w:val="auto"/>
          <w:highlight w:val="none"/>
        </w:rPr>
        <w:fldChar w:fldCharType="begin"/>
      </w:r>
      <w:r>
        <w:rPr>
          <w:color w:val="auto"/>
          <w:highlight w:val="none"/>
        </w:rPr>
        <w:instrText xml:space="preserve"> PAGEREF _Toc4952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3DEDAF8E">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_Toc26777 </w:instrText>
      </w:r>
      <w:r>
        <w:rPr>
          <w:color w:val="auto"/>
          <w:highlight w:val="none"/>
        </w:rPr>
        <w:fldChar w:fldCharType="separate"/>
      </w:r>
      <w:r>
        <w:rPr>
          <w:rFonts w:hint="eastAsia" w:ascii="黑体" w:eastAsia="黑体"/>
          <w:i w:val="0"/>
          <w:color w:val="auto"/>
          <w:highlight w:val="none"/>
        </w:rPr>
        <w:t xml:space="preserve">8 </w:t>
      </w:r>
      <w:r>
        <w:rPr>
          <w:rFonts w:hint="eastAsia"/>
          <w:color w:val="auto"/>
          <w:highlight w:val="none"/>
        </w:rPr>
        <w:t>操作安全</w:t>
      </w:r>
      <w:r>
        <w:rPr>
          <w:color w:val="auto"/>
          <w:highlight w:val="none"/>
        </w:rPr>
        <w:tab/>
      </w:r>
      <w:r>
        <w:rPr>
          <w:color w:val="auto"/>
          <w:highlight w:val="none"/>
        </w:rPr>
        <w:fldChar w:fldCharType="begin"/>
      </w:r>
      <w:r>
        <w:rPr>
          <w:color w:val="auto"/>
          <w:highlight w:val="none"/>
        </w:rPr>
        <w:instrText xml:space="preserve"> PAGEREF _Toc26777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4ECB7F0F">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_Toc8616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8.1 </w:t>
      </w:r>
      <w:r>
        <w:rPr>
          <w:rFonts w:hint="eastAsia"/>
          <w:color w:val="auto"/>
          <w:highlight w:val="none"/>
        </w:rPr>
        <w:t>通用操作要求</w:t>
      </w:r>
      <w:r>
        <w:rPr>
          <w:color w:val="auto"/>
          <w:highlight w:val="none"/>
        </w:rPr>
        <w:tab/>
      </w:r>
      <w:r>
        <w:rPr>
          <w:color w:val="auto"/>
          <w:highlight w:val="none"/>
        </w:rPr>
        <w:fldChar w:fldCharType="begin"/>
      </w:r>
      <w:r>
        <w:rPr>
          <w:color w:val="auto"/>
          <w:highlight w:val="none"/>
        </w:rPr>
        <w:instrText xml:space="preserve"> PAGEREF _Toc8616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00804D1D">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_Toc25846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8.2 </w:t>
      </w:r>
      <w:r>
        <w:rPr>
          <w:rFonts w:hint="eastAsia"/>
          <w:color w:val="auto"/>
          <w:highlight w:val="none"/>
        </w:rPr>
        <w:t>专项操作安全</w:t>
      </w:r>
      <w:r>
        <w:rPr>
          <w:color w:val="auto"/>
          <w:highlight w:val="none"/>
        </w:rPr>
        <w:tab/>
      </w:r>
      <w:r>
        <w:rPr>
          <w:color w:val="auto"/>
          <w:highlight w:val="none"/>
        </w:rPr>
        <w:fldChar w:fldCharType="begin"/>
      </w:r>
      <w:r>
        <w:rPr>
          <w:color w:val="auto"/>
          <w:highlight w:val="none"/>
        </w:rPr>
        <w:instrText xml:space="preserve"> PAGEREF _Toc25846 \h </w:instrText>
      </w:r>
      <w:r>
        <w:rPr>
          <w:color w:val="auto"/>
          <w:highlight w:val="none"/>
        </w:rPr>
        <w:fldChar w:fldCharType="separate"/>
      </w:r>
      <w:r>
        <w:rPr>
          <w:color w:val="auto"/>
          <w:highlight w:val="none"/>
        </w:rPr>
        <w:t>6</w:t>
      </w:r>
      <w:r>
        <w:rPr>
          <w:color w:val="auto"/>
          <w:highlight w:val="none"/>
        </w:rPr>
        <w:fldChar w:fldCharType="end"/>
      </w:r>
      <w:r>
        <w:rPr>
          <w:color w:val="auto"/>
          <w:highlight w:val="none"/>
        </w:rPr>
        <w:fldChar w:fldCharType="end"/>
      </w:r>
    </w:p>
    <w:p w14:paraId="6DE9E0EB">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_Toc17611 </w:instrText>
      </w:r>
      <w:r>
        <w:rPr>
          <w:color w:val="auto"/>
          <w:highlight w:val="none"/>
        </w:rPr>
        <w:fldChar w:fldCharType="separate"/>
      </w:r>
      <w:r>
        <w:rPr>
          <w:rFonts w:hint="eastAsia" w:ascii="黑体" w:eastAsia="黑体"/>
          <w:i w:val="0"/>
          <w:color w:val="auto"/>
          <w:highlight w:val="none"/>
        </w:rPr>
        <w:t xml:space="preserve">9 </w:t>
      </w:r>
      <w:r>
        <w:rPr>
          <w:rFonts w:hint="eastAsia"/>
          <w:color w:val="auto"/>
          <w:highlight w:val="none"/>
        </w:rPr>
        <w:t>应急管理</w:t>
      </w:r>
      <w:r>
        <w:rPr>
          <w:color w:val="auto"/>
          <w:highlight w:val="none"/>
        </w:rPr>
        <w:tab/>
      </w:r>
      <w:r>
        <w:rPr>
          <w:color w:val="auto"/>
          <w:highlight w:val="none"/>
        </w:rPr>
        <w:fldChar w:fldCharType="begin"/>
      </w:r>
      <w:r>
        <w:rPr>
          <w:color w:val="auto"/>
          <w:highlight w:val="none"/>
        </w:rPr>
        <w:instrText xml:space="preserve"> PAGEREF _Toc17611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37660FB6">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_Toc2178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9.1 </w:t>
      </w:r>
      <w:r>
        <w:rPr>
          <w:rFonts w:hint="eastAsia"/>
          <w:color w:val="auto"/>
          <w:highlight w:val="none"/>
        </w:rPr>
        <w:t>应急预案制定</w:t>
      </w:r>
      <w:r>
        <w:rPr>
          <w:color w:val="auto"/>
          <w:highlight w:val="none"/>
        </w:rPr>
        <w:tab/>
      </w:r>
      <w:r>
        <w:rPr>
          <w:color w:val="auto"/>
          <w:highlight w:val="none"/>
        </w:rPr>
        <w:fldChar w:fldCharType="begin"/>
      </w:r>
      <w:r>
        <w:rPr>
          <w:color w:val="auto"/>
          <w:highlight w:val="none"/>
        </w:rPr>
        <w:instrText xml:space="preserve"> PAGEREF _Toc2178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0BF324A6">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_Toc12902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9.2 </w:t>
      </w:r>
      <w:r>
        <w:rPr>
          <w:rFonts w:hint="eastAsia"/>
          <w:color w:val="auto"/>
          <w:highlight w:val="none"/>
        </w:rPr>
        <w:t>应急物资配置</w:t>
      </w:r>
      <w:r>
        <w:rPr>
          <w:color w:val="auto"/>
          <w:highlight w:val="none"/>
        </w:rPr>
        <w:tab/>
      </w:r>
      <w:r>
        <w:rPr>
          <w:color w:val="auto"/>
          <w:highlight w:val="none"/>
        </w:rPr>
        <w:fldChar w:fldCharType="begin"/>
      </w:r>
      <w:r>
        <w:rPr>
          <w:color w:val="auto"/>
          <w:highlight w:val="none"/>
        </w:rPr>
        <w:instrText xml:space="preserve"> PAGEREF _Toc12902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14E5B154">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_Toc14738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9.3 </w:t>
      </w:r>
      <w:r>
        <w:rPr>
          <w:rFonts w:hint="eastAsia"/>
          <w:color w:val="auto"/>
          <w:highlight w:val="none"/>
        </w:rPr>
        <w:t>应急演练与事故处理</w:t>
      </w:r>
      <w:r>
        <w:rPr>
          <w:color w:val="auto"/>
          <w:highlight w:val="none"/>
        </w:rPr>
        <w:tab/>
      </w:r>
      <w:r>
        <w:rPr>
          <w:color w:val="auto"/>
          <w:highlight w:val="none"/>
        </w:rPr>
        <w:fldChar w:fldCharType="begin"/>
      </w:r>
      <w:r>
        <w:rPr>
          <w:color w:val="auto"/>
          <w:highlight w:val="none"/>
        </w:rPr>
        <w:instrText xml:space="preserve"> PAGEREF _Toc14738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185A5AAC">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_Toc10680 </w:instrText>
      </w:r>
      <w:r>
        <w:rPr>
          <w:color w:val="auto"/>
          <w:highlight w:val="none"/>
        </w:rPr>
        <w:fldChar w:fldCharType="separate"/>
      </w:r>
      <w:r>
        <w:rPr>
          <w:rFonts w:hint="eastAsia" w:ascii="黑体" w:eastAsia="黑体"/>
          <w:i w:val="0"/>
          <w:color w:val="auto"/>
          <w:highlight w:val="none"/>
        </w:rPr>
        <w:t xml:space="preserve">10 </w:t>
      </w:r>
      <w:r>
        <w:rPr>
          <w:rFonts w:hint="eastAsia"/>
          <w:color w:val="auto"/>
          <w:highlight w:val="none"/>
        </w:rPr>
        <w:t>安全检查与持续改进</w:t>
      </w:r>
      <w:r>
        <w:rPr>
          <w:color w:val="auto"/>
          <w:highlight w:val="none"/>
        </w:rPr>
        <w:tab/>
      </w:r>
      <w:r>
        <w:rPr>
          <w:color w:val="auto"/>
          <w:highlight w:val="none"/>
        </w:rPr>
        <w:fldChar w:fldCharType="begin"/>
      </w:r>
      <w:r>
        <w:rPr>
          <w:color w:val="auto"/>
          <w:highlight w:val="none"/>
        </w:rPr>
        <w:instrText xml:space="preserve"> PAGEREF _Toc10680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2A081910">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_Toc19382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10.1 </w:t>
      </w:r>
      <w:r>
        <w:rPr>
          <w:rFonts w:hint="eastAsia"/>
          <w:color w:val="auto"/>
          <w:highlight w:val="none"/>
        </w:rPr>
        <w:t>安全检查</w:t>
      </w:r>
      <w:r>
        <w:rPr>
          <w:color w:val="auto"/>
          <w:highlight w:val="none"/>
        </w:rPr>
        <w:tab/>
      </w:r>
      <w:r>
        <w:rPr>
          <w:color w:val="auto"/>
          <w:highlight w:val="none"/>
        </w:rPr>
        <w:fldChar w:fldCharType="begin"/>
      </w:r>
      <w:r>
        <w:rPr>
          <w:color w:val="auto"/>
          <w:highlight w:val="none"/>
        </w:rPr>
        <w:instrText xml:space="preserve"> PAGEREF _Toc19382 \h </w:instrText>
      </w:r>
      <w:r>
        <w:rPr>
          <w:color w:val="auto"/>
          <w:highlight w:val="none"/>
        </w:rPr>
        <w:fldChar w:fldCharType="separate"/>
      </w:r>
      <w:r>
        <w:rPr>
          <w:color w:val="auto"/>
          <w:highlight w:val="none"/>
        </w:rPr>
        <w:t>8</w:t>
      </w:r>
      <w:r>
        <w:rPr>
          <w:color w:val="auto"/>
          <w:highlight w:val="none"/>
        </w:rPr>
        <w:fldChar w:fldCharType="end"/>
      </w:r>
      <w:r>
        <w:rPr>
          <w:color w:val="auto"/>
          <w:highlight w:val="none"/>
        </w:rPr>
        <w:fldChar w:fldCharType="end"/>
      </w:r>
    </w:p>
    <w:p w14:paraId="33166747">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_Toc17432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10.2 </w:t>
      </w:r>
      <w:r>
        <w:rPr>
          <w:rFonts w:hint="eastAsia"/>
          <w:color w:val="auto"/>
          <w:highlight w:val="none"/>
        </w:rPr>
        <w:t>隐患整改</w:t>
      </w:r>
      <w:r>
        <w:rPr>
          <w:color w:val="auto"/>
          <w:highlight w:val="none"/>
        </w:rPr>
        <w:tab/>
      </w:r>
      <w:r>
        <w:rPr>
          <w:color w:val="auto"/>
          <w:highlight w:val="none"/>
        </w:rPr>
        <w:fldChar w:fldCharType="begin"/>
      </w:r>
      <w:r>
        <w:rPr>
          <w:color w:val="auto"/>
          <w:highlight w:val="none"/>
        </w:rPr>
        <w:instrText xml:space="preserve"> PAGEREF _Toc17432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3D0ABEC6">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_Toc24272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10.3 </w:t>
      </w:r>
      <w:r>
        <w:rPr>
          <w:rFonts w:hint="eastAsia"/>
          <w:color w:val="auto"/>
          <w:highlight w:val="none"/>
        </w:rPr>
        <w:t>持续改进</w:t>
      </w:r>
      <w:r>
        <w:rPr>
          <w:color w:val="auto"/>
          <w:highlight w:val="none"/>
        </w:rPr>
        <w:tab/>
      </w:r>
      <w:r>
        <w:rPr>
          <w:color w:val="auto"/>
          <w:highlight w:val="none"/>
        </w:rPr>
        <w:fldChar w:fldCharType="begin"/>
      </w:r>
      <w:r>
        <w:rPr>
          <w:color w:val="auto"/>
          <w:highlight w:val="none"/>
        </w:rPr>
        <w:instrText xml:space="preserve"> PAGEREF _Toc24272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28478635">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_Toc26172 </w:instrText>
      </w:r>
      <w:r>
        <w:rPr>
          <w:color w:val="auto"/>
          <w:highlight w:val="none"/>
        </w:rPr>
        <w:fldChar w:fldCharType="separate"/>
      </w:r>
      <w:r>
        <w:rPr>
          <w:rFonts w:hint="eastAsia" w:ascii="黑体" w:eastAsia="黑体"/>
          <w:i w:val="0"/>
          <w:color w:val="auto"/>
          <w:highlight w:val="none"/>
        </w:rPr>
        <w:t xml:space="preserve">11 </w:t>
      </w:r>
      <w:r>
        <w:rPr>
          <w:rFonts w:hint="eastAsia"/>
          <w:color w:val="auto"/>
          <w:highlight w:val="none"/>
        </w:rPr>
        <w:t>数据与信息安全管理</w:t>
      </w:r>
      <w:r>
        <w:rPr>
          <w:color w:val="auto"/>
          <w:highlight w:val="none"/>
        </w:rPr>
        <w:tab/>
      </w:r>
      <w:r>
        <w:rPr>
          <w:color w:val="auto"/>
          <w:highlight w:val="none"/>
        </w:rPr>
        <w:fldChar w:fldCharType="begin"/>
      </w:r>
      <w:r>
        <w:rPr>
          <w:color w:val="auto"/>
          <w:highlight w:val="none"/>
        </w:rPr>
        <w:instrText xml:space="preserve"> PAGEREF _Toc26172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0A94FA28">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_Toc24496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11.1 </w:t>
      </w:r>
      <w:r>
        <w:rPr>
          <w:rFonts w:hint="eastAsia"/>
          <w:color w:val="auto"/>
          <w:highlight w:val="none"/>
        </w:rPr>
        <w:t>总体要求</w:t>
      </w:r>
      <w:r>
        <w:rPr>
          <w:color w:val="auto"/>
          <w:highlight w:val="none"/>
        </w:rPr>
        <w:tab/>
      </w:r>
      <w:r>
        <w:rPr>
          <w:color w:val="auto"/>
          <w:highlight w:val="none"/>
        </w:rPr>
        <w:fldChar w:fldCharType="begin"/>
      </w:r>
      <w:r>
        <w:rPr>
          <w:color w:val="auto"/>
          <w:highlight w:val="none"/>
        </w:rPr>
        <w:instrText xml:space="preserve"> PAGEREF _Toc24496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6C2EA9FE">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_Toc16606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11.2 </w:t>
      </w:r>
      <w:r>
        <w:rPr>
          <w:rFonts w:hint="eastAsia"/>
          <w:color w:val="auto"/>
          <w:highlight w:val="none"/>
        </w:rPr>
        <w:t>数据传输安全</w:t>
      </w:r>
      <w:r>
        <w:rPr>
          <w:color w:val="auto"/>
          <w:highlight w:val="none"/>
        </w:rPr>
        <w:tab/>
      </w:r>
      <w:r>
        <w:rPr>
          <w:color w:val="auto"/>
          <w:highlight w:val="none"/>
        </w:rPr>
        <w:fldChar w:fldCharType="begin"/>
      </w:r>
      <w:r>
        <w:rPr>
          <w:color w:val="auto"/>
          <w:highlight w:val="none"/>
        </w:rPr>
        <w:instrText xml:space="preserve"> PAGEREF _Toc16606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5E157F04">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_Toc32423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11.3 </w:t>
      </w:r>
      <w:r>
        <w:rPr>
          <w:rFonts w:hint="eastAsia"/>
          <w:color w:val="auto"/>
          <w:highlight w:val="none"/>
        </w:rPr>
        <w:t>数据存储与备份安全</w:t>
      </w:r>
      <w:r>
        <w:rPr>
          <w:color w:val="auto"/>
          <w:highlight w:val="none"/>
        </w:rPr>
        <w:tab/>
      </w:r>
      <w:r>
        <w:rPr>
          <w:color w:val="auto"/>
          <w:highlight w:val="none"/>
        </w:rPr>
        <w:fldChar w:fldCharType="begin"/>
      </w:r>
      <w:r>
        <w:rPr>
          <w:color w:val="auto"/>
          <w:highlight w:val="none"/>
        </w:rPr>
        <w:instrText xml:space="preserve"> PAGEREF _Toc32423 \h </w:instrText>
      </w:r>
      <w:r>
        <w:rPr>
          <w:color w:val="auto"/>
          <w:highlight w:val="none"/>
        </w:rPr>
        <w:fldChar w:fldCharType="separate"/>
      </w:r>
      <w:r>
        <w:rPr>
          <w:color w:val="auto"/>
          <w:highlight w:val="none"/>
        </w:rPr>
        <w:t>9</w:t>
      </w:r>
      <w:r>
        <w:rPr>
          <w:color w:val="auto"/>
          <w:highlight w:val="none"/>
        </w:rPr>
        <w:fldChar w:fldCharType="end"/>
      </w:r>
      <w:r>
        <w:rPr>
          <w:color w:val="auto"/>
          <w:highlight w:val="none"/>
        </w:rPr>
        <w:fldChar w:fldCharType="end"/>
      </w:r>
    </w:p>
    <w:p w14:paraId="5E59062E">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_Toc898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11.4 </w:t>
      </w:r>
      <w:r>
        <w:rPr>
          <w:rFonts w:hint="eastAsia"/>
          <w:color w:val="auto"/>
          <w:highlight w:val="none"/>
        </w:rPr>
        <w:t>数据访问与使用安全</w:t>
      </w:r>
      <w:r>
        <w:rPr>
          <w:color w:val="auto"/>
          <w:highlight w:val="none"/>
        </w:rPr>
        <w:tab/>
      </w:r>
      <w:r>
        <w:rPr>
          <w:color w:val="auto"/>
          <w:highlight w:val="none"/>
        </w:rPr>
        <w:fldChar w:fldCharType="begin"/>
      </w:r>
      <w:r>
        <w:rPr>
          <w:color w:val="auto"/>
          <w:highlight w:val="none"/>
        </w:rPr>
        <w:instrText xml:space="preserve"> PAGEREF _Toc898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2C553C9D">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_Toc21435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11.5 </w:t>
      </w:r>
      <w:r>
        <w:rPr>
          <w:rFonts w:hint="eastAsia"/>
          <w:color w:val="auto"/>
          <w:highlight w:val="none"/>
        </w:rPr>
        <w:t>数据销毁安全</w:t>
      </w:r>
      <w:r>
        <w:rPr>
          <w:color w:val="auto"/>
          <w:highlight w:val="none"/>
        </w:rPr>
        <w:tab/>
      </w:r>
      <w:r>
        <w:rPr>
          <w:color w:val="auto"/>
          <w:highlight w:val="none"/>
        </w:rPr>
        <w:fldChar w:fldCharType="begin"/>
      </w:r>
      <w:r>
        <w:rPr>
          <w:color w:val="auto"/>
          <w:highlight w:val="none"/>
        </w:rPr>
        <w:instrText xml:space="preserve"> PAGEREF _Toc21435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6150B6C4">
      <w:pPr>
        <w:pStyle w:val="25"/>
        <w:tabs>
          <w:tab w:val="right" w:leader="dot" w:pos="9354"/>
          <w:tab w:val="clear" w:pos="9344"/>
        </w:tabs>
        <w:rPr>
          <w:color w:val="auto"/>
          <w:highlight w:val="none"/>
        </w:rPr>
      </w:pPr>
      <w:r>
        <w:rPr>
          <w:color w:val="auto"/>
          <w:highlight w:val="none"/>
        </w:rPr>
        <w:fldChar w:fldCharType="begin"/>
      </w:r>
      <w:r>
        <w:rPr>
          <w:color w:val="auto"/>
          <w:highlight w:val="none"/>
        </w:rPr>
        <w:instrText xml:space="preserve"> HYPERLINK \l _Toc14950 </w:instrText>
      </w:r>
      <w:r>
        <w:rPr>
          <w:color w:val="auto"/>
          <w:highlight w:val="none"/>
        </w:rPr>
        <w:fldChar w:fldCharType="separate"/>
      </w:r>
      <w:r>
        <w:rPr>
          <w:rFonts w:hint="eastAsia" w:ascii="黑体" w:hAnsi="Times New Roman" w:eastAsia="黑体" w:cs="Times New Roman"/>
          <w:bCs w:val="0"/>
          <w:i w:val="0"/>
          <w:iCs w:val="0"/>
          <w:caps w:val="0"/>
          <w:smallCaps w:val="0"/>
          <w:strike w:val="0"/>
          <w:dstrike w:val="0"/>
          <w:vanish w:val="0"/>
          <w:color w:val="auto"/>
          <w:spacing w:val="0"/>
          <w:kern w:val="0"/>
          <w:position w:val="0"/>
          <w:highlight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t xml:space="preserve">11.6 </w:t>
      </w:r>
      <w:r>
        <w:rPr>
          <w:rFonts w:hint="eastAsia"/>
          <w:color w:val="auto"/>
          <w:highlight w:val="none"/>
        </w:rPr>
        <w:t>应急处置</w:t>
      </w:r>
      <w:r>
        <w:rPr>
          <w:color w:val="auto"/>
          <w:highlight w:val="none"/>
        </w:rPr>
        <w:tab/>
      </w:r>
      <w:r>
        <w:rPr>
          <w:color w:val="auto"/>
          <w:highlight w:val="none"/>
        </w:rPr>
        <w:fldChar w:fldCharType="begin"/>
      </w:r>
      <w:r>
        <w:rPr>
          <w:color w:val="auto"/>
          <w:highlight w:val="none"/>
        </w:rPr>
        <w:instrText xml:space="preserve"> PAGEREF _Toc14950 \h </w:instrText>
      </w:r>
      <w:r>
        <w:rPr>
          <w:color w:val="auto"/>
          <w:highlight w:val="none"/>
        </w:rPr>
        <w:fldChar w:fldCharType="separate"/>
      </w:r>
      <w:r>
        <w:rPr>
          <w:color w:val="auto"/>
          <w:highlight w:val="none"/>
        </w:rPr>
        <w:t>10</w:t>
      </w:r>
      <w:r>
        <w:rPr>
          <w:color w:val="auto"/>
          <w:highlight w:val="none"/>
        </w:rPr>
        <w:fldChar w:fldCharType="end"/>
      </w:r>
      <w:r>
        <w:rPr>
          <w:color w:val="auto"/>
          <w:highlight w:val="none"/>
        </w:rPr>
        <w:fldChar w:fldCharType="end"/>
      </w:r>
    </w:p>
    <w:p w14:paraId="1A513C60">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_Toc25943 </w:instrText>
      </w:r>
      <w:r>
        <w:rPr>
          <w:color w:val="auto"/>
          <w:highlight w:val="none"/>
        </w:rPr>
        <w:fldChar w:fldCharType="separate"/>
      </w:r>
      <w:r>
        <w:rPr>
          <w:rFonts w:hint="eastAsia"/>
          <w:color w:val="auto"/>
          <w:spacing w:val="100"/>
          <w:highlight w:val="none"/>
        </w:rPr>
        <w:t xml:space="preserve">附录A </w:t>
      </w:r>
      <w:r>
        <w:rPr>
          <w:color w:val="auto"/>
          <w:highlight w:val="none"/>
        </w:rPr>
        <w:t xml:space="preserve"> </w:t>
      </w:r>
      <w:r>
        <w:rPr>
          <w:rFonts w:hint="eastAsia"/>
          <w:color w:val="auto"/>
          <w:highlight w:val="none"/>
        </w:rPr>
        <w:t>（规范性）</w:t>
      </w:r>
      <w:r>
        <w:rPr>
          <w:color w:val="auto"/>
          <w:highlight w:val="none"/>
        </w:rPr>
        <w:t xml:space="preserve"> </w:t>
      </w:r>
      <w:r>
        <w:rPr>
          <w:rFonts w:hint="eastAsia"/>
          <w:color w:val="auto"/>
          <w:highlight w:val="none"/>
        </w:rPr>
        <w:t>环保检测实验室应急处置流程</w:t>
      </w:r>
      <w:r>
        <w:rPr>
          <w:color w:val="auto"/>
          <w:highlight w:val="none"/>
        </w:rPr>
        <w:tab/>
      </w:r>
      <w:r>
        <w:rPr>
          <w:color w:val="auto"/>
          <w:highlight w:val="none"/>
        </w:rPr>
        <w:fldChar w:fldCharType="begin"/>
      </w:r>
      <w:r>
        <w:rPr>
          <w:color w:val="auto"/>
          <w:highlight w:val="none"/>
        </w:rPr>
        <w:instrText xml:space="preserve"> PAGEREF _Toc25943 \h </w:instrText>
      </w:r>
      <w:r>
        <w:rPr>
          <w:color w:val="auto"/>
          <w:highlight w:val="none"/>
        </w:rPr>
        <w:fldChar w:fldCharType="separate"/>
      </w:r>
      <w:r>
        <w:rPr>
          <w:color w:val="auto"/>
          <w:highlight w:val="none"/>
        </w:rPr>
        <w:t>11</w:t>
      </w:r>
      <w:r>
        <w:rPr>
          <w:color w:val="auto"/>
          <w:highlight w:val="none"/>
        </w:rPr>
        <w:fldChar w:fldCharType="end"/>
      </w:r>
      <w:r>
        <w:rPr>
          <w:color w:val="auto"/>
          <w:highlight w:val="none"/>
        </w:rPr>
        <w:fldChar w:fldCharType="end"/>
      </w:r>
    </w:p>
    <w:p w14:paraId="717B637B">
      <w:pPr>
        <w:pStyle w:val="20"/>
        <w:tabs>
          <w:tab w:val="right" w:leader="dot" w:pos="9354"/>
        </w:tabs>
        <w:rPr>
          <w:color w:val="auto"/>
          <w:highlight w:val="none"/>
        </w:rPr>
      </w:pPr>
      <w:r>
        <w:rPr>
          <w:color w:val="auto"/>
          <w:highlight w:val="none"/>
        </w:rPr>
        <w:fldChar w:fldCharType="begin"/>
      </w:r>
      <w:r>
        <w:rPr>
          <w:color w:val="auto"/>
          <w:highlight w:val="none"/>
        </w:rPr>
        <w:instrText xml:space="preserve"> HYPERLINK \l _Toc25298 </w:instrText>
      </w:r>
      <w:r>
        <w:rPr>
          <w:color w:val="auto"/>
          <w:highlight w:val="none"/>
        </w:rPr>
        <w:fldChar w:fldCharType="separate"/>
      </w:r>
      <w:r>
        <w:rPr>
          <w:rFonts w:hint="eastAsia"/>
          <w:color w:val="auto"/>
          <w:spacing w:val="100"/>
          <w:highlight w:val="none"/>
        </w:rPr>
        <w:t xml:space="preserve">附录B </w:t>
      </w:r>
      <w:r>
        <w:rPr>
          <w:color w:val="auto"/>
          <w:highlight w:val="none"/>
        </w:rPr>
        <w:t xml:space="preserve"> </w:t>
      </w:r>
      <w:r>
        <w:rPr>
          <w:rFonts w:hint="eastAsia"/>
          <w:color w:val="auto"/>
          <w:highlight w:val="none"/>
        </w:rPr>
        <w:t>（规范性）</w:t>
      </w:r>
      <w:r>
        <w:rPr>
          <w:color w:val="auto"/>
          <w:highlight w:val="none"/>
        </w:rPr>
        <w:t xml:space="preserve"> </w:t>
      </w:r>
      <w:r>
        <w:rPr>
          <w:rFonts w:hint="eastAsia"/>
          <w:color w:val="auto"/>
          <w:highlight w:val="none"/>
        </w:rPr>
        <w:t>实验室不相容废液禁配清单</w:t>
      </w:r>
      <w:r>
        <w:rPr>
          <w:color w:val="auto"/>
          <w:highlight w:val="none"/>
        </w:rPr>
        <w:tab/>
      </w:r>
      <w:r>
        <w:rPr>
          <w:color w:val="auto"/>
          <w:highlight w:val="none"/>
        </w:rPr>
        <w:fldChar w:fldCharType="begin"/>
      </w:r>
      <w:r>
        <w:rPr>
          <w:color w:val="auto"/>
          <w:highlight w:val="none"/>
        </w:rPr>
        <w:instrText xml:space="preserve"> PAGEREF _Toc25298 \h </w:instrText>
      </w:r>
      <w:r>
        <w:rPr>
          <w:color w:val="auto"/>
          <w:highlight w:val="none"/>
        </w:rPr>
        <w:fldChar w:fldCharType="separate"/>
      </w:r>
      <w:r>
        <w:rPr>
          <w:color w:val="auto"/>
          <w:highlight w:val="none"/>
        </w:rPr>
        <w:t>14</w:t>
      </w:r>
      <w:r>
        <w:rPr>
          <w:color w:val="auto"/>
          <w:highlight w:val="none"/>
        </w:rPr>
        <w:fldChar w:fldCharType="end"/>
      </w:r>
      <w:r>
        <w:rPr>
          <w:color w:val="auto"/>
          <w:highlight w:val="none"/>
        </w:rPr>
        <w:fldChar w:fldCharType="end"/>
      </w:r>
    </w:p>
    <w:p w14:paraId="7324CA06">
      <w:pPr>
        <w:pStyle w:val="93"/>
        <w:spacing w:after="360"/>
        <w:rPr>
          <w:color w:val="auto"/>
          <w:highlight w:val="none"/>
        </w:rPr>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r>
        <w:rPr>
          <w:color w:val="auto"/>
          <w:highlight w:val="none"/>
        </w:rPr>
        <w:fldChar w:fldCharType="end"/>
      </w:r>
    </w:p>
    <w:bookmarkEnd w:id="17"/>
    <w:p w14:paraId="27FD0390">
      <w:pPr>
        <w:pStyle w:val="91"/>
        <w:spacing w:before="560" w:after="360"/>
        <w:rPr>
          <w:color w:val="auto"/>
          <w:highlight w:val="none"/>
        </w:rPr>
      </w:pPr>
      <w:bookmarkStart w:id="21" w:name="_Toc225206539"/>
      <w:bookmarkStart w:id="22" w:name="_Toc32758"/>
      <w:bookmarkStart w:id="23" w:name="BookMark2"/>
      <w:r>
        <w:rPr>
          <w:rFonts w:hint="eastAsia"/>
          <w:color w:val="auto"/>
          <w:spacing w:val="320"/>
          <w:highlight w:val="none"/>
        </w:rPr>
        <w:t>前</w:t>
      </w:r>
      <w:r>
        <w:rPr>
          <w:rFonts w:hint="eastAsia"/>
          <w:color w:val="auto"/>
          <w:highlight w:val="none"/>
        </w:rPr>
        <w:t>言</w:t>
      </w:r>
      <w:bookmarkEnd w:id="18"/>
      <w:bookmarkEnd w:id="19"/>
      <w:bookmarkEnd w:id="20"/>
      <w:bookmarkEnd w:id="21"/>
      <w:bookmarkEnd w:id="22"/>
    </w:p>
    <w:p w14:paraId="6C048CF7">
      <w:pPr>
        <w:pStyle w:val="58"/>
        <w:ind w:firstLine="420"/>
        <w:rPr>
          <w:color w:val="auto"/>
          <w:highlight w:val="none"/>
        </w:rPr>
      </w:pPr>
      <w:r>
        <w:rPr>
          <w:rFonts w:hint="eastAsia"/>
          <w:color w:val="auto"/>
          <w:highlight w:val="none"/>
        </w:rPr>
        <w:t>本文件按照GB/T 1.1—2020《标准化工作导则  第1部分：标准化文件的结构和起草规则》的规定起草。</w:t>
      </w:r>
    </w:p>
    <w:p w14:paraId="3B574131">
      <w:pPr>
        <w:pStyle w:val="58"/>
        <w:ind w:firstLine="420"/>
        <w:rPr>
          <w:color w:val="auto"/>
          <w:highlight w:val="none"/>
        </w:rPr>
      </w:pPr>
      <w:r>
        <w:rPr>
          <w:color w:val="auto"/>
          <w:highlight w:val="none"/>
        </w:rPr>
        <w:t>请注意本文件的某些内容可能涉及专利。本文件的发布机构不承担识别专利的责任。</w:t>
      </w:r>
    </w:p>
    <w:p w14:paraId="704EF19F">
      <w:pPr>
        <w:pStyle w:val="58"/>
        <w:ind w:firstLine="420"/>
        <w:rPr>
          <w:color w:val="auto"/>
          <w:highlight w:val="none"/>
        </w:rPr>
      </w:pPr>
      <w:r>
        <w:rPr>
          <w:rFonts w:hint="eastAsia"/>
          <w:color w:val="auto"/>
          <w:highlight w:val="none"/>
        </w:rPr>
        <w:t>本文件由××××提出。</w:t>
      </w:r>
    </w:p>
    <w:p w14:paraId="315731BA">
      <w:pPr>
        <w:pStyle w:val="58"/>
        <w:ind w:firstLine="420"/>
        <w:rPr>
          <w:color w:val="auto"/>
          <w:highlight w:val="none"/>
        </w:rPr>
      </w:pPr>
      <w:r>
        <w:rPr>
          <w:rFonts w:hint="eastAsia"/>
          <w:color w:val="auto"/>
          <w:highlight w:val="none"/>
        </w:rPr>
        <w:t>本文件由××××归口。</w:t>
      </w:r>
    </w:p>
    <w:p w14:paraId="2D347C05">
      <w:pPr>
        <w:pStyle w:val="58"/>
        <w:ind w:firstLine="420"/>
        <w:rPr>
          <w:color w:val="auto"/>
          <w:highlight w:val="none"/>
        </w:rPr>
      </w:pPr>
      <w:r>
        <w:rPr>
          <w:rFonts w:hint="eastAsia"/>
          <w:color w:val="auto"/>
          <w:highlight w:val="none"/>
        </w:rPr>
        <w:t>本文件起草单位：</w:t>
      </w:r>
    </w:p>
    <w:p w14:paraId="0BFD20F5">
      <w:pPr>
        <w:pStyle w:val="58"/>
        <w:ind w:firstLine="420"/>
        <w:rPr>
          <w:color w:val="auto"/>
          <w:highlight w:val="none"/>
        </w:rPr>
      </w:pPr>
      <w:r>
        <w:rPr>
          <w:rFonts w:hint="eastAsia"/>
          <w:color w:val="auto"/>
          <w:highlight w:val="none"/>
        </w:rPr>
        <w:t>本文件主要起草人：</w:t>
      </w:r>
    </w:p>
    <w:p w14:paraId="1298C85E">
      <w:pPr>
        <w:pStyle w:val="58"/>
        <w:ind w:firstLine="420"/>
        <w:rPr>
          <w:color w:val="auto"/>
          <w:highlight w:val="none"/>
        </w:rPr>
      </w:pPr>
    </w:p>
    <w:p w14:paraId="3270855B">
      <w:pPr>
        <w:pStyle w:val="58"/>
        <w:ind w:firstLine="420"/>
        <w:rPr>
          <w:color w:val="auto"/>
          <w:highlight w:val="none"/>
        </w:rPr>
        <w:sectPr>
          <w:pgSz w:w="11906" w:h="16838"/>
          <w:pgMar w:top="1928" w:right="1134" w:bottom="1134" w:left="1134" w:header="1418" w:footer="1134" w:gutter="284"/>
          <w:pgNumType w:fmt="upperRoman"/>
          <w:cols w:space="425" w:num="1"/>
          <w:formProt w:val="0"/>
          <w:docGrid w:linePitch="312" w:charSpace="0"/>
        </w:sectPr>
      </w:pPr>
    </w:p>
    <w:bookmarkEnd w:id="23"/>
    <w:p w14:paraId="6E4C739B">
      <w:pPr>
        <w:spacing w:line="20" w:lineRule="exact"/>
        <w:jc w:val="center"/>
        <w:rPr>
          <w:rFonts w:hint="eastAsia" w:ascii="黑体" w:hAnsi="黑体" w:eastAsia="黑体"/>
          <w:color w:val="auto"/>
          <w:sz w:val="32"/>
          <w:szCs w:val="32"/>
          <w:highlight w:val="none"/>
        </w:rPr>
      </w:pPr>
      <w:bookmarkStart w:id="24" w:name="BookMark4"/>
    </w:p>
    <w:p w14:paraId="05FBF91F">
      <w:pPr>
        <w:spacing w:line="20" w:lineRule="exact"/>
        <w:jc w:val="center"/>
        <w:rPr>
          <w:rFonts w:hint="eastAsia" w:ascii="黑体" w:hAnsi="黑体" w:eastAsia="黑体"/>
          <w:color w:val="auto"/>
          <w:sz w:val="32"/>
          <w:szCs w:val="32"/>
          <w:highlight w:val="none"/>
        </w:rPr>
      </w:pPr>
    </w:p>
    <w:sdt>
      <w:sdtPr>
        <w:rPr>
          <w:color w:val="auto"/>
          <w:highlight w:val="none"/>
        </w:rPr>
        <w:tag w:val="NEW_STAND_NAME"/>
        <w:id w:val="595910757"/>
        <w:lock w:val="sdtLocked"/>
        <w:placeholder>
          <w:docPart w:val="A6B29CE62CE448AABFD0D6B0F121BE2B"/>
        </w:placeholder>
      </w:sdtPr>
      <w:sdtEndPr>
        <w:rPr>
          <w:color w:val="auto"/>
          <w:highlight w:val="none"/>
        </w:rPr>
      </w:sdtEndPr>
      <w:sdtContent>
        <w:p w14:paraId="2E90DED3">
          <w:pPr>
            <w:pStyle w:val="179"/>
            <w:spacing w:before="240" w:beforeLines="100" w:after="528" w:afterLines="220"/>
            <w:rPr>
              <w:rFonts w:hint="eastAsia"/>
              <w:color w:val="auto"/>
              <w:highlight w:val="none"/>
            </w:rPr>
          </w:pPr>
          <w:bookmarkStart w:id="25" w:name="NEW_STAND_NAME"/>
          <w:r>
            <w:rPr>
              <w:rFonts w:hint="eastAsia"/>
              <w:color w:val="auto"/>
              <w:highlight w:val="none"/>
              <w:lang w:val="en-US" w:eastAsia="zh-CN"/>
            </w:rPr>
            <w:t>生态</w:t>
          </w:r>
          <w:r>
            <w:rPr>
              <w:rFonts w:hint="eastAsia"/>
              <w:color w:val="auto"/>
              <w:highlight w:val="none"/>
            </w:rPr>
            <w:t>环境</w:t>
          </w:r>
          <w:r>
            <w:rPr>
              <w:rFonts w:hint="eastAsia"/>
              <w:color w:val="auto"/>
              <w:highlight w:val="none"/>
              <w:lang w:val="en-US" w:eastAsia="zh-CN"/>
            </w:rPr>
            <w:t>监测</w:t>
          </w:r>
          <w:r>
            <w:rPr>
              <w:rFonts w:hint="eastAsia"/>
              <w:color w:val="auto"/>
              <w:highlight w:val="none"/>
            </w:rPr>
            <w:t>实验室安全管理</w:t>
          </w:r>
          <w:r>
            <w:rPr>
              <w:rFonts w:hint="eastAsia"/>
              <w:color w:val="auto"/>
              <w:highlight w:val="none"/>
              <w:lang w:val="en-US" w:eastAsia="zh-CN"/>
            </w:rPr>
            <w:t>规范</w:t>
          </w:r>
        </w:p>
      </w:sdtContent>
    </w:sdt>
    <w:bookmarkEnd w:id="25"/>
    <w:p w14:paraId="06C0FFD9">
      <w:pPr>
        <w:pStyle w:val="106"/>
        <w:spacing w:before="240" w:after="240"/>
        <w:rPr>
          <w:color w:val="auto"/>
          <w:highlight w:val="none"/>
        </w:rPr>
      </w:pPr>
      <w:bookmarkStart w:id="26" w:name="_Toc17233325"/>
      <w:bookmarkStart w:id="27" w:name="_Toc26986530"/>
      <w:bookmarkStart w:id="28" w:name="_Toc220314011"/>
      <w:bookmarkStart w:id="29" w:name="_Toc225206540"/>
      <w:bookmarkStart w:id="30" w:name="_Toc26718930"/>
      <w:bookmarkStart w:id="31" w:name="_Toc17233333"/>
      <w:bookmarkStart w:id="32" w:name="_Toc220313215"/>
      <w:bookmarkStart w:id="33" w:name="_Toc24884218"/>
      <w:bookmarkStart w:id="34" w:name="_Toc24884211"/>
      <w:bookmarkStart w:id="35" w:name="_Toc220311852"/>
      <w:bookmarkStart w:id="36" w:name="_Toc26986771"/>
      <w:bookmarkStart w:id="37" w:name="_Toc26648465"/>
      <w:bookmarkStart w:id="38" w:name="_Toc97192964"/>
      <w:bookmarkStart w:id="39" w:name="_Toc2481"/>
      <w:r>
        <w:rPr>
          <w:rFonts w:hint="eastAsia"/>
          <w:color w:val="auto"/>
          <w:highlight w:val="none"/>
        </w:rPr>
        <w:t>范围</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1449AD4D">
      <w:pPr>
        <w:pStyle w:val="58"/>
        <w:ind w:firstLine="420"/>
        <w:rPr>
          <w:color w:val="auto"/>
          <w:highlight w:val="none"/>
        </w:rPr>
      </w:pPr>
      <w:bookmarkStart w:id="40" w:name="_Toc26648466"/>
      <w:bookmarkStart w:id="41" w:name="_Toc17233326"/>
      <w:bookmarkStart w:id="42" w:name="_Toc24884219"/>
      <w:bookmarkStart w:id="43" w:name="_Toc24884212"/>
      <w:bookmarkStart w:id="44" w:name="_Toc17233334"/>
      <w:r>
        <w:rPr>
          <w:rFonts w:hint="eastAsia"/>
          <w:color w:val="auto"/>
          <w:highlight w:val="none"/>
        </w:rPr>
        <w:t>本文件规定了</w:t>
      </w:r>
      <w:r>
        <w:rPr>
          <w:rFonts w:hint="eastAsia"/>
          <w:color w:val="auto"/>
          <w:highlight w:val="none"/>
          <w:lang w:val="en-US" w:eastAsia="zh-CN"/>
        </w:rPr>
        <w:t>生态环境监测</w:t>
      </w:r>
      <w:r>
        <w:rPr>
          <w:rFonts w:hint="eastAsia"/>
          <w:color w:val="auto"/>
          <w:highlight w:val="none"/>
        </w:rPr>
        <w:t>实验室（以下简称“实验室”）安全管理的总体要求，以及布局与设施、仪器设备、人员操作、安全防护、应急管理、数据信息安全等环节的安全管理要求。</w:t>
      </w:r>
    </w:p>
    <w:p w14:paraId="3523EE57">
      <w:pPr>
        <w:pStyle w:val="58"/>
        <w:ind w:firstLine="420"/>
        <w:rPr>
          <w:color w:val="auto"/>
          <w:highlight w:val="none"/>
        </w:rPr>
      </w:pPr>
      <w:r>
        <w:rPr>
          <w:rFonts w:hint="eastAsia"/>
          <w:color w:val="auto"/>
          <w:highlight w:val="none"/>
        </w:rPr>
        <w:t>本文件适用于各类针对水和废水、环境空气和废气、海水、土壤、沉积物、固体废物、生物、噪声、振动、辐射等要素开展监测检测活动</w:t>
      </w:r>
      <w:r>
        <w:rPr>
          <w:rFonts w:hint="eastAsia"/>
          <w:color w:val="auto"/>
          <w:highlight w:val="none"/>
          <w:lang w:val="en-US" w:eastAsia="zh-CN"/>
        </w:rPr>
        <w:t>的生态环境检测</w:t>
      </w:r>
      <w:r>
        <w:rPr>
          <w:rFonts w:hint="eastAsia"/>
          <w:color w:val="auto"/>
          <w:highlight w:val="none"/>
        </w:rPr>
        <w:t>实验室的安全管理、安全检查及安全评估工作。</w:t>
      </w:r>
    </w:p>
    <w:p w14:paraId="3E7B5686">
      <w:pPr>
        <w:pStyle w:val="106"/>
        <w:spacing w:before="240" w:after="240"/>
        <w:rPr>
          <w:color w:val="auto"/>
          <w:highlight w:val="none"/>
        </w:rPr>
      </w:pPr>
      <w:bookmarkStart w:id="45" w:name="_Toc97192965"/>
      <w:bookmarkStart w:id="46" w:name="_Toc26986531"/>
      <w:bookmarkStart w:id="47" w:name="_Toc220313216"/>
      <w:bookmarkStart w:id="48" w:name="_Toc15501"/>
      <w:bookmarkStart w:id="49" w:name="_Toc26986772"/>
      <w:bookmarkStart w:id="50" w:name="_Toc225206541"/>
      <w:bookmarkStart w:id="51" w:name="_Toc26718931"/>
      <w:bookmarkStart w:id="52" w:name="_Toc220311853"/>
      <w:bookmarkStart w:id="53" w:name="_Toc220314012"/>
      <w:r>
        <w:rPr>
          <w:rFonts w:hint="eastAsia"/>
          <w:color w:val="auto"/>
          <w:highlight w:val="none"/>
        </w:rPr>
        <w:t>规范性引用文件</w:t>
      </w:r>
      <w:bookmarkEnd w:id="40"/>
      <w:bookmarkEnd w:id="41"/>
      <w:bookmarkEnd w:id="42"/>
      <w:bookmarkEnd w:id="43"/>
      <w:bookmarkEnd w:id="44"/>
      <w:bookmarkEnd w:id="45"/>
      <w:bookmarkEnd w:id="46"/>
      <w:bookmarkEnd w:id="47"/>
      <w:bookmarkEnd w:id="48"/>
      <w:bookmarkEnd w:id="49"/>
      <w:bookmarkEnd w:id="50"/>
      <w:bookmarkEnd w:id="51"/>
      <w:bookmarkEnd w:id="52"/>
      <w:bookmarkEnd w:id="53"/>
    </w:p>
    <w:sdt>
      <w:sdtPr>
        <w:rPr>
          <w:rFonts w:hint="eastAsia"/>
          <w:color w:val="auto"/>
          <w:highlight w:val="none"/>
        </w:rPr>
        <w:id w:val="715848253"/>
        <w:placeholder>
          <w:docPart w:val="C682D090E13942038D80D93B76156449"/>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color w:val="auto"/>
          <w:highlight w:val="none"/>
        </w:rPr>
      </w:sdtEndPr>
      <w:sdtContent>
        <w:p w14:paraId="1CB32122">
          <w:pPr>
            <w:pStyle w:val="58"/>
            <w:ind w:firstLine="420"/>
            <w:rPr>
              <w:color w:val="auto"/>
              <w:highlight w:val="none"/>
            </w:rPr>
          </w:pPr>
          <w:r>
            <w:rPr>
              <w:rFonts w:hint="eastAsia"/>
              <w:color w:val="auto"/>
              <w:highlight w:val="none"/>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B2C75AB">
      <w:pPr>
        <w:pStyle w:val="58"/>
        <w:ind w:firstLine="420"/>
        <w:rPr>
          <w:color w:val="auto"/>
          <w:highlight w:val="none"/>
        </w:rPr>
      </w:pPr>
      <w:r>
        <w:rPr>
          <w:rFonts w:hint="eastAsia"/>
          <w:color w:val="auto"/>
          <w:highlight w:val="none"/>
        </w:rPr>
        <w:t>GB 19489  实验室 生物安全通用要求</w:t>
      </w:r>
    </w:p>
    <w:p w14:paraId="50A73FD4">
      <w:pPr>
        <w:pStyle w:val="58"/>
        <w:ind w:firstLine="420"/>
        <w:rPr>
          <w:color w:val="auto"/>
          <w:highlight w:val="none"/>
        </w:rPr>
      </w:pPr>
      <w:r>
        <w:rPr>
          <w:rFonts w:hint="eastAsia"/>
          <w:color w:val="auto"/>
          <w:highlight w:val="none"/>
        </w:rPr>
        <w:t>GB 30000  化学品分类和标签规范</w:t>
      </w:r>
    </w:p>
    <w:p w14:paraId="05BA7141">
      <w:pPr>
        <w:pStyle w:val="58"/>
        <w:ind w:firstLine="420"/>
        <w:rPr>
          <w:rFonts w:hint="eastAsia"/>
          <w:color w:val="auto"/>
          <w:highlight w:val="none"/>
        </w:rPr>
      </w:pPr>
      <w:r>
        <w:rPr>
          <w:rFonts w:hint="eastAsia"/>
          <w:color w:val="auto"/>
          <w:highlight w:val="none"/>
        </w:rPr>
        <w:t>GB 55037-2022</w:t>
      </w:r>
      <w:r>
        <w:rPr>
          <w:rFonts w:hint="eastAsia"/>
          <w:color w:val="auto"/>
          <w:highlight w:val="none"/>
          <w:lang w:val="en-US" w:eastAsia="zh-CN"/>
        </w:rPr>
        <w:t xml:space="preserve">  </w:t>
      </w:r>
      <w:r>
        <w:rPr>
          <w:rFonts w:hint="eastAsia"/>
          <w:color w:val="auto"/>
          <w:highlight w:val="none"/>
        </w:rPr>
        <w:fldChar w:fldCharType="begin"/>
      </w:r>
      <w:r>
        <w:rPr>
          <w:rFonts w:hint="eastAsia"/>
          <w:color w:val="auto"/>
          <w:highlight w:val="none"/>
        </w:rPr>
        <w:instrText xml:space="preserve"> HYPERLINK "http://www.hn119.gov.cn/content/13964580" \t "https://www.so.com/_blank" </w:instrText>
      </w:r>
      <w:r>
        <w:rPr>
          <w:rFonts w:hint="eastAsia"/>
          <w:color w:val="auto"/>
          <w:highlight w:val="none"/>
        </w:rPr>
        <w:fldChar w:fldCharType="separate"/>
      </w:r>
      <w:r>
        <w:rPr>
          <w:rFonts w:hint="eastAsia"/>
          <w:color w:val="auto"/>
          <w:highlight w:val="none"/>
        </w:rPr>
        <w:t>建筑防火通用规范</w:t>
      </w:r>
      <w:r>
        <w:rPr>
          <w:rFonts w:hint="eastAsia"/>
          <w:color w:val="auto"/>
          <w:highlight w:val="none"/>
        </w:rPr>
        <w:fldChar w:fldCharType="end"/>
      </w:r>
    </w:p>
    <w:p w14:paraId="5AE9153A">
      <w:pPr>
        <w:pStyle w:val="58"/>
        <w:ind w:firstLine="420"/>
        <w:rPr>
          <w:color w:val="auto"/>
          <w:highlight w:val="none"/>
        </w:rPr>
      </w:pPr>
      <w:r>
        <w:rPr>
          <w:rFonts w:hint="eastAsia"/>
          <w:color w:val="auto"/>
          <w:highlight w:val="none"/>
        </w:rPr>
        <w:t>GB 50016  建筑设计防火规范</w:t>
      </w:r>
    </w:p>
    <w:p w14:paraId="73AB0F0A">
      <w:pPr>
        <w:pStyle w:val="58"/>
        <w:ind w:firstLine="420"/>
        <w:rPr>
          <w:color w:val="auto"/>
          <w:highlight w:val="none"/>
        </w:rPr>
      </w:pPr>
      <w:r>
        <w:rPr>
          <w:rFonts w:hint="eastAsia"/>
          <w:color w:val="auto"/>
          <w:highlight w:val="none"/>
        </w:rPr>
        <w:t>GB 50057  建筑物防雷设计规范</w:t>
      </w:r>
    </w:p>
    <w:p w14:paraId="5D86DBA1">
      <w:pPr>
        <w:pStyle w:val="58"/>
        <w:ind w:firstLine="420"/>
        <w:rPr>
          <w:color w:val="auto"/>
          <w:highlight w:val="none"/>
        </w:rPr>
      </w:pPr>
      <w:r>
        <w:rPr>
          <w:rFonts w:hint="eastAsia"/>
          <w:color w:val="auto"/>
          <w:highlight w:val="none"/>
        </w:rPr>
        <w:t>GB 16297  大气污染物综合排放标准</w:t>
      </w:r>
    </w:p>
    <w:p w14:paraId="567445F2">
      <w:pPr>
        <w:pStyle w:val="58"/>
        <w:ind w:firstLine="420"/>
        <w:rPr>
          <w:color w:val="auto"/>
          <w:highlight w:val="none"/>
        </w:rPr>
      </w:pPr>
      <w:r>
        <w:rPr>
          <w:rFonts w:hint="eastAsia"/>
          <w:color w:val="auto"/>
          <w:highlight w:val="none"/>
        </w:rPr>
        <w:t>GB 18871  电离辐射防护与辐射源安全基本标准</w:t>
      </w:r>
    </w:p>
    <w:p w14:paraId="1657EEB3">
      <w:pPr>
        <w:pStyle w:val="58"/>
        <w:ind w:firstLine="420"/>
        <w:rPr>
          <w:color w:val="auto"/>
          <w:highlight w:val="none"/>
        </w:rPr>
      </w:pPr>
      <w:r>
        <w:rPr>
          <w:rFonts w:hint="eastAsia"/>
          <w:color w:val="auto"/>
          <w:highlight w:val="none"/>
        </w:rPr>
        <w:t>GB 50346  生物安全实验室建筑技术规范</w:t>
      </w:r>
    </w:p>
    <w:p w14:paraId="47A8A811">
      <w:pPr>
        <w:pStyle w:val="58"/>
        <w:ind w:firstLine="420"/>
        <w:rPr>
          <w:color w:val="auto"/>
          <w:highlight w:val="none"/>
        </w:rPr>
      </w:pPr>
      <w:r>
        <w:rPr>
          <w:rFonts w:hint="eastAsia"/>
          <w:color w:val="auto"/>
          <w:highlight w:val="none"/>
        </w:rPr>
        <w:t>GB/Z 27427  实验室仪器设备管理指南</w:t>
      </w:r>
    </w:p>
    <w:p w14:paraId="1C1E40E6">
      <w:pPr>
        <w:pStyle w:val="58"/>
        <w:ind w:firstLine="420"/>
        <w:rPr>
          <w:color w:val="auto"/>
          <w:highlight w:val="none"/>
        </w:rPr>
      </w:pPr>
      <w:r>
        <w:rPr>
          <w:rFonts w:hint="eastAsia"/>
          <w:color w:val="auto"/>
          <w:highlight w:val="none"/>
        </w:rPr>
        <w:t>GB/T 27476.2</w:t>
      </w:r>
      <w:r>
        <w:rPr>
          <w:rFonts w:hint="eastAsia"/>
          <w:color w:val="auto"/>
          <w:highlight w:val="none"/>
          <w:lang w:val="en-US" w:eastAsia="zh-CN"/>
        </w:rPr>
        <w:t>-2014</w:t>
      </w:r>
      <w:r>
        <w:rPr>
          <w:rFonts w:hint="eastAsia"/>
          <w:color w:val="auto"/>
          <w:highlight w:val="none"/>
        </w:rPr>
        <w:t xml:space="preserve">  检测实验室安全 第2部分：电气因素</w:t>
      </w:r>
    </w:p>
    <w:p w14:paraId="1F0ACFA6">
      <w:pPr>
        <w:pStyle w:val="58"/>
        <w:ind w:firstLine="420"/>
        <w:rPr>
          <w:color w:val="auto"/>
          <w:highlight w:val="none"/>
        </w:rPr>
      </w:pPr>
      <w:r>
        <w:rPr>
          <w:rFonts w:hint="eastAsia"/>
          <w:color w:val="auto"/>
          <w:highlight w:val="none"/>
        </w:rPr>
        <w:t>GB/T 27476.5</w:t>
      </w:r>
      <w:r>
        <w:rPr>
          <w:rFonts w:hint="eastAsia"/>
          <w:color w:val="auto"/>
          <w:highlight w:val="none"/>
          <w:lang w:val="en-US" w:eastAsia="zh-CN"/>
        </w:rPr>
        <w:t>-2014</w:t>
      </w:r>
      <w:r>
        <w:rPr>
          <w:rFonts w:hint="eastAsia"/>
          <w:color w:val="auto"/>
          <w:highlight w:val="none"/>
        </w:rPr>
        <w:t xml:space="preserve">  检测实验室安全 第5部分：化学因素</w:t>
      </w:r>
    </w:p>
    <w:p w14:paraId="7B3D4549">
      <w:pPr>
        <w:pStyle w:val="58"/>
        <w:ind w:firstLine="420"/>
        <w:rPr>
          <w:color w:val="auto"/>
          <w:highlight w:val="none"/>
        </w:rPr>
      </w:pPr>
      <w:r>
        <w:rPr>
          <w:rFonts w:hint="eastAsia"/>
          <w:color w:val="auto"/>
          <w:highlight w:val="none"/>
        </w:rPr>
        <w:t>HJ/T 373  固定污染源监测质量保证与质量控制技术规范</w:t>
      </w:r>
    </w:p>
    <w:p w14:paraId="0066706D">
      <w:pPr>
        <w:pStyle w:val="58"/>
        <w:ind w:firstLine="420"/>
        <w:rPr>
          <w:color w:val="auto"/>
          <w:highlight w:val="none"/>
        </w:rPr>
      </w:pPr>
      <w:r>
        <w:rPr>
          <w:color w:val="auto"/>
          <w:highlight w:val="none"/>
        </w:rPr>
        <w:t>SN/T 3592</w:t>
      </w:r>
      <w:r>
        <w:rPr>
          <w:rFonts w:hint="eastAsia"/>
          <w:color w:val="auto"/>
          <w:highlight w:val="none"/>
        </w:rPr>
        <w:t xml:space="preserve">  实验室化学药品和样品废弃物处理的标准指南</w:t>
      </w:r>
    </w:p>
    <w:p w14:paraId="7CCCD2EA">
      <w:pPr>
        <w:pStyle w:val="106"/>
        <w:spacing w:before="240" w:after="240"/>
        <w:rPr>
          <w:color w:val="auto"/>
          <w:highlight w:val="none"/>
        </w:rPr>
      </w:pPr>
      <w:bookmarkStart w:id="54" w:name="_Toc220313217"/>
      <w:bookmarkStart w:id="55" w:name="_Toc220314013"/>
      <w:bookmarkStart w:id="56" w:name="_Toc189"/>
      <w:bookmarkStart w:id="57" w:name="_Toc225206542"/>
      <w:bookmarkStart w:id="58" w:name="_Toc97192966"/>
      <w:bookmarkStart w:id="59" w:name="_Toc220311854"/>
      <w:r>
        <w:rPr>
          <w:rFonts w:hint="eastAsia"/>
          <w:color w:val="auto"/>
          <w:szCs w:val="21"/>
          <w:highlight w:val="none"/>
        </w:rPr>
        <w:t>术语和定义</w:t>
      </w:r>
      <w:bookmarkEnd w:id="54"/>
      <w:bookmarkEnd w:id="55"/>
      <w:bookmarkEnd w:id="56"/>
      <w:bookmarkEnd w:id="57"/>
      <w:bookmarkEnd w:id="58"/>
      <w:bookmarkEnd w:id="59"/>
    </w:p>
    <w:sdt>
      <w:sdtPr>
        <w:rPr>
          <w:color w:val="auto"/>
          <w:highlight w:val="none"/>
        </w:rPr>
        <w:id w:val="-1909835108"/>
        <w:placeholder>
          <w:docPart w:val="D34D53636EC94881AF34708FE40FCEC3"/>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highlight w:val="none"/>
        </w:rPr>
      </w:sdtEndPr>
      <w:sdtContent>
        <w:p w14:paraId="58C46360">
          <w:pPr>
            <w:pStyle w:val="58"/>
            <w:ind w:firstLine="420"/>
            <w:rPr>
              <w:color w:val="auto"/>
              <w:highlight w:val="none"/>
            </w:rPr>
          </w:pPr>
          <w:bookmarkStart w:id="60" w:name="_Toc26986532"/>
          <w:bookmarkEnd w:id="60"/>
          <w:r>
            <w:rPr>
              <w:color w:val="auto"/>
              <w:highlight w:val="none"/>
            </w:rPr>
            <w:t>下列术语和定义适用于本文件。</w:t>
          </w:r>
        </w:p>
      </w:sdtContent>
    </w:sdt>
    <w:p w14:paraId="105A72FE">
      <w:pPr>
        <w:pStyle w:val="225"/>
        <w:ind w:left="420" w:hanging="420" w:hangingChars="200"/>
        <w:rPr>
          <w:rFonts w:hint="eastAsia" w:ascii="黑体" w:hAnsi="黑体" w:eastAsia="黑体"/>
          <w:color w:val="auto"/>
          <w:highlight w:val="none"/>
        </w:rPr>
      </w:pPr>
      <w:r>
        <w:rPr>
          <w:rFonts w:hint="eastAsia" w:ascii="黑体" w:hAnsi="黑体" w:eastAsia="黑体"/>
          <w:color w:val="auto"/>
          <w:highlight w:val="none"/>
          <w:lang w:val="en-US" w:eastAsia="zh-CN"/>
        </w:rPr>
        <w:t>生态环境监测</w:t>
      </w:r>
      <w:r>
        <w:rPr>
          <w:rFonts w:hint="eastAsia" w:ascii="黑体" w:hAnsi="黑体" w:eastAsia="黑体"/>
          <w:color w:val="auto"/>
          <w:highlight w:val="none"/>
        </w:rPr>
        <w:t xml:space="preserve">  Ecological Environmental Monitoring</w:t>
      </w:r>
    </w:p>
    <w:p w14:paraId="5C4B6E1C">
      <w:pPr>
        <w:pStyle w:val="58"/>
        <w:ind w:firstLine="420"/>
        <w:rPr>
          <w:color w:val="auto"/>
          <w:highlight w:val="none"/>
        </w:rPr>
      </w:pPr>
      <w:r>
        <w:rPr>
          <w:rFonts w:hint="eastAsia"/>
          <w:color w:val="auto"/>
          <w:highlight w:val="none"/>
        </w:rPr>
        <w:t>运用化学、物理、生物等技术手段，针对水和废水、环境空气和废气、海水、土壤、沉积物、固体废物、生物、噪声、振动、辐射等要素开展生态环境质量和污染排放的监测（检测）活动。</w:t>
      </w:r>
    </w:p>
    <w:p w14:paraId="11187594">
      <w:pPr>
        <w:pStyle w:val="225"/>
        <w:ind w:left="420" w:hanging="420" w:hangingChars="200"/>
        <w:rPr>
          <w:rFonts w:hint="eastAsia" w:ascii="黑体" w:hAnsi="黑体" w:eastAsia="黑体"/>
          <w:color w:val="auto"/>
          <w:highlight w:val="none"/>
        </w:rPr>
      </w:pPr>
      <w:r>
        <w:rPr>
          <w:rFonts w:hint="eastAsia" w:ascii="黑体" w:hAnsi="黑体" w:eastAsia="黑体"/>
          <w:color w:val="auto"/>
          <w:highlight w:val="none"/>
        </w:rPr>
        <w:t>危险化学品  hazardous chemicals</w:t>
      </w:r>
    </w:p>
    <w:p w14:paraId="7263561A">
      <w:pPr>
        <w:pStyle w:val="58"/>
        <w:ind w:firstLine="420"/>
        <w:rPr>
          <w:color w:val="auto"/>
          <w:highlight w:val="none"/>
        </w:rPr>
      </w:pPr>
      <w:r>
        <w:rPr>
          <w:rFonts w:hint="eastAsia"/>
          <w:color w:val="auto"/>
          <w:highlight w:val="none"/>
        </w:rPr>
        <w:t>具有毒害、腐蚀、爆炸、燃烧、助燃等性质，对人体、设施、环境具有危害的剧毒化学品和其他化学品。</w:t>
      </w:r>
    </w:p>
    <w:p w14:paraId="67884247">
      <w:pPr>
        <w:pStyle w:val="225"/>
        <w:ind w:left="420" w:hanging="420" w:hangingChars="200"/>
        <w:rPr>
          <w:rFonts w:hint="eastAsia" w:ascii="黑体" w:hAnsi="黑体" w:eastAsia="黑体"/>
          <w:color w:val="auto"/>
          <w:highlight w:val="none"/>
        </w:rPr>
      </w:pPr>
      <w:r>
        <w:rPr>
          <w:rStyle w:val="30"/>
          <w:rFonts w:hint="eastAsia" w:ascii="黑体" w:hAnsi="黑体" w:eastAsia="黑体" w:cs="Times New Roman"/>
          <w:b w:val="0"/>
          <w:bCs w:val="0"/>
          <w:color w:val="auto"/>
          <w:sz w:val="21"/>
          <w:szCs w:val="20"/>
          <w:highlight w:val="none"/>
        </w:rPr>
        <w:t>易制毒化学品</w:t>
      </w:r>
      <w:r>
        <w:rPr>
          <w:rFonts w:hint="eastAsia" w:ascii="黑体" w:hAnsi="黑体" w:eastAsia="黑体" w:cs="Times New Roman"/>
          <w:b w:val="0"/>
          <w:bCs w:val="0"/>
          <w:color w:val="auto"/>
          <w:sz w:val="21"/>
          <w:szCs w:val="20"/>
          <w:highlight w:val="none"/>
        </w:rPr>
        <w:t>Precursor Chemicals</w:t>
      </w:r>
    </w:p>
    <w:p w14:paraId="00DB3095">
      <w:pPr>
        <w:pStyle w:val="58"/>
        <w:ind w:firstLine="420"/>
        <w:rPr>
          <w:rFonts w:hint="eastAsia" w:cs="Times New Roman"/>
          <w:color w:val="auto"/>
          <w:sz w:val="21"/>
          <w:szCs w:val="20"/>
          <w:highlight w:val="none"/>
          <w:lang w:eastAsia="zh-CN"/>
        </w:rPr>
      </w:pPr>
      <w:r>
        <w:rPr>
          <w:rFonts w:hint="eastAsia" w:ascii="宋体" w:hAnsi="Times New Roman" w:eastAsia="宋体" w:cs="Times New Roman"/>
          <w:color w:val="auto"/>
          <w:sz w:val="21"/>
          <w:szCs w:val="20"/>
          <w:highlight w:val="none"/>
        </w:rPr>
        <w:t>国家规定管制的、</w:t>
      </w:r>
      <w:r>
        <w:rPr>
          <w:rStyle w:val="30"/>
          <w:rFonts w:hint="eastAsia" w:ascii="宋体" w:hAnsi="Times New Roman" w:eastAsia="宋体" w:cs="Times New Roman"/>
          <w:b w:val="0"/>
          <w:bCs w:val="0"/>
          <w:color w:val="auto"/>
          <w:sz w:val="21"/>
          <w:szCs w:val="20"/>
          <w:highlight w:val="none"/>
        </w:rPr>
        <w:t>可用于非法制造毒品的原料、配剂、试剂、溶剂</w:t>
      </w:r>
      <w:r>
        <w:rPr>
          <w:rFonts w:hint="eastAsia" w:ascii="宋体" w:hAnsi="Times New Roman" w:eastAsia="宋体" w:cs="Times New Roman"/>
          <w:color w:val="auto"/>
          <w:sz w:val="21"/>
          <w:szCs w:val="20"/>
          <w:highlight w:val="none"/>
        </w:rPr>
        <w:t>等化学物品（本身不是毒品，但为制毒关键物料）</w:t>
      </w:r>
      <w:r>
        <w:rPr>
          <w:rFonts w:hint="eastAsia" w:cs="Times New Roman"/>
          <w:color w:val="auto"/>
          <w:sz w:val="21"/>
          <w:szCs w:val="20"/>
          <w:highlight w:val="none"/>
          <w:lang w:eastAsia="zh-CN"/>
        </w:rPr>
        <w:t>。</w:t>
      </w:r>
    </w:p>
    <w:p w14:paraId="41565C88">
      <w:pPr>
        <w:pStyle w:val="225"/>
        <w:ind w:left="420" w:hanging="420" w:hangingChars="200"/>
        <w:rPr>
          <w:rFonts w:hint="eastAsia" w:ascii="黑体" w:hAnsi="黑体" w:eastAsia="黑体"/>
          <w:color w:val="auto"/>
          <w:highlight w:val="none"/>
        </w:rPr>
      </w:pPr>
      <w:r>
        <w:rPr>
          <w:rFonts w:hint="eastAsia" w:ascii="黑体" w:hAnsi="黑体" w:eastAsia="黑体"/>
          <w:color w:val="auto"/>
          <w:highlight w:val="none"/>
        </w:rPr>
        <w:t>易制爆危险化学品</w:t>
      </w:r>
      <w:r>
        <w:rPr>
          <w:rFonts w:hint="eastAsia" w:ascii="黑体" w:hAnsi="黑体" w:eastAsia="黑体" w:cs="Times New Roman"/>
          <w:b w:val="0"/>
          <w:bCs w:val="0"/>
          <w:i w:val="0"/>
          <w:iCs w:val="0"/>
          <w:caps w:val="0"/>
          <w:color w:val="auto"/>
          <w:spacing w:val="0"/>
          <w:sz w:val="21"/>
          <w:szCs w:val="20"/>
          <w:highlight w:val="none"/>
          <w:shd w:val="clear" w:fill="auto"/>
        </w:rPr>
        <w:t>Explosophoric and pyrophoric hazardous chemicals</w:t>
      </w:r>
    </w:p>
    <w:p w14:paraId="40D4A9D8">
      <w:pPr>
        <w:pStyle w:val="58"/>
        <w:ind w:left="0" w:firstLine="420" w:firstLineChars="0"/>
        <w:rPr>
          <w:rFonts w:hint="eastAsia" w:ascii="宋体" w:hAnsi="Times New Roman" w:eastAsia="宋体"/>
          <w:color w:val="auto"/>
          <w:highlight w:val="none"/>
        </w:rPr>
      </w:pPr>
      <w:r>
        <w:rPr>
          <w:rFonts w:hint="eastAsia" w:ascii="宋体" w:hAnsi="Times New Roman" w:eastAsia="宋体"/>
          <w:color w:val="auto"/>
          <w:highlight w:val="none"/>
        </w:rPr>
        <w:t>列入公安部确定、公布的易制爆危险化学品名录，可用于制造爆炸物品的化学品。</w:t>
      </w:r>
    </w:p>
    <w:p w14:paraId="55C94A20">
      <w:pPr>
        <w:pStyle w:val="225"/>
        <w:ind w:left="420" w:hanging="420" w:hangingChars="200"/>
        <w:rPr>
          <w:rFonts w:hint="eastAsia" w:ascii="黑体" w:hAnsi="黑体" w:eastAsia="黑体"/>
          <w:color w:val="auto"/>
          <w:highlight w:val="none"/>
        </w:rPr>
      </w:pPr>
      <w:r>
        <w:rPr>
          <w:rFonts w:hint="eastAsia" w:ascii="黑体" w:hAnsi="黑体" w:eastAsia="黑体"/>
          <w:color w:val="auto"/>
          <w:highlight w:val="none"/>
        </w:rPr>
        <w:t>危险废物  hazardous waste</w:t>
      </w:r>
    </w:p>
    <w:p w14:paraId="25D64BCA">
      <w:pPr>
        <w:pStyle w:val="58"/>
        <w:ind w:firstLine="420"/>
        <w:rPr>
          <w:rFonts w:hint="eastAsia"/>
          <w:color w:val="auto"/>
          <w:highlight w:val="none"/>
        </w:rPr>
      </w:pPr>
      <w:r>
        <w:rPr>
          <w:rFonts w:hint="eastAsia"/>
          <w:color w:val="auto"/>
          <w:highlight w:val="none"/>
        </w:rPr>
        <w:t>危险废物是指列入国家危险废物名录或者根据国家规定的危险废物鉴别标准和鉴别方法认定的具有危险特性的废物。</w:t>
      </w:r>
    </w:p>
    <w:p w14:paraId="262D85D1">
      <w:pPr>
        <w:pStyle w:val="58"/>
        <w:ind w:firstLine="420"/>
        <w:rPr>
          <w:color w:val="auto"/>
          <w:sz w:val="20"/>
          <w:szCs w:val="18"/>
          <w:highlight w:val="none"/>
        </w:rPr>
      </w:pPr>
      <w:r>
        <w:rPr>
          <w:rFonts w:hint="eastAsia"/>
          <w:color w:val="auto"/>
          <w:sz w:val="20"/>
          <w:szCs w:val="18"/>
          <w:highlight w:val="none"/>
          <w:lang w:val="en-US" w:eastAsia="zh-CN"/>
        </w:rPr>
        <w:t>注：本标准中所说危险废物是指</w:t>
      </w:r>
      <w:r>
        <w:rPr>
          <w:rFonts w:hint="eastAsia"/>
          <w:color w:val="auto"/>
          <w:sz w:val="20"/>
          <w:szCs w:val="18"/>
          <w:highlight w:val="none"/>
        </w:rPr>
        <w:t>实验室在</w:t>
      </w:r>
      <w:r>
        <w:rPr>
          <w:rFonts w:hint="eastAsia"/>
          <w:color w:val="auto"/>
          <w:sz w:val="20"/>
          <w:szCs w:val="18"/>
          <w:highlight w:val="none"/>
          <w:lang w:val="en-US" w:eastAsia="zh-CN"/>
        </w:rPr>
        <w:t>生态环境监测</w:t>
      </w:r>
      <w:r>
        <w:rPr>
          <w:rFonts w:hint="eastAsia"/>
          <w:color w:val="auto"/>
          <w:sz w:val="20"/>
          <w:szCs w:val="18"/>
          <w:highlight w:val="none"/>
        </w:rPr>
        <w:t>活动中产生的，列入国家危险废物名录，或者根据国家规定的危险废物鉴别标准和鉴别方法认定的，具有危险特性的废物，包括废液、废渣、过期试剂、受污染的耗材等。</w:t>
      </w:r>
    </w:p>
    <w:p w14:paraId="5752AAB6">
      <w:pPr>
        <w:pStyle w:val="225"/>
        <w:ind w:left="420" w:hanging="420" w:hangingChars="200"/>
        <w:rPr>
          <w:rFonts w:hint="eastAsia" w:ascii="黑体" w:hAnsi="黑体" w:eastAsia="黑体"/>
          <w:color w:val="auto"/>
          <w:highlight w:val="none"/>
        </w:rPr>
      </w:pPr>
      <w:r>
        <w:rPr>
          <w:rFonts w:hint="eastAsia" w:ascii="黑体" w:hAnsi="黑体" w:eastAsia="黑体"/>
          <w:color w:val="auto"/>
          <w:highlight w:val="none"/>
        </w:rPr>
        <w:t>非密封放射性物质  unsealed radioactive material</w:t>
      </w:r>
    </w:p>
    <w:p w14:paraId="33ABFA84">
      <w:pPr>
        <w:pStyle w:val="58"/>
        <w:ind w:firstLine="420"/>
        <w:rPr>
          <w:color w:val="auto"/>
          <w:highlight w:val="none"/>
        </w:rPr>
      </w:pPr>
      <w:r>
        <w:rPr>
          <w:rFonts w:hint="eastAsia"/>
          <w:color w:val="auto"/>
          <w:highlight w:val="none"/>
        </w:rPr>
        <w:t>非永久密封在包壳里，或未紧密固结在覆盖层里的放射性物质</w:t>
      </w:r>
      <w:r>
        <w:rPr>
          <w:rFonts w:hint="eastAsia"/>
          <w:color w:val="auto"/>
          <w:highlight w:val="none"/>
          <w:lang w:eastAsia="zh-CN"/>
        </w:rPr>
        <w:t>。</w:t>
      </w:r>
      <w:r>
        <w:rPr>
          <w:rFonts w:hint="eastAsia"/>
          <w:color w:val="auto"/>
          <w:highlight w:val="none"/>
          <w:lang w:val="en-US" w:eastAsia="zh-CN"/>
        </w:rPr>
        <w:t>生态环境监测活动中可能涉及的</w:t>
      </w:r>
      <w:r>
        <w:rPr>
          <w:rFonts w:hint="eastAsia"/>
          <w:color w:val="auto"/>
          <w:highlight w:val="none"/>
        </w:rPr>
        <w:t>放射性标准溶液、标记化合物等环境辐射检测用试剂。</w:t>
      </w:r>
    </w:p>
    <w:p w14:paraId="77EF0D61">
      <w:pPr>
        <w:pStyle w:val="106"/>
        <w:spacing w:before="240" w:after="240"/>
        <w:rPr>
          <w:color w:val="auto"/>
          <w:highlight w:val="none"/>
        </w:rPr>
      </w:pPr>
      <w:bookmarkStart w:id="61" w:name="_Toc30481"/>
      <w:bookmarkStart w:id="62" w:name="_Toc220311855"/>
      <w:bookmarkStart w:id="63" w:name="_Toc220314014"/>
      <w:bookmarkStart w:id="64" w:name="_Toc225206543"/>
      <w:bookmarkStart w:id="65" w:name="_Toc220313218"/>
      <w:r>
        <w:rPr>
          <w:rFonts w:hint="eastAsia"/>
          <w:color w:val="auto"/>
          <w:highlight w:val="none"/>
        </w:rPr>
        <w:t>总则</w:t>
      </w:r>
      <w:bookmarkEnd w:id="61"/>
      <w:bookmarkEnd w:id="62"/>
      <w:bookmarkEnd w:id="63"/>
      <w:bookmarkEnd w:id="64"/>
      <w:bookmarkEnd w:id="65"/>
    </w:p>
    <w:p w14:paraId="032E27B8">
      <w:pPr>
        <w:pStyle w:val="164"/>
        <w:rPr>
          <w:color w:val="auto"/>
          <w:highlight w:val="none"/>
        </w:rPr>
      </w:pPr>
      <w:bookmarkStart w:id="66" w:name="_Toc220311856"/>
      <w:bookmarkStart w:id="67" w:name="_Toc220313219"/>
      <w:bookmarkStart w:id="68" w:name="_Toc220314015"/>
      <w:r>
        <w:rPr>
          <w:rFonts w:hint="eastAsia"/>
          <w:color w:val="auto"/>
          <w:highlight w:val="none"/>
        </w:rPr>
        <w:t>实验室安全管理应遵循“安全第一、预防为主、综合治理、全员有责”的原则，建立全流程、全方位的安全管理体系，保障人员生命安全、财产安全、环境安全及数据信息安全。</w:t>
      </w:r>
    </w:p>
    <w:p w14:paraId="1CB66389">
      <w:pPr>
        <w:pStyle w:val="164"/>
        <w:rPr>
          <w:color w:val="auto"/>
          <w:highlight w:val="none"/>
        </w:rPr>
      </w:pPr>
      <w:r>
        <w:rPr>
          <w:rFonts w:hint="eastAsia"/>
          <w:color w:val="auto"/>
          <w:highlight w:val="none"/>
        </w:rPr>
        <w:t>实验室应结合业务范围、风险特性，制定差异化安全管理措施，重点管控化学试剂使用、高温高压仪器操作、样品前处理、辐射检测操作、废气废水排放等风险点。</w:t>
      </w:r>
    </w:p>
    <w:p w14:paraId="1C154043">
      <w:pPr>
        <w:pStyle w:val="164"/>
        <w:rPr>
          <w:color w:val="auto"/>
          <w:highlight w:val="none"/>
        </w:rPr>
      </w:pPr>
      <w:r>
        <w:rPr>
          <w:rFonts w:hint="eastAsia"/>
          <w:color w:val="auto"/>
          <w:highlight w:val="none"/>
        </w:rPr>
        <w:t>实验室应具备与检测能力相匹配的安全设施、设备及防护用品，定期开展安全培训、应急演练，提升全员安全意识和应急处置能力。</w:t>
      </w:r>
    </w:p>
    <w:p w14:paraId="764F0B60">
      <w:pPr>
        <w:pStyle w:val="164"/>
        <w:rPr>
          <w:color w:val="auto"/>
          <w:highlight w:val="none"/>
        </w:rPr>
      </w:pPr>
      <w:r>
        <w:rPr>
          <w:rFonts w:hint="eastAsia"/>
          <w:color w:val="auto"/>
          <w:highlight w:val="none"/>
        </w:rPr>
        <w:t>实验室安全管理应符合国家生态环境保护、安全生产、消防安全、辐射安全、网络安全等法律法规及相关标准要求，严禁违规操作、超范围开展检测活动。</w:t>
      </w:r>
    </w:p>
    <w:p w14:paraId="0CED08ED">
      <w:pPr>
        <w:pStyle w:val="164"/>
        <w:rPr>
          <w:color w:val="auto"/>
          <w:highlight w:val="none"/>
        </w:rPr>
      </w:pPr>
      <w:r>
        <w:rPr>
          <w:rFonts w:hint="eastAsia"/>
          <w:color w:val="auto"/>
          <w:highlight w:val="none"/>
        </w:rPr>
        <w:t>鼓励实验室采用信息化、数字化技术提升安全管理效率，有条件的实验室可建设全数字化智能安全管控系统，实现风险动态监测、数据可追溯、全流程智能预警。</w:t>
      </w:r>
    </w:p>
    <w:p w14:paraId="7AE081F9">
      <w:pPr>
        <w:pStyle w:val="106"/>
        <w:spacing w:before="240" w:after="240"/>
        <w:rPr>
          <w:color w:val="auto"/>
          <w:highlight w:val="none"/>
        </w:rPr>
      </w:pPr>
      <w:bookmarkStart w:id="69" w:name="_Toc225206544"/>
      <w:bookmarkStart w:id="70" w:name="_Toc32732"/>
      <w:r>
        <w:rPr>
          <w:rFonts w:hint="eastAsia"/>
          <w:color w:val="auto"/>
          <w:highlight w:val="none"/>
        </w:rPr>
        <w:t>安全管理体系</w:t>
      </w:r>
      <w:bookmarkEnd w:id="66"/>
      <w:bookmarkEnd w:id="67"/>
      <w:bookmarkEnd w:id="68"/>
      <w:bookmarkEnd w:id="69"/>
      <w:bookmarkEnd w:id="70"/>
    </w:p>
    <w:p w14:paraId="11E73142">
      <w:pPr>
        <w:pStyle w:val="107"/>
        <w:spacing w:before="120" w:after="120"/>
        <w:rPr>
          <w:color w:val="auto"/>
          <w:highlight w:val="none"/>
        </w:rPr>
      </w:pPr>
      <w:bookmarkStart w:id="71" w:name="_Toc225206545"/>
      <w:bookmarkStart w:id="72" w:name="_Toc17617"/>
      <w:bookmarkStart w:id="73" w:name="_Toc220314016"/>
      <w:bookmarkStart w:id="74" w:name="_Toc220311857"/>
      <w:bookmarkStart w:id="75" w:name="_Toc220313220"/>
      <w:r>
        <w:rPr>
          <w:rFonts w:hint="eastAsia"/>
          <w:color w:val="auto"/>
          <w:highlight w:val="none"/>
        </w:rPr>
        <w:t>组织架构与职责</w:t>
      </w:r>
      <w:bookmarkEnd w:id="71"/>
      <w:bookmarkEnd w:id="72"/>
      <w:bookmarkEnd w:id="73"/>
      <w:bookmarkEnd w:id="74"/>
      <w:bookmarkEnd w:id="75"/>
    </w:p>
    <w:p w14:paraId="6105A696">
      <w:pPr>
        <w:pStyle w:val="167"/>
        <w:rPr>
          <w:color w:val="auto"/>
          <w:highlight w:val="none"/>
        </w:rPr>
      </w:pPr>
      <w:bookmarkStart w:id="76" w:name="_Toc220313221"/>
      <w:bookmarkStart w:id="77" w:name="_Toc220314017"/>
      <w:bookmarkStart w:id="78" w:name="_Toc220311858"/>
      <w:r>
        <w:rPr>
          <w:rFonts w:hint="eastAsia"/>
          <w:color w:val="auto"/>
          <w:highlight w:val="none"/>
        </w:rPr>
        <w:t>实验室应建立明确的安全管理组织架构，设立安全管理领导小组，由实验室负责人担任组长，配备专职或兼职安全管理员，各检测岗位明确安全责任人，形成“全员参与、层层落实”的安全责任体系。开展放射性检测的实验室应设置辐射安全管理小组，配备专职辐射防护管理员。</w:t>
      </w:r>
    </w:p>
    <w:p w14:paraId="30D4A9AD">
      <w:pPr>
        <w:pStyle w:val="167"/>
        <w:rPr>
          <w:color w:val="auto"/>
          <w:highlight w:val="none"/>
        </w:rPr>
      </w:pPr>
      <w:r>
        <w:rPr>
          <w:rFonts w:hint="eastAsia"/>
          <w:color w:val="auto"/>
          <w:highlight w:val="none"/>
        </w:rPr>
        <w:t>安全管理领导小组负责审定安全管理制度、应急预案，审批安全投入计划，组织安全检查、培训及应急演练，协调处理重大安全问题。</w:t>
      </w:r>
    </w:p>
    <w:p w14:paraId="697E1BE0">
      <w:pPr>
        <w:pStyle w:val="167"/>
        <w:rPr>
          <w:color w:val="auto"/>
          <w:highlight w:val="none"/>
        </w:rPr>
      </w:pPr>
      <w:r>
        <w:rPr>
          <w:rFonts w:hint="eastAsia"/>
          <w:color w:val="auto"/>
          <w:highlight w:val="none"/>
        </w:rPr>
        <w:t>安全管理员负责制定安全管理制度及操作规程，开展日常安全巡查，督促隐患整改，组织安全培训及考核，管理安全档案，上报安全事故及隐患。</w:t>
      </w:r>
    </w:p>
    <w:p w14:paraId="10135659">
      <w:pPr>
        <w:pStyle w:val="167"/>
        <w:rPr>
          <w:color w:val="auto"/>
          <w:highlight w:val="none"/>
        </w:rPr>
      </w:pPr>
      <w:r>
        <w:rPr>
          <w:rFonts w:hint="eastAsia"/>
          <w:color w:val="auto"/>
          <w:highlight w:val="none"/>
        </w:rPr>
        <w:t>检测人员应严格遵守安全操作规程，正确使用安全设施及防护用品，排查岗位安全隐患，发现安全问题及时报告，参与应急处置及安全培训。</w:t>
      </w:r>
    </w:p>
    <w:p w14:paraId="1E218D20">
      <w:pPr>
        <w:pStyle w:val="107"/>
        <w:spacing w:before="120" w:after="120"/>
        <w:rPr>
          <w:color w:val="auto"/>
          <w:highlight w:val="none"/>
        </w:rPr>
      </w:pPr>
      <w:bookmarkStart w:id="79" w:name="_Toc12260"/>
      <w:bookmarkStart w:id="80" w:name="_Toc225206546"/>
      <w:r>
        <w:rPr>
          <w:rFonts w:hint="eastAsia"/>
          <w:color w:val="auto"/>
          <w:highlight w:val="none"/>
        </w:rPr>
        <w:t>制度与文件管理</w:t>
      </w:r>
      <w:bookmarkEnd w:id="76"/>
      <w:bookmarkEnd w:id="77"/>
      <w:bookmarkEnd w:id="78"/>
      <w:bookmarkEnd w:id="79"/>
      <w:bookmarkEnd w:id="80"/>
    </w:p>
    <w:p w14:paraId="082FB87B">
      <w:pPr>
        <w:pStyle w:val="167"/>
        <w:rPr>
          <w:color w:val="auto"/>
          <w:highlight w:val="none"/>
        </w:rPr>
      </w:pPr>
      <w:r>
        <w:rPr>
          <w:rFonts w:hint="eastAsia"/>
          <w:color w:val="auto"/>
          <w:highlight w:val="none"/>
        </w:rPr>
        <w:t>实验室应制定完善的安全管理制度，至少包括：安全管理总则、危险化学品管理、危险废物全流程管理制度、仪器设备安全、样品管理、操作安全、应急管理、安全培训、安全检查、隐患整改、</w:t>
      </w:r>
      <w:r>
        <w:rPr>
          <w:rFonts w:hint="eastAsia"/>
          <w:color w:val="auto"/>
          <w:highlight w:val="none"/>
          <w:lang w:eastAsia="zh-CN"/>
        </w:rPr>
        <w:t>外部</w:t>
      </w:r>
      <w:r>
        <w:rPr>
          <w:rFonts w:hint="eastAsia"/>
          <w:color w:val="auto"/>
          <w:highlight w:val="none"/>
        </w:rPr>
        <w:t>人员管理制度、辐射安全管理制度、数据与信息安全管理制度、废弃物处置等制度。</w:t>
      </w:r>
    </w:p>
    <w:p w14:paraId="29C4EE79">
      <w:pPr>
        <w:pStyle w:val="167"/>
        <w:rPr>
          <w:color w:val="auto"/>
          <w:highlight w:val="none"/>
        </w:rPr>
      </w:pPr>
      <w:r>
        <w:rPr>
          <w:rFonts w:hint="eastAsia"/>
          <w:color w:val="auto"/>
          <w:highlight w:val="none"/>
        </w:rPr>
        <w:t>针对高风险操作（微波消解、高温灰化、剧毒试剂使用、微生物检测、放射性检测操作等），应制定专项安全操作规程，明确操作步骤、安全注意事项、应急措施。</w:t>
      </w:r>
    </w:p>
    <w:p w14:paraId="47DD04B2">
      <w:pPr>
        <w:pStyle w:val="167"/>
        <w:rPr>
          <w:color w:val="auto"/>
          <w:highlight w:val="none"/>
        </w:rPr>
      </w:pPr>
      <w:r>
        <w:rPr>
          <w:rFonts w:hint="eastAsia"/>
          <w:color w:val="auto"/>
          <w:highlight w:val="none"/>
          <w:lang w:val="en-US" w:eastAsia="zh-CN"/>
        </w:rPr>
        <w:t>实验室危险化学品须全生命周期管理，全员安全责任制，专用储存、分类存放，台账清晰可溯，严禁违规使用。建立</w:t>
      </w:r>
      <w:r>
        <w:rPr>
          <w:color w:val="auto"/>
          <w:highlight w:val="none"/>
        </w:rPr>
        <w:t>易制毒（易制爆）化学品</w:t>
      </w:r>
      <w:r>
        <w:rPr>
          <w:rFonts w:hint="eastAsia"/>
          <w:color w:val="auto"/>
          <w:highlight w:val="none"/>
          <w:lang w:val="en-US" w:eastAsia="zh-CN"/>
        </w:rPr>
        <w:t>的管理制度，全流程落实双人保管、双人领取、双人使用、双把锁、双本账，领用时必须双人同时到场签字登记，台账需清晰记录流向。使用“双人双锁”的同时，储存场所严格按照国家要求视频监控等设施</w:t>
      </w:r>
      <w:r>
        <w:rPr>
          <w:rFonts w:hint="eastAsia"/>
          <w:color w:val="auto"/>
          <w:highlight w:val="none"/>
          <w:lang w:eastAsia="zh-CN"/>
        </w:rPr>
        <w:t>。</w:t>
      </w:r>
    </w:p>
    <w:p w14:paraId="02FD5CBF">
      <w:pPr>
        <w:pStyle w:val="167"/>
        <w:rPr>
          <w:color w:val="auto"/>
          <w:highlight w:val="none"/>
        </w:rPr>
      </w:pPr>
      <w:r>
        <w:rPr>
          <w:rFonts w:hint="eastAsia"/>
          <w:color w:val="auto"/>
          <w:highlight w:val="none"/>
        </w:rPr>
        <w:t>安全文件应统一编号、归档管理，建立全介质安全档案，包括安全管理制度、操作规程、培训记录、应急演练记录、安全检查记录、隐患整改记录、事故处理记录、设备安全档案等，档案保存期限</w:t>
      </w:r>
      <w:r>
        <w:rPr>
          <w:rFonts w:hint="eastAsia"/>
          <w:color w:val="auto"/>
          <w:highlight w:val="none"/>
          <w:lang w:val="en-US" w:eastAsia="zh-CN"/>
        </w:rPr>
        <w:t>满足国家规定要求</w:t>
      </w:r>
      <w:r>
        <w:rPr>
          <w:rFonts w:hint="eastAsia"/>
          <w:color w:val="auto"/>
          <w:highlight w:val="none"/>
        </w:rPr>
        <w:t>。</w:t>
      </w:r>
    </w:p>
    <w:p w14:paraId="4CDBB51F">
      <w:pPr>
        <w:pStyle w:val="167"/>
        <w:rPr>
          <w:color w:val="auto"/>
          <w:highlight w:val="none"/>
        </w:rPr>
      </w:pPr>
      <w:r>
        <w:rPr>
          <w:rFonts w:hint="eastAsia"/>
          <w:color w:val="auto"/>
          <w:highlight w:val="none"/>
        </w:rPr>
        <w:t>安全文件应根据法律法规、标准更新及实验室业务变化，及时修订完善，修订后应组织全员培训学习。</w:t>
      </w:r>
    </w:p>
    <w:p w14:paraId="23C046C6">
      <w:pPr>
        <w:pStyle w:val="107"/>
        <w:spacing w:before="120" w:after="120"/>
        <w:rPr>
          <w:color w:val="auto"/>
          <w:highlight w:val="none"/>
        </w:rPr>
      </w:pPr>
      <w:bookmarkStart w:id="81" w:name="_Toc30985"/>
      <w:bookmarkStart w:id="82" w:name="_Toc220313222"/>
      <w:bookmarkStart w:id="83" w:name="_Toc225206547"/>
      <w:bookmarkStart w:id="84" w:name="_Toc220314018"/>
      <w:bookmarkStart w:id="85" w:name="_Toc220311859"/>
      <w:r>
        <w:rPr>
          <w:rFonts w:hint="eastAsia"/>
          <w:color w:val="auto"/>
          <w:highlight w:val="none"/>
        </w:rPr>
        <w:t>培训与考核</w:t>
      </w:r>
      <w:bookmarkEnd w:id="81"/>
      <w:bookmarkEnd w:id="82"/>
      <w:bookmarkEnd w:id="83"/>
      <w:bookmarkEnd w:id="84"/>
      <w:bookmarkEnd w:id="85"/>
    </w:p>
    <w:p w14:paraId="640D9825">
      <w:pPr>
        <w:pStyle w:val="167"/>
        <w:rPr>
          <w:color w:val="auto"/>
          <w:highlight w:val="none"/>
        </w:rPr>
      </w:pPr>
      <w:r>
        <w:rPr>
          <w:rFonts w:hint="eastAsia"/>
          <w:color w:val="auto"/>
          <w:highlight w:val="none"/>
        </w:rPr>
        <w:t>实验室应建立安全培训制度，对新入职人员开展岗前安全培训，对在岗人员开展定期安全培训及专项培训，培训内容包括安全制度、操作规程、风险识别、应急处置、防护用品使用、辐射防护与安全、信息安全管理等。</w:t>
      </w:r>
    </w:p>
    <w:p w14:paraId="7892B927">
      <w:pPr>
        <w:pStyle w:val="167"/>
        <w:rPr>
          <w:color w:val="auto"/>
          <w:highlight w:val="none"/>
        </w:rPr>
      </w:pPr>
      <w:r>
        <w:rPr>
          <w:rFonts w:hint="eastAsia"/>
          <w:color w:val="auto"/>
          <w:highlight w:val="none"/>
        </w:rPr>
        <w:t>岗前培训时长不应少于16学时，经理论考核及实操考核合格后方可独立上岗；在岗人员定期培训每年不少于8学时，专项培训应在开展相关工作前完成。从事放射性检测的人员，需经辐射安全与防护专项培训考核合格，持证上岗。</w:t>
      </w:r>
    </w:p>
    <w:p w14:paraId="2FD5F4B8">
      <w:pPr>
        <w:pStyle w:val="167"/>
        <w:rPr>
          <w:color w:val="auto"/>
          <w:highlight w:val="none"/>
        </w:rPr>
      </w:pPr>
      <w:r>
        <w:rPr>
          <w:rFonts w:hint="eastAsia"/>
          <w:color w:val="auto"/>
          <w:highlight w:val="none"/>
        </w:rPr>
        <w:t>培训应留存记录，包括培训计划、课件、签到表、考核成绩等，建立培训档案，确保培训可追溯。</w:t>
      </w:r>
    </w:p>
    <w:p w14:paraId="6CC22803">
      <w:pPr>
        <w:pStyle w:val="167"/>
        <w:rPr>
          <w:color w:val="auto"/>
          <w:highlight w:val="none"/>
        </w:rPr>
      </w:pPr>
      <w:r>
        <w:rPr>
          <w:rFonts w:hint="eastAsia"/>
          <w:color w:val="auto"/>
          <w:highlight w:val="none"/>
        </w:rPr>
        <w:t>实验室应建立安全考核机制，将安全表现纳入员工绩效考核，对考核不合格者暂停上岗，经复训考核合格后方可恢复工作。</w:t>
      </w:r>
    </w:p>
    <w:p w14:paraId="6F85EE07">
      <w:pPr>
        <w:pStyle w:val="107"/>
        <w:spacing w:before="120" w:after="120"/>
        <w:rPr>
          <w:color w:val="auto"/>
          <w:highlight w:val="none"/>
        </w:rPr>
      </w:pPr>
      <w:bookmarkStart w:id="86" w:name="_Toc220313223"/>
      <w:bookmarkStart w:id="87" w:name="_Toc5613"/>
      <w:bookmarkStart w:id="88" w:name="_Toc220314019"/>
      <w:bookmarkStart w:id="89" w:name="_Toc220311860"/>
      <w:bookmarkStart w:id="90" w:name="_Toc225206548"/>
      <w:r>
        <w:rPr>
          <w:rFonts w:hint="eastAsia"/>
          <w:color w:val="auto"/>
          <w:highlight w:val="none"/>
        </w:rPr>
        <w:t>风险分级管控</w:t>
      </w:r>
      <w:bookmarkEnd w:id="86"/>
      <w:bookmarkEnd w:id="87"/>
      <w:bookmarkEnd w:id="88"/>
      <w:bookmarkEnd w:id="89"/>
      <w:bookmarkEnd w:id="90"/>
    </w:p>
    <w:p w14:paraId="34140BFC">
      <w:pPr>
        <w:pStyle w:val="167"/>
        <w:rPr>
          <w:color w:val="auto"/>
          <w:highlight w:val="none"/>
        </w:rPr>
      </w:pPr>
      <w:r>
        <w:rPr>
          <w:rFonts w:hint="eastAsia"/>
          <w:color w:val="auto"/>
          <w:highlight w:val="none"/>
        </w:rPr>
        <w:t>实验室应定期开展安全风险识别，覆盖环境检测实验室内部全流程（样品交接、储存、前处理、分析测试、废弃物处置），识别风险因素包括化学、电气、机械、高温、高压、生物、火灾、爆炸、辐射、数据安全等。仪器设备维修（含重大零部件更换、参数调整、功能升级等）完成后，应组织安全管理员、设备操作人员、维修技术人员共同开展专项安全评估。</w:t>
      </w:r>
    </w:p>
    <w:p w14:paraId="001C828A">
      <w:pPr>
        <w:pStyle w:val="167"/>
        <w:rPr>
          <w:color w:val="auto"/>
          <w:highlight w:val="none"/>
        </w:rPr>
      </w:pPr>
      <w:r>
        <w:rPr>
          <w:rFonts w:hint="eastAsia"/>
          <w:color w:val="auto"/>
          <w:highlight w:val="none"/>
        </w:rPr>
        <w:t>采用风险矩阵法</w:t>
      </w:r>
      <w:r>
        <w:rPr>
          <w:rFonts w:hint="eastAsia"/>
          <w:color w:val="auto"/>
          <w:highlight w:val="none"/>
          <w:lang w:eastAsia="zh-CN"/>
        </w:rPr>
        <w:t>（</w:t>
      </w:r>
      <w:r>
        <w:rPr>
          <w:rFonts w:hint="eastAsia"/>
          <w:color w:val="auto"/>
          <w:highlight w:val="none"/>
          <w:lang w:val="en-US" w:eastAsia="zh-CN"/>
        </w:rPr>
        <w:t>表1</w:t>
      </w:r>
      <w:r>
        <w:rPr>
          <w:rFonts w:hint="eastAsia"/>
          <w:color w:val="auto"/>
          <w:highlight w:val="none"/>
          <w:lang w:eastAsia="zh-CN"/>
        </w:rPr>
        <w:t>）</w:t>
      </w:r>
      <w:r>
        <w:rPr>
          <w:rFonts w:hint="eastAsia"/>
          <w:color w:val="auto"/>
          <w:highlight w:val="none"/>
        </w:rPr>
        <w:t>对识别的风险进行评估，划分高、中、低三个风险等级，制定风险分级管控清单，明确管控责任人、管控措施及管控频次。实验室应建立未知样品接收预评估机制。对于来源不明、性状异常或疑似含有剧毒、易爆成分的样品，接收前应要求委托方提供详细信息或进行小样预判，确认安全风险后方可入库，严禁盲目接收和分析。</w:t>
      </w:r>
    </w:p>
    <w:p w14:paraId="619CA7A8">
      <w:pPr>
        <w:pStyle w:val="114"/>
        <w:spacing w:before="120" w:after="120"/>
        <w:rPr>
          <w:color w:val="auto"/>
          <w:highlight w:val="none"/>
        </w:rPr>
      </w:pPr>
      <w:r>
        <w:rPr>
          <w:rFonts w:hint="eastAsia"/>
          <w:color w:val="auto"/>
          <w:highlight w:val="none"/>
        </w:rPr>
        <w:t>风险等级划分矩阵</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85" w:type="dxa"/>
          <w:bottom w:w="0" w:type="dxa"/>
          <w:right w:w="85" w:type="dxa"/>
        </w:tblCellMar>
      </w:tblPr>
      <w:tblGrid>
        <w:gridCol w:w="867"/>
        <w:gridCol w:w="1406"/>
        <w:gridCol w:w="1807"/>
        <w:gridCol w:w="1359"/>
        <w:gridCol w:w="1359"/>
        <w:gridCol w:w="1360"/>
        <w:gridCol w:w="1364"/>
      </w:tblGrid>
      <w:tr w14:paraId="1350B8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blHeader/>
          <w:jc w:val="center"/>
        </w:trPr>
        <w:tc>
          <w:tcPr>
            <w:tcW w:w="2273" w:type="dxa"/>
            <w:gridSpan w:val="2"/>
            <w:vMerge w:val="restart"/>
            <w:tcBorders>
              <w:top w:val="single" w:color="auto" w:sz="8" w:space="0"/>
            </w:tcBorders>
            <w:vAlign w:val="center"/>
          </w:tcPr>
          <w:p w14:paraId="744DD7B6">
            <w:pPr>
              <w:pStyle w:val="180"/>
              <w:rPr>
                <w:rFonts w:hint="default" w:eastAsia="宋体"/>
                <w:color w:val="auto"/>
                <w:highlight w:val="none"/>
                <w:lang w:val="en-US" w:eastAsia="zh-CN"/>
              </w:rPr>
            </w:pPr>
            <w:r>
              <w:rPr>
                <w:rFonts w:hint="eastAsia"/>
                <w:color w:val="auto"/>
                <w:highlight w:val="none"/>
                <w:lang w:val="en-US" w:eastAsia="zh-CN"/>
              </w:rPr>
              <w:t>风险等级</w:t>
            </w:r>
          </w:p>
        </w:tc>
        <w:tc>
          <w:tcPr>
            <w:tcW w:w="7249" w:type="dxa"/>
            <w:gridSpan w:val="5"/>
            <w:tcBorders>
              <w:top w:val="single" w:color="auto" w:sz="8" w:space="0"/>
              <w:bottom w:val="single" w:color="auto" w:sz="8" w:space="0"/>
            </w:tcBorders>
            <w:vAlign w:val="center"/>
          </w:tcPr>
          <w:p w14:paraId="30D916E9">
            <w:pPr>
              <w:pStyle w:val="180"/>
              <w:rPr>
                <w:rFonts w:hint="default" w:eastAsia="宋体"/>
                <w:color w:val="auto"/>
                <w:highlight w:val="none"/>
                <w:lang w:val="en-US" w:eastAsia="zh-CN"/>
              </w:rPr>
            </w:pPr>
            <w:r>
              <w:rPr>
                <w:rFonts w:hint="eastAsia"/>
                <w:color w:val="auto"/>
                <w:highlight w:val="none"/>
                <w:lang w:val="en-US" w:eastAsia="zh-CN"/>
              </w:rPr>
              <w:t>风险发生导致</w:t>
            </w:r>
            <w:r>
              <w:rPr>
                <w:rFonts w:hint="eastAsia"/>
                <w:color w:val="auto"/>
                <w:highlight w:val="none"/>
              </w:rPr>
              <w:t>后果</w:t>
            </w:r>
            <w:r>
              <w:rPr>
                <w:rFonts w:hint="eastAsia"/>
                <w:color w:val="auto"/>
                <w:highlight w:val="none"/>
                <w:lang w:val="en-US" w:eastAsia="zh-CN"/>
              </w:rPr>
              <w:t>的严重程度</w:t>
            </w:r>
          </w:p>
        </w:tc>
      </w:tr>
      <w:tr w14:paraId="3743EC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blHeader/>
          <w:jc w:val="center"/>
        </w:trPr>
        <w:tc>
          <w:tcPr>
            <w:tcW w:w="2273" w:type="dxa"/>
            <w:gridSpan w:val="2"/>
            <w:vMerge w:val="continue"/>
            <w:tcBorders>
              <w:bottom w:val="single" w:color="auto" w:sz="8" w:space="0"/>
            </w:tcBorders>
            <w:vAlign w:val="center"/>
          </w:tcPr>
          <w:p w14:paraId="608272E6">
            <w:pPr>
              <w:pStyle w:val="180"/>
              <w:rPr>
                <w:rFonts w:hint="eastAsia"/>
                <w:color w:val="auto"/>
                <w:highlight w:val="none"/>
              </w:rPr>
            </w:pPr>
          </w:p>
        </w:tc>
        <w:tc>
          <w:tcPr>
            <w:tcW w:w="1807" w:type="dxa"/>
            <w:tcBorders>
              <w:top w:val="single" w:color="auto" w:sz="8" w:space="0"/>
              <w:bottom w:val="single" w:color="auto" w:sz="8" w:space="0"/>
            </w:tcBorders>
            <w:shd w:val="clear" w:color="auto" w:fill="auto"/>
            <w:vAlign w:val="center"/>
          </w:tcPr>
          <w:p w14:paraId="66220944">
            <w:pPr>
              <w:pStyle w:val="180"/>
              <w:ind w:firstLine="0" w:firstLineChars="0"/>
              <w:rPr>
                <w:rFonts w:hint="eastAsia" w:ascii="宋体" w:hAnsi="Times New Roman" w:eastAsia="宋体" w:cs="Times New Roman"/>
                <w:color w:val="auto"/>
                <w:sz w:val="18"/>
                <w:highlight w:val="none"/>
                <w:lang w:val="en-US" w:eastAsia="zh-CN" w:bidi="ar-SA"/>
              </w:rPr>
            </w:pPr>
            <w:r>
              <w:rPr>
                <w:rFonts w:hint="eastAsia"/>
                <w:color w:val="auto"/>
                <w:highlight w:val="none"/>
              </w:rPr>
              <w:t>1（轻微）</w:t>
            </w:r>
          </w:p>
        </w:tc>
        <w:tc>
          <w:tcPr>
            <w:tcW w:w="1359" w:type="dxa"/>
            <w:tcBorders>
              <w:top w:val="single" w:color="auto" w:sz="8" w:space="0"/>
              <w:bottom w:val="single" w:color="auto" w:sz="8" w:space="0"/>
            </w:tcBorders>
            <w:shd w:val="clear" w:color="auto" w:fill="auto"/>
            <w:vAlign w:val="center"/>
          </w:tcPr>
          <w:p w14:paraId="49871259">
            <w:pPr>
              <w:pStyle w:val="180"/>
              <w:ind w:firstLine="0" w:firstLineChars="0"/>
              <w:rPr>
                <w:rFonts w:hint="eastAsia" w:ascii="宋体" w:hAnsi="Times New Roman" w:eastAsia="宋体" w:cs="Times New Roman"/>
                <w:color w:val="auto"/>
                <w:sz w:val="18"/>
                <w:highlight w:val="none"/>
                <w:lang w:val="en-US" w:eastAsia="zh-CN" w:bidi="ar-SA"/>
              </w:rPr>
            </w:pPr>
            <w:r>
              <w:rPr>
                <w:rFonts w:hint="eastAsia"/>
                <w:color w:val="auto"/>
                <w:highlight w:val="none"/>
              </w:rPr>
              <w:t>2（一般）</w:t>
            </w:r>
          </w:p>
        </w:tc>
        <w:tc>
          <w:tcPr>
            <w:tcW w:w="1359" w:type="dxa"/>
            <w:tcBorders>
              <w:top w:val="single" w:color="auto" w:sz="8" w:space="0"/>
              <w:bottom w:val="single" w:color="auto" w:sz="8" w:space="0"/>
            </w:tcBorders>
            <w:shd w:val="clear" w:color="auto" w:fill="auto"/>
            <w:vAlign w:val="center"/>
          </w:tcPr>
          <w:p w14:paraId="47C4679A">
            <w:pPr>
              <w:pStyle w:val="180"/>
              <w:ind w:firstLine="0" w:firstLineChars="0"/>
              <w:rPr>
                <w:rFonts w:hint="eastAsia" w:ascii="宋体" w:hAnsi="Times New Roman" w:eastAsia="宋体" w:cs="Times New Roman"/>
                <w:color w:val="auto"/>
                <w:sz w:val="18"/>
                <w:highlight w:val="none"/>
                <w:lang w:val="en-US" w:eastAsia="zh-CN" w:bidi="ar-SA"/>
              </w:rPr>
            </w:pPr>
            <w:r>
              <w:rPr>
                <w:rFonts w:hint="eastAsia"/>
                <w:color w:val="auto"/>
                <w:highlight w:val="none"/>
              </w:rPr>
              <w:t>3（较重）</w:t>
            </w:r>
          </w:p>
        </w:tc>
        <w:tc>
          <w:tcPr>
            <w:tcW w:w="1360" w:type="dxa"/>
            <w:tcBorders>
              <w:top w:val="single" w:color="auto" w:sz="8" w:space="0"/>
              <w:bottom w:val="single" w:color="auto" w:sz="8" w:space="0"/>
            </w:tcBorders>
            <w:shd w:val="clear" w:color="auto" w:fill="auto"/>
            <w:vAlign w:val="center"/>
          </w:tcPr>
          <w:p w14:paraId="4A538847">
            <w:pPr>
              <w:pStyle w:val="180"/>
              <w:ind w:firstLine="0" w:firstLineChars="0"/>
              <w:rPr>
                <w:rFonts w:hint="eastAsia" w:ascii="宋体" w:hAnsi="Times New Roman" w:eastAsia="宋体" w:cs="Times New Roman"/>
                <w:color w:val="auto"/>
                <w:sz w:val="18"/>
                <w:highlight w:val="none"/>
                <w:lang w:val="en-US" w:eastAsia="zh-CN" w:bidi="ar-SA"/>
              </w:rPr>
            </w:pPr>
            <w:r>
              <w:rPr>
                <w:rFonts w:hint="eastAsia"/>
                <w:color w:val="auto"/>
                <w:highlight w:val="none"/>
              </w:rPr>
              <w:t>4（严重）</w:t>
            </w:r>
          </w:p>
        </w:tc>
        <w:tc>
          <w:tcPr>
            <w:tcW w:w="1364" w:type="dxa"/>
            <w:tcBorders>
              <w:top w:val="single" w:color="auto" w:sz="8" w:space="0"/>
              <w:bottom w:val="single" w:color="auto" w:sz="8" w:space="0"/>
            </w:tcBorders>
            <w:shd w:val="clear" w:color="auto" w:fill="auto"/>
            <w:vAlign w:val="center"/>
          </w:tcPr>
          <w:p w14:paraId="4BBAE106">
            <w:pPr>
              <w:pStyle w:val="180"/>
              <w:ind w:firstLine="0" w:firstLineChars="0"/>
              <w:rPr>
                <w:rFonts w:hint="eastAsia" w:ascii="宋体" w:hAnsi="Times New Roman" w:eastAsia="宋体" w:cs="Times New Roman"/>
                <w:color w:val="auto"/>
                <w:sz w:val="18"/>
                <w:highlight w:val="none"/>
                <w:lang w:val="en-US" w:eastAsia="zh-CN" w:bidi="ar-SA"/>
              </w:rPr>
            </w:pPr>
            <w:r>
              <w:rPr>
                <w:rFonts w:hint="eastAsia"/>
                <w:color w:val="auto"/>
                <w:highlight w:val="none"/>
              </w:rPr>
              <w:t>5（灾难性）</w:t>
            </w:r>
          </w:p>
        </w:tc>
      </w:tr>
      <w:tr w14:paraId="7F212E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867" w:type="dxa"/>
            <w:vMerge w:val="restart"/>
            <w:tcBorders>
              <w:top w:val="single" w:color="auto" w:sz="8" w:space="0"/>
            </w:tcBorders>
            <w:vAlign w:val="center"/>
          </w:tcPr>
          <w:p w14:paraId="431FCB2B">
            <w:pPr>
              <w:pStyle w:val="180"/>
              <w:rPr>
                <w:rFonts w:hint="eastAsia"/>
                <w:color w:val="auto"/>
                <w:highlight w:val="none"/>
              </w:rPr>
            </w:pPr>
            <w:r>
              <w:rPr>
                <w:rFonts w:hint="eastAsia"/>
                <w:color w:val="auto"/>
                <w:highlight w:val="none"/>
                <w:lang w:val="en-US" w:eastAsia="zh-CN"/>
              </w:rPr>
              <w:t>风险发生的</w:t>
            </w:r>
            <w:r>
              <w:rPr>
                <w:rFonts w:hint="eastAsia"/>
                <w:color w:val="auto"/>
                <w:highlight w:val="none"/>
              </w:rPr>
              <w:t>可能性</w:t>
            </w:r>
          </w:p>
        </w:tc>
        <w:tc>
          <w:tcPr>
            <w:tcW w:w="1406" w:type="dxa"/>
            <w:tcBorders>
              <w:top w:val="single" w:color="auto" w:sz="8" w:space="0"/>
            </w:tcBorders>
            <w:vAlign w:val="center"/>
          </w:tcPr>
          <w:p w14:paraId="1AB53291">
            <w:pPr>
              <w:pStyle w:val="180"/>
              <w:rPr>
                <w:rFonts w:hint="eastAsia"/>
                <w:color w:val="auto"/>
                <w:highlight w:val="none"/>
              </w:rPr>
            </w:pPr>
            <w:r>
              <w:rPr>
                <w:rFonts w:hint="eastAsia"/>
                <w:color w:val="auto"/>
                <w:highlight w:val="none"/>
              </w:rPr>
              <w:t>5（极高）</w:t>
            </w:r>
          </w:p>
        </w:tc>
        <w:tc>
          <w:tcPr>
            <w:tcW w:w="1807" w:type="dxa"/>
            <w:tcBorders>
              <w:top w:val="single" w:color="auto" w:sz="8" w:space="0"/>
            </w:tcBorders>
            <w:vAlign w:val="center"/>
          </w:tcPr>
          <w:p w14:paraId="3461B753">
            <w:pPr>
              <w:pStyle w:val="180"/>
              <w:rPr>
                <w:rFonts w:hint="eastAsia"/>
                <w:color w:val="auto"/>
                <w:highlight w:val="none"/>
              </w:rPr>
            </w:pPr>
            <w:r>
              <w:rPr>
                <w:rFonts w:hint="eastAsia"/>
                <w:color w:val="auto"/>
                <w:highlight w:val="none"/>
              </w:rPr>
              <w:t>中风险</w:t>
            </w:r>
          </w:p>
        </w:tc>
        <w:tc>
          <w:tcPr>
            <w:tcW w:w="1359" w:type="dxa"/>
            <w:tcBorders>
              <w:top w:val="single" w:color="auto" w:sz="8" w:space="0"/>
            </w:tcBorders>
            <w:vAlign w:val="center"/>
          </w:tcPr>
          <w:p w14:paraId="23C2AC0B">
            <w:pPr>
              <w:pStyle w:val="180"/>
              <w:rPr>
                <w:rFonts w:hint="eastAsia"/>
                <w:color w:val="auto"/>
                <w:highlight w:val="none"/>
              </w:rPr>
            </w:pPr>
            <w:r>
              <w:rPr>
                <w:rFonts w:hint="eastAsia"/>
                <w:color w:val="auto"/>
                <w:highlight w:val="none"/>
              </w:rPr>
              <w:t>高风险</w:t>
            </w:r>
          </w:p>
        </w:tc>
        <w:tc>
          <w:tcPr>
            <w:tcW w:w="1359" w:type="dxa"/>
            <w:tcBorders>
              <w:top w:val="single" w:color="auto" w:sz="8" w:space="0"/>
            </w:tcBorders>
            <w:vAlign w:val="center"/>
          </w:tcPr>
          <w:p w14:paraId="7E4EE102">
            <w:pPr>
              <w:pStyle w:val="180"/>
              <w:rPr>
                <w:rFonts w:hint="eastAsia"/>
                <w:color w:val="auto"/>
                <w:highlight w:val="none"/>
              </w:rPr>
            </w:pPr>
            <w:r>
              <w:rPr>
                <w:rFonts w:hint="eastAsia"/>
                <w:color w:val="auto"/>
                <w:highlight w:val="none"/>
              </w:rPr>
              <w:t>高风险</w:t>
            </w:r>
          </w:p>
        </w:tc>
        <w:tc>
          <w:tcPr>
            <w:tcW w:w="1360" w:type="dxa"/>
            <w:tcBorders>
              <w:top w:val="single" w:color="auto" w:sz="8" w:space="0"/>
            </w:tcBorders>
            <w:vAlign w:val="center"/>
          </w:tcPr>
          <w:p w14:paraId="331B00B7">
            <w:pPr>
              <w:pStyle w:val="180"/>
              <w:rPr>
                <w:rFonts w:hint="eastAsia"/>
                <w:color w:val="auto"/>
                <w:highlight w:val="none"/>
              </w:rPr>
            </w:pPr>
            <w:r>
              <w:rPr>
                <w:rFonts w:hint="eastAsia"/>
                <w:color w:val="auto"/>
                <w:highlight w:val="none"/>
              </w:rPr>
              <w:t>高风险</w:t>
            </w:r>
          </w:p>
        </w:tc>
        <w:tc>
          <w:tcPr>
            <w:tcW w:w="1364" w:type="dxa"/>
            <w:tcBorders>
              <w:top w:val="single" w:color="auto" w:sz="8" w:space="0"/>
            </w:tcBorders>
            <w:vAlign w:val="center"/>
          </w:tcPr>
          <w:p w14:paraId="2DF7310B">
            <w:pPr>
              <w:pStyle w:val="180"/>
              <w:rPr>
                <w:rFonts w:hint="eastAsia"/>
                <w:color w:val="auto"/>
                <w:highlight w:val="none"/>
              </w:rPr>
            </w:pPr>
            <w:r>
              <w:rPr>
                <w:rFonts w:hint="eastAsia"/>
                <w:color w:val="auto"/>
                <w:highlight w:val="none"/>
              </w:rPr>
              <w:t>高风险</w:t>
            </w:r>
          </w:p>
        </w:tc>
      </w:tr>
      <w:tr w14:paraId="0A02EC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867" w:type="dxa"/>
            <w:vMerge w:val="continue"/>
            <w:vAlign w:val="center"/>
          </w:tcPr>
          <w:p w14:paraId="1A56FB1E">
            <w:pPr>
              <w:pStyle w:val="180"/>
              <w:rPr>
                <w:rFonts w:hint="eastAsia"/>
                <w:color w:val="auto"/>
                <w:highlight w:val="none"/>
              </w:rPr>
            </w:pPr>
          </w:p>
        </w:tc>
        <w:tc>
          <w:tcPr>
            <w:tcW w:w="1406" w:type="dxa"/>
            <w:vAlign w:val="center"/>
          </w:tcPr>
          <w:p w14:paraId="36F5D44F">
            <w:pPr>
              <w:pStyle w:val="180"/>
              <w:rPr>
                <w:rFonts w:hint="eastAsia"/>
                <w:color w:val="auto"/>
                <w:highlight w:val="none"/>
              </w:rPr>
            </w:pPr>
            <w:r>
              <w:rPr>
                <w:rFonts w:hint="eastAsia"/>
                <w:color w:val="auto"/>
                <w:highlight w:val="none"/>
              </w:rPr>
              <w:t>4（高）</w:t>
            </w:r>
          </w:p>
        </w:tc>
        <w:tc>
          <w:tcPr>
            <w:tcW w:w="1807" w:type="dxa"/>
            <w:vAlign w:val="center"/>
          </w:tcPr>
          <w:p w14:paraId="0FDEB1B2">
            <w:pPr>
              <w:pStyle w:val="180"/>
              <w:rPr>
                <w:rFonts w:hint="eastAsia"/>
                <w:color w:val="auto"/>
                <w:highlight w:val="none"/>
              </w:rPr>
            </w:pPr>
            <w:r>
              <w:rPr>
                <w:rFonts w:hint="eastAsia"/>
                <w:color w:val="auto"/>
                <w:highlight w:val="none"/>
              </w:rPr>
              <w:t>中风险</w:t>
            </w:r>
          </w:p>
        </w:tc>
        <w:tc>
          <w:tcPr>
            <w:tcW w:w="1359" w:type="dxa"/>
            <w:vAlign w:val="center"/>
          </w:tcPr>
          <w:p w14:paraId="6D53A8B7">
            <w:pPr>
              <w:pStyle w:val="180"/>
              <w:rPr>
                <w:rFonts w:hint="eastAsia"/>
                <w:color w:val="auto"/>
                <w:highlight w:val="none"/>
              </w:rPr>
            </w:pPr>
            <w:r>
              <w:rPr>
                <w:rFonts w:hint="eastAsia"/>
                <w:color w:val="auto"/>
                <w:highlight w:val="none"/>
              </w:rPr>
              <w:t>中风险</w:t>
            </w:r>
          </w:p>
        </w:tc>
        <w:tc>
          <w:tcPr>
            <w:tcW w:w="1359" w:type="dxa"/>
            <w:vAlign w:val="center"/>
          </w:tcPr>
          <w:p w14:paraId="3D7C7761">
            <w:pPr>
              <w:pStyle w:val="180"/>
              <w:rPr>
                <w:rFonts w:hint="eastAsia"/>
                <w:color w:val="auto"/>
                <w:highlight w:val="none"/>
              </w:rPr>
            </w:pPr>
            <w:r>
              <w:rPr>
                <w:rFonts w:hint="eastAsia"/>
                <w:color w:val="auto"/>
                <w:highlight w:val="none"/>
              </w:rPr>
              <w:t>高风险</w:t>
            </w:r>
          </w:p>
        </w:tc>
        <w:tc>
          <w:tcPr>
            <w:tcW w:w="1360" w:type="dxa"/>
            <w:vAlign w:val="center"/>
          </w:tcPr>
          <w:p w14:paraId="6AFCAAAA">
            <w:pPr>
              <w:pStyle w:val="180"/>
              <w:rPr>
                <w:rFonts w:hint="eastAsia"/>
                <w:color w:val="auto"/>
                <w:highlight w:val="none"/>
              </w:rPr>
            </w:pPr>
            <w:r>
              <w:rPr>
                <w:rFonts w:hint="eastAsia"/>
                <w:color w:val="auto"/>
                <w:highlight w:val="none"/>
              </w:rPr>
              <w:t>高风险</w:t>
            </w:r>
          </w:p>
        </w:tc>
        <w:tc>
          <w:tcPr>
            <w:tcW w:w="1364" w:type="dxa"/>
            <w:vAlign w:val="center"/>
          </w:tcPr>
          <w:p w14:paraId="7A2C2135">
            <w:pPr>
              <w:pStyle w:val="180"/>
              <w:rPr>
                <w:rFonts w:hint="eastAsia"/>
                <w:color w:val="auto"/>
                <w:highlight w:val="none"/>
              </w:rPr>
            </w:pPr>
            <w:r>
              <w:rPr>
                <w:rFonts w:hint="eastAsia"/>
                <w:color w:val="auto"/>
                <w:highlight w:val="none"/>
              </w:rPr>
              <w:t>高风险</w:t>
            </w:r>
          </w:p>
        </w:tc>
      </w:tr>
      <w:tr w14:paraId="423468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867" w:type="dxa"/>
            <w:vMerge w:val="continue"/>
            <w:vAlign w:val="center"/>
          </w:tcPr>
          <w:p w14:paraId="63F7E9E2">
            <w:pPr>
              <w:pStyle w:val="180"/>
              <w:rPr>
                <w:rFonts w:hint="eastAsia"/>
                <w:color w:val="auto"/>
                <w:highlight w:val="none"/>
              </w:rPr>
            </w:pPr>
          </w:p>
        </w:tc>
        <w:tc>
          <w:tcPr>
            <w:tcW w:w="1406" w:type="dxa"/>
            <w:vAlign w:val="center"/>
          </w:tcPr>
          <w:p w14:paraId="2D3253E0">
            <w:pPr>
              <w:pStyle w:val="180"/>
              <w:rPr>
                <w:rFonts w:hint="eastAsia"/>
                <w:color w:val="auto"/>
                <w:highlight w:val="none"/>
              </w:rPr>
            </w:pPr>
            <w:r>
              <w:rPr>
                <w:rFonts w:hint="eastAsia"/>
                <w:color w:val="auto"/>
                <w:highlight w:val="none"/>
              </w:rPr>
              <w:t>3（中）</w:t>
            </w:r>
          </w:p>
        </w:tc>
        <w:tc>
          <w:tcPr>
            <w:tcW w:w="1807" w:type="dxa"/>
            <w:vAlign w:val="center"/>
          </w:tcPr>
          <w:p w14:paraId="7EC872AA">
            <w:pPr>
              <w:pStyle w:val="180"/>
              <w:rPr>
                <w:rFonts w:hint="eastAsia"/>
                <w:color w:val="auto"/>
                <w:highlight w:val="none"/>
              </w:rPr>
            </w:pPr>
            <w:r>
              <w:rPr>
                <w:rFonts w:hint="eastAsia"/>
                <w:color w:val="auto"/>
                <w:highlight w:val="none"/>
              </w:rPr>
              <w:t>低风险</w:t>
            </w:r>
          </w:p>
        </w:tc>
        <w:tc>
          <w:tcPr>
            <w:tcW w:w="1359" w:type="dxa"/>
            <w:vAlign w:val="center"/>
          </w:tcPr>
          <w:p w14:paraId="6AE3F019">
            <w:pPr>
              <w:pStyle w:val="180"/>
              <w:rPr>
                <w:rFonts w:hint="eastAsia"/>
                <w:color w:val="auto"/>
                <w:highlight w:val="none"/>
              </w:rPr>
            </w:pPr>
            <w:r>
              <w:rPr>
                <w:rFonts w:hint="eastAsia"/>
                <w:color w:val="auto"/>
                <w:highlight w:val="none"/>
              </w:rPr>
              <w:t>中风险</w:t>
            </w:r>
          </w:p>
        </w:tc>
        <w:tc>
          <w:tcPr>
            <w:tcW w:w="1359" w:type="dxa"/>
            <w:vAlign w:val="center"/>
          </w:tcPr>
          <w:p w14:paraId="457ED12A">
            <w:pPr>
              <w:pStyle w:val="180"/>
              <w:rPr>
                <w:rFonts w:hint="eastAsia"/>
                <w:color w:val="auto"/>
                <w:highlight w:val="none"/>
              </w:rPr>
            </w:pPr>
            <w:r>
              <w:rPr>
                <w:rFonts w:hint="eastAsia"/>
                <w:color w:val="auto"/>
                <w:highlight w:val="none"/>
              </w:rPr>
              <w:t>中风险</w:t>
            </w:r>
          </w:p>
        </w:tc>
        <w:tc>
          <w:tcPr>
            <w:tcW w:w="1360" w:type="dxa"/>
            <w:vAlign w:val="center"/>
          </w:tcPr>
          <w:p w14:paraId="2D2B0942">
            <w:pPr>
              <w:pStyle w:val="180"/>
              <w:rPr>
                <w:rFonts w:hint="eastAsia"/>
                <w:color w:val="auto"/>
                <w:highlight w:val="none"/>
              </w:rPr>
            </w:pPr>
            <w:r>
              <w:rPr>
                <w:rFonts w:hint="eastAsia"/>
                <w:color w:val="auto"/>
                <w:highlight w:val="none"/>
              </w:rPr>
              <w:t>高风险</w:t>
            </w:r>
          </w:p>
        </w:tc>
        <w:tc>
          <w:tcPr>
            <w:tcW w:w="1364" w:type="dxa"/>
            <w:vAlign w:val="center"/>
          </w:tcPr>
          <w:p w14:paraId="670EEA03">
            <w:pPr>
              <w:pStyle w:val="180"/>
              <w:rPr>
                <w:rFonts w:hint="eastAsia"/>
                <w:color w:val="auto"/>
                <w:highlight w:val="none"/>
              </w:rPr>
            </w:pPr>
            <w:r>
              <w:rPr>
                <w:rFonts w:hint="eastAsia"/>
                <w:color w:val="auto"/>
                <w:highlight w:val="none"/>
              </w:rPr>
              <w:t>高风险</w:t>
            </w:r>
          </w:p>
        </w:tc>
      </w:tr>
      <w:tr w14:paraId="3C54EA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867" w:type="dxa"/>
            <w:vMerge w:val="continue"/>
            <w:vAlign w:val="center"/>
          </w:tcPr>
          <w:p w14:paraId="38966673">
            <w:pPr>
              <w:pStyle w:val="180"/>
              <w:rPr>
                <w:rFonts w:hint="eastAsia"/>
                <w:color w:val="auto"/>
                <w:highlight w:val="none"/>
              </w:rPr>
            </w:pPr>
          </w:p>
        </w:tc>
        <w:tc>
          <w:tcPr>
            <w:tcW w:w="1406" w:type="dxa"/>
            <w:vAlign w:val="center"/>
          </w:tcPr>
          <w:p w14:paraId="6F962629">
            <w:pPr>
              <w:pStyle w:val="180"/>
              <w:rPr>
                <w:rFonts w:hint="eastAsia"/>
                <w:color w:val="auto"/>
                <w:highlight w:val="none"/>
              </w:rPr>
            </w:pPr>
            <w:r>
              <w:rPr>
                <w:rFonts w:hint="eastAsia"/>
                <w:color w:val="auto"/>
                <w:highlight w:val="none"/>
              </w:rPr>
              <w:t>2（低）</w:t>
            </w:r>
          </w:p>
        </w:tc>
        <w:tc>
          <w:tcPr>
            <w:tcW w:w="1807" w:type="dxa"/>
            <w:vAlign w:val="center"/>
          </w:tcPr>
          <w:p w14:paraId="6E42DE90">
            <w:pPr>
              <w:pStyle w:val="180"/>
              <w:rPr>
                <w:rFonts w:hint="eastAsia"/>
                <w:color w:val="auto"/>
                <w:highlight w:val="none"/>
              </w:rPr>
            </w:pPr>
            <w:r>
              <w:rPr>
                <w:rFonts w:hint="eastAsia"/>
                <w:color w:val="auto"/>
                <w:highlight w:val="none"/>
              </w:rPr>
              <w:t>低风险</w:t>
            </w:r>
          </w:p>
        </w:tc>
        <w:tc>
          <w:tcPr>
            <w:tcW w:w="1359" w:type="dxa"/>
            <w:vAlign w:val="center"/>
          </w:tcPr>
          <w:p w14:paraId="16613B44">
            <w:pPr>
              <w:pStyle w:val="180"/>
              <w:rPr>
                <w:rFonts w:hint="eastAsia"/>
                <w:color w:val="auto"/>
                <w:highlight w:val="none"/>
              </w:rPr>
            </w:pPr>
            <w:r>
              <w:rPr>
                <w:rFonts w:hint="eastAsia"/>
                <w:color w:val="auto"/>
                <w:highlight w:val="none"/>
              </w:rPr>
              <w:t>低风险</w:t>
            </w:r>
          </w:p>
        </w:tc>
        <w:tc>
          <w:tcPr>
            <w:tcW w:w="1359" w:type="dxa"/>
            <w:vAlign w:val="center"/>
          </w:tcPr>
          <w:p w14:paraId="2B2B6A69">
            <w:pPr>
              <w:pStyle w:val="180"/>
              <w:rPr>
                <w:rFonts w:hint="eastAsia"/>
                <w:color w:val="auto"/>
                <w:highlight w:val="none"/>
              </w:rPr>
            </w:pPr>
            <w:r>
              <w:rPr>
                <w:rFonts w:hint="eastAsia"/>
                <w:color w:val="auto"/>
                <w:highlight w:val="none"/>
              </w:rPr>
              <w:t>中风险</w:t>
            </w:r>
          </w:p>
        </w:tc>
        <w:tc>
          <w:tcPr>
            <w:tcW w:w="1360" w:type="dxa"/>
            <w:vAlign w:val="center"/>
          </w:tcPr>
          <w:p w14:paraId="3B9DF54B">
            <w:pPr>
              <w:pStyle w:val="180"/>
              <w:rPr>
                <w:rFonts w:hint="eastAsia"/>
                <w:color w:val="auto"/>
                <w:highlight w:val="none"/>
              </w:rPr>
            </w:pPr>
            <w:r>
              <w:rPr>
                <w:rFonts w:hint="eastAsia"/>
                <w:color w:val="auto"/>
                <w:highlight w:val="none"/>
              </w:rPr>
              <w:t>中风险</w:t>
            </w:r>
          </w:p>
        </w:tc>
        <w:tc>
          <w:tcPr>
            <w:tcW w:w="1364" w:type="dxa"/>
            <w:vAlign w:val="center"/>
          </w:tcPr>
          <w:p w14:paraId="35D80C19">
            <w:pPr>
              <w:pStyle w:val="180"/>
              <w:rPr>
                <w:rFonts w:hint="eastAsia"/>
                <w:color w:val="auto"/>
                <w:highlight w:val="none"/>
              </w:rPr>
            </w:pPr>
            <w:r>
              <w:rPr>
                <w:rFonts w:hint="eastAsia"/>
                <w:color w:val="auto"/>
                <w:highlight w:val="none"/>
              </w:rPr>
              <w:t>高风险</w:t>
            </w:r>
          </w:p>
        </w:tc>
      </w:tr>
      <w:tr w14:paraId="709416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867" w:type="dxa"/>
            <w:vMerge w:val="continue"/>
            <w:vAlign w:val="center"/>
          </w:tcPr>
          <w:p w14:paraId="599512E5">
            <w:pPr>
              <w:pStyle w:val="180"/>
              <w:rPr>
                <w:rFonts w:hint="eastAsia"/>
                <w:color w:val="auto"/>
                <w:highlight w:val="none"/>
              </w:rPr>
            </w:pPr>
          </w:p>
        </w:tc>
        <w:tc>
          <w:tcPr>
            <w:tcW w:w="1406" w:type="dxa"/>
            <w:vAlign w:val="center"/>
          </w:tcPr>
          <w:p w14:paraId="20AF85A5">
            <w:pPr>
              <w:pStyle w:val="180"/>
              <w:rPr>
                <w:rFonts w:hint="eastAsia"/>
                <w:color w:val="auto"/>
                <w:highlight w:val="none"/>
              </w:rPr>
            </w:pPr>
            <w:r>
              <w:rPr>
                <w:rFonts w:hint="eastAsia"/>
                <w:color w:val="auto"/>
                <w:highlight w:val="none"/>
              </w:rPr>
              <w:t>1（极低）</w:t>
            </w:r>
          </w:p>
        </w:tc>
        <w:tc>
          <w:tcPr>
            <w:tcW w:w="1807" w:type="dxa"/>
            <w:vAlign w:val="center"/>
          </w:tcPr>
          <w:p w14:paraId="08A6C397">
            <w:pPr>
              <w:pStyle w:val="180"/>
              <w:rPr>
                <w:rFonts w:hint="eastAsia"/>
                <w:color w:val="auto"/>
                <w:highlight w:val="none"/>
              </w:rPr>
            </w:pPr>
            <w:r>
              <w:rPr>
                <w:rFonts w:hint="eastAsia"/>
                <w:color w:val="auto"/>
                <w:highlight w:val="none"/>
              </w:rPr>
              <w:t>低风险</w:t>
            </w:r>
          </w:p>
        </w:tc>
        <w:tc>
          <w:tcPr>
            <w:tcW w:w="1359" w:type="dxa"/>
            <w:vAlign w:val="center"/>
          </w:tcPr>
          <w:p w14:paraId="00AA37A0">
            <w:pPr>
              <w:pStyle w:val="180"/>
              <w:rPr>
                <w:rFonts w:hint="eastAsia"/>
                <w:color w:val="auto"/>
                <w:highlight w:val="none"/>
              </w:rPr>
            </w:pPr>
            <w:r>
              <w:rPr>
                <w:rFonts w:hint="eastAsia"/>
                <w:color w:val="auto"/>
                <w:highlight w:val="none"/>
              </w:rPr>
              <w:t>低风险</w:t>
            </w:r>
          </w:p>
        </w:tc>
        <w:tc>
          <w:tcPr>
            <w:tcW w:w="1359" w:type="dxa"/>
            <w:vAlign w:val="center"/>
          </w:tcPr>
          <w:p w14:paraId="1D249858">
            <w:pPr>
              <w:pStyle w:val="180"/>
              <w:rPr>
                <w:rFonts w:hint="eastAsia"/>
                <w:color w:val="auto"/>
                <w:highlight w:val="none"/>
              </w:rPr>
            </w:pPr>
            <w:r>
              <w:rPr>
                <w:rFonts w:hint="eastAsia"/>
                <w:color w:val="auto"/>
                <w:highlight w:val="none"/>
              </w:rPr>
              <w:t>低风险</w:t>
            </w:r>
          </w:p>
        </w:tc>
        <w:tc>
          <w:tcPr>
            <w:tcW w:w="1360" w:type="dxa"/>
            <w:vAlign w:val="center"/>
          </w:tcPr>
          <w:p w14:paraId="1FF529AF">
            <w:pPr>
              <w:pStyle w:val="180"/>
              <w:rPr>
                <w:rFonts w:hint="eastAsia"/>
                <w:color w:val="auto"/>
                <w:highlight w:val="none"/>
              </w:rPr>
            </w:pPr>
            <w:r>
              <w:rPr>
                <w:rFonts w:hint="eastAsia"/>
                <w:color w:val="auto"/>
                <w:highlight w:val="none"/>
              </w:rPr>
              <w:t>中风险</w:t>
            </w:r>
          </w:p>
        </w:tc>
        <w:tc>
          <w:tcPr>
            <w:tcW w:w="1364" w:type="dxa"/>
            <w:vAlign w:val="center"/>
          </w:tcPr>
          <w:p w14:paraId="1B4CE905">
            <w:pPr>
              <w:pStyle w:val="180"/>
              <w:rPr>
                <w:rFonts w:hint="eastAsia"/>
                <w:color w:val="auto"/>
                <w:highlight w:val="none"/>
              </w:rPr>
            </w:pPr>
            <w:r>
              <w:rPr>
                <w:rFonts w:hint="eastAsia"/>
                <w:color w:val="auto"/>
                <w:highlight w:val="none"/>
              </w:rPr>
              <w:t>高风险</w:t>
            </w:r>
          </w:p>
        </w:tc>
      </w:tr>
    </w:tbl>
    <w:p w14:paraId="198CF433">
      <w:pPr>
        <w:pStyle w:val="167"/>
        <w:numPr>
          <w:ilvl w:val="-1"/>
          <w:numId w:val="0"/>
        </w:numPr>
        <w:rPr>
          <w:color w:val="auto"/>
          <w:highlight w:val="none"/>
        </w:rPr>
      </w:pPr>
    </w:p>
    <w:p w14:paraId="60C8A041">
      <w:pPr>
        <w:pStyle w:val="167"/>
        <w:rPr>
          <w:color w:val="auto"/>
          <w:highlight w:val="none"/>
        </w:rPr>
      </w:pPr>
      <w:r>
        <w:rPr>
          <w:rFonts w:hint="eastAsia"/>
          <w:color w:val="auto"/>
          <w:highlight w:val="none"/>
        </w:rPr>
        <w:t>对高风险点应设置明显安全警示标识，采取专项管控措施，加强巡查频次（每日至少1次）；对中风险点每周巡查不少于1次；对低风险点每月巡查不少于1次。</w:t>
      </w:r>
    </w:p>
    <w:p w14:paraId="0BB8B955">
      <w:pPr>
        <w:pStyle w:val="167"/>
        <w:rPr>
          <w:color w:val="auto"/>
          <w:highlight w:val="none"/>
        </w:rPr>
      </w:pPr>
      <w:r>
        <w:rPr>
          <w:rFonts w:hint="eastAsia"/>
          <w:color w:val="auto"/>
          <w:highlight w:val="none"/>
        </w:rPr>
        <w:t>实验室应在关键化学品（特别是剧毒、易制毒、易制爆、高挥发、强腐蚀品）的安全操作规程或现场应急处置卡中，明确处置要求</w:t>
      </w:r>
      <w:r>
        <w:rPr>
          <w:rFonts w:hint="eastAsia"/>
          <w:color w:val="auto"/>
          <w:highlight w:val="none"/>
          <w:lang w:eastAsia="zh-CN"/>
        </w:rPr>
        <w:t>（</w:t>
      </w:r>
      <w:r>
        <w:rPr>
          <w:rFonts w:hint="eastAsia"/>
          <w:color w:val="auto"/>
          <w:highlight w:val="none"/>
          <w:lang w:val="en-US" w:eastAsia="zh-CN"/>
        </w:rPr>
        <w:t>参见</w:t>
      </w:r>
      <w:r>
        <w:rPr>
          <w:rFonts w:hint="eastAsia"/>
          <w:color w:val="auto"/>
          <w:highlight w:val="none"/>
        </w:rPr>
        <w:t>附录A</w:t>
      </w:r>
      <w:r>
        <w:rPr>
          <w:rFonts w:hint="eastAsia"/>
          <w:color w:val="auto"/>
          <w:highlight w:val="none"/>
          <w:lang w:eastAsia="zh-CN"/>
        </w:rPr>
        <w:t>）</w:t>
      </w:r>
      <w:r>
        <w:rPr>
          <w:rFonts w:hint="eastAsia"/>
          <w:color w:val="auto"/>
          <w:highlight w:val="none"/>
        </w:rPr>
        <w:t>。</w:t>
      </w:r>
    </w:p>
    <w:p w14:paraId="0B5BD392">
      <w:pPr>
        <w:pStyle w:val="167"/>
        <w:rPr>
          <w:color w:val="auto"/>
          <w:highlight w:val="none"/>
        </w:rPr>
      </w:pPr>
      <w:r>
        <w:rPr>
          <w:rFonts w:hint="eastAsia"/>
          <w:color w:val="auto"/>
          <w:highlight w:val="none"/>
        </w:rPr>
        <w:t>建立风险动态管理机制，定期更新风险分级管控清单，当实验室业务调整、设备更新、试剂变更时，应重新开展风险识别与评估。</w:t>
      </w:r>
    </w:p>
    <w:p w14:paraId="3EB6C6C4">
      <w:pPr>
        <w:pStyle w:val="107"/>
        <w:spacing w:before="120" w:after="120"/>
        <w:rPr>
          <w:color w:val="auto"/>
          <w:highlight w:val="none"/>
        </w:rPr>
      </w:pPr>
      <w:bookmarkStart w:id="91" w:name="_Toc20472"/>
      <w:bookmarkStart w:id="92" w:name="_Toc225206549"/>
      <w:r>
        <w:rPr>
          <w:rFonts w:hint="eastAsia"/>
          <w:color w:val="auto"/>
          <w:highlight w:val="none"/>
          <w:lang w:eastAsia="zh-CN"/>
        </w:rPr>
        <w:t>外部</w:t>
      </w:r>
      <w:r>
        <w:rPr>
          <w:rFonts w:hint="eastAsia"/>
          <w:color w:val="auto"/>
          <w:highlight w:val="none"/>
        </w:rPr>
        <w:t>人员管理</w:t>
      </w:r>
      <w:bookmarkEnd w:id="91"/>
      <w:bookmarkEnd w:id="92"/>
    </w:p>
    <w:p w14:paraId="04F42A58">
      <w:pPr>
        <w:pStyle w:val="167"/>
        <w:rPr>
          <w:color w:val="auto"/>
          <w:highlight w:val="none"/>
        </w:rPr>
      </w:pPr>
      <w:r>
        <w:rPr>
          <w:rFonts w:hint="eastAsia"/>
          <w:color w:val="auto"/>
          <w:highlight w:val="none"/>
        </w:rPr>
        <w:t>实验室应建立</w:t>
      </w:r>
      <w:r>
        <w:rPr>
          <w:rFonts w:hint="eastAsia"/>
          <w:color w:val="auto"/>
          <w:highlight w:val="none"/>
          <w:lang w:eastAsia="zh-CN"/>
        </w:rPr>
        <w:t>外部</w:t>
      </w:r>
      <w:r>
        <w:rPr>
          <w:rFonts w:hint="eastAsia"/>
          <w:color w:val="auto"/>
          <w:highlight w:val="none"/>
        </w:rPr>
        <w:t>人员准入管理制度，明确</w:t>
      </w:r>
      <w:r>
        <w:rPr>
          <w:rFonts w:hint="eastAsia"/>
          <w:color w:val="auto"/>
          <w:highlight w:val="none"/>
          <w:lang w:eastAsia="zh-CN"/>
        </w:rPr>
        <w:t>外部</w:t>
      </w:r>
      <w:r>
        <w:rPr>
          <w:rFonts w:hint="eastAsia"/>
          <w:color w:val="auto"/>
          <w:highlight w:val="none"/>
        </w:rPr>
        <w:t>人员进入实验室的审批流程、准入条件、陪同要求及安全须知。</w:t>
      </w:r>
      <w:r>
        <w:rPr>
          <w:rFonts w:hint="eastAsia"/>
          <w:color w:val="auto"/>
          <w:highlight w:val="none"/>
          <w:lang w:eastAsia="zh-CN"/>
        </w:rPr>
        <w:t>外部</w:t>
      </w:r>
      <w:r>
        <w:rPr>
          <w:rFonts w:hint="eastAsia"/>
          <w:color w:val="auto"/>
          <w:highlight w:val="none"/>
        </w:rPr>
        <w:t>人员包括参观人员、合作单位人员、设备维修人员、审核评审人员等。</w:t>
      </w:r>
    </w:p>
    <w:p w14:paraId="26091CFB">
      <w:pPr>
        <w:pStyle w:val="167"/>
        <w:rPr>
          <w:color w:val="auto"/>
          <w:highlight w:val="none"/>
        </w:rPr>
      </w:pPr>
      <w:r>
        <w:rPr>
          <w:rFonts w:hint="eastAsia"/>
          <w:color w:val="auto"/>
          <w:highlight w:val="none"/>
          <w:lang w:eastAsia="zh-CN"/>
        </w:rPr>
        <w:t>外部</w:t>
      </w:r>
      <w:r>
        <w:rPr>
          <w:rFonts w:hint="eastAsia"/>
          <w:color w:val="auto"/>
          <w:highlight w:val="none"/>
        </w:rPr>
        <w:t>人员进入实验室前，必须履行审批手续，由实验室对接部门提前向安全管理部门提交申请，明确进入事由、进入区域、进入时间、陪同人员，经审批同意后方可进入。</w:t>
      </w:r>
    </w:p>
    <w:p w14:paraId="46A986B3">
      <w:pPr>
        <w:pStyle w:val="167"/>
        <w:rPr>
          <w:color w:val="auto"/>
          <w:highlight w:val="none"/>
        </w:rPr>
      </w:pPr>
      <w:r>
        <w:rPr>
          <w:rFonts w:hint="eastAsia"/>
          <w:color w:val="auto"/>
          <w:highlight w:val="none"/>
          <w:lang w:eastAsia="zh-CN"/>
        </w:rPr>
        <w:t>外部</w:t>
      </w:r>
      <w:r>
        <w:rPr>
          <w:rFonts w:hint="eastAsia"/>
          <w:color w:val="auto"/>
          <w:highlight w:val="none"/>
        </w:rPr>
        <w:t>人员进入实验室前，必须接受安全培训，告知实验室安全风险、防护要求、应急疏散路线及禁止行为，签署安全承诺书后方可进入。培训内容应包括：严禁随意触碰仪器设备、试剂样品、阀门开关；严禁在实验室内饮食、吸烟；必须全程由实验室内部人员陪同，不得擅自脱离陪同人员、进入非批准区域；如遇突发情况，听从陪同人员指挥，沿疏散路线有序撤离。</w:t>
      </w:r>
    </w:p>
    <w:p w14:paraId="70A15FBC">
      <w:pPr>
        <w:pStyle w:val="167"/>
        <w:rPr>
          <w:color w:val="auto"/>
          <w:highlight w:val="none"/>
        </w:rPr>
      </w:pPr>
      <w:r>
        <w:rPr>
          <w:rFonts w:hint="eastAsia"/>
          <w:color w:val="auto"/>
          <w:highlight w:val="none"/>
          <w:lang w:eastAsia="zh-CN"/>
        </w:rPr>
        <w:t>外部</w:t>
      </w:r>
      <w:r>
        <w:rPr>
          <w:rFonts w:hint="eastAsia"/>
          <w:color w:val="auto"/>
          <w:highlight w:val="none"/>
        </w:rPr>
        <w:t>人员进入实验室必须按要求佩戴对应的个人防护用品，严禁穿着拖鞋、短裤、背心等不符合安全要求的衣物进入。进入高风险区域（试剂储存区、前处理区、辐射检测区、微生物实验室）的</w:t>
      </w:r>
      <w:r>
        <w:rPr>
          <w:rFonts w:hint="eastAsia"/>
          <w:color w:val="auto"/>
          <w:highlight w:val="none"/>
          <w:lang w:eastAsia="zh-CN"/>
        </w:rPr>
        <w:t>外部</w:t>
      </w:r>
      <w:r>
        <w:rPr>
          <w:rFonts w:hint="eastAsia"/>
          <w:color w:val="auto"/>
          <w:highlight w:val="none"/>
        </w:rPr>
        <w:t>人员，必须由实验室安全管理员全程陪同，严格遵守专项操作安全要求。</w:t>
      </w:r>
    </w:p>
    <w:p w14:paraId="79E29FE9">
      <w:pPr>
        <w:pStyle w:val="167"/>
        <w:rPr>
          <w:color w:val="auto"/>
          <w:highlight w:val="none"/>
        </w:rPr>
      </w:pPr>
      <w:r>
        <w:rPr>
          <w:rFonts w:hint="eastAsia"/>
          <w:color w:val="auto"/>
          <w:highlight w:val="none"/>
        </w:rPr>
        <w:t>严禁无民事行为能力人、限制民事行为能力人进入实验室高风险区域；参观人员原则上不得进入实验操作区，确需进入的，必须严格控制人数，全程由专人陪同，确保安全。</w:t>
      </w:r>
    </w:p>
    <w:p w14:paraId="061DAE27">
      <w:pPr>
        <w:pStyle w:val="167"/>
        <w:rPr>
          <w:color w:val="auto"/>
          <w:highlight w:val="none"/>
        </w:rPr>
      </w:pPr>
      <w:r>
        <w:rPr>
          <w:rFonts w:hint="eastAsia"/>
          <w:color w:val="auto"/>
          <w:highlight w:val="none"/>
          <w:lang w:eastAsia="zh-CN"/>
        </w:rPr>
        <w:t>外部</w:t>
      </w:r>
      <w:r>
        <w:rPr>
          <w:rFonts w:hint="eastAsia"/>
          <w:color w:val="auto"/>
          <w:highlight w:val="none"/>
        </w:rPr>
        <w:t>人员携带设备、物品进入实验室的，需提前报备，经安全检查后方可带入；带出实验室物品的，需经实验室负责人审批，严禁擅自携带实验室试剂、样品、设备、数据资料离开。</w:t>
      </w:r>
    </w:p>
    <w:p w14:paraId="79530CDD">
      <w:pPr>
        <w:pStyle w:val="167"/>
        <w:rPr>
          <w:color w:val="auto"/>
          <w:highlight w:val="none"/>
        </w:rPr>
      </w:pPr>
      <w:r>
        <w:rPr>
          <w:rFonts w:hint="eastAsia"/>
          <w:color w:val="auto"/>
          <w:highlight w:val="none"/>
        </w:rPr>
        <w:t>实验室应建立</w:t>
      </w:r>
      <w:r>
        <w:rPr>
          <w:rFonts w:hint="eastAsia"/>
          <w:color w:val="auto"/>
          <w:highlight w:val="none"/>
          <w:lang w:val="en-US" w:eastAsia="zh-CN"/>
        </w:rPr>
        <w:t>并保存</w:t>
      </w:r>
      <w:r>
        <w:rPr>
          <w:rFonts w:hint="eastAsia"/>
          <w:color w:val="auto"/>
          <w:highlight w:val="none"/>
          <w:lang w:eastAsia="zh-CN"/>
        </w:rPr>
        <w:t>外部</w:t>
      </w:r>
      <w:r>
        <w:rPr>
          <w:rFonts w:hint="eastAsia"/>
          <w:color w:val="auto"/>
          <w:highlight w:val="none"/>
        </w:rPr>
        <w:t>人员进出登记台账，记录人员姓名、单位、进入时间、离开时间、进入区域、陪同人员、审批情况等信息。</w:t>
      </w:r>
    </w:p>
    <w:p w14:paraId="5CD04A59">
      <w:pPr>
        <w:pStyle w:val="106"/>
        <w:spacing w:before="240" w:after="240"/>
        <w:rPr>
          <w:color w:val="auto"/>
          <w:highlight w:val="none"/>
        </w:rPr>
      </w:pPr>
      <w:bookmarkStart w:id="93" w:name="_Toc17056"/>
      <w:bookmarkStart w:id="94" w:name="_Toc225206550"/>
      <w:bookmarkStart w:id="95" w:name="_Toc220311861"/>
      <w:bookmarkStart w:id="96" w:name="_Toc220313224"/>
      <w:bookmarkStart w:id="97" w:name="_Toc220314020"/>
      <w:r>
        <w:rPr>
          <w:rFonts w:hint="eastAsia"/>
          <w:color w:val="auto"/>
          <w:highlight w:val="none"/>
        </w:rPr>
        <w:t>设施与设备安全</w:t>
      </w:r>
      <w:bookmarkEnd w:id="93"/>
      <w:bookmarkEnd w:id="94"/>
      <w:bookmarkEnd w:id="95"/>
      <w:bookmarkEnd w:id="96"/>
      <w:bookmarkEnd w:id="97"/>
    </w:p>
    <w:p w14:paraId="3DC12F05">
      <w:pPr>
        <w:pStyle w:val="107"/>
        <w:spacing w:before="120" w:after="120"/>
        <w:rPr>
          <w:color w:val="auto"/>
          <w:highlight w:val="none"/>
        </w:rPr>
      </w:pPr>
      <w:bookmarkStart w:id="98" w:name="_Toc220311862"/>
      <w:bookmarkStart w:id="99" w:name="_Toc20351"/>
      <w:bookmarkStart w:id="100" w:name="_Toc225206551"/>
      <w:bookmarkStart w:id="101" w:name="_Toc220314021"/>
      <w:bookmarkStart w:id="102" w:name="_Toc220313225"/>
      <w:r>
        <w:rPr>
          <w:rFonts w:hint="eastAsia"/>
          <w:color w:val="auto"/>
          <w:highlight w:val="none"/>
        </w:rPr>
        <w:t>实验室布局与安全设施</w:t>
      </w:r>
      <w:bookmarkEnd w:id="98"/>
      <w:bookmarkEnd w:id="99"/>
      <w:bookmarkEnd w:id="100"/>
      <w:bookmarkEnd w:id="101"/>
      <w:bookmarkEnd w:id="102"/>
    </w:p>
    <w:p w14:paraId="3735A1DE">
      <w:pPr>
        <w:pStyle w:val="167"/>
        <w:rPr>
          <w:color w:val="auto"/>
          <w:highlight w:val="none"/>
        </w:rPr>
      </w:pPr>
      <w:r>
        <w:rPr>
          <w:rFonts w:hint="eastAsia"/>
          <w:color w:val="auto"/>
          <w:highlight w:val="none"/>
        </w:rPr>
        <w:t>实验室布局应符合GB 50016、HJ/T 373、GB 50346的要求，按检测功能分区，分区明确、标识清晰，高风险区域应独立设置，与其他区域物理隔离。辐射检测实验室应独立设置，分为控制区和监督区，设置明显的电离辐射警示标识、工作状态指示灯，与非辐射区域物理隔离，防护性能符合GB 18871的要求。</w:t>
      </w:r>
    </w:p>
    <w:p w14:paraId="7BB47F15">
      <w:pPr>
        <w:pStyle w:val="167"/>
        <w:rPr>
          <w:color w:val="auto"/>
          <w:highlight w:val="none"/>
        </w:rPr>
      </w:pPr>
      <w:r>
        <w:rPr>
          <w:rFonts w:hint="eastAsia"/>
          <w:color w:val="auto"/>
          <w:highlight w:val="none"/>
        </w:rPr>
        <w:t>实验室应配备完善的气、水污染物处理设施，实现污染全流程防控：</w:t>
      </w:r>
    </w:p>
    <w:p w14:paraId="567C495B">
      <w:pPr>
        <w:pStyle w:val="134"/>
        <w:rPr>
          <w:color w:val="auto"/>
          <w:highlight w:val="none"/>
        </w:rPr>
      </w:pPr>
      <w:r>
        <w:rPr>
          <w:rFonts w:hint="eastAsia"/>
          <w:color w:val="auto"/>
          <w:highlight w:val="none"/>
        </w:rPr>
        <w:t>废气处理：前处理区、试剂储存区、分析区应设置通风柜，通风柜排风量</w:t>
      </w:r>
      <w:r>
        <w:rPr>
          <w:rFonts w:hint="eastAsia"/>
          <w:color w:val="auto"/>
          <w:highlight w:val="none"/>
          <w:lang w:val="en-US" w:eastAsia="zh-CN"/>
        </w:rPr>
        <w:t>应符合设计及使用要求，</w:t>
      </w:r>
      <w:r>
        <w:rPr>
          <w:rFonts w:hint="eastAsia"/>
          <w:color w:val="auto"/>
          <w:highlight w:val="none"/>
        </w:rPr>
        <w:t>排风管道应独立设置，避免交叉污染；废气经吸附、吸收、催化燃烧等工艺处理后，符合GB 16297及地方相关排放标准方可排放；实验室整体通风换气次数不应少于8次/h。辐射检测实验室的废气应经过滤、衰变处理达标后排放。</w:t>
      </w:r>
    </w:p>
    <w:p w14:paraId="7917044B">
      <w:pPr>
        <w:pStyle w:val="134"/>
        <w:rPr>
          <w:color w:val="auto"/>
          <w:highlight w:val="none"/>
        </w:rPr>
      </w:pPr>
      <w:r>
        <w:rPr>
          <w:rFonts w:hint="eastAsia"/>
          <w:color w:val="auto"/>
          <w:highlight w:val="none"/>
        </w:rPr>
        <w:t>废水处理：应按废水类型（含重金属废水、有机废水、酸碱废水、综合废水、放射性废水）设置分类收集系统，配备专用处理设施，具体要求如下：</w:t>
      </w:r>
    </w:p>
    <w:p w14:paraId="030CA218">
      <w:pPr>
        <w:pStyle w:val="111"/>
        <w:rPr>
          <w:color w:val="auto"/>
          <w:highlight w:val="none"/>
        </w:rPr>
      </w:pPr>
      <w:r>
        <w:rPr>
          <w:rFonts w:hint="eastAsia"/>
          <w:color w:val="auto"/>
          <w:highlight w:val="none"/>
        </w:rPr>
        <w:t>分类收集：设置独立的废水收集管道、储存池（槽），管道及储存设施应具备防腐蚀、防泄漏功能，明确标识“含重金属废水”“有机废水”“酸碱废水”“综合废水”“放射性废水”，严禁不同类型废水混流排放，严禁直接接入市政污水管网。</w:t>
      </w:r>
    </w:p>
    <w:p w14:paraId="16B3151D">
      <w:pPr>
        <w:pStyle w:val="111"/>
        <w:numPr>
          <w:ilvl w:val="1"/>
          <w:numId w:val="13"/>
        </w:numPr>
        <w:rPr>
          <w:color w:val="auto"/>
          <w:highlight w:val="none"/>
        </w:rPr>
      </w:pPr>
      <w:r>
        <w:rPr>
          <w:rFonts w:hint="eastAsia"/>
          <w:color w:val="auto"/>
          <w:highlight w:val="none"/>
        </w:rPr>
        <w:t>处理工艺：含重金属废水应采用化学沉淀、离子交换、膜分离等工艺去除重金属离子；有机废水应采用氧化分解、生物降解、活性炭吸附等工艺处理；酸碱废水应设置中和池（配备pH在线监测仪），通过自动或手动调节实现pH值6～9后排放；综合废水需经上述组合工艺处理，确保污染物达标。</w:t>
      </w:r>
    </w:p>
    <w:p w14:paraId="6F3DBB52">
      <w:pPr>
        <w:pStyle w:val="111"/>
        <w:rPr>
          <w:color w:val="auto"/>
          <w:highlight w:val="none"/>
        </w:rPr>
      </w:pPr>
      <w:r>
        <w:rPr>
          <w:rFonts w:hint="eastAsia"/>
          <w:color w:val="auto"/>
          <w:highlight w:val="none"/>
        </w:rPr>
        <w:t>设施配置：废水处理设施处理能力应与实验室废水产生量匹配（按日均废水量1.2倍设计），配备应急储存池（容积不小于单次最大废水产生量的1.5倍），应对设备故障或突发情况。</w:t>
      </w:r>
    </w:p>
    <w:p w14:paraId="2E483C11">
      <w:pPr>
        <w:pStyle w:val="134"/>
        <w:rPr>
          <w:color w:val="auto"/>
          <w:highlight w:val="none"/>
        </w:rPr>
      </w:pPr>
      <w:r>
        <w:rPr>
          <w:rFonts w:hint="eastAsia"/>
          <w:color w:val="auto"/>
          <w:highlight w:val="none"/>
        </w:rPr>
        <w:t>监测要求：定期对处理后废气、废水的关键污染物指标（废气中VOCs、颗粒物；废水中 pH、COD、重金属等）进行检测，每月至少1次，留存检测报告，确保处理设施稳定运行、达标排放。</w:t>
      </w:r>
    </w:p>
    <w:p w14:paraId="2BA812A8">
      <w:pPr>
        <w:pStyle w:val="167"/>
        <w:rPr>
          <w:color w:val="auto"/>
          <w:highlight w:val="none"/>
        </w:rPr>
      </w:pPr>
      <w:r>
        <w:rPr>
          <w:rFonts w:hint="eastAsia"/>
          <w:color w:val="auto"/>
          <w:highlight w:val="none"/>
        </w:rPr>
        <w:t>废液废渣储存区应设置在实验室最低处，远离水源、电源和食品储存区域，配备防泄漏、防腐蚀的储存容器和设施，分类存放各类固体废弃物及预处理后的浓废液；储存区应设置防渗围堰，防止泄漏扩散，所有废弃物容器应明确标识废弃物类型、有害成分、产生日期，专人管理。放射性废物应使用专用防辐射容器储存，分区存放，设置明显警示标识，专人双人双锁管理，按规定委托有资质单位处置。</w:t>
      </w:r>
    </w:p>
    <w:p w14:paraId="4ED165D1">
      <w:pPr>
        <w:pStyle w:val="167"/>
        <w:rPr>
          <w:color w:val="auto"/>
          <w:highlight w:val="none"/>
        </w:rPr>
      </w:pPr>
      <w:r>
        <w:rPr>
          <w:rFonts w:hint="eastAsia"/>
          <w:color w:val="auto"/>
          <w:highlight w:val="none"/>
        </w:rPr>
        <w:t>实验室应配备符合要求的消防设施，包括灭火器、消防栓、应急照明灯、疏散指示标志、防火门等，灭火器配置应符合GB 50140的规定，按火灾风险类型、区域面积差异化配置，具体要求如下：</w:t>
      </w:r>
    </w:p>
    <w:p w14:paraId="523BE2E8">
      <w:pPr>
        <w:pStyle w:val="176"/>
        <w:numPr>
          <w:ilvl w:val="0"/>
          <w:numId w:val="32"/>
        </w:numPr>
        <w:rPr>
          <w:color w:val="auto"/>
          <w:highlight w:val="none"/>
        </w:rPr>
      </w:pPr>
      <w:r>
        <w:rPr>
          <w:rFonts w:hint="eastAsia"/>
          <w:color w:val="auto"/>
          <w:highlight w:val="none"/>
        </w:rPr>
        <w:t>有机溶剂、油类火灾风险区域（试剂储存区、有机前处理区、色谱分析室）：应配置干粉灭火器、二氧化碳灭火器，严禁使用水型灭火器；</w:t>
      </w:r>
    </w:p>
    <w:p w14:paraId="5E7CD245">
      <w:pPr>
        <w:pStyle w:val="176"/>
        <w:rPr>
          <w:color w:val="auto"/>
          <w:highlight w:val="none"/>
        </w:rPr>
      </w:pPr>
      <w:r>
        <w:rPr>
          <w:rFonts w:hint="eastAsia"/>
          <w:color w:val="auto"/>
          <w:highlight w:val="none"/>
        </w:rPr>
        <w:t>电气设备、精密仪器火灾风险区域（仪器分析室、天平室、辐射检测室）：应配置二氧化碳灭火器，严禁使用水型、泡沫灭火器，避免损坏仪器及造成触电风险；</w:t>
      </w:r>
    </w:p>
    <w:p w14:paraId="759B81CC">
      <w:pPr>
        <w:pStyle w:val="176"/>
        <w:rPr>
          <w:color w:val="auto"/>
          <w:highlight w:val="none"/>
        </w:rPr>
      </w:pPr>
      <w:r>
        <w:rPr>
          <w:rFonts w:hint="eastAsia"/>
          <w:color w:val="auto"/>
          <w:highlight w:val="none"/>
        </w:rPr>
        <w:t>固体可燃物火灾风险区域（办公区、样品储存室、普通实验室）：可配置干粉灭火器、水型灭火器；</w:t>
      </w:r>
    </w:p>
    <w:p w14:paraId="097325FE">
      <w:pPr>
        <w:pStyle w:val="176"/>
        <w:rPr>
          <w:color w:val="auto"/>
          <w:highlight w:val="none"/>
        </w:rPr>
      </w:pPr>
      <w:r>
        <w:rPr>
          <w:rFonts w:hint="eastAsia"/>
          <w:color w:val="auto"/>
          <w:highlight w:val="none"/>
        </w:rPr>
        <w:t>灭火器应定期检查维护，每月至少1次，每年进行1次压力检测及充装，确保有效使用。</w:t>
      </w:r>
    </w:p>
    <w:p w14:paraId="76E67486">
      <w:pPr>
        <w:pStyle w:val="167"/>
        <w:rPr>
          <w:color w:val="auto"/>
          <w:highlight w:val="none"/>
        </w:rPr>
      </w:pPr>
      <w:r>
        <w:rPr>
          <w:rFonts w:hint="eastAsia"/>
          <w:color w:val="auto"/>
          <w:highlight w:val="none"/>
        </w:rPr>
        <w:t>高风险区域应设置应急喷淋、洗眼器；微生物实验室应配备生物安全柜，符合GB 19489要求。辐射检测实验室应配备表面污染检测仪、个人剂量计、剂量报警仪、应急防护用品及去污设施。</w:t>
      </w:r>
    </w:p>
    <w:p w14:paraId="3A24B6B8">
      <w:pPr>
        <w:pStyle w:val="167"/>
        <w:rPr>
          <w:color w:val="auto"/>
          <w:highlight w:val="none"/>
        </w:rPr>
      </w:pPr>
      <w:r>
        <w:rPr>
          <w:rFonts w:hint="eastAsia"/>
          <w:color w:val="auto"/>
          <w:highlight w:val="none"/>
        </w:rPr>
        <w:t>实验室地面应采用耐腐蚀、防滑、易清洁的材料，墙面应耐酸碱腐蚀，门窗应具备防盗、防火功能；实验室应设置防雷装置，符合GB 50057要求，定期检测，确保防雷性能达标。</w:t>
      </w:r>
    </w:p>
    <w:p w14:paraId="2D828A03">
      <w:pPr>
        <w:pStyle w:val="167"/>
        <w:rPr>
          <w:color w:val="auto"/>
          <w:highlight w:val="none"/>
        </w:rPr>
      </w:pPr>
      <w:r>
        <w:rPr>
          <w:rFonts w:hint="eastAsia"/>
          <w:color w:val="auto"/>
          <w:highlight w:val="none"/>
        </w:rPr>
        <w:t>气瓶间应独立设置，远离火源、热源，通风良好，气瓶固定牢固，配备气瓶减压阀、压力表，设置防火防爆警示标识，气瓶储存应符合“远离氧化剂、可燃气体与助燃气体分开存放</w:t>
      </w:r>
      <w:r>
        <w:rPr>
          <w:rFonts w:hint="eastAsia"/>
          <w:color w:val="auto"/>
          <w:highlight w:val="none"/>
          <w:lang w:eastAsia="zh-CN"/>
        </w:rPr>
        <w:t>”</w:t>
      </w:r>
      <w:r>
        <w:rPr>
          <w:rFonts w:hint="eastAsia"/>
          <w:color w:val="auto"/>
          <w:highlight w:val="none"/>
        </w:rPr>
        <w:t>的要求，定期检查气瓶密封性及压力表有效性。</w:t>
      </w:r>
    </w:p>
    <w:p w14:paraId="472A70C2">
      <w:pPr>
        <w:pStyle w:val="167"/>
        <w:rPr>
          <w:color w:val="auto"/>
          <w:highlight w:val="none"/>
        </w:rPr>
      </w:pPr>
      <w:r>
        <w:rPr>
          <w:rFonts w:hint="eastAsia"/>
          <w:color w:val="auto"/>
          <w:highlight w:val="none"/>
          <w:lang w:val="en-US" w:eastAsia="zh-CN"/>
        </w:rPr>
        <w:t>痕量分析实验室应分区隔离，单向布局，独立排风系统，每柜一管，避免交叉污染。严控洁净度、温湿度、振动、压差、电磁屏蔽等环境参数防本底污染。配置独立排风、防腐防渗、分类收集处置废气废水，配齐防爆、应急防护及监测安全设施。</w:t>
      </w:r>
      <w:bookmarkStart w:id="215" w:name="_GoBack"/>
      <w:bookmarkEnd w:id="215"/>
    </w:p>
    <w:p w14:paraId="03F54E6A">
      <w:pPr>
        <w:pStyle w:val="107"/>
        <w:spacing w:before="120" w:after="120"/>
        <w:rPr>
          <w:color w:val="auto"/>
          <w:highlight w:val="none"/>
        </w:rPr>
      </w:pPr>
      <w:bookmarkStart w:id="103" w:name="_Toc225206552"/>
      <w:bookmarkStart w:id="104" w:name="_Toc220311863"/>
      <w:bookmarkStart w:id="105" w:name="_Toc220314022"/>
      <w:bookmarkStart w:id="106" w:name="_Toc220313226"/>
      <w:bookmarkStart w:id="107" w:name="_Toc25802"/>
      <w:r>
        <w:rPr>
          <w:rFonts w:hint="eastAsia"/>
          <w:color w:val="auto"/>
          <w:highlight w:val="none"/>
        </w:rPr>
        <w:t>仪器设备安全</w:t>
      </w:r>
      <w:bookmarkEnd w:id="103"/>
      <w:bookmarkEnd w:id="104"/>
      <w:bookmarkEnd w:id="105"/>
      <w:bookmarkEnd w:id="106"/>
      <w:bookmarkEnd w:id="107"/>
    </w:p>
    <w:p w14:paraId="74CDEA42">
      <w:pPr>
        <w:pStyle w:val="167"/>
        <w:rPr>
          <w:color w:val="auto"/>
          <w:highlight w:val="none"/>
        </w:rPr>
      </w:pPr>
      <w:r>
        <w:rPr>
          <w:rFonts w:hint="eastAsia"/>
          <w:color w:val="auto"/>
          <w:highlight w:val="none"/>
        </w:rPr>
        <w:t>实验室仪器设备应符合</w:t>
      </w:r>
      <w:r>
        <w:rPr>
          <w:color w:val="auto"/>
          <w:highlight w:val="none"/>
        </w:rPr>
        <w:t>GB/Z 27427</w:t>
      </w:r>
      <w:r>
        <w:rPr>
          <w:rFonts w:hint="eastAsia"/>
          <w:color w:val="auto"/>
          <w:highlight w:val="none"/>
        </w:rPr>
        <w:t>的要求，购置时应选择具备安全认证的产品，经检定/校准</w:t>
      </w:r>
      <w:r>
        <w:rPr>
          <w:rFonts w:hint="eastAsia"/>
          <w:color w:val="auto"/>
          <w:highlight w:val="none"/>
          <w:lang w:val="en-US" w:eastAsia="zh-CN"/>
        </w:rPr>
        <w:t>处于有效检定/校准状态后方</w:t>
      </w:r>
      <w:r>
        <w:rPr>
          <w:rFonts w:hint="eastAsia"/>
          <w:color w:val="auto"/>
          <w:highlight w:val="none"/>
        </w:rPr>
        <w:t>可使用，建立设备安全档案，包括购置合同、说明书、检定/校准证书、维护记录、故障处理记录等。放射性检测仪器应经计量检定，定期进行性能校验，确保探测效率、能量分辨率符合检测要求。</w:t>
      </w:r>
    </w:p>
    <w:p w14:paraId="1AA0D732">
      <w:pPr>
        <w:pStyle w:val="167"/>
        <w:rPr>
          <w:color w:val="auto"/>
          <w:highlight w:val="none"/>
        </w:rPr>
      </w:pPr>
      <w:r>
        <w:rPr>
          <w:rFonts w:hint="eastAsia"/>
          <w:color w:val="auto"/>
          <w:highlight w:val="none"/>
        </w:rPr>
        <w:t>电气设备应符合</w:t>
      </w:r>
      <w:r>
        <w:rPr>
          <w:color w:val="auto"/>
          <w:highlight w:val="none"/>
        </w:rPr>
        <w:t>GB/T 27476.2</w:t>
      </w:r>
      <w:r>
        <w:rPr>
          <w:rFonts w:hint="eastAsia"/>
          <w:color w:val="auto"/>
          <w:highlight w:val="none"/>
        </w:rPr>
        <w:t>的要求，接地接零保护可靠，电线敷设规范，避免乱拉乱接，定期检查电线绝缘层、插头插座，发现破损及时更换；仪器设备使用前应检查电气线路、开关、接地情况，确认正常后方可启动。</w:t>
      </w:r>
    </w:p>
    <w:p w14:paraId="276C5E53">
      <w:pPr>
        <w:pStyle w:val="167"/>
        <w:rPr>
          <w:color w:val="auto"/>
          <w:highlight w:val="none"/>
        </w:rPr>
      </w:pPr>
      <w:r>
        <w:rPr>
          <w:rFonts w:hint="eastAsia"/>
          <w:color w:val="auto"/>
          <w:highlight w:val="none"/>
        </w:rPr>
        <w:t>高温、高压仪器应独立放置，远离易燃物品，设置安全警示标识，使用时严格遵守操作规程，专人看管，定期检查温度、压力控制系统，确保运行正常；微波消解仪使用时应检查密闭性，严禁空载运行。</w:t>
      </w:r>
    </w:p>
    <w:p w14:paraId="036B62BC">
      <w:pPr>
        <w:pStyle w:val="167"/>
        <w:rPr>
          <w:color w:val="auto"/>
          <w:highlight w:val="none"/>
        </w:rPr>
      </w:pPr>
      <w:r>
        <w:rPr>
          <w:rFonts w:hint="eastAsia"/>
          <w:color w:val="auto"/>
          <w:highlight w:val="none"/>
        </w:rPr>
        <w:t>分析仪器应定期维护保养，检查管路密封性、检测器性能，有机溶剂管路应远离火源，定期更换老化管路，防止泄漏。放射性检测仪器应在指定区域使用，使用前检查防护性能，使用后进行表面污染检测，防止交叉污染。</w:t>
      </w:r>
    </w:p>
    <w:p w14:paraId="49B76BD6">
      <w:pPr>
        <w:pStyle w:val="167"/>
        <w:rPr>
          <w:color w:val="auto"/>
          <w:highlight w:val="none"/>
        </w:rPr>
      </w:pPr>
      <w:r>
        <w:rPr>
          <w:rFonts w:hint="eastAsia"/>
          <w:color w:val="auto"/>
          <w:highlight w:val="none"/>
        </w:rPr>
        <w:t>仪器设备故障时，应立即停机、切断电源，严禁擅自拆卸维修，及时联系专业人员检修，故障处理完毕后经确认合格方可重新使用，留存故障处理记录。</w:t>
      </w:r>
    </w:p>
    <w:p w14:paraId="1CB0CAA9">
      <w:pPr>
        <w:pStyle w:val="167"/>
        <w:rPr>
          <w:color w:val="auto"/>
          <w:highlight w:val="none"/>
        </w:rPr>
      </w:pPr>
      <w:r>
        <w:rPr>
          <w:rFonts w:hint="eastAsia"/>
          <w:color w:val="auto"/>
          <w:highlight w:val="none"/>
        </w:rPr>
        <w:t>仪器设备报废应按程序审批，报废前应清理内部试剂、样品，拆除电气线路，放射性仪器设备报废应按辐射安全管理规定进行去污、处置，经检测达标后方可办理报废手续，确保无安全隐患，留存报废记录。</w:t>
      </w:r>
    </w:p>
    <w:p w14:paraId="79607AA9">
      <w:pPr>
        <w:pStyle w:val="167"/>
        <w:rPr>
          <w:color w:val="auto"/>
          <w:highlight w:val="none"/>
        </w:rPr>
      </w:pPr>
      <w:r>
        <w:rPr>
          <w:rFonts w:hint="eastAsia"/>
          <w:color w:val="auto"/>
          <w:highlight w:val="none"/>
        </w:rPr>
        <w:t>标准物质应合规采购验收、唯一标识建档，按条件分区避光控温储存，危化类双人双锁管理；规范领用、只出不进、全程记录，定期开展期间核查，过期失效</w:t>
      </w:r>
      <w:r>
        <w:rPr>
          <w:rFonts w:hint="eastAsia"/>
          <w:color w:val="auto"/>
          <w:highlight w:val="none"/>
          <w:lang w:val="en-US" w:eastAsia="zh-CN"/>
        </w:rPr>
        <w:t>需</w:t>
      </w:r>
      <w:r>
        <w:rPr>
          <w:rFonts w:hint="eastAsia"/>
          <w:color w:val="auto"/>
          <w:highlight w:val="none"/>
        </w:rPr>
        <w:t>隔离后按危废合规处置，确保量值溯源、全程可追溯。</w:t>
      </w:r>
    </w:p>
    <w:p w14:paraId="455B67AC">
      <w:pPr>
        <w:pStyle w:val="106"/>
        <w:spacing w:before="240" w:after="240"/>
        <w:rPr>
          <w:color w:val="auto"/>
          <w:highlight w:val="none"/>
        </w:rPr>
      </w:pPr>
      <w:bookmarkStart w:id="108" w:name="_Toc220311864"/>
      <w:bookmarkStart w:id="109" w:name="_Toc220314023"/>
      <w:bookmarkStart w:id="110" w:name="_Toc220313227"/>
      <w:bookmarkStart w:id="111" w:name="_Toc225206553"/>
      <w:bookmarkStart w:id="112" w:name="_Toc29152"/>
      <w:r>
        <w:rPr>
          <w:rFonts w:hint="eastAsia"/>
          <w:color w:val="auto"/>
          <w:highlight w:val="none"/>
        </w:rPr>
        <w:t>试剂与样品安全</w:t>
      </w:r>
      <w:bookmarkEnd w:id="108"/>
      <w:bookmarkEnd w:id="109"/>
      <w:bookmarkEnd w:id="110"/>
      <w:bookmarkEnd w:id="111"/>
      <w:bookmarkEnd w:id="112"/>
    </w:p>
    <w:p w14:paraId="5EA506C0">
      <w:pPr>
        <w:pStyle w:val="107"/>
        <w:spacing w:before="120" w:after="120"/>
        <w:rPr>
          <w:color w:val="auto"/>
          <w:highlight w:val="none"/>
        </w:rPr>
      </w:pPr>
      <w:bookmarkStart w:id="113" w:name="_Toc8618"/>
      <w:bookmarkStart w:id="114" w:name="_Toc220311865"/>
      <w:bookmarkStart w:id="115" w:name="_Toc225206554"/>
      <w:bookmarkStart w:id="116" w:name="_Toc220314024"/>
      <w:bookmarkStart w:id="117" w:name="_Toc220313228"/>
      <w:r>
        <w:rPr>
          <w:rFonts w:hint="eastAsia"/>
          <w:color w:val="auto"/>
          <w:highlight w:val="none"/>
        </w:rPr>
        <w:t>危险化学品管理</w:t>
      </w:r>
      <w:bookmarkEnd w:id="113"/>
      <w:bookmarkEnd w:id="114"/>
      <w:bookmarkEnd w:id="115"/>
      <w:bookmarkEnd w:id="116"/>
      <w:bookmarkEnd w:id="117"/>
    </w:p>
    <w:p w14:paraId="7C00E8B6">
      <w:pPr>
        <w:pStyle w:val="167"/>
        <w:rPr>
          <w:color w:val="auto"/>
          <w:highlight w:val="none"/>
        </w:rPr>
      </w:pPr>
      <w:r>
        <w:rPr>
          <w:rFonts w:hint="eastAsia"/>
          <w:color w:val="auto"/>
          <w:highlight w:val="none"/>
        </w:rPr>
        <w:t>危险化学品采购应遵循“按需采购、最小库存”原则，从具备资质的供应商采购，索取化学品安全技术说明书（MSDS），建立采购台账，记录试剂名称、规格、数量、供应商、采购日期、验收人等信息。</w:t>
      </w:r>
    </w:p>
    <w:p w14:paraId="49EC7CB6">
      <w:pPr>
        <w:pStyle w:val="167"/>
        <w:rPr>
          <w:color w:val="auto"/>
          <w:highlight w:val="none"/>
        </w:rPr>
      </w:pPr>
      <w:r>
        <w:rPr>
          <w:rFonts w:hint="eastAsia"/>
          <w:color w:val="auto"/>
          <w:highlight w:val="none"/>
        </w:rPr>
        <w:t>危险化学品验收应检查试剂包装、标签、MSDS，确认无破损、泄漏、标签清晰，验收合格后方可入库，不合格试剂应及时退回供应商，留存验收记录。</w:t>
      </w:r>
    </w:p>
    <w:p w14:paraId="10792FDB">
      <w:pPr>
        <w:pStyle w:val="167"/>
        <w:rPr>
          <w:color w:val="auto"/>
          <w:highlight w:val="none"/>
        </w:rPr>
      </w:pPr>
      <w:r>
        <w:rPr>
          <w:rFonts w:hint="eastAsia"/>
          <w:color w:val="auto"/>
          <w:highlight w:val="none"/>
        </w:rPr>
        <w:t>危险化学品储存应符合GB 30000（所有系列）、GB/T 27476.5的要求，分类、分区存放，剧毒试剂、易制毒试剂、易制爆试剂应单独存放于专用</w:t>
      </w:r>
      <w:r>
        <w:rPr>
          <w:rFonts w:hint="eastAsia"/>
          <w:color w:val="auto"/>
          <w:highlight w:val="none"/>
          <w:lang w:val="en-US" w:eastAsia="zh-CN"/>
        </w:rPr>
        <w:t>试剂</w:t>
      </w:r>
      <w:r>
        <w:rPr>
          <w:rFonts w:hint="eastAsia"/>
          <w:color w:val="auto"/>
          <w:highlight w:val="none"/>
        </w:rPr>
        <w:t>柜，双人双锁管理，建立领用台账，领用需经审批，按需领用、剩余退回。</w:t>
      </w:r>
    </w:p>
    <w:p w14:paraId="6B5939AA">
      <w:pPr>
        <w:pStyle w:val="167"/>
        <w:rPr>
          <w:color w:val="auto"/>
          <w:highlight w:val="none"/>
        </w:rPr>
      </w:pPr>
      <w:r>
        <w:rPr>
          <w:rFonts w:hint="eastAsia"/>
          <w:color w:val="auto"/>
          <w:highlight w:val="none"/>
        </w:rPr>
        <w:t>化学品储存柜应具备耐腐蚀、防火、防爆功能，通风良好，标识清晰，实验室应严格执行废液相容性分类收集原则，不同类别化学品分开存放，严禁不相容化学品混存，间距不小于1</w:t>
      </w:r>
      <w:r>
        <w:rPr>
          <w:rFonts w:hint="eastAsia"/>
          <w:color w:val="auto"/>
          <w:highlight w:val="none"/>
          <w:vertAlign w:val="superscript"/>
        </w:rPr>
        <w:t xml:space="preserve"> </w:t>
      </w:r>
      <w:r>
        <w:rPr>
          <w:rFonts w:hint="eastAsia"/>
          <w:color w:val="auto"/>
          <w:highlight w:val="none"/>
        </w:rPr>
        <w:t>m，防止发生化学反应；试剂标签应清晰完整，注明试剂名称、浓度、有效期、危险特性、泄漏响应阈值和特殊处置方法，过期试剂及时清理。</w:t>
      </w:r>
    </w:p>
    <w:p w14:paraId="59061C14">
      <w:pPr>
        <w:pStyle w:val="167"/>
        <w:rPr>
          <w:color w:val="auto"/>
          <w:highlight w:val="none"/>
        </w:rPr>
      </w:pPr>
      <w:r>
        <w:rPr>
          <w:rFonts w:hint="eastAsia"/>
          <w:color w:val="auto"/>
          <w:highlight w:val="none"/>
        </w:rPr>
        <w:t>危险化学品使用应严格遵守操作规程，佩戴相应防护用品，在通风橱内操作挥发性、有毒试剂，用量精准控制，避免洒落、泄漏；使用后及时清理操作台面，试剂瓶密封存放。放射性物质的使用应在指定防护区域内操作，佩戴专用防护用品，严格控制操作时间，做好使用记录。</w:t>
      </w:r>
    </w:p>
    <w:p w14:paraId="5A7005B4">
      <w:pPr>
        <w:pStyle w:val="167"/>
        <w:rPr>
          <w:color w:val="auto"/>
          <w:highlight w:val="none"/>
        </w:rPr>
      </w:pPr>
      <w:r>
        <w:rPr>
          <w:rFonts w:hint="eastAsia"/>
          <w:color w:val="auto"/>
          <w:highlight w:val="none"/>
        </w:rPr>
        <w:t>危险废物全流程管理应覆盖分类收集、暂存管理、转移处置全环节，建立全生命周期台账，产生当日逐批登记，完整记录危废代码、类别、产生量、经办人及去向；分类建账、定期盘点确保账实相符，实现可追溯管理，具体要求如下：</w:t>
      </w:r>
    </w:p>
    <w:p w14:paraId="1697AD73">
      <w:pPr>
        <w:pStyle w:val="176"/>
        <w:numPr>
          <w:ilvl w:val="0"/>
          <w:numId w:val="33"/>
        </w:numPr>
        <w:rPr>
          <w:color w:val="auto"/>
          <w:highlight w:val="none"/>
        </w:rPr>
      </w:pPr>
      <w:r>
        <w:rPr>
          <w:rFonts w:hint="eastAsia"/>
          <w:color w:val="auto"/>
          <w:highlight w:val="none"/>
        </w:rPr>
        <w:t>分类收集：实验室应根据废物类型、危险特性、相容性进行分类收集，设置专用收集容器，容器应耐腐蚀、防泄漏、带密封盖，粘贴清晰标识，注明废物名称、类别、主要成分、产生日期、禁忌物；严禁将不相容的废物混合收集，严禁将危险废物与生活垃圾混放。</w:t>
      </w:r>
    </w:p>
    <w:p w14:paraId="53E5CD33">
      <w:pPr>
        <w:pStyle w:val="176"/>
        <w:rPr>
          <w:color w:val="auto"/>
          <w:highlight w:val="none"/>
        </w:rPr>
      </w:pPr>
      <w:r>
        <w:rPr>
          <w:rFonts w:hint="eastAsia"/>
          <w:color w:val="auto"/>
          <w:highlight w:val="none"/>
        </w:rPr>
        <w:t>暂存管理：危险废物暂存区应符合防火、防渗、防泄漏、通风要求，设置围堰、应急收集设施，分类分区存放，标识清晰；暂存区实行专人管理，双人双锁，建立暂存台账，记录废物入库、出库信息，每日巡查暂存环境，发现泄漏、破损立即处置。</w:t>
      </w:r>
    </w:p>
    <w:p w14:paraId="31FDEEC0">
      <w:pPr>
        <w:pStyle w:val="176"/>
        <w:rPr>
          <w:color w:val="auto"/>
          <w:highlight w:val="none"/>
        </w:rPr>
      </w:pPr>
      <w:r>
        <w:rPr>
          <w:rFonts w:hint="eastAsia"/>
          <w:color w:val="auto"/>
          <w:highlight w:val="none"/>
        </w:rPr>
        <w:t>转移处置：危险废物应委托具备相应危险废物经营资质的单位处置，签订处置合同，严格执行危险废物转移联单制度，全程跟踪转移处置过程，留存转移联单、处置合同、处置单位资质证明等资料，严禁将危险废物交由无资质单位处置，严禁随意倾倒、排放危险废物。</w:t>
      </w:r>
    </w:p>
    <w:p w14:paraId="75BD11B1">
      <w:pPr>
        <w:pStyle w:val="176"/>
        <w:rPr>
          <w:color w:val="auto"/>
          <w:highlight w:val="none"/>
        </w:rPr>
      </w:pPr>
      <w:r>
        <w:rPr>
          <w:rFonts w:hint="eastAsia"/>
          <w:color w:val="auto"/>
          <w:highlight w:val="none"/>
        </w:rPr>
        <w:t>建立纸质与电子双台账，实现危废全流程闭环可追溯管理。实验室产生的废气、废水、固体废物、放射性废物等，均应按国家相关法律法规要求进行处置，确保达标排放，严禁无组织排放、违规处置。</w:t>
      </w:r>
    </w:p>
    <w:p w14:paraId="715C9A40">
      <w:pPr>
        <w:pStyle w:val="167"/>
        <w:rPr>
          <w:color w:val="auto"/>
          <w:highlight w:val="none"/>
        </w:rPr>
      </w:pPr>
      <w:r>
        <w:rPr>
          <w:rFonts w:hint="eastAsia"/>
          <w:color w:val="auto"/>
          <w:highlight w:val="none"/>
        </w:rPr>
        <w:t>废液收集应严格遵循相容性分类原则，按废液类别设置专用收集桶，严禁将不相容废液混合存放，防止发生化学反应产生有毒气体、热量或爆炸。废液桶上应张贴包含主要成分、禁忌物、产生日期的标识。常见不相容废液禁配清单</w:t>
      </w:r>
      <w:r>
        <w:rPr>
          <w:rFonts w:hint="eastAsia"/>
          <w:color w:val="auto"/>
          <w:highlight w:val="none"/>
          <w:lang w:val="en-US" w:eastAsia="zh-CN"/>
        </w:rPr>
        <w:t>参</w:t>
      </w:r>
      <w:r>
        <w:rPr>
          <w:rFonts w:hint="eastAsia"/>
          <w:color w:val="auto"/>
          <w:highlight w:val="none"/>
        </w:rPr>
        <w:t>见附录B，具体包括但不限于：</w:t>
      </w:r>
    </w:p>
    <w:p w14:paraId="08967946">
      <w:pPr>
        <w:pStyle w:val="176"/>
        <w:numPr>
          <w:ilvl w:val="0"/>
          <w:numId w:val="34"/>
        </w:numPr>
        <w:rPr>
          <w:color w:val="auto"/>
          <w:highlight w:val="none"/>
        </w:rPr>
      </w:pPr>
      <w:r>
        <w:rPr>
          <w:rFonts w:hint="eastAsia"/>
          <w:color w:val="auto"/>
          <w:highlight w:val="none"/>
        </w:rPr>
        <w:t>严禁将强酸与强碱、氧化剂与还原剂、氰化物与酸、硫化物与酸、卤化物与浓硫酸混合存放；</w:t>
      </w:r>
    </w:p>
    <w:p w14:paraId="0FB714D3">
      <w:pPr>
        <w:pStyle w:val="176"/>
        <w:rPr>
          <w:color w:val="auto"/>
          <w:highlight w:val="none"/>
        </w:rPr>
      </w:pPr>
      <w:r>
        <w:rPr>
          <w:rFonts w:hint="eastAsia"/>
          <w:color w:val="auto"/>
          <w:highlight w:val="none"/>
        </w:rPr>
        <w:t>严禁将含汞废液与氨水、胺类废液混合；</w:t>
      </w:r>
    </w:p>
    <w:p w14:paraId="7DA6A470">
      <w:pPr>
        <w:pStyle w:val="176"/>
        <w:rPr>
          <w:color w:val="auto"/>
          <w:highlight w:val="none"/>
        </w:rPr>
      </w:pPr>
      <w:r>
        <w:rPr>
          <w:rFonts w:hint="eastAsia"/>
          <w:color w:val="auto"/>
          <w:highlight w:val="none"/>
        </w:rPr>
        <w:t>严禁将含氟废液与玻璃容器、含钙废液混合；</w:t>
      </w:r>
    </w:p>
    <w:p w14:paraId="7CFF48F5">
      <w:pPr>
        <w:pStyle w:val="176"/>
        <w:rPr>
          <w:color w:val="auto"/>
          <w:highlight w:val="none"/>
        </w:rPr>
      </w:pPr>
      <w:r>
        <w:rPr>
          <w:rFonts w:hint="eastAsia"/>
          <w:color w:val="auto"/>
          <w:highlight w:val="none"/>
        </w:rPr>
        <w:t>严禁将有机溶剂与氧化性酸、强氧化剂混合存放。</w:t>
      </w:r>
    </w:p>
    <w:p w14:paraId="689ECAF9">
      <w:pPr>
        <w:pStyle w:val="107"/>
        <w:spacing w:before="120" w:after="120"/>
        <w:rPr>
          <w:color w:val="auto"/>
          <w:highlight w:val="none"/>
        </w:rPr>
      </w:pPr>
      <w:bookmarkStart w:id="118" w:name="_Toc225206555"/>
      <w:bookmarkStart w:id="119" w:name="_Toc4952"/>
      <w:r>
        <w:rPr>
          <w:rFonts w:hint="eastAsia"/>
          <w:color w:val="auto"/>
          <w:highlight w:val="none"/>
        </w:rPr>
        <w:t>样品管理</w:t>
      </w:r>
      <w:bookmarkEnd w:id="118"/>
      <w:bookmarkEnd w:id="119"/>
    </w:p>
    <w:p w14:paraId="48A25CAA">
      <w:pPr>
        <w:pStyle w:val="167"/>
        <w:rPr>
          <w:color w:val="auto"/>
          <w:highlight w:val="none"/>
        </w:rPr>
      </w:pPr>
      <w:r>
        <w:rPr>
          <w:rFonts w:hint="eastAsia"/>
          <w:color w:val="auto"/>
          <w:highlight w:val="none"/>
        </w:rPr>
        <w:t>样品接收应执行预评估机制，对来源不明、性状异常、疑似含有剧毒/易爆/放射性成分的样品，应要求委托方提供完整的样品信息、风险说明，必要时进行小样安全预判，确认无重大安全风险后方可办理交接手续，签订样品交接单，明确样品名称、数量、状态、特性、接收日期、交接双方信息，严禁盲目接收高风险样品。</w:t>
      </w:r>
    </w:p>
    <w:p w14:paraId="72EF7423">
      <w:pPr>
        <w:pStyle w:val="167"/>
        <w:rPr>
          <w:color w:val="auto"/>
          <w:highlight w:val="none"/>
        </w:rPr>
      </w:pPr>
      <w:r>
        <w:rPr>
          <w:rFonts w:hint="eastAsia"/>
          <w:color w:val="auto"/>
          <w:highlight w:val="none"/>
        </w:rPr>
        <w:t>样品储存应按样品类型、特性及所依据分析方法标准的要求分类存放。常规冷藏样品储存温度通常应控制在4℃以下；对于有特殊温度要求的样品（如挥发性有机物、微生物样品、放射性样品），应严格按照标准方法执行并建立样品储存台账，台账应标注样品编号、名称、来源、储存条件、储存日期、保管人等信息，定期（每季度至少一次）安排相关负责人清理过期样品。</w:t>
      </w:r>
    </w:p>
    <w:p w14:paraId="6747610B">
      <w:pPr>
        <w:pStyle w:val="167"/>
        <w:rPr>
          <w:color w:val="auto"/>
          <w:highlight w:val="none"/>
        </w:rPr>
      </w:pPr>
      <w:r>
        <w:rPr>
          <w:rFonts w:hint="eastAsia"/>
          <w:color w:val="auto"/>
          <w:highlight w:val="none"/>
        </w:rPr>
        <w:t>样品处理应在指定区域进行，佩戴防护用品，严格遵守前处理操作规程，防止样品洒落、挥发，处理过程中产生的废弃物及时收集，按危险废物管理要求处置；微生物样品处理应在生物安全柜内进行，符合GB 19489的要求，避免交叉污染及生物危害。放射性样品应在指定防护区域内处理，操作过程中采取屏蔽防护措施，防止人员受照及放射性污染扩散。</w:t>
      </w:r>
    </w:p>
    <w:p w14:paraId="47606CC9">
      <w:pPr>
        <w:pStyle w:val="167"/>
        <w:rPr>
          <w:color w:val="auto"/>
          <w:highlight w:val="none"/>
        </w:rPr>
      </w:pPr>
      <w:r>
        <w:rPr>
          <w:rFonts w:hint="eastAsia"/>
          <w:color w:val="auto"/>
          <w:highlight w:val="none"/>
        </w:rPr>
        <w:t>样品废弃应经无害化处理达标后排放或委托处置，含重金属、有毒有害物质、放射性物质的样品及残渣，按危险废物管理，严禁随意丢弃。</w:t>
      </w:r>
    </w:p>
    <w:p w14:paraId="55F5F5CB">
      <w:pPr>
        <w:pStyle w:val="106"/>
        <w:spacing w:before="240" w:after="240"/>
        <w:rPr>
          <w:color w:val="auto"/>
          <w:highlight w:val="none"/>
        </w:rPr>
      </w:pPr>
      <w:bookmarkStart w:id="120" w:name="_Toc26777"/>
      <w:bookmarkStart w:id="121" w:name="_Toc220311867"/>
      <w:bookmarkStart w:id="122" w:name="_Toc225206556"/>
      <w:bookmarkStart w:id="123" w:name="_Toc220313230"/>
      <w:bookmarkStart w:id="124" w:name="_Toc220314026"/>
      <w:r>
        <w:rPr>
          <w:rFonts w:hint="eastAsia"/>
          <w:color w:val="auto"/>
          <w:highlight w:val="none"/>
        </w:rPr>
        <w:t>操作安全</w:t>
      </w:r>
      <w:bookmarkEnd w:id="120"/>
      <w:bookmarkEnd w:id="121"/>
      <w:bookmarkEnd w:id="122"/>
      <w:bookmarkEnd w:id="123"/>
      <w:bookmarkEnd w:id="124"/>
    </w:p>
    <w:p w14:paraId="57E35100">
      <w:pPr>
        <w:pStyle w:val="107"/>
        <w:spacing w:before="120" w:after="120"/>
        <w:rPr>
          <w:color w:val="auto"/>
          <w:highlight w:val="none"/>
        </w:rPr>
      </w:pPr>
      <w:bookmarkStart w:id="125" w:name="_Toc220314027"/>
      <w:bookmarkStart w:id="126" w:name="_Toc220311868"/>
      <w:bookmarkStart w:id="127" w:name="_Toc220313231"/>
      <w:bookmarkStart w:id="128" w:name="_Toc8616"/>
      <w:bookmarkStart w:id="129" w:name="_Toc225206557"/>
      <w:r>
        <w:rPr>
          <w:rFonts w:hint="eastAsia"/>
          <w:color w:val="auto"/>
          <w:highlight w:val="none"/>
        </w:rPr>
        <w:t>通用操作要求</w:t>
      </w:r>
      <w:bookmarkEnd w:id="125"/>
      <w:bookmarkEnd w:id="126"/>
      <w:bookmarkEnd w:id="127"/>
      <w:bookmarkEnd w:id="128"/>
      <w:bookmarkEnd w:id="129"/>
    </w:p>
    <w:p w14:paraId="46A74830">
      <w:pPr>
        <w:pStyle w:val="167"/>
        <w:rPr>
          <w:color w:val="auto"/>
          <w:highlight w:val="none"/>
        </w:rPr>
      </w:pPr>
      <w:r>
        <w:rPr>
          <w:rFonts w:hint="eastAsia"/>
          <w:color w:val="auto"/>
          <w:highlight w:val="none"/>
        </w:rPr>
        <w:t>检测人员上岗前应按规定佩戴个人防护用品，严禁穿着拖鞋、短裤、背心进入实验室，严禁在实验室内饮食、吸烟、存放个人物品。</w:t>
      </w:r>
    </w:p>
    <w:p w14:paraId="1A893574">
      <w:pPr>
        <w:pStyle w:val="167"/>
        <w:rPr>
          <w:color w:val="auto"/>
          <w:highlight w:val="none"/>
        </w:rPr>
      </w:pPr>
      <w:r>
        <w:rPr>
          <w:rFonts w:hint="eastAsia"/>
          <w:color w:val="auto"/>
          <w:highlight w:val="none"/>
        </w:rPr>
        <w:t>实验操作前应检查操作台面、仪器设备、试剂、防护用品，确认无安全隐患后方可开始操作；操作过程中集中注意力，严禁擅自离岗、串岗，严禁违规操作、冒险作业。</w:t>
      </w:r>
    </w:p>
    <w:p w14:paraId="1CD458B8">
      <w:pPr>
        <w:pStyle w:val="167"/>
        <w:rPr>
          <w:color w:val="auto"/>
          <w:highlight w:val="none"/>
        </w:rPr>
      </w:pPr>
      <w:r>
        <w:rPr>
          <w:rFonts w:hint="eastAsia"/>
          <w:color w:val="auto"/>
          <w:highlight w:val="none"/>
        </w:rPr>
        <w:t>实验室内严禁超负荷用电，严禁使用不符合安全要求的电器设备，离开实验室前应关闭电源、水源、气源、通风橱，检查门窗，确保安全。</w:t>
      </w:r>
    </w:p>
    <w:p w14:paraId="195C3974">
      <w:pPr>
        <w:pStyle w:val="167"/>
        <w:rPr>
          <w:color w:val="auto"/>
          <w:highlight w:val="none"/>
        </w:rPr>
      </w:pPr>
      <w:r>
        <w:rPr>
          <w:rFonts w:hint="eastAsia"/>
          <w:color w:val="auto"/>
          <w:highlight w:val="none"/>
        </w:rPr>
        <w:t>实验台面应保持整洁，试剂、仪器、样品有序摆放，废弃物及时清理，避免占用疏散通道、遮挡安全设施。</w:t>
      </w:r>
    </w:p>
    <w:p w14:paraId="0214C9DF">
      <w:pPr>
        <w:pStyle w:val="107"/>
        <w:spacing w:before="120" w:after="120"/>
        <w:rPr>
          <w:color w:val="auto"/>
          <w:highlight w:val="none"/>
        </w:rPr>
      </w:pPr>
      <w:bookmarkStart w:id="130" w:name="_Toc220314028"/>
      <w:bookmarkStart w:id="131" w:name="_Toc25846"/>
      <w:bookmarkStart w:id="132" w:name="_Toc220311869"/>
      <w:bookmarkStart w:id="133" w:name="_Toc225206558"/>
      <w:bookmarkStart w:id="134" w:name="_Toc220313232"/>
      <w:r>
        <w:rPr>
          <w:rFonts w:hint="eastAsia"/>
          <w:color w:val="auto"/>
          <w:highlight w:val="none"/>
        </w:rPr>
        <w:t>专项操作安全</w:t>
      </w:r>
      <w:bookmarkEnd w:id="130"/>
      <w:bookmarkEnd w:id="131"/>
      <w:bookmarkEnd w:id="132"/>
      <w:bookmarkEnd w:id="133"/>
      <w:bookmarkEnd w:id="134"/>
    </w:p>
    <w:p w14:paraId="2365EFC6">
      <w:pPr>
        <w:pStyle w:val="67"/>
        <w:spacing w:before="120" w:after="120"/>
        <w:rPr>
          <w:color w:val="auto"/>
          <w:highlight w:val="none"/>
        </w:rPr>
      </w:pPr>
      <w:r>
        <w:rPr>
          <w:rFonts w:hint="eastAsia"/>
          <w:color w:val="auto"/>
          <w:highlight w:val="none"/>
        </w:rPr>
        <w:t>样品前处理操作</w:t>
      </w:r>
    </w:p>
    <w:p w14:paraId="7291225C">
      <w:pPr>
        <w:pStyle w:val="58"/>
        <w:ind w:firstLine="420"/>
        <w:rPr>
          <w:color w:val="auto"/>
          <w:highlight w:val="none"/>
        </w:rPr>
      </w:pPr>
      <w:r>
        <w:rPr>
          <w:rFonts w:hint="eastAsia"/>
          <w:color w:val="auto"/>
          <w:highlight w:val="none"/>
        </w:rPr>
        <w:t>微波消解应检查消解罐密闭性，严格控制温度、压力、时间，消解完成后冷却至室温方可开盖；高温灰化应在通风橱内进行，佩戴高温防护手套，防止烫伤，灰化完成后冷却至室温再取出样品。</w:t>
      </w:r>
    </w:p>
    <w:p w14:paraId="594F36A1">
      <w:pPr>
        <w:pStyle w:val="67"/>
        <w:spacing w:before="120" w:after="120"/>
        <w:rPr>
          <w:color w:val="auto"/>
          <w:highlight w:val="none"/>
        </w:rPr>
      </w:pPr>
      <w:r>
        <w:rPr>
          <w:rFonts w:hint="eastAsia"/>
          <w:color w:val="auto"/>
          <w:highlight w:val="none"/>
        </w:rPr>
        <w:t>有机溶剂操作</w:t>
      </w:r>
    </w:p>
    <w:p w14:paraId="44E02606">
      <w:pPr>
        <w:pStyle w:val="58"/>
        <w:ind w:firstLine="420"/>
        <w:rPr>
          <w:color w:val="auto"/>
          <w:highlight w:val="none"/>
        </w:rPr>
      </w:pPr>
      <w:r>
        <w:rPr>
          <w:rFonts w:hint="eastAsia"/>
          <w:color w:val="auto"/>
          <w:highlight w:val="none"/>
        </w:rPr>
        <w:t>使用甲醇、乙腈、丙酮等有机溶剂时，严禁靠近火源，操作区域严禁使用明火，通风橱运行正常，避免有机溶剂挥发积聚，配备干粉灭火器或二氧化碳灭火器。</w:t>
      </w:r>
    </w:p>
    <w:p w14:paraId="64471F19">
      <w:pPr>
        <w:pStyle w:val="67"/>
        <w:spacing w:before="120" w:after="120"/>
        <w:rPr>
          <w:color w:val="auto"/>
          <w:highlight w:val="none"/>
        </w:rPr>
      </w:pPr>
      <w:r>
        <w:rPr>
          <w:rFonts w:hint="eastAsia"/>
          <w:color w:val="auto"/>
          <w:highlight w:val="none"/>
        </w:rPr>
        <w:t>酸碱操作</w:t>
      </w:r>
    </w:p>
    <w:p w14:paraId="661F95A9">
      <w:pPr>
        <w:pStyle w:val="58"/>
        <w:ind w:firstLine="420"/>
        <w:rPr>
          <w:color w:val="auto"/>
          <w:highlight w:val="none"/>
        </w:rPr>
      </w:pPr>
      <w:r>
        <w:rPr>
          <w:rFonts w:hint="eastAsia"/>
          <w:color w:val="auto"/>
          <w:highlight w:val="none"/>
        </w:rPr>
        <w:t>将强酸沿容器壁缓慢注入水中，搅拌均匀，严禁将水注入酸中，防止飞溅；酸碱泄漏时，应立即用专用吸收材料处理，酸泄漏用碳酸氢钠溶液中和，碱泄漏用硼酸溶液中和，处理时佩戴防护用品。</w:t>
      </w:r>
    </w:p>
    <w:p w14:paraId="757169D9">
      <w:pPr>
        <w:pStyle w:val="67"/>
        <w:spacing w:before="120" w:after="120"/>
        <w:rPr>
          <w:color w:val="auto"/>
          <w:highlight w:val="none"/>
        </w:rPr>
      </w:pPr>
      <w:r>
        <w:rPr>
          <w:rFonts w:hint="eastAsia"/>
          <w:color w:val="auto"/>
          <w:highlight w:val="none"/>
        </w:rPr>
        <w:t>微生物检测操作</w:t>
      </w:r>
    </w:p>
    <w:p w14:paraId="64BD5A4C">
      <w:pPr>
        <w:pStyle w:val="58"/>
        <w:ind w:firstLine="420"/>
        <w:rPr>
          <w:color w:val="auto"/>
          <w:highlight w:val="none"/>
        </w:rPr>
      </w:pPr>
      <w:r>
        <w:rPr>
          <w:rFonts w:hint="eastAsia"/>
          <w:color w:val="auto"/>
          <w:highlight w:val="none"/>
        </w:rPr>
        <w:t>操作人员应穿戴无菌工作服、口罩、手套，生物安全柜运行正常，实验结束后对台面、仪器、废弃物进行灭菌处理，微生物样品及废弃物经高压灭菌后再处置，防止生物污染。</w:t>
      </w:r>
    </w:p>
    <w:p w14:paraId="56D777F3">
      <w:pPr>
        <w:pStyle w:val="67"/>
        <w:spacing w:before="120" w:after="120"/>
        <w:rPr>
          <w:color w:val="auto"/>
          <w:highlight w:val="none"/>
        </w:rPr>
      </w:pPr>
      <w:r>
        <w:rPr>
          <w:rFonts w:hint="eastAsia"/>
          <w:color w:val="auto"/>
          <w:highlight w:val="none"/>
        </w:rPr>
        <w:t>辐射检测操作</w:t>
      </w:r>
    </w:p>
    <w:p w14:paraId="23217E98">
      <w:pPr>
        <w:pStyle w:val="166"/>
        <w:rPr>
          <w:color w:val="auto"/>
          <w:highlight w:val="none"/>
        </w:rPr>
      </w:pPr>
      <w:r>
        <w:rPr>
          <w:rFonts w:hint="eastAsia"/>
          <w:color w:val="auto"/>
          <w:highlight w:val="none"/>
        </w:rPr>
        <w:t>操作人员必须持证上岗，操作前应制定操作方案，明确辐射防护措施，佩戴个人剂量计、剂量报警仪，严禁无防护操作。</w:t>
      </w:r>
    </w:p>
    <w:p w14:paraId="57025479">
      <w:pPr>
        <w:pStyle w:val="166"/>
        <w:rPr>
          <w:color w:val="auto"/>
          <w:highlight w:val="none"/>
        </w:rPr>
      </w:pPr>
      <w:r>
        <w:rPr>
          <w:rFonts w:hint="eastAsia"/>
          <w:color w:val="auto"/>
          <w:highlight w:val="none"/>
        </w:rPr>
        <w:t>非密封放射性物质操作应在专用通风橱或防护箱内进行，设置防泼溅、防扩散托盘，严禁徒手接触放射性物质，操作时使用专用工具，严格控制操作时间，增大与辐射源的距离，设置屏蔽防护体，最大限度降低人员受照剂量。</w:t>
      </w:r>
    </w:p>
    <w:p w14:paraId="0F6F9C32">
      <w:pPr>
        <w:pStyle w:val="166"/>
        <w:rPr>
          <w:color w:val="auto"/>
          <w:highlight w:val="none"/>
        </w:rPr>
      </w:pPr>
      <w:r>
        <w:rPr>
          <w:rFonts w:hint="eastAsia"/>
          <w:color w:val="auto"/>
          <w:highlight w:val="none"/>
        </w:rPr>
        <w:t>操作过程中，剂量报警仪报警时，应立即停止操作，撤离至安全区域，查明原因，采取防护措施后方可恢复操作。</w:t>
      </w:r>
    </w:p>
    <w:p w14:paraId="47C7F5C4">
      <w:pPr>
        <w:pStyle w:val="166"/>
        <w:rPr>
          <w:color w:val="auto"/>
          <w:highlight w:val="none"/>
        </w:rPr>
      </w:pPr>
      <w:r>
        <w:rPr>
          <w:rFonts w:hint="eastAsia"/>
          <w:color w:val="auto"/>
          <w:highlight w:val="none"/>
        </w:rPr>
        <w:t>操作结束后，应对操作区域、仪器设备、操作人员手部、衣物进行表面污染检测，确认无污染后方可离开操作区域；产生的放射性废物应使用专用容器收集，按规定暂存、处置，严禁随意丢弃。</w:t>
      </w:r>
    </w:p>
    <w:p w14:paraId="5D2C449B">
      <w:pPr>
        <w:pStyle w:val="166"/>
        <w:rPr>
          <w:color w:val="auto"/>
          <w:highlight w:val="none"/>
        </w:rPr>
      </w:pPr>
      <w:r>
        <w:rPr>
          <w:rFonts w:hint="eastAsia"/>
          <w:color w:val="auto"/>
          <w:highlight w:val="none"/>
        </w:rPr>
        <w:t>γ谱仪等固定式放射性检测设备应设置在独立防护机房内，机房门与设备电源联锁，设置电离辐射警示标识和工作状态指示灯，设备运行时严禁人员进入机房。</w:t>
      </w:r>
    </w:p>
    <w:p w14:paraId="0650D770">
      <w:pPr>
        <w:pStyle w:val="67"/>
        <w:spacing w:before="120" w:after="120"/>
        <w:rPr>
          <w:color w:val="auto"/>
          <w:highlight w:val="none"/>
        </w:rPr>
      </w:pPr>
      <w:r>
        <w:rPr>
          <w:rFonts w:hint="eastAsia"/>
          <w:color w:val="auto"/>
          <w:highlight w:val="none"/>
        </w:rPr>
        <w:t>高压气瓶操作</w:t>
      </w:r>
    </w:p>
    <w:p w14:paraId="66659118">
      <w:pPr>
        <w:pStyle w:val="166"/>
        <w:rPr>
          <w:color w:val="auto"/>
          <w:highlight w:val="none"/>
        </w:rPr>
      </w:pPr>
      <w:r>
        <w:rPr>
          <w:rFonts w:hint="eastAsia"/>
          <w:color w:val="auto"/>
          <w:highlight w:val="none"/>
        </w:rPr>
        <w:t>气瓶使用前应检查气瓶外观、减压阀、压力表、报警装置，确认无破损、无泄漏、在检定有效期内，严禁使用不合格气瓶；</w:t>
      </w:r>
    </w:p>
    <w:p w14:paraId="617C2267">
      <w:pPr>
        <w:pStyle w:val="166"/>
        <w:rPr>
          <w:color w:val="auto"/>
          <w:highlight w:val="none"/>
        </w:rPr>
      </w:pPr>
      <w:r>
        <w:rPr>
          <w:rFonts w:hint="eastAsia"/>
          <w:color w:val="auto"/>
          <w:highlight w:val="none"/>
        </w:rPr>
        <w:t>气瓶搬运应使用专用推车，严禁滚动、撞击、暴晒气瓶，气瓶使用时必须垂直固定牢固</w:t>
      </w:r>
      <w:r>
        <w:rPr>
          <w:rFonts w:hint="eastAsia"/>
          <w:color w:val="auto"/>
          <w:highlight w:val="none"/>
          <w:lang w:eastAsia="zh-CN"/>
        </w:rPr>
        <w:t>；</w:t>
      </w:r>
    </w:p>
    <w:p w14:paraId="7240BDB4">
      <w:pPr>
        <w:pStyle w:val="166"/>
        <w:rPr>
          <w:color w:val="auto"/>
          <w:highlight w:val="none"/>
        </w:rPr>
      </w:pPr>
      <w:r>
        <w:rPr>
          <w:rFonts w:hint="eastAsia"/>
          <w:color w:val="auto"/>
          <w:highlight w:val="none"/>
        </w:rPr>
        <w:t>减压阀应专用，严禁混用、改装，开启气瓶时应缓慢操作，人员站在气瓶侧面，严禁正对阀门出口；使用结束后应关闭气瓶总阀，释放管路余压；</w:t>
      </w:r>
    </w:p>
    <w:p w14:paraId="38BA9EFF">
      <w:pPr>
        <w:pStyle w:val="166"/>
        <w:rPr>
          <w:color w:val="auto"/>
          <w:highlight w:val="none"/>
        </w:rPr>
      </w:pPr>
      <w:r>
        <w:rPr>
          <w:rFonts w:hint="eastAsia"/>
          <w:color w:val="auto"/>
          <w:highlight w:val="none"/>
        </w:rPr>
        <w:t>发现气瓶泄漏时，应立即关闭气瓶阀门，疏散人员，开启通风系统，根据气体特性采取应急处置措施，严禁在泄漏区域开关电器、使用明火。</w:t>
      </w:r>
    </w:p>
    <w:p w14:paraId="6A72792C">
      <w:pPr>
        <w:pStyle w:val="67"/>
        <w:spacing w:before="120" w:after="120"/>
        <w:rPr>
          <w:color w:val="auto"/>
          <w:highlight w:val="none"/>
        </w:rPr>
      </w:pPr>
      <w:r>
        <w:rPr>
          <w:rFonts w:hint="eastAsia"/>
          <w:color w:val="auto"/>
          <w:highlight w:val="none"/>
        </w:rPr>
        <w:t>电气设备操作</w:t>
      </w:r>
    </w:p>
    <w:p w14:paraId="449F7356">
      <w:pPr>
        <w:pStyle w:val="166"/>
        <w:rPr>
          <w:color w:val="auto"/>
          <w:highlight w:val="none"/>
        </w:rPr>
      </w:pPr>
      <w:r>
        <w:rPr>
          <w:rFonts w:hint="eastAsia"/>
          <w:color w:val="auto"/>
          <w:highlight w:val="none"/>
        </w:rPr>
        <w:t>电气设备操作前应检查设备接地、绝缘情况，确认完好后方可通电使用，严禁湿手操作电气设备，严禁在潮湿环境中使用非防水电气设备；</w:t>
      </w:r>
    </w:p>
    <w:p w14:paraId="341888BA">
      <w:pPr>
        <w:pStyle w:val="166"/>
        <w:rPr>
          <w:color w:val="auto"/>
          <w:highlight w:val="none"/>
        </w:rPr>
      </w:pPr>
      <w:r>
        <w:rPr>
          <w:rFonts w:hint="eastAsia"/>
          <w:color w:val="auto"/>
          <w:highlight w:val="none"/>
        </w:rPr>
        <w:t>电气设备维修、清洁前必须切断电源，悬挂“禁止合闸 有人工作”警示标识，严禁带电维修、清洁设备；</w:t>
      </w:r>
    </w:p>
    <w:p w14:paraId="03C6ED9A">
      <w:pPr>
        <w:pStyle w:val="166"/>
        <w:rPr>
          <w:color w:val="auto"/>
          <w:highlight w:val="none"/>
        </w:rPr>
      </w:pPr>
      <w:r>
        <w:rPr>
          <w:rFonts w:hint="eastAsia"/>
          <w:color w:val="auto"/>
          <w:highlight w:val="none"/>
        </w:rPr>
        <w:t>严禁私拉乱接电线，严禁超负荷用电，严禁使用破损、老化的电线、插头、插座，保险丝应按额定电流配置。</w:t>
      </w:r>
    </w:p>
    <w:p w14:paraId="65433B0A">
      <w:pPr>
        <w:pStyle w:val="67"/>
        <w:spacing w:before="120" w:after="120"/>
        <w:rPr>
          <w:color w:val="auto"/>
          <w:highlight w:val="none"/>
        </w:rPr>
      </w:pPr>
      <w:r>
        <w:rPr>
          <w:rFonts w:hint="eastAsia"/>
          <w:color w:val="auto"/>
          <w:highlight w:val="none"/>
          <w:lang w:val="en-US" w:eastAsia="zh-CN"/>
        </w:rPr>
        <w:t>痕量分析</w:t>
      </w:r>
      <w:r>
        <w:rPr>
          <w:rFonts w:hint="eastAsia"/>
          <w:color w:val="auto"/>
          <w:highlight w:val="none"/>
        </w:rPr>
        <w:t>操作</w:t>
      </w:r>
    </w:p>
    <w:p w14:paraId="33DD4F51">
      <w:pPr>
        <w:pStyle w:val="96"/>
        <w:rPr>
          <w:rFonts w:hint="eastAsia"/>
          <w:color w:val="auto"/>
          <w:highlight w:val="none"/>
        </w:rPr>
      </w:pPr>
      <w:r>
        <w:rPr>
          <w:rFonts w:hint="eastAsia" w:ascii="宋体" w:eastAsia="宋体"/>
          <w:color w:val="auto"/>
          <w:highlight w:val="none"/>
        </w:rPr>
        <w:t>痕量高纯度试剂、标准物质限量领用、专柜上锁，专人管理，防止误拿、混用引发安全和数据双重风险。低温冷藏保存的易挥发、易分解样品试剂，开关柜门轻开轻关，防止挥发气体积聚中毒。</w:t>
      </w:r>
    </w:p>
    <w:p w14:paraId="46A1510D">
      <w:pPr>
        <w:pStyle w:val="96"/>
        <w:rPr>
          <w:rFonts w:hint="eastAsia" w:ascii="宋体" w:eastAsia="宋体"/>
          <w:color w:val="auto"/>
          <w:highlight w:val="none"/>
        </w:rPr>
      </w:pPr>
      <w:r>
        <w:rPr>
          <w:rFonts w:hint="eastAsia" w:ascii="宋体" w:eastAsia="宋体"/>
          <w:color w:val="auto"/>
          <w:highlight w:val="none"/>
        </w:rPr>
        <w:t>超痕量前处理分区操作，金属与有机物前处理隔离区域、专用器具，既防交叉污染，也避免不同化学品混存带来安全隐患。</w:t>
      </w:r>
    </w:p>
    <w:p w14:paraId="4F3DF0A6">
      <w:pPr>
        <w:pStyle w:val="106"/>
        <w:spacing w:before="240" w:after="240"/>
        <w:rPr>
          <w:color w:val="auto"/>
          <w:highlight w:val="none"/>
        </w:rPr>
      </w:pPr>
      <w:bookmarkStart w:id="135" w:name="_Toc225206559"/>
      <w:bookmarkStart w:id="136" w:name="_Toc220313233"/>
      <w:bookmarkStart w:id="137" w:name="_Toc220311870"/>
      <w:bookmarkStart w:id="138" w:name="_Toc17611"/>
      <w:bookmarkStart w:id="139" w:name="_Toc220314029"/>
      <w:r>
        <w:rPr>
          <w:rFonts w:hint="eastAsia"/>
          <w:color w:val="auto"/>
          <w:highlight w:val="none"/>
        </w:rPr>
        <w:t>应急管理</w:t>
      </w:r>
      <w:bookmarkEnd w:id="135"/>
      <w:bookmarkEnd w:id="136"/>
      <w:bookmarkEnd w:id="137"/>
      <w:bookmarkEnd w:id="138"/>
      <w:bookmarkEnd w:id="139"/>
    </w:p>
    <w:p w14:paraId="1645DE62">
      <w:pPr>
        <w:pStyle w:val="107"/>
        <w:spacing w:before="120" w:after="120"/>
        <w:rPr>
          <w:color w:val="auto"/>
          <w:highlight w:val="none"/>
        </w:rPr>
      </w:pPr>
      <w:bookmarkStart w:id="140" w:name="_Toc220313234"/>
      <w:bookmarkStart w:id="141" w:name="_Toc220314030"/>
      <w:bookmarkStart w:id="142" w:name="_Toc225206560"/>
      <w:bookmarkStart w:id="143" w:name="_Toc220311871"/>
      <w:bookmarkStart w:id="144" w:name="_Toc2178"/>
      <w:r>
        <w:rPr>
          <w:rFonts w:hint="eastAsia"/>
          <w:color w:val="auto"/>
          <w:highlight w:val="none"/>
        </w:rPr>
        <w:t>应急预案制定</w:t>
      </w:r>
      <w:bookmarkEnd w:id="140"/>
      <w:bookmarkEnd w:id="141"/>
      <w:bookmarkEnd w:id="142"/>
      <w:bookmarkEnd w:id="143"/>
      <w:bookmarkEnd w:id="144"/>
    </w:p>
    <w:p w14:paraId="1171136C">
      <w:pPr>
        <w:pStyle w:val="167"/>
        <w:rPr>
          <w:color w:val="auto"/>
          <w:highlight w:val="none"/>
        </w:rPr>
      </w:pPr>
      <w:r>
        <w:rPr>
          <w:rFonts w:hint="eastAsia"/>
          <w:color w:val="auto"/>
          <w:highlight w:val="none"/>
        </w:rPr>
        <w:t>实验室应结合风险特性，制定专项应急预案，至少包括：化学品泄漏应急预案、火灾应急预案、触电应急预案、人员受伤应急预案、仪器故障应急预案、生物污染应急预案、辐射泄漏应急预案、数据安全事件应急预案等。</w:t>
      </w:r>
    </w:p>
    <w:p w14:paraId="3A02C417">
      <w:pPr>
        <w:pStyle w:val="167"/>
        <w:rPr>
          <w:color w:val="auto"/>
          <w:highlight w:val="none"/>
        </w:rPr>
      </w:pPr>
      <w:r>
        <w:rPr>
          <w:rFonts w:hint="eastAsia"/>
          <w:color w:val="auto"/>
          <w:highlight w:val="none"/>
        </w:rPr>
        <w:t>应急预案应明确应急组织机构、职责分工、应急响应流程、应急处置措施、应急物资、疏散路线、联系方式等内容，符合国家应急管理相关要求，定期修订。</w:t>
      </w:r>
    </w:p>
    <w:p w14:paraId="1729867E">
      <w:pPr>
        <w:pStyle w:val="107"/>
        <w:spacing w:before="120" w:after="120"/>
        <w:rPr>
          <w:color w:val="auto"/>
          <w:highlight w:val="none"/>
        </w:rPr>
      </w:pPr>
      <w:bookmarkStart w:id="145" w:name="_Toc12902"/>
      <w:bookmarkStart w:id="146" w:name="_Toc225206561"/>
      <w:bookmarkStart w:id="147" w:name="_Toc220314031"/>
      <w:bookmarkStart w:id="148" w:name="_Toc220313235"/>
      <w:bookmarkStart w:id="149" w:name="_Toc220311872"/>
      <w:r>
        <w:rPr>
          <w:rFonts w:hint="eastAsia"/>
          <w:color w:val="auto"/>
          <w:highlight w:val="none"/>
        </w:rPr>
        <w:t>应急物资配置</w:t>
      </w:r>
      <w:bookmarkEnd w:id="145"/>
      <w:bookmarkEnd w:id="146"/>
      <w:bookmarkEnd w:id="147"/>
      <w:bookmarkEnd w:id="148"/>
      <w:bookmarkEnd w:id="149"/>
    </w:p>
    <w:p w14:paraId="244CD883">
      <w:pPr>
        <w:pStyle w:val="167"/>
        <w:rPr>
          <w:color w:val="auto"/>
          <w:highlight w:val="none"/>
        </w:rPr>
      </w:pPr>
      <w:r>
        <w:rPr>
          <w:rFonts w:hint="eastAsia"/>
          <w:color w:val="auto"/>
          <w:highlight w:val="none"/>
        </w:rPr>
        <w:t>实验室应配备充足的应急物资，包括：消防器材、应急喷淋、洗眼器、急救箱、化学品泄漏吸收材料、应急照明、对讲机、应急疏散指示标志、辐射应急防护用品、去污材料、数据备份设备等。具体要求如下：</w:t>
      </w:r>
    </w:p>
    <w:p w14:paraId="7FB8F837">
      <w:pPr>
        <w:pStyle w:val="134"/>
        <w:rPr>
          <w:color w:val="auto"/>
          <w:highlight w:val="none"/>
        </w:rPr>
      </w:pPr>
      <w:r>
        <w:rPr>
          <w:rFonts w:hint="eastAsia"/>
          <w:color w:val="auto"/>
          <w:highlight w:val="none"/>
        </w:rPr>
        <w:t>消防器材：依据GB 50140的规定，按风险等级配置。高风险区域（试剂储存区、前处理区）每50</w:t>
      </w:r>
      <w:r>
        <w:rPr>
          <w:rFonts w:hint="eastAsia"/>
          <w:color w:val="auto"/>
          <w:highlight w:val="none"/>
          <w:vertAlign w:val="superscript"/>
        </w:rPr>
        <w:t xml:space="preserve"> </w:t>
      </w:r>
      <w:r>
        <w:rPr>
          <w:rFonts w:hint="eastAsia"/>
          <w:color w:val="auto"/>
          <w:highlight w:val="none"/>
        </w:rPr>
        <w:t>m</w:t>
      </w:r>
      <w:r>
        <w:rPr>
          <w:rFonts w:hint="eastAsia"/>
          <w:color w:val="auto"/>
          <w:highlight w:val="none"/>
          <w:vertAlign w:val="superscript"/>
        </w:rPr>
        <w:t>2</w:t>
      </w:r>
      <w:r>
        <w:rPr>
          <w:rFonts w:hint="eastAsia"/>
          <w:color w:val="auto"/>
          <w:highlight w:val="none"/>
        </w:rPr>
        <w:t>配置不少于2具对应类型灭火器（有机溶剂/电气风险配干粉或二氧化碳灭火器，固体火灾配干粉灭火器）；一般区域每100</w:t>
      </w:r>
      <w:r>
        <w:rPr>
          <w:rFonts w:hint="eastAsia"/>
          <w:color w:val="auto"/>
          <w:highlight w:val="none"/>
          <w:vertAlign w:val="superscript"/>
        </w:rPr>
        <w:t xml:space="preserve"> </w:t>
      </w:r>
      <w:r>
        <w:rPr>
          <w:rFonts w:hint="eastAsia"/>
          <w:color w:val="auto"/>
          <w:highlight w:val="none"/>
        </w:rPr>
        <w:t>m</w:t>
      </w:r>
      <w:r>
        <w:rPr>
          <w:rFonts w:hint="eastAsia"/>
          <w:color w:val="auto"/>
          <w:highlight w:val="none"/>
          <w:vertAlign w:val="superscript"/>
        </w:rPr>
        <w:t>2</w:t>
      </w:r>
      <w:r>
        <w:rPr>
          <w:rFonts w:hint="eastAsia"/>
          <w:color w:val="auto"/>
          <w:highlight w:val="none"/>
        </w:rPr>
        <w:t>配置不少于2具灭火器，每个独立房间至少配置1具，灭火器间距不超过15</w:t>
      </w:r>
      <w:r>
        <w:rPr>
          <w:rFonts w:hint="eastAsia"/>
          <w:color w:val="auto"/>
          <w:highlight w:val="none"/>
          <w:vertAlign w:val="superscript"/>
        </w:rPr>
        <w:t xml:space="preserve"> </w:t>
      </w:r>
      <w:r>
        <w:rPr>
          <w:rFonts w:hint="eastAsia"/>
          <w:color w:val="auto"/>
          <w:highlight w:val="none"/>
        </w:rPr>
        <w:t>m，距地面高度0.08</w:t>
      </w:r>
      <w:r>
        <w:rPr>
          <w:rFonts w:hint="eastAsia"/>
          <w:color w:val="auto"/>
          <w:highlight w:val="none"/>
          <w:vertAlign w:val="superscript"/>
        </w:rPr>
        <w:t xml:space="preserve"> </w:t>
      </w:r>
      <w:r>
        <w:rPr>
          <w:rFonts w:hint="eastAsia"/>
          <w:color w:val="auto"/>
          <w:highlight w:val="none"/>
        </w:rPr>
        <w:t>m～1.5</w:t>
      </w:r>
      <w:r>
        <w:rPr>
          <w:rFonts w:hint="eastAsia"/>
          <w:color w:val="auto"/>
          <w:highlight w:val="none"/>
          <w:vertAlign w:val="superscript"/>
        </w:rPr>
        <w:t xml:space="preserve"> </w:t>
      </w:r>
      <w:r>
        <w:rPr>
          <w:rFonts w:hint="eastAsia"/>
          <w:color w:val="auto"/>
          <w:highlight w:val="none"/>
        </w:rPr>
        <w:t>m；</w:t>
      </w:r>
    </w:p>
    <w:p w14:paraId="79C49FEF">
      <w:pPr>
        <w:pStyle w:val="134"/>
        <w:rPr>
          <w:color w:val="auto"/>
          <w:highlight w:val="none"/>
        </w:rPr>
      </w:pPr>
      <w:r>
        <w:rPr>
          <w:rFonts w:hint="eastAsia"/>
          <w:color w:val="auto"/>
          <w:highlight w:val="none"/>
        </w:rPr>
        <w:t>应急喷淋与洗眼器：高风险操作区（微波消解室、酸碱使用区、前处理区）每50</w:t>
      </w:r>
      <w:r>
        <w:rPr>
          <w:rFonts w:hint="eastAsia"/>
          <w:color w:val="auto"/>
          <w:highlight w:val="none"/>
          <w:vertAlign w:val="superscript"/>
        </w:rPr>
        <w:t xml:space="preserve"> </w:t>
      </w:r>
      <w:r>
        <w:rPr>
          <w:rFonts w:hint="eastAsia"/>
          <w:color w:val="auto"/>
          <w:highlight w:val="none"/>
        </w:rPr>
        <w:t>m</w:t>
      </w:r>
      <w:r>
        <w:rPr>
          <w:rFonts w:hint="eastAsia"/>
          <w:color w:val="auto"/>
          <w:highlight w:val="none"/>
          <w:vertAlign w:val="superscript"/>
        </w:rPr>
        <w:t>2</w:t>
      </w:r>
      <w:r>
        <w:rPr>
          <w:rFonts w:hint="eastAsia"/>
          <w:color w:val="auto"/>
          <w:highlight w:val="none"/>
        </w:rPr>
        <w:t>范围内至少设置1套，且与操作点距离不超过15</w:t>
      </w:r>
      <w:r>
        <w:rPr>
          <w:rFonts w:hint="eastAsia"/>
          <w:color w:val="auto"/>
          <w:highlight w:val="none"/>
          <w:vertAlign w:val="superscript"/>
        </w:rPr>
        <w:t xml:space="preserve"> </w:t>
      </w:r>
      <w:r>
        <w:rPr>
          <w:rFonts w:hint="eastAsia"/>
          <w:color w:val="auto"/>
          <w:highlight w:val="none"/>
        </w:rPr>
        <w:t>m；洗眼器安装高度距地面1.0</w:t>
      </w:r>
      <w:r>
        <w:rPr>
          <w:rFonts w:hint="eastAsia"/>
          <w:color w:val="auto"/>
          <w:highlight w:val="none"/>
          <w:vertAlign w:val="superscript"/>
        </w:rPr>
        <w:t xml:space="preserve"> </w:t>
      </w:r>
      <w:r>
        <w:rPr>
          <w:rFonts w:hint="eastAsia"/>
          <w:color w:val="auto"/>
          <w:highlight w:val="none"/>
        </w:rPr>
        <w:t>m～1.2</w:t>
      </w:r>
      <w:r>
        <w:rPr>
          <w:rFonts w:hint="eastAsia"/>
          <w:color w:val="auto"/>
          <w:highlight w:val="none"/>
          <w:vertAlign w:val="superscript"/>
        </w:rPr>
        <w:t xml:space="preserve"> </w:t>
      </w:r>
      <w:r>
        <w:rPr>
          <w:rFonts w:hint="eastAsia"/>
          <w:color w:val="auto"/>
          <w:highlight w:val="none"/>
        </w:rPr>
        <w:t>m，应急喷淋响应时间不超过10</w:t>
      </w:r>
      <w:r>
        <w:rPr>
          <w:rFonts w:hint="eastAsia"/>
          <w:color w:val="auto"/>
          <w:highlight w:val="none"/>
          <w:vertAlign w:val="superscript"/>
        </w:rPr>
        <w:t xml:space="preserve"> </w:t>
      </w:r>
      <w:r>
        <w:rPr>
          <w:rFonts w:hint="eastAsia"/>
          <w:color w:val="auto"/>
          <w:highlight w:val="none"/>
        </w:rPr>
        <w:t>s，洗眼器出水量不低于12</w:t>
      </w:r>
      <w:r>
        <w:rPr>
          <w:rFonts w:hint="eastAsia"/>
          <w:color w:val="auto"/>
          <w:highlight w:val="none"/>
          <w:vertAlign w:val="superscript"/>
        </w:rPr>
        <w:t xml:space="preserve"> </w:t>
      </w:r>
      <w:r>
        <w:rPr>
          <w:rFonts w:hint="eastAsia"/>
          <w:color w:val="auto"/>
          <w:highlight w:val="none"/>
        </w:rPr>
        <w:t>L/min，周围无遮挡；</w:t>
      </w:r>
    </w:p>
    <w:p w14:paraId="07388083">
      <w:pPr>
        <w:pStyle w:val="134"/>
        <w:rPr>
          <w:color w:val="auto"/>
          <w:highlight w:val="none"/>
        </w:rPr>
      </w:pPr>
      <w:r>
        <w:rPr>
          <w:rFonts w:hint="eastAsia"/>
          <w:color w:val="auto"/>
          <w:highlight w:val="none"/>
        </w:rPr>
        <w:t>急救箱：按每20名在岗人员配置1个标准急救箱，不足20人按1个配置，每个独立检测区域至少设置1个，内置止血带、纱布、碘伏、烫伤膏、酸碱中和药膏等常用急救用品。</w:t>
      </w:r>
    </w:p>
    <w:p w14:paraId="1DA6D405">
      <w:pPr>
        <w:pStyle w:val="134"/>
        <w:rPr>
          <w:color w:val="auto"/>
          <w:highlight w:val="none"/>
        </w:rPr>
      </w:pPr>
      <w:r>
        <w:rPr>
          <w:rFonts w:hint="eastAsia"/>
          <w:color w:val="auto"/>
          <w:highlight w:val="none"/>
        </w:rPr>
        <w:t>化学品泄漏吸收材料：试剂储存区、前处理区至少储备不少于5</w:t>
      </w:r>
      <w:r>
        <w:rPr>
          <w:rFonts w:hint="eastAsia"/>
          <w:color w:val="auto"/>
          <w:highlight w:val="none"/>
          <w:vertAlign w:val="superscript"/>
        </w:rPr>
        <w:t xml:space="preserve"> </w:t>
      </w:r>
      <w:r>
        <w:rPr>
          <w:rFonts w:hint="eastAsia"/>
          <w:color w:val="auto"/>
          <w:highlight w:val="none"/>
        </w:rPr>
        <w:t>kg吸附棉、20</w:t>
      </w:r>
      <w:r>
        <w:rPr>
          <w:rFonts w:hint="eastAsia"/>
          <w:color w:val="auto"/>
          <w:highlight w:val="none"/>
          <w:vertAlign w:val="superscript"/>
        </w:rPr>
        <w:t xml:space="preserve"> </w:t>
      </w:r>
      <w:r>
        <w:rPr>
          <w:rFonts w:hint="eastAsia"/>
          <w:color w:val="auto"/>
          <w:highlight w:val="none"/>
        </w:rPr>
        <w:t>kg吸附沙/碳酸氢钠粉末、10</w:t>
      </w:r>
      <w:r>
        <w:rPr>
          <w:rFonts w:hint="eastAsia"/>
          <w:color w:val="auto"/>
          <w:highlight w:val="none"/>
          <w:vertAlign w:val="superscript"/>
        </w:rPr>
        <w:t xml:space="preserve"> </w:t>
      </w:r>
      <w:r>
        <w:rPr>
          <w:rFonts w:hint="eastAsia"/>
          <w:color w:val="auto"/>
          <w:highlight w:val="none"/>
        </w:rPr>
        <w:t>kg硼酸粉末，配备专用铲、桶等处置工具。</w:t>
      </w:r>
    </w:p>
    <w:p w14:paraId="2F1944F9">
      <w:pPr>
        <w:pStyle w:val="134"/>
        <w:rPr>
          <w:color w:val="auto"/>
          <w:highlight w:val="none"/>
        </w:rPr>
      </w:pPr>
      <w:r>
        <w:rPr>
          <w:rFonts w:hint="eastAsia"/>
          <w:color w:val="auto"/>
          <w:highlight w:val="none"/>
        </w:rPr>
        <w:t>其他应急物资：应急照明每10</w:t>
      </w:r>
      <w:r>
        <w:rPr>
          <w:rFonts w:hint="eastAsia"/>
          <w:color w:val="auto"/>
          <w:highlight w:val="none"/>
          <w:vertAlign w:val="superscript"/>
        </w:rPr>
        <w:t xml:space="preserve"> </w:t>
      </w:r>
      <w:r>
        <w:rPr>
          <w:rFonts w:hint="eastAsia"/>
          <w:color w:val="auto"/>
          <w:highlight w:val="none"/>
        </w:rPr>
        <w:t>m疏散通道设置1个，疏散指示标志间距不超过20</w:t>
      </w:r>
      <w:r>
        <w:rPr>
          <w:rFonts w:hint="eastAsia"/>
          <w:color w:val="auto"/>
          <w:highlight w:val="none"/>
          <w:vertAlign w:val="superscript"/>
        </w:rPr>
        <w:t xml:space="preserve"> </w:t>
      </w:r>
      <w:r>
        <w:rPr>
          <w:rFonts w:hint="eastAsia"/>
          <w:color w:val="auto"/>
          <w:highlight w:val="none"/>
        </w:rPr>
        <w:t>m；对讲机按应急小组每组2台配置，确保通讯畅通；辐射检测实验室应配备专用应急防护面罩、防护服、手套、表面污染检测仪、去污剂、应急衰变池等物资。</w:t>
      </w:r>
    </w:p>
    <w:p w14:paraId="7777DCF2">
      <w:pPr>
        <w:pStyle w:val="167"/>
        <w:rPr>
          <w:color w:val="auto"/>
          <w:highlight w:val="none"/>
        </w:rPr>
      </w:pPr>
      <w:r>
        <w:rPr>
          <w:rFonts w:hint="eastAsia"/>
          <w:color w:val="auto"/>
          <w:highlight w:val="none"/>
        </w:rPr>
        <w:t>应急物资应放置在明显、易取用位置，标识清晰，定期检查维护，确保完好有效，急救箱药品定期更换。</w:t>
      </w:r>
    </w:p>
    <w:p w14:paraId="4C641D9C">
      <w:pPr>
        <w:pStyle w:val="107"/>
        <w:spacing w:before="120" w:after="120"/>
        <w:rPr>
          <w:color w:val="auto"/>
          <w:highlight w:val="none"/>
        </w:rPr>
      </w:pPr>
      <w:bookmarkStart w:id="150" w:name="_Toc220313236"/>
      <w:bookmarkStart w:id="151" w:name="_Toc220311873"/>
      <w:bookmarkStart w:id="152" w:name="_Toc220314032"/>
      <w:bookmarkStart w:id="153" w:name="_Toc14738"/>
      <w:bookmarkStart w:id="154" w:name="_Toc225206562"/>
      <w:r>
        <w:rPr>
          <w:rFonts w:hint="eastAsia"/>
          <w:color w:val="auto"/>
          <w:highlight w:val="none"/>
        </w:rPr>
        <w:t>应急演练与事故处理</w:t>
      </w:r>
      <w:bookmarkEnd w:id="150"/>
      <w:bookmarkEnd w:id="151"/>
      <w:bookmarkEnd w:id="152"/>
      <w:bookmarkEnd w:id="153"/>
      <w:bookmarkEnd w:id="154"/>
    </w:p>
    <w:p w14:paraId="37D0C084">
      <w:pPr>
        <w:pStyle w:val="167"/>
        <w:rPr>
          <w:color w:val="auto"/>
          <w:highlight w:val="none"/>
        </w:rPr>
      </w:pPr>
      <w:r>
        <w:rPr>
          <w:rFonts w:hint="eastAsia"/>
          <w:color w:val="auto"/>
          <w:highlight w:val="none"/>
        </w:rPr>
        <w:t>实验室应定期开展应急演练，每年至少开展1次综合应急演练，每半年开展1次专项应急演练，演练前制定方案，演练后进行总结评估，优化应急预案，留存演练记录、照片、视频等资料。</w:t>
      </w:r>
    </w:p>
    <w:p w14:paraId="786A0471">
      <w:pPr>
        <w:pStyle w:val="167"/>
        <w:rPr>
          <w:color w:val="auto"/>
          <w:highlight w:val="none"/>
        </w:rPr>
      </w:pPr>
      <w:r>
        <w:rPr>
          <w:rFonts w:hint="eastAsia"/>
          <w:color w:val="auto"/>
          <w:highlight w:val="none"/>
        </w:rPr>
        <w:t>专项应急演练应覆盖实验室全类型风险场景，包括但不限于：化学品泄漏（酸/碱/有机溶剂/剧毒试剂）、火灾（电气/化学品/固体可燃物）、人员受伤（烫伤/化学灼伤/中毒/触电）、生物污染、仪器故障（高压设备泄漏/电气短路）、样品泄漏（含重金属/有毒有害物质样品）、辐射泄漏、数据安全事件等，每次专项演练聚焦1</w:t>
      </w:r>
      <w:r>
        <w:rPr>
          <w:rFonts w:hint="eastAsia" w:hAnsi="宋体"/>
          <w:color w:val="auto"/>
          <w:highlight w:val="none"/>
        </w:rPr>
        <w:t>～</w:t>
      </w:r>
      <w:r>
        <w:rPr>
          <w:rFonts w:hint="eastAsia"/>
          <w:color w:val="auto"/>
          <w:highlight w:val="none"/>
        </w:rPr>
        <w:t>2个核心场景，确保年度内所有高风险场景演练全覆盖。</w:t>
      </w:r>
    </w:p>
    <w:p w14:paraId="5E764F6F">
      <w:pPr>
        <w:pStyle w:val="167"/>
        <w:rPr>
          <w:color w:val="auto"/>
          <w:highlight w:val="none"/>
        </w:rPr>
      </w:pPr>
      <w:r>
        <w:rPr>
          <w:rFonts w:hint="eastAsia"/>
          <w:color w:val="auto"/>
          <w:highlight w:val="none"/>
        </w:rPr>
        <w:t>发生安全事故时，当事人应立即采取应急处置措施，具体措施见附录A，防止事态扩大，并及时向安全管理员、实验室负责人报告，严禁隐瞒事故。</w:t>
      </w:r>
    </w:p>
    <w:p w14:paraId="7BD23A19">
      <w:pPr>
        <w:pStyle w:val="167"/>
        <w:rPr>
          <w:color w:val="auto"/>
          <w:highlight w:val="none"/>
        </w:rPr>
      </w:pPr>
      <w:r>
        <w:rPr>
          <w:rFonts w:hint="eastAsia"/>
          <w:color w:val="auto"/>
          <w:highlight w:val="none"/>
        </w:rPr>
        <w:t>实验室负责人接到事故报告后，应立即启动应急预案，组织应急处置，必要时拨打119、120等急救电话，配合外部救援；事故处理完毕后，开展事故调查，分析事故原因，明确责任，制定整改措施，防止类似事故再次发生，留存事故处理记录、调查报告。</w:t>
      </w:r>
    </w:p>
    <w:p w14:paraId="4B0BDD0C">
      <w:pPr>
        <w:pStyle w:val="106"/>
        <w:spacing w:before="240" w:after="240"/>
        <w:rPr>
          <w:color w:val="auto"/>
          <w:highlight w:val="none"/>
        </w:rPr>
      </w:pPr>
      <w:bookmarkStart w:id="155" w:name="_Toc10680"/>
      <w:bookmarkStart w:id="156" w:name="_Toc220311874"/>
      <w:bookmarkStart w:id="157" w:name="_Toc220313237"/>
      <w:bookmarkStart w:id="158" w:name="_Toc225206563"/>
      <w:bookmarkStart w:id="159" w:name="_Toc220314033"/>
      <w:r>
        <w:rPr>
          <w:rFonts w:hint="eastAsia"/>
          <w:color w:val="auto"/>
          <w:highlight w:val="none"/>
        </w:rPr>
        <w:t>安全检查与持续改进</w:t>
      </w:r>
      <w:bookmarkEnd w:id="155"/>
      <w:bookmarkEnd w:id="156"/>
      <w:bookmarkEnd w:id="157"/>
      <w:bookmarkEnd w:id="158"/>
      <w:bookmarkEnd w:id="159"/>
    </w:p>
    <w:p w14:paraId="212BFAE4">
      <w:pPr>
        <w:pStyle w:val="107"/>
        <w:spacing w:before="120" w:after="120"/>
        <w:rPr>
          <w:color w:val="auto"/>
          <w:highlight w:val="none"/>
        </w:rPr>
      </w:pPr>
      <w:bookmarkStart w:id="160" w:name="_Toc19382"/>
      <w:bookmarkStart w:id="161" w:name="_Toc220311875"/>
      <w:bookmarkStart w:id="162" w:name="_Toc220314034"/>
      <w:bookmarkStart w:id="163" w:name="_Toc220313238"/>
      <w:bookmarkStart w:id="164" w:name="_Toc225206564"/>
      <w:r>
        <w:rPr>
          <w:rFonts w:hint="eastAsia"/>
          <w:color w:val="auto"/>
          <w:highlight w:val="none"/>
        </w:rPr>
        <w:t>安全检查</w:t>
      </w:r>
      <w:bookmarkEnd w:id="160"/>
      <w:bookmarkEnd w:id="161"/>
      <w:bookmarkEnd w:id="162"/>
      <w:bookmarkEnd w:id="163"/>
      <w:bookmarkEnd w:id="164"/>
    </w:p>
    <w:p w14:paraId="2F44B507">
      <w:pPr>
        <w:pStyle w:val="167"/>
        <w:rPr>
          <w:color w:val="auto"/>
          <w:highlight w:val="none"/>
        </w:rPr>
      </w:pPr>
      <w:r>
        <w:rPr>
          <w:rFonts w:hint="eastAsia"/>
          <w:color w:val="auto"/>
          <w:highlight w:val="none"/>
        </w:rPr>
        <w:t>实验室应建立常态化安全检查机制，包括日常巡查、每周检查、每月检查、年度综合检查，专项检查。</w:t>
      </w:r>
    </w:p>
    <w:p w14:paraId="79E189DB">
      <w:pPr>
        <w:pStyle w:val="167"/>
        <w:rPr>
          <w:color w:val="auto"/>
          <w:highlight w:val="none"/>
        </w:rPr>
      </w:pPr>
      <w:r>
        <w:rPr>
          <w:rFonts w:hint="eastAsia"/>
          <w:color w:val="auto"/>
          <w:highlight w:val="none"/>
        </w:rPr>
        <w:t>安全检查内容应覆盖全流程，包括：安全管理制度执行情况、设施设备安全、试剂与样品管理、操作安全、应急物资、消防安全、用电安全、废弃物处置、风险管控措施落实情况、辐射安全管理、信息安全管理等，建立检查台账，记录检查时间、检查人员、检查内容、发现问题、整改要求等。</w:t>
      </w:r>
    </w:p>
    <w:p w14:paraId="5C729F3A">
      <w:pPr>
        <w:pStyle w:val="167"/>
        <w:rPr>
          <w:color w:val="auto"/>
          <w:highlight w:val="none"/>
        </w:rPr>
      </w:pPr>
      <w:r>
        <w:rPr>
          <w:rFonts w:hint="eastAsia"/>
          <w:color w:val="auto"/>
          <w:highlight w:val="none"/>
        </w:rPr>
        <w:t>安全管理员负责日常巡查，每日不少于1次；各岗位负责人开展每周检查；安全管理领导小组开展每月检查及年度综合检查；专项检查根据实际情况组织实施。</w:t>
      </w:r>
    </w:p>
    <w:p w14:paraId="345359E6">
      <w:pPr>
        <w:pStyle w:val="107"/>
        <w:spacing w:before="120" w:after="120"/>
        <w:rPr>
          <w:color w:val="auto"/>
          <w:highlight w:val="none"/>
        </w:rPr>
      </w:pPr>
      <w:bookmarkStart w:id="165" w:name="_Toc220311876"/>
      <w:bookmarkStart w:id="166" w:name="_Toc220314035"/>
      <w:bookmarkStart w:id="167" w:name="_Toc17432"/>
      <w:bookmarkStart w:id="168" w:name="_Toc225206565"/>
      <w:bookmarkStart w:id="169" w:name="_Toc220313239"/>
      <w:r>
        <w:rPr>
          <w:rFonts w:hint="eastAsia"/>
          <w:color w:val="auto"/>
          <w:highlight w:val="none"/>
        </w:rPr>
        <w:t>隐患整改</w:t>
      </w:r>
      <w:bookmarkEnd w:id="165"/>
      <w:bookmarkEnd w:id="166"/>
      <w:bookmarkEnd w:id="167"/>
      <w:bookmarkEnd w:id="168"/>
      <w:bookmarkEnd w:id="169"/>
    </w:p>
    <w:p w14:paraId="7CACA09F">
      <w:pPr>
        <w:pStyle w:val="167"/>
        <w:rPr>
          <w:color w:val="auto"/>
          <w:highlight w:val="none"/>
        </w:rPr>
      </w:pPr>
      <w:r>
        <w:rPr>
          <w:rFonts w:hint="eastAsia"/>
          <w:color w:val="auto"/>
          <w:highlight w:val="none"/>
        </w:rPr>
        <w:t>对检查发现的安全隐患，应按“定责任人、定整改措施、定整改时限、定复查人”的原则，建立隐患整改台账，明确整改要求，跟踪整改进度。</w:t>
      </w:r>
    </w:p>
    <w:p w14:paraId="059AEC53">
      <w:pPr>
        <w:pStyle w:val="167"/>
        <w:rPr>
          <w:color w:val="auto"/>
          <w:highlight w:val="none"/>
        </w:rPr>
      </w:pPr>
      <w:r>
        <w:rPr>
          <w:rFonts w:hint="eastAsia"/>
          <w:color w:val="auto"/>
          <w:highlight w:val="none"/>
        </w:rPr>
        <w:t>一般隐患应立即整改，整改完成后由复查人确认；重大隐患应立即停止相关作业，设置警示标识，制定专项整改方案，限期整改，整改完成后经安全管理领导小组验收合格方可恢复作业。</w:t>
      </w:r>
    </w:p>
    <w:p w14:paraId="2368E9AC">
      <w:pPr>
        <w:pStyle w:val="167"/>
        <w:rPr>
          <w:color w:val="auto"/>
          <w:highlight w:val="none"/>
        </w:rPr>
      </w:pPr>
      <w:r>
        <w:rPr>
          <w:rFonts w:hint="eastAsia"/>
          <w:color w:val="auto"/>
          <w:highlight w:val="none"/>
        </w:rPr>
        <w:t>隐患整改应留存记录，包括隐患描述、整改措施、整改过程、整改结果、复查意见等，形成闭环管理。</w:t>
      </w:r>
    </w:p>
    <w:p w14:paraId="0AD923D6">
      <w:pPr>
        <w:pStyle w:val="107"/>
        <w:spacing w:before="120" w:after="120"/>
        <w:rPr>
          <w:color w:val="auto"/>
          <w:highlight w:val="none"/>
        </w:rPr>
      </w:pPr>
      <w:bookmarkStart w:id="170" w:name="_Toc225206566"/>
      <w:bookmarkStart w:id="171" w:name="_Toc24272"/>
      <w:bookmarkStart w:id="172" w:name="_Toc220313240"/>
      <w:bookmarkStart w:id="173" w:name="_Toc220314036"/>
      <w:bookmarkStart w:id="174" w:name="_Toc220311877"/>
      <w:r>
        <w:rPr>
          <w:rFonts w:hint="eastAsia"/>
          <w:color w:val="auto"/>
          <w:highlight w:val="none"/>
        </w:rPr>
        <w:t>持续改进</w:t>
      </w:r>
      <w:bookmarkEnd w:id="170"/>
      <w:bookmarkEnd w:id="171"/>
      <w:bookmarkEnd w:id="172"/>
      <w:bookmarkEnd w:id="173"/>
      <w:bookmarkEnd w:id="174"/>
    </w:p>
    <w:p w14:paraId="47406CA2">
      <w:pPr>
        <w:pStyle w:val="167"/>
        <w:rPr>
          <w:color w:val="auto"/>
          <w:highlight w:val="none"/>
        </w:rPr>
      </w:pPr>
      <w:r>
        <w:rPr>
          <w:rFonts w:hint="eastAsia"/>
          <w:color w:val="auto"/>
          <w:highlight w:val="none"/>
        </w:rPr>
        <w:t>实验室应定期开展安全管理体系评审，每年至少1次，结合安全检查结果、应急演练情况、事故处理情况、法律法规及标准更新、业务变化等，评估安全管理体系的适宜性、有效性，识别改进机会。</w:t>
      </w:r>
    </w:p>
    <w:p w14:paraId="0D945CEB">
      <w:pPr>
        <w:pStyle w:val="167"/>
        <w:rPr>
          <w:color w:val="auto"/>
          <w:highlight w:val="none"/>
        </w:rPr>
      </w:pPr>
      <w:r>
        <w:rPr>
          <w:rFonts w:hint="eastAsia"/>
          <w:color w:val="auto"/>
          <w:highlight w:val="none"/>
        </w:rPr>
        <w:t>针对评审发现的问题，制定改进计划，明确改进措施、责任人、完成时限，跟踪改进效果，留存评审报告、改进计划、改进记录等资料。</w:t>
      </w:r>
    </w:p>
    <w:p w14:paraId="01254A32">
      <w:pPr>
        <w:pStyle w:val="167"/>
        <w:rPr>
          <w:color w:val="auto"/>
          <w:highlight w:val="none"/>
        </w:rPr>
      </w:pPr>
      <w:r>
        <w:rPr>
          <w:rFonts w:hint="eastAsia"/>
          <w:color w:val="auto"/>
          <w:highlight w:val="none"/>
        </w:rPr>
        <w:t>鼓励实验室收集行业安全管理先进经验、技术，引入先进安全管理方法、设备，持续提升安全管理水平。</w:t>
      </w:r>
    </w:p>
    <w:p w14:paraId="32F92994">
      <w:pPr>
        <w:pStyle w:val="106"/>
        <w:spacing w:before="240" w:after="240"/>
        <w:rPr>
          <w:color w:val="auto"/>
          <w:highlight w:val="none"/>
        </w:rPr>
      </w:pPr>
      <w:bookmarkStart w:id="175" w:name="_Toc26172"/>
      <w:bookmarkStart w:id="176" w:name="_Toc225206567"/>
      <w:r>
        <w:rPr>
          <w:rFonts w:hint="eastAsia"/>
          <w:color w:val="auto"/>
          <w:highlight w:val="none"/>
        </w:rPr>
        <w:t>数据与信息安全管理</w:t>
      </w:r>
      <w:bookmarkEnd w:id="175"/>
      <w:bookmarkEnd w:id="176"/>
    </w:p>
    <w:p w14:paraId="1BBCE809">
      <w:pPr>
        <w:pStyle w:val="107"/>
        <w:spacing w:before="120" w:after="120"/>
        <w:rPr>
          <w:color w:val="auto"/>
          <w:highlight w:val="none"/>
        </w:rPr>
      </w:pPr>
      <w:bookmarkStart w:id="177" w:name="_Toc24496"/>
      <w:bookmarkStart w:id="178" w:name="_Toc225206568"/>
      <w:r>
        <w:rPr>
          <w:rFonts w:hint="eastAsia"/>
          <w:color w:val="auto"/>
          <w:highlight w:val="none"/>
        </w:rPr>
        <w:t>总体要求</w:t>
      </w:r>
      <w:bookmarkEnd w:id="177"/>
      <w:bookmarkEnd w:id="178"/>
    </w:p>
    <w:p w14:paraId="391E6FDF">
      <w:pPr>
        <w:pStyle w:val="58"/>
        <w:ind w:firstLine="420"/>
        <w:rPr>
          <w:color w:val="auto"/>
          <w:highlight w:val="none"/>
        </w:rPr>
      </w:pPr>
      <w:r>
        <w:rPr>
          <w:rFonts w:hint="eastAsia"/>
          <w:color w:val="auto"/>
          <w:highlight w:val="none"/>
        </w:rPr>
        <w:t>实验室应建立数据与信息全生命周期安全管理制度，覆盖数据采集、传输、存储、处理、备份、销毁全流程，保障检测数据的真实性、完整性、保密性、可用性，符合国家网络安全、数据安全相关法律法规要求。</w:t>
      </w:r>
    </w:p>
    <w:p w14:paraId="5FB6863E">
      <w:pPr>
        <w:pStyle w:val="107"/>
        <w:spacing w:before="120" w:after="120"/>
        <w:rPr>
          <w:color w:val="auto"/>
          <w:highlight w:val="none"/>
        </w:rPr>
      </w:pPr>
      <w:bookmarkStart w:id="179" w:name="_Toc16606"/>
      <w:bookmarkStart w:id="180" w:name="_Toc225206569"/>
      <w:r>
        <w:rPr>
          <w:rFonts w:hint="eastAsia"/>
          <w:color w:val="auto"/>
          <w:highlight w:val="none"/>
        </w:rPr>
        <w:t>数据传输安全</w:t>
      </w:r>
      <w:bookmarkEnd w:id="179"/>
      <w:bookmarkEnd w:id="180"/>
    </w:p>
    <w:p w14:paraId="7848D641">
      <w:pPr>
        <w:pStyle w:val="167"/>
        <w:rPr>
          <w:color w:val="auto"/>
          <w:highlight w:val="none"/>
        </w:rPr>
      </w:pPr>
      <w:r>
        <w:rPr>
          <w:rFonts w:hint="eastAsia"/>
          <w:color w:val="auto"/>
          <w:highlight w:val="none"/>
        </w:rPr>
        <w:t>实验室检测数据、敏感信息在公共网络传输时，必须采用加密传输方式（如SSL/TLS协议、VPN加密通道），严禁明文传输涉密数据、检测原始数据、客户敏感信息。</w:t>
      </w:r>
    </w:p>
    <w:p w14:paraId="1D5084BC">
      <w:pPr>
        <w:pStyle w:val="167"/>
        <w:rPr>
          <w:color w:val="auto"/>
          <w:highlight w:val="none"/>
        </w:rPr>
      </w:pPr>
      <w:r>
        <w:rPr>
          <w:rFonts w:hint="eastAsia"/>
          <w:color w:val="auto"/>
          <w:highlight w:val="none"/>
        </w:rPr>
        <w:t>现场检测数据向实验室传输时，应采用专用加密传输系统，设置身份认证机制，确保数据传输过程中不被篡改、窃取、丢失，传输完成后应核对数据完整性。</w:t>
      </w:r>
    </w:p>
    <w:p w14:paraId="3500E35C">
      <w:pPr>
        <w:pStyle w:val="167"/>
        <w:rPr>
          <w:color w:val="auto"/>
          <w:highlight w:val="none"/>
        </w:rPr>
      </w:pPr>
      <w:r>
        <w:rPr>
          <w:rFonts w:hint="eastAsia"/>
          <w:color w:val="auto"/>
          <w:highlight w:val="none"/>
        </w:rPr>
        <w:t>严禁使用非涉密网络传输涉密信息，严禁通过公共邮箱、即时通讯工具传输未脱敏的检测报告、原始数据、客户商业秘密等敏感信息。</w:t>
      </w:r>
    </w:p>
    <w:p w14:paraId="7E1F09B3">
      <w:pPr>
        <w:pStyle w:val="107"/>
        <w:spacing w:before="120" w:after="120"/>
        <w:rPr>
          <w:color w:val="auto"/>
          <w:highlight w:val="none"/>
        </w:rPr>
      </w:pPr>
      <w:bookmarkStart w:id="181" w:name="_Toc32423"/>
      <w:bookmarkStart w:id="182" w:name="_Toc225206570"/>
      <w:r>
        <w:rPr>
          <w:rFonts w:hint="eastAsia"/>
          <w:color w:val="auto"/>
          <w:highlight w:val="none"/>
        </w:rPr>
        <w:t>数据存储与备份安全</w:t>
      </w:r>
      <w:bookmarkEnd w:id="181"/>
      <w:bookmarkEnd w:id="182"/>
    </w:p>
    <w:p w14:paraId="07C40A99">
      <w:pPr>
        <w:pStyle w:val="167"/>
        <w:rPr>
          <w:color w:val="auto"/>
          <w:highlight w:val="none"/>
        </w:rPr>
      </w:pPr>
      <w:r>
        <w:rPr>
          <w:rFonts w:hint="eastAsia"/>
          <w:color w:val="auto"/>
          <w:highlight w:val="none"/>
        </w:rPr>
        <w:t>实验室应建立分级数据存储管理制度，按数据重要程度、敏感等级分级存储，检测原始数据、报告、设备图谱等核心数据应存储在专用服务器中，设置访问权限，严禁未经授权访问、修改、删除数据。</w:t>
      </w:r>
    </w:p>
    <w:p w14:paraId="06D738B9">
      <w:pPr>
        <w:pStyle w:val="167"/>
        <w:rPr>
          <w:color w:val="auto"/>
          <w:highlight w:val="none"/>
        </w:rPr>
      </w:pPr>
      <w:r>
        <w:rPr>
          <w:rFonts w:hint="eastAsia"/>
          <w:color w:val="auto"/>
          <w:highlight w:val="none"/>
        </w:rPr>
        <w:t>实验室应建立完善的数据备份机制，核心数据应采用“本地备份+异地备份”双重备份模式，</w:t>
      </w:r>
      <w:r>
        <w:rPr>
          <w:rFonts w:hint="eastAsia"/>
          <w:color w:val="auto"/>
          <w:highlight w:val="none"/>
          <w:lang w:val="en-US" w:eastAsia="zh-CN"/>
        </w:rPr>
        <w:t>根据数据信息情况确定备份频次</w:t>
      </w:r>
      <w:r>
        <w:rPr>
          <w:rFonts w:hint="eastAsia"/>
          <w:color w:val="auto"/>
          <w:highlight w:val="none"/>
        </w:rPr>
        <w:t>，备份介质应单独存放、定期检查，确保备份数据可完整恢复。</w:t>
      </w:r>
    </w:p>
    <w:p w14:paraId="09A7B9F9">
      <w:pPr>
        <w:pStyle w:val="167"/>
        <w:rPr>
          <w:color w:val="auto"/>
          <w:highlight w:val="none"/>
        </w:rPr>
      </w:pPr>
      <w:r>
        <w:rPr>
          <w:rFonts w:hint="eastAsia"/>
          <w:color w:val="auto"/>
          <w:highlight w:val="none"/>
        </w:rPr>
        <w:t>备份数据应设置加密保护，明确备份责任人、恢复流程，每季度至少开展1次数据恢复测试，验证备份数据的有效性，留存测试记录。</w:t>
      </w:r>
    </w:p>
    <w:p w14:paraId="029631BE">
      <w:pPr>
        <w:pStyle w:val="167"/>
        <w:rPr>
          <w:color w:val="auto"/>
          <w:highlight w:val="none"/>
        </w:rPr>
      </w:pPr>
      <w:r>
        <w:rPr>
          <w:rFonts w:hint="eastAsia"/>
          <w:color w:val="auto"/>
          <w:highlight w:val="none"/>
        </w:rPr>
        <w:t>数据存储服务器应设置防火墙、入侵检测系统，定期开展安全漏洞扫描、病毒查杀，安装正版杀毒软件，及时更新系统补丁，防范网络攻击、病毒入侵、数据泄露。</w:t>
      </w:r>
    </w:p>
    <w:p w14:paraId="56FF06E9">
      <w:pPr>
        <w:pStyle w:val="107"/>
        <w:spacing w:before="120" w:after="120"/>
        <w:rPr>
          <w:color w:val="auto"/>
          <w:highlight w:val="none"/>
        </w:rPr>
      </w:pPr>
      <w:bookmarkStart w:id="183" w:name="_Toc898"/>
      <w:bookmarkStart w:id="184" w:name="_Toc225206571"/>
      <w:r>
        <w:rPr>
          <w:rFonts w:hint="eastAsia"/>
          <w:color w:val="auto"/>
          <w:highlight w:val="none"/>
        </w:rPr>
        <w:t>数据访问与使用安全</w:t>
      </w:r>
      <w:bookmarkEnd w:id="183"/>
      <w:bookmarkEnd w:id="184"/>
    </w:p>
    <w:p w14:paraId="10B8FE07">
      <w:pPr>
        <w:pStyle w:val="167"/>
        <w:rPr>
          <w:color w:val="auto"/>
          <w:highlight w:val="none"/>
        </w:rPr>
      </w:pPr>
      <w:r>
        <w:rPr>
          <w:rFonts w:hint="eastAsia"/>
          <w:color w:val="auto"/>
          <w:highlight w:val="none"/>
        </w:rPr>
        <w:t>实验室应建立数据访问权限管理制度，遵循“最小权限”原则，按岗位、职责设置数据访问、操作权限，严禁超权限访问、操作数据。</w:t>
      </w:r>
    </w:p>
    <w:p w14:paraId="23F613CF">
      <w:pPr>
        <w:pStyle w:val="167"/>
        <w:rPr>
          <w:color w:val="auto"/>
          <w:highlight w:val="none"/>
        </w:rPr>
      </w:pPr>
      <w:r>
        <w:rPr>
          <w:rFonts w:hint="eastAsia"/>
          <w:color w:val="auto"/>
          <w:highlight w:val="none"/>
        </w:rPr>
        <w:t>数据访问系统应采用双因素身份认证，设置强密码策略，定期更换密码，严禁账号转借、共用；操作人员离岗时应立即锁定系统，防止未经授权操作。</w:t>
      </w:r>
    </w:p>
    <w:p w14:paraId="3262A7B2">
      <w:pPr>
        <w:pStyle w:val="167"/>
        <w:rPr>
          <w:color w:val="auto"/>
          <w:highlight w:val="none"/>
        </w:rPr>
      </w:pPr>
      <w:r>
        <w:rPr>
          <w:rFonts w:hint="eastAsia"/>
          <w:color w:val="auto"/>
          <w:highlight w:val="none"/>
        </w:rPr>
        <w:t>所有数据操作应留存日志，记录操作人、操作时间、操作内容、设备信息等，确保操作行为可追溯。</w:t>
      </w:r>
    </w:p>
    <w:p w14:paraId="0DC813AF">
      <w:pPr>
        <w:pStyle w:val="167"/>
        <w:rPr>
          <w:color w:val="auto"/>
          <w:highlight w:val="none"/>
        </w:rPr>
      </w:pPr>
      <w:r>
        <w:rPr>
          <w:rFonts w:hint="eastAsia"/>
          <w:color w:val="auto"/>
          <w:highlight w:val="none"/>
        </w:rPr>
        <w:t>检测数据、报告的发布、共享应履行审批手续，严禁未经审批对外发布、共享检测数据，严禁泄露客户商业秘密、个人信息。</w:t>
      </w:r>
    </w:p>
    <w:p w14:paraId="4FA7E702">
      <w:pPr>
        <w:pStyle w:val="107"/>
        <w:spacing w:before="120" w:after="120"/>
        <w:rPr>
          <w:color w:val="auto"/>
          <w:highlight w:val="none"/>
        </w:rPr>
      </w:pPr>
      <w:bookmarkStart w:id="185" w:name="_Toc21435"/>
      <w:bookmarkStart w:id="186" w:name="_Toc225206572"/>
      <w:r>
        <w:rPr>
          <w:rFonts w:hint="eastAsia"/>
          <w:color w:val="auto"/>
          <w:highlight w:val="none"/>
        </w:rPr>
        <w:t>数据销毁安全</w:t>
      </w:r>
      <w:bookmarkEnd w:id="185"/>
      <w:bookmarkEnd w:id="186"/>
    </w:p>
    <w:p w14:paraId="775607AC">
      <w:pPr>
        <w:pStyle w:val="167"/>
        <w:rPr>
          <w:color w:val="auto"/>
          <w:highlight w:val="none"/>
        </w:rPr>
      </w:pPr>
      <w:r>
        <w:rPr>
          <w:rFonts w:hint="eastAsia"/>
          <w:color w:val="auto"/>
          <w:highlight w:val="none"/>
        </w:rPr>
        <w:t>超过保存期限的电子数据，应采用专业销毁工具进行不可逆销毁，严禁直接删除、格式化处理；存储介质报废前，应进行数据彻底销毁，无法销毁的存储介质应物理粉碎处置，留存销毁记录。</w:t>
      </w:r>
    </w:p>
    <w:p w14:paraId="3A714A6B">
      <w:pPr>
        <w:pStyle w:val="167"/>
        <w:rPr>
          <w:color w:val="auto"/>
          <w:highlight w:val="none"/>
        </w:rPr>
      </w:pPr>
      <w:r>
        <w:rPr>
          <w:rFonts w:hint="eastAsia"/>
          <w:color w:val="auto"/>
          <w:highlight w:val="none"/>
        </w:rPr>
        <w:t>纸质数据资料销毁应采用碎纸机粉碎处理，严禁随意丢弃，涉密资料应按国家保密规定销毁，留存销毁记录。</w:t>
      </w:r>
    </w:p>
    <w:p w14:paraId="2740CB4E">
      <w:pPr>
        <w:pStyle w:val="107"/>
        <w:spacing w:before="120" w:after="120"/>
        <w:rPr>
          <w:color w:val="auto"/>
          <w:highlight w:val="none"/>
        </w:rPr>
      </w:pPr>
      <w:bookmarkStart w:id="187" w:name="_Toc225206573"/>
      <w:bookmarkStart w:id="188" w:name="_Toc14950"/>
      <w:r>
        <w:rPr>
          <w:rFonts w:hint="eastAsia"/>
          <w:color w:val="auto"/>
          <w:highlight w:val="none"/>
        </w:rPr>
        <w:t>应急处置</w:t>
      </w:r>
      <w:bookmarkEnd w:id="187"/>
      <w:bookmarkEnd w:id="188"/>
    </w:p>
    <w:p w14:paraId="7BC44068">
      <w:pPr>
        <w:pStyle w:val="167"/>
        <w:rPr>
          <w:color w:val="auto"/>
          <w:highlight w:val="none"/>
        </w:rPr>
      </w:pPr>
      <w:r>
        <w:rPr>
          <w:rFonts w:hint="eastAsia"/>
          <w:color w:val="auto"/>
          <w:highlight w:val="none"/>
        </w:rPr>
        <w:t>实验室应制定数据安全事件应急预案，针对数据泄露、篡改、丢失、勒索病毒攻击等事件，明确应急处置流程、责任分工、恢复措施。</w:t>
      </w:r>
    </w:p>
    <w:p w14:paraId="50B91781">
      <w:pPr>
        <w:pStyle w:val="167"/>
        <w:rPr>
          <w:color w:val="auto"/>
          <w:highlight w:val="none"/>
        </w:rPr>
      </w:pPr>
      <w:r>
        <w:rPr>
          <w:rFonts w:hint="eastAsia"/>
          <w:color w:val="auto"/>
          <w:highlight w:val="none"/>
        </w:rPr>
        <w:t>发生数据安全事件时，应立即启动应急预案，采取隔离、止损、恢复等措施，防止事态扩大，同时按规定上报相关主管部门，留存事件处置记录。</w:t>
      </w:r>
    </w:p>
    <w:p w14:paraId="4817C6F2">
      <w:pPr>
        <w:pStyle w:val="58"/>
        <w:ind w:firstLine="420"/>
        <w:rPr>
          <w:color w:val="auto"/>
          <w:highlight w:val="none"/>
        </w:rPr>
      </w:pPr>
    </w:p>
    <w:p w14:paraId="4835E41C">
      <w:pPr>
        <w:pStyle w:val="58"/>
        <w:ind w:firstLine="420"/>
        <w:rPr>
          <w:color w:val="auto"/>
          <w:highlight w:val="none"/>
        </w:rPr>
        <w:sectPr>
          <w:pgSz w:w="11906" w:h="16838"/>
          <w:pgMar w:top="1928" w:right="1134" w:bottom="1134" w:left="1134" w:header="1418" w:footer="1134" w:gutter="284"/>
          <w:pgNumType w:start="1"/>
          <w:cols w:space="425" w:num="1"/>
          <w:formProt w:val="0"/>
          <w:docGrid w:linePitch="312" w:charSpace="0"/>
        </w:sectPr>
      </w:pPr>
    </w:p>
    <w:bookmarkEnd w:id="24"/>
    <w:p w14:paraId="5B416E69">
      <w:pPr>
        <w:pStyle w:val="200"/>
        <w:rPr>
          <w:rFonts w:hint="eastAsia"/>
          <w:color w:val="auto"/>
          <w:highlight w:val="none"/>
        </w:rPr>
      </w:pPr>
      <w:bookmarkStart w:id="189" w:name="BookMark5"/>
    </w:p>
    <w:p w14:paraId="22287975">
      <w:pPr>
        <w:pStyle w:val="201"/>
        <w:rPr>
          <w:color w:val="auto"/>
          <w:highlight w:val="none"/>
        </w:rPr>
      </w:pPr>
    </w:p>
    <w:p w14:paraId="6CEE72FE">
      <w:pPr>
        <w:pStyle w:val="78"/>
        <w:spacing w:after="120"/>
        <w:rPr>
          <w:color w:val="auto"/>
          <w:highlight w:val="none"/>
        </w:rPr>
      </w:pPr>
      <w:bookmarkStart w:id="190" w:name="_Toc25943"/>
      <w:r>
        <w:rPr>
          <w:color w:val="auto"/>
          <w:highlight w:val="none"/>
        </w:rPr>
        <w:br w:type="textWrapping"/>
      </w:r>
      <w:bookmarkStart w:id="191" w:name="_Toc220314037"/>
      <w:bookmarkStart w:id="192" w:name="_Toc220313241"/>
      <w:bookmarkStart w:id="193" w:name="_Toc225206574"/>
      <w:r>
        <w:rPr>
          <w:rFonts w:hint="eastAsia"/>
          <w:color w:val="auto"/>
          <w:highlight w:val="none"/>
        </w:rPr>
        <w:t>（</w:t>
      </w:r>
      <w:r>
        <w:rPr>
          <w:rFonts w:hint="eastAsia"/>
          <w:color w:val="auto"/>
          <w:highlight w:val="none"/>
          <w:lang w:val="en-US" w:eastAsia="zh-CN"/>
        </w:rPr>
        <w:t>资料</w:t>
      </w:r>
      <w:r>
        <w:rPr>
          <w:rFonts w:hint="eastAsia"/>
          <w:color w:val="auto"/>
          <w:highlight w:val="none"/>
        </w:rPr>
        <w:t>性）</w:t>
      </w:r>
      <w:r>
        <w:rPr>
          <w:color w:val="auto"/>
          <w:highlight w:val="none"/>
        </w:rPr>
        <w:br w:type="textWrapping"/>
      </w:r>
      <w:r>
        <w:rPr>
          <w:rFonts w:hint="eastAsia"/>
          <w:color w:val="auto"/>
          <w:highlight w:val="none"/>
        </w:rPr>
        <w:t>环保检测实验室应急处置流程</w:t>
      </w:r>
      <w:bookmarkEnd w:id="190"/>
      <w:bookmarkEnd w:id="191"/>
      <w:bookmarkEnd w:id="192"/>
      <w:bookmarkEnd w:id="193"/>
    </w:p>
    <w:p w14:paraId="4583E9AB">
      <w:pPr>
        <w:pStyle w:val="80"/>
        <w:spacing w:before="120" w:after="120"/>
        <w:rPr>
          <w:color w:val="auto"/>
          <w:highlight w:val="none"/>
        </w:rPr>
      </w:pPr>
      <w:bookmarkStart w:id="194" w:name="_Toc225206575"/>
      <w:bookmarkStart w:id="195" w:name="_Toc22748"/>
      <w:bookmarkStart w:id="196" w:name="_Toc220313242"/>
      <w:bookmarkStart w:id="197" w:name="_Toc220314038"/>
      <w:r>
        <w:rPr>
          <w:rFonts w:hint="eastAsia"/>
          <w:color w:val="auto"/>
          <w:highlight w:val="none"/>
        </w:rPr>
        <w:t>泄漏分级</w:t>
      </w:r>
      <w:bookmarkEnd w:id="194"/>
      <w:bookmarkEnd w:id="195"/>
    </w:p>
    <w:p w14:paraId="70A82135">
      <w:pPr>
        <w:pStyle w:val="58"/>
        <w:ind w:firstLine="420"/>
        <w:rPr>
          <w:color w:val="auto"/>
          <w:highlight w:val="none"/>
        </w:rPr>
      </w:pPr>
      <w:r>
        <w:rPr>
          <w:rFonts w:hint="eastAsia"/>
          <w:color w:val="auto"/>
          <w:highlight w:val="none"/>
        </w:rPr>
        <w:t>为便于应急响应，本文件对化学品泄漏作如下分级：</w:t>
      </w:r>
    </w:p>
    <w:p w14:paraId="7D0ED128">
      <w:pPr>
        <w:pStyle w:val="134"/>
        <w:rPr>
          <w:color w:val="auto"/>
          <w:highlight w:val="none"/>
        </w:rPr>
      </w:pPr>
      <w:r>
        <w:rPr>
          <w:rFonts w:hint="eastAsia"/>
          <w:color w:val="auto"/>
          <w:highlight w:val="none"/>
        </w:rPr>
        <w:t>少量泄漏：指单一包装容器泄漏量</w:t>
      </w:r>
      <w:r>
        <w:rPr>
          <w:rFonts w:hint="eastAsia"/>
          <w:color w:val="auto"/>
          <w:highlight w:val="none"/>
          <w:vertAlign w:val="baseline"/>
          <w:lang w:val="en-US" w:eastAsia="zh-CN"/>
        </w:rPr>
        <w:t>少</w:t>
      </w:r>
      <w:r>
        <w:rPr>
          <w:rFonts w:hint="eastAsia"/>
          <w:color w:val="auto"/>
          <w:highlight w:val="none"/>
        </w:rPr>
        <w:t>，且在实验室内可控、可处置的泄漏；</w:t>
      </w:r>
    </w:p>
    <w:p w14:paraId="3C7AE2BE">
      <w:pPr>
        <w:pStyle w:val="134"/>
        <w:rPr>
          <w:color w:val="auto"/>
          <w:highlight w:val="none"/>
        </w:rPr>
      </w:pPr>
      <w:r>
        <w:rPr>
          <w:rFonts w:hint="eastAsia"/>
          <w:color w:val="auto"/>
          <w:highlight w:val="none"/>
        </w:rPr>
        <w:t>大量泄漏：指泄漏量</w:t>
      </w:r>
      <w:r>
        <w:rPr>
          <w:rFonts w:hint="eastAsia"/>
          <w:color w:val="auto"/>
          <w:highlight w:val="none"/>
          <w:vertAlign w:val="baseline"/>
          <w:lang w:val="en-US" w:eastAsia="zh-CN"/>
        </w:rPr>
        <w:t>大</w:t>
      </w:r>
      <w:r>
        <w:rPr>
          <w:rFonts w:hint="eastAsia"/>
          <w:color w:val="auto"/>
          <w:highlight w:val="none"/>
        </w:rPr>
        <w:t>，或泄漏虽</w:t>
      </w:r>
      <w:r>
        <w:rPr>
          <w:rFonts w:hint="eastAsia"/>
          <w:color w:val="auto"/>
          <w:highlight w:val="none"/>
          <w:lang w:val="en-US" w:eastAsia="zh-CN"/>
        </w:rPr>
        <w:t>虽少</w:t>
      </w:r>
      <w:r>
        <w:rPr>
          <w:rFonts w:hint="eastAsia"/>
          <w:color w:val="auto"/>
          <w:highlight w:val="none"/>
        </w:rPr>
        <w:t>但具有快速扩散、产生剧毒蒸气、引发火灾爆炸等高风险，需要启动实验室级或更高层级应急预案的泄漏。</w:t>
      </w:r>
    </w:p>
    <w:p w14:paraId="1A00142F">
      <w:pPr>
        <w:pStyle w:val="181"/>
        <w:rPr>
          <w:color w:val="auto"/>
          <w:highlight w:val="none"/>
        </w:rPr>
      </w:pPr>
      <w:r>
        <w:rPr>
          <w:rFonts w:hint="eastAsia"/>
          <w:color w:val="auto"/>
          <w:highlight w:val="none"/>
        </w:rPr>
        <w:t>实验室应</w:t>
      </w:r>
      <w:r>
        <w:rPr>
          <w:rFonts w:hint="eastAsia"/>
          <w:color w:val="auto"/>
          <w:highlight w:val="none"/>
          <w:lang w:val="en-US" w:eastAsia="zh-CN"/>
        </w:rPr>
        <w:t>可</w:t>
      </w:r>
      <w:r>
        <w:rPr>
          <w:rFonts w:hint="eastAsia"/>
          <w:color w:val="auto"/>
          <w:highlight w:val="none"/>
        </w:rPr>
        <w:t>根据所使用化学品的特殊危害性（参考其SDS），</w:t>
      </w:r>
      <w:r>
        <w:rPr>
          <w:rFonts w:hint="eastAsia"/>
          <w:color w:val="auto"/>
          <w:highlight w:val="none"/>
          <w:lang w:val="en-US" w:eastAsia="zh-CN"/>
        </w:rPr>
        <w:t>明确泄露阈值，</w:t>
      </w:r>
      <w:r>
        <w:rPr>
          <w:rFonts w:hint="eastAsia"/>
          <w:color w:val="auto"/>
          <w:highlight w:val="none"/>
        </w:rPr>
        <w:t>制定</w:t>
      </w:r>
      <w:r>
        <w:rPr>
          <w:rFonts w:hint="eastAsia"/>
          <w:color w:val="auto"/>
          <w:highlight w:val="none"/>
          <w:lang w:val="en-US" w:eastAsia="zh-CN"/>
        </w:rPr>
        <w:t>相应</w:t>
      </w:r>
      <w:r>
        <w:rPr>
          <w:rFonts w:hint="eastAsia"/>
          <w:color w:val="auto"/>
          <w:highlight w:val="none"/>
        </w:rPr>
        <w:t>的泄漏分级标准。对于剧毒、高反应性或特殊化学品，可能需将“少量泄漏”阈值设定得更低。</w:t>
      </w:r>
    </w:p>
    <w:p w14:paraId="10C68F1D">
      <w:pPr>
        <w:pStyle w:val="80"/>
        <w:spacing w:before="120" w:after="120"/>
        <w:rPr>
          <w:color w:val="auto"/>
          <w:highlight w:val="none"/>
        </w:rPr>
      </w:pPr>
      <w:bookmarkStart w:id="198" w:name="_Toc225206576"/>
      <w:bookmarkStart w:id="199" w:name="_Toc11700"/>
      <w:r>
        <w:rPr>
          <w:rFonts w:hint="eastAsia"/>
          <w:color w:val="auto"/>
          <w:highlight w:val="none"/>
        </w:rPr>
        <w:t>化学品泄漏应急处置流程</w:t>
      </w:r>
      <w:bookmarkEnd w:id="196"/>
      <w:bookmarkEnd w:id="197"/>
      <w:bookmarkEnd w:id="198"/>
      <w:bookmarkEnd w:id="199"/>
    </w:p>
    <w:p w14:paraId="73E98705">
      <w:pPr>
        <w:pStyle w:val="81"/>
        <w:spacing w:before="120" w:after="120"/>
        <w:rPr>
          <w:color w:val="auto"/>
          <w:highlight w:val="none"/>
        </w:rPr>
      </w:pPr>
      <w:r>
        <w:rPr>
          <w:rFonts w:hint="eastAsia"/>
          <w:color w:val="auto"/>
          <w:highlight w:val="none"/>
        </w:rPr>
        <w:t>泄漏识别与隔离</w:t>
      </w:r>
    </w:p>
    <w:p w14:paraId="2C6D0D8C">
      <w:pPr>
        <w:pStyle w:val="58"/>
        <w:ind w:firstLine="420"/>
        <w:rPr>
          <w:color w:val="auto"/>
          <w:highlight w:val="none"/>
        </w:rPr>
      </w:pPr>
      <w:r>
        <w:rPr>
          <w:rFonts w:hint="eastAsia"/>
          <w:color w:val="auto"/>
          <w:highlight w:val="none"/>
        </w:rPr>
        <w:t>发现化学品泄漏后，立即停止周边作业，判断泄漏试剂类型（酸、碱、有机溶剂、剧毒试剂等）及泄漏量，迅速疏散无关人员，设置警戒区域（泄漏量小时，警戒区域半径不小于5</w:t>
      </w:r>
      <w:r>
        <w:rPr>
          <w:rFonts w:hint="eastAsia"/>
          <w:color w:val="auto"/>
          <w:highlight w:val="none"/>
          <w:vertAlign w:val="superscript"/>
        </w:rPr>
        <w:t xml:space="preserve"> </w:t>
      </w:r>
      <w:r>
        <w:rPr>
          <w:rFonts w:hint="eastAsia"/>
          <w:color w:val="auto"/>
          <w:highlight w:val="none"/>
        </w:rPr>
        <w:t>，泄漏量大时，警戒区域半径不小于15</w:t>
      </w:r>
      <w:r>
        <w:rPr>
          <w:rFonts w:hint="eastAsia"/>
          <w:color w:val="auto"/>
          <w:highlight w:val="none"/>
          <w:vertAlign w:val="superscript"/>
        </w:rPr>
        <w:t xml:space="preserve"> </w:t>
      </w:r>
      <w:r>
        <w:rPr>
          <w:rFonts w:hint="eastAsia"/>
          <w:color w:val="auto"/>
          <w:highlight w:val="none"/>
        </w:rPr>
        <w:t>），严禁火源靠近（针对有机溶剂等易燃试剂）。</w:t>
      </w:r>
    </w:p>
    <w:p w14:paraId="5285BE9E">
      <w:pPr>
        <w:pStyle w:val="81"/>
        <w:spacing w:before="120" w:after="120"/>
        <w:rPr>
          <w:color w:val="auto"/>
          <w:highlight w:val="none"/>
        </w:rPr>
      </w:pPr>
      <w:r>
        <w:rPr>
          <w:rFonts w:hint="eastAsia"/>
          <w:color w:val="auto"/>
          <w:highlight w:val="none"/>
        </w:rPr>
        <w:t>个人防护</w:t>
      </w:r>
    </w:p>
    <w:p w14:paraId="6EAD8EAC">
      <w:pPr>
        <w:pStyle w:val="58"/>
        <w:ind w:firstLine="420"/>
        <w:rPr>
          <w:color w:val="auto"/>
          <w:highlight w:val="none"/>
        </w:rPr>
      </w:pPr>
      <w:r>
        <w:rPr>
          <w:rFonts w:hint="eastAsia"/>
          <w:color w:val="auto"/>
          <w:highlight w:val="none"/>
        </w:rPr>
        <w:t>处置人员根据泄漏试剂特性佩戴对应防护用品——酸/碱泄漏佩戴耐酸碱手套、防护眼镜、防化服；有机溶剂泄漏佩戴防毒面具、防静电手套、防静电服；剧毒试剂泄漏需佩戴正压式呼吸器，双人协同处置。</w:t>
      </w:r>
    </w:p>
    <w:p w14:paraId="13473C05">
      <w:pPr>
        <w:pStyle w:val="81"/>
        <w:spacing w:before="120" w:after="120"/>
        <w:rPr>
          <w:color w:val="auto"/>
          <w:highlight w:val="none"/>
        </w:rPr>
      </w:pPr>
      <w:r>
        <w:rPr>
          <w:rFonts w:hint="eastAsia"/>
          <w:color w:val="auto"/>
          <w:highlight w:val="none"/>
        </w:rPr>
        <w:t>泄漏处置</w:t>
      </w:r>
    </w:p>
    <w:p w14:paraId="40394634">
      <w:pPr>
        <w:pStyle w:val="83"/>
        <w:spacing w:before="120" w:after="120"/>
        <w:rPr>
          <w:color w:val="auto"/>
          <w:highlight w:val="none"/>
        </w:rPr>
      </w:pPr>
      <w:r>
        <w:rPr>
          <w:rFonts w:hint="eastAsia"/>
          <w:color w:val="auto"/>
          <w:highlight w:val="none"/>
        </w:rPr>
        <w:t>少量泄漏</w:t>
      </w:r>
    </w:p>
    <w:p w14:paraId="2ED65612">
      <w:pPr>
        <w:pStyle w:val="58"/>
        <w:ind w:firstLine="420"/>
        <w:rPr>
          <w:color w:val="auto"/>
          <w:highlight w:val="none"/>
        </w:rPr>
      </w:pPr>
      <w:r>
        <w:rPr>
          <w:rFonts w:hint="eastAsia"/>
          <w:color w:val="auto"/>
          <w:highlight w:val="none"/>
        </w:rPr>
        <w:t>酸泄漏用干燥碳酸氢钠粉末覆盖中和，静置10</w:t>
      </w:r>
      <w:r>
        <w:rPr>
          <w:rFonts w:hint="eastAsia"/>
          <w:color w:val="auto"/>
          <w:highlight w:val="none"/>
          <w:vertAlign w:val="superscript"/>
        </w:rPr>
        <w:t xml:space="preserve"> </w:t>
      </w:r>
      <w:r>
        <w:rPr>
          <w:rFonts w:hint="eastAsia"/>
          <w:color w:val="auto"/>
          <w:highlight w:val="none"/>
        </w:rPr>
        <w:t>min</w:t>
      </w:r>
      <w:r>
        <w:rPr>
          <w:rFonts w:hint="eastAsia" w:hAnsi="宋体"/>
          <w:color w:val="auto"/>
          <w:highlight w:val="none"/>
        </w:rPr>
        <w:t>～</w:t>
      </w:r>
      <w:r>
        <w:rPr>
          <w:rFonts w:hint="eastAsia"/>
          <w:color w:val="auto"/>
          <w:highlight w:val="none"/>
        </w:rPr>
        <w:t>15</w:t>
      </w:r>
      <w:r>
        <w:rPr>
          <w:rFonts w:hint="eastAsia"/>
          <w:color w:val="auto"/>
          <w:highlight w:val="none"/>
          <w:vertAlign w:val="superscript"/>
        </w:rPr>
        <w:t xml:space="preserve"> </w:t>
      </w:r>
      <w:r>
        <w:rPr>
          <w:rFonts w:hint="eastAsia"/>
          <w:color w:val="auto"/>
          <w:highlight w:val="none"/>
        </w:rPr>
        <w:t>min后用吸附棉擦拭收集；碱泄漏用硼酸粉末覆盖中和，静置后收集；有机溶剂泄漏用吸附棉、活性炭或吸油毡吸附，收集后放入专用危废容器。</w:t>
      </w:r>
    </w:p>
    <w:p w14:paraId="3D7932E7">
      <w:pPr>
        <w:pStyle w:val="83"/>
        <w:spacing w:before="120" w:after="120"/>
        <w:rPr>
          <w:color w:val="auto"/>
          <w:highlight w:val="none"/>
        </w:rPr>
      </w:pPr>
      <w:r>
        <w:rPr>
          <w:rFonts w:hint="eastAsia"/>
          <w:color w:val="auto"/>
          <w:highlight w:val="none"/>
        </w:rPr>
        <w:t>大量泄漏</w:t>
      </w:r>
    </w:p>
    <w:p w14:paraId="6FB0CA9A">
      <w:pPr>
        <w:pStyle w:val="58"/>
        <w:ind w:firstLine="420"/>
        <w:rPr>
          <w:color w:val="auto"/>
          <w:highlight w:val="none"/>
        </w:rPr>
      </w:pPr>
      <w:r>
        <w:rPr>
          <w:rFonts w:hint="eastAsia"/>
          <w:color w:val="auto"/>
          <w:highlight w:val="none"/>
        </w:rPr>
        <w:t>立即启动应急预案，通知安全管理员及实验室负责人，同时采取围堵措施（用沙土、围堰阻挡），防止泄漏扩散至下水道、水源或土壤；剧毒试剂泄漏需立即封堵泄漏源，必要时联系专业机构处置，处置后对现场进行消毒。</w:t>
      </w:r>
    </w:p>
    <w:p w14:paraId="59A1C654">
      <w:pPr>
        <w:pStyle w:val="83"/>
        <w:spacing w:before="120" w:after="120"/>
        <w:rPr>
          <w:color w:val="auto"/>
          <w:highlight w:val="none"/>
        </w:rPr>
      </w:pPr>
      <w:r>
        <w:rPr>
          <w:rFonts w:hint="eastAsia"/>
          <w:color w:val="auto"/>
          <w:highlight w:val="none"/>
        </w:rPr>
        <w:t>后续处理</w:t>
      </w:r>
    </w:p>
    <w:p w14:paraId="6C595C85">
      <w:pPr>
        <w:pStyle w:val="58"/>
        <w:ind w:firstLine="420"/>
        <w:rPr>
          <w:color w:val="auto"/>
          <w:highlight w:val="none"/>
        </w:rPr>
      </w:pPr>
      <w:r>
        <w:rPr>
          <w:rFonts w:hint="eastAsia"/>
          <w:color w:val="auto"/>
          <w:highlight w:val="none"/>
        </w:rPr>
        <w:t>收集的泄漏废弃物按危废管理要求暂存，委托具备资质单位处置；对泄漏区域进行通风换气（通风橱或排风系统），检测空气质量达标后解除警戒；记录泄漏情况、处置过程及结果，分析泄漏原因，制定预防措施。</w:t>
      </w:r>
    </w:p>
    <w:p w14:paraId="3B3F4DC8">
      <w:pPr>
        <w:pStyle w:val="80"/>
        <w:spacing w:before="120" w:after="120"/>
        <w:rPr>
          <w:color w:val="auto"/>
          <w:highlight w:val="none"/>
        </w:rPr>
      </w:pPr>
      <w:bookmarkStart w:id="200" w:name="_Toc15271"/>
      <w:bookmarkStart w:id="201" w:name="_Toc220313243"/>
      <w:bookmarkStart w:id="202" w:name="_Toc220314039"/>
      <w:bookmarkStart w:id="203" w:name="_Toc225206577"/>
      <w:r>
        <w:rPr>
          <w:rFonts w:hint="eastAsia"/>
          <w:color w:val="auto"/>
          <w:highlight w:val="none"/>
        </w:rPr>
        <w:t>火灾应急处置流程</w:t>
      </w:r>
      <w:bookmarkEnd w:id="200"/>
      <w:bookmarkEnd w:id="201"/>
      <w:bookmarkEnd w:id="202"/>
      <w:bookmarkEnd w:id="203"/>
    </w:p>
    <w:p w14:paraId="1FF7EFC6">
      <w:pPr>
        <w:pStyle w:val="81"/>
        <w:spacing w:before="120" w:after="120"/>
        <w:rPr>
          <w:color w:val="auto"/>
          <w:highlight w:val="none"/>
        </w:rPr>
      </w:pPr>
      <w:r>
        <w:rPr>
          <w:rFonts w:hint="eastAsia"/>
          <w:color w:val="auto"/>
          <w:highlight w:val="none"/>
        </w:rPr>
        <w:t>火情报警与初期扑救</w:t>
      </w:r>
    </w:p>
    <w:p w14:paraId="0697C80D">
      <w:pPr>
        <w:pStyle w:val="58"/>
        <w:ind w:firstLine="420"/>
        <w:rPr>
          <w:color w:val="auto"/>
          <w:highlight w:val="none"/>
        </w:rPr>
      </w:pPr>
      <w:r>
        <w:rPr>
          <w:rFonts w:hint="eastAsia"/>
          <w:color w:val="auto"/>
          <w:highlight w:val="none"/>
        </w:rPr>
        <w:t>发现火情后，立即大声呼救，同时按下实验室火灾报警器，拨打119报警电话，说明火灾地点、火势大小、燃烧物质（化学品、仪器等）及联系方式；针对初期小火，根据燃烧类型选用对应灭火器扑救——有机溶剂火灾用干粉或二氧化碳灭火器，电气火灾用二氧化碳灭火器（严禁用水），固体可燃物火灾用干粉灭火器。</w:t>
      </w:r>
    </w:p>
    <w:p w14:paraId="33DB90A1">
      <w:pPr>
        <w:pStyle w:val="58"/>
        <w:ind w:firstLine="420"/>
        <w:rPr>
          <w:color w:val="auto"/>
          <w:highlight w:val="none"/>
        </w:rPr>
      </w:pPr>
    </w:p>
    <w:p w14:paraId="48A448BA">
      <w:pPr>
        <w:pStyle w:val="81"/>
        <w:spacing w:before="120" w:after="120"/>
        <w:rPr>
          <w:color w:val="auto"/>
          <w:highlight w:val="none"/>
        </w:rPr>
      </w:pPr>
      <w:r>
        <w:rPr>
          <w:rFonts w:hint="eastAsia"/>
          <w:color w:val="auto"/>
          <w:highlight w:val="none"/>
        </w:rPr>
        <w:t>人员疏散</w:t>
      </w:r>
    </w:p>
    <w:p w14:paraId="07E25EC3">
      <w:pPr>
        <w:pStyle w:val="58"/>
        <w:ind w:firstLine="420"/>
        <w:rPr>
          <w:color w:val="auto"/>
          <w:highlight w:val="none"/>
        </w:rPr>
      </w:pPr>
      <w:r>
        <w:rPr>
          <w:rFonts w:hint="eastAsia"/>
          <w:color w:val="auto"/>
          <w:highlight w:val="none"/>
        </w:rPr>
        <w:t>火势无法控制时，立即组织人员沿疏散指示标志有序撤离，撤离时关闭电源、水源、气源及实验室门窗，防止火势蔓延；撤离后在指定集合点清点人数，及时向负责人报告。</w:t>
      </w:r>
    </w:p>
    <w:p w14:paraId="0B2EFCE9">
      <w:pPr>
        <w:pStyle w:val="81"/>
        <w:spacing w:before="120" w:after="120"/>
        <w:rPr>
          <w:color w:val="auto"/>
          <w:highlight w:val="none"/>
        </w:rPr>
      </w:pPr>
      <w:r>
        <w:rPr>
          <w:rFonts w:hint="eastAsia"/>
          <w:color w:val="auto"/>
          <w:highlight w:val="none"/>
        </w:rPr>
        <w:t>配合救援</w:t>
      </w:r>
    </w:p>
    <w:p w14:paraId="125A0F9F">
      <w:pPr>
        <w:pStyle w:val="58"/>
        <w:ind w:firstLine="420"/>
        <w:rPr>
          <w:color w:val="auto"/>
          <w:highlight w:val="none"/>
        </w:rPr>
      </w:pPr>
      <w:r>
        <w:rPr>
          <w:rFonts w:hint="eastAsia"/>
          <w:color w:val="auto"/>
          <w:highlight w:val="none"/>
        </w:rPr>
        <w:t>消防人员到达后，主动说明火灾现场情况（燃烧物质、试剂储存位置、气瓶位置等），协助开展救援工作，严禁擅自返回火灾现场。</w:t>
      </w:r>
    </w:p>
    <w:p w14:paraId="78C3FCF4">
      <w:pPr>
        <w:pStyle w:val="81"/>
        <w:spacing w:before="120" w:after="120"/>
        <w:rPr>
          <w:color w:val="auto"/>
          <w:highlight w:val="none"/>
        </w:rPr>
      </w:pPr>
      <w:r>
        <w:rPr>
          <w:rFonts w:hint="eastAsia"/>
          <w:color w:val="auto"/>
          <w:highlight w:val="none"/>
        </w:rPr>
        <w:t>后续处理</w:t>
      </w:r>
    </w:p>
    <w:p w14:paraId="241603C1">
      <w:pPr>
        <w:pStyle w:val="58"/>
        <w:ind w:firstLine="420"/>
        <w:rPr>
          <w:color w:val="auto"/>
          <w:highlight w:val="none"/>
        </w:rPr>
      </w:pPr>
      <w:r>
        <w:rPr>
          <w:rFonts w:hint="eastAsia"/>
          <w:color w:val="auto"/>
          <w:highlight w:val="none"/>
        </w:rPr>
        <w:t>火灾扑灭后，对现场进行安全检查，排除复燃隐患；清理火灾残留物，评估损失，分析火灾原因，修订应急预案及防控措施；对受损仪器、试剂进行妥善处置，避免二次污染。</w:t>
      </w:r>
    </w:p>
    <w:p w14:paraId="7B9AD768">
      <w:pPr>
        <w:pStyle w:val="80"/>
        <w:spacing w:before="120" w:after="120"/>
        <w:rPr>
          <w:color w:val="auto"/>
          <w:highlight w:val="none"/>
        </w:rPr>
      </w:pPr>
      <w:bookmarkStart w:id="204" w:name="_Toc220313244"/>
      <w:bookmarkStart w:id="205" w:name="_Toc220314040"/>
      <w:bookmarkStart w:id="206" w:name="_Toc23628"/>
      <w:bookmarkStart w:id="207" w:name="_Toc225206578"/>
      <w:r>
        <w:rPr>
          <w:rFonts w:hint="eastAsia"/>
          <w:color w:val="auto"/>
          <w:highlight w:val="none"/>
        </w:rPr>
        <w:t>人员受伤（烫伤、化学灼伤、中毒）应急处置流程</w:t>
      </w:r>
      <w:bookmarkEnd w:id="204"/>
      <w:bookmarkEnd w:id="205"/>
      <w:bookmarkEnd w:id="206"/>
      <w:bookmarkEnd w:id="207"/>
    </w:p>
    <w:p w14:paraId="232CB6B5">
      <w:pPr>
        <w:pStyle w:val="81"/>
        <w:spacing w:before="120" w:after="120"/>
        <w:rPr>
          <w:color w:val="auto"/>
          <w:highlight w:val="none"/>
        </w:rPr>
      </w:pPr>
      <w:r>
        <w:rPr>
          <w:rFonts w:hint="eastAsia"/>
          <w:color w:val="auto"/>
          <w:highlight w:val="none"/>
        </w:rPr>
        <w:t>烫伤处置</w:t>
      </w:r>
    </w:p>
    <w:p w14:paraId="7E4697E1">
      <w:pPr>
        <w:pStyle w:val="58"/>
        <w:ind w:firstLine="420"/>
        <w:rPr>
          <w:color w:val="auto"/>
          <w:highlight w:val="none"/>
        </w:rPr>
      </w:pPr>
      <w:r>
        <w:rPr>
          <w:rFonts w:hint="eastAsia"/>
          <w:color w:val="auto"/>
          <w:highlight w:val="none"/>
        </w:rPr>
        <w:t>立即将烫伤部位放入流动冷水冲洗15</w:t>
      </w:r>
      <w:r>
        <w:rPr>
          <w:rFonts w:hint="eastAsia"/>
          <w:color w:val="auto"/>
          <w:highlight w:val="none"/>
          <w:vertAlign w:val="superscript"/>
        </w:rPr>
        <w:t xml:space="preserve"> </w:t>
      </w:r>
      <w:r>
        <w:rPr>
          <w:rFonts w:hint="eastAsia"/>
          <w:color w:val="auto"/>
          <w:highlight w:val="none"/>
        </w:rPr>
        <w:t>min</w:t>
      </w:r>
      <w:r>
        <w:rPr>
          <w:rFonts w:hint="eastAsia" w:hAnsi="宋体"/>
          <w:color w:val="auto"/>
          <w:highlight w:val="none"/>
        </w:rPr>
        <w:t>～</w:t>
      </w:r>
      <w:r>
        <w:rPr>
          <w:rFonts w:hint="eastAsia"/>
          <w:color w:val="auto"/>
          <w:highlight w:val="none"/>
        </w:rPr>
        <w:t>20</w:t>
      </w:r>
      <w:r>
        <w:rPr>
          <w:rFonts w:hint="eastAsia"/>
          <w:color w:val="auto"/>
          <w:highlight w:val="none"/>
          <w:vertAlign w:val="superscript"/>
        </w:rPr>
        <w:t xml:space="preserve"> </w:t>
      </w:r>
      <w:r>
        <w:rPr>
          <w:rFonts w:hint="eastAsia"/>
          <w:color w:val="auto"/>
          <w:highlight w:val="none"/>
        </w:rPr>
        <w:t>min（严禁用冰块直接冷敷），去除烫伤部位衣物（若粘连皮肤，不可强行撕扯）；轻微烫伤涂抹烫伤膏，严重烫伤（水泡、皮肤破损）用干净纱布覆盖伤口，立即送医，途中避免伤口受压。</w:t>
      </w:r>
    </w:p>
    <w:p w14:paraId="753D908A">
      <w:pPr>
        <w:pStyle w:val="81"/>
        <w:spacing w:before="120" w:after="120"/>
        <w:rPr>
          <w:color w:val="auto"/>
          <w:highlight w:val="none"/>
        </w:rPr>
      </w:pPr>
      <w:r>
        <w:rPr>
          <w:rFonts w:hint="eastAsia"/>
          <w:color w:val="auto"/>
          <w:highlight w:val="none"/>
        </w:rPr>
        <w:t>化学灼伤处置</w:t>
      </w:r>
    </w:p>
    <w:p w14:paraId="303481B3">
      <w:pPr>
        <w:pStyle w:val="83"/>
        <w:spacing w:before="120" w:after="120"/>
        <w:rPr>
          <w:color w:val="auto"/>
          <w:highlight w:val="none"/>
        </w:rPr>
      </w:pPr>
      <w:r>
        <w:rPr>
          <w:rFonts w:hint="eastAsia"/>
          <w:color w:val="auto"/>
          <w:highlight w:val="none"/>
        </w:rPr>
        <w:t>皮肤灼伤</w:t>
      </w:r>
    </w:p>
    <w:p w14:paraId="55DEFD6F">
      <w:pPr>
        <w:pStyle w:val="58"/>
        <w:ind w:firstLine="420"/>
        <w:rPr>
          <w:color w:val="auto"/>
          <w:highlight w:val="none"/>
        </w:rPr>
      </w:pPr>
      <w:r>
        <w:rPr>
          <w:rFonts w:hint="eastAsia"/>
          <w:color w:val="auto"/>
          <w:highlight w:val="none"/>
        </w:rPr>
        <w:t>立即用大量流动清水冲洗灼伤部位20</w:t>
      </w:r>
      <w:r>
        <w:rPr>
          <w:rFonts w:hint="eastAsia"/>
          <w:color w:val="auto"/>
          <w:highlight w:val="none"/>
          <w:vertAlign w:val="superscript"/>
        </w:rPr>
        <w:t xml:space="preserve"> </w:t>
      </w:r>
      <w:r>
        <w:rPr>
          <w:rFonts w:hint="eastAsia"/>
          <w:color w:val="auto"/>
          <w:highlight w:val="none"/>
        </w:rPr>
        <w:t>min</w:t>
      </w:r>
      <w:r>
        <w:rPr>
          <w:rFonts w:hint="eastAsia" w:hAnsi="宋体"/>
          <w:color w:val="auto"/>
          <w:highlight w:val="none"/>
        </w:rPr>
        <w:t>～</w:t>
      </w:r>
      <w:r>
        <w:rPr>
          <w:rFonts w:hint="eastAsia"/>
          <w:color w:val="auto"/>
          <w:highlight w:val="none"/>
        </w:rPr>
        <w:t>30</w:t>
      </w:r>
      <w:r>
        <w:rPr>
          <w:rFonts w:hint="eastAsia"/>
          <w:color w:val="auto"/>
          <w:highlight w:val="none"/>
          <w:vertAlign w:val="superscript"/>
        </w:rPr>
        <w:t xml:space="preserve"> </w:t>
      </w:r>
      <w:r>
        <w:rPr>
          <w:rFonts w:hint="eastAsia"/>
          <w:color w:val="auto"/>
          <w:highlight w:val="none"/>
        </w:rPr>
        <w:t>min，经大量清水冲洗后，优先送医处置，避免自行涂抹药膏。</w:t>
      </w:r>
    </w:p>
    <w:p w14:paraId="167B68F6">
      <w:pPr>
        <w:pStyle w:val="83"/>
        <w:spacing w:before="120" w:after="120"/>
        <w:rPr>
          <w:color w:val="auto"/>
          <w:highlight w:val="none"/>
        </w:rPr>
      </w:pPr>
      <w:r>
        <w:rPr>
          <w:rFonts w:hint="eastAsia"/>
          <w:color w:val="auto"/>
          <w:highlight w:val="none"/>
        </w:rPr>
        <w:t>眼睛灼伤</w:t>
      </w:r>
    </w:p>
    <w:p w14:paraId="66AD7C8A">
      <w:pPr>
        <w:pStyle w:val="58"/>
        <w:ind w:firstLine="420"/>
        <w:rPr>
          <w:color w:val="auto"/>
          <w:highlight w:val="none"/>
        </w:rPr>
      </w:pPr>
      <w:r>
        <w:rPr>
          <w:rFonts w:hint="eastAsia"/>
          <w:color w:val="auto"/>
          <w:highlight w:val="none"/>
        </w:rPr>
        <w:t>立即启动洗眼器，用大量流动清水或生理盐水冲洗眼睛15</w:t>
      </w:r>
      <w:r>
        <w:rPr>
          <w:rFonts w:hint="eastAsia"/>
          <w:color w:val="auto"/>
          <w:highlight w:val="none"/>
          <w:vertAlign w:val="superscript"/>
        </w:rPr>
        <w:t xml:space="preserve"> </w:t>
      </w:r>
      <w:r>
        <w:rPr>
          <w:rFonts w:hint="eastAsia"/>
          <w:color w:val="auto"/>
          <w:highlight w:val="none"/>
        </w:rPr>
        <w:t>min</w:t>
      </w:r>
      <w:r>
        <w:rPr>
          <w:rFonts w:hint="eastAsia" w:hAnsi="宋体"/>
          <w:color w:val="auto"/>
          <w:highlight w:val="none"/>
        </w:rPr>
        <w:t>～</w:t>
      </w:r>
      <w:r>
        <w:rPr>
          <w:rFonts w:hint="eastAsia"/>
          <w:color w:val="auto"/>
          <w:highlight w:val="none"/>
        </w:rPr>
        <w:t>20</w:t>
      </w:r>
      <w:r>
        <w:rPr>
          <w:rFonts w:hint="eastAsia"/>
          <w:color w:val="auto"/>
          <w:highlight w:val="none"/>
          <w:vertAlign w:val="superscript"/>
        </w:rPr>
        <w:t xml:space="preserve"> </w:t>
      </w:r>
      <w:r>
        <w:rPr>
          <w:rFonts w:hint="eastAsia"/>
          <w:color w:val="auto"/>
          <w:highlight w:val="none"/>
        </w:rPr>
        <w:t>min，冲洗时转动眼球，确保眼球各部位均被冲洗；冲洗后佩戴防护眼镜，避免强光刺激，立即送医。</w:t>
      </w:r>
    </w:p>
    <w:p w14:paraId="288FA595">
      <w:pPr>
        <w:pStyle w:val="81"/>
        <w:spacing w:before="120" w:after="120"/>
        <w:rPr>
          <w:color w:val="auto"/>
          <w:highlight w:val="none"/>
        </w:rPr>
      </w:pPr>
      <w:r>
        <w:rPr>
          <w:rFonts w:hint="eastAsia"/>
          <w:color w:val="auto"/>
          <w:highlight w:val="none"/>
        </w:rPr>
        <w:t>中毒处置</w:t>
      </w:r>
    </w:p>
    <w:p w14:paraId="53D0E8CC">
      <w:pPr>
        <w:pStyle w:val="83"/>
        <w:spacing w:before="120" w:after="120"/>
        <w:rPr>
          <w:color w:val="auto"/>
          <w:highlight w:val="none"/>
        </w:rPr>
      </w:pPr>
      <w:r>
        <w:rPr>
          <w:rFonts w:hint="eastAsia"/>
          <w:color w:val="auto"/>
          <w:highlight w:val="none"/>
        </w:rPr>
        <w:t>吸入中毒</w:t>
      </w:r>
    </w:p>
    <w:p w14:paraId="29D00ABD">
      <w:pPr>
        <w:pStyle w:val="58"/>
        <w:ind w:firstLine="420"/>
        <w:rPr>
          <w:color w:val="auto"/>
          <w:highlight w:val="none"/>
        </w:rPr>
      </w:pPr>
      <w:r>
        <w:rPr>
          <w:rFonts w:hint="eastAsia"/>
          <w:color w:val="auto"/>
          <w:highlight w:val="none"/>
        </w:rPr>
        <w:t>立即将中毒人员转移至空气新鲜处，解开衣领，保持呼吸道通畅，若出现呼吸困难，给予吸氧，必要时进行心肺复苏，立即送医。</w:t>
      </w:r>
    </w:p>
    <w:p w14:paraId="44EC35AF">
      <w:pPr>
        <w:pStyle w:val="83"/>
        <w:spacing w:before="120" w:after="120"/>
        <w:rPr>
          <w:color w:val="auto"/>
          <w:highlight w:val="none"/>
        </w:rPr>
      </w:pPr>
      <w:r>
        <w:rPr>
          <w:rFonts w:hint="eastAsia"/>
          <w:color w:val="auto"/>
          <w:highlight w:val="none"/>
        </w:rPr>
        <w:t>误食中毒</w:t>
      </w:r>
    </w:p>
    <w:p w14:paraId="2D38C4AF">
      <w:pPr>
        <w:pStyle w:val="58"/>
        <w:ind w:firstLine="420"/>
        <w:rPr>
          <w:color w:val="auto"/>
          <w:highlight w:val="none"/>
        </w:rPr>
      </w:pPr>
      <w:r>
        <w:rPr>
          <w:rFonts w:hint="eastAsia"/>
          <w:color w:val="auto"/>
          <w:highlight w:val="none"/>
        </w:rPr>
        <w:t>严禁催吐（针对腐蚀性试剂、挥发性有机溶剂，催吐可能造成食道二次损伤），让中毒人员饮用适量温水（不可大量饮水），携带误食试剂标签及MSDS、专用解毒剂，立即送医。</w:t>
      </w:r>
    </w:p>
    <w:p w14:paraId="75DE471C">
      <w:pPr>
        <w:pStyle w:val="80"/>
        <w:spacing w:before="120" w:after="120"/>
        <w:rPr>
          <w:color w:val="auto"/>
          <w:highlight w:val="none"/>
        </w:rPr>
      </w:pPr>
      <w:bookmarkStart w:id="208" w:name="_Toc225206579"/>
      <w:bookmarkStart w:id="209" w:name="_Toc220313245"/>
      <w:bookmarkStart w:id="210" w:name="_Toc2834"/>
      <w:bookmarkStart w:id="211" w:name="_Toc220314041"/>
      <w:r>
        <w:rPr>
          <w:rFonts w:hint="eastAsia"/>
          <w:color w:val="auto"/>
          <w:highlight w:val="none"/>
        </w:rPr>
        <w:t>生物污染应急处置流程</w:t>
      </w:r>
      <w:bookmarkEnd w:id="208"/>
      <w:bookmarkEnd w:id="209"/>
      <w:bookmarkEnd w:id="210"/>
      <w:bookmarkEnd w:id="211"/>
    </w:p>
    <w:p w14:paraId="6907E43E">
      <w:pPr>
        <w:pStyle w:val="81"/>
        <w:spacing w:before="120" w:after="120"/>
        <w:rPr>
          <w:color w:val="auto"/>
          <w:highlight w:val="none"/>
        </w:rPr>
      </w:pPr>
      <w:r>
        <w:rPr>
          <w:rFonts w:hint="eastAsia"/>
          <w:color w:val="auto"/>
          <w:highlight w:val="none"/>
        </w:rPr>
        <w:t>污染隔离</w:t>
      </w:r>
    </w:p>
    <w:p w14:paraId="6B5AFFB2">
      <w:pPr>
        <w:pStyle w:val="58"/>
        <w:ind w:firstLine="420"/>
        <w:rPr>
          <w:color w:val="auto"/>
          <w:highlight w:val="none"/>
        </w:rPr>
      </w:pPr>
      <w:r>
        <w:rPr>
          <w:rFonts w:hint="eastAsia"/>
          <w:color w:val="auto"/>
          <w:highlight w:val="none"/>
        </w:rPr>
        <w:t>发现生物污染（微生物样品泄漏、培养物溢出）后，立即停止作业，疏散无关人员，关闭生物安全柜及通风系统，设置警戒区域，标注“生物污染，禁止进入”标识，污染区域静置30</w:t>
      </w:r>
      <w:r>
        <w:rPr>
          <w:rFonts w:hint="eastAsia"/>
          <w:color w:val="auto"/>
          <w:highlight w:val="none"/>
          <w:vertAlign w:val="superscript"/>
        </w:rPr>
        <w:t xml:space="preserve"> </w:t>
      </w:r>
      <w:r>
        <w:rPr>
          <w:rFonts w:hint="eastAsia"/>
          <w:color w:val="auto"/>
          <w:highlight w:val="none"/>
        </w:rPr>
        <w:t>min（让气溶胶沉降）。</w:t>
      </w:r>
    </w:p>
    <w:p w14:paraId="42A49FC4">
      <w:pPr>
        <w:pStyle w:val="81"/>
        <w:spacing w:before="120" w:after="120"/>
        <w:rPr>
          <w:color w:val="auto"/>
          <w:highlight w:val="none"/>
        </w:rPr>
      </w:pPr>
      <w:r>
        <w:rPr>
          <w:rFonts w:hint="eastAsia"/>
          <w:color w:val="auto"/>
          <w:highlight w:val="none"/>
        </w:rPr>
        <w:t>个人防护</w:t>
      </w:r>
    </w:p>
    <w:p w14:paraId="1D1039B1">
      <w:pPr>
        <w:pStyle w:val="58"/>
        <w:ind w:firstLine="420"/>
        <w:rPr>
          <w:color w:val="auto"/>
          <w:highlight w:val="none"/>
        </w:rPr>
      </w:pPr>
      <w:r>
        <w:rPr>
          <w:rFonts w:hint="eastAsia"/>
          <w:color w:val="auto"/>
          <w:highlight w:val="none"/>
        </w:rPr>
        <w:t>处置人员穿戴无菌工作服、口罩、手套、防护眼镜，必要时佩戴正压式呼吸器，严禁皮肤直接接触污染物质。</w:t>
      </w:r>
    </w:p>
    <w:p w14:paraId="1281EFAE">
      <w:pPr>
        <w:pStyle w:val="81"/>
        <w:spacing w:before="120" w:after="120"/>
        <w:rPr>
          <w:color w:val="auto"/>
          <w:highlight w:val="none"/>
        </w:rPr>
      </w:pPr>
      <w:r>
        <w:rPr>
          <w:rFonts w:hint="eastAsia"/>
          <w:color w:val="auto"/>
          <w:highlight w:val="none"/>
        </w:rPr>
        <w:t>污染处置</w:t>
      </w:r>
    </w:p>
    <w:p w14:paraId="43883C38">
      <w:pPr>
        <w:pStyle w:val="83"/>
        <w:spacing w:before="120" w:after="120"/>
        <w:rPr>
          <w:color w:val="auto"/>
          <w:highlight w:val="none"/>
        </w:rPr>
      </w:pPr>
      <w:r>
        <w:rPr>
          <w:rFonts w:hint="eastAsia"/>
          <w:color w:val="auto"/>
          <w:highlight w:val="none"/>
        </w:rPr>
        <w:t>表面污染</w:t>
      </w:r>
    </w:p>
    <w:p w14:paraId="1DD4986A">
      <w:pPr>
        <w:pStyle w:val="58"/>
        <w:ind w:firstLine="420"/>
        <w:rPr>
          <w:color w:val="auto"/>
          <w:highlight w:val="none"/>
        </w:rPr>
      </w:pPr>
      <w:r>
        <w:rPr>
          <w:rFonts w:hint="eastAsia"/>
          <w:color w:val="auto"/>
          <w:highlight w:val="none"/>
        </w:rPr>
        <w:t>用含有效氯5000</w:t>
      </w:r>
      <w:r>
        <w:rPr>
          <w:rFonts w:hint="eastAsia"/>
          <w:color w:val="auto"/>
          <w:highlight w:val="none"/>
          <w:vertAlign w:val="superscript"/>
        </w:rPr>
        <w:t xml:space="preserve"> </w:t>
      </w:r>
      <w:r>
        <w:rPr>
          <w:rFonts w:hint="eastAsia"/>
          <w:color w:val="auto"/>
          <w:highlight w:val="none"/>
        </w:rPr>
        <w:t>mg/L的消毒剂喷洒污染表面，覆盖所有污染区域，静置30分钟后用无菌纱布擦拭干净，擦拭废弃物放入专用灭菌容器，经高压灭菌（121℃，30分钟）后按危废处置。</w:t>
      </w:r>
    </w:p>
    <w:p w14:paraId="4E1D244E">
      <w:pPr>
        <w:pStyle w:val="83"/>
        <w:spacing w:before="120" w:after="120"/>
        <w:rPr>
          <w:color w:val="auto"/>
          <w:highlight w:val="none"/>
        </w:rPr>
      </w:pPr>
      <w:r>
        <w:rPr>
          <w:rFonts w:hint="eastAsia"/>
          <w:color w:val="auto"/>
          <w:highlight w:val="none"/>
        </w:rPr>
        <w:t>空气污染</w:t>
      </w:r>
    </w:p>
    <w:p w14:paraId="7FE7E8CE">
      <w:pPr>
        <w:pStyle w:val="58"/>
        <w:ind w:firstLine="420"/>
        <w:rPr>
          <w:color w:val="auto"/>
          <w:highlight w:val="none"/>
        </w:rPr>
      </w:pPr>
      <w:r>
        <w:rPr>
          <w:rFonts w:hint="eastAsia"/>
          <w:color w:val="auto"/>
          <w:highlight w:val="none"/>
        </w:rPr>
        <w:t>开启生物安全柜及通风系统，通入消毒剂气溶胶进行熏蒸消毒，消毒后通风换气30</w:t>
      </w:r>
      <w:r>
        <w:rPr>
          <w:rFonts w:hint="eastAsia"/>
          <w:color w:val="auto"/>
          <w:highlight w:val="none"/>
          <w:vertAlign w:val="superscript"/>
        </w:rPr>
        <w:t xml:space="preserve"> </w:t>
      </w:r>
      <w:r>
        <w:rPr>
          <w:rFonts w:hint="eastAsia"/>
          <w:color w:val="auto"/>
          <w:highlight w:val="none"/>
        </w:rPr>
        <w:t>min，检测空气质量达标后解除隔离。</w:t>
      </w:r>
    </w:p>
    <w:p w14:paraId="539095D6">
      <w:pPr>
        <w:pStyle w:val="83"/>
        <w:spacing w:before="120" w:after="120"/>
        <w:rPr>
          <w:color w:val="auto"/>
          <w:highlight w:val="none"/>
        </w:rPr>
      </w:pPr>
      <w:r>
        <w:rPr>
          <w:rFonts w:hint="eastAsia"/>
          <w:color w:val="auto"/>
          <w:highlight w:val="none"/>
        </w:rPr>
        <w:t>人员污染</w:t>
      </w:r>
    </w:p>
    <w:p w14:paraId="7EDB1FEB">
      <w:pPr>
        <w:pStyle w:val="58"/>
        <w:ind w:firstLine="420"/>
        <w:rPr>
          <w:color w:val="auto"/>
          <w:highlight w:val="none"/>
        </w:rPr>
      </w:pPr>
      <w:r>
        <w:rPr>
          <w:rFonts w:hint="eastAsia"/>
          <w:color w:val="auto"/>
          <w:highlight w:val="none"/>
        </w:rPr>
        <w:t>皮肤接触污染后，立即用肥皂水冲洗15</w:t>
      </w:r>
      <w:r>
        <w:rPr>
          <w:rFonts w:hint="eastAsia"/>
          <w:color w:val="auto"/>
          <w:highlight w:val="none"/>
          <w:vertAlign w:val="superscript"/>
        </w:rPr>
        <w:t xml:space="preserve"> </w:t>
      </w:r>
      <w:r>
        <w:rPr>
          <w:rFonts w:hint="eastAsia"/>
          <w:color w:val="auto"/>
          <w:highlight w:val="none"/>
        </w:rPr>
        <w:t>min，再用75</w:t>
      </w:r>
      <w:r>
        <w:rPr>
          <w:rFonts w:hint="eastAsia" w:hAnsi="宋体"/>
          <w:color w:val="auto"/>
          <w:highlight w:val="none"/>
        </w:rPr>
        <w:t>％</w:t>
      </w:r>
      <w:r>
        <w:rPr>
          <w:rFonts w:hint="eastAsia"/>
          <w:color w:val="auto"/>
          <w:highlight w:val="none"/>
        </w:rPr>
        <w:t>乙醇消毒；眼睛接触污染后，用无菌生理盐水冲洗15</w:t>
      </w:r>
      <w:r>
        <w:rPr>
          <w:rFonts w:hint="eastAsia"/>
          <w:color w:val="auto"/>
          <w:highlight w:val="none"/>
          <w:vertAlign w:val="superscript"/>
        </w:rPr>
        <w:t xml:space="preserve"> </w:t>
      </w:r>
      <w:r>
        <w:rPr>
          <w:rFonts w:hint="eastAsia"/>
          <w:color w:val="auto"/>
          <w:highlight w:val="none"/>
        </w:rPr>
        <w:t>min</w:t>
      </w:r>
      <w:r>
        <w:rPr>
          <w:rFonts w:hint="eastAsia" w:hAnsi="宋体"/>
          <w:color w:val="auto"/>
          <w:highlight w:val="none"/>
        </w:rPr>
        <w:t>～</w:t>
      </w:r>
      <w:r>
        <w:rPr>
          <w:rFonts w:hint="eastAsia"/>
          <w:color w:val="auto"/>
          <w:highlight w:val="none"/>
        </w:rPr>
        <w:t>20</w:t>
      </w:r>
      <w:r>
        <w:rPr>
          <w:rFonts w:hint="eastAsia"/>
          <w:color w:val="auto"/>
          <w:highlight w:val="none"/>
          <w:vertAlign w:val="superscript"/>
        </w:rPr>
        <w:t xml:space="preserve"> </w:t>
      </w:r>
      <w:r>
        <w:rPr>
          <w:rFonts w:hint="eastAsia"/>
          <w:color w:val="auto"/>
          <w:highlight w:val="none"/>
        </w:rPr>
        <w:t>min，立即送医。</w:t>
      </w:r>
    </w:p>
    <w:p w14:paraId="708555B7">
      <w:pPr>
        <w:pStyle w:val="81"/>
        <w:spacing w:before="120" w:after="120"/>
        <w:rPr>
          <w:color w:val="auto"/>
          <w:highlight w:val="none"/>
        </w:rPr>
      </w:pPr>
      <w:r>
        <w:rPr>
          <w:rFonts w:hint="eastAsia"/>
          <w:color w:val="auto"/>
          <w:highlight w:val="none"/>
        </w:rPr>
        <w:t>后续处理</w:t>
      </w:r>
    </w:p>
    <w:p w14:paraId="4DBC1034">
      <w:pPr>
        <w:pStyle w:val="58"/>
        <w:ind w:firstLine="420"/>
        <w:rPr>
          <w:color w:val="auto"/>
          <w:highlight w:val="none"/>
        </w:rPr>
      </w:pPr>
      <w:r>
        <w:rPr>
          <w:rFonts w:hint="eastAsia"/>
          <w:color w:val="auto"/>
          <w:highlight w:val="none"/>
        </w:rPr>
        <w:t>处置完成后，对消毒效果进行验证，记录污染情况、处置过程；分析污染原因，优化生物安全操作流程，加强人员培训；对受损培养物、试剂进行灭菌处理，避免扩散。</w:t>
      </w:r>
    </w:p>
    <w:p w14:paraId="39E277E9">
      <w:pPr>
        <w:pStyle w:val="80"/>
        <w:spacing w:before="120" w:after="120"/>
        <w:rPr>
          <w:color w:val="auto"/>
          <w:highlight w:val="none"/>
        </w:rPr>
      </w:pPr>
      <w:bookmarkStart w:id="212" w:name="_Toc15377"/>
      <w:bookmarkStart w:id="213" w:name="_Toc225206580"/>
      <w:r>
        <w:rPr>
          <w:rFonts w:hint="eastAsia"/>
          <w:color w:val="auto"/>
          <w:highlight w:val="none"/>
        </w:rPr>
        <w:t>触电应急处置流程</w:t>
      </w:r>
      <w:bookmarkEnd w:id="212"/>
      <w:bookmarkEnd w:id="213"/>
    </w:p>
    <w:p w14:paraId="401EF55E">
      <w:pPr>
        <w:pStyle w:val="81"/>
        <w:spacing w:before="120" w:after="120"/>
        <w:rPr>
          <w:color w:val="auto"/>
          <w:highlight w:val="none"/>
        </w:rPr>
      </w:pPr>
      <w:r>
        <w:rPr>
          <w:rFonts w:hint="eastAsia"/>
          <w:color w:val="auto"/>
          <w:highlight w:val="none"/>
        </w:rPr>
        <w:t>脱离电源</w:t>
      </w:r>
    </w:p>
    <w:p w14:paraId="7EB7FB2D">
      <w:pPr>
        <w:pStyle w:val="58"/>
        <w:ind w:firstLine="420"/>
        <w:rPr>
          <w:color w:val="auto"/>
          <w:highlight w:val="none"/>
        </w:rPr>
      </w:pPr>
      <w:r>
        <w:rPr>
          <w:rFonts w:hint="eastAsia"/>
          <w:color w:val="auto"/>
          <w:highlight w:val="none"/>
        </w:rPr>
        <w:t>发现人员触电后，立即采取以下措施切断电源，严禁徒手直接接触触电者：</w:t>
      </w:r>
    </w:p>
    <w:p w14:paraId="732BD9FE">
      <w:pPr>
        <w:pStyle w:val="176"/>
        <w:numPr>
          <w:ilvl w:val="0"/>
          <w:numId w:val="35"/>
        </w:numPr>
        <w:rPr>
          <w:color w:val="auto"/>
          <w:highlight w:val="none"/>
        </w:rPr>
      </w:pPr>
      <w:r>
        <w:rPr>
          <w:rFonts w:hint="eastAsia"/>
          <w:color w:val="auto"/>
          <w:highlight w:val="none"/>
        </w:rPr>
        <w:t>立即拉断电源开关、拔掉电源插头，切断总电源；</w:t>
      </w:r>
    </w:p>
    <w:p w14:paraId="7456CDCC">
      <w:pPr>
        <w:pStyle w:val="176"/>
        <w:rPr>
          <w:color w:val="auto"/>
          <w:highlight w:val="none"/>
        </w:rPr>
      </w:pPr>
      <w:r>
        <w:rPr>
          <w:rFonts w:hint="eastAsia"/>
          <w:color w:val="auto"/>
          <w:highlight w:val="none"/>
        </w:rPr>
        <w:t>无法及时切断电源时，使用干燥的木棍、竹竿、塑料棒等绝缘物体挑开电线、分离触电者与带电体，严禁使用金属、潮湿物体操作；</w:t>
      </w:r>
    </w:p>
    <w:p w14:paraId="4121F3EF">
      <w:pPr>
        <w:pStyle w:val="176"/>
        <w:rPr>
          <w:color w:val="auto"/>
          <w:highlight w:val="none"/>
        </w:rPr>
      </w:pPr>
      <w:r>
        <w:rPr>
          <w:rFonts w:hint="eastAsia"/>
          <w:color w:val="auto"/>
          <w:highlight w:val="none"/>
        </w:rPr>
        <w:t>若触电者在高处，切断电源的同时应采取防坠落措施，避免触电者脱离电源后坠落受伤。</w:t>
      </w:r>
    </w:p>
    <w:p w14:paraId="4E97F629">
      <w:pPr>
        <w:pStyle w:val="81"/>
        <w:spacing w:before="120" w:after="120"/>
        <w:rPr>
          <w:color w:val="auto"/>
          <w:highlight w:val="none"/>
        </w:rPr>
      </w:pPr>
      <w:r>
        <w:rPr>
          <w:rFonts w:hint="eastAsia"/>
          <w:color w:val="auto"/>
          <w:highlight w:val="none"/>
        </w:rPr>
        <w:t>伤情判断与应急处置</w:t>
      </w:r>
    </w:p>
    <w:p w14:paraId="36CB50AC">
      <w:pPr>
        <w:pStyle w:val="58"/>
        <w:ind w:firstLine="420"/>
        <w:rPr>
          <w:color w:val="auto"/>
          <w:highlight w:val="none"/>
        </w:rPr>
      </w:pPr>
      <w:r>
        <w:rPr>
          <w:rFonts w:hint="eastAsia"/>
          <w:color w:val="auto"/>
          <w:highlight w:val="none"/>
        </w:rPr>
        <w:t>将触电者转移至通风、干燥的安全区域，解开衣领，判断其意识、呼吸、心跳情况，采取对应处置措施：</w:t>
      </w:r>
    </w:p>
    <w:p w14:paraId="30E29ECB">
      <w:pPr>
        <w:pStyle w:val="176"/>
        <w:numPr>
          <w:ilvl w:val="0"/>
          <w:numId w:val="36"/>
        </w:numPr>
        <w:rPr>
          <w:color w:val="auto"/>
          <w:highlight w:val="none"/>
        </w:rPr>
      </w:pPr>
      <w:r>
        <w:rPr>
          <w:rFonts w:hint="eastAsia"/>
          <w:color w:val="auto"/>
          <w:highlight w:val="none"/>
        </w:rPr>
        <w:t>触电者意识清醒、呼吸心跳正常：让其平躺休息，密切观察生命体征，严禁站立、走动，同时拨打120送医检查；</w:t>
      </w:r>
    </w:p>
    <w:p w14:paraId="00F29017">
      <w:pPr>
        <w:pStyle w:val="176"/>
        <w:rPr>
          <w:color w:val="auto"/>
          <w:highlight w:val="none"/>
        </w:rPr>
      </w:pPr>
      <w:r>
        <w:rPr>
          <w:rFonts w:hint="eastAsia"/>
          <w:color w:val="auto"/>
          <w:highlight w:val="none"/>
        </w:rPr>
        <w:t>触电者意识丧失、但呼吸心跳正常：让其平躺，保持呼吸道通畅，解开衣物，注意保暖，持续监测呼吸心跳，立即拨打120送医；</w:t>
      </w:r>
    </w:p>
    <w:p w14:paraId="748E7AA0">
      <w:pPr>
        <w:pStyle w:val="176"/>
        <w:rPr>
          <w:color w:val="auto"/>
          <w:highlight w:val="none"/>
        </w:rPr>
      </w:pPr>
      <w:r>
        <w:rPr>
          <w:rFonts w:hint="eastAsia"/>
          <w:color w:val="auto"/>
          <w:highlight w:val="none"/>
        </w:rPr>
        <w:t>触电者呼吸、心跳停止：立即进行心肺复苏（胸外按压 + 人工呼吸），同时拨打120急救电话，持续施救直至急救人员到达，严禁中途停止。</w:t>
      </w:r>
    </w:p>
    <w:p w14:paraId="190335C7">
      <w:pPr>
        <w:pStyle w:val="81"/>
        <w:spacing w:before="120" w:after="120"/>
        <w:rPr>
          <w:color w:val="auto"/>
          <w:highlight w:val="none"/>
        </w:rPr>
      </w:pPr>
      <w:r>
        <w:rPr>
          <w:rFonts w:hint="eastAsia"/>
          <w:color w:val="auto"/>
          <w:highlight w:val="none"/>
        </w:rPr>
        <w:t>现场保护与后续处理</w:t>
      </w:r>
    </w:p>
    <w:p w14:paraId="2B32D6A8">
      <w:pPr>
        <w:pStyle w:val="215"/>
        <w:rPr>
          <w:color w:val="auto"/>
          <w:highlight w:val="none"/>
        </w:rPr>
      </w:pPr>
      <w:r>
        <w:rPr>
          <w:rFonts w:hint="eastAsia"/>
          <w:color w:val="auto"/>
          <w:highlight w:val="none"/>
        </w:rPr>
        <w:t>触电事故发生后，应保护好事故现场，设置警戒区域，严禁无关人员进入，排查触电原因，对故障电气设备、线路进行断电隔离，设置警示标识，防止二次事故。</w:t>
      </w:r>
    </w:p>
    <w:p w14:paraId="3040C539">
      <w:pPr>
        <w:pStyle w:val="215"/>
        <w:rPr>
          <w:color w:val="auto"/>
          <w:highlight w:val="none"/>
        </w:rPr>
        <w:sectPr>
          <w:pgSz w:w="11906" w:h="16838"/>
          <w:pgMar w:top="1928" w:right="1134" w:bottom="1134" w:left="1134" w:header="1418" w:footer="1134" w:gutter="284"/>
          <w:cols w:space="425" w:num="1"/>
          <w:formProt w:val="0"/>
          <w:docGrid w:linePitch="312" w:charSpace="0"/>
        </w:sectPr>
      </w:pPr>
      <w:r>
        <w:rPr>
          <w:rFonts w:hint="eastAsia"/>
          <w:color w:val="auto"/>
          <w:highlight w:val="none"/>
        </w:rPr>
        <w:t>记录事故发生时间、地点、原因、处置过程，开展事故调查，分析触电原因，落实整改措施，对全员开展安全警示教育。</w:t>
      </w:r>
    </w:p>
    <w:p w14:paraId="01612D9E">
      <w:pPr>
        <w:pStyle w:val="78"/>
        <w:spacing w:after="120"/>
        <w:rPr>
          <w:rFonts w:hint="eastAsia"/>
          <w:color w:val="auto"/>
          <w:highlight w:val="none"/>
        </w:rPr>
      </w:pPr>
      <w:bookmarkStart w:id="214" w:name="_Toc25298"/>
      <w:r>
        <w:rPr>
          <w:color w:val="auto"/>
          <w:highlight w:val="none"/>
        </w:rPr>
        <w:br w:type="textWrapping"/>
      </w:r>
      <w:r>
        <w:rPr>
          <w:rFonts w:hint="eastAsia"/>
          <w:color w:val="auto"/>
          <w:highlight w:val="none"/>
        </w:rPr>
        <w:t>（</w:t>
      </w:r>
      <w:r>
        <w:rPr>
          <w:rFonts w:hint="eastAsia"/>
          <w:color w:val="auto"/>
          <w:highlight w:val="none"/>
          <w:lang w:val="en-US" w:eastAsia="zh-CN"/>
        </w:rPr>
        <w:t>资料</w:t>
      </w:r>
      <w:r>
        <w:rPr>
          <w:rFonts w:hint="eastAsia"/>
          <w:color w:val="auto"/>
          <w:highlight w:val="none"/>
        </w:rPr>
        <w:t>性）</w:t>
      </w:r>
      <w:r>
        <w:rPr>
          <w:color w:val="auto"/>
          <w:highlight w:val="none"/>
        </w:rPr>
        <w:br w:type="textWrapping"/>
      </w:r>
      <w:r>
        <w:rPr>
          <w:rFonts w:hint="eastAsia"/>
          <w:color w:val="auto"/>
          <w:highlight w:val="none"/>
        </w:rPr>
        <w:t>实验室不相容废液禁配清单</w:t>
      </w:r>
      <w:bookmarkEnd w:id="214"/>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85" w:type="dxa"/>
          <w:bottom w:w="0" w:type="dxa"/>
          <w:right w:w="85" w:type="dxa"/>
        </w:tblCellMar>
      </w:tblPr>
      <w:tblGrid>
        <w:gridCol w:w="2334"/>
        <w:gridCol w:w="2333"/>
        <w:gridCol w:w="2333"/>
        <w:gridCol w:w="2334"/>
      </w:tblGrid>
      <w:tr w14:paraId="6C34FF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tblHeader/>
          <w:jc w:val="center"/>
        </w:trPr>
        <w:tc>
          <w:tcPr>
            <w:tcW w:w="2334" w:type="dxa"/>
            <w:tcBorders>
              <w:top w:val="single" w:color="auto" w:sz="8" w:space="0"/>
              <w:bottom w:val="single" w:color="auto" w:sz="8" w:space="0"/>
            </w:tcBorders>
            <w:vAlign w:val="center"/>
          </w:tcPr>
          <w:p w14:paraId="038DE943">
            <w:pPr>
              <w:pStyle w:val="180"/>
              <w:rPr>
                <w:rFonts w:hint="eastAsia"/>
                <w:color w:val="auto"/>
                <w:highlight w:val="none"/>
              </w:rPr>
            </w:pPr>
            <w:r>
              <w:rPr>
                <w:rFonts w:hint="eastAsia"/>
                <w:color w:val="auto"/>
                <w:highlight w:val="none"/>
              </w:rPr>
              <w:t>废液类别</w:t>
            </w:r>
          </w:p>
        </w:tc>
        <w:tc>
          <w:tcPr>
            <w:tcW w:w="2333" w:type="dxa"/>
            <w:tcBorders>
              <w:top w:val="single" w:color="auto" w:sz="8" w:space="0"/>
              <w:bottom w:val="single" w:color="auto" w:sz="8" w:space="0"/>
            </w:tcBorders>
            <w:vAlign w:val="center"/>
          </w:tcPr>
          <w:p w14:paraId="763A6DFA">
            <w:pPr>
              <w:pStyle w:val="180"/>
              <w:rPr>
                <w:rFonts w:hint="eastAsia"/>
                <w:color w:val="auto"/>
                <w:highlight w:val="none"/>
              </w:rPr>
            </w:pPr>
            <w:r>
              <w:rPr>
                <w:rFonts w:hint="eastAsia"/>
                <w:color w:val="auto"/>
                <w:highlight w:val="none"/>
              </w:rPr>
              <w:t>严禁混合存放的废液类别</w:t>
            </w:r>
          </w:p>
        </w:tc>
        <w:tc>
          <w:tcPr>
            <w:tcW w:w="2333" w:type="dxa"/>
            <w:tcBorders>
              <w:top w:val="single" w:color="auto" w:sz="8" w:space="0"/>
              <w:bottom w:val="single" w:color="auto" w:sz="8" w:space="0"/>
            </w:tcBorders>
            <w:vAlign w:val="center"/>
          </w:tcPr>
          <w:p w14:paraId="3A9A0A54">
            <w:pPr>
              <w:pStyle w:val="180"/>
              <w:rPr>
                <w:rFonts w:hint="eastAsia"/>
                <w:color w:val="auto"/>
                <w:highlight w:val="none"/>
              </w:rPr>
            </w:pPr>
            <w:r>
              <w:rPr>
                <w:rFonts w:hint="eastAsia"/>
                <w:color w:val="auto"/>
                <w:highlight w:val="none"/>
              </w:rPr>
              <w:t>混合后风险</w:t>
            </w:r>
          </w:p>
        </w:tc>
        <w:tc>
          <w:tcPr>
            <w:tcW w:w="2334" w:type="dxa"/>
            <w:tcBorders>
              <w:top w:val="single" w:color="auto" w:sz="8" w:space="0"/>
              <w:bottom w:val="single" w:color="auto" w:sz="8" w:space="0"/>
            </w:tcBorders>
            <w:vAlign w:val="center"/>
          </w:tcPr>
          <w:p w14:paraId="428B11C1">
            <w:pPr>
              <w:pStyle w:val="180"/>
              <w:rPr>
                <w:rFonts w:hint="eastAsia" w:eastAsia="宋体"/>
                <w:color w:val="auto"/>
                <w:highlight w:val="none"/>
                <w:lang w:eastAsia="zh-CN"/>
              </w:rPr>
            </w:pPr>
            <w:r>
              <w:rPr>
                <w:rFonts w:hint="eastAsia"/>
                <w:color w:val="auto"/>
                <w:highlight w:val="none"/>
              </w:rPr>
              <w:t>处置</w:t>
            </w:r>
            <w:r>
              <w:rPr>
                <w:rFonts w:hint="eastAsia"/>
                <w:color w:val="auto"/>
                <w:highlight w:val="none"/>
                <w:lang w:val="en-US" w:eastAsia="zh-CN"/>
              </w:rPr>
              <w:t>建议</w:t>
            </w:r>
          </w:p>
        </w:tc>
      </w:tr>
      <w:tr w14:paraId="623F12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tcBorders>
              <w:top w:val="single" w:color="auto" w:sz="8" w:space="0"/>
            </w:tcBorders>
            <w:vAlign w:val="center"/>
          </w:tcPr>
          <w:p w14:paraId="4844D633">
            <w:pPr>
              <w:pStyle w:val="180"/>
              <w:jc w:val="both"/>
              <w:rPr>
                <w:rFonts w:hint="eastAsia"/>
                <w:color w:val="auto"/>
                <w:highlight w:val="none"/>
              </w:rPr>
            </w:pPr>
            <w:r>
              <w:rPr>
                <w:rFonts w:hint="eastAsia"/>
                <w:color w:val="auto"/>
                <w:highlight w:val="none"/>
              </w:rPr>
              <w:t>强酸类废液（硫酸、盐酸、硝酸、磷酸、高氯酸等）</w:t>
            </w:r>
          </w:p>
        </w:tc>
        <w:tc>
          <w:tcPr>
            <w:tcW w:w="2333" w:type="dxa"/>
            <w:tcBorders>
              <w:top w:val="single" w:color="auto" w:sz="8" w:space="0"/>
            </w:tcBorders>
            <w:vAlign w:val="center"/>
          </w:tcPr>
          <w:p w14:paraId="13DA2DD5">
            <w:pPr>
              <w:pStyle w:val="180"/>
              <w:jc w:val="both"/>
              <w:rPr>
                <w:rFonts w:hint="eastAsia"/>
                <w:color w:val="auto"/>
                <w:highlight w:val="none"/>
              </w:rPr>
            </w:pPr>
            <w:r>
              <w:rPr>
                <w:rFonts w:hint="eastAsia"/>
                <w:color w:val="auto"/>
                <w:highlight w:val="none"/>
              </w:rPr>
              <w:t>强碱类废液、氰化物废液、硫化物废液、碳酸盐废液、还原剂类废液、有机溶剂、含氟废液</w:t>
            </w:r>
          </w:p>
        </w:tc>
        <w:tc>
          <w:tcPr>
            <w:tcW w:w="2333" w:type="dxa"/>
            <w:tcBorders>
              <w:top w:val="single" w:color="auto" w:sz="8" w:space="0"/>
            </w:tcBorders>
            <w:vAlign w:val="center"/>
          </w:tcPr>
          <w:p w14:paraId="341D0CE9">
            <w:pPr>
              <w:pStyle w:val="180"/>
              <w:jc w:val="both"/>
              <w:rPr>
                <w:rFonts w:hint="eastAsia"/>
                <w:color w:val="auto"/>
                <w:highlight w:val="none"/>
              </w:rPr>
            </w:pPr>
            <w:r>
              <w:rPr>
                <w:rFonts w:hint="eastAsia"/>
                <w:color w:val="auto"/>
                <w:highlight w:val="none"/>
              </w:rPr>
              <w:t>产生剧毒氰化氢、硫化氢气体；产生大量二氧化碳造成喷溅；发生剧烈放热、氧化还原反应引发爆炸；腐蚀容器造成泄漏</w:t>
            </w:r>
          </w:p>
        </w:tc>
        <w:tc>
          <w:tcPr>
            <w:tcW w:w="2334" w:type="dxa"/>
            <w:tcBorders>
              <w:top w:val="single" w:color="auto" w:sz="8" w:space="0"/>
            </w:tcBorders>
            <w:vAlign w:val="center"/>
          </w:tcPr>
          <w:p w14:paraId="598519E3">
            <w:pPr>
              <w:pStyle w:val="180"/>
              <w:jc w:val="both"/>
              <w:rPr>
                <w:rFonts w:hint="eastAsia"/>
                <w:color w:val="auto"/>
                <w:highlight w:val="none"/>
              </w:rPr>
            </w:pPr>
            <w:r>
              <w:rPr>
                <w:rFonts w:hint="eastAsia"/>
                <w:color w:val="auto"/>
                <w:highlight w:val="none"/>
              </w:rPr>
              <w:t>单独收集于耐酸容器，中和至pH6～9后按综合废水处理，或委托有资质单位处置</w:t>
            </w:r>
          </w:p>
        </w:tc>
      </w:tr>
      <w:tr w14:paraId="7581E6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28A633DB">
            <w:pPr>
              <w:pStyle w:val="180"/>
              <w:jc w:val="both"/>
              <w:rPr>
                <w:rFonts w:hint="eastAsia"/>
                <w:color w:val="auto"/>
                <w:highlight w:val="none"/>
              </w:rPr>
            </w:pPr>
            <w:r>
              <w:rPr>
                <w:rFonts w:hint="eastAsia"/>
                <w:color w:val="auto"/>
                <w:highlight w:val="none"/>
              </w:rPr>
              <w:t>强碱类废液（氢氧化钠、氢氧化钾、氨水、碳酸钠等）</w:t>
            </w:r>
          </w:p>
        </w:tc>
        <w:tc>
          <w:tcPr>
            <w:tcW w:w="2333" w:type="dxa"/>
            <w:vAlign w:val="center"/>
          </w:tcPr>
          <w:p w14:paraId="0B202C2F">
            <w:pPr>
              <w:pStyle w:val="180"/>
              <w:jc w:val="both"/>
              <w:rPr>
                <w:rFonts w:hint="eastAsia"/>
                <w:color w:val="auto"/>
                <w:highlight w:val="none"/>
              </w:rPr>
            </w:pPr>
            <w:r>
              <w:rPr>
                <w:rFonts w:hint="eastAsia"/>
                <w:color w:val="auto"/>
                <w:highlight w:val="none"/>
              </w:rPr>
              <w:t>强酸类废液、重金属盐废液、铵盐废液、含卤素有机物废液、酚类废液</w:t>
            </w:r>
          </w:p>
        </w:tc>
        <w:tc>
          <w:tcPr>
            <w:tcW w:w="2333" w:type="dxa"/>
            <w:vAlign w:val="center"/>
          </w:tcPr>
          <w:p w14:paraId="6C4BAF75">
            <w:pPr>
              <w:pStyle w:val="180"/>
              <w:jc w:val="both"/>
              <w:rPr>
                <w:rFonts w:hint="eastAsia"/>
                <w:color w:val="auto"/>
                <w:highlight w:val="none"/>
              </w:rPr>
            </w:pPr>
            <w:r>
              <w:rPr>
                <w:rFonts w:hint="eastAsia"/>
                <w:color w:val="auto"/>
                <w:highlight w:val="none"/>
              </w:rPr>
              <w:t>发生剧烈放热反应；产生有毒氨气；生成沉淀堵塞管道；产生有毒有害物质</w:t>
            </w:r>
          </w:p>
        </w:tc>
        <w:tc>
          <w:tcPr>
            <w:tcW w:w="2334" w:type="dxa"/>
            <w:vAlign w:val="center"/>
          </w:tcPr>
          <w:p w14:paraId="2E971809">
            <w:pPr>
              <w:pStyle w:val="180"/>
              <w:jc w:val="both"/>
              <w:rPr>
                <w:rFonts w:hint="eastAsia"/>
                <w:color w:val="auto"/>
                <w:highlight w:val="none"/>
              </w:rPr>
            </w:pPr>
            <w:r>
              <w:rPr>
                <w:rFonts w:hint="eastAsia"/>
                <w:color w:val="auto"/>
                <w:highlight w:val="none"/>
              </w:rPr>
              <w:t>单独收集于耐碱容器，中和至pH6～9后按综合废水处理</w:t>
            </w:r>
          </w:p>
        </w:tc>
      </w:tr>
      <w:tr w14:paraId="288D2B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13846A17">
            <w:pPr>
              <w:pStyle w:val="180"/>
              <w:jc w:val="both"/>
              <w:rPr>
                <w:rFonts w:hint="eastAsia"/>
                <w:color w:val="auto"/>
                <w:highlight w:val="none"/>
              </w:rPr>
            </w:pPr>
            <w:r>
              <w:rPr>
                <w:rFonts w:hint="eastAsia"/>
                <w:color w:val="auto"/>
                <w:highlight w:val="none"/>
              </w:rPr>
              <w:t>氧化剂类废液（高锰酸钾、过氧化氢、次氯酸钠、硝酸、高氯酸、重铬酸钾等）</w:t>
            </w:r>
          </w:p>
        </w:tc>
        <w:tc>
          <w:tcPr>
            <w:tcW w:w="2333" w:type="dxa"/>
            <w:vAlign w:val="center"/>
          </w:tcPr>
          <w:p w14:paraId="59E6A821">
            <w:pPr>
              <w:pStyle w:val="180"/>
              <w:jc w:val="both"/>
              <w:rPr>
                <w:rFonts w:hint="eastAsia"/>
                <w:color w:val="auto"/>
                <w:highlight w:val="none"/>
              </w:rPr>
            </w:pPr>
            <w:r>
              <w:rPr>
                <w:rFonts w:hint="eastAsia"/>
                <w:color w:val="auto"/>
                <w:highlight w:val="none"/>
              </w:rPr>
              <w:t>还原剂类废液、有机酸类废液、有机溶剂、易燃废液、氰化物废液、硫化物废液</w:t>
            </w:r>
          </w:p>
        </w:tc>
        <w:tc>
          <w:tcPr>
            <w:tcW w:w="2333" w:type="dxa"/>
            <w:vAlign w:val="center"/>
          </w:tcPr>
          <w:p w14:paraId="00CCE78A">
            <w:pPr>
              <w:pStyle w:val="180"/>
              <w:jc w:val="both"/>
              <w:rPr>
                <w:rFonts w:hint="eastAsia"/>
                <w:color w:val="auto"/>
                <w:highlight w:val="none"/>
              </w:rPr>
            </w:pPr>
            <w:r>
              <w:rPr>
                <w:rFonts w:hint="eastAsia"/>
                <w:color w:val="auto"/>
                <w:highlight w:val="none"/>
              </w:rPr>
              <w:t>发生剧烈氧化还原反应，引发燃烧、爆炸；产生有毒气体</w:t>
            </w:r>
          </w:p>
        </w:tc>
        <w:tc>
          <w:tcPr>
            <w:tcW w:w="2334" w:type="dxa"/>
            <w:vAlign w:val="center"/>
          </w:tcPr>
          <w:p w14:paraId="4FDB3BAD">
            <w:pPr>
              <w:pStyle w:val="180"/>
              <w:jc w:val="both"/>
              <w:rPr>
                <w:rFonts w:hint="eastAsia"/>
                <w:color w:val="auto"/>
                <w:highlight w:val="none"/>
              </w:rPr>
            </w:pPr>
            <w:r>
              <w:rPr>
                <w:rFonts w:hint="eastAsia"/>
                <w:color w:val="auto"/>
                <w:highlight w:val="none"/>
              </w:rPr>
              <w:t>单独收集，加入还原剂还原后再进行后续处理</w:t>
            </w:r>
          </w:p>
        </w:tc>
      </w:tr>
      <w:tr w14:paraId="115758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4ACD6F88">
            <w:pPr>
              <w:pStyle w:val="180"/>
              <w:jc w:val="both"/>
              <w:rPr>
                <w:rFonts w:hint="eastAsia"/>
                <w:color w:val="auto"/>
                <w:highlight w:val="none"/>
              </w:rPr>
            </w:pPr>
            <w:r>
              <w:rPr>
                <w:rFonts w:hint="eastAsia"/>
                <w:color w:val="auto"/>
                <w:highlight w:val="none"/>
              </w:rPr>
              <w:t>还原剂类废液（亚硫酸钠、硫代硫酸钠、硫酸亚铁、草酸、甲醛、硼氢化钠等）</w:t>
            </w:r>
          </w:p>
        </w:tc>
        <w:tc>
          <w:tcPr>
            <w:tcW w:w="2333" w:type="dxa"/>
            <w:vAlign w:val="center"/>
          </w:tcPr>
          <w:p w14:paraId="463C9909">
            <w:pPr>
              <w:pStyle w:val="180"/>
              <w:jc w:val="both"/>
              <w:rPr>
                <w:rFonts w:hint="eastAsia"/>
                <w:color w:val="auto"/>
                <w:highlight w:val="none"/>
              </w:rPr>
            </w:pPr>
            <w:r>
              <w:rPr>
                <w:rFonts w:hint="eastAsia"/>
                <w:color w:val="auto"/>
                <w:highlight w:val="none"/>
              </w:rPr>
              <w:t>氧化剂类废液、强酸类废液、含汞废液、重金属氧化性废液</w:t>
            </w:r>
          </w:p>
        </w:tc>
        <w:tc>
          <w:tcPr>
            <w:tcW w:w="2333" w:type="dxa"/>
            <w:vAlign w:val="center"/>
          </w:tcPr>
          <w:p w14:paraId="1DC7C5F0">
            <w:pPr>
              <w:pStyle w:val="180"/>
              <w:jc w:val="both"/>
              <w:rPr>
                <w:rFonts w:hint="eastAsia"/>
                <w:color w:val="auto"/>
                <w:highlight w:val="none"/>
              </w:rPr>
            </w:pPr>
            <w:r>
              <w:rPr>
                <w:rFonts w:hint="eastAsia"/>
                <w:color w:val="auto"/>
                <w:highlight w:val="none"/>
              </w:rPr>
              <w:t>发生剧烈反应，引发燃烧、爆炸；产生有毒二氧化硫、硫化氢气体</w:t>
            </w:r>
          </w:p>
        </w:tc>
        <w:tc>
          <w:tcPr>
            <w:tcW w:w="2334" w:type="dxa"/>
            <w:vAlign w:val="center"/>
          </w:tcPr>
          <w:p w14:paraId="14014F99">
            <w:pPr>
              <w:pStyle w:val="180"/>
              <w:jc w:val="both"/>
              <w:rPr>
                <w:rFonts w:hint="eastAsia"/>
                <w:color w:val="auto"/>
                <w:highlight w:val="none"/>
              </w:rPr>
            </w:pPr>
            <w:r>
              <w:rPr>
                <w:rFonts w:hint="eastAsia"/>
                <w:color w:val="auto"/>
                <w:highlight w:val="none"/>
              </w:rPr>
              <w:t>单独收集，加入氧化剂氧化后再进行后续处理</w:t>
            </w:r>
          </w:p>
        </w:tc>
      </w:tr>
      <w:tr w14:paraId="7B4DA4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5ED8EE44">
            <w:pPr>
              <w:pStyle w:val="180"/>
              <w:rPr>
                <w:rFonts w:hint="eastAsia"/>
                <w:color w:val="auto"/>
                <w:highlight w:val="none"/>
              </w:rPr>
            </w:pPr>
            <w:r>
              <w:rPr>
                <w:rFonts w:hint="eastAsia"/>
                <w:color w:val="auto"/>
                <w:highlight w:val="none"/>
              </w:rPr>
              <w:t>氰化物废液</w:t>
            </w:r>
          </w:p>
        </w:tc>
        <w:tc>
          <w:tcPr>
            <w:tcW w:w="2333" w:type="dxa"/>
            <w:vAlign w:val="center"/>
          </w:tcPr>
          <w:p w14:paraId="43398BDB">
            <w:pPr>
              <w:pStyle w:val="180"/>
              <w:jc w:val="both"/>
              <w:rPr>
                <w:rFonts w:hint="eastAsia"/>
                <w:color w:val="auto"/>
                <w:highlight w:val="none"/>
              </w:rPr>
            </w:pPr>
            <w:r>
              <w:rPr>
                <w:rFonts w:hint="eastAsia"/>
                <w:color w:val="auto"/>
                <w:highlight w:val="none"/>
              </w:rPr>
              <w:t>强酸类废液、氧化剂类废液、含铜/铅/汞等重金属废液</w:t>
            </w:r>
          </w:p>
        </w:tc>
        <w:tc>
          <w:tcPr>
            <w:tcW w:w="2333" w:type="dxa"/>
            <w:vAlign w:val="center"/>
          </w:tcPr>
          <w:p w14:paraId="11B732A5">
            <w:pPr>
              <w:pStyle w:val="180"/>
              <w:jc w:val="both"/>
              <w:rPr>
                <w:rFonts w:hint="eastAsia"/>
                <w:color w:val="auto"/>
                <w:highlight w:val="none"/>
              </w:rPr>
            </w:pPr>
            <w:r>
              <w:rPr>
                <w:rFonts w:hint="eastAsia"/>
                <w:color w:val="auto"/>
                <w:highlight w:val="none"/>
              </w:rPr>
              <w:t>产生剧毒氰化氢气体；生成剧毒氰化物沉淀；发生氧化反应生成剧毒氰气</w:t>
            </w:r>
          </w:p>
        </w:tc>
        <w:tc>
          <w:tcPr>
            <w:tcW w:w="2334" w:type="dxa"/>
            <w:vAlign w:val="center"/>
          </w:tcPr>
          <w:p w14:paraId="3C1E8E80">
            <w:pPr>
              <w:pStyle w:val="180"/>
              <w:jc w:val="both"/>
              <w:rPr>
                <w:rFonts w:hint="eastAsia"/>
                <w:color w:val="auto"/>
                <w:highlight w:val="none"/>
              </w:rPr>
            </w:pPr>
            <w:r>
              <w:rPr>
                <w:rFonts w:hint="eastAsia"/>
                <w:color w:val="auto"/>
                <w:highlight w:val="none"/>
              </w:rPr>
              <w:t>单独收集于密封容器，加入次氯酸钠等碱性氧化剂破坏氰根后再处置，严禁与其他废液混合</w:t>
            </w:r>
          </w:p>
        </w:tc>
      </w:tr>
      <w:tr w14:paraId="12A779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6CBD35E5">
            <w:pPr>
              <w:pStyle w:val="180"/>
              <w:rPr>
                <w:rFonts w:hint="eastAsia"/>
                <w:color w:val="auto"/>
                <w:highlight w:val="none"/>
              </w:rPr>
            </w:pPr>
            <w:r>
              <w:rPr>
                <w:rFonts w:hint="eastAsia"/>
                <w:color w:val="auto"/>
                <w:highlight w:val="none"/>
              </w:rPr>
              <w:t>硫化物废液</w:t>
            </w:r>
          </w:p>
        </w:tc>
        <w:tc>
          <w:tcPr>
            <w:tcW w:w="2333" w:type="dxa"/>
            <w:vAlign w:val="center"/>
          </w:tcPr>
          <w:p w14:paraId="31C980B6">
            <w:pPr>
              <w:pStyle w:val="180"/>
              <w:jc w:val="both"/>
              <w:rPr>
                <w:rFonts w:hint="eastAsia"/>
                <w:color w:val="auto"/>
                <w:highlight w:val="none"/>
              </w:rPr>
            </w:pPr>
            <w:r>
              <w:rPr>
                <w:rFonts w:hint="eastAsia"/>
                <w:color w:val="auto"/>
                <w:highlight w:val="none"/>
              </w:rPr>
              <w:t>强酸类废液、氧化剂类废液、重金属废液</w:t>
            </w:r>
          </w:p>
        </w:tc>
        <w:tc>
          <w:tcPr>
            <w:tcW w:w="2333" w:type="dxa"/>
            <w:vAlign w:val="center"/>
          </w:tcPr>
          <w:p w14:paraId="1A5B9CF6">
            <w:pPr>
              <w:pStyle w:val="180"/>
              <w:jc w:val="both"/>
              <w:rPr>
                <w:rFonts w:hint="eastAsia"/>
                <w:color w:val="auto"/>
                <w:highlight w:val="none"/>
              </w:rPr>
            </w:pPr>
            <w:r>
              <w:rPr>
                <w:rFonts w:hint="eastAsia"/>
                <w:color w:val="auto"/>
                <w:highlight w:val="none"/>
              </w:rPr>
              <w:t>产生剧毒硫化氢气体；发生氧化还原反应引发燃烧、爆炸</w:t>
            </w:r>
          </w:p>
        </w:tc>
        <w:tc>
          <w:tcPr>
            <w:tcW w:w="2334" w:type="dxa"/>
            <w:vAlign w:val="center"/>
          </w:tcPr>
          <w:p w14:paraId="47A150D9">
            <w:pPr>
              <w:pStyle w:val="180"/>
              <w:jc w:val="both"/>
              <w:rPr>
                <w:rFonts w:hint="eastAsia"/>
                <w:color w:val="auto"/>
                <w:highlight w:val="none"/>
              </w:rPr>
            </w:pPr>
            <w:r>
              <w:rPr>
                <w:rFonts w:hint="eastAsia"/>
                <w:color w:val="auto"/>
                <w:highlight w:val="none"/>
              </w:rPr>
              <w:t>单独收集，加入氧化剂氧化后再进行后续处理</w:t>
            </w:r>
          </w:p>
        </w:tc>
      </w:tr>
      <w:tr w14:paraId="46DDE2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3DF13B46">
            <w:pPr>
              <w:pStyle w:val="180"/>
              <w:rPr>
                <w:rFonts w:hint="eastAsia"/>
                <w:color w:val="auto"/>
                <w:highlight w:val="none"/>
              </w:rPr>
            </w:pPr>
            <w:r>
              <w:rPr>
                <w:rFonts w:hint="eastAsia"/>
                <w:color w:val="auto"/>
                <w:highlight w:val="none"/>
              </w:rPr>
              <w:t>含汞废液</w:t>
            </w:r>
          </w:p>
        </w:tc>
        <w:tc>
          <w:tcPr>
            <w:tcW w:w="2333" w:type="dxa"/>
            <w:vAlign w:val="center"/>
          </w:tcPr>
          <w:p w14:paraId="6A7BD1F5">
            <w:pPr>
              <w:pStyle w:val="180"/>
              <w:jc w:val="both"/>
              <w:rPr>
                <w:rFonts w:hint="eastAsia"/>
                <w:color w:val="auto"/>
                <w:highlight w:val="none"/>
              </w:rPr>
            </w:pPr>
            <w:r>
              <w:rPr>
                <w:rFonts w:hint="eastAsia"/>
                <w:color w:val="auto"/>
                <w:highlight w:val="none"/>
              </w:rPr>
              <w:t>氨水、胺类废液、强碱类废液、硫化物废液、还原剂废液</w:t>
            </w:r>
          </w:p>
        </w:tc>
        <w:tc>
          <w:tcPr>
            <w:tcW w:w="2333" w:type="dxa"/>
            <w:vAlign w:val="center"/>
          </w:tcPr>
          <w:p w14:paraId="2B328291">
            <w:pPr>
              <w:pStyle w:val="180"/>
              <w:jc w:val="both"/>
              <w:rPr>
                <w:rFonts w:hint="eastAsia"/>
                <w:color w:val="auto"/>
                <w:highlight w:val="none"/>
              </w:rPr>
            </w:pPr>
            <w:r>
              <w:rPr>
                <w:rFonts w:hint="eastAsia"/>
                <w:color w:val="auto"/>
                <w:highlight w:val="none"/>
              </w:rPr>
              <w:t>生成易爆炸的汞氨化合物；产生剧毒硫化汞沉淀；发生还原反应生成汞蒸气</w:t>
            </w:r>
          </w:p>
        </w:tc>
        <w:tc>
          <w:tcPr>
            <w:tcW w:w="2334" w:type="dxa"/>
            <w:vAlign w:val="center"/>
          </w:tcPr>
          <w:p w14:paraId="4BC7B0FE">
            <w:pPr>
              <w:pStyle w:val="180"/>
              <w:jc w:val="both"/>
              <w:rPr>
                <w:rFonts w:hint="eastAsia"/>
                <w:color w:val="auto"/>
                <w:highlight w:val="none"/>
              </w:rPr>
            </w:pPr>
            <w:r>
              <w:rPr>
                <w:rFonts w:hint="eastAsia"/>
                <w:color w:val="auto"/>
                <w:highlight w:val="none"/>
              </w:rPr>
              <w:t>单独收集，加入硫化钠生成硫化汞沉淀，过滤后残渣按危废处置</w:t>
            </w:r>
          </w:p>
        </w:tc>
      </w:tr>
      <w:tr w14:paraId="76C5B6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494A2D98">
            <w:pPr>
              <w:pStyle w:val="180"/>
              <w:rPr>
                <w:rFonts w:hint="eastAsia"/>
                <w:color w:val="auto"/>
                <w:highlight w:val="none"/>
              </w:rPr>
            </w:pPr>
            <w:r>
              <w:rPr>
                <w:rFonts w:hint="eastAsia"/>
                <w:color w:val="auto"/>
                <w:highlight w:val="none"/>
              </w:rPr>
              <w:t>含氟废液</w:t>
            </w:r>
          </w:p>
        </w:tc>
        <w:tc>
          <w:tcPr>
            <w:tcW w:w="2333" w:type="dxa"/>
            <w:vAlign w:val="center"/>
          </w:tcPr>
          <w:p w14:paraId="3DC3F44A">
            <w:pPr>
              <w:pStyle w:val="180"/>
              <w:jc w:val="both"/>
              <w:rPr>
                <w:rFonts w:hint="eastAsia"/>
                <w:color w:val="auto"/>
                <w:highlight w:val="none"/>
              </w:rPr>
            </w:pPr>
            <w:r>
              <w:rPr>
                <w:rFonts w:hint="eastAsia"/>
                <w:color w:val="auto"/>
                <w:highlight w:val="none"/>
              </w:rPr>
              <w:t>强酸类废液、玻璃容器、含钙废液、含铝废液</w:t>
            </w:r>
          </w:p>
        </w:tc>
        <w:tc>
          <w:tcPr>
            <w:tcW w:w="2333" w:type="dxa"/>
            <w:vAlign w:val="center"/>
          </w:tcPr>
          <w:p w14:paraId="217F8D15">
            <w:pPr>
              <w:pStyle w:val="180"/>
              <w:jc w:val="both"/>
              <w:rPr>
                <w:rFonts w:hint="eastAsia"/>
                <w:color w:val="auto"/>
                <w:highlight w:val="none"/>
              </w:rPr>
            </w:pPr>
            <w:r>
              <w:rPr>
                <w:rFonts w:hint="eastAsia"/>
                <w:color w:val="auto"/>
                <w:highlight w:val="none"/>
              </w:rPr>
              <w:t>产生剧毒氟化氢气体；腐蚀玻璃容器造成泄漏；生成难溶沉淀堵塞管道</w:t>
            </w:r>
          </w:p>
        </w:tc>
        <w:tc>
          <w:tcPr>
            <w:tcW w:w="2334" w:type="dxa"/>
            <w:vAlign w:val="center"/>
          </w:tcPr>
          <w:p w14:paraId="35541C12">
            <w:pPr>
              <w:pStyle w:val="180"/>
              <w:jc w:val="both"/>
              <w:rPr>
                <w:rFonts w:hint="eastAsia"/>
                <w:color w:val="auto"/>
                <w:highlight w:val="none"/>
              </w:rPr>
            </w:pPr>
            <w:r>
              <w:rPr>
                <w:rFonts w:hint="eastAsia"/>
                <w:color w:val="auto"/>
                <w:highlight w:val="none"/>
              </w:rPr>
              <w:t>单独收集于塑料容器，加入钙盐生成氟化钙沉淀，过滤后上清液中和排放，残渣按危废处置</w:t>
            </w:r>
          </w:p>
        </w:tc>
      </w:tr>
      <w:tr w14:paraId="142BF1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19EEB689">
            <w:pPr>
              <w:pStyle w:val="180"/>
              <w:jc w:val="both"/>
              <w:rPr>
                <w:rFonts w:hint="eastAsia"/>
                <w:color w:val="auto"/>
                <w:highlight w:val="none"/>
              </w:rPr>
            </w:pPr>
            <w:r>
              <w:rPr>
                <w:rFonts w:hint="eastAsia"/>
                <w:color w:val="auto"/>
                <w:highlight w:val="none"/>
              </w:rPr>
              <w:t>有机溶剂废液（甲醇、乙腈、丙酮、正己烷、二氯甲烷、甲苯等）</w:t>
            </w:r>
          </w:p>
        </w:tc>
        <w:tc>
          <w:tcPr>
            <w:tcW w:w="2333" w:type="dxa"/>
            <w:vAlign w:val="center"/>
          </w:tcPr>
          <w:p w14:paraId="75DD593E">
            <w:pPr>
              <w:pStyle w:val="180"/>
              <w:jc w:val="both"/>
              <w:rPr>
                <w:rFonts w:hint="eastAsia"/>
                <w:color w:val="auto"/>
                <w:highlight w:val="none"/>
              </w:rPr>
            </w:pPr>
            <w:r>
              <w:rPr>
                <w:rFonts w:hint="eastAsia"/>
                <w:color w:val="auto"/>
                <w:highlight w:val="none"/>
              </w:rPr>
              <w:t>强酸类废液、强氧化剂类废液、易燃易爆气体废液</w:t>
            </w:r>
          </w:p>
        </w:tc>
        <w:tc>
          <w:tcPr>
            <w:tcW w:w="2333" w:type="dxa"/>
            <w:vAlign w:val="center"/>
          </w:tcPr>
          <w:p w14:paraId="47B5978F">
            <w:pPr>
              <w:pStyle w:val="180"/>
              <w:jc w:val="both"/>
              <w:rPr>
                <w:rFonts w:hint="eastAsia"/>
                <w:color w:val="auto"/>
                <w:highlight w:val="none"/>
              </w:rPr>
            </w:pPr>
            <w:r>
              <w:rPr>
                <w:rFonts w:hint="eastAsia"/>
                <w:color w:val="auto"/>
                <w:highlight w:val="none"/>
              </w:rPr>
              <w:t>发生放热反应，引发燃烧、爆炸；产生有毒光气、氯化氢气体</w:t>
            </w:r>
          </w:p>
        </w:tc>
        <w:tc>
          <w:tcPr>
            <w:tcW w:w="2334" w:type="dxa"/>
            <w:vAlign w:val="center"/>
          </w:tcPr>
          <w:p w14:paraId="1C84227E">
            <w:pPr>
              <w:pStyle w:val="180"/>
              <w:jc w:val="both"/>
              <w:rPr>
                <w:rFonts w:hint="eastAsia"/>
                <w:color w:val="auto"/>
                <w:highlight w:val="none"/>
              </w:rPr>
            </w:pPr>
            <w:r>
              <w:rPr>
                <w:rFonts w:hint="eastAsia"/>
                <w:color w:val="auto"/>
                <w:highlight w:val="none"/>
              </w:rPr>
              <w:t>按卤代烃、非卤代烃分类收集，委托有资质单位焚烧处置</w:t>
            </w:r>
          </w:p>
        </w:tc>
      </w:tr>
      <w:tr w14:paraId="6F9D8D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74DF57E9">
            <w:pPr>
              <w:pStyle w:val="180"/>
              <w:rPr>
                <w:rFonts w:hint="eastAsia"/>
                <w:color w:val="auto"/>
                <w:highlight w:val="none"/>
              </w:rPr>
            </w:pPr>
            <w:r>
              <w:rPr>
                <w:rFonts w:hint="eastAsia"/>
                <w:color w:val="auto"/>
                <w:highlight w:val="none"/>
              </w:rPr>
              <w:t>含酚类废液</w:t>
            </w:r>
          </w:p>
        </w:tc>
        <w:tc>
          <w:tcPr>
            <w:tcW w:w="2333" w:type="dxa"/>
            <w:vAlign w:val="center"/>
          </w:tcPr>
          <w:p w14:paraId="373C78BC">
            <w:pPr>
              <w:pStyle w:val="180"/>
              <w:jc w:val="both"/>
              <w:rPr>
                <w:rFonts w:hint="eastAsia"/>
                <w:color w:val="auto"/>
                <w:highlight w:val="none"/>
              </w:rPr>
            </w:pPr>
            <w:r>
              <w:rPr>
                <w:rFonts w:hint="eastAsia"/>
                <w:color w:val="auto"/>
                <w:highlight w:val="none"/>
              </w:rPr>
              <w:t>强氧化剂类废液、强碱类废液、含溴废液</w:t>
            </w:r>
          </w:p>
        </w:tc>
        <w:tc>
          <w:tcPr>
            <w:tcW w:w="2333" w:type="dxa"/>
            <w:vAlign w:val="center"/>
          </w:tcPr>
          <w:p w14:paraId="25F09E23">
            <w:pPr>
              <w:pStyle w:val="180"/>
              <w:jc w:val="both"/>
              <w:rPr>
                <w:rFonts w:hint="eastAsia"/>
                <w:color w:val="auto"/>
                <w:highlight w:val="none"/>
              </w:rPr>
            </w:pPr>
            <w:r>
              <w:rPr>
                <w:rFonts w:hint="eastAsia"/>
                <w:color w:val="auto"/>
                <w:highlight w:val="none"/>
              </w:rPr>
              <w:t>发生剧烈反应，生成有毒、易爆化合物</w:t>
            </w:r>
          </w:p>
        </w:tc>
        <w:tc>
          <w:tcPr>
            <w:tcW w:w="2334" w:type="dxa"/>
            <w:vAlign w:val="center"/>
          </w:tcPr>
          <w:p w14:paraId="1AEF7664">
            <w:pPr>
              <w:pStyle w:val="180"/>
              <w:jc w:val="both"/>
              <w:rPr>
                <w:rFonts w:hint="eastAsia"/>
                <w:color w:val="auto"/>
                <w:highlight w:val="none"/>
              </w:rPr>
            </w:pPr>
            <w:r>
              <w:rPr>
                <w:rFonts w:hint="eastAsia"/>
                <w:color w:val="auto"/>
                <w:highlight w:val="none"/>
              </w:rPr>
              <w:t>单独收集，加入氧化剂氧化后再处置</w:t>
            </w:r>
          </w:p>
        </w:tc>
      </w:tr>
      <w:tr w14:paraId="63F9F3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0A44AA4A">
            <w:pPr>
              <w:pStyle w:val="180"/>
              <w:rPr>
                <w:rFonts w:hint="eastAsia"/>
                <w:color w:val="auto"/>
                <w:highlight w:val="none"/>
              </w:rPr>
            </w:pPr>
            <w:r>
              <w:rPr>
                <w:rFonts w:hint="eastAsia"/>
                <w:color w:val="auto"/>
                <w:highlight w:val="none"/>
              </w:rPr>
              <w:t>农药类废液</w:t>
            </w:r>
          </w:p>
        </w:tc>
        <w:tc>
          <w:tcPr>
            <w:tcW w:w="2333" w:type="dxa"/>
            <w:vAlign w:val="center"/>
          </w:tcPr>
          <w:p w14:paraId="07457E47">
            <w:pPr>
              <w:pStyle w:val="180"/>
              <w:jc w:val="both"/>
              <w:rPr>
                <w:rFonts w:hint="eastAsia"/>
                <w:color w:val="auto"/>
                <w:highlight w:val="none"/>
              </w:rPr>
            </w:pPr>
            <w:r>
              <w:rPr>
                <w:rFonts w:hint="eastAsia"/>
                <w:color w:val="auto"/>
                <w:highlight w:val="none"/>
              </w:rPr>
              <w:t>强酸、强碱类废液、氧化剂、还原剂类废液</w:t>
            </w:r>
          </w:p>
        </w:tc>
        <w:tc>
          <w:tcPr>
            <w:tcW w:w="2333" w:type="dxa"/>
            <w:vAlign w:val="center"/>
          </w:tcPr>
          <w:p w14:paraId="100A0F69">
            <w:pPr>
              <w:pStyle w:val="180"/>
              <w:jc w:val="both"/>
              <w:rPr>
                <w:rFonts w:hint="eastAsia"/>
                <w:color w:val="auto"/>
                <w:highlight w:val="none"/>
              </w:rPr>
            </w:pPr>
            <w:r>
              <w:rPr>
                <w:rFonts w:hint="eastAsia"/>
                <w:color w:val="auto"/>
                <w:highlight w:val="none"/>
              </w:rPr>
              <w:t>发生水解、氧化还原反应，产生剧毒气体，引发燃烧爆炸</w:t>
            </w:r>
          </w:p>
        </w:tc>
        <w:tc>
          <w:tcPr>
            <w:tcW w:w="2334" w:type="dxa"/>
            <w:vAlign w:val="center"/>
          </w:tcPr>
          <w:p w14:paraId="6CFDE9A9">
            <w:pPr>
              <w:pStyle w:val="180"/>
              <w:jc w:val="both"/>
              <w:rPr>
                <w:rFonts w:hint="eastAsia"/>
                <w:color w:val="auto"/>
                <w:highlight w:val="none"/>
              </w:rPr>
            </w:pPr>
            <w:r>
              <w:rPr>
                <w:rFonts w:hint="eastAsia"/>
                <w:color w:val="auto"/>
                <w:highlight w:val="none"/>
              </w:rPr>
              <w:t>单独收集，委托有资质单位处置</w:t>
            </w:r>
          </w:p>
        </w:tc>
      </w:tr>
      <w:tr w14:paraId="3AF8E8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85" w:type="dxa"/>
            <w:bottom w:w="0" w:type="dxa"/>
            <w:right w:w="85" w:type="dxa"/>
          </w:tblCellMar>
        </w:tblPrEx>
        <w:trPr>
          <w:jc w:val="center"/>
        </w:trPr>
        <w:tc>
          <w:tcPr>
            <w:tcW w:w="2334" w:type="dxa"/>
            <w:vAlign w:val="center"/>
          </w:tcPr>
          <w:p w14:paraId="06F6C071">
            <w:pPr>
              <w:pStyle w:val="180"/>
              <w:rPr>
                <w:rFonts w:hint="eastAsia"/>
                <w:color w:val="auto"/>
                <w:highlight w:val="none"/>
              </w:rPr>
            </w:pPr>
            <w:r>
              <w:rPr>
                <w:rFonts w:hint="eastAsia"/>
                <w:color w:val="auto"/>
                <w:highlight w:val="none"/>
              </w:rPr>
              <w:t>放射性废液</w:t>
            </w:r>
          </w:p>
        </w:tc>
        <w:tc>
          <w:tcPr>
            <w:tcW w:w="2333" w:type="dxa"/>
            <w:vAlign w:val="center"/>
          </w:tcPr>
          <w:p w14:paraId="434153C4">
            <w:pPr>
              <w:pStyle w:val="180"/>
              <w:jc w:val="both"/>
              <w:rPr>
                <w:rFonts w:hint="eastAsia"/>
                <w:color w:val="auto"/>
                <w:highlight w:val="none"/>
              </w:rPr>
            </w:pPr>
            <w:r>
              <w:rPr>
                <w:rFonts w:hint="eastAsia"/>
                <w:color w:val="auto"/>
                <w:highlight w:val="none"/>
              </w:rPr>
              <w:t>其他所有类型废液</w:t>
            </w:r>
          </w:p>
        </w:tc>
        <w:tc>
          <w:tcPr>
            <w:tcW w:w="2333" w:type="dxa"/>
            <w:vAlign w:val="center"/>
          </w:tcPr>
          <w:p w14:paraId="3C376031">
            <w:pPr>
              <w:pStyle w:val="180"/>
              <w:jc w:val="both"/>
              <w:rPr>
                <w:rFonts w:hint="eastAsia"/>
                <w:color w:val="auto"/>
                <w:highlight w:val="none"/>
              </w:rPr>
            </w:pPr>
            <w:r>
              <w:rPr>
                <w:rFonts w:hint="eastAsia"/>
                <w:color w:val="auto"/>
                <w:highlight w:val="none"/>
              </w:rPr>
              <w:t>造成交叉污染，扩大放射性污染范围，增加处置难度</w:t>
            </w:r>
          </w:p>
        </w:tc>
        <w:tc>
          <w:tcPr>
            <w:tcW w:w="2334" w:type="dxa"/>
            <w:vAlign w:val="center"/>
          </w:tcPr>
          <w:p w14:paraId="33721769">
            <w:pPr>
              <w:pStyle w:val="180"/>
              <w:jc w:val="both"/>
              <w:rPr>
                <w:rFonts w:hint="eastAsia"/>
                <w:color w:val="auto"/>
                <w:highlight w:val="none"/>
              </w:rPr>
            </w:pPr>
            <w:r>
              <w:rPr>
                <w:rFonts w:hint="eastAsia"/>
                <w:color w:val="auto"/>
                <w:highlight w:val="none"/>
              </w:rPr>
              <w:t>单独收集于专用防辐射容器，经衰变池储存达标后排放，或委托有资质单位处置</w:t>
            </w:r>
          </w:p>
        </w:tc>
      </w:tr>
    </w:tbl>
    <w:p w14:paraId="05320A91">
      <w:pPr>
        <w:pStyle w:val="215"/>
        <w:numPr>
          <w:ilvl w:val="-1"/>
          <w:numId w:val="0"/>
        </w:numPr>
        <w:rPr>
          <w:color w:val="auto"/>
          <w:highlight w:val="none"/>
        </w:rPr>
      </w:pPr>
    </w:p>
    <w:bookmarkEnd w:id="189"/>
    <w:p w14:paraId="6BB21B65">
      <w:pPr>
        <w:pStyle w:val="58"/>
        <w:ind w:firstLine="0" w:firstLineChars="0"/>
        <w:jc w:val="center"/>
        <w:rPr>
          <w:color w:val="auto"/>
          <w:highlight w:val="none"/>
        </w:rPr>
      </w:pPr>
      <w:r>
        <w:rPr>
          <w:color w:val="auto"/>
          <w:highlight w:val="none"/>
        </w:rP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B615A">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6EFC2">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80FB5">
    <w:pPr>
      <w:pStyle w:val="18"/>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605C6">
    <w:pPr>
      <w:pStyle w:val="54"/>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67514">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FB49F">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B4F80">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94E7B">
    <w:pPr>
      <w:pStyle w:val="63"/>
      <w:rPr>
        <w:rFonts w:hint="eastAsia"/>
      </w:rPr>
    </w:pPr>
    <w:r>
      <w:fldChar w:fldCharType="begin"/>
    </w:r>
    <w:r>
      <w:instrText xml:space="preserve"> STYLEREF  标准文件_文件编号  \* MERGEFORMAT </w:instrText>
    </w:r>
    <w:r>
      <w:fldChar w:fldCharType="separate"/>
    </w:r>
    <w:r>
      <w:t>T/XXX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5B3C9">
    <w:pPr>
      <w:pStyle w:val="19"/>
      <w:jc w:val="right"/>
    </w:pPr>
    <w:r>
      <w:fldChar w:fldCharType="begin"/>
    </w:r>
    <w:r>
      <w:instrText xml:space="preserve"> STYLEREF  标准文件_文件编号  \* MERGEFORMAT </w:instrText>
    </w:r>
    <w:r>
      <w:fldChar w:fldCharType="separate"/>
    </w:r>
    <w:r>
      <w:t>T/XXX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6"/>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1"/>
      <w:suff w:val="nothing"/>
      <w:lvlText w:val="%1%2.%3　"/>
      <w:lvlJc w:val="left"/>
      <w:pPr>
        <w:ind w:left="0" w:firstLine="0"/>
      </w:pPr>
    </w:lvl>
    <w:lvl w:ilvl="3" w:tentative="0">
      <w:start w:val="1"/>
      <w:numFmt w:val="decimal"/>
      <w:pStyle w:val="120"/>
      <w:suff w:val="nothing"/>
      <w:lvlText w:val="%1%2.%3.%4　"/>
      <w:lvlJc w:val="left"/>
      <w:pPr>
        <w:ind w:left="0" w:firstLine="0"/>
      </w:pPr>
    </w:lvl>
    <w:lvl w:ilvl="4" w:tentative="0">
      <w:start w:val="1"/>
      <w:numFmt w:val="decimal"/>
      <w:pStyle w:val="155"/>
      <w:suff w:val="nothing"/>
      <w:lvlText w:val="%1%2.%3.%4.%5　"/>
      <w:lvlJc w:val="left"/>
      <w:pPr>
        <w:ind w:left="0" w:firstLine="0"/>
      </w:pPr>
    </w:lvl>
    <w:lvl w:ilvl="5" w:tentative="0">
      <w:start w:val="1"/>
      <w:numFmt w:val="decimal"/>
      <w:pStyle w:val="157"/>
      <w:suff w:val="nothing"/>
      <w:lvlText w:val="%1%2.%3.%4.%5.%6　"/>
      <w:lvlJc w:val="left"/>
      <w:pPr>
        <w:ind w:left="0" w:firstLine="0"/>
      </w:pPr>
    </w:lvl>
    <w:lvl w:ilvl="6" w:tentative="0">
      <w:start w:val="1"/>
      <w:numFmt w:val="decimal"/>
      <w:pStyle w:val="160"/>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2"/>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1"/>
      <w:lvlText w:val="%1"/>
      <w:lvlJc w:val="left"/>
      <w:pPr>
        <w:ind w:left="425" w:hanging="425"/>
      </w:pPr>
      <w:rPr>
        <w:rFonts w:hint="eastAsia"/>
      </w:rPr>
    </w:lvl>
    <w:lvl w:ilvl="1" w:tentative="0">
      <w:start w:val="1"/>
      <w:numFmt w:val="decimal"/>
      <w:pStyle w:val="202"/>
      <w:suff w:val="nothing"/>
      <w:lvlText w:val="%10.%2 "/>
      <w:lvlJc w:val="left"/>
      <w:pPr>
        <w:ind w:left="0" w:firstLine="0"/>
      </w:pPr>
      <w:rPr>
        <w:rFonts w:hint="eastAsia" w:ascii="黑体" w:eastAsia="黑体" w:hAnsiTheme="minorHAnsi"/>
        <w:b w:val="0"/>
        <w:i w:val="0"/>
        <w:sz w:val="21"/>
      </w:rPr>
    </w:lvl>
    <w:lvl w:ilvl="2" w:tentative="0">
      <w:start w:val="1"/>
      <w:numFmt w:val="decimal"/>
      <w:pStyle w:val="203"/>
      <w:suff w:val="nothing"/>
      <w:lvlText w:val="%10.%2.%3 "/>
      <w:lvlJc w:val="left"/>
      <w:pPr>
        <w:ind w:left="0" w:firstLine="0"/>
      </w:pPr>
      <w:rPr>
        <w:rFonts w:hint="eastAsia" w:ascii="黑体" w:eastAsia="黑体" w:hAnsiTheme="minorHAnsi"/>
        <w:b w:val="0"/>
        <w:i w:val="0"/>
        <w:sz w:val="21"/>
      </w:rPr>
    </w:lvl>
    <w:lvl w:ilvl="3" w:tentative="0">
      <w:start w:val="1"/>
      <w:numFmt w:val="decimal"/>
      <w:pStyle w:val="204"/>
      <w:suff w:val="nothing"/>
      <w:lvlText w:val="%10.%2.%3.%4 "/>
      <w:lvlJc w:val="left"/>
      <w:pPr>
        <w:ind w:left="0" w:firstLine="0"/>
      </w:pPr>
      <w:rPr>
        <w:rFonts w:hint="eastAsia" w:ascii="黑体" w:eastAsia="黑体" w:hAnsiTheme="minorHAnsi"/>
        <w:b w:val="0"/>
        <w:i w:val="0"/>
        <w:sz w:val="21"/>
      </w:rPr>
    </w:lvl>
    <w:lvl w:ilvl="4" w:tentative="0">
      <w:start w:val="1"/>
      <w:numFmt w:val="decimal"/>
      <w:pStyle w:val="205"/>
      <w:suff w:val="nothing"/>
      <w:lvlText w:val="%10.%2.%3.%4.%5 "/>
      <w:lvlJc w:val="left"/>
      <w:pPr>
        <w:ind w:left="0" w:firstLine="0"/>
      </w:pPr>
      <w:rPr>
        <w:rFonts w:hint="eastAsia" w:ascii="黑体" w:eastAsia="黑体" w:hAnsiTheme="minorHAnsi"/>
        <w:b w:val="0"/>
        <w:i w:val="0"/>
        <w:sz w:val="21"/>
      </w:rPr>
    </w:lvl>
    <w:lvl w:ilvl="5" w:tentative="0">
      <w:start w:val="1"/>
      <w:numFmt w:val="decimal"/>
      <w:pStyle w:val="206"/>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3"/>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9"/>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2"/>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7"/>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4"/>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4"/>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9"/>
      <w:lvlText w:val=""/>
      <w:lvlJc w:val="left"/>
      <w:pPr>
        <w:ind w:left="851" w:hanging="431"/>
      </w:pPr>
      <w:rPr>
        <w:rFonts w:hint="default" w:ascii="Symbol" w:hAnsi="Symbol"/>
        <w:sz w:val="21"/>
      </w:rPr>
    </w:lvl>
    <w:lvl w:ilvl="2" w:tentative="0">
      <w:start w:val="1"/>
      <w:numFmt w:val="bullet"/>
      <w:pStyle w:val="174"/>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3"/>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6"/>
      <w:lvlText w:val="%1)"/>
      <w:lvlJc w:val="left"/>
      <w:pPr>
        <w:tabs>
          <w:tab w:val="left" w:pos="851"/>
        </w:tabs>
        <w:ind w:left="851" w:hanging="426"/>
      </w:pPr>
      <w:rPr>
        <w:rFonts w:hint="eastAsia" w:ascii="宋体" w:hAnsi="Times New Roman" w:eastAsia="宋体"/>
        <w:sz w:val="21"/>
      </w:rPr>
    </w:lvl>
    <w:lvl w:ilvl="1" w:tentative="0">
      <w:start w:val="1"/>
      <w:numFmt w:val="decimal"/>
      <w:pStyle w:val="111"/>
      <w:lvlText w:val="%2)"/>
      <w:lvlJc w:val="left"/>
      <w:pPr>
        <w:tabs>
          <w:tab w:val="left" w:pos="1276"/>
        </w:tabs>
        <w:ind w:left="1276" w:hanging="425"/>
      </w:pPr>
      <w:rPr>
        <w:rFonts w:hint="eastAsia" w:ascii="宋体" w:hAnsi="Times New Roman" w:eastAsia="宋体"/>
        <w:sz w:val="21"/>
      </w:rPr>
    </w:lvl>
    <w:lvl w:ilvl="2" w:tentative="0">
      <w:start w:val="1"/>
      <w:numFmt w:val="decimal"/>
      <w:pStyle w:val="119"/>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0"/>
      <w:lvlText w:val="%1"/>
      <w:lvlJc w:val="left"/>
      <w:pPr>
        <w:ind w:left="420" w:hanging="420"/>
      </w:pPr>
      <w:rPr>
        <w:rFonts w:hint="eastAsia"/>
      </w:rPr>
    </w:lvl>
    <w:lvl w:ilvl="1" w:tentative="0">
      <w:start w:val="1"/>
      <w:numFmt w:val="decimal"/>
      <w:pStyle w:val="85"/>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5"/>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8"/>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5"/>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6"/>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1"/>
      <w:suff w:val="space"/>
      <w:lvlText w:val="%1"/>
      <w:lvlJc w:val="left"/>
      <w:pPr>
        <w:ind w:left="425" w:hanging="425"/>
      </w:pPr>
      <w:rPr>
        <w:rFonts w:hint="eastAsia"/>
      </w:rPr>
    </w:lvl>
    <w:lvl w:ilvl="1" w:tentative="0">
      <w:start w:val="1"/>
      <w:numFmt w:val="decimal"/>
      <w:pStyle w:val="79"/>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3"/>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4"/>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1"/>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8"/>
      <w:suff w:val="nothing"/>
      <w:lvlText w:val="附录%1"/>
      <w:lvlJc w:val="left"/>
      <w:pPr>
        <w:ind w:left="0" w:firstLine="0"/>
      </w:pPr>
      <w:rPr>
        <w:rFonts w:hint="eastAsia"/>
        <w:spacing w:val="100"/>
      </w:rPr>
    </w:lvl>
    <w:lvl w:ilvl="1" w:tentative="0">
      <w:start w:val="1"/>
      <w:numFmt w:val="decimal"/>
      <w:pStyle w:val="80"/>
      <w:suff w:val="nothing"/>
      <w:lvlText w:val="%1.%2　"/>
      <w:lvlJc w:val="left"/>
      <w:pPr>
        <w:ind w:left="0" w:firstLine="0"/>
      </w:pPr>
      <w:rPr>
        <w:rFonts w:hint="eastAsia" w:ascii="黑体" w:eastAsia="黑体"/>
        <w:b w:val="0"/>
        <w:i w:val="0"/>
        <w:sz w:val="21"/>
      </w:rPr>
    </w:lvl>
    <w:lvl w:ilvl="2" w:tentative="0">
      <w:start w:val="1"/>
      <w:numFmt w:val="decimal"/>
      <w:pStyle w:val="81"/>
      <w:suff w:val="nothing"/>
      <w:lvlText w:val="%1.%2.%3　"/>
      <w:lvlJc w:val="left"/>
      <w:pPr>
        <w:ind w:left="0" w:firstLine="0"/>
      </w:pPr>
      <w:rPr>
        <w:rFonts w:hint="eastAsia" w:ascii="黑体" w:eastAsia="黑体"/>
        <w:b w:val="0"/>
        <w:i w:val="0"/>
        <w:sz w:val="21"/>
      </w:rPr>
    </w:lvl>
    <w:lvl w:ilvl="3" w:tentative="0">
      <w:start w:val="1"/>
      <w:numFmt w:val="decimal"/>
      <w:pStyle w:val="83"/>
      <w:suff w:val="nothing"/>
      <w:lvlText w:val="%1.%2.%3.%4　"/>
      <w:lvlJc w:val="left"/>
      <w:pPr>
        <w:ind w:left="0" w:firstLine="0"/>
      </w:pPr>
      <w:rPr>
        <w:rFonts w:hint="eastAsia" w:ascii="黑体" w:eastAsia="黑体"/>
        <w:b w:val="0"/>
        <w:i w:val="0"/>
        <w:sz w:val="21"/>
      </w:rPr>
    </w:lvl>
    <w:lvl w:ilvl="4" w:tentative="0">
      <w:start w:val="1"/>
      <w:numFmt w:val="decimal"/>
      <w:pStyle w:val="84"/>
      <w:suff w:val="nothing"/>
      <w:lvlText w:val="%1.%2.%3.%4.%5　"/>
      <w:lvlJc w:val="left"/>
      <w:pPr>
        <w:ind w:left="0" w:firstLine="0"/>
      </w:pPr>
      <w:rPr>
        <w:rFonts w:hint="eastAsia" w:ascii="黑体" w:eastAsia="黑体"/>
        <w:b w:val="0"/>
        <w:i w:val="0"/>
        <w:sz w:val="21"/>
      </w:rPr>
    </w:lvl>
    <w:lvl w:ilvl="5" w:tentative="0">
      <w:start w:val="1"/>
      <w:numFmt w:val="decimal"/>
      <w:pStyle w:val="86"/>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0"/>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9"/>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4"/>
      <w:suff w:val="nothing"/>
      <w:lvlText w:val="%1"/>
      <w:lvlJc w:val="left"/>
      <w:pPr>
        <w:ind w:left="0" w:firstLine="0"/>
      </w:pPr>
      <w:rPr>
        <w:rFonts w:hint="eastAsia"/>
      </w:rPr>
    </w:lvl>
    <w:lvl w:ilvl="1" w:tentative="0">
      <w:start w:val="1"/>
      <w:numFmt w:val="decimal"/>
      <w:pStyle w:val="106"/>
      <w:suff w:val="nothing"/>
      <w:lvlText w:val="%1%2　"/>
      <w:lvlJc w:val="left"/>
      <w:pPr>
        <w:ind w:left="0" w:firstLine="0"/>
      </w:pPr>
      <w:rPr>
        <w:rFonts w:hint="eastAsia" w:ascii="黑体" w:eastAsia="黑体"/>
        <w:b w:val="0"/>
        <w:i w:val="0"/>
        <w:sz w:val="21"/>
      </w:rPr>
    </w:lvl>
    <w:lvl w:ilvl="2" w:tentative="0">
      <w:start w:val="1"/>
      <w:numFmt w:val="decimal"/>
      <w:pStyle w:val="10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7"/>
      <w:suff w:val="nothing"/>
      <w:lvlText w:val="%1%2.%3.%4　"/>
      <w:lvlJc w:val="left"/>
      <w:pPr>
        <w:ind w:left="0" w:firstLine="0"/>
      </w:pPr>
      <w:rPr>
        <w:rFonts w:hint="eastAsia" w:ascii="黑体" w:eastAsia="黑体"/>
        <w:b w:val="0"/>
        <w:i w:val="0"/>
        <w:sz w:val="21"/>
      </w:rPr>
    </w:lvl>
    <w:lvl w:ilvl="4" w:tentative="0">
      <w:start w:val="1"/>
      <w:numFmt w:val="decimal"/>
      <w:pStyle w:val="96"/>
      <w:suff w:val="nothing"/>
      <w:lvlText w:val="%1%2.%3.%4.%5　"/>
      <w:lvlJc w:val="left"/>
      <w:pPr>
        <w:ind w:left="0" w:firstLine="0"/>
      </w:pPr>
      <w:rPr>
        <w:rFonts w:hint="eastAsia" w:ascii="黑体" w:eastAsia="黑体"/>
        <w:b w:val="0"/>
        <w:i w:val="0"/>
        <w:sz w:val="21"/>
      </w:rPr>
    </w:lvl>
    <w:lvl w:ilvl="5" w:tentative="0">
      <w:start w:val="1"/>
      <w:numFmt w:val="decimal"/>
      <w:pStyle w:val="100"/>
      <w:suff w:val="nothing"/>
      <w:lvlText w:val="%1%2.%3.%4.%5.%6　"/>
      <w:lvlJc w:val="left"/>
      <w:pPr>
        <w:ind w:left="0" w:firstLine="0"/>
      </w:pPr>
      <w:rPr>
        <w:rFonts w:hint="eastAsia" w:ascii="黑体" w:eastAsia="黑体"/>
        <w:b w:val="0"/>
        <w:i w:val="0"/>
        <w:sz w:val="21"/>
      </w:rPr>
    </w:lvl>
    <w:lvl w:ilvl="6" w:tentative="0">
      <w:start w:val="1"/>
      <w:numFmt w:val="decimal"/>
      <w:pStyle w:val="105"/>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1"/>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7"/>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1"/>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attachedTemplate r:id="rId1"/>
  <w:trackRevisions w:val="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201D"/>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0D4"/>
    <w:rsid w:val="000303C3"/>
    <w:rsid w:val="000308E4"/>
    <w:rsid w:val="000331D3"/>
    <w:rsid w:val="000346A5"/>
    <w:rsid w:val="000359C3"/>
    <w:rsid w:val="00035A7D"/>
    <w:rsid w:val="000365ED"/>
    <w:rsid w:val="0004249A"/>
    <w:rsid w:val="00043282"/>
    <w:rsid w:val="00044286"/>
    <w:rsid w:val="0004445C"/>
    <w:rsid w:val="00045368"/>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5C14"/>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30A3"/>
    <w:rsid w:val="000F4050"/>
    <w:rsid w:val="000F4AEA"/>
    <w:rsid w:val="000F67E9"/>
    <w:rsid w:val="00104926"/>
    <w:rsid w:val="00113B1E"/>
    <w:rsid w:val="0011711C"/>
    <w:rsid w:val="001227FB"/>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4F69"/>
    <w:rsid w:val="00156B25"/>
    <w:rsid w:val="00156E1A"/>
    <w:rsid w:val="00157894"/>
    <w:rsid w:val="00157B55"/>
    <w:rsid w:val="001642FA"/>
    <w:rsid w:val="001649EB"/>
    <w:rsid w:val="00164B95"/>
    <w:rsid w:val="00164BAF"/>
    <w:rsid w:val="00164FA8"/>
    <w:rsid w:val="00165065"/>
    <w:rsid w:val="00165434"/>
    <w:rsid w:val="0016580B"/>
    <w:rsid w:val="00165F49"/>
    <w:rsid w:val="00166B88"/>
    <w:rsid w:val="0016770A"/>
    <w:rsid w:val="00170804"/>
    <w:rsid w:val="001708E9"/>
    <w:rsid w:val="0017340B"/>
    <w:rsid w:val="00173FB1"/>
    <w:rsid w:val="00176DFD"/>
    <w:rsid w:val="001836BA"/>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67B9"/>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1BE5"/>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559"/>
    <w:rsid w:val="002D4F1A"/>
    <w:rsid w:val="002D6EC6"/>
    <w:rsid w:val="002D79AC"/>
    <w:rsid w:val="002E039D"/>
    <w:rsid w:val="002E45D7"/>
    <w:rsid w:val="002E4D5A"/>
    <w:rsid w:val="002E6326"/>
    <w:rsid w:val="002F30E0"/>
    <w:rsid w:val="002F35E4"/>
    <w:rsid w:val="002F3730"/>
    <w:rsid w:val="002F38E1"/>
    <w:rsid w:val="002F7AF6"/>
    <w:rsid w:val="00300E63"/>
    <w:rsid w:val="00302F5F"/>
    <w:rsid w:val="0030441D"/>
    <w:rsid w:val="00306063"/>
    <w:rsid w:val="00313B85"/>
    <w:rsid w:val="00315E51"/>
    <w:rsid w:val="00317988"/>
    <w:rsid w:val="00321CEF"/>
    <w:rsid w:val="003221B4"/>
    <w:rsid w:val="0032258D"/>
    <w:rsid w:val="00322E62"/>
    <w:rsid w:val="00324D13"/>
    <w:rsid w:val="00324EDD"/>
    <w:rsid w:val="00331E9F"/>
    <w:rsid w:val="003331E4"/>
    <w:rsid w:val="00336C64"/>
    <w:rsid w:val="00337162"/>
    <w:rsid w:val="0034194F"/>
    <w:rsid w:val="00343A14"/>
    <w:rsid w:val="00344605"/>
    <w:rsid w:val="003474AA"/>
    <w:rsid w:val="00350D1D"/>
    <w:rsid w:val="00352C83"/>
    <w:rsid w:val="00352F1A"/>
    <w:rsid w:val="0035772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C75E1"/>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396"/>
    <w:rsid w:val="00404869"/>
    <w:rsid w:val="00405884"/>
    <w:rsid w:val="00407D39"/>
    <w:rsid w:val="0041477A"/>
    <w:rsid w:val="004167A3"/>
    <w:rsid w:val="00432DAA"/>
    <w:rsid w:val="00434305"/>
    <w:rsid w:val="00435DF7"/>
    <w:rsid w:val="0043741A"/>
    <w:rsid w:val="0044083F"/>
    <w:rsid w:val="00441AE7"/>
    <w:rsid w:val="00445180"/>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93ED5"/>
    <w:rsid w:val="004941EC"/>
    <w:rsid w:val="004A12DF"/>
    <w:rsid w:val="004A1BA8"/>
    <w:rsid w:val="004A2265"/>
    <w:rsid w:val="004A4B57"/>
    <w:rsid w:val="004A63FA"/>
    <w:rsid w:val="004A6A3D"/>
    <w:rsid w:val="004B0272"/>
    <w:rsid w:val="004B2701"/>
    <w:rsid w:val="004B2E1B"/>
    <w:rsid w:val="004B3AA8"/>
    <w:rsid w:val="004B3E93"/>
    <w:rsid w:val="004C1FBC"/>
    <w:rsid w:val="004C25A2"/>
    <w:rsid w:val="004C2718"/>
    <w:rsid w:val="004C3F1D"/>
    <w:rsid w:val="004C458D"/>
    <w:rsid w:val="004C7556"/>
    <w:rsid w:val="004C7E8B"/>
    <w:rsid w:val="004C7E9D"/>
    <w:rsid w:val="004C7F67"/>
    <w:rsid w:val="004D076D"/>
    <w:rsid w:val="004D0EF1"/>
    <w:rsid w:val="004D2253"/>
    <w:rsid w:val="004D3964"/>
    <w:rsid w:val="004D4406"/>
    <w:rsid w:val="004D7C42"/>
    <w:rsid w:val="004E0465"/>
    <w:rsid w:val="004E127B"/>
    <w:rsid w:val="004E1C0A"/>
    <w:rsid w:val="004E30C5"/>
    <w:rsid w:val="004E4AA5"/>
    <w:rsid w:val="004E4AEE"/>
    <w:rsid w:val="004E5258"/>
    <w:rsid w:val="004E59E3"/>
    <w:rsid w:val="004E67C0"/>
    <w:rsid w:val="004E67EA"/>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16CCC"/>
    <w:rsid w:val="005220EC"/>
    <w:rsid w:val="00523F95"/>
    <w:rsid w:val="00524D65"/>
    <w:rsid w:val="00525B16"/>
    <w:rsid w:val="005260CE"/>
    <w:rsid w:val="005334DB"/>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494E"/>
    <w:rsid w:val="00555044"/>
    <w:rsid w:val="00561475"/>
    <w:rsid w:val="00562308"/>
    <w:rsid w:val="00563512"/>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3C9A"/>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66F05"/>
    <w:rsid w:val="00672060"/>
    <w:rsid w:val="00672BFD"/>
    <w:rsid w:val="006770F4"/>
    <w:rsid w:val="00677A84"/>
    <w:rsid w:val="0068026D"/>
    <w:rsid w:val="00680A27"/>
    <w:rsid w:val="006816A4"/>
    <w:rsid w:val="006819B8"/>
    <w:rsid w:val="006840A6"/>
    <w:rsid w:val="006850CD"/>
    <w:rsid w:val="00685AAB"/>
    <w:rsid w:val="00693962"/>
    <w:rsid w:val="00695201"/>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1A3E"/>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1E99"/>
    <w:rsid w:val="007959E8"/>
    <w:rsid w:val="00795E9C"/>
    <w:rsid w:val="007A0521"/>
    <w:rsid w:val="007A2E12"/>
    <w:rsid w:val="007A3475"/>
    <w:rsid w:val="007A41C8"/>
    <w:rsid w:val="007A54CE"/>
    <w:rsid w:val="007A5D3A"/>
    <w:rsid w:val="007A6FD9"/>
    <w:rsid w:val="007A7FFA"/>
    <w:rsid w:val="007B04EB"/>
    <w:rsid w:val="007B0D4F"/>
    <w:rsid w:val="007B0F68"/>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5158"/>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6942"/>
    <w:rsid w:val="00817325"/>
    <w:rsid w:val="008209E6"/>
    <w:rsid w:val="00821D19"/>
    <w:rsid w:val="00823303"/>
    <w:rsid w:val="00823325"/>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149F"/>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1F26"/>
    <w:rsid w:val="008B3615"/>
    <w:rsid w:val="008B4AC4"/>
    <w:rsid w:val="008B50C8"/>
    <w:rsid w:val="008B5281"/>
    <w:rsid w:val="008B6CD2"/>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33B5"/>
    <w:rsid w:val="008F3E12"/>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4DA3"/>
    <w:rsid w:val="00945180"/>
    <w:rsid w:val="00945428"/>
    <w:rsid w:val="0094607B"/>
    <w:rsid w:val="00953604"/>
    <w:rsid w:val="0095496B"/>
    <w:rsid w:val="00960F1E"/>
    <w:rsid w:val="009610DC"/>
    <w:rsid w:val="00961490"/>
    <w:rsid w:val="0096381A"/>
    <w:rsid w:val="00964D37"/>
    <w:rsid w:val="00965E04"/>
    <w:rsid w:val="009674AD"/>
    <w:rsid w:val="009701C2"/>
    <w:rsid w:val="00970CDC"/>
    <w:rsid w:val="00975727"/>
    <w:rsid w:val="00977010"/>
    <w:rsid w:val="00977D02"/>
    <w:rsid w:val="00977FF9"/>
    <w:rsid w:val="009809BB"/>
    <w:rsid w:val="0098364B"/>
    <w:rsid w:val="00983BA0"/>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5A4A"/>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D76EF"/>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12E"/>
    <w:rsid w:val="00A4452E"/>
    <w:rsid w:val="00A4472C"/>
    <w:rsid w:val="00A44E69"/>
    <w:rsid w:val="00A4661E"/>
    <w:rsid w:val="00A541B4"/>
    <w:rsid w:val="00A55BD6"/>
    <w:rsid w:val="00A55D50"/>
    <w:rsid w:val="00A55E29"/>
    <w:rsid w:val="00A57142"/>
    <w:rsid w:val="00A648CD"/>
    <w:rsid w:val="00A6537A"/>
    <w:rsid w:val="00A65D05"/>
    <w:rsid w:val="00A67866"/>
    <w:rsid w:val="00A70B07"/>
    <w:rsid w:val="00A723F8"/>
    <w:rsid w:val="00A740BA"/>
    <w:rsid w:val="00A77CCB"/>
    <w:rsid w:val="00A83D8D"/>
    <w:rsid w:val="00A8446B"/>
    <w:rsid w:val="00A8473F"/>
    <w:rsid w:val="00A862D6"/>
    <w:rsid w:val="00A8715E"/>
    <w:rsid w:val="00A875C9"/>
    <w:rsid w:val="00A9295B"/>
    <w:rsid w:val="00A93B09"/>
    <w:rsid w:val="00A952D7"/>
    <w:rsid w:val="00A9625F"/>
    <w:rsid w:val="00A963F7"/>
    <w:rsid w:val="00A96AD8"/>
    <w:rsid w:val="00AA052C"/>
    <w:rsid w:val="00AA1E45"/>
    <w:rsid w:val="00AA4286"/>
    <w:rsid w:val="00AA456B"/>
    <w:rsid w:val="00AA57F5"/>
    <w:rsid w:val="00AA672E"/>
    <w:rsid w:val="00AA6EC9"/>
    <w:rsid w:val="00AB6309"/>
    <w:rsid w:val="00AB6C5F"/>
    <w:rsid w:val="00AB7129"/>
    <w:rsid w:val="00AC27A6"/>
    <w:rsid w:val="00AC2F68"/>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4B2"/>
    <w:rsid w:val="00AF0C18"/>
    <w:rsid w:val="00AF47C5"/>
    <w:rsid w:val="00AF5398"/>
    <w:rsid w:val="00B04971"/>
    <w:rsid w:val="00B049AF"/>
    <w:rsid w:val="00B07242"/>
    <w:rsid w:val="00B10534"/>
    <w:rsid w:val="00B113DB"/>
    <w:rsid w:val="00B11D8A"/>
    <w:rsid w:val="00B12981"/>
    <w:rsid w:val="00B147DD"/>
    <w:rsid w:val="00B156FD"/>
    <w:rsid w:val="00B21F61"/>
    <w:rsid w:val="00B261F1"/>
    <w:rsid w:val="00B265BC"/>
    <w:rsid w:val="00B2720B"/>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30DE"/>
    <w:rsid w:val="00B7320E"/>
    <w:rsid w:val="00B758BF"/>
    <w:rsid w:val="00B77EC8"/>
    <w:rsid w:val="00B827A6"/>
    <w:rsid w:val="00B831CE"/>
    <w:rsid w:val="00B86677"/>
    <w:rsid w:val="00B87131"/>
    <w:rsid w:val="00B91AD4"/>
    <w:rsid w:val="00B939B1"/>
    <w:rsid w:val="00B959E2"/>
    <w:rsid w:val="00B96D40"/>
    <w:rsid w:val="00B97386"/>
    <w:rsid w:val="00BA263B"/>
    <w:rsid w:val="00BA42B2"/>
    <w:rsid w:val="00BA58D4"/>
    <w:rsid w:val="00BA5B9E"/>
    <w:rsid w:val="00BA7C9A"/>
    <w:rsid w:val="00BB5F8F"/>
    <w:rsid w:val="00BB657A"/>
    <w:rsid w:val="00BC1A4E"/>
    <w:rsid w:val="00BC39A3"/>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C7DD7"/>
    <w:rsid w:val="00CD2808"/>
    <w:rsid w:val="00CD28BF"/>
    <w:rsid w:val="00CD4092"/>
    <w:rsid w:val="00CD4A20"/>
    <w:rsid w:val="00CD50A1"/>
    <w:rsid w:val="00CD519E"/>
    <w:rsid w:val="00CD7CB0"/>
    <w:rsid w:val="00CE0C4F"/>
    <w:rsid w:val="00CE30EA"/>
    <w:rsid w:val="00CE6708"/>
    <w:rsid w:val="00CF048A"/>
    <w:rsid w:val="00CF155A"/>
    <w:rsid w:val="00CF2947"/>
    <w:rsid w:val="00CF686F"/>
    <w:rsid w:val="00CF6BBA"/>
    <w:rsid w:val="00CF6E60"/>
    <w:rsid w:val="00CF755B"/>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26"/>
    <w:rsid w:val="00D51BF3"/>
    <w:rsid w:val="00D64B41"/>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2F80"/>
    <w:rsid w:val="00DA3077"/>
    <w:rsid w:val="00DA38D3"/>
    <w:rsid w:val="00DA3932"/>
    <w:rsid w:val="00DA3AFC"/>
    <w:rsid w:val="00DA64F8"/>
    <w:rsid w:val="00DA6C15"/>
    <w:rsid w:val="00DB0258"/>
    <w:rsid w:val="00DB1D27"/>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16DD3"/>
    <w:rsid w:val="00E202EF"/>
    <w:rsid w:val="00E210B5"/>
    <w:rsid w:val="00E252DD"/>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7BB"/>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201D"/>
    <w:rsid w:val="00E9311F"/>
    <w:rsid w:val="00E934D1"/>
    <w:rsid w:val="00E94AF0"/>
    <w:rsid w:val="00E95D13"/>
    <w:rsid w:val="00E95DD3"/>
    <w:rsid w:val="00E969D5"/>
    <w:rsid w:val="00EA0CB5"/>
    <w:rsid w:val="00EA58D1"/>
    <w:rsid w:val="00EA61BC"/>
    <w:rsid w:val="00EA681A"/>
    <w:rsid w:val="00EA735B"/>
    <w:rsid w:val="00EB1E69"/>
    <w:rsid w:val="00EB2086"/>
    <w:rsid w:val="00EB31ED"/>
    <w:rsid w:val="00EB5EDF"/>
    <w:rsid w:val="00EB60FE"/>
    <w:rsid w:val="00EB74DB"/>
    <w:rsid w:val="00EC4A1C"/>
    <w:rsid w:val="00EC5359"/>
    <w:rsid w:val="00EC562A"/>
    <w:rsid w:val="00EC7D36"/>
    <w:rsid w:val="00ED067A"/>
    <w:rsid w:val="00ED2B50"/>
    <w:rsid w:val="00EE0350"/>
    <w:rsid w:val="00EE0719"/>
    <w:rsid w:val="00EE0E80"/>
    <w:rsid w:val="00EE613F"/>
    <w:rsid w:val="00EE7295"/>
    <w:rsid w:val="00EE7869"/>
    <w:rsid w:val="00EE7986"/>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22A"/>
    <w:rsid w:val="00F72AE7"/>
    <w:rsid w:val="00F81C81"/>
    <w:rsid w:val="00F833BA"/>
    <w:rsid w:val="00F84FD0"/>
    <w:rsid w:val="00F859A8"/>
    <w:rsid w:val="00F86D87"/>
    <w:rsid w:val="00F9108B"/>
    <w:rsid w:val="00F91349"/>
    <w:rsid w:val="00F93A8A"/>
    <w:rsid w:val="00F95248"/>
    <w:rsid w:val="00F956A9"/>
    <w:rsid w:val="00F963ED"/>
    <w:rsid w:val="00F966CF"/>
    <w:rsid w:val="00F96CAE"/>
    <w:rsid w:val="00F97C99"/>
    <w:rsid w:val="00FA350A"/>
    <w:rsid w:val="00FA55D2"/>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6848"/>
    <w:rsid w:val="00FE7E79"/>
    <w:rsid w:val="00FF3E7D"/>
    <w:rsid w:val="00FF5B99"/>
    <w:rsid w:val="00FF6A2F"/>
    <w:rsid w:val="00FF730C"/>
    <w:rsid w:val="00FF73F4"/>
    <w:rsid w:val="00FF7CE4"/>
    <w:rsid w:val="00FF7E39"/>
    <w:rsid w:val="067A4160"/>
    <w:rsid w:val="08C238B9"/>
    <w:rsid w:val="0F804C19"/>
    <w:rsid w:val="1DF11808"/>
    <w:rsid w:val="21175A53"/>
    <w:rsid w:val="21325E8B"/>
    <w:rsid w:val="23696C97"/>
    <w:rsid w:val="392C2F1E"/>
    <w:rsid w:val="41934623"/>
    <w:rsid w:val="46B04757"/>
    <w:rsid w:val="46FA7E18"/>
    <w:rsid w:val="50781771"/>
    <w:rsid w:val="5B885B4D"/>
    <w:rsid w:val="62FB196E"/>
    <w:rsid w:val="63F56A0D"/>
    <w:rsid w:val="64FB6CCD"/>
    <w:rsid w:val="707843C6"/>
    <w:rsid w:val="70B16D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6"/>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8"/>
    <w:qFormat/>
    <w:uiPriority w:val="0"/>
    <w:pPr>
      <w:keepNext/>
      <w:keepLines/>
      <w:spacing w:before="260" w:after="260" w:line="416" w:lineRule="auto"/>
      <w:outlineLvl w:val="2"/>
    </w:pPr>
    <w:rPr>
      <w:b/>
      <w:bCs/>
      <w:sz w:val="32"/>
      <w:szCs w:val="32"/>
    </w:rPr>
  </w:style>
  <w:style w:type="paragraph" w:styleId="5">
    <w:name w:val="heading 4"/>
    <w:basedOn w:val="1"/>
    <w:next w:val="1"/>
    <w:link w:val="39"/>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0"/>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1"/>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2"/>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3"/>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4"/>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semiHidden/>
    <w:unhideWhenUsed/>
    <w:qFormat/>
    <w:uiPriority w:val="99"/>
    <w:pPr>
      <w:jc w:val="left"/>
    </w:pPr>
  </w:style>
  <w:style w:type="paragraph" w:styleId="14">
    <w:name w:val="Body Text"/>
    <w:basedOn w:val="1"/>
    <w:link w:val="88"/>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7"/>
    <w:semiHidden/>
    <w:unhideWhenUsed/>
    <w:qFormat/>
    <w:uiPriority w:val="99"/>
    <w:rPr>
      <w:sz w:val="18"/>
      <w:szCs w:val="18"/>
    </w:rPr>
  </w:style>
  <w:style w:type="paragraph" w:styleId="18">
    <w:name w:val="footer"/>
    <w:basedOn w:val="1"/>
    <w:link w:val="46"/>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5"/>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1"/>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Normal (Web)"/>
    <w:basedOn w:val="1"/>
    <w:semiHidden/>
    <w:unhideWhenUsed/>
    <w:qFormat/>
    <w:uiPriority w:val="99"/>
    <w:rPr>
      <w:sz w:val="24"/>
    </w:rPr>
  </w:style>
  <w:style w:type="paragraph" w:styleId="27">
    <w:name w:val="Title"/>
    <w:basedOn w:val="1"/>
    <w:link w:val="50"/>
    <w:qFormat/>
    <w:uiPriority w:val="0"/>
    <w:pPr>
      <w:spacing w:before="240" w:after="60"/>
      <w:jc w:val="center"/>
      <w:outlineLvl w:val="0"/>
    </w:pPr>
    <w:rPr>
      <w:rFonts w:ascii="Arial" w:hAnsi="Arial" w:cs="Arial"/>
      <w:b/>
      <w:bCs/>
      <w:sz w:val="32"/>
      <w:szCs w:val="32"/>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footnote reference"/>
    <w:semiHidden/>
    <w:qFormat/>
    <w:uiPriority w:val="0"/>
    <w:rPr>
      <w:rFonts w:ascii="宋体" w:hAnsi="宋体" w:eastAsia="宋体" w:cs="Times New Roman"/>
      <w:spacing w:val="0"/>
      <w:sz w:val="18"/>
      <w:vertAlign w:val="superscript"/>
    </w:rPr>
  </w:style>
  <w:style w:type="character" w:customStyle="1" w:styleId="36">
    <w:name w:val="标题 1 字符"/>
    <w:link w:val="2"/>
    <w:qFormat/>
    <w:uiPriority w:val="0"/>
    <w:rPr>
      <w:b/>
      <w:bCs/>
      <w:kern w:val="44"/>
      <w:sz w:val="44"/>
      <w:szCs w:val="44"/>
    </w:rPr>
  </w:style>
  <w:style w:type="character" w:customStyle="1" w:styleId="37">
    <w:name w:val="标题 2 字符"/>
    <w:link w:val="3"/>
    <w:qFormat/>
    <w:uiPriority w:val="0"/>
    <w:rPr>
      <w:rFonts w:ascii="Arial" w:hAnsi="Arial" w:eastAsia="黑体"/>
      <w:b/>
      <w:bCs/>
      <w:kern w:val="2"/>
      <w:sz w:val="32"/>
      <w:szCs w:val="32"/>
    </w:rPr>
  </w:style>
  <w:style w:type="character" w:customStyle="1" w:styleId="38">
    <w:name w:val="标题 3 字符"/>
    <w:link w:val="4"/>
    <w:qFormat/>
    <w:uiPriority w:val="0"/>
    <w:rPr>
      <w:b/>
      <w:bCs/>
      <w:kern w:val="2"/>
      <w:sz w:val="32"/>
      <w:szCs w:val="32"/>
    </w:rPr>
  </w:style>
  <w:style w:type="character" w:customStyle="1" w:styleId="39">
    <w:name w:val="标题 4 字符"/>
    <w:link w:val="5"/>
    <w:qFormat/>
    <w:uiPriority w:val="0"/>
    <w:rPr>
      <w:rFonts w:ascii="Arial" w:hAnsi="Arial" w:eastAsia="黑体"/>
      <w:b/>
      <w:bCs/>
      <w:kern w:val="2"/>
      <w:sz w:val="28"/>
      <w:szCs w:val="28"/>
    </w:rPr>
  </w:style>
  <w:style w:type="character" w:customStyle="1" w:styleId="40">
    <w:name w:val="标题 5 字符"/>
    <w:link w:val="6"/>
    <w:qFormat/>
    <w:uiPriority w:val="0"/>
    <w:rPr>
      <w:b/>
      <w:bCs/>
      <w:kern w:val="2"/>
      <w:sz w:val="28"/>
      <w:szCs w:val="28"/>
    </w:rPr>
  </w:style>
  <w:style w:type="character" w:customStyle="1" w:styleId="41">
    <w:name w:val="标题 6 字符"/>
    <w:link w:val="7"/>
    <w:qFormat/>
    <w:uiPriority w:val="0"/>
    <w:rPr>
      <w:rFonts w:ascii="Arial" w:hAnsi="Arial" w:eastAsia="黑体"/>
      <w:b/>
      <w:bCs/>
      <w:kern w:val="2"/>
      <w:sz w:val="24"/>
      <w:szCs w:val="24"/>
    </w:rPr>
  </w:style>
  <w:style w:type="character" w:customStyle="1" w:styleId="42">
    <w:name w:val="标题 7 字符"/>
    <w:link w:val="8"/>
    <w:qFormat/>
    <w:uiPriority w:val="0"/>
    <w:rPr>
      <w:b/>
      <w:bCs/>
      <w:kern w:val="2"/>
      <w:sz w:val="24"/>
      <w:szCs w:val="24"/>
    </w:rPr>
  </w:style>
  <w:style w:type="character" w:customStyle="1" w:styleId="43">
    <w:name w:val="标题 8 字符"/>
    <w:link w:val="9"/>
    <w:qFormat/>
    <w:uiPriority w:val="0"/>
    <w:rPr>
      <w:rFonts w:ascii="Arial" w:hAnsi="Arial" w:eastAsia="黑体"/>
      <w:kern w:val="2"/>
      <w:sz w:val="24"/>
      <w:szCs w:val="24"/>
    </w:rPr>
  </w:style>
  <w:style w:type="character" w:customStyle="1" w:styleId="44">
    <w:name w:val="标题 9 字符"/>
    <w:link w:val="10"/>
    <w:qFormat/>
    <w:uiPriority w:val="0"/>
    <w:rPr>
      <w:rFonts w:ascii="Arial" w:hAnsi="Arial" w:eastAsia="黑体"/>
      <w:kern w:val="2"/>
      <w:sz w:val="21"/>
      <w:szCs w:val="21"/>
    </w:rPr>
  </w:style>
  <w:style w:type="character" w:customStyle="1" w:styleId="45">
    <w:name w:val="页眉 字符"/>
    <w:link w:val="19"/>
    <w:qFormat/>
    <w:uiPriority w:val="99"/>
    <w:rPr>
      <w:kern w:val="2"/>
      <w:sz w:val="18"/>
      <w:szCs w:val="18"/>
    </w:rPr>
  </w:style>
  <w:style w:type="character" w:customStyle="1" w:styleId="46">
    <w:name w:val="页脚 字符"/>
    <w:link w:val="18"/>
    <w:qFormat/>
    <w:uiPriority w:val="99"/>
    <w:rPr>
      <w:rFonts w:ascii="宋体"/>
      <w:kern w:val="2"/>
      <w:sz w:val="18"/>
      <w:szCs w:val="18"/>
    </w:rPr>
  </w:style>
  <w:style w:type="character" w:customStyle="1" w:styleId="47">
    <w:name w:val="批注框文本 字符"/>
    <w:link w:val="17"/>
    <w:semiHidden/>
    <w:qFormat/>
    <w:uiPriority w:val="99"/>
    <w:rPr>
      <w:kern w:val="2"/>
      <w:sz w:val="18"/>
      <w:szCs w:val="18"/>
    </w:rPr>
  </w:style>
  <w:style w:type="paragraph" w:styleId="48">
    <w:name w:val="Quote"/>
    <w:basedOn w:val="1"/>
    <w:next w:val="1"/>
    <w:link w:val="49"/>
    <w:qFormat/>
    <w:uiPriority w:val="29"/>
    <w:rPr>
      <w:i/>
      <w:iCs/>
      <w:color w:val="000000"/>
    </w:rPr>
  </w:style>
  <w:style w:type="character" w:customStyle="1" w:styleId="49">
    <w:name w:val="引用 字符"/>
    <w:link w:val="48"/>
    <w:qFormat/>
    <w:uiPriority w:val="29"/>
    <w:rPr>
      <w:i/>
      <w:iCs/>
      <w:color w:val="000000"/>
      <w:kern w:val="2"/>
      <w:sz w:val="21"/>
      <w:szCs w:val="21"/>
    </w:rPr>
  </w:style>
  <w:style w:type="character" w:customStyle="1" w:styleId="50">
    <w:name w:val="标题 字符"/>
    <w:link w:val="27"/>
    <w:qFormat/>
    <w:uiPriority w:val="0"/>
    <w:rPr>
      <w:rFonts w:ascii="Arial" w:hAnsi="Arial" w:cs="Arial"/>
      <w:b/>
      <w:bCs/>
      <w:kern w:val="2"/>
      <w:sz w:val="32"/>
      <w:szCs w:val="32"/>
    </w:rPr>
  </w:style>
  <w:style w:type="paragraph" w:customStyle="1" w:styleId="51">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3">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4">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5">
    <w:name w:val="标准书眉一"/>
    <w:qFormat/>
    <w:uiPriority w:val="0"/>
    <w:pPr>
      <w:jc w:val="both"/>
    </w:pPr>
    <w:rPr>
      <w:rFonts w:ascii="Times New Roman" w:hAnsi="Times New Roman" w:eastAsia="宋体" w:cs="Times New Roman"/>
      <w:lang w:val="en-US" w:eastAsia="zh-CN" w:bidi="ar-SA"/>
    </w:rPr>
  </w:style>
  <w:style w:type="paragraph" w:customStyle="1" w:styleId="56">
    <w:name w:val="标准文件_ICS"/>
    <w:basedOn w:val="1"/>
    <w:qFormat/>
    <w:uiPriority w:val="0"/>
    <w:pPr>
      <w:spacing w:line="0" w:lineRule="atLeast"/>
    </w:pPr>
    <w:rPr>
      <w:rFonts w:ascii="黑体" w:hAnsi="宋体" w:eastAsia="黑体"/>
    </w:rPr>
  </w:style>
  <w:style w:type="paragraph" w:customStyle="1" w:styleId="57">
    <w:name w:val="标准文件_标准正文"/>
    <w:basedOn w:val="1"/>
    <w:next w:val="58"/>
    <w:qFormat/>
    <w:uiPriority w:val="0"/>
    <w:pPr>
      <w:snapToGrid w:val="0"/>
      <w:ind w:firstLine="200" w:firstLineChars="200"/>
    </w:pPr>
    <w:rPr>
      <w:kern w:val="0"/>
    </w:rPr>
  </w:style>
  <w:style w:type="paragraph" w:customStyle="1" w:styleId="58">
    <w:name w:val="标准文件_段"/>
    <w:link w:val="186"/>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9">
    <w:name w:val="标准文件_版本"/>
    <w:basedOn w:val="57"/>
    <w:qFormat/>
    <w:uiPriority w:val="0"/>
    <w:pPr>
      <w:adjustRightInd/>
      <w:snapToGrid/>
      <w:ind w:firstLine="0" w:firstLineChars="0"/>
    </w:pPr>
    <w:rPr>
      <w:rFonts w:ascii="宋体" w:hAnsi="宋体"/>
      <w:kern w:val="2"/>
    </w:rPr>
  </w:style>
  <w:style w:type="paragraph" w:customStyle="1" w:styleId="60">
    <w:name w:val="标准文件_标准部门"/>
    <w:basedOn w:val="1"/>
    <w:qFormat/>
    <w:uiPriority w:val="0"/>
    <w:pPr>
      <w:jc w:val="center"/>
    </w:pPr>
    <w:rPr>
      <w:rFonts w:ascii="黑体" w:eastAsia="黑体"/>
      <w:kern w:val="0"/>
      <w:sz w:val="44"/>
    </w:rPr>
  </w:style>
  <w:style w:type="paragraph" w:customStyle="1" w:styleId="61">
    <w:name w:val="标准文件_标准代替"/>
    <w:basedOn w:val="1"/>
    <w:next w:val="1"/>
    <w:qFormat/>
    <w:uiPriority w:val="0"/>
    <w:pPr>
      <w:spacing w:line="310" w:lineRule="exact"/>
      <w:jc w:val="right"/>
    </w:pPr>
    <w:rPr>
      <w:rFonts w:ascii="宋体" w:hAnsi="宋体"/>
      <w:kern w:val="0"/>
    </w:rPr>
  </w:style>
  <w:style w:type="paragraph" w:customStyle="1" w:styleId="62">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3">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4">
    <w:name w:val="标准文件_页眉偶数页"/>
    <w:basedOn w:val="63"/>
    <w:next w:val="1"/>
    <w:qFormat/>
    <w:uiPriority w:val="0"/>
    <w:pPr>
      <w:jc w:val="left"/>
    </w:pPr>
  </w:style>
  <w:style w:type="paragraph" w:customStyle="1" w:styleId="65">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6">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7">
    <w:name w:val="标准文件_二级条标题"/>
    <w:next w:val="58"/>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8">
    <w:name w:val="标准文件_发布"/>
    <w:qFormat/>
    <w:uiPriority w:val="0"/>
    <w:rPr>
      <w:rFonts w:ascii="黑体" w:eastAsia="黑体"/>
      <w:spacing w:val="0"/>
      <w:w w:val="100"/>
      <w:position w:val="3"/>
      <w:sz w:val="28"/>
    </w:rPr>
  </w:style>
  <w:style w:type="paragraph" w:customStyle="1" w:styleId="69">
    <w:name w:val="标准文件_方框数字列项"/>
    <w:basedOn w:val="58"/>
    <w:qFormat/>
    <w:uiPriority w:val="0"/>
    <w:pPr>
      <w:numPr>
        <w:ilvl w:val="0"/>
        <w:numId w:val="3"/>
      </w:numPr>
      <w:ind w:firstLine="0" w:firstLineChars="0"/>
    </w:pPr>
  </w:style>
  <w:style w:type="paragraph" w:customStyle="1" w:styleId="70">
    <w:name w:val="标准文件_封面标准编号"/>
    <w:basedOn w:val="1"/>
    <w:next w:val="61"/>
    <w:qFormat/>
    <w:uiPriority w:val="0"/>
    <w:pPr>
      <w:spacing w:line="310" w:lineRule="exact"/>
      <w:jc w:val="right"/>
    </w:pPr>
    <w:rPr>
      <w:rFonts w:ascii="黑体" w:eastAsia="黑体"/>
      <w:kern w:val="0"/>
      <w:sz w:val="28"/>
    </w:rPr>
  </w:style>
  <w:style w:type="paragraph" w:customStyle="1" w:styleId="71">
    <w:name w:val="标准文件_封面标准分类号"/>
    <w:basedOn w:val="1"/>
    <w:qFormat/>
    <w:uiPriority w:val="0"/>
    <w:rPr>
      <w:rFonts w:ascii="黑体" w:eastAsia="黑体"/>
      <w:b/>
      <w:kern w:val="0"/>
      <w:sz w:val="28"/>
    </w:rPr>
  </w:style>
  <w:style w:type="paragraph" w:customStyle="1" w:styleId="72">
    <w:name w:val="标准文件_封面标准名称"/>
    <w:basedOn w:val="1"/>
    <w:qFormat/>
    <w:uiPriority w:val="0"/>
    <w:pPr>
      <w:spacing w:line="240" w:lineRule="auto"/>
      <w:jc w:val="center"/>
    </w:pPr>
    <w:rPr>
      <w:rFonts w:ascii="黑体" w:eastAsia="黑体"/>
      <w:kern w:val="0"/>
      <w:sz w:val="52"/>
    </w:rPr>
  </w:style>
  <w:style w:type="paragraph" w:customStyle="1" w:styleId="73">
    <w:name w:val="标准文件_封面标准英文名称"/>
    <w:basedOn w:val="1"/>
    <w:qFormat/>
    <w:uiPriority w:val="0"/>
    <w:pPr>
      <w:spacing w:line="240" w:lineRule="auto"/>
      <w:jc w:val="center"/>
    </w:pPr>
    <w:rPr>
      <w:rFonts w:ascii="黑体" w:eastAsia="黑体"/>
      <w:b/>
      <w:sz w:val="28"/>
    </w:rPr>
  </w:style>
  <w:style w:type="paragraph" w:customStyle="1" w:styleId="74">
    <w:name w:val="标准文件_封面发布日期"/>
    <w:basedOn w:val="1"/>
    <w:qFormat/>
    <w:uiPriority w:val="0"/>
    <w:pPr>
      <w:spacing w:line="310" w:lineRule="exact"/>
    </w:pPr>
    <w:rPr>
      <w:rFonts w:ascii="黑体" w:eastAsia="黑体"/>
      <w:kern w:val="0"/>
      <w:sz w:val="28"/>
    </w:rPr>
  </w:style>
  <w:style w:type="paragraph" w:customStyle="1" w:styleId="75">
    <w:name w:val="标准文件_封面密级"/>
    <w:basedOn w:val="1"/>
    <w:qFormat/>
    <w:uiPriority w:val="0"/>
    <w:rPr>
      <w:rFonts w:eastAsia="黑体"/>
      <w:sz w:val="32"/>
    </w:rPr>
  </w:style>
  <w:style w:type="paragraph" w:customStyle="1" w:styleId="76">
    <w:name w:val="标准文件_封面实施日期"/>
    <w:basedOn w:val="1"/>
    <w:qFormat/>
    <w:uiPriority w:val="0"/>
    <w:pPr>
      <w:spacing w:line="310" w:lineRule="exact"/>
      <w:jc w:val="right"/>
    </w:pPr>
    <w:rPr>
      <w:rFonts w:ascii="黑体" w:eastAsia="黑体"/>
      <w:sz w:val="28"/>
    </w:rPr>
  </w:style>
  <w:style w:type="paragraph" w:customStyle="1" w:styleId="77">
    <w:name w:val="标准文件_封面抬头"/>
    <w:basedOn w:val="58"/>
    <w:qFormat/>
    <w:uiPriority w:val="0"/>
    <w:pPr>
      <w:adjustRightInd w:val="0"/>
      <w:spacing w:line="800" w:lineRule="exact"/>
      <w:ind w:firstLine="0" w:firstLineChars="0"/>
      <w:jc w:val="distribute"/>
    </w:pPr>
    <w:rPr>
      <w:rFonts w:ascii="黑体" w:eastAsia="黑体"/>
      <w:b/>
      <w:sz w:val="64"/>
    </w:rPr>
  </w:style>
  <w:style w:type="paragraph" w:customStyle="1" w:styleId="78">
    <w:name w:val="标准文件_附录标识"/>
    <w:next w:val="58"/>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9">
    <w:name w:val="标准文件_附录表标题"/>
    <w:next w:val="58"/>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0">
    <w:name w:val="标准文件_附录一级条标题"/>
    <w:next w:val="58"/>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1">
    <w:name w:val="标准文件_附录二级条标题"/>
    <w:basedOn w:val="80"/>
    <w:next w:val="58"/>
    <w:qFormat/>
    <w:uiPriority w:val="0"/>
    <w:pPr>
      <w:widowControl/>
      <w:numPr>
        <w:ilvl w:val="2"/>
      </w:numPr>
      <w:wordWrap w:val="0"/>
      <w:overflowPunct w:val="0"/>
      <w:autoSpaceDE w:val="0"/>
      <w:autoSpaceDN w:val="0"/>
      <w:textAlignment w:val="baseline"/>
      <w:outlineLvl w:val="3"/>
    </w:pPr>
  </w:style>
  <w:style w:type="paragraph" w:customStyle="1" w:styleId="82">
    <w:name w:val="标准文件_附录公式"/>
    <w:basedOn w:val="57"/>
    <w:next w:val="57"/>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3">
    <w:name w:val="标准文件_附录三级条标题"/>
    <w:next w:val="58"/>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4">
    <w:name w:val="标准文件_附录四级条标题"/>
    <w:next w:val="58"/>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5">
    <w:name w:val="标准文件_附录图标题"/>
    <w:next w:val="58"/>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6">
    <w:name w:val="标准文件_附录五级条标题"/>
    <w:next w:val="58"/>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7">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8">
    <w:name w:val="正文文本 字符"/>
    <w:link w:val="14"/>
    <w:qFormat/>
    <w:uiPriority w:val="0"/>
    <w:rPr>
      <w:kern w:val="2"/>
      <w:sz w:val="21"/>
      <w:szCs w:val="21"/>
    </w:rPr>
  </w:style>
  <w:style w:type="paragraph" w:customStyle="1" w:styleId="89">
    <w:name w:val="标准文件_附录章标题"/>
    <w:next w:val="58"/>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0">
    <w:name w:val="标准文件_公式后的破折号"/>
    <w:basedOn w:val="58"/>
    <w:next w:val="58"/>
    <w:qFormat/>
    <w:uiPriority w:val="0"/>
    <w:pPr>
      <w:ind w:left="488" w:leftChars="200" w:hanging="289" w:hangingChars="290"/>
    </w:pPr>
  </w:style>
  <w:style w:type="paragraph" w:customStyle="1" w:styleId="91">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2">
    <w:name w:val="标准文件_目次、标准名称标题"/>
    <w:basedOn w:val="91"/>
    <w:next w:val="58"/>
    <w:qFormat/>
    <w:uiPriority w:val="0"/>
    <w:pPr>
      <w:spacing w:line="460" w:lineRule="exact"/>
      <w:ind w:left="0" w:firstLine="0"/>
    </w:pPr>
  </w:style>
  <w:style w:type="paragraph" w:customStyle="1" w:styleId="93">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4">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5">
    <w:name w:val="标准文件_破折号列项（二级）"/>
    <w:basedOn w:val="94"/>
    <w:qFormat/>
    <w:uiPriority w:val="0"/>
    <w:pPr>
      <w:numPr>
        <w:numId w:val="10"/>
      </w:numPr>
    </w:pPr>
  </w:style>
  <w:style w:type="paragraph" w:customStyle="1" w:styleId="96">
    <w:name w:val="标准文件_三级条标题"/>
    <w:basedOn w:val="67"/>
    <w:next w:val="58"/>
    <w:qFormat/>
    <w:uiPriority w:val="0"/>
    <w:pPr>
      <w:widowControl/>
      <w:numPr>
        <w:ilvl w:val="4"/>
      </w:numPr>
      <w:outlineLvl w:val="3"/>
    </w:pPr>
  </w:style>
  <w:style w:type="character" w:customStyle="1" w:styleId="97">
    <w:name w:val="Subtle Reference"/>
    <w:qFormat/>
    <w:uiPriority w:val="31"/>
    <w:rPr>
      <w:smallCaps/>
      <w:color w:val="C0504D"/>
      <w:u w:val="single"/>
    </w:rPr>
  </w:style>
  <w:style w:type="paragraph" w:customStyle="1" w:styleId="98">
    <w:name w:val="标准文件_示例后续"/>
    <w:basedOn w:val="1"/>
    <w:qFormat/>
    <w:uiPriority w:val="0"/>
    <w:pPr>
      <w:adjustRightInd/>
      <w:spacing w:line="240" w:lineRule="auto"/>
      <w:ind w:firstLine="200" w:firstLineChars="200"/>
    </w:pPr>
    <w:rPr>
      <w:sz w:val="18"/>
      <w:szCs w:val="24"/>
    </w:rPr>
  </w:style>
  <w:style w:type="paragraph" w:customStyle="1" w:styleId="99">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0">
    <w:name w:val="标准文件_四级条标题"/>
    <w:next w:val="58"/>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1">
    <w:name w:val="脚注文本 字符"/>
    <w:link w:val="22"/>
    <w:semiHidden/>
    <w:qFormat/>
    <w:uiPriority w:val="0"/>
    <w:rPr>
      <w:rFonts w:ascii="宋体"/>
      <w:kern w:val="2"/>
      <w:sz w:val="18"/>
      <w:szCs w:val="18"/>
    </w:rPr>
  </w:style>
  <w:style w:type="paragraph" w:customStyle="1" w:styleId="102">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3">
    <w:name w:val="标准文件_图表脚注"/>
    <w:basedOn w:val="1"/>
    <w:next w:val="58"/>
    <w:qFormat/>
    <w:uiPriority w:val="0"/>
    <w:pPr>
      <w:numPr>
        <w:ilvl w:val="0"/>
        <w:numId w:val="12"/>
      </w:numPr>
      <w:spacing w:line="240" w:lineRule="auto"/>
      <w:jc w:val="left"/>
    </w:pPr>
    <w:rPr>
      <w:rFonts w:ascii="宋体" w:hAnsi="宋体"/>
      <w:sz w:val="18"/>
    </w:rPr>
  </w:style>
  <w:style w:type="character" w:customStyle="1" w:styleId="104">
    <w:name w:val="标准文件_图表脚注内容"/>
    <w:qFormat/>
    <w:uiPriority w:val="0"/>
    <w:rPr>
      <w:rFonts w:ascii="宋体" w:hAnsi="宋体" w:eastAsia="宋体" w:cs="Times New Roman"/>
      <w:spacing w:val="0"/>
      <w:sz w:val="18"/>
      <w:vertAlign w:val="superscript"/>
    </w:rPr>
  </w:style>
  <w:style w:type="paragraph" w:customStyle="1" w:styleId="105">
    <w:name w:val="标准文件_五级条标题"/>
    <w:next w:val="58"/>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6">
    <w:name w:val="标准文件_章标题"/>
    <w:next w:val="5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7">
    <w:name w:val="标准文件_一级条标题"/>
    <w:basedOn w:val="106"/>
    <w:next w:val="58"/>
    <w:qFormat/>
    <w:uiPriority w:val="0"/>
    <w:pPr>
      <w:numPr>
        <w:ilvl w:val="2"/>
      </w:numPr>
      <w:spacing w:before="50" w:beforeLines="50" w:after="50" w:afterLines="50"/>
      <w:outlineLvl w:val="1"/>
    </w:pPr>
  </w:style>
  <w:style w:type="paragraph" w:customStyle="1" w:styleId="108">
    <w:name w:val="标准文件_一致程度"/>
    <w:basedOn w:val="1"/>
    <w:qFormat/>
    <w:uiPriority w:val="0"/>
    <w:pPr>
      <w:spacing w:line="440" w:lineRule="exact"/>
      <w:jc w:val="center"/>
    </w:pPr>
    <w:rPr>
      <w:sz w:val="28"/>
    </w:rPr>
  </w:style>
  <w:style w:type="paragraph" w:customStyle="1" w:styleId="109">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0">
    <w:name w:val="标准文件_英文图表脚注"/>
    <w:basedOn w:val="57"/>
    <w:qFormat/>
    <w:uiPriority w:val="0"/>
    <w:pPr>
      <w:widowControl/>
      <w:adjustRightInd/>
      <w:snapToGrid/>
      <w:spacing w:line="240" w:lineRule="auto"/>
      <w:ind w:left="79" w:hanging="79" w:hangingChars="80"/>
    </w:pPr>
    <w:rPr>
      <w:rFonts w:ascii="宋体" w:hAnsi="宋体"/>
    </w:rPr>
  </w:style>
  <w:style w:type="paragraph" w:customStyle="1" w:styleId="111">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2">
    <w:name w:val="标准文件_英文注："/>
    <w:basedOn w:val="1"/>
    <w:next w:val="58"/>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3">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4">
    <w:name w:val="标准文件_正文表标题"/>
    <w:next w:val="58"/>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公式"/>
    <w:basedOn w:val="1"/>
    <w:next w:val="57"/>
    <w:qFormat/>
    <w:uiPriority w:val="0"/>
    <w:pPr>
      <w:tabs>
        <w:tab w:val="center" w:pos="4678"/>
        <w:tab w:val="right" w:leader="middleDot" w:pos="9356"/>
      </w:tabs>
      <w:spacing w:line="240" w:lineRule="auto"/>
    </w:pPr>
    <w:rPr>
      <w:rFonts w:ascii="宋体" w:hAnsi="宋体"/>
    </w:rPr>
  </w:style>
  <w:style w:type="paragraph" w:customStyle="1" w:styleId="116">
    <w:name w:val="标准文件_正文图标题"/>
    <w:next w:val="58"/>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英文表标题"/>
    <w:next w:val="58"/>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8">
    <w:name w:val="标准文件_正文英文图标题"/>
    <w:next w:val="58"/>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9">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0">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1">
    <w:name w:val="发布部门"/>
    <w:next w:val="58"/>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2">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3">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4">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7">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8">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9">
    <w:name w:val="封面正文"/>
    <w:qFormat/>
    <w:uiPriority w:val="0"/>
    <w:pPr>
      <w:jc w:val="both"/>
    </w:pPr>
    <w:rPr>
      <w:rFonts w:ascii="Times New Roman" w:hAnsi="Times New Roman" w:eastAsia="宋体" w:cs="Times New Roman"/>
      <w:lang w:val="en-US" w:eastAsia="zh-CN" w:bidi="ar-SA"/>
    </w:rPr>
  </w:style>
  <w:style w:type="paragraph" w:customStyle="1" w:styleId="130">
    <w:name w:val="附录二级无标题条"/>
    <w:basedOn w:val="1"/>
    <w:next w:val="58"/>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1">
    <w:name w:val="附录三级无标题条"/>
    <w:basedOn w:val="130"/>
    <w:next w:val="58"/>
    <w:qFormat/>
    <w:uiPriority w:val="0"/>
    <w:pPr>
      <w:outlineLvl w:val="4"/>
    </w:pPr>
  </w:style>
  <w:style w:type="paragraph" w:customStyle="1" w:styleId="132">
    <w:name w:val="附录四级无标题条"/>
    <w:basedOn w:val="131"/>
    <w:next w:val="58"/>
    <w:qFormat/>
    <w:uiPriority w:val="0"/>
    <w:pPr>
      <w:outlineLvl w:val="5"/>
    </w:pPr>
  </w:style>
  <w:style w:type="paragraph" w:customStyle="1" w:styleId="133">
    <w:name w:val="附录图"/>
    <w:next w:val="58"/>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4">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5">
    <w:name w:val="附录五级无标题条"/>
    <w:basedOn w:val="132"/>
    <w:next w:val="58"/>
    <w:qFormat/>
    <w:uiPriority w:val="0"/>
    <w:pPr>
      <w:outlineLvl w:val="6"/>
    </w:pPr>
  </w:style>
  <w:style w:type="paragraph" w:customStyle="1" w:styleId="136">
    <w:name w:val="附录性质"/>
    <w:basedOn w:val="1"/>
    <w:qFormat/>
    <w:uiPriority w:val="0"/>
    <w:pPr>
      <w:widowControl/>
      <w:adjustRightInd/>
      <w:jc w:val="center"/>
    </w:pPr>
    <w:rPr>
      <w:rFonts w:ascii="黑体" w:eastAsia="黑体"/>
    </w:rPr>
  </w:style>
  <w:style w:type="paragraph" w:customStyle="1" w:styleId="137">
    <w:name w:val="附录一级无标题条"/>
    <w:basedOn w:val="89"/>
    <w:next w:val="58"/>
    <w:uiPriority w:val="0"/>
    <w:pPr>
      <w:autoSpaceDN w:val="0"/>
      <w:outlineLvl w:val="2"/>
    </w:pPr>
    <w:rPr>
      <w:rFonts w:ascii="宋体" w:hAnsi="宋体" w:eastAsia="宋体"/>
    </w:rPr>
  </w:style>
  <w:style w:type="character" w:customStyle="1" w:styleId="138">
    <w:name w:val="个人答复风格"/>
    <w:uiPriority w:val="0"/>
    <w:rPr>
      <w:rFonts w:ascii="Arial" w:hAnsi="Arial" w:eastAsia="宋体" w:cs="Arial"/>
      <w:color w:val="auto"/>
      <w:spacing w:val="0"/>
      <w:sz w:val="20"/>
    </w:rPr>
  </w:style>
  <w:style w:type="character" w:customStyle="1" w:styleId="139">
    <w:name w:val="个人撰写风格"/>
    <w:qFormat/>
    <w:uiPriority w:val="0"/>
    <w:rPr>
      <w:rFonts w:ascii="Arial" w:hAnsi="Arial" w:eastAsia="宋体" w:cs="Arial"/>
      <w:color w:val="auto"/>
      <w:spacing w:val="0"/>
      <w:sz w:val="20"/>
    </w:rPr>
  </w:style>
  <w:style w:type="paragraph" w:customStyle="1" w:styleId="140">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1">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2">
    <w:name w:val="列项·"/>
    <w:basedOn w:val="58"/>
    <w:uiPriority w:val="0"/>
    <w:pPr>
      <w:tabs>
        <w:tab w:val="left" w:pos="840"/>
      </w:tabs>
    </w:pPr>
  </w:style>
  <w:style w:type="paragraph" w:customStyle="1" w:styleId="143">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4">
    <w:name w:val="目录 21"/>
    <w:basedOn w:val="1"/>
    <w:next w:val="1"/>
    <w:autoRedefine/>
    <w:semiHidden/>
    <w:qFormat/>
    <w:uiPriority w:val="0"/>
    <w:pPr>
      <w:adjustRightInd/>
      <w:spacing w:line="240" w:lineRule="auto"/>
      <w:jc w:val="left"/>
    </w:pPr>
    <w:rPr>
      <w:bCs/>
      <w:iCs/>
    </w:rPr>
  </w:style>
  <w:style w:type="paragraph" w:customStyle="1" w:styleId="145">
    <w:name w:val="目录 31"/>
    <w:basedOn w:val="1"/>
    <w:next w:val="1"/>
    <w:autoRedefine/>
    <w:semiHidden/>
    <w:uiPriority w:val="0"/>
    <w:pPr>
      <w:spacing w:line="240" w:lineRule="auto"/>
    </w:pPr>
    <w:rPr>
      <w:rFonts w:ascii="宋体" w:hAnsi="宋体"/>
      <w:iCs/>
    </w:rPr>
  </w:style>
  <w:style w:type="paragraph" w:customStyle="1" w:styleId="146">
    <w:name w:val="目录 41"/>
    <w:basedOn w:val="1"/>
    <w:next w:val="1"/>
    <w:autoRedefine/>
    <w:semiHidden/>
    <w:qFormat/>
    <w:uiPriority w:val="0"/>
    <w:pPr>
      <w:adjustRightInd/>
      <w:spacing w:line="240" w:lineRule="auto"/>
      <w:jc w:val="left"/>
    </w:pPr>
  </w:style>
  <w:style w:type="paragraph" w:customStyle="1" w:styleId="147">
    <w:name w:val="目录 51"/>
    <w:basedOn w:val="1"/>
    <w:next w:val="1"/>
    <w:autoRedefine/>
    <w:semiHidden/>
    <w:qFormat/>
    <w:uiPriority w:val="0"/>
    <w:pPr>
      <w:spacing w:line="240" w:lineRule="auto"/>
    </w:pPr>
    <w:rPr>
      <w:rFonts w:ascii="宋体" w:hAnsi="宋体"/>
    </w:rPr>
  </w:style>
  <w:style w:type="paragraph" w:customStyle="1" w:styleId="148">
    <w:name w:val="目录 61"/>
    <w:basedOn w:val="1"/>
    <w:next w:val="1"/>
    <w:autoRedefine/>
    <w:semiHidden/>
    <w:uiPriority w:val="0"/>
    <w:pPr>
      <w:adjustRightInd/>
      <w:spacing w:line="240" w:lineRule="auto"/>
      <w:jc w:val="left"/>
    </w:pPr>
  </w:style>
  <w:style w:type="paragraph" w:customStyle="1" w:styleId="149">
    <w:name w:val="目录 71"/>
    <w:basedOn w:val="148"/>
    <w:autoRedefine/>
    <w:semiHidden/>
    <w:qFormat/>
    <w:uiPriority w:val="0"/>
    <w:pPr>
      <w:ind w:left="1260"/>
    </w:pPr>
  </w:style>
  <w:style w:type="paragraph" w:customStyle="1" w:styleId="150">
    <w:name w:val="目录 81"/>
    <w:basedOn w:val="149"/>
    <w:autoRedefine/>
    <w:semiHidden/>
    <w:qFormat/>
    <w:uiPriority w:val="0"/>
    <w:pPr>
      <w:ind w:left="1470"/>
    </w:pPr>
  </w:style>
  <w:style w:type="paragraph" w:customStyle="1" w:styleId="151">
    <w:name w:val="目录 91"/>
    <w:basedOn w:val="150"/>
    <w:autoRedefine/>
    <w:semiHidden/>
    <w:qFormat/>
    <w:uiPriority w:val="0"/>
    <w:pPr>
      <w:ind w:left="1680"/>
    </w:pPr>
  </w:style>
  <w:style w:type="paragraph" w:customStyle="1" w:styleId="152">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3">
    <w:name w:val="其他发布部门"/>
    <w:basedOn w:val="121"/>
    <w:uiPriority w:val="0"/>
    <w:pPr>
      <w:framePr w:wrap="around"/>
      <w:spacing w:line="0" w:lineRule="atLeast"/>
    </w:pPr>
    <w:rPr>
      <w:rFonts w:ascii="黑体" w:eastAsia="黑体"/>
      <w:b w:val="0"/>
    </w:rPr>
  </w:style>
  <w:style w:type="paragraph" w:customStyle="1" w:styleId="154">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5">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6">
    <w:name w:val="实施日期"/>
    <w:basedOn w:val="122"/>
    <w:qFormat/>
    <w:uiPriority w:val="0"/>
    <w:pPr>
      <w:framePr w:hSpace="0" w:wrap="around" w:xAlign="right"/>
      <w:jc w:val="right"/>
    </w:pPr>
  </w:style>
  <w:style w:type="paragraph" w:customStyle="1" w:styleId="157">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8">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9">
    <w:name w:val="无标题条"/>
    <w:next w:val="58"/>
    <w:qFormat/>
    <w:uiPriority w:val="0"/>
    <w:pPr>
      <w:jc w:val="both"/>
    </w:pPr>
    <w:rPr>
      <w:rFonts w:ascii="宋体" w:hAnsi="宋体" w:eastAsia="宋体" w:cs="Times New Roman"/>
      <w:sz w:val="21"/>
      <w:lang w:val="en-US" w:eastAsia="zh-CN" w:bidi="ar-SA"/>
    </w:rPr>
  </w:style>
  <w:style w:type="paragraph" w:customStyle="1" w:styleId="160">
    <w:name w:val="五级无标题条"/>
    <w:basedOn w:val="1"/>
    <w:qFormat/>
    <w:uiPriority w:val="0"/>
    <w:pPr>
      <w:numPr>
        <w:ilvl w:val="6"/>
        <w:numId w:val="20"/>
      </w:numPr>
      <w:adjustRightInd/>
    </w:pPr>
    <w:rPr>
      <w:szCs w:val="24"/>
    </w:rPr>
  </w:style>
  <w:style w:type="paragraph" w:customStyle="1" w:styleId="161">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2">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3">
    <w:name w:val="注×:后续"/>
    <w:basedOn w:val="162"/>
    <w:qFormat/>
    <w:uiPriority w:val="0"/>
    <w:pPr>
      <w:ind w:left="1406" w:leftChars="0" w:hanging="499" w:firstLineChars="0"/>
    </w:pPr>
  </w:style>
  <w:style w:type="paragraph" w:customStyle="1" w:styleId="164">
    <w:name w:val="标准文件_一级无标题"/>
    <w:basedOn w:val="107"/>
    <w:qFormat/>
    <w:uiPriority w:val="0"/>
    <w:pPr>
      <w:spacing w:before="0" w:beforeLines="0" w:after="0" w:afterLines="0"/>
      <w:outlineLvl w:val="9"/>
    </w:pPr>
    <w:rPr>
      <w:rFonts w:ascii="宋体" w:eastAsia="宋体"/>
    </w:rPr>
  </w:style>
  <w:style w:type="paragraph" w:customStyle="1" w:styleId="165">
    <w:name w:val="标准文件_五级无标题"/>
    <w:basedOn w:val="105"/>
    <w:qFormat/>
    <w:uiPriority w:val="0"/>
    <w:pPr>
      <w:spacing w:before="0" w:beforeLines="0" w:after="0" w:afterLines="0"/>
      <w:outlineLvl w:val="9"/>
    </w:pPr>
    <w:rPr>
      <w:rFonts w:ascii="宋体" w:eastAsia="宋体"/>
    </w:rPr>
  </w:style>
  <w:style w:type="paragraph" w:customStyle="1" w:styleId="166">
    <w:name w:val="标准文件_三级无标题"/>
    <w:basedOn w:val="96"/>
    <w:qFormat/>
    <w:uiPriority w:val="0"/>
    <w:pPr>
      <w:spacing w:before="0" w:beforeLines="0" w:after="0" w:afterLines="0"/>
      <w:outlineLvl w:val="9"/>
    </w:pPr>
    <w:rPr>
      <w:rFonts w:ascii="宋体" w:eastAsia="宋体"/>
    </w:rPr>
  </w:style>
  <w:style w:type="paragraph" w:customStyle="1" w:styleId="167">
    <w:name w:val="标准文件_二级无标题"/>
    <w:basedOn w:val="67"/>
    <w:qFormat/>
    <w:uiPriority w:val="0"/>
    <w:pPr>
      <w:spacing w:before="0" w:beforeLines="0" w:after="0" w:afterLines="0"/>
      <w:outlineLvl w:val="9"/>
    </w:pPr>
    <w:rPr>
      <w:rFonts w:ascii="宋体" w:eastAsia="宋体"/>
    </w:rPr>
  </w:style>
  <w:style w:type="paragraph" w:customStyle="1" w:styleId="168">
    <w:name w:val="标准_四级无标题"/>
    <w:basedOn w:val="100"/>
    <w:next w:val="58"/>
    <w:qFormat/>
    <w:uiPriority w:val="0"/>
    <w:rPr>
      <w:rFonts w:eastAsia="宋体"/>
    </w:rPr>
  </w:style>
  <w:style w:type="paragraph" w:customStyle="1" w:styleId="169">
    <w:name w:val="标准文件_四级无标题"/>
    <w:basedOn w:val="100"/>
    <w:qFormat/>
    <w:uiPriority w:val="0"/>
    <w:pPr>
      <w:spacing w:before="0" w:beforeLines="0" w:after="0" w:afterLines="0"/>
      <w:outlineLvl w:val="9"/>
    </w:pPr>
    <w:rPr>
      <w:rFonts w:ascii="宋体" w:hAnsi="黑体" w:eastAsia="宋体"/>
      <w:szCs w:val="52"/>
    </w:rPr>
  </w:style>
  <w:style w:type="paragraph" w:customStyle="1" w:styleId="170">
    <w:name w:val="标准文件_大写罗马数字编号列项"/>
    <w:basedOn w:val="58"/>
    <w:qFormat/>
    <w:uiPriority w:val="0"/>
    <w:pPr>
      <w:numPr>
        <w:ilvl w:val="0"/>
        <w:numId w:val="23"/>
      </w:numPr>
      <w:ind w:firstLine="0" w:firstLineChars="0"/>
    </w:pPr>
    <w:rPr>
      <w:rFonts w:ascii="Times New Roman" w:cs="Arial"/>
      <w:szCs w:val="28"/>
    </w:rPr>
  </w:style>
  <w:style w:type="paragraph" w:customStyle="1" w:styleId="171">
    <w:name w:val="标准文件_小写罗马数字编号列项"/>
    <w:basedOn w:val="58"/>
    <w:qFormat/>
    <w:uiPriority w:val="0"/>
    <w:pPr>
      <w:numPr>
        <w:ilvl w:val="0"/>
        <w:numId w:val="24"/>
      </w:numPr>
      <w:ind w:firstLine="0" w:firstLineChars="0"/>
    </w:pPr>
    <w:rPr>
      <w:rFonts w:cs="Arial"/>
      <w:szCs w:val="28"/>
    </w:rPr>
  </w:style>
  <w:style w:type="paragraph" w:customStyle="1" w:styleId="172">
    <w:name w:val="标准文件_附录标题"/>
    <w:basedOn w:val="78"/>
    <w:qFormat/>
    <w:uiPriority w:val="0"/>
    <w:pPr>
      <w:numPr>
        <w:numId w:val="0"/>
      </w:numPr>
      <w:spacing w:after="280"/>
      <w:outlineLvl w:val="9"/>
    </w:pPr>
  </w:style>
  <w:style w:type="paragraph" w:customStyle="1" w:styleId="173">
    <w:name w:val="标准文件_二级项"/>
    <w:qFormat/>
    <w:uiPriority w:val="0"/>
    <w:rPr>
      <w:rFonts w:ascii="宋体" w:hAnsi="Times New Roman" w:eastAsia="宋体" w:cs="Times New Roman"/>
      <w:sz w:val="21"/>
      <w:lang w:val="en-US" w:eastAsia="zh-CN" w:bidi="ar-SA"/>
    </w:rPr>
  </w:style>
  <w:style w:type="paragraph" w:customStyle="1" w:styleId="174">
    <w:name w:val="标准文件_三级项"/>
    <w:basedOn w:val="1"/>
    <w:uiPriority w:val="0"/>
    <w:pPr>
      <w:numPr>
        <w:ilvl w:val="2"/>
        <w:numId w:val="21"/>
      </w:numPr>
      <w:spacing w:line="536870612" w:lineRule="auto"/>
    </w:pPr>
    <w:rPr>
      <w:rFonts w:ascii="Times New Roman" w:hAnsi="Times New Roman"/>
    </w:rPr>
  </w:style>
  <w:style w:type="paragraph" w:customStyle="1" w:styleId="175">
    <w:name w:val="图表脚注说明"/>
    <w:basedOn w:val="1"/>
    <w:next w:val="58"/>
    <w:uiPriority w:val="0"/>
    <w:pPr>
      <w:numPr>
        <w:ilvl w:val="0"/>
        <w:numId w:val="25"/>
      </w:numPr>
      <w:adjustRightInd/>
      <w:spacing w:line="240" w:lineRule="auto"/>
    </w:pPr>
    <w:rPr>
      <w:rFonts w:ascii="宋体" w:hAnsi="Times New Roman"/>
      <w:sz w:val="18"/>
      <w:szCs w:val="18"/>
    </w:rPr>
  </w:style>
  <w:style w:type="paragraph" w:customStyle="1" w:styleId="176">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7">
    <w:name w:val="标准文件_索引字母"/>
    <w:next w:val="58"/>
    <w:qFormat/>
    <w:uiPriority w:val="0"/>
    <w:pPr>
      <w:jc w:val="center"/>
    </w:pPr>
    <w:rPr>
      <w:rFonts w:ascii="宋体" w:hAnsi="宋体" w:eastAsia="Times New Roman" w:cs="Times New Roman"/>
      <w:b/>
      <w:kern w:val="2"/>
      <w:sz w:val="21"/>
      <w:lang w:val="en-US" w:eastAsia="zh-CN" w:bidi="ar-SA"/>
    </w:rPr>
  </w:style>
  <w:style w:type="paragraph" w:customStyle="1" w:styleId="178">
    <w:name w:val="标准文件_附录前"/>
    <w:next w:val="58"/>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9">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0">
    <w:name w:val="标准文件_表格"/>
    <w:basedOn w:val="58"/>
    <w:qFormat/>
    <w:uiPriority w:val="0"/>
    <w:pPr>
      <w:ind w:firstLine="0" w:firstLineChars="0"/>
      <w:jc w:val="center"/>
    </w:pPr>
    <w:rPr>
      <w:sz w:val="18"/>
    </w:rPr>
  </w:style>
  <w:style w:type="paragraph" w:customStyle="1" w:styleId="181">
    <w:name w:val="标准文件_注："/>
    <w:next w:val="58"/>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示例："/>
    <w:next w:val="184"/>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4">
    <w:name w:val="标准文件_示例内容"/>
    <w:basedOn w:val="58"/>
    <w:qFormat/>
    <w:uiPriority w:val="0"/>
    <w:pPr>
      <w:ind w:firstLine="420"/>
    </w:pPr>
    <w:rPr>
      <w:sz w:val="18"/>
    </w:rPr>
  </w:style>
  <w:style w:type="paragraph" w:customStyle="1" w:styleId="185">
    <w:name w:val="标准文件_示例×："/>
    <w:basedOn w:val="1"/>
    <w:next w:val="184"/>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6">
    <w:name w:val="标准文件_段 Char"/>
    <w:link w:val="58"/>
    <w:qFormat/>
    <w:uiPriority w:val="0"/>
    <w:rPr>
      <w:rFonts w:ascii="宋体" w:hAnsi="Times New Roman"/>
      <w:sz w:val="21"/>
    </w:rPr>
  </w:style>
  <w:style w:type="paragraph" w:customStyle="1" w:styleId="187">
    <w:name w:val="标准文件_表格续"/>
    <w:basedOn w:val="58"/>
    <w:next w:val="58"/>
    <w:qFormat/>
    <w:uiPriority w:val="0"/>
    <w:pPr>
      <w:jc w:val="center"/>
    </w:pPr>
    <w:rPr>
      <w:rFonts w:ascii="黑体" w:hAnsi="黑体" w:eastAsia="黑体"/>
    </w:rPr>
  </w:style>
  <w:style w:type="character" w:styleId="188">
    <w:name w:val="Placeholder Text"/>
    <w:basedOn w:val="30"/>
    <w:semiHidden/>
    <w:qFormat/>
    <w:uiPriority w:val="99"/>
    <w:rPr>
      <w:color w:val="808080"/>
    </w:rPr>
  </w:style>
  <w:style w:type="paragraph" w:customStyle="1" w:styleId="189">
    <w:name w:val="标准文件_二级项2"/>
    <w:basedOn w:val="58"/>
    <w:qFormat/>
    <w:uiPriority w:val="0"/>
    <w:pPr>
      <w:numPr>
        <w:ilvl w:val="1"/>
        <w:numId w:val="21"/>
      </w:numPr>
      <w:ind w:firstLine="0" w:firstLineChars="0"/>
    </w:pPr>
  </w:style>
  <w:style w:type="paragraph" w:customStyle="1" w:styleId="190">
    <w:name w:val="标准文件_三级项2"/>
    <w:basedOn w:val="58"/>
    <w:qFormat/>
    <w:uiPriority w:val="0"/>
    <w:pPr>
      <w:numPr>
        <w:ilvl w:val="0"/>
        <w:numId w:val="30"/>
      </w:numPr>
      <w:spacing w:line="300" w:lineRule="exact"/>
      <w:ind w:firstLineChars="0"/>
    </w:pPr>
    <w:rPr>
      <w:rFonts w:ascii="Times New Roman"/>
    </w:rPr>
  </w:style>
  <w:style w:type="paragraph" w:customStyle="1" w:styleId="191">
    <w:name w:val="标准文件_一级项2"/>
    <w:basedOn w:val="58"/>
    <w:qFormat/>
    <w:uiPriority w:val="0"/>
    <w:pPr>
      <w:numPr>
        <w:ilvl w:val="0"/>
        <w:numId w:val="31"/>
      </w:numPr>
      <w:spacing w:line="300" w:lineRule="exact"/>
      <w:ind w:firstLineChars="0"/>
    </w:pPr>
    <w:rPr>
      <w:rFonts w:ascii="Times New Roman"/>
    </w:rPr>
  </w:style>
  <w:style w:type="paragraph" w:customStyle="1" w:styleId="192">
    <w:name w:val="标准文件_提示"/>
    <w:basedOn w:val="58"/>
    <w:next w:val="58"/>
    <w:qFormat/>
    <w:uiPriority w:val="0"/>
    <w:pPr>
      <w:ind w:firstLine="420"/>
    </w:pPr>
    <w:rPr>
      <w:rFonts w:ascii="黑体" w:eastAsia="黑体"/>
    </w:rPr>
  </w:style>
  <w:style w:type="character" w:customStyle="1" w:styleId="193">
    <w:name w:val="标准文件_来源"/>
    <w:basedOn w:val="30"/>
    <w:qFormat/>
    <w:uiPriority w:val="1"/>
    <w:rPr>
      <w:rFonts w:eastAsia="宋体"/>
      <w:sz w:val="21"/>
    </w:rPr>
  </w:style>
  <w:style w:type="paragraph" w:customStyle="1" w:styleId="194">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5">
    <w:name w:val="其他发布日期"/>
    <w:basedOn w:val="122"/>
    <w:qFormat/>
    <w:uiPriority w:val="0"/>
    <w:pPr>
      <w:framePr w:w="3997" w:h="471" w:hRule="exact" w:hSpace="0" w:vSpace="181" w:wrap="around" w:vAnchor="page" w:hAnchor="page" w:x="1419" w:y="14097"/>
    </w:pPr>
  </w:style>
  <w:style w:type="paragraph" w:customStyle="1" w:styleId="196">
    <w:name w:val="其他实施日期"/>
    <w:basedOn w:val="156"/>
    <w:qFormat/>
    <w:uiPriority w:val="0"/>
    <w:pPr>
      <w:framePr w:w="3997" w:h="471" w:hRule="exact" w:vSpace="181" w:wrap="around" w:vAnchor="page" w:hAnchor="page" w:x="7089" w:y="14097"/>
    </w:pPr>
  </w:style>
  <w:style w:type="paragraph" w:customStyle="1" w:styleId="197">
    <w:name w:val="标准文件_文件编号"/>
    <w:basedOn w:val="58"/>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8">
    <w:name w:val="标准文件_替换文件编号"/>
    <w:basedOn w:val="197"/>
    <w:qFormat/>
    <w:uiPriority w:val="0"/>
    <w:pPr>
      <w:spacing w:before="57"/>
    </w:pPr>
    <w:rPr>
      <w:sz w:val="21"/>
    </w:rPr>
  </w:style>
  <w:style w:type="paragraph" w:customStyle="1" w:styleId="199">
    <w:name w:val="标准文件_文件名称"/>
    <w:basedOn w:val="58"/>
    <w:next w:val="58"/>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0">
    <w:name w:val="标准文件_附录图标号"/>
    <w:basedOn w:val="58"/>
    <w:next w:val="58"/>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1">
    <w:name w:val="标准文件_附录表标号"/>
    <w:basedOn w:val="58"/>
    <w:next w:val="58"/>
    <w:qFormat/>
    <w:uiPriority w:val="0"/>
    <w:pPr>
      <w:numPr>
        <w:ilvl w:val="0"/>
        <w:numId w:val="5"/>
      </w:numPr>
      <w:spacing w:line="14" w:lineRule="exact"/>
      <w:ind w:firstLine="0" w:firstLineChars="0"/>
      <w:jc w:val="center"/>
    </w:pPr>
    <w:rPr>
      <w:rFonts w:eastAsia="黑体"/>
      <w:vanish/>
      <w:sz w:val="2"/>
    </w:rPr>
  </w:style>
  <w:style w:type="paragraph" w:customStyle="1" w:styleId="202">
    <w:name w:val="标准文件_引言一级条标题"/>
    <w:basedOn w:val="58"/>
    <w:next w:val="58"/>
    <w:qFormat/>
    <w:uiPriority w:val="0"/>
    <w:pPr>
      <w:numPr>
        <w:ilvl w:val="1"/>
        <w:numId w:val="8"/>
      </w:numPr>
      <w:spacing w:before="50" w:beforeLines="50" w:after="50" w:afterLines="50"/>
      <w:ind w:firstLineChars="0"/>
    </w:pPr>
    <w:rPr>
      <w:rFonts w:ascii="黑体" w:eastAsia="黑体"/>
    </w:rPr>
  </w:style>
  <w:style w:type="paragraph" w:customStyle="1" w:styleId="203">
    <w:name w:val="标准文件_引言二级条标题"/>
    <w:basedOn w:val="58"/>
    <w:next w:val="58"/>
    <w:qFormat/>
    <w:uiPriority w:val="0"/>
    <w:pPr>
      <w:numPr>
        <w:ilvl w:val="2"/>
        <w:numId w:val="8"/>
      </w:numPr>
      <w:spacing w:before="50" w:beforeLines="50" w:after="50" w:afterLines="50"/>
      <w:ind w:firstLineChars="0"/>
    </w:pPr>
    <w:rPr>
      <w:rFonts w:ascii="黑体" w:eastAsia="黑体"/>
    </w:rPr>
  </w:style>
  <w:style w:type="paragraph" w:customStyle="1" w:styleId="204">
    <w:name w:val="标准文件_引言三级条标题"/>
    <w:basedOn w:val="58"/>
    <w:next w:val="58"/>
    <w:qFormat/>
    <w:uiPriority w:val="0"/>
    <w:pPr>
      <w:numPr>
        <w:ilvl w:val="3"/>
        <w:numId w:val="8"/>
      </w:numPr>
      <w:spacing w:before="50" w:beforeLines="50" w:after="50" w:afterLines="50"/>
      <w:ind w:firstLineChars="0"/>
    </w:pPr>
    <w:rPr>
      <w:rFonts w:ascii="黑体" w:eastAsia="黑体"/>
    </w:rPr>
  </w:style>
  <w:style w:type="paragraph" w:customStyle="1" w:styleId="205">
    <w:name w:val="标准文件_引言四级条标题"/>
    <w:basedOn w:val="58"/>
    <w:next w:val="58"/>
    <w:qFormat/>
    <w:uiPriority w:val="0"/>
    <w:pPr>
      <w:numPr>
        <w:ilvl w:val="4"/>
        <w:numId w:val="8"/>
      </w:numPr>
      <w:spacing w:before="50" w:beforeLines="50" w:after="50" w:afterLines="50"/>
      <w:ind w:firstLineChars="0"/>
    </w:pPr>
    <w:rPr>
      <w:rFonts w:ascii="黑体" w:eastAsia="黑体"/>
    </w:rPr>
  </w:style>
  <w:style w:type="paragraph" w:customStyle="1" w:styleId="206">
    <w:name w:val="标准文件_引言五级条标题"/>
    <w:basedOn w:val="58"/>
    <w:next w:val="58"/>
    <w:qFormat/>
    <w:uiPriority w:val="0"/>
    <w:pPr>
      <w:numPr>
        <w:ilvl w:val="5"/>
        <w:numId w:val="8"/>
      </w:numPr>
      <w:spacing w:before="50" w:beforeLines="50" w:after="50" w:afterLines="50"/>
      <w:ind w:firstLineChars="0"/>
    </w:pPr>
    <w:rPr>
      <w:rFonts w:ascii="黑体" w:eastAsia="黑体"/>
    </w:rPr>
  </w:style>
  <w:style w:type="paragraph" w:customStyle="1" w:styleId="207">
    <w:name w:val="标准文件_注后"/>
    <w:basedOn w:val="58"/>
    <w:qFormat/>
    <w:uiPriority w:val="0"/>
    <w:pPr>
      <w:ind w:left="811" w:firstLine="0" w:firstLineChars="0"/>
    </w:pPr>
    <w:rPr>
      <w:sz w:val="18"/>
    </w:rPr>
  </w:style>
  <w:style w:type="paragraph" w:customStyle="1" w:styleId="208">
    <w:name w:val="标准文件_注X后"/>
    <w:basedOn w:val="58"/>
    <w:qFormat/>
    <w:uiPriority w:val="0"/>
    <w:pPr>
      <w:ind w:left="811" w:firstLine="0" w:firstLineChars="0"/>
    </w:pPr>
    <w:rPr>
      <w:sz w:val="18"/>
    </w:rPr>
  </w:style>
  <w:style w:type="paragraph" w:customStyle="1" w:styleId="209">
    <w:name w:val="标准文件_示例后"/>
    <w:basedOn w:val="58"/>
    <w:qFormat/>
    <w:uiPriority w:val="0"/>
    <w:pPr>
      <w:ind w:left="964" w:firstLine="0" w:firstLineChars="0"/>
    </w:pPr>
    <w:rPr>
      <w:sz w:val="18"/>
    </w:rPr>
  </w:style>
  <w:style w:type="paragraph" w:customStyle="1" w:styleId="210">
    <w:name w:val="标准文件_示例X后"/>
    <w:basedOn w:val="58"/>
    <w:link w:val="211"/>
    <w:qFormat/>
    <w:uiPriority w:val="0"/>
    <w:pPr>
      <w:ind w:left="1049" w:firstLine="0" w:firstLineChars="0"/>
    </w:pPr>
    <w:rPr>
      <w:sz w:val="18"/>
    </w:rPr>
  </w:style>
  <w:style w:type="character" w:customStyle="1" w:styleId="211">
    <w:name w:val="标准文件_示例X后 字符"/>
    <w:basedOn w:val="186"/>
    <w:link w:val="210"/>
    <w:qFormat/>
    <w:uiPriority w:val="0"/>
    <w:rPr>
      <w:rFonts w:ascii="宋体" w:hAnsi="Times New Roman"/>
      <w:sz w:val="18"/>
    </w:rPr>
  </w:style>
  <w:style w:type="paragraph" w:customStyle="1" w:styleId="212">
    <w:name w:val="标准文件_索引项"/>
    <w:basedOn w:val="58"/>
    <w:next w:val="58"/>
    <w:qFormat/>
    <w:uiPriority w:val="0"/>
    <w:pPr>
      <w:tabs>
        <w:tab w:val="right" w:leader="dot" w:pos="9356"/>
      </w:tabs>
      <w:ind w:left="210" w:hanging="210" w:firstLineChars="0"/>
      <w:jc w:val="left"/>
    </w:pPr>
  </w:style>
  <w:style w:type="paragraph" w:customStyle="1" w:styleId="213">
    <w:name w:val="标准文件_附录一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二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三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四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五级无标题"/>
    <w:basedOn w:val="86"/>
    <w:qFormat/>
    <w:uiPriority w:val="0"/>
    <w:pPr>
      <w:spacing w:before="0" w:beforeLines="0" w:after="0" w:afterLines="0" w:line="276" w:lineRule="auto"/>
      <w:outlineLvl w:val="9"/>
    </w:pPr>
    <w:rPr>
      <w:rFonts w:ascii="宋体" w:eastAsia="宋体"/>
    </w:rPr>
  </w:style>
  <w:style w:type="paragraph" w:customStyle="1" w:styleId="218">
    <w:name w:val="标准文件_引言一级无标题"/>
    <w:basedOn w:val="202"/>
    <w:next w:val="58"/>
    <w:qFormat/>
    <w:uiPriority w:val="0"/>
    <w:pPr>
      <w:spacing w:before="0" w:beforeLines="0" w:after="0" w:afterLines="0" w:line="276" w:lineRule="auto"/>
    </w:pPr>
    <w:rPr>
      <w:rFonts w:ascii="宋体" w:eastAsia="宋体"/>
    </w:rPr>
  </w:style>
  <w:style w:type="paragraph" w:customStyle="1" w:styleId="219">
    <w:name w:val="标准文件_引言二级无标题"/>
    <w:basedOn w:val="203"/>
    <w:next w:val="58"/>
    <w:qFormat/>
    <w:uiPriority w:val="0"/>
    <w:pPr>
      <w:spacing w:before="0" w:beforeLines="0" w:after="0" w:afterLines="0" w:line="276" w:lineRule="auto"/>
    </w:pPr>
    <w:rPr>
      <w:rFonts w:ascii="宋体" w:eastAsia="宋体"/>
    </w:rPr>
  </w:style>
  <w:style w:type="paragraph" w:customStyle="1" w:styleId="220">
    <w:name w:val="标准文件_引言三级无标题"/>
    <w:basedOn w:val="204"/>
    <w:qFormat/>
    <w:uiPriority w:val="0"/>
    <w:pPr>
      <w:spacing w:before="0" w:beforeLines="0" w:after="0" w:afterLines="0" w:line="276" w:lineRule="auto"/>
    </w:pPr>
    <w:rPr>
      <w:rFonts w:ascii="宋体" w:eastAsia="宋体"/>
    </w:rPr>
  </w:style>
  <w:style w:type="paragraph" w:customStyle="1" w:styleId="221">
    <w:name w:val="标准文件_引言四级无标题"/>
    <w:basedOn w:val="205"/>
    <w:next w:val="58"/>
    <w:qFormat/>
    <w:uiPriority w:val="0"/>
    <w:pPr>
      <w:spacing w:before="0" w:beforeLines="0" w:after="0" w:afterLines="0" w:line="276" w:lineRule="auto"/>
    </w:pPr>
    <w:rPr>
      <w:rFonts w:ascii="宋体" w:eastAsia="宋体"/>
    </w:rPr>
  </w:style>
  <w:style w:type="paragraph" w:customStyle="1" w:styleId="222">
    <w:name w:val="标准文件_引言五级无标题"/>
    <w:basedOn w:val="206"/>
    <w:next w:val="58"/>
    <w:qFormat/>
    <w:uiPriority w:val="0"/>
    <w:pPr>
      <w:spacing w:before="0" w:beforeLines="0" w:after="0" w:afterLines="0" w:line="276" w:lineRule="auto"/>
    </w:pPr>
    <w:rPr>
      <w:rFonts w:ascii="宋体" w:eastAsia="宋体"/>
    </w:rPr>
  </w:style>
  <w:style w:type="paragraph" w:customStyle="1" w:styleId="223">
    <w:name w:val="标准文件_索引标题"/>
    <w:basedOn w:val="65"/>
    <w:next w:val="58"/>
    <w:qFormat/>
    <w:uiPriority w:val="0"/>
    <w:rPr>
      <w:rFonts w:hAnsi="黑体"/>
    </w:rPr>
  </w:style>
  <w:style w:type="paragraph" w:customStyle="1" w:styleId="224">
    <w:name w:val="标准文件_脚注内容"/>
    <w:basedOn w:val="58"/>
    <w:qFormat/>
    <w:uiPriority w:val="0"/>
    <w:pPr>
      <w:ind w:left="400" w:leftChars="200" w:hanging="200" w:hangingChars="200"/>
    </w:pPr>
    <w:rPr>
      <w:sz w:val="15"/>
    </w:rPr>
  </w:style>
  <w:style w:type="paragraph" w:customStyle="1" w:styleId="225">
    <w:name w:val="标准文件_术语条一"/>
    <w:basedOn w:val="164"/>
    <w:next w:val="58"/>
    <w:qFormat/>
    <w:uiPriority w:val="0"/>
  </w:style>
  <w:style w:type="paragraph" w:customStyle="1" w:styleId="226">
    <w:name w:val="标准文件_术语条二"/>
    <w:basedOn w:val="167"/>
    <w:next w:val="58"/>
    <w:qFormat/>
    <w:uiPriority w:val="0"/>
  </w:style>
  <w:style w:type="paragraph" w:customStyle="1" w:styleId="227">
    <w:name w:val="标准文件_术语条三"/>
    <w:basedOn w:val="166"/>
    <w:next w:val="58"/>
    <w:qFormat/>
    <w:uiPriority w:val="0"/>
  </w:style>
  <w:style w:type="paragraph" w:customStyle="1" w:styleId="228">
    <w:name w:val="标准文件_术语条四"/>
    <w:basedOn w:val="169"/>
    <w:next w:val="58"/>
    <w:qFormat/>
    <w:uiPriority w:val="0"/>
  </w:style>
  <w:style w:type="paragraph" w:customStyle="1" w:styleId="229">
    <w:name w:val="标准文件_术语条五"/>
    <w:basedOn w:val="165"/>
    <w:next w:val="58"/>
    <w:qFormat/>
    <w:uiPriority w:val="0"/>
  </w:style>
  <w:style w:type="paragraph" w:customStyle="1" w:styleId="230">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1">
    <w:name w:val="发布"/>
    <w:basedOn w:val="30"/>
    <w:qFormat/>
    <w:uiPriority w:val="0"/>
    <w:rPr>
      <w:rFonts w:ascii="黑体" w:eastAsia="黑体"/>
      <w:spacing w:val="85"/>
      <w:w w:val="100"/>
      <w:position w:val="3"/>
      <w:sz w:val="28"/>
      <w:szCs w:val="28"/>
    </w:rPr>
  </w:style>
  <w:style w:type="paragraph" w:customStyle="1" w:styleId="232">
    <w:name w:val="内容块-16-a"/>
    <w:basedOn w:val="1"/>
    <w:next w:val="1"/>
    <w:qFormat/>
    <w:uiPriority w:val="0"/>
    <w:pPr>
      <w:pBdr>
        <w:top w:val="single" w:color="F5F7FB" w:themeColor="accent1" w:themeTint="0D" w:sz="4" w:space="10"/>
        <w:left w:val="single" w:color="F5F7FB" w:themeColor="accent1" w:themeTint="0D" w:sz="4" w:space="17"/>
        <w:bottom w:val="single" w:color="F5F7FB" w:themeColor="accent1" w:themeTint="0D" w:sz="4" w:space="10"/>
        <w:right w:val="single" w:color="F5F7FB" w:themeColor="accent1" w:themeTint="0D" w:sz="4" w:space="17"/>
      </w:pBdr>
      <w:shd w:val="clear" w:color="auto" w:fill="F5F7FB" w:themeFill="accent1" w:themeFillTint="0D"/>
      <w:ind w:left="357" w:right="357"/>
      <w:textAlignment w:val="center"/>
    </w:pPr>
    <w:rPr>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glossaryDocument" Target="glossary/document.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6B29CE62CE448AABFD0D6B0F121BE2B"/>
        <w:style w:val=""/>
        <w:category>
          <w:name w:val="常规"/>
          <w:gallery w:val="placeholder"/>
        </w:category>
        <w:types>
          <w:type w:val="bbPlcHdr"/>
        </w:types>
        <w:behaviors>
          <w:behavior w:val="content"/>
        </w:behaviors>
        <w:description w:val=""/>
        <w:guid w:val="{DD663C4B-602D-4721-A6F1-AAC112A062C1}"/>
      </w:docPartPr>
      <w:docPartBody>
        <w:p w14:paraId="1B04A80E">
          <w:pPr>
            <w:pStyle w:val="5"/>
            <w:rPr>
              <w:rFonts w:hint="eastAsia"/>
            </w:rPr>
          </w:pPr>
          <w:r>
            <w:rPr>
              <w:rStyle w:val="4"/>
              <w:rFonts w:hint="eastAsia"/>
            </w:rPr>
            <w:t>单击或点击此处输入文字。</w:t>
          </w:r>
        </w:p>
      </w:docPartBody>
    </w:docPart>
    <w:docPart>
      <w:docPartPr>
        <w:name w:val="C682D090E13942038D80D93B76156449"/>
        <w:style w:val=""/>
        <w:category>
          <w:name w:val="常规"/>
          <w:gallery w:val="placeholder"/>
        </w:category>
        <w:types>
          <w:type w:val="bbPlcHdr"/>
        </w:types>
        <w:behaviors>
          <w:behavior w:val="content"/>
        </w:behaviors>
        <w:description w:val=""/>
        <w:guid w:val="{A20713E4-53F5-4707-8EF6-9C712CBC3DFC}"/>
      </w:docPartPr>
      <w:docPartBody>
        <w:p w14:paraId="4D0FCBA3">
          <w:pPr>
            <w:pStyle w:val="6"/>
            <w:rPr>
              <w:rFonts w:hint="eastAsia"/>
            </w:rPr>
          </w:pPr>
          <w:r>
            <w:rPr>
              <w:rStyle w:val="4"/>
              <w:rFonts w:hint="eastAsia"/>
            </w:rPr>
            <w:t>选择一项。</w:t>
          </w:r>
        </w:p>
      </w:docPartBody>
    </w:docPart>
    <w:docPart>
      <w:docPartPr>
        <w:name w:val="D34D53636EC94881AF34708FE40FCEC3"/>
        <w:style w:val=""/>
        <w:category>
          <w:name w:val="常规"/>
          <w:gallery w:val="placeholder"/>
        </w:category>
        <w:types>
          <w:type w:val="bbPlcHdr"/>
        </w:types>
        <w:behaviors>
          <w:behavior w:val="content"/>
        </w:behaviors>
        <w:description w:val=""/>
        <w:guid w:val="{0BFDE7F0-FDFE-4ABA-94F0-E2C40AFDF205}"/>
      </w:docPartPr>
      <w:docPartBody>
        <w:p w14:paraId="315D69FA">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DFA"/>
    <w:rsid w:val="00113740"/>
    <w:rsid w:val="00242816"/>
    <w:rsid w:val="002F7316"/>
    <w:rsid w:val="00343A14"/>
    <w:rsid w:val="004D4DFA"/>
    <w:rsid w:val="005260CE"/>
    <w:rsid w:val="00783468"/>
    <w:rsid w:val="008735A8"/>
    <w:rsid w:val="0088149F"/>
    <w:rsid w:val="00983BA0"/>
    <w:rsid w:val="009A5A4A"/>
    <w:rsid w:val="00A4412E"/>
    <w:rsid w:val="00A9625F"/>
    <w:rsid w:val="00B35018"/>
    <w:rsid w:val="00B662DC"/>
    <w:rsid w:val="00C17310"/>
    <w:rsid w:val="00DD601D"/>
    <w:rsid w:val="00E03C47"/>
    <w:rsid w:val="00EA0CB5"/>
    <w:rsid w:val="00F22B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6B29CE62CE448AABFD0D6B0F121BE2B"/>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C682D090E13942038D80D93B76156449"/>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D34D53636EC94881AF34708FE40FCEC3"/>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18</Pages>
  <Words>1487</Words>
  <Characters>1900</Characters>
  <Lines>137</Lines>
  <Paragraphs>38</Paragraphs>
  <TotalTime>63</TotalTime>
  <ScaleCrop>false</ScaleCrop>
  <LinksUpToDate>false</LinksUpToDate>
  <CharactersWithSpaces>2063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2026-01-25T22:56:00Z</dcterms:created>
  <dc:creator>Administrator</dc:creator>
  <dc:description>&lt;config cover="true" show_menu="true" version="1.0.0" doctype="SDKXY"&gt;_x000d_
&lt;/config&gt;</dc:description>
  <cp:lastModifiedBy>Administrator</cp:lastModifiedBy>
  <cp:lastPrinted>2026-02-03T16:06:00Z</cp:lastPrinted>
  <dcterms:modified xsi:type="dcterms:W3CDTF">2026-05-15T01:20:05Z</dcterms:modified>
  <dc:title>团体标准</dc:title>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eyJoZGlkIjoiMDNhYWY5NDkxM2RmMTEzZGZmNTU2NWZjMzhkNmUxZmIiLCJ1c2VySWQiOiIxMDMyNjI0Nzg4In0=</vt:lpwstr>
  </property>
  <property fmtid="{D5CDD505-2E9C-101B-9397-08002B2CF9AE}" pid="15" name="KSOProductBuildVer">
    <vt:lpwstr>2052-12.1.0.26375</vt:lpwstr>
  </property>
  <property fmtid="{D5CDD505-2E9C-101B-9397-08002B2CF9AE}" pid="16" name="ICV">
    <vt:lpwstr>5B50D0C75B6F41BC9AA56BA567414E08_13</vt:lpwstr>
  </property>
</Properties>
</file>