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B7439C">
      <w:pPr>
        <w:pStyle w:val="14"/>
        <w:framePr w:h="879" w:hRule="exact" w:wrap="around" w:x="1360" w:y="3769"/>
        <w:jc w:val="center"/>
        <w:rPr>
          <w:rFonts w:hint="default"/>
          <w:color w:val="000000" w:themeColor="text1"/>
          <w:sz w:val="52"/>
          <w:szCs w:val="52"/>
          <w14:textFill>
            <w14:solidFill>
              <w14:schemeClr w14:val="tx1"/>
            </w14:solidFill>
          </w14:textFill>
        </w:rPr>
      </w:pPr>
      <w:bookmarkStart w:id="0" w:name="_Toc19600"/>
      <w:bookmarkStart w:id="1" w:name="_Toc11802"/>
      <w:bookmarkStart w:id="2" w:name="_Toc5207"/>
      <w:bookmarkStart w:id="3" w:name="_Toc17329"/>
      <w:bookmarkStart w:id="4" w:name="_Toc9918"/>
      <w:bookmarkStart w:id="5" w:name="_Toc8971"/>
      <w:bookmarkStart w:id="6" w:name="_Toc18885"/>
      <w:r>
        <w:rPr>
          <w:color w:val="000000" w:themeColor="text1"/>
          <w:sz w:val="52"/>
          <w:szCs w:val="52"/>
          <w14:textFill>
            <w14:solidFill>
              <w14:schemeClr w14:val="tx1"/>
            </w14:solidFill>
          </w14:textFill>
        </w:rPr>
        <w:t>江西省食品科学技术学会团体标准</w:t>
      </w:r>
    </w:p>
    <w:p w14:paraId="37A9A4EB">
      <w:pPr>
        <w:pStyle w:val="13"/>
        <w:framePr w:h="6299" w:hRule="exact" w:wrap="around" w:y="7083"/>
        <w:rPr>
          <w:rFonts w:hint="default"/>
          <w:color w:val="000000" w:themeColor="text1"/>
          <w14:textFill>
            <w14:solidFill>
              <w14:schemeClr w14:val="tx1"/>
            </w14:solidFill>
          </w14:textFill>
        </w:rPr>
      </w:pPr>
      <w:r>
        <w:rPr>
          <w:color w:val="000000" w:themeColor="text1"/>
          <w14:textFill>
            <w14:solidFill>
              <w14:schemeClr w14:val="tx1"/>
            </w14:solidFill>
          </w14:textFill>
        </w:rPr>
        <w:t>粮食重金属镉能量色散X-射线荧光光谱仪技术评价指南</w:t>
      </w:r>
    </w:p>
    <w:p w14:paraId="02289EC5">
      <w:pPr>
        <w:pStyle w:val="18"/>
        <w:framePr w:h="6299" w:hRule="exact" w:wrap="around" w:y="7083"/>
        <w:rPr>
          <w:rFonts w:hint="default"/>
          <w:color w:val="000000" w:themeColor="text1"/>
          <w14:textFill>
            <w14:solidFill>
              <w14:schemeClr w14:val="tx1"/>
            </w14:solidFill>
          </w14:textFill>
        </w:rPr>
      </w:pPr>
      <w:bookmarkStart w:id="7" w:name="StdEnglishName"/>
      <w:r>
        <w:rPr>
          <w:rFonts w:hint="default" w:ascii="Times New Roman" w:hAnsi="Times New Roman" w:eastAsia="黑体" w:cs="Times New Roman"/>
          <w:color w:val="000000" w:themeColor="text1"/>
          <w:sz w:val="28"/>
          <w:lang w:val="en-US" w:eastAsia="zh-CN" w:bidi="ar-SA"/>
          <w14:textFill>
            <w14:solidFill>
              <w14:schemeClr w14:val="tx1"/>
            </w14:solidFill>
          </w14:textFill>
        </w:rPr>
        <w:fldChar w:fldCharType="begin">
          <w:ffData>
            <w:name w:val="StdEnglishName"/>
            <w:enabled/>
            <w:calcOnExit w:val="0"/>
            <w:textInput>
              <w:default w:val="Guidance on technology evaluation of food heavy metal cadmium energy dispersive X-ray fluorescence spectrometer"/>
            </w:textInput>
          </w:ffData>
        </w:fldChar>
      </w:r>
      <w:r>
        <w:rPr>
          <w:rFonts w:hint="default" w:ascii="Times New Roman" w:hAnsi="Times New Roman" w:eastAsia="黑体" w:cs="Times New Roman"/>
          <w:color w:val="000000" w:themeColor="text1"/>
          <w:sz w:val="28"/>
          <w:lang w:val="en-US" w:eastAsia="zh-CN" w:bidi="ar-SA"/>
          <w14:textFill>
            <w14:solidFill>
              <w14:schemeClr w14:val="tx1"/>
            </w14:solidFill>
          </w14:textFill>
        </w:rPr>
        <w:instrText xml:space="preserve">FORMTEXT</w:instrText>
      </w:r>
      <w:r>
        <w:rPr>
          <w:rFonts w:hint="default" w:ascii="Times New Roman" w:hAnsi="Times New Roman" w:eastAsia="黑体" w:cs="Times New Roman"/>
          <w:color w:val="000000" w:themeColor="text1"/>
          <w:sz w:val="28"/>
          <w:lang w:val="en-US" w:eastAsia="zh-CN" w:bidi="ar-SA"/>
          <w14:textFill>
            <w14:solidFill>
              <w14:schemeClr w14:val="tx1"/>
            </w14:solidFill>
          </w14:textFill>
        </w:rPr>
        <w:fldChar w:fldCharType="separate"/>
      </w:r>
      <w:r>
        <w:rPr>
          <w:rFonts w:hint="default" w:ascii="Times New Roman" w:hAnsi="Times New Roman" w:eastAsia="黑体" w:cs="Times New Roman"/>
          <w:color w:val="000000" w:themeColor="text1"/>
          <w:sz w:val="28"/>
          <w:lang w:val="en-US" w:eastAsia="zh-CN" w:bidi="ar-SA"/>
          <w14:textFill>
            <w14:solidFill>
              <w14:schemeClr w14:val="tx1"/>
            </w14:solidFill>
          </w14:textFill>
        </w:rPr>
        <w:t>Guidance on technology evaluation of food heavy metal cadmium energy dispersive X-ray fluorescence spectrometer</w:t>
      </w:r>
      <w:r>
        <w:rPr>
          <w:rFonts w:hint="default" w:ascii="Times New Roman" w:hAnsi="Times New Roman" w:eastAsia="黑体" w:cs="Times New Roman"/>
          <w:color w:val="000000" w:themeColor="text1"/>
          <w:sz w:val="28"/>
          <w:lang w:val="en-US" w:eastAsia="zh-CN" w:bidi="ar-SA"/>
          <w14:textFill>
            <w14:solidFill>
              <w14:schemeClr w14:val="tx1"/>
            </w14:solidFill>
          </w14:textFill>
        </w:rPr>
        <w:fldChar w:fldCharType="end"/>
      </w:r>
      <w:bookmarkEnd w:id="7"/>
    </w:p>
    <w:tbl>
      <w:tblPr>
        <w:tblStyle w:val="9"/>
        <w:tblW w:w="97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870"/>
        <w:gridCol w:w="4871"/>
      </w:tblGrid>
      <w:tr w14:paraId="39E9C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exact"/>
        </w:trPr>
        <w:tc>
          <w:tcPr>
            <w:tcW w:w="4944" w:type="dxa"/>
            <w:tcBorders>
              <w:bottom w:val="single" w:color="auto" w:sz="8" w:space="0"/>
            </w:tcBorders>
            <w:tcMar>
              <w:left w:w="57" w:type="dxa"/>
              <w:bottom w:w="28" w:type="dxa"/>
            </w:tcMar>
          </w:tcPr>
          <w:p w14:paraId="6B5FA569">
            <w:pPr>
              <w:pStyle w:val="23"/>
              <w:framePr w:wrap="around"/>
              <w:widowControl w:val="0"/>
              <w:jc w:val="both"/>
              <w:rPr>
                <w:rFonts w:hint="default"/>
                <w:color w:val="000000" w:themeColor="text1"/>
                <w14:textFill>
                  <w14:solidFill>
                    <w14:schemeClr w14:val="tx1"/>
                  </w14:solidFill>
                </w14:textFill>
              </w:rPr>
            </w:pPr>
            <w:r>
              <w:rPr>
                <w:color w:val="000000" w:themeColor="text1"/>
                <w14:textFill>
                  <w14:solidFill>
                    <w14:schemeClr w14:val="tx1"/>
                  </w14:solidFill>
                </w14:textFill>
              </w:rPr>
              <w:t xml:space="preserve">2026 - </w:t>
            </w:r>
            <w:r>
              <w:rPr>
                <w:rFonts w:hint="eastAsia"/>
                <w:color w:val="000000" w:themeColor="text1"/>
                <w:lang w:val="en-US" w:eastAsia="zh-CN"/>
                <w14:textFill>
                  <w14:solidFill>
                    <w14:schemeClr w14:val="tx1"/>
                  </w14:solidFill>
                </w14:textFill>
              </w:rPr>
              <w:t>5</w:t>
            </w:r>
            <w:r>
              <w:rPr>
                <w:color w:val="000000" w:themeColor="text1"/>
                <w14:textFill>
                  <w14:solidFill>
                    <w14:schemeClr w14:val="tx1"/>
                  </w14:solidFill>
                </w14:textFill>
              </w:rPr>
              <w:t xml:space="preserve"> - </w:t>
            </w:r>
            <w:r>
              <w:rPr>
                <w:rFonts w:hint="eastAsia"/>
                <w:color w:val="000000" w:themeColor="text1"/>
                <w:lang w:val="en-US" w:eastAsia="zh-CN"/>
                <w14:textFill>
                  <w14:solidFill>
                    <w14:schemeClr w14:val="tx1"/>
                  </w14:solidFill>
                </w14:textFill>
              </w:rPr>
              <w:t>15</w:t>
            </w:r>
            <w:r>
              <w:rPr>
                <w:color w:val="000000" w:themeColor="text1"/>
                <w14:textFill>
                  <w14:solidFill>
                    <w14:schemeClr w14:val="tx1"/>
                  </w14:solidFill>
                </w14:textFill>
              </w:rPr>
              <w:t xml:space="preserve"> 发布</w:t>
            </w:r>
          </w:p>
        </w:tc>
        <w:tc>
          <w:tcPr>
            <w:tcW w:w="4945" w:type="dxa"/>
            <w:tcBorders>
              <w:bottom w:val="single" w:color="auto" w:sz="8" w:space="0"/>
            </w:tcBorders>
            <w:tcMar>
              <w:right w:w="57" w:type="dxa"/>
            </w:tcMar>
          </w:tcPr>
          <w:p w14:paraId="4F598FAD">
            <w:pPr>
              <w:pStyle w:val="23"/>
              <w:framePr w:wrap="around"/>
              <w:widowControl w:val="0"/>
              <w:jc w:val="right"/>
              <w:rPr>
                <w:rFonts w:hint="default"/>
                <w:color w:val="000000" w:themeColor="text1"/>
                <w14:textFill>
                  <w14:solidFill>
                    <w14:schemeClr w14:val="tx1"/>
                  </w14:solidFill>
                </w14:textFill>
              </w:rPr>
            </w:pPr>
            <w:r>
              <w:rPr>
                <w:color w:val="000000" w:themeColor="text1"/>
                <w14:textFill>
                  <w14:solidFill>
                    <w14:schemeClr w14:val="tx1"/>
                  </w14:solidFill>
                </w14:textFill>
              </w:rPr>
              <w:t xml:space="preserve">2026 - </w:t>
            </w:r>
            <w:r>
              <w:rPr>
                <w:rFonts w:hint="eastAsia"/>
                <w:color w:val="000000" w:themeColor="text1"/>
                <w:lang w:val="en-US" w:eastAsia="zh-CN"/>
                <w14:textFill>
                  <w14:solidFill>
                    <w14:schemeClr w14:val="tx1"/>
                  </w14:solidFill>
                </w14:textFill>
              </w:rPr>
              <w:t>5</w:t>
            </w:r>
            <w:r>
              <w:rPr>
                <w:color w:val="000000" w:themeColor="text1"/>
                <w14:textFill>
                  <w14:solidFill>
                    <w14:schemeClr w14:val="tx1"/>
                  </w14:solidFill>
                </w14:textFill>
              </w:rPr>
              <w:t xml:space="preserve">- </w:t>
            </w:r>
            <w:r>
              <w:rPr>
                <w:rFonts w:hint="eastAsia"/>
                <w:color w:val="000000" w:themeColor="text1"/>
                <w:lang w:val="en-US" w:eastAsia="zh-CN"/>
                <w14:textFill>
                  <w14:solidFill>
                    <w14:schemeClr w14:val="tx1"/>
                  </w14:solidFill>
                </w14:textFill>
              </w:rPr>
              <w:t>15</w:t>
            </w:r>
            <w:bookmarkStart w:id="70" w:name="_GoBack"/>
            <w:bookmarkEnd w:id="70"/>
            <w:r>
              <w:rPr>
                <w:color w:val="000000" w:themeColor="text1"/>
                <w14:textFill>
                  <w14:solidFill>
                    <w14:schemeClr w14:val="tx1"/>
                  </w14:solidFill>
                </w14:textFill>
              </w:rPr>
              <w:t xml:space="preserve"> 实施</w:t>
            </w:r>
          </w:p>
        </w:tc>
      </w:tr>
    </w:tbl>
    <w:p w14:paraId="59260859">
      <w:pPr>
        <w:pStyle w:val="15"/>
        <w:framePr w:h="324" w:hRule="exact" w:wrap="around" w:x="1594" w:y="4739"/>
        <w:rPr>
          <w:rFonts w:hint="default"/>
          <w:color w:val="000000" w:themeColor="text1"/>
          <w14:textFill>
            <w14:solidFill>
              <w14:schemeClr w14:val="tx1"/>
            </w14:solidFill>
          </w14:textFill>
        </w:rPr>
      </w:pPr>
      <w:bookmarkStart w:id="8" w:name="StandNo"/>
      <w:r>
        <w:rPr>
          <w:rFonts w:hint="default" w:ascii="黑体" w:hAnsi="Times New Roman" w:eastAsia="黑体" w:cs="Times New Roman"/>
          <w:color w:val="000000" w:themeColor="text1"/>
          <w:sz w:val="28"/>
          <w:lang w:val="en-US" w:eastAsia="zh-CN" w:bidi="ar-SA"/>
          <w14:textFill>
            <w14:solidFill>
              <w14:schemeClr w14:val="tx1"/>
            </w14:solidFill>
          </w14:textFill>
        </w:rPr>
        <w:fldChar w:fldCharType="begin">
          <w:ffData>
            <w:name w:val="StandNo"/>
            <w:enabled/>
            <w:calcOnExit w:val="0"/>
            <w:textInput>
              <w:default w:val="T/JXIFST 002—2026"/>
            </w:textInput>
          </w:ffData>
        </w:fldChar>
      </w:r>
      <w:r>
        <w:rPr>
          <w:rFonts w:hint="default" w:ascii="黑体" w:hAnsi="Times New Roman" w:eastAsia="黑体" w:cs="Times New Roman"/>
          <w:color w:val="000000" w:themeColor="text1"/>
          <w:sz w:val="28"/>
          <w:lang w:val="en-US" w:eastAsia="zh-CN" w:bidi="ar-SA"/>
          <w14:textFill>
            <w14:solidFill>
              <w14:schemeClr w14:val="tx1"/>
            </w14:solidFill>
          </w14:textFill>
        </w:rPr>
        <w:instrText xml:space="preserve">FORMTEXT</w:instrText>
      </w:r>
      <w:r>
        <w:rPr>
          <w:rFonts w:hint="default" w:ascii="黑体" w:hAnsi="Times New Roman" w:eastAsia="黑体" w:cs="Times New Roman"/>
          <w:color w:val="000000" w:themeColor="text1"/>
          <w:sz w:val="28"/>
          <w:lang w:val="en-US" w:eastAsia="zh-CN" w:bidi="ar-SA"/>
          <w14:textFill>
            <w14:solidFill>
              <w14:schemeClr w14:val="tx1"/>
            </w14:solidFill>
          </w14:textFill>
        </w:rPr>
        <w:fldChar w:fldCharType="separate"/>
      </w:r>
      <w:r>
        <w:rPr>
          <w:rFonts w:hint="default" w:ascii="黑体" w:hAnsi="Times New Roman" w:eastAsia="黑体" w:cs="Times New Roman"/>
          <w:color w:val="000000" w:themeColor="text1"/>
          <w:sz w:val="28"/>
          <w:lang w:val="en-US" w:eastAsia="zh-CN" w:bidi="ar-SA"/>
          <w14:textFill>
            <w14:solidFill>
              <w14:schemeClr w14:val="tx1"/>
            </w14:solidFill>
          </w14:textFill>
        </w:rPr>
        <w:t>T/JXIFST 002—2026</w:t>
      </w:r>
      <w:r>
        <w:rPr>
          <w:rFonts w:hint="default" w:ascii="黑体" w:hAnsi="Times New Roman" w:eastAsia="黑体" w:cs="Times New Roman"/>
          <w:color w:val="000000" w:themeColor="text1"/>
          <w:sz w:val="28"/>
          <w:lang w:val="en-US" w:eastAsia="zh-CN" w:bidi="ar-SA"/>
          <w14:textFill>
            <w14:solidFill>
              <w14:schemeClr w14:val="tx1"/>
            </w14:solidFill>
          </w14:textFill>
        </w:rPr>
        <w:fldChar w:fldCharType="end"/>
      </w:r>
      <w:bookmarkEnd w:id="8"/>
    </w:p>
    <w:p w14:paraId="231B127B">
      <w:pPr>
        <w:pStyle w:val="24"/>
        <w:framePr w:wrap="around"/>
        <w:rPr>
          <w:rFonts w:hint="default"/>
          <w:color w:val="000000" w:themeColor="text1"/>
          <w14:textFill>
            <w14:solidFill>
              <w14:schemeClr w14:val="tx1"/>
            </w14:solidFill>
          </w14:textFill>
        </w:rPr>
      </w:pPr>
      <w:r>
        <w:rPr>
          <w:color w:val="000000" w:themeColor="text1"/>
          <w14:textFill>
            <w14:solidFill>
              <w14:schemeClr w14:val="tx1"/>
            </w14:solidFill>
          </w14:textFill>
        </w:rPr>
        <w:fldChar w:fldCharType="begin">
          <w:ffData>
            <w:name w:val="FM2"/>
            <w:enabled/>
            <w:calcOnExit w:val="0"/>
            <w:textInput/>
          </w:ffData>
        </w:fldChar>
      </w:r>
      <w:bookmarkStart w:id="9" w:name="FM2"/>
      <w:r>
        <w:rPr>
          <w:color w:val="000000" w:themeColor="text1"/>
          <w14:textFill>
            <w14:solidFill>
              <w14:schemeClr w14:val="tx1"/>
            </w14:solidFill>
          </w14:textFill>
        </w:rPr>
        <w:instrText xml:space="preserve">FORMTEXT</w:instrText>
      </w:r>
      <w:r>
        <w:rPr>
          <w:color w:val="000000" w:themeColor="text1"/>
          <w14:textFill>
            <w14:solidFill>
              <w14:schemeClr w14:val="tx1"/>
            </w14:solidFill>
          </w14:textFill>
        </w:rPr>
        <w:fldChar w:fldCharType="separate"/>
      </w:r>
      <w:r>
        <w:rPr>
          <w:rFonts w:hint="default"/>
          <w:color w:val="000000" w:themeColor="text1"/>
          <w14:textFill>
            <w14:solidFill>
              <w14:schemeClr w14:val="tx1"/>
            </w14:solidFill>
          </w14:textFill>
        </w:rPr>
        <w:t>  江西省食品科学技术学会   </w:t>
      </w:r>
      <w:r>
        <w:rPr>
          <w:color w:val="000000" w:themeColor="text1"/>
          <w14:textFill>
            <w14:solidFill>
              <w14:schemeClr w14:val="tx1"/>
            </w14:solidFill>
          </w14:textFill>
        </w:rPr>
        <w:fldChar w:fldCharType="end"/>
      </w:r>
      <w:bookmarkEnd w:id="9"/>
      <w:r>
        <w:rPr>
          <w:color w:val="000000" w:themeColor="text1"/>
          <w14:textFill>
            <w14:solidFill>
              <w14:schemeClr w14:val="tx1"/>
            </w14:solidFill>
          </w14:textFill>
        </w:rPr>
        <w:t>  </w:t>
      </w:r>
      <w:r>
        <w:rPr>
          <w:color w:val="000000" w:themeColor="text1"/>
          <w:spacing w:val="85"/>
          <w14:textFill>
            <w14:solidFill>
              <w14:schemeClr w14:val="tx1"/>
            </w14:solidFill>
          </w14:textFill>
        </w:rPr>
        <w:t>发</w:t>
      </w:r>
      <w:r>
        <w:rPr>
          <w:color w:val="000000" w:themeColor="text1"/>
          <w14:textFill>
            <w14:solidFill>
              <w14:schemeClr w14:val="tx1"/>
            </w14:solidFill>
          </w14:textFill>
        </w:rPr>
        <w:t>布</w:t>
      </w:r>
    </w:p>
    <w:tbl>
      <w:tblPr>
        <w:tblStyle w:val="9"/>
        <w:tblpPr w:leftFromText="180" w:rightFromText="180" w:vertAnchor="text" w:horzAnchor="page" w:tblpX="1372" w:tblpY="995"/>
        <w:tblOverlap w:val="never"/>
        <w:tblW w:w="98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800"/>
      </w:tblGrid>
      <w:tr w14:paraId="0EDF9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4" w:hRule="atLeast"/>
        </w:trPr>
        <w:tc>
          <w:tcPr>
            <w:tcW w:w="9800" w:type="dxa"/>
            <w:tcBorders>
              <w:top w:val="single" w:color="auto" w:sz="8" w:space="0"/>
            </w:tcBorders>
          </w:tcPr>
          <w:p w14:paraId="60A0AB7C">
            <w:pPr>
              <w:pStyle w:val="17"/>
              <w:framePr w:w="0" w:hSpace="0" w:wrap="auto" w:vAnchor="margin" w:hAnchor="text" w:xAlign="left" w:yAlign="inline"/>
              <w:widowControl w:val="0"/>
              <w:jc w:val="both"/>
              <w:rPr>
                <w:rFonts w:hint="default"/>
                <w:color w:val="000000" w:themeColor="text1"/>
                <w:sz w:val="10"/>
                <w14:textFill>
                  <w14:solidFill>
                    <w14:schemeClr w14:val="tx1"/>
                  </w14:solidFill>
                </w14:textFill>
              </w:rPr>
            </w:pPr>
          </w:p>
        </w:tc>
      </w:tr>
    </w:tbl>
    <w:p w14:paraId="3233450D">
      <w:pPr>
        <w:pStyle w:val="28"/>
        <w:spacing w:after="468"/>
        <w:jc w:val="both"/>
        <w:rPr>
          <w:color w:val="000000" w:themeColor="text1"/>
          <w:spacing w:val="317"/>
          <w14:textFill>
            <w14:solidFill>
              <w14:schemeClr w14:val="tx1"/>
            </w14:solidFill>
          </w14:textFill>
        </w:rPr>
      </w:pPr>
      <w:r>
        <mc:AlternateContent>
          <mc:Choice Requires="wps">
            <w:drawing>
              <wp:anchor distT="0" distB="0" distL="114300" distR="114300" simplePos="0" relativeHeight="251659264" behindDoc="0" locked="0" layoutInCell="1" allowOverlap="1">
                <wp:simplePos x="0" y="0"/>
                <wp:positionH relativeFrom="column">
                  <wp:posOffset>27940</wp:posOffset>
                </wp:positionH>
                <wp:positionV relativeFrom="paragraph">
                  <wp:posOffset>-147320</wp:posOffset>
                </wp:positionV>
                <wp:extent cx="5828665" cy="979170"/>
                <wp:effectExtent l="0" t="0" r="635" b="11430"/>
                <wp:wrapNone/>
                <wp:docPr id="6" name="文本框 6"/>
                <wp:cNvGraphicFramePr/>
                <a:graphic xmlns:a="http://schemas.openxmlformats.org/drawingml/2006/main">
                  <a:graphicData uri="http://schemas.microsoft.com/office/word/2010/wordprocessingShape">
                    <wps:wsp>
                      <wps:cNvSpPr txBox="1"/>
                      <wps:spPr>
                        <a:xfrm>
                          <a:off x="1156335" y="1458595"/>
                          <a:ext cx="5828665" cy="979170"/>
                        </a:xfrm>
                        <a:prstGeom prst="rect">
                          <a:avLst/>
                        </a:prstGeom>
                        <a:solidFill>
                          <a:srgbClr val="FFFFFF"/>
                        </a:solidFill>
                        <a:ln w="6350">
                          <a:noFill/>
                        </a:ln>
                        <a:effectLst/>
                      </wps:spPr>
                      <wps:txbx>
                        <w:txbxContent>
                          <w:p w14:paraId="3ED2322C">
                            <w:pPr>
                              <w:spacing w:line="300" w:lineRule="exact"/>
                              <w:rPr>
                                <w:rFonts w:ascii="黑体" w:hAnsi="黑体" w:eastAsia="黑体" w:cs="黑体"/>
                                <w:szCs w:val="21"/>
                              </w:rPr>
                            </w:pPr>
                            <w:r>
                              <w:rPr>
                                <w:rFonts w:hint="eastAsia" w:ascii="黑体" w:hAnsi="黑体" w:eastAsia="黑体" w:cs="黑体"/>
                                <w:szCs w:val="21"/>
                              </w:rPr>
                              <w:t xml:space="preserve">ICS 67.020                                                             </w:t>
                            </w:r>
                          </w:p>
                          <w:p w14:paraId="20DB893E">
                            <w:pPr>
                              <w:spacing w:line="300" w:lineRule="exact"/>
                              <w:ind w:left="5880" w:hanging="5880" w:hangingChars="2800"/>
                              <w:jc w:val="left"/>
                            </w:pPr>
                            <w:r>
                              <w:rPr>
                                <w:rFonts w:hint="eastAsia" w:ascii="黑体" w:hAnsi="黑体" w:eastAsia="黑体" w:cs="黑体"/>
                                <w:szCs w:val="21"/>
                              </w:rPr>
                              <w:t xml:space="preserve">CCS C53 </w:t>
                            </w:r>
                            <w:r>
                              <w:rPr>
                                <w:rFonts w:hint="eastAsia"/>
                              </w:rPr>
                              <w:t xml:space="preserve">                                               </w:t>
                            </w:r>
                          </w:p>
                          <w:p w14:paraId="212CDF66">
                            <w:pPr>
                              <w:jc w:val="center"/>
                              <w:rPr>
                                <w:rFonts w:ascii="黑体" w:hAnsi="黑体" w:eastAsia="黑体" w:cs="黑体"/>
                              </w:rPr>
                            </w:pPr>
                            <w:r>
                              <w:rPr>
                                <w:rFonts w:hint="eastAsia" w:ascii="黑体" w:hAnsi="黑体" w:eastAsia="黑体" w:cs="黑体"/>
                                <w:sz w:val="72"/>
                                <w:szCs w:val="72"/>
                              </w:rPr>
                              <w:t xml:space="preserve">           T/JXIFST</w:t>
                            </w:r>
                            <w:r>
                              <w:rPr>
                                <w:rFonts w:hint="eastAsia" w:ascii="黑体" w:hAnsi="黑体" w:eastAsia="黑体" w:cs="黑体"/>
                                <w:szCs w:val="21"/>
                              </w:rPr>
                              <w:t xml:space="preserve">  </w:t>
                            </w:r>
                            <w:r>
                              <w:rPr>
                                <w:rFonts w:hint="eastAsia" w:ascii="黑体" w:hAnsi="黑体" w:eastAsia="黑体" w:cs="黑体"/>
                                <w:sz w:val="72"/>
                                <w:szCs w:val="72"/>
                              </w:rPr>
                              <w:t xml:space="preserve">    </w:t>
                            </w:r>
                          </w:p>
                          <w:p w14:paraId="518317A8">
                            <w:pPr>
                              <w:spacing w:line="400" w:lineRule="exact"/>
                              <w:ind w:firstLine="2940" w:firstLineChars="1400"/>
                              <w:jc w:val="right"/>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2pt;margin-top:-11.6pt;height:77.1pt;width:458.95pt;z-index:251659264;mso-width-relative:page;mso-height-relative:page;" fillcolor="#FFFFFF" filled="t" stroked="f" coordsize="21600,21600" o:gfxdata="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JsK6+PUAAAACQEAAA8AAAAAAAAAAQAgAAAAIgAAAGRycy9kb3ducmV2LnhtbFBLAQIUABQAAAAI&#10;AIdO4kBcFqsiYwIAAKkEAAAOAAAAAAAAAAEAIAAAACMBAABkcnMvZTJvRG9jLnhtbFBLBQYAAAAA&#10;BgAGAFkBAAD4BQAAAAA=&#10;">
                <v:fill on="t" focussize="0,0"/>
                <v:stroke on="f" weight="0.5pt"/>
                <v:imagedata o:title=""/>
                <o:lock v:ext="edit" aspectratio="f"/>
                <v:textbox>
                  <w:txbxContent>
                    <w:p w14:paraId="3ED2322C">
                      <w:pPr>
                        <w:spacing w:line="300" w:lineRule="exact"/>
                        <w:rPr>
                          <w:rFonts w:ascii="黑体" w:hAnsi="黑体" w:eastAsia="黑体" w:cs="黑体"/>
                          <w:szCs w:val="21"/>
                        </w:rPr>
                      </w:pPr>
                      <w:r>
                        <w:rPr>
                          <w:rFonts w:hint="eastAsia" w:ascii="黑体" w:hAnsi="黑体" w:eastAsia="黑体" w:cs="黑体"/>
                          <w:szCs w:val="21"/>
                        </w:rPr>
                        <w:t xml:space="preserve">ICS 67.020                                                             </w:t>
                      </w:r>
                    </w:p>
                    <w:p w14:paraId="20DB893E">
                      <w:pPr>
                        <w:spacing w:line="300" w:lineRule="exact"/>
                        <w:ind w:left="5880" w:hanging="5880" w:hangingChars="2800"/>
                        <w:jc w:val="left"/>
                      </w:pPr>
                      <w:r>
                        <w:rPr>
                          <w:rFonts w:hint="eastAsia" w:ascii="黑体" w:hAnsi="黑体" w:eastAsia="黑体" w:cs="黑体"/>
                          <w:szCs w:val="21"/>
                        </w:rPr>
                        <w:t xml:space="preserve">CCS C53 </w:t>
                      </w:r>
                      <w:r>
                        <w:rPr>
                          <w:rFonts w:hint="eastAsia"/>
                        </w:rPr>
                        <w:t xml:space="preserve">                                               </w:t>
                      </w:r>
                    </w:p>
                    <w:p w14:paraId="212CDF66">
                      <w:pPr>
                        <w:jc w:val="center"/>
                        <w:rPr>
                          <w:rFonts w:ascii="黑体" w:hAnsi="黑体" w:eastAsia="黑体" w:cs="黑体"/>
                        </w:rPr>
                      </w:pPr>
                      <w:r>
                        <w:rPr>
                          <w:rFonts w:hint="eastAsia" w:ascii="黑体" w:hAnsi="黑体" w:eastAsia="黑体" w:cs="黑体"/>
                          <w:sz w:val="72"/>
                          <w:szCs w:val="72"/>
                        </w:rPr>
                        <w:t xml:space="preserve">           T/JXIFST</w:t>
                      </w:r>
                      <w:r>
                        <w:rPr>
                          <w:rFonts w:hint="eastAsia" w:ascii="黑体" w:hAnsi="黑体" w:eastAsia="黑体" w:cs="黑体"/>
                          <w:szCs w:val="21"/>
                        </w:rPr>
                        <w:t xml:space="preserve">  </w:t>
                      </w:r>
                      <w:r>
                        <w:rPr>
                          <w:rFonts w:hint="eastAsia" w:ascii="黑体" w:hAnsi="黑体" w:eastAsia="黑体" w:cs="黑体"/>
                          <w:sz w:val="72"/>
                          <w:szCs w:val="72"/>
                        </w:rPr>
                        <w:t xml:space="preserve">    </w:t>
                      </w:r>
                    </w:p>
                    <w:p w14:paraId="518317A8">
                      <w:pPr>
                        <w:spacing w:line="400" w:lineRule="exact"/>
                        <w:ind w:firstLine="2940" w:firstLineChars="1400"/>
                        <w:jc w:val="right"/>
                      </w:pPr>
                    </w:p>
                  </w:txbxContent>
                </v:textbox>
              </v:shape>
            </w:pict>
          </mc:Fallback>
        </mc:AlternateContent>
      </w:r>
    </w:p>
    <w:p w14:paraId="73ECCE93">
      <w:pPr>
        <w:pStyle w:val="28"/>
        <w:spacing w:after="468"/>
        <w:rPr>
          <w:color w:val="000000" w:themeColor="text1"/>
          <w:spacing w:val="317"/>
          <w14:textFill>
            <w14:solidFill>
              <w14:schemeClr w14:val="tx1"/>
            </w14:solidFill>
          </w14:textFill>
        </w:rPr>
        <w:sectPr>
          <w:pgSz w:w="11906" w:h="16838"/>
          <w:pgMar w:top="2410" w:right="1134" w:bottom="1134" w:left="1134" w:header="1418" w:footer="1134" w:gutter="284"/>
          <w:pgNumType w:fmt="upperRoman" w:start="1"/>
          <w:cols w:space="425" w:num="1"/>
          <w:docGrid w:type="lines" w:linePitch="312" w:charSpace="0"/>
        </w:sectPr>
      </w:pPr>
    </w:p>
    <w:p w14:paraId="5EBDC8D9">
      <w:pPr>
        <w:pStyle w:val="28"/>
        <w:spacing w:after="468"/>
        <w:rPr>
          <w:color w:val="000000" w:themeColor="text1"/>
          <w14:textFill>
            <w14:solidFill>
              <w14:schemeClr w14:val="tx1"/>
            </w14:solidFill>
          </w14:textFill>
        </w:rPr>
      </w:pPr>
      <w:r>
        <w:rPr>
          <w:rFonts w:hint="eastAsia"/>
          <w:color w:val="000000" w:themeColor="text1"/>
          <w:spacing w:val="317"/>
          <w14:textFill>
            <w14:solidFill>
              <w14:schemeClr w14:val="tx1"/>
            </w14:solidFill>
          </w14:textFill>
        </w:rPr>
        <w:t>目</w:t>
      </w:r>
      <w:bookmarkStart w:id="10" w:name="BKML"/>
      <w:r>
        <w:rPr>
          <w:rFonts w:hint="eastAsia"/>
          <w:color w:val="000000" w:themeColor="text1"/>
          <w14:textFill>
            <w14:solidFill>
              <w14:schemeClr w14:val="tx1"/>
            </w14:solidFill>
          </w14:textFill>
        </w:rPr>
        <w:t>次</w:t>
      </w:r>
      <w:bookmarkEnd w:id="10"/>
    </w:p>
    <w:p w14:paraId="31CF18F4">
      <w:pPr>
        <w:pStyle w:val="7"/>
        <w:tabs>
          <w:tab w:val="right" w:leader="dot" w:pos="9354"/>
        </w:tabs>
        <w:rPr>
          <w:rFonts w:ascii="宋体" w:eastAsia="宋体" w:cs="宋体"/>
          <w:color w:val="000000" w:themeColor="text1"/>
          <w14:textFill>
            <w14:solidFill>
              <w14:schemeClr w14:val="tx1"/>
            </w14:solidFill>
          </w14:textFill>
        </w:rPr>
      </w:pPr>
      <w:r>
        <w:rPr>
          <w:rFonts w:hint="eastAsia" w:ascii="宋体" w:eastAsia="宋体" w:cs="宋体"/>
          <w:color w:val="000000" w:themeColor="text1"/>
          <w14:textFill>
            <w14:solidFill>
              <w14:schemeClr w14:val="tx1"/>
            </w14:solidFill>
          </w14:textFill>
        </w:rPr>
        <w:fldChar w:fldCharType="begin"/>
      </w:r>
      <w:r>
        <w:rPr>
          <w:rFonts w:hint="eastAsia" w:ascii="宋体" w:eastAsia="宋体" w:cs="宋体"/>
          <w:color w:val="000000" w:themeColor="text1"/>
          <w14:textFill>
            <w14:solidFill>
              <w14:schemeClr w14:val="tx1"/>
            </w14:solidFill>
          </w14:textFill>
        </w:rPr>
        <w:instrText xml:space="preserve">TOC \t "标准文件_前言、引言标题,1,标准文件_章标题,1,标准文件_附录标识,1,标准文件_参考文献标题,1,标准文件_索引标题,1" \h</w:instrText>
      </w:r>
      <w:r>
        <w:rPr>
          <w:rFonts w:hint="eastAsia" w:ascii="宋体" w:eastAsia="宋体" w:cs="宋体"/>
          <w:color w:val="000000" w:themeColor="text1"/>
          <w14:textFill>
            <w14:solidFill>
              <w14:schemeClr w14:val="tx1"/>
            </w14:solidFill>
          </w14:textFill>
        </w:rPr>
        <w:fldChar w:fldCharType="separate"/>
      </w:r>
      <w:r>
        <w:fldChar w:fldCharType="begin"/>
      </w:r>
      <w:r>
        <w:instrText xml:space="preserve"> HYPERLINK \l "_Toc12183" </w:instrText>
      </w:r>
      <w:r>
        <w:fldChar w:fldCharType="separate"/>
      </w:r>
      <w:r>
        <w:rPr>
          <w:rFonts w:hint="eastAsia" w:ascii="宋体" w:eastAsia="宋体" w:cs="宋体"/>
          <w:color w:val="000000" w:themeColor="text1"/>
          <w14:textFill>
            <w14:solidFill>
              <w14:schemeClr w14:val="tx1"/>
            </w14:solidFill>
          </w14:textFill>
        </w:rPr>
        <w:t>前言</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Ⅱ</w:t>
      </w:r>
      <w:r>
        <w:rPr>
          <w:rFonts w:hint="eastAsia" w:ascii="宋体" w:eastAsia="宋体" w:cs="宋体"/>
          <w:color w:val="000000" w:themeColor="text1"/>
          <w14:textFill>
            <w14:solidFill>
              <w14:schemeClr w14:val="tx1"/>
            </w14:solidFill>
          </w14:textFill>
        </w:rPr>
        <w:fldChar w:fldCharType="end"/>
      </w:r>
    </w:p>
    <w:p w14:paraId="70FD2699">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"_Toc30698" </w:instrText>
      </w:r>
      <w:r>
        <w:fldChar w:fldCharType="separate"/>
      </w:r>
      <w:r>
        <w:rPr>
          <w:rFonts w:hint="eastAsia" w:ascii="宋体" w:eastAsia="宋体" w:cs="宋体"/>
          <w:color w:val="000000" w:themeColor="text1"/>
          <w14:textFill>
            <w14:solidFill>
              <w14:schemeClr w14:val="tx1"/>
            </w14:solidFill>
          </w14:textFill>
        </w:rPr>
        <w:t>1</w:t>
      </w:r>
      <w:r>
        <w:rPr>
          <w:rFonts w:hint="eastAsia" w:cs="宋体"/>
          <w:color w:val="000000" w:themeColor="text1"/>
          <w14:textFill>
            <w14:solidFill>
              <w14:schemeClr w14:val="tx1"/>
            </w14:solidFill>
          </w14:textFill>
        </w:rPr>
        <w:t xml:space="preserve"> </w:t>
      </w:r>
      <w:r>
        <w:rPr>
          <w:rFonts w:hint="eastAsia" w:ascii="宋体" w:eastAsia="宋体" w:cs="宋体"/>
          <w:color w:val="000000" w:themeColor="text1"/>
          <w14:textFill>
            <w14:solidFill>
              <w14:schemeClr w14:val="tx1"/>
            </w14:solidFill>
          </w14:textFill>
        </w:rPr>
        <w:t xml:space="preserve"> 范围</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1</w:t>
      </w:r>
      <w:r>
        <w:rPr>
          <w:rFonts w:hint="eastAsia" w:ascii="宋体" w:eastAsia="宋体" w:cs="宋体"/>
          <w:color w:val="000000" w:themeColor="text1"/>
          <w14:textFill>
            <w14:solidFill>
              <w14:schemeClr w14:val="tx1"/>
            </w14:solidFill>
          </w14:textFill>
        </w:rPr>
        <w:fldChar w:fldCharType="end"/>
      </w:r>
    </w:p>
    <w:p w14:paraId="3ABEB33E">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"_Toc5214" </w:instrText>
      </w:r>
      <w:r>
        <w:fldChar w:fldCharType="separate"/>
      </w:r>
      <w:r>
        <w:rPr>
          <w:rFonts w:hint="eastAsia" w:ascii="宋体" w:eastAsia="宋体" w:cs="宋体"/>
          <w:color w:val="000000" w:themeColor="text1"/>
          <w14:textFill>
            <w14:solidFill>
              <w14:schemeClr w14:val="tx1"/>
            </w14:solidFill>
          </w14:textFill>
        </w:rPr>
        <w:t>2</w:t>
      </w:r>
      <w:r>
        <w:rPr>
          <w:rFonts w:hint="eastAsia" w:cs="宋体"/>
          <w:color w:val="000000" w:themeColor="text1"/>
          <w14:textFill>
            <w14:solidFill>
              <w14:schemeClr w14:val="tx1"/>
            </w14:solidFill>
          </w14:textFill>
        </w:rPr>
        <w:t xml:space="preserve"> </w:t>
      </w:r>
      <w:r>
        <w:rPr>
          <w:rFonts w:hint="eastAsia" w:ascii="宋体" w:eastAsia="宋体" w:cs="宋体"/>
          <w:color w:val="000000" w:themeColor="text1"/>
          <w14:textFill>
            <w14:solidFill>
              <w14:schemeClr w14:val="tx1"/>
            </w14:solidFill>
          </w14:textFill>
        </w:rPr>
        <w:t xml:space="preserve"> 规范性引用文件</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1</w:t>
      </w:r>
      <w:r>
        <w:rPr>
          <w:rFonts w:hint="eastAsia" w:ascii="宋体" w:eastAsia="宋体" w:cs="宋体"/>
          <w:color w:val="000000" w:themeColor="text1"/>
          <w14:textFill>
            <w14:solidFill>
              <w14:schemeClr w14:val="tx1"/>
            </w14:solidFill>
          </w14:textFill>
        </w:rPr>
        <w:fldChar w:fldCharType="end"/>
      </w:r>
    </w:p>
    <w:p w14:paraId="40EF2E82">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"_Toc1129" </w:instrText>
      </w:r>
      <w:r>
        <w:fldChar w:fldCharType="separate"/>
      </w:r>
      <w:r>
        <w:rPr>
          <w:rFonts w:hint="eastAsia" w:ascii="宋体" w:eastAsia="宋体" w:cs="宋体"/>
          <w:color w:val="000000" w:themeColor="text1"/>
          <w14:textFill>
            <w14:solidFill>
              <w14:schemeClr w14:val="tx1"/>
            </w14:solidFill>
          </w14:textFill>
        </w:rPr>
        <w:t>3</w:t>
      </w:r>
      <w:r>
        <w:rPr>
          <w:rFonts w:hint="eastAsia" w:cs="宋体"/>
          <w:color w:val="000000" w:themeColor="text1"/>
          <w14:textFill>
            <w14:solidFill>
              <w14:schemeClr w14:val="tx1"/>
            </w14:solidFill>
          </w14:textFill>
        </w:rPr>
        <w:t xml:space="preserve"> </w:t>
      </w:r>
      <w:r>
        <w:rPr>
          <w:rFonts w:hint="eastAsia" w:ascii="宋体" w:eastAsia="宋体" w:cs="宋体"/>
          <w:color w:val="000000" w:themeColor="text1"/>
          <w14:textFill>
            <w14:solidFill>
              <w14:schemeClr w14:val="tx1"/>
            </w14:solidFill>
          </w14:textFill>
        </w:rPr>
        <w:t xml:space="preserve"> 术语和定义</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1</w:t>
      </w:r>
      <w:r>
        <w:rPr>
          <w:rFonts w:hint="eastAsia" w:ascii="宋体" w:eastAsia="宋体" w:cs="宋体"/>
          <w:color w:val="000000" w:themeColor="text1"/>
          <w14:textFill>
            <w14:solidFill>
              <w14:schemeClr w14:val="tx1"/>
            </w14:solidFill>
          </w14:textFill>
        </w:rPr>
        <w:fldChar w:fldCharType="end"/>
      </w:r>
    </w:p>
    <w:p w14:paraId="32D81B07">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"_Toc13058" </w:instrText>
      </w:r>
      <w:r>
        <w:fldChar w:fldCharType="separate"/>
      </w:r>
      <w:r>
        <w:rPr>
          <w:rFonts w:hint="eastAsia" w:ascii="宋体" w:eastAsia="宋体" w:cs="宋体"/>
          <w:color w:val="000000" w:themeColor="text1"/>
          <w14:textFill>
            <w14:solidFill>
              <w14:schemeClr w14:val="tx1"/>
            </w14:solidFill>
          </w14:textFill>
        </w:rPr>
        <w:t>4</w:t>
      </w:r>
      <w:r>
        <w:rPr>
          <w:rFonts w:hint="eastAsia" w:cs="宋体"/>
          <w:color w:val="000000" w:themeColor="text1"/>
          <w14:textFill>
            <w14:solidFill>
              <w14:schemeClr w14:val="tx1"/>
            </w14:solidFill>
          </w14:textFill>
        </w:rPr>
        <w:t xml:space="preserve"> </w:t>
      </w:r>
      <w:r>
        <w:rPr>
          <w:rFonts w:hint="eastAsia" w:ascii="宋体" w:eastAsia="宋体" w:cs="宋体"/>
          <w:color w:val="000000" w:themeColor="text1"/>
          <w14:textFill>
            <w14:solidFill>
              <w14:schemeClr w14:val="tx1"/>
            </w14:solidFill>
          </w14:textFill>
        </w:rPr>
        <w:t xml:space="preserve"> 产品评价要求</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2</w:t>
      </w:r>
      <w:r>
        <w:rPr>
          <w:rFonts w:hint="eastAsia" w:ascii="宋体" w:eastAsia="宋体" w:cs="宋体"/>
          <w:color w:val="000000" w:themeColor="text1"/>
          <w14:textFill>
            <w14:solidFill>
              <w14:schemeClr w14:val="tx1"/>
            </w14:solidFill>
          </w14:textFill>
        </w:rPr>
        <w:fldChar w:fldCharType="end"/>
      </w:r>
    </w:p>
    <w:p w14:paraId="2791A14E">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"_Toc32311" </w:instrText>
      </w:r>
      <w:r>
        <w:fldChar w:fldCharType="separate"/>
      </w:r>
      <w:r>
        <w:rPr>
          <w:rFonts w:hint="eastAsia" w:ascii="宋体" w:eastAsia="宋体" w:cs="宋体"/>
          <w:color w:val="000000" w:themeColor="text1"/>
          <w14:textFill>
            <w14:solidFill>
              <w14:schemeClr w14:val="tx1"/>
            </w14:solidFill>
          </w14:textFill>
        </w:rPr>
        <w:t>5</w:t>
      </w:r>
      <w:r>
        <w:rPr>
          <w:rFonts w:hint="eastAsia" w:cs="宋体"/>
          <w:color w:val="000000" w:themeColor="text1"/>
          <w14:textFill>
            <w14:solidFill>
              <w14:schemeClr w14:val="tx1"/>
            </w14:solidFill>
          </w14:textFill>
        </w:rPr>
        <w:t xml:space="preserve"> </w:t>
      </w:r>
      <w:r>
        <w:rPr>
          <w:rFonts w:hint="eastAsia" w:ascii="宋体" w:eastAsia="宋体" w:cs="宋体"/>
          <w:color w:val="000000" w:themeColor="text1"/>
          <w14:textFill>
            <w14:solidFill>
              <w14:schemeClr w14:val="tx1"/>
            </w14:solidFill>
          </w14:textFill>
        </w:rPr>
        <w:t xml:space="preserve"> 安全要求</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2</w:t>
      </w:r>
      <w:r>
        <w:rPr>
          <w:rFonts w:hint="eastAsia" w:ascii="宋体" w:eastAsia="宋体" w:cs="宋体"/>
          <w:color w:val="000000" w:themeColor="text1"/>
          <w14:textFill>
            <w14:solidFill>
              <w14:schemeClr w14:val="tx1"/>
            </w14:solidFill>
          </w14:textFill>
        </w:rPr>
        <w:fldChar w:fldCharType="end"/>
      </w:r>
    </w:p>
    <w:p w14:paraId="18E5E4EF">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"_Toc24075" </w:instrText>
      </w:r>
      <w:r>
        <w:fldChar w:fldCharType="separate"/>
      </w:r>
      <w:r>
        <w:rPr>
          <w:rFonts w:hint="eastAsia" w:ascii="宋体" w:eastAsia="宋体" w:cs="宋体"/>
          <w:color w:val="000000" w:themeColor="text1"/>
          <w14:textFill>
            <w14:solidFill>
              <w14:schemeClr w14:val="tx1"/>
            </w14:solidFill>
          </w14:textFill>
        </w:rPr>
        <w:t>6</w:t>
      </w:r>
      <w:r>
        <w:rPr>
          <w:rFonts w:hint="eastAsia" w:cs="宋体"/>
          <w:color w:val="000000" w:themeColor="text1"/>
          <w14:textFill>
            <w14:solidFill>
              <w14:schemeClr w14:val="tx1"/>
            </w14:solidFill>
          </w14:textFill>
        </w:rPr>
        <w:t xml:space="preserve"> </w:t>
      </w:r>
      <w:r>
        <w:rPr>
          <w:rFonts w:hint="eastAsia" w:ascii="宋体" w:eastAsia="宋体" w:cs="宋体"/>
          <w:color w:val="000000" w:themeColor="text1"/>
          <w14:textFill>
            <w14:solidFill>
              <w14:schemeClr w14:val="tx1"/>
            </w14:solidFill>
          </w14:textFill>
        </w:rPr>
        <w:t xml:space="preserve"> 工作条件要求</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3</w:t>
      </w:r>
      <w:r>
        <w:rPr>
          <w:rFonts w:hint="eastAsia" w:ascii="宋体" w:eastAsia="宋体" w:cs="宋体"/>
          <w:color w:val="000000" w:themeColor="text1"/>
          <w14:textFill>
            <w14:solidFill>
              <w14:schemeClr w14:val="tx1"/>
            </w14:solidFill>
          </w14:textFill>
        </w:rPr>
        <w:fldChar w:fldCharType="end"/>
      </w:r>
    </w:p>
    <w:p w14:paraId="468C761F">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"_Toc26340" </w:instrText>
      </w:r>
      <w:r>
        <w:fldChar w:fldCharType="separate"/>
      </w:r>
      <w:r>
        <w:rPr>
          <w:rFonts w:hint="eastAsia" w:ascii="宋体" w:eastAsia="宋体" w:cs="宋体"/>
          <w:color w:val="000000" w:themeColor="text1"/>
          <w14:textFill>
            <w14:solidFill>
              <w14:schemeClr w14:val="tx1"/>
            </w14:solidFill>
          </w14:textFill>
        </w:rPr>
        <w:t>7</w:t>
      </w:r>
      <w:r>
        <w:rPr>
          <w:rFonts w:hint="eastAsia" w:cs="宋体"/>
          <w:color w:val="000000" w:themeColor="text1"/>
          <w14:textFill>
            <w14:solidFill>
              <w14:schemeClr w14:val="tx1"/>
            </w14:solidFill>
          </w14:textFill>
        </w:rPr>
        <w:t xml:space="preserve"> </w:t>
      </w:r>
      <w:r>
        <w:rPr>
          <w:rFonts w:hint="eastAsia" w:ascii="宋体" w:eastAsia="宋体" w:cs="宋体"/>
          <w:color w:val="000000" w:themeColor="text1"/>
          <w14:textFill>
            <w14:solidFill>
              <w14:schemeClr w14:val="tx1"/>
            </w14:solidFill>
          </w14:textFill>
        </w:rPr>
        <w:t xml:space="preserve"> 样品要求</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3</w:t>
      </w:r>
      <w:r>
        <w:rPr>
          <w:rFonts w:hint="eastAsia" w:ascii="宋体" w:eastAsia="宋体" w:cs="宋体"/>
          <w:color w:val="000000" w:themeColor="text1"/>
          <w14:textFill>
            <w14:solidFill>
              <w14:schemeClr w14:val="tx1"/>
            </w14:solidFill>
          </w14:textFill>
        </w:rPr>
        <w:fldChar w:fldCharType="end"/>
      </w:r>
    </w:p>
    <w:p w14:paraId="159C602D">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"_Toc19784" </w:instrText>
      </w:r>
      <w:r>
        <w:fldChar w:fldCharType="separate"/>
      </w:r>
      <w:r>
        <w:rPr>
          <w:rFonts w:hint="eastAsia" w:ascii="宋体" w:eastAsia="宋体" w:cs="宋体"/>
          <w:color w:val="000000" w:themeColor="text1"/>
          <w14:textFill>
            <w14:solidFill>
              <w14:schemeClr w14:val="tx1"/>
            </w14:solidFill>
          </w14:textFill>
        </w:rPr>
        <w:t>8</w:t>
      </w:r>
      <w:r>
        <w:rPr>
          <w:rFonts w:hint="eastAsia" w:cs="宋体"/>
          <w:color w:val="000000" w:themeColor="text1"/>
          <w14:textFill>
            <w14:solidFill>
              <w14:schemeClr w14:val="tx1"/>
            </w14:solidFill>
          </w14:textFill>
        </w:rPr>
        <w:t xml:space="preserve"> </w:t>
      </w:r>
      <w:r>
        <w:rPr>
          <w:rFonts w:hint="eastAsia" w:ascii="宋体" w:eastAsia="宋体" w:cs="宋体"/>
          <w:color w:val="000000" w:themeColor="text1"/>
          <w14:textFill>
            <w14:solidFill>
              <w14:schemeClr w14:val="tx1"/>
            </w14:solidFill>
          </w14:textFill>
        </w:rPr>
        <w:t xml:space="preserve"> 评价指标</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3</w:t>
      </w:r>
      <w:r>
        <w:rPr>
          <w:rFonts w:hint="eastAsia" w:ascii="宋体" w:eastAsia="宋体" w:cs="宋体"/>
          <w:color w:val="000000" w:themeColor="text1"/>
          <w14:textFill>
            <w14:solidFill>
              <w14:schemeClr w14:val="tx1"/>
            </w14:solidFill>
          </w14:textFill>
        </w:rPr>
        <w:fldChar w:fldCharType="end"/>
      </w:r>
    </w:p>
    <w:p w14:paraId="2B225AD1">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"_Toc19784" </w:instrText>
      </w:r>
      <w:r>
        <w:fldChar w:fldCharType="separate"/>
      </w:r>
      <w:r>
        <w:rPr>
          <w:rFonts w:hint="eastAsia" w:ascii="宋体" w:eastAsia="宋体" w:cs="宋体"/>
          <w:color w:val="000000" w:themeColor="text1"/>
          <w14:textFill>
            <w14:solidFill>
              <w14:schemeClr w14:val="tx1"/>
            </w14:solidFill>
          </w14:textFill>
        </w:rPr>
        <w:t>9</w:t>
      </w:r>
      <w:r>
        <w:rPr>
          <w:rFonts w:hint="eastAsia" w:cs="宋体"/>
          <w:color w:val="000000" w:themeColor="text1"/>
          <w14:textFill>
            <w14:solidFill>
              <w14:schemeClr w14:val="tx1"/>
            </w14:solidFill>
          </w14:textFill>
        </w:rPr>
        <w:t xml:space="preserve"> </w:t>
      </w:r>
      <w:r>
        <w:rPr>
          <w:rFonts w:hint="eastAsia" w:ascii="宋体" w:eastAsia="宋体" w:cs="宋体"/>
          <w:color w:val="000000" w:themeColor="text1"/>
          <w14:textFill>
            <w14:solidFill>
              <w14:schemeClr w14:val="tx1"/>
            </w14:solidFill>
          </w14:textFill>
        </w:rPr>
        <w:t xml:space="preserve"> 评价步骤</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6</w:t>
      </w:r>
      <w:r>
        <w:rPr>
          <w:rFonts w:hint="eastAsia" w:ascii="宋体" w:eastAsia="宋体" w:cs="宋体"/>
          <w:color w:val="000000" w:themeColor="text1"/>
          <w14:textFill>
            <w14:solidFill>
              <w14:schemeClr w14:val="tx1"/>
            </w14:solidFill>
          </w14:textFill>
        </w:rPr>
        <w:fldChar w:fldCharType="end"/>
      </w:r>
    </w:p>
    <w:p w14:paraId="6002CDCE">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"_Toc27008" </w:instrText>
      </w:r>
      <w:r>
        <w:fldChar w:fldCharType="separate"/>
      </w:r>
      <w:r>
        <w:rPr>
          <w:rFonts w:hint="eastAsia" w:ascii="宋体" w:eastAsia="宋体" w:cs="宋体"/>
          <w:color w:val="000000" w:themeColor="text1"/>
          <w14:textFill>
            <w14:solidFill>
              <w14:schemeClr w14:val="tx1"/>
            </w14:solidFill>
          </w14:textFill>
        </w:rPr>
        <w:t>10</w:t>
      </w:r>
      <w:r>
        <w:rPr>
          <w:rFonts w:hint="eastAsia" w:cs="宋体"/>
          <w:color w:val="000000" w:themeColor="text1"/>
          <w14:textFill>
            <w14:solidFill>
              <w14:schemeClr w14:val="tx1"/>
            </w14:solidFill>
          </w14:textFill>
        </w:rPr>
        <w:t xml:space="preserve"> </w:t>
      </w:r>
      <w:r>
        <w:rPr>
          <w:rFonts w:hint="eastAsia" w:ascii="宋体" w:eastAsia="宋体" w:cs="宋体"/>
          <w:color w:val="000000" w:themeColor="text1"/>
          <w14:textFill>
            <w14:solidFill>
              <w14:schemeClr w14:val="tx1"/>
            </w14:solidFill>
          </w14:textFill>
        </w:rPr>
        <w:t>评价报告</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8</w:t>
      </w:r>
      <w:r>
        <w:rPr>
          <w:rFonts w:hint="eastAsia" w:ascii="宋体" w:eastAsia="宋体" w:cs="宋体"/>
          <w:color w:val="000000" w:themeColor="text1"/>
          <w14:textFill>
            <w14:solidFill>
              <w14:schemeClr w14:val="tx1"/>
            </w14:solidFill>
          </w14:textFill>
        </w:rPr>
        <w:fldChar w:fldCharType="end"/>
      </w:r>
    </w:p>
    <w:p w14:paraId="669E356B">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"_Toc11813" </w:instrText>
      </w:r>
      <w:r>
        <w:fldChar w:fldCharType="separate"/>
      </w:r>
      <w:r>
        <w:rPr>
          <w:rFonts w:hint="eastAsia" w:ascii="宋体" w:eastAsia="宋体" w:cs="宋体"/>
          <w:color w:val="000000" w:themeColor="text1"/>
          <w14:textFill>
            <w14:solidFill>
              <w14:schemeClr w14:val="tx1"/>
            </w14:solidFill>
          </w14:textFill>
        </w:rPr>
        <w:t xml:space="preserve">附录A </w:t>
      </w:r>
      <w:r>
        <w:rPr>
          <w:rFonts w:hint="eastAsia" w:cs="宋体"/>
          <w:color w:val="000000" w:themeColor="text1"/>
          <w14:textFill>
            <w14:solidFill>
              <w14:schemeClr w14:val="tx1"/>
            </w14:solidFill>
          </w14:textFill>
        </w:rPr>
        <w:t xml:space="preserve"> </w:t>
      </w:r>
      <w:r>
        <w:rPr>
          <w:rFonts w:hint="eastAsia" w:cs="宋体"/>
          <w:color w:val="000000" w:themeColor="text1"/>
          <w14:textFill>
            <w14:solidFill>
              <w14:schemeClr w14:val="tx1"/>
            </w14:solidFill>
          </w14:textFill>
        </w:rPr>
        <w:fldChar w:fldCharType="end"/>
      </w:r>
      <w:r>
        <w:rPr>
          <w:rFonts w:hint="eastAsia" w:cs="宋体"/>
          <w:color w:val="000000" w:themeColor="text1"/>
          <w:lang w:eastAsia="zh-CN"/>
          <w14:textFill>
            <w14:solidFill>
              <w14:schemeClr w14:val="tx1"/>
            </w14:solidFill>
          </w14:textFill>
        </w:rPr>
        <w:t>能量色散</w:t>
      </w:r>
      <w:r>
        <w:rPr>
          <w:rFonts w:hint="eastAsia" w:ascii="宋体" w:eastAsia="宋体" w:cs="宋体"/>
          <w:color w:val="000000" w:themeColor="text1"/>
          <w14:textFill>
            <w14:solidFill>
              <w14:schemeClr w14:val="tx1"/>
            </w14:solidFill>
          </w14:textFill>
        </w:rPr>
        <w:t>X-射线荧光光谱仪技术评价报告样式</w:t>
      </w:r>
      <w:r>
        <w:rPr>
          <w:rFonts w:hint="eastAsia" w:ascii="宋体" w:eastAsia="宋体" w:cs="宋体"/>
          <w:color w:val="000000" w:themeColor="text1"/>
          <w14:textFill>
            <w14:solidFill>
              <w14:schemeClr w14:val="tx1"/>
            </w14:solidFill>
          </w14:textFill>
        </w:rPr>
        <w:fldChar w:fldCharType="begin"/>
      </w:r>
      <w:r>
        <w:rPr>
          <w:rFonts w:hint="eastAsia" w:ascii="宋体" w:eastAsia="宋体" w:cs="宋体"/>
          <w:color w:val="000000" w:themeColor="text1"/>
          <w14:textFill>
            <w14:solidFill>
              <w14:schemeClr w14:val="tx1"/>
            </w14:solidFill>
          </w14:textFill>
        </w:rPr>
        <w:instrText xml:space="preserve"> HYPERLINK \l _Toc4957 </w:instrText>
      </w:r>
      <w:r>
        <w:rPr>
          <w:rFonts w:hint="eastAsia" w:ascii="宋体" w:eastAsia="宋体" w:cs="宋体"/>
          <w:color w:val="000000" w:themeColor="text1"/>
          <w14:textFill>
            <w14:solidFill>
              <w14:schemeClr w14:val="tx1"/>
            </w14:solidFill>
          </w14:textFill>
        </w:rPr>
        <w:fldChar w:fldCharType="separate"/>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9</w:t>
      </w:r>
      <w:r>
        <w:rPr>
          <w:rFonts w:hint="eastAsia" w:ascii="宋体" w:eastAsia="宋体" w:cs="宋体"/>
          <w:color w:val="000000" w:themeColor="text1"/>
          <w14:textFill>
            <w14:solidFill>
              <w14:schemeClr w14:val="tx1"/>
            </w14:solidFill>
          </w14:textFill>
        </w:rPr>
        <w:fldChar w:fldCharType="end"/>
      </w:r>
    </w:p>
    <w:p w14:paraId="5E74450D">
      <w:pPr>
        <w:pStyle w:val="7"/>
        <w:tabs>
          <w:tab w:val="right" w:leader="dot" w:pos="9354"/>
        </w:tabs>
        <w:rPr>
          <w:rFonts w:ascii="宋体" w:eastAsia="宋体" w:cs="宋体"/>
          <w:color w:val="000000" w:themeColor="text1"/>
          <w14:textFill>
            <w14:solidFill>
              <w14:schemeClr w14:val="tx1"/>
            </w14:solidFill>
          </w14:textFill>
        </w:rPr>
      </w:pPr>
      <w:r>
        <w:fldChar w:fldCharType="begin"/>
      </w:r>
      <w:r>
        <w:instrText xml:space="preserve"> HYPERLINK \l "_Toc10791" </w:instrText>
      </w:r>
      <w:r>
        <w:fldChar w:fldCharType="separate"/>
      </w:r>
      <w:r>
        <w:rPr>
          <w:rFonts w:hint="eastAsia" w:ascii="宋体" w:eastAsia="宋体" w:cs="宋体"/>
          <w:color w:val="000000" w:themeColor="text1"/>
          <w14:textFill>
            <w14:solidFill>
              <w14:schemeClr w14:val="tx1"/>
            </w14:solidFill>
          </w14:textFill>
        </w:rPr>
        <w:t>参考文献</w:t>
      </w:r>
      <w:r>
        <w:rPr>
          <w:rFonts w:hint="eastAsia" w:ascii="宋体" w:eastAsia="宋体" w:cs="宋体"/>
          <w:color w:val="000000" w:themeColor="text1"/>
          <w14:textFill>
            <w14:solidFill>
              <w14:schemeClr w14:val="tx1"/>
            </w14:solidFill>
          </w14:textFill>
        </w:rPr>
        <w:tab/>
      </w:r>
      <w:r>
        <w:rPr>
          <w:rFonts w:hint="eastAsia" w:ascii="宋体" w:eastAsia="宋体" w:cs="宋体"/>
          <w:color w:val="000000" w:themeColor="text1"/>
          <w14:textFill>
            <w14:solidFill>
              <w14:schemeClr w14:val="tx1"/>
            </w14:solidFill>
          </w14:textFill>
        </w:rPr>
        <w:t>1</w:t>
      </w:r>
      <w:r>
        <w:rPr>
          <w:rFonts w:hint="eastAsia" w:ascii="宋体" w:eastAsia="宋体" w:cs="宋体"/>
          <w:color w:val="000000" w:themeColor="text1"/>
          <w14:textFill>
            <w14:solidFill>
              <w14:schemeClr w14:val="tx1"/>
            </w14:solidFill>
          </w14:textFill>
        </w:rPr>
        <w:fldChar w:fldCharType="end"/>
      </w:r>
      <w:r>
        <w:rPr>
          <w:rFonts w:hint="eastAsia" w:ascii="宋体" w:eastAsia="宋体" w:cs="宋体"/>
          <w:color w:val="000000" w:themeColor="text1"/>
          <w14:textFill>
            <w14:solidFill>
              <w14:schemeClr w14:val="tx1"/>
            </w14:solidFill>
          </w14:textFill>
        </w:rPr>
        <w:t>0</w:t>
      </w:r>
    </w:p>
    <w:p w14:paraId="2D89F53E">
      <w:pPr>
        <w:rPr>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fldChar w:fldCharType="end"/>
      </w:r>
    </w:p>
    <w:p w14:paraId="2092061F">
      <w:pPr>
        <w:pStyle w:val="29"/>
        <w:spacing w:after="468"/>
        <w:rPr>
          <w:rFonts w:hint="default"/>
          <w:color w:val="000000" w:themeColor="text1"/>
          <w14:textFill>
            <w14:solidFill>
              <w14:schemeClr w14:val="tx1"/>
            </w14:solidFill>
          </w14:textFill>
        </w:rPr>
        <w:sectPr>
          <w:footerReference r:id="rId3" w:type="default"/>
          <w:footerReference r:id="rId4" w:type="even"/>
          <w:pgSz w:w="11906" w:h="16838"/>
          <w:pgMar w:top="2410" w:right="1134" w:bottom="1134" w:left="1134" w:header="1418" w:footer="1134" w:gutter="284"/>
          <w:pgNumType w:fmt="upperRoman" w:start="1"/>
          <w:cols w:space="425" w:num="1"/>
          <w:docGrid w:type="lines" w:linePitch="312" w:charSpace="0"/>
        </w:sectPr>
      </w:pPr>
      <w:bookmarkStart w:id="11" w:name="_Toc12183"/>
    </w:p>
    <w:p w14:paraId="1D018863">
      <w:pPr>
        <w:pStyle w:val="29"/>
        <w:spacing w:after="468"/>
        <w:rPr>
          <w:rFonts w:hint="default"/>
          <w:color w:val="000000" w:themeColor="text1"/>
          <w14:textFill>
            <w14:solidFill>
              <w14:schemeClr w14:val="tx1"/>
            </w14:solidFill>
          </w14:textFill>
        </w:rPr>
      </w:pPr>
      <w:r>
        <w:rPr>
          <w:color w:val="000000" w:themeColor="text1"/>
          <w:spacing w:val="317"/>
          <w14:textFill>
            <w14:solidFill>
              <w14:schemeClr w14:val="tx1"/>
            </w14:solidFill>
          </w14:textFill>
        </w:rPr>
        <w:t>前</w:t>
      </w:r>
      <w:bookmarkStart w:id="12" w:name="BKQY"/>
      <w:r>
        <w:rPr>
          <w:color w:val="000000" w:themeColor="text1"/>
          <w14:textFill>
            <w14:solidFill>
              <w14:schemeClr w14:val="tx1"/>
            </w14:solidFill>
          </w14:textFill>
        </w:rPr>
        <w:t>言</w:t>
      </w:r>
      <w:bookmarkEnd w:id="0"/>
      <w:bookmarkEnd w:id="1"/>
      <w:bookmarkEnd w:id="2"/>
      <w:bookmarkEnd w:id="3"/>
      <w:bookmarkEnd w:id="4"/>
      <w:bookmarkEnd w:id="5"/>
      <w:bookmarkEnd w:id="6"/>
      <w:bookmarkEnd w:id="11"/>
    </w:p>
    <w:p w14:paraId="5EDA0F7C">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本文件按照GB/T 1.1—2020《标准化工作导则  第1部分：标准化文件的结构和起草规则》的规定起草。</w:t>
      </w:r>
    </w:p>
    <w:p w14:paraId="6E90F9DC">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请注意本文件的某些内容可能涉及专利。本文件的发布机构不承担识别专利的责任。</w:t>
      </w:r>
    </w:p>
    <w:p w14:paraId="4ACE69C1">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本文件由江西省食品科学技术学会提出并归口。</w:t>
      </w:r>
    </w:p>
    <w:p w14:paraId="6BBBDC44">
      <w:pPr>
        <w:pStyle w:val="26"/>
        <w:ind w:firstLine="420"/>
        <w:rPr>
          <w:rFonts w:hint="default"/>
          <w:color w:val="000000" w:themeColor="text1"/>
          <w:highlight w:val="none"/>
          <w14:textFill>
            <w14:solidFill>
              <w14:schemeClr w14:val="tx1"/>
            </w14:solidFill>
          </w14:textFill>
        </w:rPr>
      </w:pPr>
      <w:r>
        <w:rPr>
          <w:color w:val="000000" w:themeColor="text1"/>
          <w14:textFill>
            <w14:solidFill>
              <w14:schemeClr w14:val="tx1"/>
            </w14:solidFill>
          </w14:textFill>
        </w:rPr>
        <w:t>本文件起草单位：江西省检验检测认证总院食品检验检测研究院、中国质量检验检测科学研究院、江西省检验检测认证总院检测认证技术发展研究院、</w:t>
      </w:r>
      <w:r>
        <w:rPr>
          <w:color w:val="000000" w:themeColor="text1"/>
          <w:highlight w:val="none"/>
          <w14:textFill>
            <w14:solidFill>
              <w14:schemeClr w14:val="tx1"/>
            </w14:solidFill>
          </w14:textFill>
        </w:rPr>
        <w:t>清华大学</w:t>
      </w:r>
      <w:r>
        <w:rPr>
          <w:rFonts w:hint="eastAsia"/>
          <w:color w:val="000000" w:themeColor="text1"/>
          <w:highlight w:val="none"/>
          <w:lang w:eastAsia="zh-CN"/>
          <w14:textFill>
            <w14:solidFill>
              <w14:schemeClr w14:val="tx1"/>
            </w14:solidFill>
          </w14:textFill>
        </w:rPr>
        <w:t>、江西外语外贸职业学院</w:t>
      </w:r>
      <w:r>
        <w:rPr>
          <w:color w:val="000000" w:themeColor="text1"/>
          <w:highlight w:val="none"/>
          <w14:textFill>
            <w14:solidFill>
              <w14:schemeClr w14:val="tx1"/>
            </w14:solidFill>
          </w14:textFill>
        </w:rPr>
        <w:t>。</w:t>
      </w:r>
    </w:p>
    <w:p w14:paraId="20FDFDAA">
      <w:pPr>
        <w:pStyle w:val="26"/>
        <w:ind w:firstLine="420"/>
        <w:rPr>
          <w:rFonts w:hint="default"/>
          <w:color w:val="auto"/>
        </w:rPr>
      </w:pPr>
      <w:r>
        <w:rPr>
          <w:color w:val="auto"/>
          <w:highlight w:val="none"/>
        </w:rPr>
        <w:t>本文件主要起草人：吴鑫、张晨、张凡、罗艳玲、张威、唐丽君、张莉莉、黎申英、戴瑞平、卢珊、</w:t>
      </w:r>
      <w:r>
        <w:rPr>
          <w:rFonts w:hint="eastAsia"/>
          <w:color w:val="auto"/>
          <w:highlight w:val="none"/>
        </w:rPr>
        <w:t>林昱衡</w:t>
      </w:r>
      <w:r>
        <w:rPr>
          <w:rFonts w:hint="eastAsia"/>
          <w:color w:val="auto"/>
          <w:highlight w:val="none"/>
          <w:lang w:eastAsia="zh-CN"/>
        </w:rPr>
        <w:t>、</w:t>
      </w:r>
      <w:r>
        <w:rPr>
          <w:color w:val="auto"/>
          <w:highlight w:val="none"/>
        </w:rPr>
        <w:t>洪峰、彭涛、王梓乐、</w:t>
      </w:r>
      <w:r>
        <w:rPr>
          <w:rFonts w:hint="eastAsia"/>
          <w:color w:val="auto"/>
          <w:highlight w:val="none"/>
        </w:rPr>
        <w:t>邢志、黄秀、范博文</w:t>
      </w:r>
      <w:r>
        <w:rPr>
          <w:color w:val="auto"/>
          <w:highlight w:val="none"/>
        </w:rPr>
        <w:t>、郭萍、郭丹、刘</w:t>
      </w:r>
      <w:r>
        <w:rPr>
          <w:color w:val="auto"/>
        </w:rPr>
        <w:t>涛、李彪、刘琳、王琳、应菲珏、程昱。</w:t>
      </w:r>
    </w:p>
    <w:p w14:paraId="4AF91808">
      <w:pPr>
        <w:pStyle w:val="26"/>
        <w:ind w:firstLine="420"/>
        <w:rPr>
          <w:rFonts w:hint="default"/>
          <w:color w:val="000000" w:themeColor="text1"/>
          <w14:textFill>
            <w14:solidFill>
              <w14:schemeClr w14:val="tx1"/>
            </w14:solidFill>
          </w14:textFill>
        </w:rPr>
      </w:pPr>
    </w:p>
    <w:bookmarkEnd w:id="12"/>
    <w:p w14:paraId="511BCA5D">
      <w:pPr>
        <w:rPr>
          <w:color w:val="000000" w:themeColor="text1"/>
          <w14:textFill>
            <w14:solidFill>
              <w14:schemeClr w14:val="tx1"/>
            </w14:solidFill>
          </w14:textFill>
        </w:rPr>
      </w:pPr>
    </w:p>
    <w:p w14:paraId="322F3B5C">
      <w:pPr>
        <w:rPr>
          <w:color w:val="000000" w:themeColor="text1"/>
          <w14:textFill>
            <w14:solidFill>
              <w14:schemeClr w14:val="tx1"/>
            </w14:solidFill>
          </w14:textFill>
        </w:rPr>
      </w:pPr>
    </w:p>
    <w:p w14:paraId="59050FA3">
      <w:pPr>
        <w:rPr>
          <w:color w:val="000000" w:themeColor="text1"/>
          <w14:textFill>
            <w14:solidFill>
              <w14:schemeClr w14:val="tx1"/>
            </w14:solidFill>
          </w14:textFill>
        </w:rPr>
        <w:sectPr>
          <w:headerReference r:id="rId5" w:type="default"/>
          <w:footerReference r:id="rId7" w:type="default"/>
          <w:headerReference r:id="rId6" w:type="even"/>
          <w:footerReference r:id="rId8" w:type="even"/>
          <w:pgSz w:w="11906" w:h="16838"/>
          <w:pgMar w:top="2410" w:right="1134" w:bottom="1134" w:left="1134" w:header="1418" w:footer="1134" w:gutter="284"/>
          <w:pgNumType w:fmt="upperRoman"/>
          <w:cols w:space="425" w:num="1"/>
          <w:docGrid w:type="lines" w:linePitch="312" w:charSpace="0"/>
        </w:sectPr>
      </w:pPr>
    </w:p>
    <w:sdt>
      <w:sdtPr>
        <w:rPr>
          <w:rStyle w:val="31"/>
          <w:rFonts w:hint="eastAsia"/>
          <w:color w:val="000000" w:themeColor="text1"/>
          <w14:textFill>
            <w14:solidFill>
              <w14:schemeClr w14:val="tx1"/>
            </w14:solidFill>
          </w14:textFill>
        </w:rPr>
        <w:tag w:val="StandardName"/>
        <w:id w:val="147468529"/>
        <w:lock w:val="sdtLocked"/>
        <w:placeholder>
          <w:docPart w:val="{ffaea25c-db20-4dc5-85dd-ab924e3468af}"/>
        </w:placeholder>
      </w:sdtPr>
      <w:sdtEndPr>
        <w:rPr>
          <w:rStyle w:val="31"/>
          <w:rFonts w:hint="eastAsia"/>
          <w:color w:val="000000" w:themeColor="text1"/>
          <w14:textFill>
            <w14:solidFill>
              <w14:schemeClr w14:val="tx1"/>
            </w14:solidFill>
          </w14:textFill>
        </w:rPr>
      </w:sdtEndPr>
      <w:sdtContent>
        <w:p w14:paraId="3235CA8A">
          <w:pPr>
            <w:pStyle w:val="30"/>
            <w:rPr>
              <w:rStyle w:val="31"/>
              <w:color w:val="000000" w:themeColor="text1"/>
              <w14:textFill>
                <w14:solidFill>
                  <w14:schemeClr w14:val="tx1"/>
                </w14:solidFill>
              </w14:textFill>
            </w:rPr>
          </w:pPr>
          <w:r>
            <w:rPr>
              <w:rFonts w:hint="eastAsia"/>
              <w:color w:val="000000" w:themeColor="text1"/>
              <w14:textFill>
                <w14:solidFill>
                  <w14:schemeClr w14:val="tx1"/>
                </w14:solidFill>
              </w14:textFill>
            </w:rPr>
            <w:t>粮食重金属镉能量色散X-射线荧光光谱仪技术评价指南</w:t>
          </w:r>
        </w:p>
      </w:sdtContent>
    </w:sdt>
    <w:p w14:paraId="54A7E04E">
      <w:pPr>
        <w:pStyle w:val="32"/>
        <w:spacing w:before="312" w:after="312"/>
        <w:rPr>
          <w:rStyle w:val="31"/>
          <w:rFonts w:hint="default"/>
          <w:color w:val="000000" w:themeColor="text1"/>
          <w14:textFill>
            <w14:solidFill>
              <w14:schemeClr w14:val="tx1"/>
            </w14:solidFill>
          </w14:textFill>
        </w:rPr>
      </w:pPr>
      <w:bookmarkStart w:id="13" w:name="_Toc19139"/>
      <w:bookmarkStart w:id="14" w:name="_Toc26666"/>
      <w:bookmarkStart w:id="15" w:name="_Toc30698"/>
      <w:bookmarkStart w:id="16" w:name="_Toc28918"/>
      <w:bookmarkStart w:id="17" w:name="_Toc20071"/>
      <w:bookmarkStart w:id="18" w:name="_Toc1953"/>
      <w:bookmarkStart w:id="19" w:name="_Toc1334"/>
      <w:bookmarkStart w:id="20" w:name="_Toc13618"/>
      <w:r>
        <w:rPr>
          <w:color w:val="000000" w:themeColor="text1"/>
          <w14:textFill>
            <w14:solidFill>
              <w14:schemeClr w14:val="tx1"/>
            </w14:solidFill>
          </w14:textFill>
        </w:rPr>
        <w:t>范围</w:t>
      </w:r>
      <w:bookmarkEnd w:id="13"/>
      <w:bookmarkEnd w:id="14"/>
      <w:bookmarkEnd w:id="15"/>
      <w:bookmarkEnd w:id="16"/>
      <w:bookmarkEnd w:id="17"/>
      <w:bookmarkEnd w:id="18"/>
      <w:bookmarkEnd w:id="19"/>
      <w:bookmarkEnd w:id="20"/>
    </w:p>
    <w:p w14:paraId="4754F7D0">
      <w:pPr>
        <w:pStyle w:val="26"/>
        <w:ind w:firstLine="420"/>
        <w:rPr>
          <w:rFonts w:hint="default"/>
          <w:color w:val="000000" w:themeColor="text1"/>
          <w:highlight w:val="yellow"/>
          <w14:textFill>
            <w14:solidFill>
              <w14:schemeClr w14:val="tx1"/>
            </w14:solidFill>
          </w14:textFill>
        </w:rPr>
      </w:pPr>
      <w:r>
        <w:rPr>
          <w:rFonts w:cs="Times New Roman"/>
        </w:rPr>
        <w:t>本文件规定了能量色散X-射线荧光光谱仪技术的产品评价要求、安全要求、工作要求、样品要求、评价指标、评价步骤、评价结果及报告。</w:t>
      </w:r>
    </w:p>
    <w:p w14:paraId="21B3BA7C">
      <w:pPr>
        <w:pStyle w:val="26"/>
        <w:ind w:firstLine="420"/>
        <w:rPr>
          <w:rFonts w:hint="default"/>
          <w:color w:val="000000" w:themeColor="text1"/>
          <w14:textFill>
            <w14:solidFill>
              <w14:schemeClr w14:val="tx1"/>
            </w14:solidFill>
          </w14:textFill>
        </w:rPr>
      </w:pPr>
      <w:r>
        <w:rPr>
          <w:rFonts w:cs="Times New Roman"/>
        </w:rPr>
        <w:t>本文件适用于检测粮食中重金属镉快速检测的能量色散X-射线荧光光谱仪</w:t>
      </w:r>
      <w:r>
        <w:rPr>
          <w:rFonts w:hAnsi="宋体"/>
          <w:color w:val="000000"/>
          <w:szCs w:val="21"/>
        </w:rPr>
        <w:t>的第三方评价，也可在产品研发、采购过程中参考使用</w:t>
      </w:r>
      <w:r>
        <w:rPr>
          <w:color w:val="000000" w:themeColor="text1"/>
          <w14:textFill>
            <w14:solidFill>
              <w14:schemeClr w14:val="tx1"/>
            </w14:solidFill>
          </w14:textFill>
        </w:rPr>
        <w:t>。</w:t>
      </w:r>
    </w:p>
    <w:p w14:paraId="0705EB4F">
      <w:pPr>
        <w:pStyle w:val="32"/>
        <w:spacing w:before="312" w:after="312"/>
        <w:rPr>
          <w:rFonts w:hint="default"/>
          <w:color w:val="000000" w:themeColor="text1"/>
          <w14:textFill>
            <w14:solidFill>
              <w14:schemeClr w14:val="tx1"/>
            </w14:solidFill>
          </w14:textFill>
        </w:rPr>
      </w:pPr>
      <w:bookmarkStart w:id="21" w:name="_Toc24258"/>
      <w:bookmarkStart w:id="22" w:name="_Toc17915"/>
      <w:bookmarkStart w:id="23" w:name="_Toc4479"/>
      <w:bookmarkStart w:id="24" w:name="_Toc15488"/>
      <w:bookmarkStart w:id="25" w:name="_Toc5214"/>
      <w:bookmarkStart w:id="26" w:name="_Toc26828"/>
      <w:bookmarkStart w:id="27" w:name="_Toc11090"/>
      <w:bookmarkStart w:id="28" w:name="_Toc15841"/>
      <w:r>
        <w:rPr>
          <w:color w:val="000000" w:themeColor="text1"/>
          <w14:textFill>
            <w14:solidFill>
              <w14:schemeClr w14:val="tx1"/>
            </w14:solidFill>
          </w14:textFill>
        </w:rPr>
        <w:t>规范性引用文件</w:t>
      </w:r>
      <w:bookmarkEnd w:id="21"/>
      <w:bookmarkEnd w:id="22"/>
      <w:bookmarkEnd w:id="23"/>
      <w:bookmarkEnd w:id="24"/>
      <w:bookmarkEnd w:id="25"/>
      <w:bookmarkEnd w:id="26"/>
      <w:bookmarkEnd w:id="27"/>
      <w:bookmarkEnd w:id="28"/>
    </w:p>
    <w:p w14:paraId="0920FB63">
      <w:pPr>
        <w:pStyle w:val="39"/>
        <w:autoSpaceDE/>
        <w:autoSpaceDN/>
        <w:adjustRightInd w:val="0"/>
        <w:spacing w:line="240" w:lineRule="auto"/>
        <w:ind w:left="0"/>
        <w:rPr>
          <w:rFonts w:ascii="Times New Roman"/>
          <w:szCs w:val="21"/>
        </w:rPr>
      </w:pPr>
      <w:r>
        <w:t>下列文件中的内容通过文中的规范性引用而构成本文件必不可少的条款。其中，注日期的引用文件，仅该日期对应的版本适用于本文件；不注日期的引用文件，其最新版本（包括所有的修改单）适用于本文件。</w:t>
      </w:r>
    </w:p>
    <w:p w14:paraId="5158B598">
      <w:pPr>
        <w:pStyle w:val="39"/>
        <w:autoSpaceDE/>
        <w:autoSpaceDN/>
        <w:adjustRightInd w:val="0"/>
        <w:spacing w:line="240" w:lineRule="auto"/>
        <w:ind w:left="0"/>
        <w:rPr>
          <w:rFonts w:hAnsi="宋体" w:cs="宋体"/>
          <w:szCs w:val="21"/>
        </w:rPr>
      </w:pPr>
      <w:r>
        <w:rPr>
          <w:rFonts w:hint="eastAsia" w:hAnsi="宋体" w:cs="宋体"/>
          <w:szCs w:val="21"/>
        </w:rPr>
        <w:t>GBZ 115  低能射线装置放射防护标准</w:t>
      </w:r>
    </w:p>
    <w:p w14:paraId="533B5DA3">
      <w:pPr>
        <w:pStyle w:val="39"/>
        <w:autoSpaceDE/>
        <w:autoSpaceDN/>
        <w:adjustRightInd w:val="0"/>
        <w:spacing w:line="240" w:lineRule="auto"/>
        <w:ind w:left="0"/>
        <w:rPr>
          <w:rFonts w:hAnsi="宋体" w:cs="宋体"/>
          <w:szCs w:val="21"/>
        </w:rPr>
      </w:pPr>
      <w:r>
        <w:rPr>
          <w:rFonts w:hint="eastAsia" w:hAnsi="宋体" w:cs="宋体"/>
          <w:szCs w:val="21"/>
        </w:rPr>
        <w:t>GB 2762  食品安全国家标准 食品中污染物限量</w:t>
      </w:r>
    </w:p>
    <w:p w14:paraId="278412C1">
      <w:pPr>
        <w:pStyle w:val="39"/>
        <w:autoSpaceDE/>
        <w:autoSpaceDN/>
        <w:adjustRightInd w:val="0"/>
        <w:spacing w:line="240" w:lineRule="auto"/>
        <w:ind w:left="0"/>
        <w:rPr>
          <w:rFonts w:hAnsi="宋体" w:cs="宋体"/>
          <w:szCs w:val="21"/>
        </w:rPr>
      </w:pPr>
      <w:r>
        <w:rPr>
          <w:rFonts w:hint="eastAsia" w:hAnsi="宋体" w:cs="宋体"/>
          <w:szCs w:val="21"/>
        </w:rPr>
        <w:t>GB 5009.15  食品安全国家标准食品中镉的测定</w:t>
      </w:r>
    </w:p>
    <w:p w14:paraId="10D0361B">
      <w:pPr>
        <w:pStyle w:val="39"/>
        <w:autoSpaceDE/>
        <w:autoSpaceDN/>
        <w:adjustRightInd w:val="0"/>
        <w:spacing w:line="240" w:lineRule="auto"/>
        <w:ind w:left="0"/>
        <w:rPr>
          <w:rFonts w:hAnsi="宋体" w:cs="宋体"/>
          <w:szCs w:val="21"/>
        </w:rPr>
      </w:pPr>
      <w:r>
        <w:rPr>
          <w:rFonts w:hint="eastAsia" w:hAnsi="宋体" w:cs="宋体"/>
          <w:szCs w:val="21"/>
        </w:rPr>
        <w:t>GB 18871  电离辐射防护与辐射源安全基本标准</w:t>
      </w:r>
    </w:p>
    <w:p w14:paraId="1EB861EF">
      <w:pPr>
        <w:pStyle w:val="39"/>
        <w:autoSpaceDE/>
        <w:autoSpaceDN/>
        <w:adjustRightInd w:val="0"/>
        <w:spacing w:line="240" w:lineRule="auto"/>
        <w:ind w:left="0"/>
        <w:rPr>
          <w:rFonts w:hAnsi="宋体" w:cs="宋体"/>
          <w:szCs w:val="21"/>
        </w:rPr>
      </w:pPr>
      <w:r>
        <w:rPr>
          <w:rFonts w:hint="eastAsia" w:hAnsi="宋体" w:cs="宋体"/>
          <w:szCs w:val="21"/>
        </w:rPr>
        <w:t>GB/T 6379.1  测量方法与结果的准确度（正确度与精密度）第1部分：总则与定义</w:t>
      </w:r>
    </w:p>
    <w:p w14:paraId="2291C32D">
      <w:pPr>
        <w:pStyle w:val="39"/>
        <w:autoSpaceDE/>
        <w:autoSpaceDN/>
        <w:adjustRightInd w:val="0"/>
        <w:spacing w:line="240" w:lineRule="auto"/>
        <w:ind w:left="0"/>
        <w:rPr>
          <w:rFonts w:hAnsi="宋体" w:cs="宋体"/>
          <w:szCs w:val="21"/>
        </w:rPr>
      </w:pPr>
      <w:r>
        <w:rPr>
          <w:rFonts w:hint="eastAsia" w:hAnsi="宋体" w:cs="宋体"/>
          <w:szCs w:val="21"/>
        </w:rPr>
        <w:t>GB/T 6379.2  测量方法与结果的准确度（正确度与精密度）第2部分：确定标准测量方法重复性与再现性的基本方法</w:t>
      </w:r>
    </w:p>
    <w:p w14:paraId="4CF95569">
      <w:pPr>
        <w:pStyle w:val="39"/>
        <w:autoSpaceDE/>
        <w:autoSpaceDN/>
        <w:adjustRightInd w:val="0"/>
        <w:spacing w:line="240" w:lineRule="auto"/>
        <w:ind w:left="0"/>
        <w:rPr>
          <w:rFonts w:hAnsi="宋体" w:cs="宋体"/>
          <w:szCs w:val="21"/>
        </w:rPr>
      </w:pPr>
      <w:r>
        <w:rPr>
          <w:rFonts w:hint="eastAsia" w:hAnsi="宋体" w:cs="宋体"/>
          <w:szCs w:val="21"/>
        </w:rPr>
        <w:t>GB/T 27025  检测和校准实验室能力的通用要求</w:t>
      </w:r>
    </w:p>
    <w:p w14:paraId="144E829A">
      <w:pPr>
        <w:pStyle w:val="39"/>
        <w:autoSpaceDE/>
        <w:autoSpaceDN/>
        <w:adjustRightInd w:val="0"/>
        <w:spacing w:line="240" w:lineRule="auto"/>
        <w:ind w:left="0"/>
        <w:rPr>
          <w:rFonts w:hAnsi="宋体" w:cs="宋体"/>
          <w:szCs w:val="21"/>
        </w:rPr>
      </w:pPr>
      <w:r>
        <w:rPr>
          <w:rFonts w:hint="eastAsia" w:hAnsi="宋体" w:cs="宋体"/>
          <w:szCs w:val="21"/>
        </w:rPr>
        <w:t>GB/T 27404  实验室质量控制规范  食品理化检测</w:t>
      </w:r>
    </w:p>
    <w:p w14:paraId="22F4FF2D">
      <w:pPr>
        <w:pStyle w:val="39"/>
        <w:autoSpaceDE/>
        <w:autoSpaceDN/>
        <w:adjustRightInd w:val="0"/>
        <w:spacing w:line="240" w:lineRule="auto"/>
        <w:ind w:left="0"/>
        <w:rPr>
          <w:rFonts w:hAnsi="宋体" w:cs="宋体"/>
          <w:szCs w:val="21"/>
        </w:rPr>
      </w:pPr>
      <w:r>
        <w:rPr>
          <w:rFonts w:hint="eastAsia" w:hAnsi="宋体" w:cs="宋体"/>
          <w:szCs w:val="21"/>
        </w:rPr>
        <w:t>GB/T 31364  能量色散X射线荧光光谱仪主要性能测试方法</w:t>
      </w:r>
    </w:p>
    <w:p w14:paraId="2BEE21CA">
      <w:pPr>
        <w:pStyle w:val="39"/>
        <w:autoSpaceDE/>
        <w:autoSpaceDN/>
        <w:adjustRightInd w:val="0"/>
        <w:spacing w:line="240" w:lineRule="auto"/>
        <w:ind w:left="0"/>
        <w:rPr>
          <w:rFonts w:hAnsi="宋体" w:cs="宋体"/>
          <w:szCs w:val="21"/>
          <w:highlight w:val="none"/>
        </w:rPr>
      </w:pPr>
      <w:r>
        <w:rPr>
          <w:rFonts w:hint="eastAsia" w:hAnsi="宋体" w:cs="宋体"/>
          <w:szCs w:val="21"/>
          <w:highlight w:val="none"/>
        </w:rPr>
        <w:t>GB/T 34065-2017  分析仪器的安全要求</w:t>
      </w:r>
    </w:p>
    <w:p w14:paraId="47253CA0">
      <w:pPr>
        <w:pStyle w:val="39"/>
        <w:autoSpaceDE/>
        <w:autoSpaceDN/>
        <w:adjustRightInd w:val="0"/>
        <w:spacing w:line="240" w:lineRule="auto"/>
        <w:ind w:left="0"/>
        <w:rPr>
          <w:rFonts w:hAnsi="宋体" w:cs="宋体"/>
          <w:szCs w:val="21"/>
        </w:rPr>
      </w:pPr>
      <w:r>
        <w:rPr>
          <w:rFonts w:hint="eastAsia" w:hAnsi="宋体" w:cs="宋体"/>
          <w:szCs w:val="21"/>
        </w:rPr>
        <w:t>JJF 2024  能量色散X射线荧光光谱仪校准规范</w:t>
      </w:r>
    </w:p>
    <w:p w14:paraId="7A93AECC">
      <w:pPr>
        <w:pStyle w:val="39"/>
        <w:autoSpaceDE/>
        <w:autoSpaceDN/>
        <w:adjustRightInd w:val="0"/>
        <w:spacing w:line="240" w:lineRule="auto"/>
        <w:ind w:left="0"/>
        <w:rPr>
          <w:rFonts w:hAnsi="宋体" w:cs="宋体"/>
          <w:szCs w:val="21"/>
        </w:rPr>
      </w:pPr>
      <w:r>
        <w:rPr>
          <w:rFonts w:hint="eastAsia" w:hAnsi="宋体" w:cs="宋体"/>
          <w:szCs w:val="21"/>
        </w:rPr>
        <w:t xml:space="preserve">中国药典 2025年版 </w:t>
      </w:r>
      <w:r>
        <w:rPr>
          <w:rFonts w:hint="eastAsia" w:hAnsi="宋体" w:cs="宋体"/>
          <w:szCs w:val="21"/>
          <w:lang w:val="en-US" w:eastAsia="zh-CN"/>
        </w:rPr>
        <w:t>四部 指导原则</w:t>
      </w:r>
      <w:r>
        <w:rPr>
          <w:rFonts w:hint="eastAsia" w:hAnsi="宋体" w:cs="宋体"/>
          <w:szCs w:val="21"/>
        </w:rPr>
        <w:t>9101  分析方法验证指导原则</w:t>
      </w:r>
    </w:p>
    <w:p w14:paraId="0EA5BECD">
      <w:pPr>
        <w:pStyle w:val="32"/>
        <w:spacing w:before="312" w:after="312"/>
        <w:rPr>
          <w:rFonts w:hint="default"/>
          <w:color w:val="000000" w:themeColor="text1"/>
          <w14:textFill>
            <w14:solidFill>
              <w14:schemeClr w14:val="tx1"/>
            </w14:solidFill>
          </w14:textFill>
        </w:rPr>
      </w:pPr>
      <w:bookmarkStart w:id="29" w:name="_Toc31840"/>
      <w:bookmarkStart w:id="30" w:name="_Toc17510"/>
      <w:bookmarkStart w:id="31" w:name="_Toc10477"/>
      <w:bookmarkStart w:id="32" w:name="_Toc12685"/>
      <w:bookmarkStart w:id="33" w:name="_Toc31798"/>
      <w:bookmarkStart w:id="34" w:name="_Toc13028"/>
      <w:bookmarkStart w:id="35" w:name="_Toc1129"/>
      <w:bookmarkStart w:id="36" w:name="_Toc18841"/>
      <w:r>
        <w:rPr>
          <w:color w:val="000000" w:themeColor="text1"/>
          <w14:textFill>
            <w14:solidFill>
              <w14:schemeClr w14:val="tx1"/>
            </w14:solidFill>
          </w14:textFill>
        </w:rPr>
        <w:t>术语和定义</w:t>
      </w:r>
      <w:bookmarkEnd w:id="29"/>
      <w:bookmarkEnd w:id="30"/>
      <w:bookmarkEnd w:id="31"/>
      <w:bookmarkEnd w:id="32"/>
      <w:bookmarkEnd w:id="33"/>
      <w:bookmarkEnd w:id="34"/>
      <w:bookmarkEnd w:id="35"/>
      <w:bookmarkEnd w:id="36"/>
    </w:p>
    <w:sdt>
      <w:sdtPr>
        <w:rPr>
          <w:color w:val="000000" w:themeColor="text1"/>
          <w14:textFill>
            <w14:solidFill>
              <w14:schemeClr w14:val="tx1"/>
            </w14:solidFill>
          </w14:textFill>
        </w:rPr>
        <w:tag w:val="TermContent"/>
        <w:id w:val="147477495"/>
        <w:placeholder>
          <w:docPart w:val="{c8ba3f3f-d992-42ae-9ccb-5b8e67535c1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color w:val="000000" w:themeColor="text1"/>
          <w14:textFill>
            <w14:solidFill>
              <w14:schemeClr w14:val="tx1"/>
            </w14:solidFill>
          </w14:textFill>
        </w:rPr>
      </w:sdtEndPr>
      <w:sdtContent>
        <w:p w14:paraId="0795672A">
          <w:pPr>
            <w:pStyle w:val="26"/>
            <w:spacing w:line="360" w:lineRule="auto"/>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下列术语和定义适用于本文件。</w:t>
          </w:r>
        </w:p>
      </w:sdtContent>
    </w:sdt>
    <w:p w14:paraId="09A35B93">
      <w:pPr>
        <w:pStyle w:val="33"/>
        <w:spacing w:beforeLines="0" w:afterLines="0"/>
        <w:ind w:left="420" w:hanging="420"/>
        <w:rPr>
          <w:rFonts w:cs="Times New Roman"/>
        </w:rPr>
      </w:pPr>
      <w:bookmarkStart w:id="37" w:name="_Toc13522"/>
      <w:bookmarkStart w:id="38" w:name="_Toc214004657"/>
      <w:bookmarkStart w:id="39" w:name="_Toc15234"/>
      <w:bookmarkStart w:id="40" w:name="_Toc6055"/>
      <w:bookmarkStart w:id="41" w:name="_Toc245"/>
      <w:bookmarkStart w:id="42" w:name="_Toc31268"/>
      <w:bookmarkStart w:id="43" w:name="_Toc5391"/>
      <w:bookmarkStart w:id="44" w:name="_Toc4694"/>
      <w:r>
        <w:rPr>
          <w:rFonts w:hint="eastAsia" w:cs="Times New Roman"/>
        </w:rPr>
        <w:t xml:space="preserve">3.1 </w:t>
      </w:r>
    </w:p>
    <w:p w14:paraId="5AFCDB69">
      <w:pPr>
        <w:pStyle w:val="33"/>
        <w:spacing w:before="3" w:afterLines="0" w:line="360" w:lineRule="auto"/>
        <w:ind w:left="420" w:leftChars="200" w:firstLine="0" w:firstLineChars="0"/>
        <w:rPr>
          <w:color w:val="000000" w:themeColor="text1"/>
          <w14:textFill>
            <w14:solidFill>
              <w14:schemeClr w14:val="tx1"/>
            </w14:solidFill>
          </w14:textFill>
        </w:rPr>
      </w:pPr>
      <w:r>
        <w:rPr>
          <w:rFonts w:hint="eastAsia" w:cs="Times New Roman"/>
        </w:rPr>
        <w:t>X-射线荧光光谱仪</w:t>
      </w:r>
      <w:bookmarkEnd w:id="37"/>
      <w:bookmarkEnd w:id="38"/>
      <w:bookmarkEnd w:id="39"/>
      <w:r>
        <w:rPr>
          <w:rFonts w:hint="eastAsia" w:cs="Times New Roman"/>
        </w:rPr>
        <w:t>x-ray fluorescence spectrometer（XRF）</w:t>
      </w:r>
    </w:p>
    <w:bookmarkEnd w:id="40"/>
    <w:bookmarkEnd w:id="41"/>
    <w:bookmarkEnd w:id="42"/>
    <w:bookmarkEnd w:id="43"/>
    <w:bookmarkEnd w:id="44"/>
    <w:p w14:paraId="317A3026">
      <w:pPr>
        <w:pStyle w:val="26"/>
        <w:ind w:firstLine="420"/>
        <w:rPr>
          <w:rFonts w:hint="default"/>
          <w:color w:val="000000" w:themeColor="text1"/>
          <w14:textFill>
            <w14:solidFill>
              <w14:schemeClr w14:val="tx1"/>
            </w14:solidFill>
          </w14:textFill>
        </w:rPr>
      </w:pPr>
      <w:r>
        <w:t>以较高能量的射线束或粒子流激发试样中元素的特征X射线,将各元素特征谱线分辨并对其强度进行测量，实现定性、定量分析的仪器。</w:t>
      </w:r>
    </w:p>
    <w:p w14:paraId="3795F5F3">
      <w:pPr>
        <w:pStyle w:val="33"/>
        <w:numPr>
          <w:ilvl w:val="1"/>
          <w:numId w:val="0"/>
        </w:numPr>
        <w:spacing w:beforeLines="0" w:afterLines="0"/>
        <w:rPr>
          <w:rFonts w:hAnsi="Times New Roman" w:cs="Times New Roman"/>
        </w:rPr>
      </w:pPr>
      <w:r>
        <w:rPr>
          <w:rFonts w:hint="eastAsia" w:hAnsi="Times New Roman" w:cs="Times New Roman"/>
        </w:rPr>
        <w:t>3.2</w:t>
      </w:r>
    </w:p>
    <w:p w14:paraId="0F094472">
      <w:pPr>
        <w:pStyle w:val="33"/>
        <w:numPr>
          <w:ilvl w:val="1"/>
          <w:numId w:val="0"/>
        </w:numPr>
        <w:spacing w:before="3" w:afterLines="0" w:line="360" w:lineRule="auto"/>
        <w:ind w:firstLine="420" w:firstLineChars="200"/>
        <w:rPr>
          <w:color w:val="000000" w:themeColor="text1"/>
          <w14:textFill>
            <w14:solidFill>
              <w14:schemeClr w14:val="tx1"/>
            </w14:solidFill>
          </w14:textFill>
        </w:rPr>
      </w:pPr>
      <w:r>
        <w:rPr>
          <w:rFonts w:hint="eastAsia" w:hAnsi="Times New Roman" w:cs="Times New Roman"/>
        </w:rPr>
        <w:t>能量色散X射线荧光光谱仪</w:t>
      </w:r>
      <w:r>
        <w:rPr>
          <w:rFonts w:hint="eastAsia"/>
          <w:color w:val="000000" w:themeColor="text1"/>
          <w14:textFill>
            <w14:solidFill>
              <w14:schemeClr w14:val="tx1"/>
            </w14:solidFill>
          </w14:textFill>
        </w:rPr>
        <w:t xml:space="preserve"> energy dispersive x-ray fluorescence spectrometer（EDXRF）</w:t>
      </w:r>
    </w:p>
    <w:p w14:paraId="719382BB">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用能量探测器直接分辨试样中元素的特征谱线的X射线荧光光谱仪。</w:t>
      </w:r>
    </w:p>
    <w:p w14:paraId="430B3E6A">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原理：样品经高能X射线激发，得到样品中镉（Cd）元素的特征X射线荧光，在一定浓度范围内，该X射线荧光信号强度与镉（Cd）含量成正比，采用标准曲线法定量。</w:t>
      </w:r>
    </w:p>
    <w:p w14:paraId="2166335D">
      <w:pPr>
        <w:pStyle w:val="33"/>
        <w:numPr>
          <w:ilvl w:val="1"/>
          <w:numId w:val="0"/>
        </w:numPr>
        <w:spacing w:before="3" w:afterLines="0"/>
        <w:rPr>
          <w:rFonts w:hAnsi="Times New Roman" w:cs="Times New Roman"/>
        </w:rPr>
      </w:pPr>
      <w:r>
        <w:rPr>
          <w:rFonts w:hint="eastAsia" w:hAnsi="Times New Roman" w:cs="Times New Roman"/>
        </w:rPr>
        <w:t xml:space="preserve">3.3 </w:t>
      </w:r>
    </w:p>
    <w:p w14:paraId="68CD3BDE">
      <w:pPr>
        <w:pStyle w:val="33"/>
        <w:numPr>
          <w:ilvl w:val="1"/>
          <w:numId w:val="0"/>
        </w:numPr>
        <w:spacing w:before="3" w:afterLines="0"/>
        <w:ind w:firstLine="420" w:firstLineChars="200"/>
        <w:rPr>
          <w:color w:val="000000" w:themeColor="text1"/>
          <w14:textFill>
            <w14:solidFill>
              <w14:schemeClr w14:val="tx1"/>
            </w14:solidFill>
          </w14:textFill>
        </w:rPr>
      </w:pPr>
      <w:r>
        <w:rPr>
          <w:rFonts w:hint="eastAsia" w:hAnsi="Times New Roman" w:cs="Times New Roman"/>
        </w:rPr>
        <w:t>粮食</w:t>
      </w:r>
      <w:r>
        <w:rPr>
          <w:rFonts w:hint="eastAsia"/>
          <w:color w:val="000000" w:themeColor="text1"/>
          <w14:textFill>
            <w14:solidFill>
              <w14:schemeClr w14:val="tx1"/>
            </w14:solidFill>
          </w14:textFill>
        </w:rPr>
        <w:t xml:space="preserve"> grain</w:t>
      </w:r>
    </w:p>
    <w:p w14:paraId="247E9F9F">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粮食作物的种子、果实以及块根、块茎及其加工产品的统称。</w:t>
      </w:r>
    </w:p>
    <w:p w14:paraId="28BE66C9">
      <w:pPr>
        <w:pStyle w:val="33"/>
        <w:numPr>
          <w:ilvl w:val="1"/>
          <w:numId w:val="0"/>
        </w:numPr>
        <w:spacing w:before="3" w:afterLines="0"/>
        <w:rPr>
          <w:rFonts w:hAnsi="Times New Roman" w:cs="Times New Roman"/>
        </w:rPr>
      </w:pPr>
      <w:r>
        <w:rPr>
          <w:rFonts w:hint="eastAsia" w:hAnsi="Times New Roman" w:cs="Times New Roman"/>
        </w:rPr>
        <w:t xml:space="preserve">3.4 </w:t>
      </w:r>
    </w:p>
    <w:p w14:paraId="2B7A068F">
      <w:pPr>
        <w:pStyle w:val="33"/>
        <w:numPr>
          <w:ilvl w:val="1"/>
          <w:numId w:val="0"/>
        </w:numPr>
        <w:spacing w:before="3" w:afterLines="0"/>
        <w:ind w:firstLine="420" w:firstLineChars="200"/>
        <w:rPr>
          <w:rFonts w:hAnsi="Times New Roman" w:cs="Times New Roman"/>
        </w:rPr>
      </w:pPr>
      <w:r>
        <w:rPr>
          <w:rFonts w:hint="eastAsia"/>
        </w:rPr>
        <w:t xml:space="preserve">检测低限 </w:t>
      </w:r>
      <w:r>
        <w:rPr>
          <w:rFonts w:hint="eastAsia"/>
          <w:color w:val="000000" w:themeColor="text1"/>
          <w14:textFill>
            <w14:solidFill>
              <w14:schemeClr w14:val="tx1"/>
            </w14:solidFill>
          </w14:textFill>
        </w:rPr>
        <w:t>limit of determination</w:t>
      </w:r>
    </w:p>
    <w:p w14:paraId="035A781D">
      <w:pPr>
        <w:pStyle w:val="26"/>
        <w:ind w:firstLine="420" w:firstLineChars="0"/>
        <w:rPr>
          <w:rFonts w:hint="default"/>
          <w:color w:val="000000" w:themeColor="text1"/>
          <w14:textFill>
            <w14:solidFill>
              <w14:schemeClr w14:val="tx1"/>
            </w14:solidFill>
          </w14:textFill>
        </w:rPr>
      </w:pPr>
      <w:r>
        <w:rPr>
          <w:color w:val="000000" w:themeColor="text1"/>
          <w14:textFill>
            <w14:solidFill>
              <w14:schemeClr w14:val="tx1"/>
            </w14:solidFill>
          </w14:textFill>
        </w:rPr>
        <w:t>检测低限是指在给定的置信水平上，仪器本身能够可靠地识别出信号（区别于噪声）的最小待测物量或浓度。</w:t>
      </w:r>
    </w:p>
    <w:p w14:paraId="40BEB40C">
      <w:pPr>
        <w:pStyle w:val="33"/>
        <w:numPr>
          <w:ilvl w:val="1"/>
          <w:numId w:val="0"/>
        </w:numPr>
        <w:spacing w:before="3" w:afterLines="0"/>
        <w:rPr>
          <w:rFonts w:hAnsi="Times New Roman" w:cs="Times New Roman"/>
        </w:rPr>
      </w:pPr>
      <w:r>
        <w:rPr>
          <w:rFonts w:hint="eastAsia" w:hAnsi="Times New Roman" w:cs="Times New Roman"/>
        </w:rPr>
        <w:t>3.5</w:t>
      </w:r>
    </w:p>
    <w:p w14:paraId="6F0DFD15">
      <w:pPr>
        <w:pStyle w:val="33"/>
        <w:numPr>
          <w:ilvl w:val="1"/>
          <w:numId w:val="0"/>
        </w:numPr>
        <w:spacing w:before="3" w:afterLines="0"/>
        <w:ind w:firstLine="420" w:firstLineChars="200"/>
        <w:rPr>
          <w:rFonts w:hAnsi="Times New Roman" w:cs="Times New Roman"/>
        </w:rPr>
      </w:pPr>
      <w:r>
        <w:rPr>
          <w:rFonts w:hint="eastAsia" w:hAnsi="Times New Roman" w:cs="Times New Roman"/>
        </w:rPr>
        <w:t>正确度和精密度 trueness and precision</w:t>
      </w:r>
    </w:p>
    <w:p w14:paraId="06B30ED6">
      <w:pPr>
        <w:pStyle w:val="26"/>
        <w:ind w:firstLine="420"/>
        <w:rPr>
          <w:rFonts w:hint="default"/>
        </w:rPr>
      </w:pPr>
      <w:r>
        <w:rPr>
          <w:rFonts w:hint="default"/>
        </w:rPr>
        <w:t>仪器正确度特指测量平均值与参考值之间的一致程度。仪器精密度是指在规定的条件下，仪器对同一或类似被测对象重复测量所得示值或测得值间的一致程度。</w:t>
      </w:r>
    </w:p>
    <w:p w14:paraId="1E4CD321">
      <w:pPr>
        <w:pStyle w:val="26"/>
        <w:ind w:firstLine="0" w:firstLineChars="0"/>
        <w:rPr>
          <w:rFonts w:hint="default" w:ascii="黑体" w:eastAsia="黑体" w:cs="Times New Roman"/>
          <w:szCs w:val="21"/>
        </w:rPr>
      </w:pPr>
      <w:r>
        <w:rPr>
          <w:rFonts w:ascii="黑体" w:eastAsia="黑体" w:cs="Times New Roman"/>
          <w:szCs w:val="21"/>
        </w:rPr>
        <w:t xml:space="preserve">3.6  </w:t>
      </w:r>
    </w:p>
    <w:p w14:paraId="044C52FD">
      <w:pPr>
        <w:pStyle w:val="26"/>
        <w:ind w:firstLine="420"/>
        <w:rPr>
          <w:rFonts w:hint="default" w:ascii="黑体" w:eastAsia="黑体" w:cs="Times New Roman"/>
          <w:szCs w:val="21"/>
        </w:rPr>
      </w:pPr>
      <w:r>
        <w:rPr>
          <w:rFonts w:ascii="黑体" w:eastAsia="黑体" w:cs="Times New Roman"/>
          <w:szCs w:val="21"/>
        </w:rPr>
        <w:t>台间差 between-instrument difference</w:t>
      </w:r>
    </w:p>
    <w:p w14:paraId="7F1857A6">
      <w:pPr>
        <w:pStyle w:val="26"/>
        <w:ind w:firstLine="420"/>
        <w:rPr>
          <w:rFonts w:hint="default"/>
        </w:rPr>
      </w:pPr>
      <w:r>
        <w:t>仪器台间差是指在相同测量条件下，使用同一型号、同一批次或执行同一检测任务的多台仪器，对同一均匀样品进行测量时，测量结果之间的一致程度。</w:t>
      </w:r>
    </w:p>
    <w:p w14:paraId="63E76DCB">
      <w:pPr>
        <w:pStyle w:val="26"/>
        <w:ind w:firstLine="0" w:firstLineChars="0"/>
        <w:rPr>
          <w:rFonts w:hint="default" w:ascii="黑体" w:eastAsia="黑体" w:cs="Times New Roman"/>
          <w:szCs w:val="21"/>
        </w:rPr>
      </w:pPr>
      <w:r>
        <w:rPr>
          <w:rFonts w:ascii="黑体" w:eastAsia="黑体" w:cs="Times New Roman"/>
          <w:szCs w:val="21"/>
        </w:rPr>
        <w:t xml:space="preserve">3.7  </w:t>
      </w:r>
    </w:p>
    <w:p w14:paraId="406BF391">
      <w:pPr>
        <w:pStyle w:val="26"/>
        <w:ind w:firstLine="420"/>
        <w:rPr>
          <w:rFonts w:hint="default"/>
          <w:szCs w:val="22"/>
        </w:rPr>
      </w:pPr>
      <w:r>
        <w:rPr>
          <w:rFonts w:ascii="黑体" w:eastAsia="黑体" w:cs="Times New Roman"/>
          <w:szCs w:val="21"/>
        </w:rPr>
        <w:t>短期稳定性 short-term stability</w:t>
      </w:r>
    </w:p>
    <w:p w14:paraId="086BCDF5">
      <w:pPr>
        <w:pStyle w:val="26"/>
        <w:ind w:firstLine="420"/>
        <w:rPr>
          <w:rFonts w:hint="default"/>
        </w:rPr>
      </w:pPr>
      <w:r>
        <w:t>仪器在8小时工作时间内测量结果的一致性。</w:t>
      </w:r>
    </w:p>
    <w:p w14:paraId="2AC8E009">
      <w:pPr>
        <w:pStyle w:val="26"/>
        <w:ind w:firstLine="0" w:firstLineChars="0"/>
        <w:rPr>
          <w:rFonts w:hint="default" w:ascii="黑体" w:eastAsia="黑体" w:cs="Times New Roman"/>
          <w:szCs w:val="21"/>
        </w:rPr>
      </w:pPr>
      <w:r>
        <w:rPr>
          <w:rFonts w:ascii="黑体" w:eastAsia="黑体" w:cs="Times New Roman"/>
          <w:szCs w:val="21"/>
        </w:rPr>
        <w:t xml:space="preserve">3.8  </w:t>
      </w:r>
    </w:p>
    <w:p w14:paraId="77477D4D">
      <w:pPr>
        <w:pStyle w:val="26"/>
        <w:ind w:firstLine="420"/>
        <w:rPr>
          <w:rFonts w:hint="default" w:ascii="黑体" w:eastAsia="黑体" w:cs="Times New Roman"/>
          <w:szCs w:val="21"/>
        </w:rPr>
      </w:pPr>
      <w:r>
        <w:rPr>
          <w:rFonts w:ascii="黑体" w:eastAsia="黑体" w:cs="Times New Roman"/>
          <w:szCs w:val="21"/>
        </w:rPr>
        <w:t>混合回收率  mixed Recovery rate</w:t>
      </w:r>
    </w:p>
    <w:p w14:paraId="0C9EF07B">
      <w:pPr>
        <w:pStyle w:val="26"/>
        <w:ind w:firstLine="420"/>
        <w:rPr>
          <w:rFonts w:hint="default"/>
          <w:szCs w:val="22"/>
        </w:rPr>
      </w:pPr>
      <w:r>
        <w:t>混合回收率是指同一台仪器对将两个不同浓度的真实样品混合后样品的准确度。</w:t>
      </w:r>
    </w:p>
    <w:p w14:paraId="487C5BC0">
      <w:pPr>
        <w:pStyle w:val="32"/>
        <w:spacing w:before="312" w:after="312"/>
        <w:rPr>
          <w:rFonts w:hint="default"/>
          <w:color w:val="000000" w:themeColor="text1"/>
          <w:szCs w:val="21"/>
          <w14:textFill>
            <w14:solidFill>
              <w14:schemeClr w14:val="tx1"/>
            </w14:solidFill>
          </w14:textFill>
        </w:rPr>
      </w:pPr>
      <w:r>
        <w:rPr>
          <w:color w:val="000000" w:themeColor="text1"/>
          <w:szCs w:val="21"/>
          <w14:textFill>
            <w14:solidFill>
              <w14:schemeClr w14:val="tx1"/>
            </w14:solidFill>
          </w14:textFill>
        </w:rPr>
        <w:t>产品评价要求</w:t>
      </w:r>
    </w:p>
    <w:p w14:paraId="65D8B003">
      <w:pPr>
        <w:pStyle w:val="38"/>
        <w:numPr>
          <w:ilvl w:val="1"/>
          <w:numId w:val="0"/>
        </w:numPr>
        <w:spacing w:before="156" w:after="156"/>
        <w:rPr>
          <w:rFonts w:eastAsia="宋体"/>
        </w:rPr>
      </w:pPr>
      <w:r>
        <w:rPr>
          <w:rFonts w:hint="eastAsia" w:hAnsi="黑体" w:cs="黑体"/>
        </w:rPr>
        <w:t>4</w:t>
      </w:r>
      <w:r>
        <w:rPr>
          <w:rFonts w:hAnsi="黑体" w:cs="黑体"/>
        </w:rPr>
        <w:t>.</w:t>
      </w:r>
      <w:r>
        <w:rPr>
          <w:rFonts w:hint="eastAsia" w:hAnsi="黑体" w:cs="黑体"/>
          <w:lang w:val="en-US" w:eastAsia="zh-CN"/>
        </w:rPr>
        <w:t>1</w:t>
      </w:r>
      <w:r>
        <w:rPr>
          <w:rFonts w:hAnsi="黑体" w:cs="黑体"/>
        </w:rPr>
        <w:t>　</w:t>
      </w:r>
      <w:r>
        <w:rPr>
          <w:rFonts w:hint="eastAsia" w:hAnsi="黑体" w:cs="黑体"/>
        </w:rPr>
        <w:t>试验测试</w:t>
      </w:r>
      <w:r>
        <w:t>要求</w:t>
      </w:r>
    </w:p>
    <w:p w14:paraId="44E54612">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评价试验的环境、人员等应符合GB/T 27025的相关规定。</w:t>
      </w:r>
    </w:p>
    <w:p w14:paraId="2ABDF85B">
      <w:pPr>
        <w:numPr>
          <w:ilvl w:val="1"/>
          <w:numId w:val="0"/>
        </w:numPr>
        <w:spacing w:before="156" w:beforeLines="50" w:after="156" w:afterLines="50" w:line="400" w:lineRule="exact"/>
        <w:outlineLvl w:val="2"/>
        <w:rPr>
          <w:rFonts w:ascii="黑体" w:hAnsi="Times New Roman" w:eastAsia="宋体" w:cs="Times New Roman"/>
          <w:szCs w:val="21"/>
        </w:rPr>
      </w:pPr>
      <w:r>
        <w:rPr>
          <w:rFonts w:hint="eastAsia" w:ascii="黑体" w:hAnsi="黑体" w:eastAsia="黑体" w:cs="黑体"/>
          <w:szCs w:val="21"/>
        </w:rPr>
        <w:t>4</w:t>
      </w:r>
      <w:r>
        <w:rPr>
          <w:rFonts w:ascii="黑体" w:hAnsi="黑体" w:eastAsia="黑体" w:cs="黑体"/>
          <w:szCs w:val="21"/>
        </w:rPr>
        <w:t>.</w:t>
      </w:r>
      <w:r>
        <w:rPr>
          <w:rFonts w:hint="eastAsia" w:ascii="黑体" w:hAnsi="黑体" w:eastAsia="黑体" w:cs="黑体"/>
          <w:szCs w:val="21"/>
          <w:lang w:val="en-US" w:eastAsia="zh-CN"/>
        </w:rPr>
        <w:t>2</w:t>
      </w:r>
      <w:r>
        <w:rPr>
          <w:rFonts w:ascii="黑体" w:hAnsi="黑体" w:eastAsia="黑体" w:cs="黑体"/>
          <w:szCs w:val="21"/>
        </w:rPr>
        <w:t>　</w:t>
      </w:r>
      <w:r>
        <w:rPr>
          <w:rFonts w:hint="eastAsia" w:ascii="黑体" w:hAnsi="黑体" w:eastAsia="黑体" w:cs="黑体"/>
          <w:szCs w:val="21"/>
        </w:rPr>
        <w:t>使用</w:t>
      </w:r>
      <w:r>
        <w:rPr>
          <w:rFonts w:ascii="黑体" w:hAnsi="Times New Roman" w:eastAsia="黑体" w:cs="Times New Roman"/>
          <w:szCs w:val="21"/>
        </w:rPr>
        <w:t>要求</w:t>
      </w:r>
    </w:p>
    <w:p w14:paraId="54ED9067">
      <w:pPr>
        <w:ind w:firstLine="420" w:firstLineChars="200"/>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应遵照</w:t>
      </w:r>
      <w:r>
        <w:rPr>
          <w:rFonts w:hint="eastAsia" w:ascii="宋体" w:hAnsi="宋体" w:eastAsia="宋体" w:cs="宋体"/>
          <w:szCs w:val="21"/>
        </w:rPr>
        <w:t>GB 18871</w:t>
      </w:r>
      <w:r>
        <w:rPr>
          <w:rFonts w:hint="eastAsia" w:ascii="宋体" w:hAnsi="宋体" w:eastAsia="宋体" w:cs="宋体"/>
          <w:color w:val="000000" w:themeColor="text1"/>
          <w14:textFill>
            <w14:solidFill>
              <w14:schemeClr w14:val="tx1"/>
            </w14:solidFill>
          </w14:textFill>
        </w:rPr>
        <w:t>的规定。</w:t>
      </w:r>
    </w:p>
    <w:p w14:paraId="38C994FD">
      <w:pPr>
        <w:numPr>
          <w:ilvl w:val="0"/>
          <w:numId w:val="2"/>
        </w:numPr>
        <w:spacing w:before="312" w:beforeLines="100" w:after="312" w:afterLines="100"/>
        <w:outlineLvl w:val="0"/>
        <w:rPr>
          <w:rFonts w:ascii="黑体" w:hAnsi="Times New Roman" w:eastAsia="黑体" w:cs="黑体"/>
          <w:color w:val="000000" w:themeColor="text1"/>
          <w14:textFill>
            <w14:solidFill>
              <w14:schemeClr w14:val="tx1"/>
            </w14:solidFill>
          </w14:textFill>
        </w:rPr>
      </w:pPr>
      <w:r>
        <w:rPr>
          <w:rFonts w:hint="eastAsia" w:ascii="黑体" w:hAnsi="Times New Roman" w:eastAsia="黑体" w:cs="黑体"/>
          <w:color w:val="000000" w:themeColor="text1"/>
          <w14:textFill>
            <w14:solidFill>
              <w14:schemeClr w14:val="tx1"/>
            </w14:solidFill>
          </w14:textFill>
        </w:rPr>
        <w:t>安全要求</w:t>
      </w:r>
    </w:p>
    <w:p w14:paraId="28657206">
      <w:pPr>
        <w:numPr>
          <w:ilvl w:val="1"/>
          <w:numId w:val="0"/>
        </w:numPr>
        <w:spacing w:before="156" w:beforeLines="50" w:after="156" w:afterLines="50" w:line="400" w:lineRule="exact"/>
        <w:outlineLvl w:val="2"/>
        <w:rPr>
          <w:rFonts w:ascii="黑体" w:hAnsi="黑体" w:eastAsia="黑体" w:cs="黑体"/>
          <w:szCs w:val="21"/>
        </w:rPr>
      </w:pPr>
      <w:r>
        <w:rPr>
          <w:rFonts w:hint="eastAsia" w:ascii="黑体" w:hAnsi="黑体" w:eastAsia="黑体" w:cs="黑体"/>
          <w:szCs w:val="21"/>
        </w:rPr>
        <w:t>5</w:t>
      </w:r>
      <w:r>
        <w:rPr>
          <w:rFonts w:ascii="黑体" w:hAnsi="黑体" w:eastAsia="黑体" w:cs="黑体"/>
          <w:szCs w:val="21"/>
        </w:rPr>
        <w:t>.</w:t>
      </w:r>
      <w:r>
        <w:rPr>
          <w:rFonts w:hint="eastAsia" w:ascii="黑体" w:hAnsi="黑体" w:eastAsia="黑体" w:cs="黑体"/>
          <w:szCs w:val="21"/>
        </w:rPr>
        <w:t>1</w:t>
      </w:r>
      <w:r>
        <w:rPr>
          <w:rFonts w:ascii="黑体" w:hAnsi="黑体" w:eastAsia="黑体" w:cs="黑体"/>
          <w:szCs w:val="21"/>
        </w:rPr>
        <w:t>　</w:t>
      </w:r>
      <w:r>
        <w:rPr>
          <w:rFonts w:hint="eastAsia" w:ascii="黑体" w:hAnsi="黑体" w:eastAsia="黑体" w:cs="黑体"/>
          <w:szCs w:val="21"/>
        </w:rPr>
        <w:t>防电击要求</w:t>
      </w:r>
    </w:p>
    <w:p w14:paraId="56D407ED">
      <w:pPr>
        <w:ind w:firstLine="420" w:firstLineChars="200"/>
        <w:rPr>
          <w:rFonts w:ascii="宋体" w:hAnsi="宋体" w:eastAsia="宋体" w:cs="宋体"/>
          <w:color w:val="000000" w:themeColor="text1"/>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应符合GB/T 34065-2017中第6章要求。</w:t>
      </w:r>
    </w:p>
    <w:p w14:paraId="1F40EE55">
      <w:pPr>
        <w:numPr>
          <w:ilvl w:val="1"/>
          <w:numId w:val="0"/>
        </w:numPr>
        <w:spacing w:before="156" w:beforeLines="50" w:after="156" w:afterLines="50" w:line="400" w:lineRule="exact"/>
        <w:outlineLvl w:val="2"/>
        <w:rPr>
          <w:rFonts w:ascii="黑体" w:hAnsi="黑体" w:eastAsia="黑体" w:cs="黑体"/>
          <w:szCs w:val="21"/>
        </w:rPr>
      </w:pPr>
      <w:r>
        <w:rPr>
          <w:rFonts w:hint="eastAsia" w:ascii="黑体" w:hAnsi="黑体" w:eastAsia="黑体" w:cs="黑体"/>
          <w:szCs w:val="21"/>
        </w:rPr>
        <w:t>5</w:t>
      </w:r>
      <w:r>
        <w:rPr>
          <w:rFonts w:ascii="黑体" w:hAnsi="黑体" w:eastAsia="黑体" w:cs="黑体"/>
          <w:szCs w:val="21"/>
        </w:rPr>
        <w:t>.</w:t>
      </w:r>
      <w:r>
        <w:rPr>
          <w:rFonts w:hint="eastAsia" w:ascii="黑体" w:hAnsi="黑体" w:eastAsia="黑体" w:cs="黑体"/>
          <w:szCs w:val="21"/>
        </w:rPr>
        <w:t>2</w:t>
      </w:r>
      <w:r>
        <w:rPr>
          <w:rFonts w:ascii="黑体" w:hAnsi="黑体" w:eastAsia="黑体" w:cs="黑体"/>
          <w:szCs w:val="21"/>
        </w:rPr>
        <w:t>　</w:t>
      </w:r>
      <w:r>
        <w:rPr>
          <w:rFonts w:hint="eastAsia" w:ascii="黑体" w:hAnsi="黑体" w:eastAsia="黑体" w:cs="黑体"/>
          <w:szCs w:val="21"/>
        </w:rPr>
        <w:t>辐射安全</w:t>
      </w:r>
    </w:p>
    <w:p w14:paraId="1904078D">
      <w:pPr>
        <w:ind w:firstLine="420" w:firstLineChars="200"/>
        <w:rPr>
          <w:rFonts w:ascii="宋体" w:hAnsi="Times New Roman" w:eastAsia="宋体" w:cs="宋体"/>
          <w:color w:val="000000" w:themeColor="text1"/>
          <w14:textFill>
            <w14:solidFill>
              <w14:schemeClr w14:val="tx1"/>
            </w14:solidFill>
          </w14:textFill>
        </w:rPr>
      </w:pPr>
      <w:r>
        <w:rPr>
          <w:rFonts w:hint="eastAsia" w:ascii="宋体" w:hAnsi="Times New Roman" w:eastAsia="宋体" w:cs="宋体"/>
          <w:color w:val="000000" w:themeColor="text1"/>
          <w14:textFill>
            <w14:solidFill>
              <w14:schemeClr w14:val="tx1"/>
            </w14:solidFill>
          </w14:textFill>
        </w:rPr>
        <w:t>制造商提供的说明书、警示措施、防护措施应符合GBZ 115的要求。</w:t>
      </w:r>
    </w:p>
    <w:p w14:paraId="4AA26970">
      <w:pPr>
        <w:numPr>
          <w:ilvl w:val="0"/>
          <w:numId w:val="2"/>
        </w:numPr>
        <w:spacing w:before="312" w:beforeLines="100" w:after="312" w:afterLines="100"/>
        <w:outlineLvl w:val="0"/>
        <w:rPr>
          <w:rFonts w:ascii="黑体" w:hAnsi="Times New Roman" w:eastAsia="黑体" w:cs="黑体"/>
          <w:color w:val="000000" w:themeColor="text1"/>
          <w14:textFill>
            <w14:solidFill>
              <w14:schemeClr w14:val="tx1"/>
            </w14:solidFill>
          </w14:textFill>
        </w:rPr>
      </w:pPr>
      <w:r>
        <w:rPr>
          <w:rFonts w:hint="eastAsia" w:ascii="黑体" w:hAnsi="Times New Roman" w:eastAsia="黑体" w:cs="黑体"/>
          <w:color w:val="000000" w:themeColor="text1"/>
          <w14:textFill>
            <w14:solidFill>
              <w14:schemeClr w14:val="tx1"/>
            </w14:solidFill>
          </w14:textFill>
        </w:rPr>
        <w:t>工作条件要求</w:t>
      </w:r>
    </w:p>
    <w:p w14:paraId="53B3D6E3">
      <w:pPr>
        <w:ind w:firstLine="420" w:firstLineChars="200"/>
        <w:rPr>
          <w:rFonts w:ascii="宋体" w:hAnsi="Times New Roman" w:eastAsia="宋体" w:cs="宋体"/>
          <w:color w:val="000000" w:themeColor="text1"/>
          <w:highlight w:val="none"/>
          <w14:textFill>
            <w14:solidFill>
              <w14:schemeClr w14:val="tx1"/>
            </w14:solidFill>
          </w14:textFill>
        </w:rPr>
      </w:pPr>
      <w:r>
        <w:rPr>
          <w:rFonts w:hint="eastAsia" w:ascii="宋体" w:hAnsi="Times New Roman" w:eastAsia="宋体" w:cs="宋体"/>
          <w:color w:val="000000" w:themeColor="text1"/>
          <w14:textFill>
            <w14:solidFill>
              <w14:schemeClr w14:val="tx1"/>
            </w14:solidFill>
          </w14:textFill>
        </w:rPr>
        <w:t>仪器在下列条件</w:t>
      </w:r>
      <w:r>
        <w:rPr>
          <w:rFonts w:hint="eastAsia" w:ascii="宋体" w:hAnsi="Times New Roman" w:eastAsia="宋体" w:cs="宋体"/>
          <w:color w:val="000000" w:themeColor="text1"/>
          <w:highlight w:val="none"/>
          <w14:textFill>
            <w14:solidFill>
              <w14:schemeClr w14:val="tx1"/>
            </w14:solidFill>
          </w14:textFill>
        </w:rPr>
        <w:t>下应能正常工作：</w:t>
      </w:r>
    </w:p>
    <w:p w14:paraId="35479D34">
      <w:pPr>
        <w:ind w:firstLine="420" w:firstLineChars="200"/>
        <w:rPr>
          <w:rFonts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 xml:space="preserve">a）环境温度：0 </w:t>
      </w:r>
      <w:r>
        <w:rPr>
          <w:rFonts w:hint="eastAsia" w:ascii="宋体" w:hAnsi="宋体" w:eastAsia="宋体" w:cs="宋体"/>
          <w:szCs w:val="21"/>
          <w:highlight w:val="none"/>
        </w:rPr>
        <w:t>℃</w:t>
      </w:r>
      <w:r>
        <w:rPr>
          <w:rFonts w:ascii="Times New Roman" w:hAnsi="Times New Roman" w:eastAsia="宋体" w:cs="Times New Roman"/>
          <w:color w:val="000000" w:themeColor="text1"/>
          <w:szCs w:val="21"/>
          <w:highlight w:val="none"/>
          <w14:textFill>
            <w14:solidFill>
              <w14:schemeClr w14:val="tx1"/>
            </w14:solidFill>
          </w14:textFill>
        </w:rPr>
        <w:t>~</w:t>
      </w:r>
      <w:r>
        <w:rPr>
          <w:rFonts w:hint="eastAsia" w:ascii="宋体" w:hAnsi="宋体" w:eastAsia="宋体" w:cs="宋体"/>
          <w:color w:val="000000" w:themeColor="text1"/>
          <w:szCs w:val="21"/>
          <w:highlight w:val="none"/>
          <w14:textFill>
            <w14:solidFill>
              <w14:schemeClr w14:val="tx1"/>
            </w14:solidFill>
          </w14:textFill>
        </w:rPr>
        <w:t>40 ℃；</w:t>
      </w:r>
    </w:p>
    <w:p w14:paraId="1766AC75">
      <w:pPr>
        <w:ind w:firstLine="420" w:firstLineChars="200"/>
        <w:rPr>
          <w:rFonts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b）相对湿度：30%</w:t>
      </w:r>
      <w:r>
        <w:rPr>
          <w:rFonts w:ascii="Times New Roman" w:hAnsi="Times New Roman" w:eastAsia="宋体" w:cs="Times New Roman"/>
          <w:color w:val="000000" w:themeColor="text1"/>
          <w:szCs w:val="21"/>
          <w:highlight w:val="none"/>
          <w14:textFill>
            <w14:solidFill>
              <w14:schemeClr w14:val="tx1"/>
            </w14:solidFill>
          </w14:textFill>
        </w:rPr>
        <w:t>~</w:t>
      </w:r>
      <w:r>
        <w:rPr>
          <w:rFonts w:hint="eastAsia" w:ascii="宋体" w:hAnsi="宋体" w:eastAsia="宋体" w:cs="宋体"/>
          <w:color w:val="000000" w:themeColor="text1"/>
          <w:szCs w:val="21"/>
          <w:highlight w:val="none"/>
          <w14:textFill>
            <w14:solidFill>
              <w14:schemeClr w14:val="tx1"/>
            </w14:solidFill>
          </w14:textFill>
        </w:rPr>
        <w:t>80%；</w:t>
      </w:r>
    </w:p>
    <w:p w14:paraId="58F2D2CE">
      <w:pPr>
        <w:ind w:firstLine="420" w:firstLineChars="200"/>
        <w:rPr>
          <w:rFonts w:ascii="宋体" w:hAnsi="宋体" w:eastAsia="宋体" w:cs="宋体"/>
          <w:color w:val="000000" w:themeColor="text1"/>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c）供电电源：交流电源电压220 V±22 V，频率50 Hz±1 Hz，直流电源电压变化在±20%以内；</w:t>
      </w:r>
    </w:p>
    <w:p w14:paraId="768DFB8E">
      <w:pPr>
        <w:ind w:firstLine="420" w:firstLineChars="200"/>
        <w:rPr>
          <w:rFonts w:ascii="宋体" w:hAnsi="宋体" w:eastAsia="宋体" w:cs="宋体"/>
          <w:color w:val="000000" w:themeColor="text1"/>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d）防震动：放置仪器的工作台要水平可靠，且保证牢固不晃动；</w:t>
      </w:r>
    </w:p>
    <w:p w14:paraId="3FF864CE">
      <w:pPr>
        <w:ind w:firstLine="420" w:firstLineChars="200"/>
        <w:rPr>
          <w:rFonts w:ascii="宋体" w:hAnsi="宋体" w:eastAsia="宋体" w:cs="宋体"/>
          <w:color w:val="000000" w:themeColor="text1"/>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e）通风：</w:t>
      </w:r>
      <w:r>
        <w:rPr>
          <w:rFonts w:ascii="宋体" w:hAnsi="宋体" w:eastAsia="宋体" w:cs="宋体"/>
          <w:color w:val="000000" w:themeColor="text1"/>
          <w:szCs w:val="21"/>
          <w14:textFill>
            <w14:solidFill>
              <w14:schemeClr w14:val="tx1"/>
            </w14:solidFill>
          </w14:textFill>
        </w:rPr>
        <w:t>仪器所放置处应注意通风，仪器出风口离墙距离保持在40</w:t>
      </w:r>
      <w:r>
        <w:rPr>
          <w:rFonts w:hint="eastAsia" w:ascii="宋体" w:hAnsi="宋体" w:eastAsia="宋体" w:cs="宋体"/>
          <w:color w:val="000000" w:themeColor="text1"/>
          <w:szCs w:val="21"/>
          <w14:textFill>
            <w14:solidFill>
              <w14:schemeClr w14:val="tx1"/>
            </w14:solidFill>
          </w14:textFill>
        </w:rPr>
        <w:t xml:space="preserve"> </w:t>
      </w:r>
      <w:r>
        <w:rPr>
          <w:rFonts w:ascii="宋体" w:hAnsi="宋体" w:eastAsia="宋体" w:cs="宋体"/>
          <w:color w:val="000000" w:themeColor="text1"/>
          <w:szCs w:val="21"/>
          <w14:textFill>
            <w14:solidFill>
              <w14:schemeClr w14:val="tx1"/>
            </w14:solidFill>
          </w14:textFill>
        </w:rPr>
        <w:t>cm以上</w:t>
      </w:r>
      <w:r>
        <w:rPr>
          <w:rFonts w:hint="eastAsia" w:ascii="宋体" w:hAnsi="宋体" w:eastAsia="宋体" w:cs="宋体"/>
          <w:color w:val="000000" w:themeColor="text1"/>
          <w:szCs w:val="21"/>
          <w14:textFill>
            <w14:solidFill>
              <w14:schemeClr w14:val="tx1"/>
            </w14:solidFill>
          </w14:textFill>
        </w:rPr>
        <w:t>；</w:t>
      </w:r>
    </w:p>
    <w:p w14:paraId="3740142B">
      <w:pPr>
        <w:ind w:firstLine="420" w:firstLineChars="200"/>
        <w:rPr>
          <w:rFonts w:ascii="宋体" w:hAnsi="宋体" w:eastAsia="宋体" w:cs="宋体"/>
          <w:color w:val="000000" w:themeColor="text1"/>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f）防电磁干扰：工作环境无电磁源干扰。</w:t>
      </w:r>
    </w:p>
    <w:p w14:paraId="30528D97">
      <w:pPr>
        <w:spacing w:before="312" w:beforeLines="100" w:after="312" w:afterLines="100"/>
        <w:outlineLvl w:val="0"/>
        <w:rPr>
          <w:rFonts w:ascii="黑体" w:hAnsi="Times New Roman" w:eastAsia="黑体" w:cs="黑体"/>
          <w:color w:val="000000" w:themeColor="text1"/>
          <w14:textFill>
            <w14:solidFill>
              <w14:schemeClr w14:val="tx1"/>
            </w14:solidFill>
          </w14:textFill>
        </w:rPr>
      </w:pPr>
      <w:r>
        <w:rPr>
          <w:rFonts w:hint="eastAsia" w:ascii="黑体" w:hAnsi="Times New Roman" w:eastAsia="黑体" w:cs="黑体"/>
          <w:color w:val="000000" w:themeColor="text1"/>
          <w14:textFill>
            <w14:solidFill>
              <w14:schemeClr w14:val="tx1"/>
            </w14:solidFill>
          </w14:textFill>
        </w:rPr>
        <w:t>7</w:t>
      </w:r>
      <w:r>
        <w:rPr>
          <w:rFonts w:ascii="黑体" w:hAnsi="Times New Roman" w:eastAsia="黑体" w:cs="黑体"/>
          <w:color w:val="000000" w:themeColor="text1"/>
          <w14:textFill>
            <w14:solidFill>
              <w14:schemeClr w14:val="tx1"/>
            </w14:solidFill>
          </w14:textFill>
        </w:rPr>
        <w:t>　</w:t>
      </w:r>
      <w:r>
        <w:rPr>
          <w:rFonts w:hint="eastAsia" w:ascii="黑体" w:hAnsi="Times New Roman" w:eastAsia="黑体" w:cs="黑体"/>
          <w:color w:val="000000" w:themeColor="text1"/>
          <w14:textFill>
            <w14:solidFill>
              <w14:schemeClr w14:val="tx1"/>
            </w14:solidFill>
          </w14:textFill>
        </w:rPr>
        <w:t>样品要求</w:t>
      </w:r>
    </w:p>
    <w:p w14:paraId="6A0E96C5">
      <w:pPr>
        <w:pStyle w:val="38"/>
        <w:numPr>
          <w:ilvl w:val="1"/>
          <w:numId w:val="0"/>
        </w:numPr>
        <w:spacing w:before="156" w:after="156"/>
        <w:rPr>
          <w:rFonts w:hint="eastAsia" w:hAnsi="黑体" w:eastAsia="黑体" w:cs="黑体"/>
          <w:lang w:eastAsia="zh-CN"/>
        </w:rPr>
      </w:pPr>
      <w:r>
        <w:rPr>
          <w:rFonts w:hint="eastAsia" w:hAnsi="黑体" w:cs="黑体"/>
        </w:rPr>
        <w:t>7.1</w:t>
      </w:r>
      <w:r>
        <w:rPr>
          <w:rFonts w:hAnsi="黑体" w:cs="黑体"/>
        </w:rPr>
        <w:t>　</w:t>
      </w:r>
      <w:r>
        <w:rPr>
          <w:rFonts w:hint="eastAsia" w:hAnsi="黑体" w:cs="黑体"/>
        </w:rPr>
        <w:t>通则</w:t>
      </w:r>
    </w:p>
    <w:p w14:paraId="4CBAF741">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样品基质宜选择代表性的粮食及其制品。代表性样品的选择宜优先考虑检测目标分析物的性质和样品的特性，再考虑法规限量要求涉及的粮食及其制品种类</w:t>
      </w:r>
      <w:r>
        <w:rPr>
          <w:rFonts w:hint="eastAsia"/>
          <w:color w:val="000000" w:themeColor="text1"/>
          <w:lang w:eastAsia="zh-CN"/>
          <w14:textFill>
            <w14:solidFill>
              <w14:schemeClr w14:val="tx1"/>
            </w14:solidFill>
          </w14:textFill>
        </w:rPr>
        <w:t>，其中</w:t>
      </w:r>
      <w:r>
        <w:rPr>
          <w:rFonts w:hint="eastAsia"/>
          <w:color w:val="000000" w:themeColor="text1"/>
          <w14:textFill>
            <w14:solidFill>
              <w14:schemeClr w14:val="tx1"/>
            </w14:solidFill>
          </w14:textFill>
        </w:rPr>
        <w:t>样品要求</w:t>
      </w:r>
      <w:r>
        <w:rPr>
          <w:rFonts w:hint="eastAsia"/>
          <w:color w:val="000000" w:themeColor="text1"/>
          <w:lang w:eastAsia="zh-CN"/>
          <w14:textFill>
            <w14:solidFill>
              <w14:schemeClr w14:val="tx1"/>
            </w14:solidFill>
          </w14:textFill>
        </w:rPr>
        <w:t>：</w:t>
      </w:r>
      <w:r>
        <w:rPr>
          <w:rFonts w:hint="eastAsia"/>
          <w:color w:val="000000" w:themeColor="text1"/>
          <w14:textFill>
            <w14:solidFill>
              <w14:schemeClr w14:val="tx1"/>
            </w14:solidFill>
          </w14:textFill>
        </w:rPr>
        <w:t>粒径目数≥60目，</w:t>
      </w:r>
      <w:r>
        <w:rPr>
          <w:rFonts w:hint="eastAsia"/>
          <w:color w:val="000000" w:themeColor="text1"/>
          <w:lang w:eastAsia="zh-CN"/>
          <w14:textFill>
            <w14:solidFill>
              <w14:schemeClr w14:val="tx1"/>
            </w14:solidFill>
          </w14:textFill>
        </w:rPr>
        <w:t>样品</w:t>
      </w:r>
      <w:r>
        <w:rPr>
          <w:rFonts w:hint="eastAsia"/>
          <w:color w:val="000000" w:themeColor="text1"/>
          <w14:textFill>
            <w14:solidFill>
              <w14:schemeClr w14:val="tx1"/>
            </w14:solidFill>
          </w14:textFill>
        </w:rPr>
        <w:t>含水量</w:t>
      </w: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15%</w:t>
      </w:r>
      <w:r>
        <w:rPr>
          <w:color w:val="000000" w:themeColor="text1"/>
          <w14:textFill>
            <w14:solidFill>
              <w14:schemeClr w14:val="tx1"/>
            </w14:solidFill>
          </w14:textFill>
        </w:rPr>
        <w:t>。代表性粮食及其制品的选择见GB 2762。</w:t>
      </w:r>
    </w:p>
    <w:p w14:paraId="3BAC63D6">
      <w:pPr>
        <w:pStyle w:val="38"/>
        <w:numPr>
          <w:ilvl w:val="1"/>
          <w:numId w:val="0"/>
        </w:numPr>
        <w:spacing w:before="156" w:after="156"/>
        <w:rPr>
          <w:rFonts w:hAnsi="黑体" w:cs="黑体"/>
        </w:rPr>
      </w:pPr>
      <w:r>
        <w:rPr>
          <w:rFonts w:hint="eastAsia" w:hAnsi="黑体" w:cs="黑体"/>
        </w:rPr>
        <w:t>7.2</w:t>
      </w:r>
      <w:r>
        <w:rPr>
          <w:rFonts w:hAnsi="黑体" w:cs="黑体"/>
        </w:rPr>
        <w:t>　</w:t>
      </w:r>
      <w:r>
        <w:rPr>
          <w:rFonts w:hint="eastAsia" w:hAnsi="黑体" w:cs="黑体"/>
        </w:rPr>
        <w:t>样品种类</w:t>
      </w:r>
    </w:p>
    <w:p w14:paraId="5F7EDFCF">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对于适用的样品基质和待测目标物可以满足产品评价要求的检测，评价用的样品种类包括：</w:t>
      </w:r>
    </w:p>
    <w:p w14:paraId="215CE497">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a) 有证的标准样品；</w:t>
      </w:r>
    </w:p>
    <w:p w14:paraId="03BA26E9">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b) 质控样品；</w:t>
      </w:r>
    </w:p>
    <w:p w14:paraId="17737903">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c) 能力验证提供者生产的能力验证样品；</w:t>
      </w:r>
    </w:p>
    <w:p w14:paraId="43F61CB1">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d) 均匀性和稳定性满足统计学要求且经过参比方法定值的实际样品或基质加标样品。</w:t>
      </w:r>
    </w:p>
    <w:p w14:paraId="53B77968">
      <w:pPr>
        <w:pStyle w:val="32"/>
        <w:numPr>
          <w:ilvl w:val="0"/>
          <w:numId w:val="0"/>
        </w:numPr>
        <w:spacing w:before="312" w:after="312"/>
        <w:rPr>
          <w:rFonts w:hint="default"/>
          <w:color w:val="000000" w:themeColor="text1"/>
          <w14:textFill>
            <w14:solidFill>
              <w14:schemeClr w14:val="tx1"/>
            </w14:solidFill>
          </w14:textFill>
        </w:rPr>
      </w:pPr>
      <w:r>
        <w:rPr>
          <w:color w:val="000000" w:themeColor="text1"/>
          <w14:textFill>
            <w14:solidFill>
              <w14:schemeClr w14:val="tx1"/>
            </w14:solidFill>
          </w14:textFill>
        </w:rPr>
        <w:t>8  评价指标</w:t>
      </w:r>
    </w:p>
    <w:p w14:paraId="40B97315">
      <w:pPr>
        <w:pStyle w:val="26"/>
        <w:ind w:firstLine="0" w:firstLineChars="0"/>
        <w:rPr>
          <w:rFonts w:hint="default"/>
          <w:color w:val="000000" w:themeColor="text1"/>
          <w14:textFill>
            <w14:solidFill>
              <w14:schemeClr w14:val="tx1"/>
            </w14:solidFill>
          </w14:textFill>
        </w:rPr>
      </w:pPr>
      <w:r>
        <w:rPr>
          <w:rFonts w:ascii="黑体" w:hAnsi="黑体" w:eastAsia="黑体" w:cs="黑体"/>
          <w:color w:val="000000" w:themeColor="text1"/>
          <w14:textFill>
            <w14:solidFill>
              <w14:schemeClr w14:val="tx1"/>
            </w14:solidFill>
          </w14:textFill>
        </w:rPr>
        <w:t xml:space="preserve">8.1 </w:t>
      </w:r>
      <w:r>
        <w:rPr>
          <w:color w:val="000000" w:themeColor="text1"/>
          <w14:textFill>
            <w14:solidFill>
              <w14:schemeClr w14:val="tx1"/>
            </w14:solidFill>
          </w14:textFill>
        </w:rPr>
        <w:t xml:space="preserve"> 评价指标的设置，首先应符合仪器的基本情况，开展一般指标和技术指标的评价。其中技术指标包括检测低限、正确度、精密度、台间差、短期稳定性、混合回收率等。如果客户有特殊需求，应根据需求增加评价指标，并单独制定该评价指标的评价方案。</w:t>
      </w:r>
    </w:p>
    <w:p w14:paraId="2580C07A">
      <w:pPr>
        <w:pStyle w:val="38"/>
        <w:numPr>
          <w:ilvl w:val="1"/>
          <w:numId w:val="0"/>
        </w:numPr>
        <w:spacing w:before="156" w:after="156"/>
        <w:rPr>
          <w:rFonts w:hAnsi="黑体" w:cs="黑体"/>
        </w:rPr>
      </w:pPr>
      <w:r>
        <w:rPr>
          <w:rFonts w:hint="eastAsia" w:hAnsi="黑体" w:cs="黑体"/>
        </w:rPr>
        <w:t>8.2</w:t>
      </w:r>
      <w:r>
        <w:rPr>
          <w:rFonts w:hAnsi="黑体" w:cs="黑体"/>
        </w:rPr>
        <w:t>　</w:t>
      </w:r>
      <w:r>
        <w:rPr>
          <w:rFonts w:hint="eastAsia" w:hAnsi="黑体" w:cs="黑体"/>
        </w:rPr>
        <w:t>一般指标</w:t>
      </w:r>
    </w:p>
    <w:p w14:paraId="5764C59C">
      <w:pPr>
        <w:pStyle w:val="38"/>
        <w:numPr>
          <w:ilvl w:val="1"/>
          <w:numId w:val="0"/>
        </w:numPr>
        <w:spacing w:before="156" w:after="156"/>
        <w:rPr>
          <w:rFonts w:hAnsi="黑体" w:cs="黑体"/>
        </w:rPr>
      </w:pPr>
      <w:r>
        <w:rPr>
          <w:rFonts w:hint="eastAsia" w:hAnsi="黑体" w:cs="黑体"/>
        </w:rPr>
        <w:t>8.2.1 仪器外观</w:t>
      </w:r>
    </w:p>
    <w:p w14:paraId="4FFDE1D7">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仪器外观应满足下列要求：</w:t>
      </w:r>
    </w:p>
    <w:p w14:paraId="59CDCBB9">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a）仪器所有表面不应有脱皮现象；</w:t>
      </w:r>
    </w:p>
    <w:p w14:paraId="470D5126">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b）表面应色泽均匀，不应有明显擦伤、露底、裂纹、气泡现象；</w:t>
      </w:r>
    </w:p>
    <w:p w14:paraId="64EEE995">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c）外露零部件结合处应整齐，无粗糙不平现象；</w:t>
      </w:r>
    </w:p>
    <w:p w14:paraId="3C83DD9C">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d）面板上的文字、符号、标志应端正清晰耐久。</w:t>
      </w:r>
    </w:p>
    <w:p w14:paraId="29D97367">
      <w:pPr>
        <w:pStyle w:val="38"/>
        <w:numPr>
          <w:ilvl w:val="1"/>
          <w:numId w:val="0"/>
        </w:numPr>
        <w:spacing w:before="156" w:after="156"/>
        <w:rPr>
          <w:rFonts w:hAnsi="黑体" w:cs="黑体"/>
        </w:rPr>
      </w:pPr>
      <w:r>
        <w:rPr>
          <w:rFonts w:hint="eastAsia" w:hAnsi="黑体" w:cs="黑体"/>
        </w:rPr>
        <w:t>8.2.2仪器便携性</w:t>
      </w:r>
    </w:p>
    <w:p w14:paraId="162D0612">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从物理尺寸与重量、供电方式、整机结构与形态、操作与配套设备4个方面评价仪器的便携性。</w:t>
      </w:r>
    </w:p>
    <w:p w14:paraId="584E973C">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物理尺寸与重量：</w:t>
      </w:r>
    </w:p>
    <w:p w14:paraId="5A0CC990">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a)整机体积小巧、结构紧凑，可单手握持、随身放入背包/工具箱；</w:t>
      </w:r>
    </w:p>
    <w:p w14:paraId="379D8150">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b)整机重量轻，单人可轻松搬运、手持长时间操作，无需多人协助。</w:t>
      </w:r>
    </w:p>
    <w:p w14:paraId="3076B866">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供电方式:</w:t>
      </w:r>
    </w:p>
    <w:p w14:paraId="558CEED4">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a)支持内置锂电池，可在野外/现场独立使用；</w:t>
      </w:r>
    </w:p>
    <w:p w14:paraId="1AB329B0">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b)兼容充电宝、车载USB、移动电源多方式供电，不用依赖固定插座；</w:t>
      </w:r>
    </w:p>
    <w:p w14:paraId="66530347">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c)低功耗设计，续航时间长。</w:t>
      </w:r>
    </w:p>
    <w:p w14:paraId="19B1996E">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整机结构与形态:</w:t>
      </w:r>
    </w:p>
    <w:p w14:paraId="4D57D43F">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a)一体化集成，无需拆分组装，开箱即用；</w:t>
      </w:r>
    </w:p>
    <w:p w14:paraId="3D765312">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b)手持笔式、掌上盒式、拉杆收纳式等便携造型；</w:t>
      </w:r>
    </w:p>
    <w:p w14:paraId="7F5DBFBD">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c)自带防滑、防摔、防尘、防水机身设计，适应户外、商超等复杂现场。</w:t>
      </w:r>
    </w:p>
    <w:p w14:paraId="4A91AC92">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操作与配套设备：</w:t>
      </w:r>
    </w:p>
    <w:p w14:paraId="51964111">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a)免安装、免调试，开机自检、一键检测，无需专业搭建；</w:t>
      </w:r>
    </w:p>
    <w:p w14:paraId="0C4B15D3">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b)配套耗材、试剂、附件精简易携带，无笨重辅助设备。</w:t>
      </w:r>
    </w:p>
    <w:p w14:paraId="379101AA">
      <w:pPr>
        <w:pStyle w:val="26"/>
        <w:ind w:firstLine="0" w:firstLineChars="0"/>
        <w:rPr>
          <w:rFonts w:hint="default"/>
          <w:color w:val="000000" w:themeColor="text1"/>
          <w:szCs w:val="21"/>
          <w14:textFill>
            <w14:solidFill>
              <w14:schemeClr w14:val="tx1"/>
            </w14:solidFill>
          </w14:textFill>
        </w:rPr>
      </w:pPr>
      <w:r>
        <w:rPr>
          <w:rFonts w:ascii="黑体" w:hAnsi="黑体" w:eastAsia="黑体" w:cs="黑体"/>
          <w:szCs w:val="21"/>
        </w:rPr>
        <w:t>8.2.3 仪器质量证明</w:t>
      </w:r>
    </w:p>
    <w:p w14:paraId="50F9B192">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产品应具产品质量合格证明。</w:t>
      </w:r>
    </w:p>
    <w:p w14:paraId="161E0D93">
      <w:pPr>
        <w:pStyle w:val="26"/>
        <w:ind w:firstLine="0" w:firstLineChars="0"/>
        <w:rPr>
          <w:rFonts w:hint="default" w:ascii="黑体" w:hAnsi="黑体" w:eastAsia="黑体" w:cs="黑体"/>
          <w:szCs w:val="21"/>
        </w:rPr>
      </w:pPr>
      <w:r>
        <w:rPr>
          <w:rFonts w:ascii="黑体" w:hAnsi="黑体" w:eastAsia="黑体" w:cs="黑体"/>
          <w:szCs w:val="21"/>
        </w:rPr>
        <w:t>8.2.3 仪器说明书</w:t>
      </w:r>
    </w:p>
    <w:p w14:paraId="19FB8A96">
      <w:pPr>
        <w:pStyle w:val="26"/>
        <w:ind w:firstLine="420"/>
        <w:rPr>
          <w:rFonts w:hint="default" w:ascii="Times New Roman" w:cs="Times New Roman"/>
          <w:color w:val="000000" w:themeColor="text1"/>
          <w:szCs w:val="21"/>
          <w14:textFill>
            <w14:solidFill>
              <w14:schemeClr w14:val="tx1"/>
            </w14:solidFill>
          </w14:textFill>
        </w:rPr>
      </w:pPr>
      <w:r>
        <w:rPr>
          <w:rFonts w:ascii="Times New Roman" w:cs="Times New Roman"/>
          <w:color w:val="000000" w:themeColor="text1"/>
          <w:szCs w:val="21"/>
          <w14:textFill>
            <w14:solidFill>
              <w14:schemeClr w14:val="tx1"/>
            </w14:solidFill>
          </w14:textFill>
        </w:rPr>
        <w:t>仪器使用说明书内容表述应清晰、完整，包括简介、应用范围、检测原理、检测环境要求、仪器性能指标、产品组成、注意事项等。</w:t>
      </w:r>
    </w:p>
    <w:p w14:paraId="62004939">
      <w:pPr>
        <w:pStyle w:val="26"/>
        <w:ind w:firstLine="0" w:firstLineChars="0"/>
        <w:rPr>
          <w:rFonts w:hint="default"/>
          <w:color w:val="000000" w:themeColor="text1"/>
          <w:szCs w:val="21"/>
          <w14:textFill>
            <w14:solidFill>
              <w14:schemeClr w14:val="tx1"/>
            </w14:solidFill>
          </w14:textFill>
        </w:rPr>
      </w:pPr>
      <w:r>
        <w:rPr>
          <w:rFonts w:ascii="黑体" w:hAnsi="黑体" w:eastAsia="黑体" w:cs="黑体"/>
          <w:szCs w:val="21"/>
        </w:rPr>
        <w:t>8.2.4 仪器使用安全防护</w:t>
      </w:r>
    </w:p>
    <w:p w14:paraId="4005FA68">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仪器应具有安全危害提示、辐射危险提示等信息。</w:t>
      </w:r>
    </w:p>
    <w:p w14:paraId="4064346F">
      <w:pPr>
        <w:pStyle w:val="38"/>
        <w:numPr>
          <w:ilvl w:val="1"/>
          <w:numId w:val="0"/>
        </w:numPr>
        <w:spacing w:before="156" w:after="156"/>
        <w:rPr>
          <w:rFonts w:hAnsi="黑体" w:cs="黑体"/>
        </w:rPr>
      </w:pPr>
      <w:r>
        <w:rPr>
          <w:rFonts w:hint="eastAsia" w:hAnsi="黑体" w:cs="黑体"/>
        </w:rPr>
        <w:t>8.3</w:t>
      </w:r>
      <w:r>
        <w:rPr>
          <w:rFonts w:hAnsi="黑体" w:cs="黑体"/>
        </w:rPr>
        <w:t>　</w:t>
      </w:r>
      <w:r>
        <w:rPr>
          <w:rFonts w:hint="eastAsia" w:hAnsi="黑体" w:cs="黑体"/>
        </w:rPr>
        <w:t>技术指标</w:t>
      </w:r>
    </w:p>
    <w:p w14:paraId="5F3C5931">
      <w:pPr>
        <w:pStyle w:val="38"/>
        <w:numPr>
          <w:ilvl w:val="1"/>
          <w:numId w:val="0"/>
        </w:numPr>
        <w:spacing w:before="156" w:after="156"/>
        <w:rPr>
          <w:rFonts w:hAnsi="黑体" w:cs="黑体"/>
        </w:rPr>
      </w:pPr>
      <w:r>
        <w:rPr>
          <w:rFonts w:hint="eastAsia" w:hAnsi="黑体" w:cs="黑体"/>
        </w:rPr>
        <w:t>8.3.1 样品准备</w:t>
      </w:r>
    </w:p>
    <w:p w14:paraId="2936A8F5">
      <w:pPr>
        <w:pStyle w:val="39"/>
        <w:autoSpaceDE/>
        <w:autoSpaceDN/>
        <w:adjustRightInd w:val="0"/>
        <w:spacing w:line="240" w:lineRule="auto"/>
        <w:ind w:left="0"/>
        <w:rPr>
          <w:rFonts w:hAnsi="宋体" w:cs="宋体"/>
          <w:szCs w:val="21"/>
        </w:rPr>
      </w:pPr>
      <w:r>
        <w:rPr>
          <w:rFonts w:hint="eastAsia" w:hAnsi="宋体" w:cs="宋体"/>
        </w:rPr>
        <w:t>根据仪器的宣称检测低限和</w:t>
      </w:r>
      <w:r>
        <w:rPr>
          <w:rFonts w:hint="eastAsia" w:hAnsi="宋体" w:cs="宋体"/>
          <w:szCs w:val="21"/>
        </w:rPr>
        <w:t>GB 2762关于粮食中重金属镉的限量要求，在符合“7 样品要求”的规定下，准备4种不同镉浓度的样品S</w:t>
      </w:r>
      <w:r>
        <w:rPr>
          <w:rFonts w:hint="eastAsia" w:hAnsi="宋体" w:cs="宋体"/>
          <w:szCs w:val="21"/>
          <w:vertAlign w:val="subscript"/>
        </w:rPr>
        <w:t>1</w:t>
      </w:r>
      <w:r>
        <w:rPr>
          <w:rFonts w:hint="eastAsia" w:hAnsi="宋体" w:cs="宋体"/>
          <w:szCs w:val="21"/>
        </w:rPr>
        <w:t>、S</w:t>
      </w:r>
      <w:r>
        <w:rPr>
          <w:rFonts w:hint="eastAsia" w:hAnsi="宋体" w:cs="宋体"/>
          <w:szCs w:val="21"/>
          <w:vertAlign w:val="subscript"/>
        </w:rPr>
        <w:t>2</w:t>
      </w:r>
      <w:r>
        <w:rPr>
          <w:rFonts w:hint="eastAsia" w:hAnsi="宋体" w:cs="宋体"/>
          <w:szCs w:val="21"/>
        </w:rPr>
        <w:t>、S</w:t>
      </w:r>
      <w:r>
        <w:rPr>
          <w:rFonts w:hint="eastAsia" w:hAnsi="宋体" w:cs="宋体"/>
          <w:szCs w:val="21"/>
          <w:vertAlign w:val="subscript"/>
        </w:rPr>
        <w:t>3</w:t>
      </w:r>
      <w:r>
        <w:rPr>
          <w:rFonts w:hint="eastAsia" w:hAnsi="宋体" w:cs="宋体"/>
          <w:szCs w:val="21"/>
        </w:rPr>
        <w:t>、S</w:t>
      </w:r>
      <w:r>
        <w:rPr>
          <w:rFonts w:hint="eastAsia" w:hAnsi="宋体" w:cs="宋体"/>
          <w:szCs w:val="21"/>
          <w:vertAlign w:val="subscript"/>
        </w:rPr>
        <w:t>4</w:t>
      </w:r>
      <w:r>
        <w:rPr>
          <w:rFonts w:hint="eastAsia" w:hAnsi="宋体" w:cs="宋体"/>
          <w:szCs w:val="21"/>
        </w:rPr>
        <w:t>，镉浓度水平分别为X</w:t>
      </w:r>
      <w:r>
        <w:rPr>
          <w:rFonts w:hint="eastAsia" w:hAnsi="宋体" w:cs="宋体"/>
          <w:szCs w:val="21"/>
          <w:vertAlign w:val="subscript"/>
        </w:rPr>
        <w:t>1</w:t>
      </w:r>
      <w:r>
        <w:rPr>
          <w:rFonts w:hint="eastAsia" w:hAnsi="宋体" w:cs="宋体"/>
          <w:szCs w:val="21"/>
        </w:rPr>
        <w:t>、X</w:t>
      </w:r>
      <w:r>
        <w:rPr>
          <w:rFonts w:hint="eastAsia" w:hAnsi="宋体" w:cs="宋体"/>
          <w:szCs w:val="21"/>
          <w:vertAlign w:val="subscript"/>
        </w:rPr>
        <w:t>2</w:t>
      </w:r>
      <w:r>
        <w:rPr>
          <w:rFonts w:hint="eastAsia" w:hAnsi="宋体" w:cs="宋体"/>
          <w:szCs w:val="21"/>
        </w:rPr>
        <w:t>、X</w:t>
      </w:r>
      <w:r>
        <w:rPr>
          <w:rFonts w:hint="eastAsia" w:hAnsi="宋体" w:cs="宋体"/>
          <w:szCs w:val="21"/>
          <w:vertAlign w:val="subscript"/>
        </w:rPr>
        <w:t>3</w:t>
      </w:r>
      <w:r>
        <w:rPr>
          <w:rFonts w:hint="eastAsia" w:hAnsi="宋体" w:cs="宋体"/>
          <w:szCs w:val="21"/>
        </w:rPr>
        <w:t>、X</w:t>
      </w:r>
      <w:r>
        <w:rPr>
          <w:rFonts w:hint="eastAsia" w:hAnsi="宋体" w:cs="宋体"/>
          <w:szCs w:val="21"/>
          <w:vertAlign w:val="subscript"/>
        </w:rPr>
        <w:t>4</w:t>
      </w:r>
      <w:r>
        <w:rPr>
          <w:rFonts w:hint="eastAsia" w:hAnsi="宋体" w:cs="宋体"/>
          <w:szCs w:val="21"/>
        </w:rPr>
        <w:t>，具体见表1。</w:t>
      </w:r>
    </w:p>
    <w:p w14:paraId="30FC9805">
      <w:pPr>
        <w:pStyle w:val="39"/>
        <w:autoSpaceDE/>
        <w:autoSpaceDN/>
        <w:adjustRightInd w:val="0"/>
        <w:spacing w:line="240" w:lineRule="auto"/>
        <w:ind w:left="0" w:firstLine="0" w:firstLineChars="0"/>
        <w:jc w:val="center"/>
        <w:rPr>
          <w:rFonts w:ascii="黑体" w:hAnsi="黑体" w:eastAsia="黑体" w:cs="黑体"/>
          <w:szCs w:val="21"/>
        </w:rPr>
      </w:pPr>
      <w:r>
        <w:rPr>
          <w:rFonts w:hint="eastAsia" w:ascii="黑体" w:hAnsi="黑体" w:eastAsia="黑体" w:cs="黑体"/>
          <w:szCs w:val="21"/>
        </w:rPr>
        <w:t>表1  测试用样品要求</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63"/>
        <w:gridCol w:w="6983"/>
      </w:tblGrid>
      <w:tr w14:paraId="18458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3" w:type="dxa"/>
            <w:vAlign w:val="center"/>
          </w:tcPr>
          <w:p w14:paraId="6560C990">
            <w:pPr>
              <w:pStyle w:val="39"/>
              <w:widowControl w:val="0"/>
              <w:autoSpaceDE/>
              <w:autoSpaceDN/>
              <w:adjustRightInd w:val="0"/>
              <w:spacing w:line="240" w:lineRule="auto"/>
              <w:ind w:left="0" w:firstLine="0" w:firstLineChars="0"/>
              <w:jc w:val="center"/>
              <w:rPr>
                <w:rFonts w:hAnsi="宋体" w:cs="宋体"/>
                <w:sz w:val="18"/>
                <w:szCs w:val="18"/>
              </w:rPr>
            </w:pPr>
            <w:r>
              <w:rPr>
                <w:rFonts w:hint="eastAsia" w:hAnsi="宋体" w:cs="宋体"/>
                <w:sz w:val="18"/>
                <w:szCs w:val="18"/>
              </w:rPr>
              <w:t>样品编号</w:t>
            </w:r>
          </w:p>
        </w:tc>
        <w:tc>
          <w:tcPr>
            <w:tcW w:w="6983" w:type="dxa"/>
            <w:vAlign w:val="center"/>
          </w:tcPr>
          <w:p w14:paraId="4D2179AB">
            <w:pPr>
              <w:pStyle w:val="39"/>
              <w:widowControl w:val="0"/>
              <w:autoSpaceDE/>
              <w:autoSpaceDN/>
              <w:adjustRightInd w:val="0"/>
              <w:spacing w:line="240" w:lineRule="auto"/>
              <w:ind w:left="0" w:firstLine="0" w:firstLineChars="0"/>
              <w:jc w:val="center"/>
              <w:rPr>
                <w:rFonts w:hAnsi="宋体" w:cs="宋体"/>
                <w:sz w:val="18"/>
                <w:szCs w:val="18"/>
              </w:rPr>
            </w:pPr>
            <w:r>
              <w:rPr>
                <w:rFonts w:hint="eastAsia" w:hAnsi="宋体" w:cs="宋体"/>
                <w:sz w:val="18"/>
                <w:szCs w:val="18"/>
              </w:rPr>
              <w:t>样品镉浓度水平范围</w:t>
            </w:r>
          </w:p>
        </w:tc>
      </w:tr>
      <w:tr w14:paraId="6F013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3" w:type="dxa"/>
            <w:vAlign w:val="center"/>
          </w:tcPr>
          <w:p w14:paraId="3E22BDFC">
            <w:pPr>
              <w:pStyle w:val="39"/>
              <w:widowControl w:val="0"/>
              <w:autoSpaceDE/>
              <w:autoSpaceDN/>
              <w:adjustRightInd w:val="0"/>
              <w:spacing w:line="240" w:lineRule="auto"/>
              <w:ind w:left="0" w:firstLine="0" w:firstLineChars="0"/>
              <w:jc w:val="center"/>
              <w:rPr>
                <w:rFonts w:hAnsi="宋体" w:cs="宋体"/>
                <w:sz w:val="18"/>
                <w:szCs w:val="18"/>
              </w:rPr>
            </w:pPr>
            <w:r>
              <w:rPr>
                <w:rFonts w:hint="eastAsia" w:hAnsi="宋体" w:cs="宋体"/>
                <w:sz w:val="18"/>
                <w:szCs w:val="18"/>
              </w:rPr>
              <w:t>样品S</w:t>
            </w:r>
            <w:r>
              <w:rPr>
                <w:rFonts w:hint="eastAsia" w:hAnsi="宋体" w:cs="宋体"/>
                <w:sz w:val="18"/>
                <w:szCs w:val="18"/>
                <w:vertAlign w:val="subscript"/>
              </w:rPr>
              <w:t>1</w:t>
            </w:r>
          </w:p>
        </w:tc>
        <w:tc>
          <w:tcPr>
            <w:tcW w:w="6983" w:type="dxa"/>
            <w:vAlign w:val="center"/>
          </w:tcPr>
          <w:p w14:paraId="55DF3500">
            <w:pPr>
              <w:pStyle w:val="39"/>
              <w:widowControl w:val="0"/>
              <w:autoSpaceDE/>
              <w:autoSpaceDN/>
              <w:adjustRightInd w:val="0"/>
              <w:spacing w:line="240" w:lineRule="auto"/>
              <w:ind w:left="0" w:firstLine="0" w:firstLineChars="0"/>
              <w:jc w:val="center"/>
              <w:rPr>
                <w:rFonts w:hAnsi="宋体" w:cs="宋体"/>
                <w:sz w:val="18"/>
                <w:szCs w:val="18"/>
              </w:rPr>
            </w:pPr>
            <w:r>
              <w:rPr>
                <w:rFonts w:hint="eastAsia" w:hAnsi="宋体" w:cs="宋体"/>
                <w:sz w:val="18"/>
                <w:szCs w:val="18"/>
              </w:rPr>
              <w:t>宣称检测低限</w:t>
            </w:r>
            <w:r>
              <w:rPr>
                <w:rFonts w:hint="eastAsia" w:hAnsi="宋体" w:cs="宋体"/>
                <w:bCs/>
                <w:color w:val="0F1115"/>
                <w:sz w:val="18"/>
                <w:szCs w:val="18"/>
              </w:rPr>
              <w:t>≤X</w:t>
            </w:r>
            <w:r>
              <w:rPr>
                <w:rFonts w:hint="eastAsia" w:hAnsi="宋体" w:cs="宋体"/>
                <w:bCs/>
                <w:color w:val="0F1115"/>
                <w:sz w:val="18"/>
                <w:szCs w:val="18"/>
                <w:vertAlign w:val="subscript"/>
              </w:rPr>
              <w:t>1</w:t>
            </w:r>
            <w:r>
              <w:rPr>
                <w:rFonts w:hint="eastAsia" w:hAnsi="宋体" w:cs="宋体"/>
                <w:bCs/>
                <w:color w:val="0F1115"/>
                <w:sz w:val="18"/>
                <w:szCs w:val="18"/>
              </w:rPr>
              <w:t>≤1.2倍</w:t>
            </w:r>
            <w:r>
              <w:rPr>
                <w:rFonts w:hint="eastAsia" w:hAnsi="宋体" w:cs="宋体"/>
                <w:sz w:val="18"/>
                <w:szCs w:val="18"/>
              </w:rPr>
              <w:t>宣称检测低限</w:t>
            </w:r>
            <w:r>
              <w:rPr>
                <w:rFonts w:hint="eastAsia" w:hAnsi="宋体" w:cs="宋体"/>
                <w:sz w:val="18"/>
                <w:szCs w:val="18"/>
                <w:vertAlign w:val="superscript"/>
              </w:rPr>
              <w:t>a</w:t>
            </w:r>
          </w:p>
        </w:tc>
      </w:tr>
      <w:tr w14:paraId="550E4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3" w:type="dxa"/>
            <w:vAlign w:val="center"/>
          </w:tcPr>
          <w:p w14:paraId="1C26F0F9">
            <w:pPr>
              <w:pStyle w:val="39"/>
              <w:widowControl w:val="0"/>
              <w:autoSpaceDE/>
              <w:autoSpaceDN/>
              <w:adjustRightInd w:val="0"/>
              <w:spacing w:line="240" w:lineRule="auto"/>
              <w:ind w:left="0" w:firstLine="0" w:firstLineChars="0"/>
              <w:jc w:val="center"/>
              <w:rPr>
                <w:rFonts w:hAnsi="宋体" w:cs="宋体"/>
                <w:sz w:val="18"/>
                <w:szCs w:val="18"/>
              </w:rPr>
            </w:pPr>
            <w:r>
              <w:rPr>
                <w:rFonts w:hint="eastAsia" w:hAnsi="宋体" w:cs="宋体"/>
                <w:sz w:val="18"/>
                <w:szCs w:val="18"/>
              </w:rPr>
              <w:t>样品S</w:t>
            </w:r>
            <w:r>
              <w:rPr>
                <w:rFonts w:hint="eastAsia" w:hAnsi="宋体" w:cs="宋体"/>
                <w:sz w:val="18"/>
                <w:szCs w:val="18"/>
                <w:vertAlign w:val="subscript"/>
              </w:rPr>
              <w:t>2</w:t>
            </w:r>
          </w:p>
        </w:tc>
        <w:tc>
          <w:tcPr>
            <w:tcW w:w="6983" w:type="dxa"/>
            <w:vAlign w:val="center"/>
          </w:tcPr>
          <w:p w14:paraId="1CF74492">
            <w:pPr>
              <w:pStyle w:val="39"/>
              <w:widowControl w:val="0"/>
              <w:autoSpaceDE/>
              <w:autoSpaceDN/>
              <w:adjustRightInd w:val="0"/>
              <w:spacing w:line="240" w:lineRule="auto"/>
              <w:ind w:left="0" w:firstLine="0" w:firstLineChars="0"/>
              <w:jc w:val="center"/>
              <w:rPr>
                <w:rFonts w:hAnsi="宋体" w:cs="宋体"/>
                <w:sz w:val="18"/>
                <w:szCs w:val="18"/>
              </w:rPr>
            </w:pPr>
            <w:r>
              <w:rPr>
                <w:rFonts w:hint="eastAsia" w:hAnsi="宋体" w:cs="宋体"/>
                <w:bCs/>
                <w:color w:val="0F1115"/>
                <w:sz w:val="18"/>
                <w:szCs w:val="18"/>
              </w:rPr>
              <w:t>0.4倍粮食镉国家限量≤X</w:t>
            </w:r>
            <w:r>
              <w:rPr>
                <w:rFonts w:hint="eastAsia" w:hAnsi="宋体" w:cs="宋体"/>
                <w:bCs/>
                <w:color w:val="0F1115"/>
                <w:sz w:val="18"/>
                <w:szCs w:val="18"/>
                <w:vertAlign w:val="subscript"/>
              </w:rPr>
              <w:t>2</w:t>
            </w:r>
            <w:r>
              <w:rPr>
                <w:rFonts w:hint="eastAsia" w:hAnsi="宋体" w:cs="宋体"/>
                <w:bCs/>
                <w:color w:val="0F1115"/>
                <w:sz w:val="18"/>
                <w:szCs w:val="18"/>
              </w:rPr>
              <w:t>≤0.6倍粮食镉国家限量</w:t>
            </w:r>
          </w:p>
        </w:tc>
      </w:tr>
      <w:tr w14:paraId="58E5A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3" w:type="dxa"/>
            <w:vAlign w:val="center"/>
          </w:tcPr>
          <w:p w14:paraId="20A49A41">
            <w:pPr>
              <w:pStyle w:val="39"/>
              <w:widowControl w:val="0"/>
              <w:autoSpaceDE/>
              <w:autoSpaceDN/>
              <w:adjustRightInd w:val="0"/>
              <w:spacing w:line="240" w:lineRule="auto"/>
              <w:ind w:left="0" w:firstLine="0" w:firstLineChars="0"/>
              <w:jc w:val="center"/>
              <w:rPr>
                <w:rFonts w:hAnsi="宋体" w:cs="宋体"/>
                <w:sz w:val="18"/>
                <w:szCs w:val="18"/>
              </w:rPr>
            </w:pPr>
            <w:r>
              <w:rPr>
                <w:rFonts w:hint="eastAsia" w:hAnsi="宋体" w:cs="宋体"/>
                <w:sz w:val="18"/>
                <w:szCs w:val="18"/>
              </w:rPr>
              <w:t>样品S</w:t>
            </w:r>
            <w:r>
              <w:rPr>
                <w:rFonts w:hint="eastAsia" w:hAnsi="宋体" w:cs="宋体"/>
                <w:sz w:val="18"/>
                <w:szCs w:val="18"/>
                <w:vertAlign w:val="subscript"/>
              </w:rPr>
              <w:t>3</w:t>
            </w:r>
          </w:p>
        </w:tc>
        <w:tc>
          <w:tcPr>
            <w:tcW w:w="6983" w:type="dxa"/>
            <w:vAlign w:val="center"/>
          </w:tcPr>
          <w:p w14:paraId="65BE8448">
            <w:pPr>
              <w:pStyle w:val="39"/>
              <w:widowControl w:val="0"/>
              <w:autoSpaceDE/>
              <w:autoSpaceDN/>
              <w:adjustRightInd w:val="0"/>
              <w:spacing w:line="240" w:lineRule="auto"/>
              <w:ind w:left="0" w:firstLine="0" w:firstLineChars="0"/>
              <w:jc w:val="center"/>
              <w:rPr>
                <w:rFonts w:hAnsi="宋体" w:cs="宋体"/>
                <w:sz w:val="18"/>
                <w:szCs w:val="18"/>
              </w:rPr>
            </w:pPr>
            <w:r>
              <w:rPr>
                <w:rFonts w:hint="eastAsia" w:hAnsi="宋体" w:cs="宋体"/>
                <w:bCs/>
                <w:color w:val="0F1115"/>
                <w:sz w:val="18"/>
                <w:szCs w:val="18"/>
              </w:rPr>
              <w:t>0.8倍粮食镉国家限量≤X</w:t>
            </w:r>
            <w:r>
              <w:rPr>
                <w:rFonts w:hint="eastAsia" w:hAnsi="宋体" w:cs="宋体"/>
                <w:bCs/>
                <w:color w:val="0F1115"/>
                <w:sz w:val="18"/>
                <w:szCs w:val="18"/>
                <w:vertAlign w:val="subscript"/>
              </w:rPr>
              <w:t>3</w:t>
            </w:r>
            <w:r>
              <w:rPr>
                <w:rFonts w:hint="eastAsia" w:hAnsi="宋体" w:cs="宋体"/>
                <w:bCs/>
                <w:color w:val="0F1115"/>
                <w:sz w:val="18"/>
                <w:szCs w:val="18"/>
              </w:rPr>
              <w:t>≤1.2倍粮食镉国家限量</w:t>
            </w:r>
          </w:p>
        </w:tc>
      </w:tr>
      <w:tr w14:paraId="59562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3" w:type="dxa"/>
            <w:vAlign w:val="center"/>
          </w:tcPr>
          <w:p w14:paraId="7C7A927E">
            <w:pPr>
              <w:pStyle w:val="39"/>
              <w:widowControl w:val="0"/>
              <w:autoSpaceDE/>
              <w:autoSpaceDN/>
              <w:adjustRightInd w:val="0"/>
              <w:spacing w:line="240" w:lineRule="auto"/>
              <w:ind w:left="0" w:firstLine="0" w:firstLineChars="0"/>
              <w:jc w:val="center"/>
              <w:rPr>
                <w:rFonts w:hAnsi="宋体" w:cs="宋体"/>
                <w:sz w:val="18"/>
                <w:szCs w:val="18"/>
              </w:rPr>
            </w:pPr>
            <w:r>
              <w:rPr>
                <w:rFonts w:hint="eastAsia" w:hAnsi="宋体" w:cs="宋体"/>
                <w:sz w:val="18"/>
                <w:szCs w:val="18"/>
              </w:rPr>
              <w:t>样品S</w:t>
            </w:r>
            <w:r>
              <w:rPr>
                <w:rFonts w:hint="eastAsia" w:hAnsi="宋体" w:cs="宋体"/>
                <w:sz w:val="18"/>
                <w:szCs w:val="18"/>
                <w:vertAlign w:val="subscript"/>
              </w:rPr>
              <w:t>4</w:t>
            </w:r>
          </w:p>
        </w:tc>
        <w:tc>
          <w:tcPr>
            <w:tcW w:w="6983" w:type="dxa"/>
            <w:vAlign w:val="center"/>
          </w:tcPr>
          <w:p w14:paraId="0552ECE1">
            <w:pPr>
              <w:pStyle w:val="39"/>
              <w:widowControl w:val="0"/>
              <w:autoSpaceDE/>
              <w:autoSpaceDN/>
              <w:adjustRightInd w:val="0"/>
              <w:spacing w:line="240" w:lineRule="auto"/>
              <w:ind w:left="0" w:firstLine="0" w:firstLineChars="0"/>
              <w:jc w:val="center"/>
              <w:rPr>
                <w:rFonts w:hAnsi="宋体" w:cs="宋体"/>
                <w:bCs/>
                <w:color w:val="0F1115"/>
                <w:sz w:val="18"/>
                <w:szCs w:val="18"/>
              </w:rPr>
            </w:pPr>
            <w:r>
              <w:rPr>
                <w:rFonts w:hint="eastAsia" w:hAnsi="宋体" w:cs="宋体"/>
                <w:bCs/>
                <w:color w:val="0F1115"/>
                <w:sz w:val="18"/>
                <w:szCs w:val="18"/>
              </w:rPr>
              <w:t>1.4倍粮食镉国家限量≤X</w:t>
            </w:r>
            <w:r>
              <w:rPr>
                <w:rFonts w:hint="eastAsia" w:hAnsi="宋体" w:cs="宋体"/>
                <w:bCs/>
                <w:color w:val="0F1115"/>
                <w:sz w:val="18"/>
                <w:szCs w:val="18"/>
                <w:vertAlign w:val="subscript"/>
              </w:rPr>
              <w:t>4</w:t>
            </w:r>
            <w:r>
              <w:rPr>
                <w:rFonts w:hint="eastAsia" w:hAnsi="宋体" w:cs="宋体"/>
                <w:bCs/>
                <w:color w:val="0F1115"/>
                <w:sz w:val="18"/>
                <w:szCs w:val="18"/>
              </w:rPr>
              <w:t>≤1.6倍粮食镉国家限量</w:t>
            </w:r>
          </w:p>
        </w:tc>
      </w:tr>
    </w:tbl>
    <w:p w14:paraId="58FD3CB8">
      <w:pPr>
        <w:pStyle w:val="39"/>
        <w:autoSpaceDE/>
        <w:autoSpaceDN/>
        <w:adjustRightInd w:val="0"/>
        <w:spacing w:line="240" w:lineRule="auto"/>
        <w:ind w:left="0" w:firstLine="360"/>
      </w:pPr>
      <w:r>
        <w:rPr>
          <w:rFonts w:hint="eastAsia" w:ascii="黑体" w:hAnsi="黑体" w:eastAsia="黑体" w:cs="黑体"/>
          <w:sz w:val="18"/>
          <w:szCs w:val="18"/>
        </w:rPr>
        <w:t>注：</w:t>
      </w:r>
      <w:r>
        <w:rPr>
          <w:rFonts w:hint="eastAsia" w:hAnsi="宋体" w:cs="宋体"/>
          <w:sz w:val="18"/>
          <w:szCs w:val="18"/>
        </w:rPr>
        <w:t>若1.2倍宣称检测低限小于参比方法检测限，则选用</w:t>
      </w:r>
      <w:r>
        <w:rPr>
          <w:rFonts w:hint="eastAsia" w:hAnsi="宋体" w:cs="宋体"/>
          <w:bCs/>
          <w:color w:val="0F1115"/>
          <w:sz w:val="18"/>
          <w:szCs w:val="18"/>
        </w:rPr>
        <w:t>X</w:t>
      </w:r>
      <w:r>
        <w:rPr>
          <w:rFonts w:hint="eastAsia" w:hAnsi="宋体" w:cs="宋体"/>
          <w:bCs/>
          <w:color w:val="0F1115"/>
          <w:sz w:val="18"/>
          <w:szCs w:val="18"/>
          <w:vertAlign w:val="subscript"/>
        </w:rPr>
        <w:t>1</w:t>
      </w:r>
      <w:r>
        <w:rPr>
          <w:rFonts w:hint="eastAsia" w:hAnsi="宋体" w:cs="宋体"/>
          <w:sz w:val="18"/>
          <w:szCs w:val="18"/>
        </w:rPr>
        <w:t>约等于参比方法检测限的样品。</w:t>
      </w:r>
    </w:p>
    <w:p w14:paraId="060F53D0">
      <w:pPr>
        <w:pStyle w:val="38"/>
        <w:numPr>
          <w:ilvl w:val="1"/>
          <w:numId w:val="0"/>
        </w:numPr>
        <w:spacing w:before="156" w:after="156"/>
        <w:rPr>
          <w:rFonts w:hAnsi="黑体" w:cs="黑体"/>
        </w:rPr>
      </w:pPr>
      <w:r>
        <w:rPr>
          <w:rFonts w:hint="eastAsia" w:hAnsi="黑体" w:cs="黑体"/>
        </w:rPr>
        <w:t>8.3.2</w:t>
      </w:r>
      <w:r>
        <w:rPr>
          <w:rFonts w:hAnsi="黑体" w:cs="黑体"/>
        </w:rPr>
        <w:t>　</w:t>
      </w:r>
      <w:r>
        <w:rPr>
          <w:rFonts w:hint="eastAsia" w:hAnsi="黑体" w:cs="黑体"/>
        </w:rPr>
        <w:t>检测低限</w:t>
      </w:r>
    </w:p>
    <w:p w14:paraId="150EF46F">
      <w:pPr>
        <w:pStyle w:val="39"/>
        <w:rPr>
          <w:rFonts w:hAnsi="宋体" w:cs="宋体"/>
        </w:rPr>
      </w:pPr>
      <w:r>
        <w:rPr>
          <w:rFonts w:hint="eastAsia" w:hAnsi="宋体" w:cs="宋体"/>
        </w:rPr>
        <w:t>选用样品S</w:t>
      </w:r>
      <w:r>
        <w:rPr>
          <w:rFonts w:hint="eastAsia" w:hAnsi="宋体" w:cs="宋体"/>
          <w:vertAlign w:val="subscript"/>
        </w:rPr>
        <w:t>1</w:t>
      </w:r>
      <w:r>
        <w:rPr>
          <w:rFonts w:hint="eastAsia" w:hAnsi="宋体" w:cs="宋体"/>
        </w:rPr>
        <w:t>进行能量色散X-射线荧光光谱仪检测低限测试，分别进行20次检测，记录检测结果。仪器对样品S</w:t>
      </w:r>
      <w:r>
        <w:rPr>
          <w:rFonts w:hint="eastAsia" w:hAnsi="宋体" w:cs="宋体"/>
          <w:vertAlign w:val="subscript"/>
        </w:rPr>
        <w:t>1</w:t>
      </w:r>
      <w:r>
        <w:rPr>
          <w:rFonts w:hint="eastAsia" w:hAnsi="宋体" w:cs="宋体"/>
        </w:rPr>
        <w:t>可靠检出的概率达到95%及以上时，则表明该仪器的检测低限LOD</w:t>
      </w:r>
      <w:r>
        <w:rPr>
          <w:rFonts w:hint="eastAsia" w:hAnsi="宋体" w:cs="宋体"/>
          <w:bCs/>
          <w:color w:val="0F1115"/>
          <w:szCs w:val="21"/>
        </w:rPr>
        <w:t>≤</w:t>
      </w:r>
      <w:r>
        <w:rPr>
          <w:rFonts w:hint="eastAsia" w:hAnsi="宋体" w:cs="宋体"/>
          <w:szCs w:val="21"/>
        </w:rPr>
        <w:t>X</w:t>
      </w:r>
      <w:r>
        <w:rPr>
          <w:rFonts w:hint="eastAsia" w:hAnsi="宋体" w:cs="宋体"/>
          <w:szCs w:val="21"/>
          <w:vertAlign w:val="subscript"/>
        </w:rPr>
        <w:t>1</w:t>
      </w:r>
      <w:r>
        <w:rPr>
          <w:rFonts w:hint="eastAsia" w:hAnsi="宋体" w:cs="宋体"/>
        </w:rPr>
        <w:t>。</w:t>
      </w:r>
    </w:p>
    <w:p w14:paraId="79C3FDB1">
      <w:pPr>
        <w:pStyle w:val="38"/>
        <w:numPr>
          <w:ilvl w:val="1"/>
          <w:numId w:val="0"/>
        </w:numPr>
        <w:spacing w:before="156" w:after="156"/>
        <w:rPr>
          <w:rFonts w:hAnsi="黑体" w:cs="黑体"/>
        </w:rPr>
      </w:pPr>
      <w:r>
        <w:rPr>
          <w:rFonts w:hint="eastAsia" w:hAnsi="黑体" w:cs="黑体"/>
        </w:rPr>
        <w:t>8.3.3</w:t>
      </w:r>
      <w:r>
        <w:rPr>
          <w:rFonts w:hAnsi="黑体" w:cs="黑体"/>
        </w:rPr>
        <w:t>　</w:t>
      </w:r>
      <w:r>
        <w:rPr>
          <w:rFonts w:hint="eastAsia" w:hAnsi="黑体" w:cs="黑体"/>
        </w:rPr>
        <w:t>正确度和精密度</w:t>
      </w:r>
    </w:p>
    <w:p w14:paraId="6EE8786B">
      <w:pPr>
        <w:pStyle w:val="39"/>
        <w:rPr>
          <w:rFonts w:hAnsi="宋体" w:cs="宋体"/>
          <w:szCs w:val="21"/>
        </w:rPr>
      </w:pPr>
      <w:r>
        <w:rPr>
          <w:rFonts w:hint="eastAsia" w:hAnsi="宋体" w:cs="宋体"/>
          <w:szCs w:val="21"/>
        </w:rPr>
        <w:t>选用样品S</w:t>
      </w:r>
      <w:r>
        <w:rPr>
          <w:rFonts w:hint="eastAsia" w:hAnsi="宋体" w:cs="宋体"/>
          <w:szCs w:val="21"/>
          <w:vertAlign w:val="subscript"/>
        </w:rPr>
        <w:t>2</w:t>
      </w:r>
      <w:r>
        <w:rPr>
          <w:rFonts w:hint="eastAsia" w:hAnsi="宋体" w:cs="宋体"/>
          <w:szCs w:val="21"/>
        </w:rPr>
        <w:t>、S</w:t>
      </w:r>
      <w:r>
        <w:rPr>
          <w:rFonts w:hint="eastAsia" w:hAnsi="宋体" w:cs="宋体"/>
          <w:szCs w:val="21"/>
          <w:vertAlign w:val="subscript"/>
        </w:rPr>
        <w:t>3</w:t>
      </w:r>
      <w:r>
        <w:rPr>
          <w:rFonts w:hint="eastAsia" w:hAnsi="宋体" w:cs="宋体"/>
          <w:szCs w:val="21"/>
        </w:rPr>
        <w:t>、S</w:t>
      </w:r>
      <w:r>
        <w:rPr>
          <w:rFonts w:hint="eastAsia" w:hAnsi="宋体" w:cs="宋体"/>
          <w:szCs w:val="21"/>
          <w:vertAlign w:val="subscript"/>
        </w:rPr>
        <w:t>4</w:t>
      </w:r>
      <w:r>
        <w:rPr>
          <w:rFonts w:hint="eastAsia" w:hAnsi="宋体" w:cs="宋体"/>
          <w:szCs w:val="21"/>
        </w:rPr>
        <w:t>，用能量色散X-射线荧光光谱仪分别进行6次检测，检验X-射线荧光光谱仪的正确度和精密度。通过回收率(R)表征正确度,通过相对标准偏差(RSD)表征精密度，计算公式(1)和(2)如下：</w:t>
      </w:r>
    </w:p>
    <w:p w14:paraId="67608A4B">
      <w:pPr>
        <w:pStyle w:val="39"/>
        <w:rPr>
          <w:rFonts w:hAnsi="宋体" w:cs="宋体"/>
          <w:szCs w:val="21"/>
        </w:rPr>
      </w:pPr>
    </w:p>
    <w:p w14:paraId="7DA64EF6">
      <w:pPr>
        <w:pStyle w:val="39"/>
        <w:spacing w:line="360" w:lineRule="auto"/>
        <w:ind w:left="0" w:firstLine="3150" w:firstLineChars="1500"/>
        <w:jc w:val="left"/>
        <w:rPr>
          <w:rFonts w:hAnsi="宋体" w:cs="宋体"/>
          <w:szCs w:val="21"/>
        </w:rPr>
      </w:pPr>
      <m:oMath>
        <m:r>
          <m:rPr>
            <m:sty m:val="p"/>
          </m:rPr>
          <w:rPr>
            <w:rFonts w:hint="eastAsia" w:ascii="Cambria Math" w:hAnsi="Cambria Math" w:cs="宋体"/>
            <w:szCs w:val="21"/>
          </w:rPr>
          <m:t xml:space="preserve"> </m:t>
        </m:r>
        <m:sSub>
          <m:sSubPr>
            <m:ctrlPr>
              <w:rPr>
                <w:rFonts w:hint="eastAsia" w:ascii="Cambria Math" w:hAnsi="Cambria Math" w:cs="宋体"/>
                <w:szCs w:val="21"/>
              </w:rPr>
            </m:ctrlPr>
          </m:sSubPr>
          <m:e>
            <m:r>
              <m:rPr/>
              <w:rPr>
                <w:rFonts w:hint="eastAsia" w:ascii="Cambria Math" w:hAnsi="Cambria Math" w:cs="宋体"/>
                <w:szCs w:val="21"/>
              </w:rPr>
              <m:t>R</m:t>
            </m:r>
            <m:ctrlPr>
              <w:rPr>
                <w:rFonts w:hint="eastAsia" w:ascii="Cambria Math" w:hAnsi="Cambria Math" w:cs="宋体"/>
                <w:szCs w:val="21"/>
              </w:rPr>
            </m:ctrlPr>
          </m:e>
          <m:sub>
            <m:r>
              <m:rPr/>
              <w:rPr>
                <w:rFonts w:hint="eastAsia" w:ascii="Cambria Math" w:hAnsi="Cambria Math" w:cs="宋体"/>
                <w:szCs w:val="21"/>
              </w:rPr>
              <m:t>i</m:t>
            </m:r>
            <m:ctrlPr>
              <w:rPr>
                <w:rFonts w:hint="eastAsia" w:ascii="Cambria Math" w:hAnsi="Cambria Math" w:cs="宋体"/>
                <w:szCs w:val="21"/>
              </w:rPr>
            </m:ctrlPr>
          </m:sub>
        </m:sSub>
        <m:r>
          <m:rPr>
            <m:nor/>
            <m:sty m:val="p"/>
          </m:rPr>
          <w:rPr>
            <w:rFonts w:hint="eastAsia" w:ascii="Cambria Math" w:hAnsi="Cambria Math" w:cs="宋体"/>
            <w:b w:val="0"/>
            <w:i w:val="0"/>
            <w:szCs w:val="21"/>
          </w:rPr>
          <m:t>=</m:t>
        </m:r>
        <m:f>
          <m:fPr>
            <m:ctrlPr>
              <w:rPr>
                <w:rFonts w:hint="eastAsia" w:ascii="Cambria Math" w:hAnsi="Cambria Math" w:cs="宋体"/>
                <w:i/>
                <w:szCs w:val="21"/>
              </w:rPr>
            </m:ctrlPr>
          </m:fPr>
          <m:num>
            <m:sSub>
              <m:sSubPr>
                <m:ctrlPr>
                  <w:rPr>
                    <w:rFonts w:hint="eastAsia" w:ascii="Cambria Math" w:hAnsi="Cambria Math" w:cs="宋体"/>
                    <w:szCs w:val="21"/>
                  </w:rPr>
                </m:ctrlPr>
              </m:sSubPr>
              <m:e>
                <m:bar>
                  <m:barPr>
                    <m:pos m:val="top"/>
                    <m:ctrlPr>
                      <w:rPr>
                        <w:rFonts w:hint="eastAsia" w:ascii="Cambria Math" w:hAnsi="Cambria Math" w:cs="宋体"/>
                        <w:szCs w:val="21"/>
                      </w:rPr>
                    </m:ctrlPr>
                  </m:barPr>
                  <m:e>
                    <m:r>
                      <m:rPr>
                        <m:sty m:val="p"/>
                      </m:rPr>
                      <w:rPr>
                        <w:rFonts w:hint="eastAsia" w:ascii="Cambria Math" w:hAnsi="Cambria Math" w:cs="宋体"/>
                        <w:szCs w:val="21"/>
                      </w:rPr>
                      <m:t>C</m:t>
                    </m:r>
                    <m:ctrlPr>
                      <w:rPr>
                        <w:rFonts w:hint="eastAsia" w:ascii="Cambria Math" w:hAnsi="Cambria Math" w:cs="宋体"/>
                        <w:szCs w:val="21"/>
                      </w:rPr>
                    </m:ctrlPr>
                  </m:e>
                </m:bar>
                <m:ctrlPr>
                  <w:rPr>
                    <w:rFonts w:hint="eastAsia" w:ascii="Cambria Math" w:hAnsi="Cambria Math" w:cs="宋体"/>
                    <w:szCs w:val="21"/>
                  </w:rPr>
                </m:ctrlPr>
              </m:e>
              <m:sub>
                <m:r>
                  <m:rPr/>
                  <w:rPr>
                    <w:rFonts w:hint="eastAsia" w:ascii="Cambria Math" w:hAnsi="Cambria Math" w:cs="宋体"/>
                    <w:szCs w:val="21"/>
                  </w:rPr>
                  <m:t>i</m:t>
                </m:r>
                <m:ctrlPr>
                  <w:rPr>
                    <w:rFonts w:hint="eastAsia" w:ascii="Cambria Math" w:hAnsi="Cambria Math" w:cs="宋体"/>
                    <w:szCs w:val="21"/>
                  </w:rPr>
                </m:ctrlPr>
              </m:sub>
            </m:sSub>
            <m:ctrlPr>
              <w:rPr>
                <w:rFonts w:hint="eastAsia" w:ascii="Cambria Math" w:hAnsi="Cambria Math" w:cs="宋体"/>
                <w:szCs w:val="21"/>
              </w:rPr>
            </m:ctrlPr>
          </m:num>
          <m:den>
            <m:sSub>
              <m:sSubPr>
                <m:ctrlPr>
                  <w:rPr>
                    <w:rFonts w:hint="eastAsia" w:ascii="Cambria Math" w:hAnsi="Cambria Math" w:cs="宋体"/>
                    <w:szCs w:val="21"/>
                  </w:rPr>
                </m:ctrlPr>
              </m:sSubPr>
              <m:e>
                <m:r>
                  <m:rPr>
                    <m:sty m:val="p"/>
                  </m:rPr>
                  <w:rPr>
                    <w:rFonts w:hint="eastAsia" w:ascii="Cambria Math" w:hAnsi="Cambria Math" w:cs="宋体"/>
                    <w:szCs w:val="21"/>
                  </w:rPr>
                  <m:t>X</m:t>
                </m:r>
                <m:ctrlPr>
                  <w:rPr>
                    <w:rFonts w:hint="eastAsia" w:ascii="Cambria Math" w:hAnsi="Cambria Math" w:cs="宋体"/>
                    <w:szCs w:val="21"/>
                  </w:rPr>
                </m:ctrlPr>
              </m:e>
              <m:sub>
                <m:r>
                  <m:rPr/>
                  <w:rPr>
                    <w:rFonts w:hint="eastAsia" w:ascii="Cambria Math" w:hAnsi="Cambria Math" w:cs="宋体"/>
                    <w:szCs w:val="21"/>
                  </w:rPr>
                  <m:t>i</m:t>
                </m:r>
                <m:ctrlPr>
                  <w:rPr>
                    <w:rFonts w:hint="eastAsia" w:ascii="Cambria Math" w:hAnsi="Cambria Math" w:cs="宋体"/>
                    <w:szCs w:val="21"/>
                  </w:rPr>
                </m:ctrlPr>
              </m:sub>
            </m:sSub>
            <m:ctrlPr>
              <w:rPr>
                <w:rFonts w:hint="eastAsia" w:ascii="Cambria Math" w:hAnsi="Cambria Math" w:cs="宋体"/>
                <w:szCs w:val="21"/>
              </w:rPr>
            </m:ctrlPr>
          </m:den>
        </m:f>
        <m:r>
          <m:rPr>
            <m:nor/>
            <m:sty m:val="p"/>
          </m:rPr>
          <w:rPr>
            <w:rFonts w:hint="eastAsia" w:ascii="Cambria Math" w:hAnsi="Cambria Math" w:cs="宋体"/>
            <w:b w:val="0"/>
            <w:i w:val="0"/>
            <w:szCs w:val="21"/>
          </w:rPr>
          <m:t>×100%</m:t>
        </m:r>
      </m:oMath>
      <w:r>
        <w:rPr>
          <w:rFonts w:hint="eastAsia" w:hAnsi="宋体" w:cs="宋体"/>
          <w:color w:val="000000" w:themeColor="text1"/>
          <w:szCs w:val="21"/>
          <w14:textFill>
            <w14:solidFill>
              <w14:schemeClr w14:val="tx1"/>
            </w14:solidFill>
          </w14:textFill>
        </w:rPr>
        <w:t xml:space="preserve">  </w:t>
      </w:r>
      <w:r>
        <w:rPr>
          <w:rFonts w:hint="eastAsia" w:hAnsi="宋体" w:cs="宋体"/>
          <w:szCs w:val="21"/>
        </w:rPr>
        <w:t xml:space="preserve">                                        (1)                               </w:t>
      </w:r>
    </w:p>
    <w:p w14:paraId="70302CE6">
      <w:pPr>
        <w:pStyle w:val="39"/>
        <w:ind w:left="0" w:firstLine="0" w:firstLineChars="0"/>
        <w:rPr>
          <w:rFonts w:hAnsi="宋体" w:cs="宋体"/>
          <w:szCs w:val="21"/>
        </w:rPr>
      </w:pPr>
    </w:p>
    <w:p w14:paraId="03376560">
      <w:pPr>
        <w:pStyle w:val="39"/>
        <w:ind w:left="0" w:firstLine="0" w:firstLineChars="0"/>
        <w:rPr>
          <w:rFonts w:hAnsi="宋体" w:cs="宋体"/>
          <w:szCs w:val="21"/>
        </w:rPr>
      </w:pPr>
      <w:r>
        <w:rPr>
          <w:rFonts w:hint="eastAsia" w:hAnsi="宋体" w:cs="宋体"/>
          <w:szCs w:val="21"/>
        </w:rPr>
        <w:t xml:space="preserve">式中：   </w:t>
      </w:r>
      <w:r>
        <w:rPr>
          <w:rFonts w:hint="eastAsia" w:hAnsi="宋体" w:cs="宋体"/>
          <w:i/>
          <w:iCs/>
          <w:szCs w:val="21"/>
        </w:rPr>
        <w:t>R</w:t>
      </w:r>
      <w:r>
        <w:rPr>
          <w:rFonts w:hint="eastAsia" w:hAnsi="宋体" w:cs="宋体"/>
          <w:i/>
          <w:iCs/>
          <w:szCs w:val="21"/>
          <w:vertAlign w:val="subscript"/>
        </w:rPr>
        <w:t xml:space="preserve">i </w:t>
      </w:r>
      <w:r>
        <w:rPr>
          <w:rFonts w:hint="eastAsia" w:hAnsi="宋体" w:cs="宋体"/>
          <w:szCs w:val="21"/>
        </w:rPr>
        <w:t>—— 回收率，%；</w:t>
      </w:r>
    </w:p>
    <w:p w14:paraId="7F38C40D">
      <w:pPr>
        <w:pStyle w:val="39"/>
        <w:ind w:firstLine="630" w:firstLineChars="300"/>
        <w:rPr>
          <w:rFonts w:hAnsi="宋体" w:cs="宋体"/>
          <w:szCs w:val="21"/>
        </w:rPr>
      </w:pPr>
      <w:r>
        <w:rPr>
          <w:rFonts w:hint="eastAsia" w:hAnsi="宋体" w:cs="宋体"/>
          <w:szCs w:val="21"/>
        </w:rPr>
        <w:t xml:space="preserve"> </w:t>
      </w:r>
      <w:r>
        <w:rPr>
          <w:rFonts w:hint="eastAsia" w:hAnsi="宋体" w:cs="宋体"/>
          <w:position w:val="-6"/>
          <w:szCs w:val="21"/>
        </w:rPr>
        <w:t xml:space="preserve"> </w:t>
      </w:r>
      <m:oMath>
        <m:bar>
          <m:barPr>
            <m:pos m:val="top"/>
            <m:ctrlPr>
              <w:rPr>
                <w:rFonts w:hint="eastAsia" w:ascii="Cambria Math" w:hAnsi="Cambria Math" w:cs="宋体"/>
                <w:iCs/>
                <w:position w:val="-6"/>
                <w:szCs w:val="21"/>
              </w:rPr>
            </m:ctrlPr>
          </m:barPr>
          <m:e>
            <m:sSub>
              <m:sSubPr>
                <m:ctrlPr>
                  <w:rPr>
                    <w:rFonts w:hint="eastAsia" w:ascii="Cambria Math" w:hAnsi="Cambria Math" w:cs="宋体"/>
                    <w:iCs/>
                    <w:position w:val="-6"/>
                    <w:szCs w:val="21"/>
                  </w:rPr>
                </m:ctrlPr>
              </m:sSubPr>
              <m:e>
                <m:r>
                  <m:rPr>
                    <m:sty m:val="p"/>
                  </m:rPr>
                  <w:rPr>
                    <w:rFonts w:hint="eastAsia" w:ascii="Cambria Math" w:hAnsi="Cambria Math" w:cs="宋体"/>
                    <w:position w:val="-6"/>
                    <w:szCs w:val="21"/>
                  </w:rPr>
                  <m:t>C</m:t>
                </m:r>
                <m:ctrlPr>
                  <w:rPr>
                    <w:rFonts w:hint="eastAsia" w:ascii="Cambria Math" w:hAnsi="Cambria Math" w:cs="宋体"/>
                    <w:iCs/>
                    <w:position w:val="-6"/>
                    <w:szCs w:val="21"/>
                  </w:rPr>
                </m:ctrlPr>
              </m:e>
              <m:sub>
                <m:r>
                  <m:rPr>
                    <m:sty m:val="p"/>
                  </m:rPr>
                  <w:rPr>
                    <w:rFonts w:hint="eastAsia" w:ascii="Cambria Math" w:hAnsi="Cambria Math" w:cs="宋体"/>
                    <w:position w:val="-6"/>
                    <w:szCs w:val="21"/>
                  </w:rPr>
                  <m:t>i</m:t>
                </m:r>
                <m:ctrlPr>
                  <w:rPr>
                    <w:rFonts w:hint="eastAsia" w:ascii="Cambria Math" w:hAnsi="Cambria Math" w:cs="宋体"/>
                    <w:iCs/>
                    <w:position w:val="-6"/>
                    <w:szCs w:val="21"/>
                  </w:rPr>
                </m:ctrlPr>
              </m:sub>
            </m:sSub>
            <m:ctrlPr>
              <w:rPr>
                <w:rFonts w:hint="eastAsia" w:ascii="Cambria Math" w:hAnsi="Cambria Math" w:cs="宋体"/>
                <w:iCs/>
                <w:position w:val="-6"/>
                <w:szCs w:val="21"/>
              </w:rPr>
            </m:ctrlPr>
          </m:e>
        </m:bar>
      </m:oMath>
      <w:r>
        <w:rPr>
          <w:rFonts w:hint="eastAsia" w:hAnsi="宋体" w:cs="宋体"/>
          <w:iCs/>
          <w:position w:val="-6"/>
          <w:szCs w:val="21"/>
        </w:rPr>
        <w:t xml:space="preserve"> </w:t>
      </w:r>
      <w:r>
        <w:rPr>
          <w:rFonts w:hint="eastAsia" w:hAnsi="宋体" w:cs="宋体"/>
          <w:szCs w:val="21"/>
        </w:rPr>
        <w:t>—— 6次测量结果平均值，mg/kg；</w:t>
      </w:r>
    </w:p>
    <w:p w14:paraId="3FC61F0F">
      <w:pPr>
        <w:pStyle w:val="39"/>
        <w:ind w:firstLine="630" w:firstLineChars="300"/>
        <w:rPr>
          <w:rFonts w:hAnsi="宋体" w:cs="宋体"/>
          <w:szCs w:val="21"/>
        </w:rPr>
      </w:pPr>
      <w:r>
        <w:rPr>
          <w:rFonts w:hint="eastAsia" w:hAnsi="宋体" w:cs="宋体"/>
          <w:szCs w:val="21"/>
        </w:rPr>
        <w:t xml:space="preserve">  X</w:t>
      </w:r>
      <w:r>
        <w:rPr>
          <w:rFonts w:hint="eastAsia" w:hAnsi="宋体" w:cs="宋体"/>
          <w:i/>
          <w:iCs/>
          <w:szCs w:val="21"/>
          <w:vertAlign w:val="subscript"/>
        </w:rPr>
        <w:t xml:space="preserve">i </w:t>
      </w:r>
      <w:r>
        <w:rPr>
          <w:rFonts w:hint="eastAsia" w:hAnsi="宋体" w:cs="宋体"/>
          <w:szCs w:val="21"/>
        </w:rPr>
        <w:t>—— 样品</w:t>
      </w:r>
      <m:oMath>
        <m:sSub>
          <m:sSubPr>
            <m:ctrlPr>
              <w:rPr>
                <w:rFonts w:hint="eastAsia" w:ascii="Cambria Math" w:hAnsi="Cambria Math" w:cs="宋体"/>
                <w:i/>
                <w:szCs w:val="21"/>
              </w:rPr>
            </m:ctrlPr>
          </m:sSubPr>
          <m:e>
            <m:r>
              <m:rPr/>
              <w:rPr>
                <w:rFonts w:hint="eastAsia" w:ascii="Cambria Math" w:hAnsi="Cambria Math" w:cs="宋体"/>
                <w:szCs w:val="21"/>
              </w:rPr>
              <m:t>S</m:t>
            </m:r>
            <m:ctrlPr>
              <w:rPr>
                <w:rFonts w:hint="eastAsia" w:ascii="Cambria Math" w:hAnsi="Cambria Math" w:cs="宋体"/>
                <w:i/>
                <w:szCs w:val="21"/>
              </w:rPr>
            </m:ctrlPr>
          </m:e>
          <m:sub>
            <m:r>
              <m:rPr/>
              <w:rPr>
                <w:rFonts w:hint="eastAsia" w:ascii="Cambria Math" w:hAnsi="Cambria Math" w:cs="宋体"/>
                <w:szCs w:val="21"/>
              </w:rPr>
              <m:t>i</m:t>
            </m:r>
            <m:ctrlPr>
              <w:rPr>
                <w:rFonts w:hint="eastAsia" w:ascii="Cambria Math" w:hAnsi="Cambria Math" w:cs="宋体"/>
                <w:i/>
                <w:szCs w:val="21"/>
              </w:rPr>
            </m:ctrlPr>
          </m:sub>
        </m:sSub>
      </m:oMath>
      <w:r>
        <w:rPr>
          <w:rFonts w:hint="eastAsia" w:hAnsi="宋体" w:cs="宋体"/>
          <w:szCs w:val="21"/>
        </w:rPr>
        <w:t>的参考值，</w:t>
      </w:r>
      <m:oMath>
        <m:r>
          <m:rPr/>
          <w:rPr>
            <w:rFonts w:hint="eastAsia" w:ascii="Cambria Math" w:hAnsi="Cambria Math" w:cs="宋体"/>
            <w:szCs w:val="21"/>
          </w:rPr>
          <m:t>i</m:t>
        </m:r>
      </m:oMath>
      <w:r>
        <w:rPr>
          <w:rFonts w:hint="eastAsia" w:hAnsi="宋体" w:cs="宋体"/>
          <w:szCs w:val="21"/>
        </w:rPr>
        <w:t>=2,3,4，mg/kg。</w:t>
      </w:r>
    </w:p>
    <w:p w14:paraId="2EA2686E">
      <w:pPr>
        <w:pStyle w:val="39"/>
        <w:ind w:left="0" w:firstLine="0" w:firstLineChars="0"/>
        <w:rPr>
          <w:rFonts w:hAnsi="宋体" w:cs="宋体"/>
          <w:i/>
          <w:iCs/>
          <w:szCs w:val="21"/>
        </w:rPr>
      </w:pPr>
      <w:r>
        <w:rPr>
          <w:rFonts w:hint="eastAsia" w:hAnsi="宋体" w:cs="宋体"/>
          <w:i/>
          <w:iCs/>
          <w:szCs w:val="21"/>
        </w:rPr>
        <w:t xml:space="preserve">                    </w:t>
      </w:r>
    </w:p>
    <w:p w14:paraId="278CFF9B">
      <w:pPr>
        <w:pStyle w:val="39"/>
        <w:spacing w:line="240" w:lineRule="auto"/>
        <w:ind w:left="0" w:firstLine="0" w:firstLineChars="0"/>
        <w:jc w:val="left"/>
        <w:rPr>
          <w:rFonts w:hAnsi="宋体" w:cs="宋体"/>
          <w:szCs w:val="21"/>
        </w:rPr>
      </w:pPr>
      <w:r>
        <w:rPr>
          <w:rFonts w:hint="eastAsia" w:hAnsi="宋体" w:cs="宋体"/>
          <w:iCs/>
          <w:szCs w:val="21"/>
        </w:rPr>
        <w:t xml:space="preserve">                     </w:t>
      </w:r>
      <m:oMath>
        <m:sSub>
          <m:sSubPr>
            <m:ctrlPr>
              <w:rPr>
                <w:rFonts w:hint="eastAsia" w:ascii="Cambria Math" w:hAnsi="Cambria Math" w:cs="宋体"/>
                <w:i/>
                <w:iCs/>
                <w:szCs w:val="21"/>
              </w:rPr>
            </m:ctrlPr>
          </m:sSubPr>
          <m:e>
            <m:r>
              <m:rPr/>
              <w:rPr>
                <w:rFonts w:hint="eastAsia" w:ascii="Cambria Math" w:hAnsi="Cambria Math" w:cs="宋体"/>
                <w:szCs w:val="21"/>
              </w:rPr>
              <m:t>RSD</m:t>
            </m:r>
            <m:ctrlPr>
              <w:rPr>
                <w:rFonts w:hint="eastAsia" w:ascii="Cambria Math" w:hAnsi="Cambria Math" w:cs="宋体"/>
                <w:i/>
                <w:iCs/>
                <w:szCs w:val="21"/>
              </w:rPr>
            </m:ctrlPr>
          </m:e>
          <m:sub>
            <m:r>
              <m:rPr/>
              <w:rPr>
                <w:rFonts w:hint="eastAsia" w:ascii="Cambria Math" w:hAnsi="Cambria Math" w:cs="宋体"/>
                <w:szCs w:val="21"/>
              </w:rPr>
              <m:t>i</m:t>
            </m:r>
            <m:ctrlPr>
              <w:rPr>
                <w:rFonts w:hint="eastAsia" w:ascii="Cambria Math" w:hAnsi="Cambria Math" w:cs="宋体"/>
                <w:i/>
                <w:iCs/>
                <w:szCs w:val="21"/>
              </w:rPr>
            </m:ctrlPr>
          </m:sub>
        </m:sSub>
        <m:r>
          <m:rPr/>
          <w:rPr>
            <w:rFonts w:hint="eastAsia" w:ascii="Cambria Math" w:hAnsi="Cambria Math" w:cs="宋体"/>
            <w:szCs w:val="21"/>
          </w:rPr>
          <m:t>=</m:t>
        </m:r>
        <m:f>
          <m:fPr>
            <m:ctrlPr>
              <w:rPr>
                <w:rFonts w:hint="eastAsia" w:ascii="Cambria Math" w:hAnsi="Cambria Math" w:cs="宋体"/>
                <w:i/>
                <w:iCs/>
                <w:szCs w:val="21"/>
              </w:rPr>
            </m:ctrlPr>
          </m:fPr>
          <m:num>
            <m:r>
              <m:rPr/>
              <w:rPr>
                <w:rFonts w:hint="eastAsia" w:ascii="Cambria Math" w:hAnsi="Cambria Math" w:cs="宋体"/>
                <w:szCs w:val="21"/>
              </w:rPr>
              <m:t>1</m:t>
            </m:r>
            <m:ctrlPr>
              <w:rPr>
                <w:rFonts w:hint="eastAsia" w:ascii="Cambria Math" w:hAnsi="Cambria Math" w:cs="宋体"/>
                <w:i/>
                <w:iCs/>
                <w:szCs w:val="21"/>
              </w:rPr>
            </m:ctrlPr>
          </m:num>
          <m:den>
            <m:bar>
              <m:barPr>
                <m:pos m:val="top"/>
                <m:ctrlPr>
                  <w:rPr>
                    <w:rFonts w:hint="eastAsia" w:ascii="Cambria Math" w:hAnsi="Cambria Math" w:cs="宋体"/>
                    <w:i/>
                    <w:iCs/>
                    <w:szCs w:val="21"/>
                  </w:rPr>
                </m:ctrlPr>
              </m:barPr>
              <m:e>
                <m:sSub>
                  <m:sSubPr>
                    <m:ctrlPr>
                      <w:rPr>
                        <w:rFonts w:hint="eastAsia" w:ascii="Cambria Math" w:hAnsi="Cambria Math" w:cs="宋体"/>
                        <w:i/>
                        <w:iCs/>
                        <w:szCs w:val="21"/>
                      </w:rPr>
                    </m:ctrlPr>
                  </m:sSubPr>
                  <m:e>
                    <m:r>
                      <m:rPr/>
                      <w:rPr>
                        <w:rFonts w:hint="eastAsia" w:ascii="Cambria Math" w:hAnsi="Cambria Math" w:cs="宋体"/>
                        <w:szCs w:val="21"/>
                      </w:rPr>
                      <m:t>C</m:t>
                    </m:r>
                    <m:ctrlPr>
                      <w:rPr>
                        <w:rFonts w:hint="eastAsia" w:ascii="Cambria Math" w:hAnsi="Cambria Math" w:cs="宋体"/>
                        <w:i/>
                        <w:iCs/>
                        <w:szCs w:val="21"/>
                      </w:rPr>
                    </m:ctrlPr>
                  </m:e>
                  <m:sub>
                    <m:r>
                      <m:rPr/>
                      <w:rPr>
                        <w:rFonts w:hint="eastAsia" w:ascii="Cambria Math" w:hAnsi="Cambria Math" w:cs="宋体"/>
                        <w:szCs w:val="21"/>
                      </w:rPr>
                      <m:t>i</m:t>
                    </m:r>
                    <m:ctrlPr>
                      <w:rPr>
                        <w:rFonts w:hint="eastAsia" w:ascii="Cambria Math" w:hAnsi="Cambria Math" w:cs="宋体"/>
                        <w:i/>
                        <w:iCs/>
                        <w:szCs w:val="21"/>
                      </w:rPr>
                    </m:ctrlPr>
                  </m:sub>
                </m:sSub>
                <m:ctrlPr>
                  <w:rPr>
                    <w:rFonts w:hint="eastAsia" w:ascii="Cambria Math" w:hAnsi="Cambria Math" w:cs="宋体"/>
                    <w:i/>
                    <w:iCs/>
                    <w:szCs w:val="21"/>
                  </w:rPr>
                </m:ctrlPr>
              </m:e>
            </m:bar>
            <m:ctrlPr>
              <w:rPr>
                <w:rFonts w:hint="eastAsia" w:ascii="Cambria Math" w:hAnsi="Cambria Math" w:cs="宋体"/>
                <w:i/>
                <w:iCs/>
                <w:szCs w:val="21"/>
              </w:rPr>
            </m:ctrlPr>
          </m:den>
        </m:f>
        <m:rad>
          <m:radPr>
            <m:degHide m:val="1"/>
            <m:ctrlPr>
              <w:rPr>
                <w:rFonts w:hint="eastAsia" w:ascii="Cambria Math" w:hAnsi="Cambria Math" w:cs="宋体"/>
                <w:i/>
                <w:iCs/>
                <w:szCs w:val="21"/>
              </w:rPr>
            </m:ctrlPr>
          </m:radPr>
          <m:deg>
            <m:ctrlPr>
              <w:rPr>
                <w:rFonts w:hint="eastAsia" w:ascii="Cambria Math" w:hAnsi="Cambria Math" w:cs="宋体"/>
                <w:i/>
                <w:iCs/>
                <w:szCs w:val="21"/>
              </w:rPr>
            </m:ctrlPr>
          </m:deg>
          <m:e>
            <m:eqArr>
              <m:eqArrPr>
                <m:ctrlPr>
                  <w:rPr>
                    <w:rFonts w:hint="eastAsia" w:ascii="Cambria Math" w:hAnsi="Cambria Math" w:cs="宋体"/>
                    <w:i/>
                    <w:iCs/>
                    <w:szCs w:val="21"/>
                  </w:rPr>
                </m:ctrlPr>
              </m:eqArrPr>
              <m:e>
                <m:f>
                  <m:fPr>
                    <m:ctrlPr>
                      <w:rPr>
                        <w:rFonts w:hint="eastAsia" w:ascii="Cambria Math" w:hAnsi="Cambria Math" w:cs="宋体"/>
                        <w:i/>
                        <w:iCs/>
                        <w:szCs w:val="21"/>
                      </w:rPr>
                    </m:ctrlPr>
                  </m:fPr>
                  <m:num>
                    <m:nary>
                      <m:naryPr>
                        <m:chr m:val="∑"/>
                        <m:limLoc m:val="subSup"/>
                        <m:ctrlPr>
                          <w:rPr>
                            <w:rFonts w:hint="eastAsia" w:ascii="Cambria Math" w:hAnsi="Cambria Math" w:cs="宋体"/>
                            <w:i/>
                            <w:iCs/>
                            <w:szCs w:val="21"/>
                          </w:rPr>
                        </m:ctrlPr>
                      </m:naryPr>
                      <m:sub>
                        <m:r>
                          <m:rPr/>
                          <w:rPr>
                            <w:rFonts w:hint="eastAsia" w:ascii="Cambria Math" w:hAnsi="Cambria Math" w:cs="宋体"/>
                            <w:szCs w:val="21"/>
                          </w:rPr>
                          <m:t>i=1</m:t>
                        </m:r>
                        <m:ctrlPr>
                          <w:rPr>
                            <w:rFonts w:hint="eastAsia" w:ascii="Cambria Math" w:hAnsi="Cambria Math" w:cs="宋体"/>
                            <w:i/>
                            <w:iCs/>
                            <w:szCs w:val="21"/>
                          </w:rPr>
                        </m:ctrlPr>
                      </m:sub>
                      <m:sup>
                        <m:r>
                          <m:rPr/>
                          <w:rPr>
                            <w:rFonts w:hint="eastAsia" w:ascii="Cambria Math" w:hAnsi="Cambria Math" w:cs="宋体"/>
                            <w:szCs w:val="21"/>
                          </w:rPr>
                          <m:t>n</m:t>
                        </m:r>
                        <m:ctrlPr>
                          <w:rPr>
                            <w:rFonts w:hint="eastAsia" w:ascii="Cambria Math" w:hAnsi="Cambria Math" w:cs="宋体"/>
                            <w:i/>
                            <w:iCs/>
                            <w:szCs w:val="21"/>
                          </w:rPr>
                        </m:ctrlPr>
                      </m:sup>
                      <m:e>
                        <m:sSup>
                          <m:sSupPr>
                            <m:ctrlPr>
                              <w:rPr>
                                <w:rFonts w:hint="eastAsia" w:ascii="Cambria Math" w:hAnsi="Cambria Math" w:cs="宋体"/>
                                <w:i/>
                                <w:iCs/>
                                <w:szCs w:val="21"/>
                              </w:rPr>
                            </m:ctrlPr>
                          </m:sSupPr>
                          <m:e>
                            <m:d>
                              <m:dPr>
                                <m:ctrlPr>
                                  <w:rPr>
                                    <w:rFonts w:hint="eastAsia" w:ascii="Cambria Math" w:hAnsi="Cambria Math" w:cs="宋体"/>
                                    <w:i/>
                                    <w:iCs/>
                                    <w:szCs w:val="21"/>
                                  </w:rPr>
                                </m:ctrlPr>
                              </m:dPr>
                              <m:e>
                                <m:sSub>
                                  <m:sSubPr>
                                    <m:ctrlPr>
                                      <w:rPr>
                                        <w:rFonts w:hint="eastAsia" w:ascii="Cambria Math" w:hAnsi="Cambria Math" w:cs="宋体"/>
                                        <w:i/>
                                        <w:iCs/>
                                        <w:szCs w:val="21"/>
                                      </w:rPr>
                                    </m:ctrlPr>
                                  </m:sSubPr>
                                  <m:e>
                                    <m:r>
                                      <m:rPr/>
                                      <w:rPr>
                                        <w:rFonts w:hint="eastAsia" w:ascii="Cambria Math" w:hAnsi="Cambria Math" w:cs="宋体"/>
                                        <w:szCs w:val="21"/>
                                      </w:rPr>
                                      <m:t>C</m:t>
                                    </m:r>
                                    <m:ctrlPr>
                                      <w:rPr>
                                        <w:rFonts w:hint="eastAsia" w:ascii="Cambria Math" w:hAnsi="Cambria Math" w:cs="宋体"/>
                                        <w:i/>
                                        <w:iCs/>
                                        <w:szCs w:val="21"/>
                                      </w:rPr>
                                    </m:ctrlPr>
                                  </m:e>
                                  <m:sub>
                                    <m:r>
                                      <m:rPr/>
                                      <w:rPr>
                                        <w:rFonts w:hint="eastAsia" w:ascii="Cambria Math" w:hAnsi="Cambria Math" w:cs="宋体"/>
                                        <w:szCs w:val="21"/>
                                      </w:rPr>
                                      <m:t>i</m:t>
                                    </m:r>
                                    <m:ctrlPr>
                                      <w:rPr>
                                        <w:rFonts w:hint="eastAsia" w:ascii="Cambria Math" w:hAnsi="Cambria Math" w:cs="宋体"/>
                                        <w:i/>
                                        <w:iCs/>
                                        <w:szCs w:val="21"/>
                                      </w:rPr>
                                    </m:ctrlPr>
                                  </m:sub>
                                </m:sSub>
                                <m:r>
                                  <m:rPr/>
                                  <w:rPr>
                                    <w:rFonts w:hint="eastAsia" w:ascii="Cambria Math" w:hAnsi="Cambria Math" w:cs="宋体"/>
                                    <w:szCs w:val="21"/>
                                  </w:rPr>
                                  <m:t>−</m:t>
                                </m:r>
                                <m:bar>
                                  <m:barPr>
                                    <m:pos m:val="top"/>
                                    <m:ctrlPr>
                                      <w:rPr>
                                        <w:rFonts w:hint="eastAsia" w:ascii="Cambria Math" w:hAnsi="Cambria Math" w:cs="宋体"/>
                                        <w:i/>
                                        <w:iCs/>
                                        <w:szCs w:val="21"/>
                                      </w:rPr>
                                    </m:ctrlPr>
                                  </m:barPr>
                                  <m:e>
                                    <m:sSub>
                                      <m:sSubPr>
                                        <m:ctrlPr>
                                          <w:rPr>
                                            <w:rFonts w:hint="eastAsia" w:ascii="Cambria Math" w:hAnsi="Cambria Math" w:cs="宋体"/>
                                            <w:i/>
                                            <w:iCs/>
                                            <w:szCs w:val="21"/>
                                          </w:rPr>
                                        </m:ctrlPr>
                                      </m:sSubPr>
                                      <m:e>
                                        <m:r>
                                          <m:rPr/>
                                          <w:rPr>
                                            <w:rFonts w:hint="eastAsia" w:ascii="Cambria Math" w:hAnsi="Cambria Math" w:cs="宋体"/>
                                            <w:szCs w:val="21"/>
                                          </w:rPr>
                                          <m:t>C</m:t>
                                        </m:r>
                                        <m:ctrlPr>
                                          <w:rPr>
                                            <w:rFonts w:hint="eastAsia" w:ascii="Cambria Math" w:hAnsi="Cambria Math" w:cs="宋体"/>
                                            <w:i/>
                                            <w:iCs/>
                                            <w:szCs w:val="21"/>
                                          </w:rPr>
                                        </m:ctrlPr>
                                      </m:e>
                                      <m:sub>
                                        <m:r>
                                          <m:rPr/>
                                          <w:rPr>
                                            <w:rFonts w:hint="eastAsia" w:ascii="Cambria Math" w:hAnsi="Cambria Math" w:cs="宋体"/>
                                            <w:szCs w:val="21"/>
                                          </w:rPr>
                                          <m:t>i</m:t>
                                        </m:r>
                                        <m:ctrlPr>
                                          <w:rPr>
                                            <w:rFonts w:hint="eastAsia" w:ascii="Cambria Math" w:hAnsi="Cambria Math" w:cs="宋体"/>
                                            <w:i/>
                                            <w:iCs/>
                                            <w:szCs w:val="21"/>
                                          </w:rPr>
                                        </m:ctrlPr>
                                      </m:sub>
                                    </m:sSub>
                                    <m:ctrlPr>
                                      <w:rPr>
                                        <w:rFonts w:hint="eastAsia" w:ascii="Cambria Math" w:hAnsi="Cambria Math" w:cs="宋体"/>
                                        <w:i/>
                                        <w:iCs/>
                                        <w:szCs w:val="21"/>
                                      </w:rPr>
                                    </m:ctrlPr>
                                  </m:e>
                                </m:bar>
                                <m:ctrlPr>
                                  <w:rPr>
                                    <w:rFonts w:hint="eastAsia" w:ascii="Cambria Math" w:hAnsi="Cambria Math" w:cs="宋体"/>
                                    <w:i/>
                                    <w:iCs/>
                                    <w:szCs w:val="21"/>
                                  </w:rPr>
                                </m:ctrlPr>
                              </m:e>
                            </m:d>
                            <m:ctrlPr>
                              <w:rPr>
                                <w:rFonts w:hint="eastAsia" w:ascii="Cambria Math" w:hAnsi="Cambria Math" w:cs="宋体"/>
                                <w:i/>
                                <w:iCs/>
                                <w:szCs w:val="21"/>
                              </w:rPr>
                            </m:ctrlPr>
                          </m:e>
                          <m:sup>
                            <m:r>
                              <m:rPr/>
                              <w:rPr>
                                <w:rFonts w:hint="eastAsia" w:ascii="Cambria Math" w:hAnsi="Cambria Math" w:cs="宋体"/>
                                <w:szCs w:val="21"/>
                              </w:rPr>
                              <m:t>2</m:t>
                            </m:r>
                            <m:ctrlPr>
                              <w:rPr>
                                <w:rFonts w:hint="eastAsia" w:ascii="Cambria Math" w:hAnsi="Cambria Math" w:cs="宋体"/>
                                <w:i/>
                                <w:iCs/>
                                <w:szCs w:val="21"/>
                              </w:rPr>
                            </m:ctrlPr>
                          </m:sup>
                        </m:sSup>
                        <m:ctrlPr>
                          <w:rPr>
                            <w:rFonts w:hint="eastAsia" w:ascii="Cambria Math" w:hAnsi="Cambria Math" w:cs="宋体"/>
                            <w:i/>
                            <w:iCs/>
                            <w:szCs w:val="21"/>
                          </w:rPr>
                        </m:ctrlPr>
                      </m:e>
                    </m:nary>
                    <m:ctrlPr>
                      <w:rPr>
                        <w:rFonts w:hint="eastAsia" w:ascii="Cambria Math" w:hAnsi="Cambria Math" w:cs="宋体"/>
                        <w:i/>
                        <w:iCs/>
                        <w:szCs w:val="21"/>
                      </w:rPr>
                    </m:ctrlPr>
                  </m:num>
                  <m:den>
                    <m:r>
                      <m:rPr/>
                      <w:rPr>
                        <w:rFonts w:hint="eastAsia" w:ascii="Cambria Math" w:hAnsi="Cambria Math" w:cs="宋体"/>
                        <w:szCs w:val="21"/>
                      </w:rPr>
                      <m:t>n−1</m:t>
                    </m:r>
                    <m:ctrlPr>
                      <w:rPr>
                        <w:rFonts w:hint="eastAsia" w:ascii="Cambria Math" w:hAnsi="Cambria Math" w:cs="宋体"/>
                        <w:i/>
                        <w:iCs/>
                        <w:szCs w:val="21"/>
                      </w:rPr>
                    </m:ctrlPr>
                  </m:den>
                </m:f>
                <m:ctrlPr>
                  <w:rPr>
                    <w:rFonts w:hint="eastAsia" w:ascii="Cambria Math" w:hAnsi="Cambria Math" w:cs="宋体"/>
                    <w:i/>
                    <w:iCs/>
                    <w:szCs w:val="21"/>
                  </w:rPr>
                </m:ctrlPr>
              </m:e>
            </m:eqArr>
            <m:ctrlPr>
              <w:rPr>
                <w:rFonts w:hint="eastAsia" w:ascii="Cambria Math" w:hAnsi="Cambria Math" w:cs="宋体"/>
                <w:i/>
                <w:iCs/>
                <w:szCs w:val="21"/>
              </w:rPr>
            </m:ctrlPr>
          </m:e>
        </m:rad>
        <m:r>
          <m:rPr/>
          <w:rPr>
            <w:rFonts w:hint="eastAsia" w:ascii="Cambria Math" w:hAnsi="Cambria Math" w:cs="宋体"/>
            <w:szCs w:val="21"/>
          </w:rPr>
          <m:t>×100%</m:t>
        </m:r>
      </m:oMath>
      <w:r>
        <w:rPr>
          <w:rFonts w:hint="eastAsia" w:hAnsi="宋体" w:cs="宋体"/>
          <w:iCs/>
          <w:szCs w:val="21"/>
        </w:rPr>
        <w:t xml:space="preserve">                                    (2)</w:t>
      </w:r>
    </w:p>
    <w:p w14:paraId="6736A743">
      <w:pPr>
        <w:pStyle w:val="39"/>
        <w:ind w:left="0" w:firstLine="0" w:firstLineChars="0"/>
        <w:rPr>
          <w:rFonts w:hAnsi="宋体" w:cs="宋体"/>
          <w:szCs w:val="21"/>
        </w:rPr>
      </w:pPr>
    </w:p>
    <w:p w14:paraId="36BB99E5">
      <w:pPr>
        <w:pStyle w:val="39"/>
        <w:ind w:left="0" w:firstLine="0" w:firstLineChars="0"/>
        <w:rPr>
          <w:rFonts w:hAnsi="宋体" w:cs="宋体"/>
          <w:szCs w:val="21"/>
        </w:rPr>
      </w:pPr>
      <w:r>
        <w:rPr>
          <w:rFonts w:hint="eastAsia" w:hAnsi="宋体" w:cs="宋体"/>
          <w:szCs w:val="21"/>
        </w:rPr>
        <w:t xml:space="preserve">式中： </w:t>
      </w:r>
      <m:oMath>
        <m:sSub>
          <m:sSubPr>
            <m:ctrlPr>
              <w:rPr>
                <w:rFonts w:hint="eastAsia" w:ascii="Cambria Math" w:hAnsi="Cambria Math" w:cs="宋体"/>
                <w:i/>
                <w:szCs w:val="21"/>
              </w:rPr>
            </m:ctrlPr>
          </m:sSubPr>
          <m:e>
            <m:r>
              <m:rPr/>
              <w:rPr>
                <w:rFonts w:hint="eastAsia" w:ascii="Cambria Math" w:hAnsi="Cambria Math" w:cs="宋体"/>
                <w:szCs w:val="21"/>
              </w:rPr>
              <m:t>RSD</m:t>
            </m:r>
            <m:ctrlPr>
              <w:rPr>
                <w:rFonts w:hint="eastAsia" w:ascii="Cambria Math" w:hAnsi="Cambria Math" w:cs="宋体"/>
                <w:i/>
                <w:szCs w:val="21"/>
              </w:rPr>
            </m:ctrlPr>
          </m:e>
          <m:sub>
            <m:r>
              <m:rPr/>
              <w:rPr>
                <w:rFonts w:hint="eastAsia" w:ascii="Cambria Math" w:hAnsi="Cambria Math" w:cs="宋体"/>
                <w:szCs w:val="21"/>
              </w:rPr>
              <m:t>i</m:t>
            </m:r>
            <m:ctrlPr>
              <w:rPr>
                <w:rFonts w:hint="eastAsia" w:ascii="Cambria Math" w:hAnsi="Cambria Math" w:cs="宋体"/>
                <w:i/>
                <w:szCs w:val="21"/>
              </w:rPr>
            </m:ctrlPr>
          </m:sub>
        </m:sSub>
      </m:oMath>
      <w:r>
        <w:rPr>
          <w:rFonts w:hint="eastAsia" w:hAnsi="宋体" w:cs="宋体"/>
          <w:szCs w:val="21"/>
        </w:rPr>
        <w:t>—— 相对标准偏差，%，</w:t>
      </w:r>
      <w:r>
        <w:rPr>
          <w:rFonts w:hint="eastAsia" w:hAnsi="宋体" w:cs="宋体"/>
          <w:i/>
          <w:iCs/>
          <w:szCs w:val="21"/>
        </w:rPr>
        <w:t>i</w:t>
      </w:r>
      <w:r>
        <w:rPr>
          <w:rFonts w:hint="eastAsia" w:hAnsi="宋体" w:cs="宋体"/>
          <w:szCs w:val="21"/>
        </w:rPr>
        <w:t>= 2，3，4；</w:t>
      </w:r>
    </w:p>
    <w:p w14:paraId="560BB6E3">
      <w:pPr>
        <w:pStyle w:val="39"/>
        <w:ind w:firstLine="840" w:firstLineChars="400"/>
        <w:rPr>
          <w:rFonts w:hAnsi="宋体" w:cs="宋体"/>
          <w:szCs w:val="21"/>
        </w:rPr>
      </w:pPr>
      <w:r>
        <w:rPr>
          <w:rFonts w:hint="eastAsia" w:hAnsi="宋体" w:cs="宋体"/>
          <w:szCs w:val="21"/>
        </w:rPr>
        <w:t xml:space="preserve"> </w:t>
      </w:r>
      <m:oMath>
        <m:sSub>
          <m:sSubPr>
            <m:ctrlPr>
              <w:rPr>
                <w:rFonts w:hint="eastAsia" w:ascii="Cambria Math" w:hAnsi="Cambria Math" w:cs="宋体"/>
                <w:i/>
                <w:szCs w:val="21"/>
              </w:rPr>
            </m:ctrlPr>
          </m:sSubPr>
          <m:e>
            <m:r>
              <m:rPr/>
              <w:rPr>
                <w:rFonts w:hint="eastAsia" w:ascii="Cambria Math" w:hAnsi="Cambria Math" w:cs="宋体"/>
                <w:szCs w:val="21"/>
              </w:rPr>
              <m:t>C</m:t>
            </m:r>
            <m:ctrlPr>
              <w:rPr>
                <w:rFonts w:hint="eastAsia" w:ascii="Cambria Math" w:hAnsi="Cambria Math" w:cs="宋体"/>
                <w:i/>
                <w:szCs w:val="21"/>
              </w:rPr>
            </m:ctrlPr>
          </m:e>
          <m:sub>
            <m:r>
              <m:rPr/>
              <w:rPr>
                <w:rFonts w:hint="eastAsia" w:ascii="Cambria Math" w:hAnsi="Cambria Math" w:cs="宋体"/>
                <w:szCs w:val="21"/>
              </w:rPr>
              <m:t>i</m:t>
            </m:r>
            <m:ctrlPr>
              <w:rPr>
                <w:rFonts w:hint="eastAsia" w:ascii="Cambria Math" w:hAnsi="Cambria Math" w:cs="宋体"/>
                <w:i/>
                <w:szCs w:val="21"/>
              </w:rPr>
            </m:ctrlPr>
          </m:sub>
        </m:sSub>
      </m:oMath>
      <w:r>
        <w:rPr>
          <w:rFonts w:hint="eastAsia" w:hAnsi="宋体" w:cs="宋体"/>
          <w:szCs w:val="21"/>
        </w:rPr>
        <w:t>—— 单次测量值，mg/kg；</w:t>
      </w:r>
    </w:p>
    <w:p w14:paraId="1A74145C">
      <w:pPr>
        <w:pStyle w:val="39"/>
        <w:ind w:firstLine="840" w:firstLineChars="400"/>
        <w:rPr>
          <w:rFonts w:hAnsi="宋体" w:cs="宋体"/>
          <w:szCs w:val="21"/>
        </w:rPr>
      </w:pPr>
      <w:r>
        <w:rPr>
          <w:rFonts w:hint="eastAsia" w:hAnsi="宋体" w:cs="宋体"/>
          <w:szCs w:val="21"/>
        </w:rPr>
        <w:t xml:space="preserve"> </w:t>
      </w:r>
      <m:oMath>
        <m:bar>
          <m:barPr>
            <m:pos m:val="top"/>
            <m:ctrlPr>
              <w:rPr>
                <w:rFonts w:hint="eastAsia" w:ascii="Cambria Math" w:hAnsi="Cambria Math" w:cs="宋体"/>
                <w:i/>
                <w:szCs w:val="21"/>
              </w:rPr>
            </m:ctrlPr>
          </m:barPr>
          <m:e>
            <m:sSub>
              <m:sSubPr>
                <m:ctrlPr>
                  <w:rPr>
                    <w:rFonts w:hint="eastAsia" w:ascii="Cambria Math" w:hAnsi="Cambria Math" w:cs="宋体"/>
                    <w:i/>
                    <w:szCs w:val="21"/>
                  </w:rPr>
                </m:ctrlPr>
              </m:sSubPr>
              <m:e>
                <m:r>
                  <m:rPr/>
                  <w:rPr>
                    <w:rFonts w:hint="eastAsia" w:ascii="Cambria Math" w:hAnsi="Cambria Math" w:cs="宋体"/>
                    <w:szCs w:val="21"/>
                  </w:rPr>
                  <m:t>C</m:t>
                </m:r>
                <m:ctrlPr>
                  <w:rPr>
                    <w:rFonts w:hint="eastAsia" w:ascii="Cambria Math" w:hAnsi="Cambria Math" w:cs="宋体"/>
                    <w:i/>
                    <w:szCs w:val="21"/>
                  </w:rPr>
                </m:ctrlPr>
              </m:e>
              <m:sub>
                <m:r>
                  <m:rPr/>
                  <w:rPr>
                    <w:rFonts w:hint="eastAsia" w:ascii="Cambria Math" w:hAnsi="Cambria Math" w:cs="宋体"/>
                    <w:szCs w:val="21"/>
                  </w:rPr>
                  <m:t>i</m:t>
                </m:r>
                <m:ctrlPr>
                  <w:rPr>
                    <w:rFonts w:hint="eastAsia" w:ascii="Cambria Math" w:hAnsi="Cambria Math" w:cs="宋体"/>
                    <w:i/>
                    <w:szCs w:val="21"/>
                  </w:rPr>
                </m:ctrlPr>
              </m:sub>
            </m:sSub>
            <m:ctrlPr>
              <w:rPr>
                <w:rFonts w:hint="eastAsia" w:ascii="Cambria Math" w:hAnsi="Cambria Math" w:cs="宋体"/>
                <w:i/>
                <w:szCs w:val="21"/>
              </w:rPr>
            </m:ctrlPr>
          </m:e>
        </m:bar>
      </m:oMath>
      <w:r>
        <w:rPr>
          <w:rFonts w:hint="eastAsia" w:hAnsi="宋体" w:cs="宋体"/>
          <w:szCs w:val="21"/>
        </w:rPr>
        <w:t>—— 测量平均值，mg/kg；</w:t>
      </w:r>
    </w:p>
    <w:p w14:paraId="723DC47E">
      <w:pPr>
        <w:pStyle w:val="39"/>
        <w:ind w:firstLine="840" w:firstLineChars="400"/>
      </w:pPr>
      <w:r>
        <w:rPr>
          <w:rFonts w:hint="eastAsia" w:hAnsi="宋体" w:cs="宋体"/>
          <w:position w:val="-4"/>
          <w:szCs w:val="21"/>
        </w:rPr>
        <w:t xml:space="preserve"> </w:t>
      </w:r>
      <m:oMath>
        <m:r>
          <m:rPr/>
          <w:rPr>
            <w:rFonts w:hint="eastAsia" w:ascii="Cambria Math" w:hAnsi="Cambria Math" w:cs="宋体"/>
            <w:szCs w:val="21"/>
          </w:rPr>
          <m:t>n</m:t>
        </m:r>
      </m:oMath>
      <w:r>
        <w:rPr>
          <w:rFonts w:hint="eastAsia" w:hAnsi="宋体" w:cs="宋体"/>
          <w:szCs w:val="21"/>
        </w:rPr>
        <w:t xml:space="preserve"> —— 测量次数，</w:t>
      </w:r>
      <w:r>
        <w:rPr>
          <w:rFonts w:hint="eastAsia" w:hAnsi="宋体" w:cs="宋体"/>
          <w:i/>
          <w:iCs/>
          <w:szCs w:val="21"/>
        </w:rPr>
        <w:t xml:space="preserve">n </w:t>
      </w:r>
      <w:r>
        <w:rPr>
          <w:rFonts w:hint="eastAsia" w:hAnsi="宋体" w:cs="宋体"/>
          <w:szCs w:val="21"/>
        </w:rPr>
        <w:t>= 6</w:t>
      </w:r>
    </w:p>
    <w:p w14:paraId="46A80305">
      <w:pPr>
        <w:pStyle w:val="38"/>
        <w:numPr>
          <w:ilvl w:val="1"/>
          <w:numId w:val="0"/>
        </w:numPr>
        <w:spacing w:before="156" w:after="156"/>
        <w:rPr>
          <w:rFonts w:hAnsi="黑体" w:cs="黑体"/>
        </w:rPr>
      </w:pPr>
      <w:r>
        <w:rPr>
          <w:rFonts w:hint="eastAsia" w:hAnsi="黑体" w:cs="黑体"/>
        </w:rPr>
        <w:t>8.3.4</w:t>
      </w:r>
      <w:r>
        <w:rPr>
          <w:rFonts w:hAnsi="黑体" w:cs="黑体"/>
        </w:rPr>
        <w:t>　</w:t>
      </w:r>
      <w:r>
        <w:rPr>
          <w:rFonts w:hint="eastAsia" w:hAnsi="黑体" w:cs="黑体"/>
        </w:rPr>
        <w:t>台间差</w:t>
      </w:r>
    </w:p>
    <w:p w14:paraId="3688AA5D">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选用样品</w:t>
      </w:r>
      <w:r>
        <w:rPr>
          <w:rFonts w:hAnsi="宋体"/>
          <w:szCs w:val="21"/>
        </w:rPr>
        <w:t>S</w:t>
      </w:r>
      <w:r>
        <w:rPr>
          <w:rFonts w:hAnsi="宋体"/>
          <w:szCs w:val="21"/>
          <w:vertAlign w:val="subscript"/>
        </w:rPr>
        <w:t>3</w:t>
      </w:r>
      <w:r>
        <w:rPr>
          <w:rFonts w:hAnsi="宋体"/>
          <w:color w:val="000000" w:themeColor="text1"/>
          <w:szCs w:val="21"/>
          <w14:textFill>
            <w14:solidFill>
              <w14:schemeClr w14:val="tx1"/>
            </w14:solidFill>
          </w14:textFill>
        </w:rPr>
        <w:t>，用两台不同仪器分别进行</w:t>
      </w:r>
      <w:r>
        <w:rPr>
          <w:rFonts w:hAnsi="宋体"/>
          <w:szCs w:val="21"/>
        </w:rPr>
        <w:t>10</w:t>
      </w:r>
      <w:r>
        <w:rPr>
          <w:rFonts w:hAnsi="宋体"/>
          <w:color w:val="000000" w:themeColor="text1"/>
          <w:szCs w:val="21"/>
          <w14:textFill>
            <w14:solidFill>
              <w14:schemeClr w14:val="tx1"/>
            </w14:solidFill>
          </w14:textFill>
        </w:rPr>
        <w:t>次检测，采用单因子方差分析（</w:t>
      </w:r>
      <w:r>
        <w:rPr>
          <w:rFonts w:hAnsi="宋体"/>
          <w:i/>
          <w:iCs/>
          <w:szCs w:val="21"/>
        </w:rPr>
        <w:t>F</w:t>
      </w:r>
      <w:r>
        <w:rPr>
          <w:rFonts w:hAnsi="宋体"/>
          <w:color w:val="000000" w:themeColor="text1"/>
          <w:szCs w:val="21"/>
          <w14:textFill>
            <w14:solidFill>
              <w14:schemeClr w14:val="tx1"/>
            </w14:solidFill>
          </w14:textFill>
        </w:rPr>
        <w:t>检验）验证仪器台间差，公式如下：</w:t>
      </w:r>
    </w:p>
    <w:p w14:paraId="33FC7991">
      <w:pPr>
        <w:pStyle w:val="26"/>
        <w:ind w:firstLine="0" w:firstLineChars="0"/>
        <w:jc w:val="left"/>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 xml:space="preserve">每台仪器的测试平均值          </w:t>
      </w:r>
      <w:r>
        <w:rPr>
          <w:rFonts w:hAnsi="宋体"/>
          <w:color w:val="000000" w:themeColor="text1"/>
          <w:position w:val="-30"/>
          <w:szCs w:val="21"/>
          <w14:textFill>
            <w14:solidFill>
              <w14:schemeClr w14:val="tx1"/>
            </w14:solidFill>
          </w14:textFill>
        </w:rPr>
        <w:object>
          <v:shape id="_x0000_i1025" o:spt="75" type="#_x0000_t75" style="height:35pt;width:62pt;" o:ole="t" filled="f" o:preferrelative="t" stroked="f" coordsize="21600,21600">
            <v:path/>
            <v:fill on="f" focussize="0,0"/>
            <v:stroke on="f" joinstyle="miter"/>
            <v:imagedata r:id="rId13" o:title=""/>
            <o:lock v:ext="edit" aspectratio="t"/>
            <w10:wrap type="none"/>
            <w10:anchorlock/>
          </v:shape>
          <o:OLEObject Type="Embed" ProgID="Equation.3" ShapeID="_x0000_i1025" DrawAspect="Content" ObjectID="_1468075725" r:id="rId12">
            <o:LockedField>false</o:LockedField>
          </o:OLEObject>
        </w:object>
      </w:r>
      <w:r>
        <w:rPr>
          <w:rFonts w:hAnsi="宋体"/>
          <w:color w:val="000000" w:themeColor="text1"/>
          <w:szCs w:val="21"/>
          <w14:textFill>
            <w14:solidFill>
              <w14:schemeClr w14:val="tx1"/>
            </w14:solidFill>
          </w14:textFill>
        </w:rPr>
        <w:t xml:space="preserve">                                         (3)                   全部仪器测试的总平均           </w:t>
      </w:r>
      <w:r>
        <w:rPr>
          <w:rFonts w:hAnsi="宋体"/>
          <w:color w:val="000000" w:themeColor="text1"/>
          <w:position w:val="-28"/>
          <w:szCs w:val="21"/>
          <w14:textFill>
            <w14:solidFill>
              <w14:schemeClr w14:val="tx1"/>
            </w14:solidFill>
          </w14:textFill>
        </w:rPr>
        <w:object>
          <v:shape id="_x0000_i1026" o:spt="75" type="#_x0000_t75" style="height:34pt;width:55pt;" o:ole="t" filled="f" o:preferrelative="t" stroked="f" coordsize="21600,21600">
            <v:path/>
            <v:fill on="f" focussize="0,0"/>
            <v:stroke on="f" joinstyle="miter"/>
            <v:imagedata r:id="rId15" o:title=""/>
            <o:lock v:ext="edit" aspectratio="t"/>
            <w10:wrap type="none"/>
            <w10:anchorlock/>
          </v:shape>
          <o:OLEObject Type="Embed" ProgID="Equation.3" ShapeID="_x0000_i1026" DrawAspect="Content" ObjectID="_1468075726" r:id="rId14">
            <o:LockedField>false</o:LockedField>
          </o:OLEObject>
        </w:object>
      </w:r>
      <w:r>
        <w:rPr>
          <w:rFonts w:hAnsi="宋体"/>
          <w:color w:val="000000" w:themeColor="text1"/>
          <w:position w:val="-28"/>
          <w:szCs w:val="21"/>
          <w14:textFill>
            <w14:solidFill>
              <w14:schemeClr w14:val="tx1"/>
            </w14:solidFill>
          </w14:textFill>
        </w:rPr>
        <w:t xml:space="preserve">                                         (4)                          </w:t>
      </w:r>
    </w:p>
    <w:p w14:paraId="77D089F6">
      <w:pPr>
        <w:pStyle w:val="26"/>
        <w:ind w:firstLine="0" w:firstLineChars="0"/>
        <w:jc w:val="left"/>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 xml:space="preserve">测试总次数                      </w:t>
      </w:r>
      <w:r>
        <w:rPr>
          <w:rFonts w:hAnsi="宋体"/>
          <w:color w:val="000000" w:themeColor="text1"/>
          <w:position w:val="-28"/>
          <w:szCs w:val="21"/>
          <w14:textFill>
            <w14:solidFill>
              <w14:schemeClr w14:val="tx1"/>
            </w14:solidFill>
          </w14:textFill>
        </w:rPr>
        <w:object>
          <v:shape id="_x0000_i1027" o:spt="75" type="#_x0000_t75" style="height:34pt;width:49pt;" o:ole="t" filled="f" o:preferrelative="t" stroked="f" coordsize="21600,21600">
            <v:path/>
            <v:fill on="f" focussize="0,0"/>
            <v:stroke on="f" joinstyle="miter"/>
            <v:imagedata r:id="rId17" o:title=""/>
            <o:lock v:ext="edit" aspectratio="t"/>
            <w10:wrap type="none"/>
            <w10:anchorlock/>
          </v:shape>
          <o:OLEObject Type="Embed" ProgID="Equation.3" ShapeID="_x0000_i1027" DrawAspect="Content" ObjectID="_1468075727" r:id="rId16">
            <o:LockedField>false</o:LockedField>
          </o:OLEObject>
        </w:object>
      </w:r>
      <w:r>
        <w:rPr>
          <w:rFonts w:hAnsi="宋体"/>
          <w:color w:val="000000" w:themeColor="text1"/>
          <w:position w:val="-28"/>
          <w:szCs w:val="21"/>
          <w14:textFill>
            <w14:solidFill>
              <w14:schemeClr w14:val="tx1"/>
            </w14:solidFill>
          </w14:textFill>
        </w:rPr>
        <w:t xml:space="preserve">                                         (5)</w:t>
      </w:r>
    </w:p>
    <w:p w14:paraId="16499DDA">
      <w:pPr>
        <w:pStyle w:val="26"/>
        <w:ind w:firstLine="0" w:firstLineChars="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 xml:space="preserve">仪器间平方和           </w:t>
      </w:r>
      <w:r>
        <w:rPr>
          <w:rFonts w:hAnsi="宋体"/>
          <w:color w:val="000000" w:themeColor="text1"/>
          <w:position w:val="-28"/>
          <w:szCs w:val="21"/>
          <w14:textFill>
            <w14:solidFill>
              <w14:schemeClr w14:val="tx1"/>
            </w14:solidFill>
          </w14:textFill>
        </w:rPr>
        <w:object>
          <v:shape id="_x0000_i1028" o:spt="75" type="#_x0000_t75" style="height:36pt;width:88pt;" o:ole="t" filled="f" o:preferrelative="t" stroked="f" coordsize="21600,21600">
            <v:path/>
            <v:fill on="f" focussize="0,0"/>
            <v:stroke on="f" joinstyle="miter"/>
            <v:imagedata r:id="rId19" o:title=""/>
            <o:lock v:ext="edit" aspectratio="t"/>
            <w10:wrap type="none"/>
            <w10:anchorlock/>
          </v:shape>
          <o:OLEObject Type="Embed" ProgID="Equation.3" ShapeID="_x0000_i1028" DrawAspect="Content" ObjectID="_1468075728" r:id="rId18">
            <o:LockedField>false</o:LockedField>
          </o:OLEObject>
        </w:object>
      </w:r>
      <w:r>
        <w:rPr>
          <w:rFonts w:hAnsi="宋体"/>
          <w:color w:val="000000" w:themeColor="text1"/>
          <w:szCs w:val="21"/>
          <w14:textFill>
            <w14:solidFill>
              <w14:schemeClr w14:val="tx1"/>
            </w14:solidFill>
          </w14:textFill>
        </w:rPr>
        <w:t xml:space="preserve">     均方    </w:t>
      </w:r>
      <w:r>
        <w:rPr>
          <w:rFonts w:hAnsi="宋体"/>
          <w:color w:val="000000" w:themeColor="text1"/>
          <w:position w:val="-30"/>
          <w:szCs w:val="21"/>
          <w14:textFill>
            <w14:solidFill>
              <w14:schemeClr w14:val="tx1"/>
            </w14:solidFill>
          </w14:textFill>
        </w:rPr>
        <w:object>
          <v:shape id="_x0000_i1029" o:spt="75" type="#_x0000_t75" style="height:34pt;width:54pt;" o:ole="t" filled="f" o:preferrelative="t" stroked="f" coordsize="21600,21600">
            <v:path/>
            <v:fill on="f" focussize="0,0"/>
            <v:stroke on="f" joinstyle="miter"/>
            <v:imagedata r:id="rId21" o:title=""/>
            <o:lock v:ext="edit" aspectratio="t"/>
            <w10:wrap type="none"/>
            <w10:anchorlock/>
          </v:shape>
          <o:OLEObject Type="Embed" ProgID="Equation.3" ShapeID="_x0000_i1029" DrawAspect="Content" ObjectID="_1468075729" r:id="rId20">
            <o:LockedField>false</o:LockedField>
          </o:OLEObject>
        </w:object>
      </w:r>
      <w:r>
        <w:rPr>
          <w:rFonts w:hAnsi="宋体"/>
          <w:color w:val="000000" w:themeColor="text1"/>
          <w:position w:val="-30"/>
          <w:szCs w:val="21"/>
          <w14:textFill>
            <w14:solidFill>
              <w14:schemeClr w14:val="tx1"/>
            </w14:solidFill>
          </w14:textFill>
        </w:rPr>
        <w:t xml:space="preserve">                   (6)</w:t>
      </w:r>
    </w:p>
    <w:p w14:paraId="213974DC">
      <w:pPr>
        <w:pStyle w:val="26"/>
        <w:ind w:firstLine="0" w:firstLineChars="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 xml:space="preserve">仪器内平方和           </w:t>
      </w:r>
      <w:r>
        <w:rPr>
          <w:rFonts w:hAnsi="宋体"/>
          <w:color w:val="000000" w:themeColor="text1"/>
          <w:position w:val="-30"/>
          <w:szCs w:val="21"/>
          <w14:textFill>
            <w14:solidFill>
              <w14:schemeClr w14:val="tx1"/>
            </w14:solidFill>
          </w14:textFill>
        </w:rPr>
        <w:object>
          <v:shape id="_x0000_i1030" o:spt="75" type="#_x0000_t75" style="height:38pt;width:103.95pt;" o:ole="t" filled="f" o:preferrelative="t" stroked="f" coordsize="21600,21600">
            <v:path/>
            <v:fill on="f" focussize="0,0"/>
            <v:stroke on="f" joinstyle="miter"/>
            <v:imagedata r:id="rId23" o:title=""/>
            <o:lock v:ext="edit" aspectratio="t"/>
            <w10:wrap type="none"/>
            <w10:anchorlock/>
          </v:shape>
          <o:OLEObject Type="Embed" ProgID="Equation.3" ShapeID="_x0000_i1030" DrawAspect="Content" ObjectID="_1468075730" r:id="rId22">
            <o:LockedField>false</o:LockedField>
          </o:OLEObject>
        </w:object>
      </w:r>
      <w:r>
        <w:rPr>
          <w:rFonts w:hAnsi="宋体"/>
          <w:color w:val="000000" w:themeColor="text1"/>
          <w:szCs w:val="21"/>
          <w14:textFill>
            <w14:solidFill>
              <w14:schemeClr w14:val="tx1"/>
            </w14:solidFill>
          </w14:textFill>
        </w:rPr>
        <w:t xml:space="preserve">  均方   </w:t>
      </w:r>
      <w:r>
        <w:rPr>
          <w:rFonts w:hAnsi="宋体"/>
          <w:color w:val="000000" w:themeColor="text1"/>
          <w:position w:val="-30"/>
          <w:szCs w:val="21"/>
          <w14:textFill>
            <w14:solidFill>
              <w14:schemeClr w14:val="tx1"/>
            </w14:solidFill>
          </w14:textFill>
        </w:rPr>
        <w:object>
          <v:shape id="_x0000_i1031" o:spt="75" type="#_x0000_t75" style="height:34pt;width:57pt;" o:ole="t" filled="f" o:preferrelative="t" stroked="f" coordsize="21600,21600">
            <v:path/>
            <v:fill on="f" focussize="0,0"/>
            <v:stroke on="f" joinstyle="miter"/>
            <v:imagedata r:id="rId25" o:title=""/>
            <o:lock v:ext="edit" aspectratio="t"/>
            <w10:wrap type="none"/>
            <w10:anchorlock/>
          </v:shape>
          <o:OLEObject Type="Embed" ProgID="Equation.3" ShapeID="_x0000_i1031" DrawAspect="Content" ObjectID="_1468075731" r:id="rId24">
            <o:LockedField>false</o:LockedField>
          </o:OLEObject>
        </w:object>
      </w:r>
      <w:r>
        <w:rPr>
          <w:rFonts w:hAnsi="宋体"/>
          <w:color w:val="000000" w:themeColor="text1"/>
          <w:position w:val="-30"/>
          <w:szCs w:val="21"/>
          <w14:textFill>
            <w14:solidFill>
              <w14:schemeClr w14:val="tx1"/>
            </w14:solidFill>
          </w14:textFill>
        </w:rPr>
        <w:t xml:space="preserve">                   (7)</w:t>
      </w:r>
    </w:p>
    <w:p w14:paraId="3444EC65">
      <w:pPr>
        <w:pStyle w:val="26"/>
        <w:ind w:firstLine="420"/>
        <w:jc w:val="right"/>
        <w:rPr>
          <w:rFonts w:hint="default" w:hAnsi="宋体"/>
          <w:color w:val="000000" w:themeColor="text1"/>
          <w:szCs w:val="21"/>
          <w14:textFill>
            <w14:solidFill>
              <w14:schemeClr w14:val="tx1"/>
            </w14:solidFill>
          </w14:textFill>
        </w:rPr>
      </w:pPr>
    </w:p>
    <w:p w14:paraId="532DBBAD">
      <w:pPr>
        <w:pStyle w:val="26"/>
        <w:ind w:firstLine="0" w:firstLineChars="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 xml:space="preserve">自由度           </w:t>
      </w:r>
      <w:r>
        <w:rPr>
          <w:rFonts w:hAnsi="宋体"/>
          <w:color w:val="000000" w:themeColor="text1"/>
          <w:position w:val="-10"/>
          <w:szCs w:val="21"/>
          <w14:textFill>
            <w14:solidFill>
              <w14:schemeClr w14:val="tx1"/>
            </w14:solidFill>
          </w14:textFill>
        </w:rPr>
        <w:object>
          <v:shape id="_x0000_i1032" o:spt="75" type="#_x0000_t75" style="height:17pt;width:46pt;" o:ole="t" filled="f" o:preferrelative="t" stroked="f" coordsize="21600,21600">
            <v:path/>
            <v:fill on="f" focussize="0,0"/>
            <v:stroke on="f" joinstyle="miter"/>
            <v:imagedata r:id="rId27" o:title=""/>
            <o:lock v:ext="edit" aspectratio="t"/>
            <w10:wrap type="none"/>
            <w10:anchorlock/>
          </v:shape>
          <o:OLEObject Type="Embed" ProgID="Equation.3" ShapeID="_x0000_i1032" DrawAspect="Content" ObjectID="_1468075732" r:id="rId26">
            <o:LockedField>false</o:LockedField>
          </o:OLEObject>
        </w:object>
      </w:r>
      <w:r>
        <w:rPr>
          <w:rFonts w:hAnsi="宋体"/>
          <w:color w:val="000000" w:themeColor="text1"/>
          <w:szCs w:val="21"/>
          <w14:textFill>
            <w14:solidFill>
              <w14:schemeClr w14:val="tx1"/>
            </w14:solidFill>
          </w14:textFill>
        </w:rPr>
        <w:t xml:space="preserve">          </w:t>
      </w:r>
      <w:r>
        <w:rPr>
          <w:rFonts w:hAnsi="宋体"/>
          <w:color w:val="000000" w:themeColor="text1"/>
          <w:position w:val="-10"/>
          <w:szCs w:val="21"/>
          <w14:textFill>
            <w14:solidFill>
              <w14:schemeClr w14:val="tx1"/>
            </w14:solidFill>
          </w14:textFill>
        </w:rPr>
        <w:object>
          <v:shape id="_x0000_i1033" o:spt="75" type="#_x0000_t75" style="height:17pt;width:54pt;" o:ole="t" filled="f" o:preferrelative="t" stroked="f" coordsize="21600,21600">
            <v:path/>
            <v:fill on="f" focussize="0,0"/>
            <v:stroke on="f" joinstyle="miter"/>
            <v:imagedata r:id="rId29" o:title=""/>
            <o:lock v:ext="edit" aspectratio="t"/>
            <w10:wrap type="none"/>
            <w10:anchorlock/>
          </v:shape>
          <o:OLEObject Type="Embed" ProgID="Equation.3" ShapeID="_x0000_i1033" DrawAspect="Content" ObjectID="_1468075733" r:id="rId28">
            <o:LockedField>false</o:LockedField>
          </o:OLEObject>
        </w:object>
      </w:r>
      <w:r>
        <w:rPr>
          <w:rFonts w:hAnsi="宋体"/>
          <w:color w:val="000000" w:themeColor="text1"/>
          <w:position w:val="-10"/>
          <w:szCs w:val="21"/>
          <w14:textFill>
            <w14:solidFill>
              <w14:schemeClr w14:val="tx1"/>
            </w14:solidFill>
          </w14:textFill>
        </w:rPr>
        <w:t xml:space="preserve">                                    (8)</w:t>
      </w:r>
    </w:p>
    <w:p w14:paraId="1C85C5A6">
      <w:pPr>
        <w:pStyle w:val="26"/>
        <w:ind w:firstLine="0" w:firstLineChars="0"/>
        <w:jc w:val="right"/>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 xml:space="preserve">                                     </w:t>
      </w:r>
    </w:p>
    <w:p w14:paraId="52FC3710">
      <w:pPr>
        <w:pStyle w:val="26"/>
        <w:ind w:firstLine="0" w:firstLineChars="0"/>
        <w:rPr>
          <w:rFonts w:hint="default" w:hAnsi="宋体"/>
          <w:color w:val="000000" w:themeColor="text1"/>
          <w:position w:val="-30"/>
          <w:szCs w:val="21"/>
          <w14:textFill>
            <w14:solidFill>
              <w14:schemeClr w14:val="tx1"/>
            </w14:solidFill>
          </w14:textFill>
        </w:rPr>
      </w:pPr>
      <w:r>
        <w:rPr>
          <w:rFonts w:hAnsi="宋体"/>
          <w:i/>
          <w:iCs/>
          <w:color w:val="000000" w:themeColor="text1"/>
          <w:szCs w:val="21"/>
          <w14:textFill>
            <w14:solidFill>
              <w14:schemeClr w14:val="tx1"/>
            </w14:solidFill>
          </w14:textFill>
        </w:rPr>
        <w:t>F</w:t>
      </w:r>
      <w:r>
        <w:rPr>
          <w:rFonts w:hAnsi="宋体"/>
          <w:color w:val="000000" w:themeColor="text1"/>
          <w:szCs w:val="21"/>
          <w14:textFill>
            <w14:solidFill>
              <w14:schemeClr w14:val="tx1"/>
            </w14:solidFill>
          </w14:textFill>
        </w:rPr>
        <w:t xml:space="preserve">统计量                         </w:t>
      </w:r>
      <w:r>
        <w:rPr>
          <w:rFonts w:hAnsi="宋体"/>
          <w:color w:val="000000" w:themeColor="text1"/>
          <w:position w:val="-30"/>
          <w:szCs w:val="21"/>
          <w14:textFill>
            <w14:solidFill>
              <w14:schemeClr w14:val="tx1"/>
            </w14:solidFill>
          </w14:textFill>
        </w:rPr>
        <w:object>
          <v:shape id="_x0000_i1034" o:spt="75" type="#_x0000_t75" style="height:34pt;width:48pt;" o:ole="t" filled="f" o:preferrelative="t" stroked="f" coordsize="21600,21600">
            <v:path/>
            <v:fill on="f" focussize="0,0"/>
            <v:stroke on="f" joinstyle="miter"/>
            <v:imagedata r:id="rId31" o:title=""/>
            <o:lock v:ext="edit" aspectratio="t"/>
            <w10:wrap type="none"/>
            <w10:anchorlock/>
          </v:shape>
          <o:OLEObject Type="Embed" ProgID="Equation.3" ShapeID="_x0000_i1034" DrawAspect="Content" ObjectID="_1468075734" r:id="rId30">
            <o:LockedField>false</o:LockedField>
          </o:OLEObject>
        </w:object>
      </w:r>
      <w:r>
        <w:rPr>
          <w:rFonts w:hAnsi="宋体"/>
          <w:color w:val="000000" w:themeColor="text1"/>
          <w:position w:val="-30"/>
          <w:szCs w:val="21"/>
          <w14:textFill>
            <w14:solidFill>
              <w14:schemeClr w14:val="tx1"/>
            </w14:solidFill>
          </w14:textFill>
        </w:rPr>
        <w:t xml:space="preserve">                                         (9)</w:t>
      </w:r>
    </w:p>
    <w:p w14:paraId="30D93EC6">
      <w:pPr>
        <w:pStyle w:val="26"/>
        <w:spacing w:line="360" w:lineRule="auto"/>
        <w:ind w:firstLine="0" w:firstLineChars="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式中：</w:t>
      </w:r>
      <w:r>
        <w:rPr>
          <w:rFonts w:hAnsi="宋体"/>
          <w:position w:val="-6"/>
          <w:szCs w:val="21"/>
        </w:rPr>
        <w:br w:type="textWrapping"/>
      </w:r>
      <w:r>
        <w:rPr>
          <w:rFonts w:hAnsi="宋体"/>
          <w:position w:val="-6"/>
          <w:szCs w:val="21"/>
        </w:rPr>
        <w:t xml:space="preserve">      </w:t>
      </w:r>
      <m:oMath>
        <m:r>
          <m:rPr/>
          <w:rPr>
            <w:rFonts w:ascii="Cambria Math" w:hAnsi="Cambria Math"/>
            <w:szCs w:val="21"/>
          </w:rPr>
          <m:t>k</m:t>
        </m:r>
      </m:oMath>
      <w:r>
        <w:rPr>
          <w:rFonts w:hAnsi="宋体"/>
          <w:szCs w:val="21"/>
        </w:rPr>
        <w:t>——</w:t>
      </w:r>
      <w:r>
        <w:rPr>
          <w:rFonts w:hAnsi="宋体"/>
          <w:color w:val="000000" w:themeColor="text1"/>
          <w:szCs w:val="21"/>
          <w14:textFill>
            <w14:solidFill>
              <w14:schemeClr w14:val="tx1"/>
            </w14:solidFill>
          </w14:textFill>
        </w:rPr>
        <w:t>仪器台数（组数），</w:t>
      </w:r>
      <w:r>
        <w:rPr>
          <w:rFonts w:hAnsi="宋体"/>
          <w:i/>
          <w:iCs/>
          <w:color w:val="000000" w:themeColor="text1"/>
          <w:szCs w:val="21"/>
          <w14:textFill>
            <w14:solidFill>
              <w14:schemeClr w14:val="tx1"/>
            </w14:solidFill>
          </w14:textFill>
        </w:rPr>
        <w:t xml:space="preserve">k </w:t>
      </w:r>
      <w:r>
        <w:rPr>
          <w:rFonts w:hAnsi="宋体"/>
          <w:color w:val="000000" w:themeColor="text1"/>
          <w:szCs w:val="21"/>
          <w14:textFill>
            <w14:solidFill>
              <w14:schemeClr w14:val="tx1"/>
            </w14:solidFill>
          </w14:textFill>
        </w:rPr>
        <w:t>= 2；</w:t>
      </w:r>
    </w:p>
    <w:p w14:paraId="194A033B">
      <w:pPr>
        <w:pStyle w:val="26"/>
        <w:spacing w:line="360" w:lineRule="auto"/>
        <w:ind w:firstLine="630" w:firstLineChars="300"/>
        <w:rPr>
          <w:rFonts w:hint="default" w:hAnsi="宋体"/>
          <w:color w:val="000000" w:themeColor="text1"/>
          <w:szCs w:val="21"/>
          <w14:textFill>
            <w14:solidFill>
              <w14:schemeClr w14:val="tx1"/>
            </w14:solidFill>
          </w14:textFill>
        </w:rPr>
      </w:pPr>
      <m:oMath>
        <m:r>
          <m:rPr/>
          <w:rPr>
            <w:rFonts w:ascii="Cambria Math" w:hAnsi="Cambria Math"/>
            <w:szCs w:val="21"/>
          </w:rPr>
          <m:t>n</m:t>
        </m:r>
      </m:oMath>
      <w:r>
        <w:rPr>
          <w:rFonts w:hAnsi="宋体"/>
          <w:szCs w:val="21"/>
        </w:rPr>
        <w:t>——</w:t>
      </w:r>
      <w:r>
        <w:rPr>
          <w:rFonts w:hAnsi="宋体"/>
          <w:color w:val="000000" w:themeColor="text1"/>
          <w:szCs w:val="21"/>
          <w14:textFill>
            <w14:solidFill>
              <w14:schemeClr w14:val="tx1"/>
            </w14:solidFill>
          </w14:textFill>
        </w:rPr>
        <w:t>每台仪器的重复测量次数，</w:t>
      </w:r>
      <w:r>
        <w:rPr>
          <w:rFonts w:hAnsi="宋体"/>
          <w:i/>
          <w:iCs/>
          <w:color w:val="000000" w:themeColor="text1"/>
          <w:szCs w:val="21"/>
          <w14:textFill>
            <w14:solidFill>
              <w14:schemeClr w14:val="tx1"/>
            </w14:solidFill>
          </w14:textFill>
        </w:rPr>
        <w:t xml:space="preserve">n </w:t>
      </w:r>
      <w:r>
        <w:rPr>
          <w:rFonts w:hAnsi="宋体"/>
          <w:color w:val="000000" w:themeColor="text1"/>
          <w:szCs w:val="21"/>
          <w14:textFill>
            <w14:solidFill>
              <w14:schemeClr w14:val="tx1"/>
            </w14:solidFill>
          </w14:textFill>
        </w:rPr>
        <w:t>= 10；</w:t>
      </w:r>
    </w:p>
    <w:p w14:paraId="476AA4FB">
      <w:pPr>
        <w:pStyle w:val="26"/>
        <w:spacing w:line="360" w:lineRule="auto"/>
        <w:ind w:firstLine="630" w:firstLineChars="300"/>
        <w:rPr>
          <w:rFonts w:hint="default" w:hAnsi="宋体"/>
          <w:color w:val="000000" w:themeColor="text1"/>
          <w:szCs w:val="21"/>
          <w14:textFill>
            <w14:solidFill>
              <w14:schemeClr w14:val="tx1"/>
            </w14:solidFill>
          </w14:textFill>
        </w:rPr>
      </w:pPr>
      <m:oMath>
        <m:sSub>
          <m:sSubPr>
            <m:ctrlPr>
              <w:rPr>
                <w:rFonts w:ascii="Cambria Math" w:hAnsi="Cambria Math"/>
                <w:i/>
                <w:szCs w:val="21"/>
              </w:rPr>
            </m:ctrlPr>
          </m:sSubPr>
          <m:e>
            <m:r>
              <m:rPr/>
              <w:rPr>
                <w:rFonts w:ascii="Cambria Math" w:hAnsi="Cambria Math"/>
                <w:szCs w:val="21"/>
              </w:rPr>
              <m:t>x</m:t>
            </m:r>
            <m:ctrlPr>
              <w:rPr>
                <w:rFonts w:ascii="Cambria Math" w:hAnsi="Cambria Math"/>
                <w:i/>
                <w:szCs w:val="21"/>
              </w:rPr>
            </m:ctrlPr>
          </m:e>
          <m:sub>
            <m:r>
              <m:rPr/>
              <w:rPr>
                <w:rFonts w:ascii="Cambria Math" w:hAnsi="Cambria Math"/>
                <w:szCs w:val="21"/>
              </w:rPr>
              <m:t>ij</m:t>
            </m:r>
            <m:ctrlPr>
              <w:rPr>
                <w:rFonts w:ascii="Cambria Math" w:hAnsi="Cambria Math"/>
                <w:i/>
                <w:szCs w:val="21"/>
              </w:rPr>
            </m:ctrlPr>
          </m:sub>
        </m:sSub>
      </m:oMath>
      <w:r>
        <w:rPr>
          <w:rFonts w:hAnsi="宋体"/>
          <w:color w:val="000000" w:themeColor="text1"/>
          <w:szCs w:val="21"/>
          <w14:textFill>
            <w14:solidFill>
              <w14:schemeClr w14:val="tx1"/>
            </w14:solidFill>
          </w14:textFill>
        </w:rPr>
        <w:t>_{</w:t>
      </w:r>
      <m:oMath>
        <m:r>
          <m:rPr/>
          <w:rPr>
            <w:rFonts w:ascii="Cambria Math" w:hAnsi="Cambria Math"/>
            <w:szCs w:val="21"/>
          </w:rPr>
          <m:t>ij</m:t>
        </m:r>
      </m:oMath>
      <w:r>
        <w:rPr>
          <w:rFonts w:hAnsi="宋体"/>
          <w:color w:val="000000" w:themeColor="text1"/>
          <w:szCs w:val="21"/>
          <w14:textFill>
            <w14:solidFill>
              <w14:schemeClr w14:val="tx1"/>
            </w14:solidFill>
          </w14:textFill>
        </w:rPr>
        <w:t>}</w:t>
      </w:r>
      <w:r>
        <w:rPr>
          <w:rFonts w:hAnsi="宋体"/>
          <w:szCs w:val="21"/>
        </w:rPr>
        <w:t>——</w:t>
      </w:r>
      <w:r>
        <w:rPr>
          <w:rFonts w:hAnsi="宋体"/>
          <w:color w:val="000000" w:themeColor="text1"/>
          <w:szCs w:val="21"/>
          <w14:textFill>
            <w14:solidFill>
              <w14:schemeClr w14:val="tx1"/>
            </w14:solidFill>
          </w14:textFill>
        </w:rPr>
        <w:t>第</w:t>
      </w:r>
      <w:r>
        <w:rPr>
          <w:rFonts w:hAnsi="宋体"/>
          <w:i/>
          <w:iCs/>
          <w:color w:val="000000" w:themeColor="text1"/>
          <w:szCs w:val="21"/>
          <w14:textFill>
            <w14:solidFill>
              <w14:schemeClr w14:val="tx1"/>
            </w14:solidFill>
          </w14:textFill>
        </w:rPr>
        <w:t>i</w:t>
      </w:r>
      <w:r>
        <w:rPr>
          <w:rFonts w:hAnsi="宋体"/>
          <w:color w:val="000000" w:themeColor="text1"/>
          <w:szCs w:val="21"/>
          <w14:textFill>
            <w14:solidFill>
              <w14:schemeClr w14:val="tx1"/>
            </w14:solidFill>
          </w14:textFill>
        </w:rPr>
        <w:t> 台仪器的第</w:t>
      </w:r>
      <w:r>
        <w:rPr>
          <w:rFonts w:hAnsi="宋体"/>
          <w:i/>
          <w:iCs/>
          <w:color w:val="000000" w:themeColor="text1"/>
          <w:szCs w:val="21"/>
          <w14:textFill>
            <w14:solidFill>
              <w14:schemeClr w14:val="tx1"/>
            </w14:solidFill>
          </w14:textFill>
        </w:rPr>
        <w:t>j</w:t>
      </w:r>
      <w:r>
        <w:rPr>
          <w:rFonts w:hAnsi="宋体"/>
          <w:color w:val="000000" w:themeColor="text1"/>
          <w:szCs w:val="21"/>
          <w14:textFill>
            <w14:solidFill>
              <w14:schemeClr w14:val="tx1"/>
            </w14:solidFill>
          </w14:textFill>
        </w:rPr>
        <w:t>次测量值</w:t>
      </w:r>
      <w:r>
        <w:rPr>
          <w:rFonts w:hAnsi="宋体"/>
          <w:color w:val="0F1115"/>
          <w:szCs w:val="21"/>
          <w:shd w:val="clear" w:color="auto" w:fill="FFFFFF"/>
        </w:rPr>
        <w:t>(</w:t>
      </w:r>
      <w:r>
        <w:rPr>
          <w:rFonts w:hAnsi="宋体"/>
          <w:i/>
          <w:iCs/>
          <w:color w:val="0F1115"/>
          <w:szCs w:val="21"/>
          <w:shd w:val="clear" w:color="auto" w:fill="FFFFFF"/>
        </w:rPr>
        <w:t>i</w:t>
      </w:r>
      <w:r>
        <w:rPr>
          <w:rFonts w:hAnsi="宋体"/>
          <w:color w:val="0F1115"/>
          <w:szCs w:val="21"/>
          <w:shd w:val="clear" w:color="auto" w:fill="FFFFFF"/>
        </w:rPr>
        <w:t>=1,2,...,</w:t>
      </w:r>
      <w:r>
        <w:rPr>
          <w:rFonts w:hAnsi="宋体"/>
          <w:i/>
          <w:iCs/>
          <w:color w:val="0F1115"/>
          <w:szCs w:val="21"/>
          <w:shd w:val="clear" w:color="auto" w:fill="FFFFFF"/>
        </w:rPr>
        <w:t xml:space="preserve">k </w:t>
      </w:r>
      <w:r>
        <w:rPr>
          <w:rFonts w:hAnsi="宋体"/>
          <w:color w:val="0F1115"/>
          <w:szCs w:val="21"/>
          <w:shd w:val="clear" w:color="auto" w:fill="FFFFFF"/>
        </w:rPr>
        <w:t xml:space="preserve">; </w:t>
      </w:r>
      <w:r>
        <w:rPr>
          <w:rFonts w:hAnsi="宋体"/>
          <w:i/>
          <w:iCs/>
          <w:color w:val="0F1115"/>
          <w:szCs w:val="21"/>
          <w:shd w:val="clear" w:color="auto" w:fill="FFFFFF"/>
        </w:rPr>
        <w:t>j</w:t>
      </w:r>
      <w:r>
        <w:rPr>
          <w:rFonts w:hAnsi="宋体"/>
          <w:color w:val="0F1115"/>
          <w:szCs w:val="21"/>
          <w:shd w:val="clear" w:color="auto" w:fill="FFFFFF"/>
        </w:rPr>
        <w:t>=1,2,...,</w:t>
      </w:r>
      <w:r>
        <w:rPr>
          <w:rFonts w:hAnsi="宋体"/>
          <w:i/>
          <w:iCs/>
          <w:color w:val="0F1115"/>
          <w:szCs w:val="21"/>
          <w:shd w:val="clear" w:color="auto" w:fill="FFFFFF"/>
        </w:rPr>
        <w:t>n</w:t>
      </w:r>
      <w:r>
        <w:rPr>
          <w:rFonts w:hAnsi="宋体"/>
          <w:color w:val="0F1115"/>
          <w:szCs w:val="21"/>
          <w:shd w:val="clear" w:color="auto" w:fill="FFFFFF"/>
        </w:rPr>
        <w:t>)。</w:t>
      </w:r>
    </w:p>
    <w:p w14:paraId="61481403">
      <w:pPr>
        <w:pStyle w:val="38"/>
        <w:numPr>
          <w:ilvl w:val="1"/>
          <w:numId w:val="0"/>
        </w:numPr>
        <w:spacing w:before="156" w:after="156"/>
        <w:rPr>
          <w:rFonts w:hAnsi="黑体" w:cs="黑体"/>
        </w:rPr>
      </w:pPr>
      <w:r>
        <w:rPr>
          <w:rFonts w:hint="eastAsia" w:hAnsi="黑体" w:cs="黑体"/>
        </w:rPr>
        <w:t>8.3.5</w:t>
      </w:r>
      <w:r>
        <w:rPr>
          <w:rFonts w:hAnsi="黑体" w:cs="黑体"/>
        </w:rPr>
        <w:t>　</w:t>
      </w:r>
      <w:r>
        <w:rPr>
          <w:rFonts w:hint="eastAsia" w:hAnsi="黑体" w:cs="黑体"/>
        </w:rPr>
        <w:t>短期稳定性</w:t>
      </w:r>
    </w:p>
    <w:p w14:paraId="2534A756">
      <w:pPr>
        <w:pStyle w:val="26"/>
        <w:ind w:firstLine="420"/>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选用样品S</w:t>
      </w:r>
      <w:r>
        <w:rPr>
          <w:rFonts w:hAnsi="宋体"/>
          <w:color w:val="000000" w:themeColor="text1"/>
          <w:szCs w:val="21"/>
          <w:vertAlign w:val="subscript"/>
          <w14:textFill>
            <w14:solidFill>
              <w14:schemeClr w14:val="tx1"/>
            </w14:solidFill>
          </w14:textFill>
        </w:rPr>
        <w:t>3</w:t>
      </w:r>
      <w:r>
        <w:rPr>
          <w:rFonts w:hAnsi="宋体"/>
          <w:color w:val="000000" w:themeColor="text1"/>
          <w:szCs w:val="21"/>
          <w14:textFill>
            <w14:solidFill>
              <w14:schemeClr w14:val="tx1"/>
            </w14:solidFill>
          </w14:textFill>
        </w:rPr>
        <w:t>，用</w:t>
      </w:r>
      <w:r>
        <w:rPr>
          <w:rFonts w:hint="eastAsia" w:hAnsi="宋体"/>
          <w:color w:val="000000" w:themeColor="text1"/>
          <w:szCs w:val="21"/>
          <w14:textFill>
            <w14:solidFill>
              <w14:schemeClr w14:val="tx1"/>
            </w14:solidFill>
          </w14:textFill>
        </w:rPr>
        <w:t>能量色散X-射线荧光光谱仪</w:t>
      </w:r>
      <w:r>
        <w:rPr>
          <w:rFonts w:hAnsi="宋体"/>
          <w:color w:val="000000" w:themeColor="text1"/>
          <w:szCs w:val="21"/>
          <w14:textFill>
            <w14:solidFill>
              <w14:schemeClr w14:val="tx1"/>
            </w14:solidFill>
          </w14:textFill>
        </w:rPr>
        <w:t>每小时测量一次，持续测量8小时,测量结果通过t检验法统计计算来检验</w:t>
      </w:r>
      <w:r>
        <w:rPr>
          <w:rFonts w:hint="eastAsia" w:hAnsi="宋体"/>
          <w:color w:val="000000" w:themeColor="text1"/>
          <w:szCs w:val="21"/>
          <w14:textFill>
            <w14:solidFill>
              <w14:schemeClr w14:val="tx1"/>
            </w14:solidFill>
          </w14:textFill>
        </w:rPr>
        <w:t>能量色散X-射线荧光光谱仪</w:t>
      </w:r>
      <w:r>
        <w:rPr>
          <w:rFonts w:hAnsi="宋体"/>
          <w:color w:val="000000" w:themeColor="text1"/>
          <w:szCs w:val="21"/>
          <w14:textFill>
            <w14:solidFill>
              <w14:schemeClr w14:val="tx1"/>
            </w14:solidFill>
          </w14:textFill>
        </w:rPr>
        <w:t>的短期稳定性,具体计算公式见公式(10)：</w:t>
      </w:r>
    </w:p>
    <w:p w14:paraId="70044576">
      <w:pPr>
        <w:pStyle w:val="26"/>
        <w:ind w:firstLine="0" w:firstLineChars="0"/>
        <w:jc w:val="center"/>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 xml:space="preserve">                                    </w:t>
      </w:r>
      <m:oMath>
        <m:r>
          <m:rPr/>
          <w:rPr>
            <w:rFonts w:ascii="Cambria Math" w:hAnsi="Cambria Math"/>
            <w:color w:val="000000" w:themeColor="text1"/>
            <w:szCs w:val="21"/>
            <w14:textFill>
              <w14:solidFill>
                <w14:schemeClr w14:val="tx1"/>
              </w14:solidFill>
            </w14:textFill>
          </w:rPr>
          <m:t>t=</m:t>
        </m:r>
        <m:f>
          <m:fPr>
            <m:ctrlPr>
              <w:rPr>
                <w:rFonts w:ascii="Cambria Math" w:hAnsi="Cambria Math"/>
                <w:i/>
                <w:iCs/>
                <w:color w:val="000000" w:themeColor="text1"/>
                <w:szCs w:val="21"/>
                <w14:textFill>
                  <w14:solidFill>
                    <w14:schemeClr w14:val="tx1"/>
                  </w14:solidFill>
                </w14:textFill>
              </w:rPr>
            </m:ctrlPr>
          </m:fPr>
          <m:num>
            <m:d>
              <m:dPr>
                <m:begChr m:val="|"/>
                <m:endChr m:val="|"/>
                <m:ctrlPr>
                  <w:rPr>
                    <w:rFonts w:ascii="Cambria Math" w:hAnsi="Cambria Math"/>
                    <w:i/>
                    <w:iCs/>
                    <w:color w:val="000000" w:themeColor="text1"/>
                    <w:szCs w:val="21"/>
                    <w14:textFill>
                      <w14:solidFill>
                        <w14:schemeClr w14:val="tx1"/>
                      </w14:solidFill>
                    </w14:textFill>
                  </w:rPr>
                </m:ctrlPr>
              </m:dPr>
              <m:e>
                <m:bar>
                  <m:barPr>
                    <m:pos m:val="top"/>
                    <m:ctrlPr>
                      <w:rPr>
                        <w:rFonts w:ascii="Cambria Math" w:hAnsi="Cambria Math"/>
                        <w:i/>
                        <w:iCs/>
                        <w:color w:val="000000" w:themeColor="text1"/>
                        <w:szCs w:val="21"/>
                        <w14:textFill>
                          <w14:solidFill>
                            <w14:schemeClr w14:val="tx1"/>
                          </w14:solidFill>
                        </w14:textFill>
                      </w:rPr>
                    </m:ctrlPr>
                  </m:barPr>
                  <m:e>
                    <m:r>
                      <m:rPr/>
                      <w:rPr>
                        <w:rFonts w:ascii="Cambria Math" w:hAnsi="Cambria Math"/>
                        <w:color w:val="000000" w:themeColor="text1"/>
                        <w:szCs w:val="21"/>
                        <w14:textFill>
                          <w14:solidFill>
                            <w14:schemeClr w14:val="tx1"/>
                          </w14:solidFill>
                        </w14:textFill>
                      </w:rPr>
                      <m:t>C</m:t>
                    </m:r>
                    <m:ctrlPr>
                      <w:rPr>
                        <w:rFonts w:ascii="Cambria Math" w:hAnsi="Cambria Math"/>
                        <w:i/>
                        <w:iCs/>
                        <w:color w:val="000000" w:themeColor="text1"/>
                        <w:szCs w:val="21"/>
                        <w14:textFill>
                          <w14:solidFill>
                            <w14:schemeClr w14:val="tx1"/>
                          </w14:solidFill>
                        </w14:textFill>
                      </w:rPr>
                    </m:ctrlPr>
                  </m:e>
                </m:bar>
                <m:r>
                  <m:rPr/>
                  <w:rPr>
                    <w:rFonts w:ascii="Cambria Math" w:hAnsi="Cambria Math"/>
                    <w:color w:val="000000" w:themeColor="text1"/>
                    <w:szCs w:val="21"/>
                    <w14:textFill>
                      <w14:solidFill>
                        <w14:schemeClr w14:val="tx1"/>
                      </w14:solidFill>
                    </w14:textFill>
                  </w:rPr>
                  <m:t>−</m:t>
                </m:r>
                <m:sSub>
                  <m:sSubPr>
                    <m:ctrlPr>
                      <w:rPr>
                        <w:rFonts w:ascii="Cambria Math" w:hAnsi="Cambria Math"/>
                        <w:i/>
                        <w:iCs/>
                        <w:color w:val="000000" w:themeColor="text1"/>
                        <w:szCs w:val="21"/>
                        <w14:textFill>
                          <w14:solidFill>
                            <w14:schemeClr w14:val="tx1"/>
                          </w14:solidFill>
                        </w14:textFill>
                      </w:rPr>
                    </m:ctrlPr>
                  </m:sSubPr>
                  <m:e>
                    <m:r>
                      <m:rPr/>
                      <w:rPr>
                        <w:rFonts w:ascii="Cambria Math" w:hAnsi="Cambria Math"/>
                        <w:color w:val="000000" w:themeColor="text1"/>
                        <w:szCs w:val="21"/>
                        <w14:textFill>
                          <w14:solidFill>
                            <w14:schemeClr w14:val="tx1"/>
                          </w14:solidFill>
                        </w14:textFill>
                      </w:rPr>
                      <m:t>X</m:t>
                    </m:r>
                    <m:ctrlPr>
                      <w:rPr>
                        <w:rFonts w:ascii="Cambria Math" w:hAnsi="Cambria Math"/>
                        <w:i/>
                        <w:iCs/>
                        <w:color w:val="000000" w:themeColor="text1"/>
                        <w:szCs w:val="21"/>
                        <w14:textFill>
                          <w14:solidFill>
                            <w14:schemeClr w14:val="tx1"/>
                          </w14:solidFill>
                        </w14:textFill>
                      </w:rPr>
                    </m:ctrlPr>
                  </m:e>
                  <m:sub>
                    <m:r>
                      <m:rPr/>
                      <w:rPr>
                        <w:rFonts w:ascii="Cambria Math" w:hAnsi="Cambria Math"/>
                        <w:color w:val="000000" w:themeColor="text1"/>
                        <w:szCs w:val="21"/>
                        <w14:textFill>
                          <w14:solidFill>
                            <w14:schemeClr w14:val="tx1"/>
                          </w14:solidFill>
                        </w14:textFill>
                      </w:rPr>
                      <m:t>3</m:t>
                    </m:r>
                    <m:ctrlPr>
                      <w:rPr>
                        <w:rFonts w:ascii="Cambria Math" w:hAnsi="Cambria Math"/>
                        <w:i/>
                        <w:iCs/>
                        <w:color w:val="000000" w:themeColor="text1"/>
                        <w:szCs w:val="21"/>
                        <w14:textFill>
                          <w14:solidFill>
                            <w14:schemeClr w14:val="tx1"/>
                          </w14:solidFill>
                        </w14:textFill>
                      </w:rPr>
                    </m:ctrlPr>
                  </m:sub>
                </m:sSub>
                <m:ctrlPr>
                  <w:rPr>
                    <w:rFonts w:ascii="Cambria Math" w:hAnsi="Cambria Math"/>
                    <w:i/>
                    <w:iCs/>
                    <w:color w:val="000000" w:themeColor="text1"/>
                    <w:szCs w:val="21"/>
                    <w14:textFill>
                      <w14:solidFill>
                        <w14:schemeClr w14:val="tx1"/>
                      </w14:solidFill>
                    </w14:textFill>
                  </w:rPr>
                </m:ctrlPr>
              </m:e>
            </m:d>
            <m:rad>
              <m:radPr>
                <m:degHide m:val="1"/>
                <m:ctrlPr>
                  <w:rPr>
                    <w:rFonts w:ascii="Cambria Math" w:hAnsi="Cambria Math"/>
                    <w:i/>
                    <w:iCs/>
                    <w:color w:val="000000" w:themeColor="text1"/>
                    <w:szCs w:val="21"/>
                    <w14:textFill>
                      <w14:solidFill>
                        <w14:schemeClr w14:val="tx1"/>
                      </w14:solidFill>
                    </w14:textFill>
                  </w:rPr>
                </m:ctrlPr>
              </m:radPr>
              <m:deg>
                <m:ctrlPr>
                  <w:rPr>
                    <w:rFonts w:ascii="Cambria Math" w:hAnsi="Cambria Math"/>
                    <w:i/>
                    <w:iCs/>
                    <w:color w:val="000000" w:themeColor="text1"/>
                    <w:szCs w:val="21"/>
                    <w14:textFill>
                      <w14:solidFill>
                        <w14:schemeClr w14:val="tx1"/>
                      </w14:solidFill>
                    </w14:textFill>
                  </w:rPr>
                </m:ctrlPr>
              </m:deg>
              <m:e>
                <m:r>
                  <m:rPr/>
                  <w:rPr>
                    <w:rFonts w:ascii="Cambria Math" w:hAnsi="Cambria Math"/>
                    <w:color w:val="000000" w:themeColor="text1"/>
                    <w:szCs w:val="21"/>
                    <w14:textFill>
                      <w14:solidFill>
                        <w14:schemeClr w14:val="tx1"/>
                      </w14:solidFill>
                    </w14:textFill>
                  </w:rPr>
                  <m:t>n</m:t>
                </m:r>
                <m:ctrlPr>
                  <w:rPr>
                    <w:rFonts w:ascii="Cambria Math" w:hAnsi="Cambria Math"/>
                    <w:i/>
                    <w:iCs/>
                    <w:color w:val="000000" w:themeColor="text1"/>
                    <w:szCs w:val="21"/>
                    <w14:textFill>
                      <w14:solidFill>
                        <w14:schemeClr w14:val="tx1"/>
                      </w14:solidFill>
                    </w14:textFill>
                  </w:rPr>
                </m:ctrlPr>
              </m:e>
            </m:rad>
            <m:ctrlPr>
              <w:rPr>
                <w:rFonts w:ascii="Cambria Math" w:hAnsi="Cambria Math"/>
                <w:i/>
                <w:iCs/>
                <w:color w:val="000000" w:themeColor="text1"/>
                <w:szCs w:val="21"/>
                <w14:textFill>
                  <w14:solidFill>
                    <w14:schemeClr w14:val="tx1"/>
                  </w14:solidFill>
                </w14:textFill>
              </w:rPr>
            </m:ctrlPr>
          </m:num>
          <m:den>
            <m:r>
              <m:rPr/>
              <w:rPr>
                <w:rFonts w:ascii="Cambria Math" w:hAnsi="Cambria Math"/>
                <w:color w:val="000000" w:themeColor="text1"/>
                <w:szCs w:val="21"/>
                <w14:textFill>
                  <w14:solidFill>
                    <w14:schemeClr w14:val="tx1"/>
                  </w14:solidFill>
                </w14:textFill>
              </w:rPr>
              <m:t>S</m:t>
            </m:r>
            <m:ctrlPr>
              <w:rPr>
                <w:rFonts w:ascii="Cambria Math" w:hAnsi="Cambria Math"/>
                <w:i/>
                <w:iCs/>
                <w:color w:val="000000" w:themeColor="text1"/>
                <w:szCs w:val="21"/>
                <w14:textFill>
                  <w14:solidFill>
                    <w14:schemeClr w14:val="tx1"/>
                  </w14:solidFill>
                </w14:textFill>
              </w:rPr>
            </m:ctrlPr>
          </m:den>
        </m:f>
      </m:oMath>
      <w:r>
        <w:rPr>
          <w:rFonts w:hAnsi="宋体"/>
          <w:color w:val="000000" w:themeColor="text1"/>
          <w:szCs w:val="21"/>
          <w14:textFill>
            <w14:solidFill>
              <w14:schemeClr w14:val="tx1"/>
            </w14:solidFill>
          </w14:textFill>
        </w:rPr>
        <w:t xml:space="preserve">                                    (10)</w:t>
      </w:r>
    </w:p>
    <w:p w14:paraId="6EE9BB0C">
      <w:pPr>
        <w:pStyle w:val="26"/>
        <w:spacing w:line="360" w:lineRule="auto"/>
        <w:ind w:firstLine="0" w:firstLineChars="0"/>
        <w:jc w:val="left"/>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 xml:space="preserve">式中：  </w:t>
      </w:r>
      <m:oMath>
        <m:bar>
          <m:barPr>
            <m:pos m:val="top"/>
            <m:ctrlPr>
              <w:rPr>
                <w:rFonts w:ascii="Cambria Math" w:hAnsi="Cambria Math"/>
                <w:i/>
                <w:color w:val="000000" w:themeColor="text1"/>
                <w:position w:val="-6"/>
                <w:szCs w:val="21"/>
                <w14:textFill>
                  <w14:solidFill>
                    <w14:schemeClr w14:val="tx1"/>
                  </w14:solidFill>
                </w14:textFill>
              </w:rPr>
            </m:ctrlPr>
          </m:barPr>
          <m:e>
            <m:r>
              <m:rPr/>
              <w:rPr>
                <w:rFonts w:ascii="Cambria Math" w:hAnsi="Cambria Math"/>
                <w:color w:val="000000" w:themeColor="text1"/>
                <w:position w:val="-6"/>
                <w:szCs w:val="21"/>
                <w14:textFill>
                  <w14:solidFill>
                    <w14:schemeClr w14:val="tx1"/>
                  </w14:solidFill>
                </w14:textFill>
              </w:rPr>
              <m:t>c</m:t>
            </m:r>
            <m:ctrlPr>
              <w:rPr>
                <w:rFonts w:ascii="Cambria Math" w:hAnsi="Cambria Math"/>
                <w:i/>
                <w:color w:val="000000" w:themeColor="text1"/>
                <w:position w:val="-6"/>
                <w:szCs w:val="21"/>
                <w14:textFill>
                  <w14:solidFill>
                    <w14:schemeClr w14:val="tx1"/>
                  </w14:solidFill>
                </w14:textFill>
              </w:rPr>
            </m:ctrlPr>
          </m:e>
        </m:bar>
      </m:oMath>
      <w:r>
        <w:rPr>
          <w:rFonts w:hAnsi="宋体"/>
          <w:color w:val="000000" w:themeColor="text1"/>
          <w:position w:val="-6"/>
          <w:szCs w:val="21"/>
          <w14:textFill>
            <w14:solidFill>
              <w14:schemeClr w14:val="tx1"/>
            </w14:solidFill>
          </w14:textFill>
        </w:rPr>
        <w:t xml:space="preserve"> </w:t>
      </w:r>
      <w:r>
        <w:rPr>
          <w:rFonts w:hAnsi="宋体"/>
          <w:color w:val="000000" w:themeColor="text1"/>
          <w:szCs w:val="21"/>
          <w14:textFill>
            <w14:solidFill>
              <w14:schemeClr w14:val="tx1"/>
            </w14:solidFill>
          </w14:textFill>
        </w:rPr>
        <w:t xml:space="preserve">-- </w:t>
      </w:r>
      <w:r>
        <w:rPr>
          <w:rFonts w:hAnsi="宋体"/>
          <w:i/>
          <w:iCs/>
          <w:color w:val="000000" w:themeColor="text1"/>
          <w:szCs w:val="21"/>
          <w14:textFill>
            <w14:solidFill>
              <w14:schemeClr w14:val="tx1"/>
            </w14:solidFill>
          </w14:textFill>
        </w:rPr>
        <w:t>n</w:t>
      </w:r>
      <w:r>
        <w:rPr>
          <w:rFonts w:hAnsi="宋体"/>
          <w:color w:val="000000" w:themeColor="text1"/>
          <w:szCs w:val="21"/>
          <w14:textFill>
            <w14:solidFill>
              <w14:schemeClr w14:val="tx1"/>
            </w14:solidFill>
          </w14:textFill>
        </w:rPr>
        <w:t>次测量的平均值，mg/kg；</w:t>
      </w:r>
    </w:p>
    <w:p w14:paraId="17B9ACE1">
      <w:pPr>
        <w:pStyle w:val="26"/>
        <w:spacing w:line="360" w:lineRule="auto"/>
        <w:ind w:firstLine="0" w:firstLineChars="0"/>
        <w:jc w:val="left"/>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 xml:space="preserve">        </w:t>
      </w:r>
      <w:r>
        <w:rPr>
          <w:rFonts w:hAnsi="宋体"/>
          <w:i/>
          <w:iCs/>
          <w:color w:val="000000" w:themeColor="text1"/>
          <w:szCs w:val="21"/>
          <w14:textFill>
            <w14:solidFill>
              <w14:schemeClr w14:val="tx1"/>
            </w14:solidFill>
          </w14:textFill>
        </w:rPr>
        <w:t>X</w:t>
      </w:r>
      <w:r>
        <w:rPr>
          <w:rFonts w:hAnsi="宋体"/>
          <w:i/>
          <w:iCs/>
          <w:color w:val="000000" w:themeColor="text1"/>
          <w:szCs w:val="21"/>
          <w:vertAlign w:val="subscript"/>
          <w14:textFill>
            <w14:solidFill>
              <w14:schemeClr w14:val="tx1"/>
            </w14:solidFill>
          </w14:textFill>
        </w:rPr>
        <w:t xml:space="preserve">3 </w:t>
      </w:r>
      <w:r>
        <w:rPr>
          <w:rFonts w:hAnsi="宋体"/>
          <w:color w:val="000000" w:themeColor="text1"/>
          <w:szCs w:val="21"/>
          <w14:textFill>
            <w14:solidFill>
              <w14:schemeClr w14:val="tx1"/>
            </w14:solidFill>
          </w14:textFill>
        </w:rPr>
        <w:t>-- 样品S</w:t>
      </w:r>
      <w:r>
        <w:rPr>
          <w:rFonts w:hAnsi="宋体"/>
          <w:color w:val="000000" w:themeColor="text1"/>
          <w:szCs w:val="21"/>
          <w:vertAlign w:val="subscript"/>
          <w14:textFill>
            <w14:solidFill>
              <w14:schemeClr w14:val="tx1"/>
            </w14:solidFill>
          </w14:textFill>
        </w:rPr>
        <w:t>3</w:t>
      </w:r>
      <w:r>
        <w:rPr>
          <w:rFonts w:hAnsi="宋体"/>
          <w:color w:val="000000" w:themeColor="text1"/>
          <w:szCs w:val="21"/>
          <w14:textFill>
            <w14:solidFill>
              <w14:schemeClr w14:val="tx1"/>
            </w14:solidFill>
          </w14:textFill>
        </w:rPr>
        <w:t>的镉值，mg/kg；</w:t>
      </w:r>
    </w:p>
    <w:p w14:paraId="4929EE68">
      <w:pPr>
        <w:pStyle w:val="26"/>
        <w:spacing w:line="360" w:lineRule="auto"/>
        <w:ind w:firstLine="0" w:firstLineChars="0"/>
        <w:jc w:val="left"/>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 xml:space="preserve">        </w:t>
      </w:r>
      <w:r>
        <w:rPr>
          <w:rFonts w:hAnsi="宋体"/>
          <w:i/>
          <w:iCs/>
          <w:color w:val="000000" w:themeColor="text1"/>
          <w:szCs w:val="21"/>
          <w14:textFill>
            <w14:solidFill>
              <w14:schemeClr w14:val="tx1"/>
            </w14:solidFill>
          </w14:textFill>
        </w:rPr>
        <w:t xml:space="preserve">n </w:t>
      </w:r>
      <w:r>
        <w:rPr>
          <w:rFonts w:hAnsi="宋体"/>
          <w:color w:val="000000" w:themeColor="text1"/>
          <w:szCs w:val="21"/>
          <w14:textFill>
            <w14:solidFill>
              <w14:schemeClr w14:val="tx1"/>
            </w14:solidFill>
          </w14:textFill>
        </w:rPr>
        <w:t xml:space="preserve">--  测量次数， </w:t>
      </w:r>
      <w:r>
        <w:rPr>
          <w:rFonts w:hAnsi="宋体"/>
          <w:i/>
          <w:iCs/>
          <w:color w:val="000000" w:themeColor="text1"/>
          <w:szCs w:val="21"/>
          <w14:textFill>
            <w14:solidFill>
              <w14:schemeClr w14:val="tx1"/>
            </w14:solidFill>
          </w14:textFill>
        </w:rPr>
        <w:t>n</w:t>
      </w:r>
      <w:r>
        <w:rPr>
          <w:rFonts w:hAnsi="宋体"/>
          <w:color w:val="000000" w:themeColor="text1"/>
          <w:szCs w:val="21"/>
          <w14:textFill>
            <w14:solidFill>
              <w14:schemeClr w14:val="tx1"/>
            </w14:solidFill>
          </w14:textFill>
        </w:rPr>
        <w:t>≥6；</w:t>
      </w:r>
    </w:p>
    <w:p w14:paraId="68ABEE3C">
      <w:pPr>
        <w:pStyle w:val="26"/>
        <w:spacing w:line="360" w:lineRule="auto"/>
        <w:ind w:firstLine="0" w:firstLineChars="0"/>
        <w:jc w:val="left"/>
        <w:rPr>
          <w:rFonts w:hint="default" w:hAnsi="宋体"/>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 xml:space="preserve">        </w:t>
      </w:r>
      <w:r>
        <w:rPr>
          <w:rFonts w:hAnsi="宋体"/>
          <w:i/>
          <w:iCs/>
          <w:color w:val="000000" w:themeColor="text1"/>
          <w:szCs w:val="21"/>
          <w14:textFill>
            <w14:solidFill>
              <w14:schemeClr w14:val="tx1"/>
            </w14:solidFill>
          </w14:textFill>
        </w:rPr>
        <w:t xml:space="preserve">S </w:t>
      </w:r>
      <w:r>
        <w:rPr>
          <w:rFonts w:hAnsi="宋体"/>
          <w:color w:val="000000" w:themeColor="text1"/>
          <w:szCs w:val="21"/>
          <w14:textFill>
            <w14:solidFill>
              <w14:schemeClr w14:val="tx1"/>
            </w14:solidFill>
          </w14:textFill>
        </w:rPr>
        <w:t xml:space="preserve">--  </w:t>
      </w:r>
      <w:r>
        <w:rPr>
          <w:rFonts w:hAnsi="宋体"/>
          <w:i/>
          <w:iCs/>
          <w:color w:val="000000" w:themeColor="text1"/>
          <w:szCs w:val="21"/>
          <w14:textFill>
            <w14:solidFill>
              <w14:schemeClr w14:val="tx1"/>
            </w14:solidFill>
          </w14:textFill>
        </w:rPr>
        <w:t>n</w:t>
      </w:r>
      <w:r>
        <w:rPr>
          <w:rFonts w:hAnsi="宋体"/>
          <w:color w:val="000000" w:themeColor="text1"/>
          <w:szCs w:val="21"/>
          <w14:textFill>
            <w14:solidFill>
              <w14:schemeClr w14:val="tx1"/>
            </w14:solidFill>
          </w14:textFill>
        </w:rPr>
        <w:t>次测量结果的标准偏差。</w:t>
      </w:r>
    </w:p>
    <w:p w14:paraId="26DF6790">
      <w:pPr>
        <w:pStyle w:val="38"/>
        <w:numPr>
          <w:ilvl w:val="1"/>
          <w:numId w:val="0"/>
        </w:numPr>
        <w:spacing w:before="156" w:after="156"/>
        <w:rPr>
          <w:rFonts w:hAnsi="黑体" w:cs="黑体"/>
        </w:rPr>
      </w:pPr>
      <w:r>
        <w:rPr>
          <w:rFonts w:hint="eastAsia" w:hAnsi="黑体" w:cs="黑体"/>
        </w:rPr>
        <w:t>8.3.6</w:t>
      </w:r>
      <w:r>
        <w:rPr>
          <w:rFonts w:hAnsi="黑体" w:cs="黑体"/>
        </w:rPr>
        <w:t>　</w:t>
      </w:r>
      <w:r>
        <w:rPr>
          <w:rFonts w:hint="eastAsia" w:hAnsi="黑体" w:cs="黑体"/>
        </w:rPr>
        <w:t>混合回收率</w:t>
      </w:r>
    </w:p>
    <w:p w14:paraId="6394CB23">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选用样品S</w:t>
      </w:r>
      <w:r>
        <w:rPr>
          <w:rFonts w:hAnsi="宋体"/>
          <w:color w:val="000000" w:themeColor="text1"/>
          <w:vertAlign w:val="subscript"/>
          <w14:textFill>
            <w14:solidFill>
              <w14:schemeClr w14:val="tx1"/>
            </w14:solidFill>
          </w14:textFill>
        </w:rPr>
        <w:t>1</w:t>
      </w:r>
      <w:r>
        <w:rPr>
          <w:rFonts w:hAnsi="宋体"/>
          <w:color w:val="000000" w:themeColor="text1"/>
          <w14:textFill>
            <w14:solidFill>
              <w14:schemeClr w14:val="tx1"/>
            </w14:solidFill>
          </w14:textFill>
        </w:rPr>
        <w:t>和样品S</w:t>
      </w:r>
      <w:r>
        <w:rPr>
          <w:rFonts w:hAnsi="宋体"/>
          <w:color w:val="000000" w:themeColor="text1"/>
          <w:vertAlign w:val="subscript"/>
          <w14:textFill>
            <w14:solidFill>
              <w14:schemeClr w14:val="tx1"/>
            </w14:solidFill>
          </w14:textFill>
        </w:rPr>
        <w:t>3</w:t>
      </w:r>
      <w:r>
        <w:rPr>
          <w:rFonts w:hAnsi="宋体"/>
          <w:color w:val="000000" w:themeColor="text1"/>
          <w14:textFill>
            <w14:solidFill>
              <w14:schemeClr w14:val="tx1"/>
            </w14:solidFill>
          </w14:textFill>
        </w:rPr>
        <w:t>，进行等量充分混匀后制成样品S</w:t>
      </w:r>
      <w:r>
        <w:rPr>
          <w:rFonts w:hAnsi="宋体"/>
          <w:color w:val="000000" w:themeColor="text1"/>
          <w:vertAlign w:val="subscript"/>
          <w14:textFill>
            <w14:solidFill>
              <w14:schemeClr w14:val="tx1"/>
            </w14:solidFill>
          </w14:textFill>
        </w:rPr>
        <w:t>5</w:t>
      </w:r>
      <w:r>
        <w:rPr>
          <w:rFonts w:hAnsi="宋体"/>
          <w:color w:val="000000" w:themeColor="text1"/>
          <w14:textFill>
            <w14:solidFill>
              <w14:schemeClr w14:val="tx1"/>
            </w14:solidFill>
          </w14:textFill>
        </w:rPr>
        <w:t>。用</w:t>
      </w:r>
      <w:r>
        <w:rPr>
          <w:rFonts w:hint="eastAsia" w:hAnsi="宋体"/>
          <w:color w:val="000000" w:themeColor="text1"/>
          <w14:textFill>
            <w14:solidFill>
              <w14:schemeClr w14:val="tx1"/>
            </w14:solidFill>
          </w14:textFill>
        </w:rPr>
        <w:t>能量色散X-射线荧光光谱仪</w:t>
      </w:r>
      <w:r>
        <w:rPr>
          <w:rFonts w:hAnsi="宋体"/>
          <w:color w:val="000000" w:themeColor="text1"/>
          <w14:textFill>
            <w14:solidFill>
              <w14:schemeClr w14:val="tx1"/>
            </w14:solidFill>
          </w14:textFill>
        </w:rPr>
        <w:t>对样品样品S</w:t>
      </w:r>
      <w:r>
        <w:rPr>
          <w:rFonts w:hAnsi="宋体"/>
          <w:color w:val="000000" w:themeColor="text1"/>
          <w:vertAlign w:val="subscript"/>
          <w14:textFill>
            <w14:solidFill>
              <w14:schemeClr w14:val="tx1"/>
            </w14:solidFill>
          </w14:textFill>
        </w:rPr>
        <w:t>5</w:t>
      </w:r>
      <w:r>
        <w:rPr>
          <w:rFonts w:hAnsi="宋体"/>
          <w:color w:val="000000" w:themeColor="text1"/>
          <w14:textFill>
            <w14:solidFill>
              <w14:schemeClr w14:val="tx1"/>
            </w14:solidFill>
          </w14:textFill>
        </w:rPr>
        <w:t>进行6次检测。通过回收率(R)表征正确度,通过相对标准偏差(RSD)表征仪器的精密度,计算公式见公式</w:t>
      </w:r>
      <w:r>
        <w:rPr>
          <w:rFonts w:hAnsi="宋体"/>
        </w:rPr>
        <w:t>(1)和(2)</w:t>
      </w:r>
      <w:r>
        <w:rPr>
          <w:rFonts w:hAnsi="宋体"/>
          <w:color w:val="000000" w:themeColor="text1"/>
          <w14:textFill>
            <w14:solidFill>
              <w14:schemeClr w14:val="tx1"/>
            </w14:solidFill>
          </w14:textFill>
        </w:rPr>
        <w:t>。通过回收率(R)和相对标准偏差(RSD)表征</w:t>
      </w:r>
      <w:r>
        <w:rPr>
          <w:rFonts w:hint="eastAsia" w:hAnsi="宋体"/>
          <w:color w:val="000000" w:themeColor="text1"/>
          <w14:textFill>
            <w14:solidFill>
              <w14:schemeClr w14:val="tx1"/>
            </w14:solidFill>
          </w14:textFill>
        </w:rPr>
        <w:t>能量色散X-射线荧光光谱仪</w:t>
      </w:r>
      <w:r>
        <w:rPr>
          <w:rFonts w:hAnsi="宋体"/>
          <w:color w:val="000000" w:themeColor="text1"/>
          <w14:textFill>
            <w14:solidFill>
              <w14:schemeClr w14:val="tx1"/>
            </w14:solidFill>
          </w14:textFill>
        </w:rPr>
        <w:t>混合回收率的检测能力。</w:t>
      </w:r>
    </w:p>
    <w:p w14:paraId="5E41F706">
      <w:pPr>
        <w:pStyle w:val="38"/>
        <w:numPr>
          <w:ilvl w:val="1"/>
          <w:numId w:val="0"/>
        </w:numPr>
        <w:spacing w:before="156" w:after="156"/>
        <w:rPr>
          <w:rFonts w:hAnsi="黑体" w:cs="黑体"/>
        </w:rPr>
      </w:pPr>
      <w:r>
        <w:rPr>
          <w:rFonts w:hint="eastAsia" w:hAnsi="黑体" w:cs="黑体"/>
        </w:rPr>
        <w:t>8.3.7</w:t>
      </w:r>
      <w:r>
        <w:rPr>
          <w:rFonts w:hAnsi="黑体" w:cs="黑体"/>
        </w:rPr>
        <w:t>　</w:t>
      </w:r>
      <w:r>
        <w:rPr>
          <w:rFonts w:hint="eastAsia" w:hAnsi="黑体" w:cs="黑体"/>
        </w:rPr>
        <w:t>检测时间</w:t>
      </w:r>
    </w:p>
    <w:p w14:paraId="23AE7DF1">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单个样品的检测，从样品原始状态到出检测结果的全过程所需时间。不包含仪器预热时间。</w:t>
      </w:r>
    </w:p>
    <w:p w14:paraId="78225B71">
      <w:pPr>
        <w:pStyle w:val="32"/>
        <w:numPr>
          <w:ilvl w:val="0"/>
          <w:numId w:val="0"/>
        </w:numPr>
        <w:spacing w:before="312" w:after="312"/>
        <w:rPr>
          <w:rFonts w:hint="default"/>
          <w:color w:val="000000" w:themeColor="text1"/>
          <w14:textFill>
            <w14:solidFill>
              <w14:schemeClr w14:val="tx1"/>
            </w14:solidFill>
          </w14:textFill>
        </w:rPr>
      </w:pPr>
      <w:r>
        <w:rPr>
          <w:color w:val="000000" w:themeColor="text1"/>
          <w14:textFill>
            <w14:solidFill>
              <w14:schemeClr w14:val="tx1"/>
            </w14:solidFill>
          </w14:textFill>
        </w:rPr>
        <w:t>9 评价步骤</w:t>
      </w:r>
    </w:p>
    <w:p w14:paraId="591AF689">
      <w:pPr>
        <w:pStyle w:val="38"/>
        <w:numPr>
          <w:ilvl w:val="1"/>
          <w:numId w:val="0"/>
        </w:numPr>
        <w:spacing w:before="156" w:after="156"/>
        <w:rPr>
          <w:rFonts w:hAnsi="黑体" w:cs="黑体"/>
        </w:rPr>
      </w:pPr>
      <w:r>
        <w:rPr>
          <w:rFonts w:hint="eastAsia" w:hAnsi="黑体" w:cs="黑体"/>
        </w:rPr>
        <w:t>9.1</w:t>
      </w:r>
      <w:r>
        <w:rPr>
          <w:rFonts w:hAnsi="黑体" w:cs="黑体"/>
        </w:rPr>
        <w:t>　</w:t>
      </w:r>
      <w:r>
        <w:rPr>
          <w:rFonts w:hint="eastAsia" w:hAnsi="黑体" w:cs="黑体"/>
        </w:rPr>
        <w:t>一般指标评价</w:t>
      </w:r>
    </w:p>
    <w:p w14:paraId="7A70C29A">
      <w:pPr>
        <w:pStyle w:val="26"/>
        <w:ind w:firstLine="420"/>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实施机构应首先对能量色散X-射线荧光光谱仪的一般指标进行评价。当一般指标评价结果异常，且影响技术指标评价时，评价工作终止，并及时告知委托方。</w:t>
      </w:r>
    </w:p>
    <w:p w14:paraId="52E6902B">
      <w:pPr>
        <w:pStyle w:val="38"/>
        <w:numPr>
          <w:ilvl w:val="1"/>
          <w:numId w:val="0"/>
        </w:numPr>
        <w:spacing w:before="156" w:after="156"/>
        <w:rPr>
          <w:rFonts w:hAnsi="黑体" w:cs="黑体"/>
        </w:rPr>
      </w:pPr>
      <w:r>
        <w:rPr>
          <w:rFonts w:hint="eastAsia" w:hAnsi="黑体" w:cs="黑体"/>
        </w:rPr>
        <w:t>9.2</w:t>
      </w:r>
      <w:r>
        <w:rPr>
          <w:rFonts w:hAnsi="黑体" w:cs="黑体"/>
        </w:rPr>
        <w:t>　</w:t>
      </w:r>
      <w:r>
        <w:rPr>
          <w:rFonts w:hint="eastAsia" w:hAnsi="黑体" w:cs="黑体"/>
        </w:rPr>
        <w:t>技术指标评价</w:t>
      </w:r>
    </w:p>
    <w:p w14:paraId="7235B622">
      <w:pPr>
        <w:pStyle w:val="38"/>
        <w:numPr>
          <w:ilvl w:val="1"/>
          <w:numId w:val="0"/>
        </w:numPr>
        <w:spacing w:before="156" w:after="156"/>
        <w:rPr>
          <w:rFonts w:hAnsi="黑体" w:cs="黑体"/>
        </w:rPr>
      </w:pPr>
      <w:r>
        <w:rPr>
          <w:rFonts w:hint="eastAsia" w:hAnsi="黑体" w:cs="黑体"/>
        </w:rPr>
        <w:t>9.2.1</w:t>
      </w:r>
      <w:r>
        <w:rPr>
          <w:rFonts w:hAnsi="黑体" w:cs="黑体"/>
        </w:rPr>
        <w:t>　</w:t>
      </w:r>
      <w:r>
        <w:rPr>
          <w:rFonts w:hint="eastAsia" w:hAnsi="黑体" w:cs="黑体"/>
        </w:rPr>
        <w:t>制定评价方案</w:t>
      </w:r>
    </w:p>
    <w:p w14:paraId="11992181">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实施机构对需要开展技术指标评价的</w:t>
      </w:r>
      <w:r>
        <w:rPr>
          <w:rFonts w:hint="eastAsia" w:hAnsi="宋体"/>
          <w:color w:val="000000" w:themeColor="text1"/>
          <w14:textFill>
            <w14:solidFill>
              <w14:schemeClr w14:val="tx1"/>
            </w14:solidFill>
          </w14:textFill>
        </w:rPr>
        <w:t>能量色散X-射线荧光光谱仪</w:t>
      </w:r>
      <w:r>
        <w:rPr>
          <w:rFonts w:hAnsi="宋体"/>
          <w:color w:val="000000" w:themeColor="text1"/>
          <w14:textFill>
            <w14:solidFill>
              <w14:schemeClr w14:val="tx1"/>
            </w14:solidFill>
          </w14:textFill>
        </w:rPr>
        <w:t>，应根据待评价成分特性和X-射线荧光光谱仪的实验原理、适用范围、性能指标、操作步骤、结果判断、注意事项等相关信息，拟定具体的评价方案，应至少包括以下内容：</w:t>
      </w:r>
    </w:p>
    <w:p w14:paraId="3AA6FBC0">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a）方案实施程序；</w:t>
      </w:r>
    </w:p>
    <w:p w14:paraId="3314BCD5">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b）评价内容及依据；</w:t>
      </w:r>
    </w:p>
    <w:p w14:paraId="3D9D072E">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c）评价比较用参考限值标准及方法标准；</w:t>
      </w:r>
    </w:p>
    <w:p w14:paraId="4C293458">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d）样品获取；</w:t>
      </w:r>
    </w:p>
    <w:p w14:paraId="63C9FC7E">
      <w:pPr>
        <w:pStyle w:val="26"/>
        <w:ind w:firstLine="420"/>
        <w:rPr>
          <w:rFonts w:hint="default" w:hAnsi="宋体"/>
          <w:color w:val="000000" w:themeColor="text1"/>
          <w14:textFill>
            <w14:solidFill>
              <w14:schemeClr w14:val="tx1"/>
            </w14:solidFill>
          </w14:textFill>
        </w:rPr>
      </w:pPr>
      <w:r>
        <w:rPr>
          <w:rFonts w:hAnsi="宋体"/>
          <w:color w:val="000000" w:themeColor="text1"/>
          <w14:textFill>
            <w14:solidFill>
              <w14:schemeClr w14:val="tx1"/>
            </w14:solidFill>
          </w14:textFill>
        </w:rPr>
        <w:t>e）结果判断及统计方式。</w:t>
      </w:r>
    </w:p>
    <w:p w14:paraId="56E85686">
      <w:pPr>
        <w:pStyle w:val="38"/>
        <w:numPr>
          <w:ilvl w:val="1"/>
          <w:numId w:val="0"/>
        </w:numPr>
        <w:spacing w:before="156" w:after="156"/>
        <w:rPr>
          <w:rFonts w:hAnsi="黑体" w:cs="黑体"/>
        </w:rPr>
      </w:pPr>
      <w:r>
        <w:rPr>
          <w:rFonts w:hint="eastAsia" w:hAnsi="黑体" w:cs="黑体"/>
        </w:rPr>
        <w:t>9.2.2</w:t>
      </w:r>
      <w:r>
        <w:rPr>
          <w:rFonts w:hAnsi="黑体" w:cs="黑体"/>
        </w:rPr>
        <w:t>　</w:t>
      </w:r>
      <w:r>
        <w:rPr>
          <w:rFonts w:hint="eastAsia" w:hAnsi="黑体" w:cs="黑体"/>
        </w:rPr>
        <w:t>试验测试</w:t>
      </w:r>
    </w:p>
    <w:p w14:paraId="2A4C29F9">
      <w:pPr>
        <w:pStyle w:val="38"/>
        <w:numPr>
          <w:ilvl w:val="1"/>
          <w:numId w:val="0"/>
        </w:numPr>
        <w:spacing w:before="156" w:after="156"/>
      </w:pPr>
      <w:r>
        <w:rPr>
          <w:rFonts w:hint="eastAsia" w:hAnsi="黑体" w:cs="黑体"/>
        </w:rPr>
        <w:t>9.2.2.1</w:t>
      </w:r>
      <w:r>
        <w:t>　试验前准备</w:t>
      </w:r>
    </w:p>
    <w:p w14:paraId="46F30063">
      <w:pPr>
        <w:pStyle w:val="39"/>
      </w:pPr>
      <w:r>
        <w:t>根据仪器说明书的</w:t>
      </w:r>
      <w:r>
        <w:rPr>
          <w:rFonts w:hint="eastAsia"/>
        </w:rPr>
        <w:t>操作步骤调试仪器状态</w:t>
      </w:r>
      <w:r>
        <w:t>。</w:t>
      </w:r>
    </w:p>
    <w:p w14:paraId="7362A204">
      <w:pPr>
        <w:pStyle w:val="39"/>
        <w:ind w:left="0" w:firstLine="0" w:firstLineChars="0"/>
        <w:rPr>
          <w:szCs w:val="21"/>
        </w:rPr>
      </w:pPr>
      <w:r>
        <w:rPr>
          <w:rFonts w:hint="eastAsia" w:ascii="黑体" w:hAnsi="黑体" w:eastAsia="黑体" w:cs="黑体"/>
          <w:szCs w:val="21"/>
        </w:rPr>
        <w:t>9</w:t>
      </w:r>
      <w:r>
        <w:rPr>
          <w:rFonts w:ascii="黑体" w:hAnsi="黑体" w:eastAsia="黑体" w:cs="黑体"/>
          <w:szCs w:val="21"/>
        </w:rPr>
        <w:t>.</w:t>
      </w:r>
      <w:r>
        <w:rPr>
          <w:rFonts w:hint="eastAsia" w:ascii="黑体" w:hAnsi="黑体" w:eastAsia="黑体" w:cs="黑体"/>
          <w:szCs w:val="21"/>
        </w:rPr>
        <w:t>2</w:t>
      </w:r>
      <w:r>
        <w:rPr>
          <w:rFonts w:ascii="黑体" w:hAnsi="黑体" w:eastAsia="黑体" w:cs="黑体"/>
          <w:szCs w:val="21"/>
        </w:rPr>
        <w:t>.2.</w:t>
      </w:r>
      <w:r>
        <w:rPr>
          <w:rFonts w:hint="eastAsia" w:ascii="黑体" w:hAnsi="黑体" w:eastAsia="黑体" w:cs="黑体"/>
          <w:szCs w:val="21"/>
        </w:rPr>
        <w:t>2</w:t>
      </w:r>
      <w:r>
        <w:rPr>
          <w:rFonts w:ascii="黑体" w:hAnsi="黑体" w:eastAsia="黑体" w:cs="黑体"/>
          <w:szCs w:val="21"/>
        </w:rPr>
        <w:t>　试验条件</w:t>
      </w:r>
    </w:p>
    <w:p w14:paraId="29EE5B4E">
      <w:pPr>
        <w:pStyle w:val="39"/>
        <w:rPr>
          <w:rFonts w:hAnsi="宋体" w:cs="宋体"/>
        </w:rPr>
      </w:pPr>
      <w:r>
        <w:rPr>
          <w:rFonts w:hint="eastAsia" w:hAnsi="宋体" w:cs="宋体"/>
        </w:rPr>
        <w:t>仪器经试验前准备工作后，在下列试验条件下开始性能检验：</w:t>
      </w:r>
    </w:p>
    <w:p w14:paraId="38318FE2">
      <w:pPr>
        <w:pStyle w:val="39"/>
        <w:rPr>
          <w:rFonts w:hAnsi="宋体" w:cs="宋体"/>
        </w:rPr>
      </w:pPr>
      <w:r>
        <w:rPr>
          <w:rFonts w:hint="eastAsia" w:hAnsi="宋体" w:cs="宋体"/>
        </w:rPr>
        <w:t>a）除非另有规定，试验均应在</w:t>
      </w:r>
      <w:r>
        <w:rPr>
          <w:rFonts w:hAnsi="宋体" w:cs="宋体"/>
        </w:rPr>
        <w:t>“6 工作条件要求”</w:t>
      </w:r>
      <w:r>
        <w:rPr>
          <w:rFonts w:hint="eastAsia" w:hAnsi="宋体" w:cs="宋体"/>
        </w:rPr>
        <w:t>所规定的条件下进行，温度波动不应超过± 2℃；</w:t>
      </w:r>
    </w:p>
    <w:p w14:paraId="6069B50E">
      <w:pPr>
        <w:pStyle w:val="39"/>
        <w:rPr>
          <w:rFonts w:hAnsi="宋体" w:cs="宋体"/>
        </w:rPr>
      </w:pPr>
      <w:r>
        <w:rPr>
          <w:rFonts w:hint="eastAsia" w:hAnsi="宋体" w:cs="宋体"/>
        </w:rPr>
        <w:t>b）仪器在试验前应按照仪器说明书要求进行预热。</w:t>
      </w:r>
    </w:p>
    <w:p w14:paraId="5253BFC3">
      <w:pPr>
        <w:pStyle w:val="39"/>
        <w:ind w:left="0" w:firstLine="0" w:firstLineChars="0"/>
        <w:rPr>
          <w:szCs w:val="21"/>
        </w:rPr>
      </w:pPr>
      <w:r>
        <w:rPr>
          <w:rFonts w:hint="eastAsia" w:ascii="黑体" w:hAnsi="黑体" w:eastAsia="黑体" w:cs="黑体"/>
          <w:szCs w:val="21"/>
        </w:rPr>
        <w:t>9</w:t>
      </w:r>
      <w:r>
        <w:rPr>
          <w:rFonts w:ascii="黑体" w:hAnsi="黑体" w:eastAsia="黑体" w:cs="黑体"/>
          <w:szCs w:val="21"/>
        </w:rPr>
        <w:t>.</w:t>
      </w:r>
      <w:r>
        <w:rPr>
          <w:rFonts w:hint="eastAsia" w:ascii="黑体" w:hAnsi="黑体" w:eastAsia="黑体" w:cs="黑体"/>
          <w:szCs w:val="21"/>
        </w:rPr>
        <w:t>2</w:t>
      </w:r>
      <w:r>
        <w:rPr>
          <w:rFonts w:ascii="黑体" w:hAnsi="黑体" w:eastAsia="黑体" w:cs="黑体"/>
          <w:szCs w:val="21"/>
        </w:rPr>
        <w:t>.2.</w:t>
      </w:r>
      <w:r>
        <w:rPr>
          <w:rFonts w:hint="eastAsia" w:ascii="黑体" w:hAnsi="黑体" w:eastAsia="黑体" w:cs="黑体"/>
          <w:szCs w:val="21"/>
        </w:rPr>
        <w:t>3</w:t>
      </w:r>
      <w:r>
        <w:rPr>
          <w:rFonts w:ascii="黑体" w:hAnsi="黑体" w:eastAsia="黑体" w:cs="黑体"/>
          <w:szCs w:val="21"/>
        </w:rPr>
        <w:t>　试验操作及要求</w:t>
      </w:r>
    </w:p>
    <w:p w14:paraId="71F08855">
      <w:pPr>
        <w:pStyle w:val="39"/>
        <w:rPr>
          <w:rFonts w:hAnsi="宋体" w:cs="宋体"/>
        </w:rPr>
      </w:pPr>
      <w:r>
        <w:rPr>
          <w:rFonts w:hint="eastAsia" w:hAnsi="宋体" w:cs="宋体"/>
        </w:rPr>
        <w:t>实施机构应依据“8.3 技术指标”要求，并按照制定的评价方案进行试验测试，并应至少包括以下内容：</w:t>
      </w:r>
    </w:p>
    <w:p w14:paraId="33AB25AF">
      <w:pPr>
        <w:pStyle w:val="39"/>
        <w:rPr>
          <w:rFonts w:hAnsi="宋体" w:cs="宋体"/>
        </w:rPr>
      </w:pPr>
      <w:r>
        <w:rPr>
          <w:rFonts w:hint="eastAsia" w:hAnsi="宋体" w:cs="宋体"/>
        </w:rPr>
        <w:t>a)在符合规定的环境条件下，对仪器进行评价试验，并详细记录实施过程的相关信息；</w:t>
      </w:r>
    </w:p>
    <w:p w14:paraId="47D16757">
      <w:pPr>
        <w:pStyle w:val="39"/>
        <w:rPr>
          <w:rFonts w:hAnsi="宋体" w:cs="宋体"/>
          <w:color w:val="000000" w:themeColor="text1"/>
          <w14:textFill>
            <w14:solidFill>
              <w14:schemeClr w14:val="tx1"/>
            </w14:solidFill>
          </w14:textFill>
        </w:rPr>
      </w:pPr>
      <w:r>
        <w:rPr>
          <w:rFonts w:hint="eastAsia" w:hAnsi="宋体" w:cs="宋体"/>
        </w:rPr>
        <w:t>b)附带考察操作环境要求、方法用时、操作难易、辅助设备等情况</w:t>
      </w:r>
      <w:bookmarkStart w:id="45" w:name="_Toc24274"/>
      <w:bookmarkStart w:id="46" w:name="_Toc27345"/>
      <w:bookmarkStart w:id="47" w:name="_Toc21664"/>
      <w:bookmarkStart w:id="48" w:name="_Toc18977"/>
      <w:bookmarkStart w:id="49" w:name="_Toc32311"/>
      <w:bookmarkStart w:id="50" w:name="_Toc8396"/>
      <w:r>
        <w:rPr>
          <w:rFonts w:hint="eastAsia" w:hAnsi="宋体" w:cs="宋体"/>
        </w:rPr>
        <w:t>。</w:t>
      </w:r>
    </w:p>
    <w:p w14:paraId="47765A5C">
      <w:pPr>
        <w:pStyle w:val="38"/>
        <w:numPr>
          <w:ilvl w:val="1"/>
          <w:numId w:val="0"/>
        </w:numPr>
        <w:spacing w:before="156" w:after="156"/>
        <w:rPr>
          <w:rFonts w:hAnsi="黑体" w:cs="黑体"/>
        </w:rPr>
      </w:pPr>
      <w:r>
        <w:rPr>
          <w:rFonts w:hint="eastAsia" w:hAnsi="黑体" w:cs="黑体"/>
        </w:rPr>
        <w:t>9.2.3 技术指标结果</w:t>
      </w:r>
    </w:p>
    <w:p w14:paraId="22754886">
      <w:pPr>
        <w:pStyle w:val="39"/>
        <w:rPr>
          <w:rFonts w:hAnsi="宋体" w:cs="宋体"/>
        </w:rPr>
      </w:pPr>
      <w:r>
        <w:rPr>
          <w:rFonts w:hint="eastAsia" w:hAnsi="宋体" w:cs="宋体"/>
        </w:rPr>
        <w:t>对技术指标的评价结果进行汇总。其中对检测低限、台间差、短期稳定性指标进行判定，对正确度和精密度、混合回收率、检测时间指标作客观记录。</w:t>
      </w:r>
    </w:p>
    <w:p w14:paraId="086C1300">
      <w:pPr>
        <w:pStyle w:val="39"/>
        <w:ind w:left="0" w:firstLine="0" w:firstLineChars="0"/>
        <w:rPr>
          <w:rFonts w:ascii="黑体" w:hAnsi="黑体" w:eastAsia="黑体" w:cs="黑体"/>
          <w:szCs w:val="21"/>
        </w:rPr>
      </w:pPr>
      <w:r>
        <w:rPr>
          <w:rFonts w:hint="eastAsia" w:ascii="黑体" w:hAnsi="黑体" w:eastAsia="黑体" w:cs="黑体"/>
          <w:szCs w:val="21"/>
        </w:rPr>
        <w:t>9.2.3.1 检测低限</w:t>
      </w:r>
    </w:p>
    <w:p w14:paraId="3521A411">
      <w:pPr>
        <w:pStyle w:val="39"/>
        <w:rPr>
          <w:rFonts w:hAnsi="宋体" w:cs="宋体"/>
          <w:szCs w:val="21"/>
        </w:rPr>
      </w:pPr>
      <w:r>
        <w:rPr>
          <w:rFonts w:hint="eastAsia" w:hAnsi="宋体" w:cs="宋体"/>
          <w:szCs w:val="21"/>
        </w:rPr>
        <w:t>若样品S</w:t>
      </w:r>
      <w:r>
        <w:rPr>
          <w:rFonts w:hint="eastAsia" w:hAnsi="宋体" w:cs="宋体"/>
          <w:szCs w:val="21"/>
          <w:vertAlign w:val="subscript"/>
        </w:rPr>
        <w:t>1</w:t>
      </w:r>
      <w:r>
        <w:rPr>
          <w:rFonts w:hint="eastAsia" w:hAnsi="宋体" w:cs="宋体"/>
          <w:szCs w:val="21"/>
        </w:rPr>
        <w:t>在20次检测结果中有大于等于95%的可靠检出，则检测低限LOD</w:t>
      </w:r>
      <w:r>
        <w:rPr>
          <w:rFonts w:hint="eastAsia" w:hAnsi="宋体" w:cs="宋体"/>
          <w:bCs/>
          <w:color w:val="0F1115"/>
          <w:szCs w:val="21"/>
        </w:rPr>
        <w:t>≤</w:t>
      </w:r>
      <w:r>
        <w:rPr>
          <w:rFonts w:hint="eastAsia" w:hAnsi="宋体" w:cs="宋体"/>
          <w:szCs w:val="21"/>
        </w:rPr>
        <w:t>X</w:t>
      </w:r>
      <w:r>
        <w:rPr>
          <w:rFonts w:hint="eastAsia" w:hAnsi="宋体" w:cs="宋体"/>
          <w:szCs w:val="21"/>
          <w:vertAlign w:val="subscript"/>
        </w:rPr>
        <w:t>1</w:t>
      </w:r>
      <w:r>
        <w:rPr>
          <w:rFonts w:hint="eastAsia" w:hAnsi="宋体" w:cs="宋体"/>
          <w:szCs w:val="21"/>
        </w:rPr>
        <w:t>。</w:t>
      </w:r>
    </w:p>
    <w:p w14:paraId="669FFB70">
      <w:pPr>
        <w:pStyle w:val="39"/>
        <w:ind w:left="0" w:firstLine="0" w:firstLineChars="0"/>
        <w:rPr>
          <w:rFonts w:ascii="黑体" w:hAnsi="黑体" w:eastAsia="黑体" w:cs="黑体"/>
          <w:szCs w:val="21"/>
        </w:rPr>
      </w:pPr>
      <w:r>
        <w:rPr>
          <w:rFonts w:hint="eastAsia" w:ascii="黑体" w:hAnsi="黑体" w:eastAsia="黑体" w:cs="黑体"/>
          <w:szCs w:val="21"/>
        </w:rPr>
        <w:t>9.2.3.2  台间差</w:t>
      </w:r>
    </w:p>
    <w:p w14:paraId="227DDAAB">
      <w:pPr>
        <w:pStyle w:val="39"/>
        <w:rPr>
          <w:rFonts w:ascii="Times New Roman"/>
          <w:szCs w:val="21"/>
        </w:rPr>
      </w:pPr>
      <w:r>
        <w:rPr>
          <w:rFonts w:ascii="Times New Roman"/>
          <w:szCs w:val="21"/>
        </w:rPr>
        <w:t>若</w:t>
      </w:r>
      <w:r>
        <w:rPr>
          <w:rFonts w:ascii="Times New Roman"/>
          <w:i/>
          <w:iCs/>
          <w:szCs w:val="21"/>
        </w:rPr>
        <w:t>F</w:t>
      </w:r>
      <w:r>
        <w:rPr>
          <w:rFonts w:ascii="Times New Roman"/>
          <w:szCs w:val="21"/>
        </w:rPr>
        <w:t>小于自由度</w:t>
      </w:r>
      <w:r>
        <w:rPr>
          <w:rFonts w:ascii="Times New Roman"/>
          <w:position w:val="-10"/>
          <w:szCs w:val="21"/>
        </w:rPr>
        <w:object>
          <v:shape id="_x0000_i1035" o:spt="75" type="#_x0000_t75" style="height:15.55pt;width:12.1pt;" o:ole="t" filled="f" o:preferrelative="t" stroked="f" coordsize="21600,21600">
            <v:path/>
            <v:fill on="f" focussize="0,0"/>
            <v:stroke on="f" joinstyle="miter"/>
            <v:imagedata r:id="rId33" o:title=""/>
            <o:lock v:ext="edit" aspectratio="t"/>
            <w10:wrap type="none"/>
            <w10:anchorlock/>
          </v:shape>
          <o:OLEObject Type="Embed" ProgID="Equation.3" ShapeID="_x0000_i1035" DrawAspect="Content" ObjectID="_1468075735" r:id="rId32">
            <o:LockedField>false</o:LockedField>
          </o:OLEObject>
        </w:object>
      </w:r>
      <w:r>
        <w:rPr>
          <w:rFonts w:ascii="Times New Roman"/>
          <w:szCs w:val="21"/>
        </w:rPr>
        <w:t>为在</w:t>
      </w:r>
      <w:r>
        <w:rPr>
          <w:rFonts w:ascii="Times New Roman"/>
          <w:position w:val="-10"/>
          <w:szCs w:val="21"/>
        </w:rPr>
        <w:object>
          <v:shape id="_x0000_i1036" o:spt="75" type="#_x0000_t75" style="height:15.55pt;width:12.1pt;" o:ole="t" filled="f" o:preferrelative="t" stroked="f" coordsize="21600,21600">
            <v:path/>
            <v:fill on="f" focussize="0,0"/>
            <v:stroke on="f" joinstyle="miter"/>
            <v:imagedata r:id="rId35" o:title=""/>
            <o:lock v:ext="edit" aspectratio="t"/>
            <w10:wrap type="none"/>
            <w10:anchorlock/>
          </v:shape>
          <o:OLEObject Type="Embed" ProgID="Equation.3" ShapeID="_x0000_i1036" DrawAspect="Content" ObjectID="_1468075736" r:id="rId34">
            <o:LockedField>false</o:LockedField>
          </o:OLEObject>
        </w:object>
      </w:r>
      <w:r>
        <w:rPr>
          <w:rFonts w:ascii="Times New Roman"/>
          <w:szCs w:val="21"/>
        </w:rPr>
        <w:t>(1,18)及给定显著性水平α（通常α=0.05）的临界值</w:t>
      </w:r>
      <w:r>
        <w:rPr>
          <w:rFonts w:ascii="Times New Roman"/>
          <w:i/>
          <w:iCs/>
          <w:szCs w:val="21"/>
        </w:rPr>
        <w:t>F</w:t>
      </w:r>
      <w:r>
        <w:rPr>
          <w:rFonts w:ascii="Times New Roman"/>
          <w:szCs w:val="21"/>
          <w:vertAlign w:val="subscript"/>
        </w:rPr>
        <w:t>0.05(1,18)</w:t>
      </w:r>
      <w:r>
        <w:rPr>
          <w:rFonts w:ascii="Times New Roman"/>
          <w:szCs w:val="21"/>
        </w:rPr>
        <w:t>=4.41，则表明不同仪器检测粮食中镉的能力无显著性差异。</w:t>
      </w:r>
    </w:p>
    <w:p w14:paraId="513AA9F0">
      <w:pPr>
        <w:pStyle w:val="39"/>
        <w:ind w:left="0" w:firstLine="0" w:firstLineChars="0"/>
        <w:rPr>
          <w:rFonts w:ascii="黑体" w:hAnsi="黑体" w:eastAsia="黑体" w:cs="黑体"/>
          <w:szCs w:val="21"/>
        </w:rPr>
      </w:pPr>
      <w:r>
        <w:rPr>
          <w:rFonts w:hint="eastAsia" w:ascii="黑体" w:hAnsi="黑体" w:eastAsia="黑体" w:cs="黑体"/>
          <w:szCs w:val="21"/>
        </w:rPr>
        <w:t>9.2.3.3 短期稳定性</w:t>
      </w:r>
    </w:p>
    <w:p w14:paraId="52963188">
      <w:pPr>
        <w:pStyle w:val="39"/>
        <w:rPr>
          <w:rFonts w:ascii="Times New Roman"/>
          <w:szCs w:val="21"/>
        </w:rPr>
      </w:pPr>
      <w:r>
        <w:rPr>
          <w:rFonts w:ascii="Times New Roman"/>
          <w:szCs w:val="21"/>
        </w:rPr>
        <w:t>若</w:t>
      </w:r>
      <w:r>
        <w:rPr>
          <w:rFonts w:ascii="Times New Roman"/>
          <w:position w:val="-6"/>
          <w:szCs w:val="21"/>
        </w:rPr>
        <w:object>
          <v:shape id="_x0000_i1037" o:spt="75" type="#_x0000_t75" style="height:12.1pt;width:6.9pt;" o:ole="t" filled="f" o:preferrelative="t" stroked="f" coordsize="21600,21600">
            <v:path/>
            <v:fill on="f" focussize="0,0"/>
            <v:stroke on="f" joinstyle="miter"/>
            <v:imagedata r:id="rId37" o:title=""/>
            <o:lock v:ext="edit" aspectratio="t"/>
            <w10:wrap type="none"/>
            <w10:anchorlock/>
          </v:shape>
          <o:OLEObject Type="Embed" ProgID="Equation.3" ShapeID="_x0000_i1037" DrawAspect="Content" ObjectID="_1468075737" r:id="rId36">
            <o:LockedField>false</o:LockedField>
          </o:OLEObject>
        </w:object>
      </w:r>
      <w:r>
        <w:rPr>
          <w:rFonts w:ascii="Times New Roman"/>
          <w:szCs w:val="21"/>
        </w:rPr>
        <w:t>＜显著性水平α（通常α=0.05）自由度为</w:t>
      </w:r>
      <w:r>
        <w:rPr>
          <w:rFonts w:ascii="Times New Roman"/>
          <w:position w:val="-6"/>
          <w:szCs w:val="21"/>
        </w:rPr>
        <w:object>
          <v:shape id="_x0000_i1038" o:spt="75" type="#_x0000_t75" style="height:11.5pt;width:9.8pt;" o:ole="t" filled="f" o:preferrelative="t" stroked="f" coordsize="21600,21600">
            <v:path/>
            <v:fill on="f" focussize="0,0"/>
            <v:stroke on="f" joinstyle="miter"/>
            <v:imagedata r:id="rId39" o:title=""/>
            <o:lock v:ext="edit" aspectratio="t"/>
            <w10:wrap type="none"/>
            <w10:anchorlock/>
          </v:shape>
          <o:OLEObject Type="Embed" ProgID="Equation.3" ShapeID="_x0000_i1038" DrawAspect="Content" ObjectID="_1468075738" r:id="rId38">
            <o:LockedField>false</o:LockedField>
          </o:OLEObject>
        </w:object>
      </w:r>
      <w:r>
        <w:rPr>
          <w:rFonts w:ascii="Times New Roman"/>
          <w:szCs w:val="21"/>
        </w:rPr>
        <w:t>-1=8的临界值</w:t>
      </w:r>
      <w:r>
        <w:rPr>
          <w:rFonts w:ascii="Times New Roman"/>
          <w:position w:val="-14"/>
          <w:szCs w:val="21"/>
        </w:rPr>
        <w:object>
          <v:shape id="_x0000_i1039" o:spt="75" type="#_x0000_t75" style="height:19pt;width:28.2pt;" o:ole="t" filled="f" o:preferrelative="t" stroked="f" coordsize="21600,21600">
            <v:path/>
            <v:fill on="f" focussize="0,0"/>
            <v:stroke on="f" joinstyle="miter"/>
            <v:imagedata r:id="rId41" o:title=""/>
            <o:lock v:ext="edit" aspectratio="t"/>
            <w10:wrap type="none"/>
            <w10:anchorlock/>
          </v:shape>
          <o:OLEObject Type="Embed" ProgID="Equation.3" ShapeID="_x0000_i1039" DrawAspect="Content" ObjectID="_1468075739" r:id="rId40">
            <o:LockedField>false</o:LockedField>
          </o:OLEObject>
        </w:object>
      </w:r>
      <w:r>
        <w:rPr>
          <w:rFonts w:ascii="Times New Roman"/>
          <w:position w:val="-14"/>
          <w:szCs w:val="21"/>
        </w:rPr>
        <w:t>‌</w:t>
      </w:r>
      <w:r>
        <w:rPr>
          <w:rFonts w:ascii="Times New Roman"/>
          <w:szCs w:val="21"/>
        </w:rPr>
        <w:t>=2.31‌，则测试平均值与标准值/参考值之间无显著性差异，仪器短期测试时间范围内稳定可靠。</w:t>
      </w:r>
    </w:p>
    <w:p w14:paraId="66F703F9">
      <w:pPr>
        <w:pStyle w:val="38"/>
        <w:numPr>
          <w:ilvl w:val="1"/>
          <w:numId w:val="0"/>
        </w:numPr>
        <w:spacing w:before="156" w:after="156"/>
        <w:rPr>
          <w:rFonts w:hAnsi="黑体" w:cs="黑体"/>
        </w:rPr>
      </w:pPr>
      <w:r>
        <w:rPr>
          <w:rFonts w:hint="eastAsia" w:hAnsi="黑体" w:cs="黑体"/>
        </w:rPr>
        <w:t xml:space="preserve">10 评价报告 </w:t>
      </w:r>
    </w:p>
    <w:p w14:paraId="2D6051EE">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对仪器评价结果进行汇总分析，得出仪器性能指标是否符合国家有关规定，或者是否符合产品标称的结论，并出具仪器评价报告。仪器评价报告模板见附录A。</w:t>
      </w:r>
    </w:p>
    <w:p w14:paraId="6333F592">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实施机构出具仪器评价报告，对评价整体情况和结果进行汇总整理和分析。报告中应至少包括以下内容:</w:t>
      </w:r>
    </w:p>
    <w:p w14:paraId="5B60C146">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a）报告标题；</w:t>
      </w:r>
    </w:p>
    <w:p w14:paraId="29E36F1A">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b）报告的唯一性编号，页码和总页码，结尾处有结束符号；</w:t>
      </w:r>
    </w:p>
    <w:p w14:paraId="1529F5AA">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c）实施机构信息，主要包括：名称和地址等；</w:t>
      </w:r>
    </w:p>
    <w:p w14:paraId="05C23D99">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d）委托单位主要信息；</w:t>
      </w:r>
    </w:p>
    <w:p w14:paraId="07C1CAF6">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e）被评价仪器的描述和明确标识（如型号、产品编号等）；</w:t>
      </w:r>
    </w:p>
    <w:p w14:paraId="3093F192">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f）待评价仪器的状态描述和标识；</w:t>
      </w:r>
    </w:p>
    <w:p w14:paraId="36A73C57">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g）收样日期；</w:t>
      </w:r>
    </w:p>
    <w:p w14:paraId="48C2A853">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h）评价日期；</w:t>
      </w:r>
    </w:p>
    <w:p w14:paraId="6EC0665F">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i）评价结果；</w:t>
      </w:r>
    </w:p>
    <w:p w14:paraId="66242BC4">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j）对操作环境、操作难易、辅助设备等的描述；</w:t>
      </w:r>
    </w:p>
    <w:p w14:paraId="14AFF5B7">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k）被评价的仪器是否符合国家有关规定或仪器标称的结论；</w:t>
      </w:r>
    </w:p>
    <w:p w14:paraId="3D723C75">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l）批准人员、审核人员等信息；</w:t>
      </w:r>
    </w:p>
    <w:p w14:paraId="62861936">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m）评价结果仅对被评价对象有效的声明；</w:t>
      </w:r>
    </w:p>
    <w:p w14:paraId="4D821C1C">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n）其它免责声明。</w:t>
      </w:r>
    </w:p>
    <w:p w14:paraId="137D42CE">
      <w:pPr>
        <w:pStyle w:val="26"/>
        <w:ind w:firstLine="420"/>
        <w:rPr>
          <w:rFonts w:hint="default"/>
          <w:color w:val="000000" w:themeColor="text1"/>
          <w14:textFill>
            <w14:solidFill>
              <w14:schemeClr w14:val="tx1"/>
            </w14:solidFill>
          </w14:textFill>
        </w:rPr>
      </w:pPr>
    </w:p>
    <w:p w14:paraId="47788A23">
      <w:pPr>
        <w:pStyle w:val="26"/>
        <w:ind w:firstLine="420"/>
        <w:rPr>
          <w:rFonts w:hint="default"/>
          <w:color w:val="000000" w:themeColor="text1"/>
          <w14:textFill>
            <w14:solidFill>
              <w14:schemeClr w14:val="tx1"/>
            </w14:solidFill>
          </w14:textFill>
        </w:rPr>
      </w:pPr>
    </w:p>
    <w:p w14:paraId="76584E7B">
      <w:pPr>
        <w:pStyle w:val="26"/>
        <w:ind w:firstLine="420"/>
        <w:rPr>
          <w:rFonts w:hint="default"/>
          <w:color w:val="000000" w:themeColor="text1"/>
          <w14:textFill>
            <w14:solidFill>
              <w14:schemeClr w14:val="tx1"/>
            </w14:solidFill>
          </w14:textFill>
        </w:rPr>
      </w:pPr>
    </w:p>
    <w:p w14:paraId="34C7C8DC">
      <w:pPr>
        <w:pStyle w:val="26"/>
        <w:ind w:firstLine="420"/>
        <w:rPr>
          <w:rFonts w:hint="default"/>
          <w:color w:val="000000" w:themeColor="text1"/>
          <w14:textFill>
            <w14:solidFill>
              <w14:schemeClr w14:val="tx1"/>
            </w14:solidFill>
          </w14:textFill>
        </w:rPr>
      </w:pPr>
    </w:p>
    <w:bookmarkEnd w:id="45"/>
    <w:bookmarkEnd w:id="46"/>
    <w:bookmarkEnd w:id="47"/>
    <w:bookmarkEnd w:id="48"/>
    <w:bookmarkEnd w:id="49"/>
    <w:bookmarkEnd w:id="50"/>
    <w:p w14:paraId="6F716348">
      <w:pPr>
        <w:pStyle w:val="26"/>
        <w:ind w:firstLine="420"/>
        <w:rPr>
          <w:rFonts w:hint="default"/>
          <w:color w:val="000000" w:themeColor="text1"/>
          <w14:textFill>
            <w14:solidFill>
              <w14:schemeClr w14:val="tx1"/>
            </w14:solidFill>
          </w14:textFill>
        </w:rPr>
      </w:pPr>
      <w:bookmarkStart w:id="51" w:name="BKFL"/>
    </w:p>
    <w:p w14:paraId="6BFAA64F">
      <w:pPr>
        <w:rPr>
          <w:color w:val="000000" w:themeColor="text1"/>
          <w14:textFill>
            <w14:solidFill>
              <w14:schemeClr w14:val="tx1"/>
            </w14:solidFill>
          </w14:textFill>
        </w:rPr>
      </w:pPr>
      <w:r>
        <w:rPr>
          <w:rFonts w:hint="eastAsia"/>
          <w:color w:val="000000" w:themeColor="text1"/>
          <w14:textFill>
            <w14:solidFill>
              <w14:schemeClr w14:val="tx1"/>
            </w14:solidFill>
          </w14:textFill>
        </w:rPr>
        <w:br w:type="page"/>
      </w:r>
    </w:p>
    <w:p w14:paraId="09CB06EF">
      <w:pPr>
        <w:pStyle w:val="44"/>
        <w:spacing w:before="78" w:after="156"/>
        <w:rPr>
          <w:color w:val="000000" w:themeColor="text1"/>
          <w14:textFill>
            <w14:solidFill>
              <w14:schemeClr w14:val="tx1"/>
            </w14:solidFill>
          </w14:textFill>
        </w:rPr>
      </w:pPr>
      <w:bookmarkStart w:id="52" w:name="_Toc21412"/>
      <w:bookmarkEnd w:id="52"/>
      <w:bookmarkStart w:id="53" w:name="_Toc19717"/>
      <w:bookmarkEnd w:id="53"/>
      <w:bookmarkStart w:id="54" w:name="_Toc11813"/>
      <w:bookmarkEnd w:id="54"/>
      <w:bookmarkStart w:id="55" w:name="_Toc13015"/>
      <w:bookmarkEnd w:id="55"/>
      <w:bookmarkStart w:id="56" w:name="_Toc13212"/>
      <w:bookmarkEnd w:id="56"/>
      <w:bookmarkStart w:id="57" w:name="_Toc23641"/>
      <w:bookmarkStart w:id="58" w:name="EndLine"/>
    </w:p>
    <w:p w14:paraId="4CD5B765">
      <w:pPr>
        <w:pStyle w:val="44"/>
        <w:numPr>
          <w:ilvl w:val="0"/>
          <w:numId w:val="0"/>
        </w:numPr>
        <w:spacing w:before="78" w:after="156"/>
        <w:rPr>
          <w:color w:val="000000" w:themeColor="text1"/>
          <w14:textFill>
            <w14:solidFill>
              <w14:schemeClr w14:val="tx1"/>
            </w14:solidFill>
          </w14:textFill>
        </w:rPr>
      </w:pPr>
      <w:bookmarkStart w:id="59" w:name="_Toc4957"/>
      <w:bookmarkStart w:id="60" w:name="_Toc3232"/>
      <w:bookmarkStart w:id="61" w:name="_Toc20022"/>
      <w:r>
        <w:rPr>
          <w:rFonts w:hint="eastAsia"/>
          <w:color w:val="000000" w:themeColor="text1"/>
          <w14:textFill>
            <w14:solidFill>
              <w14:schemeClr w14:val="tx1"/>
            </w14:solidFill>
          </w14:textFill>
        </w:rPr>
        <w:t>（资料性）</w:t>
      </w:r>
      <w:bookmarkEnd w:id="59"/>
      <w:bookmarkEnd w:id="60"/>
      <w:bookmarkEnd w:id="61"/>
    </w:p>
    <w:p w14:paraId="3DE97CDA">
      <w:pPr>
        <w:pStyle w:val="26"/>
        <w:ind w:firstLine="420"/>
        <w:jc w:val="center"/>
        <w:rPr>
          <w:rFonts w:hint="default"/>
          <w:color w:val="000000" w:themeColor="text1"/>
          <w14:textFill>
            <w14:solidFill>
              <w14:schemeClr w14:val="tx1"/>
            </w14:solidFill>
          </w14:textFill>
        </w:rPr>
      </w:pPr>
      <w:r>
        <w:rPr>
          <w:rFonts w:ascii="黑体" w:hAnsi="宋体" w:eastAsia="黑体" w:cs="黑体"/>
          <w:color w:val="000000"/>
          <w:szCs w:val="21"/>
        </w:rPr>
        <w:t>评价报告参考格式</w:t>
      </w:r>
    </w:p>
    <w:bookmarkEnd w:id="57"/>
    <w:p w14:paraId="416784E5">
      <w:pPr>
        <w:pStyle w:val="26"/>
        <w:spacing w:line="360" w:lineRule="auto"/>
        <w:ind w:firstLine="420"/>
        <w:rPr>
          <w:rFonts w:hint="default" w:hAnsi="宋体"/>
          <w:color w:val="000000" w:themeColor="text1"/>
          <w:szCs w:val="21"/>
          <w14:textFill>
            <w14:solidFill>
              <w14:schemeClr w14:val="tx1"/>
            </w14:solidFill>
          </w14:textFill>
        </w:rPr>
      </w:pPr>
      <w:r>
        <w:rPr>
          <w:rFonts w:hint="eastAsia" w:cs="Times New Roman"/>
        </w:rPr>
        <w:t>能量色散X-射线荧光光谱仪</w:t>
      </w:r>
      <w:r>
        <w:rPr>
          <w:rFonts w:cs="Times New Roman"/>
        </w:rPr>
        <w:t>技术评价报告参考格式见表A.1</w:t>
      </w:r>
      <w:r>
        <w:rPr>
          <w:rFonts w:hAnsi="宋体"/>
          <w:color w:val="000000" w:themeColor="text1"/>
          <w:szCs w:val="21"/>
          <w14:textFill>
            <w14:solidFill>
              <w14:schemeClr w14:val="tx1"/>
            </w14:solidFill>
          </w14:textFill>
        </w:rPr>
        <w:t>。</w:t>
      </w:r>
    </w:p>
    <w:p w14:paraId="3B622CE5">
      <w:pPr>
        <w:pStyle w:val="26"/>
        <w:ind w:firstLine="420"/>
        <w:jc w:val="center"/>
        <w:rPr>
          <w:rFonts w:hint="default" w:ascii="黑体" w:hAnsi="黑体" w:eastAsia="黑体" w:cs="黑体"/>
          <w:color w:val="000000" w:themeColor="text1"/>
          <w:szCs w:val="21"/>
          <w14:textFill>
            <w14:solidFill>
              <w14:schemeClr w14:val="tx1"/>
            </w14:solidFill>
          </w14:textFill>
        </w:rPr>
      </w:pPr>
      <w:r>
        <w:rPr>
          <w:rFonts w:ascii="黑体" w:hAnsi="黑体" w:eastAsia="黑体" w:cs="黑体"/>
          <w:color w:val="000000" w:themeColor="text1"/>
          <w:szCs w:val="21"/>
          <w14:textFill>
            <w14:solidFill>
              <w14:schemeClr w14:val="tx1"/>
            </w14:solidFill>
          </w14:textFill>
        </w:rPr>
        <w:t xml:space="preserve">表A.1 </w:t>
      </w:r>
      <w:r>
        <w:rPr>
          <w:rFonts w:hint="eastAsia" w:ascii="黑体" w:hAnsi="黑体" w:eastAsia="黑体" w:cs="黑体"/>
          <w:color w:val="000000" w:themeColor="text1"/>
          <w:szCs w:val="21"/>
          <w14:textFill>
            <w14:solidFill>
              <w14:schemeClr w14:val="tx1"/>
            </w14:solidFill>
          </w14:textFill>
        </w:rPr>
        <w:t>能量色散X-射线荧光光谱仪</w:t>
      </w:r>
      <w:r>
        <w:rPr>
          <w:rFonts w:ascii="黑体" w:hAnsi="黑体" w:eastAsia="黑体" w:cs="黑体"/>
          <w:color w:val="000000" w:themeColor="text1"/>
          <w:szCs w:val="21"/>
          <w14:textFill>
            <w14:solidFill>
              <w14:schemeClr w14:val="tx1"/>
            </w14:solidFill>
          </w14:textFill>
        </w:rPr>
        <w:t>技术评价报告样式</w:t>
      </w:r>
    </w:p>
    <w:p w14:paraId="40610FA7">
      <w:pPr>
        <w:pStyle w:val="26"/>
        <w:ind w:firstLine="360"/>
        <w:jc w:val="left"/>
        <w:rPr>
          <w:rFonts w:hint="default" w:ascii="黑体" w:hAnsi="黑体" w:eastAsia="黑体" w:cs="黑体"/>
          <w:color w:val="000000" w:themeColor="text1"/>
          <w:szCs w:val="21"/>
          <w14:textFill>
            <w14:solidFill>
              <w14:schemeClr w14:val="tx1"/>
            </w14:solidFill>
          </w14:textFill>
        </w:rPr>
      </w:pPr>
      <w:r>
        <w:rPr>
          <w:rFonts w:hAnsi="宋体"/>
          <w:color w:val="000000" w:themeColor="text1"/>
          <w:sz w:val="18"/>
          <w:szCs w:val="18"/>
          <w14:textFill>
            <w14:solidFill>
              <w14:schemeClr w14:val="tx1"/>
            </w14:solidFill>
          </w14:textFill>
        </w:rPr>
        <w:t>报告名称：                                                        No.</w:t>
      </w:r>
    </w:p>
    <w:tbl>
      <w:tblPr>
        <w:tblStyle w:val="9"/>
        <w:tblW w:w="4866" w:type="pct"/>
        <w:tblInd w:w="1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58"/>
        <w:gridCol w:w="2746"/>
        <w:gridCol w:w="2424"/>
        <w:gridCol w:w="2286"/>
      </w:tblGrid>
      <w:tr w14:paraId="22C56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Align w:val="center"/>
          </w:tcPr>
          <w:p w14:paraId="66A257ED">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评价机构名称</w:t>
            </w:r>
          </w:p>
        </w:tc>
        <w:tc>
          <w:tcPr>
            <w:tcW w:w="1474" w:type="pct"/>
            <w:vAlign w:val="center"/>
          </w:tcPr>
          <w:p w14:paraId="7D140C44">
            <w:pPr>
              <w:jc w:val="center"/>
              <w:rPr>
                <w:rFonts w:ascii="宋体" w:hAnsi="宋体" w:eastAsia="宋体" w:cs="宋体"/>
                <w:color w:val="000000" w:themeColor="text1"/>
                <w:sz w:val="18"/>
                <w:szCs w:val="18"/>
                <w14:textFill>
                  <w14:solidFill>
                    <w14:schemeClr w14:val="tx1"/>
                  </w14:solidFill>
                </w14:textFill>
              </w:rPr>
            </w:pPr>
          </w:p>
        </w:tc>
        <w:tc>
          <w:tcPr>
            <w:tcW w:w="1301" w:type="pct"/>
            <w:vAlign w:val="center"/>
          </w:tcPr>
          <w:p w14:paraId="05277F7F">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评价机构地址</w:t>
            </w:r>
          </w:p>
        </w:tc>
        <w:tc>
          <w:tcPr>
            <w:tcW w:w="1227" w:type="pct"/>
            <w:vAlign w:val="center"/>
          </w:tcPr>
          <w:p w14:paraId="5752E91A">
            <w:pPr>
              <w:jc w:val="center"/>
              <w:rPr>
                <w:rFonts w:ascii="宋体" w:hAnsi="宋体" w:eastAsia="宋体" w:cs="宋体"/>
                <w:color w:val="000000" w:themeColor="text1"/>
                <w:sz w:val="18"/>
                <w:szCs w:val="18"/>
                <w14:textFill>
                  <w14:solidFill>
                    <w14:schemeClr w14:val="tx1"/>
                  </w14:solidFill>
                </w14:textFill>
              </w:rPr>
            </w:pPr>
          </w:p>
        </w:tc>
      </w:tr>
      <w:tr w14:paraId="1AB74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Align w:val="center"/>
          </w:tcPr>
          <w:p w14:paraId="0AE427D7">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评价机构联系人</w:t>
            </w:r>
          </w:p>
        </w:tc>
        <w:tc>
          <w:tcPr>
            <w:tcW w:w="1474" w:type="pct"/>
            <w:vAlign w:val="center"/>
          </w:tcPr>
          <w:p w14:paraId="6DD9190D">
            <w:pPr>
              <w:jc w:val="center"/>
              <w:rPr>
                <w:rFonts w:ascii="宋体" w:hAnsi="宋体" w:eastAsia="宋体" w:cs="宋体"/>
                <w:color w:val="000000" w:themeColor="text1"/>
                <w:sz w:val="18"/>
                <w:szCs w:val="18"/>
                <w14:textFill>
                  <w14:solidFill>
                    <w14:schemeClr w14:val="tx1"/>
                  </w14:solidFill>
                </w14:textFill>
              </w:rPr>
            </w:pPr>
          </w:p>
        </w:tc>
        <w:tc>
          <w:tcPr>
            <w:tcW w:w="1301" w:type="pct"/>
            <w:vAlign w:val="center"/>
          </w:tcPr>
          <w:p w14:paraId="3CA2FF89">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评价机构联系电话</w:t>
            </w:r>
          </w:p>
        </w:tc>
        <w:tc>
          <w:tcPr>
            <w:tcW w:w="1227" w:type="pct"/>
            <w:vAlign w:val="center"/>
          </w:tcPr>
          <w:p w14:paraId="5431EF54">
            <w:pPr>
              <w:jc w:val="center"/>
              <w:rPr>
                <w:rFonts w:ascii="宋体" w:hAnsi="宋体" w:eastAsia="宋体" w:cs="宋体"/>
                <w:color w:val="000000" w:themeColor="text1"/>
                <w:sz w:val="18"/>
                <w:szCs w:val="18"/>
                <w14:textFill>
                  <w14:solidFill>
                    <w14:schemeClr w14:val="tx1"/>
                  </w14:solidFill>
                </w14:textFill>
              </w:rPr>
            </w:pPr>
          </w:p>
        </w:tc>
      </w:tr>
      <w:tr w14:paraId="327B2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Align w:val="center"/>
          </w:tcPr>
          <w:p w14:paraId="04C7DE6A">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委托单位名称</w:t>
            </w:r>
          </w:p>
        </w:tc>
        <w:tc>
          <w:tcPr>
            <w:tcW w:w="1474" w:type="pct"/>
            <w:vAlign w:val="center"/>
          </w:tcPr>
          <w:p w14:paraId="02AC3911">
            <w:pPr>
              <w:jc w:val="center"/>
              <w:rPr>
                <w:rFonts w:ascii="宋体" w:hAnsi="宋体" w:eastAsia="宋体" w:cs="宋体"/>
                <w:color w:val="000000" w:themeColor="text1"/>
                <w:sz w:val="18"/>
                <w:szCs w:val="18"/>
                <w14:textFill>
                  <w14:solidFill>
                    <w14:schemeClr w14:val="tx1"/>
                  </w14:solidFill>
                </w14:textFill>
              </w:rPr>
            </w:pPr>
          </w:p>
        </w:tc>
        <w:tc>
          <w:tcPr>
            <w:tcW w:w="1301" w:type="pct"/>
            <w:vAlign w:val="center"/>
          </w:tcPr>
          <w:p w14:paraId="2415E944">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委托单位联系电话</w:t>
            </w:r>
          </w:p>
        </w:tc>
        <w:tc>
          <w:tcPr>
            <w:tcW w:w="1227" w:type="pct"/>
            <w:vAlign w:val="center"/>
          </w:tcPr>
          <w:p w14:paraId="77A28FFF">
            <w:pPr>
              <w:jc w:val="center"/>
              <w:rPr>
                <w:rFonts w:ascii="宋体" w:hAnsi="宋体" w:eastAsia="宋体" w:cs="宋体"/>
                <w:color w:val="000000" w:themeColor="text1"/>
                <w:sz w:val="18"/>
                <w:szCs w:val="18"/>
                <w14:textFill>
                  <w14:solidFill>
                    <w14:schemeClr w14:val="tx1"/>
                  </w14:solidFill>
                </w14:textFill>
              </w:rPr>
            </w:pPr>
          </w:p>
        </w:tc>
      </w:tr>
      <w:tr w14:paraId="6A105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Align w:val="center"/>
          </w:tcPr>
          <w:p w14:paraId="39855457">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仪器名称</w:t>
            </w:r>
          </w:p>
        </w:tc>
        <w:tc>
          <w:tcPr>
            <w:tcW w:w="1474" w:type="pct"/>
            <w:vAlign w:val="center"/>
          </w:tcPr>
          <w:p w14:paraId="4B015862">
            <w:pPr>
              <w:jc w:val="center"/>
              <w:rPr>
                <w:rFonts w:ascii="宋体" w:hAnsi="宋体" w:eastAsia="宋体" w:cs="宋体"/>
                <w:color w:val="000000" w:themeColor="text1"/>
                <w:sz w:val="18"/>
                <w:szCs w:val="18"/>
                <w14:textFill>
                  <w14:solidFill>
                    <w14:schemeClr w14:val="tx1"/>
                  </w14:solidFill>
                </w14:textFill>
              </w:rPr>
            </w:pPr>
          </w:p>
        </w:tc>
        <w:tc>
          <w:tcPr>
            <w:tcW w:w="1301" w:type="pct"/>
            <w:vAlign w:val="center"/>
          </w:tcPr>
          <w:p w14:paraId="0DA88C15">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仪器编号</w:t>
            </w:r>
          </w:p>
        </w:tc>
        <w:tc>
          <w:tcPr>
            <w:tcW w:w="1227" w:type="pct"/>
            <w:vAlign w:val="center"/>
          </w:tcPr>
          <w:p w14:paraId="1612CB5C">
            <w:pPr>
              <w:jc w:val="center"/>
              <w:rPr>
                <w:rFonts w:ascii="宋体" w:hAnsi="宋体" w:eastAsia="宋体" w:cs="宋体"/>
                <w:color w:val="000000" w:themeColor="text1"/>
                <w:sz w:val="18"/>
                <w:szCs w:val="18"/>
                <w14:textFill>
                  <w14:solidFill>
                    <w14:schemeClr w14:val="tx1"/>
                  </w14:solidFill>
                </w14:textFill>
              </w:rPr>
            </w:pPr>
          </w:p>
        </w:tc>
      </w:tr>
      <w:tr w14:paraId="6CE69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Align w:val="center"/>
          </w:tcPr>
          <w:p w14:paraId="100F879A">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仪器状态和标识</w:t>
            </w:r>
          </w:p>
        </w:tc>
        <w:tc>
          <w:tcPr>
            <w:tcW w:w="1474" w:type="pct"/>
            <w:vAlign w:val="center"/>
          </w:tcPr>
          <w:p w14:paraId="3ED1E959">
            <w:pPr>
              <w:jc w:val="center"/>
              <w:rPr>
                <w:rFonts w:ascii="宋体" w:hAnsi="宋体" w:eastAsia="宋体" w:cs="宋体"/>
                <w:color w:val="000000" w:themeColor="text1"/>
                <w:sz w:val="18"/>
                <w:szCs w:val="18"/>
                <w14:textFill>
                  <w14:solidFill>
                    <w14:schemeClr w14:val="tx1"/>
                  </w14:solidFill>
                </w14:textFill>
              </w:rPr>
            </w:pPr>
          </w:p>
        </w:tc>
        <w:tc>
          <w:tcPr>
            <w:tcW w:w="1301" w:type="pct"/>
            <w:vAlign w:val="center"/>
          </w:tcPr>
          <w:p w14:paraId="15F1E356">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收样日期</w:t>
            </w:r>
          </w:p>
        </w:tc>
        <w:tc>
          <w:tcPr>
            <w:tcW w:w="1227" w:type="pct"/>
            <w:vAlign w:val="center"/>
          </w:tcPr>
          <w:p w14:paraId="7BAB1236">
            <w:pPr>
              <w:jc w:val="center"/>
              <w:rPr>
                <w:rFonts w:ascii="宋体" w:hAnsi="宋体" w:eastAsia="宋体" w:cs="宋体"/>
                <w:color w:val="000000" w:themeColor="text1"/>
                <w:sz w:val="18"/>
                <w:szCs w:val="18"/>
                <w14:textFill>
                  <w14:solidFill>
                    <w14:schemeClr w14:val="tx1"/>
                  </w14:solidFill>
                </w14:textFill>
              </w:rPr>
            </w:pPr>
          </w:p>
        </w:tc>
      </w:tr>
      <w:tr w14:paraId="64AFE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Align w:val="center"/>
          </w:tcPr>
          <w:p w14:paraId="650BFBEE">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操作环境条件</w:t>
            </w:r>
          </w:p>
        </w:tc>
        <w:tc>
          <w:tcPr>
            <w:tcW w:w="1474" w:type="pct"/>
            <w:vAlign w:val="center"/>
          </w:tcPr>
          <w:p w14:paraId="17CCCC2E">
            <w:pPr>
              <w:jc w:val="center"/>
              <w:rPr>
                <w:rFonts w:ascii="宋体" w:hAnsi="宋体" w:eastAsia="宋体" w:cs="宋体"/>
                <w:color w:val="000000" w:themeColor="text1"/>
                <w:sz w:val="18"/>
                <w:szCs w:val="18"/>
                <w14:textFill>
                  <w14:solidFill>
                    <w14:schemeClr w14:val="tx1"/>
                  </w14:solidFill>
                </w14:textFill>
              </w:rPr>
            </w:pPr>
          </w:p>
        </w:tc>
        <w:tc>
          <w:tcPr>
            <w:tcW w:w="1301" w:type="pct"/>
            <w:vAlign w:val="center"/>
          </w:tcPr>
          <w:p w14:paraId="26C1B7B6">
            <w:pPr>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辅助设备情况</w:t>
            </w:r>
          </w:p>
        </w:tc>
        <w:tc>
          <w:tcPr>
            <w:tcW w:w="1227" w:type="pct"/>
            <w:vAlign w:val="center"/>
          </w:tcPr>
          <w:p w14:paraId="70B18107">
            <w:pPr>
              <w:jc w:val="center"/>
              <w:rPr>
                <w:rFonts w:ascii="宋体" w:hAnsi="宋体" w:eastAsia="宋体" w:cs="宋体"/>
                <w:color w:val="000000" w:themeColor="text1"/>
                <w:sz w:val="18"/>
                <w:szCs w:val="18"/>
                <w14:textFill>
                  <w14:solidFill>
                    <w14:schemeClr w14:val="tx1"/>
                  </w14:solidFill>
                </w14:textFill>
              </w:rPr>
            </w:pPr>
          </w:p>
        </w:tc>
      </w:tr>
      <w:tr w14:paraId="54A41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restart"/>
            <w:vAlign w:val="center"/>
          </w:tcPr>
          <w:p w14:paraId="2BA3C71C">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一般指标评价</w:t>
            </w:r>
          </w:p>
        </w:tc>
        <w:tc>
          <w:tcPr>
            <w:tcW w:w="1474" w:type="pct"/>
            <w:vAlign w:val="center"/>
          </w:tcPr>
          <w:p w14:paraId="451A5A75">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sz w:val="18"/>
                <w:szCs w:val="18"/>
              </w:rPr>
              <w:t>仪器外观方面</w:t>
            </w:r>
          </w:p>
        </w:tc>
        <w:tc>
          <w:tcPr>
            <w:tcW w:w="2528" w:type="pct"/>
            <w:gridSpan w:val="2"/>
            <w:vAlign w:val="center"/>
          </w:tcPr>
          <w:p w14:paraId="1F0D19D1">
            <w:pPr>
              <w:jc w:val="center"/>
              <w:rPr>
                <w:rFonts w:ascii="宋体" w:hAnsi="宋体" w:eastAsia="宋体" w:cs="宋体"/>
                <w:color w:val="000000" w:themeColor="text1"/>
                <w:sz w:val="18"/>
                <w:szCs w:val="18"/>
                <w14:textFill>
                  <w14:solidFill>
                    <w14:schemeClr w14:val="tx1"/>
                  </w14:solidFill>
                </w14:textFill>
              </w:rPr>
            </w:pPr>
          </w:p>
        </w:tc>
      </w:tr>
      <w:tr w14:paraId="08617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continue"/>
            <w:vAlign w:val="center"/>
          </w:tcPr>
          <w:p w14:paraId="36DAAFFD">
            <w:pPr>
              <w:jc w:val="center"/>
              <w:rPr>
                <w:rFonts w:ascii="宋体" w:hAnsi="宋体" w:eastAsia="宋体" w:cs="宋体"/>
                <w:color w:val="000000" w:themeColor="text1"/>
                <w:sz w:val="18"/>
                <w:szCs w:val="18"/>
                <w14:textFill>
                  <w14:solidFill>
                    <w14:schemeClr w14:val="tx1"/>
                  </w14:solidFill>
                </w14:textFill>
              </w:rPr>
            </w:pPr>
          </w:p>
        </w:tc>
        <w:tc>
          <w:tcPr>
            <w:tcW w:w="1474" w:type="pct"/>
            <w:vAlign w:val="center"/>
          </w:tcPr>
          <w:p w14:paraId="7E9E401E">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sz w:val="18"/>
                <w:szCs w:val="18"/>
              </w:rPr>
              <w:t>仪器便携性方面</w:t>
            </w:r>
          </w:p>
        </w:tc>
        <w:tc>
          <w:tcPr>
            <w:tcW w:w="2528" w:type="pct"/>
            <w:gridSpan w:val="2"/>
            <w:vAlign w:val="center"/>
          </w:tcPr>
          <w:p w14:paraId="180EBC7B">
            <w:pPr>
              <w:jc w:val="center"/>
              <w:rPr>
                <w:rFonts w:ascii="宋体" w:hAnsi="宋体" w:eastAsia="宋体" w:cs="宋体"/>
                <w:color w:val="000000" w:themeColor="text1"/>
                <w:sz w:val="18"/>
                <w:szCs w:val="18"/>
                <w14:textFill>
                  <w14:solidFill>
                    <w14:schemeClr w14:val="tx1"/>
                  </w14:solidFill>
                </w14:textFill>
              </w:rPr>
            </w:pPr>
          </w:p>
        </w:tc>
      </w:tr>
      <w:tr w14:paraId="0F0AD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continue"/>
            <w:vAlign w:val="center"/>
          </w:tcPr>
          <w:p w14:paraId="1F44501E">
            <w:pPr>
              <w:jc w:val="center"/>
              <w:rPr>
                <w:rFonts w:ascii="宋体" w:hAnsi="宋体" w:eastAsia="宋体" w:cs="宋体"/>
                <w:color w:val="000000" w:themeColor="text1"/>
                <w:sz w:val="18"/>
                <w:szCs w:val="18"/>
                <w14:textFill>
                  <w14:solidFill>
                    <w14:schemeClr w14:val="tx1"/>
                  </w14:solidFill>
                </w14:textFill>
              </w:rPr>
            </w:pPr>
          </w:p>
        </w:tc>
        <w:tc>
          <w:tcPr>
            <w:tcW w:w="1474" w:type="pct"/>
            <w:vAlign w:val="center"/>
          </w:tcPr>
          <w:p w14:paraId="1AC25004">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sz w:val="18"/>
                <w:szCs w:val="18"/>
              </w:rPr>
              <w:t>仪器质量证明</w:t>
            </w:r>
          </w:p>
        </w:tc>
        <w:tc>
          <w:tcPr>
            <w:tcW w:w="2528" w:type="pct"/>
            <w:gridSpan w:val="2"/>
            <w:vAlign w:val="center"/>
          </w:tcPr>
          <w:p w14:paraId="2B845703">
            <w:pPr>
              <w:jc w:val="center"/>
              <w:rPr>
                <w:rFonts w:ascii="宋体" w:hAnsi="宋体" w:eastAsia="宋体" w:cs="宋体"/>
                <w:color w:val="000000" w:themeColor="text1"/>
                <w:sz w:val="18"/>
                <w:szCs w:val="18"/>
                <w14:textFill>
                  <w14:solidFill>
                    <w14:schemeClr w14:val="tx1"/>
                  </w14:solidFill>
                </w14:textFill>
              </w:rPr>
            </w:pPr>
          </w:p>
        </w:tc>
      </w:tr>
      <w:tr w14:paraId="1B5A1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continue"/>
            <w:vAlign w:val="center"/>
          </w:tcPr>
          <w:p w14:paraId="2D348C61">
            <w:pPr>
              <w:jc w:val="center"/>
              <w:rPr>
                <w:rFonts w:ascii="宋体" w:hAnsi="宋体" w:eastAsia="宋体" w:cs="宋体"/>
                <w:color w:val="000000" w:themeColor="text1"/>
                <w:sz w:val="18"/>
                <w:szCs w:val="18"/>
                <w14:textFill>
                  <w14:solidFill>
                    <w14:schemeClr w14:val="tx1"/>
                  </w14:solidFill>
                </w14:textFill>
              </w:rPr>
            </w:pPr>
          </w:p>
        </w:tc>
        <w:tc>
          <w:tcPr>
            <w:tcW w:w="1474" w:type="pct"/>
            <w:vAlign w:val="center"/>
          </w:tcPr>
          <w:p w14:paraId="53FA3C3B">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sz w:val="18"/>
                <w:szCs w:val="18"/>
              </w:rPr>
              <w:t>仪器说明书</w:t>
            </w:r>
          </w:p>
        </w:tc>
        <w:tc>
          <w:tcPr>
            <w:tcW w:w="2528" w:type="pct"/>
            <w:gridSpan w:val="2"/>
            <w:vAlign w:val="center"/>
          </w:tcPr>
          <w:p w14:paraId="41E578DA">
            <w:pPr>
              <w:jc w:val="center"/>
              <w:rPr>
                <w:rFonts w:ascii="宋体" w:hAnsi="宋体" w:eastAsia="宋体" w:cs="宋体"/>
                <w:color w:val="000000" w:themeColor="text1"/>
                <w:sz w:val="18"/>
                <w:szCs w:val="18"/>
                <w14:textFill>
                  <w14:solidFill>
                    <w14:schemeClr w14:val="tx1"/>
                  </w14:solidFill>
                </w14:textFill>
              </w:rPr>
            </w:pPr>
          </w:p>
        </w:tc>
      </w:tr>
      <w:tr w14:paraId="7EE14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restart"/>
            <w:vAlign w:val="center"/>
          </w:tcPr>
          <w:p w14:paraId="6B802F49">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技术指标评价</w:t>
            </w:r>
          </w:p>
        </w:tc>
        <w:tc>
          <w:tcPr>
            <w:tcW w:w="1474" w:type="pct"/>
            <w:shd w:val="clear" w:color="auto" w:fill="auto"/>
            <w:vAlign w:val="center"/>
          </w:tcPr>
          <w:p w14:paraId="2FA2E201">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评价项目</w:t>
            </w:r>
          </w:p>
        </w:tc>
        <w:tc>
          <w:tcPr>
            <w:tcW w:w="1301" w:type="pct"/>
            <w:shd w:val="clear" w:color="auto" w:fill="auto"/>
            <w:vAlign w:val="center"/>
          </w:tcPr>
          <w:p w14:paraId="16C51C27">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结果</w:t>
            </w:r>
          </w:p>
        </w:tc>
        <w:tc>
          <w:tcPr>
            <w:tcW w:w="1227" w:type="pct"/>
            <w:shd w:val="clear" w:color="auto" w:fill="auto"/>
            <w:vAlign w:val="center"/>
          </w:tcPr>
          <w:p w14:paraId="22D5CB34">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单项判定</w:t>
            </w:r>
          </w:p>
        </w:tc>
      </w:tr>
      <w:tr w14:paraId="1F674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continue"/>
            <w:vAlign w:val="center"/>
          </w:tcPr>
          <w:p w14:paraId="231B83E4">
            <w:pPr>
              <w:jc w:val="center"/>
              <w:rPr>
                <w:rFonts w:ascii="宋体" w:hAnsi="宋体" w:eastAsia="宋体" w:cs="宋体"/>
                <w:color w:val="000000" w:themeColor="text1"/>
                <w:sz w:val="18"/>
                <w:szCs w:val="18"/>
                <w14:textFill>
                  <w14:solidFill>
                    <w14:schemeClr w14:val="tx1"/>
                  </w14:solidFill>
                </w14:textFill>
              </w:rPr>
            </w:pPr>
          </w:p>
        </w:tc>
        <w:tc>
          <w:tcPr>
            <w:tcW w:w="1474" w:type="pct"/>
            <w:vAlign w:val="center"/>
          </w:tcPr>
          <w:p w14:paraId="719F7EE4">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检测低限</w:t>
            </w:r>
          </w:p>
        </w:tc>
        <w:tc>
          <w:tcPr>
            <w:tcW w:w="1301" w:type="pct"/>
            <w:vAlign w:val="center"/>
          </w:tcPr>
          <w:p w14:paraId="0ED3F275">
            <w:pPr>
              <w:jc w:val="center"/>
              <w:rPr>
                <w:rFonts w:ascii="宋体" w:hAnsi="宋体" w:eastAsia="宋体" w:cs="宋体"/>
                <w:color w:val="000000" w:themeColor="text1"/>
                <w:sz w:val="18"/>
                <w:szCs w:val="18"/>
                <w14:textFill>
                  <w14:solidFill>
                    <w14:schemeClr w14:val="tx1"/>
                  </w14:solidFill>
                </w14:textFill>
              </w:rPr>
            </w:pPr>
          </w:p>
        </w:tc>
        <w:tc>
          <w:tcPr>
            <w:tcW w:w="1227" w:type="pct"/>
            <w:vAlign w:val="center"/>
          </w:tcPr>
          <w:p w14:paraId="74092F45">
            <w:pPr>
              <w:jc w:val="center"/>
              <w:rPr>
                <w:rFonts w:ascii="宋体" w:hAnsi="宋体" w:eastAsia="宋体" w:cs="宋体"/>
                <w:color w:val="000000" w:themeColor="text1"/>
                <w:sz w:val="18"/>
                <w:szCs w:val="18"/>
                <w14:textFill>
                  <w14:solidFill>
                    <w14:schemeClr w14:val="tx1"/>
                  </w14:solidFill>
                </w14:textFill>
              </w:rPr>
            </w:pPr>
          </w:p>
        </w:tc>
      </w:tr>
      <w:tr w14:paraId="5A4C4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continue"/>
            <w:vAlign w:val="center"/>
          </w:tcPr>
          <w:p w14:paraId="596DF88A">
            <w:pPr>
              <w:jc w:val="center"/>
              <w:rPr>
                <w:rFonts w:ascii="宋体" w:hAnsi="宋体" w:eastAsia="宋体" w:cs="宋体"/>
                <w:color w:val="000000" w:themeColor="text1"/>
                <w:sz w:val="18"/>
                <w:szCs w:val="18"/>
                <w14:textFill>
                  <w14:solidFill>
                    <w14:schemeClr w14:val="tx1"/>
                  </w14:solidFill>
                </w14:textFill>
              </w:rPr>
            </w:pPr>
          </w:p>
        </w:tc>
        <w:tc>
          <w:tcPr>
            <w:tcW w:w="1474" w:type="pct"/>
            <w:vAlign w:val="center"/>
          </w:tcPr>
          <w:p w14:paraId="6AE4AA62">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正确度</w:t>
            </w:r>
            <w:r>
              <w:rPr>
                <w:rFonts w:hint="eastAsia" w:ascii="宋体" w:hAnsi="宋体" w:eastAsia="宋体" w:cs="宋体"/>
                <w:color w:val="000000" w:themeColor="text1"/>
                <w:sz w:val="18"/>
                <w:szCs w:val="18"/>
                <w:vertAlign w:val="superscript"/>
                <w14:textFill>
                  <w14:solidFill>
                    <w14:schemeClr w14:val="tx1"/>
                  </w14:solidFill>
                </w14:textFill>
              </w:rPr>
              <w:t>*</w:t>
            </w:r>
          </w:p>
        </w:tc>
        <w:tc>
          <w:tcPr>
            <w:tcW w:w="1301" w:type="pct"/>
            <w:vAlign w:val="center"/>
          </w:tcPr>
          <w:p w14:paraId="61697327">
            <w:pPr>
              <w:jc w:val="center"/>
              <w:rPr>
                <w:rFonts w:ascii="宋体" w:hAnsi="宋体" w:eastAsia="宋体" w:cs="宋体"/>
                <w:color w:val="000000" w:themeColor="text1"/>
                <w:sz w:val="18"/>
                <w:szCs w:val="18"/>
                <w14:textFill>
                  <w14:solidFill>
                    <w14:schemeClr w14:val="tx1"/>
                  </w14:solidFill>
                </w14:textFill>
              </w:rPr>
            </w:pPr>
          </w:p>
        </w:tc>
        <w:tc>
          <w:tcPr>
            <w:tcW w:w="1227" w:type="pct"/>
            <w:vAlign w:val="center"/>
          </w:tcPr>
          <w:p w14:paraId="25737B42">
            <w:pPr>
              <w:jc w:val="center"/>
              <w:rPr>
                <w:rFonts w:ascii="宋体" w:hAnsi="宋体" w:eastAsia="宋体" w:cs="宋体"/>
                <w:color w:val="000000" w:themeColor="text1"/>
                <w:sz w:val="18"/>
                <w:szCs w:val="18"/>
                <w14:textFill>
                  <w14:solidFill>
                    <w14:schemeClr w14:val="tx1"/>
                  </w14:solidFill>
                </w14:textFill>
              </w:rPr>
            </w:pPr>
          </w:p>
        </w:tc>
      </w:tr>
      <w:tr w14:paraId="08E6D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continue"/>
            <w:vAlign w:val="center"/>
          </w:tcPr>
          <w:p w14:paraId="3C93722A">
            <w:pPr>
              <w:jc w:val="center"/>
              <w:rPr>
                <w:rFonts w:ascii="宋体" w:hAnsi="宋体" w:eastAsia="宋体" w:cs="宋体"/>
                <w:color w:val="000000" w:themeColor="text1"/>
                <w:sz w:val="18"/>
                <w:szCs w:val="18"/>
                <w14:textFill>
                  <w14:solidFill>
                    <w14:schemeClr w14:val="tx1"/>
                  </w14:solidFill>
                </w14:textFill>
              </w:rPr>
            </w:pPr>
          </w:p>
        </w:tc>
        <w:tc>
          <w:tcPr>
            <w:tcW w:w="1474" w:type="pct"/>
            <w:vAlign w:val="center"/>
          </w:tcPr>
          <w:p w14:paraId="7F8F8EB8">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精密度</w:t>
            </w:r>
            <w:r>
              <w:rPr>
                <w:rFonts w:hint="eastAsia" w:ascii="宋体" w:hAnsi="宋体" w:eastAsia="宋体" w:cs="宋体"/>
                <w:color w:val="000000" w:themeColor="text1"/>
                <w:sz w:val="18"/>
                <w:szCs w:val="18"/>
                <w:vertAlign w:val="superscript"/>
                <w14:textFill>
                  <w14:solidFill>
                    <w14:schemeClr w14:val="tx1"/>
                  </w14:solidFill>
                </w14:textFill>
              </w:rPr>
              <w:t>*</w:t>
            </w:r>
          </w:p>
        </w:tc>
        <w:tc>
          <w:tcPr>
            <w:tcW w:w="1301" w:type="pct"/>
            <w:vAlign w:val="center"/>
          </w:tcPr>
          <w:p w14:paraId="41632467">
            <w:pPr>
              <w:jc w:val="center"/>
              <w:rPr>
                <w:rFonts w:ascii="宋体" w:hAnsi="宋体" w:eastAsia="宋体" w:cs="宋体"/>
                <w:color w:val="000000" w:themeColor="text1"/>
                <w:sz w:val="18"/>
                <w:szCs w:val="18"/>
                <w14:textFill>
                  <w14:solidFill>
                    <w14:schemeClr w14:val="tx1"/>
                  </w14:solidFill>
                </w14:textFill>
              </w:rPr>
            </w:pPr>
          </w:p>
        </w:tc>
        <w:tc>
          <w:tcPr>
            <w:tcW w:w="1227" w:type="pct"/>
            <w:vAlign w:val="center"/>
          </w:tcPr>
          <w:p w14:paraId="13784B21">
            <w:pPr>
              <w:jc w:val="center"/>
              <w:rPr>
                <w:rFonts w:ascii="宋体" w:hAnsi="宋体" w:eastAsia="宋体" w:cs="宋体"/>
                <w:color w:val="000000" w:themeColor="text1"/>
                <w:sz w:val="18"/>
                <w:szCs w:val="18"/>
                <w14:textFill>
                  <w14:solidFill>
                    <w14:schemeClr w14:val="tx1"/>
                  </w14:solidFill>
                </w14:textFill>
              </w:rPr>
            </w:pPr>
          </w:p>
        </w:tc>
      </w:tr>
      <w:tr w14:paraId="10061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continue"/>
            <w:vAlign w:val="center"/>
          </w:tcPr>
          <w:p w14:paraId="1BDD6628">
            <w:pPr>
              <w:jc w:val="center"/>
              <w:rPr>
                <w:rFonts w:ascii="宋体" w:hAnsi="宋体" w:eastAsia="宋体" w:cs="宋体"/>
                <w:color w:val="000000" w:themeColor="text1"/>
                <w:sz w:val="18"/>
                <w:szCs w:val="18"/>
                <w14:textFill>
                  <w14:solidFill>
                    <w14:schemeClr w14:val="tx1"/>
                  </w14:solidFill>
                </w14:textFill>
              </w:rPr>
            </w:pPr>
          </w:p>
        </w:tc>
        <w:tc>
          <w:tcPr>
            <w:tcW w:w="1474" w:type="pct"/>
            <w:vAlign w:val="center"/>
          </w:tcPr>
          <w:p w14:paraId="17A4CCD3">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台间差</w:t>
            </w:r>
          </w:p>
        </w:tc>
        <w:tc>
          <w:tcPr>
            <w:tcW w:w="1301" w:type="pct"/>
            <w:vAlign w:val="center"/>
          </w:tcPr>
          <w:p w14:paraId="28526849">
            <w:pPr>
              <w:jc w:val="center"/>
              <w:rPr>
                <w:rFonts w:ascii="宋体" w:hAnsi="宋体" w:eastAsia="宋体" w:cs="宋体"/>
                <w:color w:val="000000" w:themeColor="text1"/>
                <w:sz w:val="18"/>
                <w:szCs w:val="18"/>
                <w14:textFill>
                  <w14:solidFill>
                    <w14:schemeClr w14:val="tx1"/>
                  </w14:solidFill>
                </w14:textFill>
              </w:rPr>
            </w:pPr>
          </w:p>
        </w:tc>
        <w:tc>
          <w:tcPr>
            <w:tcW w:w="1227" w:type="pct"/>
            <w:vAlign w:val="center"/>
          </w:tcPr>
          <w:p w14:paraId="7C7783BF">
            <w:pPr>
              <w:jc w:val="center"/>
              <w:rPr>
                <w:rFonts w:ascii="宋体" w:hAnsi="宋体" w:eastAsia="宋体" w:cs="宋体"/>
                <w:color w:val="000000" w:themeColor="text1"/>
                <w:sz w:val="18"/>
                <w:szCs w:val="18"/>
                <w14:textFill>
                  <w14:solidFill>
                    <w14:schemeClr w14:val="tx1"/>
                  </w14:solidFill>
                </w14:textFill>
              </w:rPr>
            </w:pPr>
          </w:p>
        </w:tc>
      </w:tr>
      <w:tr w14:paraId="1A098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continue"/>
            <w:vAlign w:val="center"/>
          </w:tcPr>
          <w:p w14:paraId="55C5BA81">
            <w:pPr>
              <w:jc w:val="center"/>
              <w:rPr>
                <w:rFonts w:ascii="宋体" w:hAnsi="宋体" w:eastAsia="宋体" w:cs="宋体"/>
                <w:color w:val="000000" w:themeColor="text1"/>
                <w:sz w:val="18"/>
                <w:szCs w:val="18"/>
                <w14:textFill>
                  <w14:solidFill>
                    <w14:schemeClr w14:val="tx1"/>
                  </w14:solidFill>
                </w14:textFill>
              </w:rPr>
            </w:pPr>
          </w:p>
        </w:tc>
        <w:tc>
          <w:tcPr>
            <w:tcW w:w="1474" w:type="pct"/>
            <w:vAlign w:val="center"/>
          </w:tcPr>
          <w:p w14:paraId="1D90BFBB">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短期稳定性</w:t>
            </w:r>
          </w:p>
        </w:tc>
        <w:tc>
          <w:tcPr>
            <w:tcW w:w="1301" w:type="pct"/>
            <w:vAlign w:val="center"/>
          </w:tcPr>
          <w:p w14:paraId="55182CBE">
            <w:pPr>
              <w:jc w:val="center"/>
              <w:rPr>
                <w:rFonts w:ascii="宋体" w:hAnsi="宋体" w:eastAsia="宋体" w:cs="宋体"/>
                <w:color w:val="000000" w:themeColor="text1"/>
                <w:sz w:val="18"/>
                <w:szCs w:val="18"/>
                <w14:textFill>
                  <w14:solidFill>
                    <w14:schemeClr w14:val="tx1"/>
                  </w14:solidFill>
                </w14:textFill>
              </w:rPr>
            </w:pPr>
          </w:p>
        </w:tc>
        <w:tc>
          <w:tcPr>
            <w:tcW w:w="1227" w:type="pct"/>
            <w:vAlign w:val="center"/>
          </w:tcPr>
          <w:p w14:paraId="1B795DA0">
            <w:pPr>
              <w:jc w:val="center"/>
              <w:rPr>
                <w:rFonts w:ascii="宋体" w:hAnsi="宋体" w:eastAsia="宋体" w:cs="宋体"/>
                <w:color w:val="000000" w:themeColor="text1"/>
                <w:sz w:val="18"/>
                <w:szCs w:val="18"/>
                <w14:textFill>
                  <w14:solidFill>
                    <w14:schemeClr w14:val="tx1"/>
                  </w14:solidFill>
                </w14:textFill>
              </w:rPr>
            </w:pPr>
          </w:p>
        </w:tc>
      </w:tr>
      <w:tr w14:paraId="24CE9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continue"/>
            <w:vAlign w:val="center"/>
          </w:tcPr>
          <w:p w14:paraId="7B5F1DDA">
            <w:pPr>
              <w:jc w:val="center"/>
              <w:rPr>
                <w:rFonts w:ascii="宋体" w:hAnsi="宋体" w:eastAsia="宋体" w:cs="宋体"/>
                <w:color w:val="000000" w:themeColor="text1"/>
                <w:sz w:val="18"/>
                <w:szCs w:val="18"/>
                <w14:textFill>
                  <w14:solidFill>
                    <w14:schemeClr w14:val="tx1"/>
                  </w14:solidFill>
                </w14:textFill>
              </w:rPr>
            </w:pPr>
          </w:p>
        </w:tc>
        <w:tc>
          <w:tcPr>
            <w:tcW w:w="1474" w:type="pct"/>
            <w:shd w:val="clear" w:color="auto" w:fill="auto"/>
            <w:vAlign w:val="center"/>
          </w:tcPr>
          <w:p w14:paraId="0B0925DD">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混合回收率（回收率）</w:t>
            </w:r>
            <w:r>
              <w:rPr>
                <w:rFonts w:hint="eastAsia" w:ascii="宋体" w:hAnsi="宋体" w:eastAsia="宋体" w:cs="宋体"/>
                <w:color w:val="000000" w:themeColor="text1"/>
                <w:sz w:val="18"/>
                <w:szCs w:val="18"/>
                <w:vertAlign w:val="superscript"/>
                <w14:textFill>
                  <w14:solidFill>
                    <w14:schemeClr w14:val="tx1"/>
                  </w14:solidFill>
                </w14:textFill>
              </w:rPr>
              <w:t>*</w:t>
            </w:r>
          </w:p>
        </w:tc>
        <w:tc>
          <w:tcPr>
            <w:tcW w:w="1301" w:type="pct"/>
            <w:vAlign w:val="center"/>
          </w:tcPr>
          <w:p w14:paraId="78FE57E3">
            <w:pPr>
              <w:jc w:val="center"/>
              <w:rPr>
                <w:rFonts w:ascii="宋体" w:hAnsi="宋体" w:eastAsia="宋体" w:cs="宋体"/>
                <w:color w:val="000000" w:themeColor="text1"/>
                <w:sz w:val="18"/>
                <w:szCs w:val="18"/>
                <w14:textFill>
                  <w14:solidFill>
                    <w14:schemeClr w14:val="tx1"/>
                  </w14:solidFill>
                </w14:textFill>
              </w:rPr>
            </w:pPr>
          </w:p>
        </w:tc>
        <w:tc>
          <w:tcPr>
            <w:tcW w:w="1227" w:type="pct"/>
            <w:vAlign w:val="center"/>
          </w:tcPr>
          <w:p w14:paraId="507EA00B">
            <w:pPr>
              <w:jc w:val="center"/>
              <w:rPr>
                <w:rFonts w:ascii="宋体" w:hAnsi="宋体" w:eastAsia="宋体" w:cs="宋体"/>
                <w:color w:val="000000" w:themeColor="text1"/>
                <w:sz w:val="18"/>
                <w:szCs w:val="18"/>
                <w14:textFill>
                  <w14:solidFill>
                    <w14:schemeClr w14:val="tx1"/>
                  </w14:solidFill>
                </w14:textFill>
              </w:rPr>
            </w:pPr>
          </w:p>
        </w:tc>
      </w:tr>
      <w:tr w14:paraId="092A5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continue"/>
            <w:vAlign w:val="center"/>
          </w:tcPr>
          <w:p w14:paraId="24163A97">
            <w:pPr>
              <w:jc w:val="center"/>
              <w:rPr>
                <w:rFonts w:ascii="宋体" w:hAnsi="宋体" w:eastAsia="宋体" w:cs="宋体"/>
                <w:color w:val="000000" w:themeColor="text1"/>
                <w:sz w:val="18"/>
                <w:szCs w:val="18"/>
                <w14:textFill>
                  <w14:solidFill>
                    <w14:schemeClr w14:val="tx1"/>
                  </w14:solidFill>
                </w14:textFill>
              </w:rPr>
            </w:pPr>
          </w:p>
        </w:tc>
        <w:tc>
          <w:tcPr>
            <w:tcW w:w="1474" w:type="pct"/>
            <w:shd w:val="clear" w:color="auto" w:fill="auto"/>
            <w:vAlign w:val="center"/>
          </w:tcPr>
          <w:p w14:paraId="03D282F5">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混合回收率（相对标准偏差）</w:t>
            </w:r>
            <w:r>
              <w:rPr>
                <w:rFonts w:hint="eastAsia" w:ascii="宋体" w:hAnsi="宋体" w:eastAsia="宋体" w:cs="宋体"/>
                <w:color w:val="000000" w:themeColor="text1"/>
                <w:sz w:val="18"/>
                <w:szCs w:val="18"/>
                <w:vertAlign w:val="superscript"/>
                <w14:textFill>
                  <w14:solidFill>
                    <w14:schemeClr w14:val="tx1"/>
                  </w14:solidFill>
                </w14:textFill>
              </w:rPr>
              <w:t>*</w:t>
            </w:r>
          </w:p>
        </w:tc>
        <w:tc>
          <w:tcPr>
            <w:tcW w:w="1301" w:type="pct"/>
            <w:vAlign w:val="center"/>
          </w:tcPr>
          <w:p w14:paraId="3DF6AB26">
            <w:pPr>
              <w:jc w:val="center"/>
              <w:rPr>
                <w:rFonts w:ascii="宋体" w:hAnsi="宋体" w:eastAsia="宋体" w:cs="宋体"/>
                <w:color w:val="000000" w:themeColor="text1"/>
                <w:sz w:val="18"/>
                <w:szCs w:val="18"/>
                <w14:textFill>
                  <w14:solidFill>
                    <w14:schemeClr w14:val="tx1"/>
                  </w14:solidFill>
                </w14:textFill>
              </w:rPr>
            </w:pPr>
          </w:p>
        </w:tc>
        <w:tc>
          <w:tcPr>
            <w:tcW w:w="1227" w:type="pct"/>
            <w:vAlign w:val="center"/>
          </w:tcPr>
          <w:p w14:paraId="3B10A8D9">
            <w:pPr>
              <w:jc w:val="center"/>
              <w:rPr>
                <w:rFonts w:ascii="宋体" w:hAnsi="宋体" w:eastAsia="宋体" w:cs="宋体"/>
                <w:color w:val="000000" w:themeColor="text1"/>
                <w:sz w:val="18"/>
                <w:szCs w:val="18"/>
                <w14:textFill>
                  <w14:solidFill>
                    <w14:schemeClr w14:val="tx1"/>
                  </w14:solidFill>
                </w14:textFill>
              </w:rPr>
            </w:pPr>
          </w:p>
        </w:tc>
      </w:tr>
      <w:tr w14:paraId="14E0B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Merge w:val="continue"/>
            <w:vAlign w:val="center"/>
          </w:tcPr>
          <w:p w14:paraId="37676C0D">
            <w:pPr>
              <w:jc w:val="center"/>
              <w:rPr>
                <w:rFonts w:ascii="宋体" w:hAnsi="宋体" w:eastAsia="宋体" w:cs="宋体"/>
                <w:color w:val="000000" w:themeColor="text1"/>
                <w:sz w:val="18"/>
                <w:szCs w:val="18"/>
                <w14:textFill>
                  <w14:solidFill>
                    <w14:schemeClr w14:val="tx1"/>
                  </w14:solidFill>
                </w14:textFill>
              </w:rPr>
            </w:pPr>
          </w:p>
        </w:tc>
        <w:tc>
          <w:tcPr>
            <w:tcW w:w="1474" w:type="pct"/>
            <w:shd w:val="clear" w:color="auto" w:fill="auto"/>
            <w:vAlign w:val="center"/>
          </w:tcPr>
          <w:p w14:paraId="15A8F3F6">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检测时间</w:t>
            </w:r>
            <w:r>
              <w:rPr>
                <w:rFonts w:hint="eastAsia" w:ascii="宋体" w:hAnsi="宋体" w:eastAsia="宋体" w:cs="宋体"/>
                <w:color w:val="000000" w:themeColor="text1"/>
                <w:sz w:val="18"/>
                <w:szCs w:val="18"/>
                <w:vertAlign w:val="superscript"/>
                <w14:textFill>
                  <w14:solidFill>
                    <w14:schemeClr w14:val="tx1"/>
                  </w14:solidFill>
                </w14:textFill>
              </w:rPr>
              <w:t>*</w:t>
            </w:r>
          </w:p>
        </w:tc>
        <w:tc>
          <w:tcPr>
            <w:tcW w:w="1301" w:type="pct"/>
            <w:vAlign w:val="center"/>
          </w:tcPr>
          <w:p w14:paraId="0DA3D18D">
            <w:pPr>
              <w:jc w:val="center"/>
              <w:rPr>
                <w:rFonts w:ascii="宋体" w:hAnsi="宋体" w:eastAsia="宋体" w:cs="宋体"/>
                <w:color w:val="000000" w:themeColor="text1"/>
                <w:sz w:val="18"/>
                <w:szCs w:val="18"/>
                <w14:textFill>
                  <w14:solidFill>
                    <w14:schemeClr w14:val="tx1"/>
                  </w14:solidFill>
                </w14:textFill>
              </w:rPr>
            </w:pPr>
          </w:p>
        </w:tc>
        <w:tc>
          <w:tcPr>
            <w:tcW w:w="1227" w:type="pct"/>
            <w:vAlign w:val="center"/>
          </w:tcPr>
          <w:p w14:paraId="60AAD601">
            <w:pPr>
              <w:jc w:val="center"/>
              <w:rPr>
                <w:rFonts w:ascii="宋体" w:hAnsi="宋体" w:eastAsia="宋体" w:cs="宋体"/>
                <w:color w:val="000000" w:themeColor="text1"/>
                <w:sz w:val="18"/>
                <w:szCs w:val="18"/>
                <w14:textFill>
                  <w14:solidFill>
                    <w14:schemeClr w14:val="tx1"/>
                  </w14:solidFill>
                </w14:textFill>
              </w:rPr>
            </w:pPr>
          </w:p>
        </w:tc>
      </w:tr>
      <w:tr w14:paraId="1BCF7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7" w:type="pct"/>
            <w:vAlign w:val="center"/>
          </w:tcPr>
          <w:p w14:paraId="0CFEE1CA">
            <w:pPr>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评价结论</w:t>
            </w:r>
          </w:p>
        </w:tc>
        <w:tc>
          <w:tcPr>
            <w:tcW w:w="4002" w:type="pct"/>
            <w:gridSpan w:val="3"/>
            <w:vAlign w:val="center"/>
          </w:tcPr>
          <w:p w14:paraId="2928C30C">
            <w:pPr>
              <w:jc w:val="center"/>
              <w:rPr>
                <w:rFonts w:ascii="宋体" w:hAnsi="宋体" w:eastAsia="宋体" w:cs="宋体"/>
                <w:color w:val="000000" w:themeColor="text1"/>
                <w:sz w:val="18"/>
                <w:szCs w:val="18"/>
                <w14:textFill>
                  <w14:solidFill>
                    <w14:schemeClr w14:val="tx1"/>
                  </w14:solidFill>
                </w14:textFill>
              </w:rPr>
            </w:pPr>
          </w:p>
        </w:tc>
      </w:tr>
    </w:tbl>
    <w:p w14:paraId="009B8F5E">
      <w:pPr>
        <w:widowControl/>
        <w:jc w:val="left"/>
        <w:rPr>
          <w:rFonts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注：*，判定依据为仪器宣称值。</w:t>
      </w:r>
    </w:p>
    <w:p w14:paraId="6AD7CC95">
      <w:pPr>
        <w:widowControl/>
        <w:jc w:val="left"/>
        <w:rPr>
          <w:rFonts w:ascii="宋体" w:hAnsi="宋体" w:eastAsia="宋体" w:cs="宋体"/>
          <w:color w:val="000000"/>
          <w:kern w:val="0"/>
          <w:sz w:val="18"/>
          <w:szCs w:val="18"/>
          <w:lang w:bidi="ar"/>
        </w:rPr>
      </w:pPr>
    </w:p>
    <w:p w14:paraId="73D05C40">
      <w:pPr>
        <w:widowControl/>
        <w:jc w:val="left"/>
        <w:rPr>
          <w:color w:val="000000" w:themeColor="text1"/>
          <w14:textFill>
            <w14:solidFill>
              <w14:schemeClr w14:val="tx1"/>
            </w14:solidFill>
          </w14:textFill>
        </w:rPr>
      </w:pPr>
      <w:r>
        <w:rPr>
          <w:rFonts w:hint="eastAsia" w:ascii="宋体" w:hAnsi="宋体" w:eastAsia="宋体" w:cs="宋体"/>
          <w:color w:val="000000"/>
          <w:kern w:val="0"/>
          <w:sz w:val="18"/>
          <w:szCs w:val="18"/>
        </w:rPr>
        <w:t>编制人</w:t>
      </w:r>
      <w:r>
        <w:rPr>
          <w:rFonts w:ascii="Calibri" w:hAnsi="Calibri" w:eastAsia="宋体" w:cs="Calibri"/>
          <w:color w:val="000000"/>
          <w:kern w:val="0"/>
          <w:sz w:val="18"/>
          <w:szCs w:val="18"/>
        </w:rPr>
        <w:t>/</w:t>
      </w:r>
      <w:r>
        <w:rPr>
          <w:rFonts w:hint="eastAsia" w:ascii="宋体" w:hAnsi="宋体" w:eastAsia="宋体" w:cs="宋体"/>
          <w:color w:val="000000"/>
          <w:kern w:val="0"/>
          <w:sz w:val="18"/>
          <w:szCs w:val="18"/>
        </w:rPr>
        <w:t xml:space="preserve">日期：         </w:t>
      </w:r>
      <w:r>
        <w:rPr>
          <w:rFonts w:ascii="Calibri" w:hAnsi="Calibri" w:eastAsia="宋体" w:cs="Calibri"/>
          <w:color w:val="000000"/>
          <w:kern w:val="0"/>
          <w:sz w:val="18"/>
          <w:szCs w:val="18"/>
        </w:rPr>
        <w:t xml:space="preserve"> </w:t>
      </w:r>
      <w:r>
        <w:rPr>
          <w:rFonts w:hint="eastAsia" w:eastAsia="宋体" w:cs="Calibri"/>
          <w:color w:val="000000"/>
          <w:kern w:val="0"/>
          <w:sz w:val="18"/>
          <w:szCs w:val="18"/>
        </w:rPr>
        <w:t xml:space="preserve">            </w:t>
      </w:r>
      <w:r>
        <w:rPr>
          <w:rFonts w:hint="eastAsia" w:ascii="宋体" w:hAnsi="宋体" w:eastAsia="宋体" w:cs="宋体"/>
          <w:color w:val="000000"/>
          <w:kern w:val="0"/>
          <w:sz w:val="18"/>
          <w:szCs w:val="18"/>
        </w:rPr>
        <w:t>审核人</w:t>
      </w:r>
      <w:r>
        <w:rPr>
          <w:rFonts w:ascii="Calibri" w:hAnsi="Calibri" w:eastAsia="宋体" w:cs="Calibri"/>
          <w:color w:val="000000"/>
          <w:kern w:val="0"/>
          <w:sz w:val="18"/>
          <w:szCs w:val="18"/>
        </w:rPr>
        <w:t>/</w:t>
      </w:r>
      <w:r>
        <w:rPr>
          <w:rFonts w:hint="eastAsia" w:ascii="宋体" w:hAnsi="宋体" w:eastAsia="宋体" w:cs="宋体"/>
          <w:color w:val="000000"/>
          <w:kern w:val="0"/>
          <w:sz w:val="18"/>
          <w:szCs w:val="18"/>
        </w:rPr>
        <w:t>日期：                  批准人/日期：</w:t>
      </w:r>
    </w:p>
    <w:p w14:paraId="3217DAA7">
      <w:pPr>
        <w:rPr>
          <w:color w:val="000000" w:themeColor="text1"/>
          <w:spacing w:val="108"/>
          <w14:textFill>
            <w14:solidFill>
              <w14:schemeClr w14:val="tx1"/>
            </w14:solidFill>
          </w14:textFill>
        </w:rPr>
      </w:pPr>
      <w:r>
        <w:rPr>
          <w:color w:val="000000" w:themeColor="text1"/>
          <w14:textFill>
            <w14:solidFill>
              <w14:schemeClr w14:val="tx1"/>
            </w14:solidFill>
          </w14:textFill>
        </w:rPr>
        <w:br w:type="page"/>
      </w:r>
      <w:bookmarkEnd w:id="51"/>
      <w:bookmarkStart w:id="62" w:name="_Toc1786"/>
      <w:bookmarkEnd w:id="62"/>
      <w:bookmarkStart w:id="63" w:name="_Toc27380"/>
      <w:bookmarkEnd w:id="63"/>
      <w:bookmarkStart w:id="64" w:name="_Toc23240"/>
      <w:bookmarkEnd w:id="64"/>
      <w:bookmarkStart w:id="65" w:name="_Toc23835"/>
      <w:bookmarkStart w:id="66" w:name="_Toc10791"/>
      <w:bookmarkStart w:id="67" w:name="_Toc29433"/>
      <w:bookmarkStart w:id="68" w:name="_Toc10399"/>
    </w:p>
    <w:p w14:paraId="582C0D09">
      <w:pPr>
        <w:pStyle w:val="47"/>
        <w:spacing w:before="124" w:after="156"/>
        <w:rPr>
          <w:color w:val="000000" w:themeColor="text1"/>
          <w14:textFill>
            <w14:solidFill>
              <w14:schemeClr w14:val="tx1"/>
            </w14:solidFill>
          </w14:textFill>
        </w:rPr>
      </w:pPr>
      <w:r>
        <w:rPr>
          <w:rFonts w:hint="eastAsia"/>
          <w:color w:val="000000" w:themeColor="text1"/>
          <w:spacing w:val="108"/>
          <w14:textFill>
            <w14:solidFill>
              <w14:schemeClr w14:val="tx1"/>
            </w14:solidFill>
          </w14:textFill>
        </w:rPr>
        <w:t>参</w:t>
      </w:r>
      <w:bookmarkStart w:id="69" w:name="BKCKWX"/>
      <w:r>
        <w:rPr>
          <w:rFonts w:hint="eastAsia"/>
          <w:color w:val="000000" w:themeColor="text1"/>
          <w:spacing w:val="108"/>
          <w14:textFill>
            <w14:solidFill>
              <w14:schemeClr w14:val="tx1"/>
            </w14:solidFill>
          </w14:textFill>
        </w:rPr>
        <w:t>考文</w:t>
      </w:r>
      <w:r>
        <w:rPr>
          <w:rFonts w:hint="eastAsia"/>
          <w:color w:val="000000" w:themeColor="text1"/>
          <w14:textFill>
            <w14:solidFill>
              <w14:schemeClr w14:val="tx1"/>
            </w14:solidFill>
          </w14:textFill>
        </w:rPr>
        <w:t>献</w:t>
      </w:r>
      <w:bookmarkEnd w:id="65"/>
      <w:bookmarkEnd w:id="66"/>
      <w:bookmarkEnd w:id="67"/>
      <w:bookmarkEnd w:id="68"/>
    </w:p>
    <w:bookmarkEnd w:id="69"/>
    <w:p w14:paraId="2CFD0057">
      <w:pPr>
        <w:pStyle w:val="26"/>
        <w:ind w:firstLine="420"/>
        <w:rPr>
          <w:rFonts w:hint="default"/>
          <w:color w:val="000000" w:themeColor="text1"/>
          <w14:textFill>
            <w14:solidFill>
              <w14:schemeClr w14:val="tx1"/>
            </w14:solidFill>
          </w14:textFill>
        </w:rPr>
      </w:pPr>
      <w:r>
        <w:rPr>
          <w:color w:val="000000" w:themeColor="text1"/>
          <w14:textFill>
            <w14:solidFill>
              <w14:schemeClr w14:val="tx1"/>
            </w14:solidFill>
          </w14:textFill>
        </w:rPr>
        <w:t>[1]  市场监管总局关于规范食品快速检测使用的意见（国市监食检规〔2023〕1号）</w:t>
      </w:r>
    </w:p>
    <w:p w14:paraId="0102DCEE">
      <w:pPr>
        <w:pStyle w:val="48"/>
        <w:framePr w:wrap="around"/>
        <w:rPr>
          <w:color w:val="000000" w:themeColor="text1"/>
          <w14:textFill>
            <w14:solidFill>
              <w14:schemeClr w14:val="tx1"/>
            </w14:solidFill>
          </w14:textFill>
        </w:rPr>
      </w:pPr>
      <w:r>
        <w:rPr>
          <w:rFonts w:hint="eastAsia"/>
          <w:color w:val="000000" w:themeColor="text1"/>
          <w14:textFill>
            <w14:solidFill>
              <w14:schemeClr w14:val="tx1"/>
            </w14:solidFill>
          </w14:textFill>
        </w:rPr>
        <w:drawing>
          <wp:inline distT="0" distB="0" distL="114300" distR="114300">
            <wp:extent cx="1485900" cy="317500"/>
            <wp:effectExtent l="0" t="0" r="0" b="6350"/>
            <wp:docPr id="4" name="图片 4" descr="EndLine"/>
            <wp:cNvGraphicFramePr/>
            <a:graphic xmlns:a="http://schemas.openxmlformats.org/drawingml/2006/main">
              <a:graphicData uri="http://schemas.openxmlformats.org/drawingml/2006/picture">
                <pic:pic xmlns:pic="http://schemas.openxmlformats.org/drawingml/2006/picture">
                  <pic:nvPicPr>
                    <pic:cNvPr id="4" name="图片 4" descr="EndLine"/>
                    <pic:cNvPicPr/>
                  </pic:nvPicPr>
                  <pic:blipFill>
                    <a:blip r:embed="rId42" cstate="print"/>
                    <a:stretch>
                      <a:fillRect/>
                    </a:stretch>
                  </pic:blipFill>
                  <pic:spPr>
                    <a:xfrm>
                      <a:off x="0" y="0"/>
                      <a:ext cx="1485900" cy="317500"/>
                    </a:xfrm>
                    <a:prstGeom prst="rect">
                      <a:avLst/>
                    </a:prstGeom>
                  </pic:spPr>
                </pic:pic>
              </a:graphicData>
            </a:graphic>
          </wp:inline>
        </w:drawing>
      </w:r>
      <w:bookmarkEnd w:id="58"/>
    </w:p>
    <w:p w14:paraId="65E24956">
      <w:pPr>
        <w:ind w:firstLine="640" w:firstLineChars="200"/>
        <w:jc w:val="center"/>
        <w:rPr>
          <w:rFonts w:ascii="仿宋" w:hAnsi="仿宋" w:eastAsia="仿宋" w:cs="仿宋"/>
          <w:color w:val="000000" w:themeColor="text1"/>
          <w:sz w:val="32"/>
          <w:szCs w:val="32"/>
          <w14:textFill>
            <w14:solidFill>
              <w14:schemeClr w14:val="tx1"/>
            </w14:solidFill>
          </w14:textFill>
        </w:rPr>
      </w:pPr>
    </w:p>
    <w:sectPr>
      <w:footerReference r:id="rId9" w:type="default"/>
      <w:footerReference r:id="rId10" w:type="even"/>
      <w:pgSz w:w="11906" w:h="16838"/>
      <w:pgMar w:top="2410" w:right="1134" w:bottom="1134" w:left="1134" w:header="1418" w:footer="1134" w:gutter="284"/>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9FD62EE-F2DB-4B96-A37A-F6090813941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40288070-A4E9-45CE-A746-821873780538}"/>
  </w:font>
  <w:font w:name="Cambria Math">
    <w:panose1 w:val="02040503050406030204"/>
    <w:charset w:val="00"/>
    <w:family w:val="roman"/>
    <w:pitch w:val="default"/>
    <w:sig w:usb0="E00006FF" w:usb1="420024FF" w:usb2="02000000" w:usb3="00000000" w:csb0="2000019F" w:csb1="00000000"/>
    <w:embedRegular r:id="rId3" w:fontKey="{41235CA5-D2C4-418B-A415-9169C7E924B9}"/>
  </w:font>
  <w:font w:name="仿宋">
    <w:panose1 w:val="02010609060101010101"/>
    <w:charset w:val="86"/>
    <w:family w:val="modern"/>
    <w:pitch w:val="default"/>
    <w:sig w:usb0="800002BF" w:usb1="38CF7CFA" w:usb2="00000016" w:usb3="00000000" w:csb0="00040001" w:csb1="00000000"/>
    <w:embedRegular r:id="rId4" w:fontKey="{E4BB1C7B-B962-4C78-86C4-1C85B722B5D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11023">
    <w:pPr>
      <w:pStyle w:val="50"/>
      <w:rPr>
        <w:rFonts w:hint="default"/>
      </w:rPr>
    </w:pPr>
    <w:r>
      <w:rPr>
        <w:rFonts w:hint="default"/>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E5A8DC9">
                          <w:pPr>
                            <w:pStyle w:val="5"/>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4E5A8DC9">
                    <w:pPr>
                      <w:pStyle w:val="5"/>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3F2CC8">
    <w:pPr>
      <w:pStyle w:val="5"/>
    </w:pPr>
    <w: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8735A8C">
                          <w:pPr>
                            <w:pStyle w:val="5"/>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HPF6wxAgAAY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MHmWha3e&#10;WR6hozzero4BciaVoyidEuhOPGD2Up/6PYnD/ec5RT3+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xzxesMQIAAGMEAAAOAAAAAAAAAAEAIAAAAB8BAABkcnMvZTJvRG9jLnhtbFBLBQYA&#10;AAAABgAGAFkBAADCBQAAAAA=&#10;">
              <v:fill on="f" focussize="0,0"/>
              <v:stroke on="f" weight="0.5pt"/>
              <v:imagedata o:title=""/>
              <o:lock v:ext="edit" aspectratio="f"/>
              <v:textbox inset="0mm,0mm,0mm,0mm" style="mso-fit-shape-to-text:t;">
                <w:txbxContent>
                  <w:p w14:paraId="68735A8C">
                    <w:pPr>
                      <w:pStyle w:val="5"/>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9E4F8">
    <w:pPr>
      <w:pStyle w:val="50"/>
      <w:rPr>
        <w:rFonts w:hint="default"/>
      </w:rPr>
    </w:pPr>
    <w:r>
      <w:rPr>
        <w:rFonts w:hint="default"/>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61D222B">
                          <w:pPr>
                            <w:pStyle w:val="50"/>
                            <w:rPr>
                              <w:rFonts w:hint="default"/>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461D222B">
                    <w:pPr>
                      <w:pStyle w:val="50"/>
                      <w:rPr>
                        <w:rFonts w:hint="default"/>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1979E">
    <w:pPr>
      <w:pStyle w:val="5"/>
      <w:tabs>
        <w:tab w:val="right" w:pos="9354"/>
        <w:tab w:val="clear" w:pos="4153"/>
      </w:tabs>
    </w:pPr>
    <w:r>
      <mc:AlternateContent>
        <mc:Choice Requires="wps">
          <w:drawing>
            <wp:anchor distT="0" distB="0" distL="114300" distR="114300" simplePos="0" relativeHeight="251665408" behindDoc="0" locked="0" layoutInCell="1" allowOverlap="1">
              <wp:simplePos x="0" y="0"/>
              <wp:positionH relativeFrom="margin">
                <wp:align>right</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C419CCD">
                          <w:pPr>
                            <w:pStyle w:val="5"/>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O3lPQyAgAAYwQAAA4AAABkcnMvZTJvRG9jLnhtbK1UzY7TMBC+I/EO&#10;lu80aRGrbt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7eU9DICAABjBAAADgAAAAAAAAABACAAAAAfAQAAZHJzL2Uyb0RvYy54bWxQSwUG&#10;AAAAAAYABgBZAQAAwwUAAAAA&#10;">
              <v:fill on="f" focussize="0,0"/>
              <v:stroke on="f" weight="0.5pt"/>
              <v:imagedata o:title=""/>
              <o:lock v:ext="edit" aspectratio="f"/>
              <v:textbox inset="0mm,0mm,0mm,0mm" style="mso-fit-shape-to-text:t;">
                <w:txbxContent>
                  <w:p w14:paraId="6C419CCD">
                    <w:pPr>
                      <w:pStyle w:val="5"/>
                    </w:pPr>
                    <w:r>
                      <w:fldChar w:fldCharType="begin"/>
                    </w:r>
                    <w:r>
                      <w:instrText xml:space="preserve"> PAGE  \* MERGEFORMAT </w:instrText>
                    </w:r>
                    <w:r>
                      <w:fldChar w:fldCharType="separate"/>
                    </w:r>
                    <w:r>
                      <w:t>II</w:t>
                    </w:r>
                    <w:r>
                      <w:fldChar w:fldCharType="end"/>
                    </w:r>
                  </w:p>
                </w:txbxContent>
              </v:textbox>
            </v:shape>
          </w:pict>
        </mc:Fallback>
      </mc:AlternateContent>
    </w:r>
    <w:r>
      <w:rPr>
        <w:rFonts w:hint="eastAsia"/>
      </w:rPr>
      <w:tab/>
    </w:r>
    <w:r>
      <w:rPr>
        <w:rFonts w:hint="eastAsia"/>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80990F">
    <w:pPr>
      <w:pStyle w:val="50"/>
      <w:rPr>
        <w:rFonts w:hint="default"/>
      </w:rPr>
    </w:pPr>
    <w:r>
      <w:rPr>
        <w:rFonts w:hint="default"/>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41F026E">
                          <w:pPr>
                            <w:pStyle w:val="50"/>
                            <w:rPr>
                              <w:rFonts w:hint="default"/>
                            </w:rPr>
                          </w:pPr>
                          <w:r>
                            <w:fldChar w:fldCharType="begin"/>
                          </w:r>
                          <w:r>
                            <w:instrText xml:space="preserve"> PAGE  \* MERGEFORMAT </w:instrText>
                          </w:r>
                          <w:r>
                            <w:fldChar w:fldCharType="separate"/>
                          </w:r>
                          <w:r>
                            <w:rPr>
                              <w:rFonts w:hint="default"/>
                            </w:rP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SJGuwyAgAAY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jB5loWN&#10;3loeoaM83i4PAXImlaMonRLoTjxg9lKfLnsSh/vPc4p6+m9YPA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NIka7DICAABjBAAADgAAAAAAAAABACAAAAAfAQAAZHJzL2Uyb0RvYy54bWxQSwUG&#10;AAAAAAYABgBZAQAAwwUAAAAA&#10;">
              <v:fill on="f" focussize="0,0"/>
              <v:stroke on="f" weight="0.5pt"/>
              <v:imagedata o:title=""/>
              <o:lock v:ext="edit" aspectratio="f"/>
              <v:textbox inset="0mm,0mm,0mm,0mm" style="mso-fit-shape-to-text:t;">
                <w:txbxContent>
                  <w:p w14:paraId="141F026E">
                    <w:pPr>
                      <w:pStyle w:val="50"/>
                      <w:rPr>
                        <w:rFonts w:hint="default"/>
                      </w:rPr>
                    </w:pPr>
                    <w:r>
                      <w:fldChar w:fldCharType="begin"/>
                    </w:r>
                    <w:r>
                      <w:instrText xml:space="preserve"> PAGE  \* MERGEFORMAT </w:instrText>
                    </w:r>
                    <w:r>
                      <w:fldChar w:fldCharType="separate"/>
                    </w:r>
                    <w:r>
                      <w:rPr>
                        <w:rFonts w:hint="default"/>
                      </w:rPr>
                      <w:t>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7E4777">
    <w:pPr>
      <w:pStyle w:val="5"/>
    </w:pPr>
    <w: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A1A1E9A">
                          <w:pPr>
                            <w:pStyle w:val="5"/>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2Zxg5DICAABjBAAADgAAAAAAAAABACAAAAAfAQAAZHJzL2Uyb0RvYy54bWxQSwUG&#10;AAAAAAYABgBZAQAAwwUAAAAA&#10;">
              <v:fill on="f" focussize="0,0"/>
              <v:stroke on="f" weight="0.5pt"/>
              <v:imagedata o:title=""/>
              <o:lock v:ext="edit" aspectratio="f"/>
              <v:textbox inset="0mm,0mm,0mm,0mm" style="mso-fit-shape-to-text:t;">
                <w:txbxContent>
                  <w:p w14:paraId="3A1A1E9A">
                    <w:pPr>
                      <w:pStyle w:val="5"/>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3F57BA">
    <w:pPr>
      <w:pStyle w:val="6"/>
      <w:jc w:val="right"/>
    </w:pPr>
    <w:r>
      <w:rPr>
        <w:rFonts w:hint="eastAsia"/>
      </w:rPr>
      <w:t>T/JXIFST 00</w:t>
    </w:r>
    <w:r>
      <w:rPr>
        <w:rFonts w:hint="eastAsia"/>
        <w:lang w:val="en-US" w:eastAsia="zh-CN"/>
      </w:rPr>
      <w:t>2</w:t>
    </w:r>
    <w:r>
      <w:rPr>
        <w:rFonts w:hint="eastAsia"/>
      </w:rPr>
      <w:t>—2026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42977">
    <w:pPr>
      <w:pStyle w:val="6"/>
    </w:pPr>
    <w:r>
      <w:rPr>
        <w:rFonts w:hint="eastAsia"/>
      </w:rPr>
      <w:t>T/JXIFST 00</w:t>
    </w:r>
    <w:r>
      <w:rPr>
        <w:rFonts w:hint="eastAsia"/>
        <w:lang w:val="en-US" w:eastAsia="zh-CN"/>
      </w:rPr>
      <w:t>2</w:t>
    </w:r>
    <w:r>
      <w:rPr>
        <w:rFonts w:hint="eastAsia"/>
      </w:rPr>
      <w:t>—2026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CAA85F"/>
    <w:multiLevelType w:val="multilevel"/>
    <w:tmpl w:val="ABCAA85F"/>
    <w:lvl w:ilvl="0" w:tentative="0">
      <w:start w:val="1"/>
      <w:numFmt w:val="decimal"/>
      <w:pStyle w:val="32"/>
      <w:suff w:val="nothing"/>
      <w:lvlText w:val="%1　"/>
      <w:lvlJc w:val="left"/>
      <w:pPr>
        <w:ind w:left="0" w:firstLine="0"/>
      </w:pPr>
      <w:rPr>
        <w:rFonts w:hint="default" w:ascii="黑体" w:hAnsi="黑体" w:eastAsia="黑体" w:cs="黑体"/>
        <w:sz w:val="20"/>
      </w:rPr>
    </w:lvl>
    <w:lvl w:ilvl="1" w:tentative="0">
      <w:start w:val="1"/>
      <w:numFmt w:val="decimal"/>
      <w:suff w:val="nothing"/>
      <w:lvlText w:val="%1.%2　"/>
      <w:lvlJc w:val="left"/>
      <w:pPr>
        <w:ind w:left="0" w:firstLine="0"/>
      </w:pPr>
      <w:rPr>
        <w:rFonts w:hint="default" w:ascii="黑体" w:hAnsi="黑体" w:eastAsia="黑体" w:cs="黑体"/>
        <w:sz w:val="20"/>
      </w:rPr>
    </w:lvl>
    <w:lvl w:ilvl="2" w:tentative="0">
      <w:start w:val="1"/>
      <w:numFmt w:val="decimal"/>
      <w:pStyle w:val="43"/>
      <w:suff w:val="nothing"/>
      <w:lvlText w:val="%1.%2.%3　"/>
      <w:lvlJc w:val="left"/>
      <w:pPr>
        <w:ind w:left="0" w:firstLine="0"/>
      </w:pPr>
      <w:rPr>
        <w:rFonts w:hint="default" w:ascii="黑体" w:hAnsi="黑体" w:eastAsia="黑体" w:cs="黑体"/>
        <w:sz w:val="20"/>
      </w:rPr>
    </w:lvl>
    <w:lvl w:ilvl="3" w:tentative="0">
      <w:start w:val="1"/>
      <w:numFmt w:val="decimal"/>
      <w:suff w:val="nothing"/>
      <w:lvlText w:val="%1.%2.%3.%4　"/>
      <w:lvlJc w:val="left"/>
      <w:pPr>
        <w:ind w:left="0" w:firstLine="0"/>
      </w:pPr>
      <w:rPr>
        <w:rFonts w:hint="default" w:ascii="黑体" w:hAnsi="黑体" w:eastAsia="黑体" w:cs="黑体"/>
        <w:sz w:val="20"/>
      </w:rPr>
    </w:lvl>
    <w:lvl w:ilvl="4" w:tentative="0">
      <w:start w:val="1"/>
      <w:numFmt w:val="decimal"/>
      <w:suff w:val="nothing"/>
      <w:lvlText w:val="%1.%2.%3.%4.%5　"/>
      <w:lvlJc w:val="left"/>
      <w:pPr>
        <w:ind w:left="0" w:firstLine="0"/>
      </w:pPr>
      <w:rPr>
        <w:rFonts w:hint="default" w:ascii="黑体" w:hAnsi="黑体" w:eastAsia="黑体" w:cs="黑体"/>
        <w:sz w:val="20"/>
      </w:rPr>
    </w:lvl>
    <w:lvl w:ilvl="5" w:tentative="0">
      <w:start w:val="1"/>
      <w:numFmt w:val="decimal"/>
      <w:suff w:val="nothing"/>
      <w:lvlText w:val="%1.%2.%3.%4.%5.%6　"/>
      <w:lvlJc w:val="left"/>
      <w:pPr>
        <w:ind w:left="0" w:firstLine="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
    <w:nsid w:val="BD0B66F8"/>
    <w:multiLevelType w:val="multilevel"/>
    <w:tmpl w:val="BD0B66F8"/>
    <w:lvl w:ilvl="0" w:tentative="0">
      <w:start w:val="1"/>
      <w:numFmt w:val="decimal"/>
      <w:pStyle w:val="40"/>
      <w:suff w:val="nothing"/>
      <w:lvlText w:val="表%1  "/>
      <w:lvlJc w:val="left"/>
      <w:pPr>
        <w:tabs>
          <w:tab w:val="left" w:pos="539"/>
        </w:tabs>
        <w:ind w:left="0" w:firstLine="0"/>
      </w:pPr>
      <w:rPr>
        <w:rFonts w:hint="eastAsia" w:ascii="黑体" w:hAnsi="黑体" w:eastAsia="黑体" w:cs="黑体"/>
        <w:sz w:val="21"/>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2">
    <w:nsid w:val="D1E0386A"/>
    <w:multiLevelType w:val="multilevel"/>
    <w:tmpl w:val="D1E0386A"/>
    <w:lvl w:ilvl="0" w:tentative="0">
      <w:start w:val="1"/>
      <w:numFmt w:val="upperLetter"/>
      <w:pStyle w:val="44"/>
      <w:suff w:val="nothing"/>
      <w:lvlText w:val="附录%1"/>
      <w:lvlJc w:val="left"/>
      <w:pPr>
        <w:ind w:left="0" w:firstLine="0"/>
      </w:pPr>
      <w:rPr>
        <w:rFonts w:hint="default"/>
        <w:spacing w:val="102"/>
      </w:rPr>
    </w:lvl>
    <w:lvl w:ilvl="1" w:tentative="0">
      <w:start w:val="1"/>
      <w:numFmt w:val="decimal"/>
      <w:suff w:val="nothing"/>
      <w:lvlText w:val="%1.%2　"/>
      <w:lvlJc w:val="left"/>
      <w:pPr>
        <w:ind w:left="0" w:firstLine="0"/>
      </w:pPr>
      <w:rPr>
        <w:rFonts w:hint="default" w:ascii="黑体" w:hAnsi="黑体" w:eastAsia="黑体" w:cs="黑体"/>
        <w:sz w:val="20"/>
      </w:rPr>
    </w:lvl>
    <w:lvl w:ilvl="2" w:tentative="0">
      <w:start w:val="1"/>
      <w:numFmt w:val="decimal"/>
      <w:suff w:val="nothing"/>
      <w:lvlText w:val="%1.%2.%3　"/>
      <w:lvlJc w:val="left"/>
      <w:pPr>
        <w:ind w:left="0" w:firstLine="0"/>
      </w:pPr>
      <w:rPr>
        <w:rFonts w:hint="default" w:ascii="黑体" w:hAnsi="黑体" w:eastAsia="黑体" w:cs="黑体"/>
        <w:sz w:val="20"/>
      </w:rPr>
    </w:lvl>
    <w:lvl w:ilvl="3" w:tentative="0">
      <w:start w:val="1"/>
      <w:numFmt w:val="decimal"/>
      <w:suff w:val="nothing"/>
      <w:lvlText w:val="%1.%2.%3.%4　"/>
      <w:lvlJc w:val="left"/>
      <w:pPr>
        <w:ind w:left="0" w:firstLine="0"/>
      </w:pPr>
      <w:rPr>
        <w:rFonts w:hint="default" w:ascii="黑体" w:hAnsi="黑体" w:eastAsia="黑体" w:cs="黑体"/>
        <w:sz w:val="20"/>
      </w:rPr>
    </w:lvl>
    <w:lvl w:ilvl="4" w:tentative="0">
      <w:start w:val="1"/>
      <w:numFmt w:val="decimal"/>
      <w:suff w:val="nothing"/>
      <w:lvlText w:val="%1.%2.%3.%4.%5　"/>
      <w:lvlJc w:val="left"/>
      <w:pPr>
        <w:ind w:left="0" w:firstLine="0"/>
      </w:pPr>
      <w:rPr>
        <w:rFonts w:hint="default" w:ascii="黑体" w:hAnsi="黑体" w:eastAsia="黑体" w:cs="黑体"/>
        <w:sz w:val="20"/>
      </w:rPr>
    </w:lvl>
    <w:lvl w:ilvl="5" w:tentative="0">
      <w:start w:val="1"/>
      <w:numFmt w:val="decimal"/>
      <w:suff w:val="nothing"/>
      <w:lvlText w:val="%1.%2.%3.%4.%5.%6　"/>
      <w:lvlJc w:val="left"/>
      <w:pPr>
        <w:ind w:left="0" w:firstLine="0"/>
      </w:pPr>
      <w:rPr>
        <w:rFonts w:hint="default" w:ascii="黑体" w:hAnsi="黑体" w:eastAsia="黑体" w:cs="黑体"/>
        <w:sz w:val="20"/>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E4135A00"/>
    <w:multiLevelType w:val="multilevel"/>
    <w:tmpl w:val="E4135A00"/>
    <w:lvl w:ilvl="0" w:tentative="0">
      <w:start w:val="1"/>
      <w:numFmt w:val="none"/>
      <w:pStyle w:val="29"/>
      <w:suff w:val="nothing"/>
      <w:lvlText w:val="%1"/>
      <w:lvlJc w:val="left"/>
      <w:pPr>
        <w:ind w:left="425" w:hanging="425"/>
      </w:pPr>
      <w:rPr>
        <w:rFonts w:hint="default"/>
      </w:rPr>
    </w:lvl>
    <w:lvl w:ilvl="1" w:tentative="0">
      <w:start w:val="1"/>
      <w:numFmt w:val="decimal"/>
      <w:suff w:val="nothing"/>
      <w:lvlText w:val="%10.%2 "/>
      <w:lvlJc w:val="left"/>
      <w:pPr>
        <w:ind w:left="0" w:firstLine="0"/>
      </w:pPr>
      <w:rPr>
        <w:rFonts w:hint="default" w:ascii="黑体" w:hAnsi="黑体" w:eastAsia="黑体" w:cs="黑体"/>
        <w:sz w:val="20"/>
      </w:rPr>
    </w:lvl>
    <w:lvl w:ilvl="2" w:tentative="0">
      <w:start w:val="1"/>
      <w:numFmt w:val="decimal"/>
      <w:suff w:val="nothing"/>
      <w:lvlText w:val="%10.%2.%3 "/>
      <w:lvlJc w:val="left"/>
      <w:pPr>
        <w:ind w:left="0" w:firstLine="0"/>
      </w:pPr>
      <w:rPr>
        <w:rFonts w:hint="default" w:ascii="黑体" w:hAnsi="黑体" w:eastAsia="黑体" w:cs="黑体"/>
        <w:sz w:val="20"/>
      </w:rPr>
    </w:lvl>
    <w:lvl w:ilvl="3" w:tentative="0">
      <w:start w:val="1"/>
      <w:numFmt w:val="decimal"/>
      <w:suff w:val="nothing"/>
      <w:lvlText w:val="%10.%2.%3.%4 "/>
      <w:lvlJc w:val="left"/>
      <w:pPr>
        <w:ind w:left="0" w:firstLine="0"/>
      </w:pPr>
      <w:rPr>
        <w:rFonts w:hint="default" w:ascii="黑体" w:hAnsi="黑体" w:eastAsia="黑体" w:cs="黑体"/>
        <w:sz w:val="20"/>
      </w:rPr>
    </w:lvl>
    <w:lvl w:ilvl="4" w:tentative="0">
      <w:start w:val="1"/>
      <w:numFmt w:val="decimal"/>
      <w:suff w:val="nothing"/>
      <w:lvlText w:val="%10.%2.%3.%4.%5 "/>
      <w:lvlJc w:val="left"/>
      <w:pPr>
        <w:ind w:left="0" w:firstLine="0"/>
      </w:pPr>
      <w:rPr>
        <w:rFonts w:hint="default" w:ascii="黑体" w:hAnsi="黑体" w:eastAsia="黑体" w:cs="黑体"/>
        <w:sz w:val="20"/>
      </w:rPr>
    </w:lvl>
    <w:lvl w:ilvl="5" w:tentative="0">
      <w:start w:val="1"/>
      <w:numFmt w:val="decimal"/>
      <w:suff w:val="nothing"/>
      <w:lvlText w:val="%10.%2.%3.%4.%5.%6 "/>
      <w:lvlJc w:val="left"/>
      <w:pPr>
        <w:ind w:left="0" w:firstLine="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4">
    <w:nsid w:val="F240A558"/>
    <w:multiLevelType w:val="multilevel"/>
    <w:tmpl w:val="F240A558"/>
    <w:lvl w:ilvl="0" w:tentative="0">
      <w:start w:val="1"/>
      <w:numFmt w:val="lowerLetter"/>
      <w:pStyle w:val="41"/>
      <w:lvlText w:val="%1)"/>
      <w:lvlJc w:val="left"/>
      <w:pPr>
        <w:tabs>
          <w:tab w:val="left" w:pos="851"/>
        </w:tabs>
        <w:ind w:left="851" w:hanging="426"/>
      </w:pPr>
      <w:rPr>
        <w:rFonts w:hint="default" w:ascii="宋体" w:hAnsi="宋体" w:eastAsia="宋体" w:cs="宋体"/>
        <w:sz w:val="20"/>
      </w:rPr>
    </w:lvl>
    <w:lvl w:ilvl="1" w:tentative="0">
      <w:start w:val="1"/>
      <w:numFmt w:val="decimal"/>
      <w:lvlText w:val="%2)"/>
      <w:lvlJc w:val="left"/>
      <w:pPr>
        <w:tabs>
          <w:tab w:val="left" w:pos="1276"/>
        </w:tabs>
        <w:ind w:left="1276" w:hanging="425"/>
      </w:pPr>
      <w:rPr>
        <w:rFonts w:hint="default" w:ascii="宋体" w:hAnsi="Times New Roman" w:eastAsia="宋体" w:cs="Times New Roman"/>
        <w:sz w:val="21"/>
      </w:rPr>
    </w:lvl>
    <w:lvl w:ilvl="2" w:tentative="0">
      <w:start w:val="1"/>
      <w:numFmt w:val="bullet"/>
      <w:lvlText w:val=""/>
      <w:lvlJc w:val="left"/>
      <w:pPr>
        <w:tabs>
          <w:tab w:val="left" w:pos="1678"/>
        </w:tabs>
        <w:ind w:left="1678" w:hanging="414"/>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5">
    <w:nsid w:val="1FC91163"/>
    <w:multiLevelType w:val="multilevel"/>
    <w:tmpl w:val="1FC91163"/>
    <w:lvl w:ilvl="0" w:tentative="0">
      <w:start w:val="1"/>
      <w:numFmt w:val="decimal"/>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38"/>
      <w:suff w:val="nothing"/>
      <w:lvlText w:val="%1.%2　"/>
      <w:lvlJc w:val="left"/>
      <w:pPr>
        <w:ind w:left="284" w:firstLine="0"/>
      </w:pPr>
      <w:rPr>
        <w:rFonts w:hint="default" w:ascii="黑体" w:hAnsi="黑体" w:eastAsia="黑体" w:cs="黑体"/>
        <w:sz w:val="20"/>
      </w:rPr>
    </w:lvl>
    <w:lvl w:ilvl="2" w:tentative="0">
      <w:start w:val="1"/>
      <w:numFmt w:val="decimal"/>
      <w:suff w:val="nothing"/>
      <w:lvlText w:val="%1.%2.%3　"/>
      <w:lvlJc w:val="left"/>
      <w:pPr>
        <w:ind w:left="63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6">
    <w:nsid w:val="6CEA2025"/>
    <w:multiLevelType w:val="multilevel"/>
    <w:tmpl w:val="6CEA2025"/>
    <w:lvl w:ilvl="0" w:tentative="0">
      <w:start w:val="1"/>
      <w:numFmt w:val="none"/>
      <w:suff w:val="nothing"/>
      <w:lvlText w:val="%1"/>
      <w:lvlJc w:val="left"/>
      <w:rPr>
        <w:rFonts w:hint="default" w:ascii="Times New Roman" w:hAnsi="Times New Roman" w:cs="Times New Roman"/>
        <w:b/>
        <w:bCs/>
        <w:i w:val="0"/>
        <w:iCs w:val="0"/>
        <w:sz w:val="21"/>
        <w:szCs w:val="21"/>
      </w:rPr>
    </w:lvl>
    <w:lvl w:ilvl="1" w:tentative="0">
      <w:start w:val="1"/>
      <w:numFmt w:val="decimal"/>
      <w:pStyle w:val="51"/>
      <w:suff w:val="nothing"/>
      <w:lvlText w:val="%1%2　"/>
      <w:lvlJc w:val="left"/>
      <w:rPr>
        <w:rFonts w:hint="eastAsia" w:ascii="黑体" w:hAnsi="Times New Roman" w:eastAsia="黑体"/>
        <w:b w:val="0"/>
        <w:bCs w:val="0"/>
        <w:i w:val="0"/>
        <w:iCs w:val="0"/>
        <w:sz w:val="21"/>
        <w:szCs w:val="21"/>
      </w:rPr>
    </w:lvl>
    <w:lvl w:ilvl="2" w:tentative="0">
      <w:start w:val="1"/>
      <w:numFmt w:val="decimal"/>
      <w:suff w:val="nothing"/>
      <w:lvlText w:val="%1%2.%3　"/>
      <w:lvlJc w:val="left"/>
      <w:rPr>
        <w:rFonts w:hint="eastAsia" w:ascii="黑体" w:hAnsi="Times New Roman" w:eastAsia="黑体"/>
        <w:b w:val="0"/>
        <w:bCs w:val="0"/>
        <w:i w:val="0"/>
        <w:iCs w:val="0"/>
        <w:sz w:val="21"/>
        <w:szCs w:val="21"/>
      </w:rPr>
    </w:lvl>
    <w:lvl w:ilvl="3" w:tentative="0">
      <w:start w:val="1"/>
      <w:numFmt w:val="decimal"/>
      <w:suff w:val="nothing"/>
      <w:lvlText w:val="%1%2.%3.%4　"/>
      <w:lvlJc w:val="left"/>
      <w:rPr>
        <w:rFonts w:hint="eastAsia" w:ascii="黑体" w:hAnsi="Times New Roman" w:eastAsia="黑体"/>
        <w:b w:val="0"/>
        <w:bCs w:val="0"/>
        <w:i w:val="0"/>
        <w:iCs w:val="0"/>
        <w:sz w:val="21"/>
        <w:szCs w:val="21"/>
      </w:rPr>
    </w:lvl>
    <w:lvl w:ilvl="4" w:tentative="0">
      <w:start w:val="1"/>
      <w:numFmt w:val="decimal"/>
      <w:suff w:val="nothing"/>
      <w:lvlText w:val="%1%2.%3.%4.%5　"/>
      <w:lvlJc w:val="left"/>
      <w:rPr>
        <w:rFonts w:hint="eastAsia" w:ascii="黑体" w:hAnsi="Times New Roman" w:eastAsia="黑体"/>
        <w:b w:val="0"/>
        <w:bCs w:val="0"/>
        <w:i w:val="0"/>
        <w:iCs w:val="0"/>
        <w:sz w:val="21"/>
        <w:szCs w:val="21"/>
      </w:rPr>
    </w:lvl>
    <w:lvl w:ilvl="5" w:tentative="0">
      <w:start w:val="1"/>
      <w:numFmt w:val="decimal"/>
      <w:suff w:val="nothing"/>
      <w:lvlText w:val="%1%2.%3.%4.%5.%6　"/>
      <w:lvlJc w:val="left"/>
      <w:rPr>
        <w:rFonts w:hint="eastAsia" w:ascii="黑体" w:hAnsi="Times New Roman" w:eastAsia="黑体"/>
        <w:b w:val="0"/>
        <w:bCs w:val="0"/>
        <w:i w:val="0"/>
        <w:iCs w:val="0"/>
        <w:sz w:val="21"/>
        <w:szCs w:val="21"/>
      </w:rPr>
    </w:lvl>
    <w:lvl w:ilvl="6" w:tentative="0">
      <w:start w:val="1"/>
      <w:numFmt w:val="decimal"/>
      <w:suff w:val="nothing"/>
      <w:lvlText w:val="%1%2.%3.%4.%5.%6.%7　"/>
      <w:lvlJc w:val="left"/>
      <w:rPr>
        <w:rFonts w:hint="eastAsia" w:ascii="黑体" w:hAnsi="Times New Roman" w:eastAsia="黑体"/>
        <w:b w:val="0"/>
        <w:bCs w:val="0"/>
        <w:i w:val="0"/>
        <w:iCs w:val="0"/>
        <w:sz w:val="21"/>
        <w:szCs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7">
    <w:nsid w:val="7BBEE5B8"/>
    <w:multiLevelType w:val="multilevel"/>
    <w:tmpl w:val="7BBEE5B8"/>
    <w:lvl w:ilvl="0" w:tentative="0">
      <w:start w:val="1"/>
      <w:numFmt w:val="none"/>
      <w:pStyle w:val="46"/>
      <w:suff w:val="nothing"/>
      <w:lvlText w:val="注："/>
      <w:lvlJc w:val="left"/>
      <w:pPr>
        <w:tabs>
          <w:tab w:val="left" w:pos="539"/>
        </w:tabs>
        <w:ind w:left="737" w:hanging="374"/>
      </w:pPr>
      <w:rPr>
        <w:rFonts w:hint="eastAsia" w:ascii="黑体" w:hAnsi="黑体" w:eastAsia="黑体" w:cs="黑体"/>
        <w:sz w:val="18"/>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num w:numId="1">
    <w:abstractNumId w:val="3"/>
  </w:num>
  <w:num w:numId="2">
    <w:abstractNumId w:val="0"/>
  </w:num>
  <w:num w:numId="3">
    <w:abstractNumId w:val="5"/>
  </w:num>
  <w:num w:numId="4">
    <w:abstractNumId w:val="1"/>
  </w:num>
  <w:num w:numId="5">
    <w:abstractNumId w:val="4"/>
  </w:num>
  <w:num w:numId="6">
    <w:abstractNumId w:val="2"/>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evenAndOddHeaders w:val="1"/>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hiMjIzMDUxYjVkNjVhMGUxY2VmMzgyMGQzZjRlZWUifQ=="/>
  </w:docVars>
  <w:rsids>
    <w:rsidRoot w:val="389B00A3"/>
    <w:rsid w:val="000D26F8"/>
    <w:rsid w:val="00106C7C"/>
    <w:rsid w:val="00256245"/>
    <w:rsid w:val="002A30C3"/>
    <w:rsid w:val="00385B4F"/>
    <w:rsid w:val="003D38E6"/>
    <w:rsid w:val="00484DA4"/>
    <w:rsid w:val="004E02D1"/>
    <w:rsid w:val="00564D1C"/>
    <w:rsid w:val="005A714C"/>
    <w:rsid w:val="005D32CB"/>
    <w:rsid w:val="005F2701"/>
    <w:rsid w:val="00605E5D"/>
    <w:rsid w:val="00625AA2"/>
    <w:rsid w:val="00631E76"/>
    <w:rsid w:val="006768D2"/>
    <w:rsid w:val="006C1DB5"/>
    <w:rsid w:val="00764A0C"/>
    <w:rsid w:val="008517B2"/>
    <w:rsid w:val="00871710"/>
    <w:rsid w:val="009A69DA"/>
    <w:rsid w:val="009D12BB"/>
    <w:rsid w:val="00AC10C4"/>
    <w:rsid w:val="00AD60F7"/>
    <w:rsid w:val="00B97953"/>
    <w:rsid w:val="00BF6DE1"/>
    <w:rsid w:val="00C87778"/>
    <w:rsid w:val="00CB25DB"/>
    <w:rsid w:val="00D3395E"/>
    <w:rsid w:val="00D50152"/>
    <w:rsid w:val="00DA1F9B"/>
    <w:rsid w:val="00DD60E3"/>
    <w:rsid w:val="00FB2995"/>
    <w:rsid w:val="0159126E"/>
    <w:rsid w:val="02261C62"/>
    <w:rsid w:val="0341630F"/>
    <w:rsid w:val="039D01B6"/>
    <w:rsid w:val="03C2759E"/>
    <w:rsid w:val="040000C7"/>
    <w:rsid w:val="041871BE"/>
    <w:rsid w:val="04F803D0"/>
    <w:rsid w:val="056D178C"/>
    <w:rsid w:val="05CA098C"/>
    <w:rsid w:val="05E52AA0"/>
    <w:rsid w:val="05EA4B25"/>
    <w:rsid w:val="07EF6E35"/>
    <w:rsid w:val="0A9725DE"/>
    <w:rsid w:val="0D2A50F8"/>
    <w:rsid w:val="0D72055C"/>
    <w:rsid w:val="0DC23C94"/>
    <w:rsid w:val="0E4A10AA"/>
    <w:rsid w:val="0E861DD6"/>
    <w:rsid w:val="0E927B6D"/>
    <w:rsid w:val="0F5F4155"/>
    <w:rsid w:val="10187F30"/>
    <w:rsid w:val="112A47B8"/>
    <w:rsid w:val="124C3BD3"/>
    <w:rsid w:val="13347445"/>
    <w:rsid w:val="13D03611"/>
    <w:rsid w:val="14045428"/>
    <w:rsid w:val="145F48C7"/>
    <w:rsid w:val="14891DA1"/>
    <w:rsid w:val="15565D98"/>
    <w:rsid w:val="160B6B83"/>
    <w:rsid w:val="161E5CC6"/>
    <w:rsid w:val="164B2209"/>
    <w:rsid w:val="165D1EF2"/>
    <w:rsid w:val="1735471A"/>
    <w:rsid w:val="17AA6D72"/>
    <w:rsid w:val="1B3C09F4"/>
    <w:rsid w:val="1BBC26CD"/>
    <w:rsid w:val="1C3B1844"/>
    <w:rsid w:val="1CA26014"/>
    <w:rsid w:val="1DE10342"/>
    <w:rsid w:val="1EE2244B"/>
    <w:rsid w:val="1EF921D1"/>
    <w:rsid w:val="1F4D7C12"/>
    <w:rsid w:val="208E6C79"/>
    <w:rsid w:val="22460F43"/>
    <w:rsid w:val="22DF57F7"/>
    <w:rsid w:val="23185EC9"/>
    <w:rsid w:val="23307458"/>
    <w:rsid w:val="23616DC7"/>
    <w:rsid w:val="23B31CE2"/>
    <w:rsid w:val="23D40CF9"/>
    <w:rsid w:val="251A293E"/>
    <w:rsid w:val="26485289"/>
    <w:rsid w:val="273911D2"/>
    <w:rsid w:val="27A37BF3"/>
    <w:rsid w:val="27B478B3"/>
    <w:rsid w:val="28CE083F"/>
    <w:rsid w:val="2AEE56E4"/>
    <w:rsid w:val="2B163BA8"/>
    <w:rsid w:val="2B513988"/>
    <w:rsid w:val="2BA15BAA"/>
    <w:rsid w:val="2DF64F14"/>
    <w:rsid w:val="2E563D67"/>
    <w:rsid w:val="2E632E01"/>
    <w:rsid w:val="2E822297"/>
    <w:rsid w:val="2F634EE2"/>
    <w:rsid w:val="318925EC"/>
    <w:rsid w:val="34624FA3"/>
    <w:rsid w:val="353B0579"/>
    <w:rsid w:val="35D00347"/>
    <w:rsid w:val="35EA05BD"/>
    <w:rsid w:val="36F219C6"/>
    <w:rsid w:val="37C9384A"/>
    <w:rsid w:val="384653A1"/>
    <w:rsid w:val="385271BC"/>
    <w:rsid w:val="38765C86"/>
    <w:rsid w:val="389B00A3"/>
    <w:rsid w:val="3ABF38D9"/>
    <w:rsid w:val="3B242D86"/>
    <w:rsid w:val="3C155D1D"/>
    <w:rsid w:val="3CC11CFC"/>
    <w:rsid w:val="3CF403DE"/>
    <w:rsid w:val="3D2465E2"/>
    <w:rsid w:val="3D2F1462"/>
    <w:rsid w:val="3DA7291A"/>
    <w:rsid w:val="3E253901"/>
    <w:rsid w:val="3E34138B"/>
    <w:rsid w:val="3E394A55"/>
    <w:rsid w:val="40FC437A"/>
    <w:rsid w:val="41C013CB"/>
    <w:rsid w:val="42D9273C"/>
    <w:rsid w:val="43F741B1"/>
    <w:rsid w:val="44406DAA"/>
    <w:rsid w:val="45EB7F97"/>
    <w:rsid w:val="460566E8"/>
    <w:rsid w:val="46DE790A"/>
    <w:rsid w:val="472051BC"/>
    <w:rsid w:val="472240FB"/>
    <w:rsid w:val="47386826"/>
    <w:rsid w:val="47866A8E"/>
    <w:rsid w:val="47BA4746"/>
    <w:rsid w:val="48B224D2"/>
    <w:rsid w:val="48D860CF"/>
    <w:rsid w:val="49D55D2D"/>
    <w:rsid w:val="4A5412BD"/>
    <w:rsid w:val="4B1C1647"/>
    <w:rsid w:val="4B5C5D43"/>
    <w:rsid w:val="4C7941A2"/>
    <w:rsid w:val="4CE22833"/>
    <w:rsid w:val="4D9E5BA1"/>
    <w:rsid w:val="4DDB207E"/>
    <w:rsid w:val="4E6974F8"/>
    <w:rsid w:val="4F1532C9"/>
    <w:rsid w:val="4F4026F2"/>
    <w:rsid w:val="512D4D40"/>
    <w:rsid w:val="52C47E4D"/>
    <w:rsid w:val="52D354EA"/>
    <w:rsid w:val="53360DB1"/>
    <w:rsid w:val="542234D7"/>
    <w:rsid w:val="5490138A"/>
    <w:rsid w:val="54FB6252"/>
    <w:rsid w:val="55295912"/>
    <w:rsid w:val="563126C8"/>
    <w:rsid w:val="56762305"/>
    <w:rsid w:val="56AE0CC5"/>
    <w:rsid w:val="579C0534"/>
    <w:rsid w:val="58517400"/>
    <w:rsid w:val="58E4731F"/>
    <w:rsid w:val="59066975"/>
    <w:rsid w:val="594C5FB7"/>
    <w:rsid w:val="599124C8"/>
    <w:rsid w:val="5A4772E9"/>
    <w:rsid w:val="5A772091"/>
    <w:rsid w:val="5B0C0741"/>
    <w:rsid w:val="5E40270F"/>
    <w:rsid w:val="5E48575F"/>
    <w:rsid w:val="5F0E1361"/>
    <w:rsid w:val="5F8609B3"/>
    <w:rsid w:val="60484FF3"/>
    <w:rsid w:val="60FE72F3"/>
    <w:rsid w:val="60FF065F"/>
    <w:rsid w:val="61324CCE"/>
    <w:rsid w:val="619863BE"/>
    <w:rsid w:val="61AD1FDE"/>
    <w:rsid w:val="61FD2E14"/>
    <w:rsid w:val="624F5057"/>
    <w:rsid w:val="62AB2B83"/>
    <w:rsid w:val="63030616"/>
    <w:rsid w:val="6380190C"/>
    <w:rsid w:val="639A66F7"/>
    <w:rsid w:val="6461195B"/>
    <w:rsid w:val="64C80D68"/>
    <w:rsid w:val="651B3052"/>
    <w:rsid w:val="65617B28"/>
    <w:rsid w:val="659F2F89"/>
    <w:rsid w:val="65D4084E"/>
    <w:rsid w:val="6610573A"/>
    <w:rsid w:val="6B3C1C4B"/>
    <w:rsid w:val="6BE847AB"/>
    <w:rsid w:val="6C243696"/>
    <w:rsid w:val="6C7D598C"/>
    <w:rsid w:val="6CA841A0"/>
    <w:rsid w:val="6CED272F"/>
    <w:rsid w:val="6D2A2548"/>
    <w:rsid w:val="6D8A7502"/>
    <w:rsid w:val="6E4E3186"/>
    <w:rsid w:val="6F0D49ED"/>
    <w:rsid w:val="6F147F3A"/>
    <w:rsid w:val="707C6DC9"/>
    <w:rsid w:val="70F05B13"/>
    <w:rsid w:val="71024EE2"/>
    <w:rsid w:val="711F5D12"/>
    <w:rsid w:val="71A1274A"/>
    <w:rsid w:val="72463941"/>
    <w:rsid w:val="73D72F4A"/>
    <w:rsid w:val="74322A42"/>
    <w:rsid w:val="74592171"/>
    <w:rsid w:val="7473071B"/>
    <w:rsid w:val="747B7557"/>
    <w:rsid w:val="74B03BC8"/>
    <w:rsid w:val="74D53759"/>
    <w:rsid w:val="77AF6CA4"/>
    <w:rsid w:val="783458C3"/>
    <w:rsid w:val="78C30B1F"/>
    <w:rsid w:val="78F27330"/>
    <w:rsid w:val="78F61752"/>
    <w:rsid w:val="793D1616"/>
    <w:rsid w:val="79F96D1F"/>
    <w:rsid w:val="7A1E34AC"/>
    <w:rsid w:val="7A9E7453"/>
    <w:rsid w:val="7ADB4EA4"/>
    <w:rsid w:val="7BAF578F"/>
    <w:rsid w:val="7C1141ED"/>
    <w:rsid w:val="7C4F1495"/>
    <w:rsid w:val="7C5F3BA4"/>
    <w:rsid w:val="7C7A5367"/>
    <w:rsid w:val="7CB356B2"/>
    <w:rsid w:val="7CBE0F77"/>
    <w:rsid w:val="7D181F19"/>
    <w:rsid w:val="7D303FC2"/>
    <w:rsid w:val="7D5D506E"/>
    <w:rsid w:val="7ECB140D"/>
    <w:rsid w:val="7F102EB8"/>
    <w:rsid w:val="7FD36077"/>
    <w:rsid w:val="7FF33659"/>
    <w:rsid w:val="F7FFCD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5"/>
    <w:basedOn w:val="1"/>
    <w:next w:val="1"/>
    <w:semiHidden/>
    <w:unhideWhenUsed/>
    <w:qFormat/>
    <w:uiPriority w:val="0"/>
    <w:pPr>
      <w:spacing w:beforeAutospacing="1" w:afterAutospacing="1"/>
      <w:jc w:val="left"/>
      <w:outlineLvl w:val="4"/>
    </w:pPr>
    <w:rPr>
      <w:rFonts w:hint="eastAsia" w:ascii="宋体" w:hAnsi="宋体" w:eastAsia="宋体" w:cs="Times New Roman"/>
      <w:b/>
      <w:bCs/>
      <w:kern w:val="0"/>
      <w:sz w:val="20"/>
      <w:szCs w:val="20"/>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semiHidden/>
    <w:unhideWhenUsed/>
    <w:qFormat/>
    <w:uiPriority w:val="99"/>
    <w:pPr>
      <w:jc w:val="left"/>
    </w:pPr>
  </w:style>
  <w:style w:type="paragraph" w:styleId="4">
    <w:name w:val="Balloon Text"/>
    <w:basedOn w:val="1"/>
    <w:link w:val="52"/>
    <w:qFormat/>
    <w:uiPriority w:val="0"/>
    <w:rPr>
      <w:sz w:val="18"/>
      <w:szCs w:val="1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toc 1"/>
    <w:basedOn w:val="1"/>
    <w:next w:val="1"/>
    <w:qFormat/>
    <w:uiPriority w:val="0"/>
    <w:pPr>
      <w:spacing w:line="400" w:lineRule="exact"/>
    </w:pPr>
    <w:rPr>
      <w:rFonts w:hAnsi="宋体"/>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character" w:styleId="12">
    <w:name w:val="annotation reference"/>
    <w:basedOn w:val="10"/>
    <w:qFormat/>
    <w:uiPriority w:val="0"/>
    <w:rPr>
      <w:sz w:val="21"/>
      <w:szCs w:val="21"/>
    </w:rPr>
  </w:style>
  <w:style w:type="paragraph" w:customStyle="1" w:styleId="13">
    <w:name w:val="封面标准名称"/>
    <w:qFormat/>
    <w:uiPriority w:val="0"/>
    <w:pPr>
      <w:framePr w:w="9639" w:h="6974" w:hRule="exact" w:wrap="around" w:vAnchor="page" w:hAnchor="page" w:x="1419" w:y="6408"/>
      <w:spacing w:line="700" w:lineRule="exact"/>
      <w:jc w:val="center"/>
    </w:pPr>
    <w:rPr>
      <w:rFonts w:hint="eastAsia" w:ascii="黑体" w:hAnsi="Times New Roman" w:eastAsia="黑体" w:cs="Times New Roman"/>
      <w:sz w:val="52"/>
      <w:lang w:val="en-US" w:eastAsia="zh-CN" w:bidi="ar-SA"/>
    </w:rPr>
  </w:style>
  <w:style w:type="paragraph" w:customStyle="1" w:styleId="14">
    <w:name w:val="标准称谓3"/>
    <w:next w:val="1"/>
    <w:qFormat/>
    <w:uiPriority w:val="0"/>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hint="eastAsia" w:ascii="黑体" w:hAnsi="Times New Roman" w:eastAsia="黑体" w:cs="Times New Roman"/>
      <w:sz w:val="48"/>
      <w:lang w:val="en-US" w:eastAsia="zh-CN" w:bidi="ar-SA"/>
    </w:rPr>
  </w:style>
  <w:style w:type="paragraph" w:customStyle="1" w:styleId="15">
    <w:name w:val="封面标准号2"/>
    <w:qFormat/>
    <w:uiPriority w:val="0"/>
    <w:pPr>
      <w:framePr w:w="9355" w:h="624" w:hRule="exact" w:hSpace="181" w:vSpace="181" w:wrap="around" w:vAnchor="page" w:hAnchor="page" w:x="1419" w:y="3284"/>
      <w:spacing w:line="280" w:lineRule="exact"/>
      <w:jc w:val="right"/>
    </w:pPr>
    <w:rPr>
      <w:rFonts w:hint="eastAsia" w:ascii="黑体" w:hAnsi="Times New Roman" w:eastAsia="黑体" w:cs="Times New Roman"/>
      <w:sz w:val="28"/>
      <w:lang w:val="en-US" w:eastAsia="zh-CN" w:bidi="ar-SA"/>
    </w:rPr>
  </w:style>
  <w:style w:type="paragraph" w:customStyle="1" w:styleId="16">
    <w:name w:val="封面标准代替信息"/>
    <w:qFormat/>
    <w:uiPriority w:val="0"/>
    <w:pPr>
      <w:framePr w:w="9355" w:h="624" w:hRule="exact" w:hSpace="181" w:vSpace="181" w:wrap="around" w:vAnchor="page" w:hAnchor="page" w:x="1419" w:y="3284"/>
      <w:spacing w:before="57" w:line="280" w:lineRule="exact"/>
      <w:jc w:val="right"/>
    </w:pPr>
    <w:rPr>
      <w:rFonts w:hint="eastAsia" w:ascii="黑体" w:hAnsi="Times New Roman" w:eastAsia="黑体" w:cs="Times New Roman"/>
      <w:sz w:val="21"/>
      <w:lang w:val="en-US" w:eastAsia="zh-CN" w:bidi="ar-SA"/>
    </w:rPr>
  </w:style>
  <w:style w:type="paragraph" w:customStyle="1" w:styleId="17">
    <w:name w:val="封面标准顶部线"/>
    <w:qFormat/>
    <w:uiPriority w:val="0"/>
    <w:pPr>
      <w:framePr w:w="9673" w:hSpace="181" w:wrap="around" w:vAnchor="page" w:hAnchor="page" w:x="1390" w:y="4242"/>
      <w:spacing w:line="0" w:lineRule="atLeast"/>
    </w:pPr>
    <w:rPr>
      <w:rFonts w:hint="eastAsia" w:ascii="宋体" w:hAnsi="Times New Roman" w:eastAsia="宋体" w:cs="Times New Roman"/>
      <w:sz w:val="21"/>
      <w:lang w:val="en-US" w:eastAsia="zh-CN" w:bidi="ar-SA"/>
    </w:rPr>
  </w:style>
  <w:style w:type="paragraph" w:customStyle="1" w:styleId="18">
    <w:name w:val="封面标准英文名称"/>
    <w:basedOn w:val="13"/>
    <w:qFormat/>
    <w:uiPriority w:val="0"/>
    <w:pPr>
      <w:framePr w:wrap="around"/>
      <w:widowControl w:val="0"/>
      <w:spacing w:before="410" w:line="360" w:lineRule="exact"/>
      <w:textAlignment w:val="bottom"/>
    </w:pPr>
    <w:rPr>
      <w:rFonts w:ascii="Times New Roman"/>
      <w:sz w:val="28"/>
    </w:rPr>
  </w:style>
  <w:style w:type="paragraph" w:customStyle="1" w:styleId="19">
    <w:name w:val="封面一致性程度标识"/>
    <w:basedOn w:val="18"/>
    <w:qFormat/>
    <w:uiPriority w:val="0"/>
    <w:pPr>
      <w:framePr w:wrap="around"/>
      <w:spacing w:before="760"/>
    </w:pPr>
  </w:style>
  <w:style w:type="paragraph" w:customStyle="1" w:styleId="20">
    <w:name w:val="封面标准文稿类别"/>
    <w:basedOn w:val="19"/>
    <w:qFormat/>
    <w:uiPriority w:val="0"/>
    <w:pPr>
      <w:framePr w:wrap="around"/>
      <w:spacing w:before="440" w:after="160"/>
    </w:pPr>
    <w:rPr>
      <w:rFonts w:ascii="黑体" w:hAnsi="黑体" w:cs="黑体"/>
      <w:sz w:val="24"/>
    </w:rPr>
  </w:style>
  <w:style w:type="paragraph" w:customStyle="1" w:styleId="21">
    <w:name w:val="封面标准文稿编辑信息"/>
    <w:basedOn w:val="20"/>
    <w:qFormat/>
    <w:uiPriority w:val="0"/>
    <w:pPr>
      <w:framePr w:wrap="around"/>
      <w:spacing w:before="180" w:after="0" w:line="240" w:lineRule="atLeast"/>
    </w:pPr>
    <w:rPr>
      <w:sz w:val="21"/>
    </w:rPr>
  </w:style>
  <w:style w:type="paragraph" w:customStyle="1" w:styleId="22">
    <w:name w:val="封面标准文稿附件"/>
    <w:basedOn w:val="20"/>
    <w:qFormat/>
    <w:uiPriority w:val="0"/>
    <w:pPr>
      <w:framePr w:wrap="around"/>
      <w:spacing w:beforeLines="300" w:afterLines="30" w:line="240" w:lineRule="auto"/>
    </w:pPr>
    <w:rPr>
      <w:rFonts w:ascii="Times New Roman" w:hAnsi="Times New Roman" w:cs="Times New Roman"/>
      <w:b/>
      <w:sz w:val="21"/>
    </w:rPr>
  </w:style>
  <w:style w:type="paragraph" w:customStyle="1" w:styleId="23">
    <w:name w:val="封面日期"/>
    <w:qFormat/>
    <w:uiPriority w:val="0"/>
    <w:pPr>
      <w:framePr w:w="9673" w:vSpace="181" w:wrap="around" w:vAnchor="page" w:hAnchor="page" w:x="1419" w:y="14176" w:anchorLock="1"/>
      <w:spacing w:line="360" w:lineRule="exact"/>
    </w:pPr>
    <w:rPr>
      <w:rFonts w:hint="eastAsia" w:ascii="黑体" w:hAnsi="Times New Roman" w:eastAsia="黑体" w:cs="Times New Roman"/>
      <w:sz w:val="28"/>
      <w:lang w:val="en-US" w:eastAsia="zh-CN" w:bidi="ar-SA"/>
    </w:rPr>
  </w:style>
  <w:style w:type="paragraph" w:customStyle="1" w:styleId="24">
    <w:name w:val="其他发布部门2"/>
    <w:basedOn w:val="25"/>
    <w:qFormat/>
    <w:uiPriority w:val="0"/>
    <w:pPr>
      <w:framePr w:w="7433" w:h="584" w:hRule="exact" w:hSpace="181" w:wrap="around" w:vAnchor="margin" w:hAnchor="margin" w:xAlign="center" w:y="15027"/>
      <w:spacing w:before="0" w:line="0" w:lineRule="atLeast"/>
    </w:pPr>
    <w:rPr>
      <w:rFonts w:ascii="黑体" w:hAnsi="黑体" w:eastAsia="黑体"/>
      <w:spacing w:val="0"/>
      <w:w w:val="100"/>
    </w:rPr>
  </w:style>
  <w:style w:type="paragraph" w:customStyle="1" w:styleId="25">
    <w:name w:val="发布部门"/>
    <w:next w:val="26"/>
    <w:qFormat/>
    <w:uiPriority w:val="0"/>
    <w:pPr>
      <w:framePr w:w="7938" w:h="1134" w:hRule="exact" w:hSpace="125" w:vSpace="181" w:wrap="around" w:vAnchor="page" w:hAnchor="page" w:x="2150" w:y="14630" w:anchorLock="1"/>
      <w:spacing w:before="100"/>
      <w:jc w:val="center"/>
    </w:pPr>
    <w:rPr>
      <w:rFonts w:hint="eastAsia" w:ascii="宋体" w:hAnsi="Times New Roman" w:eastAsia="宋体" w:cs="Times New Roman"/>
      <w:spacing w:val="20"/>
      <w:w w:val="135"/>
      <w:sz w:val="28"/>
      <w:lang w:val="en-US" w:eastAsia="zh-CN" w:bidi="ar-SA"/>
    </w:rPr>
  </w:style>
  <w:style w:type="paragraph" w:customStyle="1" w:styleId="26">
    <w:name w:val="标准文件_段"/>
    <w:qFormat/>
    <w:uiPriority w:val="0"/>
    <w:pPr>
      <w:ind w:firstLine="960" w:firstLineChars="200"/>
      <w:jc w:val="both"/>
    </w:pPr>
    <w:rPr>
      <w:rFonts w:hint="eastAsia" w:ascii="宋体" w:hAnsi="Times New Roman" w:eastAsia="宋体" w:cs="宋体"/>
      <w:sz w:val="21"/>
      <w:lang w:val="en-US" w:eastAsia="zh-CN" w:bidi="ar-SA"/>
    </w:rPr>
  </w:style>
  <w:style w:type="paragraph" w:customStyle="1" w:styleId="27">
    <w:name w:val="文献分类号"/>
    <w:qFormat/>
    <w:uiPriority w:val="0"/>
    <w:pPr>
      <w:framePr w:wrap="around" w:vAnchor="page" w:hAnchor="page" w:x="1373" w:y="568"/>
      <w:widowControl w:val="0"/>
      <w:textAlignment w:val="center"/>
    </w:pPr>
    <w:rPr>
      <w:rFonts w:hint="eastAsia" w:ascii="黑体" w:hAnsi="Times New Roman" w:eastAsia="黑体" w:cs="Times New Roman"/>
      <w:kern w:val="21"/>
      <w:sz w:val="21"/>
      <w:lang w:val="en-US" w:eastAsia="zh-CN" w:bidi="ar-SA"/>
    </w:rPr>
  </w:style>
  <w:style w:type="paragraph" w:customStyle="1" w:styleId="28">
    <w:name w:val="标准文件_目录标题"/>
    <w:basedOn w:val="1"/>
    <w:qFormat/>
    <w:uiPriority w:val="0"/>
    <w:pPr>
      <w:shd w:val="clear" w:color="auto" w:fill="FFFFFF"/>
      <w:spacing w:afterLines="150"/>
      <w:jc w:val="center"/>
    </w:pPr>
    <w:rPr>
      <w:rFonts w:ascii="黑体" w:hAnsi="Times New Roman" w:eastAsia="黑体" w:cs="黑体"/>
      <w:kern w:val="0"/>
      <w:sz w:val="32"/>
    </w:rPr>
  </w:style>
  <w:style w:type="paragraph" w:customStyle="1" w:styleId="29">
    <w:name w:val="标准文件_前言、引言标题"/>
    <w:next w:val="1"/>
    <w:qFormat/>
    <w:uiPriority w:val="0"/>
    <w:pPr>
      <w:numPr>
        <w:ilvl w:val="0"/>
        <w:numId w:val="1"/>
      </w:numPr>
      <w:spacing w:afterLines="150"/>
      <w:jc w:val="center"/>
      <w:outlineLvl w:val="0"/>
    </w:pPr>
    <w:rPr>
      <w:rFonts w:hint="eastAsia" w:ascii="黑体" w:hAnsi="Times New Roman" w:eastAsia="黑体" w:cs="黑体"/>
      <w:sz w:val="32"/>
      <w:lang w:val="en-US" w:eastAsia="zh-CN" w:bidi="ar-SA"/>
    </w:rPr>
  </w:style>
  <w:style w:type="paragraph" w:customStyle="1" w:styleId="30">
    <w:name w:val="标准文件_正文标准名称"/>
    <w:basedOn w:val="1"/>
    <w:link w:val="31"/>
    <w:qFormat/>
    <w:uiPriority w:val="0"/>
    <w:pPr>
      <w:widowControl/>
      <w:spacing w:line="400" w:lineRule="exact"/>
      <w:jc w:val="center"/>
    </w:pPr>
    <w:rPr>
      <w:rFonts w:ascii="黑体" w:hAnsi="黑体" w:eastAsia="黑体" w:cs="黑体"/>
      <w:sz w:val="32"/>
    </w:rPr>
  </w:style>
  <w:style w:type="character" w:customStyle="1" w:styleId="31">
    <w:name w:val="标准文件_正文标准名称 Char"/>
    <w:link w:val="30"/>
    <w:qFormat/>
    <w:uiPriority w:val="0"/>
    <w:rPr>
      <w:rFonts w:ascii="黑体" w:hAnsi="黑体" w:eastAsia="黑体" w:cs="黑体"/>
      <w:sz w:val="32"/>
    </w:rPr>
  </w:style>
  <w:style w:type="paragraph" w:customStyle="1" w:styleId="32">
    <w:name w:val="标准文件_章标题"/>
    <w:next w:val="26"/>
    <w:qFormat/>
    <w:uiPriority w:val="0"/>
    <w:pPr>
      <w:numPr>
        <w:ilvl w:val="0"/>
        <w:numId w:val="2"/>
      </w:numPr>
      <w:spacing w:beforeLines="100" w:afterLines="100"/>
      <w:jc w:val="both"/>
      <w:outlineLvl w:val="0"/>
    </w:pPr>
    <w:rPr>
      <w:rFonts w:hint="eastAsia" w:ascii="黑体" w:hAnsi="Times New Roman" w:eastAsia="黑体" w:cs="黑体"/>
      <w:sz w:val="21"/>
      <w:lang w:val="en-US" w:eastAsia="zh-CN" w:bidi="ar-SA"/>
    </w:rPr>
  </w:style>
  <w:style w:type="paragraph" w:customStyle="1" w:styleId="33">
    <w:name w:val="标准文件_术语条一"/>
    <w:basedOn w:val="34"/>
    <w:next w:val="26"/>
    <w:qFormat/>
    <w:uiPriority w:val="0"/>
    <w:pPr>
      <w:ind w:left="960" w:hanging="960" w:hangingChars="200"/>
    </w:pPr>
    <w:rPr>
      <w:rFonts w:ascii="黑体" w:hAnsi="黑体" w:eastAsia="黑体" w:cs="黑体"/>
    </w:rPr>
  </w:style>
  <w:style w:type="paragraph" w:customStyle="1" w:styleId="34">
    <w:name w:val="标准文件_一级无标题"/>
    <w:basedOn w:val="35"/>
    <w:qFormat/>
    <w:uiPriority w:val="0"/>
    <w:pPr>
      <w:spacing w:beforeLines="1" w:afterLines="1"/>
      <w:outlineLvl w:val="9"/>
    </w:pPr>
    <w:rPr>
      <w:rFonts w:ascii="宋体" w:hAnsi="宋体" w:eastAsia="宋体" w:cs="宋体"/>
    </w:rPr>
  </w:style>
  <w:style w:type="paragraph" w:customStyle="1" w:styleId="35">
    <w:name w:val="标准文件_一级条标题"/>
    <w:basedOn w:val="36"/>
    <w:next w:val="26"/>
    <w:qFormat/>
    <w:uiPriority w:val="0"/>
    <w:pPr>
      <w:outlineLvl w:val="1"/>
    </w:pPr>
  </w:style>
  <w:style w:type="paragraph" w:customStyle="1" w:styleId="36">
    <w:name w:val="1章标题"/>
    <w:next w:val="26"/>
    <w:qFormat/>
    <w:uiPriority w:val="99"/>
    <w:pPr>
      <w:spacing w:beforeLines="50" w:afterLines="50"/>
      <w:jc w:val="both"/>
      <w:outlineLvl w:val="0"/>
    </w:pPr>
    <w:rPr>
      <w:rFonts w:ascii="黑体" w:hAnsi="Times New Roman" w:eastAsia="黑体" w:cs="黑体"/>
      <w:sz w:val="21"/>
      <w:szCs w:val="21"/>
      <w:lang w:val="en-US" w:eastAsia="zh-CN" w:bidi="ar-SA"/>
    </w:rPr>
  </w:style>
  <w:style w:type="paragraph" w:customStyle="1" w:styleId="37">
    <w:name w:val="一级无"/>
    <w:basedOn w:val="38"/>
    <w:qFormat/>
    <w:uiPriority w:val="0"/>
    <w:pPr>
      <w:spacing w:beforeLines="0" w:afterLines="0"/>
    </w:pPr>
    <w:rPr>
      <w:rFonts w:ascii="宋体" w:eastAsia="宋体"/>
    </w:rPr>
  </w:style>
  <w:style w:type="paragraph" w:customStyle="1" w:styleId="38">
    <w:name w:val="一级条标题"/>
    <w:basedOn w:val="35"/>
    <w:next w:val="39"/>
    <w:qFormat/>
    <w:uiPriority w:val="0"/>
    <w:pPr>
      <w:numPr>
        <w:ilvl w:val="1"/>
        <w:numId w:val="3"/>
      </w:numPr>
      <w:spacing w:line="400" w:lineRule="exact"/>
      <w:outlineLvl w:val="2"/>
    </w:pPr>
    <w:rPr>
      <w:rFonts w:cs="Times New Roman"/>
    </w:rPr>
  </w:style>
  <w:style w:type="paragraph" w:customStyle="1" w:styleId="39">
    <w:name w:val="段"/>
    <w:qFormat/>
    <w:uiPriority w:val="0"/>
    <w:pPr>
      <w:tabs>
        <w:tab w:val="center" w:pos="4201"/>
        <w:tab w:val="right" w:leader="dot" w:pos="9298"/>
      </w:tabs>
      <w:autoSpaceDE w:val="0"/>
      <w:autoSpaceDN w:val="0"/>
      <w:spacing w:line="400" w:lineRule="exact"/>
      <w:ind w:left="57" w:firstLine="420" w:firstLineChars="200"/>
      <w:jc w:val="both"/>
    </w:pPr>
    <w:rPr>
      <w:rFonts w:ascii="宋体" w:hAnsi="Times New Roman" w:eastAsia="宋体" w:cs="Times New Roman"/>
      <w:sz w:val="21"/>
      <w:lang w:val="en-US" w:eastAsia="zh-CN" w:bidi="ar-SA"/>
    </w:rPr>
  </w:style>
  <w:style w:type="paragraph" w:customStyle="1" w:styleId="40">
    <w:name w:val="标准文件_正文表标题"/>
    <w:next w:val="26"/>
    <w:qFormat/>
    <w:uiPriority w:val="0"/>
    <w:pPr>
      <w:numPr>
        <w:ilvl w:val="0"/>
        <w:numId w:val="4"/>
      </w:numPr>
      <w:spacing w:beforeLines="50" w:afterLines="50"/>
      <w:jc w:val="center"/>
    </w:pPr>
    <w:rPr>
      <w:rFonts w:hint="eastAsia" w:ascii="黑体" w:hAnsi="黑体" w:eastAsia="黑体" w:cs="黑体"/>
      <w:sz w:val="21"/>
      <w:lang w:val="en-US" w:eastAsia="zh-CN" w:bidi="ar-SA"/>
    </w:rPr>
  </w:style>
  <w:style w:type="paragraph" w:customStyle="1" w:styleId="41">
    <w:name w:val="标准文件_字母编号列项（一级）"/>
    <w:next w:val="26"/>
    <w:qFormat/>
    <w:uiPriority w:val="0"/>
    <w:pPr>
      <w:numPr>
        <w:ilvl w:val="0"/>
        <w:numId w:val="5"/>
      </w:numPr>
      <w:tabs>
        <w:tab w:val="left" w:pos="839"/>
        <w:tab w:val="clear" w:pos="851"/>
      </w:tabs>
      <w:jc w:val="both"/>
    </w:pPr>
    <w:rPr>
      <w:rFonts w:hint="eastAsia" w:ascii="宋体" w:hAnsi="Times New Roman" w:eastAsia="宋体" w:cs="宋体"/>
      <w:sz w:val="21"/>
      <w:lang w:val="en-US" w:eastAsia="zh-CN" w:bidi="ar-SA"/>
    </w:rPr>
  </w:style>
  <w:style w:type="paragraph" w:customStyle="1" w:styleId="42">
    <w:name w:val="标准文件_二级无标题"/>
    <w:basedOn w:val="43"/>
    <w:qFormat/>
    <w:uiPriority w:val="0"/>
    <w:pPr>
      <w:spacing w:beforeLines="1" w:afterLines="1"/>
      <w:outlineLvl w:val="9"/>
    </w:pPr>
    <w:rPr>
      <w:rFonts w:ascii="宋体" w:hAnsi="宋体" w:eastAsia="宋体" w:cs="宋体"/>
    </w:rPr>
  </w:style>
  <w:style w:type="paragraph" w:customStyle="1" w:styleId="43">
    <w:name w:val="标准文件_二级条标题"/>
    <w:next w:val="26"/>
    <w:qFormat/>
    <w:uiPriority w:val="0"/>
    <w:pPr>
      <w:numPr>
        <w:ilvl w:val="2"/>
        <w:numId w:val="2"/>
      </w:numPr>
      <w:spacing w:beforeLines="50" w:afterLines="50"/>
      <w:jc w:val="both"/>
      <w:outlineLvl w:val="2"/>
    </w:pPr>
    <w:rPr>
      <w:rFonts w:hint="eastAsia" w:ascii="黑体" w:hAnsi="黑体" w:eastAsia="黑体" w:cs="黑体"/>
      <w:sz w:val="21"/>
      <w:lang w:val="en-US" w:eastAsia="zh-CN" w:bidi="ar-SA"/>
    </w:rPr>
  </w:style>
  <w:style w:type="paragraph" w:customStyle="1" w:styleId="44">
    <w:name w:val="标准文件_附录标识"/>
    <w:basedOn w:val="1"/>
    <w:next w:val="26"/>
    <w:qFormat/>
    <w:uiPriority w:val="0"/>
    <w:pPr>
      <w:widowControl/>
      <w:numPr>
        <w:ilvl w:val="0"/>
        <w:numId w:val="6"/>
      </w:numPr>
      <w:spacing w:beforeLines="25" w:afterLines="50"/>
      <w:jc w:val="center"/>
      <w:outlineLvl w:val="0"/>
    </w:pPr>
    <w:rPr>
      <w:rFonts w:ascii="黑体" w:hAnsi="黑体" w:eastAsia="黑体" w:cs="黑体"/>
    </w:rPr>
  </w:style>
  <w:style w:type="paragraph" w:customStyle="1" w:styleId="45">
    <w:name w:val="标准文件_表格"/>
    <w:basedOn w:val="26"/>
    <w:qFormat/>
    <w:uiPriority w:val="0"/>
    <w:pPr>
      <w:jc w:val="center"/>
    </w:pPr>
    <w:rPr>
      <w:sz w:val="18"/>
    </w:rPr>
  </w:style>
  <w:style w:type="paragraph" w:customStyle="1" w:styleId="46">
    <w:name w:val="标准文件_注"/>
    <w:next w:val="26"/>
    <w:qFormat/>
    <w:uiPriority w:val="0"/>
    <w:pPr>
      <w:numPr>
        <w:ilvl w:val="0"/>
        <w:numId w:val="7"/>
      </w:numPr>
      <w:autoSpaceDE w:val="0"/>
      <w:autoSpaceDN w:val="0"/>
      <w:jc w:val="both"/>
    </w:pPr>
    <w:rPr>
      <w:rFonts w:hint="eastAsia" w:ascii="宋体" w:hAnsi="宋体" w:eastAsia="宋体" w:cs="宋体"/>
      <w:sz w:val="18"/>
      <w:lang w:val="en-US" w:eastAsia="zh-CN" w:bidi="ar-SA"/>
    </w:rPr>
  </w:style>
  <w:style w:type="paragraph" w:customStyle="1" w:styleId="47">
    <w:name w:val="标准文件_参考文献标题"/>
    <w:basedOn w:val="1"/>
    <w:next w:val="1"/>
    <w:qFormat/>
    <w:uiPriority w:val="0"/>
    <w:pPr>
      <w:widowControl/>
      <w:spacing w:beforeLines="40" w:afterLines="50"/>
      <w:jc w:val="center"/>
      <w:outlineLvl w:val="0"/>
    </w:pPr>
    <w:rPr>
      <w:rFonts w:ascii="黑体" w:hAnsi="Times New Roman" w:eastAsia="黑体" w:cs="黑体"/>
      <w:kern w:val="0"/>
    </w:rPr>
  </w:style>
  <w:style w:type="paragraph" w:customStyle="1" w:styleId="48">
    <w:name w:val="终结线"/>
    <w:basedOn w:val="1"/>
    <w:qFormat/>
    <w:uiPriority w:val="0"/>
    <w:pPr>
      <w:framePr w:hSpace="181" w:vSpace="181" w:wrap="around" w:vAnchor="text" w:hAnchor="margin" w:xAlign="center" w:y="285"/>
    </w:pPr>
    <w:rPr>
      <w:rFonts w:ascii="Times New Roman" w:hAnsi="Times New Roman" w:cs="Times New Roman"/>
      <w:b/>
      <w:sz w:val="34"/>
    </w:rPr>
  </w:style>
  <w:style w:type="paragraph" w:customStyle="1" w:styleId="49">
    <w:name w:val="标准书眉_奇数页"/>
    <w:next w:val="1"/>
    <w:qFormat/>
    <w:uiPriority w:val="0"/>
    <w:pPr>
      <w:tabs>
        <w:tab w:val="center" w:pos="4153"/>
        <w:tab w:val="right" w:pos="8306"/>
      </w:tabs>
      <w:spacing w:after="120"/>
      <w:jc w:val="right"/>
    </w:pPr>
    <w:rPr>
      <w:rFonts w:hint="eastAsia" w:ascii="黑体" w:hAnsi="Times New Roman" w:eastAsia="黑体" w:cs="黑体"/>
      <w:sz w:val="21"/>
      <w:lang w:val="en-US" w:eastAsia="zh-CN" w:bidi="ar-SA"/>
    </w:rPr>
  </w:style>
  <w:style w:type="paragraph" w:customStyle="1" w:styleId="50">
    <w:name w:val="标准书脚_奇数页"/>
    <w:qFormat/>
    <w:uiPriority w:val="0"/>
    <w:pPr>
      <w:ind w:right="227"/>
      <w:jc w:val="right"/>
    </w:pPr>
    <w:rPr>
      <w:rFonts w:hint="eastAsia" w:ascii="宋体" w:hAnsi="Times New Roman" w:eastAsia="宋体" w:cs="宋体"/>
      <w:sz w:val="18"/>
      <w:lang w:val="en-US" w:eastAsia="zh-CN" w:bidi="ar-SA"/>
    </w:rPr>
  </w:style>
  <w:style w:type="paragraph" w:customStyle="1" w:styleId="51">
    <w:name w:val="章标题"/>
    <w:basedOn w:val="36"/>
    <w:next w:val="39"/>
    <w:qFormat/>
    <w:uiPriority w:val="0"/>
    <w:pPr>
      <w:numPr>
        <w:ilvl w:val="1"/>
        <w:numId w:val="8"/>
      </w:numPr>
      <w:spacing w:beforeLines="100" w:afterLines="100"/>
    </w:pPr>
    <w:rPr>
      <w:rFonts w:ascii="Times New Roman"/>
    </w:rPr>
  </w:style>
  <w:style w:type="character" w:customStyle="1" w:styleId="52">
    <w:name w:val="批注框文本 字符"/>
    <w:basedOn w:val="10"/>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6" Type="http://schemas.openxmlformats.org/officeDocument/2006/relationships/glossaryDocument" Target="glossary/document.xml"/><Relationship Id="rId45" Type="http://schemas.openxmlformats.org/officeDocument/2006/relationships/fontTable" Target="fontTable.xml"/><Relationship Id="rId44" Type="http://schemas.openxmlformats.org/officeDocument/2006/relationships/numbering" Target="numbering.xml"/><Relationship Id="rId43" Type="http://schemas.openxmlformats.org/officeDocument/2006/relationships/customXml" Target="../customXml/item1.xml"/><Relationship Id="rId42" Type="http://schemas.openxmlformats.org/officeDocument/2006/relationships/image" Target="media/image16.jpeg"/><Relationship Id="rId41" Type="http://schemas.openxmlformats.org/officeDocument/2006/relationships/image" Target="media/image15.wmf"/><Relationship Id="rId40" Type="http://schemas.openxmlformats.org/officeDocument/2006/relationships/oleObject" Target="embeddings/oleObject15.bin"/><Relationship Id="rId4" Type="http://schemas.openxmlformats.org/officeDocument/2006/relationships/footer" Target="footer2.xml"/><Relationship Id="rId39" Type="http://schemas.openxmlformats.org/officeDocument/2006/relationships/image" Target="media/image14.wmf"/><Relationship Id="rId38" Type="http://schemas.openxmlformats.org/officeDocument/2006/relationships/oleObject" Target="embeddings/oleObject14.bin"/><Relationship Id="rId37" Type="http://schemas.openxmlformats.org/officeDocument/2006/relationships/image" Target="media/image13.wmf"/><Relationship Id="rId36" Type="http://schemas.openxmlformats.org/officeDocument/2006/relationships/oleObject" Target="embeddings/oleObject13.bin"/><Relationship Id="rId35" Type="http://schemas.openxmlformats.org/officeDocument/2006/relationships/image" Target="media/image12.wmf"/><Relationship Id="rId34" Type="http://schemas.openxmlformats.org/officeDocument/2006/relationships/oleObject" Target="embeddings/oleObject12.bin"/><Relationship Id="rId33" Type="http://schemas.openxmlformats.org/officeDocument/2006/relationships/image" Target="media/image11.wmf"/><Relationship Id="rId32" Type="http://schemas.openxmlformats.org/officeDocument/2006/relationships/oleObject" Target="embeddings/oleObject11.bin"/><Relationship Id="rId31" Type="http://schemas.openxmlformats.org/officeDocument/2006/relationships/image" Target="media/image10.wmf"/><Relationship Id="rId30" Type="http://schemas.openxmlformats.org/officeDocument/2006/relationships/oleObject" Target="embeddings/oleObject10.bin"/><Relationship Id="rId3" Type="http://schemas.openxmlformats.org/officeDocument/2006/relationships/footer" Target="footer1.xml"/><Relationship Id="rId29" Type="http://schemas.openxmlformats.org/officeDocument/2006/relationships/image" Target="media/image9.wmf"/><Relationship Id="rId28" Type="http://schemas.openxmlformats.org/officeDocument/2006/relationships/oleObject" Target="embeddings/oleObject9.bin"/><Relationship Id="rId27" Type="http://schemas.openxmlformats.org/officeDocument/2006/relationships/image" Target="media/image8.wmf"/><Relationship Id="rId26" Type="http://schemas.openxmlformats.org/officeDocument/2006/relationships/oleObject" Target="embeddings/oleObject8.bin"/><Relationship Id="rId25" Type="http://schemas.openxmlformats.org/officeDocument/2006/relationships/image" Target="media/image7.wmf"/><Relationship Id="rId24" Type="http://schemas.openxmlformats.org/officeDocument/2006/relationships/oleObject" Target="embeddings/oleObject7.bin"/><Relationship Id="rId23" Type="http://schemas.openxmlformats.org/officeDocument/2006/relationships/image" Target="media/image6.wmf"/><Relationship Id="rId22" Type="http://schemas.openxmlformats.org/officeDocument/2006/relationships/oleObject" Target="embeddings/oleObject6.bin"/><Relationship Id="rId21" Type="http://schemas.openxmlformats.org/officeDocument/2006/relationships/image" Target="media/image5.wmf"/><Relationship Id="rId20" Type="http://schemas.openxmlformats.org/officeDocument/2006/relationships/oleObject" Target="embeddings/oleObject5.bin"/><Relationship Id="rId2" Type="http://schemas.openxmlformats.org/officeDocument/2006/relationships/settings" Target="settings.xml"/><Relationship Id="rId19" Type="http://schemas.openxmlformats.org/officeDocument/2006/relationships/image" Target="media/image4.wmf"/><Relationship Id="rId18" Type="http://schemas.openxmlformats.org/officeDocument/2006/relationships/oleObject" Target="embeddings/oleObject4.bin"/><Relationship Id="rId17" Type="http://schemas.openxmlformats.org/officeDocument/2006/relationships/image" Target="media/image3.wmf"/><Relationship Id="rId16" Type="http://schemas.openxmlformats.org/officeDocument/2006/relationships/oleObject" Target="embeddings/oleObject3.bin"/><Relationship Id="rId15" Type="http://schemas.openxmlformats.org/officeDocument/2006/relationships/image" Target="media/image2.wmf"/><Relationship Id="rId14" Type="http://schemas.openxmlformats.org/officeDocument/2006/relationships/oleObject" Target="embeddings/oleObject2.bin"/><Relationship Id="rId13" Type="http://schemas.openxmlformats.org/officeDocument/2006/relationships/image" Target="media/image1.wmf"/><Relationship Id="rId12" Type="http://schemas.openxmlformats.org/officeDocument/2006/relationships/oleObject" Target="embeddings/oleObject1.bin"/><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c8ba3f3f-d992-42ae-9ccb-5b8e67535c12}"/>
        <w:style w:val=""/>
        <w:category>
          <w:name w:val="常规"/>
          <w:gallery w:val="placeholder"/>
        </w:category>
        <w:types>
          <w:type w:val="bbPlcHdr"/>
        </w:types>
        <w:behaviors>
          <w:behavior w:val="content"/>
        </w:behaviors>
        <w:description w:val=""/>
        <w:guid w:val="{C8BA3F3F-D992-42AE-9CCB-5B8E67535C12}"/>
      </w:docPartPr>
      <w:docPartBody>
        <w:p w14:paraId="5D498586">
          <w:r>
            <w:rPr>
              <w:color w:val="808080"/>
            </w:rPr>
            <w:t>选择一项。</w:t>
          </w:r>
        </w:p>
      </w:docPartBody>
    </w:docPart>
    <w:docPart>
      <w:docPartPr>
        <w:name w:val="{ffaea25c-db20-4dc5-85dd-ab924e3468af}"/>
        <w:style w:val=""/>
        <w:category>
          <w:name w:val="常规"/>
          <w:gallery w:val="placeholder"/>
        </w:category>
        <w:types>
          <w:type w:val="bbPlcHdr"/>
        </w:types>
        <w:behaviors>
          <w:behavior w:val="content"/>
        </w:behaviors>
        <w:description w:val=""/>
        <w:guid w:val="{FFAEA25C-DB20-4DC5-85DD-AB924E3468AF}"/>
      </w:docPartPr>
      <w:docPartBody>
        <w:p w14:paraId="70F26157">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characterSpacingControl w:val="doNotCompress"/>
  <w:compat>
    <w:useFELayout/>
    <w:splitPgBreakAndParaMark/>
    <w:compatSetting w:name="compatibilityMode" w:uri="http://schemas.microsoft.com/office/word" w:val="14"/>
  </w:compat>
  <w:rsids>
    <w:rsidRoot w:val="00E271CF"/>
    <w:rsid w:val="000A3260"/>
    <w:rsid w:val="009A5F2D"/>
    <w:rsid w:val="00E271CF"/>
    <w:rsid w:val="00EA20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atentStyles>
  <w:style w:type="paragraph" w:default="1" w:styleId="1">
    <w:name w:val="Normal"/>
    <w:qFormat/>
    <w:uiPriority w:val="0"/>
    <w:pPr>
      <w:widowControl w:val="0"/>
      <w:jc w:val="both"/>
    </w:pPr>
    <w:rPr>
      <w:rFonts w:asciiTheme="minorHAnsi" w:hAnsiTheme="minorHAnsi" w:eastAsiaTheme="minorEastAsia" w:cstheme="minorBidi"/>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5123</Words>
  <Characters>5953</Characters>
  <Lines>98</Lines>
  <Paragraphs>27</Paragraphs>
  <TotalTime>0</TotalTime>
  <ScaleCrop>false</ScaleCrop>
  <LinksUpToDate>false</LinksUpToDate>
  <CharactersWithSpaces>6989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2025-08-22T15:54:00Z</dcterms:created>
  <dc:creator>转瞬之间</dc:creator>
  <cp:lastModifiedBy>峰</cp:lastModifiedBy>
  <cp:lastPrinted>2026-05-13T02:42:00Z</cp:lastPrinted>
  <dcterms:modified xsi:type="dcterms:W3CDTF">2026-05-14T01:51:16Z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9FDDC7D5AC00469982E3D3490F02AC79_13</vt:lpwstr>
  </property>
  <property fmtid="{D5CDD505-2E9C-101B-9397-08002B2CF9AE}" pid="4" name="KSOTemplateDocerSaveRecord">
    <vt:lpwstr>eyJoZGlkIjoiZDdkNjVhMjZiOWYyZDZiN2JmNGQ2MTg4NDY1YmIwM2EiLCJ1c2VySWQiOiI0Mjc3MzIxMDYifQ==</vt:lpwstr>
  </property>
</Properties>
</file>