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463111">
      <w:pPr>
        <w:pStyle w:val="11"/>
        <w:framePr w:h="879" w:hRule="exact" w:wrap="around" w:x="1360" w:y="3769"/>
        <w:bidi w:val="0"/>
        <w:jc w:val="center"/>
        <w:rPr>
          <w:rFonts w:hint="eastAsia"/>
          <w:color w:val="000000" w:themeColor="text1"/>
          <w:sz w:val="52"/>
          <w:szCs w:val="52"/>
          <w:lang w:val="en-US" w:eastAsia="zh-CN"/>
          <w14:textFill>
            <w14:solidFill>
              <w14:schemeClr w14:val="tx1"/>
            </w14:solidFill>
          </w14:textFill>
        </w:rPr>
      </w:pPr>
      <w:bookmarkStart w:id="0" w:name="_Toc8971"/>
      <w:bookmarkStart w:id="1" w:name="_Toc5207"/>
      <w:bookmarkStart w:id="2" w:name="_Toc19600"/>
      <w:bookmarkStart w:id="3" w:name="_Toc18885"/>
      <w:bookmarkStart w:id="4" w:name="_Toc9918"/>
      <w:bookmarkStart w:id="5" w:name="_Toc11802"/>
      <w:bookmarkStart w:id="6" w:name="_Toc17329"/>
      <w:r>
        <w:rPr>
          <w:rFonts w:hint="eastAsia"/>
          <w:color w:val="000000" w:themeColor="text1"/>
          <w:sz w:val="52"/>
          <w:szCs w:val="52"/>
          <w:lang w:val="en-US" w:eastAsia="zh-CN"/>
          <w14:textFill>
            <w14:solidFill>
              <w14:schemeClr w14:val="tx1"/>
            </w14:solidFill>
          </w14:textFill>
        </w:rPr>
        <w:t>江西省食品科学技术学会团体标准</w:t>
      </w:r>
    </w:p>
    <w:p w14:paraId="3E66F17C">
      <w:pPr>
        <w:pStyle w:val="10"/>
        <w:framePr w:h="6299" w:hRule="exact" w:wrap="around" w:y="7083"/>
        <w:bidi w:val="0"/>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便携式表面增强拉曼光谱仪技术评价指南</w:t>
      </w:r>
    </w:p>
    <w:p w14:paraId="3114075B">
      <w:pPr>
        <w:pStyle w:val="15"/>
        <w:framePr w:h="6299" w:hRule="exact" w:wrap="around" w:y="7083"/>
        <w:bidi w:val="0"/>
        <w:rPr>
          <w:rFonts w:hint="eastAsia"/>
          <w:color w:val="000000" w:themeColor="text1"/>
          <w:lang w:val="en-US" w:eastAsia="zh-CN"/>
          <w14:textFill>
            <w14:solidFill>
              <w14:schemeClr w14:val="tx1"/>
            </w14:solidFill>
          </w14:textFill>
        </w:rPr>
      </w:pPr>
      <w:bookmarkStart w:id="7" w:name="StdEnglishName"/>
      <w:r>
        <w:rPr>
          <w:rFonts w:hint="eastAsia" w:ascii="Times New Roman" w:hAnsi="Times New Roman" w:eastAsia="黑体" w:cs="Times New Roman"/>
          <w:color w:val="000000" w:themeColor="text1"/>
          <w:sz w:val="28"/>
          <w:lang w:val="en-US" w:eastAsia="zh-CN"/>
          <w14:textFill>
            <w14:solidFill>
              <w14:schemeClr w14:val="tx1"/>
            </w14:solidFill>
          </w14:textFill>
        </w:rPr>
        <w:fldChar w:fldCharType="begin">
          <w:ffData>
            <w:name w:val="StdEnglishName"/>
            <w:enabled/>
            <w:calcOnExit w:val="0"/>
            <w:textInput>
              <w:default w:val="Guidance on technology evaluation of protable surface-enhanced Raman spectrometer"/>
            </w:textInput>
          </w:ffData>
        </w:fldChar>
      </w:r>
      <w:r>
        <w:rPr>
          <w:rFonts w:hint="eastAsia" w:ascii="Times New Roman" w:hAnsi="Times New Roman" w:eastAsia="黑体" w:cs="Times New Roman"/>
          <w:color w:val="000000" w:themeColor="text1"/>
          <w:sz w:val="28"/>
          <w:lang w:val="en-US" w:eastAsia="zh-CN"/>
          <w14:textFill>
            <w14:solidFill>
              <w14:schemeClr w14:val="tx1"/>
            </w14:solidFill>
          </w14:textFill>
        </w:rPr>
        <w:instrText xml:space="preserve">FORMTEXT</w:instrText>
      </w:r>
      <w:r>
        <w:rPr>
          <w:rFonts w:hint="eastAsia" w:ascii="Times New Roman" w:hAnsi="Times New Roman" w:eastAsia="黑体" w:cs="Times New Roman"/>
          <w:color w:val="000000" w:themeColor="text1"/>
          <w:sz w:val="28"/>
          <w:lang w:val="en-US" w:eastAsia="zh-CN"/>
          <w14:textFill>
            <w14:solidFill>
              <w14:schemeClr w14:val="tx1"/>
            </w14:solidFill>
          </w14:textFill>
        </w:rPr>
        <w:fldChar w:fldCharType="separate"/>
      </w:r>
      <w:r>
        <w:rPr>
          <w:rFonts w:hint="eastAsia" w:ascii="Times New Roman" w:hAnsi="Times New Roman" w:eastAsia="黑体" w:cs="Times New Roman"/>
          <w:color w:val="000000" w:themeColor="text1"/>
          <w:sz w:val="28"/>
          <w:lang w:val="en-US" w:eastAsia="zh-CN"/>
          <w14:textFill>
            <w14:solidFill>
              <w14:schemeClr w14:val="tx1"/>
            </w14:solidFill>
          </w14:textFill>
        </w:rPr>
        <w:t>Guidance on technology evaluation of protable surface-enhanced Raman spectrometer</w:t>
      </w:r>
      <w:r>
        <w:rPr>
          <w:rFonts w:hint="eastAsia" w:ascii="Times New Roman" w:hAnsi="Times New Roman" w:eastAsia="黑体" w:cs="Times New Roman"/>
          <w:color w:val="000000" w:themeColor="text1"/>
          <w:sz w:val="28"/>
          <w:lang w:val="en-US" w:eastAsia="zh-CN"/>
          <w14:textFill>
            <w14:solidFill>
              <w14:schemeClr w14:val="tx1"/>
            </w14:solidFill>
          </w14:textFill>
        </w:rPr>
        <w:fldChar w:fldCharType="end"/>
      </w:r>
      <w:bookmarkEnd w:id="7"/>
    </w:p>
    <w:tbl>
      <w:tblPr>
        <w:tblStyle w:val="7"/>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870"/>
        <w:gridCol w:w="4871"/>
      </w:tblGrid>
      <w:tr w14:paraId="703D9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exact"/>
        </w:trPr>
        <w:tc>
          <w:tcPr>
            <w:tcW w:w="4944" w:type="dxa"/>
            <w:tcBorders>
              <w:bottom w:val="single" w:color="auto" w:sz="8" w:space="0"/>
            </w:tcBorders>
            <w:tcMar>
              <w:left w:w="57" w:type="dxa"/>
              <w:bottom w:w="28" w:type="dxa"/>
            </w:tcMar>
          </w:tcPr>
          <w:p w14:paraId="01D427FB">
            <w:pPr>
              <w:pStyle w:val="20"/>
              <w:widowControl w:val="0"/>
              <w:bidi w:val="0"/>
              <w:jc w:val="both"/>
              <w:rPr>
                <w:rFonts w:hint="eastAsia"/>
                <w:color w:val="000000" w:themeColor="text1"/>
                <w:vertAlign w:val="baseline"/>
                <w:lang w:val="en-US" w:eastAsia="zh-CN"/>
                <w14:textFill>
                  <w14:solidFill>
                    <w14:schemeClr w14:val="tx1"/>
                  </w14:solidFill>
                </w14:textFill>
              </w:rPr>
            </w:pPr>
            <w:r>
              <w:rPr>
                <w:rFonts w:hint="eastAsia" w:cs="Times New Roman"/>
                <w:color w:val="000000" w:themeColor="text1"/>
                <w:sz w:val="28"/>
                <w:vertAlign w:val="baseline"/>
                <w:lang w:val="en-US" w:eastAsia="zh-CN"/>
                <w14:textFill>
                  <w14:solidFill>
                    <w14:schemeClr w14:val="tx1"/>
                  </w14:solidFill>
                </w14:textFill>
              </w:rPr>
              <w:t>2026</w:t>
            </w:r>
            <w:r>
              <w:rPr>
                <w:rFonts w:hint="eastAsia"/>
                <w:color w:val="000000" w:themeColor="text1"/>
                <w:vertAlign w:val="baseline"/>
                <w:lang w:val="en-US" w:eastAsia="zh-CN"/>
                <w14:textFill>
                  <w14:solidFill>
                    <w14:schemeClr w14:val="tx1"/>
                  </w14:solidFill>
                </w14:textFill>
              </w:rPr>
              <w:t xml:space="preserve"> - 5 - 15 发布</w:t>
            </w:r>
          </w:p>
        </w:tc>
        <w:tc>
          <w:tcPr>
            <w:tcW w:w="4945" w:type="dxa"/>
            <w:tcBorders>
              <w:bottom w:val="single" w:color="auto" w:sz="8" w:space="0"/>
            </w:tcBorders>
            <w:tcMar>
              <w:right w:w="57" w:type="dxa"/>
            </w:tcMar>
          </w:tcPr>
          <w:p w14:paraId="3F276D7C">
            <w:pPr>
              <w:pStyle w:val="20"/>
              <w:widowControl w:val="0"/>
              <w:bidi w:val="0"/>
              <w:jc w:val="right"/>
              <w:rPr>
                <w:rFonts w:hint="eastAsia"/>
                <w:color w:val="000000" w:themeColor="text1"/>
                <w:vertAlign w:val="baseline"/>
                <w:lang w:val="en-US" w:eastAsia="zh-CN"/>
                <w14:textFill>
                  <w14:solidFill>
                    <w14:schemeClr w14:val="tx1"/>
                  </w14:solidFill>
                </w14:textFill>
              </w:rPr>
            </w:pPr>
            <w:r>
              <w:rPr>
                <w:rFonts w:hint="eastAsia" w:cs="Times New Roman"/>
                <w:color w:val="000000" w:themeColor="text1"/>
                <w:sz w:val="28"/>
                <w:vertAlign w:val="baseline"/>
                <w:lang w:val="en-US" w:eastAsia="zh-CN"/>
                <w14:textFill>
                  <w14:solidFill>
                    <w14:schemeClr w14:val="tx1"/>
                  </w14:solidFill>
                </w14:textFill>
              </w:rPr>
              <w:t>2026</w:t>
            </w:r>
            <w:r>
              <w:rPr>
                <w:rFonts w:hint="eastAsia"/>
                <w:color w:val="000000" w:themeColor="text1"/>
                <w:vertAlign w:val="baseline"/>
                <w:lang w:val="en-US" w:eastAsia="zh-CN"/>
                <w14:textFill>
                  <w14:solidFill>
                    <w14:schemeClr w14:val="tx1"/>
                  </w14:solidFill>
                </w14:textFill>
              </w:rPr>
              <w:t xml:space="preserve"> - 5- </w:t>
            </w:r>
            <w:r>
              <w:rPr>
                <w:rFonts w:hint="eastAsia" w:cs="Times New Roman"/>
                <w:color w:val="000000" w:themeColor="text1"/>
                <w:sz w:val="28"/>
                <w:vertAlign w:val="baseline"/>
                <w:lang w:val="en-US" w:eastAsia="zh-CN"/>
                <w14:textFill>
                  <w14:solidFill>
                    <w14:schemeClr w14:val="tx1"/>
                  </w14:solidFill>
                </w14:textFill>
              </w:rPr>
              <w:t>15</w:t>
            </w:r>
            <w:r>
              <w:rPr>
                <w:rFonts w:hint="eastAsia"/>
                <w:color w:val="000000" w:themeColor="text1"/>
                <w:vertAlign w:val="baseline"/>
                <w:lang w:val="en-US" w:eastAsia="zh-CN"/>
                <w14:textFill>
                  <w14:solidFill>
                    <w14:schemeClr w14:val="tx1"/>
                  </w14:solidFill>
                </w14:textFill>
              </w:rPr>
              <w:t xml:space="preserve"> 实施</w:t>
            </w:r>
          </w:p>
        </w:tc>
      </w:tr>
    </w:tbl>
    <w:p w14:paraId="158A2BD4">
      <w:pPr>
        <w:pStyle w:val="12"/>
        <w:framePr w:h="324" w:hRule="exact" w:wrap="around" w:x="1594" w:y="4739"/>
        <w:pBdr>
          <w:top w:val="none" w:color="auto" w:sz="0" w:space="0"/>
          <w:left w:val="none" w:color="auto" w:sz="0" w:space="0"/>
          <w:bottom w:val="none" w:color="auto" w:sz="0" w:space="0"/>
          <w:right w:val="none" w:color="auto" w:sz="0" w:space="0"/>
        </w:pBdr>
        <w:bidi w:val="0"/>
        <w:rPr>
          <w:rFonts w:hint="eastAsia"/>
          <w:color w:val="000000" w:themeColor="text1"/>
          <w:lang w:val="en-US" w:eastAsia="zh-CN"/>
          <w14:textFill>
            <w14:solidFill>
              <w14:schemeClr w14:val="tx1"/>
            </w14:solidFill>
          </w14:textFill>
        </w:rPr>
      </w:pPr>
      <w:bookmarkStart w:id="8" w:name="StandNo"/>
      <w:r>
        <w:rPr>
          <w:rFonts w:hint="eastAsia" w:ascii="黑体" w:hAnsi="Times New Roman" w:eastAsia="黑体" w:cs="Times New Roman"/>
          <w:color w:val="000000" w:themeColor="text1"/>
          <w:sz w:val="28"/>
          <w:lang w:val="en-US" w:eastAsia="zh-CN"/>
          <w14:textFill>
            <w14:solidFill>
              <w14:schemeClr w14:val="tx1"/>
            </w14:solidFill>
          </w14:textFill>
        </w:rPr>
        <w:fldChar w:fldCharType="begin">
          <w:ffData>
            <w:name w:val="StandNo"/>
            <w:enabled/>
            <w:calcOnExit w:val="0"/>
            <w:textInput>
              <w:default w:val="T/JXIFST 003—2026"/>
            </w:textInput>
          </w:ffData>
        </w:fldChar>
      </w:r>
      <w:r>
        <w:rPr>
          <w:rFonts w:hint="eastAsia" w:ascii="黑体" w:hAnsi="Times New Roman" w:eastAsia="黑体" w:cs="Times New Roman"/>
          <w:color w:val="000000" w:themeColor="text1"/>
          <w:sz w:val="28"/>
          <w:lang w:val="en-US" w:eastAsia="zh-CN"/>
          <w14:textFill>
            <w14:solidFill>
              <w14:schemeClr w14:val="tx1"/>
            </w14:solidFill>
          </w14:textFill>
        </w:rPr>
        <w:instrText xml:space="preserve">FORMTEXT</w:instrText>
      </w:r>
      <w:r>
        <w:rPr>
          <w:rFonts w:hint="eastAsia" w:ascii="黑体" w:hAnsi="Times New Roman" w:eastAsia="黑体" w:cs="Times New Roman"/>
          <w:color w:val="000000" w:themeColor="text1"/>
          <w:sz w:val="28"/>
          <w:lang w:val="en-US" w:eastAsia="zh-CN"/>
          <w14:textFill>
            <w14:solidFill>
              <w14:schemeClr w14:val="tx1"/>
            </w14:solidFill>
          </w14:textFill>
        </w:rPr>
        <w:fldChar w:fldCharType="separate"/>
      </w:r>
      <w:r>
        <w:rPr>
          <w:rFonts w:hint="eastAsia" w:ascii="黑体" w:hAnsi="Times New Roman" w:eastAsia="黑体" w:cs="Times New Roman"/>
          <w:color w:val="000000" w:themeColor="text1"/>
          <w:sz w:val="28"/>
          <w:lang w:val="en-US" w:eastAsia="zh-CN"/>
          <w14:textFill>
            <w14:solidFill>
              <w14:schemeClr w14:val="tx1"/>
            </w14:solidFill>
          </w14:textFill>
        </w:rPr>
        <w:t>T/JXIFST 003—2026</w:t>
      </w:r>
      <w:r>
        <w:rPr>
          <w:rFonts w:hint="eastAsia" w:ascii="黑体" w:hAnsi="Times New Roman" w:eastAsia="黑体" w:cs="Times New Roman"/>
          <w:color w:val="000000" w:themeColor="text1"/>
          <w:sz w:val="28"/>
          <w:lang w:val="en-US" w:eastAsia="zh-CN"/>
          <w14:textFill>
            <w14:solidFill>
              <w14:schemeClr w14:val="tx1"/>
            </w14:solidFill>
          </w14:textFill>
        </w:rPr>
        <w:fldChar w:fldCharType="end"/>
      </w:r>
      <w:bookmarkEnd w:id="8"/>
    </w:p>
    <w:p w14:paraId="68D0CD58">
      <w:pPr>
        <w:pStyle w:val="21"/>
        <w:bidi w:val="0"/>
        <w:spacing w:before="0"/>
        <w:rPr>
          <w:rFonts w:hint="eastAsia"/>
          <w:color w:val="000000" w:themeColor="text1"/>
          <w:spacing w:val="0"/>
          <w:w w:val="100"/>
          <w:sz w:val="28"/>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fldChar w:fldCharType="begin">
          <w:ffData>
            <w:name w:val="FM2"/>
            <w:enabled/>
            <w:calcOnExit w:val="0"/>
            <w:textInput/>
          </w:ffData>
        </w:fldChar>
      </w:r>
      <w:bookmarkStart w:id="9" w:name="FM2"/>
      <w:r>
        <w:rPr>
          <w:rFonts w:hint="eastAsia"/>
          <w:color w:val="000000" w:themeColor="text1"/>
          <w:lang w:val="en-US" w:eastAsia="zh-CN"/>
          <w14:textFill>
            <w14:solidFill>
              <w14:schemeClr w14:val="tx1"/>
            </w14:solidFill>
          </w14:textFill>
        </w:rPr>
        <w:instrText xml:space="preserve">FORMTEXT</w:instrText>
      </w:r>
      <w:r>
        <w:rPr>
          <w:rFonts w:hint="eastAsia"/>
          <w:color w:val="000000" w:themeColor="text1"/>
          <w:lang w:val="en-US" w:eastAsia="zh-CN"/>
          <w14:textFill>
            <w14:solidFill>
              <w14:schemeClr w14:val="tx1"/>
            </w14:solidFill>
          </w14:textFill>
        </w:rPr>
        <w:fldChar w:fldCharType="separate"/>
      </w:r>
      <w:r>
        <w:rPr>
          <w:rFonts w:hint="default"/>
          <w:color w:val="000000" w:themeColor="text1"/>
          <w:lang w:val="en-US" w:eastAsia="zh-CN"/>
          <w14:textFill>
            <w14:solidFill>
              <w14:schemeClr w14:val="tx1"/>
            </w14:solidFill>
          </w14:textFill>
        </w:rPr>
        <w:t>  江西省食品科学技术学会   </w:t>
      </w:r>
      <w:r>
        <w:rPr>
          <w:rFonts w:hint="eastAsia"/>
          <w:color w:val="000000" w:themeColor="text1"/>
          <w:lang w:val="en-US" w:eastAsia="zh-CN"/>
          <w14:textFill>
            <w14:solidFill>
              <w14:schemeClr w14:val="tx1"/>
            </w14:solidFill>
          </w14:textFill>
        </w:rPr>
        <w:fldChar w:fldCharType="end"/>
      </w:r>
      <w:bookmarkEnd w:id="9"/>
      <w:r>
        <w:rPr>
          <w:rFonts w:hint="eastAsia"/>
          <w:color w:val="000000" w:themeColor="text1"/>
          <w:sz w:val="28"/>
          <w:lang w:val="en-US" w:eastAsia="zh-CN"/>
          <w14:textFill>
            <w14:solidFill>
              <w14:schemeClr w14:val="tx1"/>
            </w14:solidFill>
          </w14:textFill>
        </w:rPr>
        <w:t>  </w:t>
      </w:r>
      <w:r>
        <w:rPr>
          <w:rFonts w:hint="eastAsia"/>
          <w:color w:val="000000" w:themeColor="text1"/>
          <w:spacing w:val="85"/>
          <w:w w:val="100"/>
          <w:sz w:val="28"/>
          <w:lang w:val="en-US" w:eastAsia="zh-CN"/>
          <w14:textFill>
            <w14:solidFill>
              <w14:schemeClr w14:val="tx1"/>
            </w14:solidFill>
          </w14:textFill>
        </w:rPr>
        <w:t>发</w:t>
      </w:r>
      <w:r>
        <w:rPr>
          <w:rFonts w:hint="eastAsia"/>
          <w:color w:val="000000" w:themeColor="text1"/>
          <w:spacing w:val="0"/>
          <w:w w:val="100"/>
          <w:sz w:val="28"/>
          <w:lang w:val="en-US" w:eastAsia="zh-CN"/>
          <w14:textFill>
            <w14:solidFill>
              <w14:schemeClr w14:val="tx1"/>
            </w14:solidFill>
          </w14:textFill>
        </w:rPr>
        <w:t>布</w:t>
      </w:r>
    </w:p>
    <w:tbl>
      <w:tblPr>
        <w:tblStyle w:val="7"/>
        <w:tblpPr w:leftFromText="180" w:rightFromText="180" w:vertAnchor="text" w:horzAnchor="page" w:tblpX="1372" w:tblpY="995"/>
        <w:tblOverlap w:val="never"/>
        <w:tblW w:w="98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800"/>
      </w:tblGrid>
      <w:tr w14:paraId="299F5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4" w:hRule="atLeast"/>
        </w:trPr>
        <w:tc>
          <w:tcPr>
            <w:tcW w:w="9800" w:type="dxa"/>
            <w:tcBorders>
              <w:top w:val="single" w:color="auto" w:sz="8" w:space="0"/>
            </w:tcBorders>
          </w:tcPr>
          <w:p w14:paraId="7EB7CA40">
            <w:pPr>
              <w:pStyle w:val="14"/>
              <w:framePr w:w="0" w:hSpace="0" w:wrap="auto" w:vAnchor="margin" w:hAnchor="text" w:xAlign="left" w:yAlign="inline"/>
              <w:widowControl w:val="0"/>
              <w:bidi w:val="0"/>
              <w:jc w:val="both"/>
              <w:rPr>
                <w:rFonts w:hint="eastAsia"/>
                <w:color w:val="000000" w:themeColor="text1"/>
                <w:sz w:val="10"/>
                <w:vertAlign w:val="baseline"/>
                <w:lang w:val="en-US" w:eastAsia="zh-CN"/>
                <w14:textFill>
                  <w14:solidFill>
                    <w14:schemeClr w14:val="tx1"/>
                  </w14:solidFill>
                </w14:textFill>
              </w:rPr>
            </w:pPr>
          </w:p>
        </w:tc>
      </w:tr>
    </w:tbl>
    <w:p w14:paraId="7443F868">
      <w:pPr>
        <w:pStyle w:val="25"/>
        <w:bidi w:val="0"/>
        <w:jc w:val="both"/>
        <w:rPr>
          <w:rFonts w:hint="eastAsia"/>
          <w:color w:val="000000" w:themeColor="text1"/>
          <w:spacing w:val="317"/>
          <w:lang w:val="en-US" w:eastAsia="zh-CN"/>
          <w14:textFill>
            <w14:solidFill>
              <w14:schemeClr w14:val="tx1"/>
            </w14:solidFill>
          </w14:textFill>
        </w:rPr>
      </w:pPr>
      <w:r>
        <w:rPr>
          <w:sz w:val="32"/>
        </w:rPr>
        <mc:AlternateContent>
          <mc:Choice Requires="wps">
            <w:drawing>
              <wp:anchor distT="0" distB="0" distL="114300" distR="114300" simplePos="0" relativeHeight="251659264" behindDoc="0" locked="0" layoutInCell="1" allowOverlap="1">
                <wp:simplePos x="0" y="0"/>
                <wp:positionH relativeFrom="column">
                  <wp:posOffset>27940</wp:posOffset>
                </wp:positionH>
                <wp:positionV relativeFrom="paragraph">
                  <wp:posOffset>-147320</wp:posOffset>
                </wp:positionV>
                <wp:extent cx="5828665" cy="979170"/>
                <wp:effectExtent l="0" t="0" r="635" b="11430"/>
                <wp:wrapNone/>
                <wp:docPr id="6" name="文本框 6"/>
                <wp:cNvGraphicFramePr/>
                <a:graphic xmlns:a="http://schemas.openxmlformats.org/drawingml/2006/main">
                  <a:graphicData uri="http://schemas.microsoft.com/office/word/2010/wordprocessingShape">
                    <wps:wsp>
                      <wps:cNvSpPr txBox="1"/>
                      <wps:spPr>
                        <a:xfrm>
                          <a:off x="1156335" y="1458595"/>
                          <a:ext cx="5828665" cy="97917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65AA85C3">
                            <w:pPr>
                              <w:keepNext w:val="0"/>
                              <w:keepLines w:val="0"/>
                              <w:pageBreakBefore w:val="0"/>
                              <w:widowControl w:val="0"/>
                              <w:kinsoku/>
                              <w:wordWrap/>
                              <w:overflowPunct/>
                              <w:topLinePunct w:val="0"/>
                              <w:bidi w:val="0"/>
                              <w:adjustRightInd/>
                              <w:snapToGrid/>
                              <w:spacing w:line="300" w:lineRule="exact"/>
                              <w:textAlignment w:val="auto"/>
                              <w:rPr>
                                <w:rFonts w:hint="default" w:ascii="黑体" w:hAnsi="黑体" w:eastAsia="黑体" w:cs="黑体"/>
                                <w:sz w:val="21"/>
                                <w:szCs w:val="21"/>
                                <w:lang w:val="en-US" w:eastAsia="zh-CN"/>
                              </w:rPr>
                            </w:pPr>
                            <w:r>
                              <w:rPr>
                                <w:rFonts w:hint="eastAsia" w:ascii="黑体" w:hAnsi="黑体" w:eastAsia="黑体" w:cs="黑体"/>
                                <w:sz w:val="21"/>
                                <w:szCs w:val="21"/>
                                <w:lang w:val="en-US" w:eastAsia="zh-CN"/>
                              </w:rPr>
                              <w:t xml:space="preserve">ICS 67.020                                                             </w:t>
                            </w:r>
                          </w:p>
                          <w:p w14:paraId="051AA207">
                            <w:pPr>
                              <w:keepNext w:val="0"/>
                              <w:keepLines w:val="0"/>
                              <w:pageBreakBefore w:val="0"/>
                              <w:widowControl w:val="0"/>
                              <w:kinsoku/>
                              <w:wordWrap/>
                              <w:overflowPunct/>
                              <w:topLinePunct w:val="0"/>
                              <w:bidi w:val="0"/>
                              <w:adjustRightInd/>
                              <w:snapToGrid/>
                              <w:spacing w:line="300" w:lineRule="exact"/>
                              <w:ind w:left="5880" w:hanging="5880" w:hangingChars="2800"/>
                              <w:jc w:val="left"/>
                              <w:textAlignment w:val="auto"/>
                              <w:rPr>
                                <w:rFonts w:hint="eastAsia"/>
                                <w:lang w:val="en-US" w:eastAsia="zh-CN"/>
                              </w:rPr>
                            </w:pPr>
                            <w:r>
                              <w:rPr>
                                <w:rFonts w:hint="eastAsia" w:ascii="黑体" w:hAnsi="黑体" w:eastAsia="黑体" w:cs="黑体"/>
                                <w:sz w:val="21"/>
                                <w:szCs w:val="21"/>
                                <w:lang w:val="en-US" w:eastAsia="zh-CN"/>
                              </w:rPr>
                              <w:t xml:space="preserve">CCS C53 </w:t>
                            </w:r>
                            <w:r>
                              <w:rPr>
                                <w:rFonts w:hint="eastAsia"/>
                                <w:lang w:val="en-US" w:eastAsia="zh-CN"/>
                              </w:rPr>
                              <w:t xml:space="preserve">                                               </w:t>
                            </w:r>
                          </w:p>
                          <w:p w14:paraId="6698F660">
                            <w:pPr>
                              <w:keepNext w:val="0"/>
                              <w:keepLines w:val="0"/>
                              <w:pageBreakBefore w:val="0"/>
                              <w:widowControl w:val="0"/>
                              <w:kinsoku/>
                              <w:wordWrap/>
                              <w:overflowPunct/>
                              <w:topLinePunct w:val="0"/>
                              <w:bidi w:val="0"/>
                              <w:adjustRightInd/>
                              <w:snapToGrid/>
                              <w:spacing w:line="240" w:lineRule="auto"/>
                              <w:jc w:val="center"/>
                              <w:textAlignment w:val="auto"/>
                              <w:rPr>
                                <w:rFonts w:hint="eastAsia" w:ascii="黑体" w:hAnsi="黑体" w:eastAsia="黑体" w:cs="黑体"/>
                                <w:lang w:val="en-US" w:eastAsia="zh-CN"/>
                              </w:rPr>
                            </w:pPr>
                            <w:r>
                              <w:rPr>
                                <w:rFonts w:hint="eastAsia" w:ascii="黑体" w:hAnsi="黑体" w:eastAsia="黑体" w:cs="黑体"/>
                                <w:sz w:val="72"/>
                                <w:szCs w:val="72"/>
                                <w:lang w:val="en-US" w:eastAsia="zh-CN"/>
                              </w:rPr>
                              <w:t xml:space="preserve">           T/JXIFST</w:t>
                            </w:r>
                            <w:r>
                              <w:rPr>
                                <w:rFonts w:hint="eastAsia" w:ascii="黑体" w:hAnsi="黑体" w:eastAsia="黑体" w:cs="黑体"/>
                                <w:sz w:val="21"/>
                                <w:szCs w:val="21"/>
                                <w:lang w:val="en-US" w:eastAsia="zh-CN"/>
                              </w:rPr>
                              <w:t xml:space="preserve">  </w:t>
                            </w:r>
                            <w:r>
                              <w:rPr>
                                <w:rFonts w:hint="eastAsia" w:ascii="黑体" w:hAnsi="黑体" w:eastAsia="黑体" w:cs="黑体"/>
                                <w:sz w:val="72"/>
                                <w:szCs w:val="72"/>
                                <w:lang w:val="en-US" w:eastAsia="zh-CN"/>
                              </w:rPr>
                              <w:t xml:space="preserve">    </w:t>
                            </w:r>
                          </w:p>
                          <w:p w14:paraId="50898672">
                            <w:pPr>
                              <w:keepNext w:val="0"/>
                              <w:keepLines w:val="0"/>
                              <w:pageBreakBefore w:val="0"/>
                              <w:widowControl w:val="0"/>
                              <w:kinsoku/>
                              <w:wordWrap/>
                              <w:overflowPunct/>
                              <w:topLinePunct w:val="0"/>
                              <w:bidi w:val="0"/>
                              <w:adjustRightInd/>
                              <w:snapToGrid/>
                              <w:spacing w:line="400" w:lineRule="exact"/>
                              <w:ind w:firstLine="2940" w:firstLineChars="1400"/>
                              <w:jc w:val="right"/>
                              <w:textAlignment w:val="auto"/>
                              <w:rPr>
                                <w:rFonts w:hint="default"/>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2pt;margin-top:-11.6pt;height:77.1pt;width:458.95pt;z-index:251659264;mso-width-relative:page;mso-height-relative:page;" fillcolor="#FFFFFF [3201]" filled="t" stroked="f" coordsize="21600,21600" o:gfxdata="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JsK6+PU&#10;AAAACQEAAA8AAAAAAAAAAQAgAAAAIgAAAGRycy9kb3ducmV2LnhtbFBLAQIUABQAAAAIAIdO4kDi&#10;m9PcXQIAAJsEAAAOAAAAAAAAAAEAIAAAACMBAABkcnMvZTJvRG9jLnhtbFBLBQYAAAAABgAGAFkB&#10;AADyBQAAAAA=&#10;">
                <v:fill on="t" focussize="0,0"/>
                <v:stroke on="f" weight="0.5pt"/>
                <v:imagedata o:title=""/>
                <o:lock v:ext="edit" aspectratio="f"/>
                <v:textbox>
                  <w:txbxContent>
                    <w:p w14:paraId="65AA85C3">
                      <w:pPr>
                        <w:keepNext w:val="0"/>
                        <w:keepLines w:val="0"/>
                        <w:pageBreakBefore w:val="0"/>
                        <w:widowControl w:val="0"/>
                        <w:kinsoku/>
                        <w:wordWrap/>
                        <w:overflowPunct/>
                        <w:topLinePunct w:val="0"/>
                        <w:bidi w:val="0"/>
                        <w:adjustRightInd/>
                        <w:snapToGrid/>
                        <w:spacing w:line="300" w:lineRule="exact"/>
                        <w:textAlignment w:val="auto"/>
                        <w:rPr>
                          <w:rFonts w:hint="default" w:ascii="黑体" w:hAnsi="黑体" w:eastAsia="黑体" w:cs="黑体"/>
                          <w:sz w:val="21"/>
                          <w:szCs w:val="21"/>
                          <w:lang w:val="en-US" w:eastAsia="zh-CN"/>
                        </w:rPr>
                      </w:pPr>
                      <w:r>
                        <w:rPr>
                          <w:rFonts w:hint="eastAsia" w:ascii="黑体" w:hAnsi="黑体" w:eastAsia="黑体" w:cs="黑体"/>
                          <w:sz w:val="21"/>
                          <w:szCs w:val="21"/>
                          <w:lang w:val="en-US" w:eastAsia="zh-CN"/>
                        </w:rPr>
                        <w:t xml:space="preserve">ICS 67.020                                                             </w:t>
                      </w:r>
                    </w:p>
                    <w:p w14:paraId="051AA207">
                      <w:pPr>
                        <w:keepNext w:val="0"/>
                        <w:keepLines w:val="0"/>
                        <w:pageBreakBefore w:val="0"/>
                        <w:widowControl w:val="0"/>
                        <w:kinsoku/>
                        <w:wordWrap/>
                        <w:overflowPunct/>
                        <w:topLinePunct w:val="0"/>
                        <w:bidi w:val="0"/>
                        <w:adjustRightInd/>
                        <w:snapToGrid/>
                        <w:spacing w:line="300" w:lineRule="exact"/>
                        <w:ind w:left="5880" w:hanging="5880" w:hangingChars="2800"/>
                        <w:jc w:val="left"/>
                        <w:textAlignment w:val="auto"/>
                        <w:rPr>
                          <w:rFonts w:hint="eastAsia"/>
                          <w:lang w:val="en-US" w:eastAsia="zh-CN"/>
                        </w:rPr>
                      </w:pPr>
                      <w:r>
                        <w:rPr>
                          <w:rFonts w:hint="eastAsia" w:ascii="黑体" w:hAnsi="黑体" w:eastAsia="黑体" w:cs="黑体"/>
                          <w:sz w:val="21"/>
                          <w:szCs w:val="21"/>
                          <w:lang w:val="en-US" w:eastAsia="zh-CN"/>
                        </w:rPr>
                        <w:t xml:space="preserve">CCS C53 </w:t>
                      </w:r>
                      <w:r>
                        <w:rPr>
                          <w:rFonts w:hint="eastAsia"/>
                          <w:lang w:val="en-US" w:eastAsia="zh-CN"/>
                        </w:rPr>
                        <w:t xml:space="preserve">                                               </w:t>
                      </w:r>
                    </w:p>
                    <w:p w14:paraId="6698F660">
                      <w:pPr>
                        <w:keepNext w:val="0"/>
                        <w:keepLines w:val="0"/>
                        <w:pageBreakBefore w:val="0"/>
                        <w:widowControl w:val="0"/>
                        <w:kinsoku/>
                        <w:wordWrap/>
                        <w:overflowPunct/>
                        <w:topLinePunct w:val="0"/>
                        <w:bidi w:val="0"/>
                        <w:adjustRightInd/>
                        <w:snapToGrid/>
                        <w:spacing w:line="240" w:lineRule="auto"/>
                        <w:jc w:val="center"/>
                        <w:textAlignment w:val="auto"/>
                        <w:rPr>
                          <w:rFonts w:hint="eastAsia" w:ascii="黑体" w:hAnsi="黑体" w:eastAsia="黑体" w:cs="黑体"/>
                          <w:lang w:val="en-US" w:eastAsia="zh-CN"/>
                        </w:rPr>
                      </w:pPr>
                      <w:r>
                        <w:rPr>
                          <w:rFonts w:hint="eastAsia" w:ascii="黑体" w:hAnsi="黑体" w:eastAsia="黑体" w:cs="黑体"/>
                          <w:sz w:val="72"/>
                          <w:szCs w:val="72"/>
                          <w:lang w:val="en-US" w:eastAsia="zh-CN"/>
                        </w:rPr>
                        <w:t xml:space="preserve">           T/JXIFST</w:t>
                      </w:r>
                      <w:r>
                        <w:rPr>
                          <w:rFonts w:hint="eastAsia" w:ascii="黑体" w:hAnsi="黑体" w:eastAsia="黑体" w:cs="黑体"/>
                          <w:sz w:val="21"/>
                          <w:szCs w:val="21"/>
                          <w:lang w:val="en-US" w:eastAsia="zh-CN"/>
                        </w:rPr>
                        <w:t xml:space="preserve">  </w:t>
                      </w:r>
                      <w:r>
                        <w:rPr>
                          <w:rFonts w:hint="eastAsia" w:ascii="黑体" w:hAnsi="黑体" w:eastAsia="黑体" w:cs="黑体"/>
                          <w:sz w:val="72"/>
                          <w:szCs w:val="72"/>
                          <w:lang w:val="en-US" w:eastAsia="zh-CN"/>
                        </w:rPr>
                        <w:t xml:space="preserve">    </w:t>
                      </w:r>
                    </w:p>
                    <w:p w14:paraId="50898672">
                      <w:pPr>
                        <w:keepNext w:val="0"/>
                        <w:keepLines w:val="0"/>
                        <w:pageBreakBefore w:val="0"/>
                        <w:widowControl w:val="0"/>
                        <w:kinsoku/>
                        <w:wordWrap/>
                        <w:overflowPunct/>
                        <w:topLinePunct w:val="0"/>
                        <w:bidi w:val="0"/>
                        <w:adjustRightInd/>
                        <w:snapToGrid/>
                        <w:spacing w:line="400" w:lineRule="exact"/>
                        <w:ind w:firstLine="2940" w:firstLineChars="1400"/>
                        <w:jc w:val="right"/>
                        <w:textAlignment w:val="auto"/>
                        <w:rPr>
                          <w:rFonts w:hint="default"/>
                          <w:lang w:val="en-US" w:eastAsia="zh-CN"/>
                        </w:rPr>
                      </w:pPr>
                    </w:p>
                  </w:txbxContent>
                </v:textbox>
              </v:shape>
            </w:pict>
          </mc:Fallback>
        </mc:AlternateContent>
      </w:r>
    </w:p>
    <w:p w14:paraId="3C0CCB12">
      <w:pPr>
        <w:pStyle w:val="25"/>
        <w:bidi w:val="0"/>
        <w:rPr>
          <w:rFonts w:hint="eastAsia"/>
          <w:color w:val="000000" w:themeColor="text1"/>
          <w:spacing w:val="317"/>
          <w:lang w:val="en-US" w:eastAsia="zh-CN"/>
          <w14:textFill>
            <w14:solidFill>
              <w14:schemeClr w14:val="tx1"/>
            </w14:solidFill>
          </w14:textFill>
        </w:rPr>
        <w:sectPr>
          <w:pgSz w:w="11906" w:h="16838"/>
          <w:pgMar w:top="2410" w:right="1134" w:bottom="1134" w:left="1134" w:header="1418" w:footer="1134" w:gutter="284"/>
          <w:lnNumType w:countBy="0" w:restart="continuous"/>
          <w:pgNumType w:fmt="upperRoman" w:start="1"/>
          <w:cols w:space="425" w:num="1"/>
          <w:docGrid w:type="lines" w:linePitch="312" w:charSpace="0"/>
        </w:sectPr>
      </w:pPr>
    </w:p>
    <w:p w14:paraId="626B5E2C">
      <w:pPr>
        <w:pStyle w:val="25"/>
        <w:bidi w:val="0"/>
        <w:rPr>
          <w:rFonts w:hint="eastAsia"/>
          <w:color w:val="000000" w:themeColor="text1"/>
          <w:highlight w:val="none"/>
          <w:lang w:val="en-US" w:eastAsia="zh-CN"/>
          <w14:textFill>
            <w14:solidFill>
              <w14:schemeClr w14:val="tx1"/>
            </w14:solidFill>
          </w14:textFill>
        </w:rPr>
      </w:pPr>
      <w:r>
        <w:rPr>
          <w:rFonts w:hint="eastAsia"/>
          <w:color w:val="000000" w:themeColor="text1"/>
          <w:spacing w:val="317"/>
          <w:highlight w:val="none"/>
          <w:lang w:val="en-US" w:eastAsia="zh-CN"/>
          <w14:textFill>
            <w14:solidFill>
              <w14:schemeClr w14:val="tx1"/>
            </w14:solidFill>
          </w14:textFill>
        </w:rPr>
        <w:t>目</w:t>
      </w:r>
      <w:bookmarkStart w:id="10" w:name="BKML"/>
      <w:r>
        <w:rPr>
          <w:rFonts w:hint="eastAsia"/>
          <w:color w:val="000000" w:themeColor="text1"/>
          <w:highlight w:val="none"/>
          <w:lang w:val="en-US" w:eastAsia="zh-CN"/>
          <w14:textFill>
            <w14:solidFill>
              <w14:schemeClr w14:val="tx1"/>
            </w14:solidFill>
          </w14:textFill>
        </w:rPr>
        <w:t>次</w:t>
      </w:r>
      <w:bookmarkEnd w:id="10"/>
    </w:p>
    <w:p w14:paraId="690E42DE">
      <w:pPr>
        <w:pStyle w:val="5"/>
        <w:tabs>
          <w:tab w:val="right" w:leader="dot" w:pos="9354"/>
        </w:tabs>
        <w:ind w:left="0" w:leftChars="0" w:firstLine="0" w:firstLineChars="0"/>
        <w:rPr>
          <w:rFonts w:hint="eastAsia" w:ascii="宋体" w:hAnsi="宋体" w:eastAsia="宋体" w:cs="宋体"/>
          <w:color w:val="000000" w:themeColor="text1"/>
          <w:spacing w:val="0"/>
          <w:highlight w:val="none"/>
          <w14:textFill>
            <w14:solidFill>
              <w14:schemeClr w14:val="tx1"/>
            </w14:solidFill>
          </w14:textFill>
        </w:rPr>
      </w:pPr>
      <w:r>
        <w:rPr>
          <w:rFonts w:hint="eastAsia" w:ascii="宋体" w:hAnsi="宋体" w:eastAsia="宋体" w:cs="宋体"/>
          <w:color w:val="000000" w:themeColor="text1"/>
          <w:spacing w:val="0"/>
          <w:lang w:val="en-US" w:eastAsia="zh-CN"/>
          <w14:textFill>
            <w14:solidFill>
              <w14:schemeClr w14:val="tx1"/>
            </w14:solidFill>
          </w14:textFill>
        </w:rPr>
        <w:fldChar w:fldCharType="begin"/>
      </w:r>
      <w:r>
        <w:rPr>
          <w:rFonts w:hint="eastAsia" w:ascii="宋体" w:hAnsi="宋体" w:eastAsia="宋体" w:cs="宋体"/>
          <w:color w:val="000000" w:themeColor="text1"/>
          <w:spacing w:val="0"/>
          <w:lang w:val="en-US" w:eastAsia="zh-CN"/>
          <w14:textFill>
            <w14:solidFill>
              <w14:schemeClr w14:val="tx1"/>
            </w14:solidFill>
          </w14:textFill>
        </w:rPr>
        <w:instrText xml:space="preserve">TOC \t "标准文件_前言、引言标题,1,标准文件_章标题,1,标准文件_附录标识,1,标准文件_参考文献标题,1,标准文件_索引标题,1" \h</w:instrText>
      </w:r>
      <w:r>
        <w:rPr>
          <w:rFonts w:hint="eastAsia" w:ascii="宋体" w:hAnsi="宋体" w:eastAsia="宋体" w:cs="宋体"/>
          <w:color w:val="000000" w:themeColor="text1"/>
          <w:spacing w:val="0"/>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_Toc12183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前言</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hAnsi="宋体" w:eastAsia="宋体" w:cs="宋体"/>
          <w:color w:val="000000" w:themeColor="text1"/>
          <w:spacing w:val="0"/>
          <w:highlight w:val="none"/>
          <w:lang w:val="en-US" w:eastAsia="zh-CN"/>
          <w14:textFill>
            <w14:solidFill>
              <w14:schemeClr w14:val="tx1"/>
            </w14:solidFill>
          </w14:textFill>
        </w:rPr>
        <w:t>Ⅱ</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p>
    <w:p w14:paraId="6A3E41B7">
      <w:pPr>
        <w:pStyle w:val="5"/>
        <w:tabs>
          <w:tab w:val="right" w:leader="dot" w:pos="9354"/>
        </w:tabs>
        <w:ind w:left="0" w:leftChars="0" w:firstLine="0" w:firstLineChars="0"/>
        <w:rPr>
          <w:rFonts w:hint="eastAsia" w:ascii="宋体" w:hAnsi="宋体" w:eastAsia="宋体" w:cs="宋体"/>
          <w:color w:val="000000" w:themeColor="text1"/>
          <w:spacing w:val="0"/>
          <w:highlight w:val="none"/>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_Toc30698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1</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t xml:space="preserve"> 范围</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eastAsia="宋体" w:cs="宋体"/>
          <w:color w:val="000000" w:themeColor="text1"/>
          <w:spacing w:val="0"/>
          <w:highlight w:val="none"/>
          <w:lang w:val="en-US" w:eastAsia="zh-CN"/>
          <w14:textFill>
            <w14:solidFill>
              <w14:schemeClr w14:val="tx1"/>
            </w14:solidFill>
          </w14:textFill>
        </w:rPr>
        <w:t>1</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p>
    <w:p w14:paraId="078A8C7A">
      <w:pPr>
        <w:pStyle w:val="5"/>
        <w:tabs>
          <w:tab w:val="right" w:leader="dot" w:pos="9354"/>
        </w:tabs>
        <w:ind w:left="0" w:leftChars="0" w:firstLine="0" w:firstLineChars="0"/>
        <w:rPr>
          <w:rFonts w:hint="eastAsia" w:ascii="宋体" w:hAnsi="宋体" w:eastAsia="宋体" w:cs="宋体"/>
          <w:color w:val="000000" w:themeColor="text1"/>
          <w:spacing w:val="0"/>
          <w:highlight w:val="none"/>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_Toc5214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2</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t xml:space="preserve"> 规范性引用文件</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eastAsia="宋体" w:cs="宋体"/>
          <w:color w:val="000000" w:themeColor="text1"/>
          <w:spacing w:val="0"/>
          <w:highlight w:val="none"/>
          <w:lang w:val="en-US" w:eastAsia="zh-CN"/>
          <w14:textFill>
            <w14:solidFill>
              <w14:schemeClr w14:val="tx1"/>
            </w14:solidFill>
          </w14:textFill>
        </w:rPr>
        <w:t>1</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p>
    <w:p w14:paraId="18B7964F">
      <w:pPr>
        <w:pStyle w:val="5"/>
        <w:tabs>
          <w:tab w:val="right" w:leader="dot" w:pos="9354"/>
        </w:tabs>
        <w:ind w:left="0" w:leftChars="0" w:firstLine="0" w:firstLineChars="0"/>
        <w:rPr>
          <w:rFonts w:hint="eastAsia" w:ascii="宋体" w:hAnsi="宋体" w:eastAsia="宋体" w:cs="宋体"/>
          <w:color w:val="000000" w:themeColor="text1"/>
          <w:spacing w:val="0"/>
          <w:highlight w:val="none"/>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_Toc1129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3</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t xml:space="preserve"> 术语和定义</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eastAsia="宋体" w:cs="宋体"/>
          <w:color w:val="000000" w:themeColor="text1"/>
          <w:spacing w:val="0"/>
          <w:highlight w:val="none"/>
          <w:lang w:val="en-US" w:eastAsia="zh-CN"/>
          <w14:textFill>
            <w14:solidFill>
              <w14:schemeClr w14:val="tx1"/>
            </w14:solidFill>
          </w14:textFill>
        </w:rPr>
        <w:t>1</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p>
    <w:p w14:paraId="2008DB55">
      <w:pPr>
        <w:pStyle w:val="5"/>
        <w:tabs>
          <w:tab w:val="right" w:leader="dot" w:pos="9354"/>
        </w:tabs>
        <w:ind w:left="0" w:leftChars="0" w:firstLine="0" w:firstLineChars="0"/>
        <w:rPr>
          <w:rFonts w:hint="eastAsia" w:ascii="宋体" w:hAnsi="宋体" w:eastAsia="宋体" w:cs="宋体"/>
          <w:color w:val="000000" w:themeColor="text1"/>
          <w:spacing w:val="0"/>
          <w:highlight w:val="none"/>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_Toc13058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4</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t xml:space="preserve"> </w:t>
      </w:r>
      <w:r>
        <w:rPr>
          <w:rFonts w:hint="eastAsia" w:ascii="宋体" w:eastAsia="宋体" w:cs="宋体"/>
          <w:color w:val="000000" w:themeColor="text1"/>
          <w:spacing w:val="0"/>
          <w:highlight w:val="none"/>
          <w:lang w:val="en-US" w:eastAsia="zh-CN"/>
          <w14:textFill>
            <w14:solidFill>
              <w14:schemeClr w14:val="tx1"/>
            </w14:solidFill>
          </w14:textFill>
        </w:rPr>
        <w:t>产品</w:t>
      </w:r>
      <w:r>
        <w:rPr>
          <w:rFonts w:hint="eastAsia" w:ascii="宋体" w:hAnsi="宋体" w:eastAsia="宋体" w:cs="宋体"/>
          <w:color w:val="000000" w:themeColor="text1"/>
          <w:spacing w:val="0"/>
          <w:highlight w:val="none"/>
          <w:lang w:val="en-US" w:eastAsia="zh-CN"/>
          <w14:textFill>
            <w14:solidFill>
              <w14:schemeClr w14:val="tx1"/>
            </w14:solidFill>
          </w14:textFill>
        </w:rPr>
        <w:t>评价要求</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eastAsia="宋体" w:cs="宋体"/>
          <w:color w:val="000000" w:themeColor="text1"/>
          <w:spacing w:val="0"/>
          <w:highlight w:val="none"/>
          <w:lang w:val="en-US" w:eastAsia="zh-CN"/>
          <w14:textFill>
            <w14:solidFill>
              <w14:schemeClr w14:val="tx1"/>
            </w14:solidFill>
          </w14:textFill>
        </w:rPr>
        <w:t>2</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p>
    <w:p w14:paraId="2A230715">
      <w:pPr>
        <w:pStyle w:val="5"/>
        <w:tabs>
          <w:tab w:val="right" w:leader="dot" w:pos="9354"/>
        </w:tabs>
        <w:ind w:left="0" w:leftChars="0" w:firstLine="0" w:firstLineChars="0"/>
        <w:rPr>
          <w:rFonts w:hint="default" w:ascii="宋体" w:hAnsi="宋体" w:eastAsia="宋体" w:cs="宋体"/>
          <w:color w:val="000000" w:themeColor="text1"/>
          <w:spacing w:val="0"/>
          <w:highlight w:val="none"/>
          <w:lang w:val="en-US"/>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_Toc32311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5</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t xml:space="preserve"> </w:t>
      </w:r>
      <w:r>
        <w:rPr>
          <w:rFonts w:hint="eastAsia" w:ascii="宋体" w:eastAsia="宋体" w:cs="宋体"/>
          <w:color w:val="000000" w:themeColor="text1"/>
          <w:spacing w:val="0"/>
          <w:highlight w:val="none"/>
          <w:lang w:val="en-US" w:eastAsia="zh-CN"/>
          <w14:textFill>
            <w14:solidFill>
              <w14:schemeClr w14:val="tx1"/>
            </w14:solidFill>
          </w14:textFill>
        </w:rPr>
        <w:t>安全要求</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r>
        <w:rPr>
          <w:rFonts w:hint="eastAsia" w:ascii="宋体" w:eastAsia="宋体" w:cs="宋体"/>
          <w:color w:val="000000" w:themeColor="text1"/>
          <w:spacing w:val="0"/>
          <w:highlight w:val="none"/>
          <w:lang w:val="en-US" w:eastAsia="zh-CN"/>
          <w14:textFill>
            <w14:solidFill>
              <w14:schemeClr w14:val="tx1"/>
            </w14:solidFill>
          </w14:textFill>
        </w:rPr>
        <w:t>2</w:t>
      </w:r>
    </w:p>
    <w:p w14:paraId="21F1FD35">
      <w:pPr>
        <w:pStyle w:val="5"/>
        <w:tabs>
          <w:tab w:val="right" w:leader="dot" w:pos="9354"/>
        </w:tabs>
        <w:ind w:left="0" w:leftChars="0" w:firstLine="0" w:firstLineChars="0"/>
        <w:rPr>
          <w:rFonts w:hint="eastAsia" w:ascii="宋体" w:hAnsi="宋体" w:eastAsia="宋体" w:cs="宋体"/>
          <w:color w:val="000000" w:themeColor="text1"/>
          <w:spacing w:val="0"/>
          <w:highlight w:val="none"/>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_Toc24075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6</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t xml:space="preserve"> </w:t>
      </w:r>
      <w:r>
        <w:rPr>
          <w:rFonts w:hint="eastAsia" w:ascii="宋体" w:eastAsia="宋体" w:cs="宋体"/>
          <w:color w:val="000000" w:themeColor="text1"/>
          <w:spacing w:val="0"/>
          <w:highlight w:val="none"/>
          <w:lang w:val="en-US" w:eastAsia="zh-CN"/>
          <w14:textFill>
            <w14:solidFill>
              <w14:schemeClr w14:val="tx1"/>
            </w14:solidFill>
          </w14:textFill>
        </w:rPr>
        <w:t>工作条件要求</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eastAsia="宋体" w:cs="宋体"/>
          <w:color w:val="000000" w:themeColor="text1"/>
          <w:spacing w:val="0"/>
          <w:highlight w:val="none"/>
          <w:lang w:val="en-US" w:eastAsia="zh-CN"/>
          <w14:textFill>
            <w14:solidFill>
              <w14:schemeClr w14:val="tx1"/>
            </w14:solidFill>
          </w14:textFill>
        </w:rPr>
        <w:t>3</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p>
    <w:p w14:paraId="4876C227">
      <w:pPr>
        <w:pStyle w:val="5"/>
        <w:tabs>
          <w:tab w:val="right" w:leader="dot" w:pos="9354"/>
        </w:tabs>
        <w:ind w:left="0" w:leftChars="0" w:firstLine="0" w:firstLineChars="0"/>
        <w:rPr>
          <w:rFonts w:hint="eastAsia" w:ascii="宋体" w:hAnsi="宋体" w:eastAsia="宋体" w:cs="宋体"/>
          <w:color w:val="000000" w:themeColor="text1"/>
          <w:spacing w:val="0"/>
          <w:highlight w:val="none"/>
          <w:lang w:val="en-US" w:eastAsia="zh-CN"/>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_Toc26340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7</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t xml:space="preserve"> 评价</w:t>
      </w:r>
      <w:r>
        <w:rPr>
          <w:rFonts w:hint="eastAsia" w:ascii="宋体" w:eastAsia="宋体" w:cs="宋体"/>
          <w:color w:val="000000" w:themeColor="text1"/>
          <w:spacing w:val="0"/>
          <w:highlight w:val="none"/>
          <w:lang w:val="en-US" w:eastAsia="zh-CN"/>
          <w14:textFill>
            <w14:solidFill>
              <w14:schemeClr w14:val="tx1"/>
            </w14:solidFill>
          </w14:textFill>
        </w:rPr>
        <w:t>指标</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eastAsia="宋体" w:cs="宋体"/>
          <w:color w:val="000000" w:themeColor="text1"/>
          <w:spacing w:val="0"/>
          <w:highlight w:val="none"/>
          <w:lang w:val="en-US" w:eastAsia="zh-CN"/>
          <w14:textFill>
            <w14:solidFill>
              <w14:schemeClr w14:val="tx1"/>
            </w14:solidFill>
          </w14:textFill>
        </w:rPr>
        <w:t>3</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p>
    <w:p w14:paraId="5BFB0FE2">
      <w:pPr>
        <w:pStyle w:val="5"/>
        <w:tabs>
          <w:tab w:val="right" w:leader="dot" w:pos="9354"/>
        </w:tabs>
        <w:ind w:left="0" w:leftChars="0" w:firstLine="0" w:firstLineChars="0"/>
        <w:rPr>
          <w:rFonts w:hint="default" w:ascii="宋体" w:hAnsi="宋体" w:eastAsia="宋体" w:cs="宋体"/>
          <w:color w:val="000000" w:themeColor="text1"/>
          <w:spacing w:val="0"/>
          <w:highlight w:val="none"/>
          <w:lang w:val="en-US"/>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_Toc19784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8</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t xml:space="preserve"> </w:t>
      </w:r>
      <w:r>
        <w:rPr>
          <w:rFonts w:hint="eastAsia" w:ascii="宋体" w:eastAsia="宋体" w:cs="宋体"/>
          <w:color w:val="000000" w:themeColor="text1"/>
          <w:spacing w:val="0"/>
          <w:highlight w:val="none"/>
          <w:lang w:val="en-US" w:eastAsia="zh-CN"/>
          <w14:textFill>
            <w14:solidFill>
              <w14:schemeClr w14:val="tx1"/>
            </w14:solidFill>
          </w14:textFill>
        </w:rPr>
        <w:t>评价步骤</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r>
        <w:rPr>
          <w:rFonts w:hint="eastAsia" w:ascii="宋体" w:eastAsia="宋体" w:cs="宋体"/>
          <w:color w:val="000000" w:themeColor="text1"/>
          <w:spacing w:val="0"/>
          <w:highlight w:val="none"/>
          <w:lang w:val="en-US" w:eastAsia="zh-CN"/>
          <w14:textFill>
            <w14:solidFill>
              <w14:schemeClr w14:val="tx1"/>
            </w14:solidFill>
          </w14:textFill>
        </w:rPr>
        <w:t>6</w:t>
      </w:r>
    </w:p>
    <w:p w14:paraId="38F70847">
      <w:pPr>
        <w:pStyle w:val="5"/>
        <w:tabs>
          <w:tab w:val="right" w:leader="dot" w:pos="9354"/>
        </w:tabs>
        <w:ind w:left="0" w:leftChars="0" w:firstLine="0" w:firstLineChars="0"/>
        <w:rPr>
          <w:rFonts w:hint="eastAsia" w:ascii="宋体" w:hAnsi="宋体" w:eastAsia="宋体" w:cs="宋体"/>
          <w:color w:val="000000" w:themeColor="text1"/>
          <w:spacing w:val="0"/>
          <w:highlight w:val="none"/>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_Toc19784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eastAsia="宋体" w:cs="宋体"/>
          <w:color w:val="000000" w:themeColor="text1"/>
          <w:spacing w:val="0"/>
          <w:highlight w:val="none"/>
          <w:lang w:val="en-US" w:eastAsia="zh-CN"/>
          <w14:textFill>
            <w14:solidFill>
              <w14:schemeClr w14:val="tx1"/>
            </w14:solidFill>
          </w14:textFill>
        </w:rPr>
        <w:t>9</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t xml:space="preserve"> </w:t>
      </w:r>
      <w:r>
        <w:rPr>
          <w:rFonts w:hint="eastAsia" w:ascii="宋体" w:eastAsia="宋体" w:cs="宋体"/>
          <w:color w:val="000000" w:themeColor="text1"/>
          <w:spacing w:val="0"/>
          <w:highlight w:val="none"/>
          <w:lang w:val="en-US" w:eastAsia="zh-CN"/>
          <w14:textFill>
            <w14:solidFill>
              <w14:schemeClr w14:val="tx1"/>
            </w14:solidFill>
          </w14:textFill>
        </w:rPr>
        <w:t>评价</w:t>
      </w:r>
      <w:r>
        <w:rPr>
          <w:rFonts w:hint="eastAsia" w:ascii="宋体" w:hAnsi="宋体" w:eastAsia="宋体" w:cs="宋体"/>
          <w:color w:val="000000" w:themeColor="text1"/>
          <w:spacing w:val="0"/>
          <w:highlight w:val="none"/>
          <w:lang w:val="en-US" w:eastAsia="zh-CN"/>
          <w14:textFill>
            <w14:solidFill>
              <w14:schemeClr w14:val="tx1"/>
            </w14:solidFill>
          </w14:textFill>
        </w:rPr>
        <w:t>结果</w:t>
      </w:r>
      <w:r>
        <w:rPr>
          <w:rFonts w:hint="eastAsia" w:ascii="宋体" w:eastAsia="宋体" w:cs="宋体"/>
          <w:color w:val="000000" w:themeColor="text1"/>
          <w:spacing w:val="0"/>
          <w:highlight w:val="none"/>
          <w:lang w:val="en-US" w:eastAsia="zh-CN"/>
          <w14:textFill>
            <w14:solidFill>
              <w14:schemeClr w14:val="tx1"/>
            </w14:solidFill>
          </w14:textFill>
        </w:rPr>
        <w:t>及报告出具</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eastAsia="宋体" w:cs="宋体"/>
          <w:color w:val="000000" w:themeColor="text1"/>
          <w:spacing w:val="0"/>
          <w:highlight w:val="none"/>
          <w:lang w:val="en-US" w:eastAsia="zh-CN"/>
          <w14:textFill>
            <w14:solidFill>
              <w14:schemeClr w14:val="tx1"/>
            </w14:solidFill>
          </w14:textFill>
        </w:rPr>
        <w:t>7</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p>
    <w:p w14:paraId="1416C140">
      <w:pPr>
        <w:pStyle w:val="5"/>
        <w:tabs>
          <w:tab w:val="right" w:leader="dot" w:pos="9354"/>
        </w:tabs>
        <w:ind w:left="0" w:leftChars="0" w:firstLine="0" w:firstLineChars="0"/>
        <w:rPr>
          <w:rFonts w:hint="eastAsia" w:ascii="宋体" w:hAnsi="宋体" w:eastAsia="宋体" w:cs="宋体"/>
          <w:color w:val="000000" w:themeColor="text1"/>
          <w:spacing w:val="0"/>
          <w:highlight w:val="none"/>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_Toc11813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val="en-US" w:eastAsia="zh-CN"/>
          <w14:textFill>
            <w14:solidFill>
              <w14:schemeClr w14:val="tx1"/>
            </w14:solidFill>
          </w14:textFill>
        </w:rPr>
        <w:t>附录A（资料性）</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r>
        <w:rPr>
          <w:rFonts w:hint="eastAsia" w:ascii="宋体" w:eastAsia="宋体" w:cs="宋体"/>
          <w:color w:val="000000" w:themeColor="text1"/>
          <w:spacing w:val="0"/>
          <w:highlight w:val="none"/>
          <w:lang w:val="en-US" w:eastAsia="zh-CN"/>
          <w14:textFill>
            <w14:solidFill>
              <w14:schemeClr w14:val="tx1"/>
            </w14:solidFill>
          </w14:textFill>
        </w:rPr>
        <w:t>检出限试验方法范例</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_Toc4957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eastAsia="宋体" w:cs="宋体"/>
          <w:color w:val="000000" w:themeColor="text1"/>
          <w:spacing w:val="0"/>
          <w:highlight w:val="none"/>
          <w:lang w:val="en-US" w:eastAsia="zh-CN"/>
          <w14:textFill>
            <w14:solidFill>
              <w14:schemeClr w14:val="tx1"/>
            </w14:solidFill>
          </w14:textFill>
        </w:rPr>
        <w:t>8</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p>
    <w:p w14:paraId="035D32EC">
      <w:pPr>
        <w:pStyle w:val="5"/>
        <w:tabs>
          <w:tab w:val="right" w:leader="dot" w:pos="9354"/>
        </w:tabs>
        <w:ind w:left="0" w:leftChars="0" w:firstLine="0" w:firstLineChars="0"/>
        <w:rPr>
          <w:rFonts w:hint="default" w:ascii="宋体" w:hAnsi="宋体" w:eastAsia="宋体" w:cs="宋体"/>
          <w:color w:val="000000" w:themeColor="text1"/>
          <w:spacing w:val="0"/>
          <w:highlight w:val="none"/>
          <w:lang w:val="en-US"/>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_Toc1786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14:textFill>
            <w14:solidFill>
              <w14:schemeClr w14:val="tx1"/>
            </w14:solidFill>
          </w14:textFill>
        </w:rPr>
        <w:t>附录B</w:t>
      </w:r>
      <w:r>
        <w:rPr>
          <w:rFonts w:hint="eastAsia" w:ascii="宋体" w:hAnsi="宋体" w:eastAsia="宋体" w:cs="宋体"/>
          <w:color w:val="000000" w:themeColor="text1"/>
          <w:spacing w:val="0"/>
          <w:highlight w:val="none"/>
          <w:lang w:eastAsia="zh-CN"/>
          <w14:textFill>
            <w14:solidFill>
              <w14:schemeClr w14:val="tx1"/>
            </w14:solidFill>
          </w14:textFill>
        </w:rPr>
        <w:t>（资料性）</w:t>
      </w:r>
      <w:r>
        <w:rPr>
          <w:rFonts w:hint="eastAsia" w:cs="宋体"/>
          <w:color w:val="000000" w:themeColor="text1"/>
          <w:spacing w:val="0"/>
          <w:highlight w:val="none"/>
          <w:lang w:val="en-US" w:eastAsia="zh-CN"/>
          <w14:textFill>
            <w14:solidFill>
              <w14:schemeClr w14:val="tx1"/>
            </w14:solidFill>
          </w14:textFill>
        </w:rPr>
        <w:t xml:space="preserve"> </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r>
        <w:rPr>
          <w:rFonts w:hint="eastAsia" w:ascii="宋体" w:eastAsia="宋体" w:cs="宋体"/>
          <w:color w:val="000000" w:themeColor="text1"/>
          <w:spacing w:val="0"/>
          <w:highlight w:val="none"/>
          <w:lang w:val="en-US" w:eastAsia="zh-CN"/>
          <w14:textFill>
            <w14:solidFill>
              <w14:schemeClr w14:val="tx1"/>
            </w14:solidFill>
          </w14:textFill>
        </w:rPr>
        <w:t>评价报告参考格式</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_Toc32455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r>
        <w:rPr>
          <w:rFonts w:hint="eastAsia" w:ascii="宋体" w:eastAsia="宋体" w:cs="宋体"/>
          <w:color w:val="000000" w:themeColor="text1"/>
          <w:spacing w:val="0"/>
          <w:highlight w:val="none"/>
          <w:lang w:val="en-US" w:eastAsia="zh-CN"/>
          <w14:textFill>
            <w14:solidFill>
              <w14:schemeClr w14:val="tx1"/>
            </w14:solidFill>
          </w14:textFill>
        </w:rPr>
        <w:t>9</w:t>
      </w:r>
    </w:p>
    <w:p w14:paraId="0FADC374">
      <w:pPr>
        <w:pStyle w:val="5"/>
        <w:tabs>
          <w:tab w:val="right" w:leader="dot" w:pos="9354"/>
        </w:tabs>
        <w:ind w:left="0" w:leftChars="0" w:firstLine="0" w:firstLineChars="0"/>
        <w:rPr>
          <w:rFonts w:hint="default" w:ascii="宋体" w:hAnsi="宋体" w:eastAsia="宋体" w:cs="宋体"/>
          <w:color w:val="000000" w:themeColor="text1"/>
          <w:spacing w:val="0"/>
          <w:lang w:val="en-US"/>
          <w14:textFill>
            <w14:solidFill>
              <w14:schemeClr w14:val="tx1"/>
            </w14:solidFill>
          </w14:textFill>
        </w:rPr>
      </w:pP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begin"/>
      </w:r>
      <w:r>
        <w:rPr>
          <w:rFonts w:hint="eastAsia" w:ascii="宋体" w:hAnsi="宋体" w:eastAsia="宋体" w:cs="宋体"/>
          <w:color w:val="000000" w:themeColor="text1"/>
          <w:spacing w:val="0"/>
          <w:highlight w:val="none"/>
          <w:lang w:val="en-US" w:eastAsia="zh-CN"/>
          <w14:textFill>
            <w14:solidFill>
              <w14:schemeClr w14:val="tx1"/>
            </w14:solidFill>
          </w14:textFill>
        </w:rPr>
        <w:instrText xml:space="preserve"> HYPERLINK \l _Toc10791 </w:instrTex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separate"/>
      </w:r>
      <w:r>
        <w:rPr>
          <w:rFonts w:hint="eastAsia" w:ascii="宋体" w:hAnsi="宋体" w:eastAsia="宋体" w:cs="宋体"/>
          <w:color w:val="000000" w:themeColor="text1"/>
          <w:spacing w:val="0"/>
          <w:highlight w:val="none"/>
          <w:lang w:eastAsia="zh-CN"/>
          <w14:textFill>
            <w14:solidFill>
              <w14:schemeClr w14:val="tx1"/>
            </w14:solidFill>
          </w14:textFill>
        </w:rPr>
        <w:t>参考文献</w:t>
      </w:r>
      <w:r>
        <w:rPr>
          <w:rFonts w:hint="eastAsia" w:ascii="宋体" w:hAnsi="宋体" w:eastAsia="宋体" w:cs="宋体"/>
          <w:color w:val="000000" w:themeColor="text1"/>
          <w:spacing w:val="0"/>
          <w:highlight w:val="none"/>
          <w14:textFill>
            <w14:solidFill>
              <w14:schemeClr w14:val="tx1"/>
            </w14:solidFill>
          </w14:textFill>
        </w:rPr>
        <w:tab/>
      </w:r>
      <w:r>
        <w:rPr>
          <w:rFonts w:hint="eastAsia" w:ascii="宋体" w:eastAsia="宋体" w:cs="宋体"/>
          <w:color w:val="000000" w:themeColor="text1"/>
          <w:spacing w:val="0"/>
          <w:highlight w:val="none"/>
          <w:lang w:val="en-US" w:eastAsia="zh-CN"/>
          <w14:textFill>
            <w14:solidFill>
              <w14:schemeClr w14:val="tx1"/>
            </w14:solidFill>
          </w14:textFill>
        </w:rPr>
        <w:t>1</w:t>
      </w:r>
      <w:r>
        <w:rPr>
          <w:rFonts w:hint="eastAsia" w:ascii="宋体" w:hAnsi="宋体" w:eastAsia="宋体" w:cs="宋体"/>
          <w:color w:val="000000" w:themeColor="text1"/>
          <w:spacing w:val="0"/>
          <w:highlight w:val="none"/>
          <w:lang w:val="en-US" w:eastAsia="zh-CN"/>
          <w14:textFill>
            <w14:solidFill>
              <w14:schemeClr w14:val="tx1"/>
            </w14:solidFill>
          </w14:textFill>
        </w:rPr>
        <w:fldChar w:fldCharType="end"/>
      </w:r>
      <w:r>
        <w:rPr>
          <w:rFonts w:hint="eastAsia" w:ascii="宋体" w:eastAsia="宋体" w:cs="宋体"/>
          <w:color w:val="000000" w:themeColor="text1"/>
          <w:spacing w:val="0"/>
          <w:lang w:val="en-US" w:eastAsia="zh-CN"/>
          <w14:textFill>
            <w14:solidFill>
              <w14:schemeClr w14:val="tx1"/>
            </w14:solidFill>
          </w14:textFill>
        </w:rPr>
        <w:t>0</w:t>
      </w:r>
    </w:p>
    <w:p w14:paraId="182D631F">
      <w:pPr>
        <w:bidi w:val="0"/>
        <w:ind w:left="0" w:leftChars="0" w:firstLine="0" w:firstLineChars="0"/>
        <w:rPr>
          <w:rFonts w:hint="eastAsia"/>
          <w:color w:val="000000" w:themeColor="text1"/>
          <w:lang w:val="en-US" w:eastAsia="zh-CN"/>
          <w14:textFill>
            <w14:solidFill>
              <w14:schemeClr w14:val="tx1"/>
            </w14:solidFill>
          </w14:textFill>
        </w:rPr>
      </w:pPr>
      <w:r>
        <w:rPr>
          <w:rFonts w:hint="eastAsia" w:ascii="宋体" w:hAnsi="宋体" w:eastAsia="宋体" w:cs="宋体"/>
          <w:color w:val="000000" w:themeColor="text1"/>
          <w:spacing w:val="0"/>
          <w:lang w:val="en-US" w:eastAsia="zh-CN"/>
          <w14:textFill>
            <w14:solidFill>
              <w14:schemeClr w14:val="tx1"/>
            </w14:solidFill>
          </w14:textFill>
        </w:rPr>
        <w:fldChar w:fldCharType="end"/>
      </w:r>
    </w:p>
    <w:p w14:paraId="6220C884">
      <w:pPr>
        <w:pStyle w:val="26"/>
        <w:bidi w:val="0"/>
        <w:rPr>
          <w:rFonts w:hint="eastAsia"/>
          <w:color w:val="000000" w:themeColor="text1"/>
          <w:lang w:val="en-US" w:eastAsia="zh-CN"/>
          <w14:textFill>
            <w14:solidFill>
              <w14:schemeClr w14:val="tx1"/>
            </w14:solidFill>
          </w14:textFill>
        </w:rPr>
        <w:sectPr>
          <w:footerReference r:id="rId3" w:type="default"/>
          <w:footerReference r:id="rId4" w:type="even"/>
          <w:pgSz w:w="11906" w:h="16838"/>
          <w:pgMar w:top="2410" w:right="1134" w:bottom="1134" w:left="1134" w:header="1418" w:footer="1134" w:gutter="284"/>
          <w:lnNumType w:countBy="0" w:restart="continuous"/>
          <w:pgNumType w:fmt="upperRoman" w:start="1"/>
          <w:cols w:space="425" w:num="1"/>
          <w:docGrid w:type="lines" w:linePitch="312" w:charSpace="0"/>
        </w:sectPr>
      </w:pPr>
      <w:bookmarkStart w:id="11" w:name="_Toc12183"/>
    </w:p>
    <w:p w14:paraId="733AC606">
      <w:pPr>
        <w:pStyle w:val="26"/>
        <w:bidi w:val="0"/>
        <w:rPr>
          <w:rFonts w:hint="eastAsia"/>
          <w:color w:val="000000" w:themeColor="text1"/>
          <w:lang w:val="en-US" w:eastAsia="zh-CN"/>
          <w14:textFill>
            <w14:solidFill>
              <w14:schemeClr w14:val="tx1"/>
            </w14:solidFill>
          </w14:textFill>
        </w:rPr>
      </w:pPr>
      <w:r>
        <w:rPr>
          <w:rFonts w:hint="eastAsia"/>
          <w:color w:val="000000" w:themeColor="text1"/>
          <w:spacing w:val="317"/>
          <w:lang w:val="en-US" w:eastAsia="zh-CN"/>
          <w14:textFill>
            <w14:solidFill>
              <w14:schemeClr w14:val="tx1"/>
            </w14:solidFill>
          </w14:textFill>
        </w:rPr>
        <w:t>前</w:t>
      </w:r>
      <w:bookmarkStart w:id="12" w:name="BKQY"/>
      <w:r>
        <w:rPr>
          <w:rFonts w:hint="eastAsia"/>
          <w:color w:val="000000" w:themeColor="text1"/>
          <w:lang w:val="en-US" w:eastAsia="zh-CN"/>
          <w14:textFill>
            <w14:solidFill>
              <w14:schemeClr w14:val="tx1"/>
            </w14:solidFill>
          </w14:textFill>
        </w:rPr>
        <w:t>言</w:t>
      </w:r>
      <w:bookmarkEnd w:id="0"/>
      <w:bookmarkEnd w:id="1"/>
      <w:bookmarkEnd w:id="2"/>
      <w:bookmarkEnd w:id="3"/>
      <w:bookmarkEnd w:id="4"/>
      <w:bookmarkEnd w:id="5"/>
      <w:bookmarkEnd w:id="6"/>
      <w:bookmarkEnd w:id="11"/>
    </w:p>
    <w:p w14:paraId="151E424B">
      <w:pPr>
        <w:pStyle w:val="23"/>
        <w:bidi w:val="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本文件按照GB/T 1.1—2020《标准化工作导则  第1部分：标准化文件的结构和起草规则》的规定起草。</w:t>
      </w:r>
    </w:p>
    <w:p w14:paraId="5C3D1585">
      <w:pPr>
        <w:pStyle w:val="23"/>
        <w:bidi w:val="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请注意本文件的某些内容可能涉及专利。本文件的发布机构不承担识别专利的责任。</w:t>
      </w:r>
    </w:p>
    <w:p w14:paraId="0E288477">
      <w:pPr>
        <w:pStyle w:val="23"/>
        <w:bidi w:val="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本文件由江西省食品科学技术学会提出并归口。</w:t>
      </w:r>
    </w:p>
    <w:p w14:paraId="10FBB8A3">
      <w:pPr>
        <w:pStyle w:val="23"/>
        <w:bidi w:val="0"/>
        <w:rPr>
          <w:rFonts w:hint="eastAsia"/>
          <w:color w:val="000000" w:themeColor="text1"/>
          <w:highlight w:val="none"/>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本文件起草单位：江西省检验检测认证总院食品检验检测研究院、中国质量检验检测科学研究院、厦门大学、江西省检验检测认证总院检测认</w:t>
      </w:r>
      <w:r>
        <w:rPr>
          <w:rFonts w:hint="eastAsia"/>
          <w:color w:val="000000" w:themeColor="text1"/>
          <w:highlight w:val="none"/>
          <w:lang w:val="en-US" w:eastAsia="zh-CN"/>
          <w14:textFill>
            <w14:solidFill>
              <w14:schemeClr w14:val="tx1"/>
            </w14:solidFill>
          </w14:textFill>
        </w:rPr>
        <w:t>证技术发展研究院、江西省检验检测认证总院、清华大学。</w:t>
      </w:r>
    </w:p>
    <w:p w14:paraId="5D3D7B54">
      <w:pPr>
        <w:pStyle w:val="23"/>
        <w:bidi w:val="0"/>
        <w:rPr>
          <w:rFonts w:hint="eastAsia"/>
          <w:color w:val="auto"/>
          <w:highlight w:val="none"/>
          <w:lang w:val="en-US" w:eastAsia="zh-CN"/>
        </w:rPr>
      </w:pPr>
      <w:r>
        <w:rPr>
          <w:rFonts w:hint="eastAsia"/>
          <w:color w:val="auto"/>
          <w:highlight w:val="none"/>
          <w:lang w:val="en-US" w:eastAsia="zh-CN"/>
        </w:rPr>
        <w:t>本文件主要起草人：张威、吴鑫、张凡、唐丽君、罗艳玲、曹珺、张莉莉、汪健健、张晨、卢珊、洪峰、陈宇阳、刘国坤、彭涛、王梓乐、邢志、黄秀、范博文、黄鑫、夏圣坤、熊思、郭丹、乐玲、杨翼滢、陈文青、江义国。</w:t>
      </w:r>
      <w:bookmarkEnd w:id="12"/>
    </w:p>
    <w:p w14:paraId="6CB9A62B">
      <w:pPr>
        <w:rPr>
          <w:rFonts w:hint="eastAsia"/>
          <w:color w:val="000000" w:themeColor="text1"/>
          <w:lang w:val="en-US" w:eastAsia="zh-CN"/>
          <w14:textFill>
            <w14:solidFill>
              <w14:schemeClr w14:val="tx1"/>
            </w14:solidFill>
          </w14:textFill>
        </w:rPr>
      </w:pPr>
    </w:p>
    <w:p w14:paraId="0A9FB659">
      <w:pPr>
        <w:rPr>
          <w:rFonts w:hint="eastAsia"/>
          <w:color w:val="000000" w:themeColor="text1"/>
          <w:lang w:val="en-US" w:eastAsia="zh-CN"/>
          <w14:textFill>
            <w14:solidFill>
              <w14:schemeClr w14:val="tx1"/>
            </w14:solidFill>
          </w14:textFill>
        </w:rPr>
      </w:pPr>
    </w:p>
    <w:p w14:paraId="1D707D1A">
      <w:pPr>
        <w:rPr>
          <w:rFonts w:hint="eastAsia"/>
          <w:color w:val="000000" w:themeColor="text1"/>
          <w:lang w:val="en-US" w:eastAsia="zh-CN"/>
          <w14:textFill>
            <w14:solidFill>
              <w14:schemeClr w14:val="tx1"/>
            </w14:solidFill>
          </w14:textFill>
        </w:rPr>
      </w:pPr>
    </w:p>
    <w:p w14:paraId="6F471F8E">
      <w:pPr>
        <w:rPr>
          <w:rFonts w:hint="eastAsia"/>
          <w:color w:val="000000" w:themeColor="text1"/>
          <w:lang w:val="en-US" w:eastAsia="zh-CN"/>
          <w14:textFill>
            <w14:solidFill>
              <w14:schemeClr w14:val="tx1"/>
            </w14:solidFill>
          </w14:textFill>
        </w:rPr>
      </w:pPr>
    </w:p>
    <w:p w14:paraId="72D7F233">
      <w:pPr>
        <w:rPr>
          <w:rFonts w:hint="eastAsia"/>
          <w:color w:val="000000" w:themeColor="text1"/>
          <w:lang w:val="en-US" w:eastAsia="zh-CN"/>
          <w14:textFill>
            <w14:solidFill>
              <w14:schemeClr w14:val="tx1"/>
            </w14:solidFill>
          </w14:textFill>
        </w:rPr>
      </w:pPr>
    </w:p>
    <w:p w14:paraId="569573FC">
      <w:pPr>
        <w:rPr>
          <w:rFonts w:hint="eastAsia"/>
          <w:color w:val="000000" w:themeColor="text1"/>
          <w:lang w:val="en-US" w:eastAsia="zh-CN"/>
          <w14:textFill>
            <w14:solidFill>
              <w14:schemeClr w14:val="tx1"/>
            </w14:solidFill>
          </w14:textFill>
        </w:rPr>
      </w:pPr>
    </w:p>
    <w:p w14:paraId="0C823217">
      <w:pPr>
        <w:rPr>
          <w:rFonts w:hint="eastAsia"/>
          <w:color w:val="000000" w:themeColor="text1"/>
          <w:lang w:val="en-US" w:eastAsia="zh-CN"/>
          <w14:textFill>
            <w14:solidFill>
              <w14:schemeClr w14:val="tx1"/>
            </w14:solidFill>
          </w14:textFill>
        </w:rPr>
        <w:sectPr>
          <w:headerReference r:id="rId5" w:type="default"/>
          <w:footerReference r:id="rId7" w:type="default"/>
          <w:headerReference r:id="rId6" w:type="even"/>
          <w:footerReference r:id="rId8" w:type="even"/>
          <w:pgSz w:w="11906" w:h="16838"/>
          <w:pgMar w:top="2410" w:right="1134" w:bottom="1134" w:left="1134" w:header="1418" w:footer="1134" w:gutter="284"/>
          <w:lnNumType w:countBy="0" w:restart="continuous"/>
          <w:pgNumType w:fmt="upperRoman"/>
          <w:cols w:space="425" w:num="1"/>
          <w:docGrid w:type="lines" w:linePitch="312" w:charSpace="0"/>
        </w:sectPr>
      </w:pPr>
    </w:p>
    <w:sdt>
      <w:sdtPr>
        <w:rPr>
          <w:rStyle w:val="28"/>
          <w:rFonts w:hint="eastAsia"/>
          <w:color w:val="000000" w:themeColor="text1"/>
          <w:lang w:val="en-US" w:eastAsia="zh-CN"/>
          <w14:textFill>
            <w14:solidFill>
              <w14:schemeClr w14:val="tx1"/>
            </w14:solidFill>
          </w14:textFill>
        </w:rPr>
        <w:tag w:val="StandardName"/>
        <w:id w:val="147468529"/>
        <w:lock w:val="sdtLocked"/>
        <w:placeholder>
          <w:docPart w:val="{ffaea25c-db20-4dc5-85dd-ab924e3468af}"/>
        </w:placeholder>
      </w:sdtPr>
      <w:sdtEndPr>
        <w:rPr>
          <w:rStyle w:val="28"/>
          <w:rFonts w:hint="eastAsia"/>
          <w:color w:val="000000" w:themeColor="text1"/>
          <w:lang w:val="en-US" w:eastAsia="zh-CN"/>
          <w14:textFill>
            <w14:solidFill>
              <w14:schemeClr w14:val="tx1"/>
            </w14:solidFill>
          </w14:textFill>
        </w:rPr>
      </w:sdtEndPr>
      <w:sdtContent>
        <w:p w14:paraId="197E3EBC">
          <w:pPr>
            <w:pStyle w:val="27"/>
            <w:bidi w:val="0"/>
            <w:rPr>
              <w:rStyle w:val="28"/>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便携式表面增强拉曼光谱仪技术评价指南</w:t>
          </w:r>
        </w:p>
      </w:sdtContent>
    </w:sdt>
    <w:p w14:paraId="699492EC">
      <w:pPr>
        <w:pStyle w:val="29"/>
        <w:bidi w:val="0"/>
        <w:rPr>
          <w:rStyle w:val="28"/>
          <w:rFonts w:hint="eastAsia"/>
          <w:color w:val="000000" w:themeColor="text1"/>
          <w:lang w:val="en-US" w:eastAsia="zh-CN"/>
          <w14:textFill>
            <w14:solidFill>
              <w14:schemeClr w14:val="tx1"/>
            </w14:solidFill>
          </w14:textFill>
        </w:rPr>
      </w:pPr>
      <w:bookmarkStart w:id="13" w:name="_Toc20071"/>
      <w:bookmarkStart w:id="14" w:name="_Toc13618"/>
      <w:bookmarkStart w:id="15" w:name="_Toc28918"/>
      <w:bookmarkStart w:id="16" w:name="_Toc26666"/>
      <w:bookmarkStart w:id="17" w:name="_Toc1953"/>
      <w:bookmarkStart w:id="18" w:name="_Toc19139"/>
      <w:bookmarkStart w:id="19" w:name="_Toc30698"/>
      <w:bookmarkStart w:id="20" w:name="_Toc1334"/>
      <w:r>
        <w:rPr>
          <w:rFonts w:hint="eastAsia"/>
          <w:color w:val="000000" w:themeColor="text1"/>
          <w:lang w:val="en-US" w:eastAsia="zh-CN"/>
          <w14:textFill>
            <w14:solidFill>
              <w14:schemeClr w14:val="tx1"/>
            </w14:solidFill>
          </w14:textFill>
        </w:rPr>
        <w:t>范围</w:t>
      </w:r>
      <w:bookmarkEnd w:id="13"/>
      <w:bookmarkEnd w:id="14"/>
      <w:bookmarkEnd w:id="15"/>
      <w:bookmarkEnd w:id="16"/>
      <w:bookmarkEnd w:id="17"/>
      <w:bookmarkEnd w:id="18"/>
      <w:bookmarkEnd w:id="19"/>
      <w:bookmarkEnd w:id="20"/>
    </w:p>
    <w:p w14:paraId="371CF541">
      <w:pPr>
        <w:pStyle w:val="23"/>
        <w:rPr>
          <w:rFonts w:hint="eastAsia"/>
          <w:color w:val="000000" w:themeColor="text1"/>
          <w:lang w:val="en-US" w:eastAsia="zh-CN"/>
          <w14:textFill>
            <w14:solidFill>
              <w14:schemeClr w14:val="tx1"/>
            </w14:solidFill>
          </w14:textFill>
        </w:rPr>
      </w:pPr>
      <w:r>
        <w:rPr>
          <w:rFonts w:cs="Times New Roman"/>
        </w:rPr>
        <w:t>本文件</w:t>
      </w:r>
      <w:r>
        <w:rPr>
          <w:rFonts w:hint="eastAsia" w:cs="Times New Roman"/>
          <w:lang w:val="en-US" w:eastAsia="zh-CN"/>
        </w:rPr>
        <w:t>规定</w:t>
      </w:r>
      <w:r>
        <w:rPr>
          <w:rFonts w:cs="Times New Roman"/>
        </w:rPr>
        <w:t>了</w:t>
      </w:r>
      <w:r>
        <w:rPr>
          <w:rFonts w:hint="eastAsia" w:cs="Times New Roman"/>
          <w:lang w:val="en-US" w:eastAsia="zh-CN"/>
        </w:rPr>
        <w:t>便携式表面增强拉曼</w:t>
      </w:r>
      <w:r>
        <w:rPr>
          <w:rFonts w:hint="eastAsia" w:cs="Times New Roman"/>
        </w:rPr>
        <w:t>光谱仪</w:t>
      </w:r>
      <w:r>
        <w:rPr>
          <w:rFonts w:hint="eastAsia" w:cs="Times New Roman"/>
          <w:lang w:val="en-US" w:eastAsia="zh-CN"/>
        </w:rPr>
        <w:t>技术指标</w:t>
      </w:r>
      <w:r>
        <w:rPr>
          <w:rFonts w:hint="eastAsia" w:cs="Times New Roman"/>
        </w:rPr>
        <w:t>评价的产品评价要求、安全要求、工作条件要求、评价指标、评价步骤、评价结果及报告</w:t>
      </w:r>
      <w:r>
        <w:rPr>
          <w:rFonts w:cs="Times New Roman"/>
        </w:rPr>
        <w:t>。</w:t>
      </w:r>
    </w:p>
    <w:p w14:paraId="4F4E24C2">
      <w:pPr>
        <w:pStyle w:val="23"/>
        <w:ind w:firstLine="420"/>
        <w:rPr>
          <w:color w:val="000000" w:themeColor="text1"/>
          <w14:textFill>
            <w14:solidFill>
              <w14:schemeClr w14:val="tx1"/>
            </w14:solidFill>
          </w14:textFill>
        </w:rPr>
      </w:pPr>
      <w:r>
        <w:rPr>
          <w:rFonts w:cs="Times New Roman"/>
        </w:rPr>
        <w:t>本文件适用于</w:t>
      </w:r>
      <w:r>
        <w:rPr>
          <w:rFonts w:hint="eastAsia" w:cs="Times New Roman"/>
          <w:lang w:val="en-US" w:eastAsia="zh-CN"/>
        </w:rPr>
        <w:t>便携式表面增强拉曼</w:t>
      </w:r>
      <w:r>
        <w:rPr>
          <w:rFonts w:hint="eastAsia" w:cs="Times New Roman"/>
        </w:rPr>
        <w:t>光谱仪</w:t>
      </w:r>
      <w:r>
        <w:rPr>
          <w:rFonts w:hint="eastAsia" w:cs="Times New Roman"/>
          <w:lang w:val="en-US" w:eastAsia="zh-CN"/>
        </w:rPr>
        <w:t>检测性能指标</w:t>
      </w:r>
      <w:r>
        <w:rPr>
          <w:rFonts w:hint="eastAsia" w:ascii="宋体" w:hAnsi="宋体" w:eastAsia="宋体" w:cs="宋体"/>
          <w:color w:val="000000"/>
          <w:kern w:val="0"/>
          <w:sz w:val="21"/>
          <w:szCs w:val="21"/>
          <w:lang w:val="en-US" w:eastAsia="zh-CN" w:bidi="ar"/>
        </w:rPr>
        <w:t>的第三方评价，也可在产品研发、</w:t>
      </w:r>
      <w:r>
        <w:rPr>
          <w:rFonts w:hint="eastAsia" w:hAnsi="宋体" w:cs="宋体"/>
          <w:color w:val="000000"/>
          <w:kern w:val="0"/>
          <w:sz w:val="21"/>
          <w:szCs w:val="21"/>
          <w:lang w:val="en-US" w:eastAsia="zh-CN" w:bidi="ar"/>
        </w:rPr>
        <w:t>仪器</w:t>
      </w:r>
      <w:r>
        <w:rPr>
          <w:rFonts w:hint="eastAsia" w:ascii="宋体" w:hAnsi="宋体" w:eastAsia="宋体" w:cs="宋体"/>
          <w:color w:val="000000"/>
          <w:kern w:val="0"/>
          <w:sz w:val="21"/>
          <w:szCs w:val="21"/>
          <w:lang w:val="en-US" w:eastAsia="zh-CN" w:bidi="ar"/>
        </w:rPr>
        <w:t>采购过程中参考使用</w:t>
      </w:r>
      <w:r>
        <w:rPr>
          <w:color w:val="000000" w:themeColor="text1"/>
          <w14:textFill>
            <w14:solidFill>
              <w14:schemeClr w14:val="tx1"/>
            </w14:solidFill>
          </w14:textFill>
        </w:rPr>
        <w:t>。</w:t>
      </w:r>
    </w:p>
    <w:p w14:paraId="340101A9">
      <w:pPr>
        <w:pStyle w:val="23"/>
        <w:ind w:firstLine="420"/>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本文件不适用于</w:t>
      </w:r>
      <w:r>
        <w:rPr>
          <w:rFonts w:hint="eastAsia" w:cs="Times New Roman"/>
          <w:lang w:val="en-US" w:eastAsia="zh-CN"/>
        </w:rPr>
        <w:t>表面增强拉曼</w:t>
      </w:r>
      <w:r>
        <w:rPr>
          <w:rFonts w:hint="eastAsia" w:cs="Times New Roman"/>
        </w:rPr>
        <w:t>光谱仪</w:t>
      </w:r>
      <w:r>
        <w:rPr>
          <w:rFonts w:hint="eastAsia" w:cs="Times New Roman"/>
          <w:lang w:val="en-US" w:eastAsia="zh-CN"/>
        </w:rPr>
        <w:t>的安全性、环境适应性、运输及运输贮存、数据输出接口方面的评价。</w:t>
      </w:r>
    </w:p>
    <w:p w14:paraId="59C9C4D0">
      <w:pPr>
        <w:pStyle w:val="29"/>
        <w:bidi w:val="0"/>
        <w:rPr>
          <w:rFonts w:hint="eastAsia"/>
          <w:color w:val="000000" w:themeColor="text1"/>
          <w:lang w:val="en-US" w:eastAsia="zh-CN"/>
          <w14:textFill>
            <w14:solidFill>
              <w14:schemeClr w14:val="tx1"/>
            </w14:solidFill>
          </w14:textFill>
        </w:rPr>
      </w:pPr>
      <w:bookmarkStart w:id="21" w:name="_Toc5214"/>
      <w:bookmarkStart w:id="22" w:name="_Toc26828"/>
      <w:bookmarkStart w:id="23" w:name="_Toc15841"/>
      <w:bookmarkStart w:id="24" w:name="_Toc4479"/>
      <w:bookmarkStart w:id="25" w:name="_Toc17915"/>
      <w:bookmarkStart w:id="26" w:name="_Toc15488"/>
      <w:bookmarkStart w:id="27" w:name="_Toc24258"/>
      <w:bookmarkStart w:id="28" w:name="_Toc11090"/>
      <w:r>
        <w:rPr>
          <w:rFonts w:hint="eastAsia"/>
          <w:color w:val="000000" w:themeColor="text1"/>
          <w:lang w:val="en-US" w:eastAsia="zh-CN"/>
          <w14:textFill>
            <w14:solidFill>
              <w14:schemeClr w14:val="tx1"/>
            </w14:solidFill>
          </w14:textFill>
        </w:rPr>
        <w:t>规范性引用文件</w:t>
      </w:r>
      <w:bookmarkEnd w:id="21"/>
      <w:bookmarkEnd w:id="22"/>
      <w:bookmarkEnd w:id="23"/>
      <w:bookmarkEnd w:id="24"/>
      <w:bookmarkEnd w:id="25"/>
      <w:bookmarkEnd w:id="26"/>
      <w:bookmarkEnd w:id="27"/>
      <w:bookmarkEnd w:id="28"/>
    </w:p>
    <w:p w14:paraId="3FC91FB5">
      <w:pPr>
        <w:pStyle w:val="36"/>
        <w:autoSpaceDE/>
        <w:autoSpaceDN/>
        <w:adjustRightInd w:val="0"/>
        <w:spacing w:line="240" w:lineRule="auto"/>
        <w:ind w:left="0"/>
        <w:rPr>
          <w:rFonts w:hint="eastAsia" w:ascii="Times New Roman" w:hAnsi="Times New Roman" w:eastAsia="宋体" w:cs="Times New Roman"/>
          <w:szCs w:val="21"/>
          <w:lang w:val="en-US" w:eastAsia="zh-CN"/>
        </w:rPr>
      </w:pPr>
      <w:r>
        <w:rPr>
          <w:rFonts w:cs="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68B3427F">
      <w:pPr>
        <w:pStyle w:val="36"/>
        <w:autoSpaceDE/>
        <w:autoSpaceDN/>
        <w:adjustRightInd w:val="0"/>
        <w:spacing w:line="240" w:lineRule="auto"/>
        <w:ind w:left="0"/>
        <w:rPr>
          <w:rFonts w:hint="default" w:ascii="Times New Roman" w:hAnsi="Times New Roman" w:eastAsia="宋体" w:cs="Times New Roman"/>
          <w:szCs w:val="21"/>
          <w:lang w:val="en-US" w:eastAsia="zh-CN"/>
        </w:rPr>
      </w:pPr>
      <w:r>
        <w:rPr>
          <w:rFonts w:hint="default" w:ascii="Times New Roman" w:hAnsi="Times New Roman" w:eastAsia="宋体" w:cs="Times New Roman"/>
          <w:szCs w:val="21"/>
          <w:lang w:val="en-US" w:eastAsia="zh-CN"/>
        </w:rPr>
        <w:t xml:space="preserve">GB 2894  </w:t>
      </w:r>
      <w:r>
        <w:rPr>
          <w:rFonts w:hint="eastAsia" w:ascii="Times New Roman" w:cs="Times New Roman"/>
          <w:szCs w:val="21"/>
          <w:lang w:val="en-US" w:eastAsia="zh-CN"/>
        </w:rPr>
        <w:t>安全色和安全标志</w:t>
      </w:r>
      <w:r>
        <w:rPr>
          <w:rFonts w:hint="default" w:ascii="Times New Roman" w:hAnsi="Times New Roman" w:eastAsia="宋体" w:cs="Times New Roman"/>
          <w:szCs w:val="21"/>
          <w:lang w:val="en-US" w:eastAsia="zh-CN"/>
        </w:rPr>
        <w:t>：C</w:t>
      </w:r>
      <w:r>
        <w:rPr>
          <w:rFonts w:hint="eastAsia" w:ascii="Times New Roman" w:cs="Times New Roman"/>
          <w:szCs w:val="21"/>
          <w:lang w:val="en-US" w:eastAsia="zh-CN"/>
        </w:rPr>
        <w:t>.1警告标志</w:t>
      </w:r>
    </w:p>
    <w:p w14:paraId="5FB15337">
      <w:pPr>
        <w:pStyle w:val="36"/>
        <w:autoSpaceDE/>
        <w:autoSpaceDN/>
        <w:adjustRightInd w:val="0"/>
        <w:spacing w:line="240" w:lineRule="auto"/>
        <w:ind w:left="0"/>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GB 7247.1  激光产品的安全 第1部分：设备分类、要求</w:t>
      </w:r>
    </w:p>
    <w:p w14:paraId="6EF71A2A">
      <w:pPr>
        <w:pStyle w:val="36"/>
        <w:autoSpaceDE/>
        <w:autoSpaceDN/>
        <w:adjustRightInd w:val="0"/>
        <w:spacing w:line="240" w:lineRule="auto"/>
        <w:ind w:left="0"/>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GB/T 11606  分析仪器环境试验方法</w:t>
      </w:r>
    </w:p>
    <w:p w14:paraId="6383F09B">
      <w:pPr>
        <w:pStyle w:val="36"/>
        <w:autoSpaceDE/>
        <w:autoSpaceDN/>
        <w:adjustRightInd w:val="0"/>
        <w:spacing w:line="240" w:lineRule="auto"/>
        <w:ind w:left="0"/>
        <w:rPr>
          <w:rFonts w:hint="default" w:ascii="Times New Roman" w:hAnsi="Times New Roman" w:cs="Times New Roman" w:eastAsiaTheme="minorEastAsia"/>
          <w:color w:val="000000" w:themeColor="text1"/>
          <w:szCs w:val="21"/>
          <w:lang w:val="en-US" w:eastAsia="zh-CN"/>
          <w14:textFill>
            <w14:solidFill>
              <w14:schemeClr w14:val="tx1"/>
            </w14:solidFill>
          </w14:textFill>
        </w:rPr>
      </w:pPr>
      <w:r>
        <w:rPr>
          <w:rFonts w:hint="default" w:ascii="Times New Roman" w:hAnsi="Times New Roman" w:cs="Times New Roman" w:eastAsiaTheme="minorEastAsia"/>
          <w:color w:val="000000" w:themeColor="text1"/>
          <w:szCs w:val="21"/>
          <w:lang w:val="en-US" w:eastAsia="zh-CN"/>
          <w14:textFill>
            <w14:solidFill>
              <w14:schemeClr w14:val="tx1"/>
            </w14:solidFill>
          </w14:textFill>
        </w:rPr>
        <w:t>GB/T 13966  分析仪器术语</w:t>
      </w:r>
    </w:p>
    <w:p w14:paraId="06BE2907">
      <w:pPr>
        <w:pStyle w:val="36"/>
        <w:autoSpaceDE/>
        <w:autoSpaceDN/>
        <w:adjustRightInd w:val="0"/>
        <w:spacing w:line="240" w:lineRule="auto"/>
        <w:ind w:left="0"/>
        <w:rPr>
          <w:rFonts w:hint="default" w:ascii="Times New Roman" w:hAnsi="Times New Roman" w:cs="Times New Roman" w:eastAsiaTheme="minorEastAsia"/>
          <w:szCs w:val="21"/>
          <w:highlight w:val="none"/>
          <w:lang w:val="en-US" w:eastAsia="zh-CN"/>
        </w:rPr>
      </w:pPr>
      <w:r>
        <w:rPr>
          <w:rFonts w:hint="default" w:ascii="Times New Roman" w:hAnsi="Times New Roman" w:cs="Times New Roman" w:eastAsiaTheme="minorEastAsia"/>
          <w:szCs w:val="21"/>
          <w:highlight w:val="none"/>
          <w:lang w:val="en-US" w:eastAsia="zh-CN"/>
        </w:rPr>
        <w:t>GB/T 27025  检测和校准实验室能力的通用要求</w:t>
      </w:r>
    </w:p>
    <w:p w14:paraId="56D8FF80">
      <w:pPr>
        <w:pStyle w:val="36"/>
        <w:autoSpaceDE/>
        <w:autoSpaceDN/>
        <w:adjustRightInd w:val="0"/>
        <w:spacing w:line="240" w:lineRule="auto"/>
        <w:ind w:left="0"/>
        <w:rPr>
          <w:rFonts w:hint="default" w:ascii="Times New Roman" w:hAnsi="Times New Roman" w:cs="Times New Roman" w:eastAsiaTheme="minorEastAsia"/>
          <w:szCs w:val="21"/>
          <w:lang w:val="en-US" w:eastAsia="zh-CN"/>
        </w:rPr>
      </w:pPr>
      <w:r>
        <w:rPr>
          <w:rFonts w:hint="default" w:ascii="Times New Roman" w:hAnsi="Times New Roman" w:cs="Times New Roman" w:eastAsiaTheme="minorEastAsia"/>
          <w:szCs w:val="21"/>
          <w:lang w:val="en-US" w:eastAsia="zh-CN"/>
        </w:rPr>
        <w:t>GB/T 34065</w:t>
      </w:r>
      <w:r>
        <w:rPr>
          <w:rFonts w:hint="eastAsia" w:ascii="Times New Roman" w:cs="Times New Roman" w:eastAsiaTheme="minorEastAsia"/>
          <w:szCs w:val="21"/>
          <w:lang w:val="en-US" w:eastAsia="zh-CN"/>
        </w:rPr>
        <w:t>-2017</w:t>
      </w:r>
      <w:r>
        <w:rPr>
          <w:rFonts w:hint="default" w:ascii="Times New Roman" w:hAnsi="Times New Roman" w:cs="Times New Roman" w:eastAsiaTheme="minorEastAsia"/>
          <w:szCs w:val="21"/>
          <w:lang w:val="en-US" w:eastAsia="zh-CN"/>
        </w:rPr>
        <w:t xml:space="preserve">  分析仪器的安全要求</w:t>
      </w:r>
    </w:p>
    <w:p w14:paraId="0EC7CD3F">
      <w:pPr>
        <w:pStyle w:val="36"/>
        <w:autoSpaceDE/>
        <w:autoSpaceDN/>
        <w:adjustRightInd w:val="0"/>
        <w:spacing w:line="240" w:lineRule="auto"/>
        <w:ind w:left="0"/>
        <w:rPr>
          <w:rFonts w:hint="default" w:ascii="Times New Roman" w:hAnsi="Times New Roman" w:cs="Times New Roman" w:eastAsiaTheme="minorEastAsia"/>
          <w:szCs w:val="21"/>
          <w:lang w:val="en-US" w:eastAsia="zh-CN"/>
        </w:rPr>
      </w:pPr>
      <w:r>
        <w:rPr>
          <w:rFonts w:hint="default" w:ascii="Times New Roman" w:hAnsi="Times New Roman" w:cs="Times New Roman" w:eastAsiaTheme="minorEastAsia"/>
          <w:szCs w:val="21"/>
          <w:lang w:val="en-US" w:eastAsia="zh-CN"/>
        </w:rPr>
        <w:t>GB/T 40219</w:t>
      </w:r>
      <w:r>
        <w:rPr>
          <w:rFonts w:hint="eastAsia" w:ascii="Times New Roman" w:cs="Times New Roman" w:eastAsiaTheme="minorEastAsia"/>
          <w:szCs w:val="21"/>
          <w:lang w:val="en-US" w:eastAsia="zh-CN"/>
        </w:rPr>
        <w:t>-2021</w:t>
      </w:r>
      <w:r>
        <w:rPr>
          <w:rFonts w:hint="default" w:ascii="Times New Roman" w:hAnsi="Times New Roman" w:cs="Times New Roman" w:eastAsiaTheme="minorEastAsia"/>
          <w:szCs w:val="21"/>
          <w:lang w:val="en-US" w:eastAsia="zh-CN"/>
        </w:rPr>
        <w:t xml:space="preserve">  拉曼光谱仪通用规范</w:t>
      </w:r>
    </w:p>
    <w:p w14:paraId="3ED03C8B">
      <w:pPr>
        <w:pStyle w:val="29"/>
        <w:bidi w:val="0"/>
        <w:rPr>
          <w:rFonts w:hint="eastAsia"/>
          <w:color w:val="000000" w:themeColor="text1"/>
          <w:lang w:val="en-US" w:eastAsia="zh-CN"/>
          <w14:textFill>
            <w14:solidFill>
              <w14:schemeClr w14:val="tx1"/>
            </w14:solidFill>
          </w14:textFill>
        </w:rPr>
      </w:pPr>
      <w:bookmarkStart w:id="29" w:name="_Toc13028"/>
      <w:bookmarkStart w:id="30" w:name="_Toc18841"/>
      <w:bookmarkStart w:id="31" w:name="_Toc31798"/>
      <w:bookmarkStart w:id="32" w:name="_Toc31840"/>
      <w:bookmarkStart w:id="33" w:name="_Toc12685"/>
      <w:bookmarkStart w:id="34" w:name="_Toc10477"/>
      <w:bookmarkStart w:id="35" w:name="_Toc1129"/>
      <w:bookmarkStart w:id="36" w:name="_Toc17510"/>
      <w:r>
        <w:rPr>
          <w:rFonts w:hint="eastAsia"/>
          <w:color w:val="000000" w:themeColor="text1"/>
          <w:lang w:val="en-US" w:eastAsia="zh-CN"/>
          <w14:textFill>
            <w14:solidFill>
              <w14:schemeClr w14:val="tx1"/>
            </w14:solidFill>
          </w14:textFill>
        </w:rPr>
        <w:t>术语和定义</w:t>
      </w:r>
      <w:bookmarkEnd w:id="29"/>
      <w:bookmarkEnd w:id="30"/>
      <w:bookmarkEnd w:id="31"/>
      <w:bookmarkEnd w:id="32"/>
      <w:bookmarkEnd w:id="33"/>
      <w:bookmarkEnd w:id="34"/>
      <w:bookmarkEnd w:id="35"/>
      <w:bookmarkEnd w:id="36"/>
    </w:p>
    <w:sdt>
      <w:sdtPr>
        <w:rPr>
          <w:rFonts w:hint="eastAsia" w:ascii="宋体" w:hAnsi="Times New Roman" w:eastAsia="宋体" w:cs="宋体"/>
          <w:color w:val="000000" w:themeColor="text1"/>
          <w:sz w:val="21"/>
          <w:lang w:val="en-US" w:eastAsia="zh-CN"/>
          <w14:textFill>
            <w14:solidFill>
              <w14:schemeClr w14:val="tx1"/>
            </w14:solidFill>
          </w14:textFill>
        </w:rPr>
        <w:tag w:val="TermContent"/>
        <w:id w:val="147477495"/>
        <w:placeholder>
          <w:docPart w:val="{c8ba3f3f-d992-42ae-9ccb-5b8e67535c1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ascii="宋体" w:hAnsi="Times New Roman" w:eastAsia="宋体" w:cs="宋体"/>
          <w:color w:val="000000" w:themeColor="text1"/>
          <w:sz w:val="21"/>
          <w:lang w:val="en-US" w:eastAsia="zh-CN"/>
          <w14:textFill>
            <w14:solidFill>
              <w14:schemeClr w14:val="tx1"/>
            </w14:solidFill>
          </w14:textFill>
        </w:rPr>
      </w:sdtEndPr>
      <w:sdtContent>
        <w:p w14:paraId="3E36DCD8">
          <w:pPr>
            <w:pStyle w:val="23"/>
            <w:rPr>
              <w:rFonts w:hint="eastAsia"/>
              <w:color w:val="000000" w:themeColor="text1"/>
              <w:lang w:val="en-US" w:eastAsia="zh-CN"/>
              <w14:textFill>
                <w14:solidFill>
                  <w14:schemeClr w14:val="tx1"/>
                </w14:solidFill>
              </w14:textFill>
            </w:rPr>
          </w:pPr>
          <w:r>
            <w:rPr>
              <w:rFonts w:hint="eastAsia" w:cs="宋体"/>
              <w:color w:val="000000" w:themeColor="text1"/>
              <w:sz w:val="21"/>
              <w:lang w:val="en-US" w:eastAsia="zh-CN"/>
              <w14:textFill>
                <w14:solidFill>
                  <w14:schemeClr w14:val="tx1"/>
                </w14:solidFill>
              </w14:textFill>
            </w:rPr>
            <w:t>下列术语和定义适用于本文件。</w:t>
          </w:r>
        </w:p>
      </w:sdtContent>
    </w:sdt>
    <w:p w14:paraId="16B254FD">
      <w:pPr>
        <w:pStyle w:val="30"/>
        <w:numPr>
          <w:ilvl w:val="1"/>
          <w:numId w:val="0"/>
        </w:numPr>
        <w:bidi w:val="0"/>
        <w:spacing w:after="0" w:afterLines="0"/>
        <w:ind w:leftChars="-200"/>
        <w:rPr>
          <w:rFonts w:hint="default" w:ascii="黑体" w:hAnsi="黑体" w:eastAsia="黑体" w:cs="黑体"/>
          <w:color w:val="000000" w:themeColor="text1"/>
          <w:lang w:val="en-US" w:eastAsia="zh-CN"/>
          <w14:textFill>
            <w14:solidFill>
              <w14:schemeClr w14:val="tx1"/>
            </w14:solidFill>
          </w14:textFill>
        </w:rPr>
      </w:pPr>
      <w:bookmarkStart w:id="37" w:name="_Toc245"/>
      <w:bookmarkStart w:id="38" w:name="_Toc4694"/>
      <w:bookmarkStart w:id="39" w:name="_Toc31268"/>
      <w:bookmarkStart w:id="40" w:name="_Toc5391"/>
      <w:bookmarkStart w:id="41" w:name="_Toc6055"/>
      <w:r>
        <w:rPr>
          <w:rFonts w:hint="eastAsia" w:cs="黑体"/>
          <w:color w:val="000000" w:themeColor="text1"/>
          <w:lang w:val="en-US" w:eastAsia="zh-CN"/>
          <w14:textFill>
            <w14:solidFill>
              <w14:schemeClr w14:val="tx1"/>
            </w14:solidFill>
          </w14:textFill>
        </w:rPr>
        <w:t xml:space="preserve">    3.1</w:t>
      </w:r>
    </w:p>
    <w:bookmarkEnd w:id="37"/>
    <w:bookmarkEnd w:id="38"/>
    <w:bookmarkEnd w:id="39"/>
    <w:bookmarkEnd w:id="40"/>
    <w:bookmarkEnd w:id="41"/>
    <w:p w14:paraId="381EE442">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eastAsia" w:cs="Times New Roman"/>
          <w:highlight w:val="none"/>
        </w:rPr>
        <w:t xml:space="preserve">拉曼散射 </w:t>
      </w:r>
      <w:r>
        <w:rPr>
          <w:rFonts w:hint="eastAsia" w:cs="Times New Roman"/>
          <w:highlight w:val="none"/>
          <w:lang w:val="en-US" w:eastAsia="zh-CN"/>
        </w:rPr>
        <w:t>r</w:t>
      </w:r>
      <w:r>
        <w:rPr>
          <w:rFonts w:hint="eastAsia" w:cs="Times New Roman"/>
          <w:highlight w:val="none"/>
        </w:rPr>
        <w:t>aman scattering</w:t>
      </w:r>
    </w:p>
    <w:p w14:paraId="20A68739">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单色入射光与介质相互作用后产生不同于原入射光频率的散射光，并且相对频移对称分布于入射光频率两侧的现象。</w:t>
      </w:r>
    </w:p>
    <w:p w14:paraId="08559EAF">
      <w:pPr>
        <w:pStyle w:val="30"/>
        <w:numPr>
          <w:ilvl w:val="1"/>
          <w:numId w:val="0"/>
        </w:numPr>
        <w:bidi w:val="0"/>
        <w:spacing w:after="0" w:afterLines="0"/>
        <w:ind w:leftChars="-20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 xml:space="preserve">    3.2</w:t>
      </w:r>
    </w:p>
    <w:p w14:paraId="74C58E49">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拉曼位移</w:t>
      </w:r>
      <w:r>
        <w:rPr>
          <w:rFonts w:hint="eastAsia" w:cs="黑体"/>
          <w:color w:val="000000" w:themeColor="text1"/>
          <w:lang w:val="en-US" w:eastAsia="zh-CN"/>
          <w14:textFill>
            <w14:solidFill>
              <w14:schemeClr w14:val="tx1"/>
            </w14:solidFill>
          </w14:textFill>
        </w:rPr>
        <w:t xml:space="preserve"> r</w:t>
      </w:r>
      <w:r>
        <w:rPr>
          <w:rFonts w:hint="eastAsia" w:ascii="黑体" w:hAnsi="黑体" w:eastAsia="黑体" w:cs="黑体"/>
          <w:color w:val="000000" w:themeColor="text1"/>
          <w:lang w:val="en-US" w:eastAsia="zh-CN"/>
          <w14:textFill>
            <w14:solidFill>
              <w14:schemeClr w14:val="tx1"/>
            </w14:solidFill>
          </w14:textFill>
        </w:rPr>
        <w:t>aman shift</w:t>
      </w:r>
    </w:p>
    <w:p w14:paraId="1D335186">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入射光绝对波数与散射光绝对波数的差值。</w:t>
      </w:r>
    </w:p>
    <w:p w14:paraId="7D6EEB84">
      <w:pPr>
        <w:pStyle w:val="23"/>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b/>
          <w:bCs/>
          <w:color w:val="000000" w:themeColor="text1"/>
          <w:sz w:val="18"/>
          <w:szCs w:val="18"/>
          <w:lang w:val="en-US" w:eastAsia="zh-CN"/>
          <w14:textFill>
            <w14:solidFill>
              <w14:schemeClr w14:val="tx1"/>
            </w14:solidFill>
          </w14:textFill>
        </w:rPr>
        <w:t>注:</w:t>
      </w:r>
      <w:r>
        <w:rPr>
          <w:rFonts w:hint="default" w:ascii="Times New Roman" w:hAnsi="Times New Roman" w:cs="Times New Roman"/>
          <w:color w:val="000000" w:themeColor="text1"/>
          <w:sz w:val="18"/>
          <w:szCs w:val="18"/>
          <w:lang w:val="en-US" w:eastAsia="zh-CN"/>
          <w14:textFill>
            <w14:solidFill>
              <w14:schemeClr w14:val="tx1"/>
            </w14:solidFill>
          </w14:textFill>
        </w:rPr>
        <w:t>单位为cm</w:t>
      </w:r>
      <w:r>
        <w:rPr>
          <w:rFonts w:hint="default" w:ascii="Times New Roman" w:hAnsi="Times New Roman" w:cs="Times New Roman"/>
          <w:color w:val="000000" w:themeColor="text1"/>
          <w:sz w:val="18"/>
          <w:szCs w:val="18"/>
          <w:vertAlign w:val="superscript"/>
          <w:lang w:val="en-US" w:eastAsia="zh-CN"/>
          <w14:textFill>
            <w14:solidFill>
              <w14:schemeClr w14:val="tx1"/>
            </w14:solidFill>
          </w14:textFill>
        </w:rPr>
        <w:t>-1</w:t>
      </w:r>
      <w:r>
        <w:rPr>
          <w:rFonts w:hint="default" w:ascii="Times New Roman" w:hAnsi="Times New Roman" w:cs="Times New Roman"/>
          <w:color w:val="000000" w:themeColor="text1"/>
          <w:sz w:val="18"/>
          <w:szCs w:val="18"/>
          <w:lang w:val="en-US" w:eastAsia="zh-CN"/>
          <w14:textFill>
            <w14:solidFill>
              <w14:schemeClr w14:val="tx1"/>
            </w14:solidFill>
          </w14:textFill>
        </w:rPr>
        <w:t>。</w:t>
      </w:r>
    </w:p>
    <w:p w14:paraId="1E1E8D81">
      <w:pPr>
        <w:pStyle w:val="30"/>
        <w:numPr>
          <w:ilvl w:val="1"/>
          <w:numId w:val="0"/>
        </w:numPr>
        <w:bidi w:val="0"/>
        <w:spacing w:after="0" w:afterLines="0"/>
        <w:ind w:leftChars="-20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 xml:space="preserve">    3.3</w:t>
      </w:r>
    </w:p>
    <w:p w14:paraId="51B5FF35">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拉曼光谱</w:t>
      </w:r>
      <w:r>
        <w:rPr>
          <w:rFonts w:hint="eastAsia" w:cs="Times New Roman"/>
          <w:highlight w:val="none"/>
        </w:rPr>
        <w:t xml:space="preserve"> </w:t>
      </w:r>
      <w:r>
        <w:rPr>
          <w:rFonts w:hint="eastAsia" w:cs="黑体"/>
          <w:color w:val="000000" w:themeColor="text1"/>
          <w:lang w:val="en-US" w:eastAsia="zh-CN"/>
          <w14:textFill>
            <w14:solidFill>
              <w14:schemeClr w14:val="tx1"/>
            </w14:solidFill>
          </w14:textFill>
        </w:rPr>
        <w:t>r</w:t>
      </w:r>
      <w:r>
        <w:rPr>
          <w:rFonts w:hint="eastAsia" w:ascii="黑体" w:hAnsi="黑体" w:eastAsia="黑体" w:cs="黑体"/>
          <w:color w:val="000000" w:themeColor="text1"/>
          <w:lang w:val="en-US" w:eastAsia="zh-CN"/>
          <w14:textFill>
            <w14:solidFill>
              <w14:schemeClr w14:val="tx1"/>
            </w14:solidFill>
          </w14:textFill>
        </w:rPr>
        <w:t>aman spectrum</w:t>
      </w:r>
    </w:p>
    <w:p w14:paraId="614888A4">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拉曼散射强度对于拉曼位移的分布。</w:t>
      </w:r>
    </w:p>
    <w:p w14:paraId="3B85E5FB">
      <w:pPr>
        <w:pStyle w:val="30"/>
        <w:numPr>
          <w:ilvl w:val="1"/>
          <w:numId w:val="0"/>
        </w:numPr>
        <w:bidi w:val="0"/>
        <w:spacing w:after="0" w:afterLines="0"/>
        <w:ind w:leftChars="-20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 xml:space="preserve">    3.4</w:t>
      </w:r>
    </w:p>
    <w:p w14:paraId="253223A0">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拉曼光谱仪 raman spectrometer</w:t>
      </w:r>
    </w:p>
    <w:p w14:paraId="72DCFE5B">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用于收集试样的拉曼光谱,并进行检测和分析的仪器。</w:t>
      </w:r>
    </w:p>
    <w:p w14:paraId="1B2F5DAF">
      <w:pPr>
        <w:pStyle w:val="30"/>
        <w:numPr>
          <w:ilvl w:val="1"/>
          <w:numId w:val="0"/>
        </w:numPr>
        <w:bidi w:val="0"/>
        <w:spacing w:after="0" w:afterLines="0"/>
        <w:ind w:leftChars="-20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 xml:space="preserve">     3.5</w:t>
      </w:r>
    </w:p>
    <w:p w14:paraId="3D841BA6">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拉曼谱峰强度 peakintensity of raman scattering</w:t>
      </w:r>
    </w:p>
    <w:p w14:paraId="3C62864D">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拉曼光谱仪测量得到的某个拉曼谱峰的信号强度,为该峰最高点到该点对应的背景基线的计数差值。</w:t>
      </w:r>
    </w:p>
    <w:p w14:paraId="39E95018">
      <w:pPr>
        <w:pStyle w:val="30"/>
        <w:numPr>
          <w:ilvl w:val="1"/>
          <w:numId w:val="0"/>
        </w:numPr>
        <w:bidi w:val="0"/>
        <w:spacing w:after="0" w:afterLines="0"/>
        <w:ind w:leftChars="-20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 xml:space="preserve">     3.6</w:t>
      </w:r>
    </w:p>
    <w:p w14:paraId="64176CD2">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半高宽 full width at half maximum；FWHM</w:t>
      </w:r>
    </w:p>
    <w:p w14:paraId="4B195CC0">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以谱峰强度的一半作平行于基线的直线,该直线与谱峰两侧所形成交点之间的波数差值。</w:t>
      </w:r>
    </w:p>
    <w:p w14:paraId="3623C079">
      <w:pPr>
        <w:pStyle w:val="23"/>
        <w:rPr>
          <w:rFonts w:hint="default" w:ascii="Times New Roman" w:hAnsi="Times New Roman" w:cs="Times New Roman"/>
          <w:color w:val="000000" w:themeColor="text1"/>
          <w:sz w:val="18"/>
          <w:szCs w:val="18"/>
          <w:lang w:val="en-US" w:eastAsia="zh-CN"/>
          <w14:textFill>
            <w14:solidFill>
              <w14:schemeClr w14:val="tx1"/>
            </w14:solidFill>
          </w14:textFill>
        </w:rPr>
      </w:pPr>
      <w:r>
        <w:rPr>
          <w:rFonts w:hint="default" w:ascii="Times New Roman" w:hAnsi="Times New Roman" w:cs="Times New Roman"/>
          <w:b/>
          <w:bCs/>
          <w:color w:val="000000" w:themeColor="text1"/>
          <w:sz w:val="18"/>
          <w:szCs w:val="18"/>
          <w:lang w:val="en-US" w:eastAsia="zh-CN"/>
          <w14:textFill>
            <w14:solidFill>
              <w14:schemeClr w14:val="tx1"/>
            </w14:solidFill>
          </w14:textFill>
        </w:rPr>
        <w:t>注:</w:t>
      </w:r>
      <w:r>
        <w:rPr>
          <w:rFonts w:hint="default" w:ascii="Times New Roman" w:hAnsi="Times New Roman" w:cs="Times New Roman"/>
          <w:color w:val="000000" w:themeColor="text1"/>
          <w:sz w:val="18"/>
          <w:szCs w:val="18"/>
          <w:lang w:val="en-US" w:eastAsia="zh-CN"/>
          <w14:textFill>
            <w14:solidFill>
              <w14:schemeClr w14:val="tx1"/>
            </w14:solidFill>
          </w14:textFill>
        </w:rPr>
        <w:t>单位为cm</w:t>
      </w:r>
      <w:r>
        <w:rPr>
          <w:rFonts w:hint="default" w:ascii="Times New Roman" w:hAnsi="Times New Roman" w:cs="Times New Roman"/>
          <w:color w:val="000000" w:themeColor="text1"/>
          <w:sz w:val="18"/>
          <w:szCs w:val="18"/>
          <w:vertAlign w:val="superscript"/>
          <w:lang w:val="en-US" w:eastAsia="zh-CN"/>
          <w14:textFill>
            <w14:solidFill>
              <w14:schemeClr w14:val="tx1"/>
            </w14:solidFill>
          </w14:textFill>
        </w:rPr>
        <w:t>-1</w:t>
      </w:r>
      <w:r>
        <w:rPr>
          <w:rFonts w:hint="default" w:ascii="Times New Roman" w:hAnsi="Times New Roman" w:cs="Times New Roman"/>
          <w:color w:val="000000" w:themeColor="text1"/>
          <w:sz w:val="18"/>
          <w:szCs w:val="18"/>
          <w:lang w:val="en-US" w:eastAsia="zh-CN"/>
          <w14:textFill>
            <w14:solidFill>
              <w14:schemeClr w14:val="tx1"/>
            </w14:solidFill>
          </w14:textFill>
        </w:rPr>
        <w:t>。</w:t>
      </w:r>
    </w:p>
    <w:p w14:paraId="195B149C">
      <w:pPr>
        <w:pStyle w:val="30"/>
        <w:numPr>
          <w:ilvl w:val="1"/>
          <w:numId w:val="0"/>
        </w:numPr>
        <w:bidi w:val="0"/>
        <w:spacing w:after="0" w:afterLines="0"/>
        <w:ind w:leftChars="-20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 xml:space="preserve">     3.7</w:t>
      </w:r>
    </w:p>
    <w:p w14:paraId="5AE6A1FB">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光谱分辨率 spectral resolution</w:t>
      </w:r>
    </w:p>
    <w:p w14:paraId="015B5310">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拉曼光谱仪分辨两相邻谱峰的能力,以所测得的元素灯谱线的半高宽表示。</w:t>
      </w:r>
    </w:p>
    <w:p w14:paraId="12CD4D78">
      <w:pPr>
        <w:pStyle w:val="23"/>
        <w:rPr>
          <w:rFonts w:hint="default" w:ascii="Times New Roman" w:hAnsi="Times New Roman" w:cs="Times New Roman"/>
          <w:color w:val="000000" w:themeColor="text1"/>
          <w:sz w:val="18"/>
          <w:szCs w:val="18"/>
          <w:lang w:val="en-US" w:eastAsia="zh-CN"/>
          <w14:textFill>
            <w14:solidFill>
              <w14:schemeClr w14:val="tx1"/>
            </w14:solidFill>
          </w14:textFill>
        </w:rPr>
      </w:pPr>
      <w:r>
        <w:rPr>
          <w:rFonts w:hint="default" w:ascii="Times New Roman" w:hAnsi="Times New Roman" w:cs="Times New Roman"/>
          <w:b/>
          <w:bCs/>
          <w:color w:val="000000" w:themeColor="text1"/>
          <w:sz w:val="18"/>
          <w:szCs w:val="18"/>
          <w:lang w:val="en-US" w:eastAsia="zh-CN"/>
          <w14:textFill>
            <w14:solidFill>
              <w14:schemeClr w14:val="tx1"/>
            </w14:solidFill>
          </w14:textFill>
        </w:rPr>
        <w:t>注:</w:t>
      </w:r>
      <w:r>
        <w:rPr>
          <w:rFonts w:hint="default" w:ascii="Times New Roman" w:hAnsi="Times New Roman" w:cs="Times New Roman"/>
          <w:color w:val="000000" w:themeColor="text1"/>
          <w:sz w:val="18"/>
          <w:szCs w:val="18"/>
          <w:lang w:val="en-US" w:eastAsia="zh-CN"/>
          <w14:textFill>
            <w14:solidFill>
              <w14:schemeClr w14:val="tx1"/>
            </w14:solidFill>
          </w14:textFill>
        </w:rPr>
        <w:t>单位为cm</w:t>
      </w:r>
      <w:r>
        <w:rPr>
          <w:rFonts w:hint="default" w:ascii="Times New Roman" w:hAnsi="Times New Roman" w:cs="Times New Roman"/>
          <w:color w:val="000000" w:themeColor="text1"/>
          <w:sz w:val="18"/>
          <w:szCs w:val="18"/>
          <w:vertAlign w:val="superscript"/>
          <w:lang w:val="en-US" w:eastAsia="zh-CN"/>
          <w14:textFill>
            <w14:solidFill>
              <w14:schemeClr w14:val="tx1"/>
            </w14:solidFill>
          </w14:textFill>
        </w:rPr>
        <w:t>-1</w:t>
      </w:r>
      <w:r>
        <w:rPr>
          <w:rFonts w:hint="default" w:ascii="Times New Roman" w:hAnsi="Times New Roman" w:cs="Times New Roman"/>
          <w:color w:val="000000" w:themeColor="text1"/>
          <w:sz w:val="18"/>
          <w:szCs w:val="18"/>
          <w:lang w:val="en-US" w:eastAsia="zh-CN"/>
          <w14:textFill>
            <w14:solidFill>
              <w14:schemeClr w14:val="tx1"/>
            </w14:solidFill>
          </w14:textFill>
        </w:rPr>
        <w:t>。</w:t>
      </w:r>
    </w:p>
    <w:p w14:paraId="2CB2B4AE">
      <w:pPr>
        <w:pStyle w:val="30"/>
        <w:numPr>
          <w:ilvl w:val="1"/>
          <w:numId w:val="0"/>
        </w:numPr>
        <w:bidi w:val="0"/>
        <w:spacing w:after="0" w:afterLines="0"/>
        <w:ind w:leftChars="-20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 xml:space="preserve">     3.8</w:t>
      </w:r>
    </w:p>
    <w:p w14:paraId="1C48B721">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eastAsia" w:cs="Times New Roman"/>
          <w:highlight w:val="none"/>
        </w:rPr>
        <w:t>波数 wave</w:t>
      </w:r>
      <w:r>
        <w:rPr>
          <w:rFonts w:hint="eastAsia" w:cs="Times New Roman"/>
          <w:highlight w:val="none"/>
          <w:lang w:val="en-US" w:eastAsia="zh-CN"/>
        </w:rPr>
        <w:t xml:space="preserve"> </w:t>
      </w:r>
      <w:r>
        <w:rPr>
          <w:rFonts w:hint="eastAsia" w:cs="Times New Roman"/>
          <w:highlight w:val="none"/>
        </w:rPr>
        <w:t>number</w:t>
      </w:r>
    </w:p>
    <w:p w14:paraId="00CAC367">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波长的倒数，即每单位长度内包含的波的数目。</w:t>
      </w:r>
    </w:p>
    <w:p w14:paraId="13C45A55">
      <w:pPr>
        <w:pStyle w:val="23"/>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b/>
          <w:bCs/>
          <w:color w:val="000000" w:themeColor="text1"/>
          <w:sz w:val="18"/>
          <w:szCs w:val="18"/>
          <w:lang w:val="en-US" w:eastAsia="zh-CN"/>
          <w14:textFill>
            <w14:solidFill>
              <w14:schemeClr w14:val="tx1"/>
            </w14:solidFill>
          </w14:textFill>
        </w:rPr>
        <w:t>注:</w:t>
      </w:r>
      <w:r>
        <w:rPr>
          <w:rFonts w:hint="default" w:ascii="Times New Roman" w:hAnsi="Times New Roman" w:cs="Times New Roman"/>
          <w:color w:val="000000" w:themeColor="text1"/>
          <w:sz w:val="18"/>
          <w:szCs w:val="18"/>
          <w:lang w:val="en-US" w:eastAsia="zh-CN"/>
          <w14:textFill>
            <w14:solidFill>
              <w14:schemeClr w14:val="tx1"/>
            </w14:solidFill>
          </w14:textFill>
        </w:rPr>
        <w:t>单位为cm</w:t>
      </w:r>
      <w:r>
        <w:rPr>
          <w:rFonts w:hint="default" w:ascii="Times New Roman" w:hAnsi="Times New Roman" w:cs="Times New Roman"/>
          <w:color w:val="000000" w:themeColor="text1"/>
          <w:sz w:val="18"/>
          <w:szCs w:val="18"/>
          <w:vertAlign w:val="superscript"/>
          <w:lang w:val="en-US" w:eastAsia="zh-CN"/>
          <w14:textFill>
            <w14:solidFill>
              <w14:schemeClr w14:val="tx1"/>
            </w14:solidFill>
          </w14:textFill>
        </w:rPr>
        <w:t>-1</w:t>
      </w:r>
      <w:r>
        <w:rPr>
          <w:rFonts w:hint="default" w:ascii="Times New Roman" w:hAnsi="Times New Roman" w:cs="Times New Roman"/>
          <w:color w:val="000000" w:themeColor="text1"/>
          <w:sz w:val="18"/>
          <w:szCs w:val="18"/>
          <w:lang w:val="en-US" w:eastAsia="zh-CN"/>
          <w14:textFill>
            <w14:solidFill>
              <w14:schemeClr w14:val="tx1"/>
            </w14:solidFill>
          </w14:textFill>
        </w:rPr>
        <w:t>。</w:t>
      </w:r>
    </w:p>
    <w:p w14:paraId="4B948D23">
      <w:pPr>
        <w:pStyle w:val="30"/>
        <w:numPr>
          <w:ilvl w:val="1"/>
          <w:numId w:val="0"/>
        </w:numPr>
        <w:bidi w:val="0"/>
        <w:spacing w:after="0" w:afterLines="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3.9</w:t>
      </w:r>
    </w:p>
    <w:p w14:paraId="0380C22D">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增强基质 enhanced substrate</w:t>
      </w:r>
    </w:p>
    <w:p w14:paraId="599A1584">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能够与待测样品相互作用，产生表面增强效应的材料，包括电极、溶胶、纳米压印芯片等具有增强效果的材料。</w:t>
      </w:r>
    </w:p>
    <w:p w14:paraId="474F2E54">
      <w:pPr>
        <w:pStyle w:val="23"/>
        <w:rPr>
          <w:rFonts w:hint="eastAsia"/>
          <w:color w:val="000000" w:themeColor="text1"/>
          <w:sz w:val="18"/>
          <w:szCs w:val="18"/>
          <w:lang w:val="en-US" w:eastAsia="zh-CN"/>
          <w14:textFill>
            <w14:solidFill>
              <w14:schemeClr w14:val="tx1"/>
            </w14:solidFill>
          </w14:textFill>
        </w:rPr>
      </w:pPr>
      <w:r>
        <w:rPr>
          <w:rFonts w:hint="eastAsia"/>
          <w:b/>
          <w:bCs/>
          <w:color w:val="000000" w:themeColor="text1"/>
          <w:sz w:val="18"/>
          <w:szCs w:val="18"/>
          <w:lang w:val="en-US" w:eastAsia="zh-CN"/>
          <w14:textFill>
            <w14:solidFill>
              <w14:schemeClr w14:val="tx1"/>
            </w14:solidFill>
          </w14:textFill>
        </w:rPr>
        <w:t>注:</w:t>
      </w:r>
      <w:r>
        <w:rPr>
          <w:rFonts w:hint="eastAsia"/>
          <w:color w:val="000000" w:themeColor="text1"/>
          <w:sz w:val="18"/>
          <w:szCs w:val="18"/>
          <w:lang w:val="en-US" w:eastAsia="zh-CN"/>
          <w14:textFill>
            <w14:solidFill>
              <w14:schemeClr w14:val="tx1"/>
            </w14:solidFill>
          </w14:textFill>
        </w:rPr>
        <w:t>增强基质可提高拉曼光谱对目标物检测的灵敏度，实现目标物的快速检测。</w:t>
      </w:r>
    </w:p>
    <w:p w14:paraId="52097325">
      <w:pPr>
        <w:pStyle w:val="30"/>
        <w:numPr>
          <w:ilvl w:val="1"/>
          <w:numId w:val="0"/>
        </w:numPr>
        <w:bidi w:val="0"/>
        <w:spacing w:after="0" w:afterLines="0"/>
        <w:ind w:leftChars="-200" w:firstLine="420" w:firstLineChars="20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3.10</w:t>
      </w:r>
    </w:p>
    <w:p w14:paraId="7AC0E676">
      <w:pPr>
        <w:pStyle w:val="30"/>
        <w:numPr>
          <w:ilvl w:val="1"/>
          <w:numId w:val="0"/>
        </w:numPr>
        <w:bidi w:val="0"/>
        <w:spacing w:after="0" w:afterLines="0"/>
        <w:ind w:leftChars="-200" w:firstLine="840" w:firstLineChars="400"/>
        <w:rPr>
          <w:rFonts w:hint="default" w:ascii="黑体" w:hAnsi="黑体" w:eastAsia="黑体" w:cs="黑体"/>
          <w:color w:val="000000" w:themeColor="text1"/>
          <w:lang w:val="en-US" w:eastAsia="zh-CN"/>
          <w14:textFill>
            <w14:solidFill>
              <w14:schemeClr w14:val="tx1"/>
            </w14:solidFill>
          </w14:textFill>
        </w:rPr>
      </w:pPr>
      <w:r>
        <w:rPr>
          <w:rFonts w:hint="default" w:ascii="黑体" w:hAnsi="黑体" w:eastAsia="黑体" w:cs="黑体"/>
          <w:color w:val="000000" w:themeColor="text1"/>
          <w:lang w:val="en-US" w:eastAsia="zh-CN"/>
          <w14:textFill>
            <w14:solidFill>
              <w14:schemeClr w14:val="tx1"/>
            </w14:solidFill>
          </w14:textFill>
        </w:rPr>
        <w:t>表面增强拉曼光谱技术</w:t>
      </w:r>
      <w:r>
        <w:rPr>
          <w:rFonts w:hint="eastAsia" w:cs="黑体"/>
          <w:color w:val="000000" w:themeColor="text1"/>
          <w:lang w:val="en-US" w:eastAsia="zh-CN"/>
          <w14:textFill>
            <w14:solidFill>
              <w14:schemeClr w14:val="tx1"/>
            </w14:solidFill>
          </w14:textFill>
        </w:rPr>
        <w:t xml:space="preserve"> s</w:t>
      </w:r>
      <w:r>
        <w:rPr>
          <w:rFonts w:hint="default" w:ascii="黑体" w:hAnsi="黑体" w:eastAsia="黑体" w:cs="黑体"/>
          <w:color w:val="000000" w:themeColor="text1"/>
          <w:lang w:val="en-US" w:eastAsia="zh-CN"/>
          <w14:textFill>
            <w14:solidFill>
              <w14:schemeClr w14:val="tx1"/>
            </w14:solidFill>
          </w14:textFill>
        </w:rPr>
        <w:t xml:space="preserve">urface-Enhanced </w:t>
      </w:r>
      <w:r>
        <w:rPr>
          <w:rFonts w:hint="eastAsia" w:cs="黑体"/>
          <w:color w:val="000000" w:themeColor="text1"/>
          <w:lang w:val="en-US" w:eastAsia="zh-CN"/>
          <w14:textFill>
            <w14:solidFill>
              <w14:schemeClr w14:val="tx1"/>
            </w14:solidFill>
          </w14:textFill>
        </w:rPr>
        <w:t>r</w:t>
      </w:r>
      <w:r>
        <w:rPr>
          <w:rFonts w:hint="default" w:ascii="黑体" w:hAnsi="黑体" w:eastAsia="黑体" w:cs="黑体"/>
          <w:color w:val="000000" w:themeColor="text1"/>
          <w:lang w:val="en-US" w:eastAsia="zh-CN"/>
          <w14:textFill>
            <w14:solidFill>
              <w14:schemeClr w14:val="tx1"/>
            </w14:solidFill>
          </w14:textFill>
        </w:rPr>
        <w:t xml:space="preserve">aman </w:t>
      </w:r>
      <w:r>
        <w:rPr>
          <w:rFonts w:hint="eastAsia" w:cs="黑体"/>
          <w:color w:val="000000" w:themeColor="text1"/>
          <w:lang w:val="en-US" w:eastAsia="zh-CN"/>
          <w14:textFill>
            <w14:solidFill>
              <w14:schemeClr w14:val="tx1"/>
            </w14:solidFill>
          </w14:textFill>
        </w:rPr>
        <w:t>s</w:t>
      </w:r>
      <w:r>
        <w:rPr>
          <w:rFonts w:hint="default" w:ascii="黑体" w:hAnsi="黑体" w:eastAsia="黑体" w:cs="黑体"/>
          <w:color w:val="000000" w:themeColor="text1"/>
          <w:lang w:val="en-US" w:eastAsia="zh-CN"/>
          <w14:textFill>
            <w14:solidFill>
              <w14:schemeClr w14:val="tx1"/>
            </w14:solidFill>
          </w14:textFill>
        </w:rPr>
        <w:t>pectroscopy</w:t>
      </w:r>
      <w:r>
        <w:rPr>
          <w:rFonts w:hint="eastAsia" w:cs="黑体"/>
          <w:color w:val="000000" w:themeColor="text1"/>
          <w:lang w:val="en-US" w:eastAsia="zh-CN"/>
          <w14:textFill>
            <w14:solidFill>
              <w14:schemeClr w14:val="tx1"/>
            </w14:solidFill>
          </w14:textFill>
        </w:rPr>
        <w:t>；SERS</w:t>
      </w:r>
    </w:p>
    <w:p w14:paraId="036DA3FB">
      <w:pPr>
        <w:pStyle w:val="23"/>
        <w:rPr>
          <w:rFonts w:hint="eastAsia"/>
          <w:color w:val="000000" w:themeColor="text1"/>
          <w:sz w:val="18"/>
          <w:szCs w:val="18"/>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一种基于拉曼散射效应，通过特殊金属基底放大拉曼信号，从而实现痕量物质高灵敏度检测的分子光谱分析技术。</w:t>
      </w:r>
    </w:p>
    <w:p w14:paraId="6E8FB0D7">
      <w:pPr>
        <w:pStyle w:val="30"/>
        <w:numPr>
          <w:ilvl w:val="1"/>
          <w:numId w:val="0"/>
        </w:numPr>
        <w:bidi w:val="0"/>
        <w:spacing w:after="0" w:afterLines="0"/>
        <w:ind w:leftChars="-200" w:firstLine="420" w:firstLineChars="200"/>
        <w:rPr>
          <w:rFonts w:hint="default" w:ascii="黑体" w:hAnsi="黑体" w:eastAsia="黑体" w:cs="黑体"/>
          <w:color w:val="000000" w:themeColor="text1"/>
          <w:lang w:val="en-US" w:eastAsia="zh-CN"/>
          <w14:textFill>
            <w14:solidFill>
              <w14:schemeClr w14:val="tx1"/>
            </w14:solidFill>
          </w14:textFill>
        </w:rPr>
      </w:pPr>
      <w:r>
        <w:rPr>
          <w:rFonts w:hint="eastAsia" w:cs="黑体"/>
          <w:color w:val="000000" w:themeColor="text1"/>
          <w:lang w:val="en-US" w:eastAsia="zh-CN"/>
          <w14:textFill>
            <w14:solidFill>
              <w14:schemeClr w14:val="tx1"/>
            </w14:solidFill>
          </w14:textFill>
        </w:rPr>
        <w:t>3.11</w:t>
      </w:r>
    </w:p>
    <w:p w14:paraId="7DBB3D73">
      <w:pPr>
        <w:pStyle w:val="30"/>
        <w:numPr>
          <w:ilvl w:val="1"/>
          <w:numId w:val="0"/>
        </w:numPr>
        <w:bidi w:val="0"/>
        <w:spacing w:after="0" w:afterLines="0"/>
        <w:ind w:left="0" w:leftChars="0" w:firstLine="420" w:firstLineChars="200"/>
        <w:rPr>
          <w:rFonts w:hint="default" w:ascii="黑体" w:hAnsi="黑体" w:eastAsia="黑体" w:cs="黑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便携式表面增强拉曼光谱快速检测仪 portable surface-enhanced raman spectroscopy rapid detector</w:t>
      </w:r>
    </w:p>
    <w:p w14:paraId="5C6828BE">
      <w:pPr>
        <w:pStyle w:val="23"/>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一种集成表面增强拉曼光谱技术、具备便携特性、可实现样品快速检测的分析仪器，通常由激光源、样品池、试剂盒、检测器、软件及标准图谱数据库等组成。</w:t>
      </w:r>
    </w:p>
    <w:p w14:paraId="4894AB6C">
      <w:pPr>
        <w:pStyle w:val="29"/>
        <w:bidi w:val="0"/>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产品评价要求</w:t>
      </w:r>
    </w:p>
    <w:p w14:paraId="3CD0CC87">
      <w:pPr>
        <w:pStyle w:val="35"/>
        <w:numPr>
          <w:ilvl w:val="1"/>
          <w:numId w:val="0"/>
        </w:numPr>
        <w:rPr>
          <w:rFonts w:eastAsia="宋体" w:cs="Times New Roman"/>
          <w:sz w:val="21"/>
          <w:szCs w:val="21"/>
        </w:rPr>
      </w:pPr>
      <w:r>
        <w:rPr>
          <w:rFonts w:hint="eastAsia" w:hAnsi="黑体" w:cs="黑体"/>
          <w:sz w:val="21"/>
          <w:szCs w:val="21"/>
          <w:lang w:val="en-US" w:eastAsia="zh-CN" w:bidi="ar-SA"/>
        </w:rPr>
        <w:t>4</w:t>
      </w:r>
      <w:r>
        <w:rPr>
          <w:rFonts w:hint="default" w:ascii="黑体" w:hAnsi="黑体" w:eastAsia="黑体" w:cs="黑体"/>
          <w:sz w:val="21"/>
          <w:szCs w:val="21"/>
          <w:lang w:val="en-US" w:eastAsia="zh-CN" w:bidi="ar-SA"/>
        </w:rPr>
        <w:t>.</w:t>
      </w:r>
      <w:r>
        <w:rPr>
          <w:rFonts w:hint="eastAsia" w:hAnsi="黑体" w:cs="黑体"/>
          <w:sz w:val="21"/>
          <w:szCs w:val="21"/>
          <w:lang w:val="en-US" w:eastAsia="zh-CN" w:bidi="ar-SA"/>
        </w:rPr>
        <w:t>1试验测试</w:t>
      </w:r>
      <w:r>
        <w:rPr>
          <w:rFonts w:cs="Times New Roman"/>
          <w:sz w:val="21"/>
          <w:szCs w:val="21"/>
        </w:rPr>
        <w:t>要求</w:t>
      </w:r>
    </w:p>
    <w:p w14:paraId="53543B76">
      <w:pPr>
        <w:pStyle w:val="23"/>
        <w:rPr>
          <w:rFonts w:hint="eastAsia" w:hAnsi="Times New Roman"/>
          <w:color w:val="000000" w:themeColor="text1"/>
          <w:highlight w:val="none"/>
          <w:lang w:val="en-US" w:eastAsia="zh-CN"/>
          <w14:textFill>
            <w14:solidFill>
              <w14:schemeClr w14:val="tx1"/>
            </w14:solidFill>
          </w14:textFill>
        </w:rPr>
      </w:pPr>
      <w:r>
        <w:rPr>
          <w:rFonts w:hint="eastAsia" w:hAnsi="Times New Roman"/>
          <w:color w:val="000000" w:themeColor="text1"/>
          <w:highlight w:val="none"/>
          <w:lang w:val="en-US" w:eastAsia="zh-CN"/>
          <w14:textFill>
            <w14:solidFill>
              <w14:schemeClr w14:val="tx1"/>
            </w14:solidFill>
          </w14:textFill>
        </w:rPr>
        <w:t>评价试验的环境、人员等应符合</w:t>
      </w:r>
      <w:r>
        <w:rPr>
          <w:rFonts w:hint="eastAsia" w:ascii="Times New Roman" w:hAnsi="Times New Roman" w:eastAsia="宋体" w:cs="Times New Roman"/>
          <w:szCs w:val="21"/>
          <w:highlight w:val="none"/>
          <w:lang w:val="en-US" w:eastAsia="zh-CN"/>
        </w:rPr>
        <w:t>GB/T 27025</w:t>
      </w:r>
      <w:r>
        <w:rPr>
          <w:rFonts w:hint="eastAsia" w:hAnsi="Times New Roman"/>
          <w:color w:val="000000" w:themeColor="text1"/>
          <w:highlight w:val="none"/>
          <w:lang w:val="en-US" w:eastAsia="zh-CN"/>
          <w14:textFill>
            <w14:solidFill>
              <w14:schemeClr w14:val="tx1"/>
            </w14:solidFill>
          </w14:textFill>
        </w:rPr>
        <w:t>的相关规定。</w:t>
      </w:r>
    </w:p>
    <w:p w14:paraId="2AAAC4A8">
      <w:pPr>
        <w:pStyle w:val="35"/>
        <w:numPr>
          <w:ilvl w:val="1"/>
          <w:numId w:val="0"/>
        </w:numPr>
        <w:rPr>
          <w:rFonts w:eastAsia="宋体" w:cs="Times New Roman"/>
          <w:sz w:val="21"/>
          <w:szCs w:val="21"/>
        </w:rPr>
      </w:pPr>
      <w:r>
        <w:rPr>
          <w:rFonts w:hint="eastAsia" w:hAnsi="黑体" w:cs="黑体"/>
          <w:sz w:val="21"/>
          <w:szCs w:val="21"/>
          <w:lang w:val="en-US" w:eastAsia="zh-CN" w:bidi="ar-SA"/>
        </w:rPr>
        <w:t>4</w:t>
      </w:r>
      <w:r>
        <w:rPr>
          <w:rFonts w:hint="default" w:ascii="黑体" w:hAnsi="黑体" w:eastAsia="黑体" w:cs="黑体"/>
          <w:sz w:val="21"/>
          <w:szCs w:val="21"/>
          <w:lang w:val="en-US" w:eastAsia="zh-CN" w:bidi="ar-SA"/>
        </w:rPr>
        <w:t>.</w:t>
      </w:r>
      <w:r>
        <w:rPr>
          <w:rFonts w:hint="eastAsia" w:hAnsi="黑体" w:cs="黑体"/>
          <w:sz w:val="21"/>
          <w:szCs w:val="21"/>
          <w:lang w:val="en-US" w:eastAsia="zh-CN" w:bidi="ar-SA"/>
        </w:rPr>
        <w:t>2使用</w:t>
      </w:r>
      <w:r>
        <w:rPr>
          <w:rFonts w:cs="Times New Roman"/>
          <w:sz w:val="21"/>
          <w:szCs w:val="21"/>
        </w:rPr>
        <w:t>要求</w:t>
      </w:r>
    </w:p>
    <w:p w14:paraId="084B39E0">
      <w:pPr>
        <w:pStyle w:val="23"/>
        <w:rPr>
          <w:rFonts w:hint="eastAsia" w:hAnsi="Times New Roman"/>
          <w:color w:val="000000" w:themeColor="text1"/>
          <w:lang w:val="en-US" w:eastAsia="zh-CN"/>
          <w14:textFill>
            <w14:solidFill>
              <w14:schemeClr w14:val="tx1"/>
            </w14:solidFill>
          </w14:textFill>
        </w:rPr>
      </w:pPr>
      <w:r>
        <w:rPr>
          <w:rFonts w:hint="eastAsia" w:hAnsi="Times New Roman"/>
          <w:color w:val="000000" w:themeColor="text1"/>
          <w:lang w:val="en-US" w:eastAsia="zh-CN"/>
          <w14:textFill>
            <w14:solidFill>
              <w14:schemeClr w14:val="tx1"/>
            </w14:solidFill>
          </w14:textFill>
        </w:rPr>
        <w:t>应遵照GB 2894的规定。</w:t>
      </w:r>
    </w:p>
    <w:p w14:paraId="0BDA3D3B">
      <w:pPr>
        <w:pStyle w:val="29"/>
        <w:bidi w:val="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安全要求</w:t>
      </w:r>
    </w:p>
    <w:p w14:paraId="162C6264">
      <w:pPr>
        <w:pStyle w:val="35"/>
        <w:numPr>
          <w:ilvl w:val="1"/>
          <w:numId w:val="0"/>
        </w:numPr>
        <w:rPr>
          <w:rFonts w:hint="eastAsia" w:hAnsi="黑体" w:cs="黑体"/>
          <w:sz w:val="20"/>
          <w:szCs w:val="21"/>
          <w:lang w:val="en-US" w:eastAsia="zh-CN" w:bidi="ar-SA"/>
        </w:rPr>
      </w:pPr>
      <w:r>
        <w:rPr>
          <w:rFonts w:hint="eastAsia" w:hAnsi="黑体" w:cs="黑体"/>
          <w:sz w:val="20"/>
          <w:szCs w:val="21"/>
          <w:lang w:val="en-US" w:eastAsia="zh-CN" w:bidi="ar-SA"/>
        </w:rPr>
        <w:t>5</w:t>
      </w:r>
      <w:r>
        <w:rPr>
          <w:rFonts w:hint="default" w:ascii="黑体" w:hAnsi="黑体" w:eastAsia="黑体" w:cs="黑体"/>
          <w:sz w:val="20"/>
          <w:szCs w:val="21"/>
          <w:lang w:val="en-US" w:eastAsia="zh-CN" w:bidi="ar-SA"/>
        </w:rPr>
        <w:t>.</w:t>
      </w:r>
      <w:r>
        <w:rPr>
          <w:rFonts w:hint="eastAsia" w:hAnsi="黑体" w:cs="黑体"/>
          <w:sz w:val="20"/>
          <w:szCs w:val="21"/>
          <w:lang w:val="en-US" w:eastAsia="zh-CN" w:bidi="ar-SA"/>
        </w:rPr>
        <w:t>1防电击要求</w:t>
      </w:r>
    </w:p>
    <w:p w14:paraId="02A33467">
      <w:pPr>
        <w:pStyle w:val="23"/>
        <w:rPr>
          <w:rFonts w:hint="eastAsia" w:hAnsi="Times New Roman"/>
          <w:color w:val="000000" w:themeColor="text1"/>
          <w:lang w:val="en-US" w:eastAsia="zh-CN"/>
          <w14:textFill>
            <w14:solidFill>
              <w14:schemeClr w14:val="tx1"/>
            </w14:solidFill>
          </w14:textFill>
        </w:rPr>
      </w:pPr>
      <w:r>
        <w:rPr>
          <w:rFonts w:hint="eastAsia" w:hAnsi="Times New Roman"/>
          <w:color w:val="000000" w:themeColor="text1"/>
          <w:lang w:val="en-US" w:eastAsia="zh-CN"/>
          <w14:textFill>
            <w14:solidFill>
              <w14:schemeClr w14:val="tx1"/>
            </w14:solidFill>
          </w14:textFill>
        </w:rPr>
        <w:t>应符合GB/T 34065-2017中第6章要求。</w:t>
      </w:r>
    </w:p>
    <w:p w14:paraId="6C49C66B">
      <w:pPr>
        <w:pStyle w:val="35"/>
        <w:numPr>
          <w:ilvl w:val="1"/>
          <w:numId w:val="0"/>
        </w:numPr>
        <w:rPr>
          <w:rFonts w:hint="eastAsia" w:hAnsi="黑体" w:cs="黑体"/>
          <w:sz w:val="20"/>
          <w:szCs w:val="21"/>
          <w:lang w:val="en-US" w:eastAsia="zh-CN" w:bidi="ar-SA"/>
        </w:rPr>
      </w:pPr>
      <w:r>
        <w:rPr>
          <w:rFonts w:hint="eastAsia" w:hAnsi="黑体" w:cs="黑体"/>
          <w:sz w:val="20"/>
          <w:szCs w:val="21"/>
          <w:lang w:val="en-US" w:eastAsia="zh-CN" w:bidi="ar-SA"/>
        </w:rPr>
        <w:t>5</w:t>
      </w:r>
      <w:r>
        <w:rPr>
          <w:rFonts w:hint="default" w:ascii="黑体" w:hAnsi="黑体" w:eastAsia="黑体" w:cs="黑体"/>
          <w:sz w:val="20"/>
          <w:szCs w:val="21"/>
          <w:lang w:val="en-US" w:eastAsia="zh-CN" w:bidi="ar-SA"/>
        </w:rPr>
        <w:t>.</w:t>
      </w:r>
      <w:r>
        <w:rPr>
          <w:rFonts w:hint="eastAsia" w:hAnsi="黑体" w:cs="黑体"/>
          <w:sz w:val="20"/>
          <w:szCs w:val="21"/>
          <w:lang w:val="en-US" w:eastAsia="zh-CN" w:bidi="ar-SA"/>
        </w:rPr>
        <w:t>2激光安全</w:t>
      </w:r>
    </w:p>
    <w:p w14:paraId="3D1E33F3">
      <w:pPr>
        <w:pStyle w:val="23"/>
        <w:rPr>
          <w:rFonts w:hint="eastAsia" w:hAnsi="Times New Roman"/>
          <w:color w:val="000000" w:themeColor="text1"/>
          <w:lang w:val="en-US" w:eastAsia="zh-CN"/>
          <w14:textFill>
            <w14:solidFill>
              <w14:schemeClr w14:val="tx1"/>
            </w14:solidFill>
          </w14:textFill>
        </w:rPr>
      </w:pPr>
      <w:r>
        <w:rPr>
          <w:rFonts w:hint="eastAsia" w:hAnsi="Times New Roman"/>
          <w:color w:val="000000" w:themeColor="text1"/>
          <w:lang w:val="en-US" w:eastAsia="zh-CN"/>
          <w14:textFill>
            <w14:solidFill>
              <w14:schemeClr w14:val="tx1"/>
            </w14:solidFill>
          </w14:textFill>
        </w:rPr>
        <w:t>制造商提供的说明书、警示措施、防护措施应符合GB 7247.1的要求。</w:t>
      </w:r>
    </w:p>
    <w:p w14:paraId="464A3167">
      <w:pPr>
        <w:pStyle w:val="29"/>
        <w:bidi w:val="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工作条件要求</w:t>
      </w:r>
    </w:p>
    <w:p w14:paraId="2BCADEA9">
      <w:pPr>
        <w:pStyle w:val="23"/>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仪器在下列条件下应能正常工作：</w:t>
      </w:r>
    </w:p>
    <w:p w14:paraId="189D7130">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a）环境温度：</w:t>
      </w:r>
      <w:r>
        <w:rPr>
          <w:rFonts w:hint="eastAsia" w:hAnsi="宋体" w:cs="宋体"/>
          <w:color w:val="000000" w:themeColor="text1"/>
          <w:sz w:val="21"/>
          <w:szCs w:val="21"/>
          <w:lang w:val="en-US" w:eastAsia="zh-CN"/>
          <w14:textFill>
            <w14:solidFill>
              <w14:schemeClr w14:val="tx1"/>
            </w14:solidFill>
          </w14:textFill>
        </w:rPr>
        <w:t>0</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sz w:val="21"/>
          <w:szCs w:val="21"/>
        </w:rPr>
        <w:t>℃</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40 ℃；</w:t>
      </w:r>
    </w:p>
    <w:p w14:paraId="6F088C25">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b）相对湿度：</w:t>
      </w:r>
      <w:r>
        <w:rPr>
          <w:rFonts w:hint="eastAsia" w:hAnsi="宋体" w:cs="宋体"/>
          <w:color w:val="000000" w:themeColor="text1"/>
          <w:sz w:val="21"/>
          <w:szCs w:val="21"/>
          <w:lang w:val="en-US" w:eastAsia="zh-CN"/>
          <w14:textFill>
            <w14:solidFill>
              <w14:schemeClr w14:val="tx1"/>
            </w14:solidFill>
          </w14:textFill>
        </w:rPr>
        <w:t>20%</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r>
        <w:rPr>
          <w:rFonts w:hint="eastAsia" w:ascii="Times New Roman" w:cs="Times New Roman"/>
          <w:color w:val="000000" w:themeColor="text1"/>
          <w:sz w:val="21"/>
          <w:szCs w:val="21"/>
          <w:lang w:val="en-US" w:eastAsia="zh-CN"/>
          <w14:textFill>
            <w14:solidFill>
              <w14:schemeClr w14:val="tx1"/>
            </w14:solidFill>
          </w14:textFill>
        </w:rPr>
        <w:t>85</w:t>
      </w:r>
      <w:r>
        <w:rPr>
          <w:rFonts w:hint="eastAsia" w:ascii="宋体" w:hAnsi="宋体" w:eastAsia="宋体" w:cs="宋体"/>
          <w:color w:val="000000" w:themeColor="text1"/>
          <w:sz w:val="21"/>
          <w:szCs w:val="21"/>
          <w:lang w:val="en-US" w:eastAsia="zh-CN"/>
          <w14:textFill>
            <w14:solidFill>
              <w14:schemeClr w14:val="tx1"/>
            </w14:solidFill>
          </w14:textFill>
        </w:rPr>
        <w:t>%；</w:t>
      </w:r>
    </w:p>
    <w:p w14:paraId="66BA44E9">
      <w:pPr>
        <w:pStyle w:val="23"/>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c）供电电源：交流电源电压220 V±22 V，频率50 Hz±1 Hz，直流电源电压变化在±20%以内</w:t>
      </w:r>
      <w:r>
        <w:rPr>
          <w:rFonts w:hint="eastAsia" w:hAnsi="宋体" w:cs="宋体"/>
          <w:color w:val="000000" w:themeColor="text1"/>
          <w:sz w:val="21"/>
          <w:szCs w:val="21"/>
          <w:lang w:val="en-US" w:eastAsia="zh-CN"/>
          <w14:textFill>
            <w14:solidFill>
              <w14:schemeClr w14:val="tx1"/>
            </w14:solidFill>
          </w14:textFill>
        </w:rPr>
        <w:t>；</w:t>
      </w:r>
    </w:p>
    <w:p w14:paraId="2A2EDB99">
      <w:pPr>
        <w:pStyle w:val="23"/>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d）使用环境无强光直射。</w:t>
      </w:r>
    </w:p>
    <w:p w14:paraId="0F01F94B">
      <w:pPr>
        <w:pStyle w:val="29"/>
        <w:bidi w:val="0"/>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评价指标</w:t>
      </w:r>
    </w:p>
    <w:p w14:paraId="38DC68BC">
      <w:pPr>
        <w:pStyle w:val="35"/>
        <w:keepNext w:val="0"/>
        <w:keepLines w:val="0"/>
        <w:pageBreakBefore w:val="0"/>
        <w:widowControl/>
        <w:numPr>
          <w:ilvl w:val="1"/>
          <w:numId w:val="0"/>
        </w:numPr>
        <w:kinsoku/>
        <w:wordWrap/>
        <w:overflowPunct/>
        <w:topLinePunct w:val="0"/>
        <w:autoSpaceDE/>
        <w:autoSpaceDN/>
        <w:bidi w:val="0"/>
        <w:adjustRightInd/>
        <w:snapToGrid/>
        <w:spacing w:after="0" w:afterLines="0"/>
        <w:textAlignment w:val="auto"/>
        <w:rPr>
          <w:rFonts w:hint="default" w:hAnsi="黑体" w:cs="黑体"/>
          <w:sz w:val="21"/>
          <w:szCs w:val="21"/>
          <w:highlight w:val="none"/>
          <w:lang w:val="en-US" w:eastAsia="zh-CN" w:bidi="ar-SA"/>
        </w:rPr>
      </w:pPr>
      <w:r>
        <w:rPr>
          <w:rFonts w:hint="eastAsia" w:hAnsi="黑体" w:cs="黑体"/>
          <w:sz w:val="21"/>
          <w:szCs w:val="21"/>
          <w:highlight w:val="none"/>
          <w:lang w:val="en-US" w:eastAsia="zh-CN" w:bidi="ar-SA"/>
        </w:rPr>
        <w:t>7.1一般指标</w:t>
      </w:r>
    </w:p>
    <w:p w14:paraId="28054165">
      <w:pPr>
        <w:pStyle w:val="35"/>
        <w:keepNext w:val="0"/>
        <w:keepLines w:val="0"/>
        <w:pageBreakBefore w:val="0"/>
        <w:widowControl/>
        <w:numPr>
          <w:ilvl w:val="1"/>
          <w:numId w:val="0"/>
        </w:numPr>
        <w:kinsoku/>
        <w:wordWrap/>
        <w:overflowPunct/>
        <w:topLinePunct w:val="0"/>
        <w:autoSpaceDE/>
        <w:autoSpaceDN/>
        <w:bidi w:val="0"/>
        <w:adjustRightInd/>
        <w:snapToGrid/>
        <w:spacing w:before="157" w:beforeLines="50" w:after="157" w:afterLines="50"/>
        <w:textAlignment w:val="auto"/>
        <w:rPr>
          <w:rFonts w:hint="default" w:hAnsi="黑体" w:cs="黑体"/>
          <w:sz w:val="21"/>
          <w:szCs w:val="21"/>
          <w:lang w:val="en-US" w:eastAsia="zh-CN" w:bidi="ar-SA"/>
        </w:rPr>
      </w:pPr>
      <w:r>
        <w:rPr>
          <w:rFonts w:hint="eastAsia" w:hAnsi="黑体" w:cs="黑体"/>
          <w:sz w:val="21"/>
          <w:szCs w:val="21"/>
          <w:lang w:val="en-US" w:eastAsia="zh-CN" w:bidi="ar-SA"/>
        </w:rPr>
        <w:t>7.1.1仪器外观</w:t>
      </w:r>
    </w:p>
    <w:p w14:paraId="3647E263">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仪器外观应满足下列要求：</w:t>
      </w:r>
    </w:p>
    <w:p w14:paraId="20F9BD9F">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a）仪器所有表面不应有脱皮现象；</w:t>
      </w:r>
    </w:p>
    <w:p w14:paraId="261BD028">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b）表面应色泽均匀，不应有明显擦伤、露底、裂纹、气泡现象；</w:t>
      </w:r>
    </w:p>
    <w:p w14:paraId="27A3C324">
      <w:pPr>
        <w:pStyle w:val="23"/>
        <w:ind w:left="840" w:leftChars="200" w:hanging="420" w:hangingChars="2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c）面板上的文字、符号、标志应端正清晰耐久，一般包含仪器名称、型号、出厂编号、制造厂名、</w:t>
      </w:r>
    </w:p>
    <w:p w14:paraId="798FB3AF">
      <w:pPr>
        <w:pStyle w:val="23"/>
        <w:ind w:firstLine="630" w:firstLineChars="3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制造日期、额定工作电源电压及频率等信息；</w:t>
      </w:r>
    </w:p>
    <w:p w14:paraId="281176AD">
      <w:pPr>
        <w:pStyle w:val="23"/>
        <w:ind w:left="840" w:leftChars="200" w:hanging="420" w:hangingChars="2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d）外露零部件结合处应整齐，无粗糙不平现象，所有紧固件均应安装牢固，连接件应连接良好，</w:t>
      </w:r>
    </w:p>
    <w:p w14:paraId="2490EDE3">
      <w:pPr>
        <w:pStyle w:val="23"/>
        <w:ind w:left="840" w:leftChars="300" w:hanging="210" w:hangingChars="1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各调节旋钮、按键和开关均能正常工作，无松动现象，电缆线的接插件应接触良好；</w:t>
      </w:r>
    </w:p>
    <w:p w14:paraId="72A7133A">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e）不应有影响仪器正常工作的损伤。</w:t>
      </w:r>
    </w:p>
    <w:p w14:paraId="1C8E9750">
      <w:pPr>
        <w:pStyle w:val="35"/>
        <w:keepNext w:val="0"/>
        <w:keepLines w:val="0"/>
        <w:pageBreakBefore w:val="0"/>
        <w:widowControl/>
        <w:numPr>
          <w:ilvl w:val="1"/>
          <w:numId w:val="0"/>
        </w:numPr>
        <w:kinsoku/>
        <w:wordWrap/>
        <w:overflowPunct/>
        <w:topLinePunct w:val="0"/>
        <w:autoSpaceDE/>
        <w:autoSpaceDN/>
        <w:bidi w:val="0"/>
        <w:adjustRightInd/>
        <w:snapToGrid/>
        <w:spacing w:before="157" w:beforeLines="50" w:after="157" w:afterLines="50"/>
        <w:textAlignment w:val="auto"/>
        <w:rPr>
          <w:rFonts w:hint="default" w:hAnsi="黑体" w:cs="黑体"/>
          <w:sz w:val="21"/>
          <w:szCs w:val="21"/>
          <w:lang w:val="en-US" w:eastAsia="zh-CN" w:bidi="ar-SA"/>
        </w:rPr>
      </w:pPr>
      <w:r>
        <w:rPr>
          <w:rFonts w:hint="eastAsia" w:hAnsi="黑体" w:cs="黑体"/>
          <w:sz w:val="21"/>
          <w:szCs w:val="21"/>
          <w:lang w:val="en-US" w:eastAsia="zh-CN" w:bidi="ar-SA"/>
        </w:rPr>
        <w:t>7.1.2仪器便携性</w:t>
      </w:r>
    </w:p>
    <w:p w14:paraId="45E44A27">
      <w:pPr>
        <w:pStyle w:val="23"/>
        <w:rPr>
          <w:rFonts w:hint="eastAsia" w:hAnsi="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从物理尺寸与重量、供电方式、整机结构与形态、操作与配套设备4个方面评价仪器的便携性</w:t>
      </w:r>
      <w:r>
        <w:rPr>
          <w:rFonts w:hint="eastAsia" w:hAnsi="宋体" w:cs="宋体"/>
          <w:color w:val="000000" w:themeColor="text1"/>
          <w:sz w:val="21"/>
          <w:szCs w:val="21"/>
          <w:lang w:val="en-US" w:eastAsia="zh-CN"/>
          <w14:textFill>
            <w14:solidFill>
              <w14:schemeClr w14:val="tx1"/>
            </w14:solidFill>
          </w14:textFill>
        </w:rPr>
        <w:t>。</w:t>
      </w:r>
    </w:p>
    <w:p w14:paraId="5F82BF20">
      <w:pPr>
        <w:pStyle w:val="23"/>
        <w:rPr>
          <w:rFonts w:hint="eastAsia" w:hAnsi="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物理尺寸与重量</w:t>
      </w:r>
      <w:r>
        <w:rPr>
          <w:rFonts w:hint="eastAsia" w:hAnsi="宋体" w:cs="宋体"/>
          <w:color w:val="000000" w:themeColor="text1"/>
          <w:sz w:val="21"/>
          <w:szCs w:val="21"/>
          <w:lang w:val="en-US" w:eastAsia="zh-CN"/>
          <w14:textFill>
            <w14:solidFill>
              <w14:schemeClr w14:val="tx1"/>
            </w14:solidFill>
          </w14:textFill>
        </w:rPr>
        <w:t>：</w:t>
      </w:r>
    </w:p>
    <w:p w14:paraId="4FFCE334">
      <w:pPr>
        <w:pStyle w:val="23"/>
        <w:rPr>
          <w:rFonts w:hint="eastAsia"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a)整机体积小巧、结构紧凑，可单手握持、随身放入背包/工具箱；</w:t>
      </w:r>
    </w:p>
    <w:p w14:paraId="3D4E89AB">
      <w:pPr>
        <w:pStyle w:val="23"/>
        <w:rPr>
          <w:rFonts w:hint="eastAsia"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b)整机重量轻，单人可轻松搬运、手持长时间操作，无需多人协助。</w:t>
      </w:r>
    </w:p>
    <w:p w14:paraId="2BBB4723">
      <w:pPr>
        <w:pStyle w:val="23"/>
        <w:rPr>
          <w:rFonts w:hint="eastAsia"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供电方式:</w:t>
      </w:r>
    </w:p>
    <w:p w14:paraId="35DB686A">
      <w:pPr>
        <w:pStyle w:val="23"/>
        <w:rPr>
          <w:rFonts w:hint="default"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a)支持内置锂电池，可在野外/现场独立使用；</w:t>
      </w:r>
    </w:p>
    <w:p w14:paraId="26275BAE">
      <w:pPr>
        <w:pStyle w:val="23"/>
        <w:rPr>
          <w:rFonts w:hint="default"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b)兼容充电宝、车载USB、移动电源多方式供电，不用依赖固定插座；</w:t>
      </w:r>
    </w:p>
    <w:p w14:paraId="54D56184">
      <w:pPr>
        <w:pStyle w:val="23"/>
        <w:rPr>
          <w:rFonts w:hint="eastAsia"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c)低功耗设计，续航时间长。</w:t>
      </w:r>
    </w:p>
    <w:p w14:paraId="5E0CC3E6">
      <w:pPr>
        <w:pStyle w:val="23"/>
        <w:rPr>
          <w:rFonts w:hint="eastAsia"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整机结构与形态:</w:t>
      </w:r>
    </w:p>
    <w:p w14:paraId="67FE7B61">
      <w:pPr>
        <w:pStyle w:val="23"/>
        <w:rPr>
          <w:rFonts w:hint="default"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a)一体化集成，无需拆分组装，开箱即用；</w:t>
      </w:r>
    </w:p>
    <w:p w14:paraId="039F7D0D">
      <w:pPr>
        <w:pStyle w:val="23"/>
        <w:rPr>
          <w:rFonts w:hint="default"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b)手持笔式、掌上盒式、拉杆收纳式等便携造型；</w:t>
      </w:r>
    </w:p>
    <w:p w14:paraId="52B12E4C">
      <w:pPr>
        <w:pStyle w:val="23"/>
        <w:rPr>
          <w:rFonts w:hint="eastAsia"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c)自带防滑、防摔、防尘、防水机身设计，适应户外、商超等复杂现场。</w:t>
      </w:r>
    </w:p>
    <w:p w14:paraId="2A4C21E6">
      <w:pPr>
        <w:pStyle w:val="23"/>
        <w:rPr>
          <w:rFonts w:hint="eastAsia"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操作与配套设备：</w:t>
      </w:r>
    </w:p>
    <w:p w14:paraId="235FD528">
      <w:pPr>
        <w:pStyle w:val="23"/>
        <w:rPr>
          <w:rFonts w:hint="default" w:hAnsi="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a)免安装、免调试，开机自检、一键检测，无需专业搭建；</w:t>
      </w:r>
    </w:p>
    <w:p w14:paraId="500439F7">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b)配套耗材、试剂、附件精简易携带，无笨重辅助设备。</w:t>
      </w:r>
    </w:p>
    <w:p w14:paraId="42C9C781">
      <w:pPr>
        <w:pStyle w:val="35"/>
        <w:numPr>
          <w:ilvl w:val="1"/>
          <w:numId w:val="0"/>
        </w:numPr>
        <w:rPr>
          <w:rFonts w:hint="default" w:hAnsi="黑体" w:cs="黑体"/>
          <w:sz w:val="21"/>
          <w:szCs w:val="21"/>
          <w:lang w:val="en-US" w:eastAsia="zh-CN" w:bidi="ar-SA"/>
        </w:rPr>
      </w:pPr>
      <w:r>
        <w:rPr>
          <w:rFonts w:hint="eastAsia" w:hAnsi="黑体" w:cs="黑体"/>
          <w:sz w:val="21"/>
          <w:szCs w:val="21"/>
          <w:lang w:val="en-US" w:eastAsia="zh-CN" w:bidi="ar-SA"/>
        </w:rPr>
        <w:t>7.1.3</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仪器质量证明</w:t>
      </w:r>
    </w:p>
    <w:p w14:paraId="1942A4E5">
      <w:pPr>
        <w:pStyle w:val="23"/>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产品应具有产品质量合格证明。</w:t>
      </w:r>
    </w:p>
    <w:p w14:paraId="134DFE7A">
      <w:pPr>
        <w:pStyle w:val="35"/>
        <w:numPr>
          <w:ilvl w:val="1"/>
          <w:numId w:val="0"/>
        </w:numPr>
        <w:rPr>
          <w:rFonts w:hint="eastAsia" w:hAnsi="黑体" w:cs="黑体"/>
          <w:sz w:val="21"/>
          <w:szCs w:val="21"/>
          <w:lang w:val="en-US" w:eastAsia="zh-CN" w:bidi="ar-SA"/>
        </w:rPr>
      </w:pPr>
      <w:r>
        <w:rPr>
          <w:rFonts w:hint="eastAsia" w:hAnsi="黑体" w:cs="黑体"/>
          <w:sz w:val="21"/>
          <w:szCs w:val="21"/>
          <w:lang w:val="en-US" w:eastAsia="zh-CN" w:bidi="ar-SA"/>
        </w:rPr>
        <w:t>7.1.4</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仪器说明书</w:t>
      </w:r>
    </w:p>
    <w:p w14:paraId="6536AECB">
      <w:pPr>
        <w:pStyle w:val="23"/>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仪器使用说明书内容表述应清晰、完整，包括简介、应用范围、检测原理、检测环境要求、仪器性能指标、产品组成、注意事项等。</w:t>
      </w:r>
    </w:p>
    <w:p w14:paraId="232DD05F">
      <w:pPr>
        <w:pStyle w:val="35"/>
        <w:numPr>
          <w:ilvl w:val="1"/>
          <w:numId w:val="0"/>
        </w:numPr>
        <w:rPr>
          <w:rFonts w:hint="default" w:hAnsi="黑体" w:cs="黑体"/>
          <w:sz w:val="21"/>
          <w:szCs w:val="21"/>
          <w:lang w:val="en-US" w:eastAsia="zh-CN" w:bidi="ar-SA"/>
        </w:rPr>
      </w:pPr>
      <w:r>
        <w:rPr>
          <w:rFonts w:hint="eastAsia" w:hAnsi="黑体" w:cs="黑体"/>
          <w:sz w:val="21"/>
          <w:szCs w:val="21"/>
          <w:lang w:val="en-US" w:eastAsia="zh-CN" w:bidi="ar-SA"/>
        </w:rPr>
        <w:t>7.2</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技术指标</w:t>
      </w:r>
    </w:p>
    <w:p w14:paraId="52606B8E">
      <w:pPr>
        <w:pStyle w:val="35"/>
        <w:numPr>
          <w:ilvl w:val="1"/>
          <w:numId w:val="0"/>
        </w:numPr>
        <w:rPr>
          <w:rFonts w:hint="default" w:hAnsi="黑体" w:cs="黑体"/>
          <w:sz w:val="21"/>
          <w:szCs w:val="21"/>
          <w:lang w:val="en-US" w:eastAsia="zh-CN" w:bidi="ar-SA"/>
        </w:rPr>
      </w:pPr>
      <w:r>
        <w:rPr>
          <w:rFonts w:hint="eastAsia" w:hAnsi="黑体" w:cs="黑体"/>
          <w:sz w:val="21"/>
          <w:szCs w:val="21"/>
          <w:lang w:val="en-US" w:eastAsia="zh-CN" w:bidi="ar-SA"/>
        </w:rPr>
        <w:t>7.2.1</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试验用材料要求</w:t>
      </w:r>
    </w:p>
    <w:p w14:paraId="43FF2340">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试验用材料与设备应满足以下要求:</w:t>
      </w:r>
    </w:p>
    <w:p w14:paraId="54AF64C7">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a）单晶Si(111)标准物质，纯度&gt;99.999%；</w:t>
      </w:r>
    </w:p>
    <w:p w14:paraId="15CA8877">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b）聚苯乙烯标准物质，波数扩展不确定度：</w:t>
      </w:r>
      <w:r>
        <w:rPr>
          <w:rFonts w:hint="eastAsia" w:ascii="宋体" w:hAnsi="宋体" w:eastAsia="宋体" w:cs="宋体"/>
          <w:i/>
          <w:iCs/>
          <w:color w:val="000000" w:themeColor="text1"/>
          <w:sz w:val="21"/>
          <w:szCs w:val="21"/>
          <w:lang w:val="en-US" w:eastAsia="zh-CN"/>
          <w14:textFill>
            <w14:solidFill>
              <w14:schemeClr w14:val="tx1"/>
            </w14:solidFill>
          </w14:textFill>
        </w:rPr>
        <w:t>U</w:t>
      </w:r>
      <w:r>
        <w:rPr>
          <w:rFonts w:hint="eastAsia" w:ascii="宋体" w:hAnsi="宋体" w:eastAsia="宋体" w:cs="宋体"/>
          <w:color w:val="000000" w:themeColor="text1"/>
          <w:sz w:val="21"/>
          <w:szCs w:val="21"/>
          <w:lang w:val="en-US" w:eastAsia="zh-CN"/>
          <w14:textFill>
            <w14:solidFill>
              <w14:schemeClr w14:val="tx1"/>
            </w14:solidFill>
          </w14:textFill>
        </w:rPr>
        <w:t>≤0.6 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i/>
          <w:iCs/>
          <w:color w:val="000000" w:themeColor="text1"/>
          <w:sz w:val="21"/>
          <w:szCs w:val="21"/>
          <w:lang w:val="en-US" w:eastAsia="zh-CN"/>
          <w14:textFill>
            <w14:solidFill>
              <w14:schemeClr w14:val="tx1"/>
            </w14:solidFill>
          </w14:textFill>
        </w:rPr>
        <w:t>k</w:t>
      </w:r>
      <w:r>
        <w:rPr>
          <w:rFonts w:hint="eastAsia" w:ascii="宋体" w:hAnsi="宋体" w:eastAsia="宋体" w:cs="宋体"/>
          <w:color w:val="000000" w:themeColor="text1"/>
          <w:sz w:val="21"/>
          <w:szCs w:val="21"/>
          <w:lang w:val="en-US" w:eastAsia="zh-CN"/>
          <w14:textFill>
            <w14:solidFill>
              <w14:schemeClr w14:val="tx1"/>
            </w14:solidFill>
          </w14:textFill>
        </w:rPr>
        <w:t>=2；</w:t>
      </w:r>
    </w:p>
    <w:p w14:paraId="30B59015">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c）罗丹明B，优级纯，纯度≥99%。</w:t>
      </w:r>
    </w:p>
    <w:p w14:paraId="5F53C06C">
      <w:pPr>
        <w:pStyle w:val="35"/>
        <w:numPr>
          <w:ilvl w:val="1"/>
          <w:numId w:val="0"/>
        </w:numPr>
        <w:rPr>
          <w:rFonts w:hint="default" w:hAnsi="黑体" w:cs="黑体"/>
          <w:sz w:val="21"/>
          <w:szCs w:val="21"/>
          <w:lang w:val="en-US" w:eastAsia="zh-CN" w:bidi="ar-SA"/>
        </w:rPr>
      </w:pPr>
      <w:r>
        <w:rPr>
          <w:rFonts w:hint="eastAsia" w:hAnsi="黑体" w:cs="黑体"/>
          <w:sz w:val="21"/>
          <w:szCs w:val="21"/>
          <w:lang w:val="en-US" w:eastAsia="zh-CN" w:bidi="ar-SA"/>
        </w:rPr>
        <w:t>7.2.2</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光谱分辨率</w:t>
      </w:r>
    </w:p>
    <w:p w14:paraId="2C3FD11E">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关闭激光器。在仪器可测量光谱范围内,分别在下限、上限和中间附近选取适当的元素灯特征谱线。将元素灯输出的光经强度衰减后,引入光谱仪的测量光路。近等分选择三条强信号的特征谱线进行测量。测量并记录元素灯各谱峰的半高宽，重复测量6次，取平均值作为在相应激发波长下各波段的分辨率，取其最大值作为仪器的光谱分辨率。</w:t>
      </w:r>
    </w:p>
    <w:p w14:paraId="72A5326C">
      <w:pPr>
        <w:pStyle w:val="35"/>
        <w:numPr>
          <w:ilvl w:val="1"/>
          <w:numId w:val="0"/>
        </w:numPr>
        <w:rPr>
          <w:rFonts w:hint="default" w:hAnsi="黑体" w:cs="黑体"/>
          <w:sz w:val="21"/>
          <w:szCs w:val="21"/>
          <w:lang w:val="en-US" w:eastAsia="zh-CN" w:bidi="ar-SA"/>
        </w:rPr>
      </w:pPr>
      <w:r>
        <w:rPr>
          <w:rFonts w:hint="eastAsia" w:hAnsi="黑体" w:cs="黑体"/>
          <w:sz w:val="21"/>
          <w:szCs w:val="21"/>
          <w:lang w:val="en-US" w:eastAsia="zh-CN" w:bidi="ar-SA"/>
        </w:rPr>
        <w:t>7.2.3</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位移准确度</w:t>
      </w:r>
    </w:p>
    <w:p w14:paraId="04E0ED22">
      <w:pPr>
        <w:pStyle w:val="23"/>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将聚苯乙烯标准样品置于仪器信号采集探头的聚焦处或仪器的样品池，在仪器的最佳测量条件下，测量聚苯乙烯的拉曼光谱。记录仪器光谱范围内2个聚苯乙烯特征峰的位移值，重复测量3次，按公式（1）分别计算2个特征峰的位移测量值</w:t>
      </w:r>
      <w:r>
        <w:rPr>
          <w:rFonts w:hint="eastAsia" w:ascii="宋体" w:hAnsi="宋体" w:eastAsia="宋体" w:cs="宋体"/>
          <w:color w:val="000000" w:themeColor="text1"/>
          <w:sz w:val="21"/>
          <w:szCs w:val="21"/>
          <w:highlight w:val="none"/>
          <w:lang w:val="en-US" w:eastAsia="zh-CN"/>
          <w14:textFill>
            <w14:solidFill>
              <w14:schemeClr w14:val="tx1"/>
            </w14:solidFill>
          </w14:textFill>
        </w:rPr>
        <w:t>与标准位移值之差，取绝对值最大的差值作为仪器的位移准确度。聚苯乙烯拉曼光谱位移参考值可参考GB/T 40219-2021附录B。</w:t>
      </w:r>
    </w:p>
    <w:p w14:paraId="562F7C53">
      <w:pPr>
        <w:pStyle w:val="23"/>
        <w:ind w:firstLine="3360" w:firstLineChars="16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lang w:val="en-US" w:eastAsia="zh-CN"/>
        </w:rPr>
        <w:t>Δ</w:t>
      </w: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i</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im</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 xml:space="preserve">i </w:t>
      </w:r>
      <w:r>
        <w:rPr>
          <w:rFonts w:hint="eastAsia" w:ascii="宋体" w:hAnsi="宋体" w:eastAsia="宋体" w:cs="宋体"/>
          <w:color w:val="000000" w:themeColor="text1"/>
          <w:sz w:val="21"/>
          <w:szCs w:val="21"/>
          <w:vertAlign w:val="baseline"/>
          <w:lang w:val="en-US" w:eastAsia="zh-CN"/>
          <w14:textFill>
            <w14:solidFill>
              <w14:schemeClr w14:val="tx1"/>
            </w14:solidFill>
          </w14:textFill>
        </w:rPr>
        <w:t xml:space="preserve">                                           （1）</w:t>
      </w:r>
    </w:p>
    <w:p w14:paraId="042B2857">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式中：</w:t>
      </w:r>
    </w:p>
    <w:p w14:paraId="66AB3F0B">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lang w:val="en-US" w:eastAsia="zh-CN"/>
        </w:rPr>
        <w:t>Δ</w:t>
      </w: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i</w:t>
      </w:r>
      <w:r>
        <w:rPr>
          <w:rFonts w:hint="eastAsia" w:ascii="宋体" w:hAnsi="宋体" w:eastAsia="宋体" w:cs="宋体"/>
          <w:color w:val="000000" w:themeColor="text1"/>
          <w:sz w:val="21"/>
          <w:szCs w:val="21"/>
          <w:lang w:val="en-US" w:eastAsia="zh-CN"/>
          <w14:textFill>
            <w14:solidFill>
              <w14:schemeClr w14:val="tx1"/>
            </w14:solidFill>
          </w14:textFill>
        </w:rPr>
        <w:t>——第</w:t>
      </w:r>
      <w:r>
        <w:rPr>
          <w:rFonts w:hint="eastAsia" w:ascii="宋体" w:hAnsi="宋体" w:eastAsia="宋体" w:cs="宋体"/>
          <w:i/>
          <w:iCs/>
          <w:color w:val="000000" w:themeColor="text1"/>
          <w:sz w:val="21"/>
          <w:szCs w:val="21"/>
          <w:lang w:val="en-US" w:eastAsia="zh-CN"/>
          <w14:textFill>
            <w14:solidFill>
              <w14:schemeClr w14:val="tx1"/>
            </w14:solidFill>
          </w14:textFill>
        </w:rPr>
        <w:t>i</w:t>
      </w:r>
      <w:r>
        <w:rPr>
          <w:rFonts w:hint="eastAsia" w:ascii="宋体" w:hAnsi="宋体" w:eastAsia="宋体" w:cs="宋体"/>
          <w:color w:val="000000" w:themeColor="text1"/>
          <w:sz w:val="21"/>
          <w:szCs w:val="21"/>
          <w:lang w:val="en-US" w:eastAsia="zh-CN"/>
          <w14:textFill>
            <w14:solidFill>
              <w14:schemeClr w14:val="tx1"/>
            </w14:solidFill>
          </w14:textFill>
        </w:rPr>
        <w:t>个位移测量值与标准位移值之差，cm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w:t>
      </w:r>
    </w:p>
    <w:p w14:paraId="007CA073">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im</w:t>
      </w:r>
      <w:r>
        <w:rPr>
          <w:rFonts w:hint="eastAsia" w:ascii="宋体" w:hAnsi="宋体" w:eastAsia="宋体" w:cs="宋体"/>
          <w:color w:val="000000" w:themeColor="text1"/>
          <w:sz w:val="21"/>
          <w:szCs w:val="21"/>
          <w:lang w:val="en-US" w:eastAsia="zh-CN"/>
          <w14:textFill>
            <w14:solidFill>
              <w14:schemeClr w14:val="tx1"/>
            </w14:solidFill>
          </w14:textFill>
        </w:rPr>
        <w:t>——第</w:t>
      </w:r>
      <w:r>
        <w:rPr>
          <w:rFonts w:hint="eastAsia" w:ascii="宋体" w:hAnsi="宋体" w:eastAsia="宋体" w:cs="宋体"/>
          <w:i/>
          <w:iCs/>
          <w:color w:val="000000" w:themeColor="text1"/>
          <w:sz w:val="21"/>
          <w:szCs w:val="21"/>
          <w:lang w:val="en-US" w:eastAsia="zh-CN"/>
          <w14:textFill>
            <w14:solidFill>
              <w14:schemeClr w14:val="tx1"/>
            </w14:solidFill>
          </w14:textFill>
        </w:rPr>
        <w:t>i</w:t>
      </w:r>
      <w:r>
        <w:rPr>
          <w:rFonts w:hint="eastAsia" w:ascii="宋体" w:hAnsi="宋体" w:eastAsia="宋体" w:cs="宋体"/>
          <w:color w:val="000000" w:themeColor="text1"/>
          <w:sz w:val="21"/>
          <w:szCs w:val="21"/>
          <w:lang w:val="en-US" w:eastAsia="zh-CN"/>
          <w14:textFill>
            <w14:solidFill>
              <w14:schemeClr w14:val="tx1"/>
            </w14:solidFill>
          </w14:textFill>
        </w:rPr>
        <w:t>个位移测量值，cm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w:t>
      </w:r>
    </w:p>
    <w:p w14:paraId="1B533A5E">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i</w:t>
      </w:r>
      <w:r>
        <w:rPr>
          <w:rFonts w:hint="eastAsia" w:ascii="宋体" w:hAnsi="宋体" w:eastAsia="宋体" w:cs="宋体"/>
          <w:color w:val="000000" w:themeColor="text1"/>
          <w:sz w:val="21"/>
          <w:szCs w:val="21"/>
          <w:lang w:val="en-US" w:eastAsia="zh-CN"/>
          <w14:textFill>
            <w14:solidFill>
              <w14:schemeClr w14:val="tx1"/>
            </w14:solidFill>
          </w14:textFill>
        </w:rPr>
        <w:t>——第</w:t>
      </w:r>
      <w:r>
        <w:rPr>
          <w:rFonts w:hint="eastAsia" w:ascii="宋体" w:hAnsi="宋体" w:eastAsia="宋体" w:cs="宋体"/>
          <w:i/>
          <w:iCs/>
          <w:color w:val="000000" w:themeColor="text1"/>
          <w:sz w:val="21"/>
          <w:szCs w:val="21"/>
          <w:lang w:val="en-US" w:eastAsia="zh-CN"/>
          <w14:textFill>
            <w14:solidFill>
              <w14:schemeClr w14:val="tx1"/>
            </w14:solidFill>
          </w14:textFill>
        </w:rPr>
        <w:t>i</w:t>
      </w:r>
      <w:r>
        <w:rPr>
          <w:rFonts w:hint="eastAsia" w:ascii="宋体" w:hAnsi="宋体" w:eastAsia="宋体" w:cs="宋体"/>
          <w:color w:val="000000" w:themeColor="text1"/>
          <w:sz w:val="21"/>
          <w:szCs w:val="21"/>
          <w:lang w:val="en-US" w:eastAsia="zh-CN"/>
          <w14:textFill>
            <w14:solidFill>
              <w14:schemeClr w14:val="tx1"/>
            </w14:solidFill>
          </w14:textFill>
        </w:rPr>
        <w:t>个标准位移值，cm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vertAlign w:val="baseline"/>
          <w:lang w:val="en-US" w:eastAsia="zh-CN"/>
          <w14:textFill>
            <w14:solidFill>
              <w14:schemeClr w14:val="tx1"/>
            </w14:solidFill>
          </w14:textFill>
        </w:rPr>
        <w:t>。</w:t>
      </w:r>
    </w:p>
    <w:p w14:paraId="78B5A90F">
      <w:pPr>
        <w:pStyle w:val="35"/>
        <w:numPr>
          <w:ilvl w:val="1"/>
          <w:numId w:val="0"/>
        </w:numPr>
        <w:rPr>
          <w:rFonts w:hint="default" w:hAnsi="黑体" w:cs="黑体"/>
          <w:sz w:val="21"/>
          <w:szCs w:val="21"/>
          <w:lang w:val="en-US" w:eastAsia="zh-CN" w:bidi="ar-SA"/>
        </w:rPr>
      </w:pPr>
      <w:r>
        <w:rPr>
          <w:rFonts w:hint="eastAsia" w:hAnsi="黑体" w:cs="黑体"/>
          <w:sz w:val="21"/>
          <w:szCs w:val="21"/>
          <w:lang w:val="en-US" w:eastAsia="zh-CN" w:bidi="ar-SA"/>
        </w:rPr>
        <w:t>7.2.4</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位移重复性</w:t>
      </w:r>
    </w:p>
    <w:p w14:paraId="2DA16769">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按7.2.2中的测量方法，</w:t>
      </w:r>
      <w:r>
        <w:rPr>
          <w:rFonts w:hint="eastAsia" w:ascii="宋体" w:hAnsi="宋体" w:eastAsia="宋体" w:cs="宋体"/>
          <w:color w:val="000000" w:themeColor="text1"/>
          <w:sz w:val="21"/>
          <w:szCs w:val="21"/>
          <w:lang w:val="en-US" w:eastAsia="zh-CN"/>
          <w14:textFill>
            <w14:solidFill>
              <w14:schemeClr w14:val="tx1"/>
            </w14:solidFill>
          </w14:textFill>
        </w:rPr>
        <w:t>间隔5分钟测量一次，并记录特征峰的位移值，重复测量3次，按公式（2）分别计算2个特征峰的位移重复性，取最大的重复性值作为仪器的位移重复性。</w:t>
      </w:r>
    </w:p>
    <w:p w14:paraId="1C11AF79">
      <w:pPr>
        <w:pStyle w:val="23"/>
        <w:ind w:firstLine="3360" w:firstLineChars="16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lang w:val="en-US" w:eastAsia="zh-CN"/>
        </w:rPr>
        <w:t>Δ</w:t>
      </w: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max</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 xml:space="preserve">min </w:t>
      </w:r>
      <w:r>
        <w:rPr>
          <w:rFonts w:hint="eastAsia" w:ascii="宋体" w:hAnsi="宋体" w:eastAsia="宋体" w:cs="宋体"/>
          <w:color w:val="000000" w:themeColor="text1"/>
          <w:sz w:val="21"/>
          <w:szCs w:val="21"/>
          <w:vertAlign w:val="baseline"/>
          <w:lang w:val="en-US" w:eastAsia="zh-CN"/>
          <w14:textFill>
            <w14:solidFill>
              <w14:schemeClr w14:val="tx1"/>
            </w14:solidFill>
          </w14:textFill>
        </w:rPr>
        <w:t xml:space="preserve">                                           （2）</w:t>
      </w:r>
    </w:p>
    <w:p w14:paraId="34BC679E">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式中：</w:t>
      </w:r>
    </w:p>
    <w:p w14:paraId="6A8A0C06">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lang w:val="en-US" w:eastAsia="zh-CN"/>
        </w:rPr>
        <w:t>Δ</w:t>
      </w: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lang w:val="en-US" w:eastAsia="zh-CN"/>
          <w14:textFill>
            <w14:solidFill>
              <w14:schemeClr w14:val="tx1"/>
            </w14:solidFill>
          </w14:textFill>
        </w:rPr>
        <w:t>——位移重复性，cm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w:t>
      </w:r>
    </w:p>
    <w:p w14:paraId="396424B3">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max</w:t>
      </w:r>
      <w:r>
        <w:rPr>
          <w:rFonts w:hint="eastAsia" w:ascii="宋体" w:hAnsi="宋体" w:eastAsia="宋体" w:cs="宋体"/>
          <w:color w:val="000000" w:themeColor="text1"/>
          <w:sz w:val="21"/>
          <w:szCs w:val="21"/>
          <w:lang w:val="en-US" w:eastAsia="zh-CN"/>
          <w14:textFill>
            <w14:solidFill>
              <w14:schemeClr w14:val="tx1"/>
            </w14:solidFill>
          </w14:textFill>
        </w:rPr>
        <w:t>——3次测得的位移最大值，cm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w:t>
      </w:r>
    </w:p>
    <w:p w14:paraId="3CA13A88">
      <w:pPr>
        <w:pStyle w:val="23"/>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宋体" w:hAnsi="宋体" w:eastAsia="宋体" w:cs="宋体"/>
          <w:i/>
          <w:iCs/>
          <w:color w:val="000000" w:themeColor="text1"/>
          <w:sz w:val="21"/>
          <w:szCs w:val="21"/>
          <w:lang w:val="en-US" w:eastAsia="zh-CN"/>
          <w14:textFill>
            <w14:solidFill>
              <w14:schemeClr w14:val="tx1"/>
            </w14:solidFill>
          </w14:textFill>
        </w:rPr>
        <w:t>S</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min</w:t>
      </w:r>
      <w:r>
        <w:rPr>
          <w:rFonts w:hint="eastAsia" w:ascii="宋体" w:hAnsi="宋体" w:eastAsia="宋体" w:cs="宋体"/>
          <w:color w:val="000000" w:themeColor="text1"/>
          <w:sz w:val="21"/>
          <w:szCs w:val="21"/>
          <w:lang w:val="en-US" w:eastAsia="zh-CN"/>
          <w14:textFill>
            <w14:solidFill>
              <w14:schemeClr w14:val="tx1"/>
            </w14:solidFill>
          </w14:textFill>
        </w:rPr>
        <w:t>——3次测得的位移最小值，cm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w:t>
      </w:r>
    </w:p>
    <w:p w14:paraId="60C3CCCC">
      <w:pPr>
        <w:pStyle w:val="35"/>
        <w:numPr>
          <w:ilvl w:val="1"/>
          <w:numId w:val="0"/>
        </w:numPr>
        <w:rPr>
          <w:rFonts w:hint="default" w:hAnsi="黑体" w:cs="黑体"/>
          <w:sz w:val="21"/>
          <w:szCs w:val="21"/>
          <w:lang w:val="en-US" w:eastAsia="zh-CN" w:bidi="ar-SA"/>
        </w:rPr>
      </w:pPr>
      <w:r>
        <w:rPr>
          <w:rFonts w:hint="eastAsia" w:hAnsi="黑体" w:cs="黑体"/>
          <w:sz w:val="21"/>
          <w:szCs w:val="21"/>
          <w:lang w:val="en-US" w:eastAsia="zh-CN" w:bidi="ar-SA"/>
        </w:rPr>
        <w:t>7.2.5</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光谱强度重复性</w:t>
      </w:r>
    </w:p>
    <w:p w14:paraId="4FFDE254">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按7.2.2中的测量方法，间隔5分钟测量一次，并记录特征峰强度值，重复测量7次，按公式（3）分别计算2个特征峰的光谱强</w:t>
      </w:r>
      <w:r>
        <w:rPr>
          <w:rFonts w:hint="eastAsia" w:ascii="宋体" w:hAnsi="宋体" w:eastAsia="宋体" w:cs="宋体"/>
          <w:color w:val="000000" w:themeColor="text1"/>
          <w:sz w:val="21"/>
          <w:szCs w:val="21"/>
          <w:lang w:val="en-US" w:eastAsia="zh-CN"/>
          <w14:textFill>
            <w14:solidFill>
              <w14:schemeClr w14:val="tx1"/>
            </w14:solidFill>
          </w14:textFill>
        </w:rPr>
        <w:t>度重复性，取最大的重复性值作为本测试时间段内仪器的光谱强度重复性。</w:t>
      </w:r>
    </w:p>
    <w:p w14:paraId="5DF64EDF">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sz w:val="21"/>
          <w:szCs w:val="21"/>
          <w:lang w:val="en-US" w:eastAsia="zh-CN"/>
        </w:rPr>
        <w:t xml:space="preserve">                  </w:t>
      </w:r>
      <m:oMath>
        <m:sSub>
          <m:sSubPr>
            <m:ctrlPr>
              <w:rPr>
                <w:rFonts w:hint="eastAsia" w:ascii="Cambria Math" w:hAnsi="Cambria Math" w:eastAsia="宋体" w:cs="宋体"/>
                <w:sz w:val="21"/>
                <w:szCs w:val="21"/>
              </w:rPr>
            </m:ctrlPr>
          </m:sSubPr>
          <m:e>
            <m:r>
              <m:rPr>
                <m:nor/>
              </m:rPr>
              <w:rPr>
                <w:rFonts w:hint="eastAsia" w:ascii="Cambria Math" w:hAnsi="Cambria Math" w:eastAsia="宋体" w:cs="宋体"/>
                <w:i/>
                <w:sz w:val="21"/>
                <w:szCs w:val="21"/>
              </w:rPr>
              <m:t>δ</m:t>
            </m:r>
            <m:ctrlPr>
              <w:rPr>
                <w:rFonts w:hint="eastAsia" w:ascii="Cambria Math" w:hAnsi="Cambria Math" w:eastAsia="宋体" w:cs="宋体"/>
                <w:sz w:val="21"/>
                <w:szCs w:val="21"/>
              </w:rPr>
            </m:ctrlPr>
          </m:e>
          <m:sub>
            <m:r>
              <m:rPr>
                <m:nor/>
              </m:rPr>
              <w:rPr>
                <w:rFonts w:hint="eastAsia" w:ascii="Cambria Math" w:hAnsi="Cambria Math" w:eastAsia="宋体" w:cs="宋体"/>
                <w:i/>
                <w:sz w:val="21"/>
                <w:szCs w:val="21"/>
              </w:rPr>
              <m:t>I</m:t>
            </m:r>
            <m:ctrlPr>
              <w:rPr>
                <w:rFonts w:hint="eastAsia" w:ascii="Cambria Math" w:hAnsi="Cambria Math" w:eastAsia="宋体" w:cs="宋体"/>
                <w:sz w:val="21"/>
                <w:szCs w:val="21"/>
              </w:rPr>
            </m:ctrlPr>
          </m:sub>
        </m:sSub>
        <m:r>
          <m:rPr>
            <m:nor/>
            <m:sty m:val="p"/>
          </m:rPr>
          <w:rPr>
            <w:rFonts w:hint="eastAsia" w:ascii="Cambria Math" w:hAnsi="Cambria Math" w:eastAsia="宋体" w:cs="宋体"/>
            <w:b w:val="0"/>
            <w:i w:val="0"/>
            <w:sz w:val="21"/>
            <w:szCs w:val="21"/>
          </w:rPr>
          <m:t>=</m:t>
        </m:r>
        <m:f>
          <m:fPr>
            <m:ctrlPr>
              <w:rPr>
                <w:rFonts w:hint="eastAsia" w:ascii="Cambria Math" w:hAnsi="Cambria Math" w:eastAsia="宋体" w:cs="宋体"/>
                <w:i/>
                <w:sz w:val="21"/>
                <w:szCs w:val="21"/>
              </w:rPr>
            </m:ctrlPr>
          </m:fPr>
          <m:num>
            <m:r>
              <m:rPr>
                <m:nor/>
                <m:sty m:val="p"/>
              </m:rPr>
              <w:rPr>
                <w:rFonts w:hint="eastAsia" w:ascii="Cambria Math" w:hAnsi="Cambria Math" w:eastAsia="宋体" w:cs="宋体"/>
                <w:b w:val="0"/>
                <w:i w:val="0"/>
                <w:sz w:val="21"/>
                <w:szCs w:val="21"/>
              </w:rPr>
              <m:t>1</m:t>
            </m:r>
            <m:ctrlPr>
              <w:rPr>
                <w:rFonts w:hint="eastAsia" w:ascii="Cambria Math" w:hAnsi="Cambria Math" w:eastAsia="宋体" w:cs="宋体"/>
                <w:sz w:val="21"/>
                <w:szCs w:val="21"/>
              </w:rPr>
            </m:ctrlPr>
          </m:num>
          <m:den>
            <m:sSub>
              <m:sSubPr>
                <m:ctrlPr>
                  <w:rPr>
                    <w:rFonts w:hint="eastAsia" w:ascii="Cambria Math" w:hAnsi="Cambria Math" w:eastAsia="宋体" w:cs="宋体"/>
                    <w:i/>
                    <w:iCs/>
                    <w:sz w:val="21"/>
                    <w:szCs w:val="21"/>
                  </w:rPr>
                </m:ctrlPr>
              </m:sSubPr>
              <m:e>
                <m:bar>
                  <m:barPr>
                    <m:pos m:val="top"/>
                    <m:ctrlPr>
                      <w:rPr>
                        <w:rFonts w:hint="eastAsia" w:ascii="Cambria Math" w:hAnsi="Cambria Math" w:eastAsia="宋体" w:cs="宋体"/>
                        <w:i/>
                        <w:iCs/>
                        <w:sz w:val="21"/>
                        <w:szCs w:val="21"/>
                      </w:rPr>
                    </m:ctrlPr>
                  </m:barPr>
                  <m:e>
                    <m:r>
                      <m:rPr>
                        <m:nor/>
                      </m:rPr>
                      <w:rPr>
                        <w:rFonts w:hint="eastAsia" w:ascii="Cambria Math" w:hAnsi="Cambria Math" w:eastAsia="宋体" w:cs="宋体"/>
                        <w:i/>
                        <w:sz w:val="21"/>
                        <w:szCs w:val="21"/>
                        <w:lang w:val="en-US" w:eastAsia="zh-CN"/>
                      </w:rPr>
                      <m:t>I</m:t>
                    </m:r>
                    <m:ctrlPr>
                      <w:rPr>
                        <w:rFonts w:hint="eastAsia" w:ascii="Cambria Math" w:hAnsi="Cambria Math" w:eastAsia="宋体" w:cs="宋体"/>
                        <w:i/>
                        <w:iCs/>
                        <w:sz w:val="21"/>
                        <w:szCs w:val="21"/>
                      </w:rPr>
                    </m:ctrlPr>
                  </m:e>
                </m:bar>
                <m:ctrlPr>
                  <w:rPr>
                    <w:rFonts w:hint="eastAsia" w:ascii="Cambria Math" w:hAnsi="Cambria Math" w:eastAsia="宋体" w:cs="宋体"/>
                    <w:i/>
                    <w:iCs/>
                    <w:sz w:val="21"/>
                    <w:szCs w:val="21"/>
                  </w:rPr>
                </m:ctrlPr>
              </m:e>
              <m:sub>
                <m:r>
                  <m:rPr>
                    <m:nor/>
                  </m:rPr>
                  <w:rPr>
                    <w:rFonts w:hint="eastAsia" w:ascii="Cambria Math" w:hAnsi="Cambria Math" w:eastAsia="宋体" w:cs="宋体"/>
                    <w:i/>
                    <w:sz w:val="21"/>
                    <w:szCs w:val="21"/>
                    <w:lang w:val="en-US" w:eastAsia="zh-CN"/>
                  </w:rPr>
                  <m:t>B</m:t>
                </m:r>
                <m:ctrlPr>
                  <w:rPr>
                    <w:rFonts w:hint="eastAsia" w:ascii="Cambria Math" w:hAnsi="Cambria Math" w:eastAsia="宋体" w:cs="宋体"/>
                    <w:i/>
                    <w:iCs/>
                    <w:sz w:val="21"/>
                    <w:szCs w:val="21"/>
                  </w:rPr>
                </m:ctrlPr>
              </m:sub>
            </m:sSub>
            <m:ctrlPr>
              <w:rPr>
                <w:rFonts w:hint="eastAsia" w:ascii="Cambria Math" w:hAnsi="Cambria Math" w:eastAsia="宋体" w:cs="宋体"/>
                <w:sz w:val="21"/>
                <w:szCs w:val="21"/>
              </w:rPr>
            </m:ctrlPr>
          </m:den>
        </m:f>
        <m:f>
          <m:fPr>
            <m:ctrlPr>
              <w:rPr>
                <w:rFonts w:hint="eastAsia" w:ascii="Cambria Math" w:hAnsi="Cambria Math" w:eastAsia="宋体" w:cs="宋体"/>
                <w:sz w:val="21"/>
                <w:szCs w:val="21"/>
              </w:rPr>
            </m:ctrlPr>
          </m:fPr>
          <m:num>
            <m:rad>
              <m:radPr>
                <m:degHide m:val="1"/>
                <m:ctrlPr>
                  <w:rPr>
                    <w:rFonts w:hint="eastAsia" w:ascii="Cambria Math" w:hAnsi="Cambria Math" w:eastAsia="宋体" w:cs="宋体"/>
                    <w:i/>
                    <w:sz w:val="21"/>
                    <w:szCs w:val="21"/>
                  </w:rPr>
                </m:ctrlPr>
              </m:radPr>
              <m:deg>
                <m:ctrlPr>
                  <w:rPr>
                    <w:rFonts w:hint="eastAsia" w:ascii="Cambria Math" w:hAnsi="Cambria Math" w:eastAsia="宋体" w:cs="宋体"/>
                    <w:sz w:val="21"/>
                    <w:szCs w:val="21"/>
                  </w:rPr>
                </m:ctrlPr>
              </m:deg>
              <m:e>
                <m:nary>
                  <m:naryPr>
                    <m:chr m:val="∑"/>
                    <m:limLoc m:val="undOvr"/>
                    <m:ctrlPr>
                      <w:rPr>
                        <w:rFonts w:hint="eastAsia" w:ascii="Cambria Math" w:hAnsi="Cambria Math" w:eastAsia="宋体" w:cs="宋体"/>
                        <w:i/>
                        <w:sz w:val="21"/>
                        <w:szCs w:val="21"/>
                      </w:rPr>
                    </m:ctrlPr>
                  </m:naryPr>
                  <m:sub>
                    <m:r>
                      <m:rPr>
                        <m:nor/>
                      </m:rPr>
                      <w:rPr>
                        <w:rFonts w:hint="eastAsia" w:ascii="Cambria Math" w:hAnsi="Cambria Math" w:eastAsia="宋体" w:cs="宋体"/>
                        <w:i/>
                        <w:sz w:val="21"/>
                        <w:szCs w:val="21"/>
                      </w:rPr>
                      <m:t>i</m:t>
                    </m:r>
                    <m:r>
                      <m:rPr>
                        <m:nor/>
                        <m:sty m:val="p"/>
                      </m:rPr>
                      <w:rPr>
                        <w:rFonts w:hint="eastAsia" w:ascii="Cambria Math" w:hAnsi="Cambria Math" w:eastAsia="宋体" w:cs="宋体"/>
                        <w:b w:val="0"/>
                        <w:i w:val="0"/>
                        <w:sz w:val="21"/>
                        <w:szCs w:val="21"/>
                        <w:lang w:val="en-US" w:eastAsia="zh-CN"/>
                      </w:rPr>
                      <m:t>=1</m:t>
                    </m:r>
                    <m:ctrlPr>
                      <w:rPr>
                        <w:rFonts w:hint="eastAsia" w:ascii="Cambria Math" w:hAnsi="Cambria Math" w:eastAsia="宋体" w:cs="宋体"/>
                        <w:sz w:val="21"/>
                        <w:szCs w:val="21"/>
                      </w:rPr>
                    </m:ctrlPr>
                  </m:sub>
                  <m:sup>
                    <m:r>
                      <m:rPr>
                        <m:nor/>
                      </m:rPr>
                      <w:rPr>
                        <w:rFonts w:hint="eastAsia" w:ascii="Cambria Math" w:hAnsi="Cambria Math" w:eastAsia="宋体" w:cs="宋体"/>
                        <w:i/>
                        <w:sz w:val="21"/>
                        <w:szCs w:val="21"/>
                      </w:rPr>
                      <m:t>n</m:t>
                    </m:r>
                    <m:ctrlPr>
                      <w:rPr>
                        <w:rFonts w:hint="eastAsia" w:ascii="Cambria Math" w:hAnsi="Cambria Math" w:eastAsia="宋体" w:cs="宋体"/>
                        <w:sz w:val="21"/>
                        <w:szCs w:val="21"/>
                      </w:rPr>
                    </m:ctrlPr>
                  </m:sup>
                  <m:e>
                    <m:r>
                      <m:rPr>
                        <m:nor/>
                        <m:sty m:val="p"/>
                      </m:rPr>
                      <w:rPr>
                        <w:rFonts w:hint="eastAsia" w:ascii="Cambria Math" w:hAnsi="Cambria Math" w:eastAsia="宋体" w:cs="宋体"/>
                        <w:b w:val="0"/>
                        <w:i w:val="0"/>
                        <w:sz w:val="21"/>
                        <w:szCs w:val="21"/>
                      </w:rPr>
                      <m:t>(</m:t>
                    </m:r>
                    <m:ctrlPr>
                      <w:rPr>
                        <w:rFonts w:hint="eastAsia" w:ascii="Cambria Math" w:hAnsi="Cambria Math" w:eastAsia="宋体" w:cs="宋体"/>
                        <w:sz w:val="21"/>
                        <w:szCs w:val="21"/>
                      </w:rPr>
                    </m:ctrlPr>
                  </m:e>
                </m:nary>
                <m:sSub>
                  <m:sSubPr>
                    <m:ctrlPr>
                      <w:rPr>
                        <w:rFonts w:hint="eastAsia" w:ascii="Cambria Math" w:hAnsi="Cambria Math" w:eastAsia="宋体" w:cs="宋体"/>
                        <w:sz w:val="21"/>
                        <w:szCs w:val="21"/>
                      </w:rPr>
                    </m:ctrlPr>
                  </m:sSubPr>
                  <m:e>
                    <m:r>
                      <m:rPr>
                        <m:nor/>
                      </m:rPr>
                      <w:rPr>
                        <w:rFonts w:hint="eastAsia" w:ascii="Cambria Math" w:hAnsi="Cambria Math" w:eastAsia="宋体" w:cs="宋体"/>
                        <w:i/>
                        <w:sz w:val="21"/>
                        <w:szCs w:val="21"/>
                      </w:rPr>
                      <m:t>I</m:t>
                    </m:r>
                    <m:ctrlPr>
                      <w:rPr>
                        <w:rFonts w:hint="eastAsia" w:ascii="Cambria Math" w:hAnsi="Cambria Math" w:eastAsia="宋体" w:cs="宋体"/>
                        <w:sz w:val="21"/>
                        <w:szCs w:val="21"/>
                      </w:rPr>
                    </m:ctrlPr>
                  </m:e>
                  <m:sub>
                    <m:r>
                      <m:rPr>
                        <m:nor/>
                      </m:rPr>
                      <w:rPr>
                        <w:rFonts w:hint="eastAsia" w:ascii="Cambria Math" w:hAnsi="Cambria Math" w:eastAsia="宋体" w:cs="宋体"/>
                        <w:i/>
                        <w:sz w:val="21"/>
                        <w:szCs w:val="21"/>
                      </w:rPr>
                      <m:t>i</m:t>
                    </m:r>
                    <m:ctrlPr>
                      <w:rPr>
                        <w:rFonts w:hint="eastAsia" w:ascii="Cambria Math" w:hAnsi="Cambria Math" w:eastAsia="宋体" w:cs="宋体"/>
                        <w:sz w:val="21"/>
                        <w:szCs w:val="21"/>
                      </w:rPr>
                    </m:ctrlPr>
                  </m:sub>
                </m:sSub>
                <m:r>
                  <m:rPr>
                    <m:nor/>
                    <m:sty m:val="p"/>
                  </m:rPr>
                  <w:rPr>
                    <w:rFonts w:hint="eastAsia" w:ascii="Cambria Math" w:hAnsi="Cambria Math" w:eastAsia="宋体" w:cs="宋体"/>
                    <w:b w:val="0"/>
                    <w:i w:val="0"/>
                    <w:sz w:val="21"/>
                    <w:szCs w:val="21"/>
                  </w:rPr>
                  <m:t>−</m:t>
                </m:r>
                <m:sSub>
                  <m:sSubPr>
                    <m:ctrlPr>
                      <w:rPr>
                        <w:rFonts w:hint="eastAsia" w:ascii="Cambria Math" w:hAnsi="Cambria Math" w:eastAsia="宋体" w:cs="宋体"/>
                        <w:i/>
                        <w:iCs/>
                        <w:sz w:val="21"/>
                        <w:szCs w:val="21"/>
                      </w:rPr>
                    </m:ctrlPr>
                  </m:sSubPr>
                  <m:e>
                    <m:bar>
                      <m:barPr>
                        <m:pos m:val="top"/>
                        <m:ctrlPr>
                          <w:rPr>
                            <w:rFonts w:hint="eastAsia" w:ascii="Cambria Math" w:hAnsi="Cambria Math" w:eastAsia="宋体" w:cs="宋体"/>
                            <w:i/>
                            <w:iCs/>
                            <w:sz w:val="21"/>
                            <w:szCs w:val="21"/>
                          </w:rPr>
                        </m:ctrlPr>
                      </m:barPr>
                      <m:e>
                        <m:r>
                          <m:rPr>
                            <m:nor/>
                          </m:rPr>
                          <w:rPr>
                            <w:rFonts w:hint="eastAsia" w:ascii="Cambria Math" w:hAnsi="Cambria Math" w:eastAsia="宋体" w:cs="宋体"/>
                            <w:i/>
                            <w:sz w:val="21"/>
                            <w:szCs w:val="21"/>
                            <w:lang w:val="en-US" w:eastAsia="zh-CN"/>
                          </w:rPr>
                          <m:t>I</m:t>
                        </m:r>
                        <m:ctrlPr>
                          <w:rPr>
                            <w:rFonts w:hint="eastAsia" w:ascii="Cambria Math" w:hAnsi="Cambria Math" w:eastAsia="宋体" w:cs="宋体"/>
                            <w:i/>
                            <w:iCs/>
                            <w:sz w:val="21"/>
                            <w:szCs w:val="21"/>
                          </w:rPr>
                        </m:ctrlPr>
                      </m:e>
                    </m:bar>
                    <m:ctrlPr>
                      <w:rPr>
                        <w:rFonts w:hint="eastAsia" w:ascii="Cambria Math" w:hAnsi="Cambria Math" w:eastAsia="宋体" w:cs="宋体"/>
                        <w:i/>
                        <w:iCs/>
                        <w:sz w:val="21"/>
                        <w:szCs w:val="21"/>
                      </w:rPr>
                    </m:ctrlPr>
                  </m:e>
                  <m:sub>
                    <m:r>
                      <m:rPr>
                        <m:nor/>
                      </m:rPr>
                      <w:rPr>
                        <w:rFonts w:hint="eastAsia" w:ascii="Cambria Math" w:hAnsi="Cambria Math" w:eastAsia="宋体" w:cs="宋体"/>
                        <w:i/>
                        <w:sz w:val="21"/>
                        <w:szCs w:val="21"/>
                        <w:lang w:val="en-US" w:eastAsia="zh-CN"/>
                      </w:rPr>
                      <m:t>B</m:t>
                    </m:r>
                    <m:ctrlPr>
                      <w:rPr>
                        <w:rFonts w:hint="eastAsia" w:ascii="Cambria Math" w:hAnsi="Cambria Math" w:eastAsia="宋体" w:cs="宋体"/>
                        <w:i/>
                        <w:iCs/>
                        <w:sz w:val="21"/>
                        <w:szCs w:val="21"/>
                      </w:rPr>
                    </m:ctrlPr>
                  </m:sub>
                </m:sSub>
                <m:sSup>
                  <m:sSupPr>
                    <m:ctrlPr>
                      <w:rPr>
                        <w:rFonts w:hint="eastAsia" w:ascii="Cambria Math" w:hAnsi="Cambria Math" w:eastAsia="宋体" w:cs="宋体"/>
                        <w:sz w:val="21"/>
                        <w:szCs w:val="21"/>
                      </w:rPr>
                    </m:ctrlPr>
                  </m:sSupPr>
                  <m:e>
                    <m:r>
                      <m:rPr>
                        <m:nor/>
                        <m:sty m:val="p"/>
                      </m:rPr>
                      <w:rPr>
                        <w:rFonts w:hint="eastAsia" w:ascii="Cambria Math" w:hAnsi="Cambria Math" w:eastAsia="宋体" w:cs="宋体"/>
                        <w:b w:val="0"/>
                        <w:i w:val="0"/>
                        <w:sz w:val="21"/>
                        <w:szCs w:val="21"/>
                      </w:rPr>
                      <m:t>)</m:t>
                    </m:r>
                    <m:ctrlPr>
                      <w:rPr>
                        <w:rFonts w:hint="eastAsia" w:ascii="Cambria Math" w:hAnsi="Cambria Math" w:eastAsia="宋体" w:cs="宋体"/>
                        <w:sz w:val="21"/>
                        <w:szCs w:val="21"/>
                      </w:rPr>
                    </m:ctrlPr>
                  </m:e>
                  <m:sup>
                    <m:r>
                      <m:rPr>
                        <m:nor/>
                        <m:sty m:val="p"/>
                      </m:rPr>
                      <w:rPr>
                        <w:rFonts w:hint="eastAsia" w:ascii="Cambria Math" w:hAnsi="Cambria Math" w:eastAsia="宋体" w:cs="宋体"/>
                        <w:b w:val="0"/>
                        <w:i w:val="0"/>
                        <w:sz w:val="21"/>
                        <w:szCs w:val="21"/>
                      </w:rPr>
                      <m:t>2</m:t>
                    </m:r>
                    <m:ctrlPr>
                      <w:rPr>
                        <w:rFonts w:hint="eastAsia" w:ascii="Cambria Math" w:hAnsi="Cambria Math" w:eastAsia="宋体" w:cs="宋体"/>
                        <w:sz w:val="21"/>
                        <w:szCs w:val="21"/>
                      </w:rPr>
                    </m:ctrlPr>
                  </m:sup>
                </m:sSup>
                <m:ctrlPr>
                  <w:rPr>
                    <w:rFonts w:hint="eastAsia" w:ascii="Cambria Math" w:hAnsi="Cambria Math" w:eastAsia="宋体" w:cs="宋体"/>
                    <w:sz w:val="21"/>
                    <w:szCs w:val="21"/>
                  </w:rPr>
                </m:ctrlPr>
              </m:e>
            </m:rad>
            <m:ctrlPr>
              <w:rPr>
                <w:rFonts w:hint="eastAsia" w:ascii="Cambria Math" w:hAnsi="Cambria Math" w:eastAsia="宋体" w:cs="宋体"/>
                <w:sz w:val="21"/>
                <w:szCs w:val="21"/>
              </w:rPr>
            </m:ctrlPr>
          </m:num>
          <m:den>
            <m:r>
              <m:rPr>
                <m:nor/>
                <m:sty m:val="p"/>
              </m:rPr>
              <w:rPr>
                <w:rFonts w:hint="eastAsia" w:ascii="Cambria Math" w:hAnsi="Cambria Math" w:eastAsia="宋体" w:cs="宋体"/>
                <w:b w:val="0"/>
                <w:i w:val="0"/>
                <w:sz w:val="21"/>
                <w:szCs w:val="21"/>
                <w:lang w:val="en-US" w:eastAsia="zh-CN"/>
              </w:rPr>
              <m:t>n−1</m:t>
            </m:r>
            <m:ctrlPr>
              <w:rPr>
                <w:rFonts w:hint="eastAsia" w:ascii="Cambria Math" w:hAnsi="Cambria Math" w:eastAsia="宋体" w:cs="宋体"/>
                <w:sz w:val="21"/>
                <w:szCs w:val="21"/>
              </w:rPr>
            </m:ctrlPr>
          </m:den>
        </m:f>
        <m:r>
          <m:rPr>
            <m:nor/>
            <m:sty m:val="p"/>
          </m:rPr>
          <w:rPr>
            <w:rFonts w:hint="eastAsia" w:ascii="Cambria Math" w:hAnsi="Cambria Math" w:eastAsia="宋体" w:cs="宋体"/>
            <w:b w:val="0"/>
            <w:i w:val="0"/>
            <w:sz w:val="21"/>
            <w:szCs w:val="21"/>
          </w:rPr>
          <m:t>×100%</m:t>
        </m:r>
      </m:oMath>
      <w:r>
        <w:rPr>
          <w:rFonts w:hint="eastAsia" w:ascii="宋体" w:hAnsi="宋体" w:eastAsia="宋体" w:cs="宋体"/>
          <w:color w:val="000000" w:themeColor="text1"/>
          <w:sz w:val="21"/>
          <w:szCs w:val="21"/>
          <w:vertAlign w:val="baseline"/>
          <w:lang w:val="en-US" w:eastAsia="zh-CN"/>
          <w14:textFill>
            <w14:solidFill>
              <w14:schemeClr w14:val="tx1"/>
            </w14:solidFill>
          </w14:textFill>
        </w:rPr>
        <w:t xml:space="preserve">                                     （3）</w:t>
      </w:r>
    </w:p>
    <w:p w14:paraId="516A0457">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iCs/>
          <w:sz w:val="21"/>
          <w:szCs w:val="21"/>
          <w:lang w:val="en-US" w:eastAsia="zh-CN"/>
        </w:rPr>
        <w:t>δ</w:t>
      </w:r>
      <w:r>
        <w:rPr>
          <w:rFonts w:hint="eastAsia" w:ascii="宋体" w:hAnsi="宋体" w:eastAsia="宋体" w:cs="宋体"/>
          <w:i/>
          <w:iCs/>
          <w:sz w:val="21"/>
          <w:szCs w:val="21"/>
          <w:vertAlign w:val="subscript"/>
          <w:lang w:val="en-US" w:eastAsia="zh-CN"/>
        </w:rPr>
        <w:t>I</w:t>
      </w:r>
      <w:r>
        <w:rPr>
          <w:rFonts w:hint="eastAsia" w:ascii="宋体" w:hAnsi="宋体" w:eastAsia="宋体" w:cs="宋体"/>
          <w:sz w:val="21"/>
          <w:szCs w:val="21"/>
          <w:lang w:val="en-US" w:eastAsia="zh-CN"/>
        </w:rPr>
        <w:t>——光谱强度重复性，%；</w:t>
      </w:r>
    </w:p>
    <w:p w14:paraId="2E32D2CB">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iCs/>
          <w:color w:val="000000" w:themeColor="text1"/>
          <w:sz w:val="21"/>
          <w:szCs w:val="21"/>
          <w:lang w:val="en-US" w:eastAsia="zh-CN"/>
          <w14:textFill>
            <w14:solidFill>
              <w14:schemeClr w14:val="tx1"/>
            </w14:solidFill>
          </w14:textFill>
        </w:rPr>
        <w:t>I</w:t>
      </w:r>
      <w:r>
        <w:rPr>
          <w:rFonts w:hint="eastAsia" w:ascii="宋体" w:hAnsi="宋体" w:eastAsia="宋体" w:cs="宋体"/>
          <w:i/>
          <w:iCs/>
          <w:color w:val="000000" w:themeColor="text1"/>
          <w:sz w:val="21"/>
          <w:szCs w:val="21"/>
          <w:vertAlign w:val="subscript"/>
          <w:lang w:val="en-US" w:eastAsia="zh-CN"/>
          <w14:textFill>
            <w14:solidFill>
              <w14:schemeClr w14:val="tx1"/>
            </w14:solidFill>
          </w14:textFill>
        </w:rPr>
        <w:t>i</w:t>
      </w:r>
      <w:r>
        <w:rPr>
          <w:rFonts w:hint="eastAsia" w:ascii="宋体" w:hAnsi="宋体" w:eastAsia="宋体" w:cs="宋体"/>
          <w:sz w:val="21"/>
          <w:szCs w:val="21"/>
          <w:lang w:val="en-US" w:eastAsia="zh-CN"/>
        </w:rPr>
        <w:t>——第</w:t>
      </w:r>
      <w:r>
        <w:rPr>
          <w:rFonts w:hint="eastAsia" w:ascii="宋体" w:hAnsi="宋体" w:eastAsia="宋体" w:cs="宋体"/>
          <w:i/>
          <w:iCs/>
          <w:sz w:val="21"/>
          <w:szCs w:val="21"/>
          <w:lang w:val="en-US" w:eastAsia="zh-CN"/>
        </w:rPr>
        <w:t>i</w:t>
      </w:r>
      <w:r>
        <w:rPr>
          <w:rFonts w:hint="eastAsia" w:ascii="宋体" w:hAnsi="宋体" w:eastAsia="宋体" w:cs="宋体"/>
          <w:sz w:val="21"/>
          <w:szCs w:val="21"/>
          <w:lang w:val="en-US" w:eastAsia="zh-CN"/>
        </w:rPr>
        <w:t>次光谱强度测量值；</w:t>
      </w:r>
    </w:p>
    <w:p w14:paraId="4375F780">
      <w:pPr>
        <w:pStyle w:val="23"/>
        <w:rPr>
          <w:rFonts w:hint="eastAsia" w:ascii="宋体" w:hAnsi="宋体" w:eastAsia="宋体" w:cs="宋体"/>
          <w:color w:val="000000" w:themeColor="text1"/>
          <w:sz w:val="21"/>
          <w:szCs w:val="21"/>
          <w:lang w:val="en-US" w:eastAsia="zh-CN"/>
          <w14:textFill>
            <w14:solidFill>
              <w14:schemeClr w14:val="tx1"/>
            </w14:solidFill>
          </w14:textFill>
        </w:rPr>
      </w:pPr>
      <m:oMath>
        <m:sSub>
          <m:sSubPr>
            <m:ctrlPr>
              <w:rPr>
                <w:rFonts w:hint="eastAsia" w:ascii="Cambria Math" w:hAnsi="Cambria Math" w:eastAsia="宋体" w:cs="宋体"/>
                <w:i/>
                <w:iCs/>
                <w:sz w:val="21"/>
                <w:szCs w:val="21"/>
              </w:rPr>
            </m:ctrlPr>
          </m:sSubPr>
          <m:e>
            <m:bar>
              <m:barPr>
                <m:pos m:val="top"/>
                <m:ctrlPr>
                  <w:rPr>
                    <w:rFonts w:hint="eastAsia" w:ascii="Cambria Math" w:hAnsi="Cambria Math" w:eastAsia="宋体" w:cs="宋体"/>
                    <w:i/>
                    <w:iCs/>
                    <w:sz w:val="21"/>
                    <w:szCs w:val="21"/>
                  </w:rPr>
                </m:ctrlPr>
              </m:barPr>
              <m:e>
                <m:r>
                  <m:rPr>
                    <m:nor/>
                  </m:rPr>
                  <w:rPr>
                    <w:rFonts w:hint="eastAsia" w:ascii="Cambria Math" w:hAnsi="Cambria Math" w:eastAsia="宋体" w:cs="宋体"/>
                    <w:i/>
                    <w:sz w:val="21"/>
                    <w:szCs w:val="21"/>
                    <w:lang w:val="en-US" w:eastAsia="zh-CN"/>
                  </w:rPr>
                  <m:t>I</m:t>
                </m:r>
                <m:ctrlPr>
                  <w:rPr>
                    <w:rFonts w:hint="eastAsia" w:ascii="Cambria Math" w:hAnsi="Cambria Math" w:eastAsia="宋体" w:cs="宋体"/>
                    <w:i/>
                    <w:iCs/>
                    <w:sz w:val="21"/>
                    <w:szCs w:val="21"/>
                  </w:rPr>
                </m:ctrlPr>
              </m:e>
            </m:bar>
            <m:ctrlPr>
              <w:rPr>
                <w:rFonts w:hint="eastAsia" w:ascii="Cambria Math" w:hAnsi="Cambria Math" w:eastAsia="宋体" w:cs="宋体"/>
                <w:i/>
                <w:iCs/>
                <w:sz w:val="21"/>
                <w:szCs w:val="21"/>
              </w:rPr>
            </m:ctrlPr>
          </m:e>
          <m:sub>
            <m:r>
              <m:rPr>
                <m:nor/>
              </m:rPr>
              <w:rPr>
                <w:rFonts w:hint="eastAsia" w:ascii="Cambria Math" w:hAnsi="Cambria Math" w:eastAsia="宋体" w:cs="宋体"/>
                <w:i/>
                <w:sz w:val="21"/>
                <w:szCs w:val="21"/>
                <w:lang w:val="en-US" w:eastAsia="zh-CN"/>
              </w:rPr>
              <m:t>B</m:t>
            </m:r>
            <m:ctrlPr>
              <w:rPr>
                <w:rFonts w:hint="eastAsia" w:ascii="Cambria Math" w:hAnsi="Cambria Math" w:eastAsia="宋体" w:cs="宋体"/>
                <w:i/>
                <w:iCs/>
                <w:sz w:val="21"/>
                <w:szCs w:val="21"/>
              </w:rPr>
            </m:ctrlPr>
          </m:sub>
        </m:sSub>
      </m:oMath>
      <w:r>
        <w:rPr>
          <w:rFonts w:hint="eastAsia" w:ascii="宋体" w:hAnsi="宋体" w:eastAsia="宋体" w:cs="宋体"/>
          <w:sz w:val="21"/>
          <w:szCs w:val="21"/>
          <w:lang w:val="en-US" w:eastAsia="zh-CN"/>
        </w:rPr>
        <w:t>——7次光谱强度值的平均值；</w:t>
      </w:r>
    </w:p>
    <w:p w14:paraId="04DEF822">
      <w:pPr>
        <w:pStyle w:val="23"/>
        <w:rPr>
          <w:rFonts w:hint="eastAsia" w:ascii="宋体" w:hAnsi="宋体" w:eastAsia="宋体" w:cs="宋体"/>
          <w:sz w:val="21"/>
          <w:szCs w:val="21"/>
          <w:lang w:val="en-US" w:eastAsia="zh-CN"/>
        </w:rPr>
      </w:pPr>
      <w:r>
        <w:rPr>
          <w:rFonts w:hint="eastAsia" w:ascii="宋体" w:hAnsi="宋体" w:eastAsia="宋体" w:cs="宋体"/>
          <w:color w:val="000000" w:themeColor="text1"/>
          <w:sz w:val="21"/>
          <w:szCs w:val="21"/>
          <w:lang w:val="en-US" w:eastAsia="zh-CN"/>
          <w14:textFill>
            <w14:solidFill>
              <w14:schemeClr w14:val="tx1"/>
            </w14:solidFill>
          </w14:textFill>
        </w:rPr>
        <w:t>n</w:t>
      </w:r>
      <w:r>
        <w:rPr>
          <w:rFonts w:hint="eastAsia" w:ascii="宋体" w:hAnsi="宋体" w:eastAsia="宋体" w:cs="宋体"/>
          <w:sz w:val="21"/>
          <w:szCs w:val="21"/>
          <w:lang w:val="en-US" w:eastAsia="zh-CN"/>
        </w:rPr>
        <w:t>——测量次数。</w:t>
      </w:r>
    </w:p>
    <w:p w14:paraId="5139D076">
      <w:pPr>
        <w:pStyle w:val="35"/>
        <w:numPr>
          <w:ilvl w:val="1"/>
          <w:numId w:val="0"/>
        </w:numPr>
        <w:rPr>
          <w:rFonts w:hint="default" w:hAnsi="黑体" w:cs="黑体"/>
          <w:sz w:val="21"/>
          <w:szCs w:val="21"/>
          <w:lang w:val="en-US" w:eastAsia="zh-CN" w:bidi="ar-SA"/>
        </w:rPr>
      </w:pPr>
      <w:r>
        <w:rPr>
          <w:rFonts w:hint="eastAsia" w:hAnsi="黑体" w:cs="黑体"/>
          <w:sz w:val="21"/>
          <w:szCs w:val="21"/>
          <w:lang w:val="en-US" w:eastAsia="zh-CN" w:bidi="ar-SA"/>
        </w:rPr>
        <w:t>7.2.6</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信噪比</w:t>
      </w:r>
    </w:p>
    <w:p w14:paraId="7D90E9A5">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对于可直接照射样品进行检测的仪器，将激光聚焦在干净的单晶Si(111)表面上，在仪器的最佳测试条件下，测试并记录其拉曼光谱；测得的单晶Si(111)位于940 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拉曼峰强度和（600</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800）cm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范围内基线噪声的平均值之比即为该次测量的信噪比。重复上述步骤3次，</w:t>
      </w:r>
      <w:r>
        <w:rPr>
          <w:rFonts w:hint="eastAsia" w:ascii="宋体" w:hAnsi="宋体" w:eastAsia="宋体" w:cs="宋体"/>
          <w:color w:val="000000" w:themeColor="text1"/>
          <w:sz w:val="21"/>
          <w:szCs w:val="21"/>
          <w:highlight w:val="none"/>
          <w:lang w:val="en-US" w:eastAsia="zh-CN"/>
          <w14:textFill>
            <w14:solidFill>
              <w14:schemeClr w14:val="tx1"/>
            </w14:solidFill>
          </w14:textFill>
        </w:rPr>
        <w:t>取3次信噪比的最大值作为</w:t>
      </w:r>
      <w:r>
        <w:rPr>
          <w:rFonts w:hint="eastAsia" w:ascii="宋体" w:hAnsi="宋体" w:eastAsia="宋体" w:cs="宋体"/>
          <w:color w:val="000000" w:themeColor="text1"/>
          <w:sz w:val="21"/>
          <w:szCs w:val="21"/>
          <w:lang w:val="en-US" w:eastAsia="zh-CN"/>
          <w14:textFill>
            <w14:solidFill>
              <w14:schemeClr w14:val="tx1"/>
            </w14:solidFill>
          </w14:textFill>
        </w:rPr>
        <w:t>仪器的信噪比。</w:t>
      </w:r>
    </w:p>
    <w:p w14:paraId="54D8236B">
      <w:pPr>
        <w:pStyle w:val="35"/>
        <w:numPr>
          <w:ilvl w:val="1"/>
          <w:numId w:val="0"/>
        </w:numPr>
        <w:rPr>
          <w:rFonts w:hint="default" w:hAnsi="黑体" w:cs="黑体"/>
          <w:sz w:val="21"/>
          <w:szCs w:val="21"/>
          <w:lang w:val="en-US" w:eastAsia="zh-CN" w:bidi="ar-SA"/>
        </w:rPr>
      </w:pPr>
      <w:r>
        <w:rPr>
          <w:rFonts w:hint="eastAsia" w:hAnsi="黑体" w:cs="黑体"/>
          <w:sz w:val="21"/>
          <w:szCs w:val="21"/>
          <w:lang w:val="en-US" w:eastAsia="zh-CN" w:bidi="ar-SA"/>
        </w:rPr>
        <w:t>7.2.7</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检出限</w:t>
      </w:r>
    </w:p>
    <w:p w14:paraId="2AE1B89C">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对配备有试剂盒的仪器，按照仪器说明书的检测方法，在仪器的最佳测试条件下，调整</w:t>
      </w:r>
      <w:r>
        <w:rPr>
          <w:rFonts w:hint="eastAsia" w:hAnsi="宋体" w:cs="宋体"/>
          <w:color w:val="000000" w:themeColor="text1"/>
          <w:sz w:val="21"/>
          <w:szCs w:val="21"/>
          <w:lang w:val="en-US" w:eastAsia="zh-CN"/>
          <w14:textFill>
            <w14:solidFill>
              <w14:schemeClr w14:val="tx1"/>
            </w14:solidFill>
          </w14:textFill>
        </w:rPr>
        <w:t>激光</w:t>
      </w:r>
      <w:r>
        <w:rPr>
          <w:rFonts w:hint="eastAsia" w:ascii="宋体" w:hAnsi="宋体" w:eastAsia="宋体" w:cs="宋体"/>
          <w:color w:val="000000" w:themeColor="text1"/>
          <w:sz w:val="21"/>
          <w:szCs w:val="21"/>
          <w:lang w:val="en-US" w:eastAsia="zh-CN"/>
          <w14:textFill>
            <w14:solidFill>
              <w14:schemeClr w14:val="tx1"/>
            </w14:solidFill>
          </w14:textFill>
        </w:rPr>
        <w:t xml:space="preserve">聚焦状态使其聚焦在样品池中心位置；移取浓度为1.0 mg/L罗丹明B标准溶液200 </w:t>
      </w:r>
      <w:r>
        <w:rPr>
          <w:rFonts w:hint="eastAsia" w:ascii="宋体" w:hAnsi="宋体" w:eastAsia="宋体" w:cs="宋体"/>
          <w:sz w:val="21"/>
          <w:szCs w:val="21"/>
        </w:rPr>
        <w:t>μ</w:t>
      </w:r>
      <w:r>
        <w:rPr>
          <w:rFonts w:hint="eastAsia" w:ascii="宋体" w:hAnsi="宋体" w:eastAsia="宋体" w:cs="宋体"/>
          <w:sz w:val="21"/>
          <w:szCs w:val="21"/>
          <w:lang w:val="en-US" w:eastAsia="zh-CN"/>
        </w:rPr>
        <w:t>L</w:t>
      </w:r>
      <w:r>
        <w:rPr>
          <w:rFonts w:hint="eastAsia" w:ascii="宋体" w:hAnsi="宋体" w:eastAsia="宋体" w:cs="宋体"/>
          <w:color w:val="000000" w:themeColor="text1"/>
          <w:sz w:val="21"/>
          <w:szCs w:val="21"/>
          <w:lang w:val="en-US" w:eastAsia="zh-CN"/>
          <w14:textFill>
            <w14:solidFill>
              <w14:schemeClr w14:val="tx1"/>
            </w14:solidFill>
          </w14:textFill>
        </w:rPr>
        <w:t xml:space="preserve">至样品池中，加入随机配备的增强基质200 </w:t>
      </w:r>
      <w:r>
        <w:rPr>
          <w:rFonts w:hint="eastAsia" w:ascii="宋体" w:hAnsi="宋体" w:eastAsia="宋体" w:cs="宋体"/>
          <w:sz w:val="21"/>
          <w:szCs w:val="21"/>
        </w:rPr>
        <w:t>μ</w:t>
      </w:r>
      <w:r>
        <w:rPr>
          <w:rFonts w:hint="eastAsia" w:ascii="宋体" w:hAnsi="宋体" w:eastAsia="宋体" w:cs="宋体"/>
          <w:sz w:val="21"/>
          <w:szCs w:val="21"/>
          <w:lang w:val="en-US" w:eastAsia="zh-CN"/>
        </w:rPr>
        <w:t>L</w:t>
      </w:r>
      <w:r>
        <w:rPr>
          <w:rFonts w:hint="eastAsia" w:ascii="宋体" w:hAnsi="宋体" w:eastAsia="宋体" w:cs="宋体"/>
          <w:color w:val="000000" w:themeColor="text1"/>
          <w:sz w:val="21"/>
          <w:szCs w:val="21"/>
          <w:lang w:val="en-US" w:eastAsia="zh-CN"/>
          <w14:textFill>
            <w14:solidFill>
              <w14:schemeClr w14:val="tx1"/>
            </w14:solidFill>
          </w14:textFill>
        </w:rPr>
        <w:t>，混合均匀。在样品与增强基质混合后25 s</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30 s时间内，将样品池置于仪器光路中采集拉曼光谱，并记录拉曼特征峰的强度值。重复上述步骤11次，按照公式（4）计算检出限。</w:t>
      </w:r>
    </w:p>
    <w:p w14:paraId="4D5C5C53">
      <w:pPr>
        <w:pStyle w:val="23"/>
        <w:ind w:firstLine="3150" w:firstLineChars="15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D</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L</w:t>
      </w:r>
      <w:r>
        <w:rPr>
          <w:rFonts w:hint="eastAsia" w:ascii="宋体" w:hAnsi="宋体" w:eastAsia="宋体" w:cs="宋体"/>
          <w:color w:val="000000" w:themeColor="text1"/>
          <w:sz w:val="21"/>
          <w:szCs w:val="21"/>
          <w:lang w:val="en-US" w:eastAsia="zh-CN"/>
          <w14:textFill>
            <w14:solidFill>
              <w14:schemeClr w14:val="tx1"/>
            </w14:solidFill>
          </w14:textFill>
        </w:rPr>
        <w:t>=</w:t>
      </w:r>
      <m:oMath>
        <m:f>
          <m:fPr>
            <m:ctrlPr>
              <w:rPr>
                <w:rFonts w:hint="eastAsia" w:ascii="Cambria Math" w:hAnsi="Cambria Math" w:eastAsia="宋体" w:cs="宋体"/>
                <w:i/>
                <w:color w:val="000000" w:themeColor="text1"/>
                <w:sz w:val="21"/>
                <w:szCs w:val="21"/>
                <w:lang w:val="en-US"/>
                <w14:textFill>
                  <w14:solidFill>
                    <w14:schemeClr w14:val="tx1"/>
                  </w14:solidFill>
                </w14:textFill>
              </w:rPr>
            </m:ctrlPr>
          </m:fPr>
          <m:num>
            <m:r>
              <m:rPr/>
              <w:rPr>
                <w:rFonts w:hint="eastAsia" w:ascii="Cambria Math" w:hAnsi="Cambria Math" w:eastAsia="宋体" w:cs="宋体"/>
                <w:color w:val="000000" w:themeColor="text1"/>
                <w:sz w:val="21"/>
                <w:szCs w:val="21"/>
                <w:lang w:val="en-US" w:eastAsia="zh-CN"/>
                <w14:textFill>
                  <w14:solidFill>
                    <w14:schemeClr w14:val="tx1"/>
                  </w14:solidFill>
                </w14:textFill>
              </w:rPr>
              <m:t>2</m:t>
            </m:r>
            <m:r>
              <m:rPr>
                <m:sty m:val="p"/>
              </m:rPr>
              <w:rPr>
                <w:rFonts w:hint="eastAsia" w:ascii="Cambria Math" w:hAnsi="Cambria Math" w:eastAsia="宋体" w:cs="宋体"/>
                <w:lang w:val="en-US" w:eastAsia="zh-CN"/>
              </w:rPr>
              <m:t>σ</m:t>
            </m:r>
            <m:ctrlPr>
              <w:rPr>
                <w:rFonts w:hint="eastAsia" w:ascii="Cambria Math" w:hAnsi="Cambria Math" w:eastAsia="宋体" w:cs="宋体"/>
                <w:i/>
                <w:color w:val="000000" w:themeColor="text1"/>
                <w:sz w:val="21"/>
                <w:szCs w:val="21"/>
                <w:lang w:val="en-US"/>
                <w14:textFill>
                  <w14:solidFill>
                    <w14:schemeClr w14:val="tx1"/>
                  </w14:solidFill>
                </w14:textFill>
              </w:rPr>
            </m:ctrlPr>
          </m:num>
          <m:den>
            <m:bar>
              <m:barPr>
                <m:pos m:val="top"/>
                <m:ctrlPr>
                  <w:rPr>
                    <w:rFonts w:hint="eastAsia" w:ascii="Cambria Math" w:hAnsi="Cambria Math" w:eastAsia="宋体" w:cs="宋体"/>
                    <w:i/>
                    <w:color w:val="000000" w:themeColor="text1"/>
                    <w:sz w:val="21"/>
                    <w:szCs w:val="21"/>
                    <w:lang w:val="en-US"/>
                    <w14:textFill>
                      <w14:solidFill>
                        <w14:schemeClr w14:val="tx1"/>
                      </w14:solidFill>
                    </w14:textFill>
                  </w:rPr>
                </m:ctrlPr>
              </m:barPr>
              <m:e>
                <m:r>
                  <m:rPr/>
                  <w:rPr>
                    <w:rFonts w:hint="eastAsia" w:ascii="Cambria Math" w:hAnsi="Cambria Math" w:eastAsia="宋体" w:cs="宋体"/>
                    <w:color w:val="000000" w:themeColor="text1"/>
                    <w:sz w:val="21"/>
                    <w:szCs w:val="21"/>
                    <w:lang w:val="en-US" w:eastAsia="zh-CN"/>
                    <w14:textFill>
                      <w14:solidFill>
                        <w14:schemeClr w14:val="tx1"/>
                      </w14:solidFill>
                    </w14:textFill>
                  </w:rPr>
                  <m:t>I</m:t>
                </m:r>
                <m:ctrlPr>
                  <w:rPr>
                    <w:rFonts w:hint="eastAsia" w:ascii="Cambria Math" w:hAnsi="Cambria Math" w:eastAsia="宋体" w:cs="宋体"/>
                    <w:i/>
                    <w:color w:val="000000" w:themeColor="text1"/>
                    <w:sz w:val="21"/>
                    <w:szCs w:val="21"/>
                    <w:lang w:val="en-US"/>
                    <w14:textFill>
                      <w14:solidFill>
                        <w14:schemeClr w14:val="tx1"/>
                      </w14:solidFill>
                    </w14:textFill>
                  </w:rPr>
                </m:ctrlPr>
              </m:e>
            </m:bar>
            <m:ctrlPr>
              <w:rPr>
                <w:rFonts w:hint="eastAsia" w:ascii="Cambria Math" w:hAnsi="Cambria Math" w:eastAsia="宋体" w:cs="宋体"/>
                <w:i/>
                <w:color w:val="000000" w:themeColor="text1"/>
                <w:sz w:val="21"/>
                <w:szCs w:val="21"/>
                <w:lang w:val="en-US"/>
                <w14:textFill>
                  <w14:solidFill>
                    <w14:schemeClr w14:val="tx1"/>
                  </w14:solidFill>
                </w14:textFill>
              </w:rPr>
            </m:ctrlPr>
          </m:den>
        </m:f>
      </m:oMath>
      <w:r>
        <w:rPr>
          <w:rFonts w:hint="eastAsia" w:ascii="宋体" w:hAnsi="宋体" w:eastAsia="宋体" w:cs="宋体"/>
          <w:sz w:val="21"/>
          <w:szCs w:val="21"/>
        </w:rPr>
        <w:t>×</w:t>
      </w:r>
      <w:r>
        <w:rPr>
          <w:rFonts w:hint="eastAsia" w:ascii="宋体" w:hAnsi="宋体" w:eastAsia="宋体" w:cs="宋体"/>
          <w:sz w:val="21"/>
          <w:szCs w:val="21"/>
          <w:lang w:val="en-US" w:eastAsia="zh-CN"/>
        </w:rPr>
        <w:t xml:space="preserve">c                         </w:t>
      </w:r>
      <w:r>
        <w:rPr>
          <w:rFonts w:hint="eastAsia" w:ascii="宋体" w:hAnsi="宋体" w:eastAsia="宋体" w:cs="宋体"/>
          <w:color w:val="000000" w:themeColor="text1"/>
          <w:sz w:val="21"/>
          <w:szCs w:val="21"/>
          <w:vertAlign w:val="baseline"/>
          <w:lang w:val="en-US" w:eastAsia="zh-CN"/>
          <w14:textFill>
            <w14:solidFill>
              <w14:schemeClr w14:val="tx1"/>
            </w14:solidFill>
          </w14:textFill>
        </w:rPr>
        <w:t xml:space="preserve">                     （4）</w:t>
      </w:r>
    </w:p>
    <w:p w14:paraId="2E2C4D8F">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式中：</w:t>
      </w:r>
    </w:p>
    <w:p w14:paraId="51AAD934">
      <w:pPr>
        <w:pStyle w:val="23"/>
        <w:ind w:firstLine="840" w:firstLineChars="4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D</w:t>
      </w:r>
      <w:r>
        <w:rPr>
          <w:rFonts w:hint="eastAsia" w:ascii="宋体" w:hAnsi="宋体" w:eastAsia="宋体" w:cs="宋体"/>
          <w:color w:val="000000" w:themeColor="text1"/>
          <w:sz w:val="21"/>
          <w:szCs w:val="21"/>
          <w:vertAlign w:val="subscript"/>
          <w:lang w:val="en-US" w:eastAsia="zh-CN"/>
          <w14:textFill>
            <w14:solidFill>
              <w14:schemeClr w14:val="tx1"/>
            </w14:solidFill>
          </w14:textFill>
        </w:rPr>
        <w:t>L</w:t>
      </w:r>
      <w:r>
        <w:rPr>
          <w:rFonts w:hint="eastAsia" w:ascii="宋体" w:hAnsi="宋体" w:eastAsia="宋体" w:cs="宋体"/>
          <w:color w:val="000000" w:themeColor="text1"/>
          <w:sz w:val="21"/>
          <w:szCs w:val="21"/>
          <w:lang w:val="en-US" w:eastAsia="zh-CN"/>
          <w14:textFill>
            <w14:solidFill>
              <w14:schemeClr w14:val="tx1"/>
            </w14:solidFill>
          </w14:textFill>
        </w:rPr>
        <w:t>——检出限，mg/L；</w:t>
      </w:r>
    </w:p>
    <w:p w14:paraId="38B0BF8B">
      <w:pPr>
        <w:pStyle w:val="23"/>
        <w:ind w:firstLine="840" w:firstLineChars="4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lang w:val="en-US" w:eastAsia="zh-CN"/>
        </w:rPr>
        <w:t>σ</w:t>
      </w:r>
      <w:r>
        <w:rPr>
          <w:rFonts w:hint="eastAsia" w:ascii="宋体" w:hAnsi="宋体" w:eastAsia="宋体" w:cs="宋体"/>
          <w:color w:val="000000" w:themeColor="text1"/>
          <w:sz w:val="21"/>
          <w:szCs w:val="21"/>
          <w:lang w:val="en-US" w:eastAsia="zh-CN"/>
          <w14:textFill>
            <w14:solidFill>
              <w14:schemeClr w14:val="tx1"/>
            </w14:solidFill>
          </w14:textFill>
        </w:rPr>
        <w:t>——11次特征峰强度值的标准偏差；</w:t>
      </w:r>
    </w:p>
    <w:p w14:paraId="566C9592">
      <w:pPr>
        <w:pStyle w:val="23"/>
        <w:ind w:firstLine="840" w:firstLineChars="400"/>
        <w:rPr>
          <w:rFonts w:hint="eastAsia" w:ascii="宋体" w:hAnsi="宋体" w:eastAsia="宋体" w:cs="宋体"/>
          <w:color w:val="000000" w:themeColor="text1"/>
          <w:sz w:val="21"/>
          <w:szCs w:val="21"/>
          <w:lang w:val="en-US" w:eastAsia="zh-CN"/>
          <w14:textFill>
            <w14:solidFill>
              <w14:schemeClr w14:val="tx1"/>
            </w14:solidFill>
          </w14:textFill>
        </w:rPr>
      </w:pPr>
      <m:oMath>
        <m:bar>
          <m:barPr>
            <m:pos m:val="top"/>
            <m:ctrlPr>
              <w:rPr>
                <w:rFonts w:hint="eastAsia" w:ascii="Cambria Math" w:hAnsi="Cambria Math" w:eastAsia="宋体" w:cs="宋体"/>
                <w:i/>
                <w:color w:val="000000" w:themeColor="text1"/>
                <w:sz w:val="21"/>
                <w:szCs w:val="21"/>
                <w:lang w:val="en-US"/>
                <w14:textFill>
                  <w14:solidFill>
                    <w14:schemeClr w14:val="tx1"/>
                  </w14:solidFill>
                </w14:textFill>
              </w:rPr>
            </m:ctrlPr>
          </m:barPr>
          <m:e>
            <m:r>
              <m:rPr/>
              <w:rPr>
                <w:rFonts w:hint="eastAsia" w:ascii="Cambria Math" w:hAnsi="Cambria Math" w:eastAsia="宋体" w:cs="宋体"/>
                <w:color w:val="000000" w:themeColor="text1"/>
                <w:sz w:val="21"/>
                <w:szCs w:val="21"/>
                <w:lang w:val="en-US" w:eastAsia="zh-CN"/>
                <w14:textFill>
                  <w14:solidFill>
                    <w14:schemeClr w14:val="tx1"/>
                  </w14:solidFill>
                </w14:textFill>
              </w:rPr>
              <m:t>I</m:t>
            </m:r>
            <m:ctrlPr>
              <w:rPr>
                <w:rFonts w:hint="eastAsia" w:ascii="Cambria Math" w:hAnsi="Cambria Math" w:eastAsia="宋体" w:cs="宋体"/>
                <w:i/>
                <w:color w:val="000000" w:themeColor="text1"/>
                <w:sz w:val="21"/>
                <w:szCs w:val="21"/>
                <w:lang w:val="en-US"/>
                <w14:textFill>
                  <w14:solidFill>
                    <w14:schemeClr w14:val="tx1"/>
                  </w14:solidFill>
                </w14:textFill>
              </w:rPr>
            </m:ctrlPr>
          </m:e>
        </m:bar>
      </m:oMath>
      <w:r>
        <w:rPr>
          <w:rFonts w:hint="eastAsia" w:ascii="宋体" w:hAnsi="宋体" w:eastAsia="宋体" w:cs="宋体"/>
          <w:color w:val="000000" w:themeColor="text1"/>
          <w:sz w:val="21"/>
          <w:szCs w:val="21"/>
          <w:lang w:val="en-US" w:eastAsia="zh-CN"/>
          <w14:textFill>
            <w14:solidFill>
              <w14:schemeClr w14:val="tx1"/>
            </w14:solidFill>
          </w14:textFill>
        </w:rPr>
        <w:t>——11次特征峰强度值的平均值；</w:t>
      </w:r>
    </w:p>
    <w:p w14:paraId="6F2C919B">
      <w:pPr>
        <w:pStyle w:val="23"/>
        <w:ind w:firstLine="840" w:firstLineChars="400"/>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sz w:val="21"/>
          <w:szCs w:val="21"/>
          <w:lang w:val="en-US" w:eastAsia="zh-CN"/>
        </w:rPr>
        <w:t>c</w:t>
      </w:r>
      <w:r>
        <w:rPr>
          <w:rFonts w:hint="eastAsia" w:ascii="宋体" w:hAnsi="宋体" w:eastAsia="宋体" w:cs="宋体"/>
          <w:color w:val="000000" w:themeColor="text1"/>
          <w:sz w:val="21"/>
          <w:szCs w:val="21"/>
          <w:lang w:val="en-US" w:eastAsia="zh-CN"/>
          <w14:textFill>
            <w14:solidFill>
              <w14:schemeClr w14:val="tx1"/>
            </w14:solidFill>
          </w14:textFill>
        </w:rPr>
        <w:t>——标准溶液的浓度值，mg/L。</w:t>
      </w:r>
    </w:p>
    <w:p w14:paraId="5AB18242">
      <w:pPr>
        <w:pStyle w:val="23"/>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对于其它检测目标物的仪器，按本条的试验方法进行。检出限的试验方法参考范例参见附录A。</w:t>
      </w:r>
    </w:p>
    <w:p w14:paraId="557A5E27">
      <w:pPr>
        <w:pStyle w:val="35"/>
        <w:numPr>
          <w:ilvl w:val="1"/>
          <w:numId w:val="0"/>
        </w:numPr>
        <w:ind w:left="284" w:leftChars="0" w:firstLine="0" w:firstLineChars="0"/>
        <w:rPr>
          <w:rFonts w:hint="default" w:hAnsi="黑体" w:cs="黑体"/>
          <w:sz w:val="21"/>
          <w:szCs w:val="21"/>
          <w:lang w:val="en-US" w:eastAsia="zh-CN" w:bidi="ar-SA"/>
        </w:rPr>
      </w:pPr>
      <w:r>
        <w:rPr>
          <w:rFonts w:hint="eastAsia" w:hAnsi="黑体" w:cs="黑体"/>
          <w:sz w:val="21"/>
          <w:szCs w:val="21"/>
          <w:lang w:val="en-US" w:eastAsia="zh-CN" w:bidi="ar-SA"/>
        </w:rPr>
        <w:t>7.2.8</w:t>
      </w:r>
      <w:r>
        <w:rPr>
          <w:rFonts w:hint="default" w:ascii="黑体" w:hAnsi="黑体" w:eastAsia="黑体" w:cs="黑体"/>
          <w:sz w:val="21"/>
          <w:szCs w:val="21"/>
          <w:lang w:val="en-US" w:eastAsia="zh-CN" w:bidi="ar-SA"/>
        </w:rPr>
        <w:t>　</w:t>
      </w:r>
      <w:r>
        <w:rPr>
          <w:rFonts w:hint="eastAsia" w:hAnsi="黑体" w:cs="黑体"/>
          <w:sz w:val="21"/>
          <w:szCs w:val="21"/>
          <w:lang w:val="en-US" w:eastAsia="zh-CN" w:bidi="ar-SA"/>
        </w:rPr>
        <w:t>重复性</w:t>
      </w:r>
    </w:p>
    <w:p w14:paraId="62BBB42E">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在进行7.2.5测定时，独立进行7次测定，计算相对标准偏差（RSD），即为仪器测罗丹明B的重复性。重复性计算方法见公式（5）。</w:t>
      </w:r>
    </w:p>
    <w:p w14:paraId="425BCCA9">
      <w:pPr>
        <w:pStyle w:val="23"/>
        <w:ind w:firstLine="2100" w:firstLineChars="1000"/>
        <w:rPr>
          <w:rFonts w:hint="eastAsia" w:ascii="宋体" w:hAnsi="宋体" w:eastAsia="宋体" w:cs="宋体"/>
          <w:color w:val="000000" w:themeColor="text1"/>
          <w:sz w:val="21"/>
          <w:szCs w:val="21"/>
          <w:highlight w:val="none"/>
          <w:lang w:val="en-US" w:eastAsia="zh-CN"/>
          <w14:textFill>
            <w14:solidFill>
              <w14:schemeClr w14:val="tx1"/>
            </w14:solidFill>
          </w14:textFill>
        </w:rPr>
      </w:pPr>
      <m:oMath>
        <m:r>
          <m:rPr>
            <m:nor/>
            <m:sty m:val="p"/>
          </m:rPr>
          <w:rPr>
            <w:rFonts w:hint="eastAsia" w:ascii="Cambria Math" w:hAnsi="Cambria Math" w:eastAsia="宋体" w:cs="宋体"/>
            <w:b w:val="0"/>
            <w:i w:val="0"/>
            <w:sz w:val="21"/>
            <w:szCs w:val="21"/>
            <w:lang w:val="en-US" w:eastAsia="zh-CN"/>
          </w:rPr>
          <m:t>RSD</m:t>
        </m:r>
        <m:r>
          <m:rPr>
            <m:nor/>
            <m:sty m:val="p"/>
          </m:rPr>
          <w:rPr>
            <w:rFonts w:hint="eastAsia" w:ascii="Cambria Math" w:hAnsi="Cambria Math" w:eastAsia="宋体" w:cs="宋体"/>
            <w:b w:val="0"/>
            <w:i w:val="0"/>
            <w:sz w:val="21"/>
            <w:szCs w:val="21"/>
          </w:rPr>
          <m:t>=</m:t>
        </m:r>
        <m:f>
          <m:fPr>
            <m:ctrlPr>
              <w:rPr>
                <w:rFonts w:hint="eastAsia" w:ascii="Cambria Math" w:hAnsi="Cambria Math" w:eastAsia="宋体" w:cs="宋体"/>
                <w:i/>
                <w:sz w:val="21"/>
                <w:szCs w:val="21"/>
              </w:rPr>
            </m:ctrlPr>
          </m:fPr>
          <m:num>
            <m:r>
              <m:rPr>
                <m:nor/>
                <m:sty m:val="p"/>
              </m:rPr>
              <w:rPr>
                <w:rFonts w:hint="eastAsia" w:ascii="Cambria Math" w:hAnsi="Cambria Math" w:eastAsia="宋体" w:cs="宋体"/>
                <w:b w:val="0"/>
                <w:i w:val="0"/>
                <w:sz w:val="21"/>
                <w:szCs w:val="21"/>
              </w:rPr>
              <m:t>1</m:t>
            </m:r>
            <m:ctrlPr>
              <w:rPr>
                <w:rFonts w:hint="eastAsia" w:ascii="Cambria Math" w:hAnsi="Cambria Math" w:eastAsia="宋体" w:cs="宋体"/>
                <w:sz w:val="21"/>
                <w:szCs w:val="21"/>
              </w:rPr>
            </m:ctrlPr>
          </m:num>
          <m:den>
            <m:bar>
              <m:barPr>
                <m:pos m:val="top"/>
                <m:ctrlPr>
                  <w:rPr>
                    <w:rFonts w:hint="eastAsia" w:ascii="Cambria Math" w:hAnsi="Cambria Math" w:eastAsia="宋体" w:cs="宋体"/>
                    <w:i/>
                    <w:iCs/>
                    <w:sz w:val="21"/>
                    <w:szCs w:val="21"/>
                  </w:rPr>
                </m:ctrlPr>
              </m:barPr>
              <m:e>
                <m:r>
                  <m:rPr/>
                  <w:rPr>
                    <w:rFonts w:hint="eastAsia" w:ascii="Cambria Math" w:hAnsi="Cambria Math" w:eastAsia="宋体" w:cs="宋体"/>
                    <w:sz w:val="21"/>
                    <w:szCs w:val="21"/>
                    <w:lang w:val="en-US" w:eastAsia="zh-CN"/>
                  </w:rPr>
                  <m:t>I</m:t>
                </m:r>
                <m:ctrlPr>
                  <w:rPr>
                    <w:rFonts w:hint="eastAsia" w:ascii="Cambria Math" w:hAnsi="Cambria Math" w:eastAsia="宋体" w:cs="宋体"/>
                    <w:i/>
                    <w:iCs/>
                    <w:sz w:val="21"/>
                    <w:szCs w:val="21"/>
                  </w:rPr>
                </m:ctrlPr>
              </m:e>
            </m:bar>
            <m:ctrlPr>
              <w:rPr>
                <w:rFonts w:hint="eastAsia" w:ascii="Cambria Math" w:hAnsi="Cambria Math" w:eastAsia="宋体" w:cs="宋体"/>
                <w:sz w:val="21"/>
                <w:szCs w:val="21"/>
              </w:rPr>
            </m:ctrlPr>
          </m:den>
        </m:f>
        <m:f>
          <m:fPr>
            <m:ctrlPr>
              <w:rPr>
                <w:rFonts w:hint="eastAsia" w:ascii="Cambria Math" w:hAnsi="Cambria Math" w:eastAsia="宋体" w:cs="宋体"/>
                <w:sz w:val="21"/>
                <w:szCs w:val="21"/>
              </w:rPr>
            </m:ctrlPr>
          </m:fPr>
          <m:num>
            <m:rad>
              <m:radPr>
                <m:degHide m:val="1"/>
                <m:ctrlPr>
                  <w:rPr>
                    <w:rFonts w:hint="eastAsia" w:ascii="Cambria Math" w:hAnsi="Cambria Math" w:eastAsia="宋体" w:cs="宋体"/>
                    <w:i/>
                    <w:sz w:val="21"/>
                    <w:szCs w:val="21"/>
                  </w:rPr>
                </m:ctrlPr>
              </m:radPr>
              <m:deg>
                <m:ctrlPr>
                  <w:rPr>
                    <w:rFonts w:hint="eastAsia" w:ascii="Cambria Math" w:hAnsi="Cambria Math" w:eastAsia="宋体" w:cs="宋体"/>
                    <w:sz w:val="21"/>
                    <w:szCs w:val="21"/>
                  </w:rPr>
                </m:ctrlPr>
              </m:deg>
              <m:e>
                <m:nary>
                  <m:naryPr>
                    <m:chr m:val="∑"/>
                    <m:limLoc m:val="undOvr"/>
                    <m:ctrlPr>
                      <w:rPr>
                        <w:rFonts w:hint="eastAsia" w:ascii="Cambria Math" w:hAnsi="Cambria Math" w:eastAsia="宋体" w:cs="宋体"/>
                        <w:i/>
                        <w:sz w:val="21"/>
                        <w:szCs w:val="21"/>
                      </w:rPr>
                    </m:ctrlPr>
                  </m:naryPr>
                  <m:sub>
                    <m:r>
                      <m:rPr>
                        <m:nor/>
                      </m:rPr>
                      <w:rPr>
                        <w:rFonts w:hint="eastAsia" w:ascii="Cambria Math" w:hAnsi="Cambria Math" w:eastAsia="宋体" w:cs="宋体"/>
                        <w:i/>
                        <w:sz w:val="21"/>
                        <w:szCs w:val="21"/>
                      </w:rPr>
                      <m:t>i</m:t>
                    </m:r>
                    <m:r>
                      <m:rPr>
                        <m:nor/>
                        <m:sty m:val="p"/>
                      </m:rPr>
                      <w:rPr>
                        <w:rFonts w:hint="eastAsia" w:ascii="Cambria Math" w:hAnsi="Cambria Math" w:eastAsia="宋体" w:cs="宋体"/>
                        <w:b w:val="0"/>
                        <w:i w:val="0"/>
                        <w:sz w:val="21"/>
                        <w:szCs w:val="21"/>
                        <w:lang w:val="en-US" w:eastAsia="zh-CN"/>
                      </w:rPr>
                      <m:t>=1</m:t>
                    </m:r>
                    <m:ctrlPr>
                      <w:rPr>
                        <w:rFonts w:hint="eastAsia" w:ascii="Cambria Math" w:hAnsi="Cambria Math" w:eastAsia="宋体" w:cs="宋体"/>
                        <w:sz w:val="21"/>
                        <w:szCs w:val="21"/>
                      </w:rPr>
                    </m:ctrlPr>
                  </m:sub>
                  <m:sup>
                    <m:r>
                      <m:rPr>
                        <m:nor/>
                      </m:rPr>
                      <w:rPr>
                        <w:rFonts w:hint="eastAsia" w:ascii="Cambria Math" w:hAnsi="Cambria Math" w:eastAsia="宋体" w:cs="宋体"/>
                        <w:i/>
                        <w:sz w:val="21"/>
                        <w:szCs w:val="21"/>
                      </w:rPr>
                      <m:t>n</m:t>
                    </m:r>
                    <m:ctrlPr>
                      <w:rPr>
                        <w:rFonts w:hint="eastAsia" w:ascii="Cambria Math" w:hAnsi="Cambria Math" w:eastAsia="宋体" w:cs="宋体"/>
                        <w:sz w:val="21"/>
                        <w:szCs w:val="21"/>
                      </w:rPr>
                    </m:ctrlPr>
                  </m:sup>
                  <m:e>
                    <m:r>
                      <m:rPr>
                        <m:nor/>
                        <m:sty m:val="p"/>
                      </m:rPr>
                      <w:rPr>
                        <w:rFonts w:hint="eastAsia" w:ascii="Cambria Math" w:hAnsi="Cambria Math" w:eastAsia="宋体" w:cs="宋体"/>
                        <w:b w:val="0"/>
                        <w:i w:val="0"/>
                        <w:sz w:val="21"/>
                        <w:szCs w:val="21"/>
                      </w:rPr>
                      <m:t>(</m:t>
                    </m:r>
                    <m:ctrlPr>
                      <w:rPr>
                        <w:rFonts w:hint="eastAsia" w:ascii="Cambria Math" w:hAnsi="Cambria Math" w:eastAsia="宋体" w:cs="宋体"/>
                        <w:sz w:val="21"/>
                        <w:szCs w:val="21"/>
                      </w:rPr>
                    </m:ctrlPr>
                  </m:e>
                </m:nary>
                <m:sSub>
                  <m:sSubPr>
                    <m:ctrlPr>
                      <w:rPr>
                        <w:rFonts w:hint="eastAsia" w:ascii="Cambria Math" w:hAnsi="Cambria Math" w:eastAsia="宋体" w:cs="宋体"/>
                        <w:sz w:val="21"/>
                        <w:szCs w:val="21"/>
                      </w:rPr>
                    </m:ctrlPr>
                  </m:sSubPr>
                  <m:e>
                    <m:r>
                      <m:rPr>
                        <m:nor/>
                      </m:rPr>
                      <w:rPr>
                        <w:rFonts w:hint="eastAsia" w:ascii="Cambria Math" w:hAnsi="Cambria Math" w:eastAsia="宋体" w:cs="宋体"/>
                        <w:i/>
                        <w:sz w:val="21"/>
                        <w:szCs w:val="21"/>
                      </w:rPr>
                      <m:t>I</m:t>
                    </m:r>
                    <m:ctrlPr>
                      <w:rPr>
                        <w:rFonts w:hint="eastAsia" w:ascii="Cambria Math" w:hAnsi="Cambria Math" w:eastAsia="宋体" w:cs="宋体"/>
                        <w:sz w:val="21"/>
                        <w:szCs w:val="21"/>
                      </w:rPr>
                    </m:ctrlPr>
                  </m:e>
                  <m:sub>
                    <m:r>
                      <m:rPr>
                        <m:nor/>
                      </m:rPr>
                      <w:rPr>
                        <w:rFonts w:hint="eastAsia" w:ascii="Cambria Math" w:hAnsi="Cambria Math" w:eastAsia="宋体" w:cs="宋体"/>
                        <w:i/>
                        <w:sz w:val="21"/>
                        <w:szCs w:val="21"/>
                      </w:rPr>
                      <m:t>i</m:t>
                    </m:r>
                    <m:ctrlPr>
                      <w:rPr>
                        <w:rFonts w:hint="eastAsia" w:ascii="Cambria Math" w:hAnsi="Cambria Math" w:eastAsia="宋体" w:cs="宋体"/>
                        <w:sz w:val="21"/>
                        <w:szCs w:val="21"/>
                      </w:rPr>
                    </m:ctrlPr>
                  </m:sub>
                </m:sSub>
                <m:r>
                  <m:rPr>
                    <m:nor/>
                    <m:sty m:val="p"/>
                  </m:rPr>
                  <w:rPr>
                    <w:rFonts w:hint="eastAsia" w:ascii="Cambria Math" w:hAnsi="Cambria Math" w:eastAsia="宋体" w:cs="宋体"/>
                    <w:b w:val="0"/>
                    <w:i w:val="0"/>
                    <w:sz w:val="21"/>
                    <w:szCs w:val="21"/>
                  </w:rPr>
                  <m:t>−</m:t>
                </m:r>
                <m:bar>
                  <m:barPr>
                    <m:pos m:val="top"/>
                    <m:ctrlPr>
                      <w:rPr>
                        <w:rFonts w:hint="eastAsia" w:ascii="Cambria Math" w:hAnsi="Cambria Math" w:eastAsia="宋体" w:cs="宋体"/>
                        <w:b w:val="0"/>
                        <w:i/>
                        <w:iCs/>
                        <w:sz w:val="21"/>
                        <w:szCs w:val="21"/>
                      </w:rPr>
                    </m:ctrlPr>
                  </m:barPr>
                  <m:e>
                    <m:r>
                      <m:rPr>
                        <m:nor/>
                      </m:rPr>
                      <w:rPr>
                        <w:rFonts w:hint="eastAsia" w:ascii="Cambria Math" w:hAnsi="Cambria Math" w:eastAsia="宋体" w:cs="宋体"/>
                        <w:b w:val="0"/>
                        <w:i/>
                        <w:iCs/>
                        <w:sz w:val="21"/>
                        <w:szCs w:val="21"/>
                        <w:lang w:val="en-US" w:eastAsia="zh-CN"/>
                      </w:rPr>
                      <m:t>I</m:t>
                    </m:r>
                    <m:ctrlPr>
                      <w:rPr>
                        <w:rFonts w:hint="eastAsia" w:ascii="Cambria Math" w:hAnsi="Cambria Math" w:eastAsia="宋体" w:cs="宋体"/>
                        <w:b w:val="0"/>
                        <w:i/>
                        <w:iCs/>
                        <w:sz w:val="21"/>
                        <w:szCs w:val="21"/>
                      </w:rPr>
                    </m:ctrlPr>
                  </m:e>
                </m:bar>
                <m:sSup>
                  <m:sSupPr>
                    <m:ctrlPr>
                      <w:rPr>
                        <w:rFonts w:hint="eastAsia" w:ascii="Cambria Math" w:hAnsi="Cambria Math" w:eastAsia="宋体" w:cs="宋体"/>
                        <w:sz w:val="21"/>
                        <w:szCs w:val="21"/>
                      </w:rPr>
                    </m:ctrlPr>
                  </m:sSupPr>
                  <m:e>
                    <m:r>
                      <m:rPr>
                        <m:nor/>
                        <m:sty m:val="p"/>
                      </m:rPr>
                      <w:rPr>
                        <w:rFonts w:hint="eastAsia" w:ascii="Cambria Math" w:hAnsi="Cambria Math" w:eastAsia="宋体" w:cs="宋体"/>
                        <w:b w:val="0"/>
                        <w:i w:val="0"/>
                        <w:sz w:val="21"/>
                        <w:szCs w:val="21"/>
                      </w:rPr>
                      <m:t>)</m:t>
                    </m:r>
                    <m:ctrlPr>
                      <w:rPr>
                        <w:rFonts w:hint="eastAsia" w:ascii="Cambria Math" w:hAnsi="Cambria Math" w:eastAsia="宋体" w:cs="宋体"/>
                        <w:sz w:val="21"/>
                        <w:szCs w:val="21"/>
                      </w:rPr>
                    </m:ctrlPr>
                  </m:e>
                  <m:sup>
                    <m:r>
                      <m:rPr>
                        <m:nor/>
                        <m:sty m:val="p"/>
                      </m:rPr>
                      <w:rPr>
                        <w:rFonts w:hint="eastAsia" w:ascii="Cambria Math" w:hAnsi="Cambria Math" w:eastAsia="宋体" w:cs="宋体"/>
                        <w:b w:val="0"/>
                        <w:i w:val="0"/>
                        <w:sz w:val="21"/>
                        <w:szCs w:val="21"/>
                      </w:rPr>
                      <m:t>2</m:t>
                    </m:r>
                    <m:ctrlPr>
                      <w:rPr>
                        <w:rFonts w:hint="eastAsia" w:ascii="Cambria Math" w:hAnsi="Cambria Math" w:eastAsia="宋体" w:cs="宋体"/>
                        <w:sz w:val="21"/>
                        <w:szCs w:val="21"/>
                      </w:rPr>
                    </m:ctrlPr>
                  </m:sup>
                </m:sSup>
                <m:ctrlPr>
                  <w:rPr>
                    <w:rFonts w:hint="eastAsia" w:ascii="Cambria Math" w:hAnsi="Cambria Math" w:eastAsia="宋体" w:cs="宋体"/>
                    <w:sz w:val="21"/>
                    <w:szCs w:val="21"/>
                  </w:rPr>
                </m:ctrlPr>
              </m:e>
            </m:rad>
            <m:ctrlPr>
              <w:rPr>
                <w:rFonts w:hint="eastAsia" w:ascii="Cambria Math" w:hAnsi="Cambria Math" w:eastAsia="宋体" w:cs="宋体"/>
                <w:sz w:val="21"/>
                <w:szCs w:val="21"/>
              </w:rPr>
            </m:ctrlPr>
          </m:num>
          <m:den>
            <m:r>
              <m:rPr>
                <m:nor/>
                <m:sty m:val="p"/>
              </m:rPr>
              <w:rPr>
                <w:rFonts w:hint="eastAsia" w:ascii="Cambria Math" w:hAnsi="Cambria Math" w:eastAsia="宋体" w:cs="宋体"/>
                <w:b w:val="0"/>
                <w:i w:val="0"/>
                <w:sz w:val="21"/>
                <w:szCs w:val="21"/>
                <w:lang w:val="en-US" w:eastAsia="zh-CN"/>
              </w:rPr>
              <m:t>n−1</m:t>
            </m:r>
            <m:ctrlPr>
              <w:rPr>
                <w:rFonts w:hint="eastAsia" w:ascii="Cambria Math" w:hAnsi="Cambria Math" w:eastAsia="宋体" w:cs="宋体"/>
                <w:sz w:val="21"/>
                <w:szCs w:val="21"/>
              </w:rPr>
            </m:ctrlPr>
          </m:den>
        </m:f>
        <m:r>
          <m:rPr>
            <m:nor/>
            <m:sty m:val="p"/>
          </m:rPr>
          <w:rPr>
            <w:rFonts w:hint="eastAsia" w:ascii="Cambria Math" w:hAnsi="Cambria Math" w:eastAsia="宋体" w:cs="宋体"/>
            <w:b w:val="0"/>
            <w:i w:val="0"/>
            <w:sz w:val="21"/>
            <w:szCs w:val="21"/>
          </w:rPr>
          <m:t>×100%</m:t>
        </m:r>
      </m:oMath>
      <w:r>
        <w:rPr>
          <w:rFonts w:hint="eastAsia" w:ascii="宋体" w:hAnsi="宋体" w:eastAsia="宋体" w:cs="宋体"/>
          <w:color w:val="000000" w:themeColor="text1"/>
          <w:sz w:val="21"/>
          <w:szCs w:val="21"/>
          <w:vertAlign w:val="baseline"/>
          <w:lang w:val="en-US" w:eastAsia="zh-CN"/>
          <w14:textFill>
            <w14:solidFill>
              <w14:schemeClr w14:val="tx1"/>
            </w14:solidFill>
          </w14:textFill>
        </w:rPr>
        <w:t xml:space="preserve">                                     （5）</w:t>
      </w:r>
    </w:p>
    <w:p w14:paraId="19AE70C2">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式中:</w:t>
      </w:r>
    </w:p>
    <w:p w14:paraId="5ABD0766">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RSD——相对标准偏差；</w:t>
      </w:r>
    </w:p>
    <w:p w14:paraId="25DCAC5F">
      <w:pPr>
        <w:pStyle w:val="23"/>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iCs/>
          <w:color w:val="000000" w:themeColor="text1"/>
          <w:sz w:val="21"/>
          <w:szCs w:val="21"/>
          <w:lang w:val="en-US" w:eastAsia="zh-CN"/>
          <w14:textFill>
            <w14:solidFill>
              <w14:schemeClr w14:val="tx1"/>
            </w14:solidFill>
          </w14:textFill>
        </w:rPr>
        <w:t>I</w:t>
      </w:r>
      <w:r>
        <w:rPr>
          <w:rFonts w:hint="eastAsia" w:ascii="宋体" w:hAnsi="宋体" w:eastAsia="宋体" w:cs="宋体"/>
          <w:i/>
          <w:iCs/>
          <w:color w:val="000000" w:themeColor="text1"/>
          <w:sz w:val="21"/>
          <w:szCs w:val="21"/>
          <w:vertAlign w:val="subscript"/>
          <w:lang w:val="en-US" w:eastAsia="zh-CN"/>
          <w14:textFill>
            <w14:solidFill>
              <w14:schemeClr w14:val="tx1"/>
            </w14:solidFill>
          </w14:textFill>
        </w:rPr>
        <w:t>i</w:t>
      </w:r>
      <w:r>
        <w:rPr>
          <w:rFonts w:hint="eastAsia" w:ascii="宋体" w:hAnsi="宋体" w:eastAsia="宋体" w:cs="宋体"/>
          <w:color w:val="000000" w:themeColor="text1"/>
          <w:sz w:val="21"/>
          <w:szCs w:val="21"/>
          <w:lang w:val="en-US" w:eastAsia="zh-CN"/>
          <w14:textFill>
            <w14:solidFill>
              <w14:schemeClr w14:val="tx1"/>
            </w14:solidFill>
          </w14:textFill>
        </w:rPr>
        <w:t>——第</w:t>
      </w:r>
      <w:r>
        <w:rPr>
          <w:rFonts w:hint="eastAsia" w:ascii="宋体" w:hAnsi="宋体" w:eastAsia="宋体" w:cs="宋体"/>
          <w:i/>
          <w:iCs/>
          <w:color w:val="000000" w:themeColor="text1"/>
          <w:sz w:val="21"/>
          <w:szCs w:val="21"/>
          <w:lang w:val="en-US" w:eastAsia="zh-CN"/>
          <w14:textFill>
            <w14:solidFill>
              <w14:schemeClr w14:val="tx1"/>
            </w14:solidFill>
          </w14:textFill>
        </w:rPr>
        <w:t>i</w:t>
      </w:r>
      <w:r>
        <w:rPr>
          <w:rFonts w:hint="eastAsia" w:ascii="宋体" w:hAnsi="宋体" w:eastAsia="宋体" w:cs="宋体"/>
          <w:color w:val="000000" w:themeColor="text1"/>
          <w:sz w:val="21"/>
          <w:szCs w:val="21"/>
          <w:lang w:val="en-US" w:eastAsia="zh-CN"/>
          <w14:textFill>
            <w14:solidFill>
              <w14:schemeClr w14:val="tx1"/>
            </w14:solidFill>
          </w14:textFill>
        </w:rPr>
        <w:t>次吸光度测量值；</w:t>
      </w:r>
    </w:p>
    <w:p w14:paraId="1932190E">
      <w:pPr>
        <w:pStyle w:val="23"/>
        <w:keepNext w:val="0"/>
        <w:keepLines w:val="0"/>
        <w:pageBreakBefore w:val="0"/>
        <w:widowControl/>
        <w:kinsoku/>
        <w:wordWrap/>
        <w:overflowPunct/>
        <w:topLinePunct w:val="0"/>
        <w:autoSpaceDE/>
        <w:autoSpaceDN/>
        <w:bidi w:val="0"/>
        <w:adjustRightInd/>
        <w:snapToGrid/>
        <w:ind w:firstLine="420" w:firstLineChars="200"/>
        <w:textAlignment w:val="auto"/>
        <w:rPr>
          <w:rFonts w:hint="eastAsia" w:ascii="宋体" w:hAnsi="宋体" w:eastAsia="宋体" w:cs="宋体"/>
          <w:color w:val="000000" w:themeColor="text1"/>
          <w:sz w:val="21"/>
          <w:szCs w:val="21"/>
          <w:lang w:val="en-US" w:eastAsia="zh-CN"/>
          <w14:textFill>
            <w14:solidFill>
              <w14:schemeClr w14:val="tx1"/>
            </w14:solidFill>
          </w14:textFill>
        </w:rPr>
      </w:pPr>
      <m:oMath>
        <m:bar>
          <m:barPr>
            <m:pos m:val="top"/>
            <m:ctrlPr>
              <w:rPr>
                <w:rFonts w:hint="eastAsia" w:ascii="Cambria Math" w:hAnsi="Cambria Math" w:eastAsia="宋体" w:cs="宋体"/>
                <w:i/>
                <w:color w:val="000000" w:themeColor="text1"/>
                <w:sz w:val="21"/>
                <w:szCs w:val="21"/>
                <w:lang w:val="en-US"/>
                <w14:textFill>
                  <w14:solidFill>
                    <w14:schemeClr w14:val="tx1"/>
                  </w14:solidFill>
                </w14:textFill>
              </w:rPr>
            </m:ctrlPr>
          </m:barPr>
          <m:e>
            <m:r>
              <m:rPr/>
              <w:rPr>
                <w:rFonts w:hint="eastAsia" w:ascii="Cambria Math" w:hAnsi="Cambria Math" w:eastAsia="宋体" w:cs="宋体"/>
                <w:color w:val="000000" w:themeColor="text1"/>
                <w:sz w:val="21"/>
                <w:szCs w:val="21"/>
                <w:lang w:val="en-US" w:eastAsia="zh-CN"/>
                <w14:textFill>
                  <w14:solidFill>
                    <w14:schemeClr w14:val="tx1"/>
                  </w14:solidFill>
                </w14:textFill>
              </w:rPr>
              <m:t>I</m:t>
            </m:r>
            <m:ctrlPr>
              <w:rPr>
                <w:rFonts w:hint="eastAsia" w:ascii="Cambria Math" w:hAnsi="Cambria Math" w:eastAsia="宋体" w:cs="宋体"/>
                <w:i/>
                <w:color w:val="000000" w:themeColor="text1"/>
                <w:sz w:val="21"/>
                <w:szCs w:val="21"/>
                <w:lang w:val="en-US"/>
                <w14:textFill>
                  <w14:solidFill>
                    <w14:schemeClr w14:val="tx1"/>
                  </w14:solidFill>
                </w14:textFill>
              </w:rPr>
            </m:ctrlPr>
          </m:e>
        </m:bar>
      </m:oMath>
      <w:r>
        <w:rPr>
          <w:rFonts w:hint="eastAsia" w:ascii="宋体" w:hAnsi="宋体" w:eastAsia="宋体" w:cs="宋体"/>
          <w:color w:val="000000" w:themeColor="text1"/>
          <w:sz w:val="21"/>
          <w:szCs w:val="21"/>
          <w:lang w:val="en-US" w:eastAsia="zh-CN"/>
          <w14:textFill>
            <w14:solidFill>
              <w14:schemeClr w14:val="tx1"/>
            </w14:solidFill>
          </w14:textFill>
        </w:rPr>
        <w:t>——7次吸光度测量平均值；</w:t>
      </w:r>
    </w:p>
    <w:p w14:paraId="1EE90418">
      <w:pPr>
        <w:pStyle w:val="23"/>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n——测量次数，n=7。</w:t>
      </w:r>
    </w:p>
    <w:p w14:paraId="404E64F1">
      <w:pPr>
        <w:pStyle w:val="29"/>
        <w:bidi w:val="0"/>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评价步骤</w:t>
      </w:r>
    </w:p>
    <w:p w14:paraId="489B0B41">
      <w:pPr>
        <w:pStyle w:val="35"/>
        <w:numPr>
          <w:ilvl w:val="1"/>
          <w:numId w:val="0"/>
        </w:numPr>
        <w:rPr>
          <w:rFonts w:hint="default" w:hAnsi="黑体" w:cs="黑体"/>
          <w:sz w:val="20"/>
          <w:szCs w:val="21"/>
          <w:highlight w:val="none"/>
          <w:lang w:val="en-US" w:eastAsia="zh-CN" w:bidi="ar-SA"/>
        </w:rPr>
      </w:pPr>
      <w:r>
        <w:rPr>
          <w:rFonts w:hint="eastAsia" w:hAnsi="黑体" w:cs="黑体"/>
          <w:sz w:val="20"/>
          <w:szCs w:val="21"/>
          <w:highlight w:val="none"/>
          <w:lang w:val="en-US" w:eastAsia="zh-CN" w:bidi="ar-SA"/>
        </w:rPr>
        <w:t>8.1</w:t>
      </w:r>
      <w:r>
        <w:rPr>
          <w:rFonts w:hint="default" w:ascii="黑体" w:hAnsi="黑体" w:eastAsia="黑体" w:cs="黑体"/>
          <w:sz w:val="20"/>
          <w:szCs w:val="21"/>
          <w:highlight w:val="none"/>
          <w:lang w:val="en-US" w:eastAsia="zh-CN" w:bidi="ar-SA"/>
        </w:rPr>
        <w:t>　</w:t>
      </w:r>
      <w:r>
        <w:rPr>
          <w:rFonts w:hint="eastAsia" w:hAnsi="黑体" w:cs="黑体"/>
          <w:sz w:val="20"/>
          <w:szCs w:val="21"/>
          <w:highlight w:val="none"/>
          <w:lang w:val="en-US" w:eastAsia="zh-CN" w:bidi="ar-SA"/>
        </w:rPr>
        <w:t>一般指标评价</w:t>
      </w:r>
    </w:p>
    <w:p w14:paraId="71F00083">
      <w:pPr>
        <w:pStyle w:val="23"/>
        <w:bidi w:val="0"/>
        <w:rPr>
          <w:rFonts w:hint="default"/>
          <w:color w:val="000000" w:themeColor="text1"/>
          <w:lang w:val="en-US" w:eastAsia="zh-CN"/>
          <w14:textFill>
            <w14:solidFill>
              <w14:schemeClr w14:val="tx1"/>
            </w14:solidFill>
          </w14:textFill>
        </w:rPr>
      </w:pPr>
      <w:r>
        <w:rPr>
          <w:rFonts w:hint="default"/>
          <w:color w:val="000000" w:themeColor="text1"/>
          <w:lang w:val="en-US" w:eastAsia="zh-CN"/>
          <w14:textFill>
            <w14:solidFill>
              <w14:schemeClr w14:val="tx1"/>
            </w14:solidFill>
          </w14:textFill>
        </w:rPr>
        <w:t>实施机构应首先对</w:t>
      </w:r>
      <w:r>
        <w:rPr>
          <w:rFonts w:hint="eastAsia"/>
          <w:color w:val="000000" w:themeColor="text1"/>
          <w:lang w:val="en-US" w:eastAsia="zh-CN"/>
          <w14:textFill>
            <w14:solidFill>
              <w14:schemeClr w14:val="tx1"/>
            </w14:solidFill>
          </w14:textFill>
        </w:rPr>
        <w:t>仪器</w:t>
      </w:r>
      <w:r>
        <w:rPr>
          <w:rFonts w:hint="default"/>
          <w:color w:val="000000" w:themeColor="text1"/>
          <w:lang w:val="en-US" w:eastAsia="zh-CN"/>
          <w14:textFill>
            <w14:solidFill>
              <w14:schemeClr w14:val="tx1"/>
            </w14:solidFill>
          </w14:textFill>
        </w:rPr>
        <w:t>的一般指标进行评价。当一般指标评价结果异常,且影响技术指标评价时，评价工作终止，并及时告知委托方。</w:t>
      </w:r>
    </w:p>
    <w:p w14:paraId="21B91259">
      <w:pPr>
        <w:pStyle w:val="35"/>
        <w:numPr>
          <w:ilvl w:val="1"/>
          <w:numId w:val="0"/>
        </w:numPr>
        <w:rPr>
          <w:rFonts w:hint="default" w:hAnsi="黑体" w:cs="黑体"/>
          <w:sz w:val="20"/>
          <w:szCs w:val="21"/>
          <w:lang w:val="en-US" w:eastAsia="zh-CN" w:bidi="ar-SA"/>
        </w:rPr>
      </w:pPr>
      <w:r>
        <w:rPr>
          <w:rFonts w:hint="eastAsia" w:hAnsi="黑体" w:cs="黑体"/>
          <w:sz w:val="20"/>
          <w:szCs w:val="21"/>
          <w:lang w:val="en-US" w:eastAsia="zh-CN" w:bidi="ar-SA"/>
        </w:rPr>
        <w:t>8.2</w:t>
      </w:r>
      <w:r>
        <w:rPr>
          <w:rFonts w:hint="default" w:ascii="黑体" w:hAnsi="黑体" w:eastAsia="黑体" w:cs="黑体"/>
          <w:sz w:val="20"/>
          <w:szCs w:val="21"/>
          <w:lang w:val="en-US" w:eastAsia="zh-CN" w:bidi="ar-SA"/>
        </w:rPr>
        <w:t>　</w:t>
      </w:r>
      <w:r>
        <w:rPr>
          <w:rFonts w:hint="eastAsia" w:hAnsi="黑体" w:cs="黑体"/>
          <w:sz w:val="20"/>
          <w:szCs w:val="21"/>
          <w:lang w:val="en-US" w:eastAsia="zh-CN" w:bidi="ar-SA"/>
        </w:rPr>
        <w:t>技术指标评价</w:t>
      </w:r>
    </w:p>
    <w:p w14:paraId="3CCDE98A">
      <w:pPr>
        <w:pStyle w:val="35"/>
        <w:numPr>
          <w:ilvl w:val="1"/>
          <w:numId w:val="0"/>
        </w:numPr>
        <w:rPr>
          <w:rFonts w:hint="default"/>
          <w:color w:val="000000" w:themeColor="text1"/>
          <w:lang w:val="en-US" w:eastAsia="zh-CN"/>
          <w14:textFill>
            <w14:solidFill>
              <w14:schemeClr w14:val="tx1"/>
            </w14:solidFill>
          </w14:textFill>
        </w:rPr>
      </w:pPr>
      <w:r>
        <w:rPr>
          <w:rFonts w:hint="eastAsia" w:hAnsi="黑体" w:cs="黑体"/>
          <w:sz w:val="20"/>
          <w:szCs w:val="21"/>
          <w:lang w:val="en-US" w:eastAsia="zh-CN" w:bidi="ar-SA"/>
        </w:rPr>
        <w:t>8.2.1</w:t>
      </w:r>
      <w:r>
        <w:rPr>
          <w:rFonts w:hint="default" w:ascii="黑体" w:hAnsi="黑体" w:eastAsia="黑体" w:cs="黑体"/>
          <w:sz w:val="20"/>
          <w:szCs w:val="21"/>
          <w:lang w:val="en-US" w:eastAsia="zh-CN" w:bidi="ar-SA"/>
        </w:rPr>
        <w:t>　</w:t>
      </w:r>
      <w:r>
        <w:rPr>
          <w:rFonts w:hint="eastAsia" w:hAnsi="黑体" w:cs="黑体"/>
          <w:sz w:val="20"/>
          <w:szCs w:val="21"/>
          <w:lang w:val="en-US" w:eastAsia="zh-CN" w:bidi="ar-SA"/>
        </w:rPr>
        <w:t>制定评价方案</w:t>
      </w:r>
    </w:p>
    <w:p w14:paraId="2D7DAF09">
      <w:pPr>
        <w:pStyle w:val="23"/>
        <w:bidi w:val="0"/>
        <w:rPr>
          <w:rFonts w:hint="default"/>
          <w:color w:val="000000" w:themeColor="text1"/>
          <w:highlight w:val="none"/>
          <w:lang w:val="en-US" w:eastAsia="zh-CN"/>
          <w14:textFill>
            <w14:solidFill>
              <w14:schemeClr w14:val="tx1"/>
            </w14:solidFill>
          </w14:textFill>
        </w:rPr>
      </w:pPr>
      <w:r>
        <w:rPr>
          <w:rFonts w:hint="default"/>
          <w:color w:val="000000" w:themeColor="text1"/>
          <w:lang w:val="en-US" w:eastAsia="zh-CN"/>
          <w14:textFill>
            <w14:solidFill>
              <w14:schemeClr w14:val="tx1"/>
            </w14:solidFill>
          </w14:textFill>
        </w:rPr>
        <w:t>实施机构</w:t>
      </w:r>
      <w:r>
        <w:rPr>
          <w:rFonts w:hint="eastAsia"/>
          <w:color w:val="000000" w:themeColor="text1"/>
          <w:lang w:val="en-US" w:eastAsia="zh-CN"/>
          <w14:textFill>
            <w14:solidFill>
              <w14:schemeClr w14:val="tx1"/>
            </w14:solidFill>
          </w14:textFill>
        </w:rPr>
        <w:t>收到委</w:t>
      </w:r>
      <w:r>
        <w:rPr>
          <w:rFonts w:hint="eastAsia"/>
          <w:color w:val="000000" w:themeColor="text1"/>
          <w:highlight w:val="none"/>
          <w:lang w:val="en-US" w:eastAsia="zh-CN"/>
          <w14:textFill>
            <w14:solidFill>
              <w14:schemeClr w14:val="tx1"/>
            </w14:solidFill>
          </w14:textFill>
        </w:rPr>
        <w:t>托任务后</w:t>
      </w:r>
      <w:r>
        <w:rPr>
          <w:rFonts w:hint="default"/>
          <w:color w:val="000000" w:themeColor="text1"/>
          <w:highlight w:val="none"/>
          <w:lang w:val="en-US" w:eastAsia="zh-CN"/>
          <w14:textFill>
            <w14:solidFill>
              <w14:schemeClr w14:val="tx1"/>
            </w14:solidFill>
          </w14:textFill>
        </w:rPr>
        <w:t>,应根据</w:t>
      </w:r>
      <w:r>
        <w:rPr>
          <w:rFonts w:hint="eastAsia"/>
          <w:color w:val="000000" w:themeColor="text1"/>
          <w:highlight w:val="none"/>
          <w:lang w:val="en-US" w:eastAsia="zh-CN"/>
          <w14:textFill>
            <w14:solidFill>
              <w14:schemeClr w14:val="tx1"/>
            </w14:solidFill>
          </w14:textFill>
        </w:rPr>
        <w:t>仪器的实际情况，按照“7.2 技术指标”要求</w:t>
      </w:r>
      <w:r>
        <w:rPr>
          <w:rFonts w:hint="default"/>
          <w:color w:val="000000" w:themeColor="text1"/>
          <w:highlight w:val="none"/>
          <w:lang w:val="en-US" w:eastAsia="zh-CN"/>
          <w14:textFill>
            <w14:solidFill>
              <w14:schemeClr w14:val="tx1"/>
            </w14:solidFill>
          </w14:textFill>
        </w:rPr>
        <w:t>，拟定具体的评价方案,应至少包括以下内容:</w:t>
      </w:r>
    </w:p>
    <w:p w14:paraId="2B12080E">
      <w:pPr>
        <w:pStyle w:val="23"/>
        <w:bidi w:val="0"/>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w:t>
      </w:r>
      <w:r>
        <w:rPr>
          <w:rFonts w:hint="default"/>
          <w:color w:val="000000" w:themeColor="text1"/>
          <w:highlight w:val="none"/>
          <w:lang w:val="en-US" w:eastAsia="zh-CN"/>
          <w14:textFill>
            <w14:solidFill>
              <w14:schemeClr w14:val="tx1"/>
            </w14:solidFill>
          </w14:textFill>
        </w:rPr>
        <w:t>方案实施程序</w:t>
      </w:r>
      <w:r>
        <w:rPr>
          <w:rFonts w:hint="eastAsia"/>
          <w:color w:val="000000" w:themeColor="text1"/>
          <w:highlight w:val="none"/>
          <w:lang w:val="en-US" w:eastAsia="zh-CN"/>
          <w14:textFill>
            <w14:solidFill>
              <w14:schemeClr w14:val="tx1"/>
            </w14:solidFill>
          </w14:textFill>
        </w:rPr>
        <w:t>；</w:t>
      </w:r>
    </w:p>
    <w:p w14:paraId="4F972E6A">
      <w:pPr>
        <w:pStyle w:val="23"/>
        <w:bidi w:val="0"/>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w:t>
      </w:r>
      <w:r>
        <w:rPr>
          <w:rFonts w:hint="default"/>
          <w:color w:val="000000" w:themeColor="text1"/>
          <w:highlight w:val="none"/>
          <w:lang w:val="en-US" w:eastAsia="zh-CN"/>
          <w14:textFill>
            <w14:solidFill>
              <w14:schemeClr w14:val="tx1"/>
            </w14:solidFill>
          </w14:textFill>
        </w:rPr>
        <w:t>评价内容及依据</w:t>
      </w:r>
      <w:r>
        <w:rPr>
          <w:rFonts w:hint="eastAsia"/>
          <w:color w:val="000000" w:themeColor="text1"/>
          <w:highlight w:val="none"/>
          <w:lang w:val="en-US" w:eastAsia="zh-CN"/>
          <w14:textFill>
            <w14:solidFill>
              <w14:schemeClr w14:val="tx1"/>
            </w14:solidFill>
          </w14:textFill>
        </w:rPr>
        <w:t>；</w:t>
      </w:r>
    </w:p>
    <w:p w14:paraId="2432AB2F">
      <w:pPr>
        <w:pStyle w:val="23"/>
        <w:bidi w:val="0"/>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w:t>
      </w:r>
      <w:r>
        <w:rPr>
          <w:rFonts w:hint="default"/>
          <w:color w:val="000000" w:themeColor="text1"/>
          <w:highlight w:val="none"/>
          <w:lang w:val="en-US" w:eastAsia="zh-CN"/>
          <w14:textFill>
            <w14:solidFill>
              <w14:schemeClr w14:val="tx1"/>
            </w14:solidFill>
          </w14:textFill>
        </w:rPr>
        <w:t>结果判断及统计方式。</w:t>
      </w:r>
    </w:p>
    <w:p w14:paraId="029D68CC">
      <w:pPr>
        <w:pStyle w:val="35"/>
        <w:numPr>
          <w:ilvl w:val="1"/>
          <w:numId w:val="0"/>
        </w:numPr>
        <w:rPr>
          <w:rFonts w:hint="default" w:hAnsi="黑体" w:cs="黑体"/>
          <w:sz w:val="20"/>
          <w:szCs w:val="21"/>
          <w:lang w:val="en-US" w:eastAsia="zh-CN" w:bidi="ar-SA"/>
        </w:rPr>
      </w:pPr>
      <w:r>
        <w:rPr>
          <w:rFonts w:hint="eastAsia" w:hAnsi="黑体" w:cs="黑体"/>
          <w:sz w:val="20"/>
          <w:szCs w:val="21"/>
          <w:lang w:val="en-US" w:eastAsia="zh-CN" w:bidi="ar-SA"/>
        </w:rPr>
        <w:t>8.2.2</w:t>
      </w:r>
      <w:r>
        <w:rPr>
          <w:rFonts w:hint="default" w:ascii="黑体" w:hAnsi="黑体" w:eastAsia="黑体" w:cs="黑体"/>
          <w:sz w:val="20"/>
          <w:szCs w:val="21"/>
          <w:lang w:val="en-US" w:eastAsia="zh-CN" w:bidi="ar-SA"/>
        </w:rPr>
        <w:t>　</w:t>
      </w:r>
      <w:r>
        <w:rPr>
          <w:rFonts w:hint="eastAsia" w:hAnsi="黑体" w:cs="黑体"/>
          <w:sz w:val="20"/>
          <w:szCs w:val="21"/>
          <w:lang w:val="en-US" w:eastAsia="zh-CN" w:bidi="ar-SA"/>
        </w:rPr>
        <w:t>试验测试</w:t>
      </w:r>
    </w:p>
    <w:p w14:paraId="7CD34482">
      <w:pPr>
        <w:pStyle w:val="35"/>
        <w:numPr>
          <w:ilvl w:val="1"/>
          <w:numId w:val="0"/>
        </w:numPr>
        <w:rPr>
          <w:rFonts w:hint="default" w:hAnsi="黑体" w:cs="黑体"/>
          <w:sz w:val="20"/>
          <w:szCs w:val="21"/>
          <w:lang w:val="en-US" w:eastAsia="zh-CN" w:bidi="ar-SA"/>
        </w:rPr>
      </w:pPr>
      <w:r>
        <w:rPr>
          <w:rFonts w:hint="eastAsia" w:hAnsi="黑体" w:cs="黑体"/>
          <w:sz w:val="20"/>
          <w:szCs w:val="21"/>
          <w:lang w:val="en-US" w:eastAsia="zh-CN" w:bidi="ar-SA"/>
        </w:rPr>
        <w:t>8.2.2.1</w:t>
      </w:r>
      <w:r>
        <w:rPr>
          <w:rFonts w:hint="default" w:ascii="黑体" w:hAnsi="黑体" w:eastAsia="黑体" w:cs="黑体"/>
          <w:sz w:val="20"/>
          <w:szCs w:val="21"/>
          <w:lang w:val="en-US" w:eastAsia="zh-CN" w:bidi="ar-SA"/>
        </w:rPr>
        <w:t>　</w:t>
      </w:r>
      <w:r>
        <w:rPr>
          <w:rFonts w:hint="eastAsia" w:hAnsi="黑体" w:cs="黑体"/>
          <w:sz w:val="20"/>
          <w:szCs w:val="21"/>
          <w:lang w:val="en-US" w:eastAsia="zh-CN" w:bidi="ar-SA"/>
        </w:rPr>
        <w:t>试验前准备</w:t>
      </w:r>
    </w:p>
    <w:p w14:paraId="7CDB3A5D">
      <w:pPr>
        <w:pStyle w:val="23"/>
        <w:bidi w:val="0"/>
        <w:rPr>
          <w:rFonts w:hint="default"/>
          <w:color w:val="000000" w:themeColor="text1"/>
          <w:lang w:val="en-US" w:eastAsia="zh-CN"/>
          <w14:textFill>
            <w14:solidFill>
              <w14:schemeClr w14:val="tx1"/>
            </w14:solidFill>
          </w14:textFill>
        </w:rPr>
      </w:pPr>
      <w:r>
        <w:rPr>
          <w:rFonts w:hint="default"/>
          <w:color w:val="000000" w:themeColor="text1"/>
          <w:lang w:val="en-US" w:eastAsia="zh-CN"/>
          <w14:textFill>
            <w14:solidFill>
              <w14:schemeClr w14:val="tx1"/>
            </w14:solidFill>
          </w14:textFill>
        </w:rPr>
        <w:t>根据仪器说明书的要求设置仪器参数,如激光波长和功率</w:t>
      </w:r>
      <w:r>
        <w:rPr>
          <w:rFonts w:hint="eastAsia"/>
          <w:color w:val="000000" w:themeColor="text1"/>
          <w:lang w:val="en-US" w:eastAsia="zh-CN"/>
          <w14:textFill>
            <w14:solidFill>
              <w14:schemeClr w14:val="tx1"/>
            </w14:solidFill>
          </w14:textFill>
        </w:rPr>
        <w:t>、</w:t>
      </w:r>
      <w:r>
        <w:rPr>
          <w:rFonts w:hint="default"/>
          <w:color w:val="000000" w:themeColor="text1"/>
          <w:lang w:val="en-US" w:eastAsia="zh-CN"/>
          <w14:textFill>
            <w14:solidFill>
              <w14:schemeClr w14:val="tx1"/>
            </w14:solidFill>
          </w14:textFill>
        </w:rPr>
        <w:t>物镜</w:t>
      </w:r>
      <w:r>
        <w:rPr>
          <w:rFonts w:hint="eastAsia"/>
          <w:color w:val="000000" w:themeColor="text1"/>
          <w:lang w:val="en-US" w:eastAsia="zh-CN"/>
          <w14:textFill>
            <w14:solidFill>
              <w14:schemeClr w14:val="tx1"/>
            </w14:solidFill>
          </w14:textFill>
        </w:rPr>
        <w:t>、</w:t>
      </w:r>
      <w:r>
        <w:rPr>
          <w:rFonts w:hint="default"/>
          <w:color w:val="000000" w:themeColor="text1"/>
          <w:lang w:val="en-US" w:eastAsia="zh-CN"/>
          <w14:textFill>
            <w14:solidFill>
              <w14:schemeClr w14:val="tx1"/>
            </w14:solidFill>
          </w14:textFill>
        </w:rPr>
        <w:t>狭缝宽度和光栅刻线等相关条件，激光功率为标称功率或仪器说明书的推荐值。仪器测试时</w:t>
      </w:r>
      <w:r>
        <w:rPr>
          <w:rFonts w:hint="eastAsia"/>
          <w:color w:val="000000" w:themeColor="text1"/>
          <w:lang w:val="en-US" w:eastAsia="zh-CN"/>
          <w14:textFill>
            <w14:solidFill>
              <w14:schemeClr w14:val="tx1"/>
            </w14:solidFill>
          </w14:textFill>
        </w:rPr>
        <w:t>，</w:t>
      </w:r>
      <w:r>
        <w:rPr>
          <w:rFonts w:hint="default"/>
          <w:color w:val="000000" w:themeColor="text1"/>
          <w:lang w:val="en-US" w:eastAsia="zh-CN"/>
          <w14:textFill>
            <w14:solidFill>
              <w14:schemeClr w14:val="tx1"/>
            </w14:solidFill>
          </w14:textFill>
        </w:rPr>
        <w:t>应注明环境温度、仪器声明的波数测量范围、</w:t>
      </w:r>
      <w:r>
        <w:rPr>
          <w:rFonts w:hint="eastAsia"/>
          <w:color w:val="000000" w:themeColor="text1"/>
          <w:lang w:val="en-US" w:eastAsia="zh-CN"/>
          <w14:textFill>
            <w14:solidFill>
              <w14:schemeClr w14:val="tx1"/>
            </w14:solidFill>
          </w14:textFill>
        </w:rPr>
        <w:t>激光</w:t>
      </w:r>
      <w:r>
        <w:rPr>
          <w:rFonts w:hint="default"/>
          <w:color w:val="000000" w:themeColor="text1"/>
          <w:lang w:val="en-US" w:eastAsia="zh-CN"/>
          <w14:textFill>
            <w14:solidFill>
              <w14:schemeClr w14:val="tx1"/>
            </w14:solidFill>
          </w14:textFill>
        </w:rPr>
        <w:t>波长和功率、狭缝大小、分光系统的光栅刻线数和焦长、采样积分时间等仪器设置条件。</w:t>
      </w:r>
    </w:p>
    <w:p w14:paraId="5F1DF66C">
      <w:pPr>
        <w:pStyle w:val="35"/>
        <w:numPr>
          <w:ilvl w:val="1"/>
          <w:numId w:val="0"/>
        </w:numPr>
        <w:rPr>
          <w:rFonts w:hint="default" w:hAnsi="黑体" w:cs="黑体"/>
          <w:sz w:val="20"/>
          <w:szCs w:val="21"/>
          <w:lang w:val="en-US" w:eastAsia="zh-CN" w:bidi="ar-SA"/>
        </w:rPr>
      </w:pPr>
      <w:r>
        <w:rPr>
          <w:rFonts w:hint="eastAsia" w:hAnsi="黑体" w:cs="黑体"/>
          <w:sz w:val="20"/>
          <w:szCs w:val="21"/>
          <w:lang w:val="en-US" w:eastAsia="zh-CN" w:bidi="ar-SA"/>
        </w:rPr>
        <w:t>8.2.2.2</w:t>
      </w:r>
      <w:r>
        <w:rPr>
          <w:rFonts w:hint="default" w:ascii="黑体" w:hAnsi="黑体" w:eastAsia="黑体" w:cs="黑体"/>
          <w:sz w:val="20"/>
          <w:szCs w:val="21"/>
          <w:lang w:val="en-US" w:eastAsia="zh-CN" w:bidi="ar-SA"/>
        </w:rPr>
        <w:t>　</w:t>
      </w:r>
      <w:r>
        <w:rPr>
          <w:rFonts w:hint="eastAsia" w:hAnsi="黑体" w:cs="黑体"/>
          <w:sz w:val="20"/>
          <w:szCs w:val="21"/>
          <w:lang w:val="en-US" w:eastAsia="zh-CN" w:bidi="ar-SA"/>
        </w:rPr>
        <w:t>试验条件</w:t>
      </w:r>
    </w:p>
    <w:p w14:paraId="00C88251">
      <w:pPr>
        <w:pStyle w:val="23"/>
        <w:bidi w:val="0"/>
        <w:rPr>
          <w:rFonts w:hint="eastAsia" w:ascii="宋体" w:hAnsi="宋体" w:eastAsia="宋体" w:cs="宋体"/>
          <w:color w:val="000000" w:themeColor="text1"/>
          <w:highlight w:val="none"/>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仪器经试验前准备工作后，在下列试验</w:t>
      </w:r>
      <w:r>
        <w:rPr>
          <w:rFonts w:hint="eastAsia" w:ascii="宋体" w:hAnsi="宋体" w:eastAsia="宋体" w:cs="宋体"/>
          <w:color w:val="000000" w:themeColor="text1"/>
          <w:highlight w:val="none"/>
          <w:lang w:val="en-US" w:eastAsia="zh-CN"/>
          <w14:textFill>
            <w14:solidFill>
              <w14:schemeClr w14:val="tx1"/>
            </w14:solidFill>
          </w14:textFill>
        </w:rPr>
        <w:t>条件下开始性能检验：</w:t>
      </w:r>
    </w:p>
    <w:p w14:paraId="0245EAE9">
      <w:pPr>
        <w:pStyle w:val="23"/>
        <w:numPr>
          <w:ilvl w:val="0"/>
          <w:numId w:val="9"/>
        </w:numPr>
        <w:bidi w:val="0"/>
        <w:rPr>
          <w:rFonts w:hint="eastAsia" w:ascii="宋体" w:hAnsi="宋体" w:eastAsia="宋体" w:cs="宋体"/>
          <w:color w:val="000000" w:themeColor="text1"/>
          <w:highlight w:val="none"/>
          <w:lang w:val="en-US" w:eastAsia="zh-CN"/>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除非另有规定，试验均应在“6 工作条件要求”所规定的条件下进行，温度波动不应超过± 2℃；</w:t>
      </w:r>
    </w:p>
    <w:p w14:paraId="21D14EDE">
      <w:pPr>
        <w:pStyle w:val="23"/>
        <w:numPr>
          <w:ilvl w:val="0"/>
          <w:numId w:val="9"/>
        </w:numPr>
        <w:bidi w:val="0"/>
        <w:rPr>
          <w:rFonts w:hint="eastAsia" w:ascii="宋体" w:hAnsi="宋体" w:eastAsia="宋体" w:cs="宋体"/>
          <w:color w:val="000000" w:themeColor="text1"/>
          <w:highlight w:val="none"/>
          <w:lang w:val="en-US" w:eastAsia="zh-CN"/>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仪器在试验前应按照仪器说明书要求进行预热；</w:t>
      </w:r>
    </w:p>
    <w:p w14:paraId="64283994">
      <w:pPr>
        <w:pStyle w:val="23"/>
        <w:bidi w:val="0"/>
        <w:rPr>
          <w:rFonts w:hint="eastAsia" w:ascii="宋体" w:hAnsi="宋体" w:eastAsia="宋体" w:cs="宋体"/>
          <w:color w:val="000000" w:themeColor="text1"/>
          <w:highlight w:val="none"/>
          <w:lang w:val="en-US" w:eastAsia="zh-CN"/>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c）试验用材料，见“7.2.1”。</w:t>
      </w:r>
    </w:p>
    <w:p w14:paraId="0B8881C3">
      <w:pPr>
        <w:pStyle w:val="35"/>
        <w:numPr>
          <w:ilvl w:val="1"/>
          <w:numId w:val="0"/>
        </w:numPr>
        <w:rPr>
          <w:rFonts w:hint="default" w:hAnsi="黑体" w:cs="黑体"/>
          <w:sz w:val="20"/>
          <w:szCs w:val="21"/>
          <w:highlight w:val="none"/>
          <w:lang w:val="en-US" w:eastAsia="zh-CN" w:bidi="ar-SA"/>
        </w:rPr>
      </w:pPr>
      <w:r>
        <w:rPr>
          <w:rFonts w:hint="eastAsia" w:hAnsi="黑体" w:cs="黑体"/>
          <w:sz w:val="20"/>
          <w:szCs w:val="21"/>
          <w:highlight w:val="none"/>
          <w:lang w:val="en-US" w:eastAsia="zh-CN" w:bidi="ar-SA"/>
        </w:rPr>
        <w:t>8.3.2.3</w:t>
      </w:r>
      <w:r>
        <w:rPr>
          <w:rFonts w:hint="default" w:ascii="黑体" w:hAnsi="黑体" w:eastAsia="黑体" w:cs="黑体"/>
          <w:sz w:val="20"/>
          <w:szCs w:val="21"/>
          <w:highlight w:val="none"/>
          <w:lang w:val="en-US" w:eastAsia="zh-CN" w:bidi="ar-SA"/>
        </w:rPr>
        <w:t>　</w:t>
      </w:r>
      <w:r>
        <w:rPr>
          <w:rFonts w:hint="eastAsia" w:hAnsi="黑体" w:cs="黑体"/>
          <w:sz w:val="20"/>
          <w:szCs w:val="21"/>
          <w:highlight w:val="none"/>
          <w:lang w:val="en-US" w:eastAsia="zh-CN" w:bidi="ar-SA"/>
        </w:rPr>
        <w:t>试验操作及要求</w:t>
      </w:r>
    </w:p>
    <w:p w14:paraId="2A56A2AA">
      <w:pPr>
        <w:pStyle w:val="23"/>
        <w:bidi w:val="0"/>
        <w:rPr>
          <w:rFonts w:hint="default"/>
          <w:color w:val="000000" w:themeColor="text1"/>
          <w:highlight w:val="none"/>
          <w:lang w:val="en-US" w:eastAsia="zh-CN"/>
          <w14:textFill>
            <w14:solidFill>
              <w14:schemeClr w14:val="tx1"/>
            </w14:solidFill>
          </w14:textFill>
        </w:rPr>
      </w:pPr>
      <w:r>
        <w:rPr>
          <w:rFonts w:hint="default"/>
          <w:color w:val="000000" w:themeColor="text1"/>
          <w:highlight w:val="none"/>
          <w:lang w:val="en-US" w:eastAsia="zh-CN"/>
          <w14:textFill>
            <w14:solidFill>
              <w14:schemeClr w14:val="tx1"/>
            </w14:solidFill>
          </w14:textFill>
        </w:rPr>
        <w:t>实施机构应</w:t>
      </w:r>
      <w:r>
        <w:rPr>
          <w:rFonts w:hint="eastAsia"/>
          <w:color w:val="000000" w:themeColor="text1"/>
          <w:highlight w:val="none"/>
          <w:lang w:val="en-US" w:eastAsia="zh-CN"/>
          <w14:textFill>
            <w14:solidFill>
              <w14:schemeClr w14:val="tx1"/>
            </w14:solidFill>
          </w14:textFill>
        </w:rPr>
        <w:t>依据“7.2 技术指标”要求，并按照制定的评价方案进行试验测试，并应至少包括以下内容：</w:t>
      </w:r>
    </w:p>
    <w:p w14:paraId="5760A08B">
      <w:pPr>
        <w:pStyle w:val="23"/>
        <w:bidi w:val="0"/>
        <w:rPr>
          <w:rFonts w:hint="default"/>
          <w:color w:val="000000" w:themeColor="text1"/>
          <w:highlight w:val="none"/>
          <w:lang w:val="en-US" w:eastAsia="zh-CN"/>
          <w14:textFill>
            <w14:solidFill>
              <w14:schemeClr w14:val="tx1"/>
            </w14:solidFill>
          </w14:textFill>
        </w:rPr>
      </w:pPr>
      <w:r>
        <w:rPr>
          <w:rFonts w:hint="default"/>
          <w:color w:val="000000" w:themeColor="text1"/>
          <w:highlight w:val="none"/>
          <w:lang w:val="en-US" w:eastAsia="zh-CN"/>
          <w14:textFill>
            <w14:solidFill>
              <w14:schemeClr w14:val="tx1"/>
            </w14:solidFill>
          </w14:textFill>
        </w:rPr>
        <w:t>a)在符合规定的环境条件下，对</w:t>
      </w:r>
      <w:r>
        <w:rPr>
          <w:rFonts w:hint="eastAsia"/>
          <w:color w:val="000000" w:themeColor="text1"/>
          <w:highlight w:val="none"/>
          <w:lang w:val="en-US" w:eastAsia="zh-CN"/>
          <w14:textFill>
            <w14:solidFill>
              <w14:schemeClr w14:val="tx1"/>
            </w14:solidFill>
          </w14:textFill>
        </w:rPr>
        <w:t>仪器进行</w:t>
      </w:r>
      <w:r>
        <w:rPr>
          <w:rFonts w:hint="default"/>
          <w:color w:val="000000" w:themeColor="text1"/>
          <w:highlight w:val="none"/>
          <w:lang w:val="en-US" w:eastAsia="zh-CN"/>
          <w14:textFill>
            <w14:solidFill>
              <w14:schemeClr w14:val="tx1"/>
            </w14:solidFill>
          </w14:textFill>
        </w:rPr>
        <w:t>评价试验，并详细记录实施过程的相关信息</w:t>
      </w:r>
      <w:r>
        <w:rPr>
          <w:rFonts w:hint="eastAsia"/>
          <w:color w:val="000000" w:themeColor="text1"/>
          <w:highlight w:val="none"/>
          <w:lang w:val="en-US" w:eastAsia="zh-CN"/>
          <w14:textFill>
            <w14:solidFill>
              <w14:schemeClr w14:val="tx1"/>
            </w14:solidFill>
          </w14:textFill>
        </w:rPr>
        <w:t>；</w:t>
      </w:r>
    </w:p>
    <w:p w14:paraId="093254E6">
      <w:pPr>
        <w:pStyle w:val="23"/>
        <w:bidi w:val="0"/>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w:t>
      </w:r>
      <w:r>
        <w:rPr>
          <w:rFonts w:hint="default"/>
          <w:color w:val="000000" w:themeColor="text1"/>
          <w:highlight w:val="none"/>
          <w:lang w:val="en-US" w:eastAsia="zh-CN"/>
          <w14:textFill>
            <w14:solidFill>
              <w14:schemeClr w14:val="tx1"/>
            </w14:solidFill>
          </w14:textFill>
        </w:rPr>
        <w:t>)附带考察操作环境</w:t>
      </w:r>
      <w:r>
        <w:rPr>
          <w:rFonts w:hint="eastAsia"/>
          <w:color w:val="000000" w:themeColor="text1"/>
          <w:highlight w:val="none"/>
          <w:lang w:val="en-US" w:eastAsia="zh-CN"/>
          <w14:textFill>
            <w14:solidFill>
              <w14:schemeClr w14:val="tx1"/>
            </w14:solidFill>
          </w14:textFill>
        </w:rPr>
        <w:t>要求</w:t>
      </w:r>
      <w:r>
        <w:rPr>
          <w:rFonts w:hint="default"/>
          <w:color w:val="000000" w:themeColor="text1"/>
          <w:highlight w:val="none"/>
          <w:lang w:val="en-US" w:eastAsia="zh-CN"/>
          <w14:textFill>
            <w14:solidFill>
              <w14:schemeClr w14:val="tx1"/>
            </w14:solidFill>
          </w14:textFill>
        </w:rPr>
        <w:t>、操作难易、辅助设备等情况</w:t>
      </w:r>
      <w:r>
        <w:rPr>
          <w:rFonts w:hint="eastAsia"/>
          <w:color w:val="000000" w:themeColor="text1"/>
          <w:highlight w:val="none"/>
          <w:lang w:val="en-US" w:eastAsia="zh-CN"/>
          <w14:textFill>
            <w14:solidFill>
              <w14:schemeClr w14:val="tx1"/>
            </w14:solidFill>
          </w14:textFill>
        </w:rPr>
        <w:t>。</w:t>
      </w:r>
    </w:p>
    <w:p w14:paraId="49430EDD">
      <w:pPr>
        <w:pStyle w:val="29"/>
        <w:bidi w:val="0"/>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评价结果及报告出具</w:t>
      </w:r>
    </w:p>
    <w:p w14:paraId="322F2A52">
      <w:pPr>
        <w:pStyle w:val="23"/>
        <w:bidi w:val="0"/>
        <w:rPr>
          <w:rFonts w:hint="eastAsia" w:ascii="宋体" w:hAnsi="宋体" w:eastAsia="宋体" w:cs="宋体"/>
          <w:color w:val="000000" w:themeColor="text1"/>
          <w:highlight w:val="none"/>
          <w:lang w:val="en-US" w:eastAsia="zh-CN"/>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对仪器评价结果进行汇总分析，得出仪器性能指标是否符合国家有关规定，或者是否符合产品标称的结论，并出具仪器评价报告。仪器评价报告模板见附录B。</w:t>
      </w:r>
    </w:p>
    <w:p w14:paraId="14508E57">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实施机构出具仪器评价报告，对评价整体情况和结果进行汇总整理和分析。报告中应至少包括以下内容:</w:t>
      </w:r>
    </w:p>
    <w:p w14:paraId="488FA021">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a）报告标题；</w:t>
      </w:r>
    </w:p>
    <w:p w14:paraId="034B3017">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b）报告的唯一性编号，页码和总页码，结尾处有结束符号；</w:t>
      </w:r>
    </w:p>
    <w:p w14:paraId="4521B8CA">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c）实施机构信息，主要包括：名称和地址等；</w:t>
      </w:r>
    </w:p>
    <w:p w14:paraId="1F398D30">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d）委托单位主要信息；</w:t>
      </w:r>
    </w:p>
    <w:p w14:paraId="569D4473">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e）被评价仪器的描述和明确标识（如型号、产品编号等）；</w:t>
      </w:r>
    </w:p>
    <w:p w14:paraId="3B418B91">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f）待评价仪器的状态描述和标识；</w:t>
      </w:r>
    </w:p>
    <w:p w14:paraId="035F6B1E">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g）收样日期；</w:t>
      </w:r>
    </w:p>
    <w:p w14:paraId="3EB1F5DC">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h）评价日期；</w:t>
      </w:r>
    </w:p>
    <w:p w14:paraId="75770AD9">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i）评价结果；</w:t>
      </w:r>
    </w:p>
    <w:p w14:paraId="099F6AF0">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j）对操作环境、操作难易、辅助设备等的描述；</w:t>
      </w:r>
    </w:p>
    <w:p w14:paraId="0CA44C18">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k）被评价的仪器是否符合国家有关规定或仪器标称的结论；</w:t>
      </w:r>
    </w:p>
    <w:p w14:paraId="36177A3D">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l）批准人员、审核人员等信息；</w:t>
      </w:r>
    </w:p>
    <w:p w14:paraId="696FFACB">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m）评价结果仅对被评价对象有效的声明；</w:t>
      </w:r>
    </w:p>
    <w:p w14:paraId="149FF84D">
      <w:pPr>
        <w:pStyle w:val="23"/>
        <w:bidi w:val="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n）其它免责声明。</w:t>
      </w:r>
    </w:p>
    <w:p w14:paraId="17152675">
      <w:pPr>
        <w:pStyle w:val="23"/>
        <w:bidi w:val="0"/>
        <w:rPr>
          <w:rFonts w:hint="default"/>
          <w:color w:val="000000" w:themeColor="text1"/>
          <w:lang w:val="en-US" w:eastAsia="zh-CN"/>
          <w14:textFill>
            <w14:solidFill>
              <w14:schemeClr w14:val="tx1"/>
            </w14:solidFill>
          </w14:textFill>
        </w:rPr>
      </w:pPr>
    </w:p>
    <w:p w14:paraId="3ECB0283">
      <w:pPr>
        <w:rPr>
          <w:rFonts w:hint="default"/>
          <w:color w:val="000000" w:themeColor="text1"/>
          <w:lang w:val="en-US" w:eastAsia="zh-CN"/>
          <w14:textFill>
            <w14:solidFill>
              <w14:schemeClr w14:val="tx1"/>
            </w14:solidFill>
          </w14:textFill>
        </w:rPr>
      </w:pPr>
      <w:r>
        <w:rPr>
          <w:rFonts w:hint="default"/>
          <w:color w:val="000000" w:themeColor="text1"/>
          <w:lang w:val="en-US" w:eastAsia="zh-CN"/>
          <w14:textFill>
            <w14:solidFill>
              <w14:schemeClr w14:val="tx1"/>
            </w14:solidFill>
          </w14:textFill>
        </w:rPr>
        <w:br w:type="page"/>
      </w:r>
    </w:p>
    <w:p w14:paraId="28E45EBD">
      <w:pPr>
        <w:pStyle w:val="41"/>
        <w:bidi w:val="0"/>
        <w:rPr>
          <w:rFonts w:hint="eastAsia"/>
          <w:color w:val="000000" w:themeColor="text1"/>
          <w:lang w:val="en-US" w:eastAsia="zh-CN"/>
          <w14:textFill>
            <w14:solidFill>
              <w14:schemeClr w14:val="tx1"/>
            </w14:solidFill>
          </w14:textFill>
        </w:rPr>
      </w:pPr>
    </w:p>
    <w:p w14:paraId="24803452">
      <w:pPr>
        <w:pStyle w:val="41"/>
        <w:numPr>
          <w:ilvl w:val="0"/>
          <w:numId w:val="0"/>
        </w:numPr>
        <w:bidi w:val="0"/>
        <w:ind w:leftChars="0"/>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（资料性）</w:t>
      </w:r>
    </w:p>
    <w:p w14:paraId="1FD29270">
      <w:pPr>
        <w:pStyle w:val="23"/>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color w:val="000000" w:themeColor="text1"/>
          <w:lang w:val="en-US" w:eastAsia="zh-CN"/>
          <w14:textFill>
            <w14:solidFill>
              <w14:schemeClr w14:val="tx1"/>
            </w14:solidFill>
          </w14:textFill>
        </w:rPr>
      </w:pPr>
      <w:r>
        <w:rPr>
          <w:rFonts w:hint="eastAsia" w:ascii="黑体" w:hAnsi="宋体" w:eastAsia="黑体" w:cs="黑体"/>
          <w:color w:val="000000"/>
          <w:kern w:val="0"/>
          <w:sz w:val="21"/>
          <w:szCs w:val="21"/>
          <w:lang w:val="en-US" w:eastAsia="zh-CN" w:bidi="ar"/>
        </w:rPr>
        <w:t>检出限试验方法范例</w:t>
      </w:r>
    </w:p>
    <w:p w14:paraId="28DE44C2">
      <w:pPr>
        <w:pStyle w:val="23"/>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Times New Roman" w:eastAsia="黑体" w:cs="黑体"/>
          <w:color w:val="000000" w:themeColor="text1"/>
          <w:sz w:val="21"/>
          <w:lang w:val="en-US" w:eastAsia="zh-CN"/>
          <w14:textFill>
            <w14:solidFill>
              <w14:schemeClr w14:val="tx1"/>
            </w14:solidFill>
          </w14:textFill>
        </w:rPr>
      </w:pPr>
      <w:r>
        <w:rPr>
          <w:rFonts w:hint="eastAsia" w:ascii="黑体" w:eastAsia="黑体" w:cs="黑体"/>
          <w:color w:val="000000" w:themeColor="text1"/>
          <w:sz w:val="21"/>
          <w:lang w:val="en-US" w:eastAsia="zh-CN"/>
          <w14:textFill>
            <w14:solidFill>
              <w14:schemeClr w14:val="tx1"/>
            </w14:solidFill>
          </w14:textFill>
        </w:rPr>
        <w:t xml:space="preserve">A.1 </w:t>
      </w:r>
      <w:r>
        <w:rPr>
          <w:rFonts w:hint="eastAsia" w:ascii="黑体" w:hAnsi="Times New Roman" w:eastAsia="黑体" w:cs="黑体"/>
          <w:color w:val="000000" w:themeColor="text1"/>
          <w:sz w:val="21"/>
          <w:lang w:val="en-US" w:eastAsia="zh-CN"/>
          <w14:textFill>
            <w14:solidFill>
              <w14:schemeClr w14:val="tx1"/>
            </w14:solidFill>
          </w14:textFill>
        </w:rPr>
        <w:t>设备和试剂</w:t>
      </w:r>
    </w:p>
    <w:p w14:paraId="1081DF50">
      <w:pPr>
        <w:pStyle w:val="23"/>
        <w:bidi w:val="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黑体" w:hAnsi="黑体" w:eastAsia="黑体" w:cs="黑体"/>
          <w:color w:val="000000" w:themeColor="text1"/>
          <w:sz w:val="21"/>
          <w:szCs w:val="21"/>
          <w:lang w:val="en-US" w:eastAsia="zh-CN"/>
          <w14:textFill>
            <w14:solidFill>
              <w14:schemeClr w14:val="tx1"/>
            </w14:solidFill>
          </w14:textFill>
        </w:rPr>
        <w:t>A.1.1</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拉曼光谱快速检测仪设置：</w:t>
      </w:r>
      <w:r>
        <w:rPr>
          <w:rFonts w:hint="eastAsia" w:hAnsi="宋体" w:cs="宋体"/>
          <w:color w:val="000000" w:themeColor="text1"/>
          <w:sz w:val="21"/>
          <w:szCs w:val="21"/>
          <w:lang w:val="en-US" w:eastAsia="zh-CN"/>
          <w14:textFill>
            <w14:solidFill>
              <w14:schemeClr w14:val="tx1"/>
            </w14:solidFill>
          </w14:textFill>
        </w:rPr>
        <w:t>激光</w:t>
      </w:r>
      <w:r>
        <w:rPr>
          <w:rFonts w:hint="eastAsia" w:ascii="宋体" w:hAnsi="宋体" w:eastAsia="宋体" w:cs="宋体"/>
          <w:color w:val="000000" w:themeColor="text1"/>
          <w:sz w:val="21"/>
          <w:szCs w:val="21"/>
          <w:lang w:val="en-US" w:eastAsia="zh-CN"/>
          <w14:textFill>
            <w14:solidFill>
              <w14:schemeClr w14:val="tx1"/>
            </w14:solidFill>
          </w14:textFill>
        </w:rPr>
        <w:t>波长为785 nm</w:t>
      </w:r>
      <w:r>
        <w:rPr>
          <w:rFonts w:hint="eastAsia" w:ascii="宋体" w:hAnsi="宋体" w:eastAsia="宋体" w:cs="宋体"/>
          <w:color w:val="000000" w:themeColor="text1"/>
          <w:sz w:val="21"/>
          <w:szCs w:val="21"/>
          <w:highlight w:val="none"/>
          <w:lang w:val="en-US" w:eastAsia="zh-CN"/>
          <w14:textFill>
            <w14:solidFill>
              <w14:schemeClr w14:val="tx1"/>
            </w14:solidFill>
          </w14:textFill>
        </w:rPr>
        <w:t>，</w:t>
      </w:r>
      <w:r>
        <w:rPr>
          <w:rFonts w:hint="eastAsia" w:hAnsi="宋体" w:cs="宋体"/>
          <w:color w:val="000000" w:themeColor="text1"/>
          <w:sz w:val="21"/>
          <w:szCs w:val="21"/>
          <w:highlight w:val="none"/>
          <w:lang w:val="en-US" w:eastAsia="zh-CN"/>
          <w14:textFill>
            <w14:solidFill>
              <w14:schemeClr w14:val="tx1"/>
            </w14:solidFill>
          </w14:textFill>
        </w:rPr>
        <w:t>激光</w:t>
      </w:r>
      <w:r>
        <w:rPr>
          <w:rFonts w:hint="eastAsia" w:ascii="宋体" w:hAnsi="宋体" w:eastAsia="宋体" w:cs="宋体"/>
          <w:color w:val="000000" w:themeColor="text1"/>
          <w:sz w:val="21"/>
          <w:szCs w:val="21"/>
          <w:highlight w:val="none"/>
          <w:lang w:val="en-US" w:eastAsia="zh-CN"/>
          <w14:textFill>
            <w14:solidFill>
              <w14:schemeClr w14:val="tx1"/>
            </w14:solidFill>
          </w14:textFill>
        </w:rPr>
        <w:t xml:space="preserve">最大功率为100 </w:t>
      </w:r>
      <w:r>
        <w:rPr>
          <w:rFonts w:hint="eastAsia" w:ascii="宋体" w:hAnsi="宋体" w:eastAsia="宋体" w:cs="宋体"/>
          <w:color w:val="000000" w:themeColor="text1"/>
          <w:highlight w:val="none"/>
          <w:lang w:val="en-US" w:eastAsia="zh-CN"/>
          <w14:textFill>
            <w14:solidFill>
              <w14:schemeClr w14:val="tx1"/>
            </w14:solidFill>
          </w14:textFill>
        </w:rPr>
        <w:t>mW</w:t>
      </w:r>
      <w:r>
        <w:rPr>
          <w:rFonts w:hint="eastAsia" w:ascii="宋体" w:hAnsi="宋体" w:eastAsia="宋体" w:cs="宋体"/>
          <w:color w:val="000000" w:themeColor="text1"/>
          <w:sz w:val="21"/>
          <w:szCs w:val="21"/>
          <w:highlight w:val="none"/>
          <w:lang w:val="en-US" w:eastAsia="zh-CN"/>
          <w14:textFill>
            <w14:solidFill>
              <w14:schemeClr w14:val="tx1"/>
            </w14:solidFill>
          </w14:textFill>
        </w:rPr>
        <w:t>，拉曼</w:t>
      </w:r>
      <w:r>
        <w:rPr>
          <w:rFonts w:hint="eastAsia" w:ascii="宋体" w:hAnsi="宋体" w:eastAsia="宋体" w:cs="宋体"/>
          <w:color w:val="000000" w:themeColor="text1"/>
          <w:sz w:val="21"/>
          <w:szCs w:val="21"/>
          <w:lang w:val="en-US" w:eastAsia="zh-CN"/>
          <w14:textFill>
            <w14:solidFill>
              <w14:schemeClr w14:val="tx1"/>
            </w14:solidFill>
          </w14:textFill>
        </w:rPr>
        <w:t>光谱范围为（100</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2500）cm</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w:t>
      </w:r>
    </w:p>
    <w:p w14:paraId="6C71A137">
      <w:pPr>
        <w:pStyle w:val="23"/>
        <w:bidi w:val="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黑体" w:hAnsi="黑体" w:eastAsia="黑体" w:cs="黑体"/>
          <w:color w:val="000000" w:themeColor="text1"/>
          <w:sz w:val="21"/>
          <w:szCs w:val="21"/>
          <w:lang w:val="en-US" w:eastAsia="zh-CN"/>
          <w14:textFill>
            <w14:solidFill>
              <w14:schemeClr w14:val="tx1"/>
            </w14:solidFill>
          </w14:textFill>
        </w:rPr>
        <w:t>A.1.2</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分析天平：最小分度值0.1 mg。</w:t>
      </w:r>
    </w:p>
    <w:p w14:paraId="493F2CB1">
      <w:pPr>
        <w:pStyle w:val="23"/>
        <w:bidi w:val="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黑体" w:hAnsi="黑体" w:eastAsia="黑体" w:cs="黑体"/>
          <w:color w:val="000000" w:themeColor="text1"/>
          <w:sz w:val="21"/>
          <w:szCs w:val="21"/>
          <w:lang w:val="en-US" w:eastAsia="zh-CN"/>
          <w14:textFill>
            <w14:solidFill>
              <w14:schemeClr w14:val="tx1"/>
            </w14:solidFill>
          </w14:textFill>
        </w:rPr>
        <w:t>A.1.3</w:t>
      </w:r>
      <w:r>
        <w:rPr>
          <w:rFonts w:hint="eastAsia" w:ascii="宋体" w:hAnsi="宋体" w:eastAsia="宋体" w:cs="宋体"/>
          <w:color w:val="000000" w:themeColor="text1"/>
          <w:sz w:val="21"/>
          <w:szCs w:val="21"/>
          <w:lang w:val="en-US" w:eastAsia="zh-CN"/>
          <w14:textFill>
            <w14:solidFill>
              <w14:schemeClr w14:val="tx1"/>
            </w14:solidFill>
          </w14:textFill>
        </w:rPr>
        <w:t xml:space="preserve"> 移液器：200 μL和10 μL，A级。</w:t>
      </w:r>
    </w:p>
    <w:p w14:paraId="6302C7A6">
      <w:pPr>
        <w:pStyle w:val="23"/>
        <w:bidi w:val="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黑体" w:hAnsi="黑体" w:eastAsia="黑体" w:cs="黑体"/>
          <w:color w:val="000000" w:themeColor="text1"/>
          <w:sz w:val="21"/>
          <w:szCs w:val="21"/>
          <w:lang w:val="en-US" w:eastAsia="zh-CN"/>
          <w14:textFill>
            <w14:solidFill>
              <w14:schemeClr w14:val="tx1"/>
            </w14:solidFill>
          </w14:textFill>
        </w:rPr>
        <w:t>A.1.4</w:t>
      </w:r>
      <w:r>
        <w:rPr>
          <w:rFonts w:hint="eastAsia" w:ascii="宋体" w:hAnsi="宋体" w:eastAsia="宋体" w:cs="宋体"/>
          <w:color w:val="000000" w:themeColor="text1"/>
          <w:sz w:val="21"/>
          <w:szCs w:val="21"/>
          <w:lang w:val="en-US" w:eastAsia="zh-CN"/>
          <w14:textFill>
            <w14:solidFill>
              <w14:schemeClr w14:val="tx1"/>
            </w14:solidFill>
          </w14:textFill>
        </w:rPr>
        <w:t xml:space="preserve"> 容量瓶：1000 mL，A级。</w:t>
      </w:r>
    </w:p>
    <w:p w14:paraId="74584BAD">
      <w:pPr>
        <w:pStyle w:val="23"/>
        <w:bidi w:val="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黑体" w:hAnsi="黑体" w:eastAsia="黑体" w:cs="黑体"/>
          <w:color w:val="000000" w:themeColor="text1"/>
          <w:sz w:val="21"/>
          <w:szCs w:val="21"/>
          <w:lang w:val="en-US" w:eastAsia="zh-CN"/>
          <w14:textFill>
            <w14:solidFill>
              <w14:schemeClr w14:val="tx1"/>
            </w14:solidFill>
          </w14:textFill>
        </w:rPr>
        <w:t>A.1.5</w:t>
      </w:r>
      <w:r>
        <w:rPr>
          <w:rFonts w:hint="eastAsia" w:ascii="宋体" w:hAnsi="宋体" w:eastAsia="宋体" w:cs="宋体"/>
          <w:color w:val="000000" w:themeColor="text1"/>
          <w:sz w:val="21"/>
          <w:szCs w:val="21"/>
          <w:lang w:val="en-US" w:eastAsia="zh-CN"/>
          <w14:textFill>
            <w14:solidFill>
              <w14:schemeClr w14:val="tx1"/>
            </w14:solidFill>
          </w14:textFill>
        </w:rPr>
        <w:t xml:space="preserve"> 10 mm石英比色皿。</w:t>
      </w:r>
    </w:p>
    <w:p w14:paraId="2F208938">
      <w:pPr>
        <w:pStyle w:val="23"/>
        <w:bidi w:val="0"/>
        <w:rPr>
          <w:rFonts w:hint="eastAsia" w:ascii="宋体" w:hAnsi="宋体" w:eastAsia="宋体" w:cs="宋体"/>
          <w:color w:val="000000" w:themeColor="text1"/>
          <w:sz w:val="21"/>
          <w:szCs w:val="21"/>
          <w:lang w:val="en-US" w:eastAsia="zh-CN"/>
          <w14:textFill>
            <w14:solidFill>
              <w14:schemeClr w14:val="tx1"/>
            </w14:solidFill>
          </w14:textFill>
        </w:rPr>
      </w:pPr>
      <w:bookmarkStart w:id="42" w:name="_Toc32311"/>
      <w:bookmarkStart w:id="43" w:name="_Toc8396"/>
      <w:bookmarkStart w:id="44" w:name="_Toc27345"/>
      <w:bookmarkStart w:id="45" w:name="_Toc21664"/>
      <w:bookmarkStart w:id="46" w:name="_Toc18977"/>
      <w:bookmarkStart w:id="47" w:name="_Toc24274"/>
      <w:r>
        <w:rPr>
          <w:rFonts w:hint="eastAsia" w:ascii="黑体" w:hAnsi="黑体" w:eastAsia="黑体" w:cs="黑体"/>
          <w:color w:val="000000" w:themeColor="text1"/>
          <w:sz w:val="21"/>
          <w:szCs w:val="21"/>
          <w:lang w:val="en-US" w:eastAsia="zh-CN"/>
          <w14:textFill>
            <w14:solidFill>
              <w14:schemeClr w14:val="tx1"/>
            </w14:solidFill>
          </w14:textFill>
        </w:rPr>
        <w:t>A.1.6</w:t>
      </w:r>
      <w:r>
        <w:rPr>
          <w:rFonts w:hint="eastAsia" w:ascii="宋体" w:hAnsi="宋体" w:eastAsia="宋体" w:cs="宋体"/>
          <w:color w:val="000000" w:themeColor="text1"/>
          <w:sz w:val="21"/>
          <w:szCs w:val="21"/>
          <w:lang w:val="en-US" w:eastAsia="zh-CN"/>
          <w14:textFill>
            <w14:solidFill>
              <w14:schemeClr w14:val="tx1"/>
            </w14:solidFill>
          </w14:textFill>
        </w:rPr>
        <w:t xml:space="preserve"> 罗丹明B标准物质，优级纯。</w:t>
      </w:r>
    </w:p>
    <w:p w14:paraId="4F5298B2">
      <w:pPr>
        <w:pStyle w:val="23"/>
        <w:bidi w:val="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黑体" w:hAnsi="黑体" w:eastAsia="黑体" w:cs="黑体"/>
          <w:color w:val="000000" w:themeColor="text1"/>
          <w:sz w:val="21"/>
          <w:szCs w:val="21"/>
          <w:lang w:val="en-US" w:eastAsia="zh-CN"/>
          <w14:textFill>
            <w14:solidFill>
              <w14:schemeClr w14:val="tx1"/>
            </w14:solidFill>
          </w14:textFill>
        </w:rPr>
        <w:t>A.1.7</w:t>
      </w:r>
      <w:r>
        <w:rPr>
          <w:rFonts w:hint="eastAsia" w:ascii="宋体" w:hAnsi="宋体" w:eastAsia="宋体" w:cs="宋体"/>
          <w:color w:val="000000" w:themeColor="text1"/>
          <w:sz w:val="21"/>
          <w:szCs w:val="21"/>
          <w:lang w:val="en-US" w:eastAsia="zh-CN"/>
          <w14:textFill>
            <w14:solidFill>
              <w14:schemeClr w14:val="tx1"/>
            </w14:solidFill>
          </w14:textFill>
        </w:rPr>
        <w:t xml:space="preserve"> 增强基质：金纳米粒子溶胶，型号为CP-1，平均粒径为50 nm，吸收峰波长为537 nm，粒子浓度为2.1</w:t>
      </w:r>
      <w:r>
        <w:rPr>
          <w:rFonts w:hint="eastAsia" w:ascii="宋体" w:hAnsi="宋体" w:eastAsia="宋体" w:cs="宋体"/>
          <w:sz w:val="21"/>
          <w:szCs w:val="21"/>
        </w:rPr>
        <w:t>×</w:t>
      </w:r>
      <w:r>
        <w:rPr>
          <w:rFonts w:hint="eastAsia" w:ascii="宋体" w:hAnsi="宋体" w:eastAsia="宋体" w:cs="宋体"/>
          <w:color w:val="000000" w:themeColor="text1"/>
          <w:sz w:val="21"/>
          <w:szCs w:val="21"/>
          <w:lang w:val="en-US" w:eastAsia="zh-CN"/>
          <w14:textFill>
            <w14:solidFill>
              <w14:schemeClr w14:val="tx1"/>
            </w14:solidFill>
          </w14:textFill>
        </w:rPr>
        <w:t>10</w:t>
      </w:r>
      <w:r>
        <w:rPr>
          <w:rFonts w:hint="eastAsia" w:ascii="宋体" w:hAnsi="宋体" w:eastAsia="宋体" w:cs="宋体"/>
          <w:color w:val="000000" w:themeColor="text1"/>
          <w:sz w:val="21"/>
          <w:szCs w:val="21"/>
          <w:vertAlign w:val="superscript"/>
          <w:lang w:val="en-US" w:eastAsia="zh-CN"/>
          <w14:textFill>
            <w14:solidFill>
              <w14:schemeClr w14:val="tx1"/>
            </w14:solidFill>
          </w14:textFill>
        </w:rPr>
        <w:t>10</w:t>
      </w:r>
      <w:r>
        <w:rPr>
          <w:rFonts w:hint="eastAsia" w:ascii="宋体" w:hAnsi="宋体" w:eastAsia="宋体" w:cs="宋体"/>
          <w:color w:val="000000" w:themeColor="text1"/>
          <w:sz w:val="21"/>
          <w:szCs w:val="21"/>
          <w:lang w:val="en-US" w:eastAsia="zh-CN"/>
          <w14:textFill>
            <w14:solidFill>
              <w14:schemeClr w14:val="tx1"/>
            </w14:solidFill>
          </w14:textFill>
        </w:rPr>
        <w:t>个/毫升,溶剂：0.01%柠檬酸盐溶液。</w:t>
      </w:r>
    </w:p>
    <w:p w14:paraId="19973F77">
      <w:pPr>
        <w:pStyle w:val="23"/>
        <w:bidi w:val="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黑体" w:hAnsi="黑体" w:eastAsia="黑体" w:cs="黑体"/>
          <w:color w:val="000000" w:themeColor="text1"/>
          <w:sz w:val="21"/>
          <w:szCs w:val="21"/>
          <w:lang w:val="en-US" w:eastAsia="zh-CN"/>
          <w14:textFill>
            <w14:solidFill>
              <w14:schemeClr w14:val="tx1"/>
            </w14:solidFill>
          </w14:textFill>
        </w:rPr>
        <w:t>A.1.8</w:t>
      </w:r>
      <w:r>
        <w:rPr>
          <w:rFonts w:hint="eastAsia" w:ascii="宋体" w:hAnsi="宋体" w:eastAsia="宋体" w:cs="宋体"/>
          <w:color w:val="000000" w:themeColor="text1"/>
          <w:sz w:val="21"/>
          <w:szCs w:val="21"/>
          <w:lang w:val="en-US" w:eastAsia="zh-CN"/>
          <w14:textFill>
            <w14:solidFill>
              <w14:schemeClr w14:val="tx1"/>
            </w14:solidFill>
          </w14:textFill>
        </w:rPr>
        <w:t xml:space="preserve"> 超纯水：电导率&lt;2 μS/cm。</w:t>
      </w:r>
    </w:p>
    <w:p w14:paraId="4043EE28">
      <w:pPr>
        <w:pStyle w:val="23"/>
        <w:bidi w:val="0"/>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黑体" w:hAnsi="黑体" w:eastAsia="黑体" w:cs="黑体"/>
          <w:color w:val="000000" w:themeColor="text1"/>
          <w:sz w:val="21"/>
          <w:szCs w:val="21"/>
          <w:lang w:val="en-US" w:eastAsia="zh-CN"/>
          <w14:textFill>
            <w14:solidFill>
              <w14:schemeClr w14:val="tx1"/>
            </w14:solidFill>
          </w14:textFill>
        </w:rPr>
        <w:t>A.1.9</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hAnsi="宋体" w:cs="宋体"/>
          <w:color w:val="000000" w:themeColor="text1"/>
          <w:sz w:val="21"/>
          <w:szCs w:val="21"/>
          <w:lang w:val="en-US" w:eastAsia="zh-CN"/>
          <w14:textFill>
            <w14:solidFill>
              <w14:schemeClr w14:val="tx1"/>
            </w14:solidFill>
          </w14:textFill>
        </w:rPr>
        <w:t>环境温度</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hAnsi="宋体" w:cs="宋体"/>
          <w:color w:val="000000" w:themeColor="text1"/>
          <w:sz w:val="21"/>
          <w:szCs w:val="21"/>
          <w:lang w:val="en-US" w:eastAsia="zh-CN"/>
          <w14:textFill>
            <w14:solidFill>
              <w14:schemeClr w14:val="tx1"/>
            </w14:solidFill>
          </w14:textFill>
        </w:rPr>
        <w:t>25±1 ℃</w:t>
      </w:r>
      <w:r>
        <w:rPr>
          <w:rFonts w:hint="eastAsia" w:ascii="宋体" w:hAnsi="宋体" w:eastAsia="宋体" w:cs="宋体"/>
          <w:color w:val="000000" w:themeColor="text1"/>
          <w:sz w:val="21"/>
          <w:szCs w:val="21"/>
          <w:lang w:val="en-US" w:eastAsia="zh-CN"/>
          <w14:textFill>
            <w14:solidFill>
              <w14:schemeClr w14:val="tx1"/>
            </w14:solidFill>
          </w14:textFill>
        </w:rPr>
        <w:t>。</w:t>
      </w:r>
    </w:p>
    <w:p w14:paraId="549D8CB2">
      <w:pPr>
        <w:pStyle w:val="23"/>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Times New Roman" w:eastAsia="黑体" w:cs="黑体"/>
          <w:color w:val="000000" w:themeColor="text1"/>
          <w:sz w:val="21"/>
          <w:lang w:val="en-US" w:eastAsia="zh-CN"/>
          <w14:textFill>
            <w14:solidFill>
              <w14:schemeClr w14:val="tx1"/>
            </w14:solidFill>
          </w14:textFill>
        </w:rPr>
      </w:pPr>
      <w:r>
        <w:rPr>
          <w:rFonts w:hint="eastAsia" w:ascii="黑体" w:eastAsia="黑体" w:cs="黑体"/>
          <w:color w:val="000000" w:themeColor="text1"/>
          <w:sz w:val="21"/>
          <w:lang w:val="en-US" w:eastAsia="zh-CN"/>
          <w14:textFill>
            <w14:solidFill>
              <w14:schemeClr w14:val="tx1"/>
            </w14:solidFill>
          </w14:textFill>
        </w:rPr>
        <w:t>A.2 标准溶液配制</w:t>
      </w:r>
    </w:p>
    <w:bookmarkEnd w:id="42"/>
    <w:bookmarkEnd w:id="43"/>
    <w:bookmarkEnd w:id="44"/>
    <w:bookmarkEnd w:id="45"/>
    <w:bookmarkEnd w:id="46"/>
    <w:bookmarkEnd w:id="47"/>
    <w:p w14:paraId="399BC613">
      <w:pPr>
        <w:pStyle w:val="23"/>
        <w:rPr>
          <w:rFonts w:hint="eastAsia" w:ascii="宋体" w:hAnsi="宋体" w:eastAsia="宋体" w:cs="宋体"/>
          <w:color w:val="000000" w:themeColor="text1"/>
          <w:lang w:val="en-US" w:eastAsia="zh-CN"/>
          <w14:textFill>
            <w14:solidFill>
              <w14:schemeClr w14:val="tx1"/>
            </w14:solidFill>
          </w14:textFill>
        </w:rPr>
      </w:pPr>
      <w:bookmarkStart w:id="48" w:name="BKFL"/>
      <w:r>
        <w:rPr>
          <w:rFonts w:hint="eastAsia" w:ascii="宋体" w:hAnsi="宋体" w:eastAsia="宋体" w:cs="宋体"/>
          <w:color w:val="000000" w:themeColor="text1"/>
          <w:lang w:val="en-US" w:eastAsia="zh-CN"/>
          <w14:textFill>
            <w14:solidFill>
              <w14:schemeClr w14:val="tx1"/>
            </w14:solidFill>
          </w14:textFill>
        </w:rPr>
        <w:t>准确称取1.0 mg罗丹明B标准物质，溶于超纯水中，移入1000 mL容量瓶中用水稀释至刻度，定容并摇匀，即得1.0 mg/L罗丹明B标准溶液。</w:t>
      </w:r>
    </w:p>
    <w:p w14:paraId="52D2E812">
      <w:pPr>
        <w:pStyle w:val="23"/>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Times New Roman" w:eastAsia="黑体" w:cs="黑体"/>
          <w:color w:val="000000" w:themeColor="text1"/>
          <w:sz w:val="21"/>
          <w:lang w:val="en-US" w:eastAsia="zh-CN"/>
          <w14:textFill>
            <w14:solidFill>
              <w14:schemeClr w14:val="tx1"/>
            </w14:solidFill>
          </w14:textFill>
        </w:rPr>
      </w:pPr>
      <w:r>
        <w:rPr>
          <w:rFonts w:hint="eastAsia" w:ascii="黑体" w:eastAsia="黑体" w:cs="黑体"/>
          <w:color w:val="000000" w:themeColor="text1"/>
          <w:sz w:val="21"/>
          <w:lang w:val="en-US" w:eastAsia="zh-CN"/>
          <w14:textFill>
            <w14:solidFill>
              <w14:schemeClr w14:val="tx1"/>
            </w14:solidFill>
          </w14:textFill>
        </w:rPr>
        <w:t>A.3 检出限试验</w:t>
      </w:r>
    </w:p>
    <w:p w14:paraId="56619502">
      <w:pPr>
        <w:pStyle w:val="23"/>
        <w:rPr>
          <w:rFonts w:hint="eastAsia"/>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按照仪器说明书的检测方法，调整仪器</w:t>
      </w:r>
      <w:r>
        <w:rPr>
          <w:rFonts w:hint="eastAsia" w:hAnsi="宋体" w:cs="宋体"/>
          <w:color w:val="000000" w:themeColor="text1"/>
          <w:lang w:val="en-US" w:eastAsia="zh-CN"/>
          <w14:textFill>
            <w14:solidFill>
              <w14:schemeClr w14:val="tx1"/>
            </w14:solidFill>
          </w14:textFill>
        </w:rPr>
        <w:t>激光</w:t>
      </w:r>
      <w:r>
        <w:rPr>
          <w:rFonts w:hint="eastAsia" w:ascii="宋体" w:hAnsi="宋体" w:eastAsia="宋体" w:cs="宋体"/>
          <w:color w:val="000000" w:themeColor="text1"/>
          <w:highlight w:val="none"/>
          <w:lang w:val="en-US" w:eastAsia="zh-CN"/>
          <w14:textFill>
            <w14:solidFill>
              <w14:schemeClr w14:val="tx1"/>
            </w14:solidFill>
          </w14:textFill>
        </w:rPr>
        <w:t>功率为100 mW，积分时间为1 s，调整</w:t>
      </w:r>
      <w:r>
        <w:rPr>
          <w:rFonts w:hint="eastAsia" w:hAnsi="宋体" w:cs="宋体"/>
          <w:color w:val="000000" w:themeColor="text1"/>
          <w:highlight w:val="none"/>
          <w:lang w:val="en-US" w:eastAsia="zh-CN"/>
          <w14:textFill>
            <w14:solidFill>
              <w14:schemeClr w14:val="tx1"/>
            </w14:solidFill>
          </w14:textFill>
        </w:rPr>
        <w:t>激光</w:t>
      </w:r>
      <w:r>
        <w:rPr>
          <w:rFonts w:hint="eastAsia" w:ascii="宋体" w:hAnsi="宋体" w:eastAsia="宋体" w:cs="宋体"/>
          <w:color w:val="000000" w:themeColor="text1"/>
          <w:highlight w:val="none"/>
          <w:lang w:val="en-US" w:eastAsia="zh-CN"/>
          <w14:textFill>
            <w14:solidFill>
              <w14:schemeClr w14:val="tx1"/>
            </w14:solidFill>
          </w14:textFill>
        </w:rPr>
        <w:t>聚焦状态使其聚焦在样品池中心位置。移取浓度为1.0 mg/L罗丹明B标准溶液200</w:t>
      </w:r>
      <w:r>
        <w:rPr>
          <w:rFonts w:hint="eastAsia" w:ascii="宋体" w:hAnsi="宋体" w:eastAsia="宋体" w:cs="宋体"/>
          <w:color w:val="000000" w:themeColor="text1"/>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μ</w:t>
      </w:r>
      <w:r>
        <w:rPr>
          <w:rFonts w:hint="eastAsia" w:ascii="宋体" w:hAnsi="宋体" w:eastAsia="宋体" w:cs="宋体"/>
          <w:color w:val="000000" w:themeColor="text1"/>
          <w:lang w:val="en-US" w:eastAsia="zh-CN"/>
          <w14:textFill>
            <w14:solidFill>
              <w14:schemeClr w14:val="tx1"/>
            </w14:solidFill>
          </w14:textFill>
        </w:rPr>
        <w:t>L至样品池中，加入CP-1增强试剂200 μL，迅速混合均匀。在样品与增强基质混合后25 s</w:t>
      </w:r>
      <w:r>
        <w:rPr>
          <w:rFonts w:hint="default" w:ascii="Times New Roman" w:hAnsi="Times New Roman" w:eastAsia="宋体" w:cs="Times New Roman"/>
          <w:color w:val="000000" w:themeColor="text1"/>
          <w:lang w:val="en-US" w:eastAsia="zh-CN"/>
          <w14:textFill>
            <w14:solidFill>
              <w14:schemeClr w14:val="tx1"/>
            </w14:solidFill>
          </w14:textFill>
        </w:rPr>
        <w:t>~</w:t>
      </w:r>
      <w:r>
        <w:rPr>
          <w:rFonts w:hint="eastAsia" w:ascii="宋体" w:hAnsi="宋体" w:eastAsia="宋体" w:cs="宋体"/>
          <w:color w:val="000000" w:themeColor="text1"/>
          <w:lang w:val="en-US" w:eastAsia="zh-CN"/>
          <w14:textFill>
            <w14:solidFill>
              <w14:schemeClr w14:val="tx1"/>
            </w14:solidFill>
          </w14:textFill>
        </w:rPr>
        <w:t>30 s时间内，将样品池置于仪器光路中采集拉曼光谱（见图A.1），并记录1642 cm</w:t>
      </w:r>
      <w:r>
        <w:rPr>
          <w:rFonts w:hint="eastAsia" w:ascii="宋体" w:hAnsi="宋体" w:eastAsia="宋体" w:cs="宋体"/>
          <w:color w:val="000000" w:themeColor="text1"/>
          <w:vertAlign w:val="superscript"/>
          <w:lang w:val="en-US" w:eastAsia="zh-CN"/>
          <w14:textFill>
            <w14:solidFill>
              <w14:schemeClr w14:val="tx1"/>
            </w14:solidFill>
          </w14:textFill>
        </w:rPr>
        <w:t>-1</w:t>
      </w:r>
      <w:r>
        <w:rPr>
          <w:rFonts w:hint="eastAsia" w:ascii="宋体" w:hAnsi="宋体" w:eastAsia="宋体" w:cs="宋体"/>
          <w:color w:val="000000" w:themeColor="text1"/>
          <w:lang w:val="en-US" w:eastAsia="zh-CN"/>
          <w14:textFill>
            <w14:solidFill>
              <w14:schemeClr w14:val="tx1"/>
            </w14:solidFill>
          </w14:textFill>
        </w:rPr>
        <w:t>（± 2 cm</w:t>
      </w:r>
      <w:r>
        <w:rPr>
          <w:rFonts w:hint="eastAsia" w:ascii="宋体" w:hAnsi="宋体" w:eastAsia="宋体" w:cs="宋体"/>
          <w:color w:val="000000" w:themeColor="text1"/>
          <w:vertAlign w:val="superscript"/>
          <w:lang w:val="en-US" w:eastAsia="zh-CN"/>
          <w14:textFill>
            <w14:solidFill>
              <w14:schemeClr w14:val="tx1"/>
            </w14:solidFill>
          </w14:textFill>
        </w:rPr>
        <w:t>-1</w:t>
      </w:r>
      <w:r>
        <w:rPr>
          <w:rFonts w:hint="eastAsia" w:ascii="宋体" w:hAnsi="宋体" w:eastAsia="宋体" w:cs="宋体"/>
          <w:color w:val="000000" w:themeColor="text1"/>
          <w:lang w:val="en-US" w:eastAsia="zh-CN"/>
          <w14:textFill>
            <w14:solidFill>
              <w14:schemeClr w14:val="tx1"/>
            </w14:solidFill>
          </w14:textFill>
        </w:rPr>
        <w:t>）处的特征峰强度值。重复上述步骤11次，按照公式（4）计算检出限。</w:t>
      </w:r>
    </w:p>
    <w:p w14:paraId="5032F7F9">
      <w:pPr>
        <w:pStyle w:val="23"/>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color w:val="000000" w:themeColor="text1"/>
          <w:lang w:val="en-US" w:eastAsia="zh-CN"/>
          <w14:textFill>
            <w14:solidFill>
              <w14:schemeClr w14:val="tx1"/>
            </w14:solidFill>
          </w14:textFill>
        </w:rPr>
      </w:pPr>
      <w:r>
        <w:drawing>
          <wp:inline distT="0" distB="0" distL="114300" distR="114300">
            <wp:extent cx="4245610" cy="2483485"/>
            <wp:effectExtent l="0" t="0" r="2540" b="12065"/>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12"/>
                    <a:stretch>
                      <a:fillRect/>
                    </a:stretch>
                  </pic:blipFill>
                  <pic:spPr>
                    <a:xfrm>
                      <a:off x="0" y="0"/>
                      <a:ext cx="4245610" cy="2483485"/>
                    </a:xfrm>
                    <a:prstGeom prst="rect">
                      <a:avLst/>
                    </a:prstGeom>
                    <a:noFill/>
                    <a:ln>
                      <a:noFill/>
                    </a:ln>
                  </pic:spPr>
                </pic:pic>
              </a:graphicData>
            </a:graphic>
          </wp:inline>
        </w:drawing>
      </w:r>
    </w:p>
    <w:p w14:paraId="7DD4712C">
      <w:pPr>
        <w:pStyle w:val="23"/>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rFonts w:hint="eastAsia"/>
          <w:color w:val="000000" w:themeColor="text1"/>
          <w:lang w:val="en-US" w:eastAsia="zh-CN"/>
          <w14:textFill>
            <w14:solidFill>
              <w14:schemeClr w14:val="tx1"/>
            </w14:solidFill>
          </w14:textFill>
        </w:rPr>
      </w:pPr>
      <w:r>
        <w:rPr>
          <w:rFonts w:hint="default" w:ascii="黑体" w:hAnsi="Times New Roman" w:eastAsia="黑体" w:cs="黑体"/>
          <w:color w:val="000000" w:themeColor="text1"/>
          <w:sz w:val="21"/>
          <w:lang w:val="en-US" w:eastAsia="zh-CN"/>
          <w14:textFill>
            <w14:solidFill>
              <w14:schemeClr w14:val="tx1"/>
            </w14:solidFill>
          </w14:textFill>
        </w:rPr>
        <w:t>图A.1</w:t>
      </w:r>
      <w:r>
        <w:rPr>
          <w:rFonts w:hint="eastAsia" w:ascii="黑体" w:hAnsi="Times New Roman" w:eastAsia="黑体" w:cs="黑体"/>
          <w:color w:val="000000" w:themeColor="text1"/>
          <w:sz w:val="21"/>
          <w:lang w:val="en-US" w:eastAsia="zh-CN"/>
          <w14:textFill>
            <w14:solidFill>
              <w14:schemeClr w14:val="tx1"/>
            </w14:solidFill>
          </w14:textFill>
        </w:rPr>
        <w:t xml:space="preserve"> 罗丹明 B表面增强拉曼光谱</w:t>
      </w:r>
    </w:p>
    <w:p w14:paraId="1404623B">
      <w:pPr>
        <w:pStyle w:val="41"/>
        <w:bidi w:val="0"/>
        <w:rPr>
          <w:rFonts w:hint="eastAsia"/>
          <w:color w:val="000000" w:themeColor="text1"/>
          <w:lang w:val="en-US" w:eastAsia="zh-CN"/>
          <w14:textFill>
            <w14:solidFill>
              <w14:schemeClr w14:val="tx1"/>
            </w14:solidFill>
          </w14:textFill>
        </w:rPr>
      </w:pPr>
      <w:bookmarkStart w:id="49" w:name="_Toc19717"/>
      <w:bookmarkEnd w:id="49"/>
      <w:bookmarkStart w:id="50" w:name="_Toc13015"/>
      <w:bookmarkEnd w:id="50"/>
      <w:bookmarkStart w:id="51" w:name="_Toc21412"/>
      <w:bookmarkEnd w:id="51"/>
      <w:bookmarkStart w:id="52" w:name="_Toc11813"/>
      <w:bookmarkEnd w:id="52"/>
      <w:bookmarkStart w:id="53" w:name="_Toc13212"/>
      <w:bookmarkEnd w:id="53"/>
      <w:bookmarkStart w:id="54" w:name="_Toc23641"/>
      <w:bookmarkStart w:id="55" w:name="EndLine"/>
    </w:p>
    <w:p w14:paraId="0AE1865A">
      <w:pPr>
        <w:pStyle w:val="41"/>
        <w:numPr>
          <w:ilvl w:val="0"/>
          <w:numId w:val="0"/>
        </w:numPr>
        <w:bidi w:val="0"/>
        <w:ind w:leftChars="0"/>
        <w:jc w:val="center"/>
        <w:rPr>
          <w:rFonts w:hint="eastAsia"/>
          <w:color w:val="000000" w:themeColor="text1"/>
          <w:lang w:val="en-US" w:eastAsia="zh-CN"/>
          <w14:textFill>
            <w14:solidFill>
              <w14:schemeClr w14:val="tx1"/>
            </w14:solidFill>
          </w14:textFill>
        </w:rPr>
      </w:pPr>
      <w:bookmarkStart w:id="56" w:name="_Toc3232"/>
      <w:bookmarkStart w:id="57" w:name="_Toc20022"/>
      <w:bookmarkStart w:id="58" w:name="_Toc4957"/>
      <w:r>
        <w:rPr>
          <w:rFonts w:hint="eastAsia"/>
          <w:color w:val="000000" w:themeColor="text1"/>
          <w:lang w:val="en-US" w:eastAsia="zh-CN"/>
          <w14:textFill>
            <w14:solidFill>
              <w14:schemeClr w14:val="tx1"/>
            </w14:solidFill>
          </w14:textFill>
        </w:rPr>
        <w:t>（资料性）</w:t>
      </w:r>
      <w:bookmarkEnd w:id="56"/>
      <w:bookmarkEnd w:id="57"/>
      <w:bookmarkEnd w:id="58"/>
    </w:p>
    <w:p w14:paraId="2F80EE78">
      <w:pPr>
        <w:pStyle w:val="23"/>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color w:val="000000" w:themeColor="text1"/>
          <w:lang w:val="en-US" w:eastAsia="zh-CN"/>
          <w14:textFill>
            <w14:solidFill>
              <w14:schemeClr w14:val="tx1"/>
            </w14:solidFill>
          </w14:textFill>
        </w:rPr>
      </w:pPr>
      <w:r>
        <w:rPr>
          <w:rFonts w:hint="eastAsia" w:ascii="黑体" w:hAnsi="宋体" w:eastAsia="黑体" w:cs="黑体"/>
          <w:color w:val="000000"/>
          <w:kern w:val="0"/>
          <w:sz w:val="21"/>
          <w:szCs w:val="21"/>
          <w:lang w:val="en-US" w:eastAsia="zh-CN" w:bidi="ar"/>
        </w:rPr>
        <w:t>评价报告参考格式</w:t>
      </w:r>
    </w:p>
    <w:bookmarkEnd w:id="54"/>
    <w:p w14:paraId="6D9F947A">
      <w:pPr>
        <w:pStyle w:val="23"/>
        <w:keepNext w:val="0"/>
        <w:keepLines w:val="0"/>
        <w:pageBreakBefore w:val="0"/>
        <w:kinsoku/>
        <w:overflowPunct/>
        <w:topLinePunct w:val="0"/>
        <w:autoSpaceDE/>
        <w:autoSpaceDN/>
        <w:bidi w:val="0"/>
        <w:adjustRightInd/>
        <w:spacing w:line="360" w:lineRule="auto"/>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cs="Times New Roman"/>
          <w:highlight w:val="none"/>
          <w:lang w:val="en-US" w:eastAsia="zh-CN"/>
        </w:rPr>
        <w:t>便携式表面增强拉曼光谱仪技术</w:t>
      </w:r>
      <w:r>
        <w:rPr>
          <w:rFonts w:hint="eastAsia" w:cs="Times New Roman"/>
          <w:highlight w:val="none"/>
        </w:rPr>
        <w:t>评价报告参考格式见表</w:t>
      </w:r>
      <w:r>
        <w:rPr>
          <w:rFonts w:hint="eastAsia" w:cs="Times New Roman"/>
          <w:highlight w:val="none"/>
          <w:lang w:val="en-US" w:eastAsia="zh-CN"/>
        </w:rPr>
        <w:t>B</w:t>
      </w:r>
      <w:r>
        <w:rPr>
          <w:rFonts w:hint="eastAsia" w:cs="Times New Roman"/>
          <w:highlight w:val="none"/>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w:t>
      </w:r>
    </w:p>
    <w:p w14:paraId="723EC5E0">
      <w:pPr>
        <w:pStyle w:val="23"/>
        <w:jc w:val="center"/>
        <w:rPr>
          <w:rFonts w:hint="eastAsia" w:ascii="黑体" w:hAnsi="黑体" w:eastAsia="黑体" w:cs="黑体"/>
          <w:color w:val="000000" w:themeColor="text1"/>
          <w:sz w:val="21"/>
          <w:szCs w:val="21"/>
          <w:lang w:val="en-US" w:eastAsia="zh-CN"/>
          <w14:textFill>
            <w14:solidFill>
              <w14:schemeClr w14:val="tx1"/>
            </w14:solidFill>
          </w14:textFill>
        </w:rPr>
      </w:pPr>
      <w:r>
        <w:rPr>
          <w:rFonts w:hint="eastAsia" w:ascii="黑体" w:hAnsi="黑体" w:eastAsia="黑体" w:cs="黑体"/>
          <w:color w:val="000000" w:themeColor="text1"/>
          <w:sz w:val="21"/>
          <w:szCs w:val="21"/>
          <w:lang w:val="en-US" w:eastAsia="zh-CN"/>
          <w14:textFill>
            <w14:solidFill>
              <w14:schemeClr w14:val="tx1"/>
            </w14:solidFill>
          </w14:textFill>
        </w:rPr>
        <w:t>表B.1 便携式表面增强拉曼光谱仪技术评价报告样式</w:t>
      </w:r>
    </w:p>
    <w:p w14:paraId="5C6ADD5C">
      <w:pPr>
        <w:pStyle w:val="23"/>
        <w:jc w:val="left"/>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报告名称：                                                        No.</w:t>
      </w:r>
    </w:p>
    <w:tbl>
      <w:tblPr>
        <w:tblStyle w:val="7"/>
        <w:tblW w:w="4866" w:type="pct"/>
        <w:tblInd w:w="1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41"/>
        <w:gridCol w:w="2389"/>
        <w:gridCol w:w="2389"/>
        <w:gridCol w:w="2295"/>
      </w:tblGrid>
      <w:tr w14:paraId="1DBC7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noWrap w:val="0"/>
            <w:vAlign w:val="center"/>
          </w:tcPr>
          <w:p w14:paraId="4FD7ED90">
            <w:pPr>
              <w:jc w:val="center"/>
              <w:rPr>
                <w:rFonts w:hint="eastAsia" w:ascii="宋体" w:hAnsi="宋体" w:eastAsia="宋体" w:cs="宋体"/>
                <w:color w:val="000000" w:themeColor="text1"/>
                <w:sz w:val="18"/>
                <w:szCs w:val="18"/>
                <w:vertAlign w:val="baseline"/>
                <w:lang w:val="en-US"/>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评价机构名称</w:t>
            </w:r>
          </w:p>
        </w:tc>
        <w:tc>
          <w:tcPr>
            <w:tcW w:w="1282" w:type="pct"/>
            <w:noWrap w:val="0"/>
            <w:vAlign w:val="center"/>
          </w:tcPr>
          <w:p w14:paraId="27741C79">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736200D1">
            <w:pPr>
              <w:jc w:val="center"/>
              <w:rPr>
                <w:rFonts w:hint="eastAsia" w:ascii="宋体" w:hAnsi="宋体" w:eastAsia="宋体" w:cs="宋体"/>
                <w:color w:val="000000" w:themeColor="text1"/>
                <w:sz w:val="18"/>
                <w:szCs w:val="18"/>
                <w:vertAlign w:val="baseline"/>
                <w:lang w:val="en-US"/>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评价机构地址</w:t>
            </w:r>
          </w:p>
        </w:tc>
        <w:tc>
          <w:tcPr>
            <w:tcW w:w="1232" w:type="pct"/>
            <w:noWrap w:val="0"/>
            <w:vAlign w:val="center"/>
          </w:tcPr>
          <w:p w14:paraId="611F01FB">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4A16D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noWrap w:val="0"/>
            <w:vAlign w:val="center"/>
          </w:tcPr>
          <w:p w14:paraId="431121C6">
            <w:pPr>
              <w:jc w:val="center"/>
              <w:rPr>
                <w:rFonts w:hint="eastAsia" w:ascii="宋体" w:hAnsi="宋体" w:eastAsia="宋体" w:cs="宋体"/>
                <w:color w:val="000000" w:themeColor="text1"/>
                <w:sz w:val="18"/>
                <w:szCs w:val="18"/>
                <w:vertAlign w:val="baseline"/>
                <w:lang w:val="en-US"/>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评价机构联系人</w:t>
            </w:r>
          </w:p>
        </w:tc>
        <w:tc>
          <w:tcPr>
            <w:tcW w:w="1282" w:type="pct"/>
            <w:noWrap w:val="0"/>
            <w:vAlign w:val="center"/>
          </w:tcPr>
          <w:p w14:paraId="1A942D7B">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2B210446">
            <w:pPr>
              <w:jc w:val="center"/>
              <w:rPr>
                <w:rFonts w:hint="eastAsia" w:ascii="宋体" w:hAnsi="宋体" w:eastAsia="宋体" w:cs="宋体"/>
                <w:color w:val="000000" w:themeColor="text1"/>
                <w:sz w:val="18"/>
                <w:szCs w:val="18"/>
                <w:vertAlign w:val="baseline"/>
                <w:lang w:val="en-US"/>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评价机构联系电话</w:t>
            </w:r>
          </w:p>
        </w:tc>
        <w:tc>
          <w:tcPr>
            <w:tcW w:w="1232" w:type="pct"/>
            <w:noWrap w:val="0"/>
            <w:vAlign w:val="center"/>
          </w:tcPr>
          <w:p w14:paraId="029A96CF">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59AC2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noWrap w:val="0"/>
            <w:vAlign w:val="center"/>
          </w:tcPr>
          <w:p w14:paraId="4601D73D">
            <w:pPr>
              <w:jc w:val="center"/>
              <w:rPr>
                <w:rFonts w:hint="eastAsia" w:ascii="宋体" w:hAnsi="宋体" w:eastAsia="宋体" w:cs="宋体"/>
                <w:color w:val="000000" w:themeColor="text1"/>
                <w:sz w:val="18"/>
                <w:szCs w:val="18"/>
                <w:vertAlign w:val="baseline"/>
                <w:lang w:val="en-US"/>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委托单位名称</w:t>
            </w:r>
          </w:p>
        </w:tc>
        <w:tc>
          <w:tcPr>
            <w:tcW w:w="1282" w:type="pct"/>
            <w:noWrap w:val="0"/>
            <w:vAlign w:val="center"/>
          </w:tcPr>
          <w:p w14:paraId="6E988A45">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2B7A5668">
            <w:pPr>
              <w:jc w:val="center"/>
              <w:rPr>
                <w:rFonts w:hint="eastAsia" w:ascii="宋体" w:hAnsi="宋体" w:eastAsia="宋体" w:cs="宋体"/>
                <w:color w:val="000000" w:themeColor="text1"/>
                <w:sz w:val="18"/>
                <w:szCs w:val="18"/>
                <w:vertAlign w:val="baseline"/>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委托单位联系电话</w:t>
            </w:r>
          </w:p>
        </w:tc>
        <w:tc>
          <w:tcPr>
            <w:tcW w:w="1232" w:type="pct"/>
            <w:noWrap w:val="0"/>
            <w:vAlign w:val="center"/>
          </w:tcPr>
          <w:p w14:paraId="5DF0C1B9">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74803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noWrap w:val="0"/>
            <w:vAlign w:val="center"/>
          </w:tcPr>
          <w:p w14:paraId="4D321DFE">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仪器名称</w:t>
            </w:r>
          </w:p>
        </w:tc>
        <w:tc>
          <w:tcPr>
            <w:tcW w:w="1282" w:type="pct"/>
            <w:noWrap w:val="0"/>
            <w:vAlign w:val="center"/>
          </w:tcPr>
          <w:p w14:paraId="7A69630F">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1F220075">
            <w:pPr>
              <w:jc w:val="center"/>
              <w:rPr>
                <w:rFonts w:hint="eastAsia" w:ascii="宋体" w:hAnsi="宋体" w:eastAsia="宋体" w:cs="宋体"/>
                <w:color w:val="000000" w:themeColor="text1"/>
                <w:sz w:val="18"/>
                <w:szCs w:val="18"/>
                <w:vertAlign w:val="baseline"/>
                <w:lang w:val="en-US"/>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仪器编号</w:t>
            </w:r>
          </w:p>
        </w:tc>
        <w:tc>
          <w:tcPr>
            <w:tcW w:w="1232" w:type="pct"/>
            <w:noWrap w:val="0"/>
            <w:vAlign w:val="center"/>
          </w:tcPr>
          <w:p w14:paraId="3E1182BB">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0C384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noWrap w:val="0"/>
            <w:vAlign w:val="center"/>
          </w:tcPr>
          <w:p w14:paraId="0C8EAA8C">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仪器状态和标识</w:t>
            </w:r>
          </w:p>
        </w:tc>
        <w:tc>
          <w:tcPr>
            <w:tcW w:w="1282" w:type="pct"/>
            <w:noWrap w:val="0"/>
            <w:vAlign w:val="center"/>
          </w:tcPr>
          <w:p w14:paraId="51134DE9">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1491541D">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收样日期</w:t>
            </w:r>
          </w:p>
        </w:tc>
        <w:tc>
          <w:tcPr>
            <w:tcW w:w="1232" w:type="pct"/>
            <w:noWrap w:val="0"/>
            <w:vAlign w:val="center"/>
          </w:tcPr>
          <w:p w14:paraId="6C23A3A7">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44A62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noWrap w:val="0"/>
            <w:vAlign w:val="center"/>
          </w:tcPr>
          <w:p w14:paraId="1BFBC7D3">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操作环境条件</w:t>
            </w:r>
          </w:p>
        </w:tc>
        <w:tc>
          <w:tcPr>
            <w:tcW w:w="1282" w:type="pct"/>
            <w:noWrap w:val="0"/>
            <w:vAlign w:val="center"/>
          </w:tcPr>
          <w:p w14:paraId="24A48703">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3A2E475C">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辅助设备情况</w:t>
            </w:r>
          </w:p>
        </w:tc>
        <w:tc>
          <w:tcPr>
            <w:tcW w:w="1232" w:type="pct"/>
            <w:noWrap w:val="0"/>
            <w:vAlign w:val="center"/>
          </w:tcPr>
          <w:p w14:paraId="3D682D70">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4DEE7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restart"/>
            <w:noWrap w:val="0"/>
            <w:vAlign w:val="center"/>
          </w:tcPr>
          <w:p w14:paraId="7B89B593">
            <w:pPr>
              <w:jc w:val="center"/>
              <w:rPr>
                <w:rFonts w:hint="default"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一般指标评价</w:t>
            </w:r>
          </w:p>
        </w:tc>
        <w:tc>
          <w:tcPr>
            <w:tcW w:w="1282" w:type="pct"/>
            <w:noWrap w:val="0"/>
            <w:vAlign w:val="center"/>
          </w:tcPr>
          <w:p w14:paraId="2A3945C7">
            <w:pPr>
              <w:jc w:val="center"/>
              <w:rPr>
                <w:rFonts w:hint="default"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仪器外观方面</w:t>
            </w:r>
          </w:p>
        </w:tc>
        <w:tc>
          <w:tcPr>
            <w:tcW w:w="2514" w:type="pct"/>
            <w:gridSpan w:val="2"/>
            <w:noWrap w:val="0"/>
            <w:vAlign w:val="center"/>
          </w:tcPr>
          <w:p w14:paraId="2BB5D62B">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p>
        </w:tc>
      </w:tr>
      <w:tr w14:paraId="0097B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40C5D88A">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p>
        </w:tc>
        <w:tc>
          <w:tcPr>
            <w:tcW w:w="1282" w:type="pct"/>
            <w:noWrap w:val="0"/>
            <w:vAlign w:val="center"/>
          </w:tcPr>
          <w:p w14:paraId="4C119966">
            <w:pPr>
              <w:jc w:val="center"/>
              <w:rPr>
                <w:rFonts w:hint="default"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仪器便携性方面</w:t>
            </w:r>
          </w:p>
        </w:tc>
        <w:tc>
          <w:tcPr>
            <w:tcW w:w="2514" w:type="pct"/>
            <w:gridSpan w:val="2"/>
            <w:noWrap w:val="0"/>
            <w:vAlign w:val="center"/>
          </w:tcPr>
          <w:p w14:paraId="4B9D24EC">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p>
        </w:tc>
      </w:tr>
      <w:tr w14:paraId="23E66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6528486F">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p>
        </w:tc>
        <w:tc>
          <w:tcPr>
            <w:tcW w:w="1282" w:type="pct"/>
            <w:noWrap w:val="0"/>
            <w:vAlign w:val="center"/>
          </w:tcPr>
          <w:p w14:paraId="51FE784E">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仪器质量证明</w:t>
            </w:r>
          </w:p>
        </w:tc>
        <w:tc>
          <w:tcPr>
            <w:tcW w:w="2514" w:type="pct"/>
            <w:gridSpan w:val="2"/>
            <w:noWrap w:val="0"/>
            <w:vAlign w:val="center"/>
          </w:tcPr>
          <w:p w14:paraId="6265B45A">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p>
        </w:tc>
      </w:tr>
      <w:tr w14:paraId="138B5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4C5CCF76">
            <w:pPr>
              <w:jc w:val="center"/>
              <w:rPr>
                <w:rFonts w:hint="default" w:ascii="宋体" w:hAnsi="宋体" w:eastAsia="宋体" w:cs="宋体"/>
                <w:color w:val="000000" w:themeColor="text1"/>
                <w:sz w:val="18"/>
                <w:szCs w:val="18"/>
                <w:vertAlign w:val="baseline"/>
                <w:lang w:val="en-US" w:eastAsia="zh-CN"/>
                <w14:textFill>
                  <w14:solidFill>
                    <w14:schemeClr w14:val="tx1"/>
                  </w14:solidFill>
                </w14:textFill>
              </w:rPr>
            </w:pPr>
          </w:p>
        </w:tc>
        <w:tc>
          <w:tcPr>
            <w:tcW w:w="1282" w:type="pct"/>
            <w:noWrap w:val="0"/>
            <w:vAlign w:val="center"/>
          </w:tcPr>
          <w:p w14:paraId="2CC704DA">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仪器说明书</w:t>
            </w:r>
          </w:p>
        </w:tc>
        <w:tc>
          <w:tcPr>
            <w:tcW w:w="2514" w:type="pct"/>
            <w:gridSpan w:val="2"/>
            <w:noWrap w:val="0"/>
            <w:vAlign w:val="center"/>
          </w:tcPr>
          <w:p w14:paraId="64D21A74">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p>
        </w:tc>
      </w:tr>
      <w:tr w14:paraId="4D577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restart"/>
            <w:noWrap w:val="0"/>
            <w:vAlign w:val="center"/>
          </w:tcPr>
          <w:p w14:paraId="1AEBC172">
            <w:pPr>
              <w:jc w:val="center"/>
              <w:rPr>
                <w:rFonts w:hint="eastAsia" w:ascii="宋体" w:hAnsi="宋体" w:eastAsia="宋体" w:cs="宋体"/>
                <w:color w:val="000000" w:themeColor="text1"/>
                <w:sz w:val="18"/>
                <w:szCs w:val="18"/>
                <w:vertAlign w:val="baseline"/>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技术指标评价</w:t>
            </w:r>
          </w:p>
        </w:tc>
        <w:tc>
          <w:tcPr>
            <w:tcW w:w="1282" w:type="pct"/>
            <w:noWrap w:val="0"/>
            <w:vAlign w:val="center"/>
          </w:tcPr>
          <w:p w14:paraId="2A7A7D68">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评价项目</w:t>
            </w:r>
          </w:p>
        </w:tc>
        <w:tc>
          <w:tcPr>
            <w:tcW w:w="1282" w:type="pct"/>
            <w:noWrap w:val="0"/>
            <w:vAlign w:val="center"/>
          </w:tcPr>
          <w:p w14:paraId="1EE993A2">
            <w:pPr>
              <w:jc w:val="center"/>
              <w:rPr>
                <w:rFonts w:hint="eastAsia" w:ascii="宋体" w:hAnsi="宋体" w:eastAsia="宋体" w:cs="宋体"/>
                <w:color w:val="000000" w:themeColor="text1"/>
                <w:sz w:val="18"/>
                <w:szCs w:val="18"/>
                <w:vertAlign w:val="baseline"/>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结果</w:t>
            </w:r>
          </w:p>
        </w:tc>
        <w:tc>
          <w:tcPr>
            <w:tcW w:w="1232" w:type="pct"/>
            <w:noWrap w:val="0"/>
            <w:vAlign w:val="center"/>
          </w:tcPr>
          <w:p w14:paraId="40C78DCC">
            <w:pPr>
              <w:jc w:val="center"/>
              <w:rPr>
                <w:rFonts w:hint="default" w:ascii="宋体" w:hAnsi="宋体" w:eastAsia="宋体" w:cs="宋体"/>
                <w:color w:val="000000" w:themeColor="text1"/>
                <w:sz w:val="18"/>
                <w:szCs w:val="18"/>
                <w:vertAlign w:val="baseline"/>
                <w:lang w:val="en-US"/>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单项判定</w:t>
            </w:r>
            <w:r>
              <w:rPr>
                <w:rFonts w:hint="eastAsia" w:ascii="宋体" w:hAnsi="宋体" w:eastAsia="宋体" w:cs="宋体"/>
                <w:color w:val="000000" w:themeColor="text1"/>
                <w:sz w:val="18"/>
                <w:szCs w:val="18"/>
                <w:vertAlign w:val="superscript"/>
                <w:lang w:val="en-US" w:eastAsia="zh-CN"/>
                <w14:textFill>
                  <w14:solidFill>
                    <w14:schemeClr w14:val="tx1"/>
                  </w14:solidFill>
                </w14:textFill>
              </w:rPr>
              <w:t>*</w:t>
            </w:r>
          </w:p>
        </w:tc>
      </w:tr>
      <w:tr w14:paraId="41703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17F86A80">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0C1E950D">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光谱分辨率</w:t>
            </w:r>
          </w:p>
        </w:tc>
        <w:tc>
          <w:tcPr>
            <w:tcW w:w="1282" w:type="pct"/>
            <w:noWrap w:val="0"/>
            <w:vAlign w:val="center"/>
          </w:tcPr>
          <w:p w14:paraId="288B12C0">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32" w:type="pct"/>
            <w:noWrap w:val="0"/>
            <w:vAlign w:val="center"/>
          </w:tcPr>
          <w:p w14:paraId="30D07A0D">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62049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438FB53F">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4EAF54A1">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位移准确度</w:t>
            </w:r>
          </w:p>
        </w:tc>
        <w:tc>
          <w:tcPr>
            <w:tcW w:w="1282" w:type="pct"/>
            <w:noWrap w:val="0"/>
            <w:vAlign w:val="center"/>
          </w:tcPr>
          <w:p w14:paraId="6CF3A2C4">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32" w:type="pct"/>
            <w:noWrap w:val="0"/>
            <w:vAlign w:val="center"/>
          </w:tcPr>
          <w:p w14:paraId="3F766BB1">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0CB6E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5491AA67">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3668134B">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位移重复性</w:t>
            </w:r>
          </w:p>
        </w:tc>
        <w:tc>
          <w:tcPr>
            <w:tcW w:w="1282" w:type="pct"/>
            <w:noWrap w:val="0"/>
            <w:vAlign w:val="center"/>
          </w:tcPr>
          <w:p w14:paraId="6E959260">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32" w:type="pct"/>
            <w:noWrap w:val="0"/>
            <w:vAlign w:val="center"/>
          </w:tcPr>
          <w:p w14:paraId="67F9F274">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4A750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52785C86">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78C9C95F">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光谱强度重复性</w:t>
            </w:r>
          </w:p>
        </w:tc>
        <w:tc>
          <w:tcPr>
            <w:tcW w:w="1282" w:type="pct"/>
            <w:noWrap w:val="0"/>
            <w:vAlign w:val="center"/>
          </w:tcPr>
          <w:p w14:paraId="187ED81F">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32" w:type="pct"/>
            <w:noWrap w:val="0"/>
            <w:vAlign w:val="center"/>
          </w:tcPr>
          <w:p w14:paraId="0CD580C6">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638EF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2F30AD23">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7517E6D9">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信噪比</w:t>
            </w:r>
          </w:p>
        </w:tc>
        <w:tc>
          <w:tcPr>
            <w:tcW w:w="1282" w:type="pct"/>
            <w:noWrap w:val="0"/>
            <w:vAlign w:val="center"/>
          </w:tcPr>
          <w:p w14:paraId="770CC0D8">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32" w:type="pct"/>
            <w:noWrap w:val="0"/>
            <w:vAlign w:val="center"/>
          </w:tcPr>
          <w:p w14:paraId="706DFB98">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4272E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15EA8202">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561229D1">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检出限</w:t>
            </w:r>
          </w:p>
        </w:tc>
        <w:tc>
          <w:tcPr>
            <w:tcW w:w="1282" w:type="pct"/>
            <w:noWrap w:val="0"/>
            <w:vAlign w:val="center"/>
          </w:tcPr>
          <w:p w14:paraId="4388C7B3">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32" w:type="pct"/>
            <w:noWrap w:val="0"/>
            <w:vAlign w:val="center"/>
          </w:tcPr>
          <w:p w14:paraId="6D4A1FFC">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33AB7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vMerge w:val="continue"/>
            <w:noWrap w:val="0"/>
            <w:vAlign w:val="center"/>
          </w:tcPr>
          <w:p w14:paraId="7270BB78">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82" w:type="pct"/>
            <w:noWrap w:val="0"/>
            <w:vAlign w:val="center"/>
          </w:tcPr>
          <w:p w14:paraId="6A988332">
            <w:pPr>
              <w:jc w:val="center"/>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重复性</w:t>
            </w:r>
          </w:p>
        </w:tc>
        <w:tc>
          <w:tcPr>
            <w:tcW w:w="1282" w:type="pct"/>
            <w:noWrap w:val="0"/>
            <w:vAlign w:val="center"/>
          </w:tcPr>
          <w:p w14:paraId="78B01C29">
            <w:pPr>
              <w:jc w:val="center"/>
              <w:rPr>
                <w:rFonts w:hint="eastAsia" w:ascii="宋体" w:hAnsi="宋体" w:eastAsia="宋体" w:cs="宋体"/>
                <w:color w:val="000000" w:themeColor="text1"/>
                <w:sz w:val="18"/>
                <w:szCs w:val="18"/>
                <w:vertAlign w:val="baseline"/>
                <w14:textFill>
                  <w14:solidFill>
                    <w14:schemeClr w14:val="tx1"/>
                  </w14:solidFill>
                </w14:textFill>
              </w:rPr>
            </w:pPr>
          </w:p>
        </w:tc>
        <w:tc>
          <w:tcPr>
            <w:tcW w:w="1232" w:type="pct"/>
            <w:noWrap w:val="0"/>
            <w:vAlign w:val="center"/>
          </w:tcPr>
          <w:p w14:paraId="77D73AEF">
            <w:pPr>
              <w:jc w:val="center"/>
              <w:rPr>
                <w:rFonts w:hint="eastAsia" w:ascii="宋体" w:hAnsi="宋体" w:eastAsia="宋体" w:cs="宋体"/>
                <w:color w:val="000000" w:themeColor="text1"/>
                <w:sz w:val="18"/>
                <w:szCs w:val="18"/>
                <w:vertAlign w:val="baseline"/>
                <w14:textFill>
                  <w14:solidFill>
                    <w14:schemeClr w14:val="tx1"/>
                  </w14:solidFill>
                </w14:textFill>
              </w:rPr>
            </w:pPr>
          </w:p>
        </w:tc>
      </w:tr>
      <w:tr w14:paraId="41EAD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03" w:type="pct"/>
            <w:noWrap w:val="0"/>
            <w:vAlign w:val="center"/>
          </w:tcPr>
          <w:p w14:paraId="15079D5C">
            <w:pPr>
              <w:jc w:val="center"/>
              <w:rPr>
                <w:rFonts w:hint="eastAsia" w:ascii="宋体" w:hAnsi="宋体" w:eastAsia="宋体" w:cs="宋体"/>
                <w:color w:val="000000" w:themeColor="text1"/>
                <w:sz w:val="18"/>
                <w:szCs w:val="18"/>
                <w:vertAlign w:val="baseline"/>
                <w14:textFill>
                  <w14:solidFill>
                    <w14:schemeClr w14:val="tx1"/>
                  </w14:solidFill>
                </w14:textFill>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评价结论</w:t>
            </w:r>
          </w:p>
        </w:tc>
        <w:tc>
          <w:tcPr>
            <w:tcW w:w="3796" w:type="pct"/>
            <w:gridSpan w:val="3"/>
            <w:noWrap w:val="0"/>
            <w:vAlign w:val="center"/>
          </w:tcPr>
          <w:p w14:paraId="34F0B701">
            <w:pPr>
              <w:jc w:val="center"/>
              <w:rPr>
                <w:rFonts w:hint="eastAsia" w:ascii="宋体" w:hAnsi="宋体" w:eastAsia="宋体" w:cs="宋体"/>
                <w:color w:val="000000" w:themeColor="text1"/>
                <w:sz w:val="18"/>
                <w:szCs w:val="18"/>
                <w:vertAlign w:val="baseline"/>
                <w14:textFill>
                  <w14:solidFill>
                    <w14:schemeClr w14:val="tx1"/>
                  </w14:solidFill>
                </w14:textFill>
              </w:rPr>
            </w:pPr>
          </w:p>
        </w:tc>
      </w:tr>
    </w:tbl>
    <w:p w14:paraId="611D0803">
      <w:pPr>
        <w:keepNext w:val="0"/>
        <w:keepLines w:val="0"/>
        <w:widowControl/>
        <w:suppressLineNumbers w:val="0"/>
        <w:jc w:val="left"/>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注：*，判定依据为仪器宣称值。</w:t>
      </w:r>
    </w:p>
    <w:p w14:paraId="00D7FEBE">
      <w:pPr>
        <w:keepNext w:val="0"/>
        <w:keepLines w:val="0"/>
        <w:widowControl/>
        <w:suppressLineNumbers w:val="0"/>
        <w:jc w:val="left"/>
        <w:rPr>
          <w:rFonts w:hint="eastAsia" w:ascii="宋体" w:hAnsi="宋体" w:eastAsia="宋体" w:cs="宋体"/>
          <w:color w:val="000000"/>
          <w:kern w:val="0"/>
          <w:sz w:val="18"/>
          <w:szCs w:val="18"/>
          <w:lang w:val="en-US" w:eastAsia="zh-CN" w:bidi="ar"/>
        </w:rPr>
      </w:pPr>
    </w:p>
    <w:p w14:paraId="48C56444">
      <w:pPr>
        <w:keepNext w:val="0"/>
        <w:keepLines w:val="0"/>
        <w:widowControl/>
        <w:suppressLineNumbers w:val="0"/>
        <w:jc w:val="left"/>
        <w:rPr>
          <w:rFonts w:hint="eastAsia"/>
          <w:color w:val="000000" w:themeColor="text1"/>
          <w:lang w:val="en-US" w:eastAsia="zh-CN"/>
          <w14:textFill>
            <w14:solidFill>
              <w14:schemeClr w14:val="tx1"/>
            </w14:solidFill>
          </w14:textFill>
        </w:rPr>
      </w:pPr>
      <w:r>
        <w:rPr>
          <w:rFonts w:hint="eastAsia" w:ascii="宋体" w:hAnsi="宋体" w:eastAsia="宋体" w:cs="宋体"/>
          <w:color w:val="000000"/>
          <w:kern w:val="0"/>
          <w:sz w:val="18"/>
          <w:szCs w:val="18"/>
          <w:lang w:val="en-US" w:eastAsia="zh-CN" w:bidi="ar"/>
        </w:rPr>
        <w:t>编制人/日期：                      审核人/日期：                  批准人/日期：</w:t>
      </w:r>
    </w:p>
    <w:bookmarkEnd w:id="48"/>
    <w:p w14:paraId="2903C124">
      <w:pPr>
        <w:rPr>
          <w:rFonts w:hint="eastAsia"/>
          <w:color w:val="000000" w:themeColor="text1"/>
          <w:lang w:eastAsia="zh-CN"/>
          <w14:textFill>
            <w14:solidFill>
              <w14:schemeClr w14:val="tx1"/>
            </w14:solidFill>
          </w14:textFill>
        </w:rPr>
      </w:pPr>
      <w:bookmarkStart w:id="59" w:name="_Toc23240"/>
      <w:bookmarkEnd w:id="59"/>
      <w:bookmarkStart w:id="60" w:name="_Toc27380"/>
      <w:bookmarkEnd w:id="60"/>
      <w:bookmarkStart w:id="61" w:name="_Toc1786"/>
      <w:bookmarkEnd w:id="61"/>
      <w:bookmarkStart w:id="62" w:name="_Toc23835"/>
      <w:bookmarkStart w:id="67" w:name="_GoBack"/>
      <w:bookmarkEnd w:id="67"/>
    </w:p>
    <w:p w14:paraId="110531AC">
      <w:pPr>
        <w:pStyle w:val="44"/>
        <w:bidi w:val="0"/>
        <w:rPr>
          <w:rFonts w:hint="eastAsia"/>
          <w:color w:val="000000" w:themeColor="text1"/>
          <w:lang w:eastAsia="zh-CN"/>
          <w14:textFill>
            <w14:solidFill>
              <w14:schemeClr w14:val="tx1"/>
            </w14:solidFill>
          </w14:textFill>
        </w:rPr>
      </w:pPr>
      <w:bookmarkStart w:id="63" w:name="_Toc29433"/>
      <w:bookmarkStart w:id="64" w:name="_Toc10399"/>
      <w:bookmarkStart w:id="65" w:name="_Toc10791"/>
      <w:r>
        <w:rPr>
          <w:rFonts w:hint="eastAsia"/>
          <w:color w:val="000000" w:themeColor="text1"/>
          <w:spacing w:val="108"/>
          <w:lang w:eastAsia="zh-CN"/>
          <w14:textFill>
            <w14:solidFill>
              <w14:schemeClr w14:val="tx1"/>
            </w14:solidFill>
          </w14:textFill>
        </w:rPr>
        <w:t>参</w:t>
      </w:r>
      <w:bookmarkStart w:id="66" w:name="BKCKWX"/>
      <w:r>
        <w:rPr>
          <w:rFonts w:hint="eastAsia"/>
          <w:color w:val="000000" w:themeColor="text1"/>
          <w:spacing w:val="108"/>
          <w:lang w:eastAsia="zh-CN"/>
          <w14:textFill>
            <w14:solidFill>
              <w14:schemeClr w14:val="tx1"/>
            </w14:solidFill>
          </w14:textFill>
        </w:rPr>
        <w:t>考文</w:t>
      </w:r>
      <w:r>
        <w:rPr>
          <w:rFonts w:hint="eastAsia"/>
          <w:color w:val="000000" w:themeColor="text1"/>
          <w:lang w:eastAsia="zh-CN"/>
          <w14:textFill>
            <w14:solidFill>
              <w14:schemeClr w14:val="tx1"/>
            </w14:solidFill>
          </w14:textFill>
        </w:rPr>
        <w:t>献</w:t>
      </w:r>
      <w:bookmarkEnd w:id="62"/>
      <w:bookmarkEnd w:id="63"/>
      <w:bookmarkEnd w:id="64"/>
      <w:bookmarkEnd w:id="65"/>
    </w:p>
    <w:bookmarkEnd w:id="66"/>
    <w:p w14:paraId="6C49C891">
      <w:pPr>
        <w:pStyle w:val="23"/>
        <w:numPr>
          <w:ilvl w:val="0"/>
          <w:numId w:val="10"/>
        </w:numPr>
        <w:bidi w:val="0"/>
        <w:rPr>
          <w:rFonts w:hint="eastAsia" w:ascii="宋体" w:hAnsi="宋体" w:eastAsia="宋体" w:cs="宋体"/>
          <w:color w:val="000000" w:themeColor="text1"/>
          <w:highlight w:val="none"/>
          <w:lang w:val="en-US" w:eastAsia="zh-CN"/>
          <w14:textFill>
            <w14:solidFill>
              <w14:schemeClr w14:val="tx1"/>
            </w14:solidFill>
          </w14:textFill>
        </w:rPr>
      </w:pPr>
      <w:r>
        <w:rPr>
          <w:rFonts w:hint="eastAsia" w:ascii="宋体" w:hAnsi="宋体" w:eastAsia="宋体" w:cs="宋体"/>
          <w:color w:val="auto"/>
          <w:highlight w:val="none"/>
          <w:lang w:val="en-US" w:eastAsia="zh-CN"/>
        </w:rPr>
        <w:t xml:space="preserve"> </w:t>
      </w:r>
      <w:r>
        <w:rPr>
          <w:rFonts w:hint="eastAsia" w:ascii="宋体" w:hAnsi="宋体" w:eastAsia="宋体" w:cs="宋体"/>
          <w:color w:val="000000" w:themeColor="text1"/>
          <w:highlight w:val="none"/>
          <w:lang w:val="en-US" w:eastAsia="zh-CN"/>
          <w14:textFill>
            <w14:solidFill>
              <w14:schemeClr w14:val="tx1"/>
            </w14:solidFill>
          </w14:textFill>
        </w:rPr>
        <w:t>市场监管总局关于规范食品快速检测使用的意见（国市监食检规〔2023〕1号）</w:t>
      </w:r>
    </w:p>
    <w:p w14:paraId="444449CA">
      <w:pPr>
        <w:pStyle w:val="23"/>
        <w:numPr>
          <w:ilvl w:val="0"/>
          <w:numId w:val="10"/>
        </w:numPr>
        <w:bidi w:val="0"/>
        <w:rPr>
          <w:rFonts w:hint="default" w:ascii="宋体" w:hAnsi="宋体" w:eastAsia="宋体" w:cs="宋体"/>
          <w:color w:val="000000" w:themeColor="text1"/>
          <w:highlight w:val="none"/>
          <w:lang w:val="en-US" w:eastAsia="zh-CN"/>
          <w14:textFill>
            <w14:solidFill>
              <w14:schemeClr w14:val="tx1"/>
            </w14:solidFill>
          </w14:textFill>
        </w:rPr>
      </w:pPr>
      <w:r>
        <w:rPr>
          <w:rFonts w:hint="default" w:ascii="Times New Roman" w:hAnsi="Times New Roman" w:cs="Times New Roman" w:eastAsiaTheme="minorEastAsia"/>
          <w:szCs w:val="21"/>
          <w:lang w:val="en-US" w:eastAsia="zh-CN"/>
        </w:rPr>
        <w:t>JJF 1818  拉曼光谱仪校准装置校准规范</w:t>
      </w:r>
    </w:p>
    <w:p w14:paraId="6EBA29E7">
      <w:pPr>
        <w:pStyle w:val="45"/>
        <w:bidi w:val="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drawing>
          <wp:inline distT="0" distB="0" distL="114300" distR="114300">
            <wp:extent cx="1485900" cy="317500"/>
            <wp:effectExtent l="0" t="0" r="0" b="6350"/>
            <wp:docPr id="4" name="图片 4" descr="EndLine"/>
            <wp:cNvGraphicFramePr/>
            <a:graphic xmlns:a="http://schemas.openxmlformats.org/drawingml/2006/main">
              <a:graphicData uri="http://schemas.openxmlformats.org/drawingml/2006/picture">
                <pic:pic xmlns:pic="http://schemas.openxmlformats.org/drawingml/2006/picture">
                  <pic:nvPicPr>
                    <pic:cNvPr id="4" name="图片 4" descr="EndLine"/>
                    <pic:cNvPicPr/>
                  </pic:nvPicPr>
                  <pic:blipFill>
                    <a:blip r:embed="rId13"/>
                    <a:stretch>
                      <a:fillRect/>
                    </a:stretch>
                  </pic:blipFill>
                  <pic:spPr>
                    <a:xfrm>
                      <a:off x="0" y="0"/>
                      <a:ext cx="1485900" cy="317500"/>
                    </a:xfrm>
                    <a:prstGeom prst="rect">
                      <a:avLst/>
                    </a:prstGeom>
                  </pic:spPr>
                </pic:pic>
              </a:graphicData>
            </a:graphic>
          </wp:inline>
        </w:drawing>
      </w:r>
      <w:bookmarkEnd w:id="55"/>
    </w:p>
    <w:p w14:paraId="6B334767">
      <w:pPr>
        <w:keepNext w:val="0"/>
        <w:keepLines w:val="0"/>
        <w:pageBreakBefore w:val="0"/>
        <w:widowControl w:val="0"/>
        <w:kinsoku/>
        <w:wordWrap/>
        <w:overflowPunct/>
        <w:topLinePunct w:val="0"/>
        <w:autoSpaceDE/>
        <w:autoSpaceDN/>
        <w:bidi w:val="0"/>
        <w:adjustRightInd/>
        <w:snapToGrid/>
        <w:ind w:firstLine="640" w:firstLineChars="200"/>
        <w:jc w:val="center"/>
        <w:textAlignment w:val="auto"/>
        <w:rPr>
          <w:rFonts w:hint="default" w:ascii="仿宋" w:hAnsi="仿宋" w:eastAsia="仿宋" w:cs="仿宋"/>
          <w:color w:val="000000" w:themeColor="text1"/>
          <w:sz w:val="32"/>
          <w:szCs w:val="32"/>
          <w:lang w:val="en-US" w:eastAsia="zh-CN"/>
          <w14:textFill>
            <w14:solidFill>
              <w14:schemeClr w14:val="tx1"/>
            </w14:solidFill>
          </w14:textFill>
        </w:rPr>
      </w:pPr>
    </w:p>
    <w:p w14:paraId="235EC664">
      <w:pPr>
        <w:keepNext w:val="0"/>
        <w:keepLines w:val="0"/>
        <w:pageBreakBefore w:val="0"/>
        <w:widowControl w:val="0"/>
        <w:kinsoku/>
        <w:wordWrap/>
        <w:overflowPunct/>
        <w:topLinePunct w:val="0"/>
        <w:autoSpaceDE/>
        <w:autoSpaceDN/>
        <w:bidi w:val="0"/>
        <w:adjustRightInd/>
        <w:snapToGrid/>
        <w:ind w:firstLine="640" w:firstLineChars="200"/>
        <w:jc w:val="center"/>
        <w:textAlignment w:val="auto"/>
        <w:rPr>
          <w:rFonts w:hint="default" w:ascii="仿宋" w:hAnsi="仿宋" w:eastAsia="仿宋" w:cs="仿宋"/>
          <w:color w:val="000000" w:themeColor="text1"/>
          <w:sz w:val="32"/>
          <w:szCs w:val="32"/>
          <w:lang w:val="en-US" w:eastAsia="zh-CN"/>
          <w14:textFill>
            <w14:solidFill>
              <w14:schemeClr w14:val="tx1"/>
            </w14:solidFill>
          </w14:textFill>
        </w:rPr>
      </w:pPr>
    </w:p>
    <w:p w14:paraId="262164C9">
      <w:pPr>
        <w:keepNext w:val="0"/>
        <w:keepLines w:val="0"/>
        <w:pageBreakBefore w:val="0"/>
        <w:widowControl w:val="0"/>
        <w:kinsoku/>
        <w:wordWrap/>
        <w:overflowPunct/>
        <w:topLinePunct w:val="0"/>
        <w:autoSpaceDE/>
        <w:autoSpaceDN/>
        <w:bidi w:val="0"/>
        <w:adjustRightInd/>
        <w:snapToGrid/>
        <w:ind w:firstLine="640" w:firstLineChars="200"/>
        <w:jc w:val="center"/>
        <w:textAlignment w:val="auto"/>
        <w:rPr>
          <w:rFonts w:hint="default" w:ascii="仿宋" w:hAnsi="仿宋" w:eastAsia="仿宋" w:cs="仿宋"/>
          <w:color w:val="000000" w:themeColor="text1"/>
          <w:sz w:val="32"/>
          <w:szCs w:val="32"/>
          <w:lang w:val="en-US" w:eastAsia="zh-CN"/>
          <w14:textFill>
            <w14:solidFill>
              <w14:schemeClr w14:val="tx1"/>
            </w14:solidFill>
          </w14:textFill>
        </w:rPr>
      </w:pPr>
    </w:p>
    <w:sectPr>
      <w:footerReference r:id="rId9" w:type="default"/>
      <w:footerReference r:id="rId10" w:type="even"/>
      <w:pgSz w:w="11906" w:h="16838"/>
      <w:pgMar w:top="2410" w:right="1134" w:bottom="1134" w:left="1134" w:header="1418" w:footer="1134" w:gutter="284"/>
      <w:lnNumType w:countBy="0" w:restart="continuou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857344E-1030-4C7A-AB08-0476CDD2ADC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Math">
    <w:panose1 w:val="02040503050406030204"/>
    <w:charset w:val="00"/>
    <w:family w:val="auto"/>
    <w:pitch w:val="default"/>
    <w:sig w:usb0="E00006FF" w:usb1="420024FF" w:usb2="02000000" w:usb3="00000000" w:csb0="2000019F" w:csb1="00000000"/>
    <w:embedRegular r:id="rId2" w:fontKey="{22E159D6-6C87-4D5D-8E30-D1F8A848620D}"/>
  </w:font>
  <w:font w:name="仿宋">
    <w:panose1 w:val="02010609060101010101"/>
    <w:charset w:val="86"/>
    <w:family w:val="auto"/>
    <w:pitch w:val="default"/>
    <w:sig w:usb0="800002BF" w:usb1="38CF7CFA" w:usb2="00000016" w:usb3="00000000" w:csb0="00040001" w:csb1="00000000"/>
    <w:embedRegular r:id="rId3" w:fontKey="{403E170F-6B9C-46F4-B690-E078852F80E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97F738">
    <w:pPr>
      <w:pStyle w:val="47"/>
      <w:bidi w:val="0"/>
      <w:rPr>
        <w:rFonts w:hint="eastAsia" w:eastAsia="宋体"/>
        <w:lang w:eastAsia="zh-CN"/>
      </w:rPr>
    </w:pPr>
    <w:r>
      <w:rPr>
        <w:sz w:val="18"/>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3BCECB">
                          <w:pPr>
                            <w:pStyle w:val="3"/>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23BCECB">
                    <w:pPr>
                      <w:pStyle w:val="3"/>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E1A903">
    <w:pPr>
      <w:pStyle w:val="3"/>
    </w:pPr>
    <w:r>
      <w:rPr>
        <w:sz w:val="18"/>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8CCF28">
                          <w:pPr>
                            <w:pStyle w:val="3"/>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2D8CCF28">
                    <w:pPr>
                      <w:pStyle w:val="3"/>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F709D3">
    <w:pPr>
      <w:pStyle w:val="47"/>
      <w:bidi w:val="0"/>
      <w:rPr>
        <w:rFonts w:hint="eastAsia" w:eastAsia="宋体"/>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4F585B">
                          <w:pPr>
                            <w:pStyle w:val="47"/>
                            <w:bidi w:val="0"/>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64F585B">
                    <w:pPr>
                      <w:pStyle w:val="47"/>
                      <w:bidi w:val="0"/>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C2800">
    <w:pPr>
      <w:pStyle w:val="3"/>
      <w:tabs>
        <w:tab w:val="right" w:pos="9354"/>
        <w:tab w:val="clear" w:pos="4153"/>
      </w:tabs>
    </w:pPr>
    <w:r>
      <w:rPr>
        <w:sz w:val="18"/>
      </w:rP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C2A818">
                          <w:pPr>
                            <w:pStyle w:val="3"/>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4C2A818">
                    <w:pPr>
                      <w:pStyle w:val="3"/>
                    </w:pPr>
                    <w:r>
                      <w:fldChar w:fldCharType="begin"/>
                    </w:r>
                    <w:r>
                      <w:instrText xml:space="preserve"> PAGE  \* MERGEFORMAT </w:instrText>
                    </w:r>
                    <w:r>
                      <w:fldChar w:fldCharType="separate"/>
                    </w:r>
                    <w:r>
                      <w:t>II</w:t>
                    </w:r>
                    <w:r>
                      <w:fldChar w:fldCharType="end"/>
                    </w:r>
                  </w:p>
                </w:txbxContent>
              </v:textbox>
            </v:shape>
          </w:pict>
        </mc:Fallback>
      </mc:AlternateContent>
    </w:r>
    <w:r>
      <w:rPr>
        <w:rFonts w:hint="eastAsia"/>
        <w:lang w:eastAsia="zh-CN"/>
      </w:rPr>
      <w:tab/>
    </w:r>
    <w:r>
      <w:rPr>
        <w:rFonts w:hint="eastAsia"/>
        <w:lang w:eastAsia="zh-CN"/>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A355DF">
    <w:pPr>
      <w:pStyle w:val="47"/>
      <w:bidi w:val="0"/>
      <w:rPr>
        <w:rFonts w:hint="eastAsia" w:eastAsia="宋体"/>
        <w:lang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BFE25B">
                          <w:pPr>
                            <w:pStyle w:val="47"/>
                            <w:bidi w:val="0"/>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15BFE25B">
                    <w:pPr>
                      <w:pStyle w:val="47"/>
                      <w:bidi w:val="0"/>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009FAF">
    <w:pPr>
      <w:pStyle w:val="3"/>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1EFBB8">
                          <w:pPr>
                            <w:pStyle w:val="3"/>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441EFBB8">
                    <w:pPr>
                      <w:pStyle w:val="3"/>
                    </w:pPr>
                    <w:r>
                      <w:fldChar w:fldCharType="begin"/>
                    </w:r>
                    <w:r>
                      <w:instrText xml:space="preserve"> PAGE  \* MERGEFORMAT </w:instrText>
                    </w:r>
                    <w:r>
                      <w:fldChar w:fldCharType="separate"/>
                    </w:r>
                    <w:r>
                      <w:t>II</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DD0ED">
    <w:pPr>
      <w:pStyle w:val="4"/>
      <w:jc w:val="right"/>
      <w:rPr>
        <w:rFonts w:hint="default" w:eastAsiaTheme="minorEastAsia"/>
        <w:lang w:val="en-US" w:eastAsia="zh-CN"/>
      </w:rPr>
    </w:pPr>
    <w:r>
      <w:rPr>
        <w:rFonts w:hint="eastAsia"/>
      </w:rPr>
      <w:t>T/</w:t>
    </w:r>
    <w:r>
      <w:rPr>
        <w:rFonts w:hint="eastAsia"/>
        <w:lang w:val="en-US" w:eastAsia="zh-CN"/>
      </w:rPr>
      <w:t>JXIFST</w:t>
    </w:r>
    <w:r>
      <w:rPr>
        <w:rFonts w:hint="eastAsia"/>
      </w:rPr>
      <w:t xml:space="preserve"> </w:t>
    </w:r>
    <w:r>
      <w:rPr>
        <w:rFonts w:hint="eastAsia"/>
        <w:lang w:val="en-US" w:eastAsia="zh-CN"/>
      </w:rPr>
      <w:t>003</w:t>
    </w:r>
    <w:r>
      <w:rPr>
        <w:rFonts w:hint="eastAsia"/>
      </w:rPr>
      <w:t>—</w:t>
    </w:r>
    <w:r>
      <w:rPr>
        <w:rFonts w:hint="eastAsia"/>
        <w:lang w:val="en-US" w:eastAsia="zh-CN"/>
      </w:rPr>
      <w:t>2026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76540">
    <w:pPr>
      <w:pStyle w:val="4"/>
      <w:rPr>
        <w:rFonts w:hint="eastAsia" w:eastAsiaTheme="minorEastAsia"/>
        <w:lang w:eastAsia="zh-CN"/>
      </w:rPr>
    </w:pPr>
    <w:r>
      <w:rPr>
        <w:rFonts w:hint="eastAsia"/>
      </w:rPr>
      <w:t>T/JXIFST 00</w:t>
    </w:r>
    <w:r>
      <w:rPr>
        <w:rFonts w:hint="eastAsia"/>
        <w:lang w:val="en-US" w:eastAsia="zh-CN"/>
      </w:rPr>
      <w:t>3</w:t>
    </w:r>
    <w:r>
      <w:rPr>
        <w:rFonts w:hint="eastAsia"/>
      </w:rPr>
      <w:t>—202</w:t>
    </w:r>
    <w:r>
      <w:rPr>
        <w:rFonts w:hint="eastAsia"/>
        <w:lang w:val="en-US" w:eastAsia="zh-CN"/>
      </w:rPr>
      <w:t>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AAE36C"/>
    <w:multiLevelType w:val="singleLevel"/>
    <w:tmpl w:val="88AAE36C"/>
    <w:lvl w:ilvl="0" w:tentative="0">
      <w:start w:val="1"/>
      <w:numFmt w:val="decimal"/>
      <w:suff w:val="space"/>
      <w:lvlText w:val="[%1]"/>
      <w:lvlJc w:val="left"/>
    </w:lvl>
  </w:abstractNum>
  <w:abstractNum w:abstractNumId="1">
    <w:nsid w:val="ABCAA85F"/>
    <w:multiLevelType w:val="multilevel"/>
    <w:tmpl w:val="ABCAA85F"/>
    <w:lvl w:ilvl="0" w:tentative="0">
      <w:start w:val="1"/>
      <w:numFmt w:val="decimal"/>
      <w:pStyle w:val="29"/>
      <w:suff w:val="nothing"/>
      <w:lvlText w:val="%1　"/>
      <w:lvlJc w:val="left"/>
      <w:pPr>
        <w:ind w:left="0" w:leftChars="0" w:firstLine="0" w:firstLineChars="0"/>
      </w:pPr>
      <w:rPr>
        <w:rFonts w:hint="default" w:ascii="黑体" w:hAnsi="黑体" w:eastAsia="黑体" w:cs="黑体"/>
        <w:sz w:val="20"/>
      </w:rPr>
    </w:lvl>
    <w:lvl w:ilvl="1" w:tentative="0">
      <w:start w:val="1"/>
      <w:numFmt w:val="decimal"/>
      <w:suff w:val="nothing"/>
      <w:lvlText w:val="%1.%2　"/>
      <w:lvlJc w:val="left"/>
      <w:pPr>
        <w:ind w:left="0" w:leftChars="0" w:firstLine="0" w:firstLineChars="0"/>
      </w:pPr>
      <w:rPr>
        <w:rFonts w:hint="default" w:ascii="黑体" w:hAnsi="黑体" w:eastAsia="黑体" w:cs="黑体"/>
        <w:sz w:val="20"/>
      </w:rPr>
    </w:lvl>
    <w:lvl w:ilvl="2" w:tentative="0">
      <w:start w:val="1"/>
      <w:numFmt w:val="decimal"/>
      <w:pStyle w:val="40"/>
      <w:suff w:val="nothing"/>
      <w:lvlText w:val="%1.%2.%3　"/>
      <w:lvlJc w:val="left"/>
      <w:pPr>
        <w:ind w:left="0" w:leftChars="0" w:firstLine="0" w:firstLineChars="0"/>
      </w:pPr>
      <w:rPr>
        <w:rFonts w:hint="default" w:ascii="黑体" w:hAnsi="黑体" w:eastAsia="黑体" w:cs="黑体"/>
        <w:sz w:val="20"/>
      </w:rPr>
    </w:lvl>
    <w:lvl w:ilvl="3" w:tentative="0">
      <w:start w:val="1"/>
      <w:numFmt w:val="decimal"/>
      <w:suff w:val="nothing"/>
      <w:lvlText w:val="%1.%2.%3.%4　"/>
      <w:lvlJc w:val="left"/>
      <w:pPr>
        <w:ind w:left="0" w:leftChars="0" w:firstLine="0" w:firstLineChars="0"/>
      </w:pPr>
      <w:rPr>
        <w:rFonts w:hint="default" w:ascii="黑体" w:hAnsi="黑体" w:eastAsia="黑体" w:cs="黑体"/>
        <w:sz w:val="20"/>
      </w:rPr>
    </w:lvl>
    <w:lvl w:ilvl="4" w:tentative="0">
      <w:start w:val="1"/>
      <w:numFmt w:val="decimal"/>
      <w:suff w:val="nothing"/>
      <w:lvlText w:val="%1.%2.%3.%4.%5　"/>
      <w:lvlJc w:val="left"/>
      <w:pPr>
        <w:ind w:left="0" w:leftChars="0" w:firstLine="0" w:firstLineChars="0"/>
      </w:pPr>
      <w:rPr>
        <w:rFonts w:hint="default" w:ascii="黑体" w:hAnsi="黑体" w:eastAsia="黑体" w:cs="黑体"/>
        <w:sz w:val="20"/>
      </w:rPr>
    </w:lvl>
    <w:lvl w:ilvl="5" w:tentative="0">
      <w:start w:val="1"/>
      <w:numFmt w:val="decimal"/>
      <w:suff w:val="nothing"/>
      <w:lvlText w:val="%1.%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2">
    <w:nsid w:val="BD0B66F8"/>
    <w:multiLevelType w:val="multilevel"/>
    <w:tmpl w:val="BD0B66F8"/>
    <w:lvl w:ilvl="0" w:tentative="0">
      <w:start w:val="1"/>
      <w:numFmt w:val="decimal"/>
      <w:pStyle w:val="37"/>
      <w:suff w:val="nothing"/>
      <w:lvlText w:val="表%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3">
    <w:nsid w:val="D1E0386A"/>
    <w:multiLevelType w:val="multilevel"/>
    <w:tmpl w:val="D1E0386A"/>
    <w:lvl w:ilvl="0" w:tentative="0">
      <w:start w:val="1"/>
      <w:numFmt w:val="upperLetter"/>
      <w:pStyle w:val="41"/>
      <w:suff w:val="nothing"/>
      <w:lvlText w:val="附录%1"/>
      <w:lvlJc w:val="left"/>
      <w:pPr>
        <w:ind w:left="0" w:leftChars="0" w:firstLine="0" w:firstLineChars="0"/>
      </w:pPr>
      <w:rPr>
        <w:rFonts w:hint="default"/>
        <w:spacing w:val="102"/>
      </w:rPr>
    </w:lvl>
    <w:lvl w:ilvl="1" w:tentative="0">
      <w:start w:val="1"/>
      <w:numFmt w:val="decimal"/>
      <w:suff w:val="nothing"/>
      <w:lvlText w:val="%1.%2　"/>
      <w:lvlJc w:val="left"/>
      <w:pPr>
        <w:ind w:left="0" w:leftChars="0" w:firstLine="0" w:firstLineChars="0"/>
      </w:pPr>
      <w:rPr>
        <w:rFonts w:hint="default" w:ascii="黑体" w:hAnsi="黑体" w:eastAsia="黑体" w:cs="黑体"/>
        <w:sz w:val="20"/>
      </w:rPr>
    </w:lvl>
    <w:lvl w:ilvl="2" w:tentative="0">
      <w:start w:val="1"/>
      <w:numFmt w:val="decimal"/>
      <w:suff w:val="nothing"/>
      <w:lvlText w:val="%1.%2.%3　"/>
      <w:lvlJc w:val="left"/>
      <w:pPr>
        <w:ind w:left="0" w:leftChars="0" w:firstLine="0" w:firstLineChars="0"/>
      </w:pPr>
      <w:rPr>
        <w:rFonts w:hint="default" w:ascii="黑体" w:hAnsi="黑体" w:eastAsia="黑体" w:cs="黑体"/>
        <w:sz w:val="20"/>
      </w:rPr>
    </w:lvl>
    <w:lvl w:ilvl="3" w:tentative="0">
      <w:start w:val="1"/>
      <w:numFmt w:val="decimal"/>
      <w:suff w:val="nothing"/>
      <w:lvlText w:val="%1.%2.%3.%4　"/>
      <w:lvlJc w:val="left"/>
      <w:pPr>
        <w:ind w:left="0" w:leftChars="0" w:firstLine="0" w:firstLineChars="0"/>
      </w:pPr>
      <w:rPr>
        <w:rFonts w:hint="default" w:ascii="黑体" w:hAnsi="黑体" w:eastAsia="黑体" w:cs="黑体"/>
        <w:sz w:val="20"/>
      </w:rPr>
    </w:lvl>
    <w:lvl w:ilvl="4" w:tentative="0">
      <w:start w:val="1"/>
      <w:numFmt w:val="decimal"/>
      <w:suff w:val="nothing"/>
      <w:lvlText w:val="%1.%2.%3.%4.%5　"/>
      <w:lvlJc w:val="left"/>
      <w:pPr>
        <w:ind w:left="0" w:leftChars="0" w:firstLine="0" w:firstLineChars="0"/>
      </w:pPr>
      <w:rPr>
        <w:rFonts w:hint="default" w:ascii="黑体" w:hAnsi="黑体" w:eastAsia="黑体" w:cs="黑体"/>
        <w:sz w:val="20"/>
      </w:rPr>
    </w:lvl>
    <w:lvl w:ilvl="5" w:tentative="0">
      <w:start w:val="1"/>
      <w:numFmt w:val="decimal"/>
      <w:suff w:val="nothing"/>
      <w:lvlText w:val="%1.%2.%3.%4.%5.%6　"/>
      <w:lvlJc w:val="left"/>
      <w:pPr>
        <w:ind w:left="0" w:leftChars="0" w:firstLine="0" w:firstLineChars="0"/>
      </w:pPr>
      <w:rPr>
        <w:rFonts w:hint="default" w:ascii="黑体" w:hAnsi="黑体" w:eastAsia="黑体" w:cs="黑体"/>
        <w:sz w:val="20"/>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4">
    <w:nsid w:val="D63FAE3E"/>
    <w:multiLevelType w:val="singleLevel"/>
    <w:tmpl w:val="D63FAE3E"/>
    <w:lvl w:ilvl="0" w:tentative="0">
      <w:start w:val="1"/>
      <w:numFmt w:val="lowerLetter"/>
      <w:suff w:val="nothing"/>
      <w:lvlText w:val="%1）"/>
      <w:lvlJc w:val="left"/>
    </w:lvl>
  </w:abstractNum>
  <w:abstractNum w:abstractNumId="5">
    <w:nsid w:val="E4135A00"/>
    <w:multiLevelType w:val="multilevel"/>
    <w:tmpl w:val="E4135A00"/>
    <w:lvl w:ilvl="0" w:tentative="0">
      <w:start w:val="1"/>
      <w:numFmt w:val="none"/>
      <w:pStyle w:val="26"/>
      <w:suff w:val="nothing"/>
      <w:lvlText w:val="%1"/>
      <w:lvlJc w:val="left"/>
      <w:pPr>
        <w:ind w:left="425" w:leftChars="0" w:hanging="425" w:firstLineChars="0"/>
      </w:pPr>
      <w:rPr>
        <w:rFonts w:hint="default"/>
      </w:rPr>
    </w:lvl>
    <w:lvl w:ilvl="1" w:tentative="0">
      <w:start w:val="1"/>
      <w:numFmt w:val="decimal"/>
      <w:suff w:val="nothing"/>
      <w:lvlText w:val="%10.%2 "/>
      <w:lvlJc w:val="left"/>
      <w:pPr>
        <w:ind w:left="0" w:leftChars="0" w:firstLine="0" w:firstLineChars="0"/>
      </w:pPr>
      <w:rPr>
        <w:rFonts w:hint="default" w:ascii="黑体" w:hAnsi="黑体" w:eastAsia="黑体" w:cs="黑体"/>
        <w:sz w:val="20"/>
      </w:rPr>
    </w:lvl>
    <w:lvl w:ilvl="2" w:tentative="0">
      <w:start w:val="1"/>
      <w:numFmt w:val="decimal"/>
      <w:suff w:val="nothing"/>
      <w:lvlText w:val="%10.%2.%3 "/>
      <w:lvlJc w:val="left"/>
      <w:pPr>
        <w:ind w:left="0" w:leftChars="0" w:firstLine="0" w:firstLineChars="0"/>
      </w:pPr>
      <w:rPr>
        <w:rFonts w:hint="default" w:ascii="黑体" w:hAnsi="黑体" w:eastAsia="黑体" w:cs="黑体"/>
        <w:sz w:val="20"/>
      </w:rPr>
    </w:lvl>
    <w:lvl w:ilvl="3" w:tentative="0">
      <w:start w:val="1"/>
      <w:numFmt w:val="decimal"/>
      <w:suff w:val="nothing"/>
      <w:lvlText w:val="%10.%2.%3.%4 "/>
      <w:lvlJc w:val="left"/>
      <w:pPr>
        <w:ind w:left="0" w:leftChars="0" w:firstLine="0" w:firstLineChars="0"/>
      </w:pPr>
      <w:rPr>
        <w:rFonts w:hint="default" w:ascii="黑体" w:hAnsi="黑体" w:eastAsia="黑体" w:cs="黑体"/>
        <w:sz w:val="20"/>
      </w:rPr>
    </w:lvl>
    <w:lvl w:ilvl="4" w:tentative="0">
      <w:start w:val="1"/>
      <w:numFmt w:val="decimal"/>
      <w:suff w:val="nothing"/>
      <w:lvlText w:val="%10.%2.%3.%4.%5 "/>
      <w:lvlJc w:val="left"/>
      <w:pPr>
        <w:ind w:left="0" w:leftChars="0" w:firstLine="0" w:firstLineChars="0"/>
      </w:pPr>
      <w:rPr>
        <w:rFonts w:hint="default" w:ascii="黑体" w:hAnsi="黑体" w:eastAsia="黑体" w:cs="黑体"/>
        <w:sz w:val="20"/>
      </w:rPr>
    </w:lvl>
    <w:lvl w:ilvl="5" w:tentative="0">
      <w:start w:val="1"/>
      <w:numFmt w:val="decimal"/>
      <w:suff w:val="nothing"/>
      <w:lvlText w:val="%10.%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6">
    <w:nsid w:val="F240A558"/>
    <w:multiLevelType w:val="multilevel"/>
    <w:tmpl w:val="F240A558"/>
    <w:lvl w:ilvl="0" w:tentative="0">
      <w:start w:val="1"/>
      <w:numFmt w:val="lowerLetter"/>
      <w:pStyle w:val="38"/>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7">
    <w:nsid w:val="1FC91163"/>
    <w:multiLevelType w:val="multilevel"/>
    <w:tmpl w:val="1FC91163"/>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35"/>
      <w:suff w:val="nothing"/>
      <w:lvlText w:val="%1.%2　"/>
      <w:lvlJc w:val="left"/>
      <w:pPr>
        <w:ind w:left="284" w:firstLine="0"/>
      </w:pPr>
      <w:rPr>
        <w:rFonts w:hint="default" w:ascii="黑体" w:hAnsi="黑体" w:eastAsia="黑体" w:cs="黑体"/>
        <w:sz w:val="20"/>
      </w:rPr>
    </w:lvl>
    <w:lvl w:ilvl="2" w:tentative="0">
      <w:start w:val="1"/>
      <w:numFmt w:val="decimal"/>
      <w:suff w:val="nothing"/>
      <w:lvlText w:val="%1.%2.%3　"/>
      <w:lvlJc w:val="left"/>
      <w:pPr>
        <w:ind w:left="63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8">
    <w:nsid w:val="6CEA2025"/>
    <w:multiLevelType w:val="multilevel"/>
    <w:tmpl w:val="6CEA2025"/>
    <w:lvl w:ilvl="0" w:tentative="0">
      <w:start w:val="1"/>
      <w:numFmt w:val="none"/>
      <w:suff w:val="nothing"/>
      <w:lvlText w:val="%1"/>
      <w:lvlJc w:val="left"/>
      <w:rPr>
        <w:rFonts w:hint="default" w:ascii="Times New Roman" w:hAnsi="Times New Roman" w:cs="Times New Roman"/>
        <w:b/>
        <w:bCs/>
        <w:i w:val="0"/>
        <w:iCs w:val="0"/>
        <w:sz w:val="21"/>
        <w:szCs w:val="21"/>
      </w:rPr>
    </w:lvl>
    <w:lvl w:ilvl="1" w:tentative="0">
      <w:start w:val="1"/>
      <w:numFmt w:val="decimal"/>
      <w:pStyle w:val="48"/>
      <w:suff w:val="nothing"/>
      <w:lvlText w:val="%1%2　"/>
      <w:lvlJc w:val="left"/>
      <w:rPr>
        <w:rFonts w:hint="eastAsia" w:ascii="黑体" w:hAnsi="Times New Roman" w:eastAsia="黑体"/>
        <w:b w:val="0"/>
        <w:bCs w:val="0"/>
        <w:i w:val="0"/>
        <w:iCs w:val="0"/>
        <w:sz w:val="21"/>
        <w:szCs w:val="21"/>
      </w:rPr>
    </w:lvl>
    <w:lvl w:ilvl="2" w:tentative="0">
      <w:start w:val="1"/>
      <w:numFmt w:val="decimal"/>
      <w:suff w:val="nothing"/>
      <w:lvlText w:val="%1%2.%3　"/>
      <w:lvlJc w:val="left"/>
      <w:rPr>
        <w:rFonts w:hint="eastAsia" w:ascii="黑体" w:hAnsi="Times New Roman" w:eastAsia="黑体"/>
        <w:b w:val="0"/>
        <w:bCs w:val="0"/>
        <w:i w:val="0"/>
        <w:iCs w:val="0"/>
        <w:sz w:val="21"/>
        <w:szCs w:val="21"/>
      </w:rPr>
    </w:lvl>
    <w:lvl w:ilvl="3" w:tentative="0">
      <w:start w:val="1"/>
      <w:numFmt w:val="decimal"/>
      <w:suff w:val="nothing"/>
      <w:lvlText w:val="%1%2.%3.%4　"/>
      <w:lvlJc w:val="left"/>
      <w:rPr>
        <w:rFonts w:hint="eastAsia" w:ascii="黑体" w:hAnsi="Times New Roman" w:eastAsia="黑体"/>
        <w:b w:val="0"/>
        <w:bCs w:val="0"/>
        <w:i w:val="0"/>
        <w:iCs w:val="0"/>
        <w:sz w:val="21"/>
        <w:szCs w:val="21"/>
      </w:rPr>
    </w:lvl>
    <w:lvl w:ilvl="4" w:tentative="0">
      <w:start w:val="1"/>
      <w:numFmt w:val="decimal"/>
      <w:suff w:val="nothing"/>
      <w:lvlText w:val="%1%2.%3.%4.%5　"/>
      <w:lvlJc w:val="left"/>
      <w:rPr>
        <w:rFonts w:hint="eastAsia" w:ascii="黑体" w:hAnsi="Times New Roman" w:eastAsia="黑体"/>
        <w:b w:val="0"/>
        <w:bCs w:val="0"/>
        <w:i w:val="0"/>
        <w:iCs w:val="0"/>
        <w:sz w:val="21"/>
        <w:szCs w:val="21"/>
      </w:rPr>
    </w:lvl>
    <w:lvl w:ilvl="5" w:tentative="0">
      <w:start w:val="1"/>
      <w:numFmt w:val="decimal"/>
      <w:suff w:val="nothing"/>
      <w:lvlText w:val="%1%2.%3.%4.%5.%6　"/>
      <w:lvlJc w:val="left"/>
      <w:rPr>
        <w:rFonts w:hint="eastAsia" w:ascii="黑体" w:hAnsi="Times New Roman" w:eastAsia="黑体"/>
        <w:b w:val="0"/>
        <w:bCs w:val="0"/>
        <w:i w:val="0"/>
        <w:iCs w:val="0"/>
        <w:sz w:val="21"/>
        <w:szCs w:val="21"/>
      </w:rPr>
    </w:lvl>
    <w:lvl w:ilvl="6" w:tentative="0">
      <w:start w:val="1"/>
      <w:numFmt w:val="decimal"/>
      <w:suff w:val="nothing"/>
      <w:lvlText w:val="%1%2.%3.%4.%5.%6.%7　"/>
      <w:lvlJc w:val="left"/>
      <w:rPr>
        <w:rFonts w:hint="eastAsia" w:ascii="黑体" w:hAnsi="Times New Roman" w:eastAsia="黑体"/>
        <w:b w:val="0"/>
        <w:bCs w:val="0"/>
        <w:i w:val="0"/>
        <w:iCs w:val="0"/>
        <w:sz w:val="21"/>
        <w:szCs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9">
    <w:nsid w:val="7BBEE5B8"/>
    <w:multiLevelType w:val="multilevel"/>
    <w:tmpl w:val="7BBEE5B8"/>
    <w:lvl w:ilvl="0" w:tentative="0">
      <w:start w:val="1"/>
      <w:numFmt w:val="none"/>
      <w:pStyle w:val="43"/>
      <w:suff w:val="nothing"/>
      <w:lvlText w:val="注："/>
      <w:lvlJc w:val="left"/>
      <w:pPr>
        <w:tabs>
          <w:tab w:val="left" w:pos="539"/>
        </w:tabs>
        <w:ind w:left="737" w:leftChars="0" w:hanging="374" w:firstLineChars="0"/>
      </w:pPr>
      <w:rPr>
        <w:rFonts w:hint="eastAsia" w:ascii="黑体" w:hAnsi="黑体" w:eastAsia="黑体" w:cs="黑体"/>
        <w:sz w:val="18"/>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num w:numId="1">
    <w:abstractNumId w:val="5"/>
  </w:num>
  <w:num w:numId="2">
    <w:abstractNumId w:val="1"/>
  </w:num>
  <w:num w:numId="3">
    <w:abstractNumId w:val="8"/>
  </w:num>
  <w:num w:numId="4">
    <w:abstractNumId w:val="7"/>
  </w:num>
  <w:num w:numId="5">
    <w:abstractNumId w:val="2"/>
  </w:num>
  <w:num w:numId="6">
    <w:abstractNumId w:val="6"/>
  </w:num>
  <w:num w:numId="7">
    <w:abstractNumId w:val="3"/>
  </w:num>
  <w:num w:numId="8">
    <w:abstractNumId w:val="9"/>
  </w:num>
  <w:num w:numId="9">
    <w:abstractNumId w:val="4"/>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YzVlNTViODQ3OTVkMTIzMmQ2Mzg4NmFiMzRhZTIifQ=="/>
  </w:docVars>
  <w:rsids>
    <w:rsidRoot w:val="389B00A3"/>
    <w:rsid w:val="043164D2"/>
    <w:rsid w:val="04854E8E"/>
    <w:rsid w:val="04F803D0"/>
    <w:rsid w:val="05B66CEF"/>
    <w:rsid w:val="05D04CDA"/>
    <w:rsid w:val="07164786"/>
    <w:rsid w:val="07794DF1"/>
    <w:rsid w:val="07EF6E35"/>
    <w:rsid w:val="0A5E6197"/>
    <w:rsid w:val="0A9725DE"/>
    <w:rsid w:val="0AC07140"/>
    <w:rsid w:val="0B083C12"/>
    <w:rsid w:val="0B123564"/>
    <w:rsid w:val="0B9B126A"/>
    <w:rsid w:val="0C201636"/>
    <w:rsid w:val="0E5751CD"/>
    <w:rsid w:val="0ECC0381"/>
    <w:rsid w:val="0EE05EFB"/>
    <w:rsid w:val="0EF95E3E"/>
    <w:rsid w:val="10187F30"/>
    <w:rsid w:val="11CE1EC7"/>
    <w:rsid w:val="124C3BD3"/>
    <w:rsid w:val="139F1CE7"/>
    <w:rsid w:val="139F7284"/>
    <w:rsid w:val="13D03611"/>
    <w:rsid w:val="14891DA1"/>
    <w:rsid w:val="15565D98"/>
    <w:rsid w:val="15B15B3F"/>
    <w:rsid w:val="160B6B83"/>
    <w:rsid w:val="167D7355"/>
    <w:rsid w:val="16B17FC7"/>
    <w:rsid w:val="172E30D6"/>
    <w:rsid w:val="17520F90"/>
    <w:rsid w:val="189D446C"/>
    <w:rsid w:val="1A76014D"/>
    <w:rsid w:val="1BAE3985"/>
    <w:rsid w:val="1BBC26CD"/>
    <w:rsid w:val="1C6568C1"/>
    <w:rsid w:val="1CA26014"/>
    <w:rsid w:val="1D6F4730"/>
    <w:rsid w:val="1DAB31C7"/>
    <w:rsid w:val="1DE10342"/>
    <w:rsid w:val="1E293326"/>
    <w:rsid w:val="1ECE4BF1"/>
    <w:rsid w:val="1F6843D3"/>
    <w:rsid w:val="208E6C79"/>
    <w:rsid w:val="21AD37FC"/>
    <w:rsid w:val="21F91F85"/>
    <w:rsid w:val="22DF57F7"/>
    <w:rsid w:val="23185EC9"/>
    <w:rsid w:val="239E794B"/>
    <w:rsid w:val="251A293E"/>
    <w:rsid w:val="252512E3"/>
    <w:rsid w:val="25755559"/>
    <w:rsid w:val="25CC7E89"/>
    <w:rsid w:val="26D6503A"/>
    <w:rsid w:val="27B478B3"/>
    <w:rsid w:val="297F3D7B"/>
    <w:rsid w:val="29A5383B"/>
    <w:rsid w:val="2A470EAA"/>
    <w:rsid w:val="2B3D0601"/>
    <w:rsid w:val="2B8F02A8"/>
    <w:rsid w:val="2BA15BAA"/>
    <w:rsid w:val="2BAB4D8D"/>
    <w:rsid w:val="2E563D67"/>
    <w:rsid w:val="2E822297"/>
    <w:rsid w:val="2FF07903"/>
    <w:rsid w:val="318925EC"/>
    <w:rsid w:val="343E64E8"/>
    <w:rsid w:val="34895745"/>
    <w:rsid w:val="35517810"/>
    <w:rsid w:val="358F14A0"/>
    <w:rsid w:val="35EA05BD"/>
    <w:rsid w:val="369F3544"/>
    <w:rsid w:val="384446AF"/>
    <w:rsid w:val="385271BC"/>
    <w:rsid w:val="38765C86"/>
    <w:rsid w:val="38973117"/>
    <w:rsid w:val="389B00A3"/>
    <w:rsid w:val="399E1789"/>
    <w:rsid w:val="3ABF38D9"/>
    <w:rsid w:val="3ACF21D5"/>
    <w:rsid w:val="3BA37EBC"/>
    <w:rsid w:val="3C155D1D"/>
    <w:rsid w:val="3C2344DA"/>
    <w:rsid w:val="3C336DD6"/>
    <w:rsid w:val="3D2F1462"/>
    <w:rsid w:val="3E253901"/>
    <w:rsid w:val="3E34138B"/>
    <w:rsid w:val="3E394A55"/>
    <w:rsid w:val="3F7B639C"/>
    <w:rsid w:val="3FAE0A48"/>
    <w:rsid w:val="4142388A"/>
    <w:rsid w:val="41727B60"/>
    <w:rsid w:val="42D9273C"/>
    <w:rsid w:val="43E76581"/>
    <w:rsid w:val="43F741B1"/>
    <w:rsid w:val="44C60C63"/>
    <w:rsid w:val="453F1647"/>
    <w:rsid w:val="45CE5353"/>
    <w:rsid w:val="45EB7F97"/>
    <w:rsid w:val="460566E8"/>
    <w:rsid w:val="46DE790A"/>
    <w:rsid w:val="47190850"/>
    <w:rsid w:val="472051BC"/>
    <w:rsid w:val="472240FB"/>
    <w:rsid w:val="47494818"/>
    <w:rsid w:val="47BA4746"/>
    <w:rsid w:val="48FF13D8"/>
    <w:rsid w:val="4A9E67FA"/>
    <w:rsid w:val="4BF22221"/>
    <w:rsid w:val="4C1C493F"/>
    <w:rsid w:val="4C54436F"/>
    <w:rsid w:val="4CDE6D29"/>
    <w:rsid w:val="4D5716EC"/>
    <w:rsid w:val="4DDB207E"/>
    <w:rsid w:val="4DFD580F"/>
    <w:rsid w:val="4E645E6F"/>
    <w:rsid w:val="4E6974F8"/>
    <w:rsid w:val="4E855305"/>
    <w:rsid w:val="4F1532C9"/>
    <w:rsid w:val="4F4026F2"/>
    <w:rsid w:val="512D4D40"/>
    <w:rsid w:val="51FB7710"/>
    <w:rsid w:val="53360DB1"/>
    <w:rsid w:val="540A5A6E"/>
    <w:rsid w:val="54C567EE"/>
    <w:rsid w:val="54FB6252"/>
    <w:rsid w:val="554E4389"/>
    <w:rsid w:val="55CF6427"/>
    <w:rsid w:val="560D3F16"/>
    <w:rsid w:val="565F21C4"/>
    <w:rsid w:val="56762305"/>
    <w:rsid w:val="56AE0CC5"/>
    <w:rsid w:val="56F24C1A"/>
    <w:rsid w:val="579C0534"/>
    <w:rsid w:val="58517400"/>
    <w:rsid w:val="587561C5"/>
    <w:rsid w:val="58E4731F"/>
    <w:rsid w:val="59066975"/>
    <w:rsid w:val="594C5FB7"/>
    <w:rsid w:val="59C523D6"/>
    <w:rsid w:val="5E48575F"/>
    <w:rsid w:val="5EA358E0"/>
    <w:rsid w:val="606E780D"/>
    <w:rsid w:val="60FE72F3"/>
    <w:rsid w:val="61324CCE"/>
    <w:rsid w:val="619863BE"/>
    <w:rsid w:val="622323FB"/>
    <w:rsid w:val="624F5057"/>
    <w:rsid w:val="62AF24E3"/>
    <w:rsid w:val="6380190C"/>
    <w:rsid w:val="6610573A"/>
    <w:rsid w:val="66302B57"/>
    <w:rsid w:val="665962B5"/>
    <w:rsid w:val="69AE2097"/>
    <w:rsid w:val="6BE847AB"/>
    <w:rsid w:val="6C243696"/>
    <w:rsid w:val="6C7D598C"/>
    <w:rsid w:val="6CA841A0"/>
    <w:rsid w:val="6CF7043C"/>
    <w:rsid w:val="6D2A2548"/>
    <w:rsid w:val="6D7E660E"/>
    <w:rsid w:val="6F0D49ED"/>
    <w:rsid w:val="6FBF3085"/>
    <w:rsid w:val="70F05B13"/>
    <w:rsid w:val="71024EE2"/>
    <w:rsid w:val="72D57EC3"/>
    <w:rsid w:val="73502E3C"/>
    <w:rsid w:val="74592171"/>
    <w:rsid w:val="747B7557"/>
    <w:rsid w:val="74B03BC8"/>
    <w:rsid w:val="75660FA8"/>
    <w:rsid w:val="75AF28BF"/>
    <w:rsid w:val="75FA7BF3"/>
    <w:rsid w:val="765D1475"/>
    <w:rsid w:val="7778778F"/>
    <w:rsid w:val="77A53F79"/>
    <w:rsid w:val="77AF6CA4"/>
    <w:rsid w:val="78C415B7"/>
    <w:rsid w:val="79162CD5"/>
    <w:rsid w:val="793D1616"/>
    <w:rsid w:val="7BAF578F"/>
    <w:rsid w:val="7BB11F94"/>
    <w:rsid w:val="7BD24A71"/>
    <w:rsid w:val="7C7A5367"/>
    <w:rsid w:val="7D303FC2"/>
    <w:rsid w:val="7E2272E3"/>
    <w:rsid w:val="7ECB140D"/>
    <w:rsid w:val="7FF33659"/>
    <w:rsid w:val="F7FFCD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line="400" w:lineRule="exact"/>
    </w:pPr>
    <w:rPr>
      <w:rFonts w:hAnsi="宋体"/>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0"/>
    <w:rPr>
      <w:b/>
    </w:rPr>
  </w:style>
  <w:style w:type="paragraph" w:customStyle="1" w:styleId="10">
    <w:name w:val="封面标准名称"/>
    <w:qFormat/>
    <w:uiPriority w:val="0"/>
    <w:pPr>
      <w:framePr w:w="9639" w:h="6974" w:hRule="exact" w:wrap="around" w:vAnchor="page" w:hAnchor="page" w:x="1419" w:y="6408"/>
      <w:spacing w:line="700" w:lineRule="exact"/>
      <w:jc w:val="center"/>
    </w:pPr>
    <w:rPr>
      <w:rFonts w:hint="eastAsia" w:ascii="黑体" w:hAnsi="Times New Roman" w:eastAsia="黑体" w:cs="Times New Roman"/>
      <w:sz w:val="52"/>
    </w:rPr>
  </w:style>
  <w:style w:type="paragraph" w:customStyle="1" w:styleId="11">
    <w:name w:val="标准称谓3"/>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黑体" w:hAnsi="Times New Roman" w:eastAsia="黑体" w:cs="Times New Roman"/>
      <w:sz w:val="48"/>
    </w:rPr>
  </w:style>
  <w:style w:type="paragraph" w:customStyle="1" w:styleId="12">
    <w:name w:val="封面标准号2"/>
    <w:qFormat/>
    <w:uiPriority w:val="0"/>
    <w:pPr>
      <w:framePr w:w="9355" w:h="624" w:hRule="exact" w:hSpace="181" w:vSpace="181" w:wrap="around" w:vAnchor="page" w:hAnchor="page" w:x="1419" w:y="3284"/>
      <w:spacing w:line="280" w:lineRule="exact"/>
      <w:jc w:val="right"/>
    </w:pPr>
    <w:rPr>
      <w:rFonts w:hint="eastAsia" w:ascii="黑体" w:hAnsi="Times New Roman" w:eastAsia="黑体" w:cs="Times New Roman"/>
      <w:sz w:val="28"/>
    </w:rPr>
  </w:style>
  <w:style w:type="paragraph" w:customStyle="1" w:styleId="13">
    <w:name w:val="封面标准代替信息"/>
    <w:qFormat/>
    <w:uiPriority w:val="0"/>
    <w:pPr>
      <w:framePr w:w="9355" w:h="624" w:hRule="exact" w:hSpace="181" w:vSpace="181" w:wrap="around" w:vAnchor="page" w:hAnchor="page" w:x="1419" w:y="3284"/>
      <w:spacing w:before="57" w:line="280" w:lineRule="exact"/>
      <w:jc w:val="right"/>
    </w:pPr>
    <w:rPr>
      <w:rFonts w:hint="eastAsia" w:ascii="黑体" w:hAnsi="Times New Roman" w:eastAsia="黑体" w:cs="Times New Roman"/>
      <w:sz w:val="21"/>
    </w:rPr>
  </w:style>
  <w:style w:type="paragraph" w:customStyle="1" w:styleId="14">
    <w:name w:val="封面标准顶部线"/>
    <w:qFormat/>
    <w:uiPriority w:val="0"/>
    <w:pPr>
      <w:framePr w:w="9673" w:hSpace="181" w:wrap="around" w:vAnchor="page" w:hAnchor="page" w:x="1390" w:y="4242"/>
      <w:spacing w:line="0" w:lineRule="atLeast"/>
    </w:pPr>
    <w:rPr>
      <w:rFonts w:hint="eastAsia" w:ascii="宋体" w:hAnsi="Times New Roman" w:eastAsia="宋体" w:cs="Times New Roman"/>
      <w:sz w:val="21"/>
    </w:rPr>
  </w:style>
  <w:style w:type="paragraph" w:customStyle="1" w:styleId="15">
    <w:name w:val="封面标准英文名称"/>
    <w:basedOn w:val="10"/>
    <w:qFormat/>
    <w:uiPriority w:val="0"/>
    <w:pPr>
      <w:widowControl w:val="0"/>
      <w:spacing w:before="410" w:line="360" w:lineRule="exact"/>
      <w:textAlignment w:val="bottom"/>
    </w:pPr>
    <w:rPr>
      <w:rFonts w:ascii="Times New Roman" w:hAnsi="Times New Roman" w:cs="Times New Roman"/>
      <w:sz w:val="28"/>
    </w:rPr>
  </w:style>
  <w:style w:type="paragraph" w:customStyle="1" w:styleId="16">
    <w:name w:val="封面一致性程度标识"/>
    <w:basedOn w:val="15"/>
    <w:qFormat/>
    <w:uiPriority w:val="0"/>
    <w:pPr>
      <w:spacing w:before="760"/>
    </w:pPr>
  </w:style>
  <w:style w:type="paragraph" w:customStyle="1" w:styleId="17">
    <w:name w:val="封面标准文稿类别"/>
    <w:basedOn w:val="16"/>
    <w:qFormat/>
    <w:uiPriority w:val="0"/>
    <w:pPr>
      <w:spacing w:before="440" w:after="160"/>
    </w:pPr>
    <w:rPr>
      <w:rFonts w:ascii="黑体" w:hAnsi="黑体" w:cs="黑体"/>
      <w:sz w:val="24"/>
    </w:rPr>
  </w:style>
  <w:style w:type="paragraph" w:customStyle="1" w:styleId="18">
    <w:name w:val="封面标准文稿编辑信息"/>
    <w:basedOn w:val="17"/>
    <w:qFormat/>
    <w:uiPriority w:val="0"/>
    <w:pPr>
      <w:spacing w:before="180" w:after="0" w:line="240" w:lineRule="atLeast"/>
    </w:pPr>
    <w:rPr>
      <w:sz w:val="21"/>
    </w:rPr>
  </w:style>
  <w:style w:type="paragraph" w:customStyle="1" w:styleId="19">
    <w:name w:val="封面标准文稿附件"/>
    <w:basedOn w:val="17"/>
    <w:qFormat/>
    <w:uiPriority w:val="0"/>
    <w:pPr>
      <w:spacing w:before="937" w:beforeLines="300" w:afterLines="30" w:line="240" w:lineRule="auto"/>
    </w:pPr>
    <w:rPr>
      <w:rFonts w:ascii="Times New Roman" w:hAnsi="Times New Roman" w:cs="Times New Roman"/>
      <w:b/>
      <w:sz w:val="21"/>
    </w:rPr>
  </w:style>
  <w:style w:type="paragraph" w:customStyle="1" w:styleId="20">
    <w:name w:val="封面日期"/>
    <w:qFormat/>
    <w:uiPriority w:val="0"/>
    <w:pPr>
      <w:framePr w:w="9673" w:vSpace="181" w:wrap="around" w:vAnchor="page" w:hAnchor="page" w:x="1419" w:y="14176" w:anchorLock="1"/>
      <w:spacing w:line="360" w:lineRule="exact"/>
    </w:pPr>
    <w:rPr>
      <w:rFonts w:hint="eastAsia" w:ascii="黑体" w:hAnsi="Times New Roman" w:eastAsia="黑体" w:cs="Times New Roman"/>
      <w:sz w:val="28"/>
    </w:rPr>
  </w:style>
  <w:style w:type="paragraph" w:customStyle="1" w:styleId="21">
    <w:name w:val="其他发布部门2"/>
    <w:basedOn w:val="22"/>
    <w:qFormat/>
    <w:uiPriority w:val="0"/>
    <w:pPr>
      <w:framePr w:w="7433" w:h="584" w:hRule="exact" w:hSpace="181" w:wrap="around" w:vAnchor="margin" w:hAnchor="margin" w:xAlign="center" w:y="15027"/>
      <w:spacing w:before="0" w:line="0" w:lineRule="atLeast"/>
    </w:pPr>
    <w:rPr>
      <w:rFonts w:ascii="黑体" w:hAnsi="黑体" w:eastAsia="黑体" w:cs="Times New Roman"/>
      <w:spacing w:val="0"/>
      <w:w w:val="100"/>
    </w:rPr>
  </w:style>
  <w:style w:type="paragraph" w:customStyle="1" w:styleId="22">
    <w:name w:val="发布部门"/>
    <w:next w:val="23"/>
    <w:qFormat/>
    <w:uiPriority w:val="0"/>
    <w:pPr>
      <w:framePr w:w="7938" w:h="1134" w:hRule="exact" w:hSpace="125" w:vSpace="181" w:wrap="around" w:vAnchor="page" w:hAnchor="page" w:x="2150" w:y="14630" w:anchorLock="1"/>
      <w:spacing w:before="100"/>
      <w:jc w:val="center"/>
    </w:pPr>
    <w:rPr>
      <w:rFonts w:hint="eastAsia" w:ascii="宋体" w:hAnsi="Times New Roman" w:eastAsia="宋体" w:cs="Times New Roman"/>
      <w:spacing w:val="20"/>
      <w:w w:val="135"/>
      <w:sz w:val="28"/>
    </w:rPr>
  </w:style>
  <w:style w:type="paragraph" w:customStyle="1" w:styleId="23">
    <w:name w:val="标准文件_段"/>
    <w:qFormat/>
    <w:uiPriority w:val="0"/>
    <w:pPr>
      <w:spacing w:beforeLines="0" w:afterLines="0"/>
      <w:ind w:firstLine="960" w:firstLineChars="200"/>
      <w:jc w:val="both"/>
    </w:pPr>
    <w:rPr>
      <w:rFonts w:hint="eastAsia" w:ascii="宋体" w:hAnsi="Times New Roman" w:eastAsia="宋体" w:cs="宋体"/>
      <w:sz w:val="21"/>
    </w:rPr>
  </w:style>
  <w:style w:type="paragraph" w:customStyle="1" w:styleId="24">
    <w:name w:val="文献分类号"/>
    <w:qFormat/>
    <w:uiPriority w:val="0"/>
    <w:pPr>
      <w:framePr w:wrap="around" w:vAnchor="page" w:hAnchor="page" w:x="1373" w:y="568"/>
      <w:widowControl w:val="0"/>
      <w:textAlignment w:val="center"/>
    </w:pPr>
    <w:rPr>
      <w:rFonts w:hint="eastAsia" w:ascii="黑体" w:hAnsi="Times New Roman" w:eastAsia="黑体" w:cs="Times New Roman"/>
      <w:kern w:val="21"/>
      <w:sz w:val="21"/>
    </w:rPr>
  </w:style>
  <w:style w:type="paragraph" w:customStyle="1" w:styleId="25">
    <w:name w:val="标准文件_目录标题"/>
    <w:basedOn w:val="1"/>
    <w:qFormat/>
    <w:uiPriority w:val="0"/>
    <w:pPr>
      <w:shd w:val="clear" w:fill="FFFFFF"/>
      <w:spacing w:beforeLines="0" w:after="469" w:afterLines="150"/>
      <w:jc w:val="center"/>
    </w:pPr>
    <w:rPr>
      <w:rFonts w:ascii="黑体" w:hAnsi="Times New Roman" w:eastAsia="黑体" w:cs="黑体"/>
      <w:kern w:val="0"/>
      <w:sz w:val="32"/>
    </w:rPr>
  </w:style>
  <w:style w:type="paragraph" w:customStyle="1" w:styleId="26">
    <w:name w:val="标准文件_前言、引言标题"/>
    <w:next w:val="1"/>
    <w:qFormat/>
    <w:uiPriority w:val="0"/>
    <w:pPr>
      <w:numPr>
        <w:ilvl w:val="0"/>
        <w:numId w:val="1"/>
      </w:numPr>
      <w:suppressAutoHyphens w:val="0"/>
      <w:spacing w:beforeLines="0" w:after="469" w:afterLines="150"/>
      <w:ind w:left="425" w:hanging="425"/>
      <w:jc w:val="center"/>
      <w:outlineLvl w:val="0"/>
    </w:pPr>
    <w:rPr>
      <w:rFonts w:hint="eastAsia" w:ascii="黑体" w:hAnsi="Times New Roman" w:eastAsia="黑体" w:cs="黑体"/>
      <w:sz w:val="32"/>
    </w:rPr>
  </w:style>
  <w:style w:type="paragraph" w:customStyle="1" w:styleId="27">
    <w:name w:val="标准文件_正文标准名称"/>
    <w:basedOn w:val="1"/>
    <w:link w:val="28"/>
    <w:qFormat/>
    <w:uiPriority w:val="0"/>
    <w:pPr>
      <w:widowControl/>
      <w:suppressAutoHyphens w:val="0"/>
      <w:spacing w:beforeLines="0" w:after="640" w:afterLines="0" w:line="400" w:lineRule="exact"/>
      <w:jc w:val="center"/>
    </w:pPr>
    <w:rPr>
      <w:rFonts w:ascii="黑体" w:hAnsi="黑体" w:eastAsia="黑体" w:cs="黑体"/>
      <w:sz w:val="32"/>
    </w:rPr>
  </w:style>
  <w:style w:type="character" w:customStyle="1" w:styleId="28">
    <w:name w:val="标准文件_正文标准名称 Char"/>
    <w:link w:val="27"/>
    <w:qFormat/>
    <w:uiPriority w:val="0"/>
    <w:rPr>
      <w:rFonts w:ascii="黑体" w:hAnsi="黑体" w:eastAsia="黑体" w:cs="黑体"/>
      <w:sz w:val="32"/>
    </w:rPr>
  </w:style>
  <w:style w:type="paragraph" w:customStyle="1" w:styleId="29">
    <w:name w:val="标准文件_章标题"/>
    <w:next w:val="23"/>
    <w:qFormat/>
    <w:uiPriority w:val="0"/>
    <w:pPr>
      <w:numPr>
        <w:ilvl w:val="0"/>
        <w:numId w:val="2"/>
      </w:numPr>
      <w:suppressAutoHyphens w:val="0"/>
      <w:spacing w:before="313" w:beforeLines="100" w:after="313" w:afterLines="100"/>
      <w:jc w:val="both"/>
      <w:outlineLvl w:val="0"/>
    </w:pPr>
    <w:rPr>
      <w:rFonts w:hint="eastAsia" w:ascii="黑体" w:hAnsi="Times New Roman" w:eastAsia="黑体" w:cs="黑体"/>
      <w:sz w:val="21"/>
    </w:rPr>
  </w:style>
  <w:style w:type="paragraph" w:customStyle="1" w:styleId="30">
    <w:name w:val="标准文件_术语条一"/>
    <w:basedOn w:val="31"/>
    <w:next w:val="23"/>
    <w:qFormat/>
    <w:uiPriority w:val="0"/>
    <w:pPr>
      <w:ind w:left="960" w:hanging="960" w:hangingChars="200"/>
    </w:pPr>
    <w:rPr>
      <w:rFonts w:ascii="黑体" w:hAnsi="黑体" w:eastAsia="黑体" w:cs="黑体"/>
    </w:rPr>
  </w:style>
  <w:style w:type="paragraph" w:customStyle="1" w:styleId="31">
    <w:name w:val="标准文件_一级无标题"/>
    <w:basedOn w:val="32"/>
    <w:qFormat/>
    <w:uiPriority w:val="0"/>
    <w:pPr>
      <w:spacing w:before="4" w:beforeLines="1" w:after="4" w:afterLines="1"/>
      <w:outlineLvl w:val="9"/>
    </w:pPr>
    <w:rPr>
      <w:rFonts w:ascii="宋体" w:hAnsi="宋体" w:eastAsia="宋体" w:cs="宋体"/>
    </w:rPr>
  </w:style>
  <w:style w:type="paragraph" w:customStyle="1" w:styleId="32">
    <w:name w:val="标准文件_一级条标题"/>
    <w:basedOn w:val="33"/>
    <w:next w:val="23"/>
    <w:qFormat/>
    <w:uiPriority w:val="0"/>
    <w:pPr>
      <w:numPr>
        <w:ilvl w:val="1"/>
      </w:numPr>
      <w:spacing w:before="157" w:beforeLines="50" w:after="157" w:afterLines="50"/>
      <w:outlineLvl w:val="1"/>
    </w:pPr>
    <w:rPr>
      <w:rFonts w:hAnsi="Times New Roman"/>
    </w:rPr>
  </w:style>
  <w:style w:type="paragraph" w:customStyle="1" w:styleId="33">
    <w:name w:val="1章标题"/>
    <w:next w:val="23"/>
    <w:qFormat/>
    <w:uiPriority w:val="99"/>
    <w:pPr>
      <w:numPr>
        <w:ilvl w:val="1"/>
        <w:numId w:val="3"/>
      </w:numPr>
      <w:spacing w:beforeLines="50" w:afterLines="50"/>
      <w:jc w:val="both"/>
      <w:outlineLvl w:val="0"/>
    </w:pPr>
    <w:rPr>
      <w:rFonts w:ascii="黑体" w:hAnsi="Times New Roman" w:eastAsia="黑体" w:cs="黑体"/>
      <w:sz w:val="21"/>
      <w:szCs w:val="21"/>
      <w:lang w:val="en-US" w:eastAsia="zh-CN" w:bidi="ar-SA"/>
    </w:rPr>
  </w:style>
  <w:style w:type="paragraph" w:customStyle="1" w:styleId="34">
    <w:name w:val="一级无"/>
    <w:basedOn w:val="35"/>
    <w:qFormat/>
    <w:uiPriority w:val="0"/>
    <w:pPr>
      <w:numPr>
        <w:ilvl w:val="1"/>
        <w:numId w:val="4"/>
      </w:numPr>
      <w:spacing w:before="0" w:beforeLines="0" w:after="0" w:afterLines="0"/>
    </w:pPr>
    <w:rPr>
      <w:rFonts w:ascii="宋体" w:eastAsia="宋体"/>
    </w:rPr>
  </w:style>
  <w:style w:type="paragraph" w:customStyle="1" w:styleId="35">
    <w:name w:val="一级条标题"/>
    <w:basedOn w:val="32"/>
    <w:next w:val="36"/>
    <w:qFormat/>
    <w:uiPriority w:val="0"/>
    <w:pPr>
      <w:numPr>
        <w:ilvl w:val="1"/>
        <w:numId w:val="4"/>
      </w:numPr>
      <w:spacing w:before="156" w:beforeLines="50" w:after="156" w:afterLines="50" w:line="400" w:lineRule="exact"/>
      <w:outlineLvl w:val="2"/>
    </w:pPr>
    <w:rPr>
      <w:rFonts w:ascii="黑体" w:hAnsi="Times New Roman" w:eastAsia="黑体" w:cs="Times New Roman"/>
      <w:sz w:val="21"/>
      <w:szCs w:val="21"/>
      <w:lang w:val="en-US" w:eastAsia="zh-CN" w:bidi="ar-SA"/>
    </w:rPr>
  </w:style>
  <w:style w:type="paragraph" w:customStyle="1" w:styleId="36">
    <w:name w:val="段"/>
    <w:qFormat/>
    <w:uiPriority w:val="0"/>
    <w:pPr>
      <w:tabs>
        <w:tab w:val="center" w:pos="4201"/>
        <w:tab w:val="right" w:leader="dot" w:pos="9298"/>
      </w:tabs>
      <w:autoSpaceDE w:val="0"/>
      <w:autoSpaceDN w:val="0"/>
      <w:spacing w:line="400" w:lineRule="exact"/>
      <w:ind w:left="57" w:firstLine="420" w:firstLineChars="200"/>
      <w:jc w:val="both"/>
    </w:pPr>
    <w:rPr>
      <w:rFonts w:ascii="宋体" w:hAnsi="Times New Roman" w:eastAsia="宋体" w:cs="Times New Roman"/>
      <w:sz w:val="21"/>
      <w:lang w:val="en-US" w:eastAsia="zh-CN" w:bidi="ar-SA"/>
    </w:rPr>
  </w:style>
  <w:style w:type="paragraph" w:customStyle="1" w:styleId="37">
    <w:name w:val="标准文件_正文表标题"/>
    <w:next w:val="23"/>
    <w:qFormat/>
    <w:uiPriority w:val="0"/>
    <w:pPr>
      <w:numPr>
        <w:ilvl w:val="0"/>
        <w:numId w:val="5"/>
      </w:numPr>
      <w:spacing w:before="157" w:beforeLines="50" w:after="157" w:afterLines="50"/>
      <w:jc w:val="center"/>
    </w:pPr>
    <w:rPr>
      <w:rFonts w:hint="eastAsia" w:ascii="黑体" w:hAnsi="黑体" w:eastAsia="黑体" w:cs="黑体"/>
      <w:sz w:val="21"/>
    </w:rPr>
  </w:style>
  <w:style w:type="paragraph" w:customStyle="1" w:styleId="38">
    <w:name w:val="标准文件_字母编号列项（一级）"/>
    <w:next w:val="23"/>
    <w:qFormat/>
    <w:uiPriority w:val="0"/>
    <w:pPr>
      <w:numPr>
        <w:ilvl w:val="0"/>
        <w:numId w:val="6"/>
      </w:numPr>
      <w:tabs>
        <w:tab w:val="left" w:pos="839"/>
      </w:tabs>
      <w:ind w:left="851" w:hanging="426"/>
      <w:jc w:val="both"/>
    </w:pPr>
    <w:rPr>
      <w:rFonts w:hint="eastAsia" w:ascii="宋体" w:hAnsi="Times New Roman" w:eastAsia="宋体" w:cs="宋体"/>
      <w:sz w:val="21"/>
    </w:rPr>
  </w:style>
  <w:style w:type="paragraph" w:customStyle="1" w:styleId="39">
    <w:name w:val="标准文件_二级无标题"/>
    <w:basedOn w:val="40"/>
    <w:qFormat/>
    <w:uiPriority w:val="0"/>
    <w:pPr>
      <w:spacing w:before="4" w:beforeLines="1" w:after="4" w:afterLines="1"/>
      <w:outlineLvl w:val="9"/>
    </w:pPr>
    <w:rPr>
      <w:rFonts w:ascii="宋体" w:hAnsi="宋体" w:eastAsia="宋体" w:cs="宋体"/>
    </w:rPr>
  </w:style>
  <w:style w:type="paragraph" w:customStyle="1" w:styleId="40">
    <w:name w:val="标准文件_二级条标题"/>
    <w:next w:val="23"/>
    <w:qFormat/>
    <w:uiPriority w:val="0"/>
    <w:pPr>
      <w:numPr>
        <w:ilvl w:val="2"/>
        <w:numId w:val="2"/>
      </w:numPr>
      <w:suppressAutoHyphens w:val="0"/>
      <w:spacing w:before="157" w:beforeLines="50" w:after="157" w:afterLines="50"/>
      <w:jc w:val="both"/>
      <w:outlineLvl w:val="2"/>
    </w:pPr>
    <w:rPr>
      <w:rFonts w:hint="eastAsia" w:ascii="黑体" w:hAnsi="黑体" w:eastAsia="黑体" w:cs="黑体"/>
      <w:sz w:val="21"/>
    </w:rPr>
  </w:style>
  <w:style w:type="paragraph" w:customStyle="1" w:styleId="41">
    <w:name w:val="标准文件_附录标识"/>
    <w:basedOn w:val="1"/>
    <w:next w:val="23"/>
    <w:qFormat/>
    <w:uiPriority w:val="0"/>
    <w:pPr>
      <w:widowControl/>
      <w:numPr>
        <w:ilvl w:val="0"/>
        <w:numId w:val="7"/>
      </w:numPr>
      <w:suppressAutoHyphens w:val="0"/>
      <w:spacing w:before="79" w:beforeLines="25" w:after="157" w:afterLines="50"/>
      <w:jc w:val="center"/>
      <w:outlineLvl w:val="0"/>
    </w:pPr>
    <w:rPr>
      <w:rFonts w:ascii="黑体" w:hAnsi="黑体" w:eastAsia="黑体" w:cs="黑体"/>
    </w:rPr>
  </w:style>
  <w:style w:type="paragraph" w:customStyle="1" w:styleId="42">
    <w:name w:val="标准文件_表格"/>
    <w:basedOn w:val="23"/>
    <w:qFormat/>
    <w:uiPriority w:val="0"/>
    <w:pPr>
      <w:jc w:val="center"/>
    </w:pPr>
    <w:rPr>
      <w:sz w:val="18"/>
    </w:rPr>
  </w:style>
  <w:style w:type="paragraph" w:customStyle="1" w:styleId="43">
    <w:name w:val="标准文件_注"/>
    <w:next w:val="23"/>
    <w:qFormat/>
    <w:uiPriority w:val="0"/>
    <w:pPr>
      <w:numPr>
        <w:ilvl w:val="0"/>
        <w:numId w:val="8"/>
      </w:numPr>
      <w:autoSpaceDE w:val="0"/>
      <w:autoSpaceDN w:val="0"/>
      <w:spacing w:beforeLines="0" w:afterLines="0"/>
      <w:jc w:val="both"/>
    </w:pPr>
    <w:rPr>
      <w:rFonts w:hint="eastAsia" w:ascii="宋体" w:hAnsi="宋体" w:eastAsia="宋体" w:cs="宋体"/>
      <w:sz w:val="18"/>
    </w:rPr>
  </w:style>
  <w:style w:type="paragraph" w:customStyle="1" w:styleId="44">
    <w:name w:val="标准文件_参考文献标题"/>
    <w:basedOn w:val="1"/>
    <w:next w:val="1"/>
    <w:qFormat/>
    <w:uiPriority w:val="0"/>
    <w:pPr>
      <w:widowControl/>
      <w:spacing w:before="126" w:beforeLines="40" w:after="157" w:afterLines="50"/>
      <w:jc w:val="center"/>
      <w:outlineLvl w:val="0"/>
    </w:pPr>
    <w:rPr>
      <w:rFonts w:ascii="黑体" w:hAnsi="Times New Roman" w:eastAsia="黑体" w:cs="黑体"/>
      <w:kern w:val="0"/>
    </w:rPr>
  </w:style>
  <w:style w:type="paragraph" w:customStyle="1" w:styleId="45">
    <w:name w:val="终结线"/>
    <w:basedOn w:val="1"/>
    <w:qFormat/>
    <w:uiPriority w:val="0"/>
    <w:pPr>
      <w:framePr w:hSpace="181" w:vSpace="181" w:wrap="around" w:vAnchor="text" w:hAnchor="margin" w:xAlign="center" w:y="285"/>
    </w:pPr>
    <w:rPr>
      <w:rFonts w:ascii="Times New Roman" w:hAnsi="Times New Roman" w:cs="Times New Roman"/>
      <w:b/>
      <w:sz w:val="34"/>
    </w:rPr>
  </w:style>
  <w:style w:type="paragraph" w:customStyle="1" w:styleId="46">
    <w:name w:val="标准书眉_奇数页"/>
    <w:next w:val="1"/>
    <w:qFormat/>
    <w:uiPriority w:val="0"/>
    <w:pPr>
      <w:tabs>
        <w:tab w:val="center" w:pos="4153"/>
        <w:tab w:val="right" w:pos="8306"/>
      </w:tabs>
      <w:spacing w:after="120"/>
      <w:jc w:val="right"/>
    </w:pPr>
    <w:rPr>
      <w:rFonts w:hint="eastAsia" w:ascii="黑体" w:hAnsi="Times New Roman" w:eastAsia="黑体" w:cs="黑体"/>
      <w:sz w:val="21"/>
    </w:rPr>
  </w:style>
  <w:style w:type="paragraph" w:customStyle="1" w:styleId="47">
    <w:name w:val="标准书脚_奇数页"/>
    <w:qFormat/>
    <w:uiPriority w:val="0"/>
    <w:pPr>
      <w:ind w:right="227"/>
      <w:jc w:val="right"/>
    </w:pPr>
    <w:rPr>
      <w:rFonts w:hint="eastAsia" w:ascii="宋体" w:hAnsi="Times New Roman" w:eastAsia="宋体" w:cs="宋体"/>
      <w:sz w:val="18"/>
    </w:rPr>
  </w:style>
  <w:style w:type="paragraph" w:customStyle="1" w:styleId="48">
    <w:name w:val="章标题"/>
    <w:basedOn w:val="33"/>
    <w:next w:val="36"/>
    <w:qFormat/>
    <w:uiPriority w:val="0"/>
    <w:pPr>
      <w:numPr>
        <w:ilvl w:val="1"/>
        <w:numId w:val="3"/>
      </w:numPr>
      <w:spacing w:before="312" w:beforeLines="100" w:after="312" w:afterLines="100"/>
    </w:pPr>
    <w:rPr>
      <w:rFonts w:ascii="Times New Roman"/>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glossaryDocument" Target="glossary/document.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jpe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c8ba3f3f-d992-42ae-9ccb-5b8e67535c12}"/>
        <w:style w:val=""/>
        <w:category>
          <w:name w:val="常规"/>
          <w:gallery w:val="placeholder"/>
        </w:category>
        <w:types>
          <w:type w:val="bbPlcHdr"/>
        </w:types>
        <w:behaviors>
          <w:behavior w:val="content"/>
        </w:behaviors>
        <w:description w:val=""/>
        <w:guid w:val="{c8ba3f3f-d992-42ae-9ccb-5b8e67535c12}"/>
      </w:docPartPr>
      <w:docPartBody>
        <w:p w14:paraId="34934F14">
          <w:r>
            <w:rPr>
              <w:color w:val="808080"/>
            </w:rPr>
            <w:t>选择一项。</w:t>
          </w:r>
        </w:p>
      </w:docPartBody>
    </w:docPart>
    <w:docPart>
      <w:docPartPr>
        <w:name w:val="{ffaea25c-db20-4dc5-85dd-ab924e3468af}"/>
        <w:style w:val=""/>
        <w:category>
          <w:name w:val="常规"/>
          <w:gallery w:val="placeholder"/>
        </w:category>
        <w:types>
          <w:type w:val="bbPlcHdr"/>
        </w:types>
        <w:behaviors>
          <w:behavior w:val="content"/>
        </w:behaviors>
        <w:description w:val=""/>
        <w:guid w:val="{ffaea25c-db20-4dc5-85dd-ab924e3468af}"/>
      </w:docPartPr>
      <w:docPartBody>
        <w:p w14:paraId="7F10D59E">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style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5240</Words>
  <Characters>6160</Characters>
  <Lines>0</Lines>
  <Paragraphs>0</Paragraphs>
  <TotalTime>0</TotalTime>
  <ScaleCrop>false</ScaleCrop>
  <LinksUpToDate>false</LinksUpToDate>
  <CharactersWithSpaces>6710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2025-08-22T15:54:00Z</dcterms:created>
  <dc:creator>转瞬之间</dc:creator>
  <cp:lastModifiedBy>峰</cp:lastModifiedBy>
  <cp:lastPrinted>2026-05-13T02:42:00Z</cp:lastPrinted>
  <dcterms:modified xsi:type="dcterms:W3CDTF">2026-05-14T01:51:54Z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5835B9BD37E14830B2521A9991C7E421_13</vt:lpwstr>
  </property>
  <property fmtid="{D5CDD505-2E9C-101B-9397-08002B2CF9AE}" pid="4" name="KSOTemplateDocerSaveRecord">
    <vt:lpwstr>eyJoZGlkIjoiZDdkNjVhMjZiOWYyZDZiN2JmNGQ2MTg4NDY1YmIwM2EiLCJ1c2VySWQiOiI0Mjc3MzIxMDYifQ==</vt:lpwstr>
  </property>
</Properties>
</file>