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509E14">
      <w:pPr>
        <w:spacing w:line="360" w:lineRule="auto"/>
        <w:jc w:val="left"/>
        <w:rPr>
          <w:rFonts w:hint="eastAsia"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《制造业名优商标品牌认定规范》团体标准编制说明</w:t>
      </w:r>
    </w:p>
    <w:p w14:paraId="0379FF1A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</w:p>
    <w:p w14:paraId="4B978C2B">
      <w:pPr>
        <w:spacing w:line="360" w:lineRule="auto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一、工作简况</w:t>
      </w:r>
    </w:p>
    <w:p w14:paraId="29E4556C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（一）任务来源</w:t>
      </w:r>
    </w:p>
    <w:p w14:paraId="6C3E8014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为落实《国家标准化发展纲要》《关于新时代推进品牌建设的指导意见》（发改产业〔2022〕123号）等政策要求，推动制造业商标品牌高质量发展，填补制造业名优商标品牌认定标准的空白，由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广东省制造业协会</w:t>
      </w:r>
      <w:r>
        <w:rPr>
          <w:rFonts w:hint="eastAsia" w:ascii="仿宋" w:hAnsi="仿宋" w:eastAsia="仿宋" w:cs="仿宋"/>
          <w:sz w:val="24"/>
          <w:szCs w:val="24"/>
        </w:rPr>
        <w:t xml:space="preserve">发起，启动《制造业名优商标品牌认定规范》团体标准编制工作。  </w:t>
      </w:r>
    </w:p>
    <w:p w14:paraId="0FBB86D4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（二）协作单位与主要起草人</w:t>
      </w:r>
    </w:p>
    <w:p w14:paraId="52430AF3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highlight w:val="none"/>
        </w:rPr>
        <w:t>本标准由</w:t>
      </w:r>
      <w:r>
        <w:rPr>
          <w:rFonts w:hint="eastAsia" w:ascii="仿宋" w:hAnsi="仿宋" w:eastAsia="仿宋" w:cs="仿宋"/>
          <w:sz w:val="24"/>
          <w:szCs w:val="24"/>
          <w:highlight w:val="none"/>
          <w:lang w:eastAsia="zh-CN"/>
        </w:rPr>
        <w:t>广东省制造业协会</w:t>
      </w:r>
      <w:r>
        <w:rPr>
          <w:rFonts w:hint="eastAsia" w:ascii="仿宋" w:hAnsi="仿宋" w:eastAsia="仿宋" w:cs="仿宋"/>
          <w:sz w:val="24"/>
          <w:szCs w:val="24"/>
          <w:highlight w:val="none"/>
        </w:rPr>
        <w:t>、广东省产业发展促进会、广东科亿达标准技术服务有限公司等单位等</w:t>
      </w:r>
      <w:r>
        <w:rPr>
          <w:rFonts w:hint="eastAsia" w:ascii="仿宋" w:hAnsi="仿宋" w:eastAsia="仿宋" w:cs="仿宋"/>
          <w:sz w:val="24"/>
          <w:szCs w:val="24"/>
          <w:highlight w:val="none"/>
          <w:lang w:val="en-US" w:eastAsia="zh-CN"/>
        </w:rPr>
        <w:t>多</w:t>
      </w:r>
      <w:r>
        <w:rPr>
          <w:rFonts w:hint="eastAsia" w:ascii="仿宋" w:hAnsi="仿宋" w:eastAsia="仿宋" w:cs="仿宋"/>
          <w:sz w:val="24"/>
          <w:szCs w:val="24"/>
        </w:rPr>
        <w:t xml:space="preserve">家单位共同起草，主要起草人包括标准化专家、品牌管理学者、企业质量负责人等20余人，覆盖标准制定、品牌评价、产业实践等多领域。  </w:t>
      </w:r>
    </w:p>
    <w:p w14:paraId="281A39FA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（三）主要工作过程</w:t>
      </w:r>
    </w:p>
    <w:p w14:paraId="7C15C330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1. 调研阶段（202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 w:cs="仿宋"/>
          <w:sz w:val="24"/>
          <w:szCs w:val="24"/>
        </w:rPr>
        <w:t>月-202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 xml:space="preserve">月）：  </w:t>
      </w:r>
    </w:p>
    <w:p w14:paraId="07878D5A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 开展全国制造业企业调研，覆盖机械、电子、化工、轻工等10个细分行业，收集200+企业商标品牌建设案例；分析国际品牌评价标准《品牌评价 基础与框架》、国内地方标准《广东省著名商标认定规范》及行业自律规范，梳理现有标准的不足；召开3次专家研讨会，明确制造业名优商标品牌的“质量、创新、市场、责任”四大核心维度。  </w:t>
      </w:r>
    </w:p>
    <w:p w14:paraId="361EDEAA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2. 起草阶段（202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7</w:t>
      </w:r>
      <w:r>
        <w:rPr>
          <w:rFonts w:hint="eastAsia" w:ascii="仿宋" w:hAnsi="仿宋" w:eastAsia="仿宋" w:cs="仿宋"/>
          <w:sz w:val="24"/>
          <w:szCs w:val="24"/>
        </w:rPr>
        <w:t>月-202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4</w:t>
      </w:r>
      <w:r>
        <w:rPr>
          <w:rFonts w:hint="eastAsia" w:ascii="仿宋" w:hAnsi="仿宋" w:eastAsia="仿宋" w:cs="仿宋"/>
          <w:sz w:val="24"/>
          <w:szCs w:val="24"/>
        </w:rPr>
        <w:t xml:space="preserve">月）：  </w:t>
      </w:r>
    </w:p>
    <w:p w14:paraId="53F15F51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 基于调研结果形成标准草案，设置“基础条件—评价指标—认定程序—动态管理”四层架构；征求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20</w:t>
      </w:r>
      <w:r>
        <w:rPr>
          <w:rFonts w:hint="eastAsia" w:ascii="仿宋" w:hAnsi="仿宋" w:eastAsia="仿宋" w:cs="仿宋"/>
          <w:sz w:val="24"/>
          <w:szCs w:val="24"/>
        </w:rPr>
        <w:t xml:space="preserve">家制造企业优化指标权重。  </w:t>
      </w:r>
    </w:p>
    <w:p w14:paraId="77CBDBFD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3. 验证阶段（202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 w:cs="仿宋"/>
          <w:sz w:val="24"/>
          <w:szCs w:val="24"/>
        </w:rPr>
        <w:t>月-202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 xml:space="preserve">月）：  </w:t>
      </w:r>
    </w:p>
    <w:p w14:paraId="115F2A46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 选取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30</w:t>
      </w:r>
      <w:r>
        <w:rPr>
          <w:rFonts w:hint="eastAsia" w:ascii="仿宋" w:hAnsi="仿宋" w:eastAsia="仿宋" w:cs="仿宋"/>
          <w:sz w:val="24"/>
          <w:szCs w:val="24"/>
        </w:rPr>
        <w:t xml:space="preserve">家制造业企业进行试点评价，验证标准的可操作性；根据试点反馈调整“社会责任”指标，增加“绿色制造”“供应链责任”等细分项。  </w:t>
      </w:r>
    </w:p>
    <w:p w14:paraId="3CA7430D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4. 审查发布（202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 xml:space="preserve">月至今）：  </w:t>
      </w:r>
    </w:p>
    <w:p w14:paraId="235EB885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 提交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广东省制造业协会</w:t>
      </w:r>
      <w:r>
        <w:rPr>
          <w:rFonts w:hint="eastAsia" w:ascii="仿宋" w:hAnsi="仿宋" w:eastAsia="仿宋" w:cs="仿宋"/>
          <w:sz w:val="24"/>
          <w:szCs w:val="24"/>
        </w:rPr>
        <w:t>组织专家审查会，通过技术审查并形成报批稿；202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>月正式发布，自202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 xml:space="preserve">月起实施。  </w:t>
      </w:r>
    </w:p>
    <w:p w14:paraId="67221EC5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二、团体标准编制原则</w:t>
      </w:r>
    </w:p>
    <w:p w14:paraId="1AEC0FAD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（一）合法性原则</w:t>
      </w:r>
    </w:p>
    <w:p w14:paraId="02ACBE2A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严格遵循《商标法》《标准化法》《集体商标、证明商标注册和管理办法》等法律法规，确保认定主体、程序、结果符合法律要求，避免与行政认定冲突。  </w:t>
      </w:r>
    </w:p>
    <w:p w14:paraId="6EDBCC1E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（二）科学性原则</w:t>
      </w:r>
    </w:p>
    <w:p w14:paraId="3CF3A5CF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采用“定量+定性”结合的指标体系，参考ISO 20671品牌评价国际标准，引入熵值法、层次分析法（AHP）确定指标权重，确保评价结果客观可量化。 </w:t>
      </w:r>
    </w:p>
    <w:p w14:paraId="07562694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（三）导向性原则</w:t>
      </w:r>
    </w:p>
    <w:p w14:paraId="484D1E54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突出制造业“创新驱动、质量为本、绿色发展”的政策导向，设置“研发投入强度”“产品合格率”“单位产值能耗”等特色指标，引导企业向高端化、智能化、绿色化转型。  </w:t>
      </w:r>
    </w:p>
    <w:p w14:paraId="553A0627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（四）可操作性原则</w:t>
      </w:r>
    </w:p>
    <w:p w14:paraId="45288CB8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简化认定流程，明确“企业自评—第三方核验—专家评审—公示公告”四步程序，降低企业申报成本；设定差异化指标，避免“一刀切”。  </w:t>
      </w:r>
    </w:p>
    <w:p w14:paraId="66151E68">
      <w:pPr>
        <w:spacing w:line="360" w:lineRule="auto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三、确定团体标准主要内容的论据</w:t>
      </w:r>
    </w:p>
    <w:p w14:paraId="23551E07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（一）适用范围</w:t>
      </w:r>
    </w:p>
    <w:p w14:paraId="560F2E4D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明确适用于制造业企业（含生产型服务业配套企业）的名优商标品牌认定，覆盖产品商标与服务商标，排除非制造业类商标。依据：国家统计局《国民经济行业分类》（GB/T 4754-2017）中制造业（C门类）定义，确保标准聚焦实体经济。  </w:t>
      </w:r>
    </w:p>
    <w:p w14:paraId="53E9E19A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（二）核心术语界定</w:t>
      </w:r>
    </w:p>
    <w:p w14:paraId="6A0FD6A0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1. 制造业名优商标品牌：指制造业企业通过长期使用、具有较高市场声誉、产品质量稳定、创新能力突出，且符合绿色低碳要求的注册商标。  </w:t>
      </w:r>
    </w:p>
    <w:p w14:paraId="35DD1EFB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2. 认定机构：由行业协会联合第三方认证机构组成，需具备CMA（检验检测资质）、CNAS（实验室认可）资质。  </w:t>
      </w:r>
    </w:p>
    <w:p w14:paraId="19B4547C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依据：参考《品牌评价 品牌价值术语》（GB/T 39654-2020），结合制造业特性细化定义。  </w:t>
      </w:r>
    </w:p>
    <w:p w14:paraId="1E1506FB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</w:p>
    <w:p w14:paraId="2E144CE9">
      <w:pPr>
        <w:spacing w:line="360" w:lineRule="auto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、重大分歧意见的处理</w:t>
      </w:r>
    </w:p>
    <w:p w14:paraId="57AC2630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</w:p>
    <w:p w14:paraId="48D933CC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在标准研讨过程中，曾出现两处分歧：  </w:t>
      </w:r>
    </w:p>
    <w:p w14:paraId="4377677D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1. 是否纳入“出口额”指标：部分外向型企业建议增加出口占比，经讨论认为应聚焦国内市场主导权，最终调整为“国际市场竞争力”作为加分项（非必选）。  </w:t>
      </w:r>
    </w:p>
    <w:p w14:paraId="23A2FBC6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2. 小微企业指标门槛：原定“研发投入≥3%”对小微企业过高，调整为“研发投入增速≥10%”或“产学研合作项目≥1项”，兼顾公平性与导向性。  </w:t>
      </w:r>
    </w:p>
    <w:p w14:paraId="517D7A51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</w:p>
    <w:p w14:paraId="45271F00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、预期效益与推广建议</w:t>
      </w:r>
    </w:p>
    <w:p w14:paraId="3C5EA9E0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（一）经济效益</w:t>
      </w:r>
    </w:p>
    <w:p w14:paraId="27374712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预计通过标准实施，推动认定企业产品溢价率提升5%-10%，带动行业整体品牌价值增长15%以上。  </w:t>
      </w:r>
    </w:p>
    <w:p w14:paraId="530809E1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（二）社会效益</w:t>
      </w:r>
    </w:p>
    <w:p w14:paraId="7A808B9A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引导制造业企业加强质量管控与绿色转型，减少低质低价竞争，助力“中国制造”向“中国品牌”升级。  </w:t>
      </w:r>
    </w:p>
    <w:p w14:paraId="71A33DE1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（三）推广建议</w:t>
      </w:r>
    </w:p>
    <w:p w14:paraId="7AFE9EC5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1. 联合地方政府出台激励政策；  </w:t>
      </w:r>
    </w:p>
    <w:p w14:paraId="65C985CF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2. 搭建“制造业名优品牌数据库”，为企业提供融资、采购对接服务；  </w:t>
      </w:r>
    </w:p>
    <w:p w14:paraId="125609F5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3. 定期开展标准宣贯培训，覆盖中小制造企业。  </w:t>
      </w:r>
    </w:p>
    <w:p w14:paraId="39AA2120">
      <w:pPr>
        <w:spacing w:beforeLines="0" w:afterLines="0"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六</w:t>
      </w:r>
      <w:r>
        <w:rPr>
          <w:rFonts w:hint="eastAsia" w:ascii="仿宋" w:hAnsi="仿宋" w:eastAsia="仿宋" w:cs="仿宋"/>
          <w:b/>
          <w:sz w:val="28"/>
          <w:szCs w:val="28"/>
        </w:rPr>
        <w:t>、 其他需要说明的事项</w:t>
      </w:r>
    </w:p>
    <w:p w14:paraId="31B808EF">
      <w:pPr>
        <w:spacing w:beforeLines="0" w:afterLines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本标准为首次制定。随着技术的不断发展和应用实践的深入，工作组将适时对本标准进行复审和修订，以确保其持续的适用性和先进性。</w:t>
      </w:r>
    </w:p>
    <w:p w14:paraId="1DED2495">
      <w:pPr>
        <w:spacing w:beforeLines="0" w:afterLines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本编制说明旨在帮助各相关方更好地理解本标准制定的背景、原则和主要内容。恳请各位专家、单位对标准征求意见稿提出宝贵意见。</w:t>
      </w:r>
    </w:p>
    <w:p w14:paraId="6CACC4AC">
      <w:pPr>
        <w:spacing w:beforeLines="0" w:afterLines="0" w:line="360" w:lineRule="auto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七</w:t>
      </w:r>
      <w:r>
        <w:rPr>
          <w:rFonts w:hint="eastAsia" w:ascii="仿宋" w:hAnsi="仿宋" w:eastAsia="仿宋" w:cs="仿宋"/>
          <w:b/>
          <w:sz w:val="28"/>
          <w:szCs w:val="28"/>
        </w:rPr>
        <w:t>、与有关的现行法律、法规和强制性标准的关系</w:t>
      </w:r>
    </w:p>
    <w:p w14:paraId="193822CF">
      <w:pPr>
        <w:spacing w:beforeLines="0" w:afterLines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本标准符合国家现行法律、法规和强制性国家标准的要求，与相关标准相互协调、互为补充。</w:t>
      </w:r>
    </w:p>
    <w:p w14:paraId="5011FFA3">
      <w:pPr>
        <w:spacing w:beforeLines="0" w:afterLines="0" w:line="360" w:lineRule="auto"/>
        <w:ind w:firstLine="480" w:firstLineChars="200"/>
        <w:rPr>
          <w:rFonts w:hint="eastAsia" w:ascii="仿宋" w:hAnsi="仿宋" w:eastAsia="仿宋" w:cs="仿宋"/>
          <w:b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本标准的实施不涉及对现行标准的废止情况。</w:t>
      </w:r>
    </w:p>
    <w:p w14:paraId="71402A81">
      <w:pPr>
        <w:spacing w:beforeLines="0" w:afterLines="0" w:line="360" w:lineRule="auto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八</w:t>
      </w:r>
      <w:r>
        <w:rPr>
          <w:rFonts w:hint="eastAsia" w:ascii="仿宋" w:hAnsi="仿宋" w:eastAsia="仿宋" w:cs="仿宋"/>
          <w:b/>
          <w:sz w:val="28"/>
          <w:szCs w:val="28"/>
        </w:rPr>
        <w:t>、重大分歧意见的处理经过和依据</w:t>
      </w:r>
    </w:p>
    <w:p w14:paraId="76A620DF">
      <w:pPr>
        <w:spacing w:beforeLines="0" w:afterLines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在标准起草和征求意见过程中，未出现重大分歧意见。对于一般性的意见和建议，起草组均进行了认真研究和处理，在充分考虑各方意见的基础上对标准进行了修改完善。</w:t>
      </w:r>
    </w:p>
    <w:p w14:paraId="1032DEBF">
      <w:pPr>
        <w:spacing w:beforeLines="0" w:afterLines="0" w:line="360" w:lineRule="auto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九</w:t>
      </w:r>
      <w:r>
        <w:rPr>
          <w:rFonts w:hint="eastAsia" w:ascii="仿宋" w:hAnsi="仿宋" w:eastAsia="仿宋" w:cs="仿宋"/>
          <w:b/>
          <w:sz w:val="28"/>
          <w:szCs w:val="28"/>
        </w:rPr>
        <w:t>、废止现行有关标准的建议</w:t>
      </w:r>
    </w:p>
    <w:p w14:paraId="2F6DA520">
      <w:pPr>
        <w:spacing w:beforeLines="0" w:afterLines="0"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本标准为首次制定，无废止现行有关标准的建议。</w:t>
      </w:r>
    </w:p>
    <w:p w14:paraId="214FBD6D">
      <w:pPr>
        <w:spacing w:beforeLines="0" w:afterLines="0" w:line="360" w:lineRule="auto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十</w:t>
      </w:r>
      <w:r>
        <w:rPr>
          <w:rFonts w:hint="eastAsia" w:ascii="仿宋" w:hAnsi="仿宋" w:eastAsia="仿宋" w:cs="仿宋"/>
          <w:b/>
          <w:sz w:val="28"/>
          <w:szCs w:val="28"/>
        </w:rPr>
        <w:t>、其他应予说明的事项</w:t>
      </w:r>
    </w:p>
    <w:p w14:paraId="65D20D42">
      <w:pPr>
        <w:spacing w:beforeLines="0" w:afterLines="0" w:line="360" w:lineRule="auto"/>
        <w:rPr>
          <w:rFonts w:hint="eastAsia" w:ascii="仿宋" w:hAnsi="仿宋" w:eastAsia="仿宋" w:cs="仿宋"/>
          <w:b/>
          <w:sz w:val="24"/>
          <w:szCs w:val="24"/>
        </w:rPr>
      </w:pPr>
      <w:r>
        <w:rPr>
          <w:rFonts w:hint="eastAsia" w:ascii="仿宋" w:hAnsi="仿宋" w:eastAsia="仿宋" w:cs="仿宋"/>
          <w:b/>
          <w:sz w:val="24"/>
          <w:szCs w:val="24"/>
        </w:rPr>
        <w:t>无</w:t>
      </w:r>
    </w:p>
    <w:p w14:paraId="3171B062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</w:p>
    <w:p w14:paraId="573E7A24">
      <w:pPr>
        <w:spacing w:beforeLines="0" w:afterLines="0" w:line="360" w:lineRule="auto"/>
        <w:jc w:val="righ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标准起草工作组</w:t>
      </w:r>
      <w:r>
        <w:rPr>
          <w:rFonts w:hint="eastAsia" w:ascii="仿宋" w:hAnsi="仿宋" w:eastAsia="仿宋" w:cs="仿宋"/>
          <w:sz w:val="24"/>
          <w:szCs w:val="24"/>
        </w:rPr>
        <w:t xml:space="preserve"> </w:t>
      </w:r>
    </w:p>
    <w:p w14:paraId="0C7509C6">
      <w:pPr>
        <w:spacing w:line="360" w:lineRule="auto"/>
        <w:jc w:val="righ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 w:cs="仿宋"/>
          <w:sz w:val="24"/>
          <w:szCs w:val="24"/>
        </w:rPr>
        <w:t>月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9</w:t>
      </w:r>
      <w:r>
        <w:rPr>
          <w:rFonts w:hint="eastAsia" w:ascii="仿宋" w:hAnsi="仿宋" w:eastAsia="仿宋" w:cs="仿宋"/>
          <w:sz w:val="24"/>
          <w:szCs w:val="24"/>
        </w:rPr>
        <w:t>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7A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38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2026-05-09T10:48:17Z</dcterms:created>
  <dc:creator>杰亿达</dc:creator>
  <cp:lastModifiedBy>天道酬勤</cp:lastModifiedBy>
  <dcterms:modified xsi:type="dcterms:W3CDTF">2026-05-09T11:35:14Z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eyJoZGlkIjoiOTc3M2Y5NzIzMDFlZjAyY2Q4Njk5ODkyYjFjNzBiNTQiLCJ1c2VySWQiOiIyNzI3MjAyMTUifQ==</vt:lpwstr>
  </property>
  <property fmtid="{D5CDD505-2E9C-101B-9397-08002B2CF9AE}" pid="4" name="ICV">
    <vt:lpwstr>8E5B735E93294FF5AD225D16CBA5C196_12</vt:lpwstr>
  </property>
</Properties>
</file>