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2E3B9A">
      <w:pPr>
        <w:pStyle w:val="159"/>
        <w:framePr w:wrap="around" w:vAnchor="page" w:hAnchor="page" w:x="1821" w:y="739"/>
        <w:rPr>
          <w:b/>
          <w:bCs/>
        </w:rPr>
      </w:pPr>
      <w:r>
        <w:rPr>
          <w:b/>
          <w:bCs/>
        </w:rPr>
        <w:t>ICS</w:t>
      </w:r>
      <w:r>
        <w:rPr>
          <w:rFonts w:hint="eastAsia"/>
          <w:b/>
          <w:bCs/>
        </w:rPr>
        <w:t xml:space="preserve"> 11</w:t>
      </w:r>
      <w:r>
        <w:rPr>
          <w:b/>
          <w:bCs/>
        </w:rPr>
        <w:t>.0</w:t>
      </w:r>
      <w:r>
        <w:rPr>
          <w:rFonts w:hint="eastAsia"/>
          <w:b/>
          <w:bCs/>
        </w:rPr>
        <w:t>2</w:t>
      </w:r>
      <w:r>
        <w:rPr>
          <w:b/>
          <w:bCs/>
        </w:rPr>
        <w:t>0</w:t>
      </w:r>
    </w:p>
    <w:p w14:paraId="66B17DC0">
      <w:pPr>
        <w:pStyle w:val="159"/>
        <w:framePr w:wrap="around" w:vAnchor="page" w:hAnchor="page" w:x="1821" w:y="739"/>
        <w:rPr>
          <w:b/>
          <w:bCs/>
        </w:rPr>
      </w:pPr>
      <w:r>
        <w:rPr>
          <w:rFonts w:hint="eastAsia"/>
          <w:b/>
          <w:bCs/>
        </w:rPr>
        <w:t>CCS C 05</w:t>
      </w:r>
    </w:p>
    <w:p w14:paraId="5D9F3FC6">
      <w:pPr>
        <w:spacing w:line="240" w:lineRule="auto"/>
        <w:rPr>
          <w:rFonts w:hint="eastAsia" w:ascii="黑体" w:hAnsi="黑体" w:eastAsia="黑体"/>
          <w:kern w:val="0"/>
          <w:sz w:val="10"/>
          <w:szCs w:val="10"/>
        </w:rPr>
      </w:pPr>
      <w:r>
        <w:rPr>
          <w:rFonts w:hint="eastAsia"/>
        </w:rPr>
        <w:drawing>
          <wp:anchor distT="0" distB="0" distL="114300" distR="114300" simplePos="0" relativeHeight="251659264" behindDoc="0" locked="0" layoutInCell="1" allowOverlap="1">
            <wp:simplePos x="0" y="0"/>
            <wp:positionH relativeFrom="column">
              <wp:posOffset>4848860</wp:posOffset>
            </wp:positionH>
            <wp:positionV relativeFrom="page">
              <wp:posOffset>196850</wp:posOffset>
            </wp:positionV>
            <wp:extent cx="1076325" cy="1040130"/>
            <wp:effectExtent l="0" t="0" r="9525" b="7620"/>
            <wp:wrapTopAndBottom/>
            <wp:docPr id="1454776490" name="图片 1454776490" descr="a06827f94baeb281ac1150c54aaec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776490" name="图片 1454776490" descr="a06827f94baeb281ac1150c54aaec17"/>
                    <pic:cNvPicPr>
                      <a:picLocks noChangeAspect="1"/>
                    </pic:cNvPicPr>
                  </pic:nvPicPr>
                  <pic:blipFill>
                    <a:blip r:embed="rId15"/>
                    <a:stretch>
                      <a:fillRect/>
                    </a:stretch>
                  </pic:blipFill>
                  <pic:spPr>
                    <a:xfrm>
                      <a:off x="0" y="0"/>
                      <a:ext cx="1076325" cy="1040130"/>
                    </a:xfrm>
                    <a:prstGeom prst="rect">
                      <a:avLst/>
                    </a:prstGeom>
                  </pic:spPr>
                </pic:pic>
              </a:graphicData>
            </a:graphic>
          </wp:anchor>
        </w:drawing>
      </w:r>
    </w:p>
    <w:p w14:paraId="415E84A4">
      <w:pPr>
        <w:pStyle w:val="53"/>
        <w:framePr w:w="9639" w:h="6976" w:hRule="exact" w:hSpace="0" w:vSpace="0" w:wrap="around" w:hAnchor="page" w:y="6408"/>
        <w:jc w:val="center"/>
        <w:rPr>
          <w:rFonts w:hint="eastAsia" w:ascii="黑体" w:hAnsi="黑体" w:eastAsia="黑体"/>
          <w:b w:val="0"/>
          <w:bCs w:val="0"/>
          <w:w w:val="100"/>
        </w:rPr>
      </w:pPr>
    </w:p>
    <w:p w14:paraId="62136F21">
      <w:pPr>
        <w:pStyle w:val="200"/>
        <w:framePr w:h="6974" w:hRule="exact" w:wrap="around" w:x="1419" w:anchorLock="1"/>
        <w:rPr>
          <w:rFonts w:hint="default" w:ascii="Times New Roman" w:hAnsi="Times New Roman"/>
        </w:rPr>
      </w:pPr>
      <w:r>
        <w:rPr>
          <w:rFonts w:ascii="Times New Roman" w:hAnsi="Times New Roman"/>
        </w:rPr>
        <w:fldChar w:fldCharType="begin">
          <w:ffData>
            <w:name w:val="CSTD_NAME"/>
            <w:enabled/>
            <w:calcOnExit w:val="0"/>
            <w:textInput>
              <w:default w:val="点击此处添加标准名称"/>
            </w:textInput>
          </w:ffData>
        </w:fldChar>
      </w:r>
      <w:bookmarkStart w:id="0" w:name="CSTD_NAME"/>
      <w:r>
        <w:rPr>
          <w:rFonts w:ascii="Times New Roman" w:hAnsi="Times New Roman"/>
        </w:rPr>
        <w:instrText xml:space="preserve"> FORMTEXT </w:instrText>
      </w:r>
      <w:r>
        <w:rPr>
          <w:rFonts w:ascii="Times New Roman" w:hAnsi="Times New Roman"/>
        </w:rPr>
        <w:fldChar w:fldCharType="separate"/>
      </w:r>
      <w:r>
        <w:rPr>
          <w:rFonts w:hint="default" w:ascii="Times New Roman" w:hAnsi="Times New Roman"/>
        </w:rPr>
        <w:t>临床研究病房智慧管理平台建设规范</w:t>
      </w:r>
    </w:p>
    <w:p w14:paraId="1E9B1FE1">
      <w:pPr>
        <w:pStyle w:val="200"/>
        <w:framePr w:h="6974" w:hRule="exact" w:wrap="around" w:x="1419" w:anchorLock="1"/>
        <w:rPr>
          <w:rFonts w:hint="default" w:ascii="Times New Roman" w:hAnsi="Times New Roman"/>
        </w:rPr>
      </w:pPr>
      <w:r>
        <w:rPr>
          <w:rFonts w:hint="default" w:ascii="Times New Roman" w:hAnsi="Times New Roman"/>
        </w:rPr>
        <w:t>第6部分：应用评价</w:t>
      </w:r>
      <w:r>
        <w:rPr>
          <w:rFonts w:ascii="Times New Roman" w:hAnsi="Times New Roman"/>
        </w:rPr>
        <w:fldChar w:fldCharType="end"/>
      </w:r>
      <w:bookmarkEnd w:id="0"/>
    </w:p>
    <w:p w14:paraId="4022BAE1">
      <w:pPr>
        <w:framePr w:w="9639" w:h="6974" w:hRule="exact" w:wrap="around" w:vAnchor="page" w:hAnchor="page" w:x="1419" w:y="6408" w:anchorLock="1"/>
        <w:ind w:left="-1418"/>
      </w:pPr>
    </w:p>
    <w:p w14:paraId="0F680FCD">
      <w:pPr>
        <w:pStyle w:val="128"/>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 w:name="ESTD_NAME"/>
      <w:r>
        <w:rPr>
          <w:rFonts w:eastAsia="黑体"/>
          <w:szCs w:val="28"/>
        </w:rPr>
        <w:instrText xml:space="preserve"> FORMTEXT </w:instrText>
      </w:r>
      <w:r>
        <w:rPr>
          <w:rFonts w:eastAsia="黑体"/>
          <w:szCs w:val="28"/>
        </w:rPr>
        <w:fldChar w:fldCharType="separate"/>
      </w:r>
      <w:r>
        <w:rPr>
          <w:rFonts w:hint="eastAsia" w:eastAsia="黑体"/>
          <w:szCs w:val="28"/>
        </w:rPr>
        <w:t>Specification for the construction of smart management platform for clinical research wards</w:t>
      </w:r>
    </w:p>
    <w:p w14:paraId="2632D895">
      <w:pPr>
        <w:pStyle w:val="128"/>
        <w:framePr w:w="9639" w:h="6974" w:hRule="exact" w:wrap="around" w:vAnchor="page" w:hAnchor="page" w:x="1419" w:y="6408" w:anchorLock="1"/>
        <w:textAlignment w:val="bottom"/>
        <w:rPr>
          <w:rFonts w:eastAsia="黑体"/>
          <w:szCs w:val="28"/>
        </w:rPr>
      </w:pPr>
      <w:r>
        <w:rPr>
          <w:rFonts w:hint="eastAsia" w:eastAsia="黑体"/>
          <w:szCs w:val="28"/>
        </w:rPr>
        <w:t>Part 6: application evaluation</w:t>
      </w:r>
      <w:r>
        <w:rPr>
          <w:rFonts w:eastAsia="黑体"/>
          <w:szCs w:val="28"/>
        </w:rPr>
        <w:fldChar w:fldCharType="end"/>
      </w:r>
      <w:bookmarkEnd w:id="1"/>
    </w:p>
    <w:p w14:paraId="07AB8CF2">
      <w:pPr>
        <w:framePr w:w="9639" w:h="6974" w:hRule="exact" w:wrap="around" w:vAnchor="page" w:hAnchor="page" w:x="1419" w:y="6408" w:anchorLock="1"/>
        <w:spacing w:line="760" w:lineRule="exact"/>
        <w:ind w:left="-1418"/>
      </w:pPr>
    </w:p>
    <w:p w14:paraId="5B4AD7F6">
      <w:pPr>
        <w:pStyle w:val="128"/>
        <w:framePr w:w="9639" w:h="6974" w:hRule="exact" w:wrap="around" w:vAnchor="page" w:hAnchor="page" w:x="1419" w:y="6408" w:anchorLock="1"/>
        <w:textAlignment w:val="bottom"/>
        <w:rPr>
          <w:rFonts w:eastAsia="黑体"/>
          <w:szCs w:val="28"/>
        </w:rPr>
      </w:pPr>
      <w:r>
        <w:rPr>
          <w:rFonts w:hint="eastAsia" w:eastAsia="黑体"/>
          <w:szCs w:val="28"/>
        </w:rPr>
        <w:t>（征求意见稿）</w:t>
      </w:r>
    </w:p>
    <w:p w14:paraId="13915068">
      <w:pPr>
        <w:pStyle w:val="53"/>
        <w:framePr w:w="8178" w:h="856" w:hRule="exact" w:wrap="around" w:hAnchor="page" w:x="1926" w:y="2335"/>
        <w:rPr>
          <w:rFonts w:hint="eastAsia" w:ascii="黑体" w:hAnsi="黑体" w:eastAsia="黑体"/>
          <w:b w:val="0"/>
          <w:sz w:val="56"/>
          <w:szCs w:val="52"/>
        </w:rPr>
      </w:pPr>
      <w:r>
        <w:rPr>
          <w:rFonts w:hint="eastAsia" w:ascii="黑体" w:hAnsi="黑体" w:eastAsia="黑体"/>
          <w:b w:val="0"/>
          <w:sz w:val="56"/>
          <w:szCs w:val="52"/>
        </w:rPr>
        <w:t>团体标准</w:t>
      </w:r>
    </w:p>
    <w:tbl>
      <w:tblPr>
        <w:tblStyle w:val="28"/>
        <w:tblW w:w="93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356"/>
      </w:tblGrid>
      <w:tr w14:paraId="29D4CE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56" w:type="dxa"/>
            <w:tcBorders>
              <w:top w:val="nil"/>
              <w:left w:val="nil"/>
              <w:bottom w:val="nil"/>
              <w:right w:val="nil"/>
            </w:tcBorders>
          </w:tcPr>
          <w:p w14:paraId="2FBE1267">
            <w:pPr>
              <w:pStyle w:val="235"/>
              <w:framePr w:wrap="around" w:x="1382" w:y="3031"/>
              <w:rPr>
                <w:lang w:val="fr-FR"/>
              </w:rPr>
            </w:pPr>
            <w:bookmarkStart w:id="2" w:name="OLE_LINK7"/>
            <w:r>
              <w:rPr>
                <w:rFonts w:hint="eastAsia" w:ascii="Times New Roman"/>
                <w:b/>
                <w:bCs/>
                <w:lang w:val="fr-FR"/>
              </w:rPr>
              <w:t>T</w:t>
            </w:r>
            <w:r>
              <w:rPr>
                <w:rFonts w:ascii="Times New Roman"/>
                <w:b/>
                <w:bCs/>
                <w:lang w:val="fr-FR"/>
              </w:rPr>
              <w:t>/</w:t>
            </w:r>
            <w:r>
              <w:rPr>
                <w:rFonts w:hint="eastAsia" w:ascii="Times New Roman"/>
                <w:b/>
                <w:bCs/>
                <w:lang w:val="fr-FR"/>
              </w:rPr>
              <w:t>C</w:t>
            </w:r>
            <w:bookmarkStart w:id="3" w:name="StdNo1"/>
            <w:r>
              <w:rPr>
                <w:rFonts w:hint="eastAsia" w:ascii="Times New Roman"/>
                <w:b/>
                <w:bCs/>
                <w:lang w:val="fr-FR"/>
              </w:rPr>
              <w:t>RHA</w:t>
            </w:r>
            <w:bookmarkEnd w:id="3"/>
            <w:r>
              <w:rPr>
                <w:rFonts w:hint="eastAsia" w:ascii="Times New Roman"/>
                <w:lang w:val="fr-FR"/>
              </w:rPr>
              <w:t xml:space="preserve"> </w:t>
            </w:r>
            <w:r>
              <w:rPr>
                <w:rFonts w:hint="eastAsia"/>
                <w:lang w:val="fr-FR"/>
              </w:rPr>
              <w:t>XXX-202X</w:t>
            </w:r>
          </w:p>
        </w:tc>
      </w:tr>
    </w:tbl>
    <w:p w14:paraId="640CE468">
      <w:pPr>
        <w:pStyle w:val="235"/>
        <w:framePr w:wrap="around" w:x="1382" w:y="3031"/>
        <w:jc w:val="center"/>
        <w:rPr>
          <w:lang w:val="fr-FR"/>
        </w:rPr>
      </w:pPr>
      <w:r>
        <w:rPr>
          <w:rFonts w:hint="eastAsia"/>
          <w:lang w:val="fr-FR"/>
        </w:rPr>
        <w:t>————————————————————————————————————————</w:t>
      </w:r>
    </w:p>
    <w:p w14:paraId="5DA35441">
      <w:pPr>
        <w:pStyle w:val="235"/>
        <w:framePr w:wrap="around" w:x="1382" w:y="3031"/>
        <w:rPr>
          <w:lang w:val="fr-FR"/>
        </w:rPr>
      </w:pPr>
    </w:p>
    <w:bookmarkEnd w:id="2"/>
    <w:p w14:paraId="4C5B3061">
      <w:pPr>
        <w:pStyle w:val="196"/>
        <w:framePr w:w="9410" w:wrap="around" w:x="1490" w:y="15241"/>
        <w:jc w:val="center"/>
      </w:pPr>
      <w:bookmarkStart w:id="4" w:name="OLE_LINK8"/>
      <w:r>
        <w:rPr>
          <w:rFonts w:hint="eastAsia" w:ascii="黑体" w:hAnsi="黑体"/>
        </w:rPr>
        <w:t>202X</w:t>
      </w:r>
      <w:r>
        <w:rPr>
          <w:rFonts w:ascii="黑体" w:hAnsi="黑体"/>
        </w:rPr>
        <w:t>-</w:t>
      </w:r>
      <w:r>
        <w:rPr>
          <w:rFonts w:hint="eastAsia" w:ascii="黑体" w:hAnsi="黑体"/>
        </w:rPr>
        <w:t>XX</w:t>
      </w:r>
      <w:r>
        <w:rPr>
          <w:rFonts w:ascii="黑体" w:hAnsi="黑体"/>
        </w:rPr>
        <w:t>-</w:t>
      </w:r>
      <w:r>
        <w:rPr>
          <w:rFonts w:hint="eastAsia" w:ascii="黑体" w:hAnsi="黑体"/>
          <w:szCs w:val="22"/>
        </w:rPr>
        <w:t>XX</w:t>
      </w:r>
      <w:r>
        <w:rPr>
          <w:rFonts w:hint="eastAsia"/>
        </w:rPr>
        <w:t xml:space="preserve">发布                                      </w:t>
      </w:r>
      <w:r>
        <w:rPr>
          <w:rFonts w:hint="eastAsia" w:ascii="黑体" w:hAnsi="黑体"/>
          <w:szCs w:val="22"/>
        </w:rPr>
        <w:t>202X-XX-XX实施</w:t>
      </w:r>
    </w:p>
    <w:bookmarkEnd w:id="4"/>
    <w:p w14:paraId="489444CE">
      <w:pPr>
        <w:pStyle w:val="122"/>
        <w:framePr w:wrap="around" w:vAnchor="page" w:hAnchor="page" w:x="2518" w:y="15755"/>
        <w:rPr>
          <w:rFonts w:ascii="黑体" w:hAnsi="黑体" w:eastAsia="黑体"/>
          <w:b w:val="0"/>
          <w:bCs/>
          <w:w w:val="100"/>
          <w:sz w:val="28"/>
          <w:szCs w:val="28"/>
        </w:rPr>
      </w:pPr>
      <w:bookmarkStart w:id="5" w:name="OLE_LINK1"/>
      <w:r>
        <w:rPr>
          <w:rFonts w:hint="eastAsia" w:ascii="黑体" w:hAnsi="黑体" w:eastAsia="黑体"/>
          <w:b w:val="0"/>
          <w:bCs/>
          <w:w w:val="100"/>
          <w:sz w:val="28"/>
          <w:szCs w:val="28"/>
        </w:rPr>
        <w:t>中国研究型医院学会 发布</w:t>
      </w:r>
    </w:p>
    <w:bookmarkEnd w:id="5"/>
    <w:p w14:paraId="070B94EC">
      <w:pPr>
        <w:rPr>
          <w:rFonts w:hint="eastAsia" w:ascii="宋体" w:hAnsi="宋体"/>
          <w:sz w:val="28"/>
          <w:szCs w:val="28"/>
          <w:lang w:val="fr-FR"/>
        </w:rPr>
        <w:sectPr>
          <w:headerReference r:id="rId7" w:type="first"/>
          <w:footerReference r:id="rId10" w:type="first"/>
          <w:headerReference r:id="rId5" w:type="default"/>
          <w:footerReference r:id="rId8" w:type="default"/>
          <w:headerReference r:id="rId6" w:type="even"/>
          <w:footerReference r:id="rId9"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0" layoutInCell="1" allowOverlap="1">
                <wp:simplePos x="0" y="0"/>
                <wp:positionH relativeFrom="column">
                  <wp:posOffset>13335</wp:posOffset>
                </wp:positionH>
                <wp:positionV relativeFrom="paragraph">
                  <wp:posOffset>8641080</wp:posOffset>
                </wp:positionV>
                <wp:extent cx="6026785" cy="0"/>
                <wp:effectExtent l="0" t="0" r="0" b="0"/>
                <wp:wrapNone/>
                <wp:docPr id="16428735" name="直接连接符 3"/>
                <wp:cNvGraphicFramePr/>
                <a:graphic xmlns:a="http://schemas.openxmlformats.org/drawingml/2006/main">
                  <a:graphicData uri="http://schemas.microsoft.com/office/word/2010/wordprocessingShape">
                    <wps:wsp>
                      <wps:cNvCnPr/>
                      <wps:spPr bwMode="auto">
                        <a:xfrm>
                          <a:off x="0" y="0"/>
                          <a:ext cx="602672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直接连接符 3" o:spid="_x0000_s1026" o:spt="20" style="position:absolute;left:0pt;margin-left:1.05pt;margin-top:680.4pt;height:0pt;width:474.55pt;z-index:251660288;mso-width-relative:page;mso-height-relative:page;" filled="f" stroked="t" coordsize="21600,21600" o:gfxdata="UEsDBAoAAAAAAIdO4kAAAAAAAAAAAAAAAAAEAAAAZHJzL1BLAwQUAAAACACHTuJA/h7ev9YAAAAL&#10;AQAADwAAAGRycy9kb3ducmV2LnhtbE2PsU7EMBBEeyT+wVokOs5JEHdHiHMFEgUSEhAoKH3xXhyI&#10;18H2JeHvWQoE5c6OZt5Uu8UNYsIQe08K8lUGAqn1pqdOwevL3cUWREyajB48oYIvjLCrT08qXRo/&#10;0zNOTeoEh1AstQKb0lhKGVuLTseVH5H4d/DB6cRn6KQJeuZwN8giy9bS6Z64weoRby22H83RcQpt&#10;Pg/LEN6eHh/stpnf8X7aoFLnZ3l2AyLhkv7M8IPP6FAz094fyUQxKChyNrJ8uc54Ahuur/ICxP5X&#10;knUl/2+ovwFQSwMEFAAAAAgAh07iQFtC+yr0AQAAxgMAAA4AAABkcnMvZTJvRG9jLnhtbK1TS44T&#10;MRDdI3EHy3vSmYRJolY6s5ho2PAZCThAxe3utuSfXE46uQQXQGIHK5bsuc0Mx6DsTsIwbGZBLyy7&#10;yvXK79Xr5dXeaLaTAZWzFb8YjTmTVrha2bbiHz/cvFhwhhFsDdpZWfGDRH61ev5s2ftSTlzndC0D&#10;IxCLZe8r3sXoy6JA0UkDOHJeWko2LhiIdAxtUQfoCd3oYjIez4rehdoHJyQiRddDkh8Rw1MAXdMo&#10;IddObI20cUANUkMkStgpj3yVX9s0UsR3TYMyMl1xYhrzSk1ov0lrsVpC2QbwnRLHJ8BTnvCIkwFl&#10;qekZag0R2Daof6CMEsGha+JIOFMMRLIixOJi/Eib9x14mbmQ1OjPouP/gxVvd7eBqZqcMHs5Wcyn&#10;l5xZMDT3+88/7j59/fXzC63337+xadKq91hSybW9DccTeqrf9G9cTTWwjS7LsG+CSXIQQbbPah/O&#10;ast9ZIKCs/FkNp/MOROnXAHlqdAHjK+kMyxtKq6VTUJACbvXGKk1XT1dSWHrbpTWeZjasp7Ap5c0&#10;YgFk0IaMQVvjiSTaljPQLTlfxJAR0WlVp+qEg6HdXOvAdpD8kr9Em7r9dS21XgN2w72cGpxkVKSf&#10;QytT8cXDam0JJImX5Bpk3Lj6kFXMcRpvbnO0YvLPw3Ou/vP7rX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7ev9YAAAALAQAADwAAAAAAAAABACAAAAAiAAAAZHJzL2Rvd25yZXYueG1sUEsBAhQA&#10;FAAAAAgAh07iQFtC+yr0AQAAxgMAAA4AAAAAAAAAAQAgAAAAJQEAAGRycy9lMm9Eb2MueG1sUEsF&#10;BgAAAAAGAAYAWQEAAIsFAAAAAA==&#10;">
                <v:fill on="f" focussize="0,0"/>
                <v:stroke weight="0.5pt" color="#000000 [3200]" miterlimit="8" joinstyle="miter"/>
                <v:imagedata o:title=""/>
                <o:lock v:ext="edit" aspectratio="f"/>
              </v:line>
            </w:pict>
          </mc:Fallback>
        </mc:AlternateContent>
      </w:r>
    </w:p>
    <w:p w14:paraId="625CD7FB">
      <w:pPr>
        <w:pStyle w:val="94"/>
        <w:spacing w:before="240" w:beforeLines="100" w:after="240" w:afterLines="100"/>
        <w:rPr>
          <w:kern w:val="0"/>
        </w:rPr>
      </w:pPr>
      <w:bookmarkStart w:id="6" w:name="BookMark1"/>
      <w:bookmarkStart w:id="7" w:name="_Toc227235672"/>
      <w:bookmarkStart w:id="8" w:name="_Toc227246040"/>
      <w:bookmarkStart w:id="9" w:name="_Toc227235298"/>
      <w:bookmarkStart w:id="10" w:name="_Toc227244027"/>
      <w:bookmarkStart w:id="11" w:name="_Toc227246007"/>
      <w:r>
        <w:rPr>
          <w:rFonts w:hint="eastAsia"/>
          <w:spacing w:val="0"/>
          <w:kern w:val="0"/>
        </w:rPr>
        <w:t>目</w:t>
      </w:r>
      <w:r>
        <w:rPr>
          <w:rFonts w:hint="eastAsia"/>
          <w:kern w:val="0"/>
        </w:rPr>
        <w:t xml:space="preserve">  </w:t>
      </w:r>
      <w:r>
        <w:rPr>
          <w:rFonts w:hint="eastAsia"/>
          <w:kern w:val="0"/>
        </w:rPr>
        <w:t>次</w:t>
      </w:r>
    </w:p>
    <w:p w14:paraId="1ED6A582">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 TOC \o "1-1" \h </w:instrText>
      </w:r>
      <w:r>
        <w:rPr>
          <w:rFonts w:ascii="Times New Roman" w:hAnsi="Times New Roman"/>
        </w:rPr>
        <w:fldChar w:fldCharType="separate"/>
      </w:r>
      <w:r>
        <w:rPr>
          <w:rFonts w:ascii="Times New Roman" w:hAnsi="Times New Roman"/>
        </w:rPr>
        <w:fldChar w:fldCharType="begin"/>
      </w:r>
      <w:r>
        <w:rPr>
          <w:rFonts w:ascii="Times New Roman" w:hAnsi="Times New Roman"/>
        </w:rPr>
        <w:instrText xml:space="preserve">HYPERLINK \l "_Toc227765705"</w:instrText>
      </w:r>
      <w:r>
        <w:rPr>
          <w:rFonts w:ascii="Times New Roman" w:hAnsi="Times New Roman"/>
        </w:rPr>
        <w:fldChar w:fldCharType="separate"/>
      </w:r>
      <w:r>
        <w:rPr>
          <w:rStyle w:val="34"/>
          <w:rFonts w:hint="default" w:ascii="Times New Roman"/>
        </w:rPr>
        <w:t>前言</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_Toc227765705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II</w:t>
      </w:r>
      <w:r>
        <w:rPr>
          <w:rFonts w:hint="default" w:ascii="Times New Roman" w:hAnsi="Times New Roman"/>
        </w:rPr>
        <w:fldChar w:fldCharType="end"/>
      </w:r>
      <w:r>
        <w:rPr>
          <w:rFonts w:ascii="Times New Roman" w:hAnsi="Times New Roman"/>
        </w:rPr>
        <w:fldChar w:fldCharType="end"/>
      </w:r>
    </w:p>
    <w:p w14:paraId="2B98203A">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"_Toc227765706"</w:instrText>
      </w:r>
      <w:r>
        <w:rPr>
          <w:rFonts w:ascii="Times New Roman" w:hAnsi="Times New Roman"/>
        </w:rPr>
        <w:fldChar w:fldCharType="separate"/>
      </w:r>
      <w:r>
        <w:rPr>
          <w:rStyle w:val="34"/>
          <w:rFonts w:hint="default" w:ascii="Times New Roman"/>
        </w:rPr>
        <w:t>引言</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_Toc227765706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III</w:t>
      </w:r>
      <w:r>
        <w:rPr>
          <w:rFonts w:hint="default" w:ascii="Times New Roman" w:hAnsi="Times New Roman"/>
        </w:rPr>
        <w:fldChar w:fldCharType="end"/>
      </w:r>
      <w:r>
        <w:rPr>
          <w:rFonts w:ascii="Times New Roman" w:hAnsi="Times New Roman"/>
        </w:rPr>
        <w:fldChar w:fldCharType="end"/>
      </w:r>
    </w:p>
    <w:p w14:paraId="06192D29">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"_Toc227765707"</w:instrText>
      </w:r>
      <w:r>
        <w:rPr>
          <w:rFonts w:ascii="Times New Roman" w:hAnsi="Times New Roman"/>
        </w:rPr>
        <w:fldChar w:fldCharType="separate"/>
      </w:r>
      <w:r>
        <w:rPr>
          <w:rStyle w:val="34"/>
          <w:rFonts w:hint="default" w:ascii="Times New Roman"/>
        </w:rPr>
        <w:t>1</w:t>
      </w:r>
      <w:r>
        <w:rPr>
          <w:rStyle w:val="34"/>
          <w:rFonts w:ascii="Times New Roman"/>
        </w:rPr>
        <w:t xml:space="preserve"> </w:t>
      </w:r>
      <w:r>
        <w:rPr>
          <w:rStyle w:val="34"/>
          <w:rFonts w:hint="default" w:ascii="Times New Roman"/>
        </w:rPr>
        <w:t>范围</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_Toc227765707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1</w:t>
      </w:r>
      <w:r>
        <w:rPr>
          <w:rFonts w:hint="default" w:ascii="Times New Roman" w:hAnsi="Times New Roman"/>
        </w:rPr>
        <w:fldChar w:fldCharType="end"/>
      </w:r>
      <w:r>
        <w:rPr>
          <w:rFonts w:ascii="Times New Roman" w:hAnsi="Times New Roman"/>
        </w:rPr>
        <w:fldChar w:fldCharType="end"/>
      </w:r>
    </w:p>
    <w:p w14:paraId="0EE63A71">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"_Toc227765708"</w:instrText>
      </w:r>
      <w:r>
        <w:rPr>
          <w:rFonts w:ascii="Times New Roman" w:hAnsi="Times New Roman"/>
        </w:rPr>
        <w:fldChar w:fldCharType="separate"/>
      </w:r>
      <w:r>
        <w:rPr>
          <w:rStyle w:val="34"/>
          <w:rFonts w:hint="default" w:ascii="Times New Roman"/>
        </w:rPr>
        <w:t>2</w:t>
      </w:r>
      <w:r>
        <w:rPr>
          <w:rStyle w:val="34"/>
          <w:rFonts w:ascii="Times New Roman"/>
        </w:rPr>
        <w:t xml:space="preserve"> </w:t>
      </w:r>
      <w:r>
        <w:rPr>
          <w:rStyle w:val="34"/>
          <w:rFonts w:hint="default" w:ascii="Times New Roman"/>
        </w:rPr>
        <w:t>规范性引用文件</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_Toc227765708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1</w:t>
      </w:r>
      <w:r>
        <w:rPr>
          <w:rFonts w:hint="default" w:ascii="Times New Roman" w:hAnsi="Times New Roman"/>
        </w:rPr>
        <w:fldChar w:fldCharType="end"/>
      </w:r>
      <w:r>
        <w:rPr>
          <w:rFonts w:ascii="Times New Roman" w:hAnsi="Times New Roman"/>
        </w:rPr>
        <w:fldChar w:fldCharType="end"/>
      </w:r>
    </w:p>
    <w:p w14:paraId="315CAB89">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"_Toc227765709"</w:instrText>
      </w:r>
      <w:r>
        <w:rPr>
          <w:rFonts w:ascii="Times New Roman" w:hAnsi="Times New Roman"/>
        </w:rPr>
        <w:fldChar w:fldCharType="separate"/>
      </w:r>
      <w:r>
        <w:rPr>
          <w:rStyle w:val="34"/>
          <w:rFonts w:hint="default" w:ascii="Times New Roman"/>
        </w:rPr>
        <w:t>3</w:t>
      </w:r>
      <w:r>
        <w:rPr>
          <w:rStyle w:val="34"/>
          <w:rFonts w:ascii="Times New Roman"/>
        </w:rPr>
        <w:t xml:space="preserve"> </w:t>
      </w:r>
      <w:r>
        <w:rPr>
          <w:rStyle w:val="34"/>
          <w:rFonts w:hint="default" w:ascii="Times New Roman"/>
        </w:rPr>
        <w:t>术语和定义</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_Toc227765709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1</w:t>
      </w:r>
      <w:r>
        <w:rPr>
          <w:rFonts w:hint="default" w:ascii="Times New Roman" w:hAnsi="Times New Roman"/>
        </w:rPr>
        <w:fldChar w:fldCharType="end"/>
      </w:r>
      <w:r>
        <w:rPr>
          <w:rFonts w:ascii="Times New Roman" w:hAnsi="Times New Roman"/>
        </w:rPr>
        <w:fldChar w:fldCharType="end"/>
      </w:r>
    </w:p>
    <w:p w14:paraId="4B2D803C">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"_Toc227765710"</w:instrText>
      </w:r>
      <w:r>
        <w:rPr>
          <w:rFonts w:ascii="Times New Roman" w:hAnsi="Times New Roman"/>
        </w:rPr>
        <w:fldChar w:fldCharType="separate"/>
      </w:r>
      <w:r>
        <w:rPr>
          <w:rStyle w:val="34"/>
          <w:rFonts w:hint="default" w:ascii="Times New Roman"/>
        </w:rPr>
        <w:t>4</w:t>
      </w:r>
      <w:r>
        <w:rPr>
          <w:rStyle w:val="34"/>
          <w:rFonts w:ascii="Times New Roman"/>
        </w:rPr>
        <w:t xml:space="preserve"> </w:t>
      </w:r>
      <w:r>
        <w:rPr>
          <w:rStyle w:val="34"/>
          <w:rFonts w:hint="default" w:ascii="Times New Roman"/>
        </w:rPr>
        <w:t>评价基本原则</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_Toc227765710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1</w:t>
      </w:r>
      <w:r>
        <w:rPr>
          <w:rFonts w:hint="default" w:ascii="Times New Roman" w:hAnsi="Times New Roman"/>
        </w:rPr>
        <w:fldChar w:fldCharType="end"/>
      </w:r>
      <w:r>
        <w:rPr>
          <w:rFonts w:ascii="Times New Roman" w:hAnsi="Times New Roman"/>
        </w:rPr>
        <w:fldChar w:fldCharType="end"/>
      </w:r>
    </w:p>
    <w:p w14:paraId="2B9D52FE">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"_Toc227765711"</w:instrText>
      </w:r>
      <w:r>
        <w:rPr>
          <w:rFonts w:ascii="Times New Roman" w:hAnsi="Times New Roman"/>
        </w:rPr>
        <w:fldChar w:fldCharType="separate"/>
      </w:r>
      <w:r>
        <w:rPr>
          <w:rStyle w:val="34"/>
          <w:rFonts w:hint="default" w:ascii="Times New Roman"/>
        </w:rPr>
        <w:t>5</w:t>
      </w:r>
      <w:r>
        <w:rPr>
          <w:rStyle w:val="34"/>
          <w:rFonts w:ascii="Times New Roman"/>
        </w:rPr>
        <w:t xml:space="preserve"> </w:t>
      </w:r>
      <w:r>
        <w:rPr>
          <w:rStyle w:val="34"/>
          <w:rFonts w:hint="default" w:ascii="Times New Roman"/>
        </w:rPr>
        <w:t>评价场景</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_Toc227765711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2</w:t>
      </w:r>
      <w:r>
        <w:rPr>
          <w:rFonts w:hint="default" w:ascii="Times New Roman" w:hAnsi="Times New Roman"/>
        </w:rPr>
        <w:fldChar w:fldCharType="end"/>
      </w:r>
      <w:r>
        <w:rPr>
          <w:rFonts w:ascii="Times New Roman" w:hAnsi="Times New Roman"/>
        </w:rPr>
        <w:fldChar w:fldCharType="end"/>
      </w:r>
    </w:p>
    <w:p w14:paraId="4D85A1E8">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"_Toc227765712"</w:instrText>
      </w:r>
      <w:r>
        <w:rPr>
          <w:rFonts w:ascii="Times New Roman" w:hAnsi="Times New Roman"/>
        </w:rPr>
        <w:fldChar w:fldCharType="separate"/>
      </w:r>
      <w:r>
        <w:rPr>
          <w:rStyle w:val="34"/>
          <w:rFonts w:hint="default" w:ascii="Times New Roman"/>
        </w:rPr>
        <w:t>6 评价维度及量化指标</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_Toc227765712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2</w:t>
      </w:r>
      <w:r>
        <w:rPr>
          <w:rFonts w:hint="default" w:ascii="Times New Roman" w:hAnsi="Times New Roman"/>
        </w:rPr>
        <w:fldChar w:fldCharType="end"/>
      </w:r>
      <w:r>
        <w:rPr>
          <w:rFonts w:ascii="Times New Roman" w:hAnsi="Times New Roman"/>
        </w:rPr>
        <w:fldChar w:fldCharType="end"/>
      </w:r>
    </w:p>
    <w:p w14:paraId="1AA10DA3">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"_Toc227765713"</w:instrText>
      </w:r>
      <w:r>
        <w:rPr>
          <w:rFonts w:ascii="Times New Roman" w:hAnsi="Times New Roman"/>
        </w:rPr>
        <w:fldChar w:fldCharType="separate"/>
      </w:r>
      <w:r>
        <w:rPr>
          <w:rStyle w:val="34"/>
          <w:rFonts w:hint="default" w:ascii="Times New Roman"/>
        </w:rPr>
        <w:t>7 评价方法与实施流程</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_Toc227765713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5</w:t>
      </w:r>
      <w:r>
        <w:rPr>
          <w:rFonts w:hint="default" w:ascii="Times New Roman" w:hAnsi="Times New Roman"/>
        </w:rPr>
        <w:fldChar w:fldCharType="end"/>
      </w:r>
      <w:r>
        <w:rPr>
          <w:rFonts w:ascii="Times New Roman" w:hAnsi="Times New Roman"/>
        </w:rPr>
        <w:fldChar w:fldCharType="end"/>
      </w:r>
    </w:p>
    <w:p w14:paraId="2F94DD37">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"_Toc227765714"</w:instrText>
      </w:r>
      <w:r>
        <w:rPr>
          <w:rFonts w:ascii="Times New Roman" w:hAnsi="Times New Roman"/>
        </w:rPr>
        <w:fldChar w:fldCharType="separate"/>
      </w:r>
      <w:r>
        <w:rPr>
          <w:rStyle w:val="34"/>
          <w:rFonts w:hint="default" w:ascii="Times New Roman"/>
        </w:rPr>
        <w:t>8 评价质量</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_Toc227765714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7</w:t>
      </w:r>
      <w:r>
        <w:rPr>
          <w:rFonts w:hint="default" w:ascii="Times New Roman" w:hAnsi="Times New Roman"/>
        </w:rPr>
        <w:fldChar w:fldCharType="end"/>
      </w:r>
      <w:r>
        <w:rPr>
          <w:rFonts w:ascii="Times New Roman" w:hAnsi="Times New Roman"/>
        </w:rPr>
        <w:fldChar w:fldCharType="end"/>
      </w:r>
    </w:p>
    <w:p w14:paraId="7CF746E4">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"_Toc227765715"</w:instrText>
      </w:r>
      <w:r>
        <w:rPr>
          <w:rFonts w:ascii="Times New Roman" w:hAnsi="Times New Roman"/>
        </w:rPr>
        <w:fldChar w:fldCharType="separate"/>
      </w:r>
      <w:r>
        <w:rPr>
          <w:rStyle w:val="34"/>
          <w:rFonts w:hint="default" w:ascii="Times New Roman"/>
        </w:rPr>
        <w:t>9 评价结果与持续优化</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_Toc227765715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8</w:t>
      </w:r>
      <w:r>
        <w:rPr>
          <w:rFonts w:hint="default" w:ascii="Times New Roman" w:hAnsi="Times New Roman"/>
        </w:rPr>
        <w:fldChar w:fldCharType="end"/>
      </w:r>
      <w:r>
        <w:rPr>
          <w:rFonts w:ascii="Times New Roman" w:hAnsi="Times New Roman"/>
        </w:rPr>
        <w:fldChar w:fldCharType="end"/>
      </w:r>
    </w:p>
    <w:p w14:paraId="356796B5">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"_Toc227765716"</w:instrText>
      </w:r>
      <w:r>
        <w:rPr>
          <w:rFonts w:ascii="Times New Roman" w:hAnsi="Times New Roman"/>
        </w:rPr>
        <w:fldChar w:fldCharType="separate"/>
      </w:r>
      <w:r>
        <w:rPr>
          <w:rStyle w:val="34"/>
          <w:rFonts w:hint="default" w:ascii="Times New Roman"/>
        </w:rPr>
        <w:t>附录A（规范性）临床研究病房智慧管理平台应用评价指标权重表</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_Toc227765716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9</w:t>
      </w:r>
      <w:r>
        <w:rPr>
          <w:rFonts w:hint="default" w:ascii="Times New Roman" w:hAnsi="Times New Roman"/>
        </w:rPr>
        <w:fldChar w:fldCharType="end"/>
      </w:r>
      <w:r>
        <w:rPr>
          <w:rFonts w:ascii="Times New Roman" w:hAnsi="Times New Roman"/>
        </w:rPr>
        <w:fldChar w:fldCharType="end"/>
      </w:r>
    </w:p>
    <w:p w14:paraId="620D7D96">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"_Toc227765717"</w:instrText>
      </w:r>
      <w:r>
        <w:rPr>
          <w:rFonts w:ascii="Times New Roman" w:hAnsi="Times New Roman"/>
        </w:rPr>
        <w:fldChar w:fldCharType="separate"/>
      </w:r>
      <w:r>
        <w:rPr>
          <w:rStyle w:val="34"/>
          <w:rFonts w:hint="default" w:ascii="Times New Roman"/>
        </w:rPr>
        <w:t>附录B（规范性）核心评价量表</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_Toc227765717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10</w:t>
      </w:r>
      <w:r>
        <w:rPr>
          <w:rFonts w:hint="default" w:ascii="Times New Roman" w:hAnsi="Times New Roman"/>
        </w:rPr>
        <w:fldChar w:fldCharType="end"/>
      </w:r>
      <w:r>
        <w:rPr>
          <w:rFonts w:ascii="Times New Roman" w:hAnsi="Times New Roman"/>
        </w:rPr>
        <w:fldChar w:fldCharType="end"/>
      </w:r>
    </w:p>
    <w:p w14:paraId="3A97C98C">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"_Toc227765718"</w:instrText>
      </w:r>
      <w:r>
        <w:rPr>
          <w:rFonts w:ascii="Times New Roman" w:hAnsi="Times New Roman"/>
        </w:rPr>
        <w:fldChar w:fldCharType="separate"/>
      </w:r>
      <w:r>
        <w:rPr>
          <w:rStyle w:val="34"/>
          <w:rFonts w:hint="default" w:ascii="Times New Roman"/>
        </w:rPr>
        <w:t>附录C（资料性）评价用标准化表格模板</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_Toc227765718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12</w:t>
      </w:r>
      <w:r>
        <w:rPr>
          <w:rFonts w:hint="default" w:ascii="Times New Roman" w:hAnsi="Times New Roman"/>
        </w:rPr>
        <w:fldChar w:fldCharType="end"/>
      </w:r>
      <w:r>
        <w:rPr>
          <w:rFonts w:ascii="Times New Roman" w:hAnsi="Times New Roman"/>
        </w:rPr>
        <w:fldChar w:fldCharType="end"/>
      </w:r>
    </w:p>
    <w:p w14:paraId="6C1BC278">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"_Toc227765719"</w:instrText>
      </w:r>
      <w:r>
        <w:rPr>
          <w:rFonts w:ascii="Times New Roman" w:hAnsi="Times New Roman"/>
        </w:rPr>
        <w:fldChar w:fldCharType="separate"/>
      </w:r>
      <w:r>
        <w:rPr>
          <w:rStyle w:val="34"/>
          <w:rFonts w:hint="default" w:ascii="Times New Roman"/>
        </w:rPr>
        <w:t>附录D（资料性）第三方独立评估机构资质要求</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_Toc227765719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13</w:t>
      </w:r>
      <w:r>
        <w:rPr>
          <w:rFonts w:hint="default" w:ascii="Times New Roman" w:hAnsi="Times New Roman"/>
        </w:rPr>
        <w:fldChar w:fldCharType="end"/>
      </w:r>
      <w:r>
        <w:rPr>
          <w:rFonts w:ascii="Times New Roman" w:hAnsi="Times New Roman"/>
        </w:rPr>
        <w:fldChar w:fldCharType="end"/>
      </w:r>
    </w:p>
    <w:p w14:paraId="000061CB">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"_Toc227765720"</w:instrText>
      </w:r>
      <w:r>
        <w:rPr>
          <w:rFonts w:ascii="Times New Roman" w:hAnsi="Times New Roman"/>
        </w:rPr>
        <w:fldChar w:fldCharType="separate"/>
      </w:r>
      <w:r>
        <w:rPr>
          <w:rStyle w:val="34"/>
          <w:rFonts w:hint="default" w:ascii="Times New Roman"/>
        </w:rPr>
        <w:t>附录E（资料性）平台应用评价报告模板</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_Toc227765720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14</w:t>
      </w:r>
      <w:r>
        <w:rPr>
          <w:rFonts w:hint="default" w:ascii="Times New Roman" w:hAnsi="Times New Roman"/>
        </w:rPr>
        <w:fldChar w:fldCharType="end"/>
      </w:r>
      <w:r>
        <w:rPr>
          <w:rFonts w:ascii="Times New Roman" w:hAnsi="Times New Roman"/>
        </w:rPr>
        <w:fldChar w:fldCharType="end"/>
      </w:r>
    </w:p>
    <w:p w14:paraId="29B46750">
      <w:pPr>
        <w:pStyle w:val="20"/>
        <w:tabs>
          <w:tab w:val="right" w:leader="dot" w:pos="9344"/>
        </w:tabs>
        <w:spacing w:line="240" w:lineRule="auto"/>
        <w:rPr>
          <w:rFonts w:hint="default" w:ascii="Times New Roman" w:hAnsi="Times New Roman" w:eastAsia="宋体" w:cs="Times New Roman"/>
          <w:sz w:val="21"/>
          <w:szCs w:val="21"/>
          <w14:ligatures w14:val="standardContextual"/>
        </w:rPr>
      </w:pPr>
      <w:r>
        <w:rPr>
          <w:rFonts w:ascii="Times New Roman" w:hAnsi="Times New Roman"/>
        </w:rPr>
        <w:fldChar w:fldCharType="begin"/>
      </w:r>
      <w:r>
        <w:rPr>
          <w:rFonts w:ascii="Times New Roman" w:hAnsi="Times New Roman"/>
        </w:rPr>
        <w:instrText xml:space="preserve">HYPERLINK \l "_Toc227765721"</w:instrText>
      </w:r>
      <w:r>
        <w:rPr>
          <w:rFonts w:ascii="Times New Roman" w:hAnsi="Times New Roman"/>
        </w:rPr>
        <w:fldChar w:fldCharType="separate"/>
      </w:r>
      <w:r>
        <w:rPr>
          <w:rStyle w:val="34"/>
          <w:rFonts w:hint="default" w:ascii="Times New Roman"/>
        </w:rPr>
        <w:t>参考文献</w:t>
      </w:r>
      <w:r>
        <w:rPr>
          <w:rFonts w:hint="default" w:ascii="Times New Roman" w:hAnsi="Times New Roman"/>
        </w:rPr>
        <w:tab/>
      </w:r>
      <w:r>
        <w:rPr>
          <w:rFonts w:hint="default" w:ascii="Times New Roman" w:hAnsi="Times New Roman"/>
        </w:rPr>
        <w:fldChar w:fldCharType="begin"/>
      </w:r>
      <w:r>
        <w:rPr>
          <w:rFonts w:hint="default" w:ascii="Times New Roman" w:hAnsi="Times New Roman"/>
        </w:rPr>
        <w:instrText xml:space="preserve"> </w:instrText>
      </w:r>
      <w:r>
        <w:rPr>
          <w:rFonts w:ascii="Times New Roman" w:hAnsi="Times New Roman"/>
        </w:rPr>
        <w:instrText xml:space="preserve">PAGEREF _Toc227765721 \h</w:instrText>
      </w:r>
      <w:r>
        <w:rPr>
          <w:rFonts w:hint="default" w:ascii="Times New Roman" w:hAnsi="Times New Roman"/>
        </w:rPr>
        <w:instrText xml:space="preserve"> </w:instrText>
      </w:r>
      <w:r>
        <w:rPr>
          <w:rFonts w:hint="default" w:ascii="Times New Roman" w:hAnsi="Times New Roman"/>
        </w:rPr>
        <w:fldChar w:fldCharType="separate"/>
      </w:r>
      <w:r>
        <w:rPr>
          <w:rFonts w:ascii="Times New Roman" w:hAnsi="Times New Roman"/>
        </w:rPr>
        <w:t>15</w:t>
      </w:r>
      <w:r>
        <w:rPr>
          <w:rFonts w:hint="default" w:ascii="Times New Roman" w:hAnsi="Times New Roman"/>
        </w:rPr>
        <w:fldChar w:fldCharType="end"/>
      </w:r>
      <w:r>
        <w:rPr>
          <w:rFonts w:ascii="Times New Roman" w:hAnsi="Times New Roman"/>
        </w:rPr>
        <w:fldChar w:fldCharType="end"/>
      </w:r>
    </w:p>
    <w:p w14:paraId="08EC353E">
      <w:pPr>
        <w:pStyle w:val="94"/>
        <w:spacing w:before="0" w:after="0" w:afterLines="0"/>
        <w:jc w:val="both"/>
        <w:sectPr>
          <w:headerReference r:id="rId11" w:type="default"/>
          <w:footerReference r:id="rId13" w:type="default"/>
          <w:headerReference r:id="rId12" w:type="even"/>
          <w:pgSz w:w="11906" w:h="16838"/>
          <w:pgMar w:top="1928" w:right="1134" w:bottom="1134" w:left="1134" w:header="1418" w:footer="1134" w:gutter="284"/>
          <w:pgNumType w:fmt="upperRoman" w:start="1"/>
          <w:cols w:space="425" w:num="1"/>
          <w:formProt w:val="0"/>
          <w:docGrid w:linePitch="312" w:charSpace="0"/>
        </w:sectPr>
      </w:pPr>
      <w:r>
        <w:rPr>
          <w:rFonts w:ascii="Times New Roman" w:hAnsi="Times New Roman" w:eastAsia="宋体"/>
          <w:sz w:val="21"/>
        </w:rPr>
        <w:fldChar w:fldCharType="end"/>
      </w:r>
    </w:p>
    <w:bookmarkEnd w:id="6"/>
    <w:p w14:paraId="68C3503B">
      <w:pPr>
        <w:pStyle w:val="92"/>
        <w:numPr>
          <w:ilvl w:val="0"/>
          <w:numId w:val="0"/>
        </w:numPr>
        <w:spacing w:before="240" w:beforeLines="100" w:after="240" w:afterLines="100"/>
        <w:ind w:left="0" w:firstLine="0"/>
      </w:pPr>
      <w:bookmarkStart w:id="12" w:name="_Toc227765705"/>
      <w:bookmarkStart w:id="13" w:name="BookMark2"/>
      <w:r>
        <w:rPr>
          <w:rFonts w:hint="eastAsia"/>
          <w:spacing w:val="0"/>
        </w:rPr>
        <w:t>前</w:t>
      </w:r>
      <w:r>
        <w:rPr>
          <w:rFonts w:hint="eastAsia"/>
        </w:rPr>
        <w:t xml:space="preserve">  言</w:t>
      </w:r>
      <w:bookmarkEnd w:id="7"/>
      <w:bookmarkEnd w:id="8"/>
      <w:bookmarkEnd w:id="9"/>
      <w:bookmarkEnd w:id="10"/>
      <w:bookmarkEnd w:id="11"/>
      <w:bookmarkEnd w:id="12"/>
    </w:p>
    <w:p w14:paraId="27E9D6EE">
      <w:pPr>
        <w:pStyle w:val="59"/>
        <w:ind w:firstLine="420"/>
      </w:pPr>
      <w:r>
        <w:rPr>
          <w:rFonts w:hint="eastAsia"/>
        </w:rPr>
        <w:t>本文件按照GB/T 1.1-2020 《标准化工作导则 第1部分：标准化文件的结构和起草规则》的规定起草。</w:t>
      </w:r>
    </w:p>
    <w:p w14:paraId="50E726BA">
      <w:pPr>
        <w:pStyle w:val="59"/>
        <w:ind w:firstLine="420"/>
      </w:pPr>
      <w:r>
        <w:rPr>
          <w:rFonts w:hint="eastAsia"/>
        </w:rPr>
        <w:t>本文件是《临床研究病房智慧管理平台建设规范》的第6部分。《临床研究病房智慧管理平台建设规范》分为以下部分：</w:t>
      </w:r>
    </w:p>
    <w:p w14:paraId="4EC5853C">
      <w:pPr>
        <w:pStyle w:val="59"/>
        <w:ind w:firstLine="420"/>
      </w:pPr>
      <w:r>
        <w:rPr>
          <w:rFonts w:hint="eastAsia"/>
        </w:rPr>
        <w:t>第1部分：总体架构</w:t>
      </w:r>
    </w:p>
    <w:p w14:paraId="0A953C92">
      <w:pPr>
        <w:pStyle w:val="59"/>
        <w:ind w:firstLine="420"/>
      </w:pPr>
      <w:r>
        <w:rPr>
          <w:rFonts w:hint="eastAsia"/>
        </w:rPr>
        <w:t>第2部分：数据管理</w:t>
      </w:r>
    </w:p>
    <w:p w14:paraId="1A41647D">
      <w:pPr>
        <w:pStyle w:val="59"/>
        <w:ind w:firstLine="420"/>
      </w:pPr>
      <w:r>
        <w:rPr>
          <w:rFonts w:hint="eastAsia"/>
        </w:rPr>
        <w:t>第3部分：过程管理</w:t>
      </w:r>
    </w:p>
    <w:p w14:paraId="59B8D2C5">
      <w:pPr>
        <w:pStyle w:val="59"/>
        <w:ind w:firstLine="420"/>
      </w:pPr>
      <w:r>
        <w:rPr>
          <w:rFonts w:hint="eastAsia"/>
        </w:rPr>
        <w:t>第4部分：决策支持</w:t>
      </w:r>
    </w:p>
    <w:p w14:paraId="227AB4B9">
      <w:pPr>
        <w:pStyle w:val="59"/>
        <w:ind w:firstLine="420"/>
      </w:pPr>
      <w:r>
        <w:rPr>
          <w:rFonts w:hint="eastAsia"/>
        </w:rPr>
        <w:t>第5部分：安全要求</w:t>
      </w:r>
    </w:p>
    <w:p w14:paraId="5873D8EC">
      <w:pPr>
        <w:pStyle w:val="59"/>
        <w:ind w:firstLine="420"/>
      </w:pPr>
      <w:r>
        <w:rPr>
          <w:rFonts w:hint="eastAsia"/>
        </w:rPr>
        <w:t>第6部分：应用评价</w:t>
      </w:r>
    </w:p>
    <w:p w14:paraId="6F55CD05">
      <w:pPr>
        <w:pStyle w:val="59"/>
        <w:ind w:firstLine="420"/>
      </w:pPr>
      <w:r>
        <w:rPr>
          <w:rFonts w:hint="eastAsia"/>
        </w:rPr>
        <w:t>第7部分：培训实施</w:t>
      </w:r>
    </w:p>
    <w:p w14:paraId="49A71940">
      <w:pPr>
        <w:pStyle w:val="59"/>
        <w:ind w:firstLine="420"/>
      </w:pPr>
      <w:r>
        <w:rPr>
          <w:rFonts w:hint="eastAsia"/>
        </w:rPr>
        <w:t>请注意本文件的某些内容可能涉及专利。本文件的发布机构不承担识别专利的责任。</w:t>
      </w:r>
    </w:p>
    <w:p w14:paraId="2A807D66">
      <w:pPr>
        <w:pStyle w:val="59"/>
        <w:ind w:firstLine="420"/>
      </w:pPr>
      <w:r>
        <w:rPr>
          <w:rFonts w:hint="eastAsia"/>
        </w:rPr>
        <w:t>本文件由</w:t>
      </w:r>
      <w:r>
        <w:rPr>
          <w:rFonts w:hint="eastAsia"/>
          <w:lang w:val="en-US" w:eastAsia="zh-CN"/>
        </w:rPr>
        <w:t>中国研究型医院学会</w:t>
      </w:r>
      <w:r>
        <w:rPr>
          <w:rFonts w:hint="eastAsia"/>
        </w:rPr>
        <w:t>提出。</w:t>
      </w:r>
    </w:p>
    <w:p w14:paraId="1E578108">
      <w:pPr>
        <w:pStyle w:val="59"/>
        <w:ind w:firstLine="420"/>
      </w:pPr>
      <w:r>
        <w:rPr>
          <w:rFonts w:hint="eastAsia"/>
        </w:rPr>
        <w:t>本文件由</w:t>
      </w:r>
      <w:r>
        <w:rPr>
          <w:rFonts w:hint="eastAsia"/>
          <w:lang w:val="en-US" w:eastAsia="zh-CN"/>
        </w:rPr>
        <w:t>中国研究型医院学会</w:t>
      </w:r>
      <w:r>
        <w:rPr>
          <w:rFonts w:hint="eastAsia"/>
        </w:rPr>
        <w:t>归口。</w:t>
      </w:r>
    </w:p>
    <w:p w14:paraId="1DFDD49E">
      <w:pPr>
        <w:pStyle w:val="59"/>
        <w:ind w:firstLine="420"/>
      </w:pPr>
      <w:r>
        <w:rPr>
          <w:rFonts w:hint="eastAsia"/>
        </w:rPr>
        <w:t>本文件起草单位：。</w:t>
      </w:r>
    </w:p>
    <w:p w14:paraId="2DD27A88">
      <w:pPr>
        <w:pStyle w:val="59"/>
        <w:ind w:firstLine="420"/>
      </w:pPr>
      <w:r>
        <w:rPr>
          <w:rFonts w:hint="eastAsia"/>
        </w:rPr>
        <w:t>本文件主要起草人：。</w:t>
      </w:r>
    </w:p>
    <w:p w14:paraId="7EB371AB">
      <w:pPr>
        <w:pStyle w:val="59"/>
        <w:ind w:firstLine="420"/>
      </w:pPr>
    </w:p>
    <w:p w14:paraId="451CAB27">
      <w:pPr>
        <w:pStyle w:val="59"/>
        <w:ind w:firstLine="420"/>
        <w:sectPr>
          <w:pgSz w:w="11906" w:h="16838"/>
          <w:pgMar w:top="1928" w:right="1134" w:bottom="1134" w:left="1134" w:header="1418" w:footer="1134" w:gutter="284"/>
          <w:pgNumType w:fmt="upperRoman"/>
          <w:cols w:space="425" w:num="1"/>
          <w:formProt w:val="0"/>
          <w:docGrid w:linePitch="312" w:charSpace="0"/>
        </w:sectPr>
      </w:pPr>
    </w:p>
    <w:bookmarkEnd w:id="13"/>
    <w:p w14:paraId="77DEBEB9">
      <w:pPr>
        <w:pStyle w:val="92"/>
        <w:numPr>
          <w:ilvl w:val="0"/>
          <w:numId w:val="0"/>
        </w:numPr>
        <w:spacing w:before="240" w:beforeLines="100" w:after="240" w:afterLines="100"/>
        <w:ind w:left="0" w:firstLine="0"/>
      </w:pPr>
      <w:bookmarkStart w:id="14" w:name="_Toc227244028"/>
      <w:bookmarkStart w:id="15" w:name="_Toc227246008"/>
      <w:bookmarkStart w:id="16" w:name="_Toc227246041"/>
      <w:bookmarkStart w:id="17" w:name="_Toc227235299"/>
      <w:bookmarkStart w:id="18" w:name="_Toc227765706"/>
      <w:bookmarkStart w:id="19" w:name="_Toc227235673"/>
      <w:bookmarkStart w:id="20" w:name="BookMark3"/>
      <w:r>
        <w:rPr>
          <w:rFonts w:hint="eastAsia"/>
          <w:spacing w:val="0"/>
        </w:rPr>
        <w:t>引</w:t>
      </w:r>
      <w:r>
        <w:rPr>
          <w:rFonts w:hint="eastAsia"/>
        </w:rPr>
        <w:t xml:space="preserve">  言</w:t>
      </w:r>
      <w:bookmarkEnd w:id="14"/>
      <w:bookmarkEnd w:id="15"/>
      <w:bookmarkEnd w:id="16"/>
      <w:bookmarkEnd w:id="17"/>
      <w:bookmarkEnd w:id="18"/>
      <w:bookmarkEnd w:id="19"/>
    </w:p>
    <w:p w14:paraId="3747AAF4">
      <w:pPr>
        <w:pStyle w:val="59"/>
        <w:ind w:firstLine="420"/>
      </w:pPr>
      <w:r>
        <w:rPr>
          <w:rFonts w:hint="eastAsia"/>
        </w:rPr>
        <w:t>随着新一代信息技术与生物医药产业的深度融合，临床研究病房智慧管理平台已成为提升临床研究质量与效率、推动生物医药产业高质量发展的重要支撑。目前，我国临床研究病房智慧化建设正处于快速发展阶段，但是缺乏统一、科学的应用评价标准，导致平台建设水平参差不齐，应用效果难以量化评估，制约了智慧管理平台的规范化推广与持续优化。</w:t>
      </w:r>
    </w:p>
    <w:p w14:paraId="53763445">
      <w:pPr>
        <w:pStyle w:val="59"/>
        <w:ind w:firstLine="420"/>
      </w:pPr>
      <w:r>
        <w:rPr>
          <w:rFonts w:hint="eastAsia"/>
        </w:rPr>
        <w:t>为规范临床研究病房智慧管理平台的应用评价工作，建立科学、客观、全面的评价体系，指导平台的建设、应用与持续改进，特制定本文件。本文件基于我国临床研究智慧管理实际需求现状，结合国家重点项目研发与使用，规定了平台应用评价的基本原则、评价场景、评价维度及量化指标、评价方法与实施流程、评价质量管控及评价结果应用与持续优化机制，为各级各类医疗机构、临床研究中心及第三方机构开展平台应用评价提供标准化技术依据。</w:t>
      </w:r>
    </w:p>
    <w:p w14:paraId="78C02EE7">
      <w:pPr>
        <w:pStyle w:val="59"/>
        <w:ind w:firstLine="420"/>
      </w:pPr>
    </w:p>
    <w:p w14:paraId="7FD44D13">
      <w:pPr>
        <w:pStyle w:val="59"/>
        <w:ind w:firstLine="420"/>
        <w:sectPr>
          <w:pgSz w:w="11906" w:h="16838"/>
          <w:pgMar w:top="1928" w:right="1134" w:bottom="1134" w:left="1134" w:header="1418" w:footer="1134" w:gutter="284"/>
          <w:pgNumType w:fmt="upperRoman"/>
          <w:cols w:space="425" w:num="1"/>
          <w:formProt w:val="0"/>
          <w:docGrid w:linePitch="312" w:charSpace="0"/>
        </w:sectPr>
      </w:pPr>
    </w:p>
    <w:bookmarkEnd w:id="20"/>
    <w:p w14:paraId="0E9DC72B">
      <w:pPr>
        <w:spacing w:line="20" w:lineRule="exact"/>
        <w:jc w:val="center"/>
        <w:rPr>
          <w:rFonts w:hint="eastAsia" w:ascii="黑体" w:hAnsi="黑体" w:eastAsia="黑体"/>
          <w:sz w:val="32"/>
          <w:szCs w:val="32"/>
        </w:rPr>
      </w:pPr>
      <w:bookmarkStart w:id="21" w:name="BookMark4"/>
    </w:p>
    <w:p w14:paraId="55EE7A70">
      <w:pPr>
        <w:spacing w:line="20" w:lineRule="exact"/>
        <w:jc w:val="center"/>
        <w:rPr>
          <w:rFonts w:hint="eastAsia" w:ascii="黑体" w:hAnsi="黑体" w:eastAsia="黑体"/>
          <w:sz w:val="32"/>
          <w:szCs w:val="32"/>
        </w:rPr>
      </w:pPr>
    </w:p>
    <w:sdt>
      <w:sdtPr>
        <w:tag w:val="NEW_STAND_NAME"/>
        <w:id w:val="595910757"/>
        <w:lock w:val="sdtLocked"/>
        <w:placeholder>
          <w:docPart w:val="F55BAA0D663F41838E9822AD8D6E1849"/>
        </w:placeholder>
      </w:sdtPr>
      <w:sdtEndPr>
        <w:rPr>
          <w:rFonts w:ascii="Times New Roman" w:hAnsi="Times New Roman"/>
        </w:rPr>
      </w:sdtEndPr>
      <w:sdtContent>
        <w:p w14:paraId="38DBEEE8">
          <w:pPr>
            <w:pStyle w:val="180"/>
            <w:spacing w:before="0" w:beforeLines="-2147483648" w:after="0" w:afterLines="-2147483648" w:line="240" w:lineRule="auto"/>
            <w:rPr>
              <w:rFonts w:hint="default" w:ascii="Times New Roman" w:hAnsi="Times New Roman"/>
            </w:rPr>
          </w:pPr>
          <w:bookmarkStart w:id="22" w:name="NEW_STAND_NAME"/>
          <w:r>
            <w:rPr>
              <w:rFonts w:hint="default" w:ascii="Times New Roman" w:hAnsi="Times New Roman"/>
            </w:rPr>
            <w:t>临床研究病房智慧管理平台建设规范</w:t>
          </w:r>
        </w:p>
        <w:p w14:paraId="68691A69">
          <w:pPr>
            <w:pStyle w:val="180"/>
            <w:spacing w:before="0" w:beforeLines="-2147483648" w:after="0" w:line="240" w:lineRule="auto"/>
            <w:rPr>
              <w:rFonts w:hint="default" w:ascii="Times New Roman" w:hAnsi="Times New Roman"/>
            </w:rPr>
          </w:pPr>
          <w:r>
            <w:rPr>
              <w:rFonts w:hint="default" w:ascii="Times New Roman" w:hAnsi="Times New Roman"/>
            </w:rPr>
            <w:t>第6部分：应用评价</w:t>
          </w:r>
        </w:p>
      </w:sdtContent>
    </w:sdt>
    <w:bookmarkEnd w:id="22"/>
    <w:p w14:paraId="23273013">
      <w:pPr>
        <w:pStyle w:val="107"/>
        <w:spacing w:before="240" w:after="240"/>
      </w:pPr>
      <w:bookmarkStart w:id="23" w:name="_Toc227235300"/>
      <w:bookmarkStart w:id="24" w:name="_Toc17233333"/>
      <w:bookmarkStart w:id="25" w:name="_Toc227244029"/>
      <w:bookmarkStart w:id="26" w:name="_Toc26986771"/>
      <w:bookmarkStart w:id="27" w:name="_Toc227246042"/>
      <w:bookmarkStart w:id="28" w:name="_Toc227235674"/>
      <w:bookmarkStart w:id="29" w:name="_Toc24884211"/>
      <w:bookmarkStart w:id="30" w:name="_Toc227765707"/>
      <w:bookmarkStart w:id="31" w:name="_Toc97192964"/>
      <w:bookmarkStart w:id="32" w:name="_Toc26718930"/>
      <w:bookmarkStart w:id="33" w:name="_Toc26986530"/>
      <w:bookmarkStart w:id="34" w:name="_Toc227246009"/>
      <w:bookmarkStart w:id="35" w:name="_Toc17233325"/>
      <w:bookmarkStart w:id="36" w:name="_Toc24884218"/>
      <w:bookmarkStart w:id="37" w:name="_Toc26648465"/>
      <w:r>
        <w:rPr>
          <w:rFonts w:hint="eastAsia"/>
        </w:rPr>
        <w:t>范围</w:t>
      </w:r>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p>
    <w:p w14:paraId="316BFB08">
      <w:pPr>
        <w:pStyle w:val="59"/>
        <w:ind w:firstLine="420"/>
      </w:pPr>
      <w:bookmarkStart w:id="38" w:name="_Toc24884219"/>
      <w:bookmarkStart w:id="39" w:name="_Toc17233326"/>
      <w:bookmarkStart w:id="40" w:name="_Toc24884212"/>
      <w:bookmarkStart w:id="41" w:name="_Toc17233334"/>
      <w:bookmarkStart w:id="42" w:name="_Toc26648466"/>
      <w:r>
        <w:rPr>
          <w:rFonts w:hint="eastAsia"/>
        </w:rPr>
        <w:t>本文件规定了临床研究病房智慧管理平台应用评价的基本原则、评价场景、评价维度及量化指标、评价方法与标准化实施流程、全链条评价质量管控及评价结果的分级应用与持续优化机制。</w:t>
      </w:r>
    </w:p>
    <w:p w14:paraId="168A293E">
      <w:pPr>
        <w:pStyle w:val="59"/>
        <w:ind w:firstLine="420"/>
      </w:pPr>
      <w:r>
        <w:rPr>
          <w:rFonts w:hint="eastAsia"/>
        </w:rPr>
        <w:t>本文件适用于各级各类研究型医院、临床研究中心、区域临床研究协同网络中临床研究病房智慧管理平台的应用效果验证、综合评价、质量改进与示范推广，也可为第三方机构开展平台评估、行业监管部门进行技术指导提供标准化技术依据。</w:t>
      </w:r>
    </w:p>
    <w:p w14:paraId="4D5CE000">
      <w:pPr>
        <w:pStyle w:val="107"/>
        <w:spacing w:before="240" w:after="240"/>
      </w:pPr>
      <w:bookmarkStart w:id="43" w:name="_Toc26986772"/>
      <w:bookmarkStart w:id="44" w:name="_Toc227235675"/>
      <w:bookmarkStart w:id="45" w:name="_Toc227246043"/>
      <w:bookmarkStart w:id="46" w:name="_Toc97192965"/>
      <w:bookmarkStart w:id="47" w:name="_Toc26986531"/>
      <w:bookmarkStart w:id="48" w:name="_Toc227244030"/>
      <w:bookmarkStart w:id="49" w:name="_Toc227235301"/>
      <w:bookmarkStart w:id="50" w:name="_Toc227765708"/>
      <w:bookmarkStart w:id="51" w:name="_Toc227246010"/>
      <w:bookmarkStart w:id="52" w:name="_Toc26718931"/>
      <w:r>
        <w:rPr>
          <w:rFonts w:hint="eastAsia"/>
        </w:rPr>
        <w:t>规范性引用文件</w:t>
      </w:r>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p>
    <w:sdt>
      <w:sdtPr>
        <w:rPr>
          <w:rFonts w:hint="eastAsia"/>
        </w:rPr>
        <w:id w:val="715848253"/>
        <w:placeholder>
          <w:docPart w:val="6F4928D83A30424D8D138F1A035A16C5"/>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7F0A4DD7">
          <w:pPr>
            <w:pStyle w:val="59"/>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49593C3F">
      <w:pPr>
        <w:pStyle w:val="59"/>
        <w:ind w:firstLine="420"/>
      </w:pPr>
      <w:r>
        <w:rPr>
          <w:rFonts w:hint="eastAsia"/>
        </w:rPr>
        <w:t>GB/T 43697-2024 数据安全技术 数据分类分级规则</w:t>
      </w:r>
    </w:p>
    <w:p w14:paraId="7F692290">
      <w:pPr>
        <w:pStyle w:val="59"/>
        <w:ind w:firstLine="420"/>
      </w:pPr>
      <w:r>
        <w:t>GB/T 25000.51-2024 系统与软件工程 系统与软件质量要求和评价（SQuaRE）第51部分：就绪可用软件产品（RUSP）的质量要求和测试细则</w:t>
      </w:r>
      <w:bookmarkStart w:id="173" w:name="_GoBack"/>
      <w:bookmarkEnd w:id="173"/>
    </w:p>
    <w:p w14:paraId="7F5FDACE">
      <w:pPr>
        <w:pStyle w:val="59"/>
        <w:ind w:firstLine="420"/>
      </w:pPr>
      <w:r>
        <w:t>GB/T 20988-2022 信息安全技术 信息系统灾难恢复规范</w:t>
      </w:r>
    </w:p>
    <w:p w14:paraId="1B5A11A4">
      <w:pPr>
        <w:pStyle w:val="59"/>
        <w:ind w:firstLine="420"/>
      </w:pPr>
      <w:r>
        <w:t>《药物临床试验质量管理规范》</w:t>
      </w:r>
      <w:r>
        <w:rPr>
          <w:rFonts w:hint="eastAsia"/>
        </w:rPr>
        <w:t xml:space="preserve"> </w:t>
      </w:r>
      <w:r>
        <w:t>（国家药品监督管理局 国家卫生健康委员会令2020年</w:t>
      </w:r>
      <w:r>
        <w:rPr>
          <w:rFonts w:hint="eastAsia"/>
        </w:rPr>
        <w:t xml:space="preserve"> </w:t>
      </w:r>
      <w:r>
        <w:t>第57号）</w:t>
      </w:r>
    </w:p>
    <w:p w14:paraId="69637D58">
      <w:pPr>
        <w:pStyle w:val="59"/>
        <w:ind w:firstLine="420"/>
      </w:pPr>
      <w:r>
        <w:t>《医疗卫生机构网络安全管理办法》</w:t>
      </w:r>
      <w:r>
        <w:rPr>
          <w:rFonts w:hint="eastAsia"/>
        </w:rPr>
        <w:t xml:space="preserve"> </w:t>
      </w:r>
      <w:r>
        <w:t>（国卫规划发〔2022〕2</w:t>
      </w:r>
      <w:r>
        <w:rPr>
          <w:rFonts w:hint="eastAsia"/>
        </w:rPr>
        <w:t>9</w:t>
      </w:r>
      <w:r>
        <w:t>号）</w:t>
      </w:r>
    </w:p>
    <w:p w14:paraId="28CC7EB9">
      <w:pPr>
        <w:pStyle w:val="107"/>
        <w:spacing w:before="240" w:after="240"/>
      </w:pPr>
      <w:bookmarkStart w:id="53" w:name="_Toc227246011"/>
      <w:bookmarkStart w:id="54" w:name="_Toc227765709"/>
      <w:bookmarkStart w:id="55" w:name="_Toc227246044"/>
      <w:bookmarkStart w:id="56" w:name="_Toc227244031"/>
      <w:bookmarkStart w:id="57" w:name="_Toc227235302"/>
      <w:bookmarkStart w:id="58" w:name="_Toc97192966"/>
      <w:bookmarkStart w:id="59" w:name="_Toc227235676"/>
      <w:r>
        <w:rPr>
          <w:rFonts w:hint="eastAsia"/>
          <w:szCs w:val="21"/>
        </w:rPr>
        <w:t>术语和定义</w:t>
      </w:r>
      <w:bookmarkEnd w:id="53"/>
      <w:bookmarkEnd w:id="54"/>
      <w:bookmarkEnd w:id="55"/>
      <w:bookmarkEnd w:id="56"/>
      <w:bookmarkEnd w:id="57"/>
      <w:bookmarkEnd w:id="58"/>
      <w:bookmarkEnd w:id="59"/>
    </w:p>
    <w:sdt>
      <w:sdtPr>
        <w:id w:val="-1909835108"/>
        <w:placeholder>
          <w:docPart w:val="973B475E60CE44B0BF42EE8BDF73DC7B"/>
        </w:placeholder>
        <w:comboBox>
          <w:listItem w:displayText="点击并选择适当的引导语" w:value="点击并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48264C4F">
          <w:pPr>
            <w:pStyle w:val="59"/>
            <w:ind w:firstLine="420"/>
          </w:pPr>
          <w:bookmarkStart w:id="60" w:name="_Toc26986532"/>
          <w:bookmarkEnd w:id="60"/>
          <w:r>
            <w:t>下列术语和定义适用于本文件。</w:t>
          </w:r>
        </w:p>
      </w:sdtContent>
    </w:sdt>
    <w:p w14:paraId="49876C7E">
      <w:pPr>
        <w:pStyle w:val="108"/>
        <w:spacing w:before="120" w:after="120"/>
        <w:outlineLvl w:val="9"/>
      </w:pPr>
      <w:bookmarkStart w:id="61" w:name="_Toc227235678"/>
      <w:bookmarkStart w:id="62" w:name="_Toc227246012"/>
      <w:bookmarkStart w:id="63" w:name="_Toc227235304"/>
    </w:p>
    <w:p w14:paraId="004A4905">
      <w:pPr>
        <w:pStyle w:val="108"/>
        <w:numPr>
          <w:ilvl w:val="0"/>
          <w:numId w:val="0"/>
        </w:numPr>
        <w:spacing w:before="0" w:beforeLines="0" w:after="0" w:afterLines="0"/>
        <w:ind w:firstLine="420" w:firstLineChars="200"/>
        <w:outlineLvl w:val="9"/>
      </w:pPr>
      <w:r>
        <w:rPr>
          <w:rFonts w:hint="eastAsia"/>
        </w:rPr>
        <w:t>应用评价</w:t>
      </w:r>
      <w:bookmarkEnd w:id="61"/>
      <w:bookmarkEnd w:id="62"/>
      <w:bookmarkEnd w:id="63"/>
    </w:p>
    <w:p w14:paraId="3CE001E2">
      <w:pPr>
        <w:pStyle w:val="59"/>
        <w:ind w:firstLine="420"/>
      </w:pPr>
      <w:r>
        <w:rPr>
          <w:rFonts w:hint="eastAsia"/>
        </w:rPr>
        <w:t>基于多维度、高异质性临床研究场景，采用科学合规的混合评价方法，对平台的功能适配性、临床研究质量提升效果、效率提升效果、成本效益、数据安全与合规性、系统稳定性及示范推广价值进行的系统性、全流程、闭环式综合评估。</w:t>
      </w:r>
    </w:p>
    <w:p w14:paraId="04E7F86A">
      <w:pPr>
        <w:pStyle w:val="108"/>
        <w:spacing w:before="120" w:after="120"/>
        <w:outlineLvl w:val="9"/>
      </w:pPr>
      <w:bookmarkStart w:id="64" w:name="_Toc227235680"/>
      <w:bookmarkStart w:id="65" w:name="_Toc227235306"/>
      <w:bookmarkStart w:id="66" w:name="_Toc227246013"/>
    </w:p>
    <w:p w14:paraId="78B5165D">
      <w:pPr>
        <w:pStyle w:val="108"/>
        <w:numPr>
          <w:ilvl w:val="0"/>
          <w:numId w:val="0"/>
        </w:numPr>
        <w:spacing w:before="0" w:beforeLines="0" w:after="0" w:afterLines="0"/>
        <w:ind w:firstLine="420" w:firstLineChars="200"/>
        <w:outlineLvl w:val="9"/>
      </w:pPr>
      <w:r>
        <w:rPr>
          <w:rFonts w:hint="eastAsia"/>
        </w:rPr>
        <w:t>第三方独立评估</w:t>
      </w:r>
      <w:bookmarkEnd w:id="64"/>
      <w:bookmarkEnd w:id="65"/>
      <w:bookmarkEnd w:id="66"/>
    </w:p>
    <w:p w14:paraId="5627DF27">
      <w:pPr>
        <w:pStyle w:val="59"/>
        <w:ind w:firstLine="420"/>
      </w:pPr>
      <w:r>
        <w:rPr>
          <w:rFonts w:hint="eastAsia"/>
        </w:rPr>
        <w:t>由具备相应资质的第三方机构，依据本标准及相关法规要求，对平台的技术性能、安全合规性、应用效果进行的独立、客观、公正的测试与评价。</w:t>
      </w:r>
    </w:p>
    <w:p w14:paraId="52A8AE43">
      <w:pPr>
        <w:pStyle w:val="107"/>
        <w:spacing w:before="240" w:after="240"/>
      </w:pPr>
      <w:bookmarkStart w:id="67" w:name="_Toc227244032"/>
      <w:bookmarkStart w:id="68" w:name="_Toc227246014"/>
      <w:bookmarkStart w:id="69" w:name="_Toc227765710"/>
      <w:bookmarkStart w:id="70" w:name="_Toc227235681"/>
      <w:bookmarkStart w:id="71" w:name="_Toc227235307"/>
      <w:bookmarkStart w:id="72" w:name="_Toc227246045"/>
      <w:r>
        <w:rPr>
          <w:rFonts w:hint="eastAsia"/>
        </w:rPr>
        <w:t>评价基本原则</w:t>
      </w:r>
      <w:bookmarkEnd w:id="67"/>
      <w:bookmarkEnd w:id="68"/>
      <w:bookmarkEnd w:id="69"/>
      <w:bookmarkEnd w:id="70"/>
      <w:bookmarkEnd w:id="71"/>
      <w:bookmarkEnd w:id="72"/>
    </w:p>
    <w:p w14:paraId="2C322B0A">
      <w:pPr>
        <w:pStyle w:val="108"/>
        <w:spacing w:before="120" w:after="120"/>
        <w:outlineLvl w:val="9"/>
      </w:pPr>
      <w:bookmarkStart w:id="73" w:name="_Toc227246015"/>
      <w:bookmarkStart w:id="74" w:name="_Toc227235308"/>
      <w:bookmarkStart w:id="75" w:name="_Toc227235682"/>
      <w:r>
        <w:rPr>
          <w:rFonts w:hint="eastAsia"/>
        </w:rPr>
        <w:t>科学合规性原则</w:t>
      </w:r>
      <w:bookmarkEnd w:id="73"/>
      <w:bookmarkEnd w:id="74"/>
      <w:bookmarkEnd w:id="75"/>
    </w:p>
    <w:p w14:paraId="1BA9EB49">
      <w:pPr>
        <w:pStyle w:val="59"/>
        <w:ind w:firstLine="420"/>
      </w:pPr>
      <w:r>
        <w:rPr>
          <w:rFonts w:hint="eastAsia"/>
        </w:rPr>
        <w:t>遵循国际公认的Cochrane协作网系统评价原则、纽卡斯尔-渥太华量表及STROBE量表评价标准，严格符合《药物临床试验质量管理规范》《医疗卫生机构网络安全管理办法》等相关法规要求，评价过程独立、客观、公正，评价方法科学严谨，评价结果可重复、可验证。</w:t>
      </w:r>
    </w:p>
    <w:p w14:paraId="60B42263">
      <w:pPr>
        <w:pStyle w:val="108"/>
        <w:spacing w:before="120" w:after="120"/>
        <w:outlineLvl w:val="9"/>
      </w:pPr>
      <w:bookmarkStart w:id="76" w:name="_Toc227235309"/>
      <w:bookmarkStart w:id="77" w:name="_Toc227235683"/>
      <w:bookmarkStart w:id="78" w:name="_Toc227246016"/>
      <w:r>
        <w:rPr>
          <w:rFonts w:hint="eastAsia"/>
        </w:rPr>
        <w:t>全流程闭环原则</w:t>
      </w:r>
      <w:bookmarkEnd w:id="76"/>
      <w:bookmarkEnd w:id="77"/>
      <w:bookmarkEnd w:id="78"/>
    </w:p>
    <w:p w14:paraId="79982C1E">
      <w:pPr>
        <w:pStyle w:val="59"/>
        <w:ind w:firstLine="420"/>
      </w:pPr>
      <w:r>
        <w:rPr>
          <w:rFonts w:hint="eastAsia"/>
        </w:rPr>
        <w:t>覆盖临床研究全生命周期各环节，实现"方案设计-执行实施-数据管理-质量控制-结果分析-随访监查-成果转化"全流程评价的闭环管理，确保评价的完整性与系统性，避免单一环节评价的局限性。</w:t>
      </w:r>
    </w:p>
    <w:p w14:paraId="5DE17A46">
      <w:pPr>
        <w:pStyle w:val="108"/>
        <w:spacing w:before="120" w:after="120"/>
        <w:outlineLvl w:val="9"/>
      </w:pPr>
      <w:bookmarkStart w:id="79" w:name="_Toc227246017"/>
      <w:bookmarkStart w:id="80" w:name="_Toc227235684"/>
      <w:bookmarkStart w:id="81" w:name="_Toc227235311"/>
      <w:r>
        <w:rPr>
          <w:rFonts w:hint="eastAsia"/>
        </w:rPr>
        <w:t>可量化可追溯原则</w:t>
      </w:r>
      <w:bookmarkEnd w:id="79"/>
      <w:bookmarkEnd w:id="80"/>
      <w:bookmarkEnd w:id="81"/>
    </w:p>
    <w:p w14:paraId="2E1CC78B">
      <w:pPr>
        <w:pStyle w:val="59"/>
        <w:ind w:firstLine="420"/>
      </w:pPr>
      <w:r>
        <w:rPr>
          <w:rFonts w:hint="eastAsia"/>
        </w:rPr>
        <w:t>建立分层分级的量化评价指标体系，所有评价指标均具备明确的定义、计算方法与判定标准；所有评价数据、过程记录、原始凭证均应完整留存并可追溯，评价过程全程留痕，避免主观随意性。</w:t>
      </w:r>
    </w:p>
    <w:p w14:paraId="211FD97E">
      <w:pPr>
        <w:pStyle w:val="107"/>
        <w:spacing w:before="240" w:after="240"/>
      </w:pPr>
      <w:bookmarkStart w:id="82" w:name="_Toc227235685"/>
      <w:bookmarkStart w:id="83" w:name="_Toc227235314"/>
      <w:bookmarkStart w:id="84" w:name="_Toc227765711"/>
      <w:bookmarkStart w:id="85" w:name="_Toc227246046"/>
      <w:bookmarkStart w:id="86" w:name="_Toc227246018"/>
      <w:bookmarkStart w:id="87" w:name="_Toc227244033"/>
      <w:r>
        <w:rPr>
          <w:rFonts w:hint="eastAsia"/>
        </w:rPr>
        <w:t>评价场景</w:t>
      </w:r>
      <w:bookmarkEnd w:id="82"/>
      <w:bookmarkEnd w:id="83"/>
      <w:bookmarkEnd w:id="84"/>
      <w:bookmarkEnd w:id="85"/>
      <w:bookmarkEnd w:id="86"/>
      <w:bookmarkEnd w:id="87"/>
    </w:p>
    <w:p w14:paraId="5DE780E0">
      <w:pPr>
        <w:pStyle w:val="108"/>
        <w:spacing w:before="120" w:after="120"/>
        <w:outlineLvl w:val="9"/>
      </w:pPr>
      <w:bookmarkStart w:id="88" w:name="_Toc227235315"/>
      <w:bookmarkStart w:id="89" w:name="_Toc227246019"/>
      <w:bookmarkStart w:id="90" w:name="_Toc227235686"/>
      <w:r>
        <w:rPr>
          <w:rFonts w:hint="eastAsia"/>
        </w:rPr>
        <w:t>专病临床研究场景</w:t>
      </w:r>
      <w:bookmarkEnd w:id="88"/>
      <w:bookmarkEnd w:id="89"/>
      <w:bookmarkEnd w:id="90"/>
    </w:p>
    <w:p w14:paraId="154803DE">
      <w:pPr>
        <w:pStyle w:val="59"/>
        <w:ind w:firstLine="420"/>
      </w:pPr>
      <w:r>
        <w:rPr>
          <w:rFonts w:hint="eastAsia"/>
        </w:rPr>
        <w:t>覆盖研究设计类型、疾病病种、研究人群、干预类别、干预方式、研究范围、管理方式7个核心维度的临床试验应用场景，具体包括：</w:t>
      </w:r>
    </w:p>
    <w:p w14:paraId="06C9241C">
      <w:pPr>
        <w:pStyle w:val="59"/>
        <w:ind w:firstLine="420"/>
      </w:pPr>
      <w:r>
        <w:rPr>
          <w:rFonts w:hint="eastAsia"/>
        </w:rPr>
        <w:t>a) 研究设计类型：随机对照试验、真实世界研究、队列研究、病例对照研究、单臂研究、横断面调查、交叉试验等。</w:t>
      </w:r>
    </w:p>
    <w:p w14:paraId="6D7AEC15">
      <w:pPr>
        <w:pStyle w:val="59"/>
        <w:ind w:firstLine="420"/>
      </w:pPr>
      <w:r>
        <w:rPr>
          <w:rFonts w:hint="eastAsia"/>
        </w:rPr>
        <w:t>b) 疾病病种：肿瘤、心血管疾病、消化系统疾病、神经系统疾病、内分泌疾病、呼吸系统疾病、风湿免疫疾病、感染性疾病、血液系统疾病、泌尿系统疾病等至少10种常见专病。</w:t>
      </w:r>
    </w:p>
    <w:p w14:paraId="1FBFDE63">
      <w:pPr>
        <w:pStyle w:val="59"/>
        <w:ind w:firstLine="420"/>
      </w:pPr>
      <w:r>
        <w:rPr>
          <w:rFonts w:hint="eastAsia"/>
        </w:rPr>
        <w:t>c) 研究人群：不同年龄、性别、种族、合并症、病程阶段的受试者群体，包括老年人、儿童、孕妇、肝肾功能不全患者等特殊人群。</w:t>
      </w:r>
    </w:p>
    <w:p w14:paraId="1EC34014">
      <w:pPr>
        <w:pStyle w:val="59"/>
        <w:ind w:firstLine="420"/>
      </w:pPr>
      <w:r>
        <w:rPr>
          <w:rFonts w:hint="eastAsia"/>
        </w:rPr>
        <w:t>d) 干预类别：药物干预、器械干预、手术干预、康复干预、生活方式干预、细胞治疗、基因治疗等。</w:t>
      </w:r>
    </w:p>
    <w:p w14:paraId="437DF703">
      <w:pPr>
        <w:pStyle w:val="59"/>
        <w:ind w:firstLine="420"/>
      </w:pPr>
      <w:r>
        <w:rPr>
          <w:rFonts w:hint="eastAsia"/>
        </w:rPr>
        <w:t>e) 干预方式：单中心干预、多中心干预、序贯干预、联合干预、交叉干预等。</w:t>
      </w:r>
    </w:p>
    <w:p w14:paraId="527A0D53">
      <w:pPr>
        <w:pStyle w:val="59"/>
        <w:ind w:firstLine="420"/>
      </w:pPr>
      <w:r>
        <w:rPr>
          <w:rFonts w:hint="eastAsia"/>
        </w:rPr>
        <w:t>f) 研究范围：Ⅰ-Ⅳ期临床试验、研究者发起的临床研究、上市后再评价研究、真实世界证据支持的注册研究等。</w:t>
      </w:r>
    </w:p>
    <w:p w14:paraId="2F5DFDD3">
      <w:pPr>
        <w:pStyle w:val="59"/>
        <w:ind w:firstLine="420"/>
      </w:pPr>
      <w:r>
        <w:rPr>
          <w:rFonts w:hint="eastAsia"/>
        </w:rPr>
        <w:t>g) 管理方式：中心化管理、去中心化管理、混合式管理、远程监查管理等。</w:t>
      </w:r>
    </w:p>
    <w:p w14:paraId="43DF44DE">
      <w:pPr>
        <w:pStyle w:val="59"/>
        <w:ind w:firstLine="420"/>
      </w:pPr>
      <w:r>
        <w:rPr>
          <w:rFonts w:hint="eastAsia"/>
        </w:rPr>
        <w:t>评价要求：在不少于5家不同类型、不同规模的研究型医院开展验证评价，至少完成20项临床研究，每项研究样本量不少于150例，确保评价结果的代表性与普适性。</w:t>
      </w:r>
    </w:p>
    <w:p w14:paraId="6761E1D8">
      <w:pPr>
        <w:pStyle w:val="108"/>
        <w:spacing w:before="120" w:after="120"/>
        <w:outlineLvl w:val="9"/>
      </w:pPr>
      <w:bookmarkStart w:id="91" w:name="_Toc227246020"/>
      <w:bookmarkStart w:id="92" w:name="_Toc227235316"/>
      <w:bookmarkStart w:id="93" w:name="_Toc227235687"/>
      <w:r>
        <w:rPr>
          <w:rFonts w:hint="eastAsia"/>
        </w:rPr>
        <w:t>平台核心功能模块场景</w:t>
      </w:r>
      <w:bookmarkEnd w:id="91"/>
      <w:bookmarkEnd w:id="92"/>
      <w:bookmarkEnd w:id="93"/>
    </w:p>
    <w:p w14:paraId="31221C92">
      <w:pPr>
        <w:pStyle w:val="59"/>
        <w:ind w:firstLine="420"/>
      </w:pPr>
      <w:r>
        <w:rPr>
          <w:rFonts w:hint="eastAsia"/>
        </w:rPr>
        <w:t>a) 临床研究病房智能数据管理系统场景：包括异质性数据采集传输、数据治理与标准化、多源数据融合、数据统计分析、数据安全存储、数据共享与交换等功能验证与效果评价。</w:t>
      </w:r>
    </w:p>
    <w:p w14:paraId="04AEE59C">
      <w:pPr>
        <w:pStyle w:val="59"/>
        <w:ind w:firstLine="420"/>
      </w:pPr>
      <w:r>
        <w:rPr>
          <w:rFonts w:hint="eastAsia"/>
        </w:rPr>
        <w:t>b) 临床研究智能决策系统场景：包括不良事件智能判读与风险预警、临床研究决策支持、受试者预后评估、受试者风险分层、研究方案优化建议等功能验证与效果评价。</w:t>
      </w:r>
    </w:p>
    <w:p w14:paraId="44AB399C">
      <w:pPr>
        <w:pStyle w:val="59"/>
        <w:ind w:firstLine="420"/>
      </w:pPr>
      <w:r>
        <w:rPr>
          <w:rFonts w:hint="eastAsia"/>
        </w:rPr>
        <w:t>c) 可追溯智能临床研究过程管理系统场景：包括数字化受试者招募与筛选、智慧化患者教育、知情同意电子化管理、全流程数据追溯、远程质控与监查、伦理审查协同、研究物资管理等功能验证与效果评价。</w:t>
      </w:r>
    </w:p>
    <w:p w14:paraId="77CDE864">
      <w:pPr>
        <w:pStyle w:val="59"/>
        <w:ind w:firstLine="420"/>
      </w:pPr>
      <w:r>
        <w:rPr>
          <w:rFonts w:hint="eastAsia"/>
        </w:rPr>
        <w:t>d) 多中心协同管理系统场景：包括多中心项目统一管理、跨机构数据共享与协同、统一质控标准实施、多中心数据汇总与分析、跨机构沟通协作等功能验证与效果评价。</w:t>
      </w:r>
    </w:p>
    <w:p w14:paraId="3159328D">
      <w:pPr>
        <w:pStyle w:val="108"/>
        <w:spacing w:before="120" w:after="120"/>
        <w:outlineLvl w:val="9"/>
      </w:pPr>
      <w:bookmarkStart w:id="94" w:name="_Toc227235317"/>
      <w:bookmarkStart w:id="95" w:name="_Toc227235688"/>
      <w:bookmarkStart w:id="96" w:name="_Toc227246021"/>
      <w:r>
        <w:rPr>
          <w:rFonts w:hint="eastAsia"/>
        </w:rPr>
        <w:t>示范推广维度场景</w:t>
      </w:r>
      <w:bookmarkEnd w:id="94"/>
      <w:bookmarkEnd w:id="95"/>
      <w:bookmarkEnd w:id="96"/>
    </w:p>
    <w:p w14:paraId="45F50631">
      <w:pPr>
        <w:pStyle w:val="59"/>
        <w:ind w:firstLine="420"/>
      </w:pPr>
      <w:r>
        <w:rPr>
          <w:rFonts w:hint="eastAsia"/>
        </w:rPr>
        <w:t>a) 现场示范应用场景：在不同等级、不同专科特色的研究型医院开展全流程现场示范应用，验证平台在不同运行环境、不同管理模式下的适配性。</w:t>
      </w:r>
    </w:p>
    <w:p w14:paraId="63FB5DC4">
      <w:pPr>
        <w:pStyle w:val="59"/>
        <w:ind w:firstLine="420"/>
      </w:pPr>
      <w:r>
        <w:rPr>
          <w:rFonts w:hint="eastAsia"/>
        </w:rPr>
        <w:t>b) 区域推广应用场景：面向不同区域的医疗机构开展推广应用，评价平台的可复制性、可推广性及区域适配能力。</w:t>
      </w:r>
    </w:p>
    <w:p w14:paraId="3D490B7C">
      <w:pPr>
        <w:pStyle w:val="59"/>
        <w:ind w:firstLine="420"/>
      </w:pPr>
      <w:r>
        <w:rPr>
          <w:rFonts w:hint="eastAsia"/>
        </w:rPr>
        <w:t>c) 跨机构协同应用场景：评价平台在多中心临床研究、区域临床研究协同网络中的数据共享、协同管理、统一质控等能力，验证跨机构协同研究的可行性与效率。</w:t>
      </w:r>
    </w:p>
    <w:p w14:paraId="364A6160">
      <w:pPr>
        <w:pStyle w:val="59"/>
        <w:ind w:firstLine="420"/>
      </w:pPr>
      <w:r>
        <w:rPr>
          <w:rFonts w:hint="eastAsia"/>
        </w:rPr>
        <w:t>d) 第三方服务机构协同场景：评价平台与CRO、SMO、数据管理公司等第三方服务机构的协同能力，验证第三方机构接入平台开展工作的便捷性与规范性。</w:t>
      </w:r>
    </w:p>
    <w:p w14:paraId="5E8664BC">
      <w:pPr>
        <w:pStyle w:val="107"/>
        <w:spacing w:before="240" w:after="240"/>
      </w:pPr>
      <w:bookmarkStart w:id="97" w:name="_Toc227235689"/>
      <w:bookmarkStart w:id="98" w:name="_Toc227765712"/>
      <w:bookmarkStart w:id="99" w:name="_Toc227246022"/>
      <w:bookmarkStart w:id="100" w:name="_Toc227246047"/>
      <w:bookmarkStart w:id="101" w:name="_Toc227235318"/>
      <w:bookmarkStart w:id="102" w:name="_Toc227244034"/>
      <w:r>
        <w:rPr>
          <w:rFonts w:hint="eastAsia"/>
        </w:rPr>
        <w:t>评价维度及量化指标</w:t>
      </w:r>
      <w:bookmarkEnd w:id="97"/>
      <w:bookmarkEnd w:id="98"/>
      <w:bookmarkEnd w:id="99"/>
      <w:bookmarkEnd w:id="100"/>
      <w:bookmarkEnd w:id="101"/>
      <w:bookmarkEnd w:id="102"/>
    </w:p>
    <w:p w14:paraId="64D3575D">
      <w:pPr>
        <w:pStyle w:val="108"/>
        <w:spacing w:before="120" w:after="120"/>
        <w:outlineLvl w:val="9"/>
      </w:pPr>
      <w:bookmarkStart w:id="103" w:name="_Toc227235690"/>
      <w:bookmarkStart w:id="104" w:name="_Toc227246023"/>
      <w:bookmarkStart w:id="105" w:name="_Toc227235319"/>
      <w:r>
        <w:rPr>
          <w:rFonts w:hint="eastAsia"/>
        </w:rPr>
        <w:t>平台功能适配性</w:t>
      </w:r>
      <w:bookmarkEnd w:id="103"/>
      <w:bookmarkEnd w:id="104"/>
      <w:bookmarkEnd w:id="105"/>
    </w:p>
    <w:p w14:paraId="1ACB672D">
      <w:pPr>
        <w:pStyle w:val="59"/>
        <w:ind w:firstLine="420"/>
      </w:pPr>
      <w:r>
        <w:rPr>
          <w:rFonts w:hint="eastAsia"/>
        </w:rPr>
        <w:t>a) 数据管理功能</w:t>
      </w:r>
    </w:p>
    <w:p w14:paraId="0841DB67">
      <w:pPr>
        <w:pStyle w:val="59"/>
        <w:ind w:firstLine="420"/>
      </w:pPr>
      <w:r>
        <w:t>1)设备接入能力：支持多种主流医疗设备的自动接入，实现设备数据的高成功率实时同步。</w:t>
      </w:r>
    </w:p>
    <w:p w14:paraId="618ABEC8">
      <w:pPr>
        <w:pStyle w:val="59"/>
        <w:ind w:firstLine="420"/>
      </w:pPr>
      <w:r>
        <w:t>2)数据自动采集率：</w:t>
      </w:r>
      <w:r>
        <w:rPr>
          <w:rFonts w:hint="eastAsia"/>
        </w:rPr>
        <w:t>结构化数据自动采集率≥90%，非结构化数据（病历、影像、病理等）识别准确率≥85%，手工录入数据占比≤10%</w:t>
      </w:r>
      <w:r>
        <w:t>。</w:t>
      </w:r>
    </w:p>
    <w:p w14:paraId="22C5D99F">
      <w:pPr>
        <w:pStyle w:val="59"/>
        <w:ind w:firstLine="420"/>
      </w:pPr>
      <w:r>
        <w:t>3)数据传输效率：满足单条与批量临床数据的高效传输要求，保持极低的数据传输丢包率。</w:t>
      </w:r>
    </w:p>
    <w:p w14:paraId="1B3A6FDF">
      <w:pPr>
        <w:pStyle w:val="59"/>
        <w:ind w:firstLine="420"/>
      </w:pPr>
      <w:r>
        <w:t>4)数据治理能力：实现数据的标准化、清洗、去重与完整性校验，保障高质量的数据治理水平。</w:t>
      </w:r>
    </w:p>
    <w:p w14:paraId="2BE27FF3">
      <w:pPr>
        <w:pStyle w:val="59"/>
        <w:ind w:firstLine="420"/>
      </w:pPr>
      <w:r>
        <w:t>5)数据共享能力：</w:t>
      </w:r>
      <w:r>
        <w:rPr>
          <w:rFonts w:hint="eastAsia"/>
        </w:rPr>
        <w:t>支持与医院HIS、LIS、PACS、EMR等系统的无缝对接，数据交互成功率100%，支持跨机构数据安全共享与交换</w:t>
      </w:r>
      <w:r>
        <w:t>。</w:t>
      </w:r>
    </w:p>
    <w:p w14:paraId="2B536120">
      <w:pPr>
        <w:pStyle w:val="59"/>
        <w:ind w:firstLine="420"/>
      </w:pPr>
      <w:r>
        <w:rPr>
          <w:rFonts w:hint="eastAsia"/>
        </w:rPr>
        <w:t>b) 过程管理功能</w:t>
      </w:r>
    </w:p>
    <w:p w14:paraId="38C1C5EB">
      <w:pPr>
        <w:pStyle w:val="59"/>
        <w:ind w:firstLine="420"/>
      </w:pPr>
      <w:r>
        <w:t>1)全流程追溯覆盖率：实现临床研究全流程节点的全面覆盖与关键操作的全程留痕，确保操作日志的长期安全保存。</w:t>
      </w:r>
    </w:p>
    <w:p w14:paraId="7CD2922C">
      <w:pPr>
        <w:pStyle w:val="59"/>
        <w:ind w:firstLine="420"/>
      </w:pPr>
      <w:r>
        <w:t>2)不良事件智能判读准确率：具备对一般及严重不良事件的智能识别与准确判读能力，实现严重不良事件的快速预警响应。</w:t>
      </w:r>
    </w:p>
    <w:p w14:paraId="353E9EF7">
      <w:pPr>
        <w:pStyle w:val="59"/>
        <w:ind w:firstLine="420"/>
      </w:pPr>
      <w:r>
        <w:t>3)远程质控覆盖率：具备较高的远程监查覆盖率与质控问题发现能力，确保质控问题得到高效整改与验证。</w:t>
      </w:r>
    </w:p>
    <w:p w14:paraId="3E6542AC">
      <w:pPr>
        <w:pStyle w:val="59"/>
        <w:ind w:firstLine="420"/>
      </w:pPr>
      <w:r>
        <w:t>4)受试者管理效率：提升数字化招募受试者占比并缩短筛选周期，实现高比例的知情同意电子化签署。</w:t>
      </w:r>
    </w:p>
    <w:p w14:paraId="4DBB8B43">
      <w:pPr>
        <w:pStyle w:val="59"/>
        <w:ind w:firstLine="420"/>
      </w:pPr>
      <w:r>
        <w:rPr>
          <w:rFonts w:hint="eastAsia"/>
        </w:rPr>
        <w:t>c) 决策支持功能</w:t>
      </w:r>
    </w:p>
    <w:p w14:paraId="2EDA6DD2">
      <w:pPr>
        <w:pStyle w:val="59"/>
        <w:ind w:firstLine="420"/>
      </w:pPr>
      <w:r>
        <w:rPr>
          <w:rFonts w:hint="eastAsia"/>
        </w:rPr>
        <w:t>1)决策建议准确率：提供的临床研究决策建议应与专家共识保持高度符合，具备准确的方案偏离预警能力。</w:t>
      </w:r>
    </w:p>
    <w:p w14:paraId="0CB3DB06">
      <w:pPr>
        <w:pStyle w:val="59"/>
        <w:ind w:firstLine="420"/>
      </w:pPr>
      <w:r>
        <w:rPr>
          <w:rFonts w:hint="eastAsia"/>
        </w:rPr>
        <w:t>2)风险预警有效性：实现对高风险受试者的准确预警与全面干预，确保较高的干预有效率。</w:t>
      </w:r>
    </w:p>
    <w:p w14:paraId="6AE61E76">
      <w:pPr>
        <w:pStyle w:val="59"/>
        <w:ind w:firstLine="420"/>
      </w:pPr>
      <w:r>
        <w:rPr>
          <w:rFonts w:hint="eastAsia"/>
        </w:rPr>
        <w:t>3)预后评估准确性：受试者预后评估结果应与实际结局保持较高符合率，具备准确的风险分层能力。</w:t>
      </w:r>
    </w:p>
    <w:p w14:paraId="192B984B">
      <w:pPr>
        <w:pStyle w:val="59"/>
        <w:ind w:firstLine="420"/>
      </w:pPr>
      <w:r>
        <w:rPr>
          <w:rFonts w:hint="eastAsia"/>
        </w:rPr>
        <w:t>d) 多中心协同功能</w:t>
      </w:r>
    </w:p>
    <w:p w14:paraId="387E3FCD">
      <w:pPr>
        <w:pStyle w:val="59"/>
        <w:ind w:firstLine="420"/>
      </w:pPr>
      <w:r>
        <w:rPr>
          <w:rFonts w:hint="eastAsia"/>
        </w:rPr>
        <w:t>1)多中心项目管理能力：支持大规模多中心临床研究项目的并行统一管理，实现项目信息的快速同步。</w:t>
      </w:r>
    </w:p>
    <w:p w14:paraId="5E626B0C">
      <w:pPr>
        <w:pStyle w:val="59"/>
        <w:ind w:firstLine="420"/>
      </w:pPr>
      <w:r>
        <w:rPr>
          <w:rFonts w:hint="eastAsia"/>
        </w:rPr>
        <w:t>2)跨机构数据协同能力：实现跨机构数据共享的快速响应，保障各机构间数据的高度一致性。</w:t>
      </w:r>
    </w:p>
    <w:p w14:paraId="00B18175">
      <w:pPr>
        <w:pStyle w:val="59"/>
        <w:ind w:firstLine="420"/>
      </w:pPr>
      <w:r>
        <w:rPr>
          <w:rFonts w:hint="eastAsia"/>
        </w:rPr>
        <w:t>3)统一质控能力：确保多中心研究统一质控标准的高比例执行，控制各中心质控结果的差异度。</w:t>
      </w:r>
    </w:p>
    <w:p w14:paraId="34C00DAB">
      <w:pPr>
        <w:pStyle w:val="108"/>
        <w:spacing w:before="120" w:after="120"/>
        <w:outlineLvl w:val="9"/>
      </w:pPr>
      <w:bookmarkStart w:id="106" w:name="_Toc227235320"/>
      <w:bookmarkStart w:id="107" w:name="_Toc227246024"/>
      <w:bookmarkStart w:id="108" w:name="_Toc227235691"/>
      <w:r>
        <w:rPr>
          <w:rFonts w:hint="eastAsia"/>
        </w:rPr>
        <w:t>临床研究质量提升</w:t>
      </w:r>
      <w:bookmarkEnd w:id="106"/>
      <w:bookmarkEnd w:id="107"/>
      <w:bookmarkEnd w:id="108"/>
    </w:p>
    <w:p w14:paraId="46D91A62">
      <w:pPr>
        <w:pStyle w:val="59"/>
        <w:ind w:firstLine="420"/>
      </w:pPr>
      <w:r>
        <w:rPr>
          <w:rFonts w:hint="eastAsia"/>
        </w:rPr>
        <w:t>a) 数据质量</w:t>
      </w:r>
    </w:p>
    <w:p w14:paraId="11D60EF6">
      <w:pPr>
        <w:pStyle w:val="59"/>
        <w:ind w:firstLine="420"/>
      </w:pPr>
      <w:r>
        <w:rPr>
          <w:rFonts w:hint="eastAsia"/>
        </w:rPr>
        <w:t>1)数据完整性：核心数据项缺失率≤1%，次要数据项缺失率≤3%，关键时间点数据缺失率≤0.5%。</w:t>
      </w:r>
    </w:p>
    <w:p w14:paraId="5C08BDFF">
      <w:pPr>
        <w:pStyle w:val="59"/>
        <w:ind w:firstLine="420"/>
      </w:pPr>
      <w:r>
        <w:rPr>
          <w:rFonts w:hint="eastAsia"/>
        </w:rPr>
        <w:t>2)数据准确性：保持极低的数据录入错误率与逻辑错误率，确保数据与原始病历的高度一致性。</w:t>
      </w:r>
    </w:p>
    <w:p w14:paraId="566DB62E">
      <w:pPr>
        <w:pStyle w:val="59"/>
        <w:ind w:firstLine="420"/>
      </w:pPr>
      <w:r>
        <w:rPr>
          <w:rFonts w:hint="eastAsia"/>
        </w:rPr>
        <w:t>3)数据可追溯性：所有数据修改均有完整记录，可追溯至原始数据、操作人员及修改时间，数据溯源响应时间≤10分钟。</w:t>
      </w:r>
    </w:p>
    <w:p w14:paraId="49F2D4AF">
      <w:pPr>
        <w:pStyle w:val="59"/>
        <w:ind w:firstLine="420"/>
      </w:pPr>
      <w:r>
        <w:rPr>
          <w:rFonts w:hint="eastAsia"/>
        </w:rPr>
        <w:t>4)数据及时性：保持较高的数据录入及时率，严格控制关键数据的录入延迟时间。</w:t>
      </w:r>
    </w:p>
    <w:p w14:paraId="03D60C7A">
      <w:pPr>
        <w:pStyle w:val="59"/>
        <w:ind w:firstLine="420"/>
      </w:pPr>
      <w:r>
        <w:rPr>
          <w:rFonts w:hint="eastAsia"/>
        </w:rPr>
        <w:t>b) 过程质量</w:t>
      </w:r>
    </w:p>
    <w:p w14:paraId="45A96210">
      <w:pPr>
        <w:pStyle w:val="59"/>
        <w:ind w:firstLine="420"/>
      </w:pPr>
      <w:r>
        <w:rPr>
          <w:rFonts w:hint="eastAsia"/>
        </w:rPr>
        <w:t>1)方案执行依从性：总体方案偏离率≤5%，严重方案偏离发生率≤1%，方案偏离整改率100%。</w:t>
      </w:r>
    </w:p>
    <w:p w14:paraId="0E23CD11">
      <w:pPr>
        <w:pStyle w:val="59"/>
        <w:ind w:firstLine="420"/>
      </w:pPr>
      <w:r>
        <w:rPr>
          <w:rFonts w:hint="eastAsia"/>
        </w:rPr>
        <w:t>2)不良事件报告及时性：严重不良事件报告及时率100%，一般不良事件报告及时率≥95%，不良事件处置规范率≥98%。</w:t>
      </w:r>
    </w:p>
    <w:p w14:paraId="0E7EC312">
      <w:pPr>
        <w:pStyle w:val="59"/>
        <w:ind w:firstLine="420"/>
      </w:pPr>
      <w:r>
        <w:rPr>
          <w:rFonts w:hint="eastAsia"/>
        </w:rPr>
        <w:t>3)受试者脱落率：将受试者脱落率与失访率控制在较低水平，保证脱落原因记录的完整。</w:t>
      </w:r>
    </w:p>
    <w:p w14:paraId="300E3E5D">
      <w:pPr>
        <w:pStyle w:val="59"/>
        <w:ind w:firstLine="420"/>
      </w:pPr>
      <w:r>
        <w:rPr>
          <w:rFonts w:hint="eastAsia"/>
        </w:rPr>
        <w:t>4)研究物资管理规范性：保持研究物资台账的完全完整与物资发放回收的高准确率，确保过期物资得到及时处置。</w:t>
      </w:r>
    </w:p>
    <w:p w14:paraId="2D7B51CC">
      <w:pPr>
        <w:pStyle w:val="59"/>
        <w:ind w:firstLine="420"/>
      </w:pPr>
      <w:r>
        <w:rPr>
          <w:rFonts w:hint="eastAsia"/>
        </w:rPr>
        <w:t>c) 伦理合规性</w:t>
      </w:r>
    </w:p>
    <w:p w14:paraId="6EFDDB0B">
      <w:pPr>
        <w:pStyle w:val="59"/>
        <w:ind w:firstLine="420"/>
      </w:pPr>
      <w:r>
        <w:rPr>
          <w:rFonts w:hint="eastAsia"/>
        </w:rPr>
        <w:t>1)伦理审查通过率：支持研究项目实现较高比例的伦理审查一次性通过，确保审查意见得到全面整改。</w:t>
      </w:r>
    </w:p>
    <w:p w14:paraId="1BC93055">
      <w:pPr>
        <w:pStyle w:val="59"/>
        <w:ind w:firstLine="420"/>
      </w:pPr>
      <w:r>
        <w:rPr>
          <w:rFonts w:hint="eastAsia"/>
        </w:rPr>
        <w:t>2)受试者权益保护：知情同意书签署规范率100%，受试者隐私泄露事件发生率为0，受试者投诉处理及时率100%。</w:t>
      </w:r>
    </w:p>
    <w:p w14:paraId="104FDFC2">
      <w:pPr>
        <w:pStyle w:val="59"/>
        <w:ind w:firstLine="420"/>
      </w:pPr>
      <w:r>
        <w:rPr>
          <w:rFonts w:hint="eastAsia"/>
        </w:rPr>
        <w:t>3)法规符合性：平台运行过程中违反GCP及相关法规的事件发生率为0，数据安全合规性检查通过率100%。</w:t>
      </w:r>
    </w:p>
    <w:p w14:paraId="6347D5C3">
      <w:pPr>
        <w:pStyle w:val="108"/>
        <w:spacing w:before="120" w:after="120"/>
        <w:outlineLvl w:val="9"/>
      </w:pPr>
      <w:bookmarkStart w:id="109" w:name="_Toc227235692"/>
      <w:bookmarkStart w:id="110" w:name="_Toc227246025"/>
      <w:bookmarkStart w:id="111" w:name="_Toc227235321"/>
      <w:r>
        <w:rPr>
          <w:rFonts w:hint="eastAsia"/>
        </w:rPr>
        <w:t>临床研究效率提升</w:t>
      </w:r>
      <w:bookmarkEnd w:id="109"/>
      <w:bookmarkEnd w:id="110"/>
      <w:bookmarkEnd w:id="111"/>
    </w:p>
    <w:p w14:paraId="55E09432">
      <w:pPr>
        <w:pStyle w:val="59"/>
        <w:ind w:firstLine="420"/>
      </w:pPr>
      <w:r>
        <w:rPr>
          <w:rFonts w:hint="eastAsia"/>
        </w:rPr>
        <w:t>a) 受试者管理效率</w:t>
      </w:r>
    </w:p>
    <w:p w14:paraId="23A233C2">
      <w:pPr>
        <w:pStyle w:val="59"/>
        <w:ind w:firstLine="420"/>
      </w:pPr>
      <w:r>
        <w:rPr>
          <w:rFonts w:hint="eastAsia"/>
        </w:rPr>
        <w:t>1)招募周期缩短率：与传统模式相比，受试者招募周期缩短≥30%，单中心月均入组受试者数量提升≥25%。</w:t>
      </w:r>
    </w:p>
    <w:p w14:paraId="20A85B0B">
      <w:pPr>
        <w:pStyle w:val="59"/>
        <w:ind w:firstLine="420"/>
      </w:pPr>
      <w:r>
        <w:rPr>
          <w:rFonts w:hint="eastAsia"/>
        </w:rPr>
        <w:t>2)筛选成功率：受试者筛选成功率提升≥20%，筛选失败原因记录完整率100%。</w:t>
      </w:r>
    </w:p>
    <w:p w14:paraId="75B965FF">
      <w:pPr>
        <w:pStyle w:val="59"/>
        <w:ind w:firstLine="420"/>
      </w:pPr>
      <w:r>
        <w:rPr>
          <w:rFonts w:hint="eastAsia"/>
        </w:rPr>
        <w:t>3)患者教育完成率：受试者教育完成率≥95%，教育考核通过率≥90%，患者依从性提升≥20%。</w:t>
      </w:r>
    </w:p>
    <w:p w14:paraId="648ADFE5">
      <w:pPr>
        <w:pStyle w:val="59"/>
        <w:ind w:firstLine="420"/>
      </w:pPr>
      <w:r>
        <w:rPr>
          <w:rFonts w:hint="eastAsia"/>
        </w:rPr>
        <w:t>b) 研究执行效率</w:t>
      </w:r>
    </w:p>
    <w:p w14:paraId="3EBC4290">
      <w:pPr>
        <w:pStyle w:val="59"/>
        <w:ind w:firstLine="420"/>
      </w:pPr>
      <w:r>
        <w:rPr>
          <w:rFonts w:hint="eastAsia"/>
        </w:rPr>
        <w:t>1)数据录入时间缩短率：单例受试者数据录入时间缩短≥50%，数据核查时间缩短≥40%。</w:t>
      </w:r>
    </w:p>
    <w:p w14:paraId="57525724">
      <w:pPr>
        <w:pStyle w:val="59"/>
        <w:ind w:firstLine="420"/>
      </w:pPr>
      <w:r>
        <w:rPr>
          <w:rFonts w:hint="eastAsia"/>
        </w:rPr>
        <w:t>2)统计分析周期缩短率：研究数据统计分析周期缩短≥40%，统计报告自动生成率≥80%。</w:t>
      </w:r>
    </w:p>
    <w:p w14:paraId="0CE5EF33">
      <w:pPr>
        <w:pStyle w:val="59"/>
        <w:ind w:firstLine="420"/>
      </w:pPr>
      <w:r>
        <w:rPr>
          <w:rFonts w:hint="eastAsia"/>
        </w:rPr>
        <w:t>3)报告生成效率：研究总结报告生成时间缩短≥60%，常规质控报告、不良事件报告自动生成率≥90%。</w:t>
      </w:r>
    </w:p>
    <w:p w14:paraId="6C163950">
      <w:pPr>
        <w:pStyle w:val="59"/>
        <w:ind w:firstLine="420"/>
      </w:pPr>
      <w:r>
        <w:rPr>
          <w:rFonts w:hint="eastAsia"/>
        </w:rPr>
        <w:t>c) 管理协同效率</w:t>
      </w:r>
    </w:p>
    <w:p w14:paraId="2BA19E56">
      <w:pPr>
        <w:pStyle w:val="59"/>
        <w:ind w:firstLine="420"/>
      </w:pPr>
      <w:r>
        <w:rPr>
          <w:rFonts w:hint="eastAsia"/>
        </w:rPr>
        <w:t>1)伦理审查周期缩短率：伦理审查周期缩短≥25%，伦理审查材料电子化提交率100%。</w:t>
      </w:r>
    </w:p>
    <w:p w14:paraId="72440ED9">
      <w:pPr>
        <w:pStyle w:val="59"/>
        <w:ind w:firstLine="420"/>
      </w:pPr>
      <w:r>
        <w:rPr>
          <w:rFonts w:hint="eastAsia"/>
        </w:rPr>
        <w:t>2)多中心协同效率：多中心研究数据同步延迟≤24小时，跨机构沟通效率提升≥50%，多中心研究整体周期缩短≥20%。</w:t>
      </w:r>
    </w:p>
    <w:p w14:paraId="37FA9138">
      <w:pPr>
        <w:pStyle w:val="59"/>
        <w:ind w:firstLine="420"/>
      </w:pPr>
      <w:r>
        <w:rPr>
          <w:rFonts w:hint="eastAsia"/>
        </w:rPr>
        <w:t>3)第三方协同效率：与CRO、SMO等第三方机构的协同效率提升≥30%，监查工作耗时缩短≥40%。</w:t>
      </w:r>
    </w:p>
    <w:p w14:paraId="22A1EAE3">
      <w:pPr>
        <w:pStyle w:val="108"/>
        <w:spacing w:before="120" w:after="120"/>
        <w:outlineLvl w:val="9"/>
      </w:pPr>
      <w:bookmarkStart w:id="112" w:name="_Toc227246026"/>
      <w:bookmarkStart w:id="113" w:name="_Toc227235693"/>
      <w:bookmarkStart w:id="114" w:name="_Toc227235323"/>
      <w:r>
        <w:rPr>
          <w:rFonts w:hint="eastAsia"/>
        </w:rPr>
        <w:t>数据安全与合规性</w:t>
      </w:r>
      <w:bookmarkEnd w:id="112"/>
      <w:bookmarkEnd w:id="113"/>
      <w:bookmarkEnd w:id="114"/>
    </w:p>
    <w:p w14:paraId="38BCBC44">
      <w:pPr>
        <w:pStyle w:val="59"/>
        <w:ind w:firstLine="420"/>
      </w:pPr>
      <w:r>
        <w:rPr>
          <w:rFonts w:hint="eastAsia"/>
        </w:rPr>
        <w:t>a) 数据分类分级：符合GB/T 43697-2024要求，对临床研究数据进行分类分级管理，敏感数据识别准确率100%，分级标识率100%。</w:t>
      </w:r>
    </w:p>
    <w:p w14:paraId="3B8F4037">
      <w:pPr>
        <w:pStyle w:val="59"/>
        <w:ind w:firstLine="420"/>
      </w:pPr>
      <w:r>
        <w:rPr>
          <w:rFonts w:hint="eastAsia"/>
        </w:rPr>
        <w:t>b) 数据全生命周期安全：实现数据采集、传输、存储、使用、共享、销毁全流程的安全防护，数据加密传输率100%，敏感数据加密存储率100%。</w:t>
      </w:r>
    </w:p>
    <w:p w14:paraId="019F4AB6">
      <w:pPr>
        <w:pStyle w:val="59"/>
        <w:ind w:firstLine="420"/>
      </w:pPr>
      <w:r>
        <w:rPr>
          <w:rFonts w:hint="eastAsia"/>
        </w:rPr>
        <w:t>c) 访问控制：实现基于角色的细粒度访问控制，权限分配准确率100%，越权访问事件发生率为0，访问日志完整率100%。</w:t>
      </w:r>
    </w:p>
    <w:p w14:paraId="5701DB98">
      <w:pPr>
        <w:pStyle w:val="59"/>
        <w:ind w:firstLine="420"/>
      </w:pPr>
      <w:r>
        <w:rPr>
          <w:rFonts w:hint="eastAsia"/>
        </w:rPr>
        <w:t>d) 隐私保护：采用去标识化、匿名化、差分隐私等技术保护受试者隐私，可识别个人信息泄露事件发生率为0，数据脱敏处理率100%。</w:t>
      </w:r>
    </w:p>
    <w:p w14:paraId="7D5227E3">
      <w:pPr>
        <w:pStyle w:val="59"/>
        <w:ind w:firstLine="420"/>
      </w:pPr>
      <w:r>
        <w:rPr>
          <w:rFonts w:hint="eastAsia"/>
        </w:rPr>
        <w:t>e) 安全审计：建立完整的安全审计日志，审计记录保存时间≥5年，安全事件响应时间≤30分钟，安全事件处置率100%。</w:t>
      </w:r>
    </w:p>
    <w:p w14:paraId="53D13AAE">
      <w:pPr>
        <w:pStyle w:val="59"/>
        <w:ind w:firstLine="420"/>
      </w:pPr>
      <w:r>
        <w:rPr>
          <w:rFonts w:hint="eastAsia"/>
        </w:rPr>
        <w:t>f) 灾备能力：符合</w:t>
      </w:r>
      <w:r>
        <w:t>GB/T 20988-2022</w:t>
      </w:r>
      <w:r>
        <w:rPr>
          <w:rFonts w:hint="eastAsia"/>
        </w:rPr>
        <w:t>要求，建立完善的数据备份与灾难恢复机制，数据备份频率≥每日1次，异地备份率100%，灾难恢复时间≤4小时，数据恢复成功率100%。</w:t>
      </w:r>
    </w:p>
    <w:p w14:paraId="1CC511EF">
      <w:pPr>
        <w:pStyle w:val="108"/>
        <w:spacing w:before="120" w:after="120"/>
        <w:outlineLvl w:val="9"/>
      </w:pPr>
      <w:bookmarkStart w:id="115" w:name="_Toc227235694"/>
      <w:bookmarkStart w:id="116" w:name="_Toc227246027"/>
      <w:bookmarkStart w:id="117" w:name="_Toc227235324"/>
      <w:r>
        <w:rPr>
          <w:rFonts w:hint="eastAsia"/>
        </w:rPr>
        <w:t>系统稳定性</w:t>
      </w:r>
      <w:bookmarkEnd w:id="115"/>
      <w:bookmarkEnd w:id="116"/>
      <w:bookmarkEnd w:id="117"/>
    </w:p>
    <w:p w14:paraId="4F4DC6CE">
      <w:pPr>
        <w:pStyle w:val="59"/>
        <w:ind w:firstLine="420"/>
      </w:pPr>
      <w:r>
        <w:rPr>
          <w:rFonts w:hint="eastAsia"/>
        </w:rPr>
        <w:t>a) 系统可用性：平台年平均无故障运行时间≥99.5%，计划外停机时间≤43.8小时/年，故障平均恢复时间≤2小时。</w:t>
      </w:r>
    </w:p>
    <w:p w14:paraId="75D0A386">
      <w:pPr>
        <w:pStyle w:val="59"/>
        <w:ind w:firstLine="420"/>
      </w:pPr>
      <w:r>
        <w:rPr>
          <w:rFonts w:hint="eastAsia"/>
        </w:rPr>
        <w:t>b) 并发处理能力：支持不少于200个用户同时在线操作，系统响应时间≤2秒，峰值并发下系统无崩溃、无数据丢失。</w:t>
      </w:r>
    </w:p>
    <w:p w14:paraId="601E51F3">
      <w:pPr>
        <w:pStyle w:val="59"/>
        <w:ind w:firstLine="420"/>
      </w:pPr>
      <w:r>
        <w:rPr>
          <w:rFonts w:hint="eastAsia"/>
        </w:rPr>
        <w:t>c) 数据处理能力：支持单研究项目不少于10万例受试者数据的存储与处理，数据查询响应时间≤5秒，大数据量统计分析响应时间≤30秒。</w:t>
      </w:r>
    </w:p>
    <w:p w14:paraId="063AC44D">
      <w:pPr>
        <w:pStyle w:val="59"/>
        <w:ind w:firstLine="420"/>
      </w:pPr>
      <w:r>
        <w:rPr>
          <w:rFonts w:hint="eastAsia"/>
        </w:rPr>
        <w:t>d) 兼容性：与医院现有HIS、LIS、PACS、EMR等信息系统的兼容性≥95%，支持主流操作系统与浏览器。</w:t>
      </w:r>
    </w:p>
    <w:p w14:paraId="17897C77">
      <w:pPr>
        <w:pStyle w:val="59"/>
        <w:ind w:firstLine="420"/>
      </w:pPr>
      <w:r>
        <w:rPr>
          <w:rFonts w:hint="eastAsia"/>
        </w:rPr>
        <w:t>e) 可扩展性：支持功能模块的灵活扩展与升级，升级过程不影响现有业务运行，系统扩展响应时间≤72小时。</w:t>
      </w:r>
    </w:p>
    <w:p w14:paraId="1078A771">
      <w:pPr>
        <w:pStyle w:val="59"/>
        <w:ind w:firstLine="420"/>
      </w:pPr>
      <w:r>
        <w:rPr>
          <w:rFonts w:hint="eastAsia"/>
        </w:rPr>
        <w:t>f) 易用性：平台操作界面友好，用户学习成本≤8小时，用户操作错误率≤5%，用户满意度≥90分。</w:t>
      </w:r>
    </w:p>
    <w:p w14:paraId="7FBC5517">
      <w:pPr>
        <w:pStyle w:val="108"/>
        <w:spacing w:before="120" w:after="120"/>
        <w:outlineLvl w:val="9"/>
      </w:pPr>
      <w:bookmarkStart w:id="118" w:name="_Toc227235695"/>
      <w:bookmarkStart w:id="119" w:name="_Toc227235325"/>
      <w:bookmarkStart w:id="120" w:name="_Toc227246028"/>
      <w:r>
        <w:rPr>
          <w:rFonts w:hint="eastAsia"/>
        </w:rPr>
        <w:t>示范推广与应用价值</w:t>
      </w:r>
      <w:bookmarkEnd w:id="118"/>
      <w:bookmarkEnd w:id="119"/>
      <w:bookmarkEnd w:id="120"/>
    </w:p>
    <w:p w14:paraId="771958A6">
      <w:pPr>
        <w:pStyle w:val="59"/>
        <w:ind w:firstLine="420"/>
      </w:pPr>
      <w:r>
        <w:rPr>
          <w:rFonts w:hint="eastAsia"/>
        </w:rPr>
        <w:t>a) 示范效果：形成可复制、可推广的临床研究病房智慧管理模式，多家研究型医院通过现场示范验收，示范项目研究质量与效率达到行业领先水平。</w:t>
      </w:r>
    </w:p>
    <w:p w14:paraId="226ADDE7">
      <w:pPr>
        <w:pStyle w:val="59"/>
        <w:ind w:firstLine="420"/>
      </w:pPr>
      <w:r>
        <w:rPr>
          <w:rFonts w:hint="eastAsia"/>
        </w:rPr>
        <w:t>b) 推广覆盖：平台可在不同规模、不同类型、不同区域的医疗机构推广应用，推广覆盖全国不少于20个省份、100家医疗机构。</w:t>
      </w:r>
    </w:p>
    <w:p w14:paraId="78CFBBA9">
      <w:pPr>
        <w:pStyle w:val="59"/>
        <w:ind w:firstLine="420"/>
      </w:pPr>
      <w:r>
        <w:rPr>
          <w:rFonts w:hint="eastAsia"/>
        </w:rPr>
        <w:t>c) 社会效益：推动临床研究标准化、智慧化水平提升，缩短新药研发周期10%-15%，降低临床研究成本20%-30%，促进生物医药产业高质量发展。</w:t>
      </w:r>
    </w:p>
    <w:p w14:paraId="545F2CF1">
      <w:pPr>
        <w:pStyle w:val="59"/>
        <w:ind w:firstLine="420"/>
      </w:pPr>
      <w:r>
        <w:rPr>
          <w:rFonts w:hint="eastAsia"/>
        </w:rPr>
        <w:t>d) 行业影响力：形成行业公认的应用标准与规范，培养一批临床研究智慧管理专业人才，引领行业技术发展方向。</w:t>
      </w:r>
    </w:p>
    <w:p w14:paraId="624BFEC7">
      <w:pPr>
        <w:pStyle w:val="107"/>
        <w:spacing w:before="240" w:after="240"/>
      </w:pPr>
      <w:bookmarkStart w:id="121" w:name="_Toc227235326"/>
      <w:bookmarkStart w:id="122" w:name="_Toc227765713"/>
      <w:bookmarkStart w:id="123" w:name="_Toc227246029"/>
      <w:bookmarkStart w:id="124" w:name="_Toc227246048"/>
      <w:bookmarkStart w:id="125" w:name="_Toc227235696"/>
      <w:bookmarkStart w:id="126" w:name="_Toc227244035"/>
      <w:r>
        <w:rPr>
          <w:rFonts w:hint="eastAsia"/>
        </w:rPr>
        <w:t>评价方法与实施流程</w:t>
      </w:r>
      <w:bookmarkEnd w:id="121"/>
      <w:bookmarkEnd w:id="122"/>
      <w:bookmarkEnd w:id="123"/>
      <w:bookmarkEnd w:id="124"/>
      <w:bookmarkEnd w:id="125"/>
      <w:bookmarkEnd w:id="126"/>
    </w:p>
    <w:p w14:paraId="187A0158">
      <w:pPr>
        <w:pStyle w:val="108"/>
        <w:spacing w:before="120" w:after="120"/>
        <w:outlineLvl w:val="9"/>
      </w:pPr>
      <w:bookmarkStart w:id="127" w:name="_Toc227235327"/>
      <w:bookmarkStart w:id="128" w:name="_Toc227246030"/>
      <w:bookmarkStart w:id="129" w:name="_Toc227235697"/>
      <w:r>
        <w:rPr>
          <w:rFonts w:hint="eastAsia"/>
        </w:rPr>
        <w:t>核心评价方法</w:t>
      </w:r>
      <w:bookmarkEnd w:id="127"/>
      <w:bookmarkEnd w:id="128"/>
      <w:bookmarkEnd w:id="129"/>
    </w:p>
    <w:p w14:paraId="1B9259C6">
      <w:pPr>
        <w:pStyle w:val="68"/>
        <w:widowControl/>
        <w:spacing w:before="120" w:after="120"/>
        <w:outlineLvl w:val="9"/>
      </w:pPr>
      <w:r>
        <w:rPr>
          <w:rFonts w:hint="eastAsia"/>
        </w:rPr>
        <w:t>对照评价法</w:t>
      </w:r>
    </w:p>
    <w:p w14:paraId="588ABB5F">
      <w:pPr>
        <w:pStyle w:val="59"/>
        <w:ind w:firstLine="420"/>
      </w:pPr>
      <w:r>
        <w:rPr>
          <w:rFonts w:hint="eastAsia"/>
        </w:rPr>
        <w:t>a) 前瞻性随机对照试验：将符合条件的研究中心或研究项目随机分为平台应用组与传统模式对照组，采用平行对照设计，对比两组在临床研究质量、效率、成本等方面的差异，随访时间不少于6个月。</w:t>
      </w:r>
    </w:p>
    <w:p w14:paraId="5D431F6D">
      <w:pPr>
        <w:pStyle w:val="59"/>
        <w:ind w:firstLine="420"/>
      </w:pPr>
      <w:r>
        <w:rPr>
          <w:rFonts w:hint="eastAsia"/>
        </w:rPr>
        <w:t>b) 回顾性自身对照研究：收集同一研究中心或同一研究团队在平台应用前后的临床研究数据，进行自身前后对照分析，评价平台应用的实际效果。</w:t>
      </w:r>
    </w:p>
    <w:p w14:paraId="7319725C">
      <w:pPr>
        <w:pStyle w:val="59"/>
        <w:ind w:firstLine="420"/>
      </w:pPr>
      <w:r>
        <w:rPr>
          <w:rFonts w:hint="eastAsia"/>
        </w:rPr>
        <w:t>c) 匹配对照研究：采用倾向性评分匹配方法，匹配平台应用组与对照组的研究中心特征、研究项目特征，减少混杂因素的影响，提高评价结果的准确性。</w:t>
      </w:r>
    </w:p>
    <w:p w14:paraId="3245247D">
      <w:pPr>
        <w:pStyle w:val="68"/>
        <w:widowControl/>
        <w:spacing w:before="120" w:after="120"/>
        <w:outlineLvl w:val="9"/>
      </w:pPr>
      <w:r>
        <w:rPr>
          <w:rFonts w:hint="eastAsia"/>
        </w:rPr>
        <w:t>量表评价法</w:t>
      </w:r>
    </w:p>
    <w:p w14:paraId="2195ACFF">
      <w:pPr>
        <w:pStyle w:val="59"/>
        <w:ind w:firstLine="420"/>
      </w:pPr>
      <w:r>
        <w:rPr>
          <w:rFonts w:hint="eastAsia"/>
        </w:rPr>
        <w:t>a) 运用Cochrane协作网偏倚风险评估工具，从随机序列生成、分配隐藏、盲法、结果数据完整性、选择性报告等方面评价随机对照试验的方法学质量。</w:t>
      </w:r>
    </w:p>
    <w:p w14:paraId="061A8776">
      <w:pPr>
        <w:pStyle w:val="59"/>
        <w:ind w:firstLine="420"/>
      </w:pPr>
      <w:r>
        <w:rPr>
          <w:rFonts w:hint="eastAsia"/>
        </w:rPr>
        <w:t>b) 运用纽卡斯尔-渥太华量表，从研究对象选择、组间可比性、结果测量等方面评价观察性研究的质量。</w:t>
      </w:r>
    </w:p>
    <w:p w14:paraId="42CB5EA8">
      <w:pPr>
        <w:pStyle w:val="59"/>
        <w:ind w:firstLine="420"/>
      </w:pPr>
      <w:r>
        <w:rPr>
          <w:rFonts w:hint="eastAsia"/>
        </w:rPr>
        <w:t>c) 运用STROBE量表，从题目与摘要、引言、方法、结果、讨论等方面评价观察性研究报告的质量。</w:t>
      </w:r>
    </w:p>
    <w:p w14:paraId="0EFB33FE">
      <w:pPr>
        <w:pStyle w:val="59"/>
        <w:ind w:firstLine="420"/>
      </w:pPr>
      <w:r>
        <w:rPr>
          <w:rFonts w:hint="eastAsia"/>
        </w:rPr>
        <w:t>d) 运用用户满意度量表，从平台功能、易用性、稳定性、技术支持等方面评价用户对平台的满意度。</w:t>
      </w:r>
    </w:p>
    <w:p w14:paraId="56064C66">
      <w:pPr>
        <w:pStyle w:val="68"/>
        <w:widowControl/>
        <w:spacing w:before="120" w:after="120"/>
        <w:outlineLvl w:val="9"/>
      </w:pPr>
      <w:r>
        <w:rPr>
          <w:rFonts w:hint="eastAsia"/>
        </w:rPr>
        <w:t>现场验证法</w:t>
      </w:r>
    </w:p>
    <w:p w14:paraId="4AADB694">
      <w:pPr>
        <w:pStyle w:val="59"/>
        <w:ind w:firstLine="420"/>
      </w:pPr>
      <w:r>
        <w:rPr>
          <w:rFonts w:hint="eastAsia"/>
        </w:rPr>
        <w:t>a) 现场查看：实地查看平台的运行环境、硬件设备、系统部署情况，检查平台功能模块的完整性与可用性。</w:t>
      </w:r>
    </w:p>
    <w:p w14:paraId="05421739">
      <w:pPr>
        <w:pStyle w:val="59"/>
        <w:ind w:firstLine="420"/>
      </w:pPr>
      <w:r>
        <w:rPr>
          <w:rFonts w:hint="eastAsia"/>
        </w:rPr>
        <w:t>b) 操作演示：由平台使用人员现场演示平台的核心功能操作，验证功能的有效性与易用性。</w:t>
      </w:r>
    </w:p>
    <w:p w14:paraId="538195CF">
      <w:pPr>
        <w:pStyle w:val="59"/>
        <w:ind w:firstLine="420"/>
      </w:pPr>
      <w:r>
        <w:rPr>
          <w:rFonts w:hint="eastAsia"/>
        </w:rPr>
        <w:t>c) 数据核查：随机抽取一定比例的研究项目与受试者数据，与原始病历、检验检查报告等原始资料进行比对，核查数据的真实性、准确性与完整性。</w:t>
      </w:r>
    </w:p>
    <w:p w14:paraId="2D5D1791">
      <w:pPr>
        <w:pStyle w:val="59"/>
        <w:ind w:firstLine="420"/>
      </w:pPr>
      <w:r>
        <w:rPr>
          <w:rFonts w:hint="eastAsia"/>
        </w:rPr>
        <w:t>d) 人员访谈：与临床研究医生、护士、平台管理人员、受试者等进行半结构化访谈，了解平台应用的实际情况、存在的问题及改进建议。</w:t>
      </w:r>
    </w:p>
    <w:p w14:paraId="675DE8B2">
      <w:pPr>
        <w:pStyle w:val="68"/>
        <w:widowControl/>
        <w:spacing w:before="120" w:after="120"/>
        <w:outlineLvl w:val="9"/>
      </w:pPr>
      <w:r>
        <w:rPr>
          <w:rFonts w:hint="eastAsia"/>
        </w:rPr>
        <w:t>第三方独立评估法</w:t>
      </w:r>
    </w:p>
    <w:p w14:paraId="18B4D865">
      <w:pPr>
        <w:pStyle w:val="59"/>
        <w:ind w:firstLine="420"/>
      </w:pPr>
      <w:r>
        <w:rPr>
          <w:rFonts w:hint="eastAsia"/>
        </w:rPr>
        <w:t>a) 委托具备相应资质的第三方机构，对平台的技术性能、安全性、可靠性进行独立测试，出具第三方测试报告。</w:t>
      </w:r>
    </w:p>
    <w:p w14:paraId="6CDE6B76">
      <w:pPr>
        <w:pStyle w:val="59"/>
        <w:ind w:firstLine="420"/>
      </w:pPr>
      <w:r>
        <w:rPr>
          <w:rFonts w:hint="eastAsia"/>
        </w:rPr>
        <w:t>b) 邀请第三方临床研究质量评估机构，对平台应用后的临床研究质量进行独立评价，出具第三方质量评估报告。</w:t>
      </w:r>
    </w:p>
    <w:p w14:paraId="2BCD86BA">
      <w:pPr>
        <w:pStyle w:val="59"/>
        <w:ind w:firstLine="420"/>
      </w:pPr>
      <w:r>
        <w:rPr>
          <w:rFonts w:hint="eastAsia"/>
        </w:rPr>
        <w:t>c) 委托第三方卫生经济学评估机构，对平台应用的成本效益进行独立分析，出具卫生经济学评估报告。</w:t>
      </w:r>
    </w:p>
    <w:p w14:paraId="06B666F7">
      <w:pPr>
        <w:pStyle w:val="68"/>
        <w:widowControl/>
        <w:spacing w:before="120" w:after="120"/>
        <w:outlineLvl w:val="9"/>
      </w:pPr>
      <w:r>
        <w:rPr>
          <w:rFonts w:hint="eastAsia"/>
        </w:rPr>
        <w:t>专家评审法</w:t>
      </w:r>
    </w:p>
    <w:p w14:paraId="1E98B998">
      <w:pPr>
        <w:pStyle w:val="59"/>
        <w:ind w:firstLine="420"/>
      </w:pPr>
      <w:r>
        <w:rPr>
          <w:rFonts w:hint="eastAsia"/>
        </w:rPr>
        <w:t>a) 组建由临床医学、临床研究管理、信息技术、人工智能、卫生经济学、法学等领域专家组成的评审委员会，专家人数不少于7人。</w:t>
      </w:r>
    </w:p>
    <w:p w14:paraId="6414C7F8">
      <w:pPr>
        <w:pStyle w:val="59"/>
        <w:ind w:firstLine="420"/>
      </w:pPr>
      <w:r>
        <w:rPr>
          <w:rFonts w:hint="eastAsia"/>
        </w:rPr>
        <w:t>b) 采用德尔菲法，通过多轮专家咨询，对平台的应用效果、示范价值及推广前景进行综合评价。</w:t>
      </w:r>
    </w:p>
    <w:p w14:paraId="0C486770">
      <w:pPr>
        <w:pStyle w:val="59"/>
        <w:ind w:firstLine="420"/>
      </w:pPr>
      <w:r>
        <w:rPr>
          <w:rFonts w:hint="eastAsia"/>
        </w:rPr>
        <w:t>c) 召开专家评审会议，听取评价工作组的汇报，查阅相关资料，进行质询与讨论，形成专家评审意见。</w:t>
      </w:r>
    </w:p>
    <w:p w14:paraId="50B4EE35">
      <w:pPr>
        <w:pStyle w:val="68"/>
        <w:widowControl/>
        <w:spacing w:before="120" w:after="120"/>
        <w:outlineLvl w:val="9"/>
      </w:pPr>
      <w:r>
        <w:rPr>
          <w:rFonts w:hint="eastAsia"/>
        </w:rPr>
        <w:t>大数据分析法</w:t>
      </w:r>
    </w:p>
    <w:p w14:paraId="48233BC6">
      <w:pPr>
        <w:pStyle w:val="59"/>
        <w:ind w:firstLine="420"/>
      </w:pPr>
      <w:r>
        <w:rPr>
          <w:rFonts w:hint="eastAsia"/>
        </w:rPr>
        <w:t>利用平台积累的海量临床研究数据，采用大数据分析技术，对平台的运行状态、功能使用情况、用户行为、研究质量与效率等进行多维度、深层次的分析，挖掘平台应用的潜在价值与存在的问题。</w:t>
      </w:r>
    </w:p>
    <w:p w14:paraId="0AB8F094">
      <w:pPr>
        <w:pStyle w:val="108"/>
        <w:spacing w:before="120" w:after="120"/>
        <w:outlineLvl w:val="9"/>
      </w:pPr>
      <w:bookmarkStart w:id="130" w:name="_Toc227246031"/>
      <w:bookmarkStart w:id="131" w:name="_Toc227235328"/>
      <w:bookmarkStart w:id="132" w:name="_Toc227235698"/>
      <w:r>
        <w:rPr>
          <w:rFonts w:hint="eastAsia"/>
        </w:rPr>
        <w:t>评价实施流程</w:t>
      </w:r>
      <w:bookmarkEnd w:id="130"/>
      <w:bookmarkEnd w:id="131"/>
      <w:bookmarkEnd w:id="132"/>
    </w:p>
    <w:p w14:paraId="73F2027A">
      <w:pPr>
        <w:pStyle w:val="68"/>
        <w:widowControl/>
        <w:spacing w:before="120" w:after="120"/>
        <w:outlineLvl w:val="9"/>
      </w:pPr>
      <w:r>
        <w:rPr>
          <w:rFonts w:hint="eastAsia"/>
        </w:rPr>
        <w:t>准备阶段</w:t>
      </w:r>
    </w:p>
    <w:p w14:paraId="265602AD">
      <w:pPr>
        <w:pStyle w:val="59"/>
        <w:ind w:firstLine="420"/>
      </w:pPr>
      <w:r>
        <w:rPr>
          <w:rFonts w:hint="eastAsia"/>
        </w:rPr>
        <w:t>a) 成立评价工作组，由临床医学、临床研究管理、信息技术、卫生统计学等多学科人员组成，明确各成员的职责分工与协同工作机制，工作组组长由具有高级专业技术职称的人员担任。</w:t>
      </w:r>
    </w:p>
    <w:p w14:paraId="4CB1602B">
      <w:pPr>
        <w:pStyle w:val="59"/>
        <w:ind w:firstLine="420"/>
      </w:pPr>
      <w:r>
        <w:rPr>
          <w:rFonts w:hint="eastAsia"/>
        </w:rPr>
        <w:t>b) 结合平台建设目标、应用场景与行业要求，制定详细的评价实施方案，明确评价目的、评价范围、评价维度、评价指标、评价方法、实施步骤、时间安排、质量控制措施等。</w:t>
      </w:r>
    </w:p>
    <w:p w14:paraId="4BC329BD">
      <w:pPr>
        <w:pStyle w:val="59"/>
        <w:ind w:firstLine="420"/>
      </w:pPr>
      <w:r>
        <w:rPr>
          <w:rFonts w:hint="eastAsia"/>
        </w:rPr>
        <w:t>c) 制定量化的评价指标体系，明确各指标的定义、计算方法、判定标准与数据来源，经行业专家论证通过后正式发布。</w:t>
      </w:r>
    </w:p>
    <w:p w14:paraId="19250284">
      <w:pPr>
        <w:pStyle w:val="59"/>
        <w:ind w:firstLine="420"/>
      </w:pPr>
      <w:r>
        <w:rPr>
          <w:rFonts w:hint="eastAsia"/>
        </w:rPr>
        <w:t>d) 开发标准化评价工具，包括数据采集表、用户满意度调查问卷、功能测试用例、现场核查清单、专家评审表、访谈提纲等。</w:t>
      </w:r>
    </w:p>
    <w:p w14:paraId="3BDE470A">
      <w:pPr>
        <w:pStyle w:val="59"/>
        <w:ind w:firstLine="420"/>
      </w:pPr>
      <w:r>
        <w:rPr>
          <w:rFonts w:hint="eastAsia"/>
        </w:rPr>
        <w:t>e) 搭建评价数据管理系统，实现评价数据的电子化采集、存储、管理与分析。</w:t>
      </w:r>
    </w:p>
    <w:p w14:paraId="5958103D">
      <w:pPr>
        <w:pStyle w:val="59"/>
        <w:ind w:firstLine="420"/>
      </w:pPr>
      <w:r>
        <w:rPr>
          <w:rFonts w:hint="eastAsia"/>
        </w:rPr>
        <w:t>f) 对所有参与评价的人员开展统一培训，培训内容包括评价标准、评价方法、实施流程、数据规范、质量控制要求等，考核合格后方可参与评价工作。</w:t>
      </w:r>
    </w:p>
    <w:p w14:paraId="2273EA8D">
      <w:pPr>
        <w:pStyle w:val="68"/>
        <w:widowControl/>
        <w:spacing w:before="120" w:after="120"/>
        <w:outlineLvl w:val="9"/>
      </w:pPr>
      <w:r>
        <w:rPr>
          <w:rFonts w:hint="eastAsia"/>
        </w:rPr>
        <w:t>模拟测试阶段</w:t>
      </w:r>
    </w:p>
    <w:p w14:paraId="53F9D666">
      <w:pPr>
        <w:pStyle w:val="59"/>
        <w:ind w:firstLine="420"/>
      </w:pPr>
      <w:r>
        <w:rPr>
          <w:rFonts w:hint="eastAsia"/>
        </w:rPr>
        <w:t>a) 搭建与医疗机构实际运行环境一致的模拟测试环境，包括硬件设备、软件系统、网络环境、测试数据等，完整覆盖所有预设评价场景。</w:t>
      </w:r>
    </w:p>
    <w:p w14:paraId="32A2E338">
      <w:pPr>
        <w:pStyle w:val="59"/>
        <w:ind w:firstLine="420"/>
      </w:pPr>
      <w:r>
        <w:rPr>
          <w:rFonts w:hint="eastAsia"/>
        </w:rPr>
        <w:t>b) 设计全面的测试用例，覆盖平台所有核心功能模块、不同临床研究场景、不同操作流程及异常情况，测试用例总数不少于200条。</w:t>
      </w:r>
    </w:p>
    <w:p w14:paraId="2DF39EDB">
      <w:pPr>
        <w:pStyle w:val="59"/>
        <w:ind w:firstLine="420"/>
      </w:pPr>
      <w:r>
        <w:rPr>
          <w:rFonts w:hint="eastAsia"/>
        </w:rPr>
        <w:t>c) 按照测试用例对平台核心功能进行全量、全流程、多维度测试，包括功能测试、性能测试、安全测试、兼容性测试、易用性测试等。</w:t>
      </w:r>
    </w:p>
    <w:p w14:paraId="76220448">
      <w:pPr>
        <w:pStyle w:val="59"/>
        <w:ind w:firstLine="420"/>
      </w:pPr>
      <w:r>
        <w:rPr>
          <w:rFonts w:hint="eastAsia"/>
        </w:rPr>
        <w:t>d) 详细记录测试过程中发现的功能缺陷、性能问题、安全漏洞及兼容性问题，建立问题台账，明确问题等级、整改责任人与整改期限。</w:t>
      </w:r>
    </w:p>
    <w:p w14:paraId="120B3E5D">
      <w:pPr>
        <w:pStyle w:val="59"/>
        <w:ind w:firstLine="420"/>
      </w:pPr>
      <w:r>
        <w:rPr>
          <w:rFonts w:hint="eastAsia"/>
        </w:rPr>
        <w:t>e) 督促技术团队对发现的问题进行限期整改，整改完成后进行回归测试，验证整改效果，直至所有问题全部闭环。</w:t>
      </w:r>
    </w:p>
    <w:p w14:paraId="5464212B">
      <w:pPr>
        <w:pStyle w:val="59"/>
        <w:ind w:firstLine="420"/>
      </w:pPr>
      <w:r>
        <w:rPr>
          <w:rFonts w:hint="eastAsia"/>
        </w:rPr>
        <w:t>f) 形成完整的模拟测试报告，包括测试环境、测试用例、测试结果、问题整改情况、改进建议等，为现场应用验证奠定技术基础。</w:t>
      </w:r>
    </w:p>
    <w:p w14:paraId="20594EFB">
      <w:pPr>
        <w:pStyle w:val="68"/>
        <w:widowControl/>
        <w:spacing w:before="120" w:after="120"/>
        <w:outlineLvl w:val="9"/>
      </w:pPr>
      <w:r>
        <w:rPr>
          <w:rFonts w:hint="eastAsia"/>
        </w:rPr>
        <w:t>现场应用验证阶段</w:t>
      </w:r>
    </w:p>
    <w:p w14:paraId="1D37BD4A">
      <w:pPr>
        <w:pStyle w:val="59"/>
        <w:ind w:firstLine="420"/>
      </w:pPr>
      <w:r>
        <w:rPr>
          <w:rFonts w:hint="eastAsia"/>
        </w:rPr>
        <w:t>a) 选取多家不同类型、不同规模、不同专科特色的研究型医院作为首批示范单位，签署示范应用协议，明确双方的权利与义务。</w:t>
      </w:r>
    </w:p>
    <w:p w14:paraId="7E658C02">
      <w:pPr>
        <w:pStyle w:val="59"/>
        <w:ind w:firstLine="420"/>
      </w:pPr>
      <w:r>
        <w:rPr>
          <w:rFonts w:hint="eastAsia"/>
        </w:rPr>
        <w:t>b) 在示范单位完成平台的部署、调试与人员培训，开展为期1-3个月的试运行，解决试运行过程中出现的问题。</w:t>
      </w:r>
    </w:p>
    <w:p w14:paraId="18B9178C">
      <w:pPr>
        <w:pStyle w:val="59"/>
        <w:ind w:firstLine="420"/>
      </w:pPr>
      <w:r>
        <w:rPr>
          <w:rFonts w:hint="eastAsia"/>
        </w:rPr>
        <w:t>c) 正式启动现场示范应用，开展全流程临床研究项目，严格按照临床研究方案与平台操作规范执行。</w:t>
      </w:r>
    </w:p>
    <w:p w14:paraId="0FC92237">
      <w:pPr>
        <w:pStyle w:val="59"/>
        <w:ind w:firstLine="420"/>
      </w:pPr>
      <w:r>
        <w:rPr>
          <w:rFonts w:hint="eastAsia"/>
        </w:rPr>
        <w:t>d) 在示范应用基础上，逐步扩大验证范围至不少于5家研究型医院，覆盖不同区域、不同等级的医疗机构。</w:t>
      </w:r>
    </w:p>
    <w:p w14:paraId="32324EFB">
      <w:pPr>
        <w:pStyle w:val="59"/>
        <w:ind w:firstLine="420"/>
      </w:pPr>
      <w:r>
        <w:rPr>
          <w:rFonts w:hint="eastAsia"/>
        </w:rPr>
        <w:t>e) 严格按照评价方案开展常态化数据采集工作，建立数据采集台账，明确数据采集责任人、采集频率与采集要求，确保评价数据真实、完整、可追溯。</w:t>
      </w:r>
    </w:p>
    <w:p w14:paraId="4F0CB319">
      <w:pPr>
        <w:pStyle w:val="59"/>
        <w:ind w:firstLine="420"/>
      </w:pPr>
      <w:r>
        <w:rPr>
          <w:rFonts w:hint="eastAsia"/>
        </w:rPr>
        <w:t>f) 建立数据质量核查机制，每周对采集的数据进行质量核查，及时发现并纠正数据错误与缺失。</w:t>
      </w:r>
    </w:p>
    <w:p w14:paraId="353F9D99">
      <w:pPr>
        <w:pStyle w:val="59"/>
        <w:ind w:firstLine="420"/>
      </w:pPr>
      <w:r>
        <w:rPr>
          <w:rFonts w:hint="eastAsia"/>
        </w:rPr>
        <w:t>g) 定期召开评价进展会议，每月召开一次月度例会，每季度召开一次季度总结会，及时协调解决平台应用与评价过程中出现的技术问题、流程问题及协同问题。</w:t>
      </w:r>
    </w:p>
    <w:p w14:paraId="648DD66A">
      <w:pPr>
        <w:pStyle w:val="59"/>
        <w:ind w:firstLine="420"/>
      </w:pPr>
      <w:r>
        <w:rPr>
          <w:rFonts w:hint="eastAsia"/>
        </w:rPr>
        <w:t>h) 在平台应用中期开展中期评价，重点验证平台核心功能的稳定性、适配性及初步应用效果，分析存在的问题，调整优化后续评价方案与平台功能。</w:t>
      </w:r>
    </w:p>
    <w:p w14:paraId="30678690">
      <w:pPr>
        <w:pStyle w:val="59"/>
        <w:ind w:firstLine="420"/>
      </w:pPr>
      <w:r>
        <w:rPr>
          <w:rFonts w:hint="eastAsia"/>
        </w:rPr>
        <w:t>i) 在现场应用验证末期完成全部预设临床研究项目，收集完整的全周期评价数据与典型应用案例，整理相关证明材料。</w:t>
      </w:r>
    </w:p>
    <w:p w14:paraId="0EA204ED">
      <w:pPr>
        <w:pStyle w:val="68"/>
        <w:widowControl/>
        <w:spacing w:before="120" w:after="120"/>
        <w:outlineLvl w:val="9"/>
      </w:pPr>
      <w:r>
        <w:rPr>
          <w:rFonts w:hint="eastAsia"/>
        </w:rPr>
        <w:t>评价阶段</w:t>
      </w:r>
    </w:p>
    <w:p w14:paraId="78A3BDED">
      <w:pPr>
        <w:pStyle w:val="59"/>
        <w:ind w:firstLine="420"/>
      </w:pPr>
      <w:r>
        <w:rPr>
          <w:rFonts w:hint="eastAsia"/>
        </w:rPr>
        <w:t>a) 对采集的多源评价数据进行汇总、清洗、标准化处理与统计分析，采用描述性统计、推断性统计、对比分析等方法，形成量化分析结果。</w:t>
      </w:r>
    </w:p>
    <w:p w14:paraId="3CBA3864">
      <w:pPr>
        <w:pStyle w:val="59"/>
        <w:ind w:firstLine="420"/>
      </w:pPr>
      <w:r>
        <w:rPr>
          <w:rFonts w:hint="eastAsia"/>
        </w:rPr>
        <w:t>b) 委托具备相应资质的第三方机构开展独立评估，包括技术性能测试、安全评估、临床研究质量评估、成本效益分析等，出具第三方评估报告。</w:t>
      </w:r>
    </w:p>
    <w:p w14:paraId="4F122194">
      <w:pPr>
        <w:pStyle w:val="59"/>
        <w:ind w:firstLine="420"/>
      </w:pPr>
      <w:r>
        <w:rPr>
          <w:rFonts w:hint="eastAsia"/>
        </w:rPr>
        <w:t>c) 组织专家委员会召开评审会议，听取评价工作组的汇报，查阅评价数据、第三方评估报告、示范应用材料等，进行质询与讨论，形成初步评价结论。</w:t>
      </w:r>
    </w:p>
    <w:p w14:paraId="059F0F06">
      <w:pPr>
        <w:pStyle w:val="59"/>
        <w:ind w:firstLine="420"/>
      </w:pPr>
      <w:r>
        <w:rPr>
          <w:rFonts w:hint="eastAsia"/>
        </w:rPr>
        <w:t>d) 对初步评价结论进行验证与复核，确保评价结论的客观性与准确性。</w:t>
      </w:r>
    </w:p>
    <w:p w14:paraId="42100E01">
      <w:pPr>
        <w:pStyle w:val="59"/>
        <w:ind w:firstLine="420"/>
      </w:pPr>
      <w:r>
        <w:rPr>
          <w:rFonts w:hint="eastAsia"/>
        </w:rPr>
        <w:t>e) 撰写完整的平台应用评价报告，系统阐述平台的应用成效、核心优势、存在问题及针对性改进建议，评价报告应包括评价背景、评价目的、评价范围、评价方法、评价结果、结论与建议等内容。</w:t>
      </w:r>
    </w:p>
    <w:p w14:paraId="7CF6185F">
      <w:pPr>
        <w:pStyle w:val="68"/>
        <w:widowControl/>
        <w:spacing w:before="120" w:after="120"/>
        <w:outlineLvl w:val="9"/>
      </w:pPr>
      <w:r>
        <w:rPr>
          <w:rFonts w:hint="eastAsia"/>
        </w:rPr>
        <w:t>应用阶段</w:t>
      </w:r>
    </w:p>
    <w:p w14:paraId="0811F6D1">
      <w:pPr>
        <w:pStyle w:val="59"/>
        <w:ind w:firstLine="420"/>
      </w:pPr>
      <w:r>
        <w:rPr>
          <w:rFonts w:hint="eastAsia"/>
        </w:rPr>
        <w:t>a) 发布正式的临床研究病房智慧管理平台应用评价报告，向行业公开评价结果，接受社会监督。</w:t>
      </w:r>
    </w:p>
    <w:p w14:paraId="34365E9B">
      <w:pPr>
        <w:pStyle w:val="59"/>
        <w:ind w:firstLine="420"/>
      </w:pPr>
      <w:r>
        <w:rPr>
          <w:rFonts w:hint="eastAsia"/>
        </w:rPr>
        <w:t>b) 根据评价结果对平台进行分级，分为优秀、合格、不合格三个等级，不同等级的平台采取不同的应用与推广策略。</w:t>
      </w:r>
    </w:p>
    <w:p w14:paraId="24D8405E">
      <w:pPr>
        <w:pStyle w:val="59"/>
        <w:ind w:firstLine="420"/>
      </w:pPr>
      <w:r>
        <w:rPr>
          <w:rFonts w:hint="eastAsia"/>
        </w:rPr>
        <w:t>c) 将评价发现的问题转化为平台迭代优化需求，建立问题整改跟踪机制，明确整改责任人与整改期限，定期跟踪整改进度与效果。</w:t>
      </w:r>
    </w:p>
    <w:p w14:paraId="172A2ABF">
      <w:pPr>
        <w:pStyle w:val="59"/>
        <w:ind w:firstLine="420"/>
      </w:pPr>
      <w:r>
        <w:rPr>
          <w:rFonts w:hint="eastAsia"/>
        </w:rPr>
        <w:t>d) 基于评价结果完善本标准及相关配套技术规范，指导行业科学、规范应用临床研究病房智慧管理平台。</w:t>
      </w:r>
    </w:p>
    <w:p w14:paraId="47B697A2">
      <w:pPr>
        <w:pStyle w:val="59"/>
        <w:ind w:firstLine="420"/>
      </w:pPr>
      <w:r>
        <w:rPr>
          <w:rFonts w:hint="eastAsia"/>
        </w:rPr>
        <w:t>e) 总结示范应用经验，提炼形成可复制、可推广的临床研究智慧管理模式，编制示范应用指南，支撑平台的全国范围示范推广。</w:t>
      </w:r>
    </w:p>
    <w:p w14:paraId="42E40F2C">
      <w:pPr>
        <w:pStyle w:val="59"/>
        <w:ind w:firstLine="420"/>
      </w:pPr>
      <w:r>
        <w:rPr>
          <w:rFonts w:hint="eastAsia"/>
        </w:rPr>
        <w:t>f) 建立平台应用效果跟踪机制，对已推广应用的平台进行持续跟踪评价，及时发现新的问题，推动平台持续优化升级。</w:t>
      </w:r>
    </w:p>
    <w:p w14:paraId="4226E559">
      <w:pPr>
        <w:pStyle w:val="107"/>
        <w:spacing w:before="240" w:after="240"/>
      </w:pPr>
      <w:bookmarkStart w:id="133" w:name="_Toc227246049"/>
      <w:bookmarkStart w:id="134" w:name="_Toc227235699"/>
      <w:bookmarkStart w:id="135" w:name="_Toc227235329"/>
      <w:bookmarkStart w:id="136" w:name="_Toc227246032"/>
      <w:bookmarkStart w:id="137" w:name="_Toc227765714"/>
      <w:bookmarkStart w:id="138" w:name="_Toc227244036"/>
      <w:r>
        <w:rPr>
          <w:rFonts w:hint="eastAsia"/>
        </w:rPr>
        <w:t>评价质量</w:t>
      </w:r>
      <w:bookmarkEnd w:id="133"/>
      <w:bookmarkEnd w:id="134"/>
      <w:bookmarkEnd w:id="135"/>
      <w:bookmarkEnd w:id="136"/>
      <w:bookmarkEnd w:id="137"/>
      <w:bookmarkEnd w:id="138"/>
    </w:p>
    <w:p w14:paraId="6939636B">
      <w:pPr>
        <w:pStyle w:val="108"/>
        <w:spacing w:before="120" w:after="120"/>
        <w:outlineLvl w:val="9"/>
      </w:pPr>
      <w:bookmarkStart w:id="139" w:name="_Toc227235700"/>
      <w:bookmarkStart w:id="140" w:name="_Toc227235330"/>
      <w:bookmarkStart w:id="141" w:name="_Toc227246033"/>
      <w:r>
        <w:rPr>
          <w:rFonts w:hint="eastAsia"/>
        </w:rPr>
        <w:t>评价人员</w:t>
      </w:r>
      <w:bookmarkEnd w:id="139"/>
      <w:bookmarkEnd w:id="140"/>
      <w:bookmarkEnd w:id="141"/>
      <w:r>
        <w:rPr>
          <w:rFonts w:hint="eastAsia"/>
        </w:rPr>
        <w:t>管理</w:t>
      </w:r>
    </w:p>
    <w:p w14:paraId="59A7E2C6">
      <w:pPr>
        <w:pStyle w:val="59"/>
        <w:ind w:firstLine="420"/>
      </w:pPr>
      <w:r>
        <w:rPr>
          <w:rFonts w:hint="eastAsia"/>
        </w:rPr>
        <w:t>a) 建立评价人员资质审核制度，评价人员应具备临床医学、临床研究管理、信息技术、卫生统计学等相关专业背景，具有3年以上相关工作经验，熟悉临床研究相关法规与平台操作。</w:t>
      </w:r>
    </w:p>
    <w:p w14:paraId="18B3BD25">
      <w:pPr>
        <w:pStyle w:val="59"/>
        <w:ind w:firstLine="420"/>
      </w:pPr>
      <w:r>
        <w:rPr>
          <w:rFonts w:hint="eastAsia"/>
        </w:rPr>
        <w:t>b) 实行评价人员培训与考核制度，定期组织评价人员学习评价标准、方法流程、数据规范及相关法规，考核不合格者不得参与评价工作。</w:t>
      </w:r>
    </w:p>
    <w:p w14:paraId="426BE78B">
      <w:pPr>
        <w:pStyle w:val="59"/>
        <w:ind w:firstLine="420"/>
      </w:pPr>
      <w:r>
        <w:rPr>
          <w:rFonts w:hint="eastAsia"/>
        </w:rPr>
        <w:t>c) 建立评价人员利益回避制度，与被评价单位存在利益关系的人员应主动回避，确保评价过程的公正性。</w:t>
      </w:r>
    </w:p>
    <w:p w14:paraId="409E94B1">
      <w:pPr>
        <w:pStyle w:val="59"/>
        <w:ind w:firstLine="420"/>
      </w:pPr>
      <w:r>
        <w:rPr>
          <w:rFonts w:hint="eastAsia"/>
        </w:rPr>
        <w:t>d) 建立评价人员绩效考核制度，对评价人员的工作态度、工作质量、工作效率进行考核，考核结果与评价人员的参与资格挂钩。</w:t>
      </w:r>
    </w:p>
    <w:p w14:paraId="1EBB11EF">
      <w:pPr>
        <w:pStyle w:val="108"/>
        <w:spacing w:before="120" w:after="120"/>
        <w:outlineLvl w:val="9"/>
      </w:pPr>
      <w:bookmarkStart w:id="142" w:name="_Toc227246034"/>
      <w:bookmarkStart w:id="143" w:name="_Toc227235331"/>
      <w:bookmarkStart w:id="144" w:name="_Toc227235701"/>
      <w:r>
        <w:rPr>
          <w:rFonts w:hint="eastAsia"/>
        </w:rPr>
        <w:t>评价过程</w:t>
      </w:r>
      <w:bookmarkEnd w:id="142"/>
      <w:bookmarkEnd w:id="143"/>
      <w:bookmarkEnd w:id="144"/>
      <w:r>
        <w:rPr>
          <w:rFonts w:hint="eastAsia"/>
        </w:rPr>
        <w:t>管理</w:t>
      </w:r>
    </w:p>
    <w:p w14:paraId="09ABCA2E">
      <w:pPr>
        <w:pStyle w:val="59"/>
        <w:ind w:firstLine="420"/>
      </w:pPr>
      <w:r>
        <w:rPr>
          <w:rFonts w:hint="eastAsia"/>
        </w:rPr>
        <w:t>a) 严格按照评价方案实施评价，不得擅自更改评价内容、评价标准、评价方法与评价流程，确需调整的，应经评价工作组集体讨论通过并报专家委员会批准。</w:t>
      </w:r>
    </w:p>
    <w:p w14:paraId="1E77FDB6">
      <w:pPr>
        <w:pStyle w:val="59"/>
        <w:ind w:firstLine="420"/>
      </w:pPr>
      <w:r>
        <w:rPr>
          <w:rFonts w:hint="eastAsia"/>
        </w:rPr>
        <w:t>b) 建立评价全过程记录制度，详细记录评价时间、地点、人员、内容、方法、结果及发现的问题，所有记录应签字确认并存档备查，档案保存期限不少于10年。</w:t>
      </w:r>
    </w:p>
    <w:p w14:paraId="7C4CEF07">
      <w:pPr>
        <w:pStyle w:val="59"/>
        <w:ind w:firstLine="420"/>
      </w:pPr>
      <w:r>
        <w:rPr>
          <w:rFonts w:hint="eastAsia"/>
        </w:rPr>
        <w:t>c) 对关键评价数据与结论实行双人交叉复核制度，确保评价数据的准确性与评价结论的可靠性。</w:t>
      </w:r>
    </w:p>
    <w:p w14:paraId="2E7ADD6D">
      <w:pPr>
        <w:pStyle w:val="59"/>
        <w:ind w:firstLine="420"/>
      </w:pPr>
      <w:r>
        <w:rPr>
          <w:rFonts w:hint="eastAsia"/>
        </w:rPr>
        <w:t>d) 建立全程质量监督机制，由评价工作组组长或指定的质量监督员对评价过程进行全程监督，及时发现并纠正评价中的偏差与问题。</w:t>
      </w:r>
    </w:p>
    <w:p w14:paraId="3A8D5811">
      <w:pPr>
        <w:pStyle w:val="59"/>
        <w:ind w:firstLine="420"/>
      </w:pPr>
      <w:r>
        <w:rPr>
          <w:rFonts w:hint="eastAsia"/>
        </w:rPr>
        <w:t>e) 建立评价异议处理机制，被评价单位对评价结果有异议的，可在收到评价结果之日起15个工作日内提出书面异议，评价工作组应在收到异议之日起30个工作日内进行复核并给出复核意见。</w:t>
      </w:r>
    </w:p>
    <w:p w14:paraId="5B786A3A">
      <w:pPr>
        <w:pStyle w:val="108"/>
        <w:spacing w:before="120" w:after="120"/>
        <w:outlineLvl w:val="9"/>
      </w:pPr>
      <w:bookmarkStart w:id="145" w:name="_Toc227246035"/>
      <w:bookmarkStart w:id="146" w:name="_Toc227235332"/>
      <w:bookmarkStart w:id="147" w:name="_Toc227235702"/>
      <w:r>
        <w:rPr>
          <w:rFonts w:hint="eastAsia"/>
        </w:rPr>
        <w:t>评价方法</w:t>
      </w:r>
      <w:bookmarkEnd w:id="145"/>
      <w:bookmarkEnd w:id="146"/>
      <w:bookmarkEnd w:id="147"/>
      <w:r>
        <w:rPr>
          <w:rFonts w:hint="eastAsia"/>
        </w:rPr>
        <w:t>管理</w:t>
      </w:r>
    </w:p>
    <w:p w14:paraId="35901C0C">
      <w:pPr>
        <w:pStyle w:val="59"/>
        <w:ind w:firstLine="420"/>
      </w:pPr>
      <w:r>
        <w:rPr>
          <w:rFonts w:hint="eastAsia"/>
        </w:rPr>
        <w:t>a) 使用标准化的评价量表与工具，定期对评价工具进行信度与效度检验，确保评价工具的科学性与可靠性。</w:t>
      </w:r>
    </w:p>
    <w:p w14:paraId="7490BE31">
      <w:pPr>
        <w:pStyle w:val="59"/>
        <w:ind w:firstLine="420"/>
      </w:pPr>
      <w:r>
        <w:rPr>
          <w:rFonts w:hint="eastAsia"/>
        </w:rPr>
        <w:t>b) 统一评价标准与操作流程，编制详细的评价操作手册，对评价指标的定义、计算方法、判定标准、数据采集方法等进行明确说明，确保不同评价人员、不同评价场景下评价结果的一致性。</w:t>
      </w:r>
    </w:p>
    <w:p w14:paraId="6FDD42BA">
      <w:pPr>
        <w:pStyle w:val="59"/>
        <w:ind w:firstLine="420"/>
      </w:pPr>
      <w:r>
        <w:rPr>
          <w:rFonts w:hint="eastAsia"/>
        </w:rPr>
        <w:t>c) 建立评价数据质量核查制度，对采集的数据进行完整性、准确性、一致性、逻辑性核查，剔除无效数据与异常数据。</w:t>
      </w:r>
    </w:p>
    <w:p w14:paraId="1655CD30">
      <w:pPr>
        <w:pStyle w:val="59"/>
        <w:ind w:firstLine="420"/>
      </w:pPr>
      <w:r>
        <w:rPr>
          <w:rFonts w:hint="eastAsia"/>
        </w:rPr>
        <w:t>d) 定期对评价方法进行评估与优化，根据临床研究技术发展与平台应用情况，及时更新评价方法，提高评价的科学性与适用性。</w:t>
      </w:r>
    </w:p>
    <w:p w14:paraId="74AD6866">
      <w:pPr>
        <w:pStyle w:val="107"/>
        <w:spacing w:before="240" w:after="240"/>
      </w:pPr>
      <w:bookmarkStart w:id="148" w:name="_Toc227235703"/>
      <w:bookmarkStart w:id="149" w:name="_Toc227246050"/>
      <w:bookmarkStart w:id="150" w:name="_Toc227244037"/>
      <w:bookmarkStart w:id="151" w:name="_Toc227246036"/>
      <w:bookmarkStart w:id="152" w:name="_Toc227765715"/>
      <w:bookmarkStart w:id="153" w:name="_Toc227235333"/>
      <w:r>
        <w:rPr>
          <w:rFonts w:hint="eastAsia"/>
        </w:rPr>
        <w:t>评价结果与持续优化</w:t>
      </w:r>
      <w:bookmarkEnd w:id="148"/>
      <w:bookmarkEnd w:id="149"/>
      <w:bookmarkEnd w:id="150"/>
      <w:bookmarkEnd w:id="151"/>
      <w:bookmarkEnd w:id="152"/>
      <w:bookmarkEnd w:id="153"/>
    </w:p>
    <w:p w14:paraId="3B8B1993">
      <w:pPr>
        <w:pStyle w:val="108"/>
        <w:spacing w:before="120" w:after="120"/>
        <w:outlineLvl w:val="9"/>
      </w:pPr>
      <w:bookmarkStart w:id="154" w:name="_Toc227235334"/>
      <w:bookmarkStart w:id="155" w:name="_Toc227246037"/>
      <w:bookmarkStart w:id="156" w:name="_Toc227235704"/>
      <w:r>
        <w:rPr>
          <w:rFonts w:hint="eastAsia"/>
        </w:rPr>
        <w:t>结果分级</w:t>
      </w:r>
      <w:bookmarkEnd w:id="154"/>
      <w:bookmarkEnd w:id="155"/>
      <w:bookmarkEnd w:id="156"/>
    </w:p>
    <w:p w14:paraId="6260F471">
      <w:pPr>
        <w:pStyle w:val="59"/>
        <w:ind w:firstLine="420"/>
      </w:pPr>
      <w:r>
        <w:rPr>
          <w:rFonts w:hint="eastAsia"/>
        </w:rPr>
        <w:t>a) 优秀等级：平台功能完善，应用效果显著，临床研究质量与效率提升明显，数据安全与合规性良好，系统稳定可靠，具有较高的示范推广价值，可在全国范围内重点推广应用。</w:t>
      </w:r>
    </w:p>
    <w:p w14:paraId="3C8E7D4D">
      <w:pPr>
        <w:pStyle w:val="59"/>
        <w:ind w:firstLine="420"/>
      </w:pPr>
      <w:r>
        <w:rPr>
          <w:rFonts w:hint="eastAsia"/>
        </w:rPr>
        <w:t>b) 合格等级：平台基本功能完善，应用效果良好，临床研究质量与效率有一定提升，数据安全与合规性符合要求，系统运行稳定，可在一定范围内推广应用。</w:t>
      </w:r>
    </w:p>
    <w:p w14:paraId="4169BC2E">
      <w:pPr>
        <w:pStyle w:val="59"/>
        <w:ind w:firstLine="420"/>
      </w:pPr>
      <w:r>
        <w:rPr>
          <w:rFonts w:hint="eastAsia"/>
        </w:rPr>
        <w:t>c) 不合格等级：平台存在严重功能缺陷，应用效果不佳，临床研究质量与效率无明显提升，或存在数据安全隐患、系统稳定性差等问题，应限期整改，整改后重新进行评价，整改仍不合格的，不得推广应用。</w:t>
      </w:r>
    </w:p>
    <w:p w14:paraId="1064F5F3">
      <w:pPr>
        <w:pStyle w:val="108"/>
        <w:spacing w:before="120" w:after="120"/>
        <w:outlineLvl w:val="9"/>
      </w:pPr>
      <w:bookmarkStart w:id="157" w:name="_Toc227235336"/>
      <w:bookmarkStart w:id="158" w:name="_Toc227235705"/>
      <w:bookmarkStart w:id="159" w:name="_Toc227246038"/>
      <w:r>
        <w:rPr>
          <w:rFonts w:hint="eastAsia"/>
        </w:rPr>
        <w:t>持续评价与</w:t>
      </w:r>
      <w:bookmarkEnd w:id="157"/>
      <w:bookmarkEnd w:id="158"/>
      <w:bookmarkEnd w:id="159"/>
      <w:r>
        <w:rPr>
          <w:rFonts w:hint="eastAsia"/>
        </w:rPr>
        <w:t>优化</w:t>
      </w:r>
    </w:p>
    <w:p w14:paraId="0C3C1876">
      <w:pPr>
        <w:pStyle w:val="59"/>
        <w:ind w:firstLine="420"/>
      </w:pPr>
      <w:r>
        <w:rPr>
          <w:rFonts w:hint="eastAsia"/>
        </w:rPr>
        <w:t>a) 建立年度常态化评价机制，每年对平台应用效果进行一次全面评价，及时发现平台应用中存在的新问题、新需求。</w:t>
      </w:r>
    </w:p>
    <w:p w14:paraId="78832EA5">
      <w:pPr>
        <w:pStyle w:val="59"/>
        <w:ind w:firstLine="420"/>
      </w:pPr>
      <w:r>
        <w:rPr>
          <w:rFonts w:hint="eastAsia"/>
        </w:rPr>
        <w:t>b) 根据临床研究技术发展、法规要求变化及平台迭代升级情况，动态调整评价指标体系与评价方法，确保评价的时效性与适用性。</w:t>
      </w:r>
    </w:p>
    <w:p w14:paraId="5BA17098">
      <w:pPr>
        <w:pStyle w:val="59"/>
        <w:ind w:firstLine="420"/>
      </w:pPr>
      <w:r>
        <w:rPr>
          <w:rFonts w:hint="eastAsia"/>
        </w:rPr>
        <w:t>c) 构建"评价-优化-再评价"的良性循环机制，将评价结果作为平台持续优化的重要依据，实现平台的螺旋式上升发展。</w:t>
      </w:r>
    </w:p>
    <w:p w14:paraId="5B694C69">
      <w:pPr>
        <w:pStyle w:val="59"/>
        <w:ind w:firstLine="420"/>
      </w:pPr>
      <w:r>
        <w:rPr>
          <w:rFonts w:hint="eastAsia"/>
        </w:rPr>
        <w:t>d) 建立全国统一的平台应用效果监测数据库，积累长期应用数据，开展大数据分析，为平台的持续改进与行业发展提供数据支撑。</w:t>
      </w:r>
    </w:p>
    <w:p w14:paraId="71A54623">
      <w:pPr>
        <w:pStyle w:val="59"/>
        <w:ind w:firstLine="420"/>
        <w:sectPr>
          <w:pgSz w:w="11906" w:h="16838"/>
          <w:pgMar w:top="1928" w:right="1134" w:bottom="1134" w:left="1134" w:header="1418" w:footer="1134" w:gutter="284"/>
          <w:pgNumType w:start="1"/>
          <w:cols w:space="425" w:num="1"/>
          <w:formProt w:val="0"/>
          <w:docGrid w:linePitch="312" w:charSpace="0"/>
        </w:sectPr>
      </w:pPr>
    </w:p>
    <w:bookmarkEnd w:id="21"/>
    <w:p w14:paraId="6C809F6D">
      <w:pPr>
        <w:pStyle w:val="201"/>
        <w:rPr>
          <w:rFonts w:hint="eastAsia"/>
        </w:rPr>
      </w:pPr>
      <w:bookmarkStart w:id="160" w:name="BookMark5"/>
    </w:p>
    <w:p w14:paraId="1D711C66">
      <w:pPr>
        <w:pStyle w:val="202"/>
      </w:pPr>
    </w:p>
    <w:p w14:paraId="175B3C04">
      <w:pPr>
        <w:pStyle w:val="79"/>
        <w:spacing w:before="0" w:after="0" w:afterLines="0"/>
        <w:rPr>
          <w:rFonts w:ascii="Times New Roman"/>
        </w:rPr>
      </w:pPr>
      <w:r>
        <w:rPr>
          <w:rFonts w:ascii="Times New Roman"/>
        </w:rPr>
        <w:br w:type="textWrapping"/>
      </w:r>
      <w:bookmarkStart w:id="161" w:name="_Toc227765716"/>
      <w:r>
        <w:rPr>
          <w:rFonts w:hint="default" w:ascii="Times New Roman"/>
        </w:rPr>
        <w:t>（规范性）</w:t>
      </w:r>
      <w:r>
        <w:rPr>
          <w:rFonts w:ascii="Times New Roman"/>
        </w:rPr>
        <w:br w:type="textWrapping"/>
      </w:r>
      <w:r>
        <w:rPr>
          <w:rFonts w:hint="default" w:ascii="Times New Roman"/>
        </w:rPr>
        <w:t>临床研究病房智慧管理平台应用评价指标权重表</w:t>
      </w:r>
      <w:bookmarkEnd w:id="161"/>
    </w:p>
    <w:p w14:paraId="0C7BF938">
      <w:pPr>
        <w:pStyle w:val="59"/>
        <w:ind w:firstLine="0" w:firstLineChars="0"/>
        <w:rPr>
          <w:rFonts w:hint="eastAsia"/>
        </w:rPr>
      </w:pPr>
    </w:p>
    <w:p w14:paraId="221A1975">
      <w:pPr>
        <w:pStyle w:val="80"/>
        <w:spacing w:before="0" w:beforeLines="0" w:after="0" w:afterLines="0"/>
        <w:rPr>
          <w:rFonts w:ascii="Times New Roman"/>
          <w:kern w:val="0"/>
        </w:rPr>
      </w:pPr>
      <w:r>
        <w:rPr>
          <w:rFonts w:ascii="Times New Roman"/>
          <w:kern w:val="0"/>
        </w:rPr>
        <w:t>临床研究病房智慧管理平台应用评价指标权重表</w:t>
      </w:r>
    </w:p>
    <w:p w14:paraId="5E4F533A">
      <w:pPr>
        <w:pStyle w:val="59"/>
        <w:ind w:firstLine="422"/>
      </w:pPr>
      <w:r>
        <w:rPr>
          <w:rFonts w:hint="eastAsia"/>
          <w:b/>
          <w:bCs/>
        </w:rPr>
        <w:t>说明：</w:t>
      </w:r>
      <w:r>
        <w:rPr>
          <w:rFonts w:hint="eastAsia"/>
        </w:rPr>
        <w:t>总权重 100 分，评价结果对应等级：优秀（≥90 分）、合格（60-89 分）、不合格（＜60 分）表格</w:t>
      </w:r>
      <w:r>
        <w:t>。</w:t>
      </w:r>
    </w:p>
    <w:tbl>
      <w:tblPr>
        <w:tblStyle w:val="29"/>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2334"/>
        <w:gridCol w:w="2334"/>
        <w:gridCol w:w="2333"/>
        <w:gridCol w:w="2333"/>
      </w:tblGrid>
      <w:tr w14:paraId="563365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2334" w:type="dxa"/>
            <w:tcBorders>
              <w:top w:val="single" w:color="auto" w:sz="8" w:space="0"/>
              <w:bottom w:val="single" w:color="auto" w:sz="8" w:space="0"/>
            </w:tcBorders>
            <w:vAlign w:val="center"/>
          </w:tcPr>
          <w:p w14:paraId="2F69D9AB">
            <w:pPr>
              <w:pStyle w:val="181"/>
              <w:rPr>
                <w:sz w:val="21"/>
                <w:szCs w:val="21"/>
              </w:rPr>
            </w:pPr>
            <w:r>
              <w:rPr>
                <w:b/>
                <w:bCs/>
                <w:sz w:val="21"/>
                <w:szCs w:val="21"/>
              </w:rPr>
              <w:t>一级评价维度</w:t>
            </w:r>
          </w:p>
        </w:tc>
        <w:tc>
          <w:tcPr>
            <w:tcW w:w="2334" w:type="dxa"/>
            <w:tcBorders>
              <w:top w:val="single" w:color="auto" w:sz="8" w:space="0"/>
              <w:bottom w:val="single" w:color="auto" w:sz="8" w:space="0"/>
            </w:tcBorders>
            <w:vAlign w:val="center"/>
          </w:tcPr>
          <w:p w14:paraId="0AD04E97">
            <w:pPr>
              <w:pStyle w:val="181"/>
              <w:rPr>
                <w:sz w:val="21"/>
                <w:szCs w:val="21"/>
              </w:rPr>
            </w:pPr>
            <w:r>
              <w:rPr>
                <w:b/>
                <w:bCs/>
                <w:sz w:val="21"/>
                <w:szCs w:val="21"/>
              </w:rPr>
              <w:t>权重（%）</w:t>
            </w:r>
          </w:p>
        </w:tc>
        <w:tc>
          <w:tcPr>
            <w:tcW w:w="2333" w:type="dxa"/>
            <w:tcBorders>
              <w:top w:val="single" w:color="auto" w:sz="8" w:space="0"/>
              <w:bottom w:val="single" w:color="auto" w:sz="8" w:space="0"/>
            </w:tcBorders>
            <w:vAlign w:val="center"/>
          </w:tcPr>
          <w:p w14:paraId="7463A5AF">
            <w:pPr>
              <w:pStyle w:val="181"/>
              <w:rPr>
                <w:sz w:val="21"/>
                <w:szCs w:val="21"/>
              </w:rPr>
            </w:pPr>
            <w:r>
              <w:rPr>
                <w:b/>
                <w:bCs/>
                <w:sz w:val="21"/>
                <w:szCs w:val="21"/>
              </w:rPr>
              <w:t>二级评价维度</w:t>
            </w:r>
          </w:p>
        </w:tc>
        <w:tc>
          <w:tcPr>
            <w:tcW w:w="2333" w:type="dxa"/>
            <w:tcBorders>
              <w:top w:val="single" w:color="auto" w:sz="8" w:space="0"/>
              <w:bottom w:val="single" w:color="auto" w:sz="8" w:space="0"/>
            </w:tcBorders>
            <w:vAlign w:val="center"/>
          </w:tcPr>
          <w:p w14:paraId="2DD81892">
            <w:pPr>
              <w:pStyle w:val="181"/>
              <w:rPr>
                <w:sz w:val="21"/>
                <w:szCs w:val="21"/>
              </w:rPr>
            </w:pPr>
            <w:r>
              <w:rPr>
                <w:b/>
                <w:bCs/>
                <w:sz w:val="21"/>
                <w:szCs w:val="21"/>
              </w:rPr>
              <w:t>权重（%）</w:t>
            </w:r>
          </w:p>
        </w:tc>
      </w:tr>
      <w:tr w14:paraId="416180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Merge w:val="restart"/>
            <w:tcBorders>
              <w:top w:val="single" w:color="auto" w:sz="8" w:space="0"/>
            </w:tcBorders>
            <w:vAlign w:val="center"/>
          </w:tcPr>
          <w:p w14:paraId="0CC58AB1">
            <w:pPr>
              <w:pStyle w:val="181"/>
              <w:rPr>
                <w:sz w:val="21"/>
                <w:szCs w:val="21"/>
              </w:rPr>
            </w:pPr>
            <w:r>
              <w:rPr>
                <w:sz w:val="21"/>
                <w:szCs w:val="21"/>
              </w:rPr>
              <w:t>平台功能适配性</w:t>
            </w:r>
          </w:p>
        </w:tc>
        <w:tc>
          <w:tcPr>
            <w:tcW w:w="2334" w:type="dxa"/>
            <w:vMerge w:val="restart"/>
            <w:tcBorders>
              <w:top w:val="single" w:color="auto" w:sz="8" w:space="0"/>
            </w:tcBorders>
            <w:vAlign w:val="center"/>
          </w:tcPr>
          <w:p w14:paraId="11666838">
            <w:pPr>
              <w:pStyle w:val="181"/>
              <w:rPr>
                <w:sz w:val="21"/>
                <w:szCs w:val="21"/>
              </w:rPr>
            </w:pPr>
            <w:r>
              <w:rPr>
                <w:sz w:val="21"/>
                <w:szCs w:val="21"/>
              </w:rPr>
              <w:t>20</w:t>
            </w:r>
          </w:p>
        </w:tc>
        <w:tc>
          <w:tcPr>
            <w:tcW w:w="2333" w:type="dxa"/>
            <w:tcBorders>
              <w:top w:val="single" w:color="auto" w:sz="8" w:space="0"/>
            </w:tcBorders>
            <w:vAlign w:val="center"/>
          </w:tcPr>
          <w:p w14:paraId="20B8DD80">
            <w:pPr>
              <w:pStyle w:val="181"/>
              <w:rPr>
                <w:sz w:val="21"/>
                <w:szCs w:val="21"/>
              </w:rPr>
            </w:pPr>
            <w:r>
              <w:rPr>
                <w:sz w:val="21"/>
                <w:szCs w:val="21"/>
              </w:rPr>
              <w:t>数据管理功能</w:t>
            </w:r>
          </w:p>
        </w:tc>
        <w:tc>
          <w:tcPr>
            <w:tcW w:w="2333" w:type="dxa"/>
            <w:tcBorders>
              <w:top w:val="single" w:color="auto" w:sz="8" w:space="0"/>
            </w:tcBorders>
            <w:vAlign w:val="center"/>
          </w:tcPr>
          <w:p w14:paraId="6F1630F8">
            <w:pPr>
              <w:pStyle w:val="181"/>
              <w:rPr>
                <w:sz w:val="21"/>
                <w:szCs w:val="21"/>
              </w:rPr>
            </w:pPr>
            <w:r>
              <w:rPr>
                <w:sz w:val="21"/>
                <w:szCs w:val="21"/>
              </w:rPr>
              <w:t>6</w:t>
            </w:r>
          </w:p>
        </w:tc>
      </w:tr>
      <w:tr w14:paraId="178AF5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Merge w:val="continue"/>
            <w:vAlign w:val="center"/>
          </w:tcPr>
          <w:p w14:paraId="547DF491">
            <w:pPr>
              <w:pStyle w:val="181"/>
              <w:rPr>
                <w:sz w:val="21"/>
                <w:szCs w:val="21"/>
              </w:rPr>
            </w:pPr>
          </w:p>
        </w:tc>
        <w:tc>
          <w:tcPr>
            <w:tcW w:w="2334" w:type="dxa"/>
            <w:vMerge w:val="continue"/>
            <w:vAlign w:val="center"/>
          </w:tcPr>
          <w:p w14:paraId="7F1C3271">
            <w:pPr>
              <w:pStyle w:val="181"/>
              <w:rPr>
                <w:sz w:val="21"/>
                <w:szCs w:val="21"/>
              </w:rPr>
            </w:pPr>
          </w:p>
        </w:tc>
        <w:tc>
          <w:tcPr>
            <w:tcW w:w="2333" w:type="dxa"/>
            <w:vAlign w:val="center"/>
          </w:tcPr>
          <w:p w14:paraId="77C81C19">
            <w:pPr>
              <w:pStyle w:val="181"/>
              <w:rPr>
                <w:sz w:val="21"/>
                <w:szCs w:val="21"/>
              </w:rPr>
            </w:pPr>
            <w:r>
              <w:rPr>
                <w:sz w:val="21"/>
                <w:szCs w:val="21"/>
              </w:rPr>
              <w:t>过程管理功能</w:t>
            </w:r>
          </w:p>
        </w:tc>
        <w:tc>
          <w:tcPr>
            <w:tcW w:w="2333" w:type="dxa"/>
            <w:vAlign w:val="center"/>
          </w:tcPr>
          <w:p w14:paraId="52EADF72">
            <w:pPr>
              <w:pStyle w:val="181"/>
              <w:rPr>
                <w:sz w:val="21"/>
                <w:szCs w:val="21"/>
              </w:rPr>
            </w:pPr>
            <w:r>
              <w:rPr>
                <w:sz w:val="21"/>
                <w:szCs w:val="21"/>
              </w:rPr>
              <w:t>6</w:t>
            </w:r>
          </w:p>
        </w:tc>
      </w:tr>
      <w:tr w14:paraId="5E73FC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Merge w:val="continue"/>
            <w:vAlign w:val="center"/>
          </w:tcPr>
          <w:p w14:paraId="4900B356">
            <w:pPr>
              <w:pStyle w:val="181"/>
              <w:rPr>
                <w:sz w:val="21"/>
                <w:szCs w:val="21"/>
              </w:rPr>
            </w:pPr>
          </w:p>
        </w:tc>
        <w:tc>
          <w:tcPr>
            <w:tcW w:w="2334" w:type="dxa"/>
            <w:vMerge w:val="continue"/>
            <w:vAlign w:val="center"/>
          </w:tcPr>
          <w:p w14:paraId="3AECC5E1">
            <w:pPr>
              <w:pStyle w:val="181"/>
              <w:rPr>
                <w:sz w:val="21"/>
                <w:szCs w:val="21"/>
              </w:rPr>
            </w:pPr>
          </w:p>
        </w:tc>
        <w:tc>
          <w:tcPr>
            <w:tcW w:w="2333" w:type="dxa"/>
            <w:vAlign w:val="center"/>
          </w:tcPr>
          <w:p w14:paraId="28702833">
            <w:pPr>
              <w:pStyle w:val="181"/>
              <w:rPr>
                <w:sz w:val="21"/>
                <w:szCs w:val="21"/>
              </w:rPr>
            </w:pPr>
            <w:r>
              <w:rPr>
                <w:sz w:val="21"/>
                <w:szCs w:val="21"/>
              </w:rPr>
              <w:t>决策支持功能</w:t>
            </w:r>
          </w:p>
        </w:tc>
        <w:tc>
          <w:tcPr>
            <w:tcW w:w="2333" w:type="dxa"/>
            <w:vAlign w:val="center"/>
          </w:tcPr>
          <w:p w14:paraId="71C2EFBC">
            <w:pPr>
              <w:pStyle w:val="181"/>
              <w:rPr>
                <w:sz w:val="21"/>
                <w:szCs w:val="21"/>
              </w:rPr>
            </w:pPr>
            <w:r>
              <w:rPr>
                <w:sz w:val="21"/>
                <w:szCs w:val="21"/>
              </w:rPr>
              <w:t>4</w:t>
            </w:r>
          </w:p>
        </w:tc>
      </w:tr>
      <w:tr w14:paraId="416658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Merge w:val="continue"/>
            <w:vAlign w:val="center"/>
          </w:tcPr>
          <w:p w14:paraId="22B907B3">
            <w:pPr>
              <w:pStyle w:val="181"/>
              <w:rPr>
                <w:sz w:val="21"/>
                <w:szCs w:val="21"/>
              </w:rPr>
            </w:pPr>
          </w:p>
        </w:tc>
        <w:tc>
          <w:tcPr>
            <w:tcW w:w="2334" w:type="dxa"/>
            <w:vMerge w:val="continue"/>
            <w:vAlign w:val="center"/>
          </w:tcPr>
          <w:p w14:paraId="2F692E34">
            <w:pPr>
              <w:pStyle w:val="181"/>
              <w:rPr>
                <w:sz w:val="21"/>
                <w:szCs w:val="21"/>
              </w:rPr>
            </w:pPr>
          </w:p>
        </w:tc>
        <w:tc>
          <w:tcPr>
            <w:tcW w:w="2333" w:type="dxa"/>
            <w:vAlign w:val="center"/>
          </w:tcPr>
          <w:p w14:paraId="711E4200">
            <w:pPr>
              <w:pStyle w:val="181"/>
              <w:rPr>
                <w:sz w:val="21"/>
                <w:szCs w:val="21"/>
              </w:rPr>
            </w:pPr>
            <w:r>
              <w:rPr>
                <w:sz w:val="21"/>
                <w:szCs w:val="21"/>
              </w:rPr>
              <w:t>多中心协同功能</w:t>
            </w:r>
          </w:p>
        </w:tc>
        <w:tc>
          <w:tcPr>
            <w:tcW w:w="2333" w:type="dxa"/>
            <w:vAlign w:val="center"/>
          </w:tcPr>
          <w:p w14:paraId="30D6F449">
            <w:pPr>
              <w:pStyle w:val="181"/>
              <w:rPr>
                <w:sz w:val="21"/>
                <w:szCs w:val="21"/>
              </w:rPr>
            </w:pPr>
            <w:r>
              <w:rPr>
                <w:sz w:val="21"/>
                <w:szCs w:val="21"/>
              </w:rPr>
              <w:t>4</w:t>
            </w:r>
          </w:p>
        </w:tc>
      </w:tr>
      <w:tr w14:paraId="0DB86B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Merge w:val="restart"/>
            <w:vAlign w:val="center"/>
          </w:tcPr>
          <w:p w14:paraId="0E68B658">
            <w:pPr>
              <w:pStyle w:val="181"/>
              <w:rPr>
                <w:sz w:val="21"/>
                <w:szCs w:val="21"/>
              </w:rPr>
            </w:pPr>
            <w:r>
              <w:rPr>
                <w:sz w:val="21"/>
                <w:szCs w:val="21"/>
              </w:rPr>
              <w:t>临床研究质量提升</w:t>
            </w:r>
          </w:p>
        </w:tc>
        <w:tc>
          <w:tcPr>
            <w:tcW w:w="2334" w:type="dxa"/>
            <w:vMerge w:val="restart"/>
            <w:vAlign w:val="center"/>
          </w:tcPr>
          <w:p w14:paraId="6227FE98">
            <w:pPr>
              <w:pStyle w:val="181"/>
              <w:rPr>
                <w:sz w:val="21"/>
                <w:szCs w:val="21"/>
              </w:rPr>
            </w:pPr>
            <w:r>
              <w:rPr>
                <w:sz w:val="21"/>
                <w:szCs w:val="21"/>
              </w:rPr>
              <w:t>25</w:t>
            </w:r>
          </w:p>
        </w:tc>
        <w:tc>
          <w:tcPr>
            <w:tcW w:w="2333" w:type="dxa"/>
            <w:vAlign w:val="center"/>
          </w:tcPr>
          <w:p w14:paraId="335F0900">
            <w:pPr>
              <w:pStyle w:val="181"/>
              <w:rPr>
                <w:sz w:val="21"/>
                <w:szCs w:val="21"/>
              </w:rPr>
            </w:pPr>
            <w:r>
              <w:rPr>
                <w:sz w:val="21"/>
                <w:szCs w:val="21"/>
              </w:rPr>
              <w:t>数据质量</w:t>
            </w:r>
          </w:p>
        </w:tc>
        <w:tc>
          <w:tcPr>
            <w:tcW w:w="2333" w:type="dxa"/>
            <w:vAlign w:val="center"/>
          </w:tcPr>
          <w:p w14:paraId="5FE92189">
            <w:pPr>
              <w:pStyle w:val="181"/>
              <w:rPr>
                <w:sz w:val="21"/>
                <w:szCs w:val="21"/>
              </w:rPr>
            </w:pPr>
            <w:r>
              <w:rPr>
                <w:sz w:val="21"/>
                <w:szCs w:val="21"/>
              </w:rPr>
              <w:t>8</w:t>
            </w:r>
          </w:p>
        </w:tc>
      </w:tr>
      <w:tr w14:paraId="1B43C0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Merge w:val="continue"/>
            <w:vAlign w:val="center"/>
          </w:tcPr>
          <w:p w14:paraId="76F262BE">
            <w:pPr>
              <w:pStyle w:val="181"/>
              <w:rPr>
                <w:sz w:val="21"/>
                <w:szCs w:val="21"/>
              </w:rPr>
            </w:pPr>
          </w:p>
        </w:tc>
        <w:tc>
          <w:tcPr>
            <w:tcW w:w="2334" w:type="dxa"/>
            <w:vMerge w:val="continue"/>
            <w:vAlign w:val="center"/>
          </w:tcPr>
          <w:p w14:paraId="4BC31519">
            <w:pPr>
              <w:pStyle w:val="181"/>
              <w:rPr>
                <w:sz w:val="21"/>
                <w:szCs w:val="21"/>
              </w:rPr>
            </w:pPr>
          </w:p>
        </w:tc>
        <w:tc>
          <w:tcPr>
            <w:tcW w:w="2333" w:type="dxa"/>
            <w:vAlign w:val="center"/>
          </w:tcPr>
          <w:p w14:paraId="160D4683">
            <w:pPr>
              <w:pStyle w:val="181"/>
              <w:rPr>
                <w:sz w:val="21"/>
                <w:szCs w:val="21"/>
              </w:rPr>
            </w:pPr>
            <w:r>
              <w:rPr>
                <w:sz w:val="21"/>
                <w:szCs w:val="21"/>
              </w:rPr>
              <w:t>过程质量</w:t>
            </w:r>
          </w:p>
        </w:tc>
        <w:tc>
          <w:tcPr>
            <w:tcW w:w="2333" w:type="dxa"/>
            <w:vAlign w:val="center"/>
          </w:tcPr>
          <w:p w14:paraId="1656CEAF">
            <w:pPr>
              <w:pStyle w:val="181"/>
              <w:rPr>
                <w:sz w:val="21"/>
                <w:szCs w:val="21"/>
              </w:rPr>
            </w:pPr>
            <w:r>
              <w:rPr>
                <w:sz w:val="21"/>
                <w:szCs w:val="21"/>
              </w:rPr>
              <w:t>10</w:t>
            </w:r>
          </w:p>
        </w:tc>
      </w:tr>
      <w:tr w14:paraId="422F3CD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Merge w:val="continue"/>
            <w:vAlign w:val="center"/>
          </w:tcPr>
          <w:p w14:paraId="11485F47">
            <w:pPr>
              <w:pStyle w:val="181"/>
              <w:rPr>
                <w:sz w:val="21"/>
                <w:szCs w:val="21"/>
              </w:rPr>
            </w:pPr>
          </w:p>
        </w:tc>
        <w:tc>
          <w:tcPr>
            <w:tcW w:w="2334" w:type="dxa"/>
            <w:vMerge w:val="continue"/>
            <w:vAlign w:val="center"/>
          </w:tcPr>
          <w:p w14:paraId="207BE25D">
            <w:pPr>
              <w:pStyle w:val="181"/>
              <w:rPr>
                <w:sz w:val="21"/>
                <w:szCs w:val="21"/>
              </w:rPr>
            </w:pPr>
          </w:p>
        </w:tc>
        <w:tc>
          <w:tcPr>
            <w:tcW w:w="2333" w:type="dxa"/>
            <w:vAlign w:val="center"/>
          </w:tcPr>
          <w:p w14:paraId="4BA7CCC5">
            <w:pPr>
              <w:pStyle w:val="181"/>
              <w:rPr>
                <w:sz w:val="21"/>
                <w:szCs w:val="21"/>
              </w:rPr>
            </w:pPr>
            <w:r>
              <w:rPr>
                <w:sz w:val="21"/>
                <w:szCs w:val="21"/>
              </w:rPr>
              <w:t>伦理合规性</w:t>
            </w:r>
          </w:p>
        </w:tc>
        <w:tc>
          <w:tcPr>
            <w:tcW w:w="2333" w:type="dxa"/>
            <w:vAlign w:val="center"/>
          </w:tcPr>
          <w:p w14:paraId="7F678A3D">
            <w:pPr>
              <w:pStyle w:val="181"/>
              <w:rPr>
                <w:sz w:val="21"/>
                <w:szCs w:val="21"/>
              </w:rPr>
            </w:pPr>
            <w:r>
              <w:rPr>
                <w:sz w:val="21"/>
                <w:szCs w:val="21"/>
              </w:rPr>
              <w:t>7</w:t>
            </w:r>
          </w:p>
        </w:tc>
      </w:tr>
      <w:tr w14:paraId="604733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Merge w:val="restart"/>
            <w:vAlign w:val="center"/>
          </w:tcPr>
          <w:p w14:paraId="293E1FE2">
            <w:pPr>
              <w:pStyle w:val="181"/>
              <w:rPr>
                <w:sz w:val="21"/>
                <w:szCs w:val="21"/>
              </w:rPr>
            </w:pPr>
            <w:r>
              <w:rPr>
                <w:sz w:val="21"/>
                <w:szCs w:val="21"/>
              </w:rPr>
              <w:t>临床研究效率提升</w:t>
            </w:r>
          </w:p>
        </w:tc>
        <w:tc>
          <w:tcPr>
            <w:tcW w:w="2334" w:type="dxa"/>
            <w:vMerge w:val="restart"/>
            <w:vAlign w:val="center"/>
          </w:tcPr>
          <w:p w14:paraId="4F59ECC7">
            <w:pPr>
              <w:pStyle w:val="181"/>
              <w:rPr>
                <w:sz w:val="21"/>
                <w:szCs w:val="21"/>
              </w:rPr>
            </w:pPr>
            <w:r>
              <w:rPr>
                <w:sz w:val="21"/>
                <w:szCs w:val="21"/>
              </w:rPr>
              <w:t>20</w:t>
            </w:r>
          </w:p>
        </w:tc>
        <w:tc>
          <w:tcPr>
            <w:tcW w:w="2333" w:type="dxa"/>
            <w:vAlign w:val="center"/>
          </w:tcPr>
          <w:p w14:paraId="47DD79AA">
            <w:pPr>
              <w:pStyle w:val="181"/>
              <w:rPr>
                <w:sz w:val="21"/>
                <w:szCs w:val="21"/>
              </w:rPr>
            </w:pPr>
            <w:r>
              <w:rPr>
                <w:sz w:val="21"/>
                <w:szCs w:val="21"/>
              </w:rPr>
              <w:t>受试者管理效率</w:t>
            </w:r>
          </w:p>
        </w:tc>
        <w:tc>
          <w:tcPr>
            <w:tcW w:w="2333" w:type="dxa"/>
            <w:vAlign w:val="center"/>
          </w:tcPr>
          <w:p w14:paraId="169153C4">
            <w:pPr>
              <w:pStyle w:val="181"/>
              <w:rPr>
                <w:sz w:val="21"/>
                <w:szCs w:val="21"/>
              </w:rPr>
            </w:pPr>
            <w:r>
              <w:rPr>
                <w:sz w:val="21"/>
                <w:szCs w:val="21"/>
              </w:rPr>
              <w:t>7</w:t>
            </w:r>
          </w:p>
        </w:tc>
      </w:tr>
      <w:tr w14:paraId="319046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Merge w:val="continue"/>
            <w:vAlign w:val="center"/>
          </w:tcPr>
          <w:p w14:paraId="26A223B7">
            <w:pPr>
              <w:pStyle w:val="181"/>
              <w:rPr>
                <w:sz w:val="21"/>
                <w:szCs w:val="21"/>
              </w:rPr>
            </w:pPr>
          </w:p>
        </w:tc>
        <w:tc>
          <w:tcPr>
            <w:tcW w:w="2334" w:type="dxa"/>
            <w:vMerge w:val="continue"/>
            <w:vAlign w:val="center"/>
          </w:tcPr>
          <w:p w14:paraId="3540DCCD">
            <w:pPr>
              <w:pStyle w:val="181"/>
              <w:rPr>
                <w:sz w:val="21"/>
                <w:szCs w:val="21"/>
              </w:rPr>
            </w:pPr>
          </w:p>
        </w:tc>
        <w:tc>
          <w:tcPr>
            <w:tcW w:w="2333" w:type="dxa"/>
            <w:vAlign w:val="center"/>
          </w:tcPr>
          <w:p w14:paraId="14637C97">
            <w:pPr>
              <w:pStyle w:val="181"/>
              <w:rPr>
                <w:sz w:val="21"/>
                <w:szCs w:val="21"/>
              </w:rPr>
            </w:pPr>
            <w:r>
              <w:rPr>
                <w:sz w:val="21"/>
                <w:szCs w:val="21"/>
              </w:rPr>
              <w:t>研究执行效率</w:t>
            </w:r>
          </w:p>
        </w:tc>
        <w:tc>
          <w:tcPr>
            <w:tcW w:w="2333" w:type="dxa"/>
            <w:vAlign w:val="center"/>
          </w:tcPr>
          <w:p w14:paraId="47AF77B5">
            <w:pPr>
              <w:pStyle w:val="181"/>
              <w:rPr>
                <w:sz w:val="21"/>
                <w:szCs w:val="21"/>
              </w:rPr>
            </w:pPr>
            <w:r>
              <w:rPr>
                <w:sz w:val="21"/>
                <w:szCs w:val="21"/>
              </w:rPr>
              <w:t>7</w:t>
            </w:r>
          </w:p>
        </w:tc>
      </w:tr>
      <w:tr w14:paraId="73ABB0E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Merge w:val="continue"/>
            <w:vAlign w:val="center"/>
          </w:tcPr>
          <w:p w14:paraId="06E1FE81">
            <w:pPr>
              <w:pStyle w:val="181"/>
              <w:rPr>
                <w:sz w:val="21"/>
                <w:szCs w:val="21"/>
              </w:rPr>
            </w:pPr>
          </w:p>
        </w:tc>
        <w:tc>
          <w:tcPr>
            <w:tcW w:w="2334" w:type="dxa"/>
            <w:vMerge w:val="continue"/>
            <w:vAlign w:val="center"/>
          </w:tcPr>
          <w:p w14:paraId="26ED4486">
            <w:pPr>
              <w:pStyle w:val="181"/>
              <w:rPr>
                <w:sz w:val="21"/>
                <w:szCs w:val="21"/>
              </w:rPr>
            </w:pPr>
          </w:p>
        </w:tc>
        <w:tc>
          <w:tcPr>
            <w:tcW w:w="2333" w:type="dxa"/>
            <w:vAlign w:val="center"/>
          </w:tcPr>
          <w:p w14:paraId="776AA237">
            <w:pPr>
              <w:pStyle w:val="181"/>
              <w:rPr>
                <w:sz w:val="21"/>
                <w:szCs w:val="21"/>
              </w:rPr>
            </w:pPr>
            <w:r>
              <w:rPr>
                <w:sz w:val="21"/>
                <w:szCs w:val="21"/>
              </w:rPr>
              <w:t>管理协同效率</w:t>
            </w:r>
          </w:p>
        </w:tc>
        <w:tc>
          <w:tcPr>
            <w:tcW w:w="2333" w:type="dxa"/>
            <w:vAlign w:val="center"/>
          </w:tcPr>
          <w:p w14:paraId="50DE1A81">
            <w:pPr>
              <w:pStyle w:val="181"/>
              <w:rPr>
                <w:sz w:val="21"/>
                <w:szCs w:val="21"/>
              </w:rPr>
            </w:pPr>
            <w:r>
              <w:rPr>
                <w:sz w:val="21"/>
                <w:szCs w:val="21"/>
              </w:rPr>
              <w:t>6</w:t>
            </w:r>
          </w:p>
        </w:tc>
      </w:tr>
      <w:tr w14:paraId="087CFFD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Merge w:val="restart"/>
            <w:vAlign w:val="center"/>
          </w:tcPr>
          <w:p w14:paraId="1CADCF21">
            <w:pPr>
              <w:pStyle w:val="181"/>
              <w:rPr>
                <w:sz w:val="21"/>
                <w:szCs w:val="21"/>
              </w:rPr>
            </w:pPr>
            <w:r>
              <w:rPr>
                <w:sz w:val="21"/>
                <w:szCs w:val="21"/>
              </w:rPr>
              <w:t>数据安全与合规性</w:t>
            </w:r>
          </w:p>
        </w:tc>
        <w:tc>
          <w:tcPr>
            <w:tcW w:w="2334" w:type="dxa"/>
            <w:vMerge w:val="restart"/>
            <w:vAlign w:val="center"/>
          </w:tcPr>
          <w:p w14:paraId="52EFF6BC">
            <w:pPr>
              <w:pStyle w:val="181"/>
              <w:rPr>
                <w:sz w:val="21"/>
                <w:szCs w:val="21"/>
              </w:rPr>
            </w:pPr>
            <w:r>
              <w:rPr>
                <w:sz w:val="21"/>
                <w:szCs w:val="21"/>
              </w:rPr>
              <w:t>15</w:t>
            </w:r>
          </w:p>
        </w:tc>
        <w:tc>
          <w:tcPr>
            <w:tcW w:w="2333" w:type="dxa"/>
            <w:vAlign w:val="center"/>
          </w:tcPr>
          <w:p w14:paraId="5AD96AA7">
            <w:pPr>
              <w:pStyle w:val="181"/>
              <w:rPr>
                <w:sz w:val="21"/>
                <w:szCs w:val="21"/>
              </w:rPr>
            </w:pPr>
            <w:r>
              <w:rPr>
                <w:sz w:val="21"/>
                <w:szCs w:val="21"/>
              </w:rPr>
              <w:t>数据分类分级</w:t>
            </w:r>
          </w:p>
        </w:tc>
        <w:tc>
          <w:tcPr>
            <w:tcW w:w="2333" w:type="dxa"/>
            <w:vAlign w:val="center"/>
          </w:tcPr>
          <w:p w14:paraId="61DD7922">
            <w:pPr>
              <w:pStyle w:val="181"/>
              <w:rPr>
                <w:sz w:val="21"/>
                <w:szCs w:val="21"/>
              </w:rPr>
            </w:pPr>
            <w:r>
              <w:rPr>
                <w:sz w:val="21"/>
                <w:szCs w:val="21"/>
              </w:rPr>
              <w:t>2</w:t>
            </w:r>
          </w:p>
        </w:tc>
      </w:tr>
      <w:tr w14:paraId="127FF5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Merge w:val="continue"/>
            <w:vAlign w:val="center"/>
          </w:tcPr>
          <w:p w14:paraId="3E6FC9ED">
            <w:pPr>
              <w:pStyle w:val="181"/>
              <w:rPr>
                <w:sz w:val="21"/>
                <w:szCs w:val="21"/>
              </w:rPr>
            </w:pPr>
          </w:p>
        </w:tc>
        <w:tc>
          <w:tcPr>
            <w:tcW w:w="2334" w:type="dxa"/>
            <w:vMerge w:val="continue"/>
            <w:vAlign w:val="center"/>
          </w:tcPr>
          <w:p w14:paraId="61A2555F">
            <w:pPr>
              <w:pStyle w:val="181"/>
              <w:rPr>
                <w:sz w:val="21"/>
                <w:szCs w:val="21"/>
              </w:rPr>
            </w:pPr>
          </w:p>
        </w:tc>
        <w:tc>
          <w:tcPr>
            <w:tcW w:w="2333" w:type="dxa"/>
            <w:vAlign w:val="center"/>
          </w:tcPr>
          <w:p w14:paraId="2BB21A45">
            <w:pPr>
              <w:pStyle w:val="181"/>
              <w:rPr>
                <w:sz w:val="21"/>
                <w:szCs w:val="21"/>
              </w:rPr>
            </w:pPr>
            <w:r>
              <w:rPr>
                <w:sz w:val="21"/>
                <w:szCs w:val="21"/>
              </w:rPr>
              <w:t>数据全生命周期安全</w:t>
            </w:r>
          </w:p>
        </w:tc>
        <w:tc>
          <w:tcPr>
            <w:tcW w:w="2333" w:type="dxa"/>
            <w:vAlign w:val="center"/>
          </w:tcPr>
          <w:p w14:paraId="6AA68D19">
            <w:pPr>
              <w:pStyle w:val="181"/>
              <w:rPr>
                <w:sz w:val="21"/>
                <w:szCs w:val="21"/>
              </w:rPr>
            </w:pPr>
            <w:r>
              <w:rPr>
                <w:sz w:val="21"/>
                <w:szCs w:val="21"/>
              </w:rPr>
              <w:t>3</w:t>
            </w:r>
          </w:p>
        </w:tc>
      </w:tr>
      <w:tr w14:paraId="146712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Merge w:val="continue"/>
            <w:vAlign w:val="center"/>
          </w:tcPr>
          <w:p w14:paraId="51FD5ED9">
            <w:pPr>
              <w:pStyle w:val="181"/>
              <w:rPr>
                <w:sz w:val="21"/>
                <w:szCs w:val="21"/>
              </w:rPr>
            </w:pPr>
          </w:p>
        </w:tc>
        <w:tc>
          <w:tcPr>
            <w:tcW w:w="2334" w:type="dxa"/>
            <w:vMerge w:val="continue"/>
            <w:vAlign w:val="center"/>
          </w:tcPr>
          <w:p w14:paraId="002C7F21">
            <w:pPr>
              <w:pStyle w:val="181"/>
              <w:rPr>
                <w:sz w:val="21"/>
                <w:szCs w:val="21"/>
              </w:rPr>
            </w:pPr>
          </w:p>
        </w:tc>
        <w:tc>
          <w:tcPr>
            <w:tcW w:w="2333" w:type="dxa"/>
            <w:vAlign w:val="center"/>
          </w:tcPr>
          <w:p w14:paraId="4615D5BA">
            <w:pPr>
              <w:pStyle w:val="181"/>
              <w:rPr>
                <w:sz w:val="21"/>
                <w:szCs w:val="21"/>
              </w:rPr>
            </w:pPr>
            <w:r>
              <w:rPr>
                <w:sz w:val="21"/>
                <w:szCs w:val="21"/>
              </w:rPr>
              <w:t>访问控制</w:t>
            </w:r>
          </w:p>
        </w:tc>
        <w:tc>
          <w:tcPr>
            <w:tcW w:w="2333" w:type="dxa"/>
            <w:vAlign w:val="center"/>
          </w:tcPr>
          <w:p w14:paraId="4EB51803">
            <w:pPr>
              <w:pStyle w:val="181"/>
              <w:rPr>
                <w:sz w:val="21"/>
                <w:szCs w:val="21"/>
              </w:rPr>
            </w:pPr>
            <w:r>
              <w:rPr>
                <w:sz w:val="21"/>
                <w:szCs w:val="21"/>
              </w:rPr>
              <w:t>3</w:t>
            </w:r>
          </w:p>
        </w:tc>
      </w:tr>
      <w:tr w14:paraId="4F9F159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Merge w:val="continue"/>
            <w:vAlign w:val="center"/>
          </w:tcPr>
          <w:p w14:paraId="513778FC">
            <w:pPr>
              <w:pStyle w:val="181"/>
              <w:rPr>
                <w:sz w:val="21"/>
                <w:szCs w:val="21"/>
              </w:rPr>
            </w:pPr>
          </w:p>
        </w:tc>
        <w:tc>
          <w:tcPr>
            <w:tcW w:w="2334" w:type="dxa"/>
            <w:vMerge w:val="continue"/>
            <w:vAlign w:val="center"/>
          </w:tcPr>
          <w:p w14:paraId="58292C2B">
            <w:pPr>
              <w:pStyle w:val="181"/>
              <w:rPr>
                <w:sz w:val="21"/>
                <w:szCs w:val="21"/>
              </w:rPr>
            </w:pPr>
          </w:p>
        </w:tc>
        <w:tc>
          <w:tcPr>
            <w:tcW w:w="2333" w:type="dxa"/>
            <w:vAlign w:val="center"/>
          </w:tcPr>
          <w:p w14:paraId="3E90588B">
            <w:pPr>
              <w:pStyle w:val="181"/>
              <w:rPr>
                <w:sz w:val="21"/>
                <w:szCs w:val="21"/>
              </w:rPr>
            </w:pPr>
            <w:r>
              <w:rPr>
                <w:sz w:val="21"/>
                <w:szCs w:val="21"/>
              </w:rPr>
              <w:t>隐私保护</w:t>
            </w:r>
          </w:p>
        </w:tc>
        <w:tc>
          <w:tcPr>
            <w:tcW w:w="2333" w:type="dxa"/>
            <w:vAlign w:val="center"/>
          </w:tcPr>
          <w:p w14:paraId="42A1AE0E">
            <w:pPr>
              <w:pStyle w:val="181"/>
              <w:rPr>
                <w:sz w:val="21"/>
                <w:szCs w:val="21"/>
              </w:rPr>
            </w:pPr>
            <w:r>
              <w:rPr>
                <w:sz w:val="21"/>
                <w:szCs w:val="21"/>
              </w:rPr>
              <w:t>3</w:t>
            </w:r>
          </w:p>
        </w:tc>
      </w:tr>
      <w:tr w14:paraId="7CC9768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Merge w:val="continue"/>
            <w:vAlign w:val="center"/>
          </w:tcPr>
          <w:p w14:paraId="250C3F23">
            <w:pPr>
              <w:pStyle w:val="181"/>
              <w:rPr>
                <w:sz w:val="21"/>
                <w:szCs w:val="21"/>
              </w:rPr>
            </w:pPr>
          </w:p>
        </w:tc>
        <w:tc>
          <w:tcPr>
            <w:tcW w:w="2334" w:type="dxa"/>
            <w:vMerge w:val="continue"/>
            <w:vAlign w:val="center"/>
          </w:tcPr>
          <w:p w14:paraId="61DEF02A">
            <w:pPr>
              <w:pStyle w:val="181"/>
              <w:rPr>
                <w:sz w:val="21"/>
                <w:szCs w:val="21"/>
              </w:rPr>
            </w:pPr>
          </w:p>
        </w:tc>
        <w:tc>
          <w:tcPr>
            <w:tcW w:w="2333" w:type="dxa"/>
            <w:vAlign w:val="center"/>
          </w:tcPr>
          <w:p w14:paraId="40B05BEA">
            <w:pPr>
              <w:pStyle w:val="181"/>
              <w:rPr>
                <w:sz w:val="21"/>
                <w:szCs w:val="21"/>
              </w:rPr>
            </w:pPr>
            <w:r>
              <w:rPr>
                <w:sz w:val="21"/>
                <w:szCs w:val="21"/>
              </w:rPr>
              <w:t>安全审计</w:t>
            </w:r>
          </w:p>
        </w:tc>
        <w:tc>
          <w:tcPr>
            <w:tcW w:w="2333" w:type="dxa"/>
            <w:vAlign w:val="center"/>
          </w:tcPr>
          <w:p w14:paraId="48C305FC">
            <w:pPr>
              <w:pStyle w:val="181"/>
              <w:rPr>
                <w:sz w:val="21"/>
                <w:szCs w:val="21"/>
              </w:rPr>
            </w:pPr>
            <w:r>
              <w:rPr>
                <w:sz w:val="21"/>
                <w:szCs w:val="21"/>
              </w:rPr>
              <w:t>2</w:t>
            </w:r>
          </w:p>
        </w:tc>
      </w:tr>
      <w:tr w14:paraId="5208A7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Merge w:val="continue"/>
            <w:vAlign w:val="center"/>
          </w:tcPr>
          <w:p w14:paraId="57D5EF8A">
            <w:pPr>
              <w:pStyle w:val="181"/>
              <w:rPr>
                <w:sz w:val="21"/>
                <w:szCs w:val="21"/>
              </w:rPr>
            </w:pPr>
          </w:p>
        </w:tc>
        <w:tc>
          <w:tcPr>
            <w:tcW w:w="2334" w:type="dxa"/>
            <w:vMerge w:val="continue"/>
            <w:vAlign w:val="center"/>
          </w:tcPr>
          <w:p w14:paraId="455365C3">
            <w:pPr>
              <w:pStyle w:val="181"/>
              <w:rPr>
                <w:sz w:val="21"/>
                <w:szCs w:val="21"/>
              </w:rPr>
            </w:pPr>
          </w:p>
        </w:tc>
        <w:tc>
          <w:tcPr>
            <w:tcW w:w="2333" w:type="dxa"/>
            <w:vAlign w:val="center"/>
          </w:tcPr>
          <w:p w14:paraId="2B73C182">
            <w:pPr>
              <w:pStyle w:val="181"/>
              <w:rPr>
                <w:sz w:val="21"/>
                <w:szCs w:val="21"/>
              </w:rPr>
            </w:pPr>
            <w:r>
              <w:rPr>
                <w:sz w:val="21"/>
                <w:szCs w:val="21"/>
              </w:rPr>
              <w:t>灾备能力</w:t>
            </w:r>
          </w:p>
        </w:tc>
        <w:tc>
          <w:tcPr>
            <w:tcW w:w="2333" w:type="dxa"/>
            <w:vAlign w:val="center"/>
          </w:tcPr>
          <w:p w14:paraId="12D35FA3">
            <w:pPr>
              <w:pStyle w:val="181"/>
              <w:rPr>
                <w:sz w:val="21"/>
                <w:szCs w:val="21"/>
              </w:rPr>
            </w:pPr>
            <w:r>
              <w:rPr>
                <w:sz w:val="21"/>
                <w:szCs w:val="21"/>
              </w:rPr>
              <w:t>2</w:t>
            </w:r>
          </w:p>
        </w:tc>
      </w:tr>
      <w:tr w14:paraId="580B55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Merge w:val="restart"/>
            <w:vAlign w:val="center"/>
          </w:tcPr>
          <w:p w14:paraId="3114E81F">
            <w:pPr>
              <w:pStyle w:val="181"/>
              <w:rPr>
                <w:sz w:val="21"/>
                <w:szCs w:val="21"/>
              </w:rPr>
            </w:pPr>
            <w:r>
              <w:rPr>
                <w:sz w:val="21"/>
                <w:szCs w:val="21"/>
              </w:rPr>
              <w:t>系统稳定性</w:t>
            </w:r>
          </w:p>
        </w:tc>
        <w:tc>
          <w:tcPr>
            <w:tcW w:w="2334" w:type="dxa"/>
            <w:vMerge w:val="restart"/>
            <w:vAlign w:val="center"/>
          </w:tcPr>
          <w:p w14:paraId="0A19AC0E">
            <w:pPr>
              <w:pStyle w:val="181"/>
              <w:rPr>
                <w:sz w:val="21"/>
                <w:szCs w:val="21"/>
              </w:rPr>
            </w:pPr>
            <w:r>
              <w:rPr>
                <w:sz w:val="21"/>
                <w:szCs w:val="21"/>
              </w:rPr>
              <w:t>12</w:t>
            </w:r>
          </w:p>
        </w:tc>
        <w:tc>
          <w:tcPr>
            <w:tcW w:w="2333" w:type="dxa"/>
            <w:vAlign w:val="center"/>
          </w:tcPr>
          <w:p w14:paraId="15EA50CF">
            <w:pPr>
              <w:pStyle w:val="181"/>
              <w:rPr>
                <w:sz w:val="21"/>
                <w:szCs w:val="21"/>
              </w:rPr>
            </w:pPr>
            <w:r>
              <w:rPr>
                <w:sz w:val="21"/>
                <w:szCs w:val="21"/>
              </w:rPr>
              <w:t>系统可用性</w:t>
            </w:r>
          </w:p>
        </w:tc>
        <w:tc>
          <w:tcPr>
            <w:tcW w:w="2333" w:type="dxa"/>
            <w:vAlign w:val="center"/>
          </w:tcPr>
          <w:p w14:paraId="592ABFC2">
            <w:pPr>
              <w:pStyle w:val="181"/>
              <w:rPr>
                <w:sz w:val="21"/>
                <w:szCs w:val="21"/>
              </w:rPr>
            </w:pPr>
            <w:r>
              <w:rPr>
                <w:sz w:val="21"/>
                <w:szCs w:val="21"/>
              </w:rPr>
              <w:t>3</w:t>
            </w:r>
          </w:p>
        </w:tc>
      </w:tr>
      <w:tr w14:paraId="0B48DE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Merge w:val="continue"/>
            <w:vAlign w:val="center"/>
          </w:tcPr>
          <w:p w14:paraId="45EB9CB8">
            <w:pPr>
              <w:pStyle w:val="181"/>
              <w:rPr>
                <w:sz w:val="21"/>
                <w:szCs w:val="21"/>
              </w:rPr>
            </w:pPr>
          </w:p>
        </w:tc>
        <w:tc>
          <w:tcPr>
            <w:tcW w:w="2334" w:type="dxa"/>
            <w:vMerge w:val="continue"/>
            <w:vAlign w:val="center"/>
          </w:tcPr>
          <w:p w14:paraId="7AE806D9">
            <w:pPr>
              <w:pStyle w:val="181"/>
              <w:rPr>
                <w:sz w:val="21"/>
                <w:szCs w:val="21"/>
              </w:rPr>
            </w:pPr>
          </w:p>
        </w:tc>
        <w:tc>
          <w:tcPr>
            <w:tcW w:w="2333" w:type="dxa"/>
            <w:vAlign w:val="center"/>
          </w:tcPr>
          <w:p w14:paraId="325BA207">
            <w:pPr>
              <w:pStyle w:val="181"/>
              <w:rPr>
                <w:sz w:val="21"/>
                <w:szCs w:val="21"/>
              </w:rPr>
            </w:pPr>
            <w:r>
              <w:rPr>
                <w:sz w:val="21"/>
                <w:szCs w:val="21"/>
              </w:rPr>
              <w:t>并发处理能力</w:t>
            </w:r>
          </w:p>
        </w:tc>
        <w:tc>
          <w:tcPr>
            <w:tcW w:w="2333" w:type="dxa"/>
            <w:vAlign w:val="center"/>
          </w:tcPr>
          <w:p w14:paraId="0063AF4D">
            <w:pPr>
              <w:pStyle w:val="181"/>
              <w:rPr>
                <w:sz w:val="21"/>
                <w:szCs w:val="21"/>
              </w:rPr>
            </w:pPr>
            <w:r>
              <w:rPr>
                <w:sz w:val="21"/>
                <w:szCs w:val="21"/>
              </w:rPr>
              <w:t>2</w:t>
            </w:r>
          </w:p>
        </w:tc>
      </w:tr>
      <w:tr w14:paraId="572247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Merge w:val="continue"/>
            <w:vAlign w:val="center"/>
          </w:tcPr>
          <w:p w14:paraId="0596A4C1">
            <w:pPr>
              <w:pStyle w:val="181"/>
              <w:rPr>
                <w:sz w:val="21"/>
                <w:szCs w:val="21"/>
              </w:rPr>
            </w:pPr>
          </w:p>
        </w:tc>
        <w:tc>
          <w:tcPr>
            <w:tcW w:w="2334" w:type="dxa"/>
            <w:vMerge w:val="continue"/>
            <w:vAlign w:val="center"/>
          </w:tcPr>
          <w:p w14:paraId="7F3B2DA8">
            <w:pPr>
              <w:pStyle w:val="181"/>
              <w:rPr>
                <w:sz w:val="21"/>
                <w:szCs w:val="21"/>
              </w:rPr>
            </w:pPr>
          </w:p>
        </w:tc>
        <w:tc>
          <w:tcPr>
            <w:tcW w:w="2333" w:type="dxa"/>
            <w:vAlign w:val="center"/>
          </w:tcPr>
          <w:p w14:paraId="1C5387C3">
            <w:pPr>
              <w:pStyle w:val="181"/>
              <w:rPr>
                <w:sz w:val="21"/>
                <w:szCs w:val="21"/>
              </w:rPr>
            </w:pPr>
            <w:r>
              <w:rPr>
                <w:sz w:val="21"/>
                <w:szCs w:val="21"/>
              </w:rPr>
              <w:t>数据处理能力</w:t>
            </w:r>
          </w:p>
        </w:tc>
        <w:tc>
          <w:tcPr>
            <w:tcW w:w="2333" w:type="dxa"/>
            <w:vAlign w:val="center"/>
          </w:tcPr>
          <w:p w14:paraId="4B8C0ED8">
            <w:pPr>
              <w:pStyle w:val="181"/>
              <w:rPr>
                <w:sz w:val="21"/>
                <w:szCs w:val="21"/>
              </w:rPr>
            </w:pPr>
            <w:r>
              <w:rPr>
                <w:sz w:val="21"/>
                <w:szCs w:val="21"/>
              </w:rPr>
              <w:t>2</w:t>
            </w:r>
          </w:p>
        </w:tc>
      </w:tr>
      <w:tr w14:paraId="45F8AF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Merge w:val="continue"/>
            <w:vAlign w:val="center"/>
          </w:tcPr>
          <w:p w14:paraId="591D6A23">
            <w:pPr>
              <w:pStyle w:val="181"/>
              <w:rPr>
                <w:sz w:val="21"/>
                <w:szCs w:val="21"/>
              </w:rPr>
            </w:pPr>
          </w:p>
        </w:tc>
        <w:tc>
          <w:tcPr>
            <w:tcW w:w="2334" w:type="dxa"/>
            <w:vMerge w:val="continue"/>
            <w:vAlign w:val="center"/>
          </w:tcPr>
          <w:p w14:paraId="587DB7DA">
            <w:pPr>
              <w:pStyle w:val="181"/>
              <w:rPr>
                <w:sz w:val="21"/>
                <w:szCs w:val="21"/>
              </w:rPr>
            </w:pPr>
          </w:p>
        </w:tc>
        <w:tc>
          <w:tcPr>
            <w:tcW w:w="2333" w:type="dxa"/>
            <w:vAlign w:val="center"/>
          </w:tcPr>
          <w:p w14:paraId="6A02F8B0">
            <w:pPr>
              <w:pStyle w:val="181"/>
              <w:rPr>
                <w:sz w:val="21"/>
                <w:szCs w:val="21"/>
              </w:rPr>
            </w:pPr>
            <w:r>
              <w:rPr>
                <w:sz w:val="21"/>
                <w:szCs w:val="21"/>
              </w:rPr>
              <w:t>兼容性</w:t>
            </w:r>
          </w:p>
        </w:tc>
        <w:tc>
          <w:tcPr>
            <w:tcW w:w="2333" w:type="dxa"/>
            <w:vAlign w:val="center"/>
          </w:tcPr>
          <w:p w14:paraId="0F0B779E">
            <w:pPr>
              <w:pStyle w:val="181"/>
              <w:rPr>
                <w:sz w:val="21"/>
                <w:szCs w:val="21"/>
              </w:rPr>
            </w:pPr>
            <w:r>
              <w:rPr>
                <w:sz w:val="21"/>
                <w:szCs w:val="21"/>
              </w:rPr>
              <w:t>2</w:t>
            </w:r>
          </w:p>
        </w:tc>
      </w:tr>
      <w:tr w14:paraId="20F82C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Merge w:val="continue"/>
            <w:vAlign w:val="center"/>
          </w:tcPr>
          <w:p w14:paraId="70778FE7">
            <w:pPr>
              <w:pStyle w:val="181"/>
              <w:rPr>
                <w:sz w:val="21"/>
                <w:szCs w:val="21"/>
              </w:rPr>
            </w:pPr>
          </w:p>
        </w:tc>
        <w:tc>
          <w:tcPr>
            <w:tcW w:w="2334" w:type="dxa"/>
            <w:vMerge w:val="continue"/>
            <w:vAlign w:val="center"/>
          </w:tcPr>
          <w:p w14:paraId="35D882E3">
            <w:pPr>
              <w:pStyle w:val="181"/>
              <w:rPr>
                <w:sz w:val="21"/>
                <w:szCs w:val="21"/>
              </w:rPr>
            </w:pPr>
          </w:p>
        </w:tc>
        <w:tc>
          <w:tcPr>
            <w:tcW w:w="2333" w:type="dxa"/>
            <w:vAlign w:val="center"/>
          </w:tcPr>
          <w:p w14:paraId="4E21FC94">
            <w:pPr>
              <w:pStyle w:val="181"/>
              <w:rPr>
                <w:sz w:val="21"/>
                <w:szCs w:val="21"/>
              </w:rPr>
            </w:pPr>
            <w:r>
              <w:rPr>
                <w:sz w:val="21"/>
                <w:szCs w:val="21"/>
              </w:rPr>
              <w:t>可扩展性</w:t>
            </w:r>
          </w:p>
        </w:tc>
        <w:tc>
          <w:tcPr>
            <w:tcW w:w="2333" w:type="dxa"/>
            <w:vAlign w:val="center"/>
          </w:tcPr>
          <w:p w14:paraId="08E3A9DD">
            <w:pPr>
              <w:pStyle w:val="181"/>
              <w:rPr>
                <w:sz w:val="21"/>
                <w:szCs w:val="21"/>
              </w:rPr>
            </w:pPr>
            <w:r>
              <w:rPr>
                <w:sz w:val="21"/>
                <w:szCs w:val="21"/>
              </w:rPr>
              <w:t>1</w:t>
            </w:r>
          </w:p>
        </w:tc>
      </w:tr>
      <w:tr w14:paraId="5EDABA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Merge w:val="continue"/>
            <w:vAlign w:val="center"/>
          </w:tcPr>
          <w:p w14:paraId="6BD2BA19">
            <w:pPr>
              <w:pStyle w:val="181"/>
              <w:rPr>
                <w:sz w:val="21"/>
                <w:szCs w:val="21"/>
              </w:rPr>
            </w:pPr>
          </w:p>
        </w:tc>
        <w:tc>
          <w:tcPr>
            <w:tcW w:w="2334" w:type="dxa"/>
            <w:vMerge w:val="continue"/>
            <w:vAlign w:val="center"/>
          </w:tcPr>
          <w:p w14:paraId="0E3A41DA">
            <w:pPr>
              <w:pStyle w:val="181"/>
              <w:rPr>
                <w:sz w:val="21"/>
                <w:szCs w:val="21"/>
              </w:rPr>
            </w:pPr>
          </w:p>
        </w:tc>
        <w:tc>
          <w:tcPr>
            <w:tcW w:w="2333" w:type="dxa"/>
            <w:vAlign w:val="center"/>
          </w:tcPr>
          <w:p w14:paraId="6BFD09E8">
            <w:pPr>
              <w:pStyle w:val="181"/>
              <w:rPr>
                <w:sz w:val="21"/>
                <w:szCs w:val="21"/>
              </w:rPr>
            </w:pPr>
            <w:r>
              <w:rPr>
                <w:sz w:val="21"/>
                <w:szCs w:val="21"/>
              </w:rPr>
              <w:t>易用性</w:t>
            </w:r>
          </w:p>
        </w:tc>
        <w:tc>
          <w:tcPr>
            <w:tcW w:w="2333" w:type="dxa"/>
            <w:vAlign w:val="center"/>
          </w:tcPr>
          <w:p w14:paraId="6571EE95">
            <w:pPr>
              <w:pStyle w:val="181"/>
              <w:rPr>
                <w:sz w:val="21"/>
                <w:szCs w:val="21"/>
              </w:rPr>
            </w:pPr>
            <w:r>
              <w:rPr>
                <w:sz w:val="21"/>
                <w:szCs w:val="21"/>
              </w:rPr>
              <w:t>2</w:t>
            </w:r>
          </w:p>
        </w:tc>
      </w:tr>
      <w:tr w14:paraId="5EFD3D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Merge w:val="restart"/>
            <w:vAlign w:val="center"/>
          </w:tcPr>
          <w:p w14:paraId="08240C7D">
            <w:pPr>
              <w:pStyle w:val="181"/>
              <w:rPr>
                <w:sz w:val="21"/>
                <w:szCs w:val="21"/>
              </w:rPr>
            </w:pPr>
            <w:r>
              <w:rPr>
                <w:sz w:val="21"/>
                <w:szCs w:val="21"/>
              </w:rPr>
              <w:t>示范推广与应用价值</w:t>
            </w:r>
          </w:p>
        </w:tc>
        <w:tc>
          <w:tcPr>
            <w:tcW w:w="2334" w:type="dxa"/>
            <w:vMerge w:val="restart"/>
            <w:vAlign w:val="center"/>
          </w:tcPr>
          <w:p w14:paraId="69FFD23A">
            <w:pPr>
              <w:pStyle w:val="181"/>
              <w:rPr>
                <w:sz w:val="21"/>
                <w:szCs w:val="21"/>
              </w:rPr>
            </w:pPr>
            <w:r>
              <w:rPr>
                <w:sz w:val="21"/>
                <w:szCs w:val="21"/>
              </w:rPr>
              <w:t>8</w:t>
            </w:r>
          </w:p>
        </w:tc>
        <w:tc>
          <w:tcPr>
            <w:tcW w:w="2333" w:type="dxa"/>
            <w:vAlign w:val="center"/>
          </w:tcPr>
          <w:p w14:paraId="1630EB77">
            <w:pPr>
              <w:pStyle w:val="181"/>
              <w:rPr>
                <w:sz w:val="21"/>
                <w:szCs w:val="21"/>
              </w:rPr>
            </w:pPr>
            <w:r>
              <w:rPr>
                <w:sz w:val="21"/>
                <w:szCs w:val="21"/>
              </w:rPr>
              <w:t>示范效果</w:t>
            </w:r>
          </w:p>
        </w:tc>
        <w:tc>
          <w:tcPr>
            <w:tcW w:w="2333" w:type="dxa"/>
            <w:vAlign w:val="center"/>
          </w:tcPr>
          <w:p w14:paraId="6DC5F963">
            <w:pPr>
              <w:pStyle w:val="181"/>
              <w:rPr>
                <w:sz w:val="21"/>
                <w:szCs w:val="21"/>
              </w:rPr>
            </w:pPr>
            <w:r>
              <w:rPr>
                <w:sz w:val="21"/>
                <w:szCs w:val="21"/>
              </w:rPr>
              <w:t>2</w:t>
            </w:r>
          </w:p>
        </w:tc>
      </w:tr>
      <w:tr w14:paraId="51D58C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Merge w:val="continue"/>
            <w:vAlign w:val="center"/>
          </w:tcPr>
          <w:p w14:paraId="343CB956">
            <w:pPr>
              <w:pStyle w:val="181"/>
              <w:rPr>
                <w:sz w:val="21"/>
                <w:szCs w:val="21"/>
              </w:rPr>
            </w:pPr>
          </w:p>
        </w:tc>
        <w:tc>
          <w:tcPr>
            <w:tcW w:w="2334" w:type="dxa"/>
            <w:vMerge w:val="continue"/>
            <w:vAlign w:val="center"/>
          </w:tcPr>
          <w:p w14:paraId="189ED9BB">
            <w:pPr>
              <w:pStyle w:val="181"/>
              <w:rPr>
                <w:sz w:val="21"/>
                <w:szCs w:val="21"/>
              </w:rPr>
            </w:pPr>
          </w:p>
        </w:tc>
        <w:tc>
          <w:tcPr>
            <w:tcW w:w="2333" w:type="dxa"/>
            <w:vAlign w:val="center"/>
          </w:tcPr>
          <w:p w14:paraId="2113AB55">
            <w:pPr>
              <w:pStyle w:val="181"/>
              <w:rPr>
                <w:sz w:val="21"/>
                <w:szCs w:val="21"/>
              </w:rPr>
            </w:pPr>
            <w:r>
              <w:rPr>
                <w:sz w:val="21"/>
                <w:szCs w:val="21"/>
              </w:rPr>
              <w:t>推广覆盖</w:t>
            </w:r>
          </w:p>
        </w:tc>
        <w:tc>
          <w:tcPr>
            <w:tcW w:w="2333" w:type="dxa"/>
            <w:vAlign w:val="center"/>
          </w:tcPr>
          <w:p w14:paraId="0AA0B1E6">
            <w:pPr>
              <w:pStyle w:val="181"/>
              <w:rPr>
                <w:sz w:val="21"/>
                <w:szCs w:val="21"/>
              </w:rPr>
            </w:pPr>
            <w:r>
              <w:rPr>
                <w:sz w:val="21"/>
                <w:szCs w:val="21"/>
              </w:rPr>
              <w:t>2</w:t>
            </w:r>
          </w:p>
        </w:tc>
      </w:tr>
      <w:tr w14:paraId="4C9FFF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Merge w:val="continue"/>
            <w:vAlign w:val="center"/>
          </w:tcPr>
          <w:p w14:paraId="086CF9EC">
            <w:pPr>
              <w:pStyle w:val="181"/>
              <w:rPr>
                <w:sz w:val="21"/>
                <w:szCs w:val="21"/>
              </w:rPr>
            </w:pPr>
          </w:p>
        </w:tc>
        <w:tc>
          <w:tcPr>
            <w:tcW w:w="2334" w:type="dxa"/>
            <w:vMerge w:val="continue"/>
            <w:vAlign w:val="center"/>
          </w:tcPr>
          <w:p w14:paraId="57BC8DDA">
            <w:pPr>
              <w:pStyle w:val="181"/>
              <w:rPr>
                <w:sz w:val="21"/>
                <w:szCs w:val="21"/>
              </w:rPr>
            </w:pPr>
          </w:p>
        </w:tc>
        <w:tc>
          <w:tcPr>
            <w:tcW w:w="2333" w:type="dxa"/>
            <w:vAlign w:val="center"/>
          </w:tcPr>
          <w:p w14:paraId="779ACA18">
            <w:pPr>
              <w:pStyle w:val="181"/>
              <w:rPr>
                <w:sz w:val="21"/>
                <w:szCs w:val="21"/>
              </w:rPr>
            </w:pPr>
            <w:r>
              <w:rPr>
                <w:sz w:val="21"/>
                <w:szCs w:val="21"/>
              </w:rPr>
              <w:t>社会效益</w:t>
            </w:r>
          </w:p>
        </w:tc>
        <w:tc>
          <w:tcPr>
            <w:tcW w:w="2333" w:type="dxa"/>
            <w:vAlign w:val="center"/>
          </w:tcPr>
          <w:p w14:paraId="0847FC20">
            <w:pPr>
              <w:pStyle w:val="181"/>
              <w:rPr>
                <w:sz w:val="21"/>
                <w:szCs w:val="21"/>
              </w:rPr>
            </w:pPr>
            <w:r>
              <w:rPr>
                <w:sz w:val="21"/>
                <w:szCs w:val="21"/>
              </w:rPr>
              <w:t>2</w:t>
            </w:r>
          </w:p>
        </w:tc>
      </w:tr>
      <w:tr w14:paraId="5D088E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Merge w:val="continue"/>
            <w:vAlign w:val="center"/>
          </w:tcPr>
          <w:p w14:paraId="31164A4B">
            <w:pPr>
              <w:pStyle w:val="181"/>
              <w:rPr>
                <w:sz w:val="21"/>
                <w:szCs w:val="21"/>
              </w:rPr>
            </w:pPr>
          </w:p>
        </w:tc>
        <w:tc>
          <w:tcPr>
            <w:tcW w:w="2334" w:type="dxa"/>
            <w:vMerge w:val="continue"/>
            <w:vAlign w:val="center"/>
          </w:tcPr>
          <w:p w14:paraId="3F2CEF58">
            <w:pPr>
              <w:pStyle w:val="181"/>
              <w:rPr>
                <w:sz w:val="21"/>
                <w:szCs w:val="21"/>
              </w:rPr>
            </w:pPr>
          </w:p>
        </w:tc>
        <w:tc>
          <w:tcPr>
            <w:tcW w:w="2333" w:type="dxa"/>
            <w:vAlign w:val="center"/>
          </w:tcPr>
          <w:p w14:paraId="39E6E37A">
            <w:pPr>
              <w:pStyle w:val="181"/>
              <w:rPr>
                <w:sz w:val="21"/>
                <w:szCs w:val="21"/>
              </w:rPr>
            </w:pPr>
            <w:r>
              <w:rPr>
                <w:sz w:val="21"/>
                <w:szCs w:val="21"/>
              </w:rPr>
              <w:t>行业影响力</w:t>
            </w:r>
          </w:p>
        </w:tc>
        <w:tc>
          <w:tcPr>
            <w:tcW w:w="2333" w:type="dxa"/>
            <w:vAlign w:val="center"/>
          </w:tcPr>
          <w:p w14:paraId="69B1975C">
            <w:pPr>
              <w:pStyle w:val="181"/>
              <w:rPr>
                <w:sz w:val="21"/>
                <w:szCs w:val="21"/>
              </w:rPr>
            </w:pPr>
            <w:r>
              <w:rPr>
                <w:sz w:val="21"/>
                <w:szCs w:val="21"/>
              </w:rPr>
              <w:t>2</w:t>
            </w:r>
          </w:p>
        </w:tc>
      </w:tr>
    </w:tbl>
    <w:p w14:paraId="7EFA2969">
      <w:pPr>
        <w:pStyle w:val="59"/>
        <w:ind w:firstLine="0" w:firstLineChars="0"/>
        <w:rPr>
          <w:rFonts w:hint="eastAsia"/>
        </w:rPr>
        <w:sectPr>
          <w:pgSz w:w="11906" w:h="16838"/>
          <w:pgMar w:top="1928" w:right="1134" w:bottom="1134" w:left="1134" w:header="1418" w:footer="1134" w:gutter="284"/>
          <w:cols w:space="425" w:num="1"/>
          <w:formProt w:val="0"/>
          <w:docGrid w:linePitch="312" w:charSpace="0"/>
        </w:sectPr>
      </w:pPr>
    </w:p>
    <w:p w14:paraId="5E139881">
      <w:pPr>
        <w:pStyle w:val="201"/>
        <w:rPr>
          <w:rFonts w:hint="eastAsia"/>
        </w:rPr>
      </w:pPr>
    </w:p>
    <w:p w14:paraId="30CE7457">
      <w:pPr>
        <w:pStyle w:val="202"/>
      </w:pPr>
    </w:p>
    <w:p w14:paraId="7B520186">
      <w:pPr>
        <w:pStyle w:val="79"/>
        <w:spacing w:before="0" w:after="0" w:afterLines="0"/>
        <w:rPr>
          <w:rFonts w:ascii="Times New Roman"/>
        </w:rPr>
      </w:pPr>
      <w:r>
        <w:rPr>
          <w:rFonts w:ascii="Times New Roman"/>
        </w:rPr>
        <w:br w:type="textWrapping"/>
      </w:r>
      <w:bookmarkStart w:id="162" w:name="_Toc227765717"/>
      <w:r>
        <w:rPr>
          <w:rFonts w:hint="eastAsia" w:ascii="Times New Roman"/>
        </w:rPr>
        <w:t>（规范性）</w:t>
      </w:r>
      <w:r>
        <w:rPr>
          <w:rFonts w:ascii="Times New Roman"/>
        </w:rPr>
        <w:br w:type="textWrapping"/>
      </w:r>
      <w:r>
        <w:rPr>
          <w:rFonts w:hint="eastAsia" w:ascii="Times New Roman"/>
        </w:rPr>
        <w:t>核心评价量表</w:t>
      </w:r>
      <w:bookmarkEnd w:id="162"/>
    </w:p>
    <w:p w14:paraId="62E0684A">
      <w:pPr>
        <w:pStyle w:val="59"/>
        <w:ind w:firstLine="0" w:firstLineChars="0"/>
        <w:rPr>
          <w:rFonts w:hint="eastAsia"/>
        </w:rPr>
      </w:pPr>
    </w:p>
    <w:p w14:paraId="14115C4E">
      <w:pPr>
        <w:pStyle w:val="80"/>
        <w:spacing w:before="0" w:beforeLines="0" w:after="0" w:afterLines="0"/>
        <w:rPr>
          <w:rFonts w:ascii="Times New Roman"/>
          <w:kern w:val="0"/>
        </w:rPr>
      </w:pPr>
      <w:r>
        <w:rPr>
          <w:rFonts w:ascii="Times New Roman"/>
          <w:kern w:val="0"/>
        </w:rPr>
        <w:t>临床研究病房智慧管理平台用户满意度量表</w:t>
      </w:r>
    </w:p>
    <w:p w14:paraId="790EE217">
      <w:pPr>
        <w:pStyle w:val="59"/>
        <w:ind w:firstLine="422"/>
      </w:pPr>
      <w:r>
        <w:rPr>
          <w:b/>
          <w:bCs/>
        </w:rPr>
        <w:t>说明</w:t>
      </w:r>
      <w:r>
        <w:t>：采用 5 级李克特量表（1 = 非常不满意，2 = 不满意，3 = 一般，4 = 满意，5 = 非常满意），总分 100 分，各条目得分取平均值后 ×20 换算为百分制</w:t>
      </w:r>
    </w:p>
    <w:tbl>
      <w:tblPr>
        <w:tblStyle w:val="29"/>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2686"/>
        <w:gridCol w:w="6027"/>
        <w:gridCol w:w="841"/>
      </w:tblGrid>
      <w:tr w14:paraId="7AE2C1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blHeader/>
          <w:jc w:val="center"/>
        </w:trPr>
        <w:tc>
          <w:tcPr>
            <w:tcW w:w="1406" w:type="pct"/>
            <w:tcBorders>
              <w:top w:val="single" w:color="auto" w:sz="8" w:space="0"/>
              <w:bottom w:val="single" w:color="auto" w:sz="8" w:space="0"/>
            </w:tcBorders>
            <w:vAlign w:val="center"/>
          </w:tcPr>
          <w:p w14:paraId="4B0490AE">
            <w:pPr>
              <w:pStyle w:val="181"/>
              <w:rPr>
                <w:sz w:val="21"/>
                <w:szCs w:val="21"/>
              </w:rPr>
            </w:pPr>
            <w:r>
              <w:rPr>
                <w:b/>
                <w:bCs/>
                <w:sz w:val="21"/>
                <w:szCs w:val="21"/>
              </w:rPr>
              <w:t>评价维度</w:t>
            </w:r>
          </w:p>
        </w:tc>
        <w:tc>
          <w:tcPr>
            <w:tcW w:w="3154" w:type="pct"/>
            <w:tcBorders>
              <w:top w:val="single" w:color="auto" w:sz="8" w:space="0"/>
              <w:bottom w:val="single" w:color="auto" w:sz="8" w:space="0"/>
            </w:tcBorders>
            <w:vAlign w:val="center"/>
          </w:tcPr>
          <w:p w14:paraId="092F34A9">
            <w:pPr>
              <w:pStyle w:val="181"/>
              <w:rPr>
                <w:sz w:val="21"/>
                <w:szCs w:val="21"/>
              </w:rPr>
            </w:pPr>
            <w:r>
              <w:rPr>
                <w:b/>
                <w:bCs/>
                <w:sz w:val="21"/>
                <w:szCs w:val="21"/>
              </w:rPr>
              <w:t>评价条目</w:t>
            </w:r>
          </w:p>
        </w:tc>
        <w:tc>
          <w:tcPr>
            <w:tcW w:w="441" w:type="pct"/>
            <w:tcBorders>
              <w:top w:val="single" w:color="auto" w:sz="8" w:space="0"/>
              <w:bottom w:val="single" w:color="auto" w:sz="8" w:space="0"/>
            </w:tcBorders>
            <w:vAlign w:val="center"/>
          </w:tcPr>
          <w:p w14:paraId="7303FBE0">
            <w:pPr>
              <w:pStyle w:val="181"/>
              <w:rPr>
                <w:sz w:val="21"/>
                <w:szCs w:val="21"/>
              </w:rPr>
            </w:pPr>
            <w:r>
              <w:rPr>
                <w:b/>
                <w:bCs/>
                <w:sz w:val="21"/>
                <w:szCs w:val="21"/>
              </w:rPr>
              <w:t>得分</w:t>
            </w:r>
          </w:p>
        </w:tc>
      </w:tr>
      <w:tr w14:paraId="1F4A37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406" w:type="pct"/>
            <w:vMerge w:val="restart"/>
            <w:tcBorders>
              <w:top w:val="single" w:color="auto" w:sz="8" w:space="0"/>
            </w:tcBorders>
            <w:vAlign w:val="center"/>
          </w:tcPr>
          <w:p w14:paraId="681F7E38">
            <w:pPr>
              <w:pStyle w:val="181"/>
              <w:rPr>
                <w:sz w:val="21"/>
                <w:szCs w:val="21"/>
              </w:rPr>
            </w:pPr>
            <w:r>
              <w:rPr>
                <w:sz w:val="21"/>
                <w:szCs w:val="21"/>
              </w:rPr>
              <w:t>平台功能（30 分）</w:t>
            </w:r>
          </w:p>
        </w:tc>
        <w:tc>
          <w:tcPr>
            <w:tcW w:w="3154" w:type="pct"/>
            <w:tcBorders>
              <w:top w:val="single" w:color="auto" w:sz="8" w:space="0"/>
            </w:tcBorders>
            <w:vAlign w:val="center"/>
          </w:tcPr>
          <w:p w14:paraId="1B3A07EF">
            <w:pPr>
              <w:pStyle w:val="181"/>
              <w:jc w:val="left"/>
              <w:rPr>
                <w:sz w:val="21"/>
                <w:szCs w:val="21"/>
              </w:rPr>
            </w:pPr>
            <w:r>
              <w:rPr>
                <w:sz w:val="21"/>
                <w:szCs w:val="21"/>
              </w:rPr>
              <w:t>1. 数据自动采集与同步功能满足临床研究需求</w:t>
            </w:r>
          </w:p>
        </w:tc>
        <w:tc>
          <w:tcPr>
            <w:tcW w:w="441" w:type="pct"/>
            <w:tcBorders>
              <w:top w:val="single" w:color="auto" w:sz="8" w:space="0"/>
            </w:tcBorders>
            <w:vAlign w:val="center"/>
          </w:tcPr>
          <w:p w14:paraId="1C4F0A48">
            <w:pPr>
              <w:pStyle w:val="181"/>
              <w:jc w:val="left"/>
              <w:rPr>
                <w:sz w:val="21"/>
                <w:szCs w:val="21"/>
              </w:rPr>
            </w:pPr>
          </w:p>
        </w:tc>
      </w:tr>
      <w:tr w14:paraId="225F08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406" w:type="pct"/>
            <w:vMerge w:val="continue"/>
            <w:vAlign w:val="center"/>
          </w:tcPr>
          <w:p w14:paraId="7D38B2A7">
            <w:pPr>
              <w:pStyle w:val="181"/>
              <w:rPr>
                <w:sz w:val="21"/>
                <w:szCs w:val="21"/>
              </w:rPr>
            </w:pPr>
          </w:p>
        </w:tc>
        <w:tc>
          <w:tcPr>
            <w:tcW w:w="3154" w:type="pct"/>
            <w:vAlign w:val="center"/>
          </w:tcPr>
          <w:p w14:paraId="032AB286">
            <w:pPr>
              <w:pStyle w:val="181"/>
              <w:jc w:val="left"/>
              <w:rPr>
                <w:sz w:val="21"/>
                <w:szCs w:val="21"/>
              </w:rPr>
            </w:pPr>
            <w:r>
              <w:rPr>
                <w:sz w:val="21"/>
                <w:szCs w:val="21"/>
              </w:rPr>
              <w:t>2. 全流程过程追溯功能覆盖临床研究关键节点</w:t>
            </w:r>
          </w:p>
        </w:tc>
        <w:tc>
          <w:tcPr>
            <w:tcW w:w="441" w:type="pct"/>
            <w:vAlign w:val="center"/>
          </w:tcPr>
          <w:p w14:paraId="180F69EB">
            <w:pPr>
              <w:pStyle w:val="181"/>
              <w:jc w:val="left"/>
              <w:rPr>
                <w:sz w:val="21"/>
                <w:szCs w:val="21"/>
              </w:rPr>
            </w:pPr>
          </w:p>
        </w:tc>
      </w:tr>
      <w:tr w14:paraId="134172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406" w:type="pct"/>
            <w:vMerge w:val="continue"/>
            <w:vAlign w:val="center"/>
          </w:tcPr>
          <w:p w14:paraId="32D34D50">
            <w:pPr>
              <w:pStyle w:val="181"/>
              <w:rPr>
                <w:sz w:val="21"/>
                <w:szCs w:val="21"/>
              </w:rPr>
            </w:pPr>
          </w:p>
        </w:tc>
        <w:tc>
          <w:tcPr>
            <w:tcW w:w="3154" w:type="pct"/>
            <w:vAlign w:val="center"/>
          </w:tcPr>
          <w:p w14:paraId="6F49B85F">
            <w:pPr>
              <w:pStyle w:val="181"/>
              <w:jc w:val="left"/>
              <w:rPr>
                <w:sz w:val="21"/>
                <w:szCs w:val="21"/>
              </w:rPr>
            </w:pPr>
            <w:r>
              <w:rPr>
                <w:sz w:val="21"/>
                <w:szCs w:val="21"/>
              </w:rPr>
              <w:t>3. 不良事件智能预警与判读功能准确有效</w:t>
            </w:r>
          </w:p>
        </w:tc>
        <w:tc>
          <w:tcPr>
            <w:tcW w:w="441" w:type="pct"/>
            <w:vAlign w:val="center"/>
          </w:tcPr>
          <w:p w14:paraId="7A330B32">
            <w:pPr>
              <w:pStyle w:val="181"/>
              <w:jc w:val="left"/>
              <w:rPr>
                <w:sz w:val="21"/>
                <w:szCs w:val="21"/>
              </w:rPr>
            </w:pPr>
          </w:p>
        </w:tc>
      </w:tr>
      <w:tr w14:paraId="25CFA5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406" w:type="pct"/>
            <w:vMerge w:val="continue"/>
            <w:vAlign w:val="center"/>
          </w:tcPr>
          <w:p w14:paraId="50D56384">
            <w:pPr>
              <w:pStyle w:val="181"/>
              <w:rPr>
                <w:sz w:val="21"/>
                <w:szCs w:val="21"/>
              </w:rPr>
            </w:pPr>
          </w:p>
        </w:tc>
        <w:tc>
          <w:tcPr>
            <w:tcW w:w="3154" w:type="pct"/>
            <w:vAlign w:val="center"/>
          </w:tcPr>
          <w:p w14:paraId="2557B14C">
            <w:pPr>
              <w:pStyle w:val="181"/>
              <w:jc w:val="left"/>
              <w:rPr>
                <w:sz w:val="21"/>
                <w:szCs w:val="21"/>
              </w:rPr>
            </w:pPr>
            <w:r>
              <w:rPr>
                <w:sz w:val="21"/>
                <w:szCs w:val="21"/>
              </w:rPr>
              <w:t>4. 多中心协同管理功能便捷易用</w:t>
            </w:r>
          </w:p>
        </w:tc>
        <w:tc>
          <w:tcPr>
            <w:tcW w:w="441" w:type="pct"/>
            <w:vAlign w:val="center"/>
          </w:tcPr>
          <w:p w14:paraId="30396B21">
            <w:pPr>
              <w:pStyle w:val="181"/>
              <w:jc w:val="left"/>
              <w:rPr>
                <w:sz w:val="21"/>
                <w:szCs w:val="21"/>
              </w:rPr>
            </w:pPr>
          </w:p>
        </w:tc>
      </w:tr>
      <w:tr w14:paraId="5A7E56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406" w:type="pct"/>
            <w:vMerge w:val="continue"/>
            <w:vAlign w:val="center"/>
          </w:tcPr>
          <w:p w14:paraId="2A0D41DF">
            <w:pPr>
              <w:pStyle w:val="181"/>
              <w:rPr>
                <w:sz w:val="21"/>
                <w:szCs w:val="21"/>
              </w:rPr>
            </w:pPr>
          </w:p>
        </w:tc>
        <w:tc>
          <w:tcPr>
            <w:tcW w:w="3154" w:type="pct"/>
            <w:vAlign w:val="center"/>
          </w:tcPr>
          <w:p w14:paraId="59A4D317">
            <w:pPr>
              <w:pStyle w:val="181"/>
              <w:jc w:val="left"/>
              <w:rPr>
                <w:sz w:val="21"/>
                <w:szCs w:val="21"/>
              </w:rPr>
            </w:pPr>
            <w:r>
              <w:rPr>
                <w:sz w:val="21"/>
                <w:szCs w:val="21"/>
              </w:rPr>
              <w:t>5. 决策支持功能对临床研究有实际指导价值</w:t>
            </w:r>
          </w:p>
        </w:tc>
        <w:tc>
          <w:tcPr>
            <w:tcW w:w="441" w:type="pct"/>
            <w:vAlign w:val="center"/>
          </w:tcPr>
          <w:p w14:paraId="2342F359">
            <w:pPr>
              <w:pStyle w:val="181"/>
              <w:jc w:val="left"/>
              <w:rPr>
                <w:sz w:val="21"/>
                <w:szCs w:val="21"/>
              </w:rPr>
            </w:pPr>
          </w:p>
        </w:tc>
      </w:tr>
      <w:tr w14:paraId="3BB858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406" w:type="pct"/>
            <w:vMerge w:val="restart"/>
            <w:vAlign w:val="center"/>
          </w:tcPr>
          <w:p w14:paraId="3BCC3CEA">
            <w:pPr>
              <w:pStyle w:val="181"/>
              <w:rPr>
                <w:sz w:val="21"/>
                <w:szCs w:val="21"/>
              </w:rPr>
            </w:pPr>
            <w:r>
              <w:rPr>
                <w:sz w:val="21"/>
                <w:szCs w:val="21"/>
              </w:rPr>
              <w:t>系统性能（25 分）</w:t>
            </w:r>
          </w:p>
        </w:tc>
        <w:tc>
          <w:tcPr>
            <w:tcW w:w="3154" w:type="pct"/>
            <w:vAlign w:val="center"/>
          </w:tcPr>
          <w:p w14:paraId="2549ABFC">
            <w:pPr>
              <w:pStyle w:val="181"/>
              <w:jc w:val="left"/>
              <w:rPr>
                <w:sz w:val="21"/>
                <w:szCs w:val="21"/>
              </w:rPr>
            </w:pPr>
            <w:r>
              <w:rPr>
                <w:sz w:val="21"/>
                <w:szCs w:val="21"/>
              </w:rPr>
              <w:t>1. 系统运行稳定，无频繁崩溃或卡顿</w:t>
            </w:r>
          </w:p>
        </w:tc>
        <w:tc>
          <w:tcPr>
            <w:tcW w:w="441" w:type="pct"/>
            <w:vAlign w:val="center"/>
          </w:tcPr>
          <w:p w14:paraId="1657A742">
            <w:pPr>
              <w:pStyle w:val="181"/>
              <w:jc w:val="left"/>
              <w:rPr>
                <w:sz w:val="21"/>
                <w:szCs w:val="21"/>
              </w:rPr>
            </w:pPr>
          </w:p>
        </w:tc>
      </w:tr>
      <w:tr w14:paraId="68925D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406" w:type="pct"/>
            <w:vMerge w:val="continue"/>
            <w:vAlign w:val="center"/>
          </w:tcPr>
          <w:p w14:paraId="2A18E870">
            <w:pPr>
              <w:pStyle w:val="181"/>
              <w:rPr>
                <w:sz w:val="21"/>
                <w:szCs w:val="21"/>
              </w:rPr>
            </w:pPr>
          </w:p>
        </w:tc>
        <w:tc>
          <w:tcPr>
            <w:tcW w:w="3154" w:type="pct"/>
            <w:vAlign w:val="center"/>
          </w:tcPr>
          <w:p w14:paraId="1899E85B">
            <w:pPr>
              <w:pStyle w:val="181"/>
              <w:jc w:val="left"/>
              <w:rPr>
                <w:sz w:val="21"/>
                <w:szCs w:val="21"/>
              </w:rPr>
            </w:pPr>
            <w:r>
              <w:rPr>
                <w:sz w:val="21"/>
                <w:szCs w:val="21"/>
              </w:rPr>
              <w:t>2. 数据查询与统计分析响应速度快</w:t>
            </w:r>
          </w:p>
        </w:tc>
        <w:tc>
          <w:tcPr>
            <w:tcW w:w="441" w:type="pct"/>
            <w:vAlign w:val="center"/>
          </w:tcPr>
          <w:p w14:paraId="6373B277">
            <w:pPr>
              <w:pStyle w:val="181"/>
              <w:jc w:val="left"/>
              <w:rPr>
                <w:sz w:val="21"/>
                <w:szCs w:val="21"/>
              </w:rPr>
            </w:pPr>
          </w:p>
        </w:tc>
      </w:tr>
      <w:tr w14:paraId="1C31DA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406" w:type="pct"/>
            <w:vMerge w:val="continue"/>
            <w:vAlign w:val="center"/>
          </w:tcPr>
          <w:p w14:paraId="5208325B">
            <w:pPr>
              <w:pStyle w:val="181"/>
              <w:rPr>
                <w:sz w:val="21"/>
                <w:szCs w:val="21"/>
              </w:rPr>
            </w:pPr>
          </w:p>
        </w:tc>
        <w:tc>
          <w:tcPr>
            <w:tcW w:w="3154" w:type="pct"/>
            <w:vAlign w:val="center"/>
          </w:tcPr>
          <w:p w14:paraId="1F80B237">
            <w:pPr>
              <w:pStyle w:val="181"/>
              <w:jc w:val="left"/>
              <w:rPr>
                <w:sz w:val="21"/>
                <w:szCs w:val="21"/>
              </w:rPr>
            </w:pPr>
            <w:r>
              <w:rPr>
                <w:sz w:val="21"/>
                <w:szCs w:val="21"/>
              </w:rPr>
              <w:t>3. 系统并发处理能力满足日常工作需求</w:t>
            </w:r>
          </w:p>
        </w:tc>
        <w:tc>
          <w:tcPr>
            <w:tcW w:w="441" w:type="pct"/>
            <w:vAlign w:val="center"/>
          </w:tcPr>
          <w:p w14:paraId="2741A3B3">
            <w:pPr>
              <w:pStyle w:val="181"/>
              <w:jc w:val="left"/>
              <w:rPr>
                <w:sz w:val="21"/>
                <w:szCs w:val="21"/>
              </w:rPr>
            </w:pPr>
          </w:p>
        </w:tc>
      </w:tr>
      <w:tr w14:paraId="5DB98C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406" w:type="pct"/>
            <w:vMerge w:val="continue"/>
            <w:vAlign w:val="center"/>
          </w:tcPr>
          <w:p w14:paraId="3FA97CB6">
            <w:pPr>
              <w:pStyle w:val="181"/>
              <w:rPr>
                <w:sz w:val="21"/>
                <w:szCs w:val="21"/>
              </w:rPr>
            </w:pPr>
          </w:p>
        </w:tc>
        <w:tc>
          <w:tcPr>
            <w:tcW w:w="3154" w:type="pct"/>
            <w:vAlign w:val="center"/>
          </w:tcPr>
          <w:p w14:paraId="64222330">
            <w:pPr>
              <w:pStyle w:val="181"/>
              <w:jc w:val="left"/>
              <w:rPr>
                <w:sz w:val="21"/>
                <w:szCs w:val="21"/>
              </w:rPr>
            </w:pPr>
            <w:r>
              <w:rPr>
                <w:sz w:val="21"/>
                <w:szCs w:val="21"/>
              </w:rPr>
              <w:t>4. 与医院现有信息系统兼容性良好</w:t>
            </w:r>
          </w:p>
        </w:tc>
        <w:tc>
          <w:tcPr>
            <w:tcW w:w="441" w:type="pct"/>
            <w:vAlign w:val="center"/>
          </w:tcPr>
          <w:p w14:paraId="0CACD6CF">
            <w:pPr>
              <w:pStyle w:val="181"/>
              <w:jc w:val="left"/>
              <w:rPr>
                <w:sz w:val="21"/>
                <w:szCs w:val="21"/>
              </w:rPr>
            </w:pPr>
          </w:p>
        </w:tc>
      </w:tr>
      <w:tr w14:paraId="08AD91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406" w:type="pct"/>
            <w:vMerge w:val="continue"/>
            <w:vAlign w:val="center"/>
          </w:tcPr>
          <w:p w14:paraId="323DD7AA">
            <w:pPr>
              <w:pStyle w:val="181"/>
              <w:rPr>
                <w:sz w:val="21"/>
                <w:szCs w:val="21"/>
              </w:rPr>
            </w:pPr>
          </w:p>
        </w:tc>
        <w:tc>
          <w:tcPr>
            <w:tcW w:w="3154" w:type="pct"/>
            <w:vAlign w:val="center"/>
          </w:tcPr>
          <w:p w14:paraId="0987568C">
            <w:pPr>
              <w:pStyle w:val="181"/>
              <w:jc w:val="left"/>
              <w:rPr>
                <w:sz w:val="21"/>
                <w:szCs w:val="21"/>
              </w:rPr>
            </w:pPr>
            <w:r>
              <w:rPr>
                <w:sz w:val="21"/>
                <w:szCs w:val="21"/>
              </w:rPr>
              <w:t>5. 系统升级不影响正常业务开展</w:t>
            </w:r>
          </w:p>
        </w:tc>
        <w:tc>
          <w:tcPr>
            <w:tcW w:w="441" w:type="pct"/>
            <w:vAlign w:val="center"/>
          </w:tcPr>
          <w:p w14:paraId="280FFEC5">
            <w:pPr>
              <w:pStyle w:val="181"/>
              <w:jc w:val="left"/>
              <w:rPr>
                <w:sz w:val="21"/>
                <w:szCs w:val="21"/>
              </w:rPr>
            </w:pPr>
          </w:p>
        </w:tc>
      </w:tr>
      <w:tr w14:paraId="306133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406" w:type="pct"/>
            <w:vMerge w:val="restart"/>
            <w:vAlign w:val="center"/>
          </w:tcPr>
          <w:p w14:paraId="05A45B81">
            <w:pPr>
              <w:pStyle w:val="181"/>
              <w:rPr>
                <w:sz w:val="21"/>
                <w:szCs w:val="21"/>
              </w:rPr>
            </w:pPr>
            <w:r>
              <w:rPr>
                <w:sz w:val="21"/>
                <w:szCs w:val="21"/>
              </w:rPr>
              <w:t>易用性（25 分）</w:t>
            </w:r>
          </w:p>
        </w:tc>
        <w:tc>
          <w:tcPr>
            <w:tcW w:w="3154" w:type="pct"/>
            <w:vAlign w:val="center"/>
          </w:tcPr>
          <w:p w14:paraId="0D571B2A">
            <w:pPr>
              <w:pStyle w:val="181"/>
              <w:jc w:val="left"/>
              <w:rPr>
                <w:sz w:val="21"/>
                <w:szCs w:val="21"/>
              </w:rPr>
            </w:pPr>
            <w:r>
              <w:rPr>
                <w:sz w:val="21"/>
                <w:szCs w:val="21"/>
              </w:rPr>
              <w:t>1. 平台操作界面简洁直观</w:t>
            </w:r>
          </w:p>
        </w:tc>
        <w:tc>
          <w:tcPr>
            <w:tcW w:w="441" w:type="pct"/>
            <w:vAlign w:val="center"/>
          </w:tcPr>
          <w:p w14:paraId="61B9CFAE">
            <w:pPr>
              <w:pStyle w:val="181"/>
              <w:jc w:val="left"/>
              <w:rPr>
                <w:sz w:val="21"/>
                <w:szCs w:val="21"/>
              </w:rPr>
            </w:pPr>
          </w:p>
        </w:tc>
      </w:tr>
      <w:tr w14:paraId="35A047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406" w:type="pct"/>
            <w:vMerge w:val="continue"/>
            <w:vAlign w:val="center"/>
          </w:tcPr>
          <w:p w14:paraId="1C05A2A5">
            <w:pPr>
              <w:pStyle w:val="181"/>
              <w:rPr>
                <w:sz w:val="21"/>
                <w:szCs w:val="21"/>
              </w:rPr>
            </w:pPr>
          </w:p>
        </w:tc>
        <w:tc>
          <w:tcPr>
            <w:tcW w:w="3154" w:type="pct"/>
            <w:vAlign w:val="center"/>
          </w:tcPr>
          <w:p w14:paraId="1F3D458C">
            <w:pPr>
              <w:pStyle w:val="181"/>
              <w:jc w:val="left"/>
              <w:rPr>
                <w:sz w:val="21"/>
                <w:szCs w:val="21"/>
              </w:rPr>
            </w:pPr>
            <w:r>
              <w:rPr>
                <w:sz w:val="21"/>
                <w:szCs w:val="21"/>
              </w:rPr>
              <w:t>2. 操作流程符合临床研究工作习惯</w:t>
            </w:r>
          </w:p>
        </w:tc>
        <w:tc>
          <w:tcPr>
            <w:tcW w:w="441" w:type="pct"/>
            <w:vAlign w:val="center"/>
          </w:tcPr>
          <w:p w14:paraId="0CA1C8C8">
            <w:pPr>
              <w:pStyle w:val="181"/>
              <w:jc w:val="left"/>
              <w:rPr>
                <w:sz w:val="21"/>
                <w:szCs w:val="21"/>
              </w:rPr>
            </w:pPr>
          </w:p>
        </w:tc>
      </w:tr>
      <w:tr w14:paraId="5C662D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jc w:val="center"/>
        </w:trPr>
        <w:tc>
          <w:tcPr>
            <w:tcW w:w="1406" w:type="pct"/>
            <w:vMerge w:val="continue"/>
            <w:vAlign w:val="center"/>
          </w:tcPr>
          <w:p w14:paraId="60E8639E">
            <w:pPr>
              <w:pStyle w:val="181"/>
              <w:rPr>
                <w:sz w:val="21"/>
                <w:szCs w:val="21"/>
              </w:rPr>
            </w:pPr>
          </w:p>
        </w:tc>
        <w:tc>
          <w:tcPr>
            <w:tcW w:w="3154" w:type="pct"/>
            <w:vAlign w:val="center"/>
          </w:tcPr>
          <w:p w14:paraId="4E42A1D4">
            <w:pPr>
              <w:pStyle w:val="181"/>
              <w:jc w:val="left"/>
              <w:rPr>
                <w:sz w:val="21"/>
                <w:szCs w:val="21"/>
              </w:rPr>
            </w:pPr>
            <w:r>
              <w:rPr>
                <w:sz w:val="21"/>
                <w:szCs w:val="21"/>
              </w:rPr>
              <w:t>3. 平台学习</w:t>
            </w:r>
            <w:r>
              <w:rPr>
                <w:rFonts w:hint="default"/>
                <w:sz w:val="21"/>
                <w:szCs w:val="21"/>
              </w:rPr>
              <w:t>、操作便捷</w:t>
            </w:r>
          </w:p>
        </w:tc>
        <w:tc>
          <w:tcPr>
            <w:tcW w:w="441" w:type="pct"/>
            <w:vAlign w:val="center"/>
          </w:tcPr>
          <w:p w14:paraId="6D471E66">
            <w:pPr>
              <w:pStyle w:val="181"/>
              <w:jc w:val="left"/>
              <w:rPr>
                <w:sz w:val="21"/>
                <w:szCs w:val="21"/>
              </w:rPr>
            </w:pPr>
          </w:p>
        </w:tc>
      </w:tr>
      <w:tr w14:paraId="681475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406" w:type="pct"/>
            <w:vMerge w:val="continue"/>
            <w:vAlign w:val="center"/>
          </w:tcPr>
          <w:p w14:paraId="56F92B1B">
            <w:pPr>
              <w:pStyle w:val="181"/>
              <w:rPr>
                <w:sz w:val="21"/>
                <w:szCs w:val="21"/>
              </w:rPr>
            </w:pPr>
          </w:p>
        </w:tc>
        <w:tc>
          <w:tcPr>
            <w:tcW w:w="3154" w:type="pct"/>
            <w:vAlign w:val="center"/>
          </w:tcPr>
          <w:p w14:paraId="2FF785C6">
            <w:pPr>
              <w:pStyle w:val="181"/>
              <w:jc w:val="left"/>
              <w:rPr>
                <w:sz w:val="21"/>
                <w:szCs w:val="21"/>
              </w:rPr>
            </w:pPr>
            <w:r>
              <w:rPr>
                <w:sz w:val="21"/>
                <w:szCs w:val="21"/>
              </w:rPr>
              <w:t>4. 帮助文档与操作指引完善</w:t>
            </w:r>
          </w:p>
        </w:tc>
        <w:tc>
          <w:tcPr>
            <w:tcW w:w="441" w:type="pct"/>
            <w:vAlign w:val="center"/>
          </w:tcPr>
          <w:p w14:paraId="45D3C409">
            <w:pPr>
              <w:pStyle w:val="181"/>
              <w:jc w:val="left"/>
              <w:rPr>
                <w:sz w:val="21"/>
                <w:szCs w:val="21"/>
              </w:rPr>
            </w:pPr>
          </w:p>
        </w:tc>
      </w:tr>
      <w:tr w14:paraId="5F40DE8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406" w:type="pct"/>
            <w:vMerge w:val="continue"/>
            <w:vAlign w:val="center"/>
          </w:tcPr>
          <w:p w14:paraId="73EF35E2">
            <w:pPr>
              <w:pStyle w:val="181"/>
              <w:rPr>
                <w:sz w:val="21"/>
                <w:szCs w:val="21"/>
              </w:rPr>
            </w:pPr>
          </w:p>
        </w:tc>
        <w:tc>
          <w:tcPr>
            <w:tcW w:w="3154" w:type="pct"/>
            <w:vAlign w:val="center"/>
          </w:tcPr>
          <w:p w14:paraId="3AF302C2">
            <w:pPr>
              <w:pStyle w:val="181"/>
              <w:jc w:val="left"/>
              <w:rPr>
                <w:sz w:val="21"/>
                <w:szCs w:val="21"/>
              </w:rPr>
            </w:pPr>
            <w:r>
              <w:rPr>
                <w:sz w:val="21"/>
                <w:szCs w:val="21"/>
              </w:rPr>
              <w:t>5. 操作错误率低，容错性</w:t>
            </w:r>
            <w:r>
              <w:rPr>
                <w:rFonts w:hint="default"/>
                <w:sz w:val="21"/>
                <w:szCs w:val="21"/>
              </w:rPr>
              <w:t>良</w:t>
            </w:r>
            <w:r>
              <w:rPr>
                <w:sz w:val="21"/>
                <w:szCs w:val="21"/>
              </w:rPr>
              <w:t>好</w:t>
            </w:r>
          </w:p>
        </w:tc>
        <w:tc>
          <w:tcPr>
            <w:tcW w:w="441" w:type="pct"/>
            <w:vAlign w:val="center"/>
          </w:tcPr>
          <w:p w14:paraId="17BD966F">
            <w:pPr>
              <w:pStyle w:val="181"/>
              <w:jc w:val="left"/>
              <w:rPr>
                <w:sz w:val="21"/>
                <w:szCs w:val="21"/>
              </w:rPr>
            </w:pPr>
          </w:p>
        </w:tc>
      </w:tr>
      <w:tr w14:paraId="457101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406" w:type="pct"/>
            <w:vMerge w:val="restart"/>
            <w:vAlign w:val="center"/>
          </w:tcPr>
          <w:p w14:paraId="56A53EA6">
            <w:pPr>
              <w:pStyle w:val="181"/>
              <w:rPr>
                <w:sz w:val="21"/>
                <w:szCs w:val="21"/>
              </w:rPr>
            </w:pPr>
            <w:r>
              <w:rPr>
                <w:sz w:val="21"/>
                <w:szCs w:val="21"/>
              </w:rPr>
              <w:t>技术支持（20 分）</w:t>
            </w:r>
          </w:p>
        </w:tc>
        <w:tc>
          <w:tcPr>
            <w:tcW w:w="3154" w:type="pct"/>
            <w:vAlign w:val="center"/>
          </w:tcPr>
          <w:p w14:paraId="1C615833">
            <w:pPr>
              <w:pStyle w:val="181"/>
              <w:jc w:val="left"/>
              <w:rPr>
                <w:sz w:val="21"/>
                <w:szCs w:val="21"/>
              </w:rPr>
            </w:pPr>
            <w:r>
              <w:rPr>
                <w:sz w:val="21"/>
                <w:szCs w:val="21"/>
              </w:rPr>
              <w:t>1. 技术问题响应及时</w:t>
            </w:r>
          </w:p>
        </w:tc>
        <w:tc>
          <w:tcPr>
            <w:tcW w:w="441" w:type="pct"/>
            <w:vAlign w:val="center"/>
          </w:tcPr>
          <w:p w14:paraId="5D815399">
            <w:pPr>
              <w:pStyle w:val="181"/>
              <w:jc w:val="left"/>
              <w:rPr>
                <w:sz w:val="21"/>
                <w:szCs w:val="21"/>
              </w:rPr>
            </w:pPr>
          </w:p>
        </w:tc>
      </w:tr>
      <w:tr w14:paraId="19AE4D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406" w:type="pct"/>
            <w:vMerge w:val="continue"/>
            <w:vAlign w:val="center"/>
          </w:tcPr>
          <w:p w14:paraId="1B5FF56A">
            <w:pPr>
              <w:pStyle w:val="181"/>
              <w:jc w:val="left"/>
              <w:rPr>
                <w:sz w:val="21"/>
                <w:szCs w:val="21"/>
              </w:rPr>
            </w:pPr>
          </w:p>
        </w:tc>
        <w:tc>
          <w:tcPr>
            <w:tcW w:w="3154" w:type="pct"/>
            <w:vAlign w:val="center"/>
          </w:tcPr>
          <w:p w14:paraId="4B569D5A">
            <w:pPr>
              <w:pStyle w:val="181"/>
              <w:jc w:val="left"/>
              <w:rPr>
                <w:sz w:val="21"/>
                <w:szCs w:val="21"/>
              </w:rPr>
            </w:pPr>
            <w:r>
              <w:rPr>
                <w:sz w:val="21"/>
                <w:szCs w:val="21"/>
              </w:rPr>
              <w:t>2. 问题解决效率高</w:t>
            </w:r>
          </w:p>
        </w:tc>
        <w:tc>
          <w:tcPr>
            <w:tcW w:w="441" w:type="pct"/>
            <w:vAlign w:val="center"/>
          </w:tcPr>
          <w:p w14:paraId="54DF683A">
            <w:pPr>
              <w:pStyle w:val="181"/>
              <w:jc w:val="left"/>
              <w:rPr>
                <w:sz w:val="21"/>
                <w:szCs w:val="21"/>
              </w:rPr>
            </w:pPr>
          </w:p>
        </w:tc>
      </w:tr>
      <w:tr w14:paraId="00C453F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406" w:type="pct"/>
            <w:vMerge w:val="continue"/>
            <w:vAlign w:val="center"/>
          </w:tcPr>
          <w:p w14:paraId="4EDDAFC2">
            <w:pPr>
              <w:pStyle w:val="181"/>
              <w:jc w:val="left"/>
              <w:rPr>
                <w:sz w:val="21"/>
                <w:szCs w:val="21"/>
              </w:rPr>
            </w:pPr>
          </w:p>
        </w:tc>
        <w:tc>
          <w:tcPr>
            <w:tcW w:w="3154" w:type="pct"/>
            <w:vAlign w:val="center"/>
          </w:tcPr>
          <w:p w14:paraId="29AC78CC">
            <w:pPr>
              <w:pStyle w:val="181"/>
              <w:jc w:val="left"/>
              <w:rPr>
                <w:sz w:val="21"/>
                <w:szCs w:val="21"/>
              </w:rPr>
            </w:pPr>
            <w:r>
              <w:rPr>
                <w:sz w:val="21"/>
                <w:szCs w:val="21"/>
              </w:rPr>
              <w:t>3. 定期提供系统培训与更新服务</w:t>
            </w:r>
          </w:p>
        </w:tc>
        <w:tc>
          <w:tcPr>
            <w:tcW w:w="441" w:type="pct"/>
            <w:vAlign w:val="center"/>
          </w:tcPr>
          <w:p w14:paraId="58A30359">
            <w:pPr>
              <w:pStyle w:val="181"/>
              <w:jc w:val="left"/>
              <w:rPr>
                <w:sz w:val="21"/>
                <w:szCs w:val="21"/>
              </w:rPr>
            </w:pPr>
          </w:p>
        </w:tc>
      </w:tr>
      <w:tr w14:paraId="43DE35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406" w:type="pct"/>
            <w:vMerge w:val="continue"/>
            <w:vAlign w:val="center"/>
          </w:tcPr>
          <w:p w14:paraId="06D6BE8C">
            <w:pPr>
              <w:pStyle w:val="181"/>
              <w:jc w:val="left"/>
              <w:rPr>
                <w:sz w:val="21"/>
                <w:szCs w:val="21"/>
              </w:rPr>
            </w:pPr>
          </w:p>
        </w:tc>
        <w:tc>
          <w:tcPr>
            <w:tcW w:w="3154" w:type="pct"/>
            <w:vAlign w:val="center"/>
          </w:tcPr>
          <w:p w14:paraId="7758A5B9">
            <w:pPr>
              <w:pStyle w:val="181"/>
              <w:jc w:val="left"/>
              <w:rPr>
                <w:sz w:val="21"/>
                <w:szCs w:val="21"/>
              </w:rPr>
            </w:pPr>
            <w:r>
              <w:rPr>
                <w:sz w:val="21"/>
                <w:szCs w:val="21"/>
              </w:rPr>
              <w:t>4. 能根据临床需求定制化优化功能</w:t>
            </w:r>
          </w:p>
        </w:tc>
        <w:tc>
          <w:tcPr>
            <w:tcW w:w="441" w:type="pct"/>
            <w:vAlign w:val="center"/>
          </w:tcPr>
          <w:p w14:paraId="1EDA9DA3">
            <w:pPr>
              <w:pStyle w:val="181"/>
              <w:jc w:val="left"/>
              <w:rPr>
                <w:sz w:val="21"/>
                <w:szCs w:val="21"/>
              </w:rPr>
            </w:pPr>
          </w:p>
        </w:tc>
      </w:tr>
    </w:tbl>
    <w:p w14:paraId="3EC9A7C3">
      <w:pPr>
        <w:pStyle w:val="80"/>
        <w:numPr>
          <w:ilvl w:val="0"/>
          <w:numId w:val="0"/>
        </w:numPr>
        <w:spacing w:before="0" w:beforeLines="0" w:after="0" w:afterLines="0"/>
        <w:jc w:val="both"/>
      </w:pPr>
    </w:p>
    <w:p w14:paraId="5935CBEA">
      <w:pPr>
        <w:pStyle w:val="80"/>
        <w:spacing w:before="0" w:beforeLines="0" w:after="0" w:afterLines="0"/>
      </w:pPr>
      <w:r>
        <w:rPr>
          <w:rFonts w:ascii="Times New Roman"/>
        </w:rPr>
        <w:t>Cochrane</w:t>
      </w:r>
      <w:r>
        <w:t>协作网偏倚风险评估工具（简化版）</w:t>
      </w:r>
    </w:p>
    <w:p w14:paraId="7FDCB54F">
      <w:pPr>
        <w:pStyle w:val="59"/>
        <w:ind w:firstLine="422"/>
      </w:pPr>
      <w:r>
        <w:rPr>
          <w:b/>
          <w:bCs/>
        </w:rPr>
        <w:t>说明</w:t>
      </w:r>
      <w:r>
        <w:t>：每项评估结果勾选对应风险等级，最终综合判定研究偏倚风险</w:t>
      </w:r>
    </w:p>
    <w:tbl>
      <w:tblPr>
        <w:tblStyle w:val="29"/>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2334"/>
        <w:gridCol w:w="2334"/>
        <w:gridCol w:w="2333"/>
        <w:gridCol w:w="2333"/>
      </w:tblGrid>
      <w:tr w14:paraId="1C48E7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2334" w:type="dxa"/>
            <w:tcBorders>
              <w:top w:val="single" w:color="auto" w:sz="8" w:space="0"/>
              <w:bottom w:val="single" w:color="auto" w:sz="8" w:space="0"/>
            </w:tcBorders>
            <w:vAlign w:val="center"/>
          </w:tcPr>
          <w:p w14:paraId="512487B7">
            <w:pPr>
              <w:pStyle w:val="181"/>
              <w:rPr>
                <w:sz w:val="21"/>
                <w:szCs w:val="21"/>
              </w:rPr>
            </w:pPr>
            <w:r>
              <w:rPr>
                <w:b/>
                <w:bCs/>
                <w:sz w:val="21"/>
                <w:szCs w:val="21"/>
              </w:rPr>
              <w:t>评估维度</w:t>
            </w:r>
          </w:p>
        </w:tc>
        <w:tc>
          <w:tcPr>
            <w:tcW w:w="2334" w:type="dxa"/>
            <w:tcBorders>
              <w:top w:val="single" w:color="auto" w:sz="8" w:space="0"/>
              <w:bottom w:val="single" w:color="auto" w:sz="8" w:space="0"/>
            </w:tcBorders>
            <w:vAlign w:val="center"/>
          </w:tcPr>
          <w:p w14:paraId="0177669A">
            <w:pPr>
              <w:pStyle w:val="181"/>
              <w:rPr>
                <w:sz w:val="21"/>
                <w:szCs w:val="21"/>
              </w:rPr>
            </w:pPr>
            <w:r>
              <w:rPr>
                <w:b/>
                <w:bCs/>
                <w:sz w:val="21"/>
                <w:szCs w:val="21"/>
              </w:rPr>
              <w:t>低风险</w:t>
            </w:r>
          </w:p>
        </w:tc>
        <w:tc>
          <w:tcPr>
            <w:tcW w:w="2333" w:type="dxa"/>
            <w:tcBorders>
              <w:top w:val="single" w:color="auto" w:sz="8" w:space="0"/>
              <w:bottom w:val="single" w:color="auto" w:sz="8" w:space="0"/>
            </w:tcBorders>
            <w:vAlign w:val="center"/>
          </w:tcPr>
          <w:p w14:paraId="5CA7E3BB">
            <w:pPr>
              <w:pStyle w:val="181"/>
              <w:rPr>
                <w:sz w:val="21"/>
                <w:szCs w:val="21"/>
              </w:rPr>
            </w:pPr>
            <w:r>
              <w:rPr>
                <w:b/>
                <w:bCs/>
                <w:sz w:val="21"/>
                <w:szCs w:val="21"/>
              </w:rPr>
              <w:t>不清楚</w:t>
            </w:r>
          </w:p>
        </w:tc>
        <w:tc>
          <w:tcPr>
            <w:tcW w:w="2333" w:type="dxa"/>
            <w:tcBorders>
              <w:top w:val="single" w:color="auto" w:sz="8" w:space="0"/>
              <w:bottom w:val="single" w:color="auto" w:sz="8" w:space="0"/>
            </w:tcBorders>
            <w:vAlign w:val="center"/>
          </w:tcPr>
          <w:p w14:paraId="2FD86935">
            <w:pPr>
              <w:pStyle w:val="181"/>
              <w:rPr>
                <w:sz w:val="21"/>
                <w:szCs w:val="21"/>
              </w:rPr>
            </w:pPr>
            <w:r>
              <w:rPr>
                <w:b/>
                <w:bCs/>
                <w:sz w:val="21"/>
                <w:szCs w:val="21"/>
              </w:rPr>
              <w:t>高风险</w:t>
            </w:r>
          </w:p>
        </w:tc>
      </w:tr>
      <w:tr w14:paraId="066104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tcBorders>
              <w:top w:val="single" w:color="auto" w:sz="8" w:space="0"/>
            </w:tcBorders>
            <w:vAlign w:val="center"/>
          </w:tcPr>
          <w:p w14:paraId="33DC69A7">
            <w:pPr>
              <w:pStyle w:val="181"/>
              <w:rPr>
                <w:sz w:val="21"/>
                <w:szCs w:val="21"/>
              </w:rPr>
            </w:pPr>
            <w:r>
              <w:rPr>
                <w:sz w:val="21"/>
                <w:szCs w:val="21"/>
              </w:rPr>
              <w:t>随机序列生成</w:t>
            </w:r>
          </w:p>
        </w:tc>
        <w:tc>
          <w:tcPr>
            <w:tcW w:w="2334" w:type="dxa"/>
            <w:tcBorders>
              <w:top w:val="single" w:color="auto" w:sz="8" w:space="0"/>
            </w:tcBorders>
            <w:vAlign w:val="center"/>
          </w:tcPr>
          <w:p w14:paraId="29CDF89F">
            <w:pPr>
              <w:pStyle w:val="181"/>
              <w:rPr>
                <w:sz w:val="21"/>
                <w:szCs w:val="21"/>
              </w:rPr>
            </w:pPr>
            <w:r>
              <w:rPr>
                <w:sz w:val="21"/>
                <w:szCs w:val="21"/>
              </w:rPr>
              <w:t>采用计算机随机数、随机数字表等恰当方法生成随机序列</w:t>
            </w:r>
          </w:p>
        </w:tc>
        <w:tc>
          <w:tcPr>
            <w:tcW w:w="2333" w:type="dxa"/>
            <w:tcBorders>
              <w:top w:val="single" w:color="auto" w:sz="8" w:space="0"/>
            </w:tcBorders>
            <w:vAlign w:val="center"/>
          </w:tcPr>
          <w:p w14:paraId="5DC7B424">
            <w:pPr>
              <w:pStyle w:val="181"/>
              <w:rPr>
                <w:sz w:val="21"/>
                <w:szCs w:val="21"/>
              </w:rPr>
            </w:pPr>
            <w:r>
              <w:rPr>
                <w:sz w:val="21"/>
                <w:szCs w:val="21"/>
              </w:rPr>
              <w:t>未描述随机序列生成方法</w:t>
            </w:r>
          </w:p>
        </w:tc>
        <w:tc>
          <w:tcPr>
            <w:tcW w:w="2333" w:type="dxa"/>
            <w:tcBorders>
              <w:top w:val="single" w:color="auto" w:sz="8" w:space="0"/>
            </w:tcBorders>
            <w:vAlign w:val="center"/>
          </w:tcPr>
          <w:p w14:paraId="5156B4C0">
            <w:pPr>
              <w:pStyle w:val="181"/>
              <w:rPr>
                <w:sz w:val="21"/>
                <w:szCs w:val="21"/>
              </w:rPr>
            </w:pPr>
            <w:r>
              <w:rPr>
                <w:sz w:val="21"/>
                <w:szCs w:val="21"/>
              </w:rPr>
              <w:t>采用非随机方法（如按入院顺序、病历号）</w:t>
            </w:r>
          </w:p>
        </w:tc>
      </w:tr>
      <w:tr w14:paraId="570C65D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Align w:val="center"/>
          </w:tcPr>
          <w:p w14:paraId="52ED685D">
            <w:pPr>
              <w:pStyle w:val="181"/>
              <w:rPr>
                <w:sz w:val="21"/>
                <w:szCs w:val="21"/>
              </w:rPr>
            </w:pPr>
            <w:r>
              <w:rPr>
                <w:sz w:val="21"/>
                <w:szCs w:val="21"/>
              </w:rPr>
              <w:t>分配隐藏</w:t>
            </w:r>
          </w:p>
        </w:tc>
        <w:tc>
          <w:tcPr>
            <w:tcW w:w="2334" w:type="dxa"/>
            <w:vAlign w:val="center"/>
          </w:tcPr>
          <w:p w14:paraId="78C99272">
            <w:pPr>
              <w:pStyle w:val="181"/>
              <w:rPr>
                <w:sz w:val="21"/>
                <w:szCs w:val="21"/>
              </w:rPr>
            </w:pPr>
            <w:r>
              <w:rPr>
                <w:sz w:val="21"/>
                <w:szCs w:val="21"/>
              </w:rPr>
              <w:t>采用中心随机、密封信封等恰当方法隐藏分配方案</w:t>
            </w:r>
          </w:p>
        </w:tc>
        <w:tc>
          <w:tcPr>
            <w:tcW w:w="2333" w:type="dxa"/>
            <w:vAlign w:val="center"/>
          </w:tcPr>
          <w:p w14:paraId="6804175F">
            <w:pPr>
              <w:pStyle w:val="181"/>
              <w:rPr>
                <w:sz w:val="21"/>
                <w:szCs w:val="21"/>
              </w:rPr>
            </w:pPr>
            <w:r>
              <w:rPr>
                <w:sz w:val="21"/>
                <w:szCs w:val="21"/>
              </w:rPr>
              <w:t>未描述分配隐藏方法</w:t>
            </w:r>
          </w:p>
        </w:tc>
        <w:tc>
          <w:tcPr>
            <w:tcW w:w="2333" w:type="dxa"/>
            <w:vAlign w:val="center"/>
          </w:tcPr>
          <w:p w14:paraId="00019060">
            <w:pPr>
              <w:pStyle w:val="181"/>
              <w:rPr>
                <w:sz w:val="21"/>
                <w:szCs w:val="21"/>
              </w:rPr>
            </w:pPr>
            <w:r>
              <w:rPr>
                <w:sz w:val="21"/>
                <w:szCs w:val="21"/>
              </w:rPr>
              <w:t>分配方案未隐藏，研究人员可预知分组</w:t>
            </w:r>
          </w:p>
        </w:tc>
      </w:tr>
      <w:tr w14:paraId="618CAF3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Align w:val="center"/>
          </w:tcPr>
          <w:p w14:paraId="11AB3D47">
            <w:pPr>
              <w:pStyle w:val="181"/>
              <w:rPr>
                <w:sz w:val="21"/>
                <w:szCs w:val="21"/>
              </w:rPr>
            </w:pPr>
            <w:r>
              <w:rPr>
                <w:sz w:val="21"/>
                <w:szCs w:val="21"/>
              </w:rPr>
              <w:t>实施者与受试者盲法</w:t>
            </w:r>
          </w:p>
        </w:tc>
        <w:tc>
          <w:tcPr>
            <w:tcW w:w="2334" w:type="dxa"/>
            <w:vAlign w:val="center"/>
          </w:tcPr>
          <w:p w14:paraId="715A842A">
            <w:pPr>
              <w:pStyle w:val="181"/>
              <w:rPr>
                <w:sz w:val="21"/>
                <w:szCs w:val="21"/>
              </w:rPr>
            </w:pPr>
            <w:r>
              <w:rPr>
                <w:sz w:val="21"/>
                <w:szCs w:val="21"/>
              </w:rPr>
              <w:t>对实施者和受试者采用恰当的盲法</w:t>
            </w:r>
          </w:p>
        </w:tc>
        <w:tc>
          <w:tcPr>
            <w:tcW w:w="2333" w:type="dxa"/>
            <w:vAlign w:val="center"/>
          </w:tcPr>
          <w:p w14:paraId="388D2204">
            <w:pPr>
              <w:pStyle w:val="181"/>
              <w:rPr>
                <w:sz w:val="21"/>
                <w:szCs w:val="21"/>
              </w:rPr>
            </w:pPr>
            <w:r>
              <w:rPr>
                <w:sz w:val="21"/>
                <w:szCs w:val="21"/>
              </w:rPr>
              <w:t>未描述盲法实施情况</w:t>
            </w:r>
          </w:p>
        </w:tc>
        <w:tc>
          <w:tcPr>
            <w:tcW w:w="2333" w:type="dxa"/>
            <w:vAlign w:val="center"/>
          </w:tcPr>
          <w:p w14:paraId="195EB684">
            <w:pPr>
              <w:pStyle w:val="181"/>
              <w:rPr>
                <w:sz w:val="21"/>
                <w:szCs w:val="21"/>
              </w:rPr>
            </w:pPr>
            <w:r>
              <w:rPr>
                <w:sz w:val="21"/>
                <w:szCs w:val="21"/>
              </w:rPr>
              <w:t>未采用盲法或盲法被破坏</w:t>
            </w:r>
          </w:p>
        </w:tc>
      </w:tr>
      <w:tr w14:paraId="7034D5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Align w:val="center"/>
          </w:tcPr>
          <w:p w14:paraId="6D2B5CFF">
            <w:pPr>
              <w:pStyle w:val="181"/>
              <w:rPr>
                <w:sz w:val="21"/>
                <w:szCs w:val="21"/>
              </w:rPr>
            </w:pPr>
            <w:r>
              <w:rPr>
                <w:sz w:val="21"/>
                <w:szCs w:val="21"/>
              </w:rPr>
              <w:t>结果评估盲法</w:t>
            </w:r>
          </w:p>
        </w:tc>
        <w:tc>
          <w:tcPr>
            <w:tcW w:w="2334" w:type="dxa"/>
            <w:vAlign w:val="center"/>
          </w:tcPr>
          <w:p w14:paraId="339B986D">
            <w:pPr>
              <w:pStyle w:val="181"/>
              <w:rPr>
                <w:sz w:val="21"/>
                <w:szCs w:val="21"/>
              </w:rPr>
            </w:pPr>
            <w:r>
              <w:rPr>
                <w:sz w:val="21"/>
                <w:szCs w:val="21"/>
              </w:rPr>
              <w:t>对结果评估者采用恰当的盲法</w:t>
            </w:r>
          </w:p>
        </w:tc>
        <w:tc>
          <w:tcPr>
            <w:tcW w:w="2333" w:type="dxa"/>
            <w:vAlign w:val="center"/>
          </w:tcPr>
          <w:p w14:paraId="733355C0">
            <w:pPr>
              <w:pStyle w:val="181"/>
              <w:rPr>
                <w:sz w:val="21"/>
                <w:szCs w:val="21"/>
              </w:rPr>
            </w:pPr>
            <w:r>
              <w:rPr>
                <w:sz w:val="21"/>
                <w:szCs w:val="21"/>
              </w:rPr>
              <w:t>未描述结果评估盲法情况</w:t>
            </w:r>
          </w:p>
        </w:tc>
        <w:tc>
          <w:tcPr>
            <w:tcW w:w="2333" w:type="dxa"/>
            <w:vAlign w:val="center"/>
          </w:tcPr>
          <w:p w14:paraId="136DA3E2">
            <w:pPr>
              <w:pStyle w:val="181"/>
              <w:rPr>
                <w:sz w:val="21"/>
                <w:szCs w:val="21"/>
              </w:rPr>
            </w:pPr>
            <w:r>
              <w:rPr>
                <w:sz w:val="21"/>
                <w:szCs w:val="21"/>
              </w:rPr>
              <w:t>未对结果评估者设盲</w:t>
            </w:r>
          </w:p>
        </w:tc>
      </w:tr>
      <w:tr w14:paraId="3704F5F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Align w:val="center"/>
          </w:tcPr>
          <w:p w14:paraId="35F990AD">
            <w:pPr>
              <w:pStyle w:val="181"/>
              <w:rPr>
                <w:sz w:val="21"/>
                <w:szCs w:val="21"/>
              </w:rPr>
            </w:pPr>
            <w:r>
              <w:rPr>
                <w:sz w:val="21"/>
                <w:szCs w:val="21"/>
              </w:rPr>
              <w:t>结果数据完整性</w:t>
            </w:r>
          </w:p>
        </w:tc>
        <w:tc>
          <w:tcPr>
            <w:tcW w:w="2334" w:type="dxa"/>
            <w:vAlign w:val="center"/>
          </w:tcPr>
          <w:p w14:paraId="423019FC">
            <w:pPr>
              <w:pStyle w:val="181"/>
              <w:rPr>
                <w:sz w:val="21"/>
                <w:szCs w:val="21"/>
              </w:rPr>
            </w:pPr>
            <w:r>
              <w:rPr>
                <w:sz w:val="21"/>
                <w:szCs w:val="21"/>
              </w:rPr>
              <w:t>无失访或失访率＜10%，失访原因均衡</w:t>
            </w:r>
          </w:p>
        </w:tc>
        <w:tc>
          <w:tcPr>
            <w:tcW w:w="2333" w:type="dxa"/>
            <w:vAlign w:val="center"/>
          </w:tcPr>
          <w:p w14:paraId="4A61A9EB">
            <w:pPr>
              <w:pStyle w:val="181"/>
              <w:rPr>
                <w:sz w:val="21"/>
                <w:szCs w:val="21"/>
              </w:rPr>
            </w:pPr>
            <w:r>
              <w:rPr>
                <w:sz w:val="21"/>
                <w:szCs w:val="21"/>
              </w:rPr>
              <w:t>失访情况未明确说明</w:t>
            </w:r>
          </w:p>
        </w:tc>
        <w:tc>
          <w:tcPr>
            <w:tcW w:w="2333" w:type="dxa"/>
            <w:vAlign w:val="center"/>
          </w:tcPr>
          <w:p w14:paraId="1FC08041">
            <w:pPr>
              <w:pStyle w:val="181"/>
              <w:rPr>
                <w:sz w:val="21"/>
                <w:szCs w:val="21"/>
              </w:rPr>
            </w:pPr>
            <w:r>
              <w:rPr>
                <w:sz w:val="21"/>
                <w:szCs w:val="21"/>
              </w:rPr>
              <w:t>失访率≥10% 或失访原因不均衡</w:t>
            </w:r>
          </w:p>
        </w:tc>
      </w:tr>
      <w:tr w14:paraId="04951F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Align w:val="center"/>
          </w:tcPr>
          <w:p w14:paraId="545CA89F">
            <w:pPr>
              <w:pStyle w:val="181"/>
              <w:rPr>
                <w:sz w:val="21"/>
                <w:szCs w:val="21"/>
              </w:rPr>
            </w:pPr>
            <w:r>
              <w:rPr>
                <w:sz w:val="21"/>
                <w:szCs w:val="21"/>
              </w:rPr>
              <w:t>选择性报告</w:t>
            </w:r>
          </w:p>
        </w:tc>
        <w:tc>
          <w:tcPr>
            <w:tcW w:w="2334" w:type="dxa"/>
            <w:vAlign w:val="center"/>
          </w:tcPr>
          <w:p w14:paraId="01BDB5D4">
            <w:pPr>
              <w:pStyle w:val="181"/>
              <w:rPr>
                <w:sz w:val="21"/>
                <w:szCs w:val="21"/>
              </w:rPr>
            </w:pPr>
            <w:r>
              <w:rPr>
                <w:sz w:val="21"/>
                <w:szCs w:val="21"/>
              </w:rPr>
              <w:t>无选择性报告结果</w:t>
            </w:r>
          </w:p>
        </w:tc>
        <w:tc>
          <w:tcPr>
            <w:tcW w:w="2333" w:type="dxa"/>
            <w:vAlign w:val="center"/>
          </w:tcPr>
          <w:p w14:paraId="65F5463A">
            <w:pPr>
              <w:pStyle w:val="181"/>
              <w:rPr>
                <w:sz w:val="21"/>
                <w:szCs w:val="21"/>
              </w:rPr>
            </w:pPr>
            <w:r>
              <w:rPr>
                <w:sz w:val="21"/>
                <w:szCs w:val="21"/>
              </w:rPr>
              <w:t>不清楚是否存在选择性报告</w:t>
            </w:r>
          </w:p>
        </w:tc>
        <w:tc>
          <w:tcPr>
            <w:tcW w:w="2333" w:type="dxa"/>
            <w:vAlign w:val="center"/>
          </w:tcPr>
          <w:p w14:paraId="0D941277">
            <w:pPr>
              <w:pStyle w:val="181"/>
              <w:rPr>
                <w:sz w:val="21"/>
                <w:szCs w:val="21"/>
              </w:rPr>
            </w:pPr>
            <w:r>
              <w:rPr>
                <w:sz w:val="21"/>
                <w:szCs w:val="21"/>
              </w:rPr>
              <w:t>存在选择性报告阳性结果</w:t>
            </w:r>
          </w:p>
        </w:tc>
      </w:tr>
    </w:tbl>
    <w:p w14:paraId="67DB85D4">
      <w:pPr>
        <w:pStyle w:val="80"/>
        <w:numPr>
          <w:ilvl w:val="0"/>
          <w:numId w:val="0"/>
        </w:numPr>
        <w:spacing w:before="120" w:after="120"/>
        <w:jc w:val="both"/>
      </w:pPr>
    </w:p>
    <w:p w14:paraId="6BA9F1BA">
      <w:pPr>
        <w:pStyle w:val="80"/>
        <w:spacing w:before="0" w:beforeLines="0" w:after="0" w:afterLines="0"/>
      </w:pPr>
      <w:r>
        <w:t>纽</w:t>
      </w:r>
      <w:r>
        <w:rPr>
          <w:rFonts w:ascii="Times New Roman"/>
        </w:rPr>
        <w:t>卡斯尔-渥太华量表（NOS，观察性研究用）</w:t>
      </w:r>
    </w:p>
    <w:p w14:paraId="71AB52FF">
      <w:pPr>
        <w:pStyle w:val="59"/>
        <w:ind w:firstLine="422"/>
      </w:pPr>
      <w:r>
        <w:rPr>
          <w:b/>
          <w:bCs/>
        </w:rPr>
        <w:t>说明</w:t>
      </w:r>
      <w:r>
        <w:t>：总分0-9分，得分越高研究质量越好</w:t>
      </w:r>
    </w:p>
    <w:tbl>
      <w:tblPr>
        <w:tblStyle w:val="29"/>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2400"/>
        <w:gridCol w:w="3822"/>
        <w:gridCol w:w="3112"/>
      </w:tblGrid>
      <w:tr w14:paraId="7B3D19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2400" w:type="dxa"/>
            <w:tcBorders>
              <w:top w:val="single" w:color="auto" w:sz="8" w:space="0"/>
              <w:bottom w:val="single" w:color="auto" w:sz="8" w:space="0"/>
            </w:tcBorders>
            <w:vAlign w:val="center"/>
          </w:tcPr>
          <w:p w14:paraId="549BE62A">
            <w:pPr>
              <w:pStyle w:val="181"/>
              <w:rPr>
                <w:sz w:val="21"/>
                <w:szCs w:val="21"/>
              </w:rPr>
            </w:pPr>
            <w:r>
              <w:rPr>
                <w:b/>
                <w:bCs/>
                <w:sz w:val="21"/>
                <w:szCs w:val="21"/>
              </w:rPr>
              <w:t>评估维度</w:t>
            </w:r>
          </w:p>
        </w:tc>
        <w:tc>
          <w:tcPr>
            <w:tcW w:w="3822" w:type="dxa"/>
            <w:tcBorders>
              <w:top w:val="single" w:color="auto" w:sz="8" w:space="0"/>
              <w:bottom w:val="single" w:color="auto" w:sz="8" w:space="0"/>
            </w:tcBorders>
            <w:vAlign w:val="center"/>
          </w:tcPr>
          <w:p w14:paraId="7BD9B7E4">
            <w:pPr>
              <w:pStyle w:val="181"/>
              <w:rPr>
                <w:sz w:val="21"/>
                <w:szCs w:val="21"/>
              </w:rPr>
            </w:pPr>
            <w:r>
              <w:rPr>
                <w:b/>
                <w:bCs/>
                <w:sz w:val="21"/>
                <w:szCs w:val="21"/>
              </w:rPr>
              <w:t>评估条目</w:t>
            </w:r>
          </w:p>
        </w:tc>
        <w:tc>
          <w:tcPr>
            <w:tcW w:w="3112" w:type="dxa"/>
            <w:tcBorders>
              <w:top w:val="single" w:color="auto" w:sz="8" w:space="0"/>
              <w:bottom w:val="single" w:color="auto" w:sz="8" w:space="0"/>
            </w:tcBorders>
            <w:vAlign w:val="center"/>
          </w:tcPr>
          <w:p w14:paraId="6A708F7A">
            <w:pPr>
              <w:pStyle w:val="181"/>
              <w:rPr>
                <w:sz w:val="21"/>
                <w:szCs w:val="21"/>
              </w:rPr>
            </w:pPr>
            <w:r>
              <w:rPr>
                <w:b/>
                <w:bCs/>
                <w:sz w:val="21"/>
                <w:szCs w:val="21"/>
              </w:rPr>
              <w:t>得分（0-1分）</w:t>
            </w:r>
          </w:p>
        </w:tc>
      </w:tr>
      <w:tr w14:paraId="4C9841F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400" w:type="dxa"/>
            <w:vMerge w:val="restart"/>
            <w:tcBorders>
              <w:top w:val="single" w:color="auto" w:sz="8" w:space="0"/>
            </w:tcBorders>
            <w:vAlign w:val="center"/>
          </w:tcPr>
          <w:p w14:paraId="720E0FCE">
            <w:pPr>
              <w:pStyle w:val="181"/>
              <w:rPr>
                <w:sz w:val="21"/>
                <w:szCs w:val="21"/>
              </w:rPr>
            </w:pPr>
            <w:r>
              <w:rPr>
                <w:sz w:val="21"/>
                <w:szCs w:val="21"/>
              </w:rPr>
              <w:t>研究对象选择（4分）</w:t>
            </w:r>
          </w:p>
        </w:tc>
        <w:tc>
          <w:tcPr>
            <w:tcW w:w="3822" w:type="dxa"/>
            <w:tcBorders>
              <w:top w:val="single" w:color="auto" w:sz="8" w:space="0"/>
            </w:tcBorders>
            <w:vAlign w:val="center"/>
          </w:tcPr>
          <w:p w14:paraId="208140A8">
            <w:pPr>
              <w:pStyle w:val="181"/>
              <w:rPr>
                <w:sz w:val="21"/>
                <w:szCs w:val="21"/>
              </w:rPr>
            </w:pPr>
            <w:r>
              <w:rPr>
                <w:sz w:val="21"/>
                <w:szCs w:val="21"/>
              </w:rPr>
              <w:t>1. 病例组定义恰当且来源明确</w:t>
            </w:r>
          </w:p>
        </w:tc>
        <w:tc>
          <w:tcPr>
            <w:tcW w:w="3112" w:type="dxa"/>
            <w:tcBorders>
              <w:top w:val="single" w:color="auto" w:sz="8" w:space="0"/>
            </w:tcBorders>
            <w:vAlign w:val="center"/>
          </w:tcPr>
          <w:p w14:paraId="199A3963">
            <w:pPr>
              <w:pStyle w:val="181"/>
              <w:rPr>
                <w:sz w:val="21"/>
                <w:szCs w:val="21"/>
              </w:rPr>
            </w:pPr>
          </w:p>
        </w:tc>
      </w:tr>
      <w:tr w14:paraId="3FE64A4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400" w:type="dxa"/>
            <w:vMerge w:val="continue"/>
            <w:vAlign w:val="center"/>
          </w:tcPr>
          <w:p w14:paraId="082760A6">
            <w:pPr>
              <w:pStyle w:val="181"/>
              <w:rPr>
                <w:sz w:val="21"/>
                <w:szCs w:val="21"/>
              </w:rPr>
            </w:pPr>
          </w:p>
        </w:tc>
        <w:tc>
          <w:tcPr>
            <w:tcW w:w="3822" w:type="dxa"/>
            <w:vAlign w:val="center"/>
          </w:tcPr>
          <w:p w14:paraId="69B37175">
            <w:pPr>
              <w:pStyle w:val="181"/>
              <w:rPr>
                <w:sz w:val="21"/>
                <w:szCs w:val="21"/>
              </w:rPr>
            </w:pPr>
            <w:r>
              <w:rPr>
                <w:sz w:val="21"/>
                <w:szCs w:val="21"/>
              </w:rPr>
              <w:t>2. 对照组来源与病例组具有可比性</w:t>
            </w:r>
          </w:p>
        </w:tc>
        <w:tc>
          <w:tcPr>
            <w:tcW w:w="3112" w:type="dxa"/>
            <w:vAlign w:val="center"/>
          </w:tcPr>
          <w:p w14:paraId="24147557">
            <w:pPr>
              <w:pStyle w:val="181"/>
              <w:rPr>
                <w:sz w:val="21"/>
                <w:szCs w:val="21"/>
              </w:rPr>
            </w:pPr>
          </w:p>
        </w:tc>
      </w:tr>
      <w:tr w14:paraId="6BD09D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400" w:type="dxa"/>
            <w:vMerge w:val="continue"/>
            <w:vAlign w:val="center"/>
          </w:tcPr>
          <w:p w14:paraId="00BD083A">
            <w:pPr>
              <w:pStyle w:val="181"/>
              <w:rPr>
                <w:sz w:val="21"/>
                <w:szCs w:val="21"/>
              </w:rPr>
            </w:pPr>
          </w:p>
        </w:tc>
        <w:tc>
          <w:tcPr>
            <w:tcW w:w="3822" w:type="dxa"/>
            <w:vAlign w:val="center"/>
          </w:tcPr>
          <w:p w14:paraId="6EF1388A">
            <w:pPr>
              <w:pStyle w:val="181"/>
              <w:rPr>
                <w:sz w:val="21"/>
                <w:szCs w:val="21"/>
              </w:rPr>
            </w:pPr>
            <w:r>
              <w:rPr>
                <w:sz w:val="21"/>
                <w:szCs w:val="21"/>
              </w:rPr>
              <w:t>3. 病例组与对照组的选择无偏倚</w:t>
            </w:r>
          </w:p>
        </w:tc>
        <w:tc>
          <w:tcPr>
            <w:tcW w:w="3112" w:type="dxa"/>
            <w:vAlign w:val="center"/>
          </w:tcPr>
          <w:p w14:paraId="3712EB10">
            <w:pPr>
              <w:pStyle w:val="181"/>
              <w:rPr>
                <w:sz w:val="21"/>
                <w:szCs w:val="21"/>
              </w:rPr>
            </w:pPr>
          </w:p>
        </w:tc>
      </w:tr>
      <w:tr w14:paraId="090F3E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400" w:type="dxa"/>
            <w:vMerge w:val="continue"/>
            <w:vAlign w:val="center"/>
          </w:tcPr>
          <w:p w14:paraId="3D3B0027">
            <w:pPr>
              <w:pStyle w:val="181"/>
              <w:rPr>
                <w:sz w:val="21"/>
                <w:szCs w:val="21"/>
              </w:rPr>
            </w:pPr>
          </w:p>
        </w:tc>
        <w:tc>
          <w:tcPr>
            <w:tcW w:w="3822" w:type="dxa"/>
            <w:vAlign w:val="center"/>
          </w:tcPr>
          <w:p w14:paraId="1B819E87">
            <w:pPr>
              <w:pStyle w:val="181"/>
              <w:rPr>
                <w:sz w:val="21"/>
                <w:szCs w:val="21"/>
              </w:rPr>
            </w:pPr>
            <w:r>
              <w:rPr>
                <w:sz w:val="21"/>
                <w:szCs w:val="21"/>
              </w:rPr>
              <w:t>4. 研究对象的应答率≥80%</w:t>
            </w:r>
          </w:p>
        </w:tc>
        <w:tc>
          <w:tcPr>
            <w:tcW w:w="3112" w:type="dxa"/>
            <w:vAlign w:val="center"/>
          </w:tcPr>
          <w:p w14:paraId="56AB6A06">
            <w:pPr>
              <w:pStyle w:val="181"/>
              <w:rPr>
                <w:sz w:val="21"/>
                <w:szCs w:val="21"/>
              </w:rPr>
            </w:pPr>
          </w:p>
        </w:tc>
      </w:tr>
      <w:tr w14:paraId="4E15E2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400" w:type="dxa"/>
            <w:vMerge w:val="restart"/>
            <w:vAlign w:val="center"/>
          </w:tcPr>
          <w:p w14:paraId="28EBD0EC">
            <w:pPr>
              <w:pStyle w:val="181"/>
              <w:rPr>
                <w:sz w:val="21"/>
                <w:szCs w:val="21"/>
              </w:rPr>
            </w:pPr>
            <w:r>
              <w:rPr>
                <w:sz w:val="21"/>
                <w:szCs w:val="21"/>
              </w:rPr>
              <w:t>组间可比性（2分）</w:t>
            </w:r>
          </w:p>
        </w:tc>
        <w:tc>
          <w:tcPr>
            <w:tcW w:w="3822" w:type="dxa"/>
            <w:vAlign w:val="center"/>
          </w:tcPr>
          <w:p w14:paraId="79BAB463">
            <w:pPr>
              <w:pStyle w:val="181"/>
              <w:rPr>
                <w:sz w:val="21"/>
                <w:szCs w:val="21"/>
              </w:rPr>
            </w:pPr>
            <w:r>
              <w:rPr>
                <w:sz w:val="21"/>
                <w:szCs w:val="21"/>
              </w:rPr>
              <w:t>1. 控制了最重要的混杂因素</w:t>
            </w:r>
          </w:p>
        </w:tc>
        <w:tc>
          <w:tcPr>
            <w:tcW w:w="3112" w:type="dxa"/>
            <w:vAlign w:val="center"/>
          </w:tcPr>
          <w:p w14:paraId="0AA7452F">
            <w:pPr>
              <w:pStyle w:val="181"/>
              <w:rPr>
                <w:sz w:val="21"/>
                <w:szCs w:val="21"/>
              </w:rPr>
            </w:pPr>
          </w:p>
        </w:tc>
      </w:tr>
      <w:tr w14:paraId="1D187C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400" w:type="dxa"/>
            <w:vMerge w:val="continue"/>
            <w:vAlign w:val="center"/>
          </w:tcPr>
          <w:p w14:paraId="389C854E">
            <w:pPr>
              <w:pStyle w:val="181"/>
              <w:rPr>
                <w:sz w:val="21"/>
                <w:szCs w:val="21"/>
              </w:rPr>
            </w:pPr>
          </w:p>
        </w:tc>
        <w:tc>
          <w:tcPr>
            <w:tcW w:w="3822" w:type="dxa"/>
            <w:vAlign w:val="center"/>
          </w:tcPr>
          <w:p w14:paraId="67B2D807">
            <w:pPr>
              <w:pStyle w:val="181"/>
              <w:rPr>
                <w:sz w:val="21"/>
                <w:szCs w:val="21"/>
              </w:rPr>
            </w:pPr>
            <w:r>
              <w:rPr>
                <w:sz w:val="21"/>
                <w:szCs w:val="21"/>
              </w:rPr>
              <w:t>2. 控制了其他重要的混杂因素</w:t>
            </w:r>
          </w:p>
        </w:tc>
        <w:tc>
          <w:tcPr>
            <w:tcW w:w="3112" w:type="dxa"/>
            <w:vAlign w:val="center"/>
          </w:tcPr>
          <w:p w14:paraId="53166473">
            <w:pPr>
              <w:pStyle w:val="181"/>
              <w:rPr>
                <w:sz w:val="21"/>
                <w:szCs w:val="21"/>
              </w:rPr>
            </w:pPr>
          </w:p>
        </w:tc>
      </w:tr>
      <w:tr w14:paraId="275879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400" w:type="dxa"/>
            <w:vMerge w:val="restart"/>
            <w:vAlign w:val="center"/>
          </w:tcPr>
          <w:p w14:paraId="4F7882F6">
            <w:pPr>
              <w:pStyle w:val="181"/>
              <w:rPr>
                <w:sz w:val="21"/>
                <w:szCs w:val="21"/>
              </w:rPr>
            </w:pPr>
            <w:r>
              <w:rPr>
                <w:sz w:val="21"/>
                <w:szCs w:val="21"/>
              </w:rPr>
              <w:t>结果测量（3分）</w:t>
            </w:r>
          </w:p>
        </w:tc>
        <w:tc>
          <w:tcPr>
            <w:tcW w:w="3822" w:type="dxa"/>
            <w:vAlign w:val="center"/>
          </w:tcPr>
          <w:p w14:paraId="5D4503F0">
            <w:pPr>
              <w:pStyle w:val="181"/>
              <w:rPr>
                <w:sz w:val="21"/>
                <w:szCs w:val="21"/>
              </w:rPr>
            </w:pPr>
            <w:r>
              <w:rPr>
                <w:sz w:val="21"/>
                <w:szCs w:val="21"/>
              </w:rPr>
              <w:t>1. 结局指标定义明确且测量方法统一</w:t>
            </w:r>
          </w:p>
        </w:tc>
        <w:tc>
          <w:tcPr>
            <w:tcW w:w="3112" w:type="dxa"/>
            <w:vAlign w:val="center"/>
          </w:tcPr>
          <w:p w14:paraId="3BB4EF98">
            <w:pPr>
              <w:pStyle w:val="181"/>
              <w:rPr>
                <w:sz w:val="21"/>
                <w:szCs w:val="21"/>
              </w:rPr>
            </w:pPr>
          </w:p>
        </w:tc>
      </w:tr>
      <w:tr w14:paraId="0A564D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400" w:type="dxa"/>
            <w:vMerge w:val="continue"/>
            <w:vAlign w:val="center"/>
          </w:tcPr>
          <w:p w14:paraId="082CAC55">
            <w:pPr>
              <w:pStyle w:val="181"/>
              <w:rPr>
                <w:sz w:val="21"/>
                <w:szCs w:val="21"/>
              </w:rPr>
            </w:pPr>
          </w:p>
        </w:tc>
        <w:tc>
          <w:tcPr>
            <w:tcW w:w="3822" w:type="dxa"/>
            <w:vAlign w:val="center"/>
          </w:tcPr>
          <w:p w14:paraId="34DBE038">
            <w:pPr>
              <w:pStyle w:val="181"/>
              <w:rPr>
                <w:sz w:val="21"/>
                <w:szCs w:val="21"/>
              </w:rPr>
            </w:pPr>
            <w:r>
              <w:rPr>
                <w:sz w:val="21"/>
                <w:szCs w:val="21"/>
              </w:rPr>
              <w:t>2. 病例组与对照组结局测量方法相同</w:t>
            </w:r>
          </w:p>
        </w:tc>
        <w:tc>
          <w:tcPr>
            <w:tcW w:w="3112" w:type="dxa"/>
            <w:vAlign w:val="center"/>
          </w:tcPr>
          <w:p w14:paraId="723585AE">
            <w:pPr>
              <w:pStyle w:val="181"/>
              <w:rPr>
                <w:sz w:val="21"/>
                <w:szCs w:val="21"/>
              </w:rPr>
            </w:pPr>
          </w:p>
        </w:tc>
      </w:tr>
      <w:tr w14:paraId="74C8C4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400" w:type="dxa"/>
            <w:vMerge w:val="continue"/>
            <w:vAlign w:val="center"/>
          </w:tcPr>
          <w:p w14:paraId="2BD6309B">
            <w:pPr>
              <w:pStyle w:val="181"/>
              <w:rPr>
                <w:sz w:val="21"/>
                <w:szCs w:val="21"/>
              </w:rPr>
            </w:pPr>
          </w:p>
        </w:tc>
        <w:tc>
          <w:tcPr>
            <w:tcW w:w="3822" w:type="dxa"/>
            <w:vAlign w:val="center"/>
          </w:tcPr>
          <w:p w14:paraId="53137815">
            <w:pPr>
              <w:pStyle w:val="181"/>
              <w:rPr>
                <w:sz w:val="21"/>
                <w:szCs w:val="21"/>
              </w:rPr>
            </w:pPr>
            <w:r>
              <w:rPr>
                <w:sz w:val="21"/>
                <w:szCs w:val="21"/>
              </w:rPr>
              <w:t>3. 随访时间足够长且随访率≥80%</w:t>
            </w:r>
          </w:p>
        </w:tc>
        <w:tc>
          <w:tcPr>
            <w:tcW w:w="3112" w:type="dxa"/>
            <w:vAlign w:val="center"/>
          </w:tcPr>
          <w:p w14:paraId="2CF2AC4D">
            <w:pPr>
              <w:pStyle w:val="181"/>
              <w:rPr>
                <w:sz w:val="21"/>
                <w:szCs w:val="21"/>
              </w:rPr>
            </w:pPr>
          </w:p>
        </w:tc>
      </w:tr>
      <w:tr w14:paraId="1A1160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400" w:type="dxa"/>
            <w:vAlign w:val="center"/>
          </w:tcPr>
          <w:p w14:paraId="55200FB2">
            <w:pPr>
              <w:pStyle w:val="181"/>
              <w:rPr>
                <w:sz w:val="21"/>
                <w:szCs w:val="21"/>
              </w:rPr>
            </w:pPr>
            <w:r>
              <w:rPr>
                <w:sz w:val="21"/>
                <w:szCs w:val="21"/>
              </w:rPr>
              <w:t>总分</w:t>
            </w:r>
          </w:p>
        </w:tc>
        <w:tc>
          <w:tcPr>
            <w:tcW w:w="3822" w:type="dxa"/>
            <w:vAlign w:val="center"/>
          </w:tcPr>
          <w:p w14:paraId="4A070963">
            <w:pPr>
              <w:pStyle w:val="181"/>
              <w:rPr>
                <w:sz w:val="21"/>
                <w:szCs w:val="21"/>
              </w:rPr>
            </w:pPr>
            <w:r>
              <w:rPr>
                <w:sz w:val="21"/>
                <w:szCs w:val="21"/>
              </w:rPr>
              <w:t>——</w:t>
            </w:r>
          </w:p>
        </w:tc>
        <w:tc>
          <w:tcPr>
            <w:tcW w:w="3112" w:type="dxa"/>
            <w:vAlign w:val="center"/>
          </w:tcPr>
          <w:p w14:paraId="0B00001F">
            <w:pPr>
              <w:pStyle w:val="181"/>
              <w:rPr>
                <w:sz w:val="21"/>
                <w:szCs w:val="21"/>
              </w:rPr>
            </w:pPr>
            <w:r>
              <w:rPr>
                <w:sz w:val="21"/>
                <w:szCs w:val="21"/>
              </w:rPr>
              <w:t>0-9分</w:t>
            </w:r>
          </w:p>
        </w:tc>
      </w:tr>
    </w:tbl>
    <w:p w14:paraId="643B423D">
      <w:pPr>
        <w:pStyle w:val="59"/>
        <w:ind w:firstLine="0" w:firstLineChars="0"/>
      </w:pPr>
    </w:p>
    <w:p w14:paraId="50691598">
      <w:pPr>
        <w:pStyle w:val="59"/>
        <w:ind w:firstLine="0" w:firstLineChars="0"/>
        <w:sectPr>
          <w:pgSz w:w="11906" w:h="16838"/>
          <w:pgMar w:top="1928" w:right="1134" w:bottom="1134" w:left="1134" w:header="1418" w:footer="1134" w:gutter="284"/>
          <w:cols w:space="425" w:num="1"/>
          <w:formProt w:val="0"/>
          <w:docGrid w:linePitch="312" w:charSpace="0"/>
        </w:sectPr>
      </w:pPr>
    </w:p>
    <w:p w14:paraId="6A6E5696">
      <w:pPr>
        <w:pStyle w:val="201"/>
        <w:rPr>
          <w:rFonts w:hint="eastAsia"/>
        </w:rPr>
      </w:pPr>
    </w:p>
    <w:p w14:paraId="25FCA7B0">
      <w:pPr>
        <w:pStyle w:val="202"/>
      </w:pPr>
    </w:p>
    <w:p w14:paraId="68B9D3B1">
      <w:pPr>
        <w:pStyle w:val="79"/>
        <w:spacing w:before="0" w:after="0" w:afterLines="0"/>
        <w:rPr>
          <w:rFonts w:ascii="Times New Roman"/>
        </w:rPr>
      </w:pPr>
      <w:r>
        <w:rPr>
          <w:rFonts w:ascii="Times New Roman"/>
        </w:rPr>
        <w:br w:type="textWrapping"/>
      </w:r>
      <w:bookmarkStart w:id="163" w:name="_Toc227765718"/>
      <w:r>
        <w:rPr>
          <w:rFonts w:hint="eastAsia" w:ascii="Times New Roman"/>
        </w:rPr>
        <w:t>（资料性）</w:t>
      </w:r>
      <w:r>
        <w:rPr>
          <w:rFonts w:ascii="Times New Roman"/>
        </w:rPr>
        <w:br w:type="textWrapping"/>
      </w:r>
      <w:r>
        <w:rPr>
          <w:rFonts w:hint="eastAsia" w:ascii="Times New Roman"/>
        </w:rPr>
        <w:t>评价用标准化表格模板</w:t>
      </w:r>
      <w:bookmarkEnd w:id="163"/>
    </w:p>
    <w:p w14:paraId="1ECC83EC">
      <w:pPr>
        <w:pStyle w:val="80"/>
        <w:numPr>
          <w:ilvl w:val="0"/>
          <w:numId w:val="0"/>
        </w:numPr>
        <w:spacing w:before="120" w:after="120"/>
        <w:jc w:val="both"/>
        <w:rPr>
          <w:rFonts w:hint="eastAsia"/>
          <w:kern w:val="0"/>
        </w:rPr>
      </w:pPr>
    </w:p>
    <w:p w14:paraId="3BFB1574">
      <w:pPr>
        <w:pStyle w:val="80"/>
        <w:spacing w:before="0" w:beforeLines="0" w:after="0" w:afterLines="0"/>
        <w:rPr>
          <w:kern w:val="0"/>
        </w:rPr>
      </w:pPr>
      <w:r>
        <w:rPr>
          <w:kern w:val="0"/>
        </w:rPr>
        <w:t>临床研究数据质量核查表</w:t>
      </w:r>
    </w:p>
    <w:p w14:paraId="2A72C90D">
      <w:pPr>
        <w:pStyle w:val="59"/>
        <w:ind w:firstLine="422"/>
      </w:pPr>
      <w:r>
        <w:rPr>
          <w:b/>
          <w:bCs/>
        </w:rPr>
        <w:t>说明</w:t>
      </w:r>
      <w:r>
        <w:t>：核查结果填写</w:t>
      </w:r>
      <w:r>
        <w:rPr>
          <w:rFonts w:hint="eastAsia"/>
        </w:rPr>
        <w:t>“</w:t>
      </w:r>
      <w:r>
        <w:t>符合/不符合</w:t>
      </w:r>
      <w:r>
        <w:rPr>
          <w:rFonts w:hint="eastAsia"/>
        </w:rPr>
        <w:t>”</w:t>
      </w:r>
      <w:r>
        <w:t>，不符合项需在备注栏说明具体问题</w:t>
      </w:r>
    </w:p>
    <w:tbl>
      <w:tblPr>
        <w:tblStyle w:val="29"/>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713"/>
        <w:gridCol w:w="1670"/>
        <w:gridCol w:w="2633"/>
        <w:gridCol w:w="2633"/>
        <w:gridCol w:w="1194"/>
        <w:gridCol w:w="711"/>
      </w:tblGrid>
      <w:tr w14:paraId="79C415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373" w:type="pct"/>
            <w:tcBorders>
              <w:top w:val="single" w:color="auto" w:sz="8" w:space="0"/>
              <w:bottom w:val="single" w:color="auto" w:sz="8" w:space="0"/>
            </w:tcBorders>
            <w:vAlign w:val="center"/>
          </w:tcPr>
          <w:p w14:paraId="1097BD42">
            <w:pPr>
              <w:pStyle w:val="181"/>
              <w:rPr>
                <w:sz w:val="21"/>
                <w:szCs w:val="21"/>
              </w:rPr>
            </w:pPr>
            <w:r>
              <w:rPr>
                <w:b/>
                <w:bCs/>
                <w:sz w:val="21"/>
                <w:szCs w:val="21"/>
              </w:rPr>
              <w:t>序号</w:t>
            </w:r>
          </w:p>
        </w:tc>
        <w:tc>
          <w:tcPr>
            <w:tcW w:w="874" w:type="pct"/>
            <w:tcBorders>
              <w:top w:val="single" w:color="auto" w:sz="8" w:space="0"/>
              <w:bottom w:val="single" w:color="auto" w:sz="8" w:space="0"/>
            </w:tcBorders>
            <w:vAlign w:val="center"/>
          </w:tcPr>
          <w:p w14:paraId="28445609">
            <w:pPr>
              <w:pStyle w:val="181"/>
              <w:rPr>
                <w:sz w:val="21"/>
                <w:szCs w:val="21"/>
              </w:rPr>
            </w:pPr>
            <w:r>
              <w:rPr>
                <w:b/>
                <w:bCs/>
                <w:sz w:val="21"/>
                <w:szCs w:val="21"/>
              </w:rPr>
              <w:t>核查大类</w:t>
            </w:r>
          </w:p>
        </w:tc>
        <w:tc>
          <w:tcPr>
            <w:tcW w:w="1378" w:type="pct"/>
            <w:tcBorders>
              <w:top w:val="single" w:color="auto" w:sz="8" w:space="0"/>
              <w:bottom w:val="single" w:color="auto" w:sz="8" w:space="0"/>
            </w:tcBorders>
            <w:vAlign w:val="center"/>
          </w:tcPr>
          <w:p w14:paraId="60A54E91">
            <w:pPr>
              <w:pStyle w:val="181"/>
              <w:rPr>
                <w:sz w:val="21"/>
                <w:szCs w:val="21"/>
              </w:rPr>
            </w:pPr>
            <w:r>
              <w:rPr>
                <w:b/>
                <w:bCs/>
                <w:sz w:val="21"/>
                <w:szCs w:val="21"/>
              </w:rPr>
              <w:t>核查项目</w:t>
            </w:r>
          </w:p>
        </w:tc>
        <w:tc>
          <w:tcPr>
            <w:tcW w:w="1378" w:type="pct"/>
            <w:tcBorders>
              <w:top w:val="single" w:color="auto" w:sz="8" w:space="0"/>
              <w:bottom w:val="single" w:color="auto" w:sz="8" w:space="0"/>
            </w:tcBorders>
            <w:vAlign w:val="center"/>
          </w:tcPr>
          <w:p w14:paraId="40C3EC77">
            <w:pPr>
              <w:pStyle w:val="181"/>
              <w:rPr>
                <w:sz w:val="21"/>
                <w:szCs w:val="21"/>
              </w:rPr>
            </w:pPr>
            <w:r>
              <w:rPr>
                <w:b/>
                <w:bCs/>
                <w:sz w:val="21"/>
                <w:szCs w:val="21"/>
              </w:rPr>
              <w:t>判定标准</w:t>
            </w:r>
          </w:p>
        </w:tc>
        <w:tc>
          <w:tcPr>
            <w:tcW w:w="625" w:type="pct"/>
            <w:tcBorders>
              <w:top w:val="single" w:color="auto" w:sz="8" w:space="0"/>
              <w:bottom w:val="single" w:color="auto" w:sz="8" w:space="0"/>
            </w:tcBorders>
            <w:vAlign w:val="center"/>
          </w:tcPr>
          <w:p w14:paraId="37535843">
            <w:pPr>
              <w:pStyle w:val="181"/>
              <w:rPr>
                <w:sz w:val="21"/>
                <w:szCs w:val="21"/>
              </w:rPr>
            </w:pPr>
            <w:r>
              <w:rPr>
                <w:b/>
                <w:bCs/>
                <w:sz w:val="21"/>
                <w:szCs w:val="21"/>
              </w:rPr>
              <w:t>核查结果</w:t>
            </w:r>
          </w:p>
        </w:tc>
        <w:tc>
          <w:tcPr>
            <w:tcW w:w="373" w:type="pct"/>
            <w:tcBorders>
              <w:top w:val="single" w:color="auto" w:sz="8" w:space="0"/>
              <w:bottom w:val="single" w:color="auto" w:sz="8" w:space="0"/>
            </w:tcBorders>
            <w:vAlign w:val="center"/>
          </w:tcPr>
          <w:p w14:paraId="136DE3AD">
            <w:pPr>
              <w:pStyle w:val="181"/>
              <w:rPr>
                <w:sz w:val="21"/>
                <w:szCs w:val="21"/>
              </w:rPr>
            </w:pPr>
            <w:r>
              <w:rPr>
                <w:b/>
                <w:bCs/>
                <w:sz w:val="21"/>
                <w:szCs w:val="21"/>
              </w:rPr>
              <w:t>备注</w:t>
            </w:r>
          </w:p>
        </w:tc>
      </w:tr>
      <w:tr w14:paraId="4C843B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73" w:type="pct"/>
            <w:tcBorders>
              <w:top w:val="single" w:color="auto" w:sz="8" w:space="0"/>
            </w:tcBorders>
            <w:vAlign w:val="center"/>
          </w:tcPr>
          <w:p w14:paraId="7277C00E">
            <w:pPr>
              <w:pStyle w:val="181"/>
              <w:rPr>
                <w:sz w:val="21"/>
                <w:szCs w:val="21"/>
              </w:rPr>
            </w:pPr>
            <w:r>
              <w:rPr>
                <w:sz w:val="21"/>
                <w:szCs w:val="21"/>
              </w:rPr>
              <w:t>1</w:t>
            </w:r>
          </w:p>
        </w:tc>
        <w:tc>
          <w:tcPr>
            <w:tcW w:w="874" w:type="pct"/>
            <w:vMerge w:val="restart"/>
            <w:tcBorders>
              <w:top w:val="single" w:color="auto" w:sz="8" w:space="0"/>
            </w:tcBorders>
            <w:vAlign w:val="center"/>
          </w:tcPr>
          <w:p w14:paraId="770FCCD9">
            <w:pPr>
              <w:pStyle w:val="181"/>
              <w:rPr>
                <w:sz w:val="21"/>
                <w:szCs w:val="21"/>
              </w:rPr>
            </w:pPr>
            <w:r>
              <w:rPr>
                <w:sz w:val="21"/>
                <w:szCs w:val="21"/>
              </w:rPr>
              <w:t>数据完整性</w:t>
            </w:r>
          </w:p>
        </w:tc>
        <w:tc>
          <w:tcPr>
            <w:tcW w:w="1378" w:type="pct"/>
            <w:tcBorders>
              <w:top w:val="single" w:color="auto" w:sz="8" w:space="0"/>
            </w:tcBorders>
            <w:vAlign w:val="center"/>
          </w:tcPr>
          <w:p w14:paraId="34329319">
            <w:pPr>
              <w:pStyle w:val="181"/>
              <w:rPr>
                <w:sz w:val="21"/>
                <w:szCs w:val="21"/>
              </w:rPr>
            </w:pPr>
            <w:r>
              <w:rPr>
                <w:sz w:val="21"/>
                <w:szCs w:val="21"/>
              </w:rPr>
              <w:t>核心数据项缺失率</w:t>
            </w:r>
          </w:p>
        </w:tc>
        <w:tc>
          <w:tcPr>
            <w:tcW w:w="1378" w:type="pct"/>
            <w:tcBorders>
              <w:top w:val="single" w:color="auto" w:sz="8" w:space="0"/>
            </w:tcBorders>
            <w:vAlign w:val="center"/>
          </w:tcPr>
          <w:p w14:paraId="13420013">
            <w:pPr>
              <w:pStyle w:val="181"/>
              <w:rPr>
                <w:sz w:val="21"/>
                <w:szCs w:val="21"/>
              </w:rPr>
            </w:pPr>
            <w:r>
              <w:rPr>
                <w:sz w:val="21"/>
                <w:szCs w:val="21"/>
              </w:rPr>
              <w:t>≤1%</w:t>
            </w:r>
          </w:p>
        </w:tc>
        <w:tc>
          <w:tcPr>
            <w:tcW w:w="625" w:type="pct"/>
            <w:tcBorders>
              <w:top w:val="single" w:color="auto" w:sz="8" w:space="0"/>
            </w:tcBorders>
            <w:vAlign w:val="center"/>
          </w:tcPr>
          <w:p w14:paraId="66099225">
            <w:pPr>
              <w:pStyle w:val="181"/>
              <w:rPr>
                <w:sz w:val="21"/>
                <w:szCs w:val="21"/>
              </w:rPr>
            </w:pPr>
          </w:p>
        </w:tc>
        <w:tc>
          <w:tcPr>
            <w:tcW w:w="373" w:type="pct"/>
            <w:tcBorders>
              <w:top w:val="single" w:color="auto" w:sz="8" w:space="0"/>
            </w:tcBorders>
            <w:vAlign w:val="center"/>
          </w:tcPr>
          <w:p w14:paraId="18388CF4">
            <w:pPr>
              <w:pStyle w:val="181"/>
              <w:rPr>
                <w:sz w:val="21"/>
                <w:szCs w:val="21"/>
              </w:rPr>
            </w:pPr>
          </w:p>
        </w:tc>
      </w:tr>
      <w:tr w14:paraId="5F28F8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73" w:type="pct"/>
            <w:vAlign w:val="center"/>
          </w:tcPr>
          <w:p w14:paraId="07EFE11D">
            <w:pPr>
              <w:pStyle w:val="181"/>
              <w:rPr>
                <w:sz w:val="21"/>
                <w:szCs w:val="21"/>
              </w:rPr>
            </w:pPr>
            <w:r>
              <w:rPr>
                <w:sz w:val="21"/>
                <w:szCs w:val="21"/>
              </w:rPr>
              <w:t>2</w:t>
            </w:r>
          </w:p>
        </w:tc>
        <w:tc>
          <w:tcPr>
            <w:tcW w:w="874" w:type="pct"/>
            <w:vMerge w:val="continue"/>
            <w:vAlign w:val="center"/>
          </w:tcPr>
          <w:p w14:paraId="189BB84E">
            <w:pPr>
              <w:pStyle w:val="181"/>
              <w:rPr>
                <w:sz w:val="21"/>
                <w:szCs w:val="21"/>
              </w:rPr>
            </w:pPr>
          </w:p>
        </w:tc>
        <w:tc>
          <w:tcPr>
            <w:tcW w:w="1378" w:type="pct"/>
            <w:vAlign w:val="center"/>
          </w:tcPr>
          <w:p w14:paraId="28FA469A">
            <w:pPr>
              <w:pStyle w:val="181"/>
              <w:rPr>
                <w:sz w:val="21"/>
                <w:szCs w:val="21"/>
              </w:rPr>
            </w:pPr>
            <w:r>
              <w:rPr>
                <w:sz w:val="21"/>
                <w:szCs w:val="21"/>
              </w:rPr>
              <w:t>次要数据项缺失率</w:t>
            </w:r>
          </w:p>
        </w:tc>
        <w:tc>
          <w:tcPr>
            <w:tcW w:w="1378" w:type="pct"/>
            <w:vAlign w:val="center"/>
          </w:tcPr>
          <w:p w14:paraId="2473599D">
            <w:pPr>
              <w:pStyle w:val="181"/>
              <w:rPr>
                <w:sz w:val="21"/>
                <w:szCs w:val="21"/>
              </w:rPr>
            </w:pPr>
            <w:r>
              <w:rPr>
                <w:sz w:val="21"/>
                <w:szCs w:val="21"/>
              </w:rPr>
              <w:t>≤3%</w:t>
            </w:r>
          </w:p>
        </w:tc>
        <w:tc>
          <w:tcPr>
            <w:tcW w:w="625" w:type="pct"/>
            <w:vAlign w:val="center"/>
          </w:tcPr>
          <w:p w14:paraId="7841A370">
            <w:pPr>
              <w:pStyle w:val="181"/>
              <w:rPr>
                <w:sz w:val="21"/>
                <w:szCs w:val="21"/>
              </w:rPr>
            </w:pPr>
          </w:p>
        </w:tc>
        <w:tc>
          <w:tcPr>
            <w:tcW w:w="373" w:type="pct"/>
            <w:vAlign w:val="center"/>
          </w:tcPr>
          <w:p w14:paraId="092803DD">
            <w:pPr>
              <w:pStyle w:val="181"/>
              <w:rPr>
                <w:sz w:val="21"/>
                <w:szCs w:val="21"/>
              </w:rPr>
            </w:pPr>
          </w:p>
        </w:tc>
      </w:tr>
      <w:tr w14:paraId="0D9AA61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73" w:type="pct"/>
            <w:vAlign w:val="center"/>
          </w:tcPr>
          <w:p w14:paraId="41D7B718">
            <w:pPr>
              <w:pStyle w:val="181"/>
              <w:rPr>
                <w:sz w:val="21"/>
                <w:szCs w:val="21"/>
              </w:rPr>
            </w:pPr>
            <w:r>
              <w:rPr>
                <w:sz w:val="21"/>
                <w:szCs w:val="21"/>
              </w:rPr>
              <w:t>3</w:t>
            </w:r>
          </w:p>
        </w:tc>
        <w:tc>
          <w:tcPr>
            <w:tcW w:w="874" w:type="pct"/>
            <w:vMerge w:val="continue"/>
            <w:vAlign w:val="center"/>
          </w:tcPr>
          <w:p w14:paraId="0B97F5CE">
            <w:pPr>
              <w:pStyle w:val="181"/>
              <w:rPr>
                <w:sz w:val="21"/>
                <w:szCs w:val="21"/>
              </w:rPr>
            </w:pPr>
          </w:p>
        </w:tc>
        <w:tc>
          <w:tcPr>
            <w:tcW w:w="1378" w:type="pct"/>
            <w:vAlign w:val="center"/>
          </w:tcPr>
          <w:p w14:paraId="5FBD8A65">
            <w:pPr>
              <w:pStyle w:val="181"/>
              <w:rPr>
                <w:sz w:val="21"/>
                <w:szCs w:val="21"/>
              </w:rPr>
            </w:pPr>
            <w:r>
              <w:rPr>
                <w:sz w:val="21"/>
                <w:szCs w:val="21"/>
              </w:rPr>
              <w:t>关键时间点数据缺失率</w:t>
            </w:r>
          </w:p>
        </w:tc>
        <w:tc>
          <w:tcPr>
            <w:tcW w:w="1378" w:type="pct"/>
            <w:vAlign w:val="center"/>
          </w:tcPr>
          <w:p w14:paraId="05732521">
            <w:pPr>
              <w:pStyle w:val="181"/>
              <w:rPr>
                <w:sz w:val="21"/>
                <w:szCs w:val="21"/>
              </w:rPr>
            </w:pPr>
            <w:r>
              <w:rPr>
                <w:sz w:val="21"/>
                <w:szCs w:val="21"/>
              </w:rPr>
              <w:t>≤0.5%</w:t>
            </w:r>
          </w:p>
        </w:tc>
        <w:tc>
          <w:tcPr>
            <w:tcW w:w="625" w:type="pct"/>
            <w:vAlign w:val="center"/>
          </w:tcPr>
          <w:p w14:paraId="2D640DB3">
            <w:pPr>
              <w:pStyle w:val="181"/>
              <w:rPr>
                <w:sz w:val="21"/>
                <w:szCs w:val="21"/>
              </w:rPr>
            </w:pPr>
          </w:p>
        </w:tc>
        <w:tc>
          <w:tcPr>
            <w:tcW w:w="373" w:type="pct"/>
            <w:vAlign w:val="center"/>
          </w:tcPr>
          <w:p w14:paraId="726E5408">
            <w:pPr>
              <w:pStyle w:val="181"/>
              <w:rPr>
                <w:sz w:val="21"/>
                <w:szCs w:val="21"/>
              </w:rPr>
            </w:pPr>
          </w:p>
        </w:tc>
      </w:tr>
      <w:tr w14:paraId="345B636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73" w:type="pct"/>
            <w:vAlign w:val="center"/>
          </w:tcPr>
          <w:p w14:paraId="00E2FC34">
            <w:pPr>
              <w:pStyle w:val="181"/>
              <w:rPr>
                <w:sz w:val="21"/>
                <w:szCs w:val="21"/>
              </w:rPr>
            </w:pPr>
            <w:r>
              <w:rPr>
                <w:sz w:val="21"/>
                <w:szCs w:val="21"/>
              </w:rPr>
              <w:t>4</w:t>
            </w:r>
          </w:p>
        </w:tc>
        <w:tc>
          <w:tcPr>
            <w:tcW w:w="874" w:type="pct"/>
            <w:vMerge w:val="restart"/>
            <w:vAlign w:val="center"/>
          </w:tcPr>
          <w:p w14:paraId="1EF218AE">
            <w:pPr>
              <w:pStyle w:val="181"/>
              <w:rPr>
                <w:sz w:val="21"/>
                <w:szCs w:val="21"/>
              </w:rPr>
            </w:pPr>
            <w:r>
              <w:rPr>
                <w:sz w:val="21"/>
                <w:szCs w:val="21"/>
              </w:rPr>
              <w:t>数据准确性</w:t>
            </w:r>
          </w:p>
        </w:tc>
        <w:tc>
          <w:tcPr>
            <w:tcW w:w="1378" w:type="pct"/>
            <w:vAlign w:val="center"/>
          </w:tcPr>
          <w:p w14:paraId="48A9911F">
            <w:pPr>
              <w:pStyle w:val="181"/>
              <w:rPr>
                <w:sz w:val="21"/>
                <w:szCs w:val="21"/>
              </w:rPr>
            </w:pPr>
            <w:r>
              <w:rPr>
                <w:sz w:val="21"/>
                <w:szCs w:val="21"/>
              </w:rPr>
              <w:t>数据与原始病历一致性</w:t>
            </w:r>
          </w:p>
        </w:tc>
        <w:tc>
          <w:tcPr>
            <w:tcW w:w="1378" w:type="pct"/>
            <w:vAlign w:val="center"/>
          </w:tcPr>
          <w:p w14:paraId="2C31234C">
            <w:pPr>
              <w:pStyle w:val="181"/>
              <w:rPr>
                <w:sz w:val="21"/>
                <w:szCs w:val="21"/>
              </w:rPr>
            </w:pPr>
            <w:r>
              <w:rPr>
                <w:sz w:val="21"/>
                <w:szCs w:val="21"/>
              </w:rPr>
              <w:t>≥99%</w:t>
            </w:r>
          </w:p>
        </w:tc>
        <w:tc>
          <w:tcPr>
            <w:tcW w:w="625" w:type="pct"/>
            <w:vAlign w:val="center"/>
          </w:tcPr>
          <w:p w14:paraId="7423F246">
            <w:pPr>
              <w:pStyle w:val="181"/>
              <w:rPr>
                <w:sz w:val="21"/>
                <w:szCs w:val="21"/>
              </w:rPr>
            </w:pPr>
          </w:p>
        </w:tc>
        <w:tc>
          <w:tcPr>
            <w:tcW w:w="373" w:type="pct"/>
            <w:vAlign w:val="center"/>
          </w:tcPr>
          <w:p w14:paraId="22125534">
            <w:pPr>
              <w:pStyle w:val="181"/>
              <w:rPr>
                <w:sz w:val="21"/>
                <w:szCs w:val="21"/>
              </w:rPr>
            </w:pPr>
          </w:p>
        </w:tc>
      </w:tr>
      <w:tr w14:paraId="5874C5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73" w:type="pct"/>
            <w:vAlign w:val="center"/>
          </w:tcPr>
          <w:p w14:paraId="3101A3D7">
            <w:pPr>
              <w:pStyle w:val="181"/>
              <w:rPr>
                <w:sz w:val="21"/>
                <w:szCs w:val="21"/>
              </w:rPr>
            </w:pPr>
            <w:r>
              <w:rPr>
                <w:sz w:val="21"/>
                <w:szCs w:val="21"/>
              </w:rPr>
              <w:t>5</w:t>
            </w:r>
          </w:p>
        </w:tc>
        <w:tc>
          <w:tcPr>
            <w:tcW w:w="874" w:type="pct"/>
            <w:vMerge w:val="continue"/>
            <w:vAlign w:val="center"/>
          </w:tcPr>
          <w:p w14:paraId="26F729C7">
            <w:pPr>
              <w:pStyle w:val="181"/>
              <w:rPr>
                <w:sz w:val="21"/>
                <w:szCs w:val="21"/>
              </w:rPr>
            </w:pPr>
          </w:p>
        </w:tc>
        <w:tc>
          <w:tcPr>
            <w:tcW w:w="1378" w:type="pct"/>
            <w:vAlign w:val="center"/>
          </w:tcPr>
          <w:p w14:paraId="730A7362">
            <w:pPr>
              <w:pStyle w:val="181"/>
              <w:rPr>
                <w:sz w:val="21"/>
                <w:szCs w:val="21"/>
              </w:rPr>
            </w:pPr>
            <w:r>
              <w:rPr>
                <w:sz w:val="21"/>
                <w:szCs w:val="21"/>
              </w:rPr>
              <w:t>数据录入错误率</w:t>
            </w:r>
          </w:p>
        </w:tc>
        <w:tc>
          <w:tcPr>
            <w:tcW w:w="1378" w:type="pct"/>
            <w:vAlign w:val="center"/>
          </w:tcPr>
          <w:p w14:paraId="72F96A5D">
            <w:pPr>
              <w:pStyle w:val="181"/>
              <w:rPr>
                <w:sz w:val="21"/>
                <w:szCs w:val="21"/>
              </w:rPr>
            </w:pPr>
            <w:r>
              <w:rPr>
                <w:sz w:val="21"/>
                <w:szCs w:val="21"/>
              </w:rPr>
              <w:t>≤0.5%</w:t>
            </w:r>
          </w:p>
        </w:tc>
        <w:tc>
          <w:tcPr>
            <w:tcW w:w="625" w:type="pct"/>
            <w:vAlign w:val="center"/>
          </w:tcPr>
          <w:p w14:paraId="6572640D">
            <w:pPr>
              <w:pStyle w:val="181"/>
              <w:rPr>
                <w:sz w:val="21"/>
                <w:szCs w:val="21"/>
              </w:rPr>
            </w:pPr>
          </w:p>
        </w:tc>
        <w:tc>
          <w:tcPr>
            <w:tcW w:w="373" w:type="pct"/>
            <w:vAlign w:val="center"/>
          </w:tcPr>
          <w:p w14:paraId="707520B5">
            <w:pPr>
              <w:pStyle w:val="181"/>
              <w:rPr>
                <w:sz w:val="21"/>
                <w:szCs w:val="21"/>
              </w:rPr>
            </w:pPr>
          </w:p>
        </w:tc>
      </w:tr>
      <w:tr w14:paraId="6DF78A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73" w:type="pct"/>
            <w:vAlign w:val="center"/>
          </w:tcPr>
          <w:p w14:paraId="12D241B9">
            <w:pPr>
              <w:pStyle w:val="181"/>
              <w:rPr>
                <w:sz w:val="21"/>
                <w:szCs w:val="21"/>
              </w:rPr>
            </w:pPr>
            <w:r>
              <w:rPr>
                <w:sz w:val="21"/>
                <w:szCs w:val="21"/>
              </w:rPr>
              <w:t>6</w:t>
            </w:r>
          </w:p>
        </w:tc>
        <w:tc>
          <w:tcPr>
            <w:tcW w:w="874" w:type="pct"/>
            <w:vMerge w:val="continue"/>
            <w:vAlign w:val="center"/>
          </w:tcPr>
          <w:p w14:paraId="272FFED2">
            <w:pPr>
              <w:pStyle w:val="181"/>
              <w:rPr>
                <w:sz w:val="21"/>
                <w:szCs w:val="21"/>
              </w:rPr>
            </w:pPr>
          </w:p>
        </w:tc>
        <w:tc>
          <w:tcPr>
            <w:tcW w:w="1378" w:type="pct"/>
            <w:vAlign w:val="center"/>
          </w:tcPr>
          <w:p w14:paraId="774F82FF">
            <w:pPr>
              <w:pStyle w:val="181"/>
              <w:rPr>
                <w:sz w:val="21"/>
                <w:szCs w:val="21"/>
              </w:rPr>
            </w:pPr>
            <w:r>
              <w:rPr>
                <w:sz w:val="21"/>
                <w:szCs w:val="21"/>
              </w:rPr>
              <w:t>逻辑错误率</w:t>
            </w:r>
          </w:p>
        </w:tc>
        <w:tc>
          <w:tcPr>
            <w:tcW w:w="1378" w:type="pct"/>
            <w:vAlign w:val="center"/>
          </w:tcPr>
          <w:p w14:paraId="40616021">
            <w:pPr>
              <w:pStyle w:val="181"/>
              <w:rPr>
                <w:sz w:val="21"/>
                <w:szCs w:val="21"/>
              </w:rPr>
            </w:pPr>
            <w:r>
              <w:rPr>
                <w:sz w:val="21"/>
                <w:szCs w:val="21"/>
              </w:rPr>
              <w:t>≤0.3%</w:t>
            </w:r>
          </w:p>
        </w:tc>
        <w:tc>
          <w:tcPr>
            <w:tcW w:w="625" w:type="pct"/>
            <w:vAlign w:val="center"/>
          </w:tcPr>
          <w:p w14:paraId="72B1B69D">
            <w:pPr>
              <w:pStyle w:val="181"/>
              <w:rPr>
                <w:sz w:val="21"/>
                <w:szCs w:val="21"/>
              </w:rPr>
            </w:pPr>
          </w:p>
        </w:tc>
        <w:tc>
          <w:tcPr>
            <w:tcW w:w="373" w:type="pct"/>
            <w:vAlign w:val="center"/>
          </w:tcPr>
          <w:p w14:paraId="26B7A311">
            <w:pPr>
              <w:pStyle w:val="181"/>
              <w:rPr>
                <w:sz w:val="21"/>
                <w:szCs w:val="21"/>
              </w:rPr>
            </w:pPr>
          </w:p>
        </w:tc>
      </w:tr>
      <w:tr w14:paraId="748FFF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73" w:type="pct"/>
            <w:vAlign w:val="center"/>
          </w:tcPr>
          <w:p w14:paraId="4C9213AE">
            <w:pPr>
              <w:pStyle w:val="181"/>
              <w:rPr>
                <w:sz w:val="21"/>
                <w:szCs w:val="21"/>
              </w:rPr>
            </w:pPr>
            <w:r>
              <w:rPr>
                <w:sz w:val="21"/>
                <w:szCs w:val="21"/>
              </w:rPr>
              <w:t>7</w:t>
            </w:r>
          </w:p>
        </w:tc>
        <w:tc>
          <w:tcPr>
            <w:tcW w:w="874" w:type="pct"/>
            <w:vMerge w:val="restart"/>
            <w:vAlign w:val="center"/>
          </w:tcPr>
          <w:p w14:paraId="1B09DBD8">
            <w:pPr>
              <w:pStyle w:val="181"/>
              <w:rPr>
                <w:sz w:val="21"/>
                <w:szCs w:val="21"/>
              </w:rPr>
            </w:pPr>
            <w:r>
              <w:rPr>
                <w:sz w:val="21"/>
                <w:szCs w:val="21"/>
              </w:rPr>
              <w:t>数据可追溯性</w:t>
            </w:r>
          </w:p>
        </w:tc>
        <w:tc>
          <w:tcPr>
            <w:tcW w:w="1378" w:type="pct"/>
            <w:vAlign w:val="center"/>
          </w:tcPr>
          <w:p w14:paraId="6443BAF1">
            <w:pPr>
              <w:pStyle w:val="181"/>
              <w:rPr>
                <w:sz w:val="21"/>
                <w:szCs w:val="21"/>
              </w:rPr>
            </w:pPr>
            <w:r>
              <w:rPr>
                <w:sz w:val="21"/>
                <w:szCs w:val="21"/>
              </w:rPr>
              <w:t>数据修改记录完整性</w:t>
            </w:r>
          </w:p>
        </w:tc>
        <w:tc>
          <w:tcPr>
            <w:tcW w:w="1378" w:type="pct"/>
            <w:vAlign w:val="center"/>
          </w:tcPr>
          <w:p w14:paraId="1567A8B6">
            <w:pPr>
              <w:pStyle w:val="181"/>
              <w:rPr>
                <w:sz w:val="21"/>
                <w:szCs w:val="21"/>
              </w:rPr>
            </w:pPr>
            <w:r>
              <w:rPr>
                <w:sz w:val="21"/>
                <w:szCs w:val="21"/>
              </w:rPr>
              <w:t>所有修改均有完整记录</w:t>
            </w:r>
          </w:p>
        </w:tc>
        <w:tc>
          <w:tcPr>
            <w:tcW w:w="625" w:type="pct"/>
            <w:vAlign w:val="center"/>
          </w:tcPr>
          <w:p w14:paraId="44C01CF1">
            <w:pPr>
              <w:pStyle w:val="181"/>
              <w:rPr>
                <w:sz w:val="21"/>
                <w:szCs w:val="21"/>
              </w:rPr>
            </w:pPr>
          </w:p>
        </w:tc>
        <w:tc>
          <w:tcPr>
            <w:tcW w:w="373" w:type="pct"/>
            <w:vAlign w:val="center"/>
          </w:tcPr>
          <w:p w14:paraId="192326B0">
            <w:pPr>
              <w:pStyle w:val="181"/>
              <w:rPr>
                <w:sz w:val="21"/>
                <w:szCs w:val="21"/>
              </w:rPr>
            </w:pPr>
          </w:p>
        </w:tc>
      </w:tr>
      <w:tr w14:paraId="336892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73" w:type="pct"/>
            <w:vAlign w:val="center"/>
          </w:tcPr>
          <w:p w14:paraId="53425D94">
            <w:pPr>
              <w:pStyle w:val="181"/>
              <w:rPr>
                <w:sz w:val="21"/>
                <w:szCs w:val="21"/>
              </w:rPr>
            </w:pPr>
            <w:r>
              <w:rPr>
                <w:sz w:val="21"/>
                <w:szCs w:val="21"/>
              </w:rPr>
              <w:t>8</w:t>
            </w:r>
          </w:p>
        </w:tc>
        <w:tc>
          <w:tcPr>
            <w:tcW w:w="874" w:type="pct"/>
            <w:vMerge w:val="continue"/>
            <w:vAlign w:val="center"/>
          </w:tcPr>
          <w:p w14:paraId="340CD58D">
            <w:pPr>
              <w:pStyle w:val="181"/>
              <w:rPr>
                <w:sz w:val="21"/>
                <w:szCs w:val="21"/>
              </w:rPr>
            </w:pPr>
          </w:p>
        </w:tc>
        <w:tc>
          <w:tcPr>
            <w:tcW w:w="1378" w:type="pct"/>
            <w:vAlign w:val="center"/>
          </w:tcPr>
          <w:p w14:paraId="6B695371">
            <w:pPr>
              <w:pStyle w:val="181"/>
              <w:rPr>
                <w:sz w:val="21"/>
                <w:szCs w:val="21"/>
              </w:rPr>
            </w:pPr>
            <w:r>
              <w:rPr>
                <w:sz w:val="21"/>
                <w:szCs w:val="21"/>
              </w:rPr>
              <w:t>数据溯源响应时间</w:t>
            </w:r>
          </w:p>
        </w:tc>
        <w:tc>
          <w:tcPr>
            <w:tcW w:w="1378" w:type="pct"/>
            <w:vAlign w:val="center"/>
          </w:tcPr>
          <w:p w14:paraId="42B3125B">
            <w:pPr>
              <w:pStyle w:val="181"/>
              <w:rPr>
                <w:sz w:val="21"/>
                <w:szCs w:val="21"/>
              </w:rPr>
            </w:pPr>
            <w:r>
              <w:rPr>
                <w:sz w:val="21"/>
                <w:szCs w:val="21"/>
              </w:rPr>
              <w:t>≤10分钟</w:t>
            </w:r>
          </w:p>
        </w:tc>
        <w:tc>
          <w:tcPr>
            <w:tcW w:w="625" w:type="pct"/>
            <w:vAlign w:val="center"/>
          </w:tcPr>
          <w:p w14:paraId="6AD41415">
            <w:pPr>
              <w:pStyle w:val="181"/>
              <w:rPr>
                <w:sz w:val="21"/>
                <w:szCs w:val="21"/>
              </w:rPr>
            </w:pPr>
          </w:p>
        </w:tc>
        <w:tc>
          <w:tcPr>
            <w:tcW w:w="373" w:type="pct"/>
            <w:vAlign w:val="center"/>
          </w:tcPr>
          <w:p w14:paraId="65136077">
            <w:pPr>
              <w:pStyle w:val="181"/>
              <w:rPr>
                <w:sz w:val="21"/>
                <w:szCs w:val="21"/>
              </w:rPr>
            </w:pPr>
          </w:p>
        </w:tc>
      </w:tr>
      <w:tr w14:paraId="275C30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73" w:type="pct"/>
            <w:vAlign w:val="center"/>
          </w:tcPr>
          <w:p w14:paraId="4DC3F185">
            <w:pPr>
              <w:pStyle w:val="181"/>
              <w:rPr>
                <w:sz w:val="21"/>
                <w:szCs w:val="21"/>
              </w:rPr>
            </w:pPr>
            <w:r>
              <w:rPr>
                <w:sz w:val="21"/>
                <w:szCs w:val="21"/>
              </w:rPr>
              <w:t>9</w:t>
            </w:r>
          </w:p>
        </w:tc>
        <w:tc>
          <w:tcPr>
            <w:tcW w:w="874" w:type="pct"/>
            <w:vMerge w:val="restart"/>
            <w:vAlign w:val="center"/>
          </w:tcPr>
          <w:p w14:paraId="71155F31">
            <w:pPr>
              <w:pStyle w:val="181"/>
              <w:rPr>
                <w:sz w:val="21"/>
                <w:szCs w:val="21"/>
              </w:rPr>
            </w:pPr>
            <w:r>
              <w:rPr>
                <w:sz w:val="21"/>
                <w:szCs w:val="21"/>
              </w:rPr>
              <w:t>数据及时性</w:t>
            </w:r>
          </w:p>
        </w:tc>
        <w:tc>
          <w:tcPr>
            <w:tcW w:w="1378" w:type="pct"/>
            <w:vAlign w:val="center"/>
          </w:tcPr>
          <w:p w14:paraId="5BF1DFDF">
            <w:pPr>
              <w:pStyle w:val="181"/>
              <w:rPr>
                <w:sz w:val="21"/>
                <w:szCs w:val="21"/>
              </w:rPr>
            </w:pPr>
            <w:r>
              <w:rPr>
                <w:sz w:val="21"/>
                <w:szCs w:val="21"/>
              </w:rPr>
              <w:t>关键数据录入延迟</w:t>
            </w:r>
          </w:p>
        </w:tc>
        <w:tc>
          <w:tcPr>
            <w:tcW w:w="1378" w:type="pct"/>
            <w:vAlign w:val="center"/>
          </w:tcPr>
          <w:p w14:paraId="69265EA0">
            <w:pPr>
              <w:pStyle w:val="181"/>
              <w:rPr>
                <w:sz w:val="21"/>
                <w:szCs w:val="21"/>
              </w:rPr>
            </w:pPr>
            <w:r>
              <w:rPr>
                <w:sz w:val="21"/>
                <w:szCs w:val="21"/>
              </w:rPr>
              <w:t>≤24小时</w:t>
            </w:r>
          </w:p>
        </w:tc>
        <w:tc>
          <w:tcPr>
            <w:tcW w:w="625" w:type="pct"/>
            <w:vAlign w:val="center"/>
          </w:tcPr>
          <w:p w14:paraId="0009208E">
            <w:pPr>
              <w:pStyle w:val="181"/>
              <w:rPr>
                <w:sz w:val="21"/>
                <w:szCs w:val="21"/>
              </w:rPr>
            </w:pPr>
          </w:p>
        </w:tc>
        <w:tc>
          <w:tcPr>
            <w:tcW w:w="373" w:type="pct"/>
            <w:vAlign w:val="center"/>
          </w:tcPr>
          <w:p w14:paraId="7932A7CC">
            <w:pPr>
              <w:pStyle w:val="181"/>
              <w:rPr>
                <w:sz w:val="21"/>
                <w:szCs w:val="21"/>
              </w:rPr>
            </w:pPr>
          </w:p>
        </w:tc>
      </w:tr>
      <w:tr w14:paraId="5D9D48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73" w:type="pct"/>
            <w:vAlign w:val="center"/>
          </w:tcPr>
          <w:p w14:paraId="16BD7BA4">
            <w:pPr>
              <w:pStyle w:val="181"/>
              <w:rPr>
                <w:sz w:val="21"/>
                <w:szCs w:val="21"/>
              </w:rPr>
            </w:pPr>
            <w:r>
              <w:rPr>
                <w:sz w:val="21"/>
                <w:szCs w:val="21"/>
              </w:rPr>
              <w:t>10</w:t>
            </w:r>
          </w:p>
        </w:tc>
        <w:tc>
          <w:tcPr>
            <w:tcW w:w="874" w:type="pct"/>
            <w:vMerge w:val="continue"/>
            <w:vAlign w:val="center"/>
          </w:tcPr>
          <w:p w14:paraId="7E3CED95">
            <w:pPr>
              <w:pStyle w:val="181"/>
              <w:rPr>
                <w:sz w:val="21"/>
                <w:szCs w:val="21"/>
              </w:rPr>
            </w:pPr>
          </w:p>
        </w:tc>
        <w:tc>
          <w:tcPr>
            <w:tcW w:w="1378" w:type="pct"/>
            <w:vAlign w:val="center"/>
          </w:tcPr>
          <w:p w14:paraId="02737760">
            <w:pPr>
              <w:pStyle w:val="181"/>
              <w:rPr>
                <w:sz w:val="21"/>
                <w:szCs w:val="21"/>
              </w:rPr>
            </w:pPr>
            <w:r>
              <w:rPr>
                <w:sz w:val="21"/>
                <w:szCs w:val="21"/>
              </w:rPr>
              <w:t>常规数据录入延迟</w:t>
            </w:r>
          </w:p>
        </w:tc>
        <w:tc>
          <w:tcPr>
            <w:tcW w:w="1378" w:type="pct"/>
            <w:vAlign w:val="center"/>
          </w:tcPr>
          <w:p w14:paraId="22B7564C">
            <w:pPr>
              <w:pStyle w:val="181"/>
              <w:rPr>
                <w:sz w:val="21"/>
                <w:szCs w:val="21"/>
              </w:rPr>
            </w:pPr>
            <w:r>
              <w:rPr>
                <w:sz w:val="21"/>
                <w:szCs w:val="21"/>
              </w:rPr>
              <w:t>≤72小时</w:t>
            </w:r>
          </w:p>
        </w:tc>
        <w:tc>
          <w:tcPr>
            <w:tcW w:w="625" w:type="pct"/>
            <w:vAlign w:val="center"/>
          </w:tcPr>
          <w:p w14:paraId="6E7672D5">
            <w:pPr>
              <w:pStyle w:val="181"/>
              <w:rPr>
                <w:sz w:val="21"/>
                <w:szCs w:val="21"/>
              </w:rPr>
            </w:pPr>
          </w:p>
        </w:tc>
        <w:tc>
          <w:tcPr>
            <w:tcW w:w="373" w:type="pct"/>
            <w:vAlign w:val="center"/>
          </w:tcPr>
          <w:p w14:paraId="51204253">
            <w:pPr>
              <w:pStyle w:val="181"/>
              <w:rPr>
                <w:sz w:val="21"/>
                <w:szCs w:val="21"/>
              </w:rPr>
            </w:pPr>
          </w:p>
        </w:tc>
      </w:tr>
    </w:tbl>
    <w:p w14:paraId="75E731B3">
      <w:pPr>
        <w:pStyle w:val="59"/>
        <w:ind w:firstLine="420"/>
      </w:pPr>
    </w:p>
    <w:p w14:paraId="416A9F2E">
      <w:pPr>
        <w:pStyle w:val="80"/>
        <w:spacing w:before="0" w:beforeLines="0" w:after="0" w:afterLines="0"/>
        <w:rPr>
          <w:rFonts w:ascii="黑体" w:hAnsi="黑体" w:eastAsia="黑体"/>
          <w:kern w:val="0"/>
        </w:rPr>
      </w:pPr>
      <w:r>
        <w:rPr>
          <w:rFonts w:ascii="黑体" w:hAnsi="黑体" w:eastAsia="黑体"/>
          <w:kern w:val="0"/>
        </w:rPr>
        <w:t>现场核查清单</w:t>
      </w:r>
    </w:p>
    <w:p w14:paraId="32698AFE">
      <w:pPr>
        <w:pStyle w:val="59"/>
        <w:ind w:firstLine="422"/>
      </w:pPr>
      <w:r>
        <w:rPr>
          <w:b/>
          <w:bCs/>
        </w:rPr>
        <w:t>说明</w:t>
      </w:r>
      <w:r>
        <w:t>：核查结果填写</w:t>
      </w:r>
      <w:r>
        <w:rPr>
          <w:rFonts w:hint="eastAsia"/>
        </w:rPr>
        <w:t>“</w:t>
      </w:r>
      <w:r>
        <w:t>合格/不合格/不适用</w:t>
      </w:r>
      <w:r>
        <w:rPr>
          <w:rFonts w:hint="eastAsia"/>
        </w:rPr>
        <w:t>”</w:t>
      </w:r>
      <w:r>
        <w:t>，不合格项需附整改建议</w:t>
      </w:r>
    </w:p>
    <w:tbl>
      <w:tblPr>
        <w:tblStyle w:val="29"/>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678"/>
        <w:gridCol w:w="1137"/>
        <w:gridCol w:w="3420"/>
        <w:gridCol w:w="1137"/>
        <w:gridCol w:w="908"/>
        <w:gridCol w:w="1137"/>
        <w:gridCol w:w="1137"/>
      </w:tblGrid>
      <w:tr w14:paraId="4FB40A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355" w:type="pct"/>
            <w:tcBorders>
              <w:top w:val="single" w:color="auto" w:sz="8" w:space="0"/>
              <w:bottom w:val="single" w:color="auto" w:sz="8" w:space="0"/>
            </w:tcBorders>
            <w:vAlign w:val="center"/>
          </w:tcPr>
          <w:p w14:paraId="1605FF9A">
            <w:pPr>
              <w:pStyle w:val="181"/>
              <w:rPr>
                <w:sz w:val="21"/>
                <w:szCs w:val="21"/>
              </w:rPr>
            </w:pPr>
            <w:r>
              <w:rPr>
                <w:b/>
                <w:bCs/>
                <w:sz w:val="21"/>
                <w:szCs w:val="21"/>
              </w:rPr>
              <w:t>序号</w:t>
            </w:r>
          </w:p>
        </w:tc>
        <w:tc>
          <w:tcPr>
            <w:tcW w:w="595" w:type="pct"/>
            <w:tcBorders>
              <w:top w:val="single" w:color="auto" w:sz="8" w:space="0"/>
              <w:bottom w:val="single" w:color="auto" w:sz="8" w:space="0"/>
            </w:tcBorders>
            <w:vAlign w:val="center"/>
          </w:tcPr>
          <w:p w14:paraId="7F2B7BCD">
            <w:pPr>
              <w:pStyle w:val="181"/>
              <w:rPr>
                <w:sz w:val="21"/>
                <w:szCs w:val="21"/>
              </w:rPr>
            </w:pPr>
            <w:r>
              <w:rPr>
                <w:b/>
                <w:bCs/>
                <w:sz w:val="21"/>
                <w:szCs w:val="21"/>
              </w:rPr>
              <w:t>核查类别</w:t>
            </w:r>
          </w:p>
        </w:tc>
        <w:tc>
          <w:tcPr>
            <w:tcW w:w="1790" w:type="pct"/>
            <w:tcBorders>
              <w:top w:val="single" w:color="auto" w:sz="8" w:space="0"/>
              <w:bottom w:val="single" w:color="auto" w:sz="8" w:space="0"/>
            </w:tcBorders>
            <w:vAlign w:val="center"/>
          </w:tcPr>
          <w:p w14:paraId="423964E7">
            <w:pPr>
              <w:pStyle w:val="181"/>
              <w:rPr>
                <w:sz w:val="21"/>
                <w:szCs w:val="21"/>
              </w:rPr>
            </w:pPr>
            <w:r>
              <w:rPr>
                <w:b/>
                <w:bCs/>
                <w:sz w:val="21"/>
                <w:szCs w:val="21"/>
              </w:rPr>
              <w:t>核查要点</w:t>
            </w:r>
          </w:p>
        </w:tc>
        <w:tc>
          <w:tcPr>
            <w:tcW w:w="595" w:type="pct"/>
            <w:tcBorders>
              <w:top w:val="single" w:color="auto" w:sz="8" w:space="0"/>
              <w:bottom w:val="single" w:color="auto" w:sz="8" w:space="0"/>
            </w:tcBorders>
            <w:vAlign w:val="center"/>
          </w:tcPr>
          <w:p w14:paraId="2EE0CE75">
            <w:pPr>
              <w:pStyle w:val="181"/>
              <w:rPr>
                <w:sz w:val="21"/>
                <w:szCs w:val="21"/>
              </w:rPr>
            </w:pPr>
            <w:r>
              <w:rPr>
                <w:b/>
                <w:bCs/>
                <w:sz w:val="21"/>
                <w:szCs w:val="21"/>
              </w:rPr>
              <w:t>核查结果</w:t>
            </w:r>
          </w:p>
        </w:tc>
        <w:tc>
          <w:tcPr>
            <w:tcW w:w="475" w:type="pct"/>
            <w:tcBorders>
              <w:top w:val="single" w:color="auto" w:sz="8" w:space="0"/>
              <w:bottom w:val="single" w:color="auto" w:sz="8" w:space="0"/>
            </w:tcBorders>
            <w:vAlign w:val="center"/>
          </w:tcPr>
          <w:p w14:paraId="015D1E7F">
            <w:pPr>
              <w:pStyle w:val="181"/>
              <w:rPr>
                <w:sz w:val="21"/>
                <w:szCs w:val="21"/>
              </w:rPr>
            </w:pPr>
            <w:r>
              <w:rPr>
                <w:b/>
                <w:bCs/>
                <w:sz w:val="21"/>
                <w:szCs w:val="21"/>
              </w:rPr>
              <w:t>核查人</w:t>
            </w:r>
          </w:p>
        </w:tc>
        <w:tc>
          <w:tcPr>
            <w:tcW w:w="595" w:type="pct"/>
            <w:tcBorders>
              <w:top w:val="single" w:color="auto" w:sz="8" w:space="0"/>
              <w:bottom w:val="single" w:color="auto" w:sz="8" w:space="0"/>
            </w:tcBorders>
            <w:vAlign w:val="center"/>
          </w:tcPr>
          <w:p w14:paraId="6C67A641">
            <w:pPr>
              <w:pStyle w:val="181"/>
              <w:rPr>
                <w:sz w:val="21"/>
                <w:szCs w:val="21"/>
              </w:rPr>
            </w:pPr>
            <w:r>
              <w:rPr>
                <w:b/>
                <w:bCs/>
                <w:sz w:val="21"/>
                <w:szCs w:val="21"/>
              </w:rPr>
              <w:t>核查日期</w:t>
            </w:r>
          </w:p>
        </w:tc>
        <w:tc>
          <w:tcPr>
            <w:tcW w:w="595" w:type="pct"/>
            <w:tcBorders>
              <w:top w:val="single" w:color="auto" w:sz="8" w:space="0"/>
              <w:bottom w:val="single" w:color="auto" w:sz="8" w:space="0"/>
            </w:tcBorders>
            <w:vAlign w:val="center"/>
          </w:tcPr>
          <w:p w14:paraId="5F620DB0">
            <w:pPr>
              <w:pStyle w:val="181"/>
              <w:rPr>
                <w:sz w:val="21"/>
                <w:szCs w:val="21"/>
              </w:rPr>
            </w:pPr>
            <w:r>
              <w:rPr>
                <w:b/>
                <w:bCs/>
                <w:sz w:val="21"/>
                <w:szCs w:val="21"/>
              </w:rPr>
              <w:t>整改建议</w:t>
            </w:r>
          </w:p>
        </w:tc>
      </w:tr>
      <w:tr w14:paraId="155815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55" w:type="pct"/>
            <w:tcBorders>
              <w:top w:val="single" w:color="auto" w:sz="8" w:space="0"/>
            </w:tcBorders>
            <w:vAlign w:val="center"/>
          </w:tcPr>
          <w:p w14:paraId="49132452">
            <w:pPr>
              <w:pStyle w:val="181"/>
              <w:rPr>
                <w:sz w:val="21"/>
                <w:szCs w:val="21"/>
              </w:rPr>
            </w:pPr>
            <w:r>
              <w:rPr>
                <w:sz w:val="21"/>
                <w:szCs w:val="21"/>
              </w:rPr>
              <w:t>1</w:t>
            </w:r>
          </w:p>
        </w:tc>
        <w:tc>
          <w:tcPr>
            <w:tcW w:w="595" w:type="pct"/>
            <w:vMerge w:val="restart"/>
            <w:tcBorders>
              <w:top w:val="single" w:color="auto" w:sz="8" w:space="0"/>
            </w:tcBorders>
            <w:vAlign w:val="center"/>
          </w:tcPr>
          <w:p w14:paraId="7E6546E9">
            <w:pPr>
              <w:pStyle w:val="181"/>
              <w:rPr>
                <w:sz w:val="21"/>
                <w:szCs w:val="21"/>
              </w:rPr>
            </w:pPr>
            <w:r>
              <w:rPr>
                <w:sz w:val="21"/>
                <w:szCs w:val="21"/>
              </w:rPr>
              <w:t>平台部署</w:t>
            </w:r>
          </w:p>
        </w:tc>
        <w:tc>
          <w:tcPr>
            <w:tcW w:w="1790" w:type="pct"/>
            <w:tcBorders>
              <w:top w:val="single" w:color="auto" w:sz="8" w:space="0"/>
            </w:tcBorders>
            <w:vAlign w:val="center"/>
          </w:tcPr>
          <w:p w14:paraId="0E5E52C8">
            <w:pPr>
              <w:pStyle w:val="181"/>
              <w:rPr>
                <w:sz w:val="21"/>
                <w:szCs w:val="21"/>
              </w:rPr>
            </w:pPr>
            <w:r>
              <w:rPr>
                <w:sz w:val="21"/>
                <w:szCs w:val="21"/>
              </w:rPr>
              <w:t>硬件设备配置符合要求</w:t>
            </w:r>
          </w:p>
        </w:tc>
        <w:tc>
          <w:tcPr>
            <w:tcW w:w="595" w:type="pct"/>
            <w:tcBorders>
              <w:top w:val="single" w:color="auto" w:sz="8" w:space="0"/>
            </w:tcBorders>
            <w:vAlign w:val="center"/>
          </w:tcPr>
          <w:p w14:paraId="539A7921">
            <w:pPr>
              <w:pStyle w:val="181"/>
              <w:rPr>
                <w:sz w:val="21"/>
                <w:szCs w:val="21"/>
              </w:rPr>
            </w:pPr>
          </w:p>
        </w:tc>
        <w:tc>
          <w:tcPr>
            <w:tcW w:w="475" w:type="pct"/>
            <w:tcBorders>
              <w:top w:val="single" w:color="auto" w:sz="8" w:space="0"/>
            </w:tcBorders>
            <w:vAlign w:val="center"/>
          </w:tcPr>
          <w:p w14:paraId="6825C2D9">
            <w:pPr>
              <w:pStyle w:val="181"/>
              <w:rPr>
                <w:sz w:val="21"/>
                <w:szCs w:val="21"/>
              </w:rPr>
            </w:pPr>
          </w:p>
        </w:tc>
        <w:tc>
          <w:tcPr>
            <w:tcW w:w="595" w:type="pct"/>
            <w:tcBorders>
              <w:top w:val="single" w:color="auto" w:sz="8" w:space="0"/>
            </w:tcBorders>
            <w:vAlign w:val="center"/>
          </w:tcPr>
          <w:p w14:paraId="0BB0F333">
            <w:pPr>
              <w:pStyle w:val="181"/>
              <w:rPr>
                <w:sz w:val="21"/>
                <w:szCs w:val="21"/>
              </w:rPr>
            </w:pPr>
          </w:p>
        </w:tc>
        <w:tc>
          <w:tcPr>
            <w:tcW w:w="595" w:type="pct"/>
            <w:tcBorders>
              <w:top w:val="single" w:color="auto" w:sz="8" w:space="0"/>
            </w:tcBorders>
            <w:vAlign w:val="center"/>
          </w:tcPr>
          <w:p w14:paraId="1E6EA261">
            <w:pPr>
              <w:pStyle w:val="181"/>
              <w:rPr>
                <w:sz w:val="21"/>
                <w:szCs w:val="21"/>
              </w:rPr>
            </w:pPr>
          </w:p>
        </w:tc>
      </w:tr>
      <w:tr w14:paraId="1D6484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55" w:type="pct"/>
            <w:vAlign w:val="center"/>
          </w:tcPr>
          <w:p w14:paraId="6F32BEBC">
            <w:pPr>
              <w:pStyle w:val="181"/>
              <w:rPr>
                <w:sz w:val="21"/>
                <w:szCs w:val="21"/>
              </w:rPr>
            </w:pPr>
            <w:r>
              <w:rPr>
                <w:sz w:val="21"/>
                <w:szCs w:val="21"/>
              </w:rPr>
              <w:t>2</w:t>
            </w:r>
          </w:p>
        </w:tc>
        <w:tc>
          <w:tcPr>
            <w:tcW w:w="595" w:type="pct"/>
            <w:vMerge w:val="continue"/>
            <w:vAlign w:val="center"/>
          </w:tcPr>
          <w:p w14:paraId="08CC37BF">
            <w:pPr>
              <w:pStyle w:val="181"/>
              <w:rPr>
                <w:sz w:val="21"/>
                <w:szCs w:val="21"/>
              </w:rPr>
            </w:pPr>
          </w:p>
        </w:tc>
        <w:tc>
          <w:tcPr>
            <w:tcW w:w="1790" w:type="pct"/>
            <w:vAlign w:val="center"/>
          </w:tcPr>
          <w:p w14:paraId="1D836132">
            <w:pPr>
              <w:pStyle w:val="181"/>
              <w:rPr>
                <w:sz w:val="21"/>
                <w:szCs w:val="21"/>
              </w:rPr>
            </w:pPr>
            <w:r>
              <w:rPr>
                <w:sz w:val="21"/>
                <w:szCs w:val="21"/>
              </w:rPr>
              <w:t>系统版本与部署文档一致</w:t>
            </w:r>
          </w:p>
        </w:tc>
        <w:tc>
          <w:tcPr>
            <w:tcW w:w="595" w:type="pct"/>
            <w:vAlign w:val="center"/>
          </w:tcPr>
          <w:p w14:paraId="54348797">
            <w:pPr>
              <w:pStyle w:val="181"/>
              <w:rPr>
                <w:sz w:val="21"/>
                <w:szCs w:val="21"/>
              </w:rPr>
            </w:pPr>
          </w:p>
        </w:tc>
        <w:tc>
          <w:tcPr>
            <w:tcW w:w="475" w:type="pct"/>
            <w:vAlign w:val="center"/>
          </w:tcPr>
          <w:p w14:paraId="7E42902E">
            <w:pPr>
              <w:pStyle w:val="181"/>
              <w:rPr>
                <w:sz w:val="21"/>
                <w:szCs w:val="21"/>
              </w:rPr>
            </w:pPr>
          </w:p>
        </w:tc>
        <w:tc>
          <w:tcPr>
            <w:tcW w:w="595" w:type="pct"/>
            <w:vAlign w:val="center"/>
          </w:tcPr>
          <w:p w14:paraId="5AA23D3B">
            <w:pPr>
              <w:pStyle w:val="181"/>
              <w:rPr>
                <w:sz w:val="21"/>
                <w:szCs w:val="21"/>
              </w:rPr>
            </w:pPr>
          </w:p>
        </w:tc>
        <w:tc>
          <w:tcPr>
            <w:tcW w:w="595" w:type="pct"/>
            <w:vAlign w:val="center"/>
          </w:tcPr>
          <w:p w14:paraId="1D13D87A">
            <w:pPr>
              <w:pStyle w:val="181"/>
              <w:rPr>
                <w:sz w:val="21"/>
                <w:szCs w:val="21"/>
              </w:rPr>
            </w:pPr>
          </w:p>
        </w:tc>
      </w:tr>
      <w:tr w14:paraId="79504D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55" w:type="pct"/>
            <w:vAlign w:val="center"/>
          </w:tcPr>
          <w:p w14:paraId="3430AE76">
            <w:pPr>
              <w:pStyle w:val="181"/>
              <w:rPr>
                <w:sz w:val="21"/>
                <w:szCs w:val="21"/>
              </w:rPr>
            </w:pPr>
            <w:r>
              <w:rPr>
                <w:sz w:val="21"/>
                <w:szCs w:val="21"/>
              </w:rPr>
              <w:t>3</w:t>
            </w:r>
          </w:p>
        </w:tc>
        <w:tc>
          <w:tcPr>
            <w:tcW w:w="595" w:type="pct"/>
            <w:vMerge w:val="continue"/>
            <w:vAlign w:val="center"/>
          </w:tcPr>
          <w:p w14:paraId="4AA1AA1A">
            <w:pPr>
              <w:pStyle w:val="181"/>
              <w:rPr>
                <w:sz w:val="21"/>
                <w:szCs w:val="21"/>
              </w:rPr>
            </w:pPr>
          </w:p>
        </w:tc>
        <w:tc>
          <w:tcPr>
            <w:tcW w:w="1790" w:type="pct"/>
            <w:vAlign w:val="center"/>
          </w:tcPr>
          <w:p w14:paraId="37077AFE">
            <w:pPr>
              <w:pStyle w:val="181"/>
              <w:rPr>
                <w:sz w:val="21"/>
                <w:szCs w:val="21"/>
              </w:rPr>
            </w:pPr>
            <w:r>
              <w:rPr>
                <w:sz w:val="21"/>
                <w:szCs w:val="21"/>
              </w:rPr>
              <w:t>网络环境满足运行要求</w:t>
            </w:r>
          </w:p>
        </w:tc>
        <w:tc>
          <w:tcPr>
            <w:tcW w:w="595" w:type="pct"/>
            <w:vAlign w:val="center"/>
          </w:tcPr>
          <w:p w14:paraId="35062A0E">
            <w:pPr>
              <w:pStyle w:val="181"/>
              <w:rPr>
                <w:sz w:val="21"/>
                <w:szCs w:val="21"/>
              </w:rPr>
            </w:pPr>
          </w:p>
        </w:tc>
        <w:tc>
          <w:tcPr>
            <w:tcW w:w="475" w:type="pct"/>
            <w:vAlign w:val="center"/>
          </w:tcPr>
          <w:p w14:paraId="48883560">
            <w:pPr>
              <w:pStyle w:val="181"/>
              <w:rPr>
                <w:sz w:val="21"/>
                <w:szCs w:val="21"/>
              </w:rPr>
            </w:pPr>
          </w:p>
        </w:tc>
        <w:tc>
          <w:tcPr>
            <w:tcW w:w="595" w:type="pct"/>
            <w:vAlign w:val="center"/>
          </w:tcPr>
          <w:p w14:paraId="2C7478FF">
            <w:pPr>
              <w:pStyle w:val="181"/>
              <w:rPr>
                <w:sz w:val="21"/>
                <w:szCs w:val="21"/>
              </w:rPr>
            </w:pPr>
          </w:p>
        </w:tc>
        <w:tc>
          <w:tcPr>
            <w:tcW w:w="595" w:type="pct"/>
            <w:vAlign w:val="center"/>
          </w:tcPr>
          <w:p w14:paraId="0B528F4E">
            <w:pPr>
              <w:pStyle w:val="181"/>
              <w:rPr>
                <w:sz w:val="21"/>
                <w:szCs w:val="21"/>
              </w:rPr>
            </w:pPr>
          </w:p>
        </w:tc>
      </w:tr>
      <w:tr w14:paraId="53663C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55" w:type="pct"/>
            <w:vAlign w:val="center"/>
          </w:tcPr>
          <w:p w14:paraId="18B7EB67">
            <w:pPr>
              <w:pStyle w:val="181"/>
              <w:rPr>
                <w:sz w:val="21"/>
                <w:szCs w:val="21"/>
              </w:rPr>
            </w:pPr>
            <w:r>
              <w:rPr>
                <w:sz w:val="21"/>
                <w:szCs w:val="21"/>
              </w:rPr>
              <w:t>4</w:t>
            </w:r>
          </w:p>
        </w:tc>
        <w:tc>
          <w:tcPr>
            <w:tcW w:w="595" w:type="pct"/>
            <w:vMerge w:val="restart"/>
            <w:vAlign w:val="center"/>
          </w:tcPr>
          <w:p w14:paraId="62CE91ED">
            <w:pPr>
              <w:pStyle w:val="181"/>
              <w:rPr>
                <w:sz w:val="21"/>
                <w:szCs w:val="21"/>
              </w:rPr>
            </w:pPr>
            <w:r>
              <w:rPr>
                <w:sz w:val="21"/>
                <w:szCs w:val="21"/>
              </w:rPr>
              <w:t>功能验证</w:t>
            </w:r>
          </w:p>
        </w:tc>
        <w:tc>
          <w:tcPr>
            <w:tcW w:w="1790" w:type="pct"/>
            <w:vAlign w:val="center"/>
          </w:tcPr>
          <w:p w14:paraId="29C12430">
            <w:pPr>
              <w:pStyle w:val="181"/>
              <w:rPr>
                <w:sz w:val="21"/>
                <w:szCs w:val="21"/>
              </w:rPr>
            </w:pPr>
            <w:r>
              <w:rPr>
                <w:sz w:val="21"/>
                <w:szCs w:val="21"/>
              </w:rPr>
              <w:t>数据自动采集功能正常</w:t>
            </w:r>
          </w:p>
        </w:tc>
        <w:tc>
          <w:tcPr>
            <w:tcW w:w="595" w:type="pct"/>
            <w:vAlign w:val="center"/>
          </w:tcPr>
          <w:p w14:paraId="71961F46">
            <w:pPr>
              <w:pStyle w:val="181"/>
              <w:rPr>
                <w:sz w:val="21"/>
                <w:szCs w:val="21"/>
              </w:rPr>
            </w:pPr>
          </w:p>
        </w:tc>
        <w:tc>
          <w:tcPr>
            <w:tcW w:w="475" w:type="pct"/>
            <w:vAlign w:val="center"/>
          </w:tcPr>
          <w:p w14:paraId="273AB877">
            <w:pPr>
              <w:pStyle w:val="181"/>
              <w:rPr>
                <w:sz w:val="21"/>
                <w:szCs w:val="21"/>
              </w:rPr>
            </w:pPr>
          </w:p>
        </w:tc>
        <w:tc>
          <w:tcPr>
            <w:tcW w:w="595" w:type="pct"/>
            <w:vAlign w:val="center"/>
          </w:tcPr>
          <w:p w14:paraId="12C386C6">
            <w:pPr>
              <w:pStyle w:val="181"/>
              <w:rPr>
                <w:sz w:val="21"/>
                <w:szCs w:val="21"/>
              </w:rPr>
            </w:pPr>
          </w:p>
        </w:tc>
        <w:tc>
          <w:tcPr>
            <w:tcW w:w="595" w:type="pct"/>
            <w:vAlign w:val="center"/>
          </w:tcPr>
          <w:p w14:paraId="72160FBA">
            <w:pPr>
              <w:pStyle w:val="181"/>
              <w:rPr>
                <w:sz w:val="21"/>
                <w:szCs w:val="21"/>
              </w:rPr>
            </w:pPr>
          </w:p>
        </w:tc>
      </w:tr>
      <w:tr w14:paraId="2BA03A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55" w:type="pct"/>
            <w:vAlign w:val="center"/>
          </w:tcPr>
          <w:p w14:paraId="1429AE38">
            <w:pPr>
              <w:pStyle w:val="181"/>
              <w:rPr>
                <w:sz w:val="21"/>
                <w:szCs w:val="21"/>
              </w:rPr>
            </w:pPr>
            <w:r>
              <w:rPr>
                <w:sz w:val="21"/>
                <w:szCs w:val="21"/>
              </w:rPr>
              <w:t>5</w:t>
            </w:r>
          </w:p>
        </w:tc>
        <w:tc>
          <w:tcPr>
            <w:tcW w:w="595" w:type="pct"/>
            <w:vMerge w:val="continue"/>
            <w:vAlign w:val="center"/>
          </w:tcPr>
          <w:p w14:paraId="1E0D54CA">
            <w:pPr>
              <w:pStyle w:val="181"/>
              <w:rPr>
                <w:sz w:val="21"/>
                <w:szCs w:val="21"/>
              </w:rPr>
            </w:pPr>
          </w:p>
        </w:tc>
        <w:tc>
          <w:tcPr>
            <w:tcW w:w="1790" w:type="pct"/>
            <w:vAlign w:val="center"/>
          </w:tcPr>
          <w:p w14:paraId="007A96F0">
            <w:pPr>
              <w:pStyle w:val="181"/>
              <w:rPr>
                <w:sz w:val="21"/>
                <w:szCs w:val="21"/>
              </w:rPr>
            </w:pPr>
            <w:r>
              <w:rPr>
                <w:sz w:val="21"/>
                <w:szCs w:val="21"/>
              </w:rPr>
              <w:t>全流程追溯功能正常</w:t>
            </w:r>
          </w:p>
        </w:tc>
        <w:tc>
          <w:tcPr>
            <w:tcW w:w="595" w:type="pct"/>
            <w:vAlign w:val="center"/>
          </w:tcPr>
          <w:p w14:paraId="79FD2896">
            <w:pPr>
              <w:pStyle w:val="181"/>
              <w:rPr>
                <w:sz w:val="21"/>
                <w:szCs w:val="21"/>
              </w:rPr>
            </w:pPr>
          </w:p>
        </w:tc>
        <w:tc>
          <w:tcPr>
            <w:tcW w:w="475" w:type="pct"/>
            <w:vAlign w:val="center"/>
          </w:tcPr>
          <w:p w14:paraId="000AF390">
            <w:pPr>
              <w:pStyle w:val="181"/>
              <w:rPr>
                <w:sz w:val="21"/>
                <w:szCs w:val="21"/>
              </w:rPr>
            </w:pPr>
          </w:p>
        </w:tc>
        <w:tc>
          <w:tcPr>
            <w:tcW w:w="595" w:type="pct"/>
            <w:vAlign w:val="center"/>
          </w:tcPr>
          <w:p w14:paraId="3F2E9E13">
            <w:pPr>
              <w:pStyle w:val="181"/>
              <w:rPr>
                <w:sz w:val="21"/>
                <w:szCs w:val="21"/>
              </w:rPr>
            </w:pPr>
          </w:p>
        </w:tc>
        <w:tc>
          <w:tcPr>
            <w:tcW w:w="595" w:type="pct"/>
            <w:vAlign w:val="center"/>
          </w:tcPr>
          <w:p w14:paraId="7A7312AC">
            <w:pPr>
              <w:pStyle w:val="181"/>
              <w:rPr>
                <w:sz w:val="21"/>
                <w:szCs w:val="21"/>
              </w:rPr>
            </w:pPr>
          </w:p>
        </w:tc>
      </w:tr>
      <w:tr w14:paraId="004152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55" w:type="pct"/>
            <w:vAlign w:val="center"/>
          </w:tcPr>
          <w:p w14:paraId="3CFCE773">
            <w:pPr>
              <w:pStyle w:val="181"/>
              <w:rPr>
                <w:sz w:val="21"/>
                <w:szCs w:val="21"/>
              </w:rPr>
            </w:pPr>
            <w:r>
              <w:rPr>
                <w:sz w:val="21"/>
                <w:szCs w:val="21"/>
              </w:rPr>
              <w:t>6</w:t>
            </w:r>
          </w:p>
        </w:tc>
        <w:tc>
          <w:tcPr>
            <w:tcW w:w="595" w:type="pct"/>
            <w:vMerge w:val="continue"/>
            <w:vAlign w:val="center"/>
          </w:tcPr>
          <w:p w14:paraId="4D47EEDC">
            <w:pPr>
              <w:pStyle w:val="181"/>
              <w:rPr>
                <w:sz w:val="21"/>
                <w:szCs w:val="21"/>
              </w:rPr>
            </w:pPr>
          </w:p>
        </w:tc>
        <w:tc>
          <w:tcPr>
            <w:tcW w:w="1790" w:type="pct"/>
            <w:vAlign w:val="center"/>
          </w:tcPr>
          <w:p w14:paraId="5BA33DB8">
            <w:pPr>
              <w:pStyle w:val="181"/>
              <w:rPr>
                <w:sz w:val="21"/>
                <w:szCs w:val="21"/>
              </w:rPr>
            </w:pPr>
            <w:r>
              <w:rPr>
                <w:sz w:val="21"/>
                <w:szCs w:val="21"/>
              </w:rPr>
              <w:t>不良事件预警功能正常</w:t>
            </w:r>
          </w:p>
        </w:tc>
        <w:tc>
          <w:tcPr>
            <w:tcW w:w="595" w:type="pct"/>
            <w:vAlign w:val="center"/>
          </w:tcPr>
          <w:p w14:paraId="2083A6D8">
            <w:pPr>
              <w:pStyle w:val="181"/>
              <w:rPr>
                <w:sz w:val="21"/>
                <w:szCs w:val="21"/>
              </w:rPr>
            </w:pPr>
          </w:p>
        </w:tc>
        <w:tc>
          <w:tcPr>
            <w:tcW w:w="475" w:type="pct"/>
            <w:vAlign w:val="center"/>
          </w:tcPr>
          <w:p w14:paraId="75A46EA1">
            <w:pPr>
              <w:pStyle w:val="181"/>
              <w:rPr>
                <w:sz w:val="21"/>
                <w:szCs w:val="21"/>
              </w:rPr>
            </w:pPr>
          </w:p>
        </w:tc>
        <w:tc>
          <w:tcPr>
            <w:tcW w:w="595" w:type="pct"/>
            <w:vAlign w:val="center"/>
          </w:tcPr>
          <w:p w14:paraId="4034FF3D">
            <w:pPr>
              <w:pStyle w:val="181"/>
              <w:rPr>
                <w:sz w:val="21"/>
                <w:szCs w:val="21"/>
              </w:rPr>
            </w:pPr>
          </w:p>
        </w:tc>
        <w:tc>
          <w:tcPr>
            <w:tcW w:w="595" w:type="pct"/>
            <w:vAlign w:val="center"/>
          </w:tcPr>
          <w:p w14:paraId="4C309E9A">
            <w:pPr>
              <w:pStyle w:val="181"/>
              <w:rPr>
                <w:sz w:val="21"/>
                <w:szCs w:val="21"/>
              </w:rPr>
            </w:pPr>
          </w:p>
        </w:tc>
      </w:tr>
      <w:tr w14:paraId="2BF3FA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55" w:type="pct"/>
            <w:vAlign w:val="center"/>
          </w:tcPr>
          <w:p w14:paraId="6512B95F">
            <w:pPr>
              <w:pStyle w:val="181"/>
              <w:rPr>
                <w:sz w:val="21"/>
                <w:szCs w:val="21"/>
              </w:rPr>
            </w:pPr>
            <w:r>
              <w:rPr>
                <w:sz w:val="21"/>
                <w:szCs w:val="21"/>
              </w:rPr>
              <w:t>7</w:t>
            </w:r>
          </w:p>
        </w:tc>
        <w:tc>
          <w:tcPr>
            <w:tcW w:w="595" w:type="pct"/>
            <w:vMerge w:val="continue"/>
            <w:vAlign w:val="center"/>
          </w:tcPr>
          <w:p w14:paraId="1A5E5A1E">
            <w:pPr>
              <w:pStyle w:val="181"/>
              <w:rPr>
                <w:sz w:val="21"/>
                <w:szCs w:val="21"/>
              </w:rPr>
            </w:pPr>
          </w:p>
        </w:tc>
        <w:tc>
          <w:tcPr>
            <w:tcW w:w="1790" w:type="pct"/>
            <w:vAlign w:val="center"/>
          </w:tcPr>
          <w:p w14:paraId="30B3E247">
            <w:pPr>
              <w:pStyle w:val="181"/>
              <w:rPr>
                <w:sz w:val="21"/>
                <w:szCs w:val="21"/>
              </w:rPr>
            </w:pPr>
            <w:r>
              <w:rPr>
                <w:sz w:val="21"/>
                <w:szCs w:val="21"/>
              </w:rPr>
              <w:t>多中心数据同步功能正常</w:t>
            </w:r>
          </w:p>
        </w:tc>
        <w:tc>
          <w:tcPr>
            <w:tcW w:w="595" w:type="pct"/>
            <w:vAlign w:val="center"/>
          </w:tcPr>
          <w:p w14:paraId="7FFC8C2A">
            <w:pPr>
              <w:pStyle w:val="181"/>
              <w:rPr>
                <w:sz w:val="21"/>
                <w:szCs w:val="21"/>
              </w:rPr>
            </w:pPr>
          </w:p>
        </w:tc>
        <w:tc>
          <w:tcPr>
            <w:tcW w:w="475" w:type="pct"/>
            <w:vAlign w:val="center"/>
          </w:tcPr>
          <w:p w14:paraId="169A2750">
            <w:pPr>
              <w:pStyle w:val="181"/>
              <w:rPr>
                <w:sz w:val="21"/>
                <w:szCs w:val="21"/>
              </w:rPr>
            </w:pPr>
          </w:p>
        </w:tc>
        <w:tc>
          <w:tcPr>
            <w:tcW w:w="595" w:type="pct"/>
            <w:vAlign w:val="center"/>
          </w:tcPr>
          <w:p w14:paraId="32E2EBE0">
            <w:pPr>
              <w:pStyle w:val="181"/>
              <w:rPr>
                <w:sz w:val="21"/>
                <w:szCs w:val="21"/>
              </w:rPr>
            </w:pPr>
          </w:p>
        </w:tc>
        <w:tc>
          <w:tcPr>
            <w:tcW w:w="595" w:type="pct"/>
            <w:vAlign w:val="center"/>
          </w:tcPr>
          <w:p w14:paraId="467FB29D">
            <w:pPr>
              <w:pStyle w:val="181"/>
              <w:rPr>
                <w:sz w:val="21"/>
                <w:szCs w:val="21"/>
              </w:rPr>
            </w:pPr>
          </w:p>
        </w:tc>
      </w:tr>
      <w:tr w14:paraId="77096F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55" w:type="pct"/>
            <w:vAlign w:val="center"/>
          </w:tcPr>
          <w:p w14:paraId="49D9A180">
            <w:pPr>
              <w:pStyle w:val="181"/>
              <w:rPr>
                <w:sz w:val="21"/>
                <w:szCs w:val="21"/>
              </w:rPr>
            </w:pPr>
            <w:r>
              <w:rPr>
                <w:sz w:val="21"/>
                <w:szCs w:val="21"/>
              </w:rPr>
              <w:t>8</w:t>
            </w:r>
          </w:p>
        </w:tc>
        <w:tc>
          <w:tcPr>
            <w:tcW w:w="595" w:type="pct"/>
            <w:vMerge w:val="restart"/>
            <w:vAlign w:val="center"/>
          </w:tcPr>
          <w:p w14:paraId="3D1576CE">
            <w:pPr>
              <w:pStyle w:val="181"/>
              <w:rPr>
                <w:sz w:val="21"/>
                <w:szCs w:val="21"/>
              </w:rPr>
            </w:pPr>
            <w:r>
              <w:rPr>
                <w:sz w:val="21"/>
                <w:szCs w:val="21"/>
              </w:rPr>
              <w:t>安全合规</w:t>
            </w:r>
          </w:p>
        </w:tc>
        <w:tc>
          <w:tcPr>
            <w:tcW w:w="1790" w:type="pct"/>
            <w:vAlign w:val="center"/>
          </w:tcPr>
          <w:p w14:paraId="7B7B855D">
            <w:pPr>
              <w:pStyle w:val="181"/>
              <w:rPr>
                <w:sz w:val="21"/>
                <w:szCs w:val="21"/>
              </w:rPr>
            </w:pPr>
            <w:r>
              <w:rPr>
                <w:sz w:val="21"/>
                <w:szCs w:val="21"/>
              </w:rPr>
              <w:t>数据加密传输与存储正常</w:t>
            </w:r>
          </w:p>
        </w:tc>
        <w:tc>
          <w:tcPr>
            <w:tcW w:w="595" w:type="pct"/>
            <w:vAlign w:val="center"/>
          </w:tcPr>
          <w:p w14:paraId="4CB83A65">
            <w:pPr>
              <w:pStyle w:val="181"/>
              <w:rPr>
                <w:sz w:val="21"/>
                <w:szCs w:val="21"/>
              </w:rPr>
            </w:pPr>
          </w:p>
        </w:tc>
        <w:tc>
          <w:tcPr>
            <w:tcW w:w="475" w:type="pct"/>
            <w:vAlign w:val="center"/>
          </w:tcPr>
          <w:p w14:paraId="52A50709">
            <w:pPr>
              <w:pStyle w:val="181"/>
              <w:rPr>
                <w:sz w:val="21"/>
                <w:szCs w:val="21"/>
              </w:rPr>
            </w:pPr>
          </w:p>
        </w:tc>
        <w:tc>
          <w:tcPr>
            <w:tcW w:w="595" w:type="pct"/>
            <w:vAlign w:val="center"/>
          </w:tcPr>
          <w:p w14:paraId="200BD603">
            <w:pPr>
              <w:pStyle w:val="181"/>
              <w:rPr>
                <w:sz w:val="21"/>
                <w:szCs w:val="21"/>
              </w:rPr>
            </w:pPr>
          </w:p>
        </w:tc>
        <w:tc>
          <w:tcPr>
            <w:tcW w:w="595" w:type="pct"/>
            <w:vAlign w:val="center"/>
          </w:tcPr>
          <w:p w14:paraId="011E0098">
            <w:pPr>
              <w:pStyle w:val="181"/>
              <w:rPr>
                <w:sz w:val="21"/>
                <w:szCs w:val="21"/>
              </w:rPr>
            </w:pPr>
          </w:p>
        </w:tc>
      </w:tr>
      <w:tr w14:paraId="6A1519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55" w:type="pct"/>
            <w:vAlign w:val="center"/>
          </w:tcPr>
          <w:p w14:paraId="4019C2D5">
            <w:pPr>
              <w:pStyle w:val="181"/>
              <w:rPr>
                <w:sz w:val="21"/>
                <w:szCs w:val="21"/>
              </w:rPr>
            </w:pPr>
            <w:r>
              <w:rPr>
                <w:sz w:val="21"/>
                <w:szCs w:val="21"/>
              </w:rPr>
              <w:t>9</w:t>
            </w:r>
          </w:p>
        </w:tc>
        <w:tc>
          <w:tcPr>
            <w:tcW w:w="595" w:type="pct"/>
            <w:vMerge w:val="continue"/>
            <w:vAlign w:val="center"/>
          </w:tcPr>
          <w:p w14:paraId="375431E2">
            <w:pPr>
              <w:pStyle w:val="181"/>
              <w:rPr>
                <w:sz w:val="21"/>
                <w:szCs w:val="21"/>
              </w:rPr>
            </w:pPr>
          </w:p>
        </w:tc>
        <w:tc>
          <w:tcPr>
            <w:tcW w:w="1790" w:type="pct"/>
            <w:vAlign w:val="center"/>
          </w:tcPr>
          <w:p w14:paraId="340A7009">
            <w:pPr>
              <w:pStyle w:val="181"/>
              <w:rPr>
                <w:sz w:val="21"/>
                <w:szCs w:val="21"/>
              </w:rPr>
            </w:pPr>
            <w:r>
              <w:rPr>
                <w:sz w:val="21"/>
                <w:szCs w:val="21"/>
              </w:rPr>
              <w:t>访问控制权限设置正确</w:t>
            </w:r>
          </w:p>
        </w:tc>
        <w:tc>
          <w:tcPr>
            <w:tcW w:w="595" w:type="pct"/>
            <w:vAlign w:val="center"/>
          </w:tcPr>
          <w:p w14:paraId="0F78E74F">
            <w:pPr>
              <w:pStyle w:val="181"/>
              <w:rPr>
                <w:sz w:val="21"/>
                <w:szCs w:val="21"/>
              </w:rPr>
            </w:pPr>
          </w:p>
        </w:tc>
        <w:tc>
          <w:tcPr>
            <w:tcW w:w="475" w:type="pct"/>
            <w:vAlign w:val="center"/>
          </w:tcPr>
          <w:p w14:paraId="2C4E739A">
            <w:pPr>
              <w:pStyle w:val="181"/>
              <w:rPr>
                <w:sz w:val="21"/>
                <w:szCs w:val="21"/>
              </w:rPr>
            </w:pPr>
          </w:p>
        </w:tc>
        <w:tc>
          <w:tcPr>
            <w:tcW w:w="595" w:type="pct"/>
            <w:vAlign w:val="center"/>
          </w:tcPr>
          <w:p w14:paraId="58B5B3BC">
            <w:pPr>
              <w:pStyle w:val="181"/>
              <w:rPr>
                <w:sz w:val="21"/>
                <w:szCs w:val="21"/>
              </w:rPr>
            </w:pPr>
          </w:p>
        </w:tc>
        <w:tc>
          <w:tcPr>
            <w:tcW w:w="595" w:type="pct"/>
            <w:vAlign w:val="center"/>
          </w:tcPr>
          <w:p w14:paraId="4DBD1680">
            <w:pPr>
              <w:pStyle w:val="181"/>
              <w:rPr>
                <w:sz w:val="21"/>
                <w:szCs w:val="21"/>
              </w:rPr>
            </w:pPr>
          </w:p>
        </w:tc>
      </w:tr>
      <w:tr w14:paraId="1B4E5E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55" w:type="pct"/>
            <w:vAlign w:val="center"/>
          </w:tcPr>
          <w:p w14:paraId="467568B0">
            <w:pPr>
              <w:pStyle w:val="181"/>
              <w:rPr>
                <w:sz w:val="21"/>
                <w:szCs w:val="21"/>
              </w:rPr>
            </w:pPr>
            <w:r>
              <w:rPr>
                <w:sz w:val="21"/>
                <w:szCs w:val="21"/>
              </w:rPr>
              <w:t>10</w:t>
            </w:r>
          </w:p>
        </w:tc>
        <w:tc>
          <w:tcPr>
            <w:tcW w:w="595" w:type="pct"/>
            <w:vMerge w:val="continue"/>
            <w:vAlign w:val="center"/>
          </w:tcPr>
          <w:p w14:paraId="213DFEA2">
            <w:pPr>
              <w:pStyle w:val="181"/>
              <w:rPr>
                <w:sz w:val="21"/>
                <w:szCs w:val="21"/>
              </w:rPr>
            </w:pPr>
          </w:p>
        </w:tc>
        <w:tc>
          <w:tcPr>
            <w:tcW w:w="1790" w:type="pct"/>
            <w:vAlign w:val="center"/>
          </w:tcPr>
          <w:p w14:paraId="625E4665">
            <w:pPr>
              <w:pStyle w:val="181"/>
              <w:rPr>
                <w:sz w:val="21"/>
                <w:szCs w:val="21"/>
              </w:rPr>
            </w:pPr>
            <w:r>
              <w:rPr>
                <w:sz w:val="21"/>
                <w:szCs w:val="21"/>
              </w:rPr>
              <w:t>安全审计日志完整</w:t>
            </w:r>
          </w:p>
        </w:tc>
        <w:tc>
          <w:tcPr>
            <w:tcW w:w="595" w:type="pct"/>
            <w:vAlign w:val="center"/>
          </w:tcPr>
          <w:p w14:paraId="55BF7DB6">
            <w:pPr>
              <w:pStyle w:val="181"/>
              <w:rPr>
                <w:sz w:val="21"/>
                <w:szCs w:val="21"/>
              </w:rPr>
            </w:pPr>
          </w:p>
        </w:tc>
        <w:tc>
          <w:tcPr>
            <w:tcW w:w="475" w:type="pct"/>
            <w:vAlign w:val="center"/>
          </w:tcPr>
          <w:p w14:paraId="2E4693F9">
            <w:pPr>
              <w:pStyle w:val="181"/>
              <w:rPr>
                <w:sz w:val="21"/>
                <w:szCs w:val="21"/>
              </w:rPr>
            </w:pPr>
          </w:p>
        </w:tc>
        <w:tc>
          <w:tcPr>
            <w:tcW w:w="595" w:type="pct"/>
            <w:vAlign w:val="center"/>
          </w:tcPr>
          <w:p w14:paraId="64A77DAA">
            <w:pPr>
              <w:pStyle w:val="181"/>
              <w:rPr>
                <w:sz w:val="21"/>
                <w:szCs w:val="21"/>
              </w:rPr>
            </w:pPr>
          </w:p>
        </w:tc>
        <w:tc>
          <w:tcPr>
            <w:tcW w:w="595" w:type="pct"/>
            <w:vAlign w:val="center"/>
          </w:tcPr>
          <w:p w14:paraId="088CC42B">
            <w:pPr>
              <w:pStyle w:val="181"/>
              <w:rPr>
                <w:sz w:val="21"/>
                <w:szCs w:val="21"/>
              </w:rPr>
            </w:pPr>
          </w:p>
        </w:tc>
      </w:tr>
      <w:tr w14:paraId="2EDBEF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55" w:type="pct"/>
            <w:vAlign w:val="center"/>
          </w:tcPr>
          <w:p w14:paraId="28805CF6">
            <w:pPr>
              <w:pStyle w:val="181"/>
              <w:rPr>
                <w:sz w:val="21"/>
                <w:szCs w:val="21"/>
              </w:rPr>
            </w:pPr>
            <w:r>
              <w:rPr>
                <w:sz w:val="21"/>
                <w:szCs w:val="21"/>
              </w:rPr>
              <w:t>11</w:t>
            </w:r>
          </w:p>
        </w:tc>
        <w:tc>
          <w:tcPr>
            <w:tcW w:w="595" w:type="pct"/>
            <w:vMerge w:val="continue"/>
            <w:vAlign w:val="center"/>
          </w:tcPr>
          <w:p w14:paraId="5F7B1711">
            <w:pPr>
              <w:pStyle w:val="181"/>
              <w:rPr>
                <w:sz w:val="21"/>
                <w:szCs w:val="21"/>
              </w:rPr>
            </w:pPr>
          </w:p>
        </w:tc>
        <w:tc>
          <w:tcPr>
            <w:tcW w:w="1790" w:type="pct"/>
            <w:vAlign w:val="center"/>
          </w:tcPr>
          <w:p w14:paraId="1030CEE1">
            <w:pPr>
              <w:pStyle w:val="181"/>
              <w:rPr>
                <w:sz w:val="21"/>
                <w:szCs w:val="21"/>
              </w:rPr>
            </w:pPr>
            <w:r>
              <w:rPr>
                <w:sz w:val="21"/>
                <w:szCs w:val="21"/>
              </w:rPr>
              <w:t>数据备份与灾备机制有效</w:t>
            </w:r>
          </w:p>
        </w:tc>
        <w:tc>
          <w:tcPr>
            <w:tcW w:w="595" w:type="pct"/>
            <w:vAlign w:val="center"/>
          </w:tcPr>
          <w:p w14:paraId="3B7D5033">
            <w:pPr>
              <w:pStyle w:val="181"/>
              <w:rPr>
                <w:sz w:val="21"/>
                <w:szCs w:val="21"/>
              </w:rPr>
            </w:pPr>
          </w:p>
        </w:tc>
        <w:tc>
          <w:tcPr>
            <w:tcW w:w="475" w:type="pct"/>
            <w:vAlign w:val="center"/>
          </w:tcPr>
          <w:p w14:paraId="517A92C9">
            <w:pPr>
              <w:pStyle w:val="181"/>
              <w:rPr>
                <w:sz w:val="21"/>
                <w:szCs w:val="21"/>
              </w:rPr>
            </w:pPr>
          </w:p>
        </w:tc>
        <w:tc>
          <w:tcPr>
            <w:tcW w:w="595" w:type="pct"/>
            <w:vAlign w:val="center"/>
          </w:tcPr>
          <w:p w14:paraId="665E1630">
            <w:pPr>
              <w:pStyle w:val="181"/>
              <w:rPr>
                <w:sz w:val="21"/>
                <w:szCs w:val="21"/>
              </w:rPr>
            </w:pPr>
          </w:p>
        </w:tc>
        <w:tc>
          <w:tcPr>
            <w:tcW w:w="595" w:type="pct"/>
            <w:vAlign w:val="center"/>
          </w:tcPr>
          <w:p w14:paraId="4286223A">
            <w:pPr>
              <w:pStyle w:val="181"/>
              <w:rPr>
                <w:sz w:val="21"/>
                <w:szCs w:val="21"/>
              </w:rPr>
            </w:pPr>
          </w:p>
        </w:tc>
      </w:tr>
      <w:tr w14:paraId="11954ED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55" w:type="pct"/>
            <w:vAlign w:val="center"/>
          </w:tcPr>
          <w:p w14:paraId="467BFE36">
            <w:pPr>
              <w:pStyle w:val="181"/>
              <w:rPr>
                <w:sz w:val="21"/>
                <w:szCs w:val="21"/>
              </w:rPr>
            </w:pPr>
            <w:r>
              <w:rPr>
                <w:sz w:val="21"/>
                <w:szCs w:val="21"/>
              </w:rPr>
              <w:t>12</w:t>
            </w:r>
          </w:p>
        </w:tc>
        <w:tc>
          <w:tcPr>
            <w:tcW w:w="595" w:type="pct"/>
            <w:vMerge w:val="restart"/>
            <w:vAlign w:val="center"/>
          </w:tcPr>
          <w:p w14:paraId="1DD43583">
            <w:pPr>
              <w:pStyle w:val="181"/>
              <w:rPr>
                <w:sz w:val="21"/>
                <w:szCs w:val="21"/>
              </w:rPr>
            </w:pPr>
            <w:r>
              <w:rPr>
                <w:sz w:val="21"/>
                <w:szCs w:val="21"/>
              </w:rPr>
              <w:t>人员操作</w:t>
            </w:r>
          </w:p>
        </w:tc>
        <w:tc>
          <w:tcPr>
            <w:tcW w:w="1790" w:type="pct"/>
            <w:vAlign w:val="center"/>
          </w:tcPr>
          <w:p w14:paraId="71159889">
            <w:pPr>
              <w:pStyle w:val="181"/>
              <w:rPr>
                <w:sz w:val="21"/>
                <w:szCs w:val="21"/>
              </w:rPr>
            </w:pPr>
            <w:r>
              <w:rPr>
                <w:sz w:val="21"/>
                <w:szCs w:val="21"/>
              </w:rPr>
              <w:t>操作人员熟练掌握平台核心功能</w:t>
            </w:r>
          </w:p>
        </w:tc>
        <w:tc>
          <w:tcPr>
            <w:tcW w:w="595" w:type="pct"/>
            <w:vAlign w:val="center"/>
          </w:tcPr>
          <w:p w14:paraId="6489B794">
            <w:pPr>
              <w:pStyle w:val="181"/>
              <w:rPr>
                <w:sz w:val="21"/>
                <w:szCs w:val="21"/>
              </w:rPr>
            </w:pPr>
          </w:p>
        </w:tc>
        <w:tc>
          <w:tcPr>
            <w:tcW w:w="475" w:type="pct"/>
            <w:vAlign w:val="center"/>
          </w:tcPr>
          <w:p w14:paraId="125493B1">
            <w:pPr>
              <w:pStyle w:val="181"/>
              <w:rPr>
                <w:sz w:val="21"/>
                <w:szCs w:val="21"/>
              </w:rPr>
            </w:pPr>
          </w:p>
        </w:tc>
        <w:tc>
          <w:tcPr>
            <w:tcW w:w="595" w:type="pct"/>
            <w:vAlign w:val="center"/>
          </w:tcPr>
          <w:p w14:paraId="51B2A87E">
            <w:pPr>
              <w:pStyle w:val="181"/>
              <w:rPr>
                <w:sz w:val="21"/>
                <w:szCs w:val="21"/>
              </w:rPr>
            </w:pPr>
          </w:p>
        </w:tc>
        <w:tc>
          <w:tcPr>
            <w:tcW w:w="595" w:type="pct"/>
            <w:vAlign w:val="center"/>
          </w:tcPr>
          <w:p w14:paraId="4DF6D6A5">
            <w:pPr>
              <w:pStyle w:val="181"/>
              <w:rPr>
                <w:sz w:val="21"/>
                <w:szCs w:val="21"/>
              </w:rPr>
            </w:pPr>
          </w:p>
        </w:tc>
      </w:tr>
      <w:tr w14:paraId="5BBA3D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55" w:type="pct"/>
            <w:vAlign w:val="center"/>
          </w:tcPr>
          <w:p w14:paraId="27FF1C60">
            <w:pPr>
              <w:pStyle w:val="181"/>
              <w:rPr>
                <w:sz w:val="21"/>
                <w:szCs w:val="21"/>
              </w:rPr>
            </w:pPr>
            <w:r>
              <w:rPr>
                <w:sz w:val="21"/>
                <w:szCs w:val="21"/>
              </w:rPr>
              <w:t>13</w:t>
            </w:r>
          </w:p>
        </w:tc>
        <w:tc>
          <w:tcPr>
            <w:tcW w:w="595" w:type="pct"/>
            <w:vMerge w:val="continue"/>
            <w:vAlign w:val="center"/>
          </w:tcPr>
          <w:p w14:paraId="00F0492C">
            <w:pPr>
              <w:pStyle w:val="181"/>
              <w:rPr>
                <w:sz w:val="21"/>
                <w:szCs w:val="21"/>
              </w:rPr>
            </w:pPr>
          </w:p>
        </w:tc>
        <w:tc>
          <w:tcPr>
            <w:tcW w:w="1790" w:type="pct"/>
            <w:vAlign w:val="center"/>
          </w:tcPr>
          <w:p w14:paraId="1D33DC9A">
            <w:pPr>
              <w:pStyle w:val="181"/>
              <w:rPr>
                <w:sz w:val="21"/>
                <w:szCs w:val="21"/>
              </w:rPr>
            </w:pPr>
            <w:r>
              <w:rPr>
                <w:sz w:val="21"/>
                <w:szCs w:val="21"/>
              </w:rPr>
              <w:t>操作流程符合规范要求</w:t>
            </w:r>
          </w:p>
        </w:tc>
        <w:tc>
          <w:tcPr>
            <w:tcW w:w="595" w:type="pct"/>
            <w:vAlign w:val="center"/>
          </w:tcPr>
          <w:p w14:paraId="69A2BB96">
            <w:pPr>
              <w:pStyle w:val="181"/>
              <w:rPr>
                <w:sz w:val="21"/>
                <w:szCs w:val="21"/>
              </w:rPr>
            </w:pPr>
          </w:p>
        </w:tc>
        <w:tc>
          <w:tcPr>
            <w:tcW w:w="475" w:type="pct"/>
            <w:vAlign w:val="center"/>
          </w:tcPr>
          <w:p w14:paraId="23036550">
            <w:pPr>
              <w:pStyle w:val="181"/>
              <w:rPr>
                <w:sz w:val="21"/>
                <w:szCs w:val="21"/>
              </w:rPr>
            </w:pPr>
          </w:p>
        </w:tc>
        <w:tc>
          <w:tcPr>
            <w:tcW w:w="595" w:type="pct"/>
            <w:vAlign w:val="center"/>
          </w:tcPr>
          <w:p w14:paraId="54527AF0">
            <w:pPr>
              <w:pStyle w:val="181"/>
              <w:rPr>
                <w:sz w:val="21"/>
                <w:szCs w:val="21"/>
              </w:rPr>
            </w:pPr>
          </w:p>
        </w:tc>
        <w:tc>
          <w:tcPr>
            <w:tcW w:w="595" w:type="pct"/>
            <w:vAlign w:val="center"/>
          </w:tcPr>
          <w:p w14:paraId="7B4330F6">
            <w:pPr>
              <w:pStyle w:val="181"/>
              <w:rPr>
                <w:sz w:val="21"/>
                <w:szCs w:val="21"/>
              </w:rPr>
            </w:pPr>
          </w:p>
        </w:tc>
      </w:tr>
    </w:tbl>
    <w:p w14:paraId="5A24D9C0">
      <w:pPr>
        <w:pStyle w:val="59"/>
        <w:ind w:firstLine="0" w:firstLineChars="0"/>
      </w:pPr>
    </w:p>
    <w:p w14:paraId="52C28A2B">
      <w:pPr>
        <w:pStyle w:val="59"/>
        <w:ind w:firstLine="420"/>
        <w:sectPr>
          <w:pgSz w:w="11906" w:h="16838"/>
          <w:pgMar w:top="1928" w:right="1134" w:bottom="1134" w:left="1134" w:header="1418" w:footer="1134" w:gutter="284"/>
          <w:cols w:space="425" w:num="1"/>
          <w:formProt w:val="0"/>
          <w:docGrid w:linePitch="312" w:charSpace="0"/>
        </w:sectPr>
      </w:pPr>
    </w:p>
    <w:p w14:paraId="0C3B7149">
      <w:pPr>
        <w:pStyle w:val="201"/>
        <w:rPr>
          <w:rFonts w:hint="eastAsia"/>
        </w:rPr>
      </w:pPr>
    </w:p>
    <w:p w14:paraId="5F75B2F1">
      <w:pPr>
        <w:pStyle w:val="202"/>
      </w:pPr>
    </w:p>
    <w:p w14:paraId="415EB4F2">
      <w:pPr>
        <w:pStyle w:val="79"/>
        <w:spacing w:before="0" w:after="0" w:afterLines="0"/>
        <w:rPr>
          <w:rFonts w:ascii="Times New Roman"/>
        </w:rPr>
      </w:pPr>
      <w:r>
        <w:rPr>
          <w:rFonts w:ascii="Times New Roman"/>
        </w:rPr>
        <w:br w:type="textWrapping"/>
      </w:r>
      <w:bookmarkStart w:id="164" w:name="_Toc227765719"/>
      <w:r>
        <w:rPr>
          <w:rFonts w:hint="eastAsia" w:ascii="Times New Roman"/>
        </w:rPr>
        <w:t>（资料性）</w:t>
      </w:r>
      <w:r>
        <w:rPr>
          <w:rFonts w:ascii="Times New Roman"/>
        </w:rPr>
        <w:br w:type="textWrapping"/>
      </w:r>
      <w:r>
        <w:rPr>
          <w:rFonts w:hint="eastAsia" w:ascii="Times New Roman"/>
        </w:rPr>
        <w:t>第三方独立评估机构资质要求</w:t>
      </w:r>
      <w:bookmarkEnd w:id="164"/>
    </w:p>
    <w:p w14:paraId="06E490CC">
      <w:pPr>
        <w:pStyle w:val="80"/>
        <w:numPr>
          <w:ilvl w:val="0"/>
          <w:numId w:val="0"/>
        </w:numPr>
        <w:spacing w:before="120" w:after="120"/>
        <w:jc w:val="both"/>
        <w:rPr>
          <w:rFonts w:hint="eastAsia"/>
          <w:kern w:val="0"/>
        </w:rPr>
      </w:pPr>
    </w:p>
    <w:p w14:paraId="6950893E">
      <w:pPr>
        <w:pStyle w:val="80"/>
        <w:spacing w:before="120" w:after="120"/>
        <w:rPr>
          <w:kern w:val="0"/>
        </w:rPr>
      </w:pPr>
      <w:r>
        <w:rPr>
          <w:rFonts w:hint="eastAsia"/>
          <w:kern w:val="0"/>
        </w:rPr>
        <w:t>第三方独立评估机构资质要求表</w:t>
      </w:r>
    </w:p>
    <w:tbl>
      <w:tblPr>
        <w:tblStyle w:val="29"/>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2388"/>
        <w:gridCol w:w="2388"/>
        <w:gridCol w:w="2389"/>
        <w:gridCol w:w="2389"/>
      </w:tblGrid>
      <w:tr w14:paraId="764DF35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1250" w:type="pct"/>
            <w:tcBorders>
              <w:top w:val="single" w:color="auto" w:sz="8" w:space="0"/>
              <w:bottom w:val="single" w:color="auto" w:sz="8" w:space="0"/>
            </w:tcBorders>
            <w:vAlign w:val="center"/>
          </w:tcPr>
          <w:p w14:paraId="51AE0DDA">
            <w:pPr>
              <w:pStyle w:val="181"/>
              <w:rPr>
                <w:sz w:val="21"/>
                <w:szCs w:val="21"/>
              </w:rPr>
            </w:pPr>
            <w:r>
              <w:rPr>
                <w:b/>
                <w:bCs/>
                <w:sz w:val="21"/>
                <w:szCs w:val="21"/>
              </w:rPr>
              <w:t>序号</w:t>
            </w:r>
          </w:p>
        </w:tc>
        <w:tc>
          <w:tcPr>
            <w:tcW w:w="1250" w:type="pct"/>
            <w:tcBorders>
              <w:top w:val="single" w:color="auto" w:sz="8" w:space="0"/>
              <w:bottom w:val="single" w:color="auto" w:sz="8" w:space="0"/>
            </w:tcBorders>
            <w:vAlign w:val="center"/>
          </w:tcPr>
          <w:p w14:paraId="1D56477A">
            <w:pPr>
              <w:pStyle w:val="181"/>
              <w:rPr>
                <w:sz w:val="21"/>
                <w:szCs w:val="21"/>
              </w:rPr>
            </w:pPr>
            <w:r>
              <w:rPr>
                <w:b/>
                <w:bCs/>
                <w:sz w:val="21"/>
                <w:szCs w:val="21"/>
              </w:rPr>
              <w:t>资质类别</w:t>
            </w:r>
          </w:p>
        </w:tc>
        <w:tc>
          <w:tcPr>
            <w:tcW w:w="1250" w:type="pct"/>
            <w:tcBorders>
              <w:top w:val="single" w:color="auto" w:sz="8" w:space="0"/>
              <w:bottom w:val="single" w:color="auto" w:sz="8" w:space="0"/>
            </w:tcBorders>
            <w:vAlign w:val="center"/>
          </w:tcPr>
          <w:p w14:paraId="1200E0A6">
            <w:pPr>
              <w:pStyle w:val="181"/>
              <w:rPr>
                <w:sz w:val="21"/>
                <w:szCs w:val="21"/>
              </w:rPr>
            </w:pPr>
            <w:r>
              <w:rPr>
                <w:b/>
                <w:bCs/>
                <w:sz w:val="21"/>
                <w:szCs w:val="21"/>
              </w:rPr>
              <w:t>具体要求</w:t>
            </w:r>
          </w:p>
        </w:tc>
        <w:tc>
          <w:tcPr>
            <w:tcW w:w="1250" w:type="pct"/>
            <w:tcBorders>
              <w:top w:val="single" w:color="auto" w:sz="8" w:space="0"/>
              <w:bottom w:val="single" w:color="auto" w:sz="8" w:space="0"/>
            </w:tcBorders>
            <w:vAlign w:val="center"/>
          </w:tcPr>
          <w:p w14:paraId="46B7052A">
            <w:pPr>
              <w:pStyle w:val="181"/>
              <w:rPr>
                <w:sz w:val="21"/>
                <w:szCs w:val="21"/>
              </w:rPr>
            </w:pPr>
            <w:r>
              <w:rPr>
                <w:b/>
                <w:bCs/>
                <w:sz w:val="21"/>
                <w:szCs w:val="21"/>
              </w:rPr>
              <w:t>核验材料</w:t>
            </w:r>
          </w:p>
        </w:tc>
      </w:tr>
      <w:tr w14:paraId="4EC5CA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250" w:type="pct"/>
            <w:tcBorders>
              <w:top w:val="single" w:color="auto" w:sz="8" w:space="0"/>
            </w:tcBorders>
            <w:vAlign w:val="center"/>
          </w:tcPr>
          <w:p w14:paraId="277C938A">
            <w:pPr>
              <w:pStyle w:val="181"/>
              <w:rPr>
                <w:sz w:val="21"/>
                <w:szCs w:val="21"/>
              </w:rPr>
            </w:pPr>
            <w:r>
              <w:rPr>
                <w:sz w:val="21"/>
                <w:szCs w:val="21"/>
              </w:rPr>
              <w:t>1</w:t>
            </w:r>
          </w:p>
        </w:tc>
        <w:tc>
          <w:tcPr>
            <w:tcW w:w="1250" w:type="pct"/>
            <w:vMerge w:val="restart"/>
            <w:tcBorders>
              <w:top w:val="single" w:color="auto" w:sz="8" w:space="0"/>
            </w:tcBorders>
            <w:vAlign w:val="center"/>
          </w:tcPr>
          <w:p w14:paraId="7134ED9F">
            <w:pPr>
              <w:pStyle w:val="181"/>
              <w:rPr>
                <w:sz w:val="21"/>
                <w:szCs w:val="21"/>
              </w:rPr>
            </w:pPr>
            <w:r>
              <w:rPr>
                <w:sz w:val="21"/>
                <w:szCs w:val="21"/>
              </w:rPr>
              <w:t>基本资质</w:t>
            </w:r>
          </w:p>
        </w:tc>
        <w:tc>
          <w:tcPr>
            <w:tcW w:w="1250" w:type="pct"/>
            <w:tcBorders>
              <w:top w:val="single" w:color="auto" w:sz="8" w:space="0"/>
            </w:tcBorders>
            <w:vAlign w:val="center"/>
          </w:tcPr>
          <w:p w14:paraId="168CDA76">
            <w:pPr>
              <w:pStyle w:val="181"/>
              <w:rPr>
                <w:sz w:val="21"/>
                <w:szCs w:val="21"/>
              </w:rPr>
            </w:pPr>
            <w:r>
              <w:rPr>
                <w:sz w:val="21"/>
                <w:szCs w:val="21"/>
              </w:rPr>
              <w:t>依法注册的独立法人机构，具有独立承担民事责任的能力</w:t>
            </w:r>
          </w:p>
        </w:tc>
        <w:tc>
          <w:tcPr>
            <w:tcW w:w="1250" w:type="pct"/>
            <w:tcBorders>
              <w:top w:val="single" w:color="auto" w:sz="8" w:space="0"/>
            </w:tcBorders>
            <w:vAlign w:val="center"/>
          </w:tcPr>
          <w:p w14:paraId="34A59159">
            <w:pPr>
              <w:pStyle w:val="181"/>
              <w:rPr>
                <w:sz w:val="21"/>
                <w:szCs w:val="21"/>
              </w:rPr>
            </w:pPr>
            <w:r>
              <w:rPr>
                <w:sz w:val="21"/>
                <w:szCs w:val="21"/>
              </w:rPr>
              <w:t>营业执照、法人证书</w:t>
            </w:r>
          </w:p>
        </w:tc>
      </w:tr>
      <w:tr w14:paraId="4EFFFE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250" w:type="pct"/>
            <w:vAlign w:val="center"/>
          </w:tcPr>
          <w:p w14:paraId="15027258">
            <w:pPr>
              <w:pStyle w:val="181"/>
              <w:rPr>
                <w:sz w:val="21"/>
                <w:szCs w:val="21"/>
              </w:rPr>
            </w:pPr>
            <w:r>
              <w:rPr>
                <w:sz w:val="21"/>
                <w:szCs w:val="21"/>
              </w:rPr>
              <w:t>2</w:t>
            </w:r>
          </w:p>
        </w:tc>
        <w:tc>
          <w:tcPr>
            <w:tcW w:w="1250" w:type="pct"/>
            <w:vMerge w:val="continue"/>
            <w:vAlign w:val="center"/>
          </w:tcPr>
          <w:p w14:paraId="19E95936">
            <w:pPr>
              <w:pStyle w:val="181"/>
              <w:rPr>
                <w:sz w:val="21"/>
                <w:szCs w:val="21"/>
              </w:rPr>
            </w:pPr>
          </w:p>
        </w:tc>
        <w:tc>
          <w:tcPr>
            <w:tcW w:w="1250" w:type="pct"/>
            <w:vAlign w:val="center"/>
          </w:tcPr>
          <w:p w14:paraId="28102BC9">
            <w:pPr>
              <w:pStyle w:val="181"/>
              <w:rPr>
                <w:sz w:val="21"/>
                <w:szCs w:val="21"/>
              </w:rPr>
            </w:pPr>
            <w:r>
              <w:rPr>
                <w:sz w:val="21"/>
                <w:szCs w:val="21"/>
              </w:rPr>
              <w:t>具有国家认可的软件产品检测资质（CNAS认可、CMA认证）</w:t>
            </w:r>
          </w:p>
        </w:tc>
        <w:tc>
          <w:tcPr>
            <w:tcW w:w="1250" w:type="pct"/>
            <w:vAlign w:val="center"/>
          </w:tcPr>
          <w:p w14:paraId="0F6C7638">
            <w:pPr>
              <w:pStyle w:val="181"/>
              <w:rPr>
                <w:sz w:val="21"/>
                <w:szCs w:val="21"/>
              </w:rPr>
            </w:pPr>
            <w:r>
              <w:rPr>
                <w:sz w:val="21"/>
                <w:szCs w:val="21"/>
              </w:rPr>
              <w:t>资质证书复印件</w:t>
            </w:r>
          </w:p>
        </w:tc>
      </w:tr>
      <w:tr w14:paraId="3EB797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250" w:type="pct"/>
            <w:vAlign w:val="center"/>
          </w:tcPr>
          <w:p w14:paraId="4DD97BB3">
            <w:pPr>
              <w:pStyle w:val="181"/>
              <w:rPr>
                <w:sz w:val="21"/>
                <w:szCs w:val="21"/>
              </w:rPr>
            </w:pPr>
            <w:r>
              <w:rPr>
                <w:sz w:val="21"/>
                <w:szCs w:val="21"/>
              </w:rPr>
              <w:t>3</w:t>
            </w:r>
          </w:p>
        </w:tc>
        <w:tc>
          <w:tcPr>
            <w:tcW w:w="1250" w:type="pct"/>
            <w:vMerge w:val="continue"/>
            <w:vAlign w:val="center"/>
          </w:tcPr>
          <w:p w14:paraId="2B6B67DB">
            <w:pPr>
              <w:pStyle w:val="181"/>
              <w:rPr>
                <w:sz w:val="21"/>
                <w:szCs w:val="21"/>
              </w:rPr>
            </w:pPr>
          </w:p>
        </w:tc>
        <w:tc>
          <w:tcPr>
            <w:tcW w:w="1250" w:type="pct"/>
            <w:vAlign w:val="center"/>
          </w:tcPr>
          <w:p w14:paraId="527C10A1">
            <w:pPr>
              <w:pStyle w:val="181"/>
              <w:rPr>
                <w:sz w:val="21"/>
                <w:szCs w:val="21"/>
              </w:rPr>
            </w:pPr>
            <w:r>
              <w:rPr>
                <w:sz w:val="21"/>
                <w:szCs w:val="21"/>
              </w:rPr>
              <w:t>近3年无重大违法违规记录，未被列入失信被执行人名单</w:t>
            </w:r>
          </w:p>
        </w:tc>
        <w:tc>
          <w:tcPr>
            <w:tcW w:w="1250" w:type="pct"/>
            <w:vAlign w:val="center"/>
          </w:tcPr>
          <w:p w14:paraId="7C96C2AE">
            <w:pPr>
              <w:pStyle w:val="181"/>
              <w:rPr>
                <w:sz w:val="21"/>
                <w:szCs w:val="21"/>
              </w:rPr>
            </w:pPr>
            <w:r>
              <w:rPr>
                <w:sz w:val="21"/>
                <w:szCs w:val="21"/>
              </w:rPr>
              <w:t>信用中国查询报告</w:t>
            </w:r>
          </w:p>
        </w:tc>
      </w:tr>
      <w:tr w14:paraId="5E535A9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250" w:type="pct"/>
            <w:vAlign w:val="center"/>
          </w:tcPr>
          <w:p w14:paraId="24373BFB">
            <w:pPr>
              <w:pStyle w:val="181"/>
              <w:rPr>
                <w:sz w:val="21"/>
                <w:szCs w:val="21"/>
              </w:rPr>
            </w:pPr>
            <w:r>
              <w:rPr>
                <w:sz w:val="21"/>
                <w:szCs w:val="21"/>
              </w:rPr>
              <w:t>4</w:t>
            </w:r>
          </w:p>
        </w:tc>
        <w:tc>
          <w:tcPr>
            <w:tcW w:w="1250" w:type="pct"/>
            <w:vMerge w:val="restart"/>
            <w:vAlign w:val="center"/>
          </w:tcPr>
          <w:p w14:paraId="7604DA8E">
            <w:pPr>
              <w:pStyle w:val="181"/>
              <w:rPr>
                <w:sz w:val="21"/>
                <w:szCs w:val="21"/>
              </w:rPr>
            </w:pPr>
            <w:r>
              <w:rPr>
                <w:sz w:val="21"/>
                <w:szCs w:val="21"/>
              </w:rPr>
              <w:t>人员要求</w:t>
            </w:r>
          </w:p>
        </w:tc>
        <w:tc>
          <w:tcPr>
            <w:tcW w:w="1250" w:type="pct"/>
            <w:vAlign w:val="center"/>
          </w:tcPr>
          <w:p w14:paraId="334179A4">
            <w:pPr>
              <w:pStyle w:val="181"/>
              <w:rPr>
                <w:sz w:val="21"/>
                <w:szCs w:val="21"/>
              </w:rPr>
            </w:pPr>
            <w:r>
              <w:rPr>
                <w:sz w:val="21"/>
                <w:szCs w:val="21"/>
              </w:rPr>
              <w:t>拥有不少于10名专职评估人员</w:t>
            </w:r>
          </w:p>
        </w:tc>
        <w:tc>
          <w:tcPr>
            <w:tcW w:w="1250" w:type="pct"/>
            <w:vAlign w:val="center"/>
          </w:tcPr>
          <w:p w14:paraId="71E44C63">
            <w:pPr>
              <w:pStyle w:val="181"/>
              <w:rPr>
                <w:sz w:val="21"/>
                <w:szCs w:val="21"/>
              </w:rPr>
            </w:pPr>
            <w:r>
              <w:rPr>
                <w:sz w:val="21"/>
                <w:szCs w:val="21"/>
              </w:rPr>
              <w:t>人员名单、劳动合同</w:t>
            </w:r>
          </w:p>
        </w:tc>
      </w:tr>
      <w:tr w14:paraId="66D9E74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250" w:type="pct"/>
            <w:vAlign w:val="center"/>
          </w:tcPr>
          <w:p w14:paraId="3EC63608">
            <w:pPr>
              <w:pStyle w:val="181"/>
              <w:rPr>
                <w:sz w:val="21"/>
                <w:szCs w:val="21"/>
              </w:rPr>
            </w:pPr>
            <w:r>
              <w:rPr>
                <w:sz w:val="21"/>
                <w:szCs w:val="21"/>
              </w:rPr>
              <w:t>5</w:t>
            </w:r>
          </w:p>
        </w:tc>
        <w:tc>
          <w:tcPr>
            <w:tcW w:w="1250" w:type="pct"/>
            <w:vMerge w:val="continue"/>
            <w:vAlign w:val="center"/>
          </w:tcPr>
          <w:p w14:paraId="5513A413">
            <w:pPr>
              <w:pStyle w:val="181"/>
              <w:rPr>
                <w:sz w:val="21"/>
                <w:szCs w:val="21"/>
              </w:rPr>
            </w:pPr>
          </w:p>
        </w:tc>
        <w:tc>
          <w:tcPr>
            <w:tcW w:w="1250" w:type="pct"/>
            <w:vAlign w:val="center"/>
          </w:tcPr>
          <w:p w14:paraId="6D8A5E91">
            <w:pPr>
              <w:pStyle w:val="181"/>
              <w:rPr>
                <w:sz w:val="21"/>
                <w:szCs w:val="21"/>
              </w:rPr>
            </w:pPr>
            <w:r>
              <w:rPr>
                <w:sz w:val="21"/>
                <w:szCs w:val="21"/>
              </w:rPr>
              <w:t>至少5人具有相关专业高级技术职称</w:t>
            </w:r>
          </w:p>
        </w:tc>
        <w:tc>
          <w:tcPr>
            <w:tcW w:w="1250" w:type="pct"/>
            <w:vAlign w:val="center"/>
          </w:tcPr>
          <w:p w14:paraId="705ACF91">
            <w:pPr>
              <w:pStyle w:val="181"/>
              <w:rPr>
                <w:sz w:val="21"/>
                <w:szCs w:val="21"/>
              </w:rPr>
            </w:pPr>
            <w:r>
              <w:rPr>
                <w:sz w:val="21"/>
                <w:szCs w:val="21"/>
              </w:rPr>
              <w:t>职称证书复印件</w:t>
            </w:r>
          </w:p>
        </w:tc>
      </w:tr>
      <w:tr w14:paraId="133921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250" w:type="pct"/>
            <w:vAlign w:val="center"/>
          </w:tcPr>
          <w:p w14:paraId="508AADDD">
            <w:pPr>
              <w:pStyle w:val="181"/>
              <w:rPr>
                <w:sz w:val="21"/>
                <w:szCs w:val="21"/>
              </w:rPr>
            </w:pPr>
            <w:r>
              <w:rPr>
                <w:sz w:val="21"/>
                <w:szCs w:val="21"/>
              </w:rPr>
              <w:t>6</w:t>
            </w:r>
          </w:p>
        </w:tc>
        <w:tc>
          <w:tcPr>
            <w:tcW w:w="1250" w:type="pct"/>
            <w:vMerge w:val="continue"/>
            <w:vAlign w:val="center"/>
          </w:tcPr>
          <w:p w14:paraId="733CE906">
            <w:pPr>
              <w:pStyle w:val="181"/>
              <w:rPr>
                <w:sz w:val="21"/>
                <w:szCs w:val="21"/>
              </w:rPr>
            </w:pPr>
          </w:p>
        </w:tc>
        <w:tc>
          <w:tcPr>
            <w:tcW w:w="1250" w:type="pct"/>
            <w:vAlign w:val="center"/>
          </w:tcPr>
          <w:p w14:paraId="02C4810C">
            <w:pPr>
              <w:pStyle w:val="181"/>
              <w:rPr>
                <w:sz w:val="21"/>
                <w:szCs w:val="21"/>
              </w:rPr>
            </w:pPr>
            <w:r>
              <w:rPr>
                <w:sz w:val="21"/>
                <w:szCs w:val="21"/>
              </w:rPr>
              <w:t>评估人员具有3年以上相关工作经验，熟悉GCP等法规</w:t>
            </w:r>
          </w:p>
        </w:tc>
        <w:tc>
          <w:tcPr>
            <w:tcW w:w="1250" w:type="pct"/>
            <w:vAlign w:val="center"/>
          </w:tcPr>
          <w:p w14:paraId="47975232">
            <w:pPr>
              <w:pStyle w:val="181"/>
              <w:rPr>
                <w:sz w:val="21"/>
                <w:szCs w:val="21"/>
              </w:rPr>
            </w:pPr>
            <w:r>
              <w:rPr>
                <w:sz w:val="21"/>
                <w:szCs w:val="21"/>
              </w:rPr>
              <w:t>工作证明、培训证书</w:t>
            </w:r>
          </w:p>
        </w:tc>
      </w:tr>
      <w:tr w14:paraId="1596A9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250" w:type="pct"/>
            <w:vAlign w:val="center"/>
          </w:tcPr>
          <w:p w14:paraId="11D1C96E">
            <w:pPr>
              <w:pStyle w:val="181"/>
              <w:rPr>
                <w:sz w:val="21"/>
                <w:szCs w:val="21"/>
              </w:rPr>
            </w:pPr>
            <w:r>
              <w:rPr>
                <w:sz w:val="21"/>
                <w:szCs w:val="21"/>
              </w:rPr>
              <w:t>7</w:t>
            </w:r>
          </w:p>
        </w:tc>
        <w:tc>
          <w:tcPr>
            <w:tcW w:w="1250" w:type="pct"/>
            <w:vMerge w:val="continue"/>
            <w:vAlign w:val="center"/>
          </w:tcPr>
          <w:p w14:paraId="38293749">
            <w:pPr>
              <w:pStyle w:val="181"/>
              <w:rPr>
                <w:sz w:val="21"/>
                <w:szCs w:val="21"/>
              </w:rPr>
            </w:pPr>
          </w:p>
        </w:tc>
        <w:tc>
          <w:tcPr>
            <w:tcW w:w="1250" w:type="pct"/>
            <w:vAlign w:val="center"/>
          </w:tcPr>
          <w:p w14:paraId="203AB972">
            <w:pPr>
              <w:pStyle w:val="181"/>
              <w:rPr>
                <w:sz w:val="21"/>
                <w:szCs w:val="21"/>
              </w:rPr>
            </w:pPr>
            <w:r>
              <w:rPr>
                <w:sz w:val="21"/>
                <w:szCs w:val="21"/>
              </w:rPr>
              <w:t>配备专职卫生经济学和数据安全评估人员</w:t>
            </w:r>
          </w:p>
        </w:tc>
        <w:tc>
          <w:tcPr>
            <w:tcW w:w="1250" w:type="pct"/>
            <w:vAlign w:val="center"/>
          </w:tcPr>
          <w:p w14:paraId="07E920A9">
            <w:pPr>
              <w:pStyle w:val="181"/>
              <w:rPr>
                <w:sz w:val="21"/>
                <w:szCs w:val="21"/>
              </w:rPr>
            </w:pPr>
            <w:r>
              <w:rPr>
                <w:sz w:val="21"/>
                <w:szCs w:val="21"/>
              </w:rPr>
              <w:t>岗位证明、专业资质</w:t>
            </w:r>
          </w:p>
        </w:tc>
      </w:tr>
      <w:tr w14:paraId="6CF03B0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250" w:type="pct"/>
            <w:vAlign w:val="center"/>
          </w:tcPr>
          <w:p w14:paraId="4FF12628">
            <w:pPr>
              <w:pStyle w:val="181"/>
              <w:rPr>
                <w:sz w:val="21"/>
                <w:szCs w:val="21"/>
              </w:rPr>
            </w:pPr>
            <w:r>
              <w:rPr>
                <w:sz w:val="21"/>
                <w:szCs w:val="21"/>
              </w:rPr>
              <w:t>8</w:t>
            </w:r>
          </w:p>
        </w:tc>
        <w:tc>
          <w:tcPr>
            <w:tcW w:w="1250" w:type="pct"/>
            <w:vMerge w:val="restart"/>
            <w:vAlign w:val="center"/>
          </w:tcPr>
          <w:p w14:paraId="7151AF22">
            <w:pPr>
              <w:pStyle w:val="181"/>
              <w:rPr>
                <w:sz w:val="21"/>
                <w:szCs w:val="21"/>
              </w:rPr>
            </w:pPr>
            <w:r>
              <w:rPr>
                <w:sz w:val="21"/>
                <w:szCs w:val="21"/>
              </w:rPr>
              <w:t>能力要求</w:t>
            </w:r>
          </w:p>
        </w:tc>
        <w:tc>
          <w:tcPr>
            <w:tcW w:w="1250" w:type="pct"/>
            <w:vAlign w:val="center"/>
          </w:tcPr>
          <w:p w14:paraId="65B8AD0D">
            <w:pPr>
              <w:pStyle w:val="181"/>
              <w:rPr>
                <w:sz w:val="21"/>
                <w:szCs w:val="21"/>
              </w:rPr>
            </w:pPr>
            <w:r>
              <w:rPr>
                <w:sz w:val="21"/>
                <w:szCs w:val="21"/>
              </w:rPr>
              <w:t>具备完善的评估质量管理体系和标准化流程</w:t>
            </w:r>
          </w:p>
        </w:tc>
        <w:tc>
          <w:tcPr>
            <w:tcW w:w="1250" w:type="pct"/>
            <w:vAlign w:val="center"/>
          </w:tcPr>
          <w:p w14:paraId="78D3B5BE">
            <w:pPr>
              <w:pStyle w:val="181"/>
              <w:rPr>
                <w:sz w:val="21"/>
                <w:szCs w:val="21"/>
              </w:rPr>
            </w:pPr>
            <w:r>
              <w:rPr>
                <w:sz w:val="21"/>
                <w:szCs w:val="21"/>
              </w:rPr>
              <w:t>质量管理体系文件</w:t>
            </w:r>
          </w:p>
        </w:tc>
      </w:tr>
      <w:tr w14:paraId="1CE353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250" w:type="pct"/>
            <w:vAlign w:val="center"/>
          </w:tcPr>
          <w:p w14:paraId="57163378">
            <w:pPr>
              <w:pStyle w:val="181"/>
              <w:rPr>
                <w:sz w:val="21"/>
                <w:szCs w:val="21"/>
              </w:rPr>
            </w:pPr>
            <w:r>
              <w:rPr>
                <w:sz w:val="21"/>
                <w:szCs w:val="21"/>
              </w:rPr>
              <w:t>9</w:t>
            </w:r>
          </w:p>
        </w:tc>
        <w:tc>
          <w:tcPr>
            <w:tcW w:w="1250" w:type="pct"/>
            <w:vMerge w:val="continue"/>
            <w:vAlign w:val="center"/>
          </w:tcPr>
          <w:p w14:paraId="09C16308">
            <w:pPr>
              <w:pStyle w:val="181"/>
              <w:rPr>
                <w:sz w:val="21"/>
                <w:szCs w:val="21"/>
              </w:rPr>
            </w:pPr>
          </w:p>
        </w:tc>
        <w:tc>
          <w:tcPr>
            <w:tcW w:w="1250" w:type="pct"/>
            <w:vAlign w:val="center"/>
          </w:tcPr>
          <w:p w14:paraId="5B00D49D">
            <w:pPr>
              <w:pStyle w:val="181"/>
              <w:rPr>
                <w:sz w:val="21"/>
                <w:szCs w:val="21"/>
              </w:rPr>
            </w:pPr>
            <w:r>
              <w:rPr>
                <w:sz w:val="21"/>
                <w:szCs w:val="21"/>
              </w:rPr>
              <w:t>具备专业数据分析团队和工具</w:t>
            </w:r>
          </w:p>
        </w:tc>
        <w:tc>
          <w:tcPr>
            <w:tcW w:w="1250" w:type="pct"/>
            <w:vAlign w:val="center"/>
          </w:tcPr>
          <w:p w14:paraId="49E97967">
            <w:pPr>
              <w:pStyle w:val="181"/>
              <w:rPr>
                <w:sz w:val="21"/>
                <w:szCs w:val="21"/>
              </w:rPr>
            </w:pPr>
            <w:r>
              <w:rPr>
                <w:sz w:val="21"/>
                <w:szCs w:val="21"/>
              </w:rPr>
              <w:t>团队介绍、工具清单</w:t>
            </w:r>
          </w:p>
        </w:tc>
      </w:tr>
      <w:tr w14:paraId="2A298C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250" w:type="pct"/>
            <w:vAlign w:val="center"/>
          </w:tcPr>
          <w:p w14:paraId="580B76CA">
            <w:pPr>
              <w:pStyle w:val="181"/>
              <w:rPr>
                <w:sz w:val="21"/>
                <w:szCs w:val="21"/>
              </w:rPr>
            </w:pPr>
            <w:r>
              <w:rPr>
                <w:sz w:val="21"/>
                <w:szCs w:val="21"/>
              </w:rPr>
              <w:t>10</w:t>
            </w:r>
          </w:p>
        </w:tc>
        <w:tc>
          <w:tcPr>
            <w:tcW w:w="1250" w:type="pct"/>
            <w:vMerge w:val="continue"/>
            <w:vAlign w:val="center"/>
          </w:tcPr>
          <w:p w14:paraId="4AD90B88">
            <w:pPr>
              <w:pStyle w:val="181"/>
              <w:rPr>
                <w:sz w:val="21"/>
                <w:szCs w:val="21"/>
              </w:rPr>
            </w:pPr>
          </w:p>
        </w:tc>
        <w:tc>
          <w:tcPr>
            <w:tcW w:w="1250" w:type="pct"/>
            <w:vAlign w:val="center"/>
          </w:tcPr>
          <w:p w14:paraId="039C4CAF">
            <w:pPr>
              <w:pStyle w:val="181"/>
              <w:rPr>
                <w:sz w:val="21"/>
                <w:szCs w:val="21"/>
              </w:rPr>
            </w:pPr>
            <w:r>
              <w:rPr>
                <w:sz w:val="21"/>
                <w:szCs w:val="21"/>
              </w:rPr>
              <w:t>近3年完成不少于5项同类评估项目</w:t>
            </w:r>
          </w:p>
        </w:tc>
        <w:tc>
          <w:tcPr>
            <w:tcW w:w="1250" w:type="pct"/>
            <w:vAlign w:val="center"/>
          </w:tcPr>
          <w:p w14:paraId="1E3674BF">
            <w:pPr>
              <w:pStyle w:val="181"/>
              <w:rPr>
                <w:sz w:val="21"/>
                <w:szCs w:val="21"/>
              </w:rPr>
            </w:pPr>
            <w:r>
              <w:rPr>
                <w:sz w:val="21"/>
                <w:szCs w:val="21"/>
              </w:rPr>
              <w:t>项目合同、验收报告</w:t>
            </w:r>
          </w:p>
        </w:tc>
      </w:tr>
    </w:tbl>
    <w:p w14:paraId="2B74F467">
      <w:pPr>
        <w:pStyle w:val="59"/>
        <w:ind w:firstLine="420"/>
      </w:pPr>
    </w:p>
    <w:p w14:paraId="40D0D368">
      <w:pPr>
        <w:pStyle w:val="59"/>
        <w:ind w:firstLine="0" w:firstLineChars="0"/>
        <w:rPr>
          <w:rFonts w:hint="eastAsia"/>
        </w:rPr>
        <w:sectPr>
          <w:pgSz w:w="11906" w:h="16838"/>
          <w:pgMar w:top="1928" w:right="1134" w:bottom="1134" w:left="1134" w:header="1418" w:footer="1134" w:gutter="284"/>
          <w:cols w:space="425" w:num="1"/>
          <w:formProt w:val="0"/>
          <w:docGrid w:linePitch="312" w:charSpace="0"/>
        </w:sectPr>
      </w:pPr>
    </w:p>
    <w:p w14:paraId="264B1B45">
      <w:pPr>
        <w:pStyle w:val="201"/>
        <w:rPr>
          <w:rFonts w:hint="eastAsia"/>
        </w:rPr>
      </w:pPr>
    </w:p>
    <w:p w14:paraId="2A61DB6B">
      <w:pPr>
        <w:pStyle w:val="202"/>
      </w:pPr>
    </w:p>
    <w:p w14:paraId="072B57F0">
      <w:pPr>
        <w:pStyle w:val="79"/>
        <w:spacing w:before="0" w:after="0" w:afterLines="0"/>
        <w:rPr>
          <w:rFonts w:ascii="Times New Roman"/>
        </w:rPr>
      </w:pPr>
      <w:r>
        <w:rPr>
          <w:rFonts w:ascii="Times New Roman"/>
        </w:rPr>
        <w:br w:type="textWrapping"/>
      </w:r>
      <w:bookmarkStart w:id="165" w:name="_Toc227765720"/>
      <w:r>
        <w:rPr>
          <w:rFonts w:hint="eastAsia" w:ascii="Times New Roman"/>
        </w:rPr>
        <w:t>（资料性）</w:t>
      </w:r>
      <w:r>
        <w:rPr>
          <w:rFonts w:ascii="Times New Roman"/>
        </w:rPr>
        <w:br w:type="textWrapping"/>
      </w:r>
      <w:r>
        <w:rPr>
          <w:rFonts w:hint="eastAsia" w:ascii="Times New Roman"/>
        </w:rPr>
        <w:t>平台应用评价报告模板</w:t>
      </w:r>
      <w:bookmarkEnd w:id="165"/>
    </w:p>
    <w:p w14:paraId="2D4D6160">
      <w:pPr>
        <w:pStyle w:val="80"/>
        <w:numPr>
          <w:ilvl w:val="0"/>
          <w:numId w:val="0"/>
        </w:numPr>
        <w:spacing w:before="120" w:after="120"/>
        <w:jc w:val="both"/>
        <w:rPr>
          <w:rFonts w:hint="eastAsia"/>
          <w:kern w:val="0"/>
        </w:rPr>
      </w:pPr>
    </w:p>
    <w:p w14:paraId="24D95147">
      <w:pPr>
        <w:pStyle w:val="80"/>
        <w:spacing w:before="120" w:after="120"/>
        <w:rPr>
          <w:kern w:val="0"/>
        </w:rPr>
      </w:pPr>
      <w:r>
        <w:rPr>
          <w:kern w:val="0"/>
        </w:rPr>
        <w:t>平台应用评价报告模板表</w:t>
      </w:r>
    </w:p>
    <w:tbl>
      <w:tblPr>
        <w:tblStyle w:val="29"/>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2334"/>
        <w:gridCol w:w="2334"/>
        <w:gridCol w:w="2333"/>
        <w:gridCol w:w="2333"/>
      </w:tblGrid>
      <w:tr w14:paraId="6320CDE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2334" w:type="dxa"/>
            <w:tcBorders>
              <w:top w:val="single" w:color="auto" w:sz="8" w:space="0"/>
              <w:bottom w:val="single" w:color="auto" w:sz="8" w:space="0"/>
            </w:tcBorders>
            <w:vAlign w:val="center"/>
          </w:tcPr>
          <w:p w14:paraId="400FE862">
            <w:pPr>
              <w:pStyle w:val="181"/>
              <w:jc w:val="both"/>
              <w:rPr>
                <w:sz w:val="21"/>
                <w:szCs w:val="21"/>
              </w:rPr>
            </w:pPr>
            <w:r>
              <w:rPr>
                <w:rFonts w:hint="default"/>
                <w:sz w:val="21"/>
                <w:szCs w:val="21"/>
              </w:rPr>
              <w:t>章节编号</w:t>
            </w:r>
          </w:p>
        </w:tc>
        <w:tc>
          <w:tcPr>
            <w:tcW w:w="2334" w:type="dxa"/>
            <w:tcBorders>
              <w:top w:val="single" w:color="auto" w:sz="8" w:space="0"/>
              <w:bottom w:val="single" w:color="auto" w:sz="8" w:space="0"/>
            </w:tcBorders>
            <w:vAlign w:val="center"/>
          </w:tcPr>
          <w:p w14:paraId="3D52DE67">
            <w:pPr>
              <w:pStyle w:val="181"/>
              <w:jc w:val="both"/>
              <w:rPr>
                <w:sz w:val="21"/>
                <w:szCs w:val="21"/>
              </w:rPr>
            </w:pPr>
            <w:r>
              <w:rPr>
                <w:rFonts w:hint="default"/>
                <w:sz w:val="21"/>
                <w:szCs w:val="21"/>
              </w:rPr>
              <w:t>章节名称</w:t>
            </w:r>
          </w:p>
        </w:tc>
        <w:tc>
          <w:tcPr>
            <w:tcW w:w="2333" w:type="dxa"/>
            <w:tcBorders>
              <w:top w:val="single" w:color="auto" w:sz="8" w:space="0"/>
              <w:bottom w:val="single" w:color="auto" w:sz="8" w:space="0"/>
            </w:tcBorders>
            <w:vAlign w:val="center"/>
          </w:tcPr>
          <w:p w14:paraId="2F2AF75A">
            <w:pPr>
              <w:pStyle w:val="181"/>
              <w:jc w:val="both"/>
              <w:rPr>
                <w:sz w:val="21"/>
                <w:szCs w:val="21"/>
              </w:rPr>
            </w:pPr>
            <w:r>
              <w:rPr>
                <w:rFonts w:hint="default"/>
                <w:sz w:val="21"/>
                <w:szCs w:val="21"/>
              </w:rPr>
              <w:t>核心内容要点</w:t>
            </w:r>
          </w:p>
        </w:tc>
        <w:tc>
          <w:tcPr>
            <w:tcW w:w="2333" w:type="dxa"/>
            <w:tcBorders>
              <w:top w:val="single" w:color="auto" w:sz="8" w:space="0"/>
              <w:bottom w:val="single" w:color="auto" w:sz="8" w:space="0"/>
            </w:tcBorders>
            <w:vAlign w:val="center"/>
          </w:tcPr>
          <w:p w14:paraId="1E5FFAAF">
            <w:pPr>
              <w:pStyle w:val="181"/>
              <w:jc w:val="both"/>
              <w:rPr>
                <w:sz w:val="21"/>
                <w:szCs w:val="21"/>
              </w:rPr>
            </w:pPr>
            <w:r>
              <w:rPr>
                <w:rFonts w:hint="default"/>
                <w:sz w:val="21"/>
                <w:szCs w:val="21"/>
              </w:rPr>
              <w:t>填写说明</w:t>
            </w:r>
          </w:p>
        </w:tc>
      </w:tr>
      <w:tr w14:paraId="386B0C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tcBorders>
              <w:top w:val="single" w:color="auto" w:sz="8" w:space="0"/>
            </w:tcBorders>
            <w:vAlign w:val="center"/>
          </w:tcPr>
          <w:p w14:paraId="7C874DC9">
            <w:pPr>
              <w:pStyle w:val="181"/>
              <w:jc w:val="both"/>
              <w:rPr>
                <w:sz w:val="21"/>
                <w:szCs w:val="21"/>
              </w:rPr>
            </w:pPr>
            <w:r>
              <w:rPr>
                <w:rFonts w:hint="default"/>
                <w:sz w:val="21"/>
                <w:szCs w:val="21"/>
              </w:rPr>
              <w:t>1</w:t>
            </w:r>
          </w:p>
        </w:tc>
        <w:tc>
          <w:tcPr>
            <w:tcW w:w="2334" w:type="dxa"/>
            <w:tcBorders>
              <w:top w:val="single" w:color="auto" w:sz="8" w:space="0"/>
            </w:tcBorders>
            <w:vAlign w:val="center"/>
          </w:tcPr>
          <w:p w14:paraId="6DC00D6E">
            <w:pPr>
              <w:pStyle w:val="181"/>
              <w:jc w:val="both"/>
              <w:rPr>
                <w:sz w:val="21"/>
                <w:szCs w:val="21"/>
              </w:rPr>
            </w:pPr>
            <w:r>
              <w:rPr>
                <w:rFonts w:hint="default"/>
                <w:sz w:val="21"/>
                <w:szCs w:val="21"/>
              </w:rPr>
              <w:t>评价背景与目的</w:t>
            </w:r>
          </w:p>
        </w:tc>
        <w:tc>
          <w:tcPr>
            <w:tcW w:w="2333" w:type="dxa"/>
            <w:tcBorders>
              <w:top w:val="single" w:color="auto" w:sz="8" w:space="0"/>
            </w:tcBorders>
            <w:vAlign w:val="center"/>
          </w:tcPr>
          <w:p w14:paraId="7BD02713">
            <w:pPr>
              <w:pStyle w:val="181"/>
              <w:jc w:val="both"/>
              <w:rPr>
                <w:sz w:val="21"/>
                <w:szCs w:val="21"/>
              </w:rPr>
            </w:pPr>
            <w:r>
              <w:rPr>
                <w:rFonts w:hint="default"/>
                <w:sz w:val="21"/>
                <w:szCs w:val="21"/>
              </w:rPr>
              <w:t>1.1 评价背景</w:t>
            </w:r>
          </w:p>
          <w:p w14:paraId="7B77F651">
            <w:pPr>
              <w:pStyle w:val="181"/>
              <w:jc w:val="both"/>
              <w:rPr>
                <w:sz w:val="21"/>
                <w:szCs w:val="21"/>
              </w:rPr>
            </w:pPr>
            <w:r>
              <w:rPr>
                <w:rFonts w:hint="default"/>
                <w:sz w:val="21"/>
                <w:szCs w:val="21"/>
              </w:rPr>
              <w:t>1.2 评价目的</w:t>
            </w:r>
          </w:p>
          <w:p w14:paraId="4431695A">
            <w:pPr>
              <w:pStyle w:val="181"/>
              <w:jc w:val="both"/>
              <w:rPr>
                <w:sz w:val="21"/>
                <w:szCs w:val="21"/>
              </w:rPr>
            </w:pPr>
            <w:r>
              <w:rPr>
                <w:rFonts w:hint="default"/>
                <w:sz w:val="21"/>
                <w:szCs w:val="21"/>
              </w:rPr>
              <w:t>1.3 评价依据</w:t>
            </w:r>
          </w:p>
        </w:tc>
        <w:tc>
          <w:tcPr>
            <w:tcW w:w="2333" w:type="dxa"/>
            <w:tcBorders>
              <w:top w:val="single" w:color="auto" w:sz="8" w:space="0"/>
            </w:tcBorders>
            <w:vAlign w:val="center"/>
          </w:tcPr>
          <w:p w14:paraId="36A37923">
            <w:pPr>
              <w:pStyle w:val="181"/>
              <w:jc w:val="both"/>
              <w:rPr>
                <w:sz w:val="21"/>
                <w:szCs w:val="21"/>
              </w:rPr>
            </w:pPr>
            <w:r>
              <w:rPr>
                <w:rFonts w:hint="default"/>
                <w:sz w:val="21"/>
                <w:szCs w:val="21"/>
              </w:rPr>
              <w:t>列出本标准及相关法规、规范性文件编号</w:t>
            </w:r>
          </w:p>
        </w:tc>
      </w:tr>
      <w:tr w14:paraId="3C67A4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Align w:val="center"/>
          </w:tcPr>
          <w:p w14:paraId="7DCE73F0">
            <w:pPr>
              <w:pStyle w:val="181"/>
              <w:jc w:val="both"/>
              <w:rPr>
                <w:sz w:val="21"/>
                <w:szCs w:val="21"/>
              </w:rPr>
            </w:pPr>
            <w:r>
              <w:rPr>
                <w:rFonts w:hint="default"/>
                <w:sz w:val="21"/>
                <w:szCs w:val="21"/>
              </w:rPr>
              <w:t>2</w:t>
            </w:r>
          </w:p>
        </w:tc>
        <w:tc>
          <w:tcPr>
            <w:tcW w:w="2334" w:type="dxa"/>
            <w:vAlign w:val="center"/>
          </w:tcPr>
          <w:p w14:paraId="7442A6C9">
            <w:pPr>
              <w:pStyle w:val="181"/>
              <w:jc w:val="both"/>
              <w:rPr>
                <w:sz w:val="21"/>
                <w:szCs w:val="21"/>
              </w:rPr>
            </w:pPr>
            <w:r>
              <w:rPr>
                <w:rFonts w:hint="default"/>
                <w:sz w:val="21"/>
                <w:szCs w:val="21"/>
              </w:rPr>
              <w:t>评价范围与对象</w:t>
            </w:r>
          </w:p>
        </w:tc>
        <w:tc>
          <w:tcPr>
            <w:tcW w:w="2333" w:type="dxa"/>
            <w:vAlign w:val="center"/>
          </w:tcPr>
          <w:p w14:paraId="3C055CBD">
            <w:pPr>
              <w:pStyle w:val="181"/>
              <w:jc w:val="both"/>
              <w:rPr>
                <w:sz w:val="21"/>
                <w:szCs w:val="21"/>
              </w:rPr>
            </w:pPr>
            <w:r>
              <w:rPr>
                <w:rFonts w:hint="default"/>
                <w:sz w:val="21"/>
                <w:szCs w:val="21"/>
              </w:rPr>
              <w:t>2.1 评价范围（场景、维度）</w:t>
            </w:r>
          </w:p>
          <w:p w14:paraId="34C391E8">
            <w:pPr>
              <w:pStyle w:val="181"/>
              <w:jc w:val="both"/>
              <w:rPr>
                <w:sz w:val="21"/>
                <w:szCs w:val="21"/>
              </w:rPr>
            </w:pPr>
            <w:r>
              <w:rPr>
                <w:rFonts w:hint="default"/>
                <w:sz w:val="21"/>
                <w:szCs w:val="21"/>
              </w:rPr>
              <w:t>2.2 评价对象（平台、建设 / 应用单位）</w:t>
            </w:r>
          </w:p>
          <w:p w14:paraId="4DC1438D">
            <w:pPr>
              <w:pStyle w:val="181"/>
              <w:jc w:val="both"/>
              <w:rPr>
                <w:sz w:val="21"/>
                <w:szCs w:val="21"/>
              </w:rPr>
            </w:pPr>
            <w:r>
              <w:rPr>
                <w:rFonts w:hint="default"/>
                <w:sz w:val="21"/>
                <w:szCs w:val="21"/>
              </w:rPr>
              <w:t>2.3 评价周期</w:t>
            </w:r>
          </w:p>
        </w:tc>
        <w:tc>
          <w:tcPr>
            <w:tcW w:w="2333" w:type="dxa"/>
            <w:vAlign w:val="center"/>
          </w:tcPr>
          <w:p w14:paraId="0A496300">
            <w:pPr>
              <w:pStyle w:val="181"/>
              <w:jc w:val="both"/>
              <w:rPr>
                <w:sz w:val="21"/>
                <w:szCs w:val="21"/>
              </w:rPr>
            </w:pPr>
            <w:r>
              <w:rPr>
                <w:rFonts w:hint="default"/>
                <w:sz w:val="21"/>
                <w:szCs w:val="21"/>
              </w:rPr>
              <w:t>明确覆盖的临床研究项目数量、样本量</w:t>
            </w:r>
          </w:p>
        </w:tc>
      </w:tr>
      <w:tr w14:paraId="067259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Align w:val="center"/>
          </w:tcPr>
          <w:p w14:paraId="6F1546B9">
            <w:pPr>
              <w:pStyle w:val="181"/>
              <w:jc w:val="both"/>
              <w:rPr>
                <w:sz w:val="21"/>
                <w:szCs w:val="21"/>
              </w:rPr>
            </w:pPr>
            <w:r>
              <w:rPr>
                <w:rFonts w:hint="default"/>
                <w:sz w:val="21"/>
                <w:szCs w:val="21"/>
              </w:rPr>
              <w:t>3</w:t>
            </w:r>
          </w:p>
        </w:tc>
        <w:tc>
          <w:tcPr>
            <w:tcW w:w="2334" w:type="dxa"/>
            <w:vAlign w:val="center"/>
          </w:tcPr>
          <w:p w14:paraId="1E4723BE">
            <w:pPr>
              <w:pStyle w:val="181"/>
              <w:jc w:val="both"/>
              <w:rPr>
                <w:sz w:val="21"/>
                <w:szCs w:val="21"/>
              </w:rPr>
            </w:pPr>
            <w:r>
              <w:rPr>
                <w:rFonts w:hint="default"/>
                <w:sz w:val="21"/>
                <w:szCs w:val="21"/>
              </w:rPr>
              <w:t>评价方法与实施过程</w:t>
            </w:r>
          </w:p>
        </w:tc>
        <w:tc>
          <w:tcPr>
            <w:tcW w:w="2333" w:type="dxa"/>
            <w:vAlign w:val="center"/>
          </w:tcPr>
          <w:p w14:paraId="2A32DF4E">
            <w:pPr>
              <w:pStyle w:val="181"/>
              <w:jc w:val="both"/>
              <w:rPr>
                <w:sz w:val="21"/>
                <w:szCs w:val="21"/>
              </w:rPr>
            </w:pPr>
            <w:r>
              <w:rPr>
                <w:rFonts w:hint="default"/>
                <w:sz w:val="21"/>
                <w:szCs w:val="21"/>
              </w:rPr>
              <w:t>3.1 采用的评价方法</w:t>
            </w:r>
          </w:p>
          <w:p w14:paraId="7CAD7E69">
            <w:pPr>
              <w:pStyle w:val="181"/>
              <w:jc w:val="both"/>
              <w:rPr>
                <w:sz w:val="21"/>
                <w:szCs w:val="21"/>
              </w:rPr>
            </w:pPr>
            <w:r>
              <w:rPr>
                <w:rFonts w:hint="default"/>
                <w:sz w:val="21"/>
                <w:szCs w:val="21"/>
              </w:rPr>
              <w:t>3.2 评价工作组组成</w:t>
            </w:r>
          </w:p>
          <w:p w14:paraId="26D78280">
            <w:pPr>
              <w:pStyle w:val="181"/>
              <w:jc w:val="both"/>
              <w:rPr>
                <w:sz w:val="21"/>
                <w:szCs w:val="21"/>
              </w:rPr>
            </w:pPr>
            <w:r>
              <w:rPr>
                <w:rFonts w:hint="default"/>
                <w:sz w:val="21"/>
                <w:szCs w:val="21"/>
              </w:rPr>
              <w:t>3.3 实施流程（准备 - 模拟 - 现场 - 综合）</w:t>
            </w:r>
          </w:p>
          <w:p w14:paraId="34B621D2">
            <w:pPr>
              <w:pStyle w:val="181"/>
              <w:jc w:val="both"/>
              <w:rPr>
                <w:sz w:val="21"/>
                <w:szCs w:val="21"/>
              </w:rPr>
            </w:pPr>
            <w:r>
              <w:rPr>
                <w:rFonts w:hint="default"/>
                <w:sz w:val="21"/>
                <w:szCs w:val="21"/>
              </w:rPr>
              <w:t>3.4 数据来源与质量控制</w:t>
            </w:r>
          </w:p>
        </w:tc>
        <w:tc>
          <w:tcPr>
            <w:tcW w:w="2333" w:type="dxa"/>
            <w:vAlign w:val="center"/>
          </w:tcPr>
          <w:p w14:paraId="4A3C4D68">
            <w:pPr>
              <w:pStyle w:val="181"/>
              <w:jc w:val="both"/>
              <w:rPr>
                <w:sz w:val="21"/>
                <w:szCs w:val="21"/>
              </w:rPr>
            </w:pPr>
            <w:r>
              <w:rPr>
                <w:rFonts w:hint="default"/>
                <w:sz w:val="21"/>
                <w:szCs w:val="21"/>
              </w:rPr>
              <w:t>附第三方机构名单及专家委员会名单</w:t>
            </w:r>
          </w:p>
        </w:tc>
      </w:tr>
      <w:tr w14:paraId="2BB1A1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Align w:val="center"/>
          </w:tcPr>
          <w:p w14:paraId="6BE5874C">
            <w:pPr>
              <w:pStyle w:val="181"/>
              <w:jc w:val="both"/>
              <w:rPr>
                <w:sz w:val="21"/>
                <w:szCs w:val="21"/>
              </w:rPr>
            </w:pPr>
            <w:r>
              <w:rPr>
                <w:rFonts w:hint="default"/>
                <w:sz w:val="21"/>
                <w:szCs w:val="21"/>
              </w:rPr>
              <w:t>4</w:t>
            </w:r>
          </w:p>
        </w:tc>
        <w:tc>
          <w:tcPr>
            <w:tcW w:w="2334" w:type="dxa"/>
            <w:vAlign w:val="center"/>
          </w:tcPr>
          <w:p w14:paraId="5F845A94">
            <w:pPr>
              <w:pStyle w:val="181"/>
              <w:jc w:val="both"/>
              <w:rPr>
                <w:sz w:val="21"/>
                <w:szCs w:val="21"/>
              </w:rPr>
            </w:pPr>
            <w:r>
              <w:rPr>
                <w:rFonts w:hint="default"/>
                <w:sz w:val="21"/>
                <w:szCs w:val="21"/>
              </w:rPr>
              <w:t>评价结果</w:t>
            </w:r>
          </w:p>
        </w:tc>
        <w:tc>
          <w:tcPr>
            <w:tcW w:w="2333" w:type="dxa"/>
            <w:vAlign w:val="center"/>
          </w:tcPr>
          <w:p w14:paraId="7393D639">
            <w:pPr>
              <w:pStyle w:val="181"/>
              <w:jc w:val="both"/>
              <w:rPr>
                <w:sz w:val="21"/>
                <w:szCs w:val="21"/>
              </w:rPr>
            </w:pPr>
            <w:r>
              <w:rPr>
                <w:rFonts w:hint="default"/>
                <w:sz w:val="21"/>
                <w:szCs w:val="21"/>
              </w:rPr>
              <w:t>4.1 各维度评价得分及分析4.2 第三方独立评估结果4.3 专家评审意见</w:t>
            </w:r>
          </w:p>
          <w:p w14:paraId="098E4F95">
            <w:pPr>
              <w:pStyle w:val="181"/>
              <w:jc w:val="both"/>
              <w:rPr>
                <w:sz w:val="21"/>
                <w:szCs w:val="21"/>
              </w:rPr>
            </w:pPr>
            <w:r>
              <w:rPr>
                <w:rFonts w:hint="default"/>
                <w:sz w:val="21"/>
                <w:szCs w:val="21"/>
              </w:rPr>
              <w:t>4.4 综合评价结论及等级判定</w:t>
            </w:r>
          </w:p>
        </w:tc>
        <w:tc>
          <w:tcPr>
            <w:tcW w:w="2333" w:type="dxa"/>
            <w:vAlign w:val="center"/>
          </w:tcPr>
          <w:p w14:paraId="338FB8CF">
            <w:pPr>
              <w:pStyle w:val="181"/>
              <w:jc w:val="both"/>
              <w:rPr>
                <w:sz w:val="21"/>
                <w:szCs w:val="21"/>
              </w:rPr>
            </w:pPr>
            <w:r>
              <w:rPr>
                <w:rFonts w:hint="default"/>
                <w:sz w:val="21"/>
                <w:szCs w:val="21"/>
              </w:rPr>
              <w:t>附各维度得分明细表、第三方报告编号</w:t>
            </w:r>
          </w:p>
        </w:tc>
      </w:tr>
      <w:tr w14:paraId="06581A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Align w:val="center"/>
          </w:tcPr>
          <w:p w14:paraId="587D9232">
            <w:pPr>
              <w:pStyle w:val="181"/>
              <w:jc w:val="both"/>
              <w:rPr>
                <w:sz w:val="21"/>
                <w:szCs w:val="21"/>
              </w:rPr>
            </w:pPr>
            <w:r>
              <w:rPr>
                <w:rFonts w:hint="default"/>
                <w:sz w:val="21"/>
                <w:szCs w:val="21"/>
              </w:rPr>
              <w:t>5</w:t>
            </w:r>
          </w:p>
        </w:tc>
        <w:tc>
          <w:tcPr>
            <w:tcW w:w="2334" w:type="dxa"/>
            <w:vAlign w:val="center"/>
          </w:tcPr>
          <w:p w14:paraId="645E73C2">
            <w:pPr>
              <w:pStyle w:val="181"/>
              <w:jc w:val="both"/>
              <w:rPr>
                <w:sz w:val="21"/>
                <w:szCs w:val="21"/>
              </w:rPr>
            </w:pPr>
            <w:r>
              <w:rPr>
                <w:rFonts w:hint="default"/>
                <w:sz w:val="21"/>
                <w:szCs w:val="21"/>
              </w:rPr>
              <w:t>存在的问题与改进建议</w:t>
            </w:r>
          </w:p>
        </w:tc>
        <w:tc>
          <w:tcPr>
            <w:tcW w:w="2333" w:type="dxa"/>
            <w:vAlign w:val="center"/>
          </w:tcPr>
          <w:p w14:paraId="168BD363">
            <w:pPr>
              <w:pStyle w:val="181"/>
              <w:jc w:val="both"/>
              <w:rPr>
                <w:sz w:val="21"/>
                <w:szCs w:val="21"/>
              </w:rPr>
            </w:pPr>
            <w:r>
              <w:rPr>
                <w:rFonts w:hint="default"/>
                <w:sz w:val="21"/>
                <w:szCs w:val="21"/>
              </w:rPr>
              <w:t>5.1 平台功能与性能问题5.2 应用管理问题</w:t>
            </w:r>
          </w:p>
          <w:p w14:paraId="0D3944C0">
            <w:pPr>
              <w:pStyle w:val="181"/>
              <w:jc w:val="both"/>
              <w:rPr>
                <w:sz w:val="21"/>
                <w:szCs w:val="21"/>
              </w:rPr>
            </w:pPr>
            <w:r>
              <w:rPr>
                <w:rFonts w:hint="default"/>
                <w:sz w:val="21"/>
                <w:szCs w:val="21"/>
              </w:rPr>
              <w:t>5.3 针对性改进建议及整改期限</w:t>
            </w:r>
          </w:p>
        </w:tc>
        <w:tc>
          <w:tcPr>
            <w:tcW w:w="2333" w:type="dxa"/>
            <w:vAlign w:val="center"/>
          </w:tcPr>
          <w:p w14:paraId="690F2DAC">
            <w:pPr>
              <w:pStyle w:val="181"/>
              <w:jc w:val="both"/>
              <w:rPr>
                <w:sz w:val="21"/>
                <w:szCs w:val="21"/>
              </w:rPr>
            </w:pPr>
            <w:r>
              <w:rPr>
                <w:rFonts w:hint="default"/>
                <w:sz w:val="21"/>
                <w:szCs w:val="21"/>
              </w:rPr>
              <w:t>问题需具体到模块，建议需可落地</w:t>
            </w:r>
          </w:p>
        </w:tc>
      </w:tr>
      <w:tr w14:paraId="2D5B17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Align w:val="center"/>
          </w:tcPr>
          <w:p w14:paraId="7D0F5CC1">
            <w:pPr>
              <w:pStyle w:val="181"/>
              <w:jc w:val="both"/>
              <w:rPr>
                <w:sz w:val="21"/>
                <w:szCs w:val="21"/>
              </w:rPr>
            </w:pPr>
            <w:r>
              <w:rPr>
                <w:rFonts w:hint="default"/>
                <w:sz w:val="21"/>
                <w:szCs w:val="21"/>
              </w:rPr>
              <w:t>6</w:t>
            </w:r>
          </w:p>
        </w:tc>
        <w:tc>
          <w:tcPr>
            <w:tcW w:w="2334" w:type="dxa"/>
            <w:vAlign w:val="center"/>
          </w:tcPr>
          <w:p w14:paraId="51664EF3">
            <w:pPr>
              <w:pStyle w:val="181"/>
              <w:jc w:val="both"/>
              <w:rPr>
                <w:sz w:val="21"/>
                <w:szCs w:val="21"/>
              </w:rPr>
            </w:pPr>
            <w:r>
              <w:rPr>
                <w:rFonts w:hint="default"/>
                <w:sz w:val="21"/>
                <w:szCs w:val="21"/>
              </w:rPr>
              <w:t>评价结果应用建议</w:t>
            </w:r>
          </w:p>
        </w:tc>
        <w:tc>
          <w:tcPr>
            <w:tcW w:w="2333" w:type="dxa"/>
            <w:vAlign w:val="center"/>
          </w:tcPr>
          <w:p w14:paraId="5CEF9D69">
            <w:pPr>
              <w:pStyle w:val="181"/>
              <w:jc w:val="both"/>
              <w:rPr>
                <w:sz w:val="21"/>
                <w:szCs w:val="21"/>
              </w:rPr>
            </w:pPr>
            <w:r>
              <w:rPr>
                <w:rFonts w:hint="default"/>
                <w:sz w:val="21"/>
                <w:szCs w:val="21"/>
              </w:rPr>
              <w:t>6.1 推广应用范围建议</w:t>
            </w:r>
          </w:p>
          <w:p w14:paraId="6F76BCE1">
            <w:pPr>
              <w:pStyle w:val="181"/>
              <w:jc w:val="both"/>
              <w:rPr>
                <w:sz w:val="21"/>
                <w:szCs w:val="21"/>
              </w:rPr>
            </w:pPr>
            <w:r>
              <w:rPr>
                <w:rFonts w:hint="default"/>
                <w:sz w:val="21"/>
                <w:szCs w:val="21"/>
              </w:rPr>
              <w:t>6.2 平台持续优化方向</w:t>
            </w:r>
          </w:p>
          <w:p w14:paraId="3938E79E">
            <w:pPr>
              <w:pStyle w:val="181"/>
              <w:jc w:val="both"/>
              <w:rPr>
                <w:sz w:val="21"/>
                <w:szCs w:val="21"/>
              </w:rPr>
            </w:pPr>
            <w:r>
              <w:rPr>
                <w:rFonts w:hint="default"/>
                <w:sz w:val="21"/>
                <w:szCs w:val="21"/>
              </w:rPr>
              <w:t>6.3 行业应用指导建议</w:t>
            </w:r>
          </w:p>
        </w:tc>
        <w:tc>
          <w:tcPr>
            <w:tcW w:w="2333" w:type="dxa"/>
            <w:vAlign w:val="center"/>
          </w:tcPr>
          <w:p w14:paraId="571A772F">
            <w:pPr>
              <w:pStyle w:val="181"/>
              <w:jc w:val="both"/>
              <w:rPr>
                <w:sz w:val="21"/>
                <w:szCs w:val="21"/>
              </w:rPr>
            </w:pPr>
            <w:r>
              <w:rPr>
                <w:rFonts w:hint="default"/>
                <w:sz w:val="21"/>
                <w:szCs w:val="21"/>
              </w:rPr>
              <w:t>明确优秀 / 合格平台的推广策略</w:t>
            </w:r>
          </w:p>
        </w:tc>
      </w:tr>
      <w:tr w14:paraId="53E60BD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Align w:val="center"/>
          </w:tcPr>
          <w:p w14:paraId="1A99948E">
            <w:pPr>
              <w:pStyle w:val="181"/>
              <w:jc w:val="both"/>
              <w:rPr>
                <w:sz w:val="21"/>
                <w:szCs w:val="21"/>
              </w:rPr>
            </w:pPr>
            <w:r>
              <w:rPr>
                <w:rFonts w:hint="default"/>
                <w:sz w:val="21"/>
                <w:szCs w:val="21"/>
              </w:rPr>
              <w:t>7</w:t>
            </w:r>
          </w:p>
        </w:tc>
        <w:tc>
          <w:tcPr>
            <w:tcW w:w="2334" w:type="dxa"/>
            <w:vAlign w:val="center"/>
          </w:tcPr>
          <w:p w14:paraId="10E4CC2D">
            <w:pPr>
              <w:pStyle w:val="181"/>
              <w:jc w:val="both"/>
              <w:rPr>
                <w:sz w:val="21"/>
                <w:szCs w:val="21"/>
              </w:rPr>
            </w:pPr>
            <w:r>
              <w:rPr>
                <w:rFonts w:hint="default"/>
                <w:sz w:val="21"/>
                <w:szCs w:val="21"/>
              </w:rPr>
              <w:t>附件</w:t>
            </w:r>
          </w:p>
        </w:tc>
        <w:tc>
          <w:tcPr>
            <w:tcW w:w="2333" w:type="dxa"/>
            <w:vAlign w:val="center"/>
          </w:tcPr>
          <w:p w14:paraId="3479A3DA">
            <w:pPr>
              <w:pStyle w:val="181"/>
              <w:jc w:val="both"/>
              <w:rPr>
                <w:sz w:val="21"/>
                <w:szCs w:val="21"/>
              </w:rPr>
            </w:pPr>
            <w:r>
              <w:rPr>
                <w:rFonts w:hint="default"/>
                <w:sz w:val="21"/>
                <w:szCs w:val="21"/>
              </w:rPr>
              <w:t>7.1 评价数据汇总表</w:t>
            </w:r>
          </w:p>
          <w:p w14:paraId="398FC34E">
            <w:pPr>
              <w:pStyle w:val="181"/>
              <w:jc w:val="both"/>
              <w:rPr>
                <w:sz w:val="21"/>
                <w:szCs w:val="21"/>
              </w:rPr>
            </w:pPr>
            <w:r>
              <w:rPr>
                <w:rFonts w:hint="default"/>
                <w:sz w:val="21"/>
                <w:szCs w:val="21"/>
              </w:rPr>
              <w:t>7.2 第三方评估报告</w:t>
            </w:r>
          </w:p>
          <w:p w14:paraId="5B444A65">
            <w:pPr>
              <w:pStyle w:val="181"/>
              <w:jc w:val="both"/>
              <w:rPr>
                <w:sz w:val="21"/>
                <w:szCs w:val="21"/>
              </w:rPr>
            </w:pPr>
            <w:r>
              <w:rPr>
                <w:rFonts w:hint="default"/>
                <w:sz w:val="21"/>
                <w:szCs w:val="21"/>
              </w:rPr>
              <w:t>7.3 专家评审意见表</w:t>
            </w:r>
          </w:p>
          <w:p w14:paraId="65E6F455">
            <w:pPr>
              <w:pStyle w:val="181"/>
              <w:jc w:val="both"/>
              <w:rPr>
                <w:sz w:val="21"/>
                <w:szCs w:val="21"/>
              </w:rPr>
            </w:pPr>
            <w:r>
              <w:rPr>
                <w:rFonts w:hint="default"/>
                <w:sz w:val="21"/>
                <w:szCs w:val="21"/>
              </w:rPr>
              <w:t>7.4 典型应用案例</w:t>
            </w:r>
          </w:p>
        </w:tc>
        <w:tc>
          <w:tcPr>
            <w:tcW w:w="2333" w:type="dxa"/>
            <w:vAlign w:val="center"/>
          </w:tcPr>
          <w:p w14:paraId="68385371">
            <w:pPr>
              <w:pStyle w:val="181"/>
              <w:jc w:val="both"/>
              <w:rPr>
                <w:sz w:val="21"/>
                <w:szCs w:val="21"/>
              </w:rPr>
            </w:pPr>
            <w:r>
              <w:rPr>
                <w:rFonts w:hint="default"/>
                <w:sz w:val="21"/>
                <w:szCs w:val="21"/>
              </w:rPr>
              <w:t>所有附件需加盖出具单位公章</w:t>
            </w:r>
          </w:p>
        </w:tc>
      </w:tr>
      <w:tr w14:paraId="535DF72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Align w:val="center"/>
          </w:tcPr>
          <w:p w14:paraId="3B60FF43">
            <w:pPr>
              <w:pStyle w:val="181"/>
              <w:jc w:val="both"/>
              <w:rPr>
                <w:sz w:val="21"/>
                <w:szCs w:val="21"/>
              </w:rPr>
            </w:pPr>
            <w:r>
              <w:rPr>
                <w:rFonts w:hint="default"/>
                <w:sz w:val="21"/>
                <w:szCs w:val="21"/>
              </w:rPr>
              <w:t>——</w:t>
            </w:r>
          </w:p>
        </w:tc>
        <w:tc>
          <w:tcPr>
            <w:tcW w:w="2334" w:type="dxa"/>
            <w:vAlign w:val="center"/>
          </w:tcPr>
          <w:p w14:paraId="132D841C">
            <w:pPr>
              <w:pStyle w:val="181"/>
              <w:jc w:val="both"/>
              <w:rPr>
                <w:sz w:val="21"/>
                <w:szCs w:val="21"/>
              </w:rPr>
            </w:pPr>
            <w:r>
              <w:rPr>
                <w:rFonts w:hint="default"/>
                <w:sz w:val="21"/>
                <w:szCs w:val="21"/>
              </w:rPr>
              <w:t>落款</w:t>
            </w:r>
          </w:p>
        </w:tc>
        <w:tc>
          <w:tcPr>
            <w:tcW w:w="2333" w:type="dxa"/>
            <w:vAlign w:val="center"/>
          </w:tcPr>
          <w:p w14:paraId="5431E6AF">
            <w:pPr>
              <w:pStyle w:val="181"/>
              <w:jc w:val="both"/>
              <w:rPr>
                <w:sz w:val="21"/>
                <w:szCs w:val="21"/>
              </w:rPr>
            </w:pPr>
            <w:r>
              <w:rPr>
                <w:rFonts w:hint="default"/>
                <w:sz w:val="21"/>
                <w:szCs w:val="21"/>
              </w:rPr>
              <w:t>评价工作组（盖章）评价日期：XXXX 年 XX 月 XX 日</w:t>
            </w:r>
          </w:p>
        </w:tc>
        <w:tc>
          <w:tcPr>
            <w:tcW w:w="2333" w:type="dxa"/>
            <w:vAlign w:val="center"/>
          </w:tcPr>
          <w:p w14:paraId="196BB07A">
            <w:pPr>
              <w:pStyle w:val="181"/>
              <w:jc w:val="both"/>
              <w:rPr>
                <w:sz w:val="21"/>
                <w:szCs w:val="21"/>
              </w:rPr>
            </w:pPr>
            <w:r>
              <w:rPr>
                <w:rFonts w:hint="default"/>
                <w:sz w:val="21"/>
                <w:szCs w:val="21"/>
              </w:rPr>
              <w:t>需工作组组长签字确认</w:t>
            </w:r>
          </w:p>
        </w:tc>
      </w:tr>
    </w:tbl>
    <w:p w14:paraId="11D8CAA5">
      <w:pPr>
        <w:pStyle w:val="59"/>
        <w:ind w:firstLine="0" w:firstLineChars="0"/>
      </w:pPr>
    </w:p>
    <w:p w14:paraId="44E2E6A5">
      <w:pPr>
        <w:pStyle w:val="59"/>
        <w:ind w:firstLine="420"/>
        <w:sectPr>
          <w:pgSz w:w="11906" w:h="16838"/>
          <w:pgMar w:top="1928" w:right="1134" w:bottom="1134" w:left="1134" w:header="1418" w:footer="1134" w:gutter="284"/>
          <w:cols w:space="425" w:num="1"/>
          <w:formProt w:val="0"/>
          <w:docGrid w:linePitch="312" w:charSpace="0"/>
        </w:sectPr>
      </w:pPr>
    </w:p>
    <w:bookmarkEnd w:id="160"/>
    <w:p w14:paraId="4FB72574">
      <w:pPr>
        <w:pStyle w:val="66"/>
        <w:spacing w:before="240" w:beforeLines="100" w:after="120"/>
      </w:pPr>
      <w:bookmarkStart w:id="166" w:name="_Toc227235337"/>
      <w:bookmarkStart w:id="167" w:name="_Toc227246051"/>
      <w:bookmarkStart w:id="168" w:name="_Toc227765721"/>
      <w:bookmarkStart w:id="169" w:name="_Toc227235706"/>
      <w:bookmarkStart w:id="170" w:name="_Toc227246039"/>
      <w:bookmarkStart w:id="171" w:name="_Toc227244038"/>
      <w:bookmarkStart w:id="172" w:name="BookMark6"/>
      <w:r>
        <w:rPr>
          <w:rFonts w:hint="eastAsia"/>
          <w:spacing w:val="105"/>
        </w:rPr>
        <w:t>参考文</w:t>
      </w:r>
      <w:r>
        <w:rPr>
          <w:rFonts w:hint="eastAsia"/>
        </w:rPr>
        <w:t>献</w:t>
      </w:r>
      <w:bookmarkEnd w:id="166"/>
      <w:bookmarkEnd w:id="167"/>
      <w:bookmarkEnd w:id="168"/>
      <w:bookmarkEnd w:id="169"/>
      <w:bookmarkEnd w:id="170"/>
      <w:bookmarkEnd w:id="171"/>
    </w:p>
    <w:p w14:paraId="4024A0FE">
      <w:pPr>
        <w:pStyle w:val="59"/>
        <w:numPr>
          <w:ilvl w:val="0"/>
          <w:numId w:val="32"/>
        </w:numPr>
        <w:ind w:hanging="440" w:firstLineChars="0"/>
      </w:pPr>
      <w:r>
        <w:rPr>
          <w:rFonts w:hint="eastAsia"/>
        </w:rPr>
        <w:t>GB/T 38667-2020 信息技术 大数据 数据分类指南</w:t>
      </w:r>
    </w:p>
    <w:p w14:paraId="5840FF8C">
      <w:pPr>
        <w:pStyle w:val="59"/>
        <w:numPr>
          <w:ilvl w:val="0"/>
          <w:numId w:val="32"/>
        </w:numPr>
        <w:ind w:hanging="440" w:firstLineChars="0"/>
      </w:pPr>
      <w:r>
        <w:rPr>
          <w:rFonts w:hint="eastAsia"/>
        </w:rPr>
        <w:t>中华人民共和国网络安全法（中华人民共和国主席令第 53 号）</w:t>
      </w:r>
    </w:p>
    <w:p w14:paraId="50987E71">
      <w:pPr>
        <w:pStyle w:val="59"/>
        <w:numPr>
          <w:ilvl w:val="0"/>
          <w:numId w:val="32"/>
        </w:numPr>
        <w:ind w:hanging="440" w:firstLineChars="0"/>
      </w:pPr>
      <w:r>
        <w:rPr>
          <w:rFonts w:hint="eastAsia"/>
        </w:rPr>
        <w:t>GB/T 22239-2019 信息安全技术 网络安全等级保护基本要求</w:t>
      </w:r>
    </w:p>
    <w:p w14:paraId="6087B9FD">
      <w:pPr>
        <w:pStyle w:val="59"/>
        <w:numPr>
          <w:ilvl w:val="0"/>
          <w:numId w:val="32"/>
        </w:numPr>
        <w:ind w:hanging="440" w:firstLineChars="0"/>
      </w:pPr>
      <w:r>
        <w:rPr>
          <w:rFonts w:hint="eastAsia"/>
        </w:rPr>
        <w:t>GB/T 41479-2022 信息安全技术 网络数据处理安全规范</w:t>
      </w:r>
    </w:p>
    <w:p w14:paraId="4037E994">
      <w:pPr>
        <w:pStyle w:val="59"/>
        <w:numPr>
          <w:ilvl w:val="0"/>
          <w:numId w:val="32"/>
        </w:numPr>
        <w:ind w:hanging="440" w:firstLineChars="0"/>
      </w:pPr>
      <w:r>
        <w:rPr>
          <w:rFonts w:hint="eastAsia"/>
        </w:rPr>
        <w:t>医院智慧管理分级评估标准体系 （国卫办医函〔2021〕86号）</w:t>
      </w:r>
    </w:p>
    <w:p w14:paraId="3C089C59">
      <w:pPr>
        <w:pStyle w:val="59"/>
        <w:numPr>
          <w:ilvl w:val="0"/>
          <w:numId w:val="32"/>
        </w:numPr>
        <w:ind w:hanging="440" w:firstLineChars="0"/>
      </w:pPr>
      <w:r>
        <w:rPr>
          <w:rFonts w:hint="eastAsia"/>
        </w:rPr>
        <w:t xml:space="preserve">DB31/T 1440-2023 临床研究中心建设与管理规范 </w:t>
      </w:r>
    </w:p>
    <w:bookmarkEnd w:id="172"/>
    <w:p w14:paraId="3162C40C">
      <w:pPr>
        <w:pStyle w:val="59"/>
        <w:numPr>
          <w:ilvl w:val="0"/>
          <w:numId w:val="32"/>
        </w:numPr>
        <w:ind w:hanging="440" w:firstLineChars="0"/>
      </w:pPr>
      <w:r>
        <w:rPr>
          <w:rFonts w:hint="eastAsia"/>
        </w:rPr>
        <w:t>DB11/T 2226-2024 临床研究数据采集及应用规范</w:t>
      </w:r>
    </w:p>
    <w:p w14:paraId="3507BF4D">
      <w:pPr>
        <w:pStyle w:val="59"/>
        <w:numPr>
          <w:ilvl w:val="0"/>
          <w:numId w:val="32"/>
        </w:numPr>
        <w:ind w:hanging="440" w:firstLineChars="0"/>
      </w:pPr>
      <w:r>
        <w:rPr>
          <w:rFonts w:hint="eastAsia"/>
        </w:rPr>
        <w:t>DB14/T 3565-2025 医疗机构临床研究伦理管理要求</w:t>
      </w:r>
    </w:p>
    <w:p w14:paraId="0542B6A2">
      <w:pPr>
        <w:pStyle w:val="59"/>
        <w:numPr>
          <w:ilvl w:val="0"/>
          <w:numId w:val="32"/>
        </w:numPr>
        <w:ind w:hanging="440" w:firstLineChars="0"/>
      </w:pPr>
      <w:r>
        <w:rPr>
          <w:rFonts w:hint="eastAsia"/>
        </w:rPr>
        <mc:AlternateContent>
          <mc:Choice Requires="wps">
            <w:drawing>
              <wp:anchor distT="0" distB="0" distL="114300" distR="114300" simplePos="0" relativeHeight="251661312" behindDoc="0" locked="0" layoutInCell="1" allowOverlap="1">
                <wp:simplePos x="0" y="0"/>
                <wp:positionH relativeFrom="column">
                  <wp:posOffset>2348230</wp:posOffset>
                </wp:positionH>
                <wp:positionV relativeFrom="paragraph">
                  <wp:posOffset>1375410</wp:posOffset>
                </wp:positionV>
                <wp:extent cx="1378585" cy="0"/>
                <wp:effectExtent l="0" t="0" r="0" b="0"/>
                <wp:wrapNone/>
                <wp:docPr id="338575552" name="直接连接符 4"/>
                <wp:cNvGraphicFramePr/>
                <a:graphic xmlns:a="http://schemas.openxmlformats.org/drawingml/2006/main">
                  <a:graphicData uri="http://schemas.microsoft.com/office/word/2010/wordprocessingShape">
                    <wps:wsp>
                      <wps:cNvCnPr/>
                      <wps:spPr bwMode="auto">
                        <a:xfrm>
                          <a:off x="0" y="0"/>
                          <a:ext cx="137852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直接连接符 4" o:spid="_x0000_s1026" o:spt="20" style="position:absolute;left:0pt;margin-left:184.9pt;margin-top:108.3pt;height:0pt;width:108.55pt;z-index:251661312;mso-width-relative:page;mso-height-relative:page;" filled="f" stroked="t" coordsize="21600,21600" o:gfxdata="UEsDBAoAAAAAAIdO4kAAAAAAAAAAAAAAAAAEAAAAZHJzL1BLAwQUAAAACACHTuJA4JHh19gAAAAL&#10;AQAADwAAAGRycy9kb3ducmV2LnhtbE2PwUrEMBCG74LvEEbw5qZdsdutTfcgeBAEtXrwmG1mm2oy&#10;qUm2rW9vBGE9zszPN99f7xZr2IQ+DI4E5KsMGFLn1EC9gLfX+6sSWIiSlDSOUMA3Btg152e1rJSb&#10;6QWnNvYsQShUUoCOcaw4D51GK8PKjUjpdnDeyphG33Pl5Zzg1vB1lhXcyoHSBy1HvNPYfbZHmyi0&#10;+Tosxr8/Pz3qsp0/8GHaoBCXF3l2CyziEk9h+NVP6tAkp707kgrMCLgutkk9CljnRQEsJW7KYgts&#10;/7fhTc3/d2h+AFBLAwQUAAAACACHTuJAHqFawfUBAADHAwAADgAAAGRycy9lMm9Eb2MueG1srVNL&#10;jhMxEN0jcQfLe9L5kJmolc4sJho2fEYCDlBxu7st+SeXk04uwQWQ2MGKJXtuM8MxKLuTMAybWeCF&#10;Zdfnld+r8vJqbzTbyYDK2YpPRmPOpBWuVrat+McPNy8WnGEEW4N2Vlb8IJFfrZ4/W/a+lFPXOV3L&#10;wAjEYtn7incx+rIoUHTSAI6cl5acjQsGIl1DW9QBekI3upiOxxdF70LtgxMSkazrwcmPiOEpgK5p&#10;lJBrJ7ZG2jigBqkhEiXslEe+yq9tGiniu6ZBGZmuODGNeacidN6kvVgtoWwD+E6J4xPgKU94xMmA&#10;slT0DLWGCGwb1D9QRong0DVxJJwpBiJZEWIxGT/S5n0HXmYuJDX6s+j4/2DF291tYKqu+Gy2mF/O&#10;5/MpZxYMNf7+84+7T19//fxC+/33b+xlEqv3WFLOtb0Nxxt6Atj0b1xNObCNLuuwb4JJehBDts9y&#10;H85yy31kgoyT2eViPr3kTJx8BZSnRB8wvpLOsHSouFY2KQEl7F5jpNIUegpJZutulNa5m9qyvuIX&#10;szn1WABNaEOTQUfjiSXaljPQLY2+iCEjotOqTtkJB0O7udaB7SANTF6JNlX7KyyVXgN2Q1x2DaNk&#10;VKTfoZWp+OJhtrYEksRLcg0yblx9yCpmO/U3lznOYhqgh/ec/ef/rX4D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4JHh19gAAAALAQAADwAAAAAAAAABACAAAAAiAAAAZHJzL2Rvd25yZXYueG1sUEsB&#10;AhQAFAAAAAgAh07iQB6hWsH1AQAAxwMAAA4AAAAAAAAAAQAgAAAAJwEAAGRycy9lMm9Eb2MueG1s&#10;UEsFBgAAAAAGAAYAWQEAAI4FAAAAAA==&#10;">
                <v:fill on="f" focussize="0,0"/>
                <v:stroke weight="0.5pt" color="#000000 [3200]" miterlimit="8" joinstyle="miter"/>
                <v:imagedata o:title=""/>
                <o:lock v:ext="edit" aspectratio="f"/>
              </v:line>
            </w:pict>
          </mc:Fallback>
        </mc:AlternateContent>
      </w:r>
      <w:r>
        <w:rPr>
          <w:rFonts w:hint="eastAsia"/>
        </w:rPr>
        <w:t>医疗卫生机构网络安全管理办法 （国卫规划发〔2022〕29号）</w:t>
      </w:r>
    </w:p>
    <w:sectPr>
      <w:pgSz w:w="11906" w:h="16838"/>
      <w:pgMar w:top="1928"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swiss"/>
    <w:pitch w:val="default"/>
    <w:sig w:usb0="E0002EFF" w:usb1="C000785B" w:usb2="00000009" w:usb3="00000000" w:csb0="400001FF" w:csb1="FFFF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2CAC7E">
    <w:pPr>
      <w:pStyle w:val="1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3B07B9">
    <w:pPr>
      <w:pStyle w:val="18"/>
    </w:pPr>
    <w:r>
      <w:fldChar w:fldCharType="begin"/>
    </w:r>
    <w:r>
      <w:instrText xml:space="preserve">PAGE   \* MERGEFORMAT</w:instrText>
    </w:r>
    <w:r>
      <w:fldChar w:fldCharType="separate"/>
    </w:r>
    <w:r>
      <w:rPr>
        <w:lang w:val="zh-CN"/>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382717">
    <w:pPr>
      <w:pStyle w:val="18"/>
      <w:ind w:right="72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08FEFA">
    <w:pPr>
      <w:pStyle w:val="55"/>
    </w:pPr>
    <w:r>
      <w:fldChar w:fldCharType="begin"/>
    </w:r>
    <w:r>
      <w:instrText xml:space="preserve">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C75536">
    <w:pPr>
      <w:pStyle w:val="19"/>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0030D9">
    <w:pPr>
      <w:pStyle w:val="1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0036BE">
    <w:pPr>
      <w:pStyle w:val="19"/>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E53ECE">
    <w:pPr>
      <w:pStyle w:val="64"/>
      <w:rPr>
        <w:rFonts w:hint="eastAsia"/>
      </w:rPr>
    </w:pPr>
    <w:r>
      <w:fldChar w:fldCharType="begin"/>
    </w:r>
    <w:r>
      <w:instrText xml:space="preserve"> STYLEREF  标准文件_文件编号  \* MERGEFORMAT </w:instrText>
    </w:r>
    <w:r>
      <w:fldChar w:fldCharType="separate"/>
    </w:r>
    <w:r>
      <w:rPr>
        <w:b/>
      </w:rPr>
      <w:t>文档中未找到关联章节样式</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D14865">
    <w:pPr>
      <w:pStyle w:val="19"/>
      <w:jc w:val="right"/>
    </w:pPr>
    <w:r>
      <w:fldChar w:fldCharType="begin"/>
    </w:r>
    <w:r>
      <w:instrText xml:space="preserve"> STYLEREF  标准文件_文件编号  \* MERGEFORMAT </w:instrText>
    </w:r>
    <w:r>
      <w:fldChar w:fldCharType="separate"/>
    </w:r>
    <w:r>
      <w:rPr>
        <w:b/>
      </w:rPr>
      <w:t>文档中未找到关联章节样式</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7"/>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2"/>
      <w:suff w:val="nothing"/>
      <w:lvlText w:val="%1%2.%3　"/>
      <w:lvlJc w:val="left"/>
      <w:pPr>
        <w:ind w:left="0" w:firstLine="0"/>
      </w:pPr>
    </w:lvl>
    <w:lvl w:ilvl="3" w:tentative="0">
      <w:start w:val="1"/>
      <w:numFmt w:val="decimal"/>
      <w:pStyle w:val="121"/>
      <w:suff w:val="nothing"/>
      <w:lvlText w:val="%1%2.%3.%4　"/>
      <w:lvlJc w:val="left"/>
      <w:pPr>
        <w:ind w:left="0" w:firstLine="0"/>
      </w:pPr>
    </w:lvl>
    <w:lvl w:ilvl="4" w:tentative="0">
      <w:start w:val="1"/>
      <w:numFmt w:val="decimal"/>
      <w:pStyle w:val="156"/>
      <w:suff w:val="nothing"/>
      <w:lvlText w:val="%1%2.%3.%4.%5　"/>
      <w:lvlJc w:val="left"/>
      <w:pPr>
        <w:ind w:left="0" w:firstLine="0"/>
      </w:pPr>
    </w:lvl>
    <w:lvl w:ilvl="5" w:tentative="0">
      <w:start w:val="1"/>
      <w:numFmt w:val="decimal"/>
      <w:pStyle w:val="158"/>
      <w:suff w:val="nothing"/>
      <w:lvlText w:val="%1%2.%3.%4.%5.%6　"/>
      <w:lvlJc w:val="left"/>
      <w:pPr>
        <w:ind w:left="0" w:firstLine="0"/>
      </w:pPr>
    </w:lvl>
    <w:lvl w:ilvl="6" w:tentative="0">
      <w:start w:val="1"/>
      <w:numFmt w:val="decimal"/>
      <w:pStyle w:val="161"/>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3"/>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2"/>
      <w:lvlText w:val="%1"/>
      <w:lvlJc w:val="left"/>
      <w:pPr>
        <w:ind w:left="425" w:hanging="425"/>
      </w:pPr>
      <w:rPr>
        <w:rFonts w:hint="eastAsia"/>
      </w:rPr>
    </w:lvl>
    <w:lvl w:ilvl="1" w:tentative="0">
      <w:start w:val="1"/>
      <w:numFmt w:val="decimal"/>
      <w:pStyle w:val="203"/>
      <w:suff w:val="nothing"/>
      <w:lvlText w:val="%10.%2 "/>
      <w:lvlJc w:val="left"/>
      <w:pPr>
        <w:ind w:left="0" w:firstLine="0"/>
      </w:pPr>
      <w:rPr>
        <w:rFonts w:hint="eastAsia" w:ascii="黑体" w:eastAsia="黑体" w:hAnsiTheme="minorHAnsi"/>
        <w:b w:val="0"/>
        <w:i w:val="0"/>
        <w:sz w:val="21"/>
      </w:rPr>
    </w:lvl>
    <w:lvl w:ilvl="2" w:tentative="0">
      <w:start w:val="1"/>
      <w:numFmt w:val="decimal"/>
      <w:pStyle w:val="204"/>
      <w:suff w:val="nothing"/>
      <w:lvlText w:val="%10.%2.%3 "/>
      <w:lvlJc w:val="left"/>
      <w:pPr>
        <w:ind w:left="0" w:firstLine="0"/>
      </w:pPr>
      <w:rPr>
        <w:rFonts w:hint="eastAsia" w:ascii="黑体" w:eastAsia="黑体" w:hAnsiTheme="minorHAnsi"/>
        <w:b w:val="0"/>
        <w:i w:val="0"/>
        <w:sz w:val="21"/>
      </w:rPr>
    </w:lvl>
    <w:lvl w:ilvl="3" w:tentative="0">
      <w:start w:val="1"/>
      <w:numFmt w:val="decimal"/>
      <w:pStyle w:val="205"/>
      <w:suff w:val="nothing"/>
      <w:lvlText w:val="%10.%2.%3.%4 "/>
      <w:lvlJc w:val="left"/>
      <w:pPr>
        <w:ind w:left="0" w:firstLine="0"/>
      </w:pPr>
      <w:rPr>
        <w:rFonts w:hint="eastAsia" w:ascii="黑体" w:eastAsia="黑体" w:hAnsiTheme="minorHAnsi"/>
        <w:b w:val="0"/>
        <w:i w:val="0"/>
        <w:sz w:val="21"/>
      </w:rPr>
    </w:lvl>
    <w:lvl w:ilvl="4" w:tentative="0">
      <w:start w:val="1"/>
      <w:numFmt w:val="decimal"/>
      <w:pStyle w:val="206"/>
      <w:suff w:val="nothing"/>
      <w:lvlText w:val="%10.%2.%3.%4.%5 "/>
      <w:lvlJc w:val="left"/>
      <w:pPr>
        <w:ind w:left="0" w:firstLine="0"/>
      </w:pPr>
      <w:rPr>
        <w:rFonts w:hint="eastAsia" w:ascii="黑体" w:eastAsia="黑体" w:hAnsiTheme="minorHAnsi"/>
        <w:b w:val="0"/>
        <w:i w:val="0"/>
        <w:sz w:val="21"/>
      </w:rPr>
    </w:lvl>
    <w:lvl w:ilvl="5" w:tentative="0">
      <w:start w:val="1"/>
      <w:numFmt w:val="decimal"/>
      <w:pStyle w:val="207"/>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4"/>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70"/>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2"/>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0DA80BF8"/>
    <w:multiLevelType w:val="multilevel"/>
    <w:tmpl w:val="0DA80BF8"/>
    <w:lvl w:ilvl="0" w:tentative="0">
      <w:start w:val="1"/>
      <w:numFmt w:val="decimal"/>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8">
    <w:nsid w:val="1AD20F90"/>
    <w:multiLevelType w:val="multilevel"/>
    <w:tmpl w:val="1AD20F90"/>
    <w:lvl w:ilvl="0" w:tentative="0">
      <w:start w:val="1"/>
      <w:numFmt w:val="none"/>
      <w:pStyle w:val="113"/>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1AF15012"/>
    <w:multiLevelType w:val="multilevel"/>
    <w:tmpl w:val="1AF15012"/>
    <w:lvl w:ilvl="0" w:tentative="0">
      <w:start w:val="1"/>
      <w:numFmt w:val="upperLetter"/>
      <w:pStyle w:val="88"/>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0">
    <w:nsid w:val="1EAA1992"/>
    <w:multiLevelType w:val="multilevel"/>
    <w:tmpl w:val="1EAA1992"/>
    <w:lvl w:ilvl="0" w:tentative="0">
      <w:start w:val="1"/>
      <w:numFmt w:val="none"/>
      <w:pStyle w:val="95"/>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1">
    <w:nsid w:val="2C5917C3"/>
    <w:multiLevelType w:val="multilevel"/>
    <w:tmpl w:val="2C5917C3"/>
    <w:lvl w:ilvl="0" w:tentative="0">
      <w:start w:val="1"/>
      <w:numFmt w:val="none"/>
      <w:pStyle w:val="135"/>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90"/>
      <w:lvlText w:val=""/>
      <w:lvlJc w:val="left"/>
      <w:pPr>
        <w:ind w:left="851" w:hanging="431"/>
      </w:pPr>
      <w:rPr>
        <w:rFonts w:hint="default" w:ascii="Symbol" w:hAnsi="Symbol"/>
        <w:sz w:val="21"/>
      </w:rPr>
    </w:lvl>
    <w:lvl w:ilvl="2" w:tentative="0">
      <w:start w:val="1"/>
      <w:numFmt w:val="bullet"/>
      <w:pStyle w:val="175"/>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2">
    <w:nsid w:val="32F04FB2"/>
    <w:multiLevelType w:val="multilevel"/>
    <w:tmpl w:val="32F04FB2"/>
    <w:lvl w:ilvl="0" w:tentative="0">
      <w:start w:val="1"/>
      <w:numFmt w:val="lowerLetter"/>
      <w:pStyle w:val="104"/>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3">
    <w:nsid w:val="44C50F90"/>
    <w:multiLevelType w:val="multilevel"/>
    <w:tmpl w:val="44C50F90"/>
    <w:lvl w:ilvl="0" w:tentative="0">
      <w:start w:val="1"/>
      <w:numFmt w:val="lowerLetter"/>
      <w:pStyle w:val="177"/>
      <w:lvlText w:val="%1)"/>
      <w:lvlJc w:val="left"/>
      <w:pPr>
        <w:tabs>
          <w:tab w:val="left" w:pos="851"/>
        </w:tabs>
        <w:ind w:left="851" w:hanging="426"/>
      </w:pPr>
      <w:rPr>
        <w:rFonts w:hint="eastAsia" w:ascii="宋体" w:hAnsi="Times New Roman" w:eastAsia="宋体"/>
        <w:sz w:val="21"/>
      </w:rPr>
    </w:lvl>
    <w:lvl w:ilvl="1" w:tentative="0">
      <w:start w:val="1"/>
      <w:numFmt w:val="decimal"/>
      <w:pStyle w:val="112"/>
      <w:lvlText w:val="%2)"/>
      <w:lvlJc w:val="left"/>
      <w:pPr>
        <w:tabs>
          <w:tab w:val="left" w:pos="1276"/>
        </w:tabs>
        <w:ind w:left="1276" w:hanging="425"/>
      </w:pPr>
      <w:rPr>
        <w:rFonts w:hint="eastAsia" w:ascii="宋体" w:hAnsi="Times New Roman" w:eastAsia="宋体"/>
        <w:sz w:val="21"/>
      </w:rPr>
    </w:lvl>
    <w:lvl w:ilvl="2" w:tentative="0">
      <w:start w:val="1"/>
      <w:numFmt w:val="decimal"/>
      <w:pStyle w:val="120"/>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4">
    <w:nsid w:val="48802D1C"/>
    <w:multiLevelType w:val="multilevel"/>
    <w:tmpl w:val="48802D1C"/>
    <w:lvl w:ilvl="0" w:tentative="0">
      <w:start w:val="1"/>
      <w:numFmt w:val="upperLetter"/>
      <w:pStyle w:val="201"/>
      <w:lvlText w:val="%1"/>
      <w:lvlJc w:val="left"/>
      <w:pPr>
        <w:ind w:left="420" w:hanging="420"/>
      </w:pPr>
      <w:rPr>
        <w:rFonts w:hint="eastAsia"/>
      </w:rPr>
    </w:lvl>
    <w:lvl w:ilvl="1" w:tentative="0">
      <w:start w:val="1"/>
      <w:numFmt w:val="decimal"/>
      <w:pStyle w:val="86"/>
      <w:suff w:val="space"/>
      <w:lvlText w:val="图%1.%2 "/>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5">
    <w:nsid w:val="4B733A5F"/>
    <w:multiLevelType w:val="multilevel"/>
    <w:tmpl w:val="4B733A5F"/>
    <w:lvl w:ilvl="0" w:tentative="0">
      <w:start w:val="1"/>
      <w:numFmt w:val="decimal"/>
      <w:pStyle w:val="186"/>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6">
    <w:nsid w:val="4E5D0534"/>
    <w:multiLevelType w:val="multilevel"/>
    <w:tmpl w:val="4E5D0534"/>
    <w:lvl w:ilvl="0" w:tentative="0">
      <w:start w:val="1"/>
      <w:numFmt w:val="decimal"/>
      <w:pStyle w:val="119"/>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7">
    <w:nsid w:val="54632751"/>
    <w:multiLevelType w:val="multilevel"/>
    <w:tmpl w:val="54632751"/>
    <w:lvl w:ilvl="0" w:tentative="0">
      <w:start w:val="1"/>
      <w:numFmt w:val="none"/>
      <w:pStyle w:val="96"/>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8">
    <w:nsid w:val="557C2AF5"/>
    <w:multiLevelType w:val="multilevel"/>
    <w:tmpl w:val="557C2AF5"/>
    <w:lvl w:ilvl="0" w:tentative="0">
      <w:start w:val="1"/>
      <w:numFmt w:val="decimal"/>
      <w:pStyle w:val="117"/>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9">
    <w:nsid w:val="5603797C"/>
    <w:multiLevelType w:val="multilevel"/>
    <w:tmpl w:val="5603797C"/>
    <w:lvl w:ilvl="0" w:tentative="0">
      <w:start w:val="1"/>
      <w:numFmt w:val="upperLetter"/>
      <w:pStyle w:val="202"/>
      <w:suff w:val="space"/>
      <w:lvlText w:val="%1"/>
      <w:lvlJc w:val="left"/>
      <w:pPr>
        <w:ind w:left="425" w:hanging="425"/>
      </w:pPr>
      <w:rPr>
        <w:rFonts w:hint="eastAsia"/>
      </w:rPr>
    </w:lvl>
    <w:lvl w:ilvl="1" w:tentative="0">
      <w:start w:val="1"/>
      <w:numFmt w:val="decimal"/>
      <w:pStyle w:val="80"/>
      <w:suff w:val="space"/>
      <w:lvlText w:val="表%1.%2 "/>
      <w:lvlJc w:val="center"/>
      <w:pPr>
        <w:ind w:left="0" w:firstLine="0"/>
      </w:pPr>
      <w:rPr>
        <w:rFonts w:hint="default" w:ascii="Times New Roman" w:hAnsi="Times New Roman" w:eastAsia="黑体" w:cs="Times New Roman"/>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0">
    <w:nsid w:val="564D2089"/>
    <w:multiLevelType w:val="multilevel"/>
    <w:tmpl w:val="564D2089"/>
    <w:lvl w:ilvl="0" w:tentative="0">
      <w:start w:val="1"/>
      <w:numFmt w:val="none"/>
      <w:pStyle w:val="114"/>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644622F9"/>
    <w:multiLevelType w:val="multilevel"/>
    <w:tmpl w:val="644622F9"/>
    <w:lvl w:ilvl="0" w:tentative="0">
      <w:start w:val="1"/>
      <w:numFmt w:val="upperRoman"/>
      <w:pStyle w:val="171"/>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2">
    <w:nsid w:val="646260FA"/>
    <w:multiLevelType w:val="multilevel"/>
    <w:tmpl w:val="646260FA"/>
    <w:lvl w:ilvl="0" w:tentative="0">
      <w:start w:val="1"/>
      <w:numFmt w:val="decimal"/>
      <w:pStyle w:val="115"/>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3">
    <w:nsid w:val="654A26C9"/>
    <w:multiLevelType w:val="multilevel"/>
    <w:tmpl w:val="654A26C9"/>
    <w:lvl w:ilvl="0" w:tentative="0">
      <w:start w:val="1"/>
      <w:numFmt w:val="none"/>
      <w:pStyle w:val="192"/>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4">
    <w:nsid w:val="657D3FBC"/>
    <w:multiLevelType w:val="multilevel"/>
    <w:tmpl w:val="657D3FBC"/>
    <w:lvl w:ilvl="0" w:tentative="0">
      <w:start w:val="1"/>
      <w:numFmt w:val="upperLetter"/>
      <w:pStyle w:val="79"/>
      <w:suff w:val="nothing"/>
      <w:lvlText w:val="附录%1"/>
      <w:lvlJc w:val="left"/>
      <w:pPr>
        <w:ind w:left="0" w:firstLine="0"/>
      </w:pPr>
      <w:rPr>
        <w:rFonts w:hint="eastAsia"/>
        <w:spacing w:val="100"/>
      </w:rPr>
    </w:lvl>
    <w:lvl w:ilvl="1" w:tentative="0">
      <w:start w:val="1"/>
      <w:numFmt w:val="decimal"/>
      <w:pStyle w:val="81"/>
      <w:suff w:val="nothing"/>
      <w:lvlText w:val="%1.%2　"/>
      <w:lvlJc w:val="left"/>
      <w:pPr>
        <w:ind w:left="0" w:firstLine="0"/>
      </w:pPr>
      <w:rPr>
        <w:rFonts w:hint="eastAsia" w:ascii="黑体" w:eastAsia="黑体"/>
        <w:b w:val="0"/>
        <w:i w:val="0"/>
        <w:sz w:val="21"/>
      </w:rPr>
    </w:lvl>
    <w:lvl w:ilvl="2" w:tentative="0">
      <w:start w:val="1"/>
      <w:numFmt w:val="decimal"/>
      <w:pStyle w:val="82"/>
      <w:suff w:val="nothing"/>
      <w:lvlText w:val="%1.%2.%3　"/>
      <w:lvlJc w:val="left"/>
      <w:pPr>
        <w:ind w:left="0" w:firstLine="0"/>
      </w:pPr>
      <w:rPr>
        <w:rFonts w:hint="eastAsia" w:ascii="黑体" w:eastAsia="黑体"/>
        <w:b w:val="0"/>
        <w:i w:val="0"/>
        <w:sz w:val="21"/>
      </w:rPr>
    </w:lvl>
    <w:lvl w:ilvl="3" w:tentative="0">
      <w:start w:val="1"/>
      <w:numFmt w:val="decimal"/>
      <w:pStyle w:val="84"/>
      <w:suff w:val="nothing"/>
      <w:lvlText w:val="%1.%2.%3.%4　"/>
      <w:lvlJc w:val="left"/>
      <w:pPr>
        <w:ind w:left="0" w:firstLine="0"/>
      </w:pPr>
      <w:rPr>
        <w:rFonts w:hint="eastAsia" w:ascii="黑体" w:eastAsia="黑体"/>
        <w:b w:val="0"/>
        <w:i w:val="0"/>
        <w:sz w:val="21"/>
      </w:rPr>
    </w:lvl>
    <w:lvl w:ilvl="4" w:tentative="0">
      <w:start w:val="1"/>
      <w:numFmt w:val="decimal"/>
      <w:pStyle w:val="85"/>
      <w:suff w:val="nothing"/>
      <w:lvlText w:val="%1.%2.%3.%4.%5　"/>
      <w:lvlJc w:val="left"/>
      <w:pPr>
        <w:ind w:left="0" w:firstLine="0"/>
      </w:pPr>
      <w:rPr>
        <w:rFonts w:hint="eastAsia" w:ascii="黑体" w:eastAsia="黑体"/>
        <w:b w:val="0"/>
        <w:i w:val="0"/>
        <w:sz w:val="21"/>
      </w:rPr>
    </w:lvl>
    <w:lvl w:ilvl="5" w:tentative="0">
      <w:start w:val="1"/>
      <w:numFmt w:val="decimal"/>
      <w:pStyle w:val="87"/>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5">
    <w:nsid w:val="69506ABF"/>
    <w:multiLevelType w:val="multilevel"/>
    <w:tmpl w:val="69506ABF"/>
    <w:lvl w:ilvl="0" w:tentative="0">
      <w:start w:val="1"/>
      <w:numFmt w:val="bullet"/>
      <w:pStyle w:val="191"/>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6">
    <w:nsid w:val="6CA41985"/>
    <w:multiLevelType w:val="multilevel"/>
    <w:tmpl w:val="6CA41985"/>
    <w:lvl w:ilvl="0" w:tentative="0">
      <w:start w:val="1"/>
      <w:numFmt w:val="decimal"/>
      <w:pStyle w:val="100"/>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7">
    <w:nsid w:val="6CE42AC1"/>
    <w:multiLevelType w:val="multilevel"/>
    <w:tmpl w:val="6CE42AC1"/>
    <w:lvl w:ilvl="0" w:tentative="0">
      <w:start w:val="1"/>
      <w:numFmt w:val="lowerLetter"/>
      <w:pStyle w:val="176"/>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8">
    <w:nsid w:val="6CEA2025"/>
    <w:multiLevelType w:val="multilevel"/>
    <w:tmpl w:val="6CEA2025"/>
    <w:lvl w:ilvl="0" w:tentative="0">
      <w:start w:val="1"/>
      <w:numFmt w:val="none"/>
      <w:pStyle w:val="155"/>
      <w:suff w:val="nothing"/>
      <w:lvlText w:val="%1"/>
      <w:lvlJc w:val="left"/>
      <w:pPr>
        <w:ind w:left="0" w:firstLine="0"/>
      </w:pPr>
      <w:rPr>
        <w:rFonts w:hint="eastAsia"/>
      </w:rPr>
    </w:lvl>
    <w:lvl w:ilvl="1" w:tentative="0">
      <w:start w:val="1"/>
      <w:numFmt w:val="decimal"/>
      <w:pStyle w:val="107"/>
      <w:suff w:val="nothing"/>
      <w:lvlText w:val="%1%2　"/>
      <w:lvlJc w:val="left"/>
      <w:pPr>
        <w:ind w:left="0" w:firstLine="0"/>
      </w:pPr>
      <w:rPr>
        <w:rFonts w:hint="eastAsia" w:ascii="黑体" w:eastAsia="黑体"/>
        <w:b w:val="0"/>
        <w:i w:val="0"/>
        <w:sz w:val="21"/>
      </w:rPr>
    </w:lvl>
    <w:lvl w:ilvl="2" w:tentative="0">
      <w:start w:val="1"/>
      <w:numFmt w:val="decimal"/>
      <w:pStyle w:val="108"/>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3" w:tentative="0">
      <w:start w:val="1"/>
      <w:numFmt w:val="decimal"/>
      <w:pStyle w:val="68"/>
      <w:suff w:val="nothing"/>
      <w:lvlText w:val="%1%2.%3.%4　"/>
      <w:lvlJc w:val="left"/>
      <w:pPr>
        <w:ind w:left="0" w:firstLine="0"/>
      </w:pPr>
      <w:rPr>
        <w:rFonts w:hint="eastAsia" w:ascii="黑体" w:eastAsia="黑体"/>
        <w:b w:val="0"/>
        <w:i w:val="0"/>
        <w:sz w:val="21"/>
      </w:rPr>
    </w:lvl>
    <w:lvl w:ilvl="4" w:tentative="0">
      <w:start w:val="1"/>
      <w:numFmt w:val="decimal"/>
      <w:pStyle w:val="97"/>
      <w:suff w:val="nothing"/>
      <w:lvlText w:val="%1%2.%3.%4.%5　"/>
      <w:lvlJc w:val="left"/>
      <w:pPr>
        <w:ind w:left="0" w:firstLine="0"/>
      </w:pPr>
      <w:rPr>
        <w:rFonts w:hint="eastAsia" w:ascii="黑体" w:eastAsia="黑体"/>
        <w:b w:val="0"/>
        <w:i w:val="0"/>
        <w:sz w:val="21"/>
      </w:rPr>
    </w:lvl>
    <w:lvl w:ilvl="5" w:tentative="0">
      <w:start w:val="1"/>
      <w:numFmt w:val="decimal"/>
      <w:pStyle w:val="101"/>
      <w:suff w:val="nothing"/>
      <w:lvlText w:val="%1%2.%3.%4.%5.%6　"/>
      <w:lvlJc w:val="left"/>
      <w:pPr>
        <w:ind w:left="0" w:firstLine="0"/>
      </w:pPr>
      <w:rPr>
        <w:rFonts w:hint="eastAsia" w:ascii="黑体" w:eastAsia="黑体"/>
        <w:b w:val="0"/>
        <w:i w:val="0"/>
        <w:sz w:val="21"/>
      </w:rPr>
    </w:lvl>
    <w:lvl w:ilvl="6" w:tentative="0">
      <w:start w:val="1"/>
      <w:numFmt w:val="decimal"/>
      <w:pStyle w:val="106"/>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9">
    <w:nsid w:val="6DBF04F4"/>
    <w:multiLevelType w:val="multilevel"/>
    <w:tmpl w:val="6DBF04F4"/>
    <w:lvl w:ilvl="0" w:tentative="0">
      <w:start w:val="1"/>
      <w:numFmt w:val="none"/>
      <w:pStyle w:val="182"/>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30">
    <w:nsid w:val="6DF35F19"/>
    <w:multiLevelType w:val="multilevel"/>
    <w:tmpl w:val="6DF35F19"/>
    <w:lvl w:ilvl="0" w:tentative="0">
      <w:start w:val="1"/>
      <w:numFmt w:val="decimal"/>
      <w:pStyle w:val="118"/>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1">
    <w:nsid w:val="76933334"/>
    <w:multiLevelType w:val="multilevel"/>
    <w:tmpl w:val="76933334"/>
    <w:lvl w:ilvl="0" w:tentative="0">
      <w:start w:val="1"/>
      <w:numFmt w:val="none"/>
      <w:pStyle w:val="142"/>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8"/>
  </w:num>
  <w:num w:numId="3">
    <w:abstractNumId w:val="5"/>
  </w:num>
  <w:num w:numId="4">
    <w:abstractNumId w:val="24"/>
  </w:num>
  <w:num w:numId="5">
    <w:abstractNumId w:val="19"/>
  </w:num>
  <w:num w:numId="6">
    <w:abstractNumId w:val="14"/>
  </w:num>
  <w:num w:numId="7">
    <w:abstractNumId w:val="9"/>
  </w:num>
  <w:num w:numId="8">
    <w:abstractNumId w:val="3"/>
  </w:num>
  <w:num w:numId="9">
    <w:abstractNumId w:val="10"/>
  </w:num>
  <w:num w:numId="10">
    <w:abstractNumId w:val="17"/>
  </w:num>
  <w:num w:numId="11">
    <w:abstractNumId w:val="26"/>
  </w:num>
  <w:num w:numId="12">
    <w:abstractNumId w:val="12"/>
  </w:num>
  <w:num w:numId="13">
    <w:abstractNumId w:val="13"/>
  </w:num>
  <w:num w:numId="14">
    <w:abstractNumId w:val="8"/>
  </w:num>
  <w:num w:numId="15">
    <w:abstractNumId w:val="20"/>
  </w:num>
  <w:num w:numId="16">
    <w:abstractNumId w:val="22"/>
  </w:num>
  <w:num w:numId="17">
    <w:abstractNumId w:val="18"/>
  </w:num>
  <w:num w:numId="18">
    <w:abstractNumId w:val="30"/>
  </w:num>
  <w:num w:numId="19">
    <w:abstractNumId w:val="16"/>
  </w:num>
  <w:num w:numId="20">
    <w:abstractNumId w:val="1"/>
  </w:num>
  <w:num w:numId="21">
    <w:abstractNumId w:val="11"/>
  </w:num>
  <w:num w:numId="22">
    <w:abstractNumId w:val="31"/>
  </w:num>
  <w:num w:numId="23">
    <w:abstractNumId w:val="21"/>
  </w:num>
  <w:num w:numId="24">
    <w:abstractNumId w:val="6"/>
  </w:num>
  <w:num w:numId="25">
    <w:abstractNumId w:val="27"/>
  </w:num>
  <w:num w:numId="26">
    <w:abstractNumId w:val="29"/>
  </w:num>
  <w:num w:numId="27">
    <w:abstractNumId w:val="2"/>
  </w:num>
  <w:num w:numId="28">
    <w:abstractNumId w:val="4"/>
  </w:num>
  <w:num w:numId="29">
    <w:abstractNumId w:val="15"/>
  </w:num>
  <w:num w:numId="30">
    <w:abstractNumId w:val="25"/>
  </w:num>
  <w:num w:numId="31">
    <w:abstractNumId w:val="23"/>
  </w:num>
  <w:num w:numId="3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attachedTemplate r:id="rId1"/>
  <w:documentProtection w:edit="forms"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0865"/>
    <w:rsid w:val="0000040A"/>
    <w:rsid w:val="00000A94"/>
    <w:rsid w:val="00001972"/>
    <w:rsid w:val="00001D9A"/>
    <w:rsid w:val="00002D44"/>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6D45"/>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56F6"/>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77DDE"/>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1F9C"/>
    <w:rsid w:val="00262696"/>
    <w:rsid w:val="00263D25"/>
    <w:rsid w:val="002643C3"/>
    <w:rsid w:val="00264A0C"/>
    <w:rsid w:val="00266EEB"/>
    <w:rsid w:val="00267EF4"/>
    <w:rsid w:val="00270CB8"/>
    <w:rsid w:val="00272B08"/>
    <w:rsid w:val="00280F59"/>
    <w:rsid w:val="00281BB8"/>
    <w:rsid w:val="00281E9E"/>
    <w:rsid w:val="00282405"/>
    <w:rsid w:val="00283AA7"/>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1C6"/>
    <w:rsid w:val="002A4CEA"/>
    <w:rsid w:val="002A5977"/>
    <w:rsid w:val="002A5A13"/>
    <w:rsid w:val="002A757F"/>
    <w:rsid w:val="002A7F44"/>
    <w:rsid w:val="002B0C40"/>
    <w:rsid w:val="002B1966"/>
    <w:rsid w:val="002B4508"/>
    <w:rsid w:val="002B5779"/>
    <w:rsid w:val="002B706F"/>
    <w:rsid w:val="002B7332"/>
    <w:rsid w:val="002B7F51"/>
    <w:rsid w:val="002C09E7"/>
    <w:rsid w:val="002C1E06"/>
    <w:rsid w:val="002C3F07"/>
    <w:rsid w:val="002C5278"/>
    <w:rsid w:val="002C5861"/>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70E"/>
    <w:rsid w:val="00313B85"/>
    <w:rsid w:val="00314FBC"/>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2DA8"/>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03D0"/>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3F62F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4A5D"/>
    <w:rsid w:val="004D7C42"/>
    <w:rsid w:val="004E0465"/>
    <w:rsid w:val="004E127B"/>
    <w:rsid w:val="004E1C0A"/>
    <w:rsid w:val="004E30C5"/>
    <w:rsid w:val="004E4AA5"/>
    <w:rsid w:val="004E4AEE"/>
    <w:rsid w:val="004E59E3"/>
    <w:rsid w:val="004E67C0"/>
    <w:rsid w:val="004F37A4"/>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ECF"/>
    <w:rsid w:val="00523F95"/>
    <w:rsid w:val="00524D65"/>
    <w:rsid w:val="00525B16"/>
    <w:rsid w:val="00530E09"/>
    <w:rsid w:val="00533D04"/>
    <w:rsid w:val="0053471C"/>
    <w:rsid w:val="00534804"/>
    <w:rsid w:val="00534BDF"/>
    <w:rsid w:val="005354EA"/>
    <w:rsid w:val="0053585F"/>
    <w:rsid w:val="00535EC4"/>
    <w:rsid w:val="00535ED9"/>
    <w:rsid w:val="005361BD"/>
    <w:rsid w:val="0053692B"/>
    <w:rsid w:val="0054138E"/>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0BAE"/>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A3D27"/>
    <w:rsid w:val="006B179F"/>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E28E0"/>
    <w:rsid w:val="006F03A8"/>
    <w:rsid w:val="006F0BA4"/>
    <w:rsid w:val="006F2ACA"/>
    <w:rsid w:val="006F2ADC"/>
    <w:rsid w:val="006F2BFE"/>
    <w:rsid w:val="006F31E9"/>
    <w:rsid w:val="006F6284"/>
    <w:rsid w:val="007002C5"/>
    <w:rsid w:val="00704387"/>
    <w:rsid w:val="00707669"/>
    <w:rsid w:val="00711CBA"/>
    <w:rsid w:val="00711FB5"/>
    <w:rsid w:val="00712A01"/>
    <w:rsid w:val="00714F58"/>
    <w:rsid w:val="00715E4E"/>
    <w:rsid w:val="00722FBF"/>
    <w:rsid w:val="00722FC2"/>
    <w:rsid w:val="00724E1B"/>
    <w:rsid w:val="00725949"/>
    <w:rsid w:val="00727FA2"/>
    <w:rsid w:val="00731486"/>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050C7"/>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26A8"/>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67F0A"/>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3D92"/>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5609D"/>
    <w:rsid w:val="00960F1E"/>
    <w:rsid w:val="009610DC"/>
    <w:rsid w:val="00961490"/>
    <w:rsid w:val="0096381A"/>
    <w:rsid w:val="00965E04"/>
    <w:rsid w:val="009674AD"/>
    <w:rsid w:val="00970CDC"/>
    <w:rsid w:val="00975727"/>
    <w:rsid w:val="00977010"/>
    <w:rsid w:val="00977D02"/>
    <w:rsid w:val="00977FF9"/>
    <w:rsid w:val="009809BB"/>
    <w:rsid w:val="00981166"/>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5903"/>
    <w:rsid w:val="009A72AD"/>
    <w:rsid w:val="009B09E0"/>
    <w:rsid w:val="009B0BC5"/>
    <w:rsid w:val="009B10B1"/>
    <w:rsid w:val="009B1247"/>
    <w:rsid w:val="009B6029"/>
    <w:rsid w:val="009B6971"/>
    <w:rsid w:val="009C27F1"/>
    <w:rsid w:val="009C3152"/>
    <w:rsid w:val="009C3257"/>
    <w:rsid w:val="009C4CFA"/>
    <w:rsid w:val="009C5070"/>
    <w:rsid w:val="009D112C"/>
    <w:rsid w:val="009D1385"/>
    <w:rsid w:val="009D2C24"/>
    <w:rsid w:val="009D47FA"/>
    <w:rsid w:val="009D4C5B"/>
    <w:rsid w:val="009D50D2"/>
    <w:rsid w:val="009D6BCA"/>
    <w:rsid w:val="009E0F62"/>
    <w:rsid w:val="009E4A58"/>
    <w:rsid w:val="009E5A2D"/>
    <w:rsid w:val="009E5AB2"/>
    <w:rsid w:val="009E60C7"/>
    <w:rsid w:val="009E6219"/>
    <w:rsid w:val="009E68BA"/>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0865"/>
    <w:rsid w:val="00A41C79"/>
    <w:rsid w:val="00A41CB5"/>
    <w:rsid w:val="00A42CDF"/>
    <w:rsid w:val="00A4452E"/>
    <w:rsid w:val="00A4472C"/>
    <w:rsid w:val="00A44E69"/>
    <w:rsid w:val="00A4661E"/>
    <w:rsid w:val="00A55BD6"/>
    <w:rsid w:val="00A55D50"/>
    <w:rsid w:val="00A57142"/>
    <w:rsid w:val="00A60FA9"/>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26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6980"/>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27B9"/>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1F25"/>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53DE"/>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5AF1"/>
    <w:rsid w:val="00DA64F8"/>
    <w:rsid w:val="00DA6C15"/>
    <w:rsid w:val="00DB0258"/>
    <w:rsid w:val="00DB286E"/>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5624"/>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26C0"/>
    <w:rsid w:val="00EA58D1"/>
    <w:rsid w:val="00EA61BC"/>
    <w:rsid w:val="00EA681A"/>
    <w:rsid w:val="00EA735B"/>
    <w:rsid w:val="00EB1E69"/>
    <w:rsid w:val="00EB2086"/>
    <w:rsid w:val="00EB31ED"/>
    <w:rsid w:val="00EB409A"/>
    <w:rsid w:val="00EB5EDF"/>
    <w:rsid w:val="00EB60FE"/>
    <w:rsid w:val="00EB74DB"/>
    <w:rsid w:val="00EC5359"/>
    <w:rsid w:val="00EC562A"/>
    <w:rsid w:val="00ED067A"/>
    <w:rsid w:val="00ED2B50"/>
    <w:rsid w:val="00ED75C2"/>
    <w:rsid w:val="00EE0350"/>
    <w:rsid w:val="00EE0719"/>
    <w:rsid w:val="00EE0E80"/>
    <w:rsid w:val="00EE613F"/>
    <w:rsid w:val="00EE7295"/>
    <w:rsid w:val="00EE7869"/>
    <w:rsid w:val="00EF054A"/>
    <w:rsid w:val="00EF3235"/>
    <w:rsid w:val="00EF7076"/>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39A10EE"/>
    <w:rsid w:val="051A4983"/>
    <w:rsid w:val="16220814"/>
    <w:rsid w:val="334F2132"/>
    <w:rsid w:val="359F7EE4"/>
    <w:rsid w:val="52D21ADD"/>
    <w:rsid w:val="61BE16CF"/>
    <w:rsid w:val="6D4F440A"/>
    <w:rsid w:val="74001844"/>
    <w:rsid w:val="7AF10472"/>
    <w:rsid w:val="7C1658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8"/>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9"/>
    <w:qFormat/>
    <w:uiPriority w:val="0"/>
    <w:pPr>
      <w:keepNext/>
      <w:keepLines/>
      <w:spacing w:before="260" w:after="260" w:line="416" w:lineRule="auto"/>
      <w:outlineLvl w:val="2"/>
    </w:pPr>
    <w:rPr>
      <w:b/>
      <w:bCs/>
      <w:sz w:val="32"/>
      <w:szCs w:val="32"/>
    </w:rPr>
  </w:style>
  <w:style w:type="paragraph" w:styleId="5">
    <w:name w:val="heading 4"/>
    <w:basedOn w:val="1"/>
    <w:next w:val="1"/>
    <w:link w:val="40"/>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41"/>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2"/>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3"/>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4"/>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5"/>
    <w:qFormat/>
    <w:uiPriority w:val="0"/>
    <w:pPr>
      <w:keepNext/>
      <w:keepLines/>
      <w:adjustRightInd/>
      <w:spacing w:before="240" w:after="64" w:line="320" w:lineRule="auto"/>
      <w:outlineLvl w:val="8"/>
    </w:pPr>
    <w:rPr>
      <w:rFonts w:ascii="Arial" w:hAnsi="Arial" w:eastAsia="黑体"/>
    </w:rPr>
  </w:style>
  <w:style w:type="character" w:default="1" w:styleId="30">
    <w:name w:val="Default Paragraph Font"/>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annotation text"/>
    <w:basedOn w:val="1"/>
    <w:link w:val="236"/>
    <w:semiHidden/>
    <w:unhideWhenUsed/>
    <w:qFormat/>
    <w:uiPriority w:val="99"/>
    <w:pPr>
      <w:jc w:val="left"/>
    </w:pPr>
  </w:style>
  <w:style w:type="paragraph" w:styleId="14">
    <w:name w:val="Body Text"/>
    <w:basedOn w:val="1"/>
    <w:link w:val="89"/>
    <w:qFormat/>
    <w:uiPriority w:val="0"/>
    <w:pPr>
      <w:spacing w:after="120"/>
    </w:pPr>
  </w:style>
  <w:style w:type="paragraph" w:styleId="15">
    <w:name w:val="toc 5"/>
    <w:basedOn w:val="1"/>
    <w:next w:val="1"/>
    <w:autoRedefine/>
    <w:unhideWhenUsed/>
    <w:qFormat/>
    <w:uiPriority w:val="39"/>
    <w:pPr>
      <w:ind w:left="839"/>
    </w:pPr>
    <w:rPr>
      <w:rFonts w:ascii="宋体"/>
    </w:rPr>
  </w:style>
  <w:style w:type="paragraph" w:styleId="16">
    <w:name w:val="toc 3"/>
    <w:basedOn w:val="1"/>
    <w:next w:val="1"/>
    <w:autoRedefine/>
    <w:unhideWhenUsed/>
    <w:qFormat/>
    <w:uiPriority w:val="39"/>
    <w:pPr>
      <w:spacing w:line="300" w:lineRule="exact"/>
      <w:ind w:left="420"/>
    </w:pPr>
    <w:rPr>
      <w:rFonts w:ascii="宋体"/>
    </w:rPr>
  </w:style>
  <w:style w:type="paragraph" w:styleId="17">
    <w:name w:val="Balloon Text"/>
    <w:basedOn w:val="1"/>
    <w:link w:val="48"/>
    <w:semiHidden/>
    <w:unhideWhenUsed/>
    <w:qFormat/>
    <w:uiPriority w:val="99"/>
    <w:rPr>
      <w:sz w:val="18"/>
      <w:szCs w:val="18"/>
    </w:rPr>
  </w:style>
  <w:style w:type="paragraph" w:styleId="18">
    <w:name w:val="footer"/>
    <w:basedOn w:val="1"/>
    <w:link w:val="47"/>
    <w:qFormat/>
    <w:uiPriority w:val="99"/>
    <w:pPr>
      <w:tabs>
        <w:tab w:val="center" w:pos="4153"/>
        <w:tab w:val="right" w:pos="8306"/>
      </w:tabs>
      <w:adjustRightInd/>
      <w:snapToGrid w:val="0"/>
      <w:spacing w:line="240" w:lineRule="auto"/>
      <w:jc w:val="right"/>
    </w:pPr>
    <w:rPr>
      <w:rFonts w:ascii="宋体"/>
      <w:sz w:val="18"/>
      <w:szCs w:val="18"/>
    </w:rPr>
  </w:style>
  <w:style w:type="paragraph" w:styleId="19">
    <w:name w:val="header"/>
    <w:basedOn w:val="1"/>
    <w:link w:val="46"/>
    <w:qFormat/>
    <w:uiPriority w:val="99"/>
    <w:pPr>
      <w:tabs>
        <w:tab w:val="center" w:pos="4153"/>
        <w:tab w:val="right" w:pos="8306"/>
      </w:tabs>
      <w:adjustRightInd/>
      <w:snapToGrid w:val="0"/>
      <w:jc w:val="center"/>
    </w:pPr>
    <w:rPr>
      <w:sz w:val="18"/>
      <w:szCs w:val="18"/>
    </w:rPr>
  </w:style>
  <w:style w:type="paragraph" w:styleId="20">
    <w:name w:val="toc 1"/>
    <w:basedOn w:val="1"/>
    <w:next w:val="1"/>
    <w:autoRedefine/>
    <w:unhideWhenUsed/>
    <w:qFormat/>
    <w:uiPriority w:val="39"/>
    <w:rPr>
      <w:rFonts w:ascii="宋体"/>
    </w:rPr>
  </w:style>
  <w:style w:type="paragraph" w:styleId="21">
    <w:name w:val="toc 4"/>
    <w:basedOn w:val="1"/>
    <w:next w:val="1"/>
    <w:autoRedefine/>
    <w:unhideWhenUsed/>
    <w:qFormat/>
    <w:uiPriority w:val="39"/>
    <w:pPr>
      <w:tabs>
        <w:tab w:val="right" w:leader="dot" w:pos="9344"/>
      </w:tabs>
      <w:spacing w:line="300" w:lineRule="exact"/>
      <w:ind w:left="629"/>
    </w:pPr>
    <w:rPr>
      <w:rFonts w:ascii="宋体"/>
    </w:rPr>
  </w:style>
  <w:style w:type="paragraph" w:styleId="22">
    <w:name w:val="footnote text"/>
    <w:basedOn w:val="1"/>
    <w:next w:val="1"/>
    <w:link w:val="102"/>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3">
    <w:name w:val="toc 6"/>
    <w:basedOn w:val="1"/>
    <w:next w:val="1"/>
    <w:autoRedefine/>
    <w:unhideWhenUsed/>
    <w:qFormat/>
    <w:uiPriority w:val="39"/>
    <w:pPr>
      <w:spacing w:line="300" w:lineRule="exact"/>
      <w:ind w:left="1049"/>
    </w:pPr>
    <w:rPr>
      <w:rFonts w:ascii="宋体"/>
    </w:rPr>
  </w:style>
  <w:style w:type="paragraph" w:styleId="24">
    <w:name w:val="table of figures"/>
    <w:basedOn w:val="1"/>
    <w:next w:val="1"/>
    <w:semiHidden/>
    <w:qFormat/>
    <w:uiPriority w:val="0"/>
    <w:pPr>
      <w:adjustRightInd/>
      <w:spacing w:line="240" w:lineRule="auto"/>
      <w:jc w:val="left"/>
    </w:pPr>
    <w:rPr>
      <w:szCs w:val="24"/>
    </w:rPr>
  </w:style>
  <w:style w:type="paragraph" w:styleId="25">
    <w:name w:val="toc 2"/>
    <w:basedOn w:val="1"/>
    <w:next w:val="1"/>
    <w:autoRedefine/>
    <w:unhideWhenUsed/>
    <w:qFormat/>
    <w:uiPriority w:val="39"/>
    <w:pPr>
      <w:tabs>
        <w:tab w:val="right" w:leader="dot" w:pos="9344"/>
      </w:tabs>
      <w:spacing w:line="300" w:lineRule="exact"/>
      <w:ind w:left="210"/>
    </w:pPr>
    <w:rPr>
      <w:rFonts w:ascii="宋体"/>
    </w:rPr>
  </w:style>
  <w:style w:type="paragraph" w:styleId="26">
    <w:name w:val="Title"/>
    <w:basedOn w:val="1"/>
    <w:link w:val="51"/>
    <w:qFormat/>
    <w:uiPriority w:val="0"/>
    <w:pPr>
      <w:spacing w:before="240" w:after="60"/>
      <w:jc w:val="center"/>
      <w:outlineLvl w:val="0"/>
    </w:pPr>
    <w:rPr>
      <w:rFonts w:ascii="Arial" w:hAnsi="Arial" w:cs="Arial"/>
      <w:b/>
      <w:bCs/>
      <w:sz w:val="32"/>
      <w:szCs w:val="32"/>
    </w:rPr>
  </w:style>
  <w:style w:type="paragraph" w:styleId="27">
    <w:name w:val="annotation subject"/>
    <w:basedOn w:val="13"/>
    <w:next w:val="13"/>
    <w:link w:val="237"/>
    <w:semiHidden/>
    <w:unhideWhenUsed/>
    <w:qFormat/>
    <w:uiPriority w:val="99"/>
    <w:rPr>
      <w:b/>
      <w:bCs/>
    </w:rPr>
  </w:style>
  <w:style w:type="table" w:styleId="29">
    <w:name w:val="Table Grid"/>
    <w:basedOn w:val="2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Strong"/>
    <w:qFormat/>
    <w:uiPriority w:val="22"/>
    <w:rPr>
      <w:b/>
      <w:bCs/>
    </w:rPr>
  </w:style>
  <w:style w:type="character" w:styleId="32">
    <w:name w:val="page number"/>
    <w:qFormat/>
    <w:uiPriority w:val="0"/>
    <w:rPr>
      <w:rFonts w:ascii="宋体" w:hAnsi="Times New Roman" w:eastAsia="宋体"/>
      <w:sz w:val="18"/>
    </w:rPr>
  </w:style>
  <w:style w:type="character" w:styleId="33">
    <w:name w:val="Emphasis"/>
    <w:qFormat/>
    <w:uiPriority w:val="20"/>
    <w:rPr>
      <w:i/>
      <w:iCs/>
    </w:rPr>
  </w:style>
  <w:style w:type="character" w:styleId="34">
    <w:name w:val="Hyperlink"/>
    <w:qFormat/>
    <w:uiPriority w:val="99"/>
    <w:rPr>
      <w:rFonts w:ascii="宋体" w:hAnsi="Times New Roman" w:eastAsia="宋体"/>
      <w:color w:val="auto"/>
      <w:spacing w:val="0"/>
      <w:w w:val="100"/>
      <w:position w:val="0"/>
      <w:sz w:val="21"/>
      <w:u w:val="none"/>
      <w:vertAlign w:val="baseline"/>
    </w:rPr>
  </w:style>
  <w:style w:type="character" w:styleId="35">
    <w:name w:val="annotation reference"/>
    <w:basedOn w:val="30"/>
    <w:semiHidden/>
    <w:unhideWhenUsed/>
    <w:qFormat/>
    <w:uiPriority w:val="99"/>
    <w:rPr>
      <w:sz w:val="21"/>
      <w:szCs w:val="21"/>
    </w:rPr>
  </w:style>
  <w:style w:type="character" w:styleId="36">
    <w:name w:val="footnote reference"/>
    <w:semiHidden/>
    <w:qFormat/>
    <w:uiPriority w:val="0"/>
    <w:rPr>
      <w:rFonts w:ascii="宋体" w:hAnsi="宋体" w:eastAsia="宋体" w:cs="Times New Roman"/>
      <w:spacing w:val="0"/>
      <w:sz w:val="18"/>
      <w:vertAlign w:val="superscript"/>
    </w:rPr>
  </w:style>
  <w:style w:type="character" w:customStyle="1" w:styleId="37">
    <w:name w:val="标题 1 字符"/>
    <w:link w:val="2"/>
    <w:qFormat/>
    <w:uiPriority w:val="0"/>
    <w:rPr>
      <w:b/>
      <w:bCs/>
      <w:kern w:val="44"/>
      <w:sz w:val="44"/>
      <w:szCs w:val="44"/>
    </w:rPr>
  </w:style>
  <w:style w:type="character" w:customStyle="1" w:styleId="38">
    <w:name w:val="标题 2 字符"/>
    <w:link w:val="3"/>
    <w:qFormat/>
    <w:uiPriority w:val="0"/>
    <w:rPr>
      <w:rFonts w:ascii="Arial" w:hAnsi="Arial" w:eastAsia="黑体"/>
      <w:b/>
      <w:bCs/>
      <w:kern w:val="2"/>
      <w:sz w:val="32"/>
      <w:szCs w:val="32"/>
    </w:rPr>
  </w:style>
  <w:style w:type="character" w:customStyle="1" w:styleId="39">
    <w:name w:val="标题 3 字符"/>
    <w:link w:val="4"/>
    <w:qFormat/>
    <w:uiPriority w:val="0"/>
    <w:rPr>
      <w:b/>
      <w:bCs/>
      <w:kern w:val="2"/>
      <w:sz w:val="32"/>
      <w:szCs w:val="32"/>
    </w:rPr>
  </w:style>
  <w:style w:type="character" w:customStyle="1" w:styleId="40">
    <w:name w:val="标题 4 字符"/>
    <w:link w:val="5"/>
    <w:qFormat/>
    <w:uiPriority w:val="0"/>
    <w:rPr>
      <w:rFonts w:ascii="Arial" w:hAnsi="Arial" w:eastAsia="黑体"/>
      <w:b/>
      <w:bCs/>
      <w:kern w:val="2"/>
      <w:sz w:val="28"/>
      <w:szCs w:val="28"/>
    </w:rPr>
  </w:style>
  <w:style w:type="character" w:customStyle="1" w:styleId="41">
    <w:name w:val="标题 5 字符"/>
    <w:link w:val="6"/>
    <w:qFormat/>
    <w:uiPriority w:val="0"/>
    <w:rPr>
      <w:b/>
      <w:bCs/>
      <w:kern w:val="2"/>
      <w:sz w:val="28"/>
      <w:szCs w:val="28"/>
    </w:rPr>
  </w:style>
  <w:style w:type="character" w:customStyle="1" w:styleId="42">
    <w:name w:val="标题 6 字符"/>
    <w:link w:val="7"/>
    <w:qFormat/>
    <w:uiPriority w:val="0"/>
    <w:rPr>
      <w:rFonts w:ascii="Arial" w:hAnsi="Arial" w:eastAsia="黑体"/>
      <w:b/>
      <w:bCs/>
      <w:kern w:val="2"/>
      <w:sz w:val="24"/>
      <w:szCs w:val="24"/>
    </w:rPr>
  </w:style>
  <w:style w:type="character" w:customStyle="1" w:styleId="43">
    <w:name w:val="标题 7 字符"/>
    <w:link w:val="8"/>
    <w:qFormat/>
    <w:uiPriority w:val="0"/>
    <w:rPr>
      <w:b/>
      <w:bCs/>
      <w:kern w:val="2"/>
      <w:sz w:val="24"/>
      <w:szCs w:val="24"/>
    </w:rPr>
  </w:style>
  <w:style w:type="character" w:customStyle="1" w:styleId="44">
    <w:name w:val="标题 8 字符"/>
    <w:link w:val="9"/>
    <w:qFormat/>
    <w:uiPriority w:val="0"/>
    <w:rPr>
      <w:rFonts w:ascii="Arial" w:hAnsi="Arial" w:eastAsia="黑体"/>
      <w:kern w:val="2"/>
      <w:sz w:val="24"/>
      <w:szCs w:val="24"/>
    </w:rPr>
  </w:style>
  <w:style w:type="character" w:customStyle="1" w:styleId="45">
    <w:name w:val="标题 9 字符"/>
    <w:link w:val="10"/>
    <w:qFormat/>
    <w:uiPriority w:val="0"/>
    <w:rPr>
      <w:rFonts w:ascii="Arial" w:hAnsi="Arial" w:eastAsia="黑体"/>
      <w:kern w:val="2"/>
      <w:sz w:val="21"/>
      <w:szCs w:val="21"/>
    </w:rPr>
  </w:style>
  <w:style w:type="character" w:customStyle="1" w:styleId="46">
    <w:name w:val="页眉 字符"/>
    <w:link w:val="19"/>
    <w:qFormat/>
    <w:uiPriority w:val="99"/>
    <w:rPr>
      <w:kern w:val="2"/>
      <w:sz w:val="18"/>
      <w:szCs w:val="18"/>
    </w:rPr>
  </w:style>
  <w:style w:type="character" w:customStyle="1" w:styleId="47">
    <w:name w:val="页脚 字符"/>
    <w:link w:val="18"/>
    <w:qFormat/>
    <w:uiPriority w:val="99"/>
    <w:rPr>
      <w:rFonts w:ascii="宋体"/>
      <w:kern w:val="2"/>
      <w:sz w:val="18"/>
      <w:szCs w:val="18"/>
    </w:rPr>
  </w:style>
  <w:style w:type="character" w:customStyle="1" w:styleId="48">
    <w:name w:val="批注框文本 字符"/>
    <w:link w:val="17"/>
    <w:semiHidden/>
    <w:qFormat/>
    <w:uiPriority w:val="99"/>
    <w:rPr>
      <w:kern w:val="2"/>
      <w:sz w:val="18"/>
      <w:szCs w:val="18"/>
    </w:rPr>
  </w:style>
  <w:style w:type="paragraph" w:styleId="49">
    <w:name w:val="Quote"/>
    <w:basedOn w:val="1"/>
    <w:next w:val="1"/>
    <w:link w:val="50"/>
    <w:qFormat/>
    <w:uiPriority w:val="29"/>
    <w:rPr>
      <w:i/>
      <w:iCs/>
      <w:color w:val="000000"/>
    </w:rPr>
  </w:style>
  <w:style w:type="character" w:customStyle="1" w:styleId="50">
    <w:name w:val="引用 字符"/>
    <w:link w:val="49"/>
    <w:qFormat/>
    <w:uiPriority w:val="29"/>
    <w:rPr>
      <w:i/>
      <w:iCs/>
      <w:color w:val="000000"/>
      <w:kern w:val="2"/>
      <w:sz w:val="21"/>
      <w:szCs w:val="21"/>
    </w:rPr>
  </w:style>
  <w:style w:type="character" w:customStyle="1" w:styleId="51">
    <w:name w:val="标题 字符"/>
    <w:link w:val="26"/>
    <w:qFormat/>
    <w:uiPriority w:val="0"/>
    <w:rPr>
      <w:rFonts w:ascii="Arial" w:hAnsi="Arial" w:cs="Arial"/>
      <w:b/>
      <w:bCs/>
      <w:kern w:val="2"/>
      <w:sz w:val="32"/>
      <w:szCs w:val="32"/>
    </w:rPr>
  </w:style>
  <w:style w:type="paragraph" w:customStyle="1" w:styleId="52">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3">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4">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5">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6">
    <w:name w:val="标准书眉一"/>
    <w:qFormat/>
    <w:uiPriority w:val="0"/>
    <w:pPr>
      <w:jc w:val="both"/>
    </w:pPr>
    <w:rPr>
      <w:rFonts w:ascii="Times New Roman" w:hAnsi="Times New Roman" w:eastAsia="宋体" w:cs="Times New Roman"/>
      <w:lang w:val="en-US" w:eastAsia="zh-CN" w:bidi="ar-SA"/>
    </w:rPr>
  </w:style>
  <w:style w:type="paragraph" w:customStyle="1" w:styleId="57">
    <w:name w:val="标准文件_ICS"/>
    <w:basedOn w:val="1"/>
    <w:qFormat/>
    <w:uiPriority w:val="0"/>
    <w:pPr>
      <w:spacing w:line="0" w:lineRule="atLeast"/>
    </w:pPr>
    <w:rPr>
      <w:rFonts w:ascii="黑体" w:hAnsi="宋体" w:eastAsia="黑体"/>
    </w:rPr>
  </w:style>
  <w:style w:type="paragraph" w:customStyle="1" w:styleId="58">
    <w:name w:val="标准文件_标准正文"/>
    <w:basedOn w:val="1"/>
    <w:next w:val="59"/>
    <w:qFormat/>
    <w:uiPriority w:val="0"/>
    <w:pPr>
      <w:snapToGrid w:val="0"/>
      <w:ind w:firstLine="200" w:firstLineChars="200"/>
    </w:pPr>
    <w:rPr>
      <w:kern w:val="0"/>
    </w:rPr>
  </w:style>
  <w:style w:type="paragraph" w:customStyle="1" w:styleId="59">
    <w:name w:val="标准文件_段"/>
    <w:link w:val="187"/>
    <w:qFormat/>
    <w:uiPriority w:val="0"/>
    <w:pPr>
      <w:autoSpaceDE w:val="0"/>
      <w:autoSpaceDN w:val="0"/>
      <w:ind w:firstLine="200" w:firstLineChars="200"/>
      <w:jc w:val="both"/>
    </w:pPr>
    <w:rPr>
      <w:rFonts w:ascii="Times New Roman" w:hAnsi="Times New Roman" w:eastAsia="宋体" w:cs="Times New Roman"/>
      <w:sz w:val="21"/>
      <w:lang w:val="en-US" w:eastAsia="zh-CN" w:bidi="ar-SA"/>
    </w:rPr>
  </w:style>
  <w:style w:type="paragraph" w:customStyle="1" w:styleId="60">
    <w:name w:val="标准文件_版本"/>
    <w:basedOn w:val="58"/>
    <w:qFormat/>
    <w:uiPriority w:val="0"/>
    <w:pPr>
      <w:adjustRightInd/>
      <w:snapToGrid/>
      <w:ind w:firstLine="0" w:firstLineChars="0"/>
    </w:pPr>
    <w:rPr>
      <w:rFonts w:ascii="宋体" w:hAnsi="宋体"/>
      <w:kern w:val="2"/>
    </w:rPr>
  </w:style>
  <w:style w:type="paragraph" w:customStyle="1" w:styleId="61">
    <w:name w:val="标准文件_标准部门"/>
    <w:basedOn w:val="1"/>
    <w:qFormat/>
    <w:uiPriority w:val="0"/>
    <w:pPr>
      <w:jc w:val="center"/>
    </w:pPr>
    <w:rPr>
      <w:rFonts w:ascii="黑体" w:eastAsia="黑体"/>
      <w:kern w:val="0"/>
      <w:sz w:val="44"/>
    </w:rPr>
  </w:style>
  <w:style w:type="paragraph" w:customStyle="1" w:styleId="62">
    <w:name w:val="标准文件_标准代替"/>
    <w:basedOn w:val="1"/>
    <w:next w:val="1"/>
    <w:qFormat/>
    <w:uiPriority w:val="0"/>
    <w:pPr>
      <w:spacing w:line="310" w:lineRule="exact"/>
      <w:jc w:val="right"/>
    </w:pPr>
    <w:rPr>
      <w:rFonts w:ascii="宋体" w:hAnsi="宋体"/>
      <w:kern w:val="0"/>
    </w:rPr>
  </w:style>
  <w:style w:type="paragraph" w:customStyle="1" w:styleId="63">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4">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5">
    <w:name w:val="标准文件_页眉偶数页"/>
    <w:basedOn w:val="64"/>
    <w:next w:val="1"/>
    <w:qFormat/>
    <w:uiPriority w:val="0"/>
    <w:pPr>
      <w:jc w:val="left"/>
    </w:pPr>
  </w:style>
  <w:style w:type="paragraph" w:customStyle="1" w:styleId="66">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7">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8">
    <w:name w:val="标准文件_二级条标题"/>
    <w:next w:val="59"/>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9">
    <w:name w:val="标准文件_发布"/>
    <w:qFormat/>
    <w:uiPriority w:val="0"/>
    <w:rPr>
      <w:rFonts w:ascii="黑体" w:eastAsia="黑体"/>
      <w:spacing w:val="0"/>
      <w:w w:val="100"/>
      <w:position w:val="3"/>
      <w:sz w:val="28"/>
    </w:rPr>
  </w:style>
  <w:style w:type="paragraph" w:customStyle="1" w:styleId="70">
    <w:name w:val="标准文件_方框数字列项"/>
    <w:basedOn w:val="59"/>
    <w:qFormat/>
    <w:uiPriority w:val="0"/>
    <w:pPr>
      <w:numPr>
        <w:ilvl w:val="0"/>
        <w:numId w:val="3"/>
      </w:numPr>
      <w:ind w:firstLine="0" w:firstLineChars="0"/>
    </w:pPr>
  </w:style>
  <w:style w:type="paragraph" w:customStyle="1" w:styleId="71">
    <w:name w:val="标准文件_封面标准编号"/>
    <w:basedOn w:val="1"/>
    <w:next w:val="62"/>
    <w:qFormat/>
    <w:uiPriority w:val="0"/>
    <w:pPr>
      <w:spacing w:line="310" w:lineRule="exact"/>
      <w:jc w:val="right"/>
    </w:pPr>
    <w:rPr>
      <w:rFonts w:ascii="黑体" w:eastAsia="黑体"/>
      <w:kern w:val="0"/>
      <w:sz w:val="28"/>
    </w:rPr>
  </w:style>
  <w:style w:type="paragraph" w:customStyle="1" w:styleId="72">
    <w:name w:val="标准文件_封面标准分类号"/>
    <w:basedOn w:val="1"/>
    <w:qFormat/>
    <w:uiPriority w:val="0"/>
    <w:rPr>
      <w:rFonts w:ascii="黑体" w:eastAsia="黑体"/>
      <w:b/>
      <w:kern w:val="0"/>
      <w:sz w:val="28"/>
    </w:rPr>
  </w:style>
  <w:style w:type="paragraph" w:customStyle="1" w:styleId="73">
    <w:name w:val="标准文件_封面标准名称"/>
    <w:basedOn w:val="1"/>
    <w:qFormat/>
    <w:uiPriority w:val="0"/>
    <w:pPr>
      <w:spacing w:line="240" w:lineRule="auto"/>
      <w:jc w:val="center"/>
    </w:pPr>
    <w:rPr>
      <w:rFonts w:ascii="黑体" w:eastAsia="黑体"/>
      <w:kern w:val="0"/>
      <w:sz w:val="52"/>
    </w:rPr>
  </w:style>
  <w:style w:type="paragraph" w:customStyle="1" w:styleId="74">
    <w:name w:val="标准文件_封面标准英文名称"/>
    <w:basedOn w:val="1"/>
    <w:qFormat/>
    <w:uiPriority w:val="0"/>
    <w:pPr>
      <w:spacing w:line="240" w:lineRule="auto"/>
      <w:jc w:val="center"/>
    </w:pPr>
    <w:rPr>
      <w:rFonts w:ascii="黑体" w:eastAsia="黑体"/>
      <w:b/>
      <w:sz w:val="28"/>
    </w:rPr>
  </w:style>
  <w:style w:type="paragraph" w:customStyle="1" w:styleId="75">
    <w:name w:val="标准文件_封面发布日期"/>
    <w:basedOn w:val="1"/>
    <w:qFormat/>
    <w:uiPriority w:val="0"/>
    <w:pPr>
      <w:spacing w:line="310" w:lineRule="exact"/>
    </w:pPr>
    <w:rPr>
      <w:rFonts w:ascii="黑体" w:eastAsia="黑体"/>
      <w:kern w:val="0"/>
      <w:sz w:val="28"/>
    </w:rPr>
  </w:style>
  <w:style w:type="paragraph" w:customStyle="1" w:styleId="76">
    <w:name w:val="标准文件_封面密级"/>
    <w:basedOn w:val="1"/>
    <w:qFormat/>
    <w:uiPriority w:val="0"/>
    <w:rPr>
      <w:rFonts w:eastAsia="黑体"/>
      <w:sz w:val="32"/>
    </w:rPr>
  </w:style>
  <w:style w:type="paragraph" w:customStyle="1" w:styleId="77">
    <w:name w:val="标准文件_封面实施日期"/>
    <w:basedOn w:val="1"/>
    <w:qFormat/>
    <w:uiPriority w:val="0"/>
    <w:pPr>
      <w:spacing w:line="310" w:lineRule="exact"/>
      <w:jc w:val="right"/>
    </w:pPr>
    <w:rPr>
      <w:rFonts w:ascii="黑体" w:eastAsia="黑体"/>
      <w:sz w:val="28"/>
    </w:rPr>
  </w:style>
  <w:style w:type="paragraph" w:customStyle="1" w:styleId="78">
    <w:name w:val="标准文件_封面抬头"/>
    <w:basedOn w:val="59"/>
    <w:qFormat/>
    <w:uiPriority w:val="0"/>
    <w:pPr>
      <w:adjustRightInd w:val="0"/>
      <w:spacing w:line="800" w:lineRule="exact"/>
      <w:ind w:firstLine="0" w:firstLineChars="0"/>
      <w:jc w:val="distribute"/>
    </w:pPr>
    <w:rPr>
      <w:rFonts w:ascii="黑体" w:eastAsia="黑体"/>
      <w:b/>
      <w:sz w:val="64"/>
    </w:rPr>
  </w:style>
  <w:style w:type="paragraph" w:customStyle="1" w:styleId="79">
    <w:name w:val="标准文件_附录标识"/>
    <w:next w:val="59"/>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80">
    <w:name w:val="标准文件_附录表标题"/>
    <w:next w:val="59"/>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81">
    <w:name w:val="标准文件_附录一级条标题"/>
    <w:next w:val="59"/>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2">
    <w:name w:val="标准文件_附录二级条标题"/>
    <w:basedOn w:val="81"/>
    <w:next w:val="59"/>
    <w:qFormat/>
    <w:uiPriority w:val="0"/>
    <w:pPr>
      <w:widowControl/>
      <w:numPr>
        <w:ilvl w:val="2"/>
      </w:numPr>
      <w:wordWrap w:val="0"/>
      <w:overflowPunct w:val="0"/>
      <w:autoSpaceDE w:val="0"/>
      <w:autoSpaceDN w:val="0"/>
      <w:textAlignment w:val="baseline"/>
      <w:outlineLvl w:val="3"/>
    </w:pPr>
  </w:style>
  <w:style w:type="paragraph" w:customStyle="1" w:styleId="83">
    <w:name w:val="标准文件_附录公式"/>
    <w:basedOn w:val="58"/>
    <w:next w:val="58"/>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4">
    <w:name w:val="标准文件_附录三级条标题"/>
    <w:next w:val="59"/>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5">
    <w:name w:val="标准文件_附录四级条标题"/>
    <w:next w:val="59"/>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6">
    <w:name w:val="标准文件_附录图标题"/>
    <w:next w:val="59"/>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7">
    <w:name w:val="标准文件_附录五级条标题"/>
    <w:next w:val="59"/>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8">
    <w:name w:val="标准文件_附录英文标识"/>
    <w:next w:val="14"/>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9">
    <w:name w:val="正文文本 字符"/>
    <w:link w:val="14"/>
    <w:qFormat/>
    <w:uiPriority w:val="0"/>
    <w:rPr>
      <w:kern w:val="2"/>
      <w:sz w:val="21"/>
      <w:szCs w:val="21"/>
    </w:rPr>
  </w:style>
  <w:style w:type="paragraph" w:customStyle="1" w:styleId="90">
    <w:name w:val="标准文件_附录章标题"/>
    <w:next w:val="59"/>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91">
    <w:name w:val="标准文件_公式后的破折号"/>
    <w:basedOn w:val="59"/>
    <w:next w:val="59"/>
    <w:qFormat/>
    <w:uiPriority w:val="0"/>
    <w:pPr>
      <w:ind w:left="488" w:leftChars="200" w:hanging="289" w:hangingChars="290"/>
    </w:pPr>
  </w:style>
  <w:style w:type="paragraph" w:customStyle="1" w:styleId="92">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3">
    <w:name w:val="标准文件_目次、标准名称标题"/>
    <w:basedOn w:val="92"/>
    <w:next w:val="59"/>
    <w:qFormat/>
    <w:uiPriority w:val="0"/>
    <w:pPr>
      <w:spacing w:line="460" w:lineRule="exact"/>
      <w:ind w:left="0" w:firstLine="0"/>
    </w:pPr>
  </w:style>
  <w:style w:type="paragraph" w:customStyle="1" w:styleId="94">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5">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6">
    <w:name w:val="标准文件_破折号列项（二级）"/>
    <w:basedOn w:val="95"/>
    <w:qFormat/>
    <w:uiPriority w:val="0"/>
    <w:pPr>
      <w:numPr>
        <w:numId w:val="10"/>
      </w:numPr>
    </w:pPr>
  </w:style>
  <w:style w:type="paragraph" w:customStyle="1" w:styleId="97">
    <w:name w:val="标准文件_三级条标题"/>
    <w:basedOn w:val="68"/>
    <w:next w:val="59"/>
    <w:qFormat/>
    <w:uiPriority w:val="0"/>
    <w:pPr>
      <w:widowControl/>
      <w:numPr>
        <w:ilvl w:val="4"/>
      </w:numPr>
      <w:outlineLvl w:val="3"/>
    </w:pPr>
  </w:style>
  <w:style w:type="character" w:customStyle="1" w:styleId="98">
    <w:name w:val="不明显参考1"/>
    <w:qFormat/>
    <w:uiPriority w:val="31"/>
    <w:rPr>
      <w:smallCaps/>
      <w:color w:val="C0504D"/>
      <w:u w:val="single"/>
    </w:rPr>
  </w:style>
  <w:style w:type="paragraph" w:customStyle="1" w:styleId="99">
    <w:name w:val="标准文件_示例后续"/>
    <w:basedOn w:val="1"/>
    <w:qFormat/>
    <w:uiPriority w:val="0"/>
    <w:pPr>
      <w:adjustRightInd/>
      <w:spacing w:line="240" w:lineRule="auto"/>
      <w:ind w:firstLine="200" w:firstLineChars="200"/>
    </w:pPr>
    <w:rPr>
      <w:sz w:val="18"/>
      <w:szCs w:val="24"/>
    </w:rPr>
  </w:style>
  <w:style w:type="paragraph" w:customStyle="1" w:styleId="100">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101">
    <w:name w:val="标准文件_四级条标题"/>
    <w:next w:val="59"/>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2">
    <w:name w:val="脚注文本 字符"/>
    <w:link w:val="22"/>
    <w:semiHidden/>
    <w:qFormat/>
    <w:uiPriority w:val="0"/>
    <w:rPr>
      <w:rFonts w:ascii="宋体"/>
      <w:kern w:val="2"/>
      <w:sz w:val="18"/>
      <w:szCs w:val="18"/>
    </w:rPr>
  </w:style>
  <w:style w:type="paragraph" w:customStyle="1" w:styleId="103">
    <w:name w:val="标准文件_条文脚注"/>
    <w:basedOn w:val="22"/>
    <w:qFormat/>
    <w:uiPriority w:val="0"/>
    <w:pPr>
      <w:adjustRightInd w:val="0"/>
      <w:spacing w:line="240" w:lineRule="auto"/>
      <w:ind w:left="0" w:leftChars="0" w:firstLine="200" w:firstLineChars="200"/>
      <w:jc w:val="both"/>
    </w:pPr>
    <w:rPr>
      <w:rFonts w:hAnsi="宋体"/>
    </w:rPr>
  </w:style>
  <w:style w:type="paragraph" w:customStyle="1" w:styleId="104">
    <w:name w:val="标准文件_图表脚注"/>
    <w:basedOn w:val="1"/>
    <w:next w:val="59"/>
    <w:qFormat/>
    <w:uiPriority w:val="0"/>
    <w:pPr>
      <w:numPr>
        <w:ilvl w:val="0"/>
        <w:numId w:val="12"/>
      </w:numPr>
      <w:spacing w:line="240" w:lineRule="auto"/>
      <w:jc w:val="left"/>
    </w:pPr>
    <w:rPr>
      <w:rFonts w:ascii="宋体" w:hAnsi="宋体"/>
      <w:sz w:val="18"/>
    </w:rPr>
  </w:style>
  <w:style w:type="character" w:customStyle="1" w:styleId="105">
    <w:name w:val="标准文件_图表脚注内容"/>
    <w:qFormat/>
    <w:uiPriority w:val="0"/>
    <w:rPr>
      <w:rFonts w:ascii="宋体" w:hAnsi="宋体" w:eastAsia="宋体" w:cs="Times New Roman"/>
      <w:spacing w:val="0"/>
      <w:sz w:val="18"/>
      <w:vertAlign w:val="superscript"/>
    </w:rPr>
  </w:style>
  <w:style w:type="paragraph" w:customStyle="1" w:styleId="106">
    <w:name w:val="标准文件_五级条标题"/>
    <w:next w:val="59"/>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7">
    <w:name w:val="标准文件_章标题"/>
    <w:next w:val="59"/>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8">
    <w:name w:val="标准文件_一级条标题"/>
    <w:basedOn w:val="107"/>
    <w:next w:val="59"/>
    <w:qFormat/>
    <w:uiPriority w:val="0"/>
    <w:pPr>
      <w:numPr>
        <w:ilvl w:val="2"/>
      </w:numPr>
      <w:spacing w:before="50" w:beforeLines="50" w:after="50" w:afterLines="50"/>
      <w:outlineLvl w:val="1"/>
    </w:pPr>
  </w:style>
  <w:style w:type="paragraph" w:customStyle="1" w:styleId="109">
    <w:name w:val="标准文件_一致程度"/>
    <w:basedOn w:val="1"/>
    <w:qFormat/>
    <w:uiPriority w:val="0"/>
    <w:pPr>
      <w:spacing w:line="440" w:lineRule="exact"/>
      <w:jc w:val="center"/>
    </w:pPr>
    <w:rPr>
      <w:sz w:val="28"/>
    </w:rPr>
  </w:style>
  <w:style w:type="paragraph" w:customStyle="1" w:styleId="110">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11">
    <w:name w:val="标准文件_英文图表脚注"/>
    <w:basedOn w:val="58"/>
    <w:qFormat/>
    <w:uiPriority w:val="0"/>
    <w:pPr>
      <w:widowControl/>
      <w:adjustRightInd/>
      <w:snapToGrid/>
      <w:spacing w:line="240" w:lineRule="auto"/>
      <w:ind w:left="79" w:hanging="79" w:hangingChars="80"/>
    </w:pPr>
    <w:rPr>
      <w:rFonts w:ascii="宋体" w:hAnsi="宋体"/>
    </w:rPr>
  </w:style>
  <w:style w:type="paragraph" w:customStyle="1" w:styleId="112">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3">
    <w:name w:val="标准文件_英文注："/>
    <w:basedOn w:val="1"/>
    <w:next w:val="59"/>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4">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5">
    <w:name w:val="标准文件_正文表标题"/>
    <w:next w:val="59"/>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公式"/>
    <w:basedOn w:val="1"/>
    <w:next w:val="58"/>
    <w:qFormat/>
    <w:uiPriority w:val="0"/>
    <w:pPr>
      <w:tabs>
        <w:tab w:val="center" w:pos="4678"/>
        <w:tab w:val="right" w:leader="middleDot" w:pos="9356"/>
      </w:tabs>
      <w:spacing w:line="240" w:lineRule="auto"/>
    </w:pPr>
    <w:rPr>
      <w:rFonts w:ascii="宋体" w:hAnsi="宋体"/>
    </w:rPr>
  </w:style>
  <w:style w:type="paragraph" w:customStyle="1" w:styleId="117">
    <w:name w:val="标准文件_正文图标题"/>
    <w:next w:val="59"/>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8">
    <w:name w:val="标准文件_正文英文表标题"/>
    <w:next w:val="59"/>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9">
    <w:name w:val="标准文件_正文英文图标题"/>
    <w:next w:val="59"/>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20">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21">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2">
    <w:name w:val="发布部门"/>
    <w:next w:val="59"/>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3">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4">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5">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6">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7">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8">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9">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30">
    <w:name w:val="封面正文"/>
    <w:qFormat/>
    <w:uiPriority w:val="0"/>
    <w:pPr>
      <w:jc w:val="both"/>
    </w:pPr>
    <w:rPr>
      <w:rFonts w:ascii="Times New Roman" w:hAnsi="Times New Roman" w:eastAsia="宋体" w:cs="Times New Roman"/>
      <w:lang w:val="en-US" w:eastAsia="zh-CN" w:bidi="ar-SA"/>
    </w:rPr>
  </w:style>
  <w:style w:type="paragraph" w:customStyle="1" w:styleId="131">
    <w:name w:val="附录二级无标题条"/>
    <w:basedOn w:val="1"/>
    <w:next w:val="59"/>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2">
    <w:name w:val="附录三级无标题条"/>
    <w:basedOn w:val="131"/>
    <w:next w:val="59"/>
    <w:qFormat/>
    <w:uiPriority w:val="0"/>
    <w:pPr>
      <w:outlineLvl w:val="4"/>
    </w:pPr>
  </w:style>
  <w:style w:type="paragraph" w:customStyle="1" w:styleId="133">
    <w:name w:val="附录四级无标题条"/>
    <w:basedOn w:val="132"/>
    <w:next w:val="59"/>
    <w:qFormat/>
    <w:uiPriority w:val="0"/>
    <w:pPr>
      <w:outlineLvl w:val="5"/>
    </w:pPr>
  </w:style>
  <w:style w:type="paragraph" w:customStyle="1" w:styleId="134">
    <w:name w:val="附录图"/>
    <w:next w:val="59"/>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5">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6">
    <w:name w:val="附录五级无标题条"/>
    <w:basedOn w:val="133"/>
    <w:next w:val="59"/>
    <w:qFormat/>
    <w:uiPriority w:val="0"/>
    <w:pPr>
      <w:outlineLvl w:val="6"/>
    </w:pPr>
  </w:style>
  <w:style w:type="paragraph" w:customStyle="1" w:styleId="137">
    <w:name w:val="附录性质"/>
    <w:basedOn w:val="1"/>
    <w:qFormat/>
    <w:uiPriority w:val="0"/>
    <w:pPr>
      <w:widowControl/>
      <w:adjustRightInd/>
      <w:jc w:val="center"/>
    </w:pPr>
    <w:rPr>
      <w:rFonts w:ascii="黑体" w:eastAsia="黑体"/>
    </w:rPr>
  </w:style>
  <w:style w:type="paragraph" w:customStyle="1" w:styleId="138">
    <w:name w:val="附录一级无标题条"/>
    <w:basedOn w:val="90"/>
    <w:next w:val="59"/>
    <w:qFormat/>
    <w:uiPriority w:val="0"/>
    <w:pPr>
      <w:autoSpaceDN w:val="0"/>
      <w:outlineLvl w:val="2"/>
    </w:pPr>
    <w:rPr>
      <w:rFonts w:ascii="宋体" w:hAnsi="宋体" w:eastAsia="宋体"/>
    </w:rPr>
  </w:style>
  <w:style w:type="character" w:customStyle="1" w:styleId="139">
    <w:name w:val="个人答复风格"/>
    <w:qFormat/>
    <w:uiPriority w:val="0"/>
    <w:rPr>
      <w:rFonts w:ascii="Arial" w:hAnsi="Arial" w:eastAsia="宋体" w:cs="Arial"/>
      <w:color w:val="auto"/>
      <w:spacing w:val="0"/>
      <w:sz w:val="20"/>
    </w:rPr>
  </w:style>
  <w:style w:type="character" w:customStyle="1" w:styleId="140">
    <w:name w:val="个人撰写风格"/>
    <w:qFormat/>
    <w:uiPriority w:val="0"/>
    <w:rPr>
      <w:rFonts w:ascii="Arial" w:hAnsi="Arial" w:eastAsia="宋体" w:cs="Arial"/>
      <w:color w:val="auto"/>
      <w:spacing w:val="0"/>
      <w:sz w:val="20"/>
    </w:rPr>
  </w:style>
  <w:style w:type="paragraph" w:customStyle="1" w:styleId="141">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2">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3">
    <w:name w:val="列项·"/>
    <w:basedOn w:val="59"/>
    <w:qFormat/>
    <w:uiPriority w:val="0"/>
    <w:pPr>
      <w:tabs>
        <w:tab w:val="left" w:pos="840"/>
      </w:tabs>
    </w:pPr>
  </w:style>
  <w:style w:type="paragraph" w:customStyle="1" w:styleId="144">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5">
    <w:name w:val="目录 21"/>
    <w:basedOn w:val="1"/>
    <w:next w:val="1"/>
    <w:autoRedefine/>
    <w:semiHidden/>
    <w:qFormat/>
    <w:uiPriority w:val="0"/>
    <w:pPr>
      <w:adjustRightInd/>
      <w:spacing w:line="240" w:lineRule="auto"/>
      <w:jc w:val="left"/>
    </w:pPr>
    <w:rPr>
      <w:bCs/>
      <w:iCs/>
    </w:rPr>
  </w:style>
  <w:style w:type="paragraph" w:customStyle="1" w:styleId="146">
    <w:name w:val="目录 31"/>
    <w:basedOn w:val="1"/>
    <w:next w:val="1"/>
    <w:autoRedefine/>
    <w:semiHidden/>
    <w:qFormat/>
    <w:uiPriority w:val="0"/>
    <w:pPr>
      <w:spacing w:line="240" w:lineRule="auto"/>
    </w:pPr>
    <w:rPr>
      <w:rFonts w:ascii="宋体" w:hAnsi="宋体"/>
      <w:iCs/>
    </w:rPr>
  </w:style>
  <w:style w:type="paragraph" w:customStyle="1" w:styleId="147">
    <w:name w:val="目录 41"/>
    <w:basedOn w:val="1"/>
    <w:next w:val="1"/>
    <w:autoRedefine/>
    <w:semiHidden/>
    <w:qFormat/>
    <w:uiPriority w:val="0"/>
    <w:pPr>
      <w:adjustRightInd/>
      <w:spacing w:line="240" w:lineRule="auto"/>
      <w:jc w:val="left"/>
    </w:pPr>
  </w:style>
  <w:style w:type="paragraph" w:customStyle="1" w:styleId="148">
    <w:name w:val="目录 51"/>
    <w:basedOn w:val="1"/>
    <w:next w:val="1"/>
    <w:autoRedefine/>
    <w:semiHidden/>
    <w:qFormat/>
    <w:uiPriority w:val="0"/>
    <w:pPr>
      <w:spacing w:line="240" w:lineRule="auto"/>
    </w:pPr>
    <w:rPr>
      <w:rFonts w:ascii="宋体" w:hAnsi="宋体"/>
    </w:rPr>
  </w:style>
  <w:style w:type="paragraph" w:customStyle="1" w:styleId="149">
    <w:name w:val="目录 61"/>
    <w:basedOn w:val="1"/>
    <w:next w:val="1"/>
    <w:autoRedefine/>
    <w:semiHidden/>
    <w:qFormat/>
    <w:uiPriority w:val="0"/>
    <w:pPr>
      <w:adjustRightInd/>
      <w:spacing w:line="240" w:lineRule="auto"/>
      <w:jc w:val="left"/>
    </w:pPr>
  </w:style>
  <w:style w:type="paragraph" w:customStyle="1" w:styleId="150">
    <w:name w:val="目录 71"/>
    <w:basedOn w:val="149"/>
    <w:autoRedefine/>
    <w:semiHidden/>
    <w:qFormat/>
    <w:uiPriority w:val="0"/>
    <w:pPr>
      <w:ind w:left="1260"/>
    </w:pPr>
  </w:style>
  <w:style w:type="paragraph" w:customStyle="1" w:styleId="151">
    <w:name w:val="目录 81"/>
    <w:basedOn w:val="150"/>
    <w:autoRedefine/>
    <w:semiHidden/>
    <w:qFormat/>
    <w:uiPriority w:val="0"/>
    <w:pPr>
      <w:ind w:left="1470"/>
    </w:pPr>
  </w:style>
  <w:style w:type="paragraph" w:customStyle="1" w:styleId="152">
    <w:name w:val="目录 91"/>
    <w:basedOn w:val="151"/>
    <w:autoRedefine/>
    <w:semiHidden/>
    <w:qFormat/>
    <w:uiPriority w:val="0"/>
    <w:pPr>
      <w:ind w:left="1680"/>
    </w:pPr>
  </w:style>
  <w:style w:type="paragraph" w:customStyle="1" w:styleId="153">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4">
    <w:name w:val="其他发布部门"/>
    <w:basedOn w:val="122"/>
    <w:qFormat/>
    <w:uiPriority w:val="0"/>
    <w:pPr>
      <w:framePr w:wrap="around"/>
      <w:spacing w:line="0" w:lineRule="atLeast"/>
    </w:pPr>
    <w:rPr>
      <w:rFonts w:ascii="黑体" w:eastAsia="黑体"/>
      <w:b w:val="0"/>
    </w:rPr>
  </w:style>
  <w:style w:type="paragraph" w:customStyle="1" w:styleId="155">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6">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7">
    <w:name w:val="实施日期"/>
    <w:basedOn w:val="123"/>
    <w:qFormat/>
    <w:uiPriority w:val="0"/>
    <w:pPr>
      <w:framePr w:hSpace="0" w:wrap="around" w:xAlign="right"/>
      <w:jc w:val="right"/>
    </w:pPr>
  </w:style>
  <w:style w:type="paragraph" w:customStyle="1" w:styleId="158">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9">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60">
    <w:name w:val="无标题条"/>
    <w:next w:val="59"/>
    <w:qFormat/>
    <w:uiPriority w:val="0"/>
    <w:pPr>
      <w:jc w:val="both"/>
    </w:pPr>
    <w:rPr>
      <w:rFonts w:ascii="宋体" w:hAnsi="宋体" w:eastAsia="宋体" w:cs="Times New Roman"/>
      <w:sz w:val="21"/>
      <w:lang w:val="en-US" w:eastAsia="zh-CN" w:bidi="ar-SA"/>
    </w:rPr>
  </w:style>
  <w:style w:type="paragraph" w:customStyle="1" w:styleId="161">
    <w:name w:val="五级无标题条"/>
    <w:basedOn w:val="1"/>
    <w:qFormat/>
    <w:uiPriority w:val="0"/>
    <w:pPr>
      <w:numPr>
        <w:ilvl w:val="6"/>
        <w:numId w:val="20"/>
      </w:numPr>
      <w:adjustRightInd/>
    </w:pPr>
    <w:rPr>
      <w:szCs w:val="24"/>
    </w:rPr>
  </w:style>
  <w:style w:type="paragraph" w:customStyle="1" w:styleId="162">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3">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4">
    <w:name w:val="注×:后续"/>
    <w:basedOn w:val="163"/>
    <w:qFormat/>
    <w:uiPriority w:val="0"/>
    <w:pPr>
      <w:ind w:left="1406" w:leftChars="0" w:hanging="499" w:firstLineChars="0"/>
    </w:pPr>
  </w:style>
  <w:style w:type="paragraph" w:customStyle="1" w:styleId="165">
    <w:name w:val="标准文件_一级无标题"/>
    <w:basedOn w:val="108"/>
    <w:qFormat/>
    <w:uiPriority w:val="0"/>
    <w:pPr>
      <w:spacing w:before="0" w:beforeLines="0" w:after="0" w:afterLines="0"/>
      <w:outlineLvl w:val="9"/>
    </w:pPr>
    <w:rPr>
      <w:rFonts w:ascii="宋体" w:eastAsia="宋体"/>
    </w:rPr>
  </w:style>
  <w:style w:type="paragraph" w:customStyle="1" w:styleId="166">
    <w:name w:val="标准文件_五级无标题"/>
    <w:basedOn w:val="106"/>
    <w:qFormat/>
    <w:uiPriority w:val="0"/>
    <w:pPr>
      <w:spacing w:before="0" w:beforeLines="0" w:after="0" w:afterLines="0"/>
      <w:outlineLvl w:val="9"/>
    </w:pPr>
    <w:rPr>
      <w:rFonts w:ascii="宋体" w:eastAsia="宋体"/>
    </w:rPr>
  </w:style>
  <w:style w:type="paragraph" w:customStyle="1" w:styleId="167">
    <w:name w:val="标准文件_三级无标题"/>
    <w:basedOn w:val="97"/>
    <w:qFormat/>
    <w:uiPriority w:val="0"/>
    <w:pPr>
      <w:spacing w:before="0" w:beforeLines="0" w:after="0" w:afterLines="0"/>
      <w:outlineLvl w:val="9"/>
    </w:pPr>
    <w:rPr>
      <w:rFonts w:ascii="宋体" w:eastAsia="宋体"/>
    </w:rPr>
  </w:style>
  <w:style w:type="paragraph" w:customStyle="1" w:styleId="168">
    <w:name w:val="标准文件_二级无标题"/>
    <w:basedOn w:val="68"/>
    <w:qFormat/>
    <w:uiPriority w:val="0"/>
    <w:pPr>
      <w:spacing w:before="0" w:beforeLines="0" w:after="0" w:afterLines="0"/>
      <w:outlineLvl w:val="9"/>
    </w:pPr>
    <w:rPr>
      <w:rFonts w:ascii="宋体" w:eastAsia="宋体"/>
    </w:rPr>
  </w:style>
  <w:style w:type="paragraph" w:customStyle="1" w:styleId="169">
    <w:name w:val="标准_四级无标题"/>
    <w:basedOn w:val="101"/>
    <w:next w:val="59"/>
    <w:qFormat/>
    <w:uiPriority w:val="0"/>
    <w:rPr>
      <w:rFonts w:eastAsia="宋体"/>
    </w:rPr>
  </w:style>
  <w:style w:type="paragraph" w:customStyle="1" w:styleId="170">
    <w:name w:val="标准文件_四级无标题"/>
    <w:basedOn w:val="101"/>
    <w:qFormat/>
    <w:uiPriority w:val="0"/>
    <w:pPr>
      <w:spacing w:before="0" w:beforeLines="0" w:after="0" w:afterLines="0"/>
      <w:outlineLvl w:val="9"/>
    </w:pPr>
    <w:rPr>
      <w:rFonts w:ascii="宋体" w:hAnsi="黑体" w:eastAsia="宋体"/>
      <w:szCs w:val="52"/>
    </w:rPr>
  </w:style>
  <w:style w:type="paragraph" w:customStyle="1" w:styleId="171">
    <w:name w:val="标准文件_大写罗马数字编号列项"/>
    <w:basedOn w:val="59"/>
    <w:qFormat/>
    <w:uiPriority w:val="0"/>
    <w:pPr>
      <w:numPr>
        <w:ilvl w:val="0"/>
        <w:numId w:val="23"/>
      </w:numPr>
      <w:ind w:firstLine="0" w:firstLineChars="0"/>
    </w:pPr>
    <w:rPr>
      <w:rFonts w:cs="Arial"/>
      <w:szCs w:val="28"/>
    </w:rPr>
  </w:style>
  <w:style w:type="paragraph" w:customStyle="1" w:styleId="172">
    <w:name w:val="标准文件_小写罗马数字编号列项"/>
    <w:basedOn w:val="59"/>
    <w:qFormat/>
    <w:uiPriority w:val="0"/>
    <w:pPr>
      <w:numPr>
        <w:ilvl w:val="0"/>
        <w:numId w:val="24"/>
      </w:numPr>
      <w:ind w:firstLine="0" w:firstLineChars="0"/>
    </w:pPr>
    <w:rPr>
      <w:rFonts w:cs="Arial"/>
      <w:szCs w:val="28"/>
    </w:rPr>
  </w:style>
  <w:style w:type="paragraph" w:customStyle="1" w:styleId="173">
    <w:name w:val="标准文件_附录标题"/>
    <w:basedOn w:val="79"/>
    <w:qFormat/>
    <w:uiPriority w:val="0"/>
    <w:pPr>
      <w:numPr>
        <w:numId w:val="0"/>
      </w:numPr>
      <w:spacing w:after="280"/>
      <w:outlineLvl w:val="9"/>
    </w:pPr>
  </w:style>
  <w:style w:type="paragraph" w:customStyle="1" w:styleId="174">
    <w:name w:val="标准文件_二级项"/>
    <w:qFormat/>
    <w:uiPriority w:val="0"/>
    <w:rPr>
      <w:rFonts w:ascii="宋体" w:hAnsi="Times New Roman" w:eastAsia="宋体" w:cs="Times New Roman"/>
      <w:sz w:val="21"/>
      <w:lang w:val="en-US" w:eastAsia="zh-CN" w:bidi="ar-SA"/>
    </w:rPr>
  </w:style>
  <w:style w:type="paragraph" w:customStyle="1" w:styleId="175">
    <w:name w:val="标准文件_三级项"/>
    <w:basedOn w:val="1"/>
    <w:qFormat/>
    <w:uiPriority w:val="0"/>
    <w:pPr>
      <w:numPr>
        <w:ilvl w:val="2"/>
        <w:numId w:val="21"/>
      </w:numPr>
      <w:spacing w:line="536870612" w:lineRule="auto"/>
    </w:pPr>
    <w:rPr>
      <w:rFonts w:ascii="Times New Roman" w:hAnsi="Times New Roman"/>
    </w:rPr>
  </w:style>
  <w:style w:type="paragraph" w:customStyle="1" w:styleId="176">
    <w:name w:val="图表脚注说明"/>
    <w:basedOn w:val="1"/>
    <w:next w:val="59"/>
    <w:qFormat/>
    <w:uiPriority w:val="0"/>
    <w:pPr>
      <w:numPr>
        <w:ilvl w:val="0"/>
        <w:numId w:val="25"/>
      </w:numPr>
      <w:adjustRightInd/>
      <w:spacing w:line="240" w:lineRule="auto"/>
    </w:pPr>
    <w:rPr>
      <w:rFonts w:ascii="宋体" w:hAnsi="Times New Roman"/>
      <w:sz w:val="18"/>
      <w:szCs w:val="18"/>
    </w:rPr>
  </w:style>
  <w:style w:type="paragraph" w:customStyle="1" w:styleId="177">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8">
    <w:name w:val="标准文件_索引字母"/>
    <w:next w:val="59"/>
    <w:qFormat/>
    <w:uiPriority w:val="0"/>
    <w:pPr>
      <w:jc w:val="center"/>
    </w:pPr>
    <w:rPr>
      <w:rFonts w:ascii="宋体" w:hAnsi="宋体" w:eastAsia="Times New Roman" w:cs="Times New Roman"/>
      <w:b/>
      <w:kern w:val="2"/>
      <w:sz w:val="21"/>
      <w:lang w:val="en-US" w:eastAsia="zh-CN" w:bidi="ar-SA"/>
    </w:rPr>
  </w:style>
  <w:style w:type="paragraph" w:customStyle="1" w:styleId="179">
    <w:name w:val="标准文件_附录前"/>
    <w:next w:val="59"/>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80">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81">
    <w:name w:val="标准文件_表格"/>
    <w:basedOn w:val="59"/>
    <w:qFormat/>
    <w:uiPriority w:val="0"/>
    <w:pPr>
      <w:ind w:firstLine="0" w:firstLineChars="0"/>
      <w:jc w:val="center"/>
    </w:pPr>
    <w:rPr>
      <w:sz w:val="18"/>
    </w:rPr>
  </w:style>
  <w:style w:type="paragraph" w:customStyle="1" w:styleId="182">
    <w:name w:val="标准文件_注："/>
    <w:next w:val="59"/>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3">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4">
    <w:name w:val="标准文件_示例："/>
    <w:next w:val="185"/>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5">
    <w:name w:val="标准文件_示例内容"/>
    <w:basedOn w:val="59"/>
    <w:qFormat/>
    <w:uiPriority w:val="0"/>
    <w:pPr>
      <w:ind w:firstLine="420"/>
    </w:pPr>
    <w:rPr>
      <w:sz w:val="18"/>
    </w:rPr>
  </w:style>
  <w:style w:type="paragraph" w:customStyle="1" w:styleId="186">
    <w:name w:val="标准文件_示例×："/>
    <w:basedOn w:val="1"/>
    <w:next w:val="185"/>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7">
    <w:name w:val="标准文件_段 Char"/>
    <w:link w:val="59"/>
    <w:qFormat/>
    <w:uiPriority w:val="0"/>
    <w:rPr>
      <w:rFonts w:ascii="Times New Roman" w:hAnsi="Times New Roman"/>
      <w:sz w:val="21"/>
    </w:rPr>
  </w:style>
  <w:style w:type="paragraph" w:customStyle="1" w:styleId="188">
    <w:name w:val="标准文件_表格续"/>
    <w:basedOn w:val="59"/>
    <w:next w:val="59"/>
    <w:qFormat/>
    <w:uiPriority w:val="0"/>
    <w:pPr>
      <w:jc w:val="center"/>
    </w:pPr>
    <w:rPr>
      <w:rFonts w:ascii="黑体" w:hAnsi="黑体" w:eastAsia="黑体"/>
    </w:rPr>
  </w:style>
  <w:style w:type="character" w:styleId="189">
    <w:name w:val="Placeholder Text"/>
    <w:basedOn w:val="30"/>
    <w:semiHidden/>
    <w:qFormat/>
    <w:uiPriority w:val="99"/>
    <w:rPr>
      <w:color w:val="808080"/>
    </w:rPr>
  </w:style>
  <w:style w:type="paragraph" w:customStyle="1" w:styleId="190">
    <w:name w:val="标准文件_二级项2"/>
    <w:basedOn w:val="59"/>
    <w:qFormat/>
    <w:uiPriority w:val="0"/>
    <w:pPr>
      <w:numPr>
        <w:ilvl w:val="1"/>
        <w:numId w:val="21"/>
      </w:numPr>
      <w:ind w:firstLine="0" w:firstLineChars="0"/>
    </w:pPr>
  </w:style>
  <w:style w:type="paragraph" w:customStyle="1" w:styleId="191">
    <w:name w:val="标准文件_三级项2"/>
    <w:basedOn w:val="59"/>
    <w:qFormat/>
    <w:uiPriority w:val="0"/>
    <w:pPr>
      <w:numPr>
        <w:ilvl w:val="0"/>
        <w:numId w:val="30"/>
      </w:numPr>
      <w:spacing w:line="300" w:lineRule="exact"/>
      <w:ind w:firstLineChars="0"/>
    </w:pPr>
  </w:style>
  <w:style w:type="paragraph" w:customStyle="1" w:styleId="192">
    <w:name w:val="标准文件_一级项2"/>
    <w:basedOn w:val="59"/>
    <w:qFormat/>
    <w:uiPriority w:val="0"/>
    <w:pPr>
      <w:numPr>
        <w:ilvl w:val="0"/>
        <w:numId w:val="31"/>
      </w:numPr>
      <w:spacing w:line="300" w:lineRule="exact"/>
      <w:ind w:firstLineChars="0"/>
    </w:pPr>
  </w:style>
  <w:style w:type="paragraph" w:customStyle="1" w:styleId="193">
    <w:name w:val="标准文件_提示"/>
    <w:basedOn w:val="59"/>
    <w:next w:val="59"/>
    <w:qFormat/>
    <w:uiPriority w:val="0"/>
    <w:pPr>
      <w:ind w:firstLine="420"/>
    </w:pPr>
    <w:rPr>
      <w:rFonts w:ascii="黑体" w:eastAsia="黑体"/>
    </w:rPr>
  </w:style>
  <w:style w:type="character" w:customStyle="1" w:styleId="194">
    <w:name w:val="标准文件_来源"/>
    <w:basedOn w:val="30"/>
    <w:qFormat/>
    <w:uiPriority w:val="1"/>
    <w:rPr>
      <w:rFonts w:eastAsia="宋体"/>
      <w:sz w:val="21"/>
    </w:rPr>
  </w:style>
  <w:style w:type="paragraph" w:customStyle="1" w:styleId="195">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6">
    <w:name w:val="其他发布日期"/>
    <w:basedOn w:val="123"/>
    <w:qFormat/>
    <w:uiPriority w:val="0"/>
    <w:pPr>
      <w:framePr w:w="3997" w:h="471" w:hRule="exact" w:hSpace="0" w:vSpace="181" w:wrap="around" w:vAnchor="page" w:hAnchor="page" w:x="1419" w:y="14097"/>
    </w:pPr>
  </w:style>
  <w:style w:type="paragraph" w:customStyle="1" w:styleId="197">
    <w:name w:val="其他实施日期"/>
    <w:basedOn w:val="157"/>
    <w:qFormat/>
    <w:uiPriority w:val="0"/>
    <w:pPr>
      <w:framePr w:w="3997" w:h="471" w:hRule="exact" w:vSpace="181" w:wrap="around" w:vAnchor="page" w:hAnchor="page" w:x="7089" w:y="14097"/>
    </w:pPr>
  </w:style>
  <w:style w:type="paragraph" w:customStyle="1" w:styleId="198">
    <w:name w:val="标准文件_文件编号"/>
    <w:basedOn w:val="59"/>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9">
    <w:name w:val="标准文件_替换文件编号"/>
    <w:basedOn w:val="198"/>
    <w:qFormat/>
    <w:uiPriority w:val="0"/>
    <w:pPr>
      <w:framePr/>
      <w:spacing w:before="57"/>
    </w:pPr>
    <w:rPr>
      <w:sz w:val="21"/>
    </w:rPr>
  </w:style>
  <w:style w:type="paragraph" w:customStyle="1" w:styleId="200">
    <w:name w:val="标准文件_文件名称"/>
    <w:basedOn w:val="59"/>
    <w:next w:val="59"/>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201">
    <w:name w:val="标准文件_附录图标号"/>
    <w:basedOn w:val="59"/>
    <w:next w:val="59"/>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2">
    <w:name w:val="标准文件_附录表标号"/>
    <w:basedOn w:val="59"/>
    <w:next w:val="59"/>
    <w:qFormat/>
    <w:uiPriority w:val="0"/>
    <w:pPr>
      <w:numPr>
        <w:ilvl w:val="0"/>
        <w:numId w:val="5"/>
      </w:numPr>
      <w:spacing w:line="14" w:lineRule="exact"/>
      <w:ind w:firstLine="0" w:firstLineChars="0"/>
      <w:jc w:val="center"/>
    </w:pPr>
    <w:rPr>
      <w:rFonts w:eastAsia="黑体"/>
      <w:vanish/>
      <w:sz w:val="2"/>
    </w:rPr>
  </w:style>
  <w:style w:type="paragraph" w:customStyle="1" w:styleId="203">
    <w:name w:val="标准文件_引言一级条标题"/>
    <w:basedOn w:val="59"/>
    <w:next w:val="59"/>
    <w:qFormat/>
    <w:uiPriority w:val="0"/>
    <w:pPr>
      <w:numPr>
        <w:ilvl w:val="1"/>
        <w:numId w:val="8"/>
      </w:numPr>
      <w:spacing w:before="50" w:beforeLines="50" w:after="50" w:afterLines="50"/>
      <w:ind w:firstLineChars="0"/>
    </w:pPr>
    <w:rPr>
      <w:rFonts w:ascii="黑体" w:eastAsia="黑体"/>
    </w:rPr>
  </w:style>
  <w:style w:type="paragraph" w:customStyle="1" w:styleId="204">
    <w:name w:val="标准文件_引言二级条标题"/>
    <w:basedOn w:val="59"/>
    <w:next w:val="59"/>
    <w:qFormat/>
    <w:uiPriority w:val="0"/>
    <w:pPr>
      <w:numPr>
        <w:ilvl w:val="2"/>
        <w:numId w:val="8"/>
      </w:numPr>
      <w:spacing w:before="50" w:beforeLines="50" w:after="50" w:afterLines="50"/>
      <w:ind w:firstLineChars="0"/>
    </w:pPr>
    <w:rPr>
      <w:rFonts w:ascii="黑体" w:eastAsia="黑体"/>
    </w:rPr>
  </w:style>
  <w:style w:type="paragraph" w:customStyle="1" w:styleId="205">
    <w:name w:val="标准文件_引言三级条标题"/>
    <w:basedOn w:val="59"/>
    <w:next w:val="59"/>
    <w:qFormat/>
    <w:uiPriority w:val="0"/>
    <w:pPr>
      <w:numPr>
        <w:ilvl w:val="3"/>
        <w:numId w:val="8"/>
      </w:numPr>
      <w:spacing w:before="50" w:beforeLines="50" w:after="50" w:afterLines="50"/>
      <w:ind w:firstLineChars="0"/>
    </w:pPr>
    <w:rPr>
      <w:rFonts w:ascii="黑体" w:eastAsia="黑体"/>
    </w:rPr>
  </w:style>
  <w:style w:type="paragraph" w:customStyle="1" w:styleId="206">
    <w:name w:val="标准文件_引言四级条标题"/>
    <w:basedOn w:val="59"/>
    <w:next w:val="59"/>
    <w:qFormat/>
    <w:uiPriority w:val="0"/>
    <w:pPr>
      <w:numPr>
        <w:ilvl w:val="4"/>
        <w:numId w:val="8"/>
      </w:numPr>
      <w:spacing w:before="50" w:beforeLines="50" w:after="50" w:afterLines="50"/>
      <w:ind w:firstLineChars="0"/>
    </w:pPr>
    <w:rPr>
      <w:rFonts w:ascii="黑体" w:eastAsia="黑体"/>
    </w:rPr>
  </w:style>
  <w:style w:type="paragraph" w:customStyle="1" w:styleId="207">
    <w:name w:val="标准文件_引言五级条标题"/>
    <w:basedOn w:val="59"/>
    <w:next w:val="59"/>
    <w:qFormat/>
    <w:uiPriority w:val="0"/>
    <w:pPr>
      <w:numPr>
        <w:ilvl w:val="5"/>
        <w:numId w:val="8"/>
      </w:numPr>
      <w:spacing w:before="50" w:beforeLines="50" w:after="50" w:afterLines="50"/>
      <w:ind w:firstLineChars="0"/>
    </w:pPr>
    <w:rPr>
      <w:rFonts w:ascii="黑体" w:eastAsia="黑体"/>
    </w:rPr>
  </w:style>
  <w:style w:type="paragraph" w:customStyle="1" w:styleId="208">
    <w:name w:val="标准文件_注后"/>
    <w:basedOn w:val="59"/>
    <w:qFormat/>
    <w:uiPriority w:val="0"/>
    <w:pPr>
      <w:ind w:left="811" w:firstLine="0" w:firstLineChars="0"/>
    </w:pPr>
    <w:rPr>
      <w:sz w:val="18"/>
    </w:rPr>
  </w:style>
  <w:style w:type="paragraph" w:customStyle="1" w:styleId="209">
    <w:name w:val="标准文件_注X后"/>
    <w:basedOn w:val="59"/>
    <w:qFormat/>
    <w:uiPriority w:val="0"/>
    <w:pPr>
      <w:ind w:left="811" w:firstLine="0" w:firstLineChars="0"/>
    </w:pPr>
    <w:rPr>
      <w:sz w:val="18"/>
    </w:rPr>
  </w:style>
  <w:style w:type="paragraph" w:customStyle="1" w:styleId="210">
    <w:name w:val="标准文件_示例后"/>
    <w:basedOn w:val="59"/>
    <w:qFormat/>
    <w:uiPriority w:val="0"/>
    <w:pPr>
      <w:ind w:left="964" w:firstLine="0" w:firstLineChars="0"/>
    </w:pPr>
    <w:rPr>
      <w:sz w:val="18"/>
    </w:rPr>
  </w:style>
  <w:style w:type="paragraph" w:customStyle="1" w:styleId="211">
    <w:name w:val="标准文件_示例X后"/>
    <w:basedOn w:val="59"/>
    <w:link w:val="212"/>
    <w:qFormat/>
    <w:uiPriority w:val="0"/>
    <w:pPr>
      <w:ind w:left="1049" w:firstLine="0" w:firstLineChars="0"/>
    </w:pPr>
    <w:rPr>
      <w:sz w:val="18"/>
    </w:rPr>
  </w:style>
  <w:style w:type="character" w:customStyle="1" w:styleId="212">
    <w:name w:val="标准文件_示例X后 字符"/>
    <w:basedOn w:val="187"/>
    <w:link w:val="211"/>
    <w:qFormat/>
    <w:uiPriority w:val="0"/>
    <w:rPr>
      <w:rFonts w:ascii="宋体" w:hAnsi="Times New Roman"/>
      <w:sz w:val="18"/>
    </w:rPr>
  </w:style>
  <w:style w:type="paragraph" w:customStyle="1" w:styleId="213">
    <w:name w:val="标准文件_索引项"/>
    <w:basedOn w:val="59"/>
    <w:next w:val="59"/>
    <w:qFormat/>
    <w:uiPriority w:val="0"/>
    <w:pPr>
      <w:tabs>
        <w:tab w:val="right" w:leader="dot" w:pos="9356"/>
      </w:tabs>
      <w:ind w:left="210" w:hanging="210" w:firstLineChars="0"/>
      <w:jc w:val="left"/>
    </w:pPr>
  </w:style>
  <w:style w:type="paragraph" w:customStyle="1" w:styleId="214">
    <w:name w:val="标准文件_附录一级无标题"/>
    <w:basedOn w:val="81"/>
    <w:qFormat/>
    <w:uiPriority w:val="0"/>
    <w:pPr>
      <w:spacing w:before="0" w:beforeLines="0" w:after="0" w:afterLines="0" w:line="276" w:lineRule="auto"/>
      <w:outlineLvl w:val="9"/>
    </w:pPr>
    <w:rPr>
      <w:rFonts w:ascii="宋体" w:eastAsia="宋体"/>
    </w:rPr>
  </w:style>
  <w:style w:type="paragraph" w:customStyle="1" w:styleId="215">
    <w:name w:val="标准文件_附录二级无标题"/>
    <w:basedOn w:val="82"/>
    <w:qFormat/>
    <w:uiPriority w:val="0"/>
    <w:pPr>
      <w:spacing w:before="0" w:beforeLines="0" w:after="0" w:afterLines="0" w:line="276" w:lineRule="auto"/>
      <w:outlineLvl w:val="9"/>
    </w:pPr>
    <w:rPr>
      <w:rFonts w:ascii="宋体" w:eastAsia="宋体"/>
    </w:rPr>
  </w:style>
  <w:style w:type="paragraph" w:customStyle="1" w:styleId="216">
    <w:name w:val="标准文件_附录三级无标题"/>
    <w:basedOn w:val="84"/>
    <w:qFormat/>
    <w:uiPriority w:val="0"/>
    <w:pPr>
      <w:spacing w:before="0" w:beforeLines="0" w:after="0" w:afterLines="0" w:line="276" w:lineRule="auto"/>
      <w:outlineLvl w:val="9"/>
    </w:pPr>
    <w:rPr>
      <w:rFonts w:ascii="宋体" w:eastAsia="宋体"/>
    </w:rPr>
  </w:style>
  <w:style w:type="paragraph" w:customStyle="1" w:styleId="217">
    <w:name w:val="标准文件_附录四级无标题"/>
    <w:basedOn w:val="85"/>
    <w:qFormat/>
    <w:uiPriority w:val="0"/>
    <w:pPr>
      <w:spacing w:before="0" w:beforeLines="0" w:after="0" w:afterLines="0" w:line="276" w:lineRule="auto"/>
      <w:outlineLvl w:val="9"/>
    </w:pPr>
    <w:rPr>
      <w:rFonts w:ascii="宋体" w:eastAsia="宋体"/>
    </w:rPr>
  </w:style>
  <w:style w:type="paragraph" w:customStyle="1" w:styleId="218">
    <w:name w:val="标准文件_附录五级无标题"/>
    <w:basedOn w:val="87"/>
    <w:qFormat/>
    <w:uiPriority w:val="0"/>
    <w:pPr>
      <w:spacing w:before="0" w:beforeLines="0" w:after="0" w:afterLines="0" w:line="276" w:lineRule="auto"/>
      <w:outlineLvl w:val="9"/>
    </w:pPr>
    <w:rPr>
      <w:rFonts w:ascii="宋体" w:eastAsia="宋体"/>
    </w:rPr>
  </w:style>
  <w:style w:type="paragraph" w:customStyle="1" w:styleId="219">
    <w:name w:val="标准文件_引言一级无标题"/>
    <w:basedOn w:val="203"/>
    <w:next w:val="59"/>
    <w:qFormat/>
    <w:uiPriority w:val="0"/>
    <w:pPr>
      <w:spacing w:before="0" w:beforeLines="0" w:after="0" w:afterLines="0" w:line="276" w:lineRule="auto"/>
    </w:pPr>
    <w:rPr>
      <w:rFonts w:ascii="宋体" w:eastAsia="宋体"/>
    </w:rPr>
  </w:style>
  <w:style w:type="paragraph" w:customStyle="1" w:styleId="220">
    <w:name w:val="标准文件_引言二级无标题"/>
    <w:basedOn w:val="204"/>
    <w:next w:val="59"/>
    <w:qFormat/>
    <w:uiPriority w:val="0"/>
    <w:pPr>
      <w:spacing w:before="0" w:beforeLines="0" w:after="0" w:afterLines="0" w:line="276" w:lineRule="auto"/>
    </w:pPr>
    <w:rPr>
      <w:rFonts w:ascii="宋体" w:eastAsia="宋体"/>
    </w:rPr>
  </w:style>
  <w:style w:type="paragraph" w:customStyle="1" w:styleId="221">
    <w:name w:val="标准文件_引言三级无标题"/>
    <w:basedOn w:val="205"/>
    <w:qFormat/>
    <w:uiPriority w:val="0"/>
    <w:pPr>
      <w:spacing w:before="0" w:beforeLines="0" w:after="0" w:afterLines="0" w:line="276" w:lineRule="auto"/>
    </w:pPr>
    <w:rPr>
      <w:rFonts w:ascii="宋体" w:eastAsia="宋体"/>
    </w:rPr>
  </w:style>
  <w:style w:type="paragraph" w:customStyle="1" w:styleId="222">
    <w:name w:val="标准文件_引言四级无标题"/>
    <w:basedOn w:val="206"/>
    <w:next w:val="59"/>
    <w:qFormat/>
    <w:uiPriority w:val="0"/>
    <w:pPr>
      <w:spacing w:before="0" w:beforeLines="0" w:after="0" w:afterLines="0" w:line="276" w:lineRule="auto"/>
    </w:pPr>
    <w:rPr>
      <w:rFonts w:ascii="宋体" w:eastAsia="宋体"/>
    </w:rPr>
  </w:style>
  <w:style w:type="paragraph" w:customStyle="1" w:styleId="223">
    <w:name w:val="标准文件_引言五级无标题"/>
    <w:basedOn w:val="207"/>
    <w:next w:val="59"/>
    <w:qFormat/>
    <w:uiPriority w:val="0"/>
    <w:pPr>
      <w:spacing w:before="0" w:beforeLines="0" w:after="0" w:afterLines="0" w:line="276" w:lineRule="auto"/>
    </w:pPr>
    <w:rPr>
      <w:rFonts w:ascii="宋体" w:eastAsia="宋体"/>
    </w:rPr>
  </w:style>
  <w:style w:type="paragraph" w:customStyle="1" w:styleId="224">
    <w:name w:val="标准文件_索引标题"/>
    <w:basedOn w:val="66"/>
    <w:next w:val="59"/>
    <w:qFormat/>
    <w:uiPriority w:val="0"/>
    <w:rPr>
      <w:rFonts w:hAnsi="黑体"/>
    </w:rPr>
  </w:style>
  <w:style w:type="paragraph" w:customStyle="1" w:styleId="225">
    <w:name w:val="标准文件_脚注内容"/>
    <w:basedOn w:val="59"/>
    <w:qFormat/>
    <w:uiPriority w:val="0"/>
    <w:pPr>
      <w:ind w:left="400" w:leftChars="200" w:hanging="200" w:hangingChars="200"/>
    </w:pPr>
    <w:rPr>
      <w:sz w:val="15"/>
    </w:rPr>
  </w:style>
  <w:style w:type="paragraph" w:customStyle="1" w:styleId="226">
    <w:name w:val="标准文件_术语条一"/>
    <w:basedOn w:val="165"/>
    <w:next w:val="59"/>
    <w:qFormat/>
    <w:uiPriority w:val="0"/>
  </w:style>
  <w:style w:type="paragraph" w:customStyle="1" w:styleId="227">
    <w:name w:val="标准文件_术语条二"/>
    <w:basedOn w:val="168"/>
    <w:next w:val="59"/>
    <w:qFormat/>
    <w:uiPriority w:val="0"/>
  </w:style>
  <w:style w:type="paragraph" w:customStyle="1" w:styleId="228">
    <w:name w:val="标准文件_术语条三"/>
    <w:basedOn w:val="167"/>
    <w:next w:val="59"/>
    <w:qFormat/>
    <w:uiPriority w:val="0"/>
  </w:style>
  <w:style w:type="paragraph" w:customStyle="1" w:styleId="229">
    <w:name w:val="标准文件_术语条四"/>
    <w:basedOn w:val="170"/>
    <w:next w:val="59"/>
    <w:qFormat/>
    <w:uiPriority w:val="0"/>
  </w:style>
  <w:style w:type="paragraph" w:customStyle="1" w:styleId="230">
    <w:name w:val="标准文件_术语条五"/>
    <w:basedOn w:val="166"/>
    <w:next w:val="59"/>
    <w:qFormat/>
    <w:uiPriority w:val="0"/>
  </w:style>
  <w:style w:type="paragraph" w:customStyle="1" w:styleId="231">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2">
    <w:name w:val="发布"/>
    <w:basedOn w:val="30"/>
    <w:qFormat/>
    <w:uiPriority w:val="0"/>
    <w:rPr>
      <w:rFonts w:ascii="黑体" w:eastAsia="黑体"/>
      <w:spacing w:val="85"/>
      <w:w w:val="100"/>
      <w:position w:val="3"/>
      <w:sz w:val="28"/>
      <w:szCs w:val="28"/>
    </w:rPr>
  </w:style>
  <w:style w:type="character" w:customStyle="1" w:styleId="233">
    <w:name w:val="未处理的提及1"/>
    <w:basedOn w:val="30"/>
    <w:semiHidden/>
    <w:unhideWhenUsed/>
    <w:qFormat/>
    <w:uiPriority w:val="99"/>
    <w:rPr>
      <w:color w:val="605E5C"/>
      <w:shd w:val="clear" w:color="auto" w:fill="E1DFDD"/>
    </w:rPr>
  </w:style>
  <w:style w:type="paragraph" w:customStyle="1" w:styleId="234">
    <w:name w:val="Revision"/>
    <w:hidden/>
    <w:unhideWhenUsed/>
    <w:qFormat/>
    <w:uiPriority w:val="99"/>
    <w:rPr>
      <w:rFonts w:ascii="Calibri" w:hAnsi="Calibri" w:eastAsia="宋体" w:cs="Times New Roman"/>
      <w:kern w:val="2"/>
      <w:sz w:val="21"/>
      <w:szCs w:val="21"/>
      <w:lang w:val="en-US" w:eastAsia="zh-CN" w:bidi="ar-SA"/>
    </w:rPr>
  </w:style>
  <w:style w:type="paragraph" w:customStyle="1" w:styleId="235">
    <w:name w:val="封面标准号2"/>
    <w:autoRedefine/>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character" w:customStyle="1" w:styleId="236">
    <w:name w:val="批注文字 字符"/>
    <w:basedOn w:val="30"/>
    <w:link w:val="13"/>
    <w:semiHidden/>
    <w:qFormat/>
    <w:uiPriority w:val="99"/>
    <w:rPr>
      <w:rFonts w:ascii="Calibri" w:hAnsi="Calibri"/>
      <w:kern w:val="2"/>
      <w:sz w:val="21"/>
      <w:szCs w:val="21"/>
    </w:rPr>
  </w:style>
  <w:style w:type="character" w:customStyle="1" w:styleId="237">
    <w:name w:val="批注主题 字符"/>
    <w:basedOn w:val="236"/>
    <w:link w:val="27"/>
    <w:semiHidden/>
    <w:qFormat/>
    <w:uiPriority w:val="99"/>
    <w:rPr>
      <w:rFonts w:ascii="Calibri" w:hAnsi="Calibri"/>
      <w:b/>
      <w:bCs/>
      <w:kern w:val="2"/>
      <w:sz w:val="21"/>
      <w:szCs w:val="21"/>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glossaryDocument" Target="glossary/document.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26631;&#20934;&#21270;&#25991;&#20214;&#32534;&#20889;&#24037;&#20855;&#36719;&#20214;SET2025\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F55BAA0D663F41838E9822AD8D6E1849"/>
        <w:style w:val=""/>
        <w:category>
          <w:name w:val="常规"/>
          <w:gallery w:val="placeholder"/>
        </w:category>
        <w:types>
          <w:type w:val="bbPlcHdr"/>
        </w:types>
        <w:behaviors>
          <w:behavior w:val="content"/>
        </w:behaviors>
        <w:description w:val=""/>
        <w:guid w:val="{78969BC2-E871-4D8B-A232-1BFF17232BCA}"/>
      </w:docPartPr>
      <w:docPartBody>
        <w:p w14:paraId="25E1392B">
          <w:pPr>
            <w:pStyle w:val="5"/>
            <w:rPr>
              <w:rFonts w:hint="eastAsia"/>
            </w:rPr>
          </w:pPr>
          <w:r>
            <w:rPr>
              <w:rStyle w:val="4"/>
              <w:rFonts w:hint="eastAsia"/>
            </w:rPr>
            <w:t>单击或点击此处输入文字。</w:t>
          </w:r>
        </w:p>
      </w:docPartBody>
    </w:docPart>
    <w:docPart>
      <w:docPartPr>
        <w:name w:val="6F4928D83A30424D8D138F1A035A16C5"/>
        <w:style w:val=""/>
        <w:category>
          <w:name w:val="常规"/>
          <w:gallery w:val="placeholder"/>
        </w:category>
        <w:types>
          <w:type w:val="bbPlcHdr"/>
        </w:types>
        <w:behaviors>
          <w:behavior w:val="content"/>
        </w:behaviors>
        <w:description w:val=""/>
        <w:guid w:val="{240800A8-1652-4FD8-9E90-5212CA4220FA}"/>
      </w:docPartPr>
      <w:docPartBody>
        <w:p w14:paraId="1DB17032">
          <w:pPr>
            <w:pStyle w:val="6"/>
            <w:rPr>
              <w:rFonts w:hint="eastAsia"/>
            </w:rPr>
          </w:pPr>
          <w:r>
            <w:rPr>
              <w:rStyle w:val="4"/>
              <w:rFonts w:hint="eastAsia"/>
            </w:rPr>
            <w:t>选择一项。</w:t>
          </w:r>
        </w:p>
      </w:docPartBody>
    </w:docPart>
    <w:docPart>
      <w:docPartPr>
        <w:name w:val="973B475E60CE44B0BF42EE8BDF73DC7B"/>
        <w:style w:val=""/>
        <w:category>
          <w:name w:val="常规"/>
          <w:gallery w:val="placeholder"/>
        </w:category>
        <w:types>
          <w:type w:val="bbPlcHdr"/>
        </w:types>
        <w:behaviors>
          <w:behavior w:val="content"/>
        </w:behaviors>
        <w:description w:val=""/>
        <w:guid w:val="{A9C4C302-3648-4284-885B-1EE1634F9B28}"/>
      </w:docPartPr>
      <w:docPartBody>
        <w:p w14:paraId="428E3933">
          <w:pPr>
            <w:pStyle w:val="7"/>
            <w:rPr>
              <w:rFonts w:hint="eastAsia"/>
            </w:rPr>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770B"/>
    <w:rsid w:val="00032E5C"/>
    <w:rsid w:val="00131023"/>
    <w:rsid w:val="00156AC3"/>
    <w:rsid w:val="00177DDE"/>
    <w:rsid w:val="0022264B"/>
    <w:rsid w:val="002A41C6"/>
    <w:rsid w:val="002E025E"/>
    <w:rsid w:val="00530E09"/>
    <w:rsid w:val="00695768"/>
    <w:rsid w:val="008326A8"/>
    <w:rsid w:val="009B10B1"/>
    <w:rsid w:val="009E60C7"/>
    <w:rsid w:val="00A35D6F"/>
    <w:rsid w:val="00A60FA9"/>
    <w:rsid w:val="00AA7307"/>
    <w:rsid w:val="00BD770B"/>
    <w:rsid w:val="00C96229"/>
    <w:rsid w:val="00EC513A"/>
    <w:rsid w:val="00FA6D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F55BAA0D663F41838E9822AD8D6E1849"/>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6F4928D83A30424D8D138F1A035A16C5"/>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973B475E60CE44B0BF42EE8BDF73DC7B"/>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datastoreItem>
</file>

<file path=docProps/app.xml><?xml version="1.0" encoding="utf-8"?>
<Properties xmlns="http://schemas.openxmlformats.org/officeDocument/2006/extended-properties" xmlns:vt="http://schemas.openxmlformats.org/officeDocument/2006/docPropsVTypes">
  <Template>团体标准.dotx</Template>
  <Pages>19</Pages>
  <Words>1941</Words>
  <Characters>2213</Characters>
  <Lines>114</Lines>
  <Paragraphs>32</Paragraphs>
  <TotalTime>0</TotalTime>
  <ScaleCrop>false</ScaleCrop>
  <LinksUpToDate>false</LinksUpToDate>
  <CharactersWithSpaces>2375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2026-04-16T02:28:00Z</dcterms:created>
  <dc:creator>王文龙</dc:creator>
  <cp:lastModifiedBy>J</cp:lastModifiedBy>
  <cp:lastPrinted>2021-02-02T08:22:00Z</cp:lastPrinted>
  <dcterms:modified xsi:type="dcterms:W3CDTF">2026-05-09T09:26:43Z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-1</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eyJoZGlkIjoiMTFmMDJjZGU0YzYzNjgxMjg1NzBlNDNlZWZkY2IyNjMiLCJ1c2VySWQiOiIxMzc2MzQzNjk3In0=</vt:lpwstr>
  </property>
  <property fmtid="{D5CDD505-2E9C-101B-9397-08002B2CF9AE}" pid="15" name="KSOProductBuildVer">
    <vt:lpwstr>2052-12.1.0.25865</vt:lpwstr>
  </property>
  <property fmtid="{D5CDD505-2E9C-101B-9397-08002B2CF9AE}" pid="16" name="ICV">
    <vt:lpwstr>661CF0AD80D94167AA6CB0194C7CF303_12</vt:lpwstr>
  </property>
</Properties>
</file>