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1FB60">
      <w:pPr>
        <w:pStyle w:val="53"/>
        <w:framePr w:w="8178" w:h="856" w:hRule="exact" w:wrap="around" w:hAnchor="page" w:x="1926" w:y="2335"/>
        <w:rPr>
          <w:rFonts w:hint="eastAsia" w:ascii="黑体" w:hAnsi="黑体" w:eastAsia="黑体"/>
          <w:b w:val="0"/>
          <w:sz w:val="56"/>
          <w:szCs w:val="52"/>
        </w:rPr>
      </w:pPr>
      <w:r>
        <w:rPr>
          <w:rFonts w:hint="eastAsia" w:ascii="黑体" w:hAnsi="黑体" w:eastAsia="黑体"/>
          <w:b w:val="0"/>
          <w:sz w:val="56"/>
          <w:szCs w:val="52"/>
        </w:rPr>
        <w:t>团体标准</w:t>
      </w:r>
    </w:p>
    <w:tbl>
      <w:tblPr>
        <w:tblStyle w:val="28"/>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1D9E4A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15349755">
            <w:pPr>
              <w:pStyle w:val="234"/>
              <w:framePr w:wrap="around" w:x="1382" w:y="3031"/>
              <w:rPr>
                <w:lang w:val="fr-FR"/>
              </w:rPr>
            </w:pPr>
            <w:bookmarkStart w:id="0" w:name="OLE_LINK7"/>
            <w:r>
              <w:rPr>
                <w:rFonts w:hint="eastAsia" w:ascii="Times New Roman"/>
                <w:b/>
                <w:bCs/>
                <w:lang w:val="fr-FR"/>
              </w:rPr>
              <w:t>T</w:t>
            </w:r>
            <w:r>
              <w:rPr>
                <w:rFonts w:ascii="Times New Roman"/>
                <w:b/>
                <w:bCs/>
                <w:lang w:val="fr-FR"/>
              </w:rPr>
              <w:t>/</w:t>
            </w:r>
            <w:r>
              <w:rPr>
                <w:rFonts w:hint="eastAsia" w:ascii="Times New Roman"/>
                <w:b/>
                <w:bCs/>
                <w:lang w:val="fr-FR"/>
              </w:rPr>
              <w:t>C</w:t>
            </w:r>
            <w:bookmarkStart w:id="1" w:name="StdNo1"/>
            <w:r>
              <w:rPr>
                <w:rFonts w:hint="eastAsia" w:ascii="Times New Roman"/>
                <w:b/>
                <w:bCs/>
                <w:lang w:val="fr-FR"/>
              </w:rPr>
              <w:t>RHA</w:t>
            </w:r>
            <w:bookmarkEnd w:id="1"/>
            <w:r>
              <w:rPr>
                <w:rFonts w:hint="eastAsia" w:ascii="Times New Roman"/>
                <w:lang w:val="fr-FR"/>
              </w:rPr>
              <w:t xml:space="preserve"> </w:t>
            </w:r>
            <w:r>
              <w:rPr>
                <w:rFonts w:hint="eastAsia"/>
                <w:lang w:val="fr-FR"/>
              </w:rPr>
              <w:t>XXX-202X</w:t>
            </w:r>
          </w:p>
        </w:tc>
      </w:tr>
    </w:tbl>
    <w:p w14:paraId="5C89F60F">
      <w:pPr>
        <w:pStyle w:val="234"/>
        <w:framePr w:wrap="around" w:x="1382" w:y="3031"/>
        <w:jc w:val="center"/>
        <w:rPr>
          <w:lang w:val="fr-FR"/>
        </w:rPr>
      </w:pPr>
      <w:r>
        <w:rPr>
          <w:rFonts w:hint="eastAsia"/>
          <w:lang w:val="fr-FR"/>
        </w:rPr>
        <w:t>————————————————————————————————————————</w:t>
      </w:r>
    </w:p>
    <w:p w14:paraId="33B1744B">
      <w:pPr>
        <w:pStyle w:val="234"/>
        <w:framePr w:wrap="around" w:x="1382" w:y="3031"/>
        <w:rPr>
          <w:lang w:val="fr-FR"/>
        </w:rPr>
      </w:pPr>
    </w:p>
    <w:bookmarkEnd w:id="0"/>
    <w:p w14:paraId="7A37DD8C">
      <w:pPr>
        <w:pStyle w:val="159"/>
        <w:framePr w:wrap="around" w:vAnchor="page" w:hAnchor="page" w:x="1821" w:y="739"/>
        <w:rPr>
          <w:b/>
          <w:bCs/>
        </w:rPr>
      </w:pPr>
      <w:r>
        <w:rPr>
          <w:b/>
          <w:bCs/>
        </w:rPr>
        <w:t>ICS</w:t>
      </w:r>
      <w:r>
        <w:rPr>
          <w:rFonts w:hint="eastAsia"/>
          <w:b/>
          <w:bCs/>
        </w:rPr>
        <w:t xml:space="preserve"> 11</w:t>
      </w:r>
      <w:r>
        <w:rPr>
          <w:b/>
          <w:bCs/>
        </w:rPr>
        <w:t>.0</w:t>
      </w:r>
      <w:r>
        <w:rPr>
          <w:rFonts w:hint="eastAsia"/>
          <w:b/>
          <w:bCs/>
        </w:rPr>
        <w:t>2</w:t>
      </w:r>
      <w:r>
        <w:rPr>
          <w:b/>
          <w:bCs/>
        </w:rPr>
        <w:t>0</w:t>
      </w:r>
    </w:p>
    <w:p w14:paraId="4C3B2B2F">
      <w:pPr>
        <w:pStyle w:val="159"/>
        <w:framePr w:wrap="around" w:vAnchor="page" w:hAnchor="page" w:x="1821" w:y="739"/>
        <w:rPr>
          <w:b/>
          <w:bCs/>
        </w:rPr>
      </w:pPr>
      <w:r>
        <w:rPr>
          <w:rFonts w:hint="eastAsia"/>
          <w:b/>
          <w:bCs/>
        </w:rPr>
        <w:t>CCS C 05</w:t>
      </w:r>
    </w:p>
    <w:p w14:paraId="633C50D2">
      <w:pPr>
        <w:spacing w:line="240" w:lineRule="auto"/>
        <w:rPr>
          <w:rFonts w:hint="eastAsia" w:ascii="黑体" w:hAnsi="黑体" w:eastAsia="黑体"/>
          <w:kern w:val="0"/>
          <w:sz w:val="10"/>
          <w:szCs w:val="10"/>
        </w:rPr>
      </w:pPr>
      <w:r>
        <w:rPr>
          <w:rFonts w:hint="eastAsia"/>
        </w:rPr>
        <w:drawing>
          <wp:anchor distT="0" distB="0" distL="114300" distR="114300" simplePos="0" relativeHeight="251659264" behindDoc="0" locked="0" layoutInCell="1" allowOverlap="1">
            <wp:simplePos x="0" y="0"/>
            <wp:positionH relativeFrom="column">
              <wp:posOffset>4737735</wp:posOffset>
            </wp:positionH>
            <wp:positionV relativeFrom="page">
              <wp:posOffset>294640</wp:posOffset>
            </wp:positionV>
            <wp:extent cx="1076325" cy="1040130"/>
            <wp:effectExtent l="0" t="0" r="9525" b="7620"/>
            <wp:wrapTopAndBottom/>
            <wp:docPr id="1454776490" name="图片 1454776490"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6490" name="图片 1454776490" descr="a06827f94baeb281ac1150c54aaec17"/>
                    <pic:cNvPicPr>
                      <a:picLocks noChangeAspect="1"/>
                    </pic:cNvPicPr>
                  </pic:nvPicPr>
                  <pic:blipFill>
                    <a:blip r:embed="rId13"/>
                    <a:stretch>
                      <a:fillRect/>
                    </a:stretch>
                  </pic:blipFill>
                  <pic:spPr>
                    <a:xfrm>
                      <a:off x="0" y="0"/>
                      <a:ext cx="1076325" cy="1040130"/>
                    </a:xfrm>
                    <a:prstGeom prst="rect">
                      <a:avLst/>
                    </a:prstGeom>
                  </pic:spPr>
                </pic:pic>
              </a:graphicData>
            </a:graphic>
          </wp:anchor>
        </w:drawing>
      </w:r>
    </w:p>
    <w:p w14:paraId="1BF56280">
      <w:pPr>
        <w:pStyle w:val="53"/>
        <w:framePr w:w="9639" w:h="6976" w:hRule="exact" w:hSpace="0" w:vSpace="0" w:wrap="around" w:hAnchor="page" w:y="6408"/>
        <w:jc w:val="center"/>
        <w:rPr>
          <w:rFonts w:hint="eastAsia" w:ascii="黑体" w:hAnsi="黑体" w:eastAsia="黑体"/>
          <w:b w:val="0"/>
          <w:bCs w:val="0"/>
          <w:w w:val="100"/>
        </w:rPr>
      </w:pPr>
    </w:p>
    <w:p w14:paraId="2FD08664">
      <w:pPr>
        <w:pStyle w:val="200"/>
        <w:framePr w:h="6974" w:hRule="exact" w:wrap="around" w:x="1419" w:anchorLock="1"/>
        <w:spacing w:after="400" w:line="240" w:lineRule="auto"/>
        <w:rPr>
          <w:rFonts w:hint="default"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2" w:name="CSTD_NAME"/>
      <w:r>
        <w:rPr>
          <w:rFonts w:ascii="Times New Roman" w:hAnsi="Times New Roman"/>
        </w:rPr>
        <w:instrText xml:space="preserve"> FORMTEXT </w:instrText>
      </w:r>
      <w:r>
        <w:rPr>
          <w:rFonts w:ascii="Times New Roman" w:hAnsi="Times New Roman"/>
        </w:rPr>
        <w:fldChar w:fldCharType="separate"/>
      </w:r>
      <w:r>
        <w:rPr>
          <w:rFonts w:hint="default" w:ascii="Times New Roman" w:hAnsi="Times New Roman"/>
        </w:rPr>
        <w:t xml:space="preserve">临床研究病房智慧管理平台建设规范 </w:t>
      </w:r>
    </w:p>
    <w:p w14:paraId="6DC08583">
      <w:pPr>
        <w:pStyle w:val="200"/>
        <w:framePr w:h="6974" w:hRule="exact" w:wrap="around" w:x="1419" w:anchorLock="1"/>
        <w:spacing w:after="400" w:line="240" w:lineRule="auto"/>
        <w:rPr>
          <w:rFonts w:hint="default" w:ascii="Times New Roman" w:hAnsi="Times New Roman"/>
        </w:rPr>
      </w:pPr>
      <w:r>
        <w:rPr>
          <w:rFonts w:hint="default" w:ascii="Times New Roman" w:hAnsi="Times New Roman"/>
        </w:rPr>
        <w:t>第4部分：数据存储</w:t>
      </w:r>
      <w:r>
        <w:rPr>
          <w:rFonts w:ascii="Times New Roman" w:hAnsi="Times New Roman"/>
        </w:rPr>
        <w:fldChar w:fldCharType="end"/>
      </w:r>
      <w:bookmarkEnd w:id="2"/>
    </w:p>
    <w:p w14:paraId="579883AB">
      <w:pPr>
        <w:pStyle w:val="128"/>
        <w:framePr w:w="9639" w:h="6974" w:hRule="exact" w:wrap="around" w:vAnchor="page" w:hAnchor="page" w:x="1419" w:y="6408" w:anchorLock="1"/>
        <w:spacing w:after="400" w:line="240" w:lineRule="auto"/>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3" w:name="ESTD_NAME"/>
      <w:r>
        <w:rPr>
          <w:rFonts w:eastAsia="黑体"/>
          <w:szCs w:val="28"/>
        </w:rPr>
        <w:instrText xml:space="preserve"> FORMTEXT </w:instrText>
      </w:r>
      <w:r>
        <w:rPr>
          <w:rFonts w:eastAsia="黑体"/>
          <w:szCs w:val="28"/>
        </w:rPr>
        <w:fldChar w:fldCharType="separate"/>
      </w:r>
      <w:r>
        <w:rPr>
          <w:rFonts w:hint="eastAsia" w:eastAsia="黑体"/>
          <w:szCs w:val="28"/>
        </w:rPr>
        <w:t xml:space="preserve">Specification for the construction of smart management platform for clinical research wards </w:t>
      </w:r>
    </w:p>
    <w:p w14:paraId="11000C18">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Part 4: data storage specification</w:t>
      </w:r>
      <w:r>
        <w:rPr>
          <w:rFonts w:eastAsia="黑体"/>
          <w:szCs w:val="28"/>
        </w:rPr>
        <w:fldChar w:fldCharType="end"/>
      </w:r>
      <w:bookmarkEnd w:id="3"/>
    </w:p>
    <w:p w14:paraId="421D53D4">
      <w:pPr>
        <w:pStyle w:val="128"/>
        <w:framePr w:w="9639" w:h="6974" w:hRule="exact" w:wrap="around" w:vAnchor="page" w:hAnchor="page" w:x="1419" w:y="6408" w:anchorLock="1"/>
        <w:spacing w:after="400" w:line="240" w:lineRule="auto"/>
        <w:textAlignment w:val="bottom"/>
        <w:rPr>
          <w:rFonts w:ascii="黑体" w:hAnsi="黑体" w:eastAsia="黑体"/>
          <w:b/>
          <w:szCs w:val="28"/>
        </w:rPr>
      </w:pPr>
      <w:r>
        <w:rPr>
          <w:rFonts w:hint="eastAsia" w:ascii="黑体" w:hAnsi="黑体" w:eastAsia="黑体"/>
          <w:szCs w:val="28"/>
        </w:rPr>
        <w:t>（征求意见稿）</w:t>
      </w:r>
    </w:p>
    <w:p w14:paraId="749E8908">
      <w:pPr>
        <w:pStyle w:val="196"/>
        <w:framePr w:w="9410" w:wrap="around" w:x="1490" w:y="15134"/>
        <w:jc w:val="center"/>
      </w:pPr>
      <w:bookmarkStart w:id="4" w:name="OLE_LINK8"/>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bookmarkEnd w:id="4"/>
    <w:p w14:paraId="42E94A56">
      <w:pPr>
        <w:pStyle w:val="122"/>
        <w:framePr w:wrap="around" w:vAnchor="page" w:hAnchor="page" w:x="2518" w:y="15755"/>
        <w:rPr>
          <w:rFonts w:ascii="黑体" w:hAnsi="黑体" w:eastAsia="黑体"/>
          <w:b w:val="0"/>
          <w:bCs/>
          <w:w w:val="100"/>
          <w:sz w:val="28"/>
          <w:szCs w:val="28"/>
        </w:rPr>
      </w:pPr>
      <w:bookmarkStart w:id="5" w:name="OLE_LINK1"/>
      <w:r>
        <w:rPr>
          <w:rFonts w:hint="eastAsia" w:ascii="黑体" w:hAnsi="黑体" w:eastAsia="黑体"/>
          <w:b w:val="0"/>
          <w:bCs/>
          <w:w w:val="100"/>
          <w:sz w:val="28"/>
          <w:szCs w:val="28"/>
        </w:rPr>
        <w:t>中国研究型医院学会 发布</w:t>
      </w:r>
    </w:p>
    <w:bookmarkEnd w:id="5"/>
    <w:p w14:paraId="61F27E11">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ascii="黑体"/>
        </w:rPr>
        <mc:AlternateContent>
          <mc:Choice Requires="wps">
            <w:drawing>
              <wp:anchor distT="0" distB="0" distL="114300" distR="114300" simplePos="0" relativeHeight="251660288" behindDoc="0" locked="0" layoutInCell="1" allowOverlap="1">
                <wp:simplePos x="0" y="0"/>
                <wp:positionH relativeFrom="column">
                  <wp:posOffset>-16510</wp:posOffset>
                </wp:positionH>
                <wp:positionV relativeFrom="paragraph">
                  <wp:posOffset>8509000</wp:posOffset>
                </wp:positionV>
                <wp:extent cx="5997575" cy="0"/>
                <wp:effectExtent l="0" t="0" r="0" b="0"/>
                <wp:wrapNone/>
                <wp:docPr id="1764781819" name="直接连接符 3"/>
                <wp:cNvGraphicFramePr/>
                <a:graphic xmlns:a="http://schemas.openxmlformats.org/drawingml/2006/main">
                  <a:graphicData uri="http://schemas.microsoft.com/office/word/2010/wordprocessingShape">
                    <wps:wsp>
                      <wps:cNvCnPr/>
                      <wps:spPr bwMode="auto">
                        <a:xfrm>
                          <a:off x="0" y="0"/>
                          <a:ext cx="599784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3" o:spid="_x0000_s1026" o:spt="20" style="position:absolute;left:0pt;margin-left:-1.3pt;margin-top:670pt;height:0pt;width:472.25pt;z-index:251660288;mso-width-relative:page;mso-height-relative:page;" filled="f" stroked="t" coordsize="21600,21600" o:gfxdata="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AKapgvYAAAADAEAAA8AAAAAAAAAAQAgAAAAIgAAAGRycy9kb3ducmV2LnhtbFBL&#10;AQIUABQAAAAIAIdO4kBs8oUl9gEAAMgDAAAOAAAAAAAAAAEAIAAAACcBAABkcnMvZTJvRG9jLnht&#10;bFBLBQYAAAAABgAGAFkBAACPBQAAAAA=&#10;">
                <v:fill on="f" focussize="0,0"/>
                <v:stroke weight="0.5pt" color="#000000 [3200]" miterlimit="8" joinstyle="miter"/>
                <v:imagedata o:title=""/>
                <o:lock v:ext="edit" aspectratio="f"/>
              </v:line>
            </w:pict>
          </mc:Fallback>
        </mc:AlternateContent>
      </w:r>
    </w:p>
    <w:p w14:paraId="2EDB2A5E">
      <w:pPr>
        <w:pStyle w:val="94"/>
        <w:spacing w:before="240" w:beforeLines="100" w:after="240" w:afterLines="100"/>
        <w:rPr>
          <w:kern w:val="0"/>
        </w:rPr>
      </w:pPr>
      <w:bookmarkStart w:id="6" w:name="BookMark1"/>
      <w:r>
        <w:rPr>
          <w:rFonts w:hint="eastAsia"/>
          <w:spacing w:val="0"/>
          <w:kern w:val="0"/>
        </w:rPr>
        <w:t>目</w:t>
      </w:r>
      <w:r>
        <w:rPr>
          <w:rFonts w:hint="eastAsia"/>
          <w:kern w:val="0"/>
        </w:rPr>
        <w:t xml:space="preserve">  </w:t>
      </w:r>
      <w:r>
        <w:rPr>
          <w:rFonts w:hint="eastAsia"/>
          <w:kern w:val="0"/>
        </w:rPr>
        <w:t>次</w:t>
      </w:r>
    </w:p>
    <w:sdt>
      <w:sdtPr>
        <w:rPr>
          <w:lang w:val="zh-CN"/>
        </w:rPr>
        <w:id w:val="-1712410929"/>
        <w:docPartObj>
          <w:docPartGallery w:val="Table of Contents"/>
          <w:docPartUnique/>
        </w:docPartObj>
      </w:sdtPr>
      <w:sdtEndPr>
        <w:rPr>
          <w:rFonts w:ascii="Times New Roman" w:hAnsi="Times New Roman"/>
          <w:b/>
          <w:bCs/>
          <w:color w:val="auto"/>
          <w:lang w:val="zh-CN"/>
        </w:rPr>
      </w:sdtEndPr>
      <w:sdtContent>
        <w:p w14:paraId="494A82A2">
          <w:pPr>
            <w:pStyle w:val="238"/>
            <w:spacing w:before="120" w:after="120"/>
            <w:rPr>
              <w:rFonts w:hint="eastAsia"/>
              <w:sz w:val="21"/>
              <w:szCs w:val="21"/>
            </w:rPr>
          </w:pPr>
        </w:p>
        <w:p w14:paraId="60DC8E93">
          <w:pPr>
            <w:pStyle w:val="20"/>
            <w:spacing w:line="240" w:lineRule="auto"/>
            <w:rPr>
              <w:rFonts w:hint="default" w:ascii="Times New Roman" w:hAnsi="Times New Roman" w:eastAsia="宋体" w:cs="Times New Roman"/>
              <w:sz w:val="22"/>
              <w:szCs w:val="24"/>
              <w14:ligatures w14:val="standardContextual"/>
            </w:rPr>
          </w:pPr>
          <w:r>
            <w:rPr>
              <w:rFonts w:hAnsi="Times New Roman"/>
            </w:rPr>
            <w:fldChar w:fldCharType="begin"/>
          </w:r>
          <w:r>
            <w:rPr>
              <w:rFonts w:hAnsi="Times New Roman"/>
            </w:rPr>
            <w:instrText xml:space="preserve"> TOC \o "1-3" \h \z \u </w:instrText>
          </w:r>
          <w:r>
            <w:rPr>
              <w:rFonts w:hint="default" w:hAnsi="Times New Roman"/>
            </w:rPr>
            <w:fldChar w:fldCharType="separate"/>
          </w: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"_Toc228523210"</w:instrText>
          </w:r>
          <w:r>
            <w:rPr>
              <w:rStyle w:val="34"/>
              <w:rFonts w:ascii="Times New Roman"/>
            </w:rPr>
            <w:instrText xml:space="preserve"> </w:instrText>
          </w:r>
          <w:r>
            <w:rPr>
              <w:rStyle w:val="34"/>
              <w:rFonts w:ascii="Times New Roman"/>
            </w:rPr>
            <w:fldChar w:fldCharType="separate"/>
          </w:r>
          <w:r>
            <w:rPr>
              <w:rStyle w:val="34"/>
              <w:rFonts w:ascii="Times New Roman"/>
            </w:rPr>
            <w:t>前言</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_Toc228523210 \h</w:instrText>
          </w:r>
          <w:r>
            <w:rPr>
              <w:rFonts w:hint="default" w:hAnsi="Times New Roman"/>
            </w:rPr>
            <w:instrText xml:space="preserve"> </w:instrText>
          </w:r>
          <w:r>
            <w:rPr>
              <w:rFonts w:hint="default" w:hAnsi="Times New Roman"/>
            </w:rPr>
            <w:fldChar w:fldCharType="separate"/>
          </w:r>
          <w:r>
            <w:rPr>
              <w:rFonts w:hAnsi="Times New Roman"/>
            </w:rPr>
            <w:t>II</w:t>
          </w:r>
          <w:r>
            <w:rPr>
              <w:rFonts w:hint="default" w:hAnsi="Times New Roman"/>
            </w:rPr>
            <w:fldChar w:fldCharType="end"/>
          </w:r>
          <w:r>
            <w:rPr>
              <w:rStyle w:val="34"/>
              <w:rFonts w:ascii="Times New Roman"/>
            </w:rPr>
            <w:fldChar w:fldCharType="end"/>
          </w:r>
        </w:p>
        <w:p w14:paraId="085681CF">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"_Toc228523211"</w:instrText>
          </w:r>
          <w:r>
            <w:rPr>
              <w:rStyle w:val="34"/>
              <w:rFonts w:ascii="Times New Roman"/>
            </w:rPr>
            <w:instrText xml:space="preserve"> </w:instrText>
          </w:r>
          <w:r>
            <w:rPr>
              <w:rStyle w:val="34"/>
              <w:rFonts w:ascii="Times New Roman"/>
            </w:rPr>
            <w:fldChar w:fldCharType="separate"/>
          </w:r>
          <w:r>
            <w:rPr>
              <w:rStyle w:val="34"/>
              <w:rFonts w:ascii="Times New Roman"/>
            </w:rPr>
            <w:t>引言</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_Toc228523211 \h</w:instrText>
          </w:r>
          <w:r>
            <w:rPr>
              <w:rFonts w:hint="default" w:hAnsi="Times New Roman"/>
            </w:rPr>
            <w:instrText xml:space="preserve"> </w:instrText>
          </w:r>
          <w:r>
            <w:rPr>
              <w:rFonts w:hint="default" w:hAnsi="Times New Roman"/>
            </w:rPr>
            <w:fldChar w:fldCharType="separate"/>
          </w:r>
          <w:r>
            <w:rPr>
              <w:rFonts w:hAnsi="Times New Roman"/>
            </w:rPr>
            <w:t>III</w:t>
          </w:r>
          <w:r>
            <w:rPr>
              <w:rFonts w:hint="default" w:hAnsi="Times New Roman"/>
            </w:rPr>
            <w:fldChar w:fldCharType="end"/>
          </w:r>
          <w:r>
            <w:rPr>
              <w:rStyle w:val="34"/>
              <w:rFonts w:ascii="Times New Roman"/>
            </w:rPr>
            <w:fldChar w:fldCharType="end"/>
          </w:r>
        </w:p>
        <w:p w14:paraId="79BEA4F5">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"_Toc228523212"</w:instrText>
          </w:r>
          <w:r>
            <w:rPr>
              <w:rStyle w:val="34"/>
              <w:rFonts w:ascii="Times New Roman"/>
            </w:rPr>
            <w:instrText xml:space="preserve"> </w:instrText>
          </w:r>
          <w:r>
            <w:rPr>
              <w:rStyle w:val="34"/>
              <w:rFonts w:ascii="Times New Roman"/>
            </w:rPr>
            <w:fldChar w:fldCharType="separate"/>
          </w:r>
          <w:r>
            <w:rPr>
              <w:rStyle w:val="34"/>
              <w:rFonts w:ascii="Times New Roman"/>
            </w:rPr>
            <w:t>1 范围</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_Toc228523212 \h</w:instrText>
          </w:r>
          <w:r>
            <w:rPr>
              <w:rFonts w:hint="default" w:hAnsi="Times New Roman"/>
            </w:rPr>
            <w:instrText xml:space="preserve"> </w:instrText>
          </w:r>
          <w:r>
            <w:rPr>
              <w:rFonts w:hint="default" w:hAnsi="Times New Roman"/>
            </w:rPr>
            <w:fldChar w:fldCharType="separate"/>
          </w:r>
          <w:r>
            <w:rPr>
              <w:rFonts w:hAnsi="Times New Roman"/>
            </w:rPr>
            <w:t>1</w:t>
          </w:r>
          <w:r>
            <w:rPr>
              <w:rFonts w:hint="default" w:hAnsi="Times New Roman"/>
            </w:rPr>
            <w:fldChar w:fldCharType="end"/>
          </w:r>
          <w:r>
            <w:rPr>
              <w:rStyle w:val="34"/>
              <w:rFonts w:ascii="Times New Roman"/>
            </w:rPr>
            <w:fldChar w:fldCharType="end"/>
          </w:r>
        </w:p>
        <w:p w14:paraId="21CB4524">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"_Toc228523214"</w:instrText>
          </w:r>
          <w:r>
            <w:rPr>
              <w:rStyle w:val="34"/>
              <w:rFonts w:ascii="Times New Roman"/>
            </w:rPr>
            <w:instrText xml:space="preserve"> </w:instrText>
          </w:r>
          <w:r>
            <w:rPr>
              <w:rStyle w:val="34"/>
              <w:rFonts w:ascii="Times New Roman"/>
            </w:rPr>
            <w:fldChar w:fldCharType="separate"/>
          </w:r>
          <w:r>
            <w:rPr>
              <w:rStyle w:val="34"/>
              <w:rFonts w:ascii="Times New Roman"/>
            </w:rPr>
            <w:t>2 规范性引用文件</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_Toc228523214 \h</w:instrText>
          </w:r>
          <w:r>
            <w:rPr>
              <w:rFonts w:hint="default" w:hAnsi="Times New Roman"/>
            </w:rPr>
            <w:instrText xml:space="preserve"> </w:instrText>
          </w:r>
          <w:r>
            <w:rPr>
              <w:rFonts w:hint="default" w:hAnsi="Times New Roman"/>
            </w:rPr>
            <w:fldChar w:fldCharType="separate"/>
          </w:r>
          <w:r>
            <w:rPr>
              <w:rFonts w:hAnsi="Times New Roman"/>
            </w:rPr>
            <w:t>1</w:t>
          </w:r>
          <w:r>
            <w:rPr>
              <w:rFonts w:hint="default" w:hAnsi="Times New Roman"/>
            </w:rPr>
            <w:fldChar w:fldCharType="end"/>
          </w:r>
          <w:r>
            <w:rPr>
              <w:rStyle w:val="34"/>
              <w:rFonts w:ascii="Times New Roman"/>
            </w:rPr>
            <w:fldChar w:fldCharType="end"/>
          </w:r>
        </w:p>
        <w:p w14:paraId="0E282C8E">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"_Toc228523215"</w:instrText>
          </w:r>
          <w:r>
            <w:rPr>
              <w:rStyle w:val="34"/>
              <w:rFonts w:ascii="Times New Roman"/>
            </w:rPr>
            <w:instrText xml:space="preserve"> </w:instrText>
          </w:r>
          <w:r>
            <w:rPr>
              <w:rStyle w:val="34"/>
              <w:rFonts w:ascii="Times New Roman"/>
            </w:rPr>
            <w:fldChar w:fldCharType="separate"/>
          </w:r>
          <w:r>
            <w:rPr>
              <w:rStyle w:val="34"/>
              <w:rFonts w:ascii="Times New Roman"/>
            </w:rPr>
            <w:t>3 术语和定义</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_Toc228523215 \h</w:instrText>
          </w:r>
          <w:r>
            <w:rPr>
              <w:rFonts w:hint="default" w:hAnsi="Times New Roman"/>
            </w:rPr>
            <w:instrText xml:space="preserve"> </w:instrText>
          </w:r>
          <w:r>
            <w:rPr>
              <w:rFonts w:hint="default" w:hAnsi="Times New Roman"/>
            </w:rPr>
            <w:fldChar w:fldCharType="separate"/>
          </w:r>
          <w:r>
            <w:rPr>
              <w:rFonts w:hAnsi="Times New Roman"/>
            </w:rPr>
            <w:t>1</w:t>
          </w:r>
          <w:r>
            <w:rPr>
              <w:rFonts w:hint="default" w:hAnsi="Times New Roman"/>
            </w:rPr>
            <w:fldChar w:fldCharType="end"/>
          </w:r>
          <w:r>
            <w:rPr>
              <w:rStyle w:val="34"/>
              <w:rFonts w:ascii="Times New Roman"/>
            </w:rPr>
            <w:fldChar w:fldCharType="end"/>
          </w:r>
        </w:p>
        <w:p w14:paraId="3641F916">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"_Toc228523216"</w:instrText>
          </w:r>
          <w:r>
            <w:rPr>
              <w:rStyle w:val="34"/>
              <w:rFonts w:ascii="Times New Roman"/>
            </w:rPr>
            <w:instrText xml:space="preserve"> </w:instrText>
          </w:r>
          <w:r>
            <w:rPr>
              <w:rStyle w:val="34"/>
              <w:rFonts w:ascii="Times New Roman"/>
            </w:rPr>
            <w:fldChar w:fldCharType="separate"/>
          </w:r>
          <w:r>
            <w:rPr>
              <w:rStyle w:val="34"/>
              <w:rFonts w:ascii="Times New Roman"/>
            </w:rPr>
            <w:t>4 缩略语</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_Toc228523216 \h</w:instrText>
          </w:r>
          <w:r>
            <w:rPr>
              <w:rFonts w:hint="default" w:hAnsi="Times New Roman"/>
            </w:rPr>
            <w:instrText xml:space="preserve"> </w:instrText>
          </w:r>
          <w:r>
            <w:rPr>
              <w:rFonts w:hint="default" w:hAnsi="Times New Roman"/>
            </w:rPr>
            <w:fldChar w:fldCharType="separate"/>
          </w:r>
          <w:r>
            <w:rPr>
              <w:rFonts w:hAnsi="Times New Roman"/>
            </w:rPr>
            <w:t>2</w:t>
          </w:r>
          <w:r>
            <w:rPr>
              <w:rFonts w:hint="default" w:hAnsi="Times New Roman"/>
            </w:rPr>
            <w:fldChar w:fldCharType="end"/>
          </w:r>
          <w:r>
            <w:rPr>
              <w:rStyle w:val="34"/>
              <w:rFonts w:ascii="Times New Roman"/>
            </w:rPr>
            <w:fldChar w:fldCharType="end"/>
          </w:r>
        </w:p>
        <w:p w14:paraId="1BFD8EFF">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"_Toc228523217"</w:instrText>
          </w:r>
          <w:r>
            <w:rPr>
              <w:rStyle w:val="34"/>
              <w:rFonts w:ascii="Times New Roman"/>
            </w:rPr>
            <w:instrText xml:space="preserve"> </w:instrText>
          </w:r>
          <w:r>
            <w:rPr>
              <w:rStyle w:val="34"/>
              <w:rFonts w:ascii="Times New Roman"/>
            </w:rPr>
            <w:fldChar w:fldCharType="separate"/>
          </w:r>
          <w:r>
            <w:rPr>
              <w:rStyle w:val="34"/>
              <w:rFonts w:ascii="Times New Roman"/>
            </w:rPr>
            <w:t>5 核心存储规范</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_Toc228523217 \h</w:instrText>
          </w:r>
          <w:r>
            <w:rPr>
              <w:rFonts w:hint="default" w:hAnsi="Times New Roman"/>
            </w:rPr>
            <w:instrText xml:space="preserve"> </w:instrText>
          </w:r>
          <w:r>
            <w:rPr>
              <w:rFonts w:hint="default" w:hAnsi="Times New Roman"/>
            </w:rPr>
            <w:fldChar w:fldCharType="separate"/>
          </w:r>
          <w:r>
            <w:rPr>
              <w:rFonts w:hAnsi="Times New Roman"/>
            </w:rPr>
            <w:t>3</w:t>
          </w:r>
          <w:r>
            <w:rPr>
              <w:rFonts w:hint="default" w:hAnsi="Times New Roman"/>
            </w:rPr>
            <w:fldChar w:fldCharType="end"/>
          </w:r>
          <w:r>
            <w:rPr>
              <w:rStyle w:val="34"/>
              <w:rFonts w:ascii="Times New Roman"/>
            </w:rPr>
            <w:fldChar w:fldCharType="end"/>
          </w:r>
        </w:p>
        <w:p w14:paraId="6963837B">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"_Toc228523218"</w:instrText>
          </w:r>
          <w:r>
            <w:rPr>
              <w:rStyle w:val="34"/>
              <w:rFonts w:ascii="Times New Roman"/>
            </w:rPr>
            <w:instrText xml:space="preserve"> </w:instrText>
          </w:r>
          <w:r>
            <w:rPr>
              <w:rStyle w:val="34"/>
              <w:rFonts w:ascii="Times New Roman"/>
            </w:rPr>
            <w:fldChar w:fldCharType="separate"/>
          </w:r>
          <w:r>
            <w:rPr>
              <w:rStyle w:val="34"/>
              <w:rFonts w:ascii="Times New Roman"/>
            </w:rPr>
            <w:t>6 存储安全管理</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_Toc228523218 \h</w:instrText>
          </w:r>
          <w:r>
            <w:rPr>
              <w:rFonts w:hint="default" w:hAnsi="Times New Roman"/>
            </w:rPr>
            <w:instrText xml:space="preserve"> </w:instrText>
          </w:r>
          <w:r>
            <w:rPr>
              <w:rFonts w:hint="default" w:hAnsi="Times New Roman"/>
            </w:rPr>
            <w:fldChar w:fldCharType="separate"/>
          </w:r>
          <w:r>
            <w:rPr>
              <w:rFonts w:hAnsi="Times New Roman"/>
            </w:rPr>
            <w:t>5</w:t>
          </w:r>
          <w:r>
            <w:rPr>
              <w:rFonts w:hint="default" w:hAnsi="Times New Roman"/>
            </w:rPr>
            <w:fldChar w:fldCharType="end"/>
          </w:r>
          <w:r>
            <w:rPr>
              <w:rStyle w:val="34"/>
              <w:rFonts w:ascii="Times New Roman"/>
            </w:rPr>
            <w:fldChar w:fldCharType="end"/>
          </w:r>
        </w:p>
        <w:p w14:paraId="29B80464">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"_Toc228523219"</w:instrText>
          </w:r>
          <w:r>
            <w:rPr>
              <w:rStyle w:val="34"/>
              <w:rFonts w:ascii="Times New Roman"/>
            </w:rPr>
            <w:instrText xml:space="preserve"> </w:instrText>
          </w:r>
          <w:r>
            <w:rPr>
              <w:rStyle w:val="34"/>
              <w:rFonts w:ascii="Times New Roman"/>
            </w:rPr>
            <w:fldChar w:fldCharType="separate"/>
          </w:r>
          <w:r>
            <w:rPr>
              <w:rStyle w:val="34"/>
              <w:rFonts w:ascii="Times New Roman"/>
            </w:rPr>
            <w:t>7 数据溯源与审计</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_Toc228523219 \h</w:instrText>
          </w:r>
          <w:r>
            <w:rPr>
              <w:rFonts w:hint="default" w:hAnsi="Times New Roman"/>
            </w:rPr>
            <w:instrText xml:space="preserve"> </w:instrText>
          </w:r>
          <w:r>
            <w:rPr>
              <w:rFonts w:hint="default" w:hAnsi="Times New Roman"/>
            </w:rPr>
            <w:fldChar w:fldCharType="separate"/>
          </w:r>
          <w:r>
            <w:rPr>
              <w:rFonts w:hAnsi="Times New Roman"/>
            </w:rPr>
            <w:t>6</w:t>
          </w:r>
          <w:r>
            <w:rPr>
              <w:rFonts w:hint="default" w:hAnsi="Times New Roman"/>
            </w:rPr>
            <w:fldChar w:fldCharType="end"/>
          </w:r>
          <w:r>
            <w:rPr>
              <w:rStyle w:val="34"/>
              <w:rFonts w:ascii="Times New Roman"/>
            </w:rPr>
            <w:fldChar w:fldCharType="end"/>
          </w:r>
        </w:p>
        <w:p w14:paraId="138D29BA">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"_Toc228523220"</w:instrText>
          </w:r>
          <w:r>
            <w:rPr>
              <w:rStyle w:val="34"/>
              <w:rFonts w:ascii="Times New Roman"/>
            </w:rPr>
            <w:instrText xml:space="preserve"> </w:instrText>
          </w:r>
          <w:r>
            <w:rPr>
              <w:rStyle w:val="34"/>
              <w:rFonts w:ascii="Times New Roman"/>
            </w:rPr>
            <w:fldChar w:fldCharType="separate"/>
          </w:r>
          <w:r>
            <w:rPr>
              <w:rStyle w:val="34"/>
              <w:rFonts w:ascii="Times New Roman"/>
            </w:rPr>
            <w:t>8 存储可靠性要求</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_Toc228523220 \h</w:instrText>
          </w:r>
          <w:r>
            <w:rPr>
              <w:rFonts w:hint="default" w:hAnsi="Times New Roman"/>
            </w:rPr>
            <w:instrText xml:space="preserve"> </w:instrText>
          </w:r>
          <w:r>
            <w:rPr>
              <w:rFonts w:hint="default" w:hAnsi="Times New Roman"/>
            </w:rPr>
            <w:fldChar w:fldCharType="separate"/>
          </w:r>
          <w:r>
            <w:rPr>
              <w:rFonts w:hAnsi="Times New Roman"/>
            </w:rPr>
            <w:t>7</w:t>
          </w:r>
          <w:r>
            <w:rPr>
              <w:rFonts w:hint="default" w:hAnsi="Times New Roman"/>
            </w:rPr>
            <w:fldChar w:fldCharType="end"/>
          </w:r>
          <w:r>
            <w:rPr>
              <w:rStyle w:val="34"/>
              <w:rFonts w:ascii="Times New Roman"/>
            </w:rPr>
            <w:fldChar w:fldCharType="end"/>
          </w:r>
        </w:p>
        <w:p w14:paraId="2B3E9EA5">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"_Toc228523222"</w:instrText>
          </w:r>
          <w:r>
            <w:rPr>
              <w:rStyle w:val="34"/>
              <w:rFonts w:ascii="Times New Roman"/>
            </w:rPr>
            <w:instrText xml:space="preserve"> </w:instrText>
          </w:r>
          <w:r>
            <w:rPr>
              <w:rStyle w:val="34"/>
              <w:rFonts w:ascii="Times New Roman"/>
            </w:rPr>
            <w:fldChar w:fldCharType="separate"/>
          </w:r>
          <w:r>
            <w:rPr>
              <w:rStyle w:val="34"/>
              <w:rFonts w:ascii="Times New Roman"/>
              <w:spacing w:val="0"/>
            </w:rPr>
            <w:t>附录A</w:t>
          </w:r>
          <w:bookmarkStart w:id="7" w:name="OLE_LINK13"/>
          <w:r>
            <w:rPr>
              <w:rStyle w:val="34"/>
              <w:rFonts w:ascii="Times New Roman"/>
            </w:rPr>
            <w:t>（资料性）</w:t>
          </w:r>
          <w:bookmarkEnd w:id="7"/>
          <w:r>
            <w:rPr>
              <w:rStyle w:val="34"/>
              <w:rFonts w:ascii="Times New Roman"/>
            </w:rPr>
            <w:t>临床研究数据分类与存储数据规范</w:t>
          </w:r>
          <w:r>
            <w:rPr>
              <w:rStyle w:val="34"/>
              <w:rFonts w:ascii="Times New Roman"/>
            </w:rPr>
            <w:tab/>
          </w:r>
          <w:r>
            <w:rPr>
              <w:rStyle w:val="34"/>
              <w:rFonts w:ascii="Times New Roman"/>
            </w:rPr>
            <w:fldChar w:fldCharType="begin"/>
          </w:r>
          <w:r>
            <w:rPr>
              <w:rStyle w:val="34"/>
              <w:rFonts w:ascii="Times New Roman"/>
            </w:rPr>
            <w:instrText xml:space="preserve"> PAGEREF _Toc228523222 \h </w:instrText>
          </w:r>
          <w:r>
            <w:rPr>
              <w:rStyle w:val="34"/>
              <w:rFonts w:ascii="Times New Roman"/>
            </w:rPr>
            <w:fldChar w:fldCharType="separate"/>
          </w:r>
          <w:r>
            <w:rPr>
              <w:rStyle w:val="34"/>
              <w:rFonts w:ascii="Times New Roman"/>
            </w:rPr>
            <w:t>9</w:t>
          </w:r>
          <w:r>
            <w:rPr>
              <w:rStyle w:val="34"/>
              <w:rFonts w:ascii="Times New Roman"/>
            </w:rPr>
            <w:fldChar w:fldCharType="end"/>
          </w:r>
          <w:r>
            <w:rPr>
              <w:rStyle w:val="34"/>
              <w:rFonts w:ascii="Times New Roman"/>
            </w:rPr>
            <w:fldChar w:fldCharType="end"/>
          </w:r>
        </w:p>
        <w:p w14:paraId="7F203390">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"_Toc228523225"</w:instrText>
          </w:r>
          <w:r>
            <w:rPr>
              <w:rStyle w:val="34"/>
              <w:rFonts w:ascii="Times New Roman"/>
            </w:rPr>
            <w:instrText xml:space="preserve"> </w:instrText>
          </w:r>
          <w:r>
            <w:rPr>
              <w:rStyle w:val="34"/>
              <w:rFonts w:ascii="Times New Roman"/>
            </w:rPr>
            <w:fldChar w:fldCharType="separate"/>
          </w:r>
          <w:r>
            <w:rPr>
              <w:rStyle w:val="34"/>
              <w:rFonts w:ascii="Times New Roman"/>
              <w:spacing w:val="0"/>
            </w:rPr>
            <w:t>附录B</w:t>
          </w:r>
          <w:r>
            <w:rPr>
              <w:rStyle w:val="34"/>
              <w:rFonts w:ascii="Times New Roman"/>
            </w:rPr>
            <w:t>（资料性）临床研究数据存储审计日志核心要素模板</w:t>
          </w:r>
          <w:r>
            <w:rPr>
              <w:rStyle w:val="34"/>
              <w:rFonts w:ascii="Times New Roman"/>
            </w:rPr>
            <w:tab/>
          </w:r>
          <w:r>
            <w:rPr>
              <w:rStyle w:val="34"/>
              <w:rFonts w:ascii="Times New Roman"/>
            </w:rPr>
            <w:fldChar w:fldCharType="begin"/>
          </w:r>
          <w:r>
            <w:rPr>
              <w:rStyle w:val="34"/>
              <w:rFonts w:ascii="Times New Roman"/>
            </w:rPr>
            <w:instrText xml:space="preserve"> PAGEREF _Toc228523225 \h </w:instrText>
          </w:r>
          <w:r>
            <w:rPr>
              <w:rStyle w:val="34"/>
              <w:rFonts w:ascii="Times New Roman"/>
            </w:rPr>
            <w:fldChar w:fldCharType="separate"/>
          </w:r>
          <w:r>
            <w:rPr>
              <w:rStyle w:val="34"/>
              <w:rFonts w:ascii="Times New Roman"/>
            </w:rPr>
            <w:t>11</w:t>
          </w:r>
          <w:r>
            <w:rPr>
              <w:rStyle w:val="34"/>
              <w:rFonts w:ascii="Times New Roman"/>
            </w:rPr>
            <w:fldChar w:fldCharType="end"/>
          </w:r>
          <w:r>
            <w:rPr>
              <w:rStyle w:val="34"/>
              <w:rFonts w:ascii="Times New Roman"/>
            </w:rPr>
            <w:fldChar w:fldCharType="end"/>
          </w:r>
        </w:p>
        <w:p w14:paraId="11670C3C">
          <w:pPr>
            <w:pStyle w:val="20"/>
            <w:spacing w:line="240" w:lineRule="auto"/>
            <w:rPr>
              <w:rFonts w:hint="default"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int="default" w:hAnsi="Times New Roman"/>
            </w:rPr>
            <w:instrText xml:space="preserve">HYPERLINK \l "_Toc228523228"</w:instrText>
          </w:r>
          <w:r>
            <w:rPr>
              <w:rStyle w:val="34"/>
              <w:rFonts w:ascii="Times New Roman"/>
            </w:rPr>
            <w:instrText xml:space="preserve"> </w:instrText>
          </w:r>
          <w:r>
            <w:rPr>
              <w:rStyle w:val="34"/>
              <w:rFonts w:ascii="Times New Roman"/>
            </w:rPr>
            <w:fldChar w:fldCharType="separate"/>
          </w:r>
          <w:r>
            <w:rPr>
              <w:rStyle w:val="34"/>
              <w:rFonts w:ascii="Times New Roman"/>
            </w:rPr>
            <w:t>参考文献</w:t>
          </w:r>
          <w:r>
            <w:rPr>
              <w:rFonts w:hint="default" w:hAnsi="Times New Roman"/>
            </w:rPr>
            <w:tab/>
          </w:r>
          <w:r>
            <w:rPr>
              <w:rFonts w:hint="default" w:hAnsi="Times New Roman"/>
            </w:rPr>
            <w:fldChar w:fldCharType="begin"/>
          </w:r>
          <w:r>
            <w:rPr>
              <w:rFonts w:hint="default" w:hAnsi="Times New Roman"/>
            </w:rPr>
            <w:instrText xml:space="preserve"> </w:instrText>
          </w:r>
          <w:r>
            <w:rPr>
              <w:rFonts w:hAnsi="Times New Roman"/>
            </w:rPr>
            <w:instrText xml:space="preserve">PAGEREF _Toc228523228 \h</w:instrText>
          </w:r>
          <w:r>
            <w:rPr>
              <w:rFonts w:hint="default" w:hAnsi="Times New Roman"/>
            </w:rPr>
            <w:instrText xml:space="preserve"> </w:instrText>
          </w:r>
          <w:r>
            <w:rPr>
              <w:rFonts w:hint="default" w:hAnsi="Times New Roman"/>
            </w:rPr>
            <w:fldChar w:fldCharType="separate"/>
          </w:r>
          <w:r>
            <w:rPr>
              <w:rFonts w:hAnsi="Times New Roman"/>
            </w:rPr>
            <w:t>13</w:t>
          </w:r>
          <w:r>
            <w:rPr>
              <w:rFonts w:hint="default" w:hAnsi="Times New Roman"/>
            </w:rPr>
            <w:fldChar w:fldCharType="end"/>
          </w:r>
          <w:r>
            <w:rPr>
              <w:rStyle w:val="34"/>
              <w:rFonts w:ascii="Times New Roman"/>
            </w:rPr>
            <w:fldChar w:fldCharType="end"/>
          </w:r>
        </w:p>
        <w:p w14:paraId="4A824E67">
          <w:pPr>
            <w:spacing w:line="240" w:lineRule="auto"/>
            <w:rPr>
              <w:rFonts w:hint="default" w:ascii="Times New Roman" w:hAnsi="Times New Roman"/>
            </w:rPr>
          </w:pPr>
          <w:r>
            <w:rPr>
              <w:rFonts w:ascii="Times New Roman" w:hAnsi="Times New Roman"/>
              <w:b/>
              <w:bCs/>
              <w:lang w:val="zh-CN"/>
            </w:rPr>
            <w:fldChar w:fldCharType="end"/>
          </w:r>
        </w:p>
      </w:sdtContent>
    </w:sdt>
    <w:p w14:paraId="6D55F5BE">
      <w:pPr>
        <w:pStyle w:val="94"/>
        <w:spacing w:after="360"/>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6"/>
    <w:p w14:paraId="15C16D91">
      <w:pPr>
        <w:pStyle w:val="92"/>
        <w:spacing w:before="240" w:beforeLines="100" w:after="240" w:afterLines="100"/>
        <w:ind w:left="0" w:firstLine="0"/>
      </w:pPr>
      <w:bookmarkStart w:id="8" w:name="_Toc4958"/>
      <w:bookmarkStart w:id="9" w:name="_Toc228523210"/>
      <w:bookmarkStart w:id="10" w:name="BookMark2"/>
      <w:r>
        <w:rPr>
          <w:rFonts w:hint="eastAsia"/>
          <w:spacing w:val="0"/>
        </w:rPr>
        <w:t>前</w:t>
      </w:r>
      <w:r>
        <w:rPr>
          <w:rFonts w:hint="eastAsia"/>
        </w:rPr>
        <w:t xml:space="preserve">  言</w:t>
      </w:r>
      <w:bookmarkEnd w:id="8"/>
      <w:bookmarkEnd w:id="9"/>
    </w:p>
    <w:p w14:paraId="38950AC0">
      <w:pPr>
        <w:pStyle w:val="59"/>
        <w:ind w:firstLine="420"/>
      </w:pPr>
      <w:r>
        <w:rPr>
          <w:rFonts w:hint="default"/>
        </w:rPr>
        <w:t>T/XXX XXX《临床研究病房智慧管理平台建设规范》分为以下7个部分：</w:t>
      </w:r>
    </w:p>
    <w:p w14:paraId="48CA2EA2">
      <w:pPr>
        <w:pStyle w:val="59"/>
        <w:ind w:firstLine="420"/>
      </w:pPr>
      <w:r>
        <w:rPr>
          <w:rFonts w:hint="default"/>
        </w:rPr>
        <w:t>——第1部分：架构设计；</w:t>
      </w:r>
    </w:p>
    <w:p w14:paraId="0F6BD040">
      <w:pPr>
        <w:pStyle w:val="59"/>
        <w:ind w:firstLine="420"/>
      </w:pPr>
      <w:r>
        <w:rPr>
          <w:rFonts w:hint="default"/>
        </w:rPr>
        <w:t>——第2部分：数据采集；</w:t>
      </w:r>
    </w:p>
    <w:p w14:paraId="3620E118">
      <w:pPr>
        <w:pStyle w:val="59"/>
        <w:ind w:firstLine="420"/>
      </w:pPr>
      <w:r>
        <w:rPr>
          <w:rFonts w:hint="default"/>
        </w:rPr>
        <w:t>——第3部分：数据传输；</w:t>
      </w:r>
    </w:p>
    <w:p w14:paraId="26683840">
      <w:pPr>
        <w:pStyle w:val="59"/>
        <w:ind w:firstLine="420"/>
      </w:pPr>
      <w:r>
        <w:rPr>
          <w:rFonts w:hint="default"/>
        </w:rPr>
        <w:t>——第4部分：数据存储；</w:t>
      </w:r>
    </w:p>
    <w:p w14:paraId="0742C39F">
      <w:pPr>
        <w:pStyle w:val="59"/>
        <w:ind w:firstLine="420"/>
      </w:pPr>
      <w:r>
        <w:rPr>
          <w:rFonts w:hint="default"/>
        </w:rPr>
        <w:t>——第5部分：质量控制；</w:t>
      </w:r>
    </w:p>
    <w:p w14:paraId="27577278">
      <w:pPr>
        <w:pStyle w:val="59"/>
        <w:ind w:firstLine="420"/>
      </w:pPr>
      <w:r>
        <w:rPr>
          <w:rFonts w:hint="default"/>
        </w:rPr>
        <w:t>——第6部分：应用评价；</w:t>
      </w:r>
    </w:p>
    <w:p w14:paraId="60CF38EA">
      <w:pPr>
        <w:pStyle w:val="59"/>
        <w:ind w:firstLine="420"/>
      </w:pPr>
      <w:r>
        <w:rPr>
          <w:rFonts w:hint="default"/>
        </w:rPr>
        <w:t>——第7部分：培训实施。</w:t>
      </w:r>
    </w:p>
    <w:p w14:paraId="08C74240">
      <w:pPr>
        <w:pStyle w:val="59"/>
        <w:ind w:firstLine="420"/>
      </w:pPr>
      <w:r>
        <w:rPr>
          <w:rFonts w:hint="default"/>
        </w:rPr>
        <w:t>本部分为T/XXX XXX的第4部分。</w:t>
      </w:r>
    </w:p>
    <w:p w14:paraId="5F455189">
      <w:pPr>
        <w:pStyle w:val="59"/>
        <w:ind w:firstLine="420"/>
      </w:pPr>
      <w:r>
        <w:rPr>
          <w:rFonts w:hint="default"/>
        </w:rPr>
        <w:t>本文件按照GB/T 1.1</w:t>
      </w:r>
      <w:r>
        <w:rPr>
          <w:rFonts w:hint="eastAsia"/>
        </w:rPr>
        <w:t>-</w:t>
      </w:r>
      <w:r>
        <w:rPr>
          <w:rFonts w:hint="default"/>
        </w:rPr>
        <w:t>2020</w:t>
      </w:r>
      <w:r>
        <w:rPr>
          <w:rFonts w:hint="eastAsia"/>
        </w:rPr>
        <w:t xml:space="preserve"> </w:t>
      </w:r>
      <w:r>
        <w:rPr>
          <w:rFonts w:hint="default"/>
        </w:rPr>
        <w:t>《标准化工作导则 第1部分：标准化文件的结构和起草规则》的规定起草。</w:t>
      </w:r>
    </w:p>
    <w:p w14:paraId="0155EF22">
      <w:pPr>
        <w:pStyle w:val="59"/>
        <w:ind w:firstLine="420"/>
      </w:pPr>
      <w:r>
        <w:rPr>
          <w:rFonts w:hint="default"/>
        </w:rPr>
        <w:t>请注意本文件的某些内容可能涉及专利。本文件的发布机构不承担识别专利的责任。</w:t>
      </w:r>
    </w:p>
    <w:p w14:paraId="58C39037">
      <w:pPr>
        <w:pStyle w:val="59"/>
        <w:ind w:firstLine="420"/>
      </w:pPr>
      <w:r>
        <w:rPr>
          <w:rFonts w:hint="default"/>
        </w:rPr>
        <w:t>本文件由</w:t>
      </w:r>
      <w:r>
        <w:rPr>
          <w:rFonts w:hint="eastAsia"/>
          <w:lang w:val="en-US" w:eastAsia="zh-CN"/>
        </w:rPr>
        <w:t>中国研究型医院学会</w:t>
      </w:r>
      <w:r>
        <w:rPr>
          <w:rFonts w:hint="default"/>
        </w:rPr>
        <w:t>提出。</w:t>
      </w:r>
      <w:bookmarkStart w:id="152" w:name="_GoBack"/>
      <w:bookmarkEnd w:id="152"/>
    </w:p>
    <w:p w14:paraId="618075E8">
      <w:pPr>
        <w:pStyle w:val="59"/>
        <w:ind w:firstLine="420"/>
      </w:pPr>
      <w:r>
        <w:rPr>
          <w:rFonts w:hint="default"/>
        </w:rPr>
        <w:t>本文件由</w:t>
      </w:r>
      <w:r>
        <w:rPr>
          <w:rFonts w:hint="eastAsia"/>
          <w:lang w:val="en-US" w:eastAsia="zh-CN"/>
        </w:rPr>
        <w:t>中国研究型医院学会</w:t>
      </w:r>
      <w:r>
        <w:rPr>
          <w:rFonts w:hint="default"/>
        </w:rPr>
        <w:t>归口。</w:t>
      </w:r>
    </w:p>
    <w:p w14:paraId="1838281D">
      <w:pPr>
        <w:pStyle w:val="59"/>
        <w:ind w:firstLine="420"/>
      </w:pPr>
      <w:r>
        <w:rPr>
          <w:rFonts w:hint="default"/>
        </w:rPr>
        <w:t>本文件起草单位：</w:t>
      </w:r>
      <w:r>
        <w:rPr>
          <w:rFonts w:hint="eastAsia"/>
        </w:rPr>
        <w:t>。</w:t>
      </w:r>
    </w:p>
    <w:p w14:paraId="4D018218">
      <w:pPr>
        <w:pStyle w:val="59"/>
        <w:ind w:firstLine="420"/>
        <w:rPr>
          <w:rFonts w:hint="eastAsia"/>
        </w:rPr>
      </w:pPr>
      <w:r>
        <w:rPr>
          <w:rFonts w:hint="default"/>
        </w:rPr>
        <w:t>本文件主要起草人：</w:t>
      </w:r>
      <w:r>
        <w:rPr>
          <w:rFonts w:hint="eastAsia"/>
        </w:rPr>
        <w:t>。</w:t>
      </w:r>
    </w:p>
    <w:p w14:paraId="4DE8A789">
      <w:pPr>
        <w:pStyle w:val="59"/>
        <w:ind w:firstLine="420"/>
      </w:pPr>
    </w:p>
    <w:p w14:paraId="71702448">
      <w:pPr>
        <w:pStyle w:val="59"/>
        <w:ind w:firstLine="420"/>
        <w:sectPr>
          <w:pgSz w:w="11906" w:h="16838"/>
          <w:pgMar w:top="1928" w:right="1134" w:bottom="1134" w:left="1134" w:header="1418" w:footer="1134" w:gutter="284"/>
          <w:pgNumType w:fmt="upperRoman"/>
          <w:cols w:space="425" w:num="1"/>
          <w:formProt w:val="0"/>
          <w:docGrid w:linePitch="312" w:charSpace="0"/>
        </w:sectPr>
      </w:pPr>
    </w:p>
    <w:bookmarkEnd w:id="10"/>
    <w:p w14:paraId="762CE579">
      <w:pPr>
        <w:pStyle w:val="92"/>
        <w:spacing w:before="240" w:beforeLines="100" w:after="240" w:afterLines="100"/>
        <w:ind w:left="0" w:firstLine="0"/>
      </w:pPr>
      <w:bookmarkStart w:id="11" w:name="_Toc228523211"/>
      <w:bookmarkStart w:id="12" w:name="_Toc31022"/>
      <w:bookmarkStart w:id="13" w:name="BookMark3"/>
      <w:r>
        <w:rPr>
          <w:rFonts w:hint="eastAsia"/>
          <w:spacing w:val="0"/>
        </w:rPr>
        <w:t>引</w:t>
      </w:r>
      <w:r>
        <w:rPr>
          <w:rFonts w:hint="eastAsia"/>
        </w:rPr>
        <w:t xml:space="preserve">  言</w:t>
      </w:r>
      <w:bookmarkEnd w:id="11"/>
      <w:bookmarkEnd w:id="12"/>
    </w:p>
    <w:bookmarkEnd w:id="13"/>
    <w:p w14:paraId="336C54F5">
      <w:pPr>
        <w:widowControl/>
        <w:adjustRightInd/>
        <w:spacing w:line="240" w:lineRule="auto"/>
        <w:ind w:firstLine="420" w:firstLineChars="200"/>
        <w:jc w:val="both"/>
        <w:rPr>
          <w:rFonts w:ascii="Times New Roman" w:hAnsi="Times New Roman"/>
          <w:kern w:val="0"/>
          <w:szCs w:val="20"/>
        </w:rPr>
      </w:pPr>
      <w:bookmarkStart w:id="14" w:name="BookMark4"/>
      <w:r>
        <w:rPr>
          <w:rFonts w:ascii="Times New Roman" w:hAnsi="Times New Roman"/>
          <w:kern w:val="0"/>
          <w:szCs w:val="20"/>
        </w:rPr>
        <w:t>为解决临床研究病房智慧管理平台数据存储环节合规性管控不足、全链路可追溯性弱、多模态数据存储标准不统一等行业共性痛点，满足《药物临床试验质量管理规范》对临床研究源数据全生命周期的管控要求，特制定本文件。</w:t>
      </w:r>
    </w:p>
    <w:p w14:paraId="5E041A89">
      <w:pPr>
        <w:widowControl/>
        <w:spacing w:line="240" w:lineRule="atLeast"/>
        <w:ind w:firstLine="420" w:firstLineChars="200"/>
        <w:jc w:val="both"/>
        <w:rPr>
          <w:rFonts w:ascii="Times New Roman" w:hAnsi="Times New Roman"/>
          <w:kern w:val="0"/>
          <w:szCs w:val="20"/>
        </w:rPr>
      </w:pPr>
      <w:r>
        <w:rPr>
          <w:rFonts w:ascii="Times New Roman" w:hAnsi="Times New Roman"/>
          <w:kern w:val="0"/>
          <w:szCs w:val="20"/>
        </w:rPr>
        <w:t>本文件是《临床研究病房智慧管理平台建设规范》系列标准的第4部分，聚焦临床研究数据存储专属环节的技术与管理规范，与系列其他分册协同形成完整体系，为平台建设、数据存储全流程管理提供统一标准指引，保障临床研究数据的合规性、真实性、完整性与可追溯性。</w:t>
      </w:r>
    </w:p>
    <w:p w14:paraId="156CA7D2">
      <w:pPr>
        <w:widowControl/>
        <w:spacing w:line="240" w:lineRule="atLeast"/>
        <w:jc w:val="left"/>
        <w:rPr>
          <w:rFonts w:ascii="Times New Roman" w:hAnsi="Times New Roman"/>
          <w:kern w:val="0"/>
          <w:szCs w:val="20"/>
        </w:rPr>
        <w:sectPr>
          <w:pgSz w:w="11906" w:h="16838"/>
          <w:pgMar w:top="1928" w:right="1134" w:bottom="1134" w:left="1134" w:header="1418" w:footer="1134" w:gutter="284"/>
          <w:pgNumType w:fmt="upperRoman"/>
          <w:cols w:space="425" w:num="1"/>
          <w:formProt w:val="0"/>
          <w:docGrid w:linePitch="312" w:charSpace="0"/>
        </w:sectPr>
      </w:pPr>
      <w:r>
        <w:rPr>
          <w:rFonts w:ascii="Times New Roman" w:hAnsi="Times New Roman"/>
          <w:kern w:val="0"/>
          <w:szCs w:val="20"/>
        </w:rPr>
        <w:br w:type="page"/>
      </w:r>
    </w:p>
    <w:p w14:paraId="7848E86F">
      <w:pPr>
        <w:spacing w:line="20" w:lineRule="exact"/>
        <w:jc w:val="center"/>
        <w:rPr>
          <w:rFonts w:hint="eastAsia" w:ascii="黑体" w:hAnsi="黑体" w:eastAsia="黑体"/>
          <w:sz w:val="32"/>
          <w:szCs w:val="32"/>
        </w:rPr>
      </w:pPr>
    </w:p>
    <w:sdt>
      <w:sdtPr>
        <w:rPr>
          <w:rFonts w:hint="eastAsia"/>
        </w:rPr>
        <w:tag w:val="NEW_STAND_NAME"/>
        <w:id w:val="595910757"/>
        <w:lock w:val="sdtLocked"/>
        <w:placeholder>
          <w:docPart w:val="13DB07F494D946DD974802DE07C4DB85"/>
        </w:placeholder>
      </w:sdtPr>
      <w:sdtEndPr>
        <w:rPr>
          <w:rFonts w:hint="default" w:ascii="Times New Roman" w:hAnsi="Times New Roman"/>
        </w:rPr>
      </w:sdtEndPr>
      <w:sdtContent>
        <w:p w14:paraId="2009D77F">
          <w:pPr>
            <w:pStyle w:val="180"/>
            <w:spacing w:before="0" w:beforeLines="-2147483648" w:after="0" w:afterLines="-2147483648" w:line="240" w:lineRule="auto"/>
            <w:rPr>
              <w:rFonts w:hint="default" w:ascii="Times New Roman" w:hAnsi="Times New Roman"/>
            </w:rPr>
          </w:pPr>
          <w:bookmarkStart w:id="15" w:name="NEW_STAND_NAME"/>
          <w:r>
            <w:rPr>
              <w:rFonts w:hint="default" w:ascii="Times New Roman" w:hAnsi="Times New Roman"/>
            </w:rPr>
            <w:t>临床研究病房智慧管理平台建设规范</w:t>
          </w:r>
        </w:p>
        <w:p w14:paraId="349CEFA4">
          <w:pPr>
            <w:pStyle w:val="180"/>
            <w:spacing w:before="0" w:beforeLines="-2147483648" w:after="0" w:afterLines="-2147483648" w:line="240" w:lineRule="auto"/>
            <w:rPr>
              <w:rFonts w:hint="default" w:ascii="Times New Roman" w:hAnsi="Times New Roman"/>
            </w:rPr>
          </w:pPr>
          <w:r>
            <w:rPr>
              <w:rFonts w:hint="default" w:ascii="Times New Roman" w:hAnsi="Times New Roman"/>
            </w:rPr>
            <w:t>第4部分：数据存储</w:t>
          </w:r>
        </w:p>
      </w:sdtContent>
    </w:sdt>
    <w:bookmarkEnd w:id="15"/>
    <w:p w14:paraId="03A22B84">
      <w:pPr>
        <w:pStyle w:val="107"/>
        <w:spacing w:before="240" w:after="240"/>
      </w:pPr>
      <w:bookmarkStart w:id="16" w:name="_Toc17233325"/>
      <w:bookmarkStart w:id="17" w:name="_Toc24884211"/>
      <w:bookmarkStart w:id="18" w:name="_Toc24884218"/>
      <w:bookmarkStart w:id="19" w:name="_Toc17233333"/>
      <w:bookmarkStart w:id="20" w:name="_Toc26986771"/>
      <w:bookmarkStart w:id="21" w:name="_Toc26986530"/>
      <w:bookmarkStart w:id="22" w:name="_Toc26718930"/>
      <w:bookmarkStart w:id="23" w:name="_Toc228523212"/>
      <w:bookmarkStart w:id="24" w:name="_Toc97192964"/>
      <w:bookmarkStart w:id="25" w:name="_Toc6644"/>
      <w:bookmarkStart w:id="26" w:name="_Toc26648465"/>
      <w:r>
        <w:rPr>
          <w:rFonts w:hint="eastAsia"/>
        </w:rPr>
        <w:t>范围</w:t>
      </w:r>
      <w:bookmarkEnd w:id="16"/>
      <w:bookmarkEnd w:id="17"/>
      <w:bookmarkEnd w:id="18"/>
      <w:bookmarkEnd w:id="19"/>
      <w:bookmarkEnd w:id="20"/>
      <w:bookmarkEnd w:id="21"/>
      <w:bookmarkEnd w:id="22"/>
      <w:bookmarkEnd w:id="23"/>
      <w:bookmarkEnd w:id="24"/>
      <w:bookmarkEnd w:id="25"/>
      <w:bookmarkEnd w:id="26"/>
    </w:p>
    <w:p w14:paraId="7F6C1E9F">
      <w:pPr>
        <w:pStyle w:val="59"/>
        <w:ind w:firstLine="420"/>
      </w:pPr>
      <w:bookmarkStart w:id="27" w:name="_Toc17233326"/>
      <w:bookmarkStart w:id="28" w:name="_Toc24884219"/>
      <w:bookmarkStart w:id="29" w:name="_Toc26648466"/>
      <w:bookmarkStart w:id="30" w:name="_Toc24884212"/>
      <w:bookmarkStart w:id="31" w:name="_Toc17233334"/>
      <w:r>
        <w:rPr>
          <w:rFonts w:hint="eastAsia"/>
        </w:rPr>
        <w:t>本文件明确规定了临床研究病房智慧管理平台中，临床研究数据存储的总则、架构、核心规范、安全管理、溯源审计及质量控制的全流程要求。</w:t>
      </w:r>
    </w:p>
    <w:p w14:paraId="71DFB863">
      <w:pPr>
        <w:pStyle w:val="59"/>
        <w:ind w:firstLine="420"/>
      </w:pPr>
      <w:r>
        <w:rPr>
          <w:rFonts w:hint="eastAsia"/>
        </w:rPr>
        <w:t>本文件适用于开展药物、医疗器械临床试验及各类临床研究活动的医疗机构，临床研究病房智慧管理平台的设计、开发、部署、运维单位，以及参与临床研究数据管理相关的各类机构和人员，覆盖数据存储全流程相关活动。</w:t>
      </w:r>
    </w:p>
    <w:p w14:paraId="2EB1AD45">
      <w:pPr>
        <w:pStyle w:val="59"/>
        <w:ind w:firstLine="420"/>
      </w:pPr>
      <w:r>
        <w:rPr>
          <w:rFonts w:hint="eastAsia"/>
        </w:rPr>
        <w:t>本文件不涉及临床研究数据采集、传输环节的专项技术要求，仅明确存储环节与采集、传输环节的边界划分及衔接规则；同时，本文件不适用于基于临床研究数据开展的诊断决策相关活动。</w:t>
      </w:r>
    </w:p>
    <w:p w14:paraId="4AB6F4D1">
      <w:pPr>
        <w:pStyle w:val="107"/>
        <w:spacing w:before="240" w:after="240"/>
      </w:pPr>
      <w:bookmarkStart w:id="32" w:name="_Toc228523213"/>
      <w:bookmarkEnd w:id="32"/>
      <w:bookmarkStart w:id="33" w:name="_Toc27121"/>
      <w:bookmarkStart w:id="34" w:name="_Toc26986531"/>
      <w:bookmarkStart w:id="35" w:name="_Toc97192965"/>
      <w:bookmarkStart w:id="36" w:name="_Toc26718931"/>
      <w:bookmarkStart w:id="37" w:name="_Toc26986772"/>
      <w:bookmarkStart w:id="38" w:name="_Toc228523214"/>
      <w:r>
        <w:rPr>
          <w:rFonts w:hint="eastAsia"/>
        </w:rPr>
        <w:t>规范性引用文件</w:t>
      </w:r>
      <w:bookmarkEnd w:id="27"/>
      <w:bookmarkEnd w:id="28"/>
      <w:bookmarkEnd w:id="29"/>
      <w:bookmarkEnd w:id="30"/>
      <w:bookmarkEnd w:id="31"/>
      <w:bookmarkEnd w:id="33"/>
      <w:bookmarkEnd w:id="34"/>
      <w:bookmarkEnd w:id="35"/>
      <w:bookmarkEnd w:id="36"/>
      <w:bookmarkEnd w:id="37"/>
      <w:bookmarkEnd w:id="38"/>
    </w:p>
    <w:p w14:paraId="67DAE20C">
      <w:pPr>
        <w:pStyle w:val="59"/>
        <w:ind w:firstLine="420"/>
      </w:pPr>
      <w:r>
        <w:rPr>
          <w:rFonts w:hint="eastAsia"/>
        </w:rPr>
        <w:t>下列文件中的相关内容通过文中规范性引用，构成本文件必不可少的条款。其中，标注日期的引用文件，仅该日期对应的版本适用于本文件；未标注日期的引用文件，其最新版本（含所有修改单）均适用于本文件。</w:t>
      </w:r>
    </w:p>
    <w:p w14:paraId="5E5E4F16">
      <w:pPr>
        <w:pStyle w:val="59"/>
        <w:ind w:firstLine="420"/>
      </w:pPr>
      <w:r>
        <w:rPr>
          <w:rFonts w:hint="eastAsia"/>
        </w:rPr>
        <w:t>GB/T 1.1-2020 标准化工作导则 第1部分：标准化文件的结构和起草规则</w:t>
      </w:r>
    </w:p>
    <w:p w14:paraId="630CDBE7">
      <w:pPr>
        <w:pStyle w:val="59"/>
        <w:ind w:firstLine="420"/>
      </w:pPr>
      <w:r>
        <w:rPr>
          <w:rFonts w:hint="eastAsia"/>
        </w:rPr>
        <w:t>GB/T 44780-2024 健康管理 健康信息存储架构</w:t>
      </w:r>
    </w:p>
    <w:p w14:paraId="7F5D0FBF">
      <w:pPr>
        <w:pStyle w:val="59"/>
        <w:ind w:firstLine="420"/>
      </w:pPr>
      <w:bookmarkStart w:id="39" w:name="OLE_LINK10"/>
      <w:r>
        <w:rPr>
          <w:rFonts w:hint="eastAsia"/>
        </w:rPr>
        <w:t>GB/T 41818</w:t>
      </w:r>
      <w:bookmarkEnd w:id="39"/>
      <w:r>
        <w:rPr>
          <w:rFonts w:hint="eastAsia"/>
        </w:rPr>
        <w:t>-2022 信息技术 大数据 面向分析的数据存储与检索技术要求</w:t>
      </w:r>
    </w:p>
    <w:p w14:paraId="303202A1">
      <w:pPr>
        <w:pStyle w:val="59"/>
        <w:ind w:firstLine="420"/>
      </w:pPr>
      <w:r>
        <w:rPr>
          <w:rFonts w:hint="eastAsia"/>
        </w:rPr>
        <w:t>GB/T 35273-2020 信息安全技术 个人信息安全规范</w:t>
      </w:r>
    </w:p>
    <w:p w14:paraId="099BB83A">
      <w:pPr>
        <w:pStyle w:val="59"/>
        <w:ind w:firstLine="420"/>
      </w:pPr>
      <w:bookmarkStart w:id="40" w:name="OLE_LINK11"/>
      <w:r>
        <w:rPr>
          <w:rFonts w:hint="eastAsia"/>
        </w:rPr>
        <w:t>GB/T 22239</w:t>
      </w:r>
      <w:bookmarkEnd w:id="40"/>
      <w:r>
        <w:rPr>
          <w:rFonts w:hint="eastAsia"/>
        </w:rPr>
        <w:t>-2019 信息安全技术 网络安全等级保护基本要求</w:t>
      </w:r>
    </w:p>
    <w:p w14:paraId="35F74577">
      <w:pPr>
        <w:pStyle w:val="59"/>
        <w:ind w:firstLine="420"/>
      </w:pPr>
      <w:r>
        <w:rPr>
          <w:rFonts w:hint="eastAsia"/>
        </w:rPr>
        <w:t xml:space="preserve">GB/T 20945-2023 信息安全技术 信息系统安全审计产品技术要求和测试评价方法 </w:t>
      </w:r>
    </w:p>
    <w:p w14:paraId="6A30A924">
      <w:pPr>
        <w:pStyle w:val="59"/>
        <w:ind w:firstLine="420"/>
      </w:pPr>
      <w:r>
        <w:rPr>
          <w:rFonts w:hint="eastAsia"/>
        </w:rPr>
        <w:t>GB/T 39725-2020 健康医疗数据安全指南</w:t>
      </w:r>
    </w:p>
    <w:p w14:paraId="67D5ABC8">
      <w:pPr>
        <w:pStyle w:val="59"/>
        <w:ind w:firstLine="420"/>
      </w:pPr>
      <w:r>
        <w:rPr>
          <w:rFonts w:hint="eastAsia"/>
        </w:rPr>
        <w:t>GB/T 37973-2019 信息安全技术 大数据服务安全能力要求</w:t>
      </w:r>
    </w:p>
    <w:p w14:paraId="0B2C1278">
      <w:pPr>
        <w:pStyle w:val="59"/>
        <w:ind w:firstLine="420"/>
      </w:pPr>
      <w:bookmarkStart w:id="41" w:name="OLE_LINK12"/>
      <w:r>
        <w:rPr>
          <w:rFonts w:hint="eastAsia"/>
        </w:rPr>
        <w:t>GB/T 37988</w:t>
      </w:r>
      <w:bookmarkEnd w:id="41"/>
      <w:r>
        <w:rPr>
          <w:rFonts w:hint="eastAsia"/>
        </w:rPr>
        <w:t>-2019 信息安全技术 数据安全能力成熟度模型</w:t>
      </w:r>
    </w:p>
    <w:p w14:paraId="34CD2DE8">
      <w:pPr>
        <w:pStyle w:val="59"/>
        <w:ind w:firstLine="420"/>
      </w:pPr>
      <w:r>
        <w:rPr>
          <w:rFonts w:hint="eastAsia"/>
        </w:rPr>
        <w:t>《药物临床试验质量管理规范》 国家药品监督管理局 国家卫生健康委员会2020年第57号公告</w:t>
      </w:r>
    </w:p>
    <w:p w14:paraId="3E66EC7B">
      <w:pPr>
        <w:pStyle w:val="59"/>
        <w:ind w:firstLine="420"/>
      </w:pPr>
      <w:r>
        <w:rPr>
          <w:rFonts w:hint="eastAsia"/>
        </w:rPr>
        <w:t>《医疗卫生机构网络安全管理办法》 国家卫生健康委员会2021年</w:t>
      </w:r>
    </w:p>
    <w:p w14:paraId="0D8B044D">
      <w:pPr>
        <w:pStyle w:val="59"/>
        <w:ind w:firstLine="420"/>
      </w:pPr>
      <w:r>
        <w:rPr>
          <w:rFonts w:hint="eastAsia"/>
        </w:rPr>
        <w:t xml:space="preserve">《中华人民共和国个人信息保护法》 中华人民共和国主席令第91号，2021年 </w:t>
      </w:r>
    </w:p>
    <w:p w14:paraId="2930BABE">
      <w:pPr>
        <w:pStyle w:val="59"/>
        <w:ind w:firstLine="420"/>
      </w:pPr>
      <w:r>
        <w:rPr>
          <w:rFonts w:hint="eastAsia"/>
        </w:rPr>
        <w:t>《中华人民共和国药品管理法》 中华人民共和国主席令第31号，2019年</w:t>
      </w:r>
    </w:p>
    <w:bookmarkEnd w:id="14"/>
    <w:p w14:paraId="4D78CA6A">
      <w:pPr>
        <w:pStyle w:val="107"/>
        <w:spacing w:before="240" w:after="240"/>
        <w:rPr>
          <w:szCs w:val="21"/>
        </w:rPr>
      </w:pPr>
      <w:bookmarkStart w:id="42" w:name="_Toc10301"/>
      <w:bookmarkStart w:id="43" w:name="heading_5"/>
      <w:bookmarkStart w:id="44" w:name="_Toc228523215"/>
      <w:r>
        <w:rPr>
          <w:rFonts w:hint="eastAsia"/>
          <w:szCs w:val="21"/>
        </w:rPr>
        <w:t>术语和定义</w:t>
      </w:r>
      <w:bookmarkEnd w:id="42"/>
      <w:bookmarkEnd w:id="43"/>
      <w:bookmarkEnd w:id="44"/>
    </w:p>
    <w:p w14:paraId="688723DE">
      <w:pPr>
        <w:pStyle w:val="59"/>
        <w:ind w:firstLine="420"/>
        <w:rPr>
          <w:rFonts w:hint="eastAsia"/>
        </w:rPr>
      </w:pPr>
      <w:r>
        <w:rPr>
          <w:rFonts w:hint="eastAsia"/>
        </w:rPr>
        <w:t>下列术语和定义适用于本文件。</w:t>
      </w:r>
    </w:p>
    <w:p w14:paraId="25CA5A81">
      <w:pPr>
        <w:pStyle w:val="68"/>
        <w:numPr>
          <w:ilvl w:val="3"/>
          <w:numId w:val="0"/>
        </w:numPr>
        <w:spacing w:before="120" w:after="120"/>
        <w:outlineLvl w:val="9"/>
      </w:pPr>
      <w:r>
        <w:rPr>
          <w:rFonts w:hint="eastAsia"/>
        </w:rPr>
        <w:t>3.</w:t>
      </w:r>
      <w:r>
        <w:t>1</w:t>
      </w:r>
    </w:p>
    <w:p w14:paraId="2DFA119C">
      <w:pPr>
        <w:pStyle w:val="68"/>
        <w:numPr>
          <w:ilvl w:val="3"/>
          <w:numId w:val="0"/>
        </w:numPr>
        <w:spacing w:before="0" w:beforeLines="0" w:after="0" w:afterLines="0"/>
        <w:ind w:firstLine="420" w:firstLineChars="200"/>
        <w:outlineLvl w:val="9"/>
        <w:rPr>
          <w:rFonts w:ascii="Times New Roman"/>
        </w:rPr>
      </w:pPr>
      <w:r>
        <w:rPr>
          <w:rFonts w:hint="eastAsia"/>
        </w:rPr>
        <w:t xml:space="preserve">临床研究数据 </w:t>
      </w:r>
      <w:r>
        <w:rPr>
          <w:rFonts w:hint="default" w:ascii="Times New Roman"/>
        </w:rPr>
        <w:t>clinical research data</w:t>
      </w:r>
    </w:p>
    <w:p w14:paraId="6D8263FD">
      <w:pPr>
        <w:pStyle w:val="59"/>
        <w:ind w:firstLine="420"/>
      </w:pPr>
      <w:r>
        <w:rPr>
          <w:rFonts w:hint="default"/>
        </w:rPr>
        <w:t>在临床研究病房开展的临床试验及各类临床研究活动中产生的，与受试者信息、试验方案执行、诊疗操作实施、随访管理、不良事件记录等相关的所有记录数据，包括源数据与衍生数据，是临床试验全流程可追溯、可稽查的核心依据。</w:t>
      </w:r>
    </w:p>
    <w:p w14:paraId="4E844215">
      <w:pPr>
        <w:pStyle w:val="68"/>
        <w:numPr>
          <w:ilvl w:val="3"/>
          <w:numId w:val="0"/>
        </w:numPr>
        <w:spacing w:before="120" w:after="120"/>
        <w:outlineLvl w:val="9"/>
      </w:pPr>
      <w:r>
        <w:rPr>
          <w:rFonts w:hint="eastAsia"/>
        </w:rPr>
        <w:t>3.</w:t>
      </w:r>
      <w:r>
        <w:t>2</w:t>
      </w:r>
    </w:p>
    <w:p w14:paraId="3E42C457">
      <w:pPr>
        <w:pStyle w:val="68"/>
        <w:numPr>
          <w:ilvl w:val="3"/>
          <w:numId w:val="0"/>
        </w:numPr>
        <w:spacing w:before="0" w:beforeLines="0" w:after="0" w:afterLines="0"/>
        <w:ind w:firstLine="420" w:firstLineChars="200"/>
        <w:outlineLvl w:val="9"/>
        <w:rPr>
          <w:rFonts w:ascii="Times New Roman"/>
        </w:rPr>
      </w:pPr>
      <w:r>
        <w:rPr>
          <w:rFonts w:hint="eastAsia"/>
        </w:rPr>
        <w:t xml:space="preserve">临床研究数据存储 </w:t>
      </w:r>
      <w:r>
        <w:rPr>
          <w:rFonts w:hint="default" w:ascii="Times New Roman"/>
        </w:rPr>
        <w:t>clinical research data storage</w:t>
      </w:r>
    </w:p>
    <w:p w14:paraId="227318F2">
      <w:pPr>
        <w:pStyle w:val="59"/>
        <w:ind w:firstLine="420"/>
      </w:pPr>
      <w:r>
        <w:rPr>
          <w:rFonts w:hint="default"/>
        </w:rPr>
        <w:t>针对临床研究数据，严格按照临床试验合规要求及相关技术规范，开展的数据写入、归档、备份、恢复、容灾、销毁等全流程管理活动，核心目的是保障临床研究数据的真实、准确、</w:t>
      </w:r>
      <w:r>
        <w:rPr>
          <w:rFonts w:hint="eastAsia"/>
        </w:rPr>
        <w:t>完整与可追溯。</w:t>
      </w:r>
    </w:p>
    <w:p w14:paraId="7BA8A260">
      <w:pPr>
        <w:pStyle w:val="68"/>
        <w:numPr>
          <w:ilvl w:val="3"/>
          <w:numId w:val="0"/>
        </w:numPr>
        <w:spacing w:before="120" w:after="120"/>
        <w:outlineLvl w:val="9"/>
      </w:pPr>
      <w:r>
        <w:rPr>
          <w:rFonts w:hint="eastAsia"/>
        </w:rPr>
        <w:t>3.3</w:t>
      </w:r>
    </w:p>
    <w:p w14:paraId="3490BF80">
      <w:pPr>
        <w:pStyle w:val="68"/>
        <w:numPr>
          <w:ilvl w:val="3"/>
          <w:numId w:val="0"/>
        </w:numPr>
        <w:spacing w:before="0" w:beforeLines="0" w:after="0" w:afterLines="0"/>
        <w:ind w:firstLine="420" w:firstLineChars="200"/>
        <w:outlineLvl w:val="9"/>
        <w:rPr>
          <w:rFonts w:ascii="Times New Roman"/>
        </w:rPr>
      </w:pPr>
      <w:r>
        <w:rPr>
          <w:rFonts w:hint="eastAsia"/>
        </w:rPr>
        <w:t>溯源审计</w:t>
      </w:r>
      <w:r>
        <w:rPr>
          <w:rFonts w:hint="default" w:ascii="Times New Roman"/>
        </w:rPr>
        <w:t xml:space="preserve"> </w:t>
      </w:r>
      <w:r>
        <w:rPr>
          <w:rFonts w:hint="default" w:ascii="Times New Roman"/>
        </w:rPr>
        <w:t>traceability audit</w:t>
      </w:r>
    </w:p>
    <w:p w14:paraId="300F6532">
      <w:pPr>
        <w:pStyle w:val="59"/>
        <w:ind w:firstLine="420"/>
      </w:pPr>
      <w:r>
        <w:rPr>
          <w:rFonts w:hint="default"/>
        </w:rPr>
        <w:t>针对临床研究存储数据的全生命周期操作活动，开展的全链路追溯、记录、核查与监督活动，核心是满足临床试验稽查、核查的合规要求，确保数据操作可追溯、可追责。</w:t>
      </w:r>
    </w:p>
    <w:p w14:paraId="59AA04E1">
      <w:pPr>
        <w:pStyle w:val="107"/>
        <w:spacing w:before="240" w:after="240"/>
        <w:rPr>
          <w:szCs w:val="21"/>
        </w:rPr>
      </w:pPr>
      <w:bookmarkStart w:id="45" w:name="_Toc228523216"/>
      <w:bookmarkStart w:id="46" w:name="_Toc21253"/>
      <w:r>
        <w:rPr>
          <w:rFonts w:hint="eastAsia"/>
          <w:szCs w:val="21"/>
        </w:rPr>
        <w:t>缩略语</w:t>
      </w:r>
      <w:bookmarkEnd w:id="45"/>
      <w:bookmarkEnd w:id="46"/>
    </w:p>
    <w:p w14:paraId="6A8A2425">
      <w:pPr>
        <w:pStyle w:val="59"/>
        <w:ind w:firstLine="420"/>
      </w:pPr>
      <w:r>
        <w:rPr>
          <w:rFonts w:hint="eastAsia"/>
        </w:rPr>
        <w:t>下列缩略语适用于本文件，便于相关从业人员快速理解与使用。</w:t>
      </w:r>
    </w:p>
    <w:p w14:paraId="50999BAC">
      <w:pPr>
        <w:pStyle w:val="59"/>
        <w:ind w:firstLine="420"/>
      </w:pPr>
      <w:bookmarkStart w:id="47" w:name="heading_9"/>
      <w:bookmarkStart w:id="48" w:name="_Toc4183"/>
      <w:r>
        <w:t xml:space="preserve">AES：高级加密标准（Advanced </w:t>
      </w:r>
      <w:r>
        <w:rPr>
          <w:rFonts w:hint="eastAsia"/>
        </w:rPr>
        <w:t>e</w:t>
      </w:r>
      <w:r>
        <w:t xml:space="preserve">ncryption </w:t>
      </w:r>
      <w:r>
        <w:rPr>
          <w:rFonts w:hint="eastAsia"/>
        </w:rPr>
        <w:t>s</w:t>
      </w:r>
      <w:r>
        <w:t>tandard）</w:t>
      </w:r>
    </w:p>
    <w:p w14:paraId="2FF5F578">
      <w:pPr>
        <w:pStyle w:val="59"/>
        <w:ind w:firstLine="420"/>
      </w:pPr>
      <w:r>
        <w:t xml:space="preserve">HA：高可用性（High </w:t>
      </w:r>
      <w:r>
        <w:rPr>
          <w:rFonts w:hint="eastAsia"/>
        </w:rPr>
        <w:t>a</w:t>
      </w:r>
      <w:r>
        <w:t>vailability）</w:t>
      </w:r>
    </w:p>
    <w:p w14:paraId="09D6CA39">
      <w:pPr>
        <w:pStyle w:val="59"/>
        <w:ind w:firstLine="420"/>
      </w:pPr>
      <w:r>
        <w:t xml:space="preserve">PII：个人可识别信息（Personally </w:t>
      </w:r>
      <w:r>
        <w:rPr>
          <w:rFonts w:hint="eastAsia"/>
        </w:rPr>
        <w:t>i</w:t>
      </w:r>
      <w:r>
        <w:t xml:space="preserve">dentifiable </w:t>
      </w:r>
      <w:r>
        <w:rPr>
          <w:rFonts w:hint="eastAsia"/>
        </w:rPr>
        <w:t>i</w:t>
      </w:r>
      <w:r>
        <w:t>nformation）</w:t>
      </w:r>
    </w:p>
    <w:p w14:paraId="1018A714">
      <w:pPr>
        <w:pStyle w:val="59"/>
        <w:ind w:firstLine="420"/>
      </w:pPr>
      <w:r>
        <w:t xml:space="preserve">RTO：恢复时间目标（Recovery </w:t>
      </w:r>
      <w:r>
        <w:rPr>
          <w:rFonts w:hint="eastAsia"/>
        </w:rPr>
        <w:t>t</w:t>
      </w:r>
      <w:r>
        <w:t xml:space="preserve">ime </w:t>
      </w:r>
      <w:r>
        <w:rPr>
          <w:rFonts w:hint="eastAsia"/>
        </w:rPr>
        <w:t>o</w:t>
      </w:r>
      <w:r>
        <w:t>bjective）</w:t>
      </w:r>
    </w:p>
    <w:p w14:paraId="1CCE70DA">
      <w:pPr>
        <w:pStyle w:val="59"/>
        <w:ind w:firstLine="420"/>
      </w:pPr>
      <w:r>
        <w:t xml:space="preserve">WORM：一次写入多次读取（Write </w:t>
      </w:r>
      <w:r>
        <w:rPr>
          <w:rFonts w:hint="eastAsia"/>
        </w:rPr>
        <w:t>o</w:t>
      </w:r>
      <w:r>
        <w:t xml:space="preserve">nce </w:t>
      </w:r>
      <w:r>
        <w:rPr>
          <w:rFonts w:hint="eastAsia"/>
        </w:rPr>
        <w:t>r</w:t>
      </w:r>
      <w:r>
        <w:t xml:space="preserve">ead </w:t>
      </w:r>
      <w:r>
        <w:rPr>
          <w:rFonts w:hint="eastAsia"/>
        </w:rPr>
        <w:t>m</w:t>
      </w:r>
      <w:r>
        <w:t>any）</w:t>
      </w:r>
      <w:r>
        <w:rPr>
          <w:rFonts w:hint="eastAsia"/>
        </w:rPr>
        <w:t>存储架构</w:t>
      </w:r>
      <w:bookmarkEnd w:id="47"/>
      <w:bookmarkEnd w:id="48"/>
    </w:p>
    <w:p w14:paraId="36CC12B8">
      <w:pPr>
        <w:pStyle w:val="108"/>
        <w:spacing w:before="120" w:after="120"/>
        <w:outlineLvl w:val="9"/>
      </w:pPr>
      <w:bookmarkStart w:id="49" w:name="heading_10"/>
      <w:bookmarkStart w:id="50" w:name="_Toc32746"/>
      <w:bookmarkStart w:id="51" w:name="_Toc4940"/>
      <w:bookmarkStart w:id="52" w:name="_Toc24074"/>
      <w:r>
        <w:rPr>
          <w:rFonts w:hint="eastAsia"/>
        </w:rPr>
        <w:t>总体架构要求</w:t>
      </w:r>
      <w:bookmarkEnd w:id="49"/>
      <w:bookmarkEnd w:id="50"/>
      <w:bookmarkEnd w:id="51"/>
      <w:bookmarkEnd w:id="52"/>
    </w:p>
    <w:p w14:paraId="4DF6E72C">
      <w:pPr>
        <w:pStyle w:val="59"/>
        <w:ind w:firstLine="420"/>
      </w:pPr>
      <w:r>
        <w:t>临床研究数据存储架构应与临床研究病房智慧管理平台整体架构保持一致，与系列标准其他分册要求协同；应采用分层设计模式，保障架构的可扩展性、兼容性与安全性；应严格满足GCP合规要求，支持数据分级分类存储，适配多场景、多模态临床研究数据的存储需求。</w:t>
      </w:r>
    </w:p>
    <w:p w14:paraId="140F6405">
      <w:pPr>
        <w:pStyle w:val="108"/>
        <w:spacing w:before="120" w:after="120"/>
        <w:outlineLvl w:val="9"/>
      </w:pPr>
      <w:bookmarkStart w:id="53" w:name="_Toc15837"/>
      <w:bookmarkStart w:id="54" w:name="heading_11"/>
      <w:bookmarkStart w:id="55" w:name="_Toc15230"/>
      <w:bookmarkStart w:id="56" w:name="_Toc22864"/>
      <w:r>
        <w:rPr>
          <w:rFonts w:hint="eastAsia"/>
        </w:rPr>
        <w:t>架构分层</w:t>
      </w:r>
      <w:bookmarkEnd w:id="53"/>
      <w:bookmarkEnd w:id="54"/>
      <w:bookmarkEnd w:id="55"/>
      <w:bookmarkEnd w:id="56"/>
    </w:p>
    <w:p w14:paraId="2D7CCFE9">
      <w:pPr>
        <w:pStyle w:val="59"/>
        <w:ind w:firstLine="420"/>
      </w:pPr>
      <w:r>
        <w:rPr>
          <w:rFonts w:hint="eastAsia"/>
        </w:rPr>
        <w:t>存储架构自底层至顶层分为四层，各层级核心要求明确、协同联动，架构如图1所示：</w:t>
      </w:r>
    </w:p>
    <w:p w14:paraId="2840EB0C">
      <w:pPr>
        <w:pStyle w:val="59"/>
        <w:ind w:firstLine="420"/>
      </w:pPr>
      <w:r>
        <w:rPr>
          <w:rFonts w:hint="eastAsia"/>
        </w:rPr>
        <w:t xml:space="preserve">a) </w:t>
      </w:r>
      <w:r>
        <w:t>数据资源层：应作为存储架构的底层核心，承载全类型、全模态临床研究数据的物理存储与结构化组织，保障数据存储的稳定性与可靠性；</w:t>
      </w:r>
    </w:p>
    <w:p w14:paraId="5D85F72F">
      <w:pPr>
        <w:pStyle w:val="59"/>
        <w:ind w:firstLine="420"/>
      </w:pPr>
      <w:r>
        <w:rPr>
          <w:rFonts w:hint="eastAsia"/>
        </w:rPr>
        <w:t xml:space="preserve">b) </w:t>
      </w:r>
      <w:r>
        <w:t>模型集成层：应实现数据标准化、结构化整合，明确统一的术语规范、数据原型及交互规则，保障存储数据的一致性与规范性；</w:t>
      </w:r>
    </w:p>
    <w:p w14:paraId="7768BF61">
      <w:pPr>
        <w:pStyle w:val="59"/>
        <w:ind w:firstLine="420"/>
      </w:pPr>
      <w:r>
        <w:rPr>
          <w:rFonts w:hint="eastAsia"/>
        </w:rPr>
        <w:t>c) 全生命周期管理层：负责数据写入、归档、备份、销毁等全流程管理，实现数据版本控制、操作审核留痕等核心功能，确保数据全生命周期可追溯、可管控；</w:t>
      </w:r>
    </w:p>
    <w:p w14:paraId="0882EF5E">
      <w:pPr>
        <w:pStyle w:val="59"/>
        <w:ind w:firstLine="420"/>
      </w:pPr>
      <w:r>
        <w:rPr>
          <w:rFonts w:hint="eastAsia"/>
        </w:rPr>
        <w:t>d) 角色职能层：作为架构的顶层设计，基于岗位权责划分实现分级访问控制与权限管理，明确不同岗位人员的数据操作权限，保障数据的合法合规使用，防范权限滥用风险。</w:t>
      </w:r>
    </w:p>
    <w:p w14:paraId="222597D5">
      <w:pPr>
        <w:pStyle w:val="59"/>
        <w:ind w:firstLine="420"/>
        <w:jc w:val="center"/>
      </w:pPr>
      <w:r>
        <w:drawing>
          <wp:inline distT="0" distB="0" distL="114300" distR="114300">
            <wp:extent cx="2566035" cy="3242310"/>
            <wp:effectExtent l="0" t="0" r="12065" b="889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4"/>
                    <a:stretch>
                      <a:fillRect/>
                    </a:stretch>
                  </pic:blipFill>
                  <pic:spPr>
                    <a:xfrm>
                      <a:off x="0" y="0"/>
                      <a:ext cx="2566035" cy="3242310"/>
                    </a:xfrm>
                    <a:prstGeom prst="rect">
                      <a:avLst/>
                    </a:prstGeom>
                    <a:noFill/>
                    <a:ln>
                      <a:noFill/>
                    </a:ln>
                  </pic:spPr>
                </pic:pic>
              </a:graphicData>
            </a:graphic>
          </wp:inline>
        </w:drawing>
      </w:r>
    </w:p>
    <w:p w14:paraId="173E8014">
      <w:pPr>
        <w:widowControl/>
        <w:spacing w:line="240" w:lineRule="auto"/>
        <w:ind w:firstLine="420" w:firstLineChars="200"/>
        <w:jc w:val="center"/>
        <w:rPr>
          <w:rFonts w:ascii="Times New Roman" w:hAnsi="Times New Roman"/>
          <w:color w:val="1F2329"/>
          <w:kern w:val="0"/>
          <w:shd w:val="clear" w:color="auto" w:fill="FFFFFF"/>
        </w:rPr>
      </w:pPr>
      <w:r>
        <w:rPr>
          <w:rFonts w:ascii="Times New Roman" w:hAnsi="Times New Roman"/>
          <w:color w:val="1F2329"/>
          <w:kern w:val="0"/>
          <w:shd w:val="clear" w:color="auto" w:fill="FFFFFF"/>
        </w:rPr>
        <w:t xml:space="preserve">图1 </w:t>
      </w:r>
      <w:r>
        <w:rPr>
          <w:rFonts w:hint="default" w:ascii="Times New Roman" w:hAnsi="Times New Roman"/>
          <w:color w:val="1F2329"/>
          <w:kern w:val="0"/>
          <w:shd w:val="clear" w:color="auto" w:fill="FFFFFF"/>
        </w:rPr>
        <w:t>存储</w:t>
      </w:r>
      <w:r>
        <w:rPr>
          <w:rFonts w:ascii="Times New Roman" w:hAnsi="Times New Roman"/>
          <w:color w:val="1F2329"/>
          <w:kern w:val="0"/>
          <w:shd w:val="clear" w:color="auto" w:fill="FFFFFF"/>
        </w:rPr>
        <w:t>架构</w:t>
      </w:r>
    </w:p>
    <w:p w14:paraId="28123DC0">
      <w:pPr>
        <w:pStyle w:val="108"/>
        <w:spacing w:before="120" w:after="120"/>
        <w:outlineLvl w:val="9"/>
      </w:pPr>
      <w:bookmarkStart w:id="57" w:name="_Toc14160"/>
      <w:bookmarkStart w:id="58" w:name="_Toc16724"/>
      <w:bookmarkStart w:id="59" w:name="heading_12"/>
      <w:bookmarkStart w:id="60" w:name="_Toc31631"/>
      <w:r>
        <w:rPr>
          <w:rFonts w:hint="eastAsia"/>
        </w:rPr>
        <w:t>架构衔接</w:t>
      </w:r>
      <w:bookmarkEnd w:id="57"/>
      <w:bookmarkEnd w:id="58"/>
      <w:bookmarkEnd w:id="59"/>
      <w:bookmarkEnd w:id="60"/>
    </w:p>
    <w:p w14:paraId="5ED7B5B5">
      <w:pPr>
        <w:pStyle w:val="59"/>
        <w:ind w:firstLine="420"/>
      </w:pPr>
      <w:r>
        <w:rPr>
          <w:rFonts w:hint="eastAsia"/>
        </w:rPr>
        <w:t>存储架构需与临床研究病房智慧管理平台整体架构深度衔接，确保数据流转顺畅、安全可控，具体要求如下：</w:t>
      </w:r>
    </w:p>
    <w:p w14:paraId="1462BB1F">
      <w:pPr>
        <w:pStyle w:val="59"/>
        <w:ind w:firstLine="420"/>
      </w:pPr>
      <w:r>
        <w:rPr>
          <w:rFonts w:hint="eastAsia"/>
        </w:rPr>
        <w:t>a) 与平台数据采集模块建立标准化接口，明确数据写入的校验规则与操作流程，确保入仓数据的合规性、完整性与准确性，从源头把控数据质量；</w:t>
      </w:r>
    </w:p>
    <w:p w14:paraId="2AB149FD">
      <w:pPr>
        <w:pStyle w:val="59"/>
        <w:ind w:firstLine="420"/>
      </w:pPr>
      <w:r>
        <w:rPr>
          <w:rFonts w:hint="eastAsia"/>
        </w:rPr>
        <w:t>b) 与平台安全管理、权限管理、审计管理模块深度融合，强化存储全流程的安全管控与溯源能力，实现数据操作、权限分配、安全事件的全流程留痕与监管；</w:t>
      </w:r>
    </w:p>
    <w:p w14:paraId="6E702B73">
      <w:pPr>
        <w:pStyle w:val="59"/>
        <w:ind w:firstLine="420"/>
      </w:pPr>
      <w:r>
        <w:rPr>
          <w:rFonts w:hint="eastAsia"/>
        </w:rPr>
        <w:t>c) 与平台临床研究业务模块建立合规调取接口，明确数据访问、调取的审批流程与留痕要求，确保数据使用符合临床试验合规规定，防范数据泄露风险；</w:t>
      </w:r>
    </w:p>
    <w:p w14:paraId="603FD1FD">
      <w:pPr>
        <w:pStyle w:val="59"/>
        <w:ind w:firstLine="420"/>
      </w:pPr>
      <w:r>
        <w:rPr>
          <w:rFonts w:hint="eastAsia"/>
        </w:rPr>
        <w:t>d) 与医疗机构院内信息系统建立安全隔离机制，实现临床研究数据与常规诊疗数据的合规隔离与安全交互，既保障临床研究数据的独立性，又满足业务协同需求。</w:t>
      </w:r>
    </w:p>
    <w:p w14:paraId="0B67B074">
      <w:pPr>
        <w:pStyle w:val="107"/>
        <w:spacing w:before="240" w:after="240"/>
        <w:rPr>
          <w:szCs w:val="21"/>
        </w:rPr>
      </w:pPr>
      <w:bookmarkStart w:id="61" w:name="_Toc25909"/>
      <w:bookmarkStart w:id="62" w:name="heading_13"/>
      <w:bookmarkStart w:id="63" w:name="_Toc228523217"/>
      <w:r>
        <w:rPr>
          <w:rFonts w:hint="eastAsia"/>
          <w:szCs w:val="21"/>
        </w:rPr>
        <w:t>核心存储规范</w:t>
      </w:r>
      <w:bookmarkEnd w:id="61"/>
      <w:bookmarkEnd w:id="62"/>
      <w:bookmarkEnd w:id="63"/>
    </w:p>
    <w:p w14:paraId="23E907F1">
      <w:pPr>
        <w:pStyle w:val="108"/>
        <w:spacing w:before="120" w:after="120"/>
        <w:outlineLvl w:val="9"/>
      </w:pPr>
      <w:bookmarkStart w:id="64" w:name="_Toc19388"/>
      <w:bookmarkStart w:id="65" w:name="_Toc15288"/>
      <w:bookmarkStart w:id="66" w:name="heading_14"/>
      <w:bookmarkStart w:id="67" w:name="_Toc25671"/>
      <w:r>
        <w:rPr>
          <w:rFonts w:hint="eastAsia"/>
        </w:rPr>
        <w:t>存储主体与权责划分</w:t>
      </w:r>
      <w:bookmarkEnd w:id="64"/>
      <w:bookmarkEnd w:id="65"/>
      <w:bookmarkEnd w:id="66"/>
      <w:bookmarkEnd w:id="67"/>
    </w:p>
    <w:p w14:paraId="3DE26C10">
      <w:pPr>
        <w:pStyle w:val="68"/>
        <w:spacing w:before="0" w:beforeLines="0" w:after="0" w:afterLines="0"/>
        <w:outlineLvl w:val="9"/>
      </w:pPr>
      <w:bookmarkStart w:id="68" w:name="heading_15"/>
      <w:r>
        <w:rPr>
          <w:rFonts w:hint="eastAsia"/>
        </w:rPr>
        <w:t>存储责任主体</w:t>
      </w:r>
      <w:bookmarkEnd w:id="68"/>
    </w:p>
    <w:p w14:paraId="32586E8A">
      <w:pPr>
        <w:pStyle w:val="59"/>
        <w:ind w:firstLine="420"/>
      </w:pPr>
      <w:r>
        <w:t>开展临床试验的医疗机构（即临床试验机构）是临床研究数据存储的第一责任主体，对数据存储的合规性、安全性与完整性负总责；平台建设、运维、数据管理等相关单位及人员作为协同责任主体，按照各自职责承担对应环节的管理责任，形成权责清晰、协同联动的责任体系。</w:t>
      </w:r>
    </w:p>
    <w:p w14:paraId="05957DFA">
      <w:pPr>
        <w:pStyle w:val="68"/>
        <w:spacing w:before="0" w:beforeLines="0" w:after="0" w:afterLines="0"/>
        <w:outlineLvl w:val="9"/>
      </w:pPr>
      <w:bookmarkStart w:id="69" w:name="heading_16"/>
      <w:r>
        <w:rPr>
          <w:rFonts w:hint="eastAsia"/>
        </w:rPr>
        <w:t>核心岗位权责划分</w:t>
      </w:r>
      <w:bookmarkEnd w:id="69"/>
    </w:p>
    <w:p w14:paraId="530E8B21">
      <w:pPr>
        <w:pStyle w:val="59"/>
        <w:ind w:firstLine="420"/>
      </w:pPr>
      <w:r>
        <w:rPr>
          <w:rFonts w:hint="eastAsia"/>
        </w:rPr>
        <w:t>明确临床研究数据存储相关核心岗位的权责，确保各项工作落到实处，主要包括：</w:t>
      </w:r>
    </w:p>
    <w:p w14:paraId="6FFC4A60">
      <w:pPr>
        <w:pStyle w:val="59"/>
        <w:ind w:firstLine="420"/>
      </w:pPr>
      <w:r>
        <w:rPr>
          <w:rFonts w:hint="eastAsia"/>
        </w:rPr>
        <w:t>a) 临床试验机构管理部门：负责审批数据存储管理策略及相关制度，监督数据存储全流程的合规性，协调数据稽查、核查过程中的数据调取工作，统筹推进存储管理工作；</w:t>
      </w:r>
    </w:p>
    <w:p w14:paraId="3CBE3977">
      <w:pPr>
        <w:pStyle w:val="59"/>
        <w:ind w:firstLine="420"/>
      </w:pPr>
      <w:r>
        <w:rPr>
          <w:rFonts w:hint="eastAsia"/>
        </w:rPr>
        <w:t>b) 主要研究者（PI）：对本临床试验项目存储数据的真实性、完整性、合规性负主要责任，负责审批数据操作权限分配及关键操作申请，把控数据质量；</w:t>
      </w:r>
    </w:p>
    <w:p w14:paraId="68AF55FB">
      <w:pPr>
        <w:pStyle w:val="59"/>
        <w:ind w:firstLine="420"/>
      </w:pPr>
      <w:r>
        <w:rPr>
          <w:rFonts w:hint="eastAsia"/>
        </w:rPr>
        <w:t xml:space="preserve">c) </w:t>
      </w:r>
      <w:r>
        <w:rPr>
          <w:rFonts w:hint="eastAsia"/>
          <w:color w:val="000000" w:themeColor="text1"/>
          <w14:textFill>
            <w14:solidFill>
              <w14:schemeClr w14:val="tx1"/>
            </w14:solidFill>
          </w14:textFill>
        </w:rPr>
        <w:t>临床研究协调员（CRC）</w:t>
      </w:r>
      <w:r>
        <w:rPr>
          <w:rFonts w:hint="eastAsia"/>
        </w:rPr>
        <w:t>：负责日常数据存储操作、数据质量核对、操作日志整理等工作，确保存储数据与源数据保持一致，及时发现并上报数据异常；</w:t>
      </w:r>
    </w:p>
    <w:p w14:paraId="29827087">
      <w:pPr>
        <w:pStyle w:val="59"/>
        <w:ind w:firstLine="420"/>
      </w:pPr>
      <w:r>
        <w:rPr>
          <w:rFonts w:hint="eastAsia"/>
        </w:rPr>
        <w:t>d) 平台运维人员：负责存储系统的部署、日常运维、数据备份、容灾管理等工作，保障存储系统的稳定、安全运行，及时处置系统故障；</w:t>
      </w:r>
    </w:p>
    <w:p w14:paraId="0C23A591">
      <w:pPr>
        <w:pStyle w:val="59"/>
        <w:ind w:firstLine="420"/>
      </w:pPr>
      <w:r>
        <w:rPr>
          <w:rFonts w:hint="eastAsia"/>
        </w:rPr>
        <w:t>e) 信息安全管理人员：负责存储系统的安全管控、风险监测与应急处置工作，防范数据泄露、篡改、丢失等安全风险，保障数据安全。</w:t>
      </w:r>
    </w:p>
    <w:p w14:paraId="4E9359D5">
      <w:pPr>
        <w:pStyle w:val="68"/>
        <w:spacing w:before="0" w:beforeLines="0" w:after="0" w:afterLines="0"/>
        <w:outlineLvl w:val="9"/>
      </w:pPr>
      <w:bookmarkStart w:id="70" w:name="heading_17"/>
      <w:r>
        <w:rPr>
          <w:rFonts w:hint="eastAsia"/>
        </w:rPr>
        <w:t>权限管理要求</w:t>
      </w:r>
      <w:bookmarkEnd w:id="70"/>
    </w:p>
    <w:p w14:paraId="05EA1607">
      <w:pPr>
        <w:pStyle w:val="59"/>
        <w:ind w:firstLine="420"/>
      </w:pPr>
      <w:r>
        <w:t>权限管理应符合 GB/T 35273、GB/T 22239 相关要求，严格规范权限分配与全流程管理，具体要求如下：</w:t>
      </w:r>
    </w:p>
    <w:p w14:paraId="005BAF43">
      <w:pPr>
        <w:pStyle w:val="59"/>
        <w:ind w:firstLine="420"/>
      </w:pPr>
      <w:r>
        <w:rPr>
          <w:rFonts w:hint="eastAsia"/>
        </w:rPr>
        <w:t>a) 按照岗位工作需求分配操作权限，遵循“最小必要”原则，禁止超权限授权，防范权限滥用风险；</w:t>
      </w:r>
    </w:p>
    <w:p w14:paraId="585F50F7">
      <w:pPr>
        <w:pStyle w:val="59"/>
        <w:ind w:firstLine="420"/>
      </w:pPr>
      <w:r>
        <w:rPr>
          <w:rFonts w:hint="eastAsia"/>
        </w:rPr>
        <w:t>b) 实现操作权限与审批权限分离，关键数据操作（如删除、导出、修改）执行双人双锁审批制度，确保关键操作可管控、可追溯；</w:t>
      </w:r>
    </w:p>
    <w:p w14:paraId="5BB1F357">
      <w:pPr>
        <w:pStyle w:val="59"/>
        <w:ind w:firstLine="420"/>
      </w:pPr>
      <w:r>
        <w:rPr>
          <w:rFonts w:hint="eastAsia"/>
        </w:rPr>
        <w:t>c) 建立权限动态管理机制，当岗位人员变动、临床试验项目结束时，及时回收、调整相关人员的操作权限，避免权限闲置或滥用；</w:t>
      </w:r>
    </w:p>
    <w:p w14:paraId="54D13023">
      <w:pPr>
        <w:pStyle w:val="59"/>
        <w:ind w:firstLine="420"/>
      </w:pPr>
      <w:r>
        <w:rPr>
          <w:rFonts w:hint="eastAsia"/>
        </w:rPr>
        <w:t>d) 权限分配、调整、回收的全流程均需详细留痕，相关记录纳入审计管理，确保权限管理可追溯、可核查。</w:t>
      </w:r>
    </w:p>
    <w:p w14:paraId="78309F41">
      <w:pPr>
        <w:pStyle w:val="108"/>
        <w:spacing w:before="120" w:after="120"/>
        <w:outlineLvl w:val="9"/>
      </w:pPr>
      <w:bookmarkStart w:id="71" w:name="_Toc18355"/>
      <w:bookmarkStart w:id="72" w:name="heading_18"/>
      <w:bookmarkStart w:id="73" w:name="_Toc19143"/>
      <w:bookmarkStart w:id="74" w:name="_Toc27735"/>
      <w:r>
        <w:rPr>
          <w:rFonts w:hint="eastAsia"/>
        </w:rPr>
        <w:t>存储对象与分类规则</w:t>
      </w:r>
      <w:bookmarkEnd w:id="71"/>
      <w:bookmarkEnd w:id="72"/>
      <w:bookmarkEnd w:id="73"/>
      <w:bookmarkEnd w:id="74"/>
    </w:p>
    <w:p w14:paraId="7C5A7A12">
      <w:pPr>
        <w:pStyle w:val="68"/>
        <w:spacing w:before="0" w:beforeLines="0" w:after="0" w:afterLines="0"/>
        <w:outlineLvl w:val="9"/>
      </w:pPr>
      <w:bookmarkStart w:id="75" w:name="heading_19"/>
      <w:r>
        <w:rPr>
          <w:rFonts w:hint="eastAsia"/>
        </w:rPr>
        <w:t>总体分类规则</w:t>
      </w:r>
      <w:bookmarkEnd w:id="75"/>
    </w:p>
    <w:p w14:paraId="3609EF50">
      <w:pPr>
        <w:pStyle w:val="59"/>
        <w:ind w:firstLine="420"/>
      </w:pPr>
      <w:r>
        <w:rPr>
          <w:rFonts w:hint="eastAsia"/>
        </w:rPr>
        <w:t>采用“数据模态+临床研究业务场景”双维度分类方式，对临床研究数据存储对象进行科学分类，实现全量数据的结构化、标准化存储，便于数据管理、检索与使用，同时满足合规核查需求。</w:t>
      </w:r>
    </w:p>
    <w:p w14:paraId="362EA3C2">
      <w:pPr>
        <w:pStyle w:val="68"/>
        <w:spacing w:before="0" w:beforeLines="0" w:after="0" w:afterLines="0"/>
        <w:outlineLvl w:val="9"/>
      </w:pPr>
      <w:bookmarkStart w:id="76" w:name="heading_20"/>
      <w:r>
        <w:rPr>
          <w:rFonts w:hint="eastAsia"/>
        </w:rPr>
        <w:t>按数据模态分类存储要求</w:t>
      </w:r>
      <w:bookmarkEnd w:id="76"/>
      <w:r>
        <w:rPr>
          <w:rFonts w:hint="eastAsia"/>
        </w:rPr>
        <w:t xml:space="preserve"> </w:t>
      </w:r>
    </w:p>
    <w:p w14:paraId="364D1F32">
      <w:pPr>
        <w:pStyle w:val="59"/>
        <w:ind w:firstLine="420"/>
      </w:pPr>
      <w:r>
        <w:rPr>
          <w:rFonts w:hint="eastAsia"/>
        </w:rPr>
        <w:t>根据数据模态的不同，明确各类数据的存储要求，确保数据存储规范、可用，具体如下：</w:t>
      </w:r>
    </w:p>
    <w:p w14:paraId="47B29336">
      <w:pPr>
        <w:pStyle w:val="59"/>
        <w:ind w:firstLine="420"/>
      </w:pPr>
      <w:r>
        <w:rPr>
          <w:rFonts w:hint="eastAsia"/>
        </w:rPr>
        <w:t>a) 文档类数据：包括临床试验方案、知情同意书、研究者手册、CRF表等，明确文档结构、元数据规范、版本管理等存储要求，确保文档的完整性与可追溯性；</w:t>
      </w:r>
    </w:p>
    <w:p w14:paraId="28C6547D">
      <w:pPr>
        <w:pStyle w:val="59"/>
        <w:ind w:firstLine="420"/>
      </w:pPr>
      <w:r>
        <w:rPr>
          <w:rFonts w:hint="eastAsia"/>
        </w:rPr>
        <w:t>b) 影像类数据：包括CT、MRI、超声、病理切片等医学影像，需符合DICOM标准，明确数据格式、元数据要求、归档规则与调取流程，保障影像数据的清晰度与可用性；</w:t>
      </w:r>
    </w:p>
    <w:p w14:paraId="5BA3F907">
      <w:pPr>
        <w:pStyle w:val="59"/>
        <w:ind w:firstLine="420"/>
      </w:pPr>
      <w:r>
        <w:rPr>
          <w:rFonts w:hint="eastAsia"/>
        </w:rPr>
        <w:t>c) 音频/视频类数据：包括知情同意录音录像、随访视频等，明确编码格式、存储介质、留存时限与加密要求，确保音频/视频数据的完整性与安全性；</w:t>
      </w:r>
    </w:p>
    <w:p w14:paraId="3C957588">
      <w:pPr>
        <w:pStyle w:val="59"/>
        <w:ind w:firstLine="420"/>
      </w:pPr>
      <w:r>
        <w:rPr>
          <w:rFonts w:hint="eastAsia"/>
        </w:rPr>
        <w:t>d) 生理信号类数据：包括心电、血压、血氧等生命体征数据，明确数据结构、采样精度、时间校准等要求，保障数据的准确性与可用性；</w:t>
      </w:r>
    </w:p>
    <w:p w14:paraId="4CCAC323">
      <w:pPr>
        <w:pStyle w:val="59"/>
        <w:ind w:firstLine="420"/>
      </w:pPr>
      <w:r>
        <w:rPr>
          <w:rFonts w:hint="eastAsia"/>
        </w:rPr>
        <w:t>e) 结构化业务数据：包括受试者入组信息、检验检测数据、随访记录等，明确数据表结构、字段规范、数据格式等要求，确保数据的一致性与规范性；</w:t>
      </w:r>
    </w:p>
    <w:p w14:paraId="19AD02AA">
      <w:pPr>
        <w:pStyle w:val="59"/>
        <w:ind w:firstLine="420"/>
      </w:pPr>
      <w:r>
        <w:rPr>
          <w:rFonts w:hint="eastAsia"/>
        </w:rPr>
        <w:t>f) 算法生成类数据：包括平台算法衍生的数据、分析结果等，明确与源数据的关联关系、生成过程记录等要求，保障衍生数据的可追溯性与可靠性。</w:t>
      </w:r>
    </w:p>
    <w:p w14:paraId="1D4BEB48">
      <w:pPr>
        <w:pStyle w:val="68"/>
        <w:spacing w:before="0" w:beforeLines="0" w:after="0" w:afterLines="0"/>
        <w:outlineLvl w:val="9"/>
      </w:pPr>
      <w:bookmarkStart w:id="77" w:name="heading_21"/>
      <w:r>
        <w:rPr>
          <w:rFonts w:hint="eastAsia"/>
        </w:rPr>
        <w:t>按业务场景分类存储要求</w:t>
      </w:r>
      <w:bookmarkEnd w:id="77"/>
    </w:p>
    <w:p w14:paraId="048DF37D">
      <w:pPr>
        <w:pStyle w:val="59"/>
        <w:ind w:firstLine="420"/>
      </w:pPr>
      <w:r>
        <w:rPr>
          <w:rFonts w:hint="eastAsia"/>
        </w:rPr>
        <w:t>结合临床研究各业务场景的特点，明确各类场景数据的存储要求，确保数据与业务场景精准匹配，具体如下：</w:t>
      </w:r>
    </w:p>
    <w:p w14:paraId="54C2BD14">
      <w:pPr>
        <w:pStyle w:val="59"/>
        <w:ind w:firstLine="420"/>
      </w:pPr>
      <w:r>
        <w:rPr>
          <w:rFonts w:hint="eastAsia"/>
        </w:rPr>
        <w:t>a) 受试者管理场景：覆盖受试者筛选、入组、脱落、随访等全流程数据，明确数据存储的完整性与可追溯性，确保受试者信息可全程追溯；</w:t>
      </w:r>
    </w:p>
    <w:p w14:paraId="4DDC8AB9">
      <w:pPr>
        <w:pStyle w:val="59"/>
        <w:ind w:firstLine="420"/>
      </w:pPr>
      <w:r>
        <w:rPr>
          <w:rFonts w:hint="eastAsia"/>
        </w:rPr>
        <w:t>b) 临床研究诊疗操作场景：覆盖给药、诊疗、样本采集、检验检测等全量数据，确保存储数据与源数据一一对应，准确反映诊疗操作全过程；</w:t>
      </w:r>
    </w:p>
    <w:p w14:paraId="20C2A89C">
      <w:pPr>
        <w:pStyle w:val="59"/>
        <w:ind w:firstLine="420"/>
      </w:pPr>
      <w:r>
        <w:rPr>
          <w:rFonts w:hint="eastAsia"/>
        </w:rPr>
        <w:t>c) 不良事件管理场景：覆盖不良事件的发现、报告、处理、随访等全流程数据，满足安全监管要求，确保不良事件可追溯、可核查；</w:t>
      </w:r>
    </w:p>
    <w:p w14:paraId="66CB347F">
      <w:pPr>
        <w:pStyle w:val="59"/>
        <w:ind w:firstLine="420"/>
      </w:pPr>
      <w:r>
        <w:rPr>
          <w:rFonts w:hint="eastAsia"/>
        </w:rPr>
        <w:t>d) 随访管理场景：覆盖院内随访、院外随访的全量数据，明确数据写入、归档、核对的具体要求，保障随访数据的准确性与完整性；</w:t>
      </w:r>
    </w:p>
    <w:p w14:paraId="1CA9E573">
      <w:pPr>
        <w:pStyle w:val="59"/>
        <w:ind w:firstLine="420"/>
      </w:pPr>
      <w:r>
        <w:rPr>
          <w:rFonts w:hint="eastAsia"/>
        </w:rPr>
        <w:t>e) 质控与稽查场景：覆盖质量控制、稽查、核查的相关记录数据，保障质量管理活动可追溯，为数据质量评估提供依据。</w:t>
      </w:r>
    </w:p>
    <w:p w14:paraId="3CD4232D">
      <w:pPr>
        <w:pStyle w:val="108"/>
        <w:spacing w:before="120" w:after="120"/>
        <w:outlineLvl w:val="9"/>
      </w:pPr>
      <w:bookmarkStart w:id="78" w:name="heading_22"/>
      <w:bookmarkStart w:id="79" w:name="_Toc22617"/>
      <w:bookmarkStart w:id="80" w:name="_Toc4891"/>
      <w:bookmarkStart w:id="81" w:name="_Toc3141"/>
      <w:r>
        <w:rPr>
          <w:rFonts w:hint="eastAsia"/>
        </w:rPr>
        <w:t>存储全流程实施要求</w:t>
      </w:r>
      <w:bookmarkEnd w:id="78"/>
      <w:bookmarkEnd w:id="79"/>
      <w:bookmarkEnd w:id="80"/>
      <w:bookmarkEnd w:id="81"/>
    </w:p>
    <w:p w14:paraId="31564A3E">
      <w:pPr>
        <w:pStyle w:val="68"/>
        <w:spacing w:before="0" w:beforeLines="0" w:after="0" w:afterLines="0"/>
        <w:outlineLvl w:val="9"/>
      </w:pPr>
      <w:bookmarkStart w:id="82" w:name="heading_23"/>
      <w:r>
        <w:rPr>
          <w:rFonts w:hint="eastAsia"/>
        </w:rPr>
        <w:t>存储介质与环境要求</w:t>
      </w:r>
      <w:bookmarkEnd w:id="82"/>
    </w:p>
    <w:p w14:paraId="566AFEA5">
      <w:pPr>
        <w:pStyle w:val="59"/>
        <w:ind w:firstLine="420"/>
      </w:pPr>
      <w:r>
        <w:rPr>
          <w:rFonts w:hint="eastAsia"/>
        </w:rPr>
        <w:t>存储介质与环境需满足数据安全存储的核心要求，具体如下：</w:t>
      </w:r>
    </w:p>
    <w:p w14:paraId="61B7DCC7">
      <w:pPr>
        <w:pStyle w:val="59"/>
        <w:ind w:firstLine="420"/>
      </w:pPr>
      <w:r>
        <w:rPr>
          <w:rFonts w:hint="eastAsia"/>
        </w:rPr>
        <w:t>a) 采用合规、可靠的存储介质，优先选择院内本地化存储方式；若采用云存储，需符合相关法规及标准要求，且存储节点必须位于我国境内，确保数据主权与安全；</w:t>
      </w:r>
    </w:p>
    <w:p w14:paraId="659D9A27">
      <w:pPr>
        <w:pStyle w:val="59"/>
        <w:ind w:firstLine="420"/>
      </w:pPr>
      <w:r>
        <w:rPr>
          <w:rFonts w:hint="eastAsia"/>
        </w:rPr>
        <w:t>b) 根据数据敏感级别、留存时限，选择适配的存储介质，核心源数据需采用不可擦写介质进行归档备份，防范数据篡改、丢失风险；</w:t>
      </w:r>
    </w:p>
    <w:p w14:paraId="6A2FBE88">
      <w:pPr>
        <w:pStyle w:val="59"/>
        <w:ind w:firstLine="420"/>
      </w:pPr>
      <w:r>
        <w:rPr>
          <w:rFonts w:hint="eastAsia"/>
        </w:rPr>
        <w:t>c) 存储机房需符合GB/T 22239网络安全等级保护相关要求，具备完善的物理防护、环境监控、消防应急等设施，保障存储系统的物理安全；</w:t>
      </w:r>
    </w:p>
    <w:p w14:paraId="44AD449E">
      <w:pPr>
        <w:pStyle w:val="59"/>
        <w:ind w:firstLine="420"/>
      </w:pPr>
      <w:r>
        <w:rPr>
          <w:rFonts w:hint="eastAsia"/>
        </w:rPr>
        <w:t>d) 建立存储介质全生命周期管理制度，明确介质采购、使用、保管、报废等各环节的管理要求，防范介质丢失、损毁、泄露等风险。</w:t>
      </w:r>
    </w:p>
    <w:p w14:paraId="462E39BD">
      <w:pPr>
        <w:pStyle w:val="68"/>
        <w:spacing w:before="0" w:beforeLines="0" w:after="0" w:afterLines="0"/>
        <w:outlineLvl w:val="9"/>
      </w:pPr>
      <w:bookmarkStart w:id="83" w:name="heading_24"/>
      <w:r>
        <w:rPr>
          <w:rFonts w:hint="eastAsia"/>
        </w:rPr>
        <w:t>数据留存时限要求</w:t>
      </w:r>
      <w:bookmarkEnd w:id="83"/>
    </w:p>
    <w:p w14:paraId="7669E76A">
      <w:pPr>
        <w:pStyle w:val="59"/>
        <w:ind w:firstLine="420"/>
      </w:pPr>
      <w:r>
        <w:rPr>
          <w:rFonts w:hint="eastAsia"/>
        </w:rPr>
        <w:t>严格按照相关法规及临床试验要求，明确数据留存时限，确保数据可追溯、可核查，具体如下：</w:t>
      </w:r>
    </w:p>
    <w:p w14:paraId="57DFD2F4">
      <w:pPr>
        <w:pStyle w:val="59"/>
        <w:ind w:firstLine="420"/>
      </w:pPr>
      <w:r>
        <w:rPr>
          <w:rFonts w:hint="eastAsia"/>
        </w:rPr>
        <w:t>a) 用于药品、医疗器械注册申请的临床试验数据，留存时限不少于注册上市后5年；</w:t>
      </w:r>
    </w:p>
    <w:p w14:paraId="40ACC7D0">
      <w:pPr>
        <w:pStyle w:val="59"/>
        <w:ind w:firstLine="420"/>
      </w:pPr>
      <w:r>
        <w:rPr>
          <w:rFonts w:hint="eastAsia"/>
        </w:rPr>
        <w:t>b) 不用于注册申请的各类临床研究数据，留存时限不少于研究项目结束后5年；</w:t>
      </w:r>
    </w:p>
    <w:p w14:paraId="3F7A42FD">
      <w:pPr>
        <w:pStyle w:val="59"/>
        <w:ind w:firstLine="420"/>
      </w:pPr>
      <w:r>
        <w:rPr>
          <w:rFonts w:hint="eastAsia"/>
        </w:rPr>
        <w:t>c) 若相关法律法规对数据留存时限有更长要求的，严格按照法律法规的规定执行；</w:t>
      </w:r>
    </w:p>
    <w:p w14:paraId="5068C83D">
      <w:pPr>
        <w:pStyle w:val="59"/>
        <w:ind w:firstLine="420"/>
      </w:pPr>
      <w:r>
        <w:rPr>
          <w:rFonts w:hint="eastAsia"/>
        </w:rPr>
        <w:t>d) 数据留存期内，需保障数据的完整、可用、可追溯，严禁提前销毁、隐匿数据，确需提前销毁的，需按规定履行审批程序。</w:t>
      </w:r>
    </w:p>
    <w:p w14:paraId="5ED6AE51">
      <w:pPr>
        <w:pStyle w:val="68"/>
        <w:spacing w:before="0" w:beforeLines="0" w:after="0" w:afterLines="0"/>
        <w:outlineLvl w:val="9"/>
      </w:pPr>
      <w:bookmarkStart w:id="84" w:name="heading_25"/>
      <w:r>
        <w:rPr>
          <w:rFonts w:hint="eastAsia"/>
        </w:rPr>
        <w:t>数据写入与归档规范</w:t>
      </w:r>
      <w:bookmarkEnd w:id="84"/>
    </w:p>
    <w:p w14:paraId="6CEA3150">
      <w:pPr>
        <w:pStyle w:val="59"/>
        <w:ind w:firstLine="420"/>
      </w:pPr>
      <w:r>
        <w:rPr>
          <w:rFonts w:hint="eastAsia"/>
        </w:rPr>
        <w:t>规范数据写入与归档流程，确保数据的准确性、完整性与安全性，具体要求如下：</w:t>
      </w:r>
    </w:p>
    <w:p w14:paraId="6F72CCBC">
      <w:pPr>
        <w:pStyle w:val="59"/>
        <w:ind w:firstLine="420"/>
      </w:pPr>
      <w:r>
        <w:rPr>
          <w:rFonts w:hint="eastAsia"/>
        </w:rPr>
        <w:t>a) 数据写入前，需完成完整性、一致性、合规性校验，校验不通过的，严禁写入核心存储库，需及时整改后重新校验；</w:t>
      </w:r>
    </w:p>
    <w:p w14:paraId="2225401C">
      <w:pPr>
        <w:pStyle w:val="59"/>
        <w:ind w:firstLine="420"/>
      </w:pPr>
      <w:r>
        <w:rPr>
          <w:rFonts w:hint="eastAsia"/>
        </w:rPr>
        <w:t>b) 建立数据写入留痕机制，详细记录操作人、操作时间、数据来源、数据内容等信息，相关记录纳入审计管理，确保数据写入可追溯；</w:t>
      </w:r>
    </w:p>
    <w:p w14:paraId="0A1936BC">
      <w:pPr>
        <w:pStyle w:val="59"/>
        <w:ind w:firstLine="420"/>
      </w:pPr>
      <w:r>
        <w:rPr>
          <w:rFonts w:hint="eastAsia"/>
        </w:rPr>
        <w:t>c) 采用在线、近线、离线三级归档策略，根据数据使用频率合理分配归档层级，适配不同使用频率数据的管理需求，提高存储效率；</w:t>
      </w:r>
    </w:p>
    <w:p w14:paraId="0455857F">
      <w:pPr>
        <w:pStyle w:val="59"/>
        <w:ind w:firstLine="420"/>
      </w:pPr>
      <w:r>
        <w:rPr>
          <w:rFonts w:hint="eastAsia"/>
        </w:rPr>
        <w:t>d) 归档数据采用写保护机制，禁止对归档数据进行修改、删除操作，确保归档数据的完整性与不可篡改性。</w:t>
      </w:r>
    </w:p>
    <w:p w14:paraId="5FEEF948">
      <w:pPr>
        <w:pStyle w:val="68"/>
        <w:spacing w:before="0" w:beforeLines="0" w:after="0" w:afterLines="0"/>
        <w:outlineLvl w:val="9"/>
      </w:pPr>
      <w:bookmarkStart w:id="85" w:name="heading_26"/>
      <w:r>
        <w:rPr>
          <w:rFonts w:hint="eastAsia"/>
        </w:rPr>
        <w:t>备份与恢复要求</w:t>
      </w:r>
      <w:bookmarkEnd w:id="85"/>
    </w:p>
    <w:p w14:paraId="6DDE1612">
      <w:pPr>
        <w:pStyle w:val="59"/>
        <w:ind w:firstLine="420"/>
      </w:pPr>
      <w:r>
        <w:rPr>
          <w:rFonts w:hint="eastAsia"/>
        </w:rPr>
        <w:t>建立完善的数据备份与恢复体系，保障数据安全与业务连续性，具体要求如下：</w:t>
      </w:r>
    </w:p>
    <w:p w14:paraId="7C01A559">
      <w:pPr>
        <w:pStyle w:val="59"/>
        <w:ind w:firstLine="420"/>
      </w:pPr>
      <w:r>
        <w:rPr>
          <w:rFonts w:hint="eastAsia"/>
        </w:rPr>
        <w:t>a) 制定明确的数据备份策略，明确备份范围、备份周期、备份方式、存储位置及责任人，确保备份工作规范有序开展；</w:t>
      </w:r>
    </w:p>
    <w:p w14:paraId="66314E6D">
      <w:pPr>
        <w:pStyle w:val="59"/>
        <w:ind w:firstLine="420"/>
      </w:pPr>
      <w:r>
        <w:rPr>
          <w:rFonts w:hint="eastAsia"/>
        </w:rPr>
        <w:t>b) 核心源数据需实现异地多副本备份，备份数据与生产数据进行物理隔离，防范自然灾害、系统故障等导致的数据丢失；</w:t>
      </w:r>
    </w:p>
    <w:p w14:paraId="0C9A989F">
      <w:pPr>
        <w:pStyle w:val="59"/>
        <w:ind w:firstLine="420"/>
      </w:pPr>
      <w:r>
        <w:rPr>
          <w:rFonts w:hint="eastAsia"/>
        </w:rPr>
        <w:t>c) 定期开展备份恢复测试，检验备份数据的可用性与完整性，测试记录需归档留存，及时发现并解决备份过程中存在的问题；</w:t>
      </w:r>
    </w:p>
    <w:p w14:paraId="21DDCA41">
      <w:pPr>
        <w:pStyle w:val="59"/>
        <w:ind w:firstLine="420"/>
      </w:pPr>
      <w:r>
        <w:rPr>
          <w:rFonts w:hint="eastAsia"/>
        </w:rPr>
        <w:t>d) 建立数据恢复应急处置流程，明确恢复流程、责任分工与处置措施，确保发生数据丢失、系统故障时，能够快速恢复数据，保障业务连续性。</w:t>
      </w:r>
    </w:p>
    <w:p w14:paraId="54A4E5D2">
      <w:pPr>
        <w:pStyle w:val="68"/>
        <w:spacing w:before="0" w:beforeLines="0" w:after="0" w:afterLines="0"/>
        <w:outlineLvl w:val="9"/>
      </w:pPr>
      <w:bookmarkStart w:id="86" w:name="heading_27"/>
      <w:r>
        <w:rPr>
          <w:rFonts w:hint="eastAsia"/>
        </w:rPr>
        <w:t>数据销毁要求</w:t>
      </w:r>
      <w:bookmarkEnd w:id="86"/>
    </w:p>
    <w:p w14:paraId="55118AB2">
      <w:pPr>
        <w:pStyle w:val="59"/>
        <w:ind w:firstLine="420"/>
      </w:pPr>
      <w:r>
        <w:rPr>
          <w:rFonts w:hint="eastAsia"/>
        </w:rPr>
        <w:t>数据销毁需严格履行审批程序，采用合规方式，确保数据不可恢复，具体要求如下：</w:t>
      </w:r>
    </w:p>
    <w:p w14:paraId="1D02AD9A">
      <w:pPr>
        <w:pStyle w:val="59"/>
        <w:ind w:firstLine="420"/>
      </w:pPr>
      <w:r>
        <w:rPr>
          <w:rFonts w:hint="eastAsia"/>
        </w:rPr>
        <w:t>a) 数据销毁前，需经临床试验机构管理部门、主要研究者及相关责任部门共同审批，审批记录需永久留存，严禁未经审批擅自销毁数据；</w:t>
      </w:r>
    </w:p>
    <w:p w14:paraId="0ACAA5BF">
      <w:pPr>
        <w:pStyle w:val="59"/>
        <w:ind w:firstLine="420"/>
      </w:pPr>
      <w:r>
        <w:rPr>
          <w:rFonts w:hint="eastAsia"/>
        </w:rPr>
        <w:t>b) 采用不可逆的销毁方式，严禁简单删除、格式化等可恢复的销毁方式，确保销毁后的数据无法恢复；</w:t>
      </w:r>
    </w:p>
    <w:p w14:paraId="1B4537BA">
      <w:pPr>
        <w:pStyle w:val="59"/>
        <w:ind w:firstLine="420"/>
      </w:pPr>
      <w:r>
        <w:rPr>
          <w:rFonts w:hint="eastAsia"/>
        </w:rPr>
        <w:t>c) 存储介质的销毁需由双人全程监督，详细记录销毁过程、销毁方式、销毁时间、监督人员等信息，相关记录归档留存；</w:t>
      </w:r>
    </w:p>
    <w:p w14:paraId="49779BE8">
      <w:pPr>
        <w:pStyle w:val="59"/>
        <w:ind w:firstLine="420"/>
      </w:pPr>
      <w:r>
        <w:rPr>
          <w:rFonts w:hint="eastAsia"/>
        </w:rPr>
        <w:t>d) 数据销毁完成后，及时更新数据存储台账，同步归档相关审计记录，确保数据销毁过程可追溯、可核查。</w:t>
      </w:r>
    </w:p>
    <w:p w14:paraId="0CA4FC1C">
      <w:pPr>
        <w:pStyle w:val="107"/>
        <w:spacing w:before="240" w:after="240"/>
        <w:rPr>
          <w:szCs w:val="21"/>
        </w:rPr>
      </w:pPr>
      <w:bookmarkStart w:id="87" w:name="_Toc18552"/>
      <w:bookmarkStart w:id="88" w:name="heading_28"/>
      <w:bookmarkStart w:id="89" w:name="_Toc228523218"/>
      <w:r>
        <w:rPr>
          <w:rFonts w:hint="eastAsia"/>
          <w:szCs w:val="21"/>
        </w:rPr>
        <w:t>存储安全管理</w:t>
      </w:r>
      <w:bookmarkEnd w:id="87"/>
      <w:bookmarkEnd w:id="88"/>
      <w:bookmarkEnd w:id="89"/>
    </w:p>
    <w:p w14:paraId="30687612">
      <w:pPr>
        <w:pStyle w:val="108"/>
        <w:spacing w:before="120" w:after="120"/>
        <w:outlineLvl w:val="9"/>
      </w:pPr>
      <w:bookmarkStart w:id="90" w:name="_Toc27592"/>
      <w:bookmarkStart w:id="91" w:name="_Toc18883"/>
      <w:bookmarkStart w:id="92" w:name="_Toc30632"/>
      <w:bookmarkStart w:id="93" w:name="heading_29"/>
      <w:r>
        <w:rPr>
          <w:rFonts w:hint="eastAsia"/>
        </w:rPr>
        <w:t>总体安全要求</w:t>
      </w:r>
      <w:bookmarkEnd w:id="90"/>
      <w:bookmarkEnd w:id="91"/>
      <w:bookmarkEnd w:id="92"/>
      <w:bookmarkEnd w:id="93"/>
    </w:p>
    <w:p w14:paraId="32865759">
      <w:pPr>
        <w:pStyle w:val="59"/>
        <w:ind w:firstLine="420"/>
      </w:pPr>
      <w:r>
        <w:rPr>
          <w:rFonts w:hint="eastAsia"/>
        </w:rPr>
        <w:t>建立全维度、多层次的数据存储安全管控体系，严格符合GB/T 22239、GB/T 35273等相关标准要求，满足医疗数据安全、受试者个人信息保护相关法律法规，全面保障数据的保密性、完整性、可用性，防范各类安全风险。</w:t>
      </w:r>
    </w:p>
    <w:p w14:paraId="66D1BDC2">
      <w:pPr>
        <w:pStyle w:val="108"/>
        <w:spacing w:before="120" w:after="120"/>
        <w:outlineLvl w:val="9"/>
      </w:pPr>
      <w:bookmarkStart w:id="94" w:name="_Toc9009"/>
      <w:bookmarkStart w:id="95" w:name="heading_30"/>
      <w:bookmarkStart w:id="96" w:name="_Toc23781"/>
      <w:bookmarkStart w:id="97" w:name="_Toc11348"/>
      <w:r>
        <w:rPr>
          <w:rFonts w:hint="eastAsia"/>
        </w:rPr>
        <w:t>核心安全管控要求</w:t>
      </w:r>
      <w:bookmarkEnd w:id="94"/>
      <w:bookmarkEnd w:id="95"/>
      <w:bookmarkEnd w:id="96"/>
      <w:bookmarkEnd w:id="97"/>
    </w:p>
    <w:p w14:paraId="17699FCF">
      <w:pPr>
        <w:pStyle w:val="68"/>
        <w:spacing w:before="0" w:beforeLines="0" w:after="0" w:afterLines="0"/>
        <w:outlineLvl w:val="9"/>
      </w:pPr>
      <w:bookmarkStart w:id="98" w:name="heading_31"/>
      <w:r>
        <w:rPr>
          <w:rFonts w:hint="eastAsia"/>
        </w:rPr>
        <w:t>数据加密与脱敏要求</w:t>
      </w:r>
      <w:bookmarkEnd w:id="98"/>
    </w:p>
    <w:p w14:paraId="4A2483FE">
      <w:pPr>
        <w:pStyle w:val="59"/>
        <w:ind w:firstLine="420"/>
      </w:pPr>
      <w:r>
        <w:rPr>
          <w:rFonts w:hint="eastAsia"/>
        </w:rPr>
        <w:t>加强数据加密与脱敏管理，防范数据泄露风险，具体要求如下：</w:t>
      </w:r>
    </w:p>
    <w:p w14:paraId="75E87F29">
      <w:pPr>
        <w:pStyle w:val="59"/>
        <w:ind w:firstLine="420"/>
      </w:pPr>
      <w:r>
        <w:rPr>
          <w:rFonts w:hint="eastAsia"/>
        </w:rPr>
        <w:t>a) 受试者个人敏感信息需采用脱敏存储方式；确需留存原始敏感信息的，需进行强加密处理，确保信息安全；</w:t>
      </w:r>
    </w:p>
    <w:p w14:paraId="73634A91">
      <w:pPr>
        <w:pStyle w:val="59"/>
        <w:ind w:firstLine="420"/>
      </w:pPr>
      <w:r>
        <w:rPr>
          <w:rFonts w:hint="eastAsia"/>
        </w:rPr>
        <w:t>b) 存储数据需采用AES等国家认可的加密算法进行加密处理，密钥管理需符合相关规定，定期更换密钥，防范密钥泄露风险；</w:t>
      </w:r>
    </w:p>
    <w:p w14:paraId="4330947C">
      <w:pPr>
        <w:pStyle w:val="59"/>
        <w:ind w:firstLine="420"/>
      </w:pPr>
      <w:r>
        <w:rPr>
          <w:rFonts w:hint="eastAsia"/>
        </w:rPr>
        <w:t>c) 严禁敏感信息、加密密钥以明文形式存储，严禁在日志、调试信息等内容中暴露敏感信息，防范信息泄露；</w:t>
      </w:r>
    </w:p>
    <w:p w14:paraId="39BD43F8">
      <w:pPr>
        <w:pStyle w:val="59"/>
        <w:ind w:firstLine="420"/>
      </w:pPr>
      <w:r>
        <w:rPr>
          <w:rFonts w:hint="eastAsia"/>
        </w:rPr>
        <w:t>d) 归档备份数据需同步进行加密存储，确保备份数据的安全性，防范备份数据泄露、篡改。</w:t>
      </w:r>
    </w:p>
    <w:p w14:paraId="2CE562A7">
      <w:pPr>
        <w:pStyle w:val="68"/>
        <w:spacing w:before="0" w:beforeLines="0" w:after="0" w:afterLines="0"/>
        <w:outlineLvl w:val="9"/>
      </w:pPr>
      <w:bookmarkStart w:id="99" w:name="heading_32"/>
      <w:r>
        <w:rPr>
          <w:rFonts w:hint="eastAsia"/>
        </w:rPr>
        <w:t>访问控制安全要求</w:t>
      </w:r>
      <w:bookmarkEnd w:id="99"/>
    </w:p>
    <w:p w14:paraId="7706672C">
      <w:pPr>
        <w:pStyle w:val="59"/>
        <w:ind w:firstLine="420"/>
      </w:pPr>
      <w:r>
        <w:rPr>
          <w:rFonts w:hint="eastAsia"/>
        </w:rPr>
        <w:t>严格规范访问控制，防范未授权访问风险，具体要求如下：</w:t>
      </w:r>
    </w:p>
    <w:p w14:paraId="4BB10044">
      <w:pPr>
        <w:pStyle w:val="59"/>
        <w:ind w:firstLine="420"/>
      </w:pPr>
      <w:r>
        <w:rPr>
          <w:rFonts w:hint="eastAsia"/>
        </w:rPr>
        <w:t>a) 实现基于角色的访问控制（RBAC）机制，明确不同角色的访问范围与操作权限，严禁越权访问数据；</w:t>
      </w:r>
    </w:p>
    <w:p w14:paraId="6063FF27">
      <w:pPr>
        <w:pStyle w:val="59"/>
        <w:ind w:firstLine="420"/>
      </w:pPr>
      <w:r>
        <w:rPr>
          <w:rFonts w:hint="eastAsia"/>
        </w:rPr>
        <w:t>b) 采用多因素身份认证方式，严禁账号共用、转借，确保访问主体的真实性；</w:t>
      </w:r>
    </w:p>
    <w:p w14:paraId="77405BD3">
      <w:pPr>
        <w:pStyle w:val="59"/>
        <w:ind w:firstLine="420"/>
      </w:pPr>
      <w:r>
        <w:rPr>
          <w:rFonts w:hint="eastAsia"/>
        </w:rPr>
        <w:t>c) 建立访问行为实时监控机制，对异常访问行为进行实时告警、阻断，及时处置安全隐患；</w:t>
      </w:r>
    </w:p>
    <w:p w14:paraId="7B0F93A0">
      <w:pPr>
        <w:pStyle w:val="59"/>
        <w:ind w:firstLine="420"/>
      </w:pPr>
      <w:r>
        <w:rPr>
          <w:rFonts w:hint="eastAsia"/>
        </w:rPr>
        <w:t>d) 所有访问相关操作需全程留痕，相关记录纳入审计管理，确保访问行为可追溯、可核查。</w:t>
      </w:r>
    </w:p>
    <w:p w14:paraId="1F9F6992">
      <w:pPr>
        <w:pStyle w:val="68"/>
        <w:spacing w:before="0" w:beforeLines="0" w:after="0" w:afterLines="0"/>
        <w:outlineLvl w:val="9"/>
      </w:pPr>
      <w:bookmarkStart w:id="100" w:name="heading_33"/>
      <w:r>
        <w:rPr>
          <w:rFonts w:hint="eastAsia"/>
        </w:rPr>
        <w:t>数据操作安全管控</w:t>
      </w:r>
      <w:bookmarkEnd w:id="100"/>
    </w:p>
    <w:p w14:paraId="41A1D709">
      <w:pPr>
        <w:pStyle w:val="59"/>
        <w:ind w:firstLine="420"/>
      </w:pPr>
      <w:r>
        <w:rPr>
          <w:rFonts w:hint="eastAsia"/>
        </w:rPr>
        <w:t>规范数据操作行为，防范数据篡改、丢失风险，具体要求如下：</w:t>
      </w:r>
    </w:p>
    <w:p w14:paraId="78C35BAB">
      <w:pPr>
        <w:pStyle w:val="59"/>
        <w:ind w:firstLine="420"/>
      </w:pPr>
      <w:r>
        <w:rPr>
          <w:rFonts w:hint="eastAsia"/>
        </w:rPr>
        <w:t>a) 源数据严禁擅自修改、删除，确需更正的，需严格按照相关规范履行审批程序，保留全流程修改记录，不得覆盖原始数据，确保数据修改可追溯；</w:t>
      </w:r>
    </w:p>
    <w:p w14:paraId="79A0A26F">
      <w:pPr>
        <w:pStyle w:val="59"/>
        <w:ind w:firstLine="420"/>
      </w:pPr>
      <w:r>
        <w:rPr>
          <w:rFonts w:hint="eastAsia"/>
        </w:rPr>
        <w:t>b) 关键数据操作需执行双人审批制度，未经审批不得执行相关操作；</w:t>
      </w:r>
    </w:p>
    <w:p w14:paraId="22846B25">
      <w:pPr>
        <w:pStyle w:val="59"/>
        <w:ind w:firstLine="420"/>
      </w:pPr>
      <w:r>
        <w:rPr>
          <w:rFonts w:hint="eastAsia"/>
        </w:rPr>
        <w:t>c) 建立操作白名单机制，明确允许执行的操作类型与操作范围，严禁执行非法操作，防范恶意操作风险；</w:t>
      </w:r>
    </w:p>
    <w:p w14:paraId="4D0F36CB">
      <w:pPr>
        <w:pStyle w:val="59"/>
        <w:ind w:firstLine="420"/>
      </w:pPr>
      <w:r>
        <w:rPr>
          <w:rFonts w:hint="eastAsia"/>
        </w:rPr>
        <w:t>d) 所有数据操作均需实时记录、不可篡改，相关记录纳入审计管理，确保操作行为可追溯、可追责。</w:t>
      </w:r>
    </w:p>
    <w:p w14:paraId="5BB5E71B">
      <w:pPr>
        <w:pStyle w:val="68"/>
        <w:spacing w:before="0" w:beforeLines="0" w:after="0" w:afterLines="0"/>
        <w:outlineLvl w:val="9"/>
      </w:pPr>
      <w:bookmarkStart w:id="101" w:name="heading_34"/>
      <w:r>
        <w:rPr>
          <w:rFonts w:hint="eastAsia"/>
        </w:rPr>
        <w:t>容灾与应急处置要求</w:t>
      </w:r>
      <w:bookmarkEnd w:id="101"/>
    </w:p>
    <w:p w14:paraId="6C6FDD15">
      <w:pPr>
        <w:pStyle w:val="59"/>
        <w:ind w:firstLine="420"/>
      </w:pPr>
      <w:r>
        <w:rPr>
          <w:rFonts w:hint="eastAsia"/>
        </w:rPr>
        <w:t>建立完善的容灾与应急处置体系，保障业务连续性，具体要求如下：</w:t>
      </w:r>
    </w:p>
    <w:p w14:paraId="1A816C83">
      <w:pPr>
        <w:pStyle w:val="59"/>
        <w:ind w:firstLine="420"/>
      </w:pPr>
      <w:r>
        <w:rPr>
          <w:rFonts w:hint="eastAsia"/>
        </w:rPr>
        <w:t>a) 按照网络安全等级保护相关要求，建立健全容灾备份体系，明确容灾等级、容灾策略与恢复目标，保障极端情况下数据的可用性与业务连续性；</w:t>
      </w:r>
    </w:p>
    <w:p w14:paraId="722C970F">
      <w:pPr>
        <w:pStyle w:val="59"/>
        <w:ind w:firstLine="420"/>
      </w:pPr>
      <w:r>
        <w:rPr>
          <w:rFonts w:hint="eastAsia"/>
        </w:rPr>
        <w:t>b) 制定完善的安全事件应急预案，明确应急处置流程、责任分工、处置措施与上报机制，确保发生安全事件时能够快速响应、有效处置；</w:t>
      </w:r>
    </w:p>
    <w:p w14:paraId="33AC0081">
      <w:pPr>
        <w:pStyle w:val="59"/>
        <w:ind w:firstLine="420"/>
      </w:pPr>
      <w:r>
        <w:rPr>
          <w:rFonts w:hint="eastAsia"/>
        </w:rPr>
        <w:t>c) 定期开展应急演练，模拟各类安全事件（如数据泄露、系统故障、自然灾害等），检验应急预案的可行性与应急处置能力，演练记录需归档留存；</w:t>
      </w:r>
    </w:p>
    <w:p w14:paraId="689C179F">
      <w:pPr>
        <w:pStyle w:val="59"/>
        <w:ind w:firstLine="420"/>
      </w:pPr>
      <w:r>
        <w:rPr>
          <w:rFonts w:hint="eastAsia"/>
        </w:rPr>
        <w:t>d) 发生安全事件后，立即启动应急预案，采取有效措施处置止损，按规定向相关部门上报事件情况，留存完整的处置记录，确保事件处置可追溯。</w:t>
      </w:r>
    </w:p>
    <w:p w14:paraId="474328E5">
      <w:pPr>
        <w:pStyle w:val="107"/>
        <w:spacing w:before="240" w:after="240"/>
        <w:rPr>
          <w:szCs w:val="21"/>
        </w:rPr>
      </w:pPr>
      <w:bookmarkStart w:id="102" w:name="_Toc5292"/>
      <w:bookmarkStart w:id="103" w:name="_Toc228523219"/>
      <w:bookmarkStart w:id="104" w:name="heading_35"/>
      <w:r>
        <w:rPr>
          <w:rFonts w:hint="eastAsia"/>
          <w:szCs w:val="21"/>
        </w:rPr>
        <w:t>数据溯源与审计</w:t>
      </w:r>
      <w:bookmarkEnd w:id="102"/>
      <w:bookmarkEnd w:id="103"/>
      <w:bookmarkEnd w:id="104"/>
    </w:p>
    <w:p w14:paraId="7684B5E0">
      <w:pPr>
        <w:pStyle w:val="108"/>
        <w:spacing w:before="120" w:after="120"/>
        <w:outlineLvl w:val="9"/>
      </w:pPr>
      <w:bookmarkStart w:id="105" w:name="heading_36"/>
      <w:bookmarkStart w:id="106" w:name="_Toc8539"/>
      <w:bookmarkStart w:id="107" w:name="_Toc24399"/>
      <w:bookmarkStart w:id="108" w:name="_Toc29030"/>
      <w:r>
        <w:rPr>
          <w:rFonts w:hint="eastAsia"/>
        </w:rPr>
        <w:t>总体要求</w:t>
      </w:r>
      <w:bookmarkEnd w:id="105"/>
      <w:bookmarkEnd w:id="106"/>
      <w:bookmarkEnd w:id="107"/>
      <w:bookmarkEnd w:id="108"/>
    </w:p>
    <w:p w14:paraId="5C4246AA">
      <w:pPr>
        <w:pStyle w:val="59"/>
        <w:ind w:firstLine="420"/>
      </w:pPr>
      <w:r>
        <w:rPr>
          <w:rFonts w:hint="eastAsia"/>
        </w:rPr>
        <w:t>应按照GB/T 39725、GB/T 37988及《药物临床试验质量管理规范》相关要求，实现临床研究存储数据全生命周期可追溯，建立全流程、全覆盖的审计机制，满足临床试验稽查、核查及相关法规要求。溯源与审计记录的留存时限需与对应临床研究数据的留存时限保持一致，确保数据可追溯、可核查、可追责。审计相关功能与产品应符合GB/T 20945相关技术要求。</w:t>
      </w:r>
    </w:p>
    <w:p w14:paraId="759DBDFF">
      <w:pPr>
        <w:pStyle w:val="108"/>
        <w:spacing w:before="120" w:after="120"/>
        <w:outlineLvl w:val="9"/>
      </w:pPr>
      <w:bookmarkStart w:id="109" w:name="_Toc7958"/>
      <w:bookmarkStart w:id="110" w:name="_Toc16197"/>
      <w:bookmarkStart w:id="111" w:name="heading_37"/>
      <w:bookmarkStart w:id="112" w:name="_Toc31417"/>
      <w:r>
        <w:rPr>
          <w:rFonts w:hint="eastAsia"/>
        </w:rPr>
        <w:t>全链路溯源管理</w:t>
      </w:r>
      <w:bookmarkEnd w:id="109"/>
      <w:bookmarkEnd w:id="110"/>
      <w:bookmarkEnd w:id="111"/>
      <w:bookmarkEnd w:id="112"/>
    </w:p>
    <w:p w14:paraId="3F8EE276">
      <w:pPr>
        <w:pStyle w:val="59"/>
        <w:ind w:firstLine="420"/>
      </w:pPr>
      <w:r>
        <w:rPr>
          <w:rFonts w:hint="eastAsia"/>
        </w:rPr>
        <w:t>建立数据全链路溯源体系，实现数据从产生、写入、存储、使用到销毁的全程追溯，具体要求如下：</w:t>
      </w:r>
    </w:p>
    <w:p w14:paraId="6792A866">
      <w:pPr>
        <w:pStyle w:val="59"/>
        <w:ind w:firstLine="420"/>
      </w:pPr>
      <w:r>
        <w:rPr>
          <w:rFonts w:hint="eastAsia"/>
        </w:rPr>
        <w:t>a) 实现存储数据与源数据的一一绑定，明确数据的来源、流转路径与操作记录，可完整追溯数据全链路信息；</w:t>
      </w:r>
    </w:p>
    <w:p w14:paraId="0053419A">
      <w:pPr>
        <w:pStyle w:val="59"/>
        <w:ind w:firstLine="420"/>
      </w:pPr>
      <w:r>
        <w:rPr>
          <w:rFonts w:hint="eastAsia"/>
        </w:rPr>
        <w:t>b) 为每条存储数据分配唯一的溯源标识，关联临床试验项目、受试者、操作人等相关信息，实现数据一键溯源，快速查询数据全生命周期记录；</w:t>
      </w:r>
    </w:p>
    <w:p w14:paraId="15085DAE">
      <w:pPr>
        <w:pStyle w:val="59"/>
        <w:ind w:firstLine="420"/>
      </w:pPr>
      <w:r>
        <w:rPr>
          <w:rFonts w:hint="eastAsia"/>
        </w:rPr>
        <w:t>c) 衍生数据需完整记录生成过程、生成算法、源数据关联等相关信息，实现从衍生数据到源数据的全链路追溯，确保衍生数据的可靠性；</w:t>
      </w:r>
    </w:p>
    <w:p w14:paraId="7CFEA08B">
      <w:pPr>
        <w:pStyle w:val="59"/>
        <w:ind w:firstLine="420"/>
      </w:pPr>
      <w:r>
        <w:rPr>
          <w:rFonts w:hint="eastAsia"/>
        </w:rPr>
        <w:t>d) 数据全流程操作均需与溯源标识绑定，详细记录操作信息，保障数据全生命周期可追溯。</w:t>
      </w:r>
    </w:p>
    <w:p w14:paraId="4F61F5E1">
      <w:pPr>
        <w:pStyle w:val="108"/>
        <w:spacing w:before="120" w:after="120"/>
        <w:outlineLvl w:val="9"/>
      </w:pPr>
      <w:bookmarkStart w:id="113" w:name="_Toc27866"/>
      <w:bookmarkStart w:id="114" w:name="_Toc7104"/>
      <w:bookmarkStart w:id="115" w:name="_Toc6335"/>
      <w:bookmarkStart w:id="116" w:name="heading_38"/>
      <w:r>
        <w:rPr>
          <w:rFonts w:hint="eastAsia"/>
        </w:rPr>
        <w:t>审计管理规范</w:t>
      </w:r>
      <w:bookmarkEnd w:id="113"/>
      <w:bookmarkEnd w:id="114"/>
      <w:bookmarkEnd w:id="115"/>
      <w:bookmarkEnd w:id="116"/>
    </w:p>
    <w:p w14:paraId="7C228EAD">
      <w:pPr>
        <w:pStyle w:val="68"/>
        <w:spacing w:before="0" w:beforeLines="0" w:after="0" w:afterLines="0"/>
        <w:outlineLvl w:val="9"/>
      </w:pPr>
      <w:bookmarkStart w:id="117" w:name="heading_39"/>
      <w:r>
        <w:rPr>
          <w:rFonts w:hint="eastAsia"/>
        </w:rPr>
        <w:t>审计日志要求</w:t>
      </w:r>
      <w:bookmarkEnd w:id="117"/>
    </w:p>
    <w:p w14:paraId="54C89029">
      <w:pPr>
        <w:pStyle w:val="59"/>
        <w:ind w:firstLine="420"/>
      </w:pPr>
      <w:r>
        <w:rPr>
          <w:rFonts w:hint="eastAsia"/>
        </w:rPr>
        <w:t>审计日志需全面、详细记录数据存储全流程的相关信息，至少包含以下核心要素：事件基本信息、操作主体信息、事件详情、其他相关信息，确保审计日志的完整性与可追溯性。</w:t>
      </w:r>
    </w:p>
    <w:p w14:paraId="2D4F64EA">
      <w:pPr>
        <w:pStyle w:val="68"/>
        <w:spacing w:before="0" w:beforeLines="0" w:after="0" w:afterLines="0"/>
        <w:outlineLvl w:val="9"/>
      </w:pPr>
      <w:bookmarkStart w:id="118" w:name="heading_40"/>
      <w:r>
        <w:rPr>
          <w:rFonts w:hint="eastAsia"/>
        </w:rPr>
        <w:t>审计日志管理要求</w:t>
      </w:r>
      <w:bookmarkEnd w:id="118"/>
    </w:p>
    <w:p w14:paraId="59DF2DB0">
      <w:pPr>
        <w:pStyle w:val="59"/>
        <w:ind w:firstLine="420"/>
      </w:pPr>
      <w:r>
        <w:rPr>
          <w:rFonts w:hint="eastAsia"/>
        </w:rPr>
        <w:t>加强审计日志的管理，确保日志的真实性、完整性与安全性，具体要求如下：</w:t>
      </w:r>
    </w:p>
    <w:p w14:paraId="61E89A1E">
      <w:pPr>
        <w:pStyle w:val="59"/>
        <w:ind w:firstLine="420"/>
      </w:pPr>
      <w:r>
        <w:rPr>
          <w:rFonts w:hint="eastAsia"/>
        </w:rPr>
        <w:t>a) 审计日志采用不可篡改的存储方式，严禁修改、删除、覆盖审计日志，确保日志信息的真实性；</w:t>
      </w:r>
    </w:p>
    <w:p w14:paraId="336D614B">
      <w:pPr>
        <w:pStyle w:val="59"/>
        <w:ind w:firstLine="420"/>
      </w:pPr>
      <w:r>
        <w:rPr>
          <w:rFonts w:hint="eastAsia"/>
        </w:rPr>
        <w:t>b) 审计日志的留存时限不少于对应数据的留存时限，确保后续稽查、核查时可随时调取查看；</w:t>
      </w:r>
    </w:p>
    <w:p w14:paraId="063A3F69">
      <w:pPr>
        <w:pStyle w:val="59"/>
        <w:ind w:firstLine="420"/>
      </w:pPr>
      <w:r>
        <w:rPr>
          <w:rFonts w:hint="eastAsia"/>
        </w:rPr>
        <w:t>c) 定期对审计日志进行分析核查，及时发现异常操作、安全隐患等问题，形成审计分析报告，提出整改建议；</w:t>
      </w:r>
    </w:p>
    <w:p w14:paraId="039F455D">
      <w:pPr>
        <w:pStyle w:val="59"/>
        <w:ind w:firstLine="420"/>
      </w:pPr>
      <w:r>
        <w:rPr>
          <w:rFonts w:hint="eastAsia"/>
        </w:rPr>
        <w:t>d) 审计日志需支持临床试验稽查、核查时的合规调取查看，确保审计工作的顺利开展。</w:t>
      </w:r>
    </w:p>
    <w:p w14:paraId="1034A654">
      <w:pPr>
        <w:pStyle w:val="68"/>
        <w:spacing w:before="0" w:beforeLines="0" w:after="0" w:afterLines="0"/>
        <w:outlineLvl w:val="9"/>
      </w:pPr>
      <w:bookmarkStart w:id="119" w:name="heading_41"/>
      <w:r>
        <w:rPr>
          <w:rFonts w:hint="eastAsia"/>
        </w:rPr>
        <w:t>审计工作实施要求</w:t>
      </w:r>
      <w:bookmarkEnd w:id="119"/>
    </w:p>
    <w:p w14:paraId="4EDD9811">
      <w:pPr>
        <w:pStyle w:val="59"/>
        <w:ind w:firstLine="420"/>
      </w:pPr>
      <w:r>
        <w:rPr>
          <w:rFonts w:hint="eastAsia"/>
        </w:rPr>
        <w:t>规范审计工作流程，确保审计工作全覆盖、无死角，具体要求如下：</w:t>
      </w:r>
    </w:p>
    <w:p w14:paraId="261F9CD1">
      <w:pPr>
        <w:pStyle w:val="59"/>
        <w:ind w:firstLine="420"/>
      </w:pPr>
      <w:r>
        <w:rPr>
          <w:rFonts w:hint="eastAsia"/>
        </w:rPr>
        <w:t>a) 明确审计责任主体与审计实施频率，临床试验期间每季度至少开展一次全面审计，确保审计工作的常态化；</w:t>
      </w:r>
    </w:p>
    <w:p w14:paraId="25CFD332">
      <w:pPr>
        <w:pStyle w:val="59"/>
        <w:ind w:firstLine="420"/>
      </w:pPr>
      <w:r>
        <w:rPr>
          <w:rFonts w:hint="eastAsia"/>
        </w:rPr>
        <w:t>b) 审计工作需覆盖数据存储全流程的合规性、操作规范性、数据质量、安全管控等核心维度，确保审计全面、深入；</w:t>
      </w:r>
    </w:p>
    <w:p w14:paraId="30E5F3C4">
      <w:pPr>
        <w:pStyle w:val="59"/>
        <w:ind w:firstLine="420"/>
      </w:pPr>
      <w:r>
        <w:rPr>
          <w:rFonts w:hint="eastAsia"/>
        </w:rPr>
        <w:t>c) 对审计过程中发现的问题，实行闭环管理，明确整改责任人、整改要求与整改时限，整改完成后需进行复核验证，确保问题整改到位；</w:t>
      </w:r>
    </w:p>
    <w:p w14:paraId="00C56E70">
      <w:pPr>
        <w:pStyle w:val="59"/>
        <w:ind w:firstLine="420"/>
      </w:pPr>
      <w:r>
        <w:rPr>
          <w:rFonts w:hint="eastAsia"/>
        </w:rPr>
        <w:t>d) 审计报告与整改记录需及时归档，纳入临床试验项目管理档案，确保审计工作可追溯、可核查。</w:t>
      </w:r>
    </w:p>
    <w:p w14:paraId="312A7610">
      <w:pPr>
        <w:pStyle w:val="107"/>
        <w:spacing w:before="240" w:after="240"/>
        <w:rPr>
          <w:szCs w:val="21"/>
        </w:rPr>
      </w:pPr>
      <w:bookmarkStart w:id="120" w:name="heading_42"/>
      <w:bookmarkStart w:id="121" w:name="_Toc24735"/>
      <w:bookmarkStart w:id="122" w:name="_Toc228523220"/>
      <w:r>
        <w:rPr>
          <w:rFonts w:hint="eastAsia"/>
          <w:szCs w:val="21"/>
        </w:rPr>
        <w:t>存储</w:t>
      </w:r>
      <w:bookmarkEnd w:id="120"/>
      <w:r>
        <w:t>可靠性</w:t>
      </w:r>
      <w:r>
        <w:rPr>
          <w:rFonts w:hint="eastAsia"/>
        </w:rPr>
        <w:t>要求</w:t>
      </w:r>
      <w:bookmarkEnd w:id="121"/>
      <w:bookmarkEnd w:id="122"/>
    </w:p>
    <w:p w14:paraId="45000035">
      <w:pPr>
        <w:pStyle w:val="108"/>
        <w:spacing w:before="120" w:after="120"/>
        <w:outlineLvl w:val="9"/>
      </w:pPr>
      <w:bookmarkStart w:id="123" w:name="_Toc1978"/>
      <w:bookmarkStart w:id="124" w:name="_Toc19489"/>
      <w:bookmarkStart w:id="125" w:name="heading_43"/>
      <w:bookmarkStart w:id="126" w:name="_Toc19553"/>
      <w:r>
        <w:rPr>
          <w:rFonts w:hint="eastAsia"/>
        </w:rPr>
        <w:t>总体要求</w:t>
      </w:r>
      <w:bookmarkEnd w:id="123"/>
      <w:bookmarkEnd w:id="124"/>
      <w:bookmarkEnd w:id="125"/>
      <w:bookmarkEnd w:id="126"/>
    </w:p>
    <w:p w14:paraId="2C14BFAB">
      <w:pPr>
        <w:pStyle w:val="59"/>
        <w:ind w:firstLine="420"/>
      </w:pPr>
      <w:r>
        <w:rPr>
          <w:rFonts w:hint="eastAsia"/>
        </w:rPr>
        <w:t>建立覆盖数据存储全流程的质量控制体系，严格保障存储数据的真实、准确、完整、一致、可追溯，符合临床试验数据质量管理的相关要求，为临床研究结果的科学性、可靠性提供坚实的数据支撑。</w:t>
      </w:r>
    </w:p>
    <w:p w14:paraId="3309CD27">
      <w:pPr>
        <w:pStyle w:val="108"/>
        <w:spacing w:before="120" w:after="120"/>
        <w:outlineLvl w:val="9"/>
      </w:pPr>
      <w:bookmarkStart w:id="127" w:name="_Toc26175"/>
      <w:bookmarkStart w:id="128" w:name="_Toc3995"/>
      <w:bookmarkStart w:id="129" w:name="heading_44"/>
      <w:bookmarkStart w:id="130" w:name="_Toc23342"/>
      <w:r>
        <w:rPr>
          <w:rFonts w:hint="eastAsia"/>
        </w:rPr>
        <w:t>质量核心指标</w:t>
      </w:r>
      <w:bookmarkEnd w:id="127"/>
      <w:bookmarkEnd w:id="128"/>
      <w:bookmarkEnd w:id="129"/>
      <w:bookmarkEnd w:id="130"/>
    </w:p>
    <w:p w14:paraId="1A101654">
      <w:pPr>
        <w:pStyle w:val="59"/>
        <w:ind w:firstLine="420"/>
      </w:pPr>
      <w:r>
        <w:rPr>
          <w:rFonts w:hint="eastAsia"/>
        </w:rPr>
        <w:t>明确数据存储质量的核心指标，确保数据质量可量化、可考核，具体如下：</w:t>
      </w:r>
    </w:p>
    <w:p w14:paraId="76356117">
      <w:pPr>
        <w:pStyle w:val="59"/>
        <w:ind w:firstLine="420"/>
      </w:pPr>
      <w:r>
        <w:rPr>
          <w:rFonts w:hint="eastAsia"/>
        </w:rPr>
        <w:t>a) 数据完整性：存储数据完整率达到100%，无缺失、遗漏等问题；</w:t>
      </w:r>
    </w:p>
    <w:p w14:paraId="78DAA19E">
      <w:pPr>
        <w:pStyle w:val="59"/>
        <w:ind w:firstLine="420"/>
      </w:pPr>
      <w:r>
        <w:rPr>
          <w:rFonts w:hint="eastAsia"/>
        </w:rPr>
        <w:t>b) 数据一致性：存储数据与源数据的一致性达到100%，无偏差、矛盾等问题；</w:t>
      </w:r>
    </w:p>
    <w:p w14:paraId="76772ABF">
      <w:pPr>
        <w:pStyle w:val="59"/>
        <w:ind w:firstLine="420"/>
      </w:pPr>
      <w:r>
        <w:rPr>
          <w:rFonts w:hint="eastAsia"/>
        </w:rPr>
        <w:t>c) 数据可追溯性：数据溯源标识覆盖率达到100%，每条数据均可实现全链路追溯；</w:t>
      </w:r>
    </w:p>
    <w:p w14:paraId="54AFE76F">
      <w:pPr>
        <w:pStyle w:val="59"/>
        <w:ind w:firstLine="420"/>
      </w:pPr>
      <w:r>
        <w:rPr>
          <w:rFonts w:hint="eastAsia"/>
        </w:rPr>
        <w:t>d) 操作留痕率：所有数据操作的留痕率达到100%，无未留痕操作；</w:t>
      </w:r>
    </w:p>
    <w:p w14:paraId="7B4E6583">
      <w:pPr>
        <w:pStyle w:val="59"/>
        <w:ind w:firstLine="420"/>
      </w:pPr>
      <w:r>
        <w:rPr>
          <w:rFonts w:hint="eastAsia"/>
        </w:rPr>
        <w:t>e) 数据可用性：数据留存期内的可用性不低于99.99%，确保数据可正常调取、使用；</w:t>
      </w:r>
    </w:p>
    <w:p w14:paraId="09994AC7">
      <w:pPr>
        <w:pStyle w:val="59"/>
        <w:ind w:firstLine="420"/>
      </w:pPr>
      <w:r>
        <w:rPr>
          <w:rFonts w:hint="eastAsia"/>
        </w:rPr>
        <w:t>f) 数据合规性：存储数据无合规性缺陷，符合相关法规及标准要求。</w:t>
      </w:r>
    </w:p>
    <w:p w14:paraId="58D67541">
      <w:pPr>
        <w:pStyle w:val="108"/>
        <w:spacing w:before="120" w:after="120"/>
        <w:outlineLvl w:val="9"/>
      </w:pPr>
      <w:bookmarkStart w:id="131" w:name="heading_45"/>
      <w:bookmarkStart w:id="132" w:name="_Toc31104"/>
      <w:bookmarkStart w:id="133" w:name="_Toc13068"/>
      <w:bookmarkStart w:id="134" w:name="_Toc19280"/>
      <w:r>
        <w:rPr>
          <w:rFonts w:hint="eastAsia"/>
        </w:rPr>
        <w:t>质量管控要求</w:t>
      </w:r>
      <w:bookmarkEnd w:id="131"/>
      <w:bookmarkEnd w:id="132"/>
      <w:bookmarkEnd w:id="133"/>
      <w:bookmarkEnd w:id="134"/>
    </w:p>
    <w:p w14:paraId="365D2AF6">
      <w:pPr>
        <w:pStyle w:val="68"/>
        <w:spacing w:before="0" w:beforeLines="0" w:after="0" w:afterLines="0"/>
        <w:outlineLvl w:val="9"/>
      </w:pPr>
      <w:bookmarkStart w:id="135" w:name="heading_46"/>
      <w:r>
        <w:rPr>
          <w:rFonts w:hint="eastAsia"/>
        </w:rPr>
        <w:t>全流程质量校验</w:t>
      </w:r>
      <w:bookmarkEnd w:id="135"/>
    </w:p>
    <w:p w14:paraId="2F45EBDF">
      <w:pPr>
        <w:pStyle w:val="59"/>
        <w:ind w:firstLine="420"/>
      </w:pPr>
      <w:r>
        <w:rPr>
          <w:rFonts w:hint="eastAsia"/>
        </w:rPr>
        <w:t>在数据存储全流程开展质量校验，确保数据质量，具体要求如下：</w:t>
      </w:r>
    </w:p>
    <w:p w14:paraId="28768EF3">
      <w:pPr>
        <w:pStyle w:val="59"/>
        <w:ind w:firstLine="420"/>
      </w:pPr>
      <w:r>
        <w:rPr>
          <w:rFonts w:hint="eastAsia"/>
        </w:rPr>
        <w:t>a) 数据写入前，完成数据一致性、完整性、合规性校验，校验不通过的严禁写入存储系统；</w:t>
      </w:r>
    </w:p>
    <w:p w14:paraId="6756B7F2">
      <w:pPr>
        <w:pStyle w:val="59"/>
        <w:ind w:firstLine="420"/>
      </w:pPr>
      <w:r>
        <w:rPr>
          <w:rFonts w:hint="eastAsia"/>
        </w:rPr>
        <w:t>b) 数据归档时，完成数据完整性、不可篡改性校验，确保归档数据质量符合要求；</w:t>
      </w:r>
    </w:p>
    <w:p w14:paraId="04DBBD8C">
      <w:pPr>
        <w:pStyle w:val="59"/>
        <w:ind w:firstLine="420"/>
      </w:pPr>
      <w:r>
        <w:rPr>
          <w:rFonts w:hint="eastAsia"/>
        </w:rPr>
        <w:t>c) 定期开展备份数据恢复校验，检验备份数据的可用性与完整性，及时发现并解决备份数据质量问题；</w:t>
      </w:r>
    </w:p>
    <w:p w14:paraId="7D035648">
      <w:pPr>
        <w:pStyle w:val="59"/>
        <w:ind w:firstLine="420"/>
      </w:pPr>
      <w:r>
        <w:rPr>
          <w:rFonts w:hint="eastAsia"/>
        </w:rPr>
        <w:t>d) 定期开展源数据核查（SDV）工作，核对存储数据与源数据的一致性，形成详细的核查记录，确保数据真实、准确。</w:t>
      </w:r>
    </w:p>
    <w:p w14:paraId="041211BB">
      <w:pPr>
        <w:pStyle w:val="68"/>
        <w:spacing w:before="0" w:beforeLines="0" w:after="0" w:afterLines="0"/>
        <w:outlineLvl w:val="9"/>
      </w:pPr>
      <w:bookmarkStart w:id="136" w:name="heading_47"/>
      <w:r>
        <w:rPr>
          <w:rFonts w:hint="eastAsia"/>
        </w:rPr>
        <w:t>质量监控与巡检</w:t>
      </w:r>
      <w:bookmarkEnd w:id="136"/>
    </w:p>
    <w:p w14:paraId="443ED2EE">
      <w:pPr>
        <w:pStyle w:val="59"/>
        <w:ind w:firstLine="420"/>
      </w:pPr>
      <w:r>
        <w:rPr>
          <w:rFonts w:hint="eastAsia"/>
        </w:rPr>
        <w:t>建立常态化的质量监控与巡检机制，及时发现并处置质量问题，具体要求如下：</w:t>
      </w:r>
    </w:p>
    <w:p w14:paraId="392EBD71">
      <w:pPr>
        <w:pStyle w:val="59"/>
        <w:ind w:firstLine="420"/>
      </w:pPr>
      <w:r>
        <w:rPr>
          <w:rFonts w:hint="eastAsia"/>
        </w:rPr>
        <w:t>a) 建立数据存储质量实时监控机制，对数据完整性、一致性、可用性等核心指标进行实时监控，对异常情况及时告警、处置；</w:t>
      </w:r>
    </w:p>
    <w:p w14:paraId="51266EBE">
      <w:pPr>
        <w:pStyle w:val="59"/>
        <w:ind w:firstLine="420"/>
      </w:pPr>
      <w:r>
        <w:rPr>
          <w:rFonts w:hint="eastAsia"/>
        </w:rPr>
        <w:t>b) 临床试验期间，每月至少开展一次质量巡检，覆盖数据存储全流程、各环节，全面排查质量隐患；</w:t>
      </w:r>
    </w:p>
    <w:p w14:paraId="4A734EEE">
      <w:pPr>
        <w:pStyle w:val="59"/>
        <w:ind w:firstLine="420"/>
      </w:pPr>
      <w:r>
        <w:rPr>
          <w:rFonts w:hint="eastAsia"/>
        </w:rPr>
        <w:t>c) 建立质量问题台账，对发现的质量问题进行详细记录，明确整改责任人、整改要求与整改时限，实现问题闭环管理；</w:t>
      </w:r>
    </w:p>
    <w:p w14:paraId="44A7ED7B">
      <w:pPr>
        <w:pStyle w:val="59"/>
        <w:ind w:firstLine="420"/>
      </w:pPr>
      <w:r>
        <w:rPr>
          <w:rFonts w:hint="eastAsia"/>
        </w:rPr>
        <w:t>d) 每季度形成数据存储质量管控报告，上报临床试验机构管理部门及相关责任部门，同时归档留存，为质量改进提供依据。</w:t>
      </w:r>
    </w:p>
    <w:p w14:paraId="794E6C89">
      <w:pPr>
        <w:pStyle w:val="68"/>
        <w:spacing w:before="0" w:beforeLines="0" w:after="0" w:afterLines="0"/>
        <w:outlineLvl w:val="9"/>
      </w:pPr>
      <w:bookmarkStart w:id="137" w:name="heading_48"/>
      <w:r>
        <w:rPr>
          <w:rFonts w:hint="eastAsia"/>
        </w:rPr>
        <w:t>质量问题处置与优化</w:t>
      </w:r>
      <w:bookmarkEnd w:id="137"/>
    </w:p>
    <w:p w14:paraId="50A6B057">
      <w:pPr>
        <w:pStyle w:val="59"/>
        <w:ind w:firstLine="420"/>
      </w:pPr>
      <w:r>
        <w:rPr>
          <w:rFonts w:hint="eastAsia"/>
        </w:rPr>
        <w:t>规范质量问题处置流程，持续优化质量管控体系，具体要求如下：</w:t>
      </w:r>
    </w:p>
    <w:p w14:paraId="25C7DB17">
      <w:pPr>
        <w:pStyle w:val="59"/>
        <w:ind w:firstLine="420"/>
      </w:pPr>
      <w:r>
        <w:rPr>
          <w:rFonts w:hint="eastAsia"/>
        </w:rPr>
        <w:t>a) 发现严重质量问题（如数据篡改、大量数据缺失等）时，立即启动应急处置流程，溯源追责，采取有效措施挽回损失、防范风险扩散；</w:t>
      </w:r>
    </w:p>
    <w:p w14:paraId="7F2CC0E4">
      <w:pPr>
        <w:pStyle w:val="59"/>
        <w:ind w:firstLine="420"/>
      </w:pPr>
      <w:r>
        <w:rPr>
          <w:rFonts w:hint="eastAsia"/>
        </w:rPr>
        <w:t>b) 针对频发的质量问题，深入分析问题根源，优化数据存储流程与管理方案，避免同类问题重复发生；</w:t>
      </w:r>
    </w:p>
    <w:p w14:paraId="72F0EC3A">
      <w:pPr>
        <w:pStyle w:val="59"/>
        <w:ind w:firstLine="420"/>
      </w:pPr>
      <w:r>
        <w:rPr>
          <w:rFonts w:hint="eastAsia"/>
        </w:rPr>
        <w:t>c) 定期对质量管控体系进行复盘优化，结合临床试验业务发展、相关法规更新及技术升级，完善质量管控要求与措施，持续提升数据存储质量。</w:t>
      </w:r>
    </w:p>
    <w:p w14:paraId="6FAD4C63">
      <w:pPr>
        <w:pStyle w:val="59"/>
        <w:ind w:firstLine="0" w:firstLineChars="0"/>
      </w:pPr>
      <w:r>
        <w:br w:type="page"/>
      </w:r>
    </w:p>
    <w:p w14:paraId="6DF3BDB8">
      <w:pPr>
        <w:pStyle w:val="79"/>
        <w:spacing w:before="0" w:after="0" w:afterLines="0"/>
      </w:pPr>
      <w:bookmarkStart w:id="138" w:name="_Toc228523221"/>
      <w:bookmarkEnd w:id="138"/>
      <w:bookmarkStart w:id="139" w:name="_Toc228523222"/>
      <w:bookmarkEnd w:id="139"/>
      <w:bookmarkStart w:id="140" w:name="_Toc15246"/>
      <w:bookmarkStart w:id="141" w:name="heading_49"/>
    </w:p>
    <w:p w14:paraId="1EBE4028">
      <w:pPr>
        <w:pStyle w:val="79"/>
        <w:numPr>
          <w:ilvl w:val="0"/>
          <w:numId w:val="0"/>
        </w:numPr>
        <w:spacing w:before="0" w:after="0" w:afterLines="0"/>
      </w:pPr>
      <w:bookmarkStart w:id="142" w:name="_Toc228523223"/>
      <w:r>
        <w:rPr>
          <w:rFonts w:hint="eastAsia"/>
        </w:rPr>
        <w:t>（资料性）</w:t>
      </w:r>
      <w:bookmarkEnd w:id="142"/>
    </w:p>
    <w:p w14:paraId="1FA36196">
      <w:pPr>
        <w:pStyle w:val="79"/>
        <w:numPr>
          <w:ilvl w:val="0"/>
          <w:numId w:val="0"/>
        </w:numPr>
        <w:spacing w:before="0" w:after="0" w:afterLines="0"/>
      </w:pPr>
      <w:bookmarkStart w:id="143" w:name="_Toc228523224"/>
      <w:r>
        <w:rPr>
          <w:rFonts w:hint="eastAsia"/>
        </w:rPr>
        <w:t>临床研究数据分类与存储数据规范</w:t>
      </w:r>
      <w:bookmarkEnd w:id="140"/>
      <w:bookmarkEnd w:id="141"/>
      <w:bookmarkEnd w:id="143"/>
    </w:p>
    <w:p w14:paraId="7972E553">
      <w:pPr>
        <w:pStyle w:val="59"/>
        <w:ind w:firstLine="0" w:firstLineChars="0"/>
        <w:rPr>
          <w:rFonts w:hint="eastAsia"/>
        </w:rPr>
      </w:pPr>
    </w:p>
    <w:tbl>
      <w:tblPr>
        <w:tblStyle w:val="2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177"/>
        <w:gridCol w:w="1178"/>
        <w:gridCol w:w="1178"/>
        <w:gridCol w:w="1349"/>
        <w:gridCol w:w="1178"/>
        <w:gridCol w:w="1178"/>
        <w:gridCol w:w="1178"/>
        <w:gridCol w:w="1178"/>
      </w:tblGrid>
      <w:tr w14:paraId="24BA8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tcBorders>
              <w:tl2br w:val="nil"/>
              <w:tr2bl w:val="nil"/>
            </w:tcBorders>
            <w:tcMar>
              <w:top w:w="60" w:type="dxa"/>
              <w:left w:w="120" w:type="dxa"/>
              <w:bottom w:w="30" w:type="dxa"/>
              <w:right w:w="120" w:type="dxa"/>
            </w:tcMar>
          </w:tcPr>
          <w:p w14:paraId="59E37C5A">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数据类别</w:t>
            </w:r>
          </w:p>
        </w:tc>
        <w:tc>
          <w:tcPr>
            <w:tcW w:w="625" w:type="pct"/>
            <w:tcBorders>
              <w:tl2br w:val="nil"/>
              <w:tr2bl w:val="nil"/>
            </w:tcBorders>
            <w:tcMar>
              <w:top w:w="60" w:type="dxa"/>
              <w:left w:w="120" w:type="dxa"/>
              <w:bottom w:w="30" w:type="dxa"/>
              <w:right w:w="120" w:type="dxa"/>
            </w:tcMar>
          </w:tcPr>
          <w:p w14:paraId="07265FC4">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数据名称</w:t>
            </w:r>
          </w:p>
        </w:tc>
        <w:tc>
          <w:tcPr>
            <w:tcW w:w="625" w:type="pct"/>
            <w:tcBorders>
              <w:tl2br w:val="nil"/>
              <w:tr2bl w:val="nil"/>
            </w:tcBorders>
            <w:tcMar>
              <w:top w:w="60" w:type="dxa"/>
              <w:left w:w="120" w:type="dxa"/>
              <w:bottom w:w="30" w:type="dxa"/>
              <w:right w:w="120" w:type="dxa"/>
            </w:tcMar>
          </w:tcPr>
          <w:p w14:paraId="66349839">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数据类型</w:t>
            </w:r>
          </w:p>
        </w:tc>
        <w:tc>
          <w:tcPr>
            <w:tcW w:w="625" w:type="pct"/>
            <w:tcBorders>
              <w:tl2br w:val="nil"/>
              <w:tr2bl w:val="nil"/>
            </w:tcBorders>
            <w:tcMar>
              <w:top w:w="60" w:type="dxa"/>
              <w:left w:w="120" w:type="dxa"/>
              <w:bottom w:w="30" w:type="dxa"/>
              <w:right w:w="120" w:type="dxa"/>
            </w:tcMar>
          </w:tcPr>
          <w:p w14:paraId="0AC0C17D">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存储格式</w:t>
            </w:r>
          </w:p>
        </w:tc>
        <w:tc>
          <w:tcPr>
            <w:tcW w:w="625" w:type="pct"/>
            <w:tcBorders>
              <w:tl2br w:val="nil"/>
              <w:tr2bl w:val="nil"/>
            </w:tcBorders>
            <w:tcMar>
              <w:top w:w="60" w:type="dxa"/>
              <w:left w:w="120" w:type="dxa"/>
              <w:bottom w:w="30" w:type="dxa"/>
              <w:right w:w="120" w:type="dxa"/>
            </w:tcMar>
          </w:tcPr>
          <w:p w14:paraId="1FCB98C7">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必填数据</w:t>
            </w:r>
          </w:p>
        </w:tc>
        <w:tc>
          <w:tcPr>
            <w:tcW w:w="625" w:type="pct"/>
            <w:tcBorders>
              <w:tl2br w:val="nil"/>
              <w:tr2bl w:val="nil"/>
            </w:tcBorders>
            <w:tcMar>
              <w:top w:w="60" w:type="dxa"/>
              <w:left w:w="120" w:type="dxa"/>
              <w:bottom w:w="30" w:type="dxa"/>
              <w:right w:w="120" w:type="dxa"/>
            </w:tcMar>
          </w:tcPr>
          <w:p w14:paraId="60B0BEE4">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留存时限</w:t>
            </w:r>
          </w:p>
        </w:tc>
        <w:tc>
          <w:tcPr>
            <w:tcW w:w="625" w:type="pct"/>
            <w:tcBorders>
              <w:tl2br w:val="nil"/>
              <w:tr2bl w:val="nil"/>
            </w:tcBorders>
            <w:tcMar>
              <w:top w:w="60" w:type="dxa"/>
              <w:left w:w="120" w:type="dxa"/>
              <w:bottom w:w="30" w:type="dxa"/>
              <w:right w:w="120" w:type="dxa"/>
            </w:tcMar>
          </w:tcPr>
          <w:p w14:paraId="77981E4C">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加密要求</w:t>
            </w:r>
          </w:p>
        </w:tc>
        <w:tc>
          <w:tcPr>
            <w:tcW w:w="625" w:type="pct"/>
            <w:tcBorders>
              <w:tl2br w:val="nil"/>
              <w:tr2bl w:val="nil"/>
            </w:tcBorders>
            <w:tcMar>
              <w:top w:w="60" w:type="dxa"/>
              <w:left w:w="120" w:type="dxa"/>
              <w:bottom w:w="30" w:type="dxa"/>
              <w:right w:w="120" w:type="dxa"/>
            </w:tcMar>
          </w:tcPr>
          <w:p w14:paraId="21CF31E9">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备注</w:t>
            </w:r>
          </w:p>
        </w:tc>
      </w:tr>
      <w:tr w14:paraId="627DB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restart"/>
            <w:tcBorders>
              <w:tl2br w:val="nil"/>
              <w:tr2bl w:val="nil"/>
            </w:tcBorders>
            <w:tcMar>
              <w:top w:w="60" w:type="dxa"/>
              <w:left w:w="120" w:type="dxa"/>
              <w:bottom w:w="30" w:type="dxa"/>
              <w:right w:w="120" w:type="dxa"/>
            </w:tcMar>
          </w:tcPr>
          <w:p w14:paraId="23861E11">
            <w:pPr>
              <w:widowControl/>
              <w:spacing w:line="240" w:lineRule="auto"/>
              <w:jc w:val="both"/>
              <w:rPr>
                <w:rFonts w:ascii="Times New Roman" w:hAnsi="Times New Roman"/>
                <w:kern w:val="0"/>
                <w:sz w:val="21"/>
                <w:szCs w:val="21"/>
              </w:rPr>
            </w:pPr>
            <w:r>
              <w:rPr>
                <w:rFonts w:ascii="Times New Roman" w:hAnsi="Times New Roman"/>
                <w:kern w:val="0"/>
                <w:sz w:val="21"/>
                <w:szCs w:val="21"/>
              </w:rPr>
              <w:t>文档类数据</w:t>
            </w:r>
          </w:p>
        </w:tc>
        <w:tc>
          <w:tcPr>
            <w:tcW w:w="625" w:type="pct"/>
            <w:tcBorders>
              <w:tl2br w:val="nil"/>
              <w:tr2bl w:val="nil"/>
            </w:tcBorders>
            <w:tcMar>
              <w:top w:w="60" w:type="dxa"/>
              <w:left w:w="120" w:type="dxa"/>
              <w:bottom w:w="30" w:type="dxa"/>
              <w:right w:w="120" w:type="dxa"/>
            </w:tcMar>
          </w:tcPr>
          <w:p w14:paraId="6B3C3BFA">
            <w:pPr>
              <w:widowControl/>
              <w:spacing w:line="240" w:lineRule="auto"/>
              <w:jc w:val="both"/>
              <w:rPr>
                <w:rFonts w:ascii="Times New Roman" w:hAnsi="Times New Roman"/>
                <w:kern w:val="0"/>
                <w:sz w:val="21"/>
                <w:szCs w:val="21"/>
              </w:rPr>
            </w:pPr>
            <w:r>
              <w:rPr>
                <w:rFonts w:ascii="Times New Roman" w:hAnsi="Times New Roman"/>
                <w:kern w:val="0"/>
                <w:sz w:val="21"/>
                <w:szCs w:val="21"/>
              </w:rPr>
              <w:t>临床试验方案</w:t>
            </w:r>
          </w:p>
        </w:tc>
        <w:tc>
          <w:tcPr>
            <w:tcW w:w="625" w:type="pct"/>
            <w:tcBorders>
              <w:tl2br w:val="nil"/>
              <w:tr2bl w:val="nil"/>
            </w:tcBorders>
            <w:tcMar>
              <w:top w:w="60" w:type="dxa"/>
              <w:left w:w="120" w:type="dxa"/>
              <w:bottom w:w="30" w:type="dxa"/>
              <w:right w:w="120" w:type="dxa"/>
            </w:tcMar>
          </w:tcPr>
          <w:p w14:paraId="00D5E2CE">
            <w:pPr>
              <w:widowControl/>
              <w:spacing w:line="240" w:lineRule="auto"/>
              <w:jc w:val="both"/>
              <w:rPr>
                <w:rFonts w:ascii="Times New Roman" w:hAnsi="Times New Roman"/>
                <w:kern w:val="0"/>
                <w:sz w:val="21"/>
                <w:szCs w:val="21"/>
              </w:rPr>
            </w:pPr>
            <w:r>
              <w:rPr>
                <w:rFonts w:ascii="Times New Roman" w:hAnsi="Times New Roman"/>
                <w:kern w:val="0"/>
                <w:sz w:val="21"/>
                <w:szCs w:val="21"/>
              </w:rPr>
              <w:t>文档</w:t>
            </w:r>
          </w:p>
        </w:tc>
        <w:tc>
          <w:tcPr>
            <w:tcW w:w="625" w:type="pct"/>
            <w:tcBorders>
              <w:tl2br w:val="nil"/>
              <w:tr2bl w:val="nil"/>
            </w:tcBorders>
            <w:tcMar>
              <w:top w:w="60" w:type="dxa"/>
              <w:left w:w="120" w:type="dxa"/>
              <w:bottom w:w="30" w:type="dxa"/>
              <w:right w:w="120" w:type="dxa"/>
            </w:tcMar>
          </w:tcPr>
          <w:p w14:paraId="286AAB6A">
            <w:pPr>
              <w:widowControl/>
              <w:spacing w:line="240" w:lineRule="auto"/>
              <w:jc w:val="both"/>
              <w:rPr>
                <w:rFonts w:ascii="Times New Roman" w:hAnsi="Times New Roman"/>
                <w:kern w:val="0"/>
                <w:sz w:val="21"/>
                <w:szCs w:val="21"/>
              </w:rPr>
            </w:pPr>
            <w:r>
              <w:rPr>
                <w:rFonts w:ascii="Times New Roman" w:hAnsi="Times New Roman"/>
                <w:kern w:val="0"/>
                <w:sz w:val="21"/>
                <w:szCs w:val="21"/>
              </w:rPr>
              <w:t>PDF/DOCX</w:t>
            </w:r>
          </w:p>
        </w:tc>
        <w:tc>
          <w:tcPr>
            <w:tcW w:w="625" w:type="pct"/>
            <w:tcBorders>
              <w:tl2br w:val="nil"/>
              <w:tr2bl w:val="nil"/>
            </w:tcBorders>
            <w:tcMar>
              <w:top w:w="60" w:type="dxa"/>
              <w:left w:w="120" w:type="dxa"/>
              <w:bottom w:w="30" w:type="dxa"/>
              <w:right w:w="120" w:type="dxa"/>
            </w:tcMar>
          </w:tcPr>
          <w:p w14:paraId="1F3ECC4A">
            <w:pPr>
              <w:widowControl/>
              <w:spacing w:line="240" w:lineRule="auto"/>
              <w:jc w:val="both"/>
              <w:rPr>
                <w:rFonts w:ascii="Times New Roman" w:hAnsi="Times New Roman"/>
                <w:kern w:val="0"/>
                <w:sz w:val="21"/>
                <w:szCs w:val="21"/>
              </w:rPr>
            </w:pPr>
            <w:r>
              <w:rPr>
                <w:rFonts w:ascii="Times New Roman" w:hAnsi="Times New Roman"/>
                <w:kern w:val="0"/>
                <w:sz w:val="21"/>
                <w:szCs w:val="21"/>
              </w:rPr>
              <w:t>方案编号、版本号、起草人、审批人、生效日期</w:t>
            </w:r>
          </w:p>
        </w:tc>
        <w:tc>
          <w:tcPr>
            <w:tcW w:w="625" w:type="pct"/>
            <w:tcBorders>
              <w:tl2br w:val="nil"/>
              <w:tr2bl w:val="nil"/>
            </w:tcBorders>
            <w:tcMar>
              <w:top w:w="60" w:type="dxa"/>
              <w:left w:w="120" w:type="dxa"/>
              <w:bottom w:w="30" w:type="dxa"/>
              <w:right w:w="120" w:type="dxa"/>
            </w:tcMar>
          </w:tcPr>
          <w:p w14:paraId="472FFC80">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16F692E1">
            <w:pPr>
              <w:widowControl/>
              <w:spacing w:line="240" w:lineRule="auto"/>
              <w:jc w:val="both"/>
              <w:rPr>
                <w:rFonts w:ascii="Times New Roman" w:hAnsi="Times New Roman"/>
                <w:kern w:val="0"/>
                <w:sz w:val="21"/>
                <w:szCs w:val="21"/>
              </w:rPr>
            </w:pPr>
            <w:r>
              <w:rPr>
                <w:rFonts w:ascii="Times New Roman" w:hAnsi="Times New Roman"/>
                <w:kern w:val="0"/>
                <w:sz w:val="21"/>
                <w:szCs w:val="21"/>
              </w:rPr>
              <w:t>常规加密</w:t>
            </w:r>
          </w:p>
        </w:tc>
        <w:tc>
          <w:tcPr>
            <w:tcW w:w="625" w:type="pct"/>
            <w:tcBorders>
              <w:tl2br w:val="nil"/>
              <w:tr2bl w:val="nil"/>
            </w:tcBorders>
            <w:tcMar>
              <w:top w:w="60" w:type="dxa"/>
              <w:left w:w="120" w:type="dxa"/>
              <w:bottom w:w="30" w:type="dxa"/>
              <w:right w:w="120" w:type="dxa"/>
            </w:tcMar>
          </w:tcPr>
          <w:p w14:paraId="0C6D91C4">
            <w:pPr>
              <w:widowControl/>
              <w:spacing w:line="240" w:lineRule="auto"/>
              <w:jc w:val="both"/>
              <w:rPr>
                <w:rFonts w:ascii="Times New Roman" w:hAnsi="Times New Roman"/>
                <w:kern w:val="0"/>
                <w:sz w:val="21"/>
                <w:szCs w:val="21"/>
              </w:rPr>
            </w:pPr>
            <w:r>
              <w:rPr>
                <w:rFonts w:ascii="Times New Roman" w:hAnsi="Times New Roman"/>
                <w:kern w:val="0"/>
                <w:sz w:val="21"/>
                <w:szCs w:val="21"/>
              </w:rPr>
              <w:t>含修订版</w:t>
            </w:r>
          </w:p>
        </w:tc>
      </w:tr>
      <w:tr w14:paraId="1CDF0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0D23C867">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30CBDAEE">
            <w:pPr>
              <w:widowControl/>
              <w:spacing w:line="240" w:lineRule="auto"/>
              <w:jc w:val="both"/>
              <w:rPr>
                <w:rFonts w:ascii="Times New Roman" w:hAnsi="Times New Roman"/>
                <w:kern w:val="0"/>
                <w:sz w:val="21"/>
                <w:szCs w:val="21"/>
              </w:rPr>
            </w:pPr>
            <w:r>
              <w:rPr>
                <w:rFonts w:ascii="Times New Roman" w:hAnsi="Times New Roman"/>
                <w:kern w:val="0"/>
                <w:sz w:val="21"/>
                <w:szCs w:val="21"/>
              </w:rPr>
              <w:t>知情同意书</w:t>
            </w:r>
          </w:p>
        </w:tc>
        <w:tc>
          <w:tcPr>
            <w:tcW w:w="625" w:type="pct"/>
            <w:tcBorders>
              <w:tl2br w:val="nil"/>
              <w:tr2bl w:val="nil"/>
            </w:tcBorders>
            <w:tcMar>
              <w:top w:w="60" w:type="dxa"/>
              <w:left w:w="120" w:type="dxa"/>
              <w:bottom w:w="30" w:type="dxa"/>
              <w:right w:w="120" w:type="dxa"/>
            </w:tcMar>
          </w:tcPr>
          <w:p w14:paraId="179AA931">
            <w:pPr>
              <w:widowControl/>
              <w:spacing w:line="240" w:lineRule="auto"/>
              <w:jc w:val="both"/>
              <w:rPr>
                <w:rFonts w:ascii="Times New Roman" w:hAnsi="Times New Roman"/>
                <w:kern w:val="0"/>
                <w:sz w:val="21"/>
                <w:szCs w:val="21"/>
              </w:rPr>
            </w:pPr>
            <w:r>
              <w:rPr>
                <w:rFonts w:ascii="Times New Roman" w:hAnsi="Times New Roman"/>
                <w:kern w:val="0"/>
                <w:sz w:val="21"/>
                <w:szCs w:val="21"/>
              </w:rPr>
              <w:t>文档</w:t>
            </w:r>
          </w:p>
        </w:tc>
        <w:tc>
          <w:tcPr>
            <w:tcW w:w="625" w:type="pct"/>
            <w:tcBorders>
              <w:tl2br w:val="nil"/>
              <w:tr2bl w:val="nil"/>
            </w:tcBorders>
            <w:tcMar>
              <w:top w:w="60" w:type="dxa"/>
              <w:left w:w="120" w:type="dxa"/>
              <w:bottom w:w="30" w:type="dxa"/>
              <w:right w:w="120" w:type="dxa"/>
            </w:tcMar>
          </w:tcPr>
          <w:p w14:paraId="23597047">
            <w:pPr>
              <w:widowControl/>
              <w:spacing w:line="240" w:lineRule="auto"/>
              <w:jc w:val="both"/>
              <w:rPr>
                <w:rFonts w:ascii="Times New Roman" w:hAnsi="Times New Roman"/>
                <w:kern w:val="0"/>
                <w:sz w:val="21"/>
                <w:szCs w:val="21"/>
              </w:rPr>
            </w:pPr>
            <w:r>
              <w:rPr>
                <w:rFonts w:ascii="Times New Roman" w:hAnsi="Times New Roman"/>
                <w:kern w:val="0"/>
                <w:sz w:val="21"/>
                <w:szCs w:val="21"/>
              </w:rPr>
              <w:t>PDF/DOCX</w:t>
            </w:r>
          </w:p>
        </w:tc>
        <w:tc>
          <w:tcPr>
            <w:tcW w:w="625" w:type="pct"/>
            <w:tcBorders>
              <w:tl2br w:val="nil"/>
              <w:tr2bl w:val="nil"/>
            </w:tcBorders>
            <w:tcMar>
              <w:top w:w="60" w:type="dxa"/>
              <w:left w:w="120" w:type="dxa"/>
              <w:bottom w:w="30" w:type="dxa"/>
              <w:right w:w="120" w:type="dxa"/>
            </w:tcMar>
          </w:tcPr>
          <w:p w14:paraId="39352577">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受试者ID、版本号、签署日期、签署人、见证人</w:t>
            </w:r>
          </w:p>
        </w:tc>
        <w:tc>
          <w:tcPr>
            <w:tcW w:w="625" w:type="pct"/>
            <w:tcBorders>
              <w:tl2br w:val="nil"/>
              <w:tr2bl w:val="nil"/>
            </w:tcBorders>
            <w:tcMar>
              <w:top w:w="60" w:type="dxa"/>
              <w:left w:w="120" w:type="dxa"/>
              <w:bottom w:w="30" w:type="dxa"/>
              <w:right w:w="120" w:type="dxa"/>
            </w:tcMar>
          </w:tcPr>
          <w:p w14:paraId="46EB1F9F">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4528E4FD">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4CE589AA">
            <w:pPr>
              <w:widowControl/>
              <w:spacing w:line="240" w:lineRule="auto"/>
              <w:jc w:val="both"/>
              <w:rPr>
                <w:rFonts w:ascii="Times New Roman" w:hAnsi="Times New Roman"/>
                <w:kern w:val="0"/>
                <w:sz w:val="21"/>
                <w:szCs w:val="21"/>
              </w:rPr>
            </w:pPr>
            <w:r>
              <w:rPr>
                <w:rFonts w:ascii="Times New Roman" w:hAnsi="Times New Roman"/>
                <w:kern w:val="0"/>
                <w:sz w:val="21"/>
                <w:szCs w:val="21"/>
              </w:rPr>
              <w:t>含签署扫描件</w:t>
            </w:r>
          </w:p>
        </w:tc>
      </w:tr>
      <w:tr w14:paraId="66248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33ABAF2E">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5C6C4C3B">
            <w:pPr>
              <w:widowControl/>
              <w:spacing w:line="240" w:lineRule="auto"/>
              <w:jc w:val="both"/>
              <w:rPr>
                <w:rFonts w:ascii="Times New Roman" w:hAnsi="Times New Roman"/>
                <w:kern w:val="0"/>
                <w:sz w:val="21"/>
                <w:szCs w:val="21"/>
              </w:rPr>
            </w:pPr>
            <w:r>
              <w:rPr>
                <w:rFonts w:ascii="Times New Roman" w:hAnsi="Times New Roman"/>
                <w:kern w:val="0"/>
                <w:sz w:val="21"/>
                <w:szCs w:val="21"/>
              </w:rPr>
              <w:t>研究者手册</w:t>
            </w:r>
          </w:p>
        </w:tc>
        <w:tc>
          <w:tcPr>
            <w:tcW w:w="625" w:type="pct"/>
            <w:tcBorders>
              <w:tl2br w:val="nil"/>
              <w:tr2bl w:val="nil"/>
            </w:tcBorders>
            <w:tcMar>
              <w:top w:w="60" w:type="dxa"/>
              <w:left w:w="120" w:type="dxa"/>
              <w:bottom w:w="30" w:type="dxa"/>
              <w:right w:w="120" w:type="dxa"/>
            </w:tcMar>
          </w:tcPr>
          <w:p w14:paraId="41B54914">
            <w:pPr>
              <w:widowControl/>
              <w:spacing w:line="240" w:lineRule="auto"/>
              <w:jc w:val="both"/>
              <w:rPr>
                <w:rFonts w:ascii="Times New Roman" w:hAnsi="Times New Roman"/>
                <w:kern w:val="0"/>
                <w:sz w:val="21"/>
                <w:szCs w:val="21"/>
              </w:rPr>
            </w:pPr>
            <w:r>
              <w:rPr>
                <w:rFonts w:ascii="Times New Roman" w:hAnsi="Times New Roman"/>
                <w:kern w:val="0"/>
                <w:sz w:val="21"/>
                <w:szCs w:val="21"/>
              </w:rPr>
              <w:t>文档</w:t>
            </w:r>
          </w:p>
        </w:tc>
        <w:tc>
          <w:tcPr>
            <w:tcW w:w="625" w:type="pct"/>
            <w:tcBorders>
              <w:tl2br w:val="nil"/>
              <w:tr2bl w:val="nil"/>
            </w:tcBorders>
            <w:tcMar>
              <w:top w:w="60" w:type="dxa"/>
              <w:left w:w="120" w:type="dxa"/>
              <w:bottom w:w="30" w:type="dxa"/>
              <w:right w:w="120" w:type="dxa"/>
            </w:tcMar>
          </w:tcPr>
          <w:p w14:paraId="62C14F58">
            <w:pPr>
              <w:widowControl/>
              <w:spacing w:line="240" w:lineRule="auto"/>
              <w:jc w:val="both"/>
              <w:rPr>
                <w:rFonts w:ascii="Times New Roman" w:hAnsi="Times New Roman"/>
                <w:kern w:val="0"/>
                <w:sz w:val="21"/>
                <w:szCs w:val="21"/>
              </w:rPr>
            </w:pPr>
            <w:r>
              <w:rPr>
                <w:rFonts w:ascii="Times New Roman" w:hAnsi="Times New Roman"/>
                <w:kern w:val="0"/>
                <w:sz w:val="21"/>
                <w:szCs w:val="21"/>
              </w:rPr>
              <w:t>PDF/DOCX</w:t>
            </w:r>
          </w:p>
        </w:tc>
        <w:tc>
          <w:tcPr>
            <w:tcW w:w="625" w:type="pct"/>
            <w:tcBorders>
              <w:tl2br w:val="nil"/>
              <w:tr2bl w:val="nil"/>
            </w:tcBorders>
            <w:tcMar>
              <w:top w:w="60" w:type="dxa"/>
              <w:left w:w="120" w:type="dxa"/>
              <w:bottom w:w="30" w:type="dxa"/>
              <w:right w:w="120" w:type="dxa"/>
            </w:tcMar>
          </w:tcPr>
          <w:p w14:paraId="2D0DBCF6">
            <w:pPr>
              <w:widowControl/>
              <w:spacing w:line="240" w:lineRule="auto"/>
              <w:jc w:val="both"/>
              <w:rPr>
                <w:rFonts w:ascii="Times New Roman" w:hAnsi="Times New Roman"/>
                <w:kern w:val="0"/>
                <w:sz w:val="21"/>
                <w:szCs w:val="21"/>
              </w:rPr>
            </w:pPr>
            <w:r>
              <w:rPr>
                <w:rFonts w:ascii="Times New Roman" w:hAnsi="Times New Roman"/>
                <w:kern w:val="0"/>
                <w:sz w:val="21"/>
                <w:szCs w:val="21"/>
              </w:rPr>
              <w:t>手册编号、版本号、发布日期</w:t>
            </w:r>
          </w:p>
        </w:tc>
        <w:tc>
          <w:tcPr>
            <w:tcW w:w="625" w:type="pct"/>
            <w:tcBorders>
              <w:tl2br w:val="nil"/>
              <w:tr2bl w:val="nil"/>
            </w:tcBorders>
            <w:tcMar>
              <w:top w:w="60" w:type="dxa"/>
              <w:left w:w="120" w:type="dxa"/>
              <w:bottom w:w="30" w:type="dxa"/>
              <w:right w:w="120" w:type="dxa"/>
            </w:tcMar>
          </w:tcPr>
          <w:p w14:paraId="0316E29E">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2000722F">
            <w:pPr>
              <w:widowControl/>
              <w:spacing w:line="240" w:lineRule="auto"/>
              <w:jc w:val="both"/>
              <w:rPr>
                <w:rFonts w:ascii="Times New Roman" w:hAnsi="Times New Roman"/>
                <w:kern w:val="0"/>
                <w:sz w:val="21"/>
                <w:szCs w:val="21"/>
              </w:rPr>
            </w:pPr>
            <w:r>
              <w:rPr>
                <w:rFonts w:ascii="Times New Roman" w:hAnsi="Times New Roman"/>
                <w:kern w:val="0"/>
                <w:sz w:val="21"/>
                <w:szCs w:val="21"/>
              </w:rPr>
              <w:t>常规加密</w:t>
            </w:r>
          </w:p>
        </w:tc>
        <w:tc>
          <w:tcPr>
            <w:tcW w:w="625" w:type="pct"/>
            <w:tcBorders>
              <w:tl2br w:val="nil"/>
              <w:tr2bl w:val="nil"/>
            </w:tcBorders>
            <w:tcMar>
              <w:top w:w="60" w:type="dxa"/>
              <w:left w:w="120" w:type="dxa"/>
              <w:bottom w:w="30" w:type="dxa"/>
              <w:right w:w="120" w:type="dxa"/>
            </w:tcMar>
          </w:tcPr>
          <w:p w14:paraId="4C29440D">
            <w:pPr>
              <w:widowControl/>
              <w:spacing w:line="240" w:lineRule="auto"/>
              <w:jc w:val="both"/>
              <w:rPr>
                <w:rFonts w:ascii="Times New Roman" w:hAnsi="Times New Roman"/>
                <w:kern w:val="0"/>
                <w:sz w:val="21"/>
                <w:szCs w:val="21"/>
              </w:rPr>
            </w:pPr>
            <w:r>
              <w:rPr>
                <w:rFonts w:ascii="Times New Roman" w:hAnsi="Times New Roman"/>
                <w:kern w:val="0"/>
                <w:sz w:val="21"/>
                <w:szCs w:val="21"/>
              </w:rPr>
              <w:t>-</w:t>
            </w:r>
          </w:p>
        </w:tc>
      </w:tr>
      <w:tr w14:paraId="0553D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21ACC2C1">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7BB82533">
            <w:pPr>
              <w:widowControl/>
              <w:spacing w:line="240" w:lineRule="auto"/>
              <w:jc w:val="both"/>
              <w:rPr>
                <w:rFonts w:ascii="Times New Roman" w:hAnsi="Times New Roman"/>
                <w:kern w:val="0"/>
                <w:sz w:val="21"/>
                <w:szCs w:val="21"/>
              </w:rPr>
            </w:pPr>
            <w:r>
              <w:rPr>
                <w:rFonts w:ascii="Times New Roman" w:hAnsi="Times New Roman"/>
                <w:kern w:val="0"/>
                <w:sz w:val="21"/>
                <w:szCs w:val="21"/>
              </w:rPr>
              <w:t>CRF表</w:t>
            </w:r>
          </w:p>
        </w:tc>
        <w:tc>
          <w:tcPr>
            <w:tcW w:w="625" w:type="pct"/>
            <w:tcBorders>
              <w:tl2br w:val="nil"/>
              <w:tr2bl w:val="nil"/>
            </w:tcBorders>
            <w:tcMar>
              <w:top w:w="60" w:type="dxa"/>
              <w:left w:w="120" w:type="dxa"/>
              <w:bottom w:w="30" w:type="dxa"/>
              <w:right w:w="120" w:type="dxa"/>
            </w:tcMar>
          </w:tcPr>
          <w:p w14:paraId="6278137B">
            <w:pPr>
              <w:widowControl/>
              <w:spacing w:line="240" w:lineRule="auto"/>
              <w:jc w:val="both"/>
              <w:rPr>
                <w:rFonts w:ascii="Times New Roman" w:hAnsi="Times New Roman"/>
                <w:kern w:val="0"/>
                <w:sz w:val="21"/>
                <w:szCs w:val="21"/>
              </w:rPr>
            </w:pPr>
            <w:r>
              <w:rPr>
                <w:rFonts w:ascii="Times New Roman" w:hAnsi="Times New Roman"/>
                <w:kern w:val="0"/>
                <w:sz w:val="21"/>
                <w:szCs w:val="21"/>
              </w:rPr>
              <w:t>文档/结构化数据</w:t>
            </w:r>
          </w:p>
        </w:tc>
        <w:tc>
          <w:tcPr>
            <w:tcW w:w="625" w:type="pct"/>
            <w:tcBorders>
              <w:tl2br w:val="nil"/>
              <w:tr2bl w:val="nil"/>
            </w:tcBorders>
            <w:tcMar>
              <w:top w:w="60" w:type="dxa"/>
              <w:left w:w="120" w:type="dxa"/>
              <w:bottom w:w="30" w:type="dxa"/>
              <w:right w:w="120" w:type="dxa"/>
            </w:tcMar>
          </w:tcPr>
          <w:p w14:paraId="33903C90">
            <w:pPr>
              <w:widowControl/>
              <w:spacing w:line="240" w:lineRule="auto"/>
              <w:jc w:val="both"/>
              <w:rPr>
                <w:rFonts w:ascii="Times New Roman" w:hAnsi="Times New Roman"/>
                <w:kern w:val="0"/>
                <w:sz w:val="21"/>
                <w:szCs w:val="21"/>
              </w:rPr>
            </w:pPr>
            <w:r>
              <w:rPr>
                <w:rFonts w:ascii="Times New Roman" w:hAnsi="Times New Roman"/>
                <w:kern w:val="0"/>
                <w:sz w:val="21"/>
                <w:szCs w:val="21"/>
              </w:rPr>
              <w:t>PDF/Excel</w:t>
            </w:r>
          </w:p>
        </w:tc>
        <w:tc>
          <w:tcPr>
            <w:tcW w:w="625" w:type="pct"/>
            <w:tcBorders>
              <w:tl2br w:val="nil"/>
              <w:tr2bl w:val="nil"/>
            </w:tcBorders>
            <w:tcMar>
              <w:top w:w="60" w:type="dxa"/>
              <w:left w:w="120" w:type="dxa"/>
              <w:bottom w:w="30" w:type="dxa"/>
              <w:right w:w="120" w:type="dxa"/>
            </w:tcMar>
          </w:tcPr>
          <w:p w14:paraId="3F7022D9">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受试者ID、试验编号、填写人、填写日期、审核人</w:t>
            </w:r>
          </w:p>
        </w:tc>
        <w:tc>
          <w:tcPr>
            <w:tcW w:w="625" w:type="pct"/>
            <w:tcBorders>
              <w:tl2br w:val="nil"/>
              <w:tr2bl w:val="nil"/>
            </w:tcBorders>
            <w:tcMar>
              <w:top w:w="60" w:type="dxa"/>
              <w:left w:w="120" w:type="dxa"/>
              <w:bottom w:w="30" w:type="dxa"/>
              <w:right w:w="120" w:type="dxa"/>
            </w:tcMar>
          </w:tcPr>
          <w:p w14:paraId="4BF5C40F">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2E6F5C80">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013C674E">
            <w:pPr>
              <w:widowControl/>
              <w:spacing w:line="240" w:lineRule="auto"/>
              <w:jc w:val="both"/>
              <w:rPr>
                <w:rFonts w:ascii="Times New Roman" w:hAnsi="Times New Roman"/>
                <w:kern w:val="0"/>
                <w:sz w:val="21"/>
                <w:szCs w:val="21"/>
              </w:rPr>
            </w:pPr>
            <w:r>
              <w:rPr>
                <w:rFonts w:ascii="Times New Roman" w:hAnsi="Times New Roman"/>
                <w:kern w:val="0"/>
                <w:sz w:val="21"/>
                <w:szCs w:val="21"/>
              </w:rPr>
              <w:t>含原始填写版</w:t>
            </w:r>
          </w:p>
        </w:tc>
      </w:tr>
      <w:tr w14:paraId="1DDD8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7C3D2734">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51160184">
            <w:pPr>
              <w:widowControl/>
              <w:spacing w:line="240" w:lineRule="auto"/>
              <w:jc w:val="both"/>
              <w:rPr>
                <w:rFonts w:ascii="Times New Roman" w:hAnsi="Times New Roman"/>
                <w:kern w:val="0"/>
                <w:sz w:val="21"/>
                <w:szCs w:val="21"/>
              </w:rPr>
            </w:pPr>
            <w:r>
              <w:rPr>
                <w:rFonts w:ascii="Times New Roman" w:hAnsi="Times New Roman"/>
                <w:kern w:val="0"/>
                <w:sz w:val="21"/>
                <w:szCs w:val="21"/>
              </w:rPr>
              <w:t>伦理委员会审批文件</w:t>
            </w:r>
          </w:p>
        </w:tc>
        <w:tc>
          <w:tcPr>
            <w:tcW w:w="625" w:type="pct"/>
            <w:tcBorders>
              <w:tl2br w:val="nil"/>
              <w:tr2bl w:val="nil"/>
            </w:tcBorders>
            <w:tcMar>
              <w:top w:w="60" w:type="dxa"/>
              <w:left w:w="120" w:type="dxa"/>
              <w:bottom w:w="30" w:type="dxa"/>
              <w:right w:w="120" w:type="dxa"/>
            </w:tcMar>
          </w:tcPr>
          <w:p w14:paraId="5444F6B3">
            <w:pPr>
              <w:widowControl/>
              <w:spacing w:line="240" w:lineRule="auto"/>
              <w:jc w:val="both"/>
              <w:rPr>
                <w:rFonts w:ascii="Times New Roman" w:hAnsi="Times New Roman"/>
                <w:kern w:val="0"/>
                <w:sz w:val="21"/>
                <w:szCs w:val="21"/>
              </w:rPr>
            </w:pPr>
            <w:r>
              <w:rPr>
                <w:rFonts w:ascii="Times New Roman" w:hAnsi="Times New Roman"/>
                <w:kern w:val="0"/>
                <w:sz w:val="21"/>
                <w:szCs w:val="21"/>
              </w:rPr>
              <w:t>文档</w:t>
            </w:r>
          </w:p>
        </w:tc>
        <w:tc>
          <w:tcPr>
            <w:tcW w:w="625" w:type="pct"/>
            <w:tcBorders>
              <w:tl2br w:val="nil"/>
              <w:tr2bl w:val="nil"/>
            </w:tcBorders>
            <w:tcMar>
              <w:top w:w="60" w:type="dxa"/>
              <w:left w:w="120" w:type="dxa"/>
              <w:bottom w:w="30" w:type="dxa"/>
              <w:right w:w="120" w:type="dxa"/>
            </w:tcMar>
          </w:tcPr>
          <w:p w14:paraId="74B91162">
            <w:pPr>
              <w:widowControl/>
              <w:spacing w:line="240" w:lineRule="auto"/>
              <w:jc w:val="both"/>
              <w:rPr>
                <w:rFonts w:ascii="Times New Roman" w:hAnsi="Times New Roman"/>
                <w:kern w:val="0"/>
                <w:sz w:val="21"/>
                <w:szCs w:val="21"/>
              </w:rPr>
            </w:pPr>
            <w:r>
              <w:rPr>
                <w:rFonts w:ascii="Times New Roman" w:hAnsi="Times New Roman"/>
                <w:kern w:val="0"/>
                <w:sz w:val="21"/>
                <w:szCs w:val="21"/>
              </w:rPr>
              <w:t>PDF</w:t>
            </w:r>
          </w:p>
        </w:tc>
        <w:tc>
          <w:tcPr>
            <w:tcW w:w="625" w:type="pct"/>
            <w:tcBorders>
              <w:tl2br w:val="nil"/>
              <w:tr2bl w:val="nil"/>
            </w:tcBorders>
            <w:tcMar>
              <w:top w:w="60" w:type="dxa"/>
              <w:left w:w="120" w:type="dxa"/>
              <w:bottom w:w="30" w:type="dxa"/>
              <w:right w:w="120" w:type="dxa"/>
            </w:tcMar>
          </w:tcPr>
          <w:p w14:paraId="7ADCCD11">
            <w:pPr>
              <w:widowControl/>
              <w:spacing w:line="240" w:lineRule="auto"/>
              <w:jc w:val="both"/>
              <w:rPr>
                <w:rFonts w:ascii="Times New Roman" w:hAnsi="Times New Roman"/>
                <w:kern w:val="0"/>
                <w:sz w:val="21"/>
                <w:szCs w:val="21"/>
              </w:rPr>
            </w:pPr>
            <w:r>
              <w:rPr>
                <w:rFonts w:ascii="Times New Roman" w:hAnsi="Times New Roman"/>
                <w:kern w:val="0"/>
                <w:sz w:val="21"/>
                <w:szCs w:val="21"/>
              </w:rPr>
              <w:t>审批编号、审批日期、审批意见、审批人</w:t>
            </w:r>
          </w:p>
        </w:tc>
        <w:tc>
          <w:tcPr>
            <w:tcW w:w="625" w:type="pct"/>
            <w:tcBorders>
              <w:tl2br w:val="nil"/>
              <w:tr2bl w:val="nil"/>
            </w:tcBorders>
            <w:tcMar>
              <w:top w:w="60" w:type="dxa"/>
              <w:left w:w="120" w:type="dxa"/>
              <w:bottom w:w="30" w:type="dxa"/>
              <w:right w:w="120" w:type="dxa"/>
            </w:tcMar>
          </w:tcPr>
          <w:p w14:paraId="03B3F7BF">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2A340386">
            <w:pPr>
              <w:widowControl/>
              <w:spacing w:line="240" w:lineRule="auto"/>
              <w:jc w:val="both"/>
              <w:rPr>
                <w:rFonts w:ascii="Times New Roman" w:hAnsi="Times New Roman"/>
                <w:kern w:val="0"/>
                <w:sz w:val="21"/>
                <w:szCs w:val="21"/>
              </w:rPr>
            </w:pPr>
            <w:r>
              <w:rPr>
                <w:rFonts w:ascii="Times New Roman" w:hAnsi="Times New Roman"/>
                <w:kern w:val="0"/>
                <w:sz w:val="21"/>
                <w:szCs w:val="21"/>
              </w:rPr>
              <w:t>常规加密</w:t>
            </w:r>
          </w:p>
        </w:tc>
        <w:tc>
          <w:tcPr>
            <w:tcW w:w="625" w:type="pct"/>
            <w:tcBorders>
              <w:tl2br w:val="nil"/>
              <w:tr2bl w:val="nil"/>
            </w:tcBorders>
            <w:tcMar>
              <w:top w:w="60" w:type="dxa"/>
              <w:left w:w="120" w:type="dxa"/>
              <w:bottom w:w="30" w:type="dxa"/>
              <w:right w:w="120" w:type="dxa"/>
            </w:tcMar>
          </w:tcPr>
          <w:p w14:paraId="2877FACE">
            <w:pPr>
              <w:widowControl/>
              <w:spacing w:line="240" w:lineRule="auto"/>
              <w:jc w:val="both"/>
              <w:rPr>
                <w:rFonts w:ascii="Times New Roman" w:hAnsi="Times New Roman"/>
                <w:kern w:val="0"/>
                <w:sz w:val="21"/>
                <w:szCs w:val="21"/>
              </w:rPr>
            </w:pPr>
            <w:r>
              <w:rPr>
                <w:rFonts w:ascii="Times New Roman" w:hAnsi="Times New Roman"/>
                <w:kern w:val="0"/>
                <w:sz w:val="21"/>
                <w:szCs w:val="21"/>
              </w:rPr>
              <w:t>含批件扫描件</w:t>
            </w:r>
          </w:p>
        </w:tc>
      </w:tr>
      <w:tr w14:paraId="57641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5609ECEF">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55D37234">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受试者病历资料</w:t>
            </w:r>
          </w:p>
        </w:tc>
        <w:tc>
          <w:tcPr>
            <w:tcW w:w="625" w:type="pct"/>
            <w:tcBorders>
              <w:tl2br w:val="nil"/>
              <w:tr2bl w:val="nil"/>
            </w:tcBorders>
            <w:tcMar>
              <w:top w:w="60" w:type="dxa"/>
              <w:left w:w="120" w:type="dxa"/>
              <w:bottom w:w="30" w:type="dxa"/>
              <w:right w:w="120" w:type="dxa"/>
            </w:tcMar>
          </w:tcPr>
          <w:p w14:paraId="2BD10584">
            <w:pPr>
              <w:widowControl/>
              <w:spacing w:line="240" w:lineRule="auto"/>
              <w:jc w:val="both"/>
              <w:rPr>
                <w:rFonts w:ascii="Times New Roman" w:hAnsi="Times New Roman"/>
                <w:kern w:val="0"/>
                <w:sz w:val="21"/>
                <w:szCs w:val="21"/>
              </w:rPr>
            </w:pPr>
            <w:r>
              <w:rPr>
                <w:rFonts w:ascii="Times New Roman" w:hAnsi="Times New Roman"/>
                <w:kern w:val="0"/>
                <w:sz w:val="21"/>
                <w:szCs w:val="21"/>
              </w:rPr>
              <w:t>文档</w:t>
            </w:r>
          </w:p>
        </w:tc>
        <w:tc>
          <w:tcPr>
            <w:tcW w:w="625" w:type="pct"/>
            <w:tcBorders>
              <w:tl2br w:val="nil"/>
              <w:tr2bl w:val="nil"/>
            </w:tcBorders>
            <w:tcMar>
              <w:top w:w="60" w:type="dxa"/>
              <w:left w:w="120" w:type="dxa"/>
              <w:bottom w:w="30" w:type="dxa"/>
              <w:right w:w="120" w:type="dxa"/>
            </w:tcMar>
          </w:tcPr>
          <w:p w14:paraId="0CCD5D84">
            <w:pPr>
              <w:widowControl/>
              <w:spacing w:line="240" w:lineRule="auto"/>
              <w:jc w:val="both"/>
              <w:rPr>
                <w:rFonts w:ascii="Times New Roman" w:hAnsi="Times New Roman"/>
                <w:kern w:val="0"/>
                <w:sz w:val="21"/>
                <w:szCs w:val="21"/>
              </w:rPr>
            </w:pPr>
            <w:r>
              <w:rPr>
                <w:rFonts w:ascii="Times New Roman" w:hAnsi="Times New Roman"/>
                <w:kern w:val="0"/>
                <w:sz w:val="21"/>
                <w:szCs w:val="21"/>
              </w:rPr>
              <w:t>PDF</w:t>
            </w:r>
          </w:p>
        </w:tc>
        <w:tc>
          <w:tcPr>
            <w:tcW w:w="625" w:type="pct"/>
            <w:tcBorders>
              <w:tl2br w:val="nil"/>
              <w:tr2bl w:val="nil"/>
            </w:tcBorders>
            <w:tcMar>
              <w:top w:w="60" w:type="dxa"/>
              <w:left w:w="120" w:type="dxa"/>
              <w:bottom w:w="30" w:type="dxa"/>
              <w:right w:w="120" w:type="dxa"/>
            </w:tcMar>
          </w:tcPr>
          <w:p w14:paraId="3D894C26">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受试者ID、病历号、诊疗日期、记录医师</w:t>
            </w:r>
          </w:p>
        </w:tc>
        <w:tc>
          <w:tcPr>
            <w:tcW w:w="625" w:type="pct"/>
            <w:tcBorders>
              <w:tl2br w:val="nil"/>
              <w:tr2bl w:val="nil"/>
            </w:tcBorders>
            <w:tcMar>
              <w:top w:w="60" w:type="dxa"/>
              <w:left w:w="120" w:type="dxa"/>
              <w:bottom w:w="30" w:type="dxa"/>
              <w:right w:w="120" w:type="dxa"/>
            </w:tcMar>
          </w:tcPr>
          <w:p w14:paraId="573B1450">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108717FC">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29AFC6A3">
            <w:pPr>
              <w:widowControl/>
              <w:spacing w:line="240" w:lineRule="auto"/>
              <w:jc w:val="both"/>
              <w:rPr>
                <w:rFonts w:ascii="Times New Roman" w:hAnsi="Times New Roman"/>
                <w:kern w:val="0"/>
                <w:sz w:val="21"/>
                <w:szCs w:val="21"/>
              </w:rPr>
            </w:pPr>
            <w:r>
              <w:rPr>
                <w:rFonts w:ascii="Times New Roman" w:hAnsi="Times New Roman"/>
                <w:kern w:val="0"/>
                <w:sz w:val="21"/>
                <w:szCs w:val="21"/>
              </w:rPr>
              <w:t>去标识化处理</w:t>
            </w:r>
          </w:p>
        </w:tc>
      </w:tr>
      <w:tr w14:paraId="59958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359A0234">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705366E5">
            <w:pPr>
              <w:widowControl/>
              <w:spacing w:line="240" w:lineRule="auto"/>
              <w:jc w:val="both"/>
              <w:rPr>
                <w:rFonts w:ascii="Times New Roman" w:hAnsi="Times New Roman"/>
                <w:kern w:val="0"/>
                <w:sz w:val="21"/>
                <w:szCs w:val="21"/>
              </w:rPr>
            </w:pPr>
            <w:r>
              <w:rPr>
                <w:rFonts w:ascii="Times New Roman" w:hAnsi="Times New Roman"/>
                <w:kern w:val="0"/>
                <w:sz w:val="21"/>
                <w:szCs w:val="21"/>
              </w:rPr>
              <w:t>不良事件报告</w:t>
            </w:r>
          </w:p>
        </w:tc>
        <w:tc>
          <w:tcPr>
            <w:tcW w:w="625" w:type="pct"/>
            <w:tcBorders>
              <w:tl2br w:val="nil"/>
              <w:tr2bl w:val="nil"/>
            </w:tcBorders>
            <w:tcMar>
              <w:top w:w="60" w:type="dxa"/>
              <w:left w:w="120" w:type="dxa"/>
              <w:bottom w:w="30" w:type="dxa"/>
              <w:right w:w="120" w:type="dxa"/>
            </w:tcMar>
          </w:tcPr>
          <w:p w14:paraId="4A9F4F82">
            <w:pPr>
              <w:widowControl/>
              <w:spacing w:line="240" w:lineRule="auto"/>
              <w:jc w:val="both"/>
              <w:rPr>
                <w:rFonts w:ascii="Times New Roman" w:hAnsi="Times New Roman"/>
                <w:kern w:val="0"/>
                <w:sz w:val="21"/>
                <w:szCs w:val="21"/>
              </w:rPr>
            </w:pPr>
            <w:r>
              <w:rPr>
                <w:rFonts w:ascii="Times New Roman" w:hAnsi="Times New Roman"/>
                <w:kern w:val="0"/>
                <w:sz w:val="21"/>
                <w:szCs w:val="21"/>
              </w:rPr>
              <w:t>文档/结构化数据</w:t>
            </w:r>
          </w:p>
        </w:tc>
        <w:tc>
          <w:tcPr>
            <w:tcW w:w="625" w:type="pct"/>
            <w:tcBorders>
              <w:tl2br w:val="nil"/>
              <w:tr2bl w:val="nil"/>
            </w:tcBorders>
            <w:tcMar>
              <w:top w:w="60" w:type="dxa"/>
              <w:left w:w="120" w:type="dxa"/>
              <w:bottom w:w="30" w:type="dxa"/>
              <w:right w:w="120" w:type="dxa"/>
            </w:tcMar>
          </w:tcPr>
          <w:p w14:paraId="5CBA12DB">
            <w:pPr>
              <w:widowControl/>
              <w:spacing w:line="240" w:lineRule="auto"/>
              <w:jc w:val="both"/>
              <w:rPr>
                <w:rFonts w:ascii="Times New Roman" w:hAnsi="Times New Roman"/>
                <w:kern w:val="0"/>
                <w:sz w:val="21"/>
                <w:szCs w:val="21"/>
              </w:rPr>
            </w:pPr>
            <w:r>
              <w:rPr>
                <w:rFonts w:ascii="Times New Roman" w:hAnsi="Times New Roman"/>
                <w:kern w:val="0"/>
                <w:sz w:val="21"/>
                <w:szCs w:val="21"/>
              </w:rPr>
              <w:t>PDF/Excel</w:t>
            </w:r>
          </w:p>
        </w:tc>
        <w:tc>
          <w:tcPr>
            <w:tcW w:w="625" w:type="pct"/>
            <w:tcBorders>
              <w:tl2br w:val="nil"/>
              <w:tr2bl w:val="nil"/>
            </w:tcBorders>
            <w:tcMar>
              <w:top w:w="60" w:type="dxa"/>
              <w:left w:w="120" w:type="dxa"/>
              <w:bottom w:w="30" w:type="dxa"/>
              <w:right w:w="120" w:type="dxa"/>
            </w:tcMar>
          </w:tcPr>
          <w:p w14:paraId="69723339">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受试者ID、事件编号、发生日期、报告人、处理结果</w:t>
            </w:r>
          </w:p>
        </w:tc>
        <w:tc>
          <w:tcPr>
            <w:tcW w:w="625" w:type="pct"/>
            <w:tcBorders>
              <w:tl2br w:val="nil"/>
              <w:tr2bl w:val="nil"/>
            </w:tcBorders>
            <w:tcMar>
              <w:top w:w="60" w:type="dxa"/>
              <w:left w:w="120" w:type="dxa"/>
              <w:bottom w:w="30" w:type="dxa"/>
              <w:right w:w="120" w:type="dxa"/>
            </w:tcMar>
          </w:tcPr>
          <w:p w14:paraId="5D23FF7A">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490CC921">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0A8CE0B7">
            <w:pPr>
              <w:widowControl/>
              <w:spacing w:line="240" w:lineRule="auto"/>
              <w:jc w:val="both"/>
              <w:rPr>
                <w:rFonts w:ascii="Times New Roman" w:hAnsi="Times New Roman"/>
                <w:kern w:val="0"/>
                <w:sz w:val="21"/>
                <w:szCs w:val="21"/>
              </w:rPr>
            </w:pPr>
            <w:r>
              <w:rPr>
                <w:rFonts w:ascii="Times New Roman" w:hAnsi="Times New Roman"/>
                <w:kern w:val="0"/>
                <w:sz w:val="21"/>
                <w:szCs w:val="21"/>
              </w:rPr>
              <w:t>-</w:t>
            </w:r>
          </w:p>
        </w:tc>
      </w:tr>
      <w:tr w14:paraId="5B03E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restart"/>
            <w:tcBorders>
              <w:tl2br w:val="nil"/>
              <w:tr2bl w:val="nil"/>
            </w:tcBorders>
            <w:tcMar>
              <w:top w:w="60" w:type="dxa"/>
              <w:left w:w="120" w:type="dxa"/>
              <w:bottom w:w="30" w:type="dxa"/>
              <w:right w:w="120" w:type="dxa"/>
            </w:tcMar>
          </w:tcPr>
          <w:p w14:paraId="590CB825">
            <w:pPr>
              <w:widowControl/>
              <w:spacing w:line="240" w:lineRule="auto"/>
              <w:jc w:val="both"/>
              <w:rPr>
                <w:rFonts w:ascii="Times New Roman" w:hAnsi="Times New Roman"/>
                <w:kern w:val="0"/>
                <w:sz w:val="21"/>
                <w:szCs w:val="21"/>
              </w:rPr>
            </w:pPr>
            <w:r>
              <w:rPr>
                <w:rFonts w:ascii="Times New Roman" w:hAnsi="Times New Roman"/>
                <w:kern w:val="0"/>
                <w:sz w:val="21"/>
                <w:szCs w:val="21"/>
              </w:rPr>
              <w:t>影像类数据</w:t>
            </w:r>
          </w:p>
        </w:tc>
        <w:tc>
          <w:tcPr>
            <w:tcW w:w="625" w:type="pct"/>
            <w:tcBorders>
              <w:tl2br w:val="nil"/>
              <w:tr2bl w:val="nil"/>
            </w:tcBorders>
            <w:tcMar>
              <w:top w:w="60" w:type="dxa"/>
              <w:left w:w="120" w:type="dxa"/>
              <w:bottom w:w="30" w:type="dxa"/>
              <w:right w:w="120" w:type="dxa"/>
            </w:tcMar>
          </w:tcPr>
          <w:p w14:paraId="58015ABA">
            <w:pPr>
              <w:widowControl/>
              <w:spacing w:line="240" w:lineRule="auto"/>
              <w:jc w:val="both"/>
              <w:rPr>
                <w:rFonts w:ascii="Times New Roman" w:hAnsi="Times New Roman"/>
                <w:kern w:val="0"/>
                <w:sz w:val="21"/>
                <w:szCs w:val="21"/>
              </w:rPr>
            </w:pPr>
            <w:r>
              <w:rPr>
                <w:rFonts w:ascii="Times New Roman" w:hAnsi="Times New Roman"/>
                <w:kern w:val="0"/>
                <w:sz w:val="21"/>
                <w:szCs w:val="21"/>
              </w:rPr>
              <w:t>CT影像</w:t>
            </w:r>
          </w:p>
        </w:tc>
        <w:tc>
          <w:tcPr>
            <w:tcW w:w="625" w:type="pct"/>
            <w:tcBorders>
              <w:tl2br w:val="nil"/>
              <w:tr2bl w:val="nil"/>
            </w:tcBorders>
            <w:tcMar>
              <w:top w:w="60" w:type="dxa"/>
              <w:left w:w="120" w:type="dxa"/>
              <w:bottom w:w="30" w:type="dxa"/>
              <w:right w:w="120" w:type="dxa"/>
            </w:tcMar>
          </w:tcPr>
          <w:p w14:paraId="47027201">
            <w:pPr>
              <w:widowControl/>
              <w:spacing w:line="240" w:lineRule="auto"/>
              <w:jc w:val="both"/>
              <w:rPr>
                <w:rFonts w:ascii="Times New Roman" w:hAnsi="Times New Roman"/>
                <w:kern w:val="0"/>
                <w:sz w:val="21"/>
                <w:szCs w:val="21"/>
              </w:rPr>
            </w:pPr>
            <w:r>
              <w:rPr>
                <w:rFonts w:ascii="Times New Roman" w:hAnsi="Times New Roman"/>
                <w:kern w:val="0"/>
                <w:sz w:val="21"/>
                <w:szCs w:val="21"/>
              </w:rPr>
              <w:t>影像</w:t>
            </w:r>
          </w:p>
        </w:tc>
        <w:tc>
          <w:tcPr>
            <w:tcW w:w="625" w:type="pct"/>
            <w:tcBorders>
              <w:tl2br w:val="nil"/>
              <w:tr2bl w:val="nil"/>
            </w:tcBorders>
            <w:tcMar>
              <w:top w:w="60" w:type="dxa"/>
              <w:left w:w="120" w:type="dxa"/>
              <w:bottom w:w="30" w:type="dxa"/>
              <w:right w:w="120" w:type="dxa"/>
            </w:tcMar>
          </w:tcPr>
          <w:p w14:paraId="43DC6170">
            <w:pPr>
              <w:widowControl/>
              <w:spacing w:line="240" w:lineRule="auto"/>
              <w:jc w:val="both"/>
              <w:rPr>
                <w:rFonts w:ascii="Times New Roman" w:hAnsi="Times New Roman"/>
                <w:kern w:val="0"/>
                <w:sz w:val="21"/>
                <w:szCs w:val="21"/>
              </w:rPr>
            </w:pPr>
            <w:r>
              <w:rPr>
                <w:rFonts w:ascii="Times New Roman" w:hAnsi="Times New Roman"/>
                <w:kern w:val="0"/>
                <w:sz w:val="21"/>
                <w:szCs w:val="21"/>
              </w:rPr>
              <w:t>DICOM</w:t>
            </w:r>
          </w:p>
        </w:tc>
        <w:tc>
          <w:tcPr>
            <w:tcW w:w="625" w:type="pct"/>
            <w:tcBorders>
              <w:tl2br w:val="nil"/>
              <w:tr2bl w:val="nil"/>
            </w:tcBorders>
            <w:tcMar>
              <w:top w:w="60" w:type="dxa"/>
              <w:left w:w="120" w:type="dxa"/>
              <w:bottom w:w="30" w:type="dxa"/>
              <w:right w:w="120" w:type="dxa"/>
            </w:tcMar>
          </w:tcPr>
          <w:p w14:paraId="7892CDB1">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受试者ID、检查编号、检查日期、设备型号、拍摄部位</w:t>
            </w:r>
          </w:p>
        </w:tc>
        <w:tc>
          <w:tcPr>
            <w:tcW w:w="625" w:type="pct"/>
            <w:tcBorders>
              <w:tl2br w:val="nil"/>
              <w:tr2bl w:val="nil"/>
            </w:tcBorders>
            <w:tcMar>
              <w:top w:w="60" w:type="dxa"/>
              <w:left w:w="120" w:type="dxa"/>
              <w:bottom w:w="30" w:type="dxa"/>
              <w:right w:w="120" w:type="dxa"/>
            </w:tcMar>
          </w:tcPr>
          <w:p w14:paraId="32E9EE7F">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536F46E4">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6EFF80FA">
            <w:pPr>
              <w:widowControl/>
              <w:spacing w:line="240" w:lineRule="auto"/>
              <w:jc w:val="both"/>
              <w:rPr>
                <w:rFonts w:ascii="Times New Roman" w:hAnsi="Times New Roman"/>
                <w:kern w:val="0"/>
                <w:sz w:val="21"/>
                <w:szCs w:val="21"/>
              </w:rPr>
            </w:pPr>
            <w:r>
              <w:rPr>
                <w:rFonts w:ascii="Times New Roman" w:hAnsi="Times New Roman"/>
                <w:kern w:val="0"/>
                <w:sz w:val="21"/>
                <w:szCs w:val="21"/>
              </w:rPr>
              <w:t>含影像报告</w:t>
            </w:r>
          </w:p>
        </w:tc>
      </w:tr>
      <w:tr w14:paraId="0775F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3F2BD554">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0FA3C78B">
            <w:pPr>
              <w:widowControl/>
              <w:spacing w:line="240" w:lineRule="auto"/>
              <w:jc w:val="both"/>
              <w:rPr>
                <w:rFonts w:ascii="Times New Roman" w:hAnsi="Times New Roman"/>
                <w:kern w:val="0"/>
                <w:sz w:val="21"/>
                <w:szCs w:val="21"/>
              </w:rPr>
            </w:pPr>
            <w:r>
              <w:rPr>
                <w:rFonts w:ascii="Times New Roman" w:hAnsi="Times New Roman"/>
                <w:kern w:val="0"/>
                <w:sz w:val="21"/>
                <w:szCs w:val="21"/>
              </w:rPr>
              <w:t>MRI影像</w:t>
            </w:r>
          </w:p>
        </w:tc>
        <w:tc>
          <w:tcPr>
            <w:tcW w:w="625" w:type="pct"/>
            <w:tcBorders>
              <w:tl2br w:val="nil"/>
              <w:tr2bl w:val="nil"/>
            </w:tcBorders>
            <w:tcMar>
              <w:top w:w="60" w:type="dxa"/>
              <w:left w:w="120" w:type="dxa"/>
              <w:bottom w:w="30" w:type="dxa"/>
              <w:right w:w="120" w:type="dxa"/>
            </w:tcMar>
          </w:tcPr>
          <w:p w14:paraId="192AD2AD">
            <w:pPr>
              <w:widowControl/>
              <w:spacing w:line="240" w:lineRule="auto"/>
              <w:jc w:val="both"/>
              <w:rPr>
                <w:rFonts w:ascii="Times New Roman" w:hAnsi="Times New Roman"/>
                <w:kern w:val="0"/>
                <w:sz w:val="21"/>
                <w:szCs w:val="21"/>
              </w:rPr>
            </w:pPr>
            <w:r>
              <w:rPr>
                <w:rFonts w:ascii="Times New Roman" w:hAnsi="Times New Roman"/>
                <w:kern w:val="0"/>
                <w:sz w:val="21"/>
                <w:szCs w:val="21"/>
              </w:rPr>
              <w:t>影像</w:t>
            </w:r>
          </w:p>
        </w:tc>
        <w:tc>
          <w:tcPr>
            <w:tcW w:w="625" w:type="pct"/>
            <w:tcBorders>
              <w:tl2br w:val="nil"/>
              <w:tr2bl w:val="nil"/>
            </w:tcBorders>
            <w:tcMar>
              <w:top w:w="60" w:type="dxa"/>
              <w:left w:w="120" w:type="dxa"/>
              <w:bottom w:w="30" w:type="dxa"/>
              <w:right w:w="120" w:type="dxa"/>
            </w:tcMar>
          </w:tcPr>
          <w:p w14:paraId="1AE0ECA6">
            <w:pPr>
              <w:widowControl/>
              <w:spacing w:line="240" w:lineRule="auto"/>
              <w:jc w:val="both"/>
              <w:rPr>
                <w:rFonts w:ascii="Times New Roman" w:hAnsi="Times New Roman"/>
                <w:kern w:val="0"/>
                <w:sz w:val="21"/>
                <w:szCs w:val="21"/>
              </w:rPr>
            </w:pPr>
            <w:r>
              <w:rPr>
                <w:rFonts w:ascii="Times New Roman" w:hAnsi="Times New Roman"/>
                <w:kern w:val="0"/>
                <w:sz w:val="21"/>
                <w:szCs w:val="21"/>
              </w:rPr>
              <w:t>DICOM</w:t>
            </w:r>
          </w:p>
        </w:tc>
        <w:tc>
          <w:tcPr>
            <w:tcW w:w="625" w:type="pct"/>
            <w:tcBorders>
              <w:tl2br w:val="nil"/>
              <w:tr2bl w:val="nil"/>
            </w:tcBorders>
            <w:tcMar>
              <w:top w:w="60" w:type="dxa"/>
              <w:left w:w="120" w:type="dxa"/>
              <w:bottom w:w="30" w:type="dxa"/>
              <w:right w:w="120" w:type="dxa"/>
            </w:tcMar>
          </w:tcPr>
          <w:p w14:paraId="41E35FD1">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受试者ID、检查编号、检查日期、设备型号、拍摄部位</w:t>
            </w:r>
          </w:p>
        </w:tc>
        <w:tc>
          <w:tcPr>
            <w:tcW w:w="625" w:type="pct"/>
            <w:tcBorders>
              <w:tl2br w:val="nil"/>
              <w:tr2bl w:val="nil"/>
            </w:tcBorders>
            <w:tcMar>
              <w:top w:w="60" w:type="dxa"/>
              <w:left w:w="120" w:type="dxa"/>
              <w:bottom w:w="30" w:type="dxa"/>
              <w:right w:w="120" w:type="dxa"/>
            </w:tcMar>
          </w:tcPr>
          <w:p w14:paraId="4ADFA1A7">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00495D83">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199515E7">
            <w:pPr>
              <w:widowControl/>
              <w:spacing w:line="240" w:lineRule="auto"/>
              <w:jc w:val="both"/>
              <w:rPr>
                <w:rFonts w:ascii="Times New Roman" w:hAnsi="Times New Roman"/>
                <w:kern w:val="0"/>
                <w:sz w:val="21"/>
                <w:szCs w:val="21"/>
              </w:rPr>
            </w:pPr>
            <w:r>
              <w:rPr>
                <w:rFonts w:ascii="Times New Roman" w:hAnsi="Times New Roman"/>
                <w:kern w:val="0"/>
                <w:sz w:val="21"/>
                <w:szCs w:val="21"/>
              </w:rPr>
              <w:t>含影像报告</w:t>
            </w:r>
          </w:p>
        </w:tc>
      </w:tr>
      <w:tr w14:paraId="54EC2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52CFAD82">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04402309">
            <w:pPr>
              <w:widowControl/>
              <w:spacing w:line="240" w:lineRule="auto"/>
              <w:jc w:val="both"/>
              <w:rPr>
                <w:rFonts w:ascii="Times New Roman" w:hAnsi="Times New Roman"/>
                <w:kern w:val="0"/>
                <w:sz w:val="21"/>
                <w:szCs w:val="21"/>
              </w:rPr>
            </w:pPr>
            <w:r>
              <w:rPr>
                <w:rFonts w:ascii="Times New Roman" w:hAnsi="Times New Roman"/>
                <w:kern w:val="0"/>
                <w:sz w:val="21"/>
                <w:szCs w:val="21"/>
              </w:rPr>
              <w:t>超声影像</w:t>
            </w:r>
          </w:p>
        </w:tc>
        <w:tc>
          <w:tcPr>
            <w:tcW w:w="625" w:type="pct"/>
            <w:tcBorders>
              <w:tl2br w:val="nil"/>
              <w:tr2bl w:val="nil"/>
            </w:tcBorders>
            <w:tcMar>
              <w:top w:w="60" w:type="dxa"/>
              <w:left w:w="120" w:type="dxa"/>
              <w:bottom w:w="30" w:type="dxa"/>
              <w:right w:w="120" w:type="dxa"/>
            </w:tcMar>
          </w:tcPr>
          <w:p w14:paraId="2B8CCEE9">
            <w:pPr>
              <w:widowControl/>
              <w:spacing w:line="240" w:lineRule="auto"/>
              <w:jc w:val="both"/>
              <w:rPr>
                <w:rFonts w:ascii="Times New Roman" w:hAnsi="Times New Roman"/>
                <w:kern w:val="0"/>
                <w:sz w:val="21"/>
                <w:szCs w:val="21"/>
              </w:rPr>
            </w:pPr>
            <w:r>
              <w:rPr>
                <w:rFonts w:ascii="Times New Roman" w:hAnsi="Times New Roman"/>
                <w:kern w:val="0"/>
                <w:sz w:val="21"/>
                <w:szCs w:val="21"/>
              </w:rPr>
              <w:t>影像</w:t>
            </w:r>
          </w:p>
        </w:tc>
        <w:tc>
          <w:tcPr>
            <w:tcW w:w="625" w:type="pct"/>
            <w:tcBorders>
              <w:tl2br w:val="nil"/>
              <w:tr2bl w:val="nil"/>
            </w:tcBorders>
            <w:tcMar>
              <w:top w:w="60" w:type="dxa"/>
              <w:left w:w="120" w:type="dxa"/>
              <w:bottom w:w="30" w:type="dxa"/>
              <w:right w:w="120" w:type="dxa"/>
            </w:tcMar>
          </w:tcPr>
          <w:p w14:paraId="53EA94CA">
            <w:pPr>
              <w:widowControl/>
              <w:spacing w:line="240" w:lineRule="auto"/>
              <w:jc w:val="both"/>
              <w:rPr>
                <w:rFonts w:ascii="Times New Roman" w:hAnsi="Times New Roman"/>
                <w:kern w:val="0"/>
                <w:sz w:val="21"/>
                <w:szCs w:val="21"/>
              </w:rPr>
            </w:pPr>
            <w:r>
              <w:rPr>
                <w:rFonts w:ascii="Times New Roman" w:hAnsi="Times New Roman"/>
                <w:kern w:val="0"/>
                <w:sz w:val="21"/>
                <w:szCs w:val="21"/>
              </w:rPr>
              <w:t>DICOM/JPG</w:t>
            </w:r>
          </w:p>
        </w:tc>
        <w:tc>
          <w:tcPr>
            <w:tcW w:w="625" w:type="pct"/>
            <w:tcBorders>
              <w:tl2br w:val="nil"/>
              <w:tr2bl w:val="nil"/>
            </w:tcBorders>
            <w:tcMar>
              <w:top w:w="60" w:type="dxa"/>
              <w:left w:w="120" w:type="dxa"/>
              <w:bottom w:w="30" w:type="dxa"/>
              <w:right w:w="120" w:type="dxa"/>
            </w:tcMar>
          </w:tcPr>
          <w:p w14:paraId="695AE28C">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受试者ID、检查编号、检查日期、设备型号、检查部位</w:t>
            </w:r>
          </w:p>
        </w:tc>
        <w:tc>
          <w:tcPr>
            <w:tcW w:w="625" w:type="pct"/>
            <w:tcBorders>
              <w:tl2br w:val="nil"/>
              <w:tr2bl w:val="nil"/>
            </w:tcBorders>
            <w:tcMar>
              <w:top w:w="60" w:type="dxa"/>
              <w:left w:w="120" w:type="dxa"/>
              <w:bottom w:w="30" w:type="dxa"/>
              <w:right w:w="120" w:type="dxa"/>
            </w:tcMar>
          </w:tcPr>
          <w:p w14:paraId="5EB1F48B">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6BFF509C">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3CC461E4">
            <w:pPr>
              <w:widowControl/>
              <w:spacing w:line="240" w:lineRule="auto"/>
              <w:jc w:val="both"/>
              <w:rPr>
                <w:rFonts w:ascii="Times New Roman" w:hAnsi="Times New Roman"/>
                <w:kern w:val="0"/>
                <w:sz w:val="21"/>
                <w:szCs w:val="21"/>
              </w:rPr>
            </w:pPr>
            <w:r>
              <w:rPr>
                <w:rFonts w:ascii="Times New Roman" w:hAnsi="Times New Roman"/>
                <w:kern w:val="0"/>
                <w:sz w:val="21"/>
                <w:szCs w:val="21"/>
              </w:rPr>
              <w:t>-</w:t>
            </w:r>
          </w:p>
        </w:tc>
      </w:tr>
      <w:tr w14:paraId="5DF78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625" w:type="pct"/>
            <w:vMerge w:val="continue"/>
            <w:tcBorders>
              <w:tl2br w:val="nil"/>
              <w:tr2bl w:val="nil"/>
            </w:tcBorders>
            <w:tcMar>
              <w:top w:w="60" w:type="dxa"/>
              <w:left w:w="120" w:type="dxa"/>
              <w:bottom w:w="30" w:type="dxa"/>
              <w:right w:w="120" w:type="dxa"/>
            </w:tcMar>
          </w:tcPr>
          <w:p w14:paraId="0386B27E">
            <w:pPr>
              <w:widowControl/>
              <w:spacing w:line="240" w:lineRule="auto"/>
              <w:jc w:val="both"/>
              <w:rPr>
                <w:rFonts w:ascii="Times New Roman" w:hAnsi="Times New Roman"/>
                <w:kern w:val="0"/>
                <w:sz w:val="21"/>
                <w:szCs w:val="21"/>
              </w:rPr>
            </w:pPr>
          </w:p>
        </w:tc>
        <w:tc>
          <w:tcPr>
            <w:tcW w:w="625" w:type="pct"/>
            <w:tcBorders>
              <w:tl2br w:val="nil"/>
              <w:tr2bl w:val="nil"/>
            </w:tcBorders>
            <w:tcMar>
              <w:top w:w="60" w:type="dxa"/>
              <w:left w:w="120" w:type="dxa"/>
              <w:bottom w:w="30" w:type="dxa"/>
              <w:right w:w="120" w:type="dxa"/>
            </w:tcMar>
          </w:tcPr>
          <w:p w14:paraId="617A3150">
            <w:pPr>
              <w:widowControl/>
              <w:spacing w:line="240" w:lineRule="auto"/>
              <w:jc w:val="both"/>
              <w:rPr>
                <w:rFonts w:ascii="Times New Roman" w:hAnsi="Times New Roman"/>
                <w:kern w:val="0"/>
                <w:sz w:val="21"/>
                <w:szCs w:val="21"/>
              </w:rPr>
            </w:pPr>
            <w:r>
              <w:rPr>
                <w:rFonts w:ascii="Times New Roman" w:hAnsi="Times New Roman"/>
                <w:kern w:val="0"/>
                <w:sz w:val="21"/>
                <w:szCs w:val="21"/>
              </w:rPr>
              <w:t>病理切片影像</w:t>
            </w:r>
          </w:p>
        </w:tc>
        <w:tc>
          <w:tcPr>
            <w:tcW w:w="625" w:type="pct"/>
            <w:tcBorders>
              <w:tl2br w:val="nil"/>
              <w:tr2bl w:val="nil"/>
            </w:tcBorders>
            <w:tcMar>
              <w:top w:w="60" w:type="dxa"/>
              <w:left w:w="120" w:type="dxa"/>
              <w:bottom w:w="30" w:type="dxa"/>
              <w:right w:w="120" w:type="dxa"/>
            </w:tcMar>
          </w:tcPr>
          <w:p w14:paraId="27C2A3FA">
            <w:pPr>
              <w:widowControl/>
              <w:spacing w:line="240" w:lineRule="auto"/>
              <w:jc w:val="both"/>
              <w:rPr>
                <w:rFonts w:ascii="Times New Roman" w:hAnsi="Times New Roman"/>
                <w:kern w:val="0"/>
                <w:sz w:val="21"/>
                <w:szCs w:val="21"/>
              </w:rPr>
            </w:pPr>
            <w:r>
              <w:rPr>
                <w:rFonts w:ascii="Times New Roman" w:hAnsi="Times New Roman"/>
                <w:kern w:val="0"/>
                <w:sz w:val="21"/>
                <w:szCs w:val="21"/>
              </w:rPr>
              <w:t>影像</w:t>
            </w:r>
          </w:p>
        </w:tc>
        <w:tc>
          <w:tcPr>
            <w:tcW w:w="625" w:type="pct"/>
            <w:tcBorders>
              <w:tl2br w:val="nil"/>
              <w:tr2bl w:val="nil"/>
            </w:tcBorders>
            <w:tcMar>
              <w:top w:w="60" w:type="dxa"/>
              <w:left w:w="120" w:type="dxa"/>
              <w:bottom w:w="30" w:type="dxa"/>
              <w:right w:w="120" w:type="dxa"/>
            </w:tcMar>
          </w:tcPr>
          <w:p w14:paraId="71198675">
            <w:pPr>
              <w:widowControl/>
              <w:spacing w:line="240" w:lineRule="auto"/>
              <w:jc w:val="both"/>
              <w:rPr>
                <w:rFonts w:ascii="Times New Roman" w:hAnsi="Times New Roman"/>
                <w:kern w:val="0"/>
                <w:sz w:val="21"/>
                <w:szCs w:val="21"/>
              </w:rPr>
            </w:pPr>
            <w:r>
              <w:rPr>
                <w:rFonts w:ascii="Times New Roman" w:hAnsi="Times New Roman"/>
                <w:kern w:val="0"/>
                <w:sz w:val="21"/>
                <w:szCs w:val="21"/>
              </w:rPr>
              <w:t>DICOM</w:t>
            </w:r>
          </w:p>
        </w:tc>
        <w:tc>
          <w:tcPr>
            <w:tcW w:w="625" w:type="pct"/>
            <w:tcBorders>
              <w:tl2br w:val="nil"/>
              <w:tr2bl w:val="nil"/>
            </w:tcBorders>
            <w:tcMar>
              <w:top w:w="60" w:type="dxa"/>
              <w:left w:w="120" w:type="dxa"/>
              <w:bottom w:w="30" w:type="dxa"/>
              <w:right w:w="120" w:type="dxa"/>
            </w:tcMar>
          </w:tcPr>
          <w:p w14:paraId="7B483222">
            <w:pPr>
              <w:widowControl/>
              <w:spacing w:line="240" w:lineRule="auto"/>
              <w:jc w:val="both"/>
              <w:rPr>
                <w:rFonts w:ascii="Times New Roman" w:hAnsi="Times New Roman"/>
                <w:kern w:val="0"/>
                <w:sz w:val="21"/>
                <w:szCs w:val="21"/>
              </w:rPr>
            </w:pPr>
            <w:r>
              <w:rPr>
                <w:rFonts w:ascii="Times New Roman" w:hAnsi="Times New Roman"/>
                <w:kern w:val="0"/>
                <w:sz w:val="21"/>
                <w:szCs w:val="21"/>
              </w:rPr>
              <w:t>受试者ID、切片编号、检查日期、病理医师</w:t>
            </w:r>
          </w:p>
        </w:tc>
        <w:tc>
          <w:tcPr>
            <w:tcW w:w="625" w:type="pct"/>
            <w:tcBorders>
              <w:tl2br w:val="nil"/>
              <w:tr2bl w:val="nil"/>
            </w:tcBorders>
            <w:tcMar>
              <w:top w:w="60" w:type="dxa"/>
              <w:left w:w="120" w:type="dxa"/>
              <w:bottom w:w="30" w:type="dxa"/>
              <w:right w:w="120" w:type="dxa"/>
            </w:tcMar>
          </w:tcPr>
          <w:p w14:paraId="1BB83778">
            <w:pPr>
              <w:widowControl/>
              <w:spacing w:line="240" w:lineRule="auto"/>
              <w:jc w:val="both"/>
              <w:rPr>
                <w:rFonts w:ascii="Times New Roman" w:hAnsi="Times New Roman"/>
                <w:kern w:val="0"/>
                <w:sz w:val="21"/>
                <w:szCs w:val="21"/>
              </w:rPr>
            </w:pPr>
            <w:r>
              <w:rPr>
                <w:rFonts w:ascii="Times New Roman" w:hAnsi="Times New Roman"/>
                <w:kern w:val="0"/>
                <w:sz w:val="21"/>
                <w:szCs w:val="21"/>
              </w:rPr>
              <w:t>按6.3.2执行</w:t>
            </w:r>
          </w:p>
        </w:tc>
        <w:tc>
          <w:tcPr>
            <w:tcW w:w="625" w:type="pct"/>
            <w:tcBorders>
              <w:tl2br w:val="nil"/>
              <w:tr2bl w:val="nil"/>
            </w:tcBorders>
            <w:tcMar>
              <w:top w:w="60" w:type="dxa"/>
              <w:left w:w="120" w:type="dxa"/>
              <w:bottom w:w="30" w:type="dxa"/>
              <w:right w:w="120" w:type="dxa"/>
            </w:tcMar>
          </w:tcPr>
          <w:p w14:paraId="0534A67A">
            <w:pPr>
              <w:widowControl/>
              <w:spacing w:line="240" w:lineRule="auto"/>
              <w:jc w:val="both"/>
              <w:rPr>
                <w:rFonts w:ascii="Times New Roman" w:hAnsi="Times New Roman"/>
                <w:kern w:val="0"/>
                <w:sz w:val="21"/>
                <w:szCs w:val="21"/>
              </w:rPr>
            </w:pPr>
            <w:r>
              <w:rPr>
                <w:rFonts w:ascii="Times New Roman" w:hAnsi="Times New Roman"/>
                <w:kern w:val="0"/>
                <w:sz w:val="21"/>
                <w:szCs w:val="21"/>
              </w:rPr>
              <w:t>强加密</w:t>
            </w:r>
          </w:p>
        </w:tc>
        <w:tc>
          <w:tcPr>
            <w:tcW w:w="625" w:type="pct"/>
            <w:tcBorders>
              <w:tl2br w:val="nil"/>
              <w:tr2bl w:val="nil"/>
            </w:tcBorders>
            <w:tcMar>
              <w:top w:w="60" w:type="dxa"/>
              <w:left w:w="120" w:type="dxa"/>
              <w:bottom w:w="30" w:type="dxa"/>
              <w:right w:w="120" w:type="dxa"/>
            </w:tcMar>
          </w:tcPr>
          <w:p w14:paraId="4FE34C6B">
            <w:pPr>
              <w:widowControl/>
              <w:spacing w:line="240" w:lineRule="auto"/>
              <w:jc w:val="both"/>
              <w:rPr>
                <w:rFonts w:ascii="Times New Roman" w:hAnsi="Times New Roman"/>
                <w:kern w:val="0"/>
                <w:sz w:val="21"/>
                <w:szCs w:val="21"/>
              </w:rPr>
            </w:pPr>
            <w:r>
              <w:rPr>
                <w:rFonts w:ascii="Times New Roman" w:hAnsi="Times New Roman"/>
                <w:kern w:val="0"/>
                <w:sz w:val="21"/>
                <w:szCs w:val="21"/>
              </w:rPr>
              <w:t>含病理诊断报告</w:t>
            </w:r>
          </w:p>
        </w:tc>
      </w:tr>
    </w:tbl>
    <w:p w14:paraId="5BE9385B">
      <w:pPr>
        <w:pStyle w:val="79"/>
        <w:numPr>
          <w:ilvl w:val="0"/>
          <w:numId w:val="0"/>
        </w:numPr>
        <w:spacing w:before="0" w:after="0" w:afterLines="0"/>
        <w:jc w:val="both"/>
        <w:outlineLvl w:val="9"/>
      </w:pPr>
      <w:bookmarkStart w:id="144" w:name="_Toc24582"/>
      <w:bookmarkStart w:id="145" w:name="heading_50"/>
      <w:r>
        <w:br w:type="page"/>
      </w:r>
    </w:p>
    <w:p w14:paraId="3C361CFA">
      <w:pPr>
        <w:pStyle w:val="79"/>
        <w:spacing w:before="0" w:after="0" w:afterLines="0"/>
      </w:pPr>
      <w:bookmarkStart w:id="146" w:name="_Toc228523225"/>
      <w:bookmarkEnd w:id="146"/>
    </w:p>
    <w:p w14:paraId="111F31EF">
      <w:pPr>
        <w:pStyle w:val="79"/>
        <w:numPr>
          <w:ilvl w:val="0"/>
          <w:numId w:val="0"/>
        </w:numPr>
        <w:spacing w:before="0" w:after="0" w:afterLines="0"/>
        <w:jc w:val="center"/>
      </w:pPr>
      <w:bookmarkStart w:id="147" w:name="_Toc228523226"/>
      <w:r>
        <w:rPr>
          <w:rFonts w:hint="eastAsia"/>
        </w:rPr>
        <w:t>（资料性）</w:t>
      </w:r>
      <w:bookmarkEnd w:id="147"/>
    </w:p>
    <w:p w14:paraId="7B999437">
      <w:pPr>
        <w:pStyle w:val="79"/>
        <w:numPr>
          <w:ilvl w:val="0"/>
          <w:numId w:val="0"/>
        </w:numPr>
        <w:spacing w:before="0" w:after="0" w:afterLines="0"/>
      </w:pPr>
      <w:bookmarkStart w:id="148" w:name="_Toc228523227"/>
      <w:r>
        <w:rPr>
          <w:rFonts w:hint="eastAsia"/>
        </w:rPr>
        <w:t>临床研究数据存储审计日志核心要素模板</w:t>
      </w:r>
      <w:bookmarkEnd w:id="144"/>
      <w:bookmarkEnd w:id="145"/>
      <w:bookmarkEnd w:id="148"/>
    </w:p>
    <w:p w14:paraId="6A57E84E">
      <w:pPr>
        <w:pStyle w:val="59"/>
        <w:ind w:firstLine="0" w:firstLineChars="0"/>
        <w:rPr>
          <w:rFonts w:hint="eastAsia"/>
        </w:rPr>
      </w:pPr>
    </w:p>
    <w:tbl>
      <w:tblPr>
        <w:tblStyle w:val="28"/>
        <w:tblW w:w="5000" w:type="pct"/>
        <w:tblInd w:w="0" w:type="dxa"/>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Layout w:type="autofit"/>
        <w:tblCellMar>
          <w:top w:w="0" w:type="dxa"/>
          <w:left w:w="10" w:type="dxa"/>
          <w:bottom w:w="0" w:type="dxa"/>
          <w:right w:w="10" w:type="dxa"/>
        </w:tblCellMar>
      </w:tblPr>
      <w:tblGrid>
        <w:gridCol w:w="1563"/>
        <w:gridCol w:w="1664"/>
        <w:gridCol w:w="1564"/>
        <w:gridCol w:w="1564"/>
        <w:gridCol w:w="1564"/>
        <w:gridCol w:w="1675"/>
      </w:tblGrid>
      <w:tr w14:paraId="4ABA553C">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4DD803AE">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字段名称</w:t>
            </w:r>
          </w:p>
        </w:tc>
        <w:tc>
          <w:tcPr>
            <w:tcW w:w="833" w:type="pct"/>
            <w:tcBorders>
              <w:tl2br w:val="nil"/>
              <w:tr2bl w:val="nil"/>
            </w:tcBorders>
            <w:tcMar>
              <w:top w:w="60" w:type="dxa"/>
              <w:left w:w="120" w:type="dxa"/>
              <w:bottom w:w="30" w:type="dxa"/>
              <w:right w:w="120" w:type="dxa"/>
            </w:tcMar>
          </w:tcPr>
          <w:p w14:paraId="7312143B">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字段规范</w:t>
            </w:r>
          </w:p>
        </w:tc>
        <w:tc>
          <w:tcPr>
            <w:tcW w:w="833" w:type="pct"/>
            <w:tcBorders>
              <w:tl2br w:val="nil"/>
              <w:tr2bl w:val="nil"/>
            </w:tcBorders>
            <w:tcMar>
              <w:top w:w="60" w:type="dxa"/>
              <w:left w:w="120" w:type="dxa"/>
              <w:bottom w:w="30" w:type="dxa"/>
              <w:right w:w="120" w:type="dxa"/>
            </w:tcMar>
          </w:tcPr>
          <w:p w14:paraId="179F1C77">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数据类型</w:t>
            </w:r>
          </w:p>
        </w:tc>
        <w:tc>
          <w:tcPr>
            <w:tcW w:w="833" w:type="pct"/>
            <w:tcBorders>
              <w:tl2br w:val="nil"/>
              <w:tr2bl w:val="nil"/>
            </w:tcBorders>
            <w:tcMar>
              <w:top w:w="60" w:type="dxa"/>
              <w:left w:w="120" w:type="dxa"/>
              <w:bottom w:w="30" w:type="dxa"/>
              <w:right w:w="120" w:type="dxa"/>
            </w:tcMar>
          </w:tcPr>
          <w:p w14:paraId="4E13AC9D">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填写要求</w:t>
            </w:r>
          </w:p>
        </w:tc>
        <w:tc>
          <w:tcPr>
            <w:tcW w:w="833" w:type="pct"/>
            <w:tcBorders>
              <w:tl2br w:val="nil"/>
              <w:tr2bl w:val="nil"/>
            </w:tcBorders>
            <w:tcMar>
              <w:top w:w="60" w:type="dxa"/>
              <w:left w:w="120" w:type="dxa"/>
              <w:bottom w:w="30" w:type="dxa"/>
              <w:right w:w="120" w:type="dxa"/>
            </w:tcMar>
          </w:tcPr>
          <w:p w14:paraId="63D1E364">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是否必填</w:t>
            </w:r>
          </w:p>
        </w:tc>
        <w:tc>
          <w:tcPr>
            <w:tcW w:w="833" w:type="pct"/>
            <w:tcBorders>
              <w:tl2br w:val="nil"/>
              <w:tr2bl w:val="nil"/>
            </w:tcBorders>
            <w:tcMar>
              <w:top w:w="60" w:type="dxa"/>
              <w:left w:w="120" w:type="dxa"/>
              <w:bottom w:w="30" w:type="dxa"/>
              <w:right w:w="120" w:type="dxa"/>
            </w:tcMar>
          </w:tcPr>
          <w:p w14:paraId="060D63CD">
            <w:pPr>
              <w:widowControl/>
              <w:spacing w:line="240" w:lineRule="auto"/>
              <w:jc w:val="both"/>
              <w:rPr>
                <w:rFonts w:ascii="Times New Roman" w:hAnsi="Times New Roman"/>
                <w:b/>
                <w:bCs/>
                <w:kern w:val="0"/>
                <w:sz w:val="21"/>
                <w:szCs w:val="21"/>
              </w:rPr>
            </w:pPr>
            <w:r>
              <w:rPr>
                <w:rFonts w:ascii="Times New Roman" w:hAnsi="Times New Roman"/>
                <w:b/>
                <w:bCs/>
                <w:kern w:val="0"/>
                <w:sz w:val="21"/>
                <w:szCs w:val="21"/>
              </w:rPr>
              <w:t>备注</w:t>
            </w:r>
          </w:p>
        </w:tc>
      </w:tr>
      <w:tr w14:paraId="3C0EC26A">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6964CD9D">
            <w:pPr>
              <w:widowControl/>
              <w:spacing w:line="240" w:lineRule="auto"/>
              <w:jc w:val="both"/>
              <w:rPr>
                <w:rFonts w:ascii="Times New Roman" w:hAnsi="Times New Roman"/>
                <w:kern w:val="0"/>
                <w:sz w:val="21"/>
                <w:szCs w:val="21"/>
              </w:rPr>
            </w:pPr>
            <w:r>
              <w:rPr>
                <w:rFonts w:ascii="Times New Roman" w:hAnsi="Times New Roman"/>
                <w:kern w:val="0"/>
                <w:sz w:val="21"/>
                <w:szCs w:val="21"/>
              </w:rPr>
              <w:t>日志编号</w:t>
            </w:r>
          </w:p>
        </w:tc>
        <w:tc>
          <w:tcPr>
            <w:tcW w:w="833" w:type="pct"/>
            <w:tcBorders>
              <w:tl2br w:val="nil"/>
              <w:tr2bl w:val="nil"/>
            </w:tcBorders>
            <w:tcMar>
              <w:top w:w="60" w:type="dxa"/>
              <w:left w:w="120" w:type="dxa"/>
              <w:bottom w:w="30" w:type="dxa"/>
              <w:right w:w="120" w:type="dxa"/>
            </w:tcMar>
          </w:tcPr>
          <w:p w14:paraId="5B30F2AD">
            <w:pPr>
              <w:widowControl/>
              <w:spacing w:line="240" w:lineRule="auto"/>
              <w:jc w:val="both"/>
              <w:rPr>
                <w:rFonts w:ascii="Times New Roman" w:hAnsi="Times New Roman"/>
                <w:kern w:val="0"/>
                <w:sz w:val="21"/>
                <w:szCs w:val="21"/>
              </w:rPr>
            </w:pPr>
            <w:r>
              <w:rPr>
                <w:rFonts w:ascii="Times New Roman" w:hAnsi="Times New Roman"/>
                <w:kern w:val="0"/>
                <w:sz w:val="21"/>
                <w:szCs w:val="21"/>
              </w:rPr>
              <w:t>格式：年份+月份+流水号（8位），例：202X08000001</w:t>
            </w:r>
          </w:p>
        </w:tc>
        <w:tc>
          <w:tcPr>
            <w:tcW w:w="833" w:type="pct"/>
            <w:tcBorders>
              <w:tl2br w:val="nil"/>
              <w:tr2bl w:val="nil"/>
            </w:tcBorders>
            <w:tcMar>
              <w:top w:w="60" w:type="dxa"/>
              <w:left w:w="120" w:type="dxa"/>
              <w:bottom w:w="30" w:type="dxa"/>
              <w:right w:w="120" w:type="dxa"/>
            </w:tcMar>
          </w:tcPr>
          <w:p w14:paraId="7FDAAD3D">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0334E790">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系统自动生成，不可手动修改</w:t>
            </w:r>
          </w:p>
        </w:tc>
        <w:tc>
          <w:tcPr>
            <w:tcW w:w="833" w:type="pct"/>
            <w:tcBorders>
              <w:tl2br w:val="nil"/>
              <w:tr2bl w:val="nil"/>
            </w:tcBorders>
            <w:tcMar>
              <w:top w:w="60" w:type="dxa"/>
              <w:left w:w="120" w:type="dxa"/>
              <w:bottom w:w="30" w:type="dxa"/>
              <w:right w:w="120" w:type="dxa"/>
            </w:tcMar>
          </w:tcPr>
          <w:p w14:paraId="1FA43018">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78D5C5B6">
            <w:pPr>
              <w:widowControl/>
              <w:spacing w:line="240" w:lineRule="auto"/>
              <w:jc w:val="both"/>
              <w:rPr>
                <w:rFonts w:ascii="Times New Roman" w:hAnsi="Times New Roman"/>
                <w:kern w:val="0"/>
                <w:sz w:val="21"/>
                <w:szCs w:val="21"/>
              </w:rPr>
            </w:pPr>
            <w:r>
              <w:rPr>
                <w:rFonts w:ascii="Times New Roman" w:hAnsi="Times New Roman"/>
                <w:kern w:val="0"/>
                <w:sz w:val="21"/>
                <w:szCs w:val="21"/>
              </w:rPr>
              <w:t>唯一标识</w:t>
            </w:r>
          </w:p>
        </w:tc>
      </w:tr>
      <w:tr w14:paraId="5884AF96">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1D453A8C">
            <w:pPr>
              <w:widowControl/>
              <w:spacing w:line="240" w:lineRule="auto"/>
              <w:jc w:val="both"/>
              <w:rPr>
                <w:rFonts w:ascii="Times New Roman" w:hAnsi="Times New Roman"/>
                <w:kern w:val="0"/>
                <w:sz w:val="21"/>
                <w:szCs w:val="21"/>
              </w:rPr>
            </w:pPr>
            <w:r>
              <w:rPr>
                <w:rFonts w:ascii="Times New Roman" w:hAnsi="Times New Roman"/>
                <w:kern w:val="0"/>
                <w:sz w:val="21"/>
                <w:szCs w:val="21"/>
              </w:rPr>
              <w:t>事件发生日期</w:t>
            </w:r>
          </w:p>
        </w:tc>
        <w:tc>
          <w:tcPr>
            <w:tcW w:w="833" w:type="pct"/>
            <w:tcBorders>
              <w:tl2br w:val="nil"/>
              <w:tr2bl w:val="nil"/>
            </w:tcBorders>
            <w:tcMar>
              <w:top w:w="60" w:type="dxa"/>
              <w:left w:w="120" w:type="dxa"/>
              <w:bottom w:w="30" w:type="dxa"/>
              <w:right w:w="120" w:type="dxa"/>
            </w:tcMar>
          </w:tcPr>
          <w:p w14:paraId="03E3BEC4">
            <w:pPr>
              <w:widowControl/>
              <w:spacing w:line="240" w:lineRule="auto"/>
              <w:jc w:val="both"/>
              <w:rPr>
                <w:rFonts w:ascii="Times New Roman" w:hAnsi="Times New Roman"/>
                <w:kern w:val="0"/>
                <w:sz w:val="21"/>
                <w:szCs w:val="21"/>
              </w:rPr>
            </w:pPr>
            <w:r>
              <w:rPr>
                <w:rFonts w:ascii="Times New Roman" w:hAnsi="Times New Roman"/>
                <w:kern w:val="0"/>
                <w:sz w:val="21"/>
                <w:szCs w:val="21"/>
              </w:rPr>
              <w:t>格式：YYYY-MM-DD</w:t>
            </w:r>
          </w:p>
        </w:tc>
        <w:tc>
          <w:tcPr>
            <w:tcW w:w="833" w:type="pct"/>
            <w:tcBorders>
              <w:tl2br w:val="nil"/>
              <w:tr2bl w:val="nil"/>
            </w:tcBorders>
            <w:tcMar>
              <w:top w:w="60" w:type="dxa"/>
              <w:left w:w="120" w:type="dxa"/>
              <w:bottom w:w="30" w:type="dxa"/>
              <w:right w:w="120" w:type="dxa"/>
            </w:tcMar>
          </w:tcPr>
          <w:p w14:paraId="531A17A1">
            <w:pPr>
              <w:widowControl/>
              <w:spacing w:line="240" w:lineRule="auto"/>
              <w:jc w:val="both"/>
              <w:rPr>
                <w:rFonts w:ascii="Times New Roman" w:hAnsi="Times New Roman"/>
                <w:kern w:val="0"/>
                <w:sz w:val="21"/>
                <w:szCs w:val="21"/>
              </w:rPr>
            </w:pPr>
            <w:r>
              <w:rPr>
                <w:rFonts w:ascii="Times New Roman" w:hAnsi="Times New Roman"/>
                <w:kern w:val="0"/>
                <w:sz w:val="21"/>
                <w:szCs w:val="21"/>
              </w:rPr>
              <w:t>日期</w:t>
            </w:r>
          </w:p>
        </w:tc>
        <w:tc>
          <w:tcPr>
            <w:tcW w:w="833" w:type="pct"/>
            <w:tcBorders>
              <w:tl2br w:val="nil"/>
              <w:tr2bl w:val="nil"/>
            </w:tcBorders>
            <w:tcMar>
              <w:top w:w="60" w:type="dxa"/>
              <w:left w:w="120" w:type="dxa"/>
              <w:bottom w:w="30" w:type="dxa"/>
              <w:right w:w="120" w:type="dxa"/>
            </w:tcMar>
          </w:tcPr>
          <w:p w14:paraId="2B095EB2">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系统自动获取，与操作时间一致</w:t>
            </w:r>
          </w:p>
        </w:tc>
        <w:tc>
          <w:tcPr>
            <w:tcW w:w="833" w:type="pct"/>
            <w:tcBorders>
              <w:tl2br w:val="nil"/>
              <w:tr2bl w:val="nil"/>
            </w:tcBorders>
            <w:tcMar>
              <w:top w:w="60" w:type="dxa"/>
              <w:left w:w="120" w:type="dxa"/>
              <w:bottom w:w="30" w:type="dxa"/>
              <w:right w:w="120" w:type="dxa"/>
            </w:tcMar>
          </w:tcPr>
          <w:p w14:paraId="21829906">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2A354429">
            <w:pPr>
              <w:widowControl/>
              <w:spacing w:line="240" w:lineRule="auto"/>
              <w:jc w:val="both"/>
              <w:rPr>
                <w:rFonts w:ascii="Times New Roman" w:hAnsi="Times New Roman"/>
                <w:kern w:val="0"/>
                <w:sz w:val="21"/>
                <w:szCs w:val="21"/>
              </w:rPr>
            </w:pPr>
            <w:r>
              <w:rPr>
                <w:rFonts w:ascii="Times New Roman" w:hAnsi="Times New Roman"/>
                <w:kern w:val="0"/>
                <w:sz w:val="21"/>
                <w:szCs w:val="21"/>
              </w:rPr>
              <w:t>-</w:t>
            </w:r>
          </w:p>
        </w:tc>
      </w:tr>
      <w:tr w14:paraId="4009536D">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7550ED66">
            <w:pPr>
              <w:widowControl/>
              <w:spacing w:line="240" w:lineRule="auto"/>
              <w:jc w:val="both"/>
              <w:rPr>
                <w:rFonts w:ascii="Times New Roman" w:hAnsi="Times New Roman"/>
                <w:kern w:val="0"/>
                <w:sz w:val="21"/>
                <w:szCs w:val="21"/>
              </w:rPr>
            </w:pPr>
            <w:r>
              <w:rPr>
                <w:rFonts w:ascii="Times New Roman" w:hAnsi="Times New Roman"/>
                <w:kern w:val="0"/>
                <w:sz w:val="21"/>
                <w:szCs w:val="21"/>
              </w:rPr>
              <w:t>事件发生时间</w:t>
            </w:r>
          </w:p>
        </w:tc>
        <w:tc>
          <w:tcPr>
            <w:tcW w:w="833" w:type="pct"/>
            <w:tcBorders>
              <w:tl2br w:val="nil"/>
              <w:tr2bl w:val="nil"/>
            </w:tcBorders>
            <w:tcMar>
              <w:top w:w="60" w:type="dxa"/>
              <w:left w:w="120" w:type="dxa"/>
              <w:bottom w:w="30" w:type="dxa"/>
              <w:right w:w="120" w:type="dxa"/>
            </w:tcMar>
          </w:tcPr>
          <w:p w14:paraId="3CB04F13">
            <w:pPr>
              <w:widowControl/>
              <w:spacing w:line="240" w:lineRule="auto"/>
              <w:jc w:val="both"/>
              <w:rPr>
                <w:rFonts w:ascii="Times New Roman" w:hAnsi="Times New Roman"/>
                <w:kern w:val="0"/>
                <w:sz w:val="21"/>
                <w:szCs w:val="21"/>
              </w:rPr>
            </w:pPr>
            <w:r>
              <w:rPr>
                <w:rFonts w:ascii="Times New Roman" w:hAnsi="Times New Roman"/>
                <w:kern w:val="0"/>
                <w:sz w:val="21"/>
                <w:szCs w:val="21"/>
              </w:rPr>
              <w:t>格式：HH:MM:SS</w:t>
            </w:r>
          </w:p>
        </w:tc>
        <w:tc>
          <w:tcPr>
            <w:tcW w:w="833" w:type="pct"/>
            <w:tcBorders>
              <w:tl2br w:val="nil"/>
              <w:tr2bl w:val="nil"/>
            </w:tcBorders>
            <w:tcMar>
              <w:top w:w="60" w:type="dxa"/>
              <w:left w:w="120" w:type="dxa"/>
              <w:bottom w:w="30" w:type="dxa"/>
              <w:right w:w="120" w:type="dxa"/>
            </w:tcMar>
          </w:tcPr>
          <w:p w14:paraId="52D670D4">
            <w:pPr>
              <w:widowControl/>
              <w:spacing w:line="240" w:lineRule="auto"/>
              <w:jc w:val="both"/>
              <w:rPr>
                <w:rFonts w:ascii="Times New Roman" w:hAnsi="Times New Roman"/>
                <w:kern w:val="0"/>
                <w:sz w:val="21"/>
                <w:szCs w:val="21"/>
              </w:rPr>
            </w:pPr>
            <w:r>
              <w:rPr>
                <w:rFonts w:ascii="Times New Roman" w:hAnsi="Times New Roman"/>
                <w:kern w:val="0"/>
                <w:sz w:val="21"/>
                <w:szCs w:val="21"/>
              </w:rPr>
              <w:t>时间</w:t>
            </w:r>
          </w:p>
        </w:tc>
        <w:tc>
          <w:tcPr>
            <w:tcW w:w="833" w:type="pct"/>
            <w:tcBorders>
              <w:tl2br w:val="nil"/>
              <w:tr2bl w:val="nil"/>
            </w:tcBorders>
            <w:tcMar>
              <w:top w:w="60" w:type="dxa"/>
              <w:left w:w="120" w:type="dxa"/>
              <w:bottom w:w="30" w:type="dxa"/>
              <w:right w:w="120" w:type="dxa"/>
            </w:tcMar>
          </w:tcPr>
          <w:p w14:paraId="07B3688F">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系统自动获取，精确到秒</w:t>
            </w:r>
          </w:p>
        </w:tc>
        <w:tc>
          <w:tcPr>
            <w:tcW w:w="833" w:type="pct"/>
            <w:tcBorders>
              <w:tl2br w:val="nil"/>
              <w:tr2bl w:val="nil"/>
            </w:tcBorders>
            <w:tcMar>
              <w:top w:w="60" w:type="dxa"/>
              <w:left w:w="120" w:type="dxa"/>
              <w:bottom w:w="30" w:type="dxa"/>
              <w:right w:w="120" w:type="dxa"/>
            </w:tcMar>
          </w:tcPr>
          <w:p w14:paraId="08BEECE0">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1F920653">
            <w:pPr>
              <w:widowControl/>
              <w:spacing w:line="240" w:lineRule="auto"/>
              <w:jc w:val="both"/>
              <w:rPr>
                <w:rFonts w:ascii="Times New Roman" w:hAnsi="Times New Roman"/>
                <w:kern w:val="0"/>
                <w:sz w:val="21"/>
                <w:szCs w:val="21"/>
              </w:rPr>
            </w:pPr>
            <w:r>
              <w:rPr>
                <w:rFonts w:ascii="Times New Roman" w:hAnsi="Times New Roman"/>
                <w:kern w:val="0"/>
                <w:sz w:val="21"/>
                <w:szCs w:val="21"/>
              </w:rPr>
              <w:t>-</w:t>
            </w:r>
          </w:p>
        </w:tc>
      </w:tr>
      <w:tr w14:paraId="1F9490FC">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40D25C0E">
            <w:pPr>
              <w:widowControl/>
              <w:spacing w:line="240" w:lineRule="auto"/>
              <w:jc w:val="both"/>
              <w:rPr>
                <w:rFonts w:ascii="Times New Roman" w:hAnsi="Times New Roman"/>
                <w:kern w:val="0"/>
                <w:sz w:val="21"/>
                <w:szCs w:val="21"/>
              </w:rPr>
            </w:pPr>
            <w:r>
              <w:rPr>
                <w:rFonts w:ascii="Times New Roman" w:hAnsi="Times New Roman"/>
                <w:kern w:val="0"/>
                <w:sz w:val="21"/>
                <w:szCs w:val="21"/>
              </w:rPr>
              <w:t>操作终端</w:t>
            </w:r>
          </w:p>
        </w:tc>
        <w:tc>
          <w:tcPr>
            <w:tcW w:w="833" w:type="pct"/>
            <w:tcBorders>
              <w:tl2br w:val="nil"/>
              <w:tr2bl w:val="nil"/>
            </w:tcBorders>
            <w:tcMar>
              <w:top w:w="60" w:type="dxa"/>
              <w:left w:w="120" w:type="dxa"/>
              <w:bottom w:w="30" w:type="dxa"/>
              <w:right w:w="120" w:type="dxa"/>
            </w:tcMar>
          </w:tcPr>
          <w:p w14:paraId="61226EA8">
            <w:pPr>
              <w:widowControl/>
              <w:spacing w:line="240" w:lineRule="auto"/>
              <w:jc w:val="both"/>
              <w:rPr>
                <w:rFonts w:ascii="Times New Roman" w:hAnsi="Times New Roman"/>
                <w:kern w:val="0"/>
                <w:sz w:val="21"/>
                <w:szCs w:val="21"/>
              </w:rPr>
            </w:pPr>
            <w:r>
              <w:rPr>
                <w:rFonts w:ascii="Times New Roman" w:hAnsi="Times New Roman"/>
                <w:kern w:val="0"/>
                <w:sz w:val="21"/>
                <w:szCs w:val="21"/>
              </w:rPr>
              <w:t>终端设备编号+设备名称</w:t>
            </w:r>
          </w:p>
        </w:tc>
        <w:tc>
          <w:tcPr>
            <w:tcW w:w="833" w:type="pct"/>
            <w:tcBorders>
              <w:tl2br w:val="nil"/>
              <w:tr2bl w:val="nil"/>
            </w:tcBorders>
            <w:tcMar>
              <w:top w:w="60" w:type="dxa"/>
              <w:left w:w="120" w:type="dxa"/>
              <w:bottom w:w="30" w:type="dxa"/>
              <w:right w:w="120" w:type="dxa"/>
            </w:tcMar>
          </w:tcPr>
          <w:p w14:paraId="00FC209E">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637BEAFE">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系统自动获取，不可手动修改</w:t>
            </w:r>
          </w:p>
        </w:tc>
        <w:tc>
          <w:tcPr>
            <w:tcW w:w="833" w:type="pct"/>
            <w:tcBorders>
              <w:tl2br w:val="nil"/>
              <w:tr2bl w:val="nil"/>
            </w:tcBorders>
            <w:tcMar>
              <w:top w:w="60" w:type="dxa"/>
              <w:left w:w="120" w:type="dxa"/>
              <w:bottom w:w="30" w:type="dxa"/>
              <w:right w:w="120" w:type="dxa"/>
            </w:tcMar>
          </w:tcPr>
          <w:p w14:paraId="23F308D0">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3DA5E024">
            <w:pPr>
              <w:widowControl/>
              <w:spacing w:line="240" w:lineRule="auto"/>
              <w:jc w:val="both"/>
              <w:rPr>
                <w:rFonts w:ascii="Times New Roman" w:hAnsi="Times New Roman"/>
                <w:kern w:val="0"/>
                <w:sz w:val="21"/>
                <w:szCs w:val="21"/>
              </w:rPr>
            </w:pPr>
            <w:r>
              <w:rPr>
                <w:rFonts w:ascii="Times New Roman" w:hAnsi="Times New Roman"/>
                <w:kern w:val="0"/>
                <w:sz w:val="21"/>
                <w:szCs w:val="21"/>
              </w:rPr>
              <w:t>例：TERM202X001-笔记本电脑</w:t>
            </w:r>
          </w:p>
        </w:tc>
      </w:tr>
      <w:tr w14:paraId="5D4817FC">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218AC71A">
            <w:pPr>
              <w:widowControl/>
              <w:spacing w:line="240" w:lineRule="auto"/>
              <w:jc w:val="both"/>
              <w:rPr>
                <w:rFonts w:ascii="Times New Roman" w:hAnsi="Times New Roman"/>
                <w:kern w:val="0"/>
                <w:sz w:val="21"/>
                <w:szCs w:val="21"/>
              </w:rPr>
            </w:pPr>
            <w:r>
              <w:rPr>
                <w:rFonts w:ascii="Times New Roman" w:hAnsi="Times New Roman"/>
                <w:kern w:val="0"/>
                <w:sz w:val="21"/>
                <w:szCs w:val="21"/>
              </w:rPr>
              <w:t>网络地址</w:t>
            </w:r>
          </w:p>
        </w:tc>
        <w:tc>
          <w:tcPr>
            <w:tcW w:w="833" w:type="pct"/>
            <w:tcBorders>
              <w:tl2br w:val="nil"/>
              <w:tr2bl w:val="nil"/>
            </w:tcBorders>
            <w:tcMar>
              <w:top w:w="60" w:type="dxa"/>
              <w:left w:w="120" w:type="dxa"/>
              <w:bottom w:w="30" w:type="dxa"/>
              <w:right w:w="120" w:type="dxa"/>
            </w:tcMar>
          </w:tcPr>
          <w:p w14:paraId="6404E2B8">
            <w:pPr>
              <w:widowControl/>
              <w:spacing w:line="240" w:lineRule="auto"/>
              <w:jc w:val="both"/>
              <w:rPr>
                <w:rFonts w:ascii="Times New Roman" w:hAnsi="Times New Roman"/>
                <w:kern w:val="0"/>
                <w:sz w:val="21"/>
                <w:szCs w:val="21"/>
              </w:rPr>
            </w:pPr>
            <w:r>
              <w:rPr>
                <w:rFonts w:ascii="Times New Roman" w:hAnsi="Times New Roman"/>
                <w:kern w:val="0"/>
                <w:sz w:val="21"/>
                <w:szCs w:val="21"/>
              </w:rPr>
              <w:t>IPv4地址</w:t>
            </w:r>
          </w:p>
        </w:tc>
        <w:tc>
          <w:tcPr>
            <w:tcW w:w="833" w:type="pct"/>
            <w:tcBorders>
              <w:tl2br w:val="nil"/>
              <w:tr2bl w:val="nil"/>
            </w:tcBorders>
            <w:tcMar>
              <w:top w:w="60" w:type="dxa"/>
              <w:left w:w="120" w:type="dxa"/>
              <w:bottom w:w="30" w:type="dxa"/>
              <w:right w:w="120" w:type="dxa"/>
            </w:tcMar>
          </w:tcPr>
          <w:p w14:paraId="2A7AA87A">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3E9E1EEC">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系统自动获取，不可手动修改</w:t>
            </w:r>
          </w:p>
        </w:tc>
        <w:tc>
          <w:tcPr>
            <w:tcW w:w="833" w:type="pct"/>
            <w:tcBorders>
              <w:tl2br w:val="nil"/>
              <w:tr2bl w:val="nil"/>
            </w:tcBorders>
            <w:tcMar>
              <w:top w:w="60" w:type="dxa"/>
              <w:left w:w="120" w:type="dxa"/>
              <w:bottom w:w="30" w:type="dxa"/>
              <w:right w:w="120" w:type="dxa"/>
            </w:tcMar>
          </w:tcPr>
          <w:p w14:paraId="53150BF7">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6978E077">
            <w:pPr>
              <w:widowControl/>
              <w:spacing w:line="240" w:lineRule="auto"/>
              <w:jc w:val="both"/>
              <w:rPr>
                <w:rFonts w:ascii="Times New Roman" w:hAnsi="Times New Roman"/>
                <w:kern w:val="0"/>
                <w:sz w:val="21"/>
                <w:szCs w:val="21"/>
              </w:rPr>
            </w:pPr>
            <w:r>
              <w:rPr>
                <w:rFonts w:ascii="Times New Roman" w:hAnsi="Times New Roman"/>
                <w:kern w:val="0"/>
                <w:sz w:val="21"/>
                <w:szCs w:val="21"/>
              </w:rPr>
              <w:t>例：192.168.1.100</w:t>
            </w:r>
          </w:p>
        </w:tc>
      </w:tr>
      <w:tr w14:paraId="0CCC399B">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31CD07D3">
            <w:pPr>
              <w:widowControl/>
              <w:spacing w:line="240" w:lineRule="auto"/>
              <w:jc w:val="both"/>
              <w:rPr>
                <w:rFonts w:ascii="Times New Roman" w:hAnsi="Times New Roman"/>
                <w:kern w:val="0"/>
                <w:sz w:val="21"/>
                <w:szCs w:val="21"/>
              </w:rPr>
            </w:pPr>
            <w:r>
              <w:rPr>
                <w:rFonts w:ascii="Times New Roman" w:hAnsi="Times New Roman"/>
                <w:kern w:val="0"/>
                <w:sz w:val="21"/>
                <w:szCs w:val="21"/>
              </w:rPr>
              <w:t>操作人</w:t>
            </w:r>
          </w:p>
        </w:tc>
        <w:tc>
          <w:tcPr>
            <w:tcW w:w="833" w:type="pct"/>
            <w:tcBorders>
              <w:tl2br w:val="nil"/>
              <w:tr2bl w:val="nil"/>
            </w:tcBorders>
            <w:tcMar>
              <w:top w:w="60" w:type="dxa"/>
              <w:left w:w="120" w:type="dxa"/>
              <w:bottom w:w="30" w:type="dxa"/>
              <w:right w:w="120" w:type="dxa"/>
            </w:tcMar>
          </w:tcPr>
          <w:p w14:paraId="21B1E4FF">
            <w:pPr>
              <w:widowControl/>
              <w:spacing w:line="240" w:lineRule="auto"/>
              <w:jc w:val="both"/>
              <w:rPr>
                <w:rFonts w:ascii="Times New Roman" w:hAnsi="Times New Roman"/>
                <w:kern w:val="0"/>
                <w:sz w:val="21"/>
                <w:szCs w:val="21"/>
              </w:rPr>
            </w:pPr>
            <w:r>
              <w:rPr>
                <w:rFonts w:ascii="Times New Roman" w:hAnsi="Times New Roman"/>
                <w:kern w:val="0"/>
                <w:sz w:val="21"/>
                <w:szCs w:val="21"/>
              </w:rPr>
              <w:t>姓名+工号</w:t>
            </w:r>
          </w:p>
        </w:tc>
        <w:tc>
          <w:tcPr>
            <w:tcW w:w="833" w:type="pct"/>
            <w:tcBorders>
              <w:tl2br w:val="nil"/>
              <w:tr2bl w:val="nil"/>
            </w:tcBorders>
            <w:tcMar>
              <w:top w:w="60" w:type="dxa"/>
              <w:left w:w="120" w:type="dxa"/>
              <w:bottom w:w="30" w:type="dxa"/>
              <w:right w:w="120" w:type="dxa"/>
            </w:tcMar>
          </w:tcPr>
          <w:p w14:paraId="40AADF15">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763CF74D">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系统自动关联登录账号信息</w:t>
            </w:r>
          </w:p>
        </w:tc>
        <w:tc>
          <w:tcPr>
            <w:tcW w:w="833" w:type="pct"/>
            <w:tcBorders>
              <w:tl2br w:val="nil"/>
              <w:tr2bl w:val="nil"/>
            </w:tcBorders>
            <w:tcMar>
              <w:top w:w="60" w:type="dxa"/>
              <w:left w:w="120" w:type="dxa"/>
              <w:bottom w:w="30" w:type="dxa"/>
              <w:right w:w="120" w:type="dxa"/>
            </w:tcMar>
          </w:tcPr>
          <w:p w14:paraId="1BE83A8A">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371A7376">
            <w:pPr>
              <w:widowControl/>
              <w:spacing w:line="240" w:lineRule="auto"/>
              <w:jc w:val="both"/>
              <w:rPr>
                <w:rFonts w:ascii="Times New Roman" w:hAnsi="Times New Roman"/>
                <w:kern w:val="0"/>
                <w:sz w:val="21"/>
                <w:szCs w:val="21"/>
              </w:rPr>
            </w:pPr>
            <w:r>
              <w:rPr>
                <w:rFonts w:ascii="Times New Roman" w:hAnsi="Times New Roman"/>
                <w:kern w:val="0"/>
                <w:sz w:val="21"/>
                <w:szCs w:val="21"/>
              </w:rPr>
              <w:t>例：张三-001</w:t>
            </w:r>
          </w:p>
        </w:tc>
      </w:tr>
      <w:tr w14:paraId="4BBE2DE2">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11CAAA94">
            <w:pPr>
              <w:widowControl/>
              <w:spacing w:line="240" w:lineRule="auto"/>
              <w:jc w:val="both"/>
              <w:rPr>
                <w:rFonts w:ascii="Times New Roman" w:hAnsi="Times New Roman"/>
                <w:kern w:val="0"/>
                <w:sz w:val="21"/>
                <w:szCs w:val="21"/>
              </w:rPr>
            </w:pPr>
            <w:r>
              <w:rPr>
                <w:rFonts w:ascii="Times New Roman" w:hAnsi="Times New Roman"/>
                <w:kern w:val="0"/>
                <w:sz w:val="21"/>
                <w:szCs w:val="21"/>
              </w:rPr>
              <w:t>所属角色</w:t>
            </w:r>
          </w:p>
        </w:tc>
        <w:tc>
          <w:tcPr>
            <w:tcW w:w="833" w:type="pct"/>
            <w:tcBorders>
              <w:tl2br w:val="nil"/>
              <w:tr2bl w:val="nil"/>
            </w:tcBorders>
            <w:tcMar>
              <w:top w:w="60" w:type="dxa"/>
              <w:left w:w="120" w:type="dxa"/>
              <w:bottom w:w="30" w:type="dxa"/>
              <w:right w:w="120" w:type="dxa"/>
            </w:tcMar>
          </w:tcPr>
          <w:p w14:paraId="26FEBD3E">
            <w:pPr>
              <w:widowControl/>
              <w:spacing w:line="240" w:lineRule="auto"/>
              <w:jc w:val="both"/>
              <w:rPr>
                <w:rFonts w:ascii="Times New Roman" w:hAnsi="Times New Roman"/>
                <w:kern w:val="0"/>
                <w:sz w:val="21"/>
                <w:szCs w:val="21"/>
              </w:rPr>
            </w:pPr>
            <w:r>
              <w:rPr>
                <w:rFonts w:ascii="Times New Roman" w:hAnsi="Times New Roman"/>
                <w:kern w:val="0"/>
                <w:sz w:val="21"/>
                <w:szCs w:val="21"/>
              </w:rPr>
              <w:t>按本标准6.1.2岗位划分</w:t>
            </w:r>
          </w:p>
        </w:tc>
        <w:tc>
          <w:tcPr>
            <w:tcW w:w="833" w:type="pct"/>
            <w:tcBorders>
              <w:tl2br w:val="nil"/>
              <w:tr2bl w:val="nil"/>
            </w:tcBorders>
            <w:tcMar>
              <w:top w:w="60" w:type="dxa"/>
              <w:left w:w="120" w:type="dxa"/>
              <w:bottom w:w="30" w:type="dxa"/>
              <w:right w:w="120" w:type="dxa"/>
            </w:tcMar>
          </w:tcPr>
          <w:p w14:paraId="15AEC652">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6CFB069C">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系统自动关联角色信息，不可手动修改</w:t>
            </w:r>
          </w:p>
        </w:tc>
        <w:tc>
          <w:tcPr>
            <w:tcW w:w="833" w:type="pct"/>
            <w:tcBorders>
              <w:tl2br w:val="nil"/>
              <w:tr2bl w:val="nil"/>
            </w:tcBorders>
            <w:tcMar>
              <w:top w:w="60" w:type="dxa"/>
              <w:left w:w="120" w:type="dxa"/>
              <w:bottom w:w="30" w:type="dxa"/>
              <w:right w:w="120" w:type="dxa"/>
            </w:tcMar>
          </w:tcPr>
          <w:p w14:paraId="7539922B">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3CA9736F">
            <w:pPr>
              <w:widowControl/>
              <w:spacing w:line="240" w:lineRule="auto"/>
              <w:jc w:val="both"/>
              <w:rPr>
                <w:rFonts w:ascii="Times New Roman" w:hAnsi="Times New Roman"/>
                <w:kern w:val="0"/>
                <w:sz w:val="21"/>
                <w:szCs w:val="21"/>
              </w:rPr>
            </w:pPr>
            <w:r>
              <w:rPr>
                <w:rFonts w:ascii="Times New Roman" w:hAnsi="Times New Roman"/>
                <w:kern w:val="0"/>
                <w:sz w:val="21"/>
                <w:szCs w:val="21"/>
              </w:rPr>
              <w:t>例：CRC/数据管理员</w:t>
            </w:r>
          </w:p>
        </w:tc>
      </w:tr>
      <w:tr w14:paraId="50E1CFB0">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59F318A8">
            <w:pPr>
              <w:widowControl/>
              <w:spacing w:line="240" w:lineRule="auto"/>
              <w:jc w:val="both"/>
              <w:rPr>
                <w:rFonts w:ascii="Times New Roman" w:hAnsi="Times New Roman"/>
                <w:kern w:val="0"/>
                <w:sz w:val="21"/>
                <w:szCs w:val="21"/>
              </w:rPr>
            </w:pPr>
            <w:r>
              <w:rPr>
                <w:rFonts w:ascii="Times New Roman" w:hAnsi="Times New Roman"/>
                <w:kern w:val="0"/>
                <w:sz w:val="21"/>
                <w:szCs w:val="21"/>
              </w:rPr>
              <w:t>身份认证信息</w:t>
            </w:r>
          </w:p>
        </w:tc>
        <w:tc>
          <w:tcPr>
            <w:tcW w:w="833" w:type="pct"/>
            <w:tcBorders>
              <w:tl2br w:val="nil"/>
              <w:tr2bl w:val="nil"/>
            </w:tcBorders>
            <w:tcMar>
              <w:top w:w="60" w:type="dxa"/>
              <w:left w:w="120" w:type="dxa"/>
              <w:bottom w:w="30" w:type="dxa"/>
              <w:right w:w="120" w:type="dxa"/>
            </w:tcMar>
          </w:tcPr>
          <w:p w14:paraId="5E05D1E7">
            <w:pPr>
              <w:widowControl/>
              <w:spacing w:line="240" w:lineRule="auto"/>
              <w:jc w:val="both"/>
              <w:rPr>
                <w:rFonts w:ascii="Times New Roman" w:hAnsi="Times New Roman"/>
                <w:kern w:val="0"/>
                <w:sz w:val="21"/>
                <w:szCs w:val="21"/>
              </w:rPr>
            </w:pPr>
            <w:r>
              <w:rPr>
                <w:rFonts w:ascii="Times New Roman" w:hAnsi="Times New Roman"/>
                <w:kern w:val="0"/>
                <w:sz w:val="21"/>
                <w:szCs w:val="21"/>
              </w:rPr>
              <w:t>认证方式+认证结果</w:t>
            </w:r>
          </w:p>
        </w:tc>
        <w:tc>
          <w:tcPr>
            <w:tcW w:w="833" w:type="pct"/>
            <w:tcBorders>
              <w:tl2br w:val="nil"/>
              <w:tr2bl w:val="nil"/>
            </w:tcBorders>
            <w:tcMar>
              <w:top w:w="60" w:type="dxa"/>
              <w:left w:w="120" w:type="dxa"/>
              <w:bottom w:w="30" w:type="dxa"/>
              <w:right w:w="120" w:type="dxa"/>
            </w:tcMar>
          </w:tcPr>
          <w:p w14:paraId="205261D6">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13801D32">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系统自动记录，例：密码+人脸识别-通过</w:t>
            </w:r>
          </w:p>
        </w:tc>
        <w:tc>
          <w:tcPr>
            <w:tcW w:w="833" w:type="pct"/>
            <w:tcBorders>
              <w:tl2br w:val="nil"/>
              <w:tr2bl w:val="nil"/>
            </w:tcBorders>
            <w:tcMar>
              <w:top w:w="60" w:type="dxa"/>
              <w:left w:w="120" w:type="dxa"/>
              <w:bottom w:w="30" w:type="dxa"/>
              <w:right w:w="120" w:type="dxa"/>
            </w:tcMar>
          </w:tcPr>
          <w:p w14:paraId="34ECC176">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79C68B7A">
            <w:pPr>
              <w:widowControl/>
              <w:spacing w:line="240" w:lineRule="auto"/>
              <w:jc w:val="both"/>
              <w:rPr>
                <w:rFonts w:ascii="Times New Roman" w:hAnsi="Times New Roman"/>
                <w:kern w:val="0"/>
                <w:sz w:val="21"/>
                <w:szCs w:val="21"/>
              </w:rPr>
            </w:pPr>
            <w:r>
              <w:rPr>
                <w:rFonts w:ascii="Times New Roman" w:hAnsi="Times New Roman"/>
                <w:kern w:val="0"/>
                <w:sz w:val="21"/>
                <w:szCs w:val="21"/>
              </w:rPr>
              <w:t>-</w:t>
            </w:r>
          </w:p>
        </w:tc>
      </w:tr>
      <w:tr w14:paraId="3A7F1E28">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01E98342">
            <w:pPr>
              <w:widowControl/>
              <w:spacing w:line="240" w:lineRule="auto"/>
              <w:jc w:val="both"/>
              <w:rPr>
                <w:rFonts w:ascii="Times New Roman" w:hAnsi="Times New Roman"/>
                <w:kern w:val="0"/>
                <w:sz w:val="21"/>
                <w:szCs w:val="21"/>
              </w:rPr>
            </w:pPr>
            <w:r>
              <w:rPr>
                <w:rFonts w:ascii="Times New Roman" w:hAnsi="Times New Roman"/>
                <w:kern w:val="0"/>
                <w:sz w:val="21"/>
                <w:szCs w:val="21"/>
              </w:rPr>
              <w:t>操作类型</w:t>
            </w:r>
          </w:p>
        </w:tc>
        <w:tc>
          <w:tcPr>
            <w:tcW w:w="833" w:type="pct"/>
            <w:tcBorders>
              <w:tl2br w:val="nil"/>
              <w:tr2bl w:val="nil"/>
            </w:tcBorders>
            <w:tcMar>
              <w:top w:w="60" w:type="dxa"/>
              <w:left w:w="120" w:type="dxa"/>
              <w:bottom w:w="30" w:type="dxa"/>
              <w:right w:w="120" w:type="dxa"/>
            </w:tcMar>
          </w:tcPr>
          <w:p w14:paraId="765D392A">
            <w:pPr>
              <w:widowControl/>
              <w:spacing w:line="240" w:lineRule="auto"/>
              <w:jc w:val="both"/>
              <w:rPr>
                <w:rFonts w:ascii="Times New Roman" w:hAnsi="Times New Roman"/>
                <w:kern w:val="0"/>
                <w:sz w:val="21"/>
                <w:szCs w:val="21"/>
              </w:rPr>
            </w:pPr>
            <w:r>
              <w:rPr>
                <w:rFonts w:ascii="Times New Roman" w:hAnsi="Times New Roman"/>
                <w:kern w:val="0"/>
                <w:sz w:val="21"/>
                <w:szCs w:val="21"/>
              </w:rPr>
              <w:t>写入/读取/修改/删除/导出/备份/恢复等</w:t>
            </w:r>
          </w:p>
        </w:tc>
        <w:tc>
          <w:tcPr>
            <w:tcW w:w="833" w:type="pct"/>
            <w:tcBorders>
              <w:tl2br w:val="nil"/>
              <w:tr2bl w:val="nil"/>
            </w:tcBorders>
            <w:tcMar>
              <w:top w:w="60" w:type="dxa"/>
              <w:left w:w="120" w:type="dxa"/>
              <w:bottom w:w="30" w:type="dxa"/>
              <w:right w:w="120" w:type="dxa"/>
            </w:tcMar>
          </w:tcPr>
          <w:p w14:paraId="7166F752">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162AE753">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系统自动匹配操作行为，不可手动修改</w:t>
            </w:r>
          </w:p>
        </w:tc>
        <w:tc>
          <w:tcPr>
            <w:tcW w:w="833" w:type="pct"/>
            <w:tcBorders>
              <w:tl2br w:val="nil"/>
              <w:tr2bl w:val="nil"/>
            </w:tcBorders>
            <w:tcMar>
              <w:top w:w="60" w:type="dxa"/>
              <w:left w:w="120" w:type="dxa"/>
              <w:bottom w:w="30" w:type="dxa"/>
              <w:right w:w="120" w:type="dxa"/>
            </w:tcMar>
          </w:tcPr>
          <w:p w14:paraId="06F9093D">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1AE41179">
            <w:pPr>
              <w:widowControl/>
              <w:spacing w:line="240" w:lineRule="auto"/>
              <w:jc w:val="both"/>
              <w:rPr>
                <w:rFonts w:ascii="Times New Roman" w:hAnsi="Times New Roman"/>
                <w:kern w:val="0"/>
                <w:sz w:val="21"/>
                <w:szCs w:val="21"/>
              </w:rPr>
            </w:pPr>
            <w:r>
              <w:rPr>
                <w:rFonts w:ascii="Times New Roman" w:hAnsi="Times New Roman"/>
                <w:kern w:val="0"/>
                <w:sz w:val="21"/>
                <w:szCs w:val="21"/>
              </w:rPr>
              <w:t>按实际操作选择</w:t>
            </w:r>
          </w:p>
        </w:tc>
      </w:tr>
      <w:tr w14:paraId="53438F0F">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39B4BE25">
            <w:pPr>
              <w:widowControl/>
              <w:spacing w:line="240" w:lineRule="auto"/>
              <w:jc w:val="both"/>
              <w:rPr>
                <w:rFonts w:ascii="Times New Roman" w:hAnsi="Times New Roman"/>
                <w:kern w:val="0"/>
                <w:sz w:val="21"/>
                <w:szCs w:val="21"/>
              </w:rPr>
            </w:pPr>
            <w:r>
              <w:rPr>
                <w:rFonts w:ascii="Times New Roman" w:hAnsi="Times New Roman"/>
                <w:kern w:val="0"/>
                <w:sz w:val="21"/>
                <w:szCs w:val="21"/>
              </w:rPr>
              <w:t>操作对象</w:t>
            </w:r>
          </w:p>
        </w:tc>
        <w:tc>
          <w:tcPr>
            <w:tcW w:w="833" w:type="pct"/>
            <w:tcBorders>
              <w:tl2br w:val="nil"/>
              <w:tr2bl w:val="nil"/>
            </w:tcBorders>
            <w:tcMar>
              <w:top w:w="60" w:type="dxa"/>
              <w:left w:w="120" w:type="dxa"/>
              <w:bottom w:w="30" w:type="dxa"/>
              <w:right w:w="120" w:type="dxa"/>
            </w:tcMar>
          </w:tcPr>
          <w:p w14:paraId="65EF7492">
            <w:pPr>
              <w:widowControl/>
              <w:spacing w:line="240" w:lineRule="auto"/>
              <w:jc w:val="both"/>
              <w:rPr>
                <w:rFonts w:ascii="Times New Roman" w:hAnsi="Times New Roman"/>
                <w:kern w:val="0"/>
                <w:sz w:val="21"/>
                <w:szCs w:val="21"/>
              </w:rPr>
            </w:pPr>
            <w:r>
              <w:rPr>
                <w:rFonts w:ascii="Times New Roman" w:hAnsi="Times New Roman"/>
                <w:kern w:val="0"/>
                <w:sz w:val="21"/>
                <w:szCs w:val="21"/>
              </w:rPr>
              <w:t>数据名称+数据编号/ID</w:t>
            </w:r>
          </w:p>
        </w:tc>
        <w:tc>
          <w:tcPr>
            <w:tcW w:w="833" w:type="pct"/>
            <w:tcBorders>
              <w:tl2br w:val="nil"/>
              <w:tr2bl w:val="nil"/>
            </w:tcBorders>
            <w:tcMar>
              <w:top w:w="60" w:type="dxa"/>
              <w:left w:w="120" w:type="dxa"/>
              <w:bottom w:w="30" w:type="dxa"/>
              <w:right w:w="120" w:type="dxa"/>
            </w:tcMar>
          </w:tcPr>
          <w:p w14:paraId="2E57EACB">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7DD73AD8">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系统自动关联操作数据信息</w:t>
            </w:r>
          </w:p>
        </w:tc>
        <w:tc>
          <w:tcPr>
            <w:tcW w:w="833" w:type="pct"/>
            <w:tcBorders>
              <w:tl2br w:val="nil"/>
              <w:tr2bl w:val="nil"/>
            </w:tcBorders>
            <w:tcMar>
              <w:top w:w="60" w:type="dxa"/>
              <w:left w:w="120" w:type="dxa"/>
              <w:bottom w:w="30" w:type="dxa"/>
              <w:right w:w="120" w:type="dxa"/>
            </w:tcMar>
          </w:tcPr>
          <w:p w14:paraId="44F96D26">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2FDD2E3C">
            <w:pPr>
              <w:widowControl/>
              <w:spacing w:line="240" w:lineRule="auto"/>
              <w:jc w:val="both"/>
              <w:rPr>
                <w:rFonts w:ascii="Times New Roman" w:hAnsi="Times New Roman"/>
                <w:kern w:val="0"/>
                <w:sz w:val="21"/>
                <w:szCs w:val="21"/>
              </w:rPr>
            </w:pPr>
            <w:r>
              <w:rPr>
                <w:rFonts w:ascii="Times New Roman" w:hAnsi="Times New Roman"/>
                <w:kern w:val="0"/>
                <w:sz w:val="21"/>
                <w:szCs w:val="21"/>
              </w:rPr>
              <w:t>例：知情同意书-001-0001</w:t>
            </w:r>
          </w:p>
        </w:tc>
      </w:tr>
      <w:tr w14:paraId="05D9EE52">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61D4156E">
            <w:pPr>
              <w:widowControl/>
              <w:spacing w:line="240" w:lineRule="auto"/>
              <w:jc w:val="both"/>
              <w:rPr>
                <w:rFonts w:ascii="Times New Roman" w:hAnsi="Times New Roman"/>
                <w:kern w:val="0"/>
                <w:sz w:val="21"/>
                <w:szCs w:val="21"/>
              </w:rPr>
            </w:pPr>
            <w:r>
              <w:rPr>
                <w:rFonts w:ascii="Times New Roman" w:hAnsi="Times New Roman"/>
                <w:kern w:val="0"/>
                <w:sz w:val="21"/>
                <w:szCs w:val="21"/>
              </w:rPr>
              <w:t>操作内容</w:t>
            </w:r>
          </w:p>
        </w:tc>
        <w:tc>
          <w:tcPr>
            <w:tcW w:w="833" w:type="pct"/>
            <w:tcBorders>
              <w:tl2br w:val="nil"/>
              <w:tr2bl w:val="nil"/>
            </w:tcBorders>
            <w:tcMar>
              <w:top w:w="60" w:type="dxa"/>
              <w:left w:w="120" w:type="dxa"/>
              <w:bottom w:w="30" w:type="dxa"/>
              <w:right w:w="120" w:type="dxa"/>
            </w:tcMar>
          </w:tcPr>
          <w:p w14:paraId="2046F4C7">
            <w:pPr>
              <w:widowControl/>
              <w:spacing w:line="240" w:lineRule="auto"/>
              <w:jc w:val="both"/>
              <w:rPr>
                <w:rFonts w:ascii="Times New Roman" w:hAnsi="Times New Roman"/>
                <w:kern w:val="0"/>
                <w:sz w:val="21"/>
                <w:szCs w:val="21"/>
              </w:rPr>
            </w:pPr>
            <w:r>
              <w:rPr>
                <w:rFonts w:ascii="Times New Roman" w:hAnsi="Times New Roman"/>
                <w:kern w:val="0"/>
                <w:sz w:val="21"/>
                <w:szCs w:val="21"/>
              </w:rPr>
              <w:t>简要描述操作具体内容</w:t>
            </w:r>
          </w:p>
        </w:tc>
        <w:tc>
          <w:tcPr>
            <w:tcW w:w="833" w:type="pct"/>
            <w:tcBorders>
              <w:tl2br w:val="nil"/>
              <w:tr2bl w:val="nil"/>
            </w:tcBorders>
            <w:tcMar>
              <w:top w:w="60" w:type="dxa"/>
              <w:left w:w="120" w:type="dxa"/>
              <w:bottom w:w="30" w:type="dxa"/>
              <w:right w:w="120" w:type="dxa"/>
            </w:tcMar>
          </w:tcPr>
          <w:p w14:paraId="5D294BA3">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144781C9">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系统自动记录，手动补充关键说明（如需）</w:t>
            </w:r>
          </w:p>
        </w:tc>
        <w:tc>
          <w:tcPr>
            <w:tcW w:w="833" w:type="pct"/>
            <w:tcBorders>
              <w:tl2br w:val="nil"/>
              <w:tr2bl w:val="nil"/>
            </w:tcBorders>
            <w:tcMar>
              <w:top w:w="60" w:type="dxa"/>
              <w:left w:w="120" w:type="dxa"/>
              <w:bottom w:w="30" w:type="dxa"/>
              <w:right w:w="120" w:type="dxa"/>
            </w:tcMar>
          </w:tcPr>
          <w:p w14:paraId="164AC022">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4CB99019">
            <w:pPr>
              <w:widowControl/>
              <w:spacing w:line="240" w:lineRule="auto"/>
              <w:jc w:val="both"/>
              <w:rPr>
                <w:rFonts w:ascii="Times New Roman" w:hAnsi="Times New Roman"/>
                <w:kern w:val="0"/>
                <w:sz w:val="21"/>
                <w:szCs w:val="21"/>
              </w:rPr>
            </w:pPr>
            <w:r>
              <w:rPr>
                <w:rFonts w:ascii="Times New Roman" w:hAnsi="Times New Roman"/>
                <w:kern w:val="0"/>
                <w:sz w:val="21"/>
                <w:szCs w:val="21"/>
              </w:rPr>
              <w:t>例：写入受试者001知情同意书扫描件</w:t>
            </w:r>
          </w:p>
        </w:tc>
      </w:tr>
      <w:tr w14:paraId="7219BF3A">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14986E19">
            <w:pPr>
              <w:widowControl/>
              <w:spacing w:line="240" w:lineRule="auto"/>
              <w:jc w:val="both"/>
              <w:rPr>
                <w:rFonts w:ascii="Times New Roman" w:hAnsi="Times New Roman"/>
                <w:kern w:val="0"/>
                <w:sz w:val="21"/>
                <w:szCs w:val="21"/>
              </w:rPr>
            </w:pPr>
            <w:r>
              <w:rPr>
                <w:rFonts w:ascii="Times New Roman" w:hAnsi="Times New Roman"/>
                <w:kern w:val="0"/>
                <w:sz w:val="21"/>
                <w:szCs w:val="21"/>
              </w:rPr>
              <w:t>操作结果</w:t>
            </w:r>
          </w:p>
        </w:tc>
        <w:tc>
          <w:tcPr>
            <w:tcW w:w="833" w:type="pct"/>
            <w:tcBorders>
              <w:tl2br w:val="nil"/>
              <w:tr2bl w:val="nil"/>
            </w:tcBorders>
            <w:tcMar>
              <w:top w:w="60" w:type="dxa"/>
              <w:left w:w="120" w:type="dxa"/>
              <w:bottom w:w="30" w:type="dxa"/>
              <w:right w:w="120" w:type="dxa"/>
            </w:tcMar>
          </w:tcPr>
          <w:p w14:paraId="36C4724D">
            <w:pPr>
              <w:widowControl/>
              <w:spacing w:line="240" w:lineRule="auto"/>
              <w:jc w:val="both"/>
              <w:rPr>
                <w:rFonts w:ascii="Times New Roman" w:hAnsi="Times New Roman"/>
                <w:kern w:val="0"/>
                <w:sz w:val="21"/>
                <w:szCs w:val="21"/>
              </w:rPr>
            </w:pPr>
            <w:r>
              <w:rPr>
                <w:rFonts w:ascii="Times New Roman" w:hAnsi="Times New Roman"/>
                <w:kern w:val="0"/>
                <w:sz w:val="21"/>
                <w:szCs w:val="21"/>
              </w:rPr>
              <w:t>成功/失败/异常</w:t>
            </w:r>
          </w:p>
        </w:tc>
        <w:tc>
          <w:tcPr>
            <w:tcW w:w="833" w:type="pct"/>
            <w:tcBorders>
              <w:tl2br w:val="nil"/>
              <w:tr2bl w:val="nil"/>
            </w:tcBorders>
            <w:tcMar>
              <w:top w:w="60" w:type="dxa"/>
              <w:left w:w="120" w:type="dxa"/>
              <w:bottom w:w="30" w:type="dxa"/>
              <w:right w:w="120" w:type="dxa"/>
            </w:tcMar>
          </w:tcPr>
          <w:p w14:paraId="2961B6CF">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24AEFDF0">
            <w:pPr>
              <w:widowControl/>
              <w:spacing w:line="240" w:lineRule="auto"/>
              <w:jc w:val="both"/>
              <w:rPr>
                <w:rFonts w:ascii="Times New Roman" w:hAnsi="Times New Roman"/>
                <w:kern w:val="0"/>
                <w:sz w:val="21"/>
                <w:szCs w:val="21"/>
              </w:rPr>
            </w:pPr>
            <w:r>
              <w:rPr>
                <w:rFonts w:ascii="Times New Roman" w:hAnsi="Times New Roman"/>
                <w:kern w:val="0"/>
                <w:sz w:val="21"/>
                <w:szCs w:val="21"/>
              </w:rPr>
              <w:t>系统自动判断，失败/异常需补充原因</w:t>
            </w:r>
          </w:p>
        </w:tc>
        <w:tc>
          <w:tcPr>
            <w:tcW w:w="833" w:type="pct"/>
            <w:tcBorders>
              <w:tl2br w:val="nil"/>
              <w:tr2bl w:val="nil"/>
            </w:tcBorders>
            <w:tcMar>
              <w:top w:w="60" w:type="dxa"/>
              <w:left w:w="120" w:type="dxa"/>
              <w:bottom w:w="30" w:type="dxa"/>
              <w:right w:w="120" w:type="dxa"/>
            </w:tcMar>
          </w:tcPr>
          <w:p w14:paraId="6850B8C0">
            <w:pPr>
              <w:widowControl/>
              <w:spacing w:line="240" w:lineRule="auto"/>
              <w:jc w:val="both"/>
              <w:rPr>
                <w:rFonts w:ascii="Times New Roman" w:hAnsi="Times New Roman"/>
                <w:kern w:val="0"/>
                <w:sz w:val="21"/>
                <w:szCs w:val="21"/>
              </w:rPr>
            </w:pPr>
            <w:r>
              <w:rPr>
                <w:rFonts w:ascii="Times New Roman" w:hAnsi="Times New Roman"/>
                <w:kern w:val="0"/>
                <w:sz w:val="21"/>
                <w:szCs w:val="21"/>
              </w:rPr>
              <w:t>是</w:t>
            </w:r>
          </w:p>
        </w:tc>
        <w:tc>
          <w:tcPr>
            <w:tcW w:w="833" w:type="pct"/>
            <w:tcBorders>
              <w:tl2br w:val="nil"/>
              <w:tr2bl w:val="nil"/>
            </w:tcBorders>
            <w:tcMar>
              <w:top w:w="60" w:type="dxa"/>
              <w:left w:w="120" w:type="dxa"/>
              <w:bottom w:w="30" w:type="dxa"/>
              <w:right w:w="120" w:type="dxa"/>
            </w:tcMar>
          </w:tcPr>
          <w:p w14:paraId="7BCC9269">
            <w:pPr>
              <w:widowControl/>
              <w:spacing w:line="240" w:lineRule="auto"/>
              <w:jc w:val="both"/>
              <w:rPr>
                <w:rFonts w:ascii="Times New Roman" w:hAnsi="Times New Roman"/>
                <w:kern w:val="0"/>
                <w:sz w:val="21"/>
                <w:szCs w:val="21"/>
              </w:rPr>
            </w:pPr>
            <w:r>
              <w:rPr>
                <w:rFonts w:ascii="Times New Roman" w:hAnsi="Times New Roman"/>
                <w:kern w:val="0"/>
                <w:sz w:val="21"/>
                <w:szCs w:val="21"/>
              </w:rPr>
              <w:t>失败/异常原因必填</w:t>
            </w:r>
          </w:p>
        </w:tc>
      </w:tr>
      <w:tr w14:paraId="055800FF">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60CA024A">
            <w:pPr>
              <w:widowControl/>
              <w:spacing w:line="240" w:lineRule="auto"/>
              <w:jc w:val="both"/>
              <w:rPr>
                <w:rFonts w:ascii="Times New Roman" w:hAnsi="Times New Roman"/>
                <w:kern w:val="0"/>
                <w:sz w:val="21"/>
                <w:szCs w:val="21"/>
              </w:rPr>
            </w:pPr>
            <w:r>
              <w:rPr>
                <w:rFonts w:ascii="Times New Roman" w:hAnsi="Times New Roman"/>
                <w:kern w:val="0"/>
                <w:sz w:val="21"/>
                <w:szCs w:val="21"/>
              </w:rPr>
              <w:t>审批记录</w:t>
            </w:r>
          </w:p>
        </w:tc>
        <w:tc>
          <w:tcPr>
            <w:tcW w:w="833" w:type="pct"/>
            <w:tcBorders>
              <w:tl2br w:val="nil"/>
              <w:tr2bl w:val="nil"/>
            </w:tcBorders>
            <w:tcMar>
              <w:top w:w="60" w:type="dxa"/>
              <w:left w:w="120" w:type="dxa"/>
              <w:bottom w:w="30" w:type="dxa"/>
              <w:right w:w="120" w:type="dxa"/>
            </w:tcMar>
          </w:tcPr>
          <w:p w14:paraId="40C6B237">
            <w:pPr>
              <w:widowControl/>
              <w:spacing w:line="240" w:lineRule="auto"/>
              <w:jc w:val="both"/>
              <w:rPr>
                <w:rFonts w:ascii="Times New Roman" w:hAnsi="Times New Roman"/>
                <w:kern w:val="0"/>
                <w:sz w:val="21"/>
                <w:szCs w:val="21"/>
              </w:rPr>
            </w:pPr>
            <w:r>
              <w:rPr>
                <w:rFonts w:ascii="Times New Roman" w:hAnsi="Times New Roman"/>
                <w:kern w:val="0"/>
                <w:sz w:val="21"/>
                <w:szCs w:val="21"/>
              </w:rPr>
              <w:t>审批人+审批意见+审批时间</w:t>
            </w:r>
          </w:p>
        </w:tc>
        <w:tc>
          <w:tcPr>
            <w:tcW w:w="833" w:type="pct"/>
            <w:tcBorders>
              <w:tl2br w:val="nil"/>
              <w:tr2bl w:val="nil"/>
            </w:tcBorders>
            <w:tcMar>
              <w:top w:w="60" w:type="dxa"/>
              <w:left w:w="120" w:type="dxa"/>
              <w:bottom w:w="30" w:type="dxa"/>
              <w:right w:w="120" w:type="dxa"/>
            </w:tcMar>
          </w:tcPr>
          <w:p w14:paraId="21AFBFF3">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6E638A31">
            <w:pPr>
              <w:widowControl/>
              <w:spacing w:line="240" w:lineRule="auto"/>
              <w:jc w:val="both"/>
              <w:rPr>
                <w:rFonts w:ascii="Times New Roman" w:hAnsi="Times New Roman"/>
                <w:kern w:val="0"/>
                <w:sz w:val="21"/>
                <w:szCs w:val="21"/>
              </w:rPr>
            </w:pPr>
            <w:r>
              <w:rPr>
                <w:rFonts w:ascii="Times New Roman" w:hAnsi="Times New Roman"/>
                <w:kern w:val="0"/>
                <w:sz w:val="21"/>
                <w:szCs w:val="21"/>
              </w:rPr>
              <w:t>关键操作（删除/导出等）必填，非关键操作填“无”</w:t>
            </w:r>
          </w:p>
        </w:tc>
        <w:tc>
          <w:tcPr>
            <w:tcW w:w="833" w:type="pct"/>
            <w:tcBorders>
              <w:tl2br w:val="nil"/>
              <w:tr2bl w:val="nil"/>
            </w:tcBorders>
            <w:tcMar>
              <w:top w:w="60" w:type="dxa"/>
              <w:left w:w="120" w:type="dxa"/>
              <w:bottom w:w="30" w:type="dxa"/>
              <w:right w:w="120" w:type="dxa"/>
            </w:tcMar>
          </w:tcPr>
          <w:p w14:paraId="7BB96D7D">
            <w:pPr>
              <w:widowControl/>
              <w:spacing w:line="240" w:lineRule="auto"/>
              <w:jc w:val="both"/>
              <w:rPr>
                <w:rFonts w:ascii="Times New Roman" w:hAnsi="Times New Roman"/>
                <w:kern w:val="0"/>
                <w:sz w:val="21"/>
                <w:szCs w:val="21"/>
              </w:rPr>
            </w:pPr>
            <w:r>
              <w:rPr>
                <w:rFonts w:ascii="Times New Roman" w:hAnsi="Times New Roman"/>
                <w:kern w:val="0"/>
                <w:sz w:val="21"/>
                <w:szCs w:val="21"/>
              </w:rPr>
              <w:t>否</w:t>
            </w:r>
          </w:p>
        </w:tc>
        <w:tc>
          <w:tcPr>
            <w:tcW w:w="833" w:type="pct"/>
            <w:tcBorders>
              <w:tl2br w:val="nil"/>
              <w:tr2bl w:val="nil"/>
            </w:tcBorders>
            <w:tcMar>
              <w:top w:w="60" w:type="dxa"/>
              <w:left w:w="120" w:type="dxa"/>
              <w:bottom w:w="30" w:type="dxa"/>
              <w:right w:w="120" w:type="dxa"/>
            </w:tcMar>
          </w:tcPr>
          <w:p w14:paraId="13AA3FA3">
            <w:pPr>
              <w:widowControl/>
              <w:spacing w:line="240" w:lineRule="auto"/>
              <w:jc w:val="both"/>
              <w:rPr>
                <w:rFonts w:ascii="Times New Roman" w:hAnsi="Times New Roman"/>
                <w:kern w:val="0"/>
                <w:sz w:val="21"/>
                <w:szCs w:val="21"/>
              </w:rPr>
            </w:pPr>
            <w:r>
              <w:rPr>
                <w:rFonts w:ascii="Times New Roman" w:hAnsi="Times New Roman"/>
                <w:kern w:val="0"/>
                <w:sz w:val="21"/>
                <w:szCs w:val="21"/>
              </w:rPr>
              <w:t>例：李四-同意-202X-08-01 10:30:00</w:t>
            </w:r>
          </w:p>
        </w:tc>
      </w:tr>
      <w:tr w14:paraId="1697C8B2">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1C2AF3A2">
            <w:pPr>
              <w:widowControl/>
              <w:spacing w:line="240" w:lineRule="auto"/>
              <w:jc w:val="both"/>
              <w:rPr>
                <w:rFonts w:ascii="Times New Roman" w:hAnsi="Times New Roman"/>
                <w:kern w:val="0"/>
                <w:sz w:val="21"/>
                <w:szCs w:val="21"/>
              </w:rPr>
            </w:pPr>
            <w:r>
              <w:rPr>
                <w:rFonts w:ascii="Times New Roman" w:hAnsi="Times New Roman"/>
                <w:kern w:val="0"/>
                <w:sz w:val="21"/>
                <w:szCs w:val="21"/>
              </w:rPr>
              <w:t>异常告警信息</w:t>
            </w:r>
          </w:p>
        </w:tc>
        <w:tc>
          <w:tcPr>
            <w:tcW w:w="833" w:type="pct"/>
            <w:tcBorders>
              <w:tl2br w:val="nil"/>
              <w:tr2bl w:val="nil"/>
            </w:tcBorders>
            <w:tcMar>
              <w:top w:w="60" w:type="dxa"/>
              <w:left w:w="120" w:type="dxa"/>
              <w:bottom w:w="30" w:type="dxa"/>
              <w:right w:w="120" w:type="dxa"/>
            </w:tcMar>
          </w:tcPr>
          <w:p w14:paraId="36D13BC9">
            <w:pPr>
              <w:widowControl/>
              <w:spacing w:line="240" w:lineRule="auto"/>
              <w:jc w:val="both"/>
              <w:rPr>
                <w:rFonts w:ascii="Times New Roman" w:hAnsi="Times New Roman"/>
                <w:kern w:val="0"/>
                <w:sz w:val="21"/>
                <w:szCs w:val="21"/>
              </w:rPr>
            </w:pPr>
            <w:r>
              <w:rPr>
                <w:rFonts w:ascii="Times New Roman" w:hAnsi="Times New Roman"/>
                <w:kern w:val="0"/>
                <w:sz w:val="21"/>
                <w:szCs w:val="21"/>
              </w:rPr>
              <w:t>告警类型+告警描述</w:t>
            </w:r>
          </w:p>
        </w:tc>
        <w:tc>
          <w:tcPr>
            <w:tcW w:w="833" w:type="pct"/>
            <w:tcBorders>
              <w:tl2br w:val="nil"/>
              <w:tr2bl w:val="nil"/>
            </w:tcBorders>
            <w:tcMar>
              <w:top w:w="60" w:type="dxa"/>
              <w:left w:w="120" w:type="dxa"/>
              <w:bottom w:w="30" w:type="dxa"/>
              <w:right w:w="120" w:type="dxa"/>
            </w:tcMar>
          </w:tcPr>
          <w:p w14:paraId="13EF4EC3">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5EAD3FEB">
            <w:pPr>
              <w:widowControl/>
              <w:spacing w:line="240" w:lineRule="auto"/>
              <w:jc w:val="both"/>
              <w:rPr>
                <w:rFonts w:ascii="Times New Roman" w:hAnsi="Times New Roman"/>
                <w:kern w:val="0"/>
                <w:sz w:val="21"/>
                <w:szCs w:val="21"/>
              </w:rPr>
            </w:pPr>
            <w:r>
              <w:rPr>
                <w:rFonts w:ascii="Times New Roman" w:hAnsi="Times New Roman"/>
                <w:kern w:val="0"/>
                <w:sz w:val="21"/>
                <w:szCs w:val="21"/>
              </w:rPr>
              <w:t>无异常填“无”，有异常详细描述</w:t>
            </w:r>
          </w:p>
        </w:tc>
        <w:tc>
          <w:tcPr>
            <w:tcW w:w="833" w:type="pct"/>
            <w:tcBorders>
              <w:tl2br w:val="nil"/>
              <w:tr2bl w:val="nil"/>
            </w:tcBorders>
            <w:tcMar>
              <w:top w:w="60" w:type="dxa"/>
              <w:left w:w="120" w:type="dxa"/>
              <w:bottom w:w="30" w:type="dxa"/>
              <w:right w:w="120" w:type="dxa"/>
            </w:tcMar>
          </w:tcPr>
          <w:p w14:paraId="3779F33D">
            <w:pPr>
              <w:widowControl/>
              <w:spacing w:line="240" w:lineRule="auto"/>
              <w:jc w:val="both"/>
              <w:rPr>
                <w:rFonts w:ascii="Times New Roman" w:hAnsi="Times New Roman"/>
                <w:kern w:val="0"/>
                <w:sz w:val="21"/>
                <w:szCs w:val="21"/>
              </w:rPr>
            </w:pPr>
            <w:r>
              <w:rPr>
                <w:rFonts w:ascii="Times New Roman" w:hAnsi="Times New Roman"/>
                <w:kern w:val="0"/>
                <w:sz w:val="21"/>
                <w:szCs w:val="21"/>
              </w:rPr>
              <w:t>否</w:t>
            </w:r>
          </w:p>
        </w:tc>
        <w:tc>
          <w:tcPr>
            <w:tcW w:w="833" w:type="pct"/>
            <w:tcBorders>
              <w:tl2br w:val="nil"/>
              <w:tr2bl w:val="nil"/>
            </w:tcBorders>
            <w:tcMar>
              <w:top w:w="60" w:type="dxa"/>
              <w:left w:w="120" w:type="dxa"/>
              <w:bottom w:w="30" w:type="dxa"/>
              <w:right w:w="120" w:type="dxa"/>
            </w:tcMar>
          </w:tcPr>
          <w:p w14:paraId="5C752EF8">
            <w:pPr>
              <w:widowControl/>
              <w:spacing w:line="240" w:lineRule="auto"/>
              <w:jc w:val="both"/>
              <w:rPr>
                <w:rFonts w:ascii="Times New Roman" w:hAnsi="Times New Roman"/>
                <w:kern w:val="0"/>
                <w:sz w:val="21"/>
                <w:szCs w:val="21"/>
              </w:rPr>
            </w:pPr>
            <w:r>
              <w:rPr>
                <w:rFonts w:ascii="Times New Roman" w:hAnsi="Times New Roman"/>
                <w:kern w:val="0"/>
                <w:sz w:val="21"/>
                <w:szCs w:val="21"/>
              </w:rPr>
              <w:t>例：超权限访问-尝试访问未授权数据</w:t>
            </w:r>
          </w:p>
        </w:tc>
      </w:tr>
      <w:tr w14:paraId="08534104">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0" w:type="dxa"/>
            <w:left w:w="10" w:type="dxa"/>
            <w:bottom w:w="0" w:type="dxa"/>
            <w:right w:w="10" w:type="dxa"/>
          </w:tblCellMar>
        </w:tblPrEx>
        <w:tc>
          <w:tcPr>
            <w:tcW w:w="833" w:type="pct"/>
            <w:tcBorders>
              <w:tl2br w:val="nil"/>
              <w:tr2bl w:val="nil"/>
            </w:tcBorders>
            <w:tcMar>
              <w:top w:w="60" w:type="dxa"/>
              <w:left w:w="120" w:type="dxa"/>
              <w:bottom w:w="30" w:type="dxa"/>
              <w:right w:w="120" w:type="dxa"/>
            </w:tcMar>
          </w:tcPr>
          <w:p w14:paraId="57FB1E05">
            <w:pPr>
              <w:widowControl/>
              <w:spacing w:line="240" w:lineRule="auto"/>
              <w:jc w:val="both"/>
              <w:rPr>
                <w:rFonts w:ascii="Times New Roman" w:hAnsi="Times New Roman"/>
                <w:kern w:val="0"/>
                <w:sz w:val="21"/>
                <w:szCs w:val="21"/>
              </w:rPr>
            </w:pPr>
            <w:r>
              <w:rPr>
                <w:rFonts w:ascii="Times New Roman" w:hAnsi="Times New Roman"/>
                <w:kern w:val="0"/>
                <w:sz w:val="21"/>
                <w:szCs w:val="21"/>
              </w:rPr>
              <w:t>事件处置结果</w:t>
            </w:r>
          </w:p>
        </w:tc>
        <w:tc>
          <w:tcPr>
            <w:tcW w:w="833" w:type="pct"/>
            <w:tcBorders>
              <w:tl2br w:val="nil"/>
              <w:tr2bl w:val="nil"/>
            </w:tcBorders>
            <w:tcMar>
              <w:top w:w="60" w:type="dxa"/>
              <w:left w:w="120" w:type="dxa"/>
              <w:bottom w:w="30" w:type="dxa"/>
              <w:right w:w="120" w:type="dxa"/>
            </w:tcMar>
          </w:tcPr>
          <w:p w14:paraId="57BB78FC">
            <w:pPr>
              <w:widowControl/>
              <w:spacing w:line="240" w:lineRule="auto"/>
              <w:jc w:val="both"/>
              <w:rPr>
                <w:rFonts w:ascii="Times New Roman" w:hAnsi="Times New Roman"/>
                <w:kern w:val="0"/>
                <w:sz w:val="21"/>
                <w:szCs w:val="21"/>
              </w:rPr>
            </w:pPr>
            <w:r>
              <w:rPr>
                <w:rFonts w:ascii="Times New Roman" w:hAnsi="Times New Roman"/>
                <w:kern w:val="0"/>
                <w:sz w:val="21"/>
                <w:szCs w:val="21"/>
              </w:rPr>
              <w:t>处置措施+处置效果</w:t>
            </w:r>
          </w:p>
        </w:tc>
        <w:tc>
          <w:tcPr>
            <w:tcW w:w="833" w:type="pct"/>
            <w:tcBorders>
              <w:tl2br w:val="nil"/>
              <w:tr2bl w:val="nil"/>
            </w:tcBorders>
            <w:tcMar>
              <w:top w:w="60" w:type="dxa"/>
              <w:left w:w="120" w:type="dxa"/>
              <w:bottom w:w="30" w:type="dxa"/>
              <w:right w:w="120" w:type="dxa"/>
            </w:tcMar>
          </w:tcPr>
          <w:p w14:paraId="4E1D4D36">
            <w:pPr>
              <w:widowControl/>
              <w:spacing w:line="240" w:lineRule="auto"/>
              <w:jc w:val="both"/>
              <w:rPr>
                <w:rFonts w:ascii="Times New Roman" w:hAnsi="Times New Roman"/>
                <w:kern w:val="0"/>
                <w:sz w:val="21"/>
                <w:szCs w:val="21"/>
              </w:rPr>
            </w:pPr>
            <w:r>
              <w:rPr>
                <w:rFonts w:ascii="Times New Roman" w:hAnsi="Times New Roman"/>
                <w:kern w:val="0"/>
                <w:sz w:val="21"/>
                <w:szCs w:val="21"/>
              </w:rPr>
              <w:t>字符串</w:t>
            </w:r>
          </w:p>
        </w:tc>
        <w:tc>
          <w:tcPr>
            <w:tcW w:w="833" w:type="pct"/>
            <w:tcBorders>
              <w:tl2br w:val="nil"/>
              <w:tr2bl w:val="nil"/>
            </w:tcBorders>
            <w:tcMar>
              <w:top w:w="60" w:type="dxa"/>
              <w:left w:w="120" w:type="dxa"/>
              <w:bottom w:w="30" w:type="dxa"/>
              <w:right w:w="120" w:type="dxa"/>
            </w:tcMar>
          </w:tcPr>
          <w:p w14:paraId="5527FF83">
            <w:pPr>
              <w:widowControl/>
              <w:spacing w:line="240" w:lineRule="auto"/>
              <w:jc w:val="both"/>
              <w:rPr>
                <w:rFonts w:ascii="Times New Roman" w:hAnsi="Times New Roman"/>
                <w:kern w:val="0"/>
                <w:sz w:val="21"/>
                <w:szCs w:val="21"/>
              </w:rPr>
            </w:pPr>
            <w:r>
              <w:rPr>
                <w:rFonts w:ascii="Times New Roman" w:hAnsi="Times New Roman"/>
                <w:kern w:val="0"/>
                <w:sz w:val="21"/>
                <w:szCs w:val="21"/>
              </w:rPr>
              <w:t>无异常/无需处置填“无”，有异常必填</w:t>
            </w:r>
          </w:p>
        </w:tc>
        <w:tc>
          <w:tcPr>
            <w:tcW w:w="833" w:type="pct"/>
            <w:tcBorders>
              <w:tl2br w:val="nil"/>
              <w:tr2bl w:val="nil"/>
            </w:tcBorders>
            <w:tcMar>
              <w:top w:w="60" w:type="dxa"/>
              <w:left w:w="120" w:type="dxa"/>
              <w:bottom w:w="30" w:type="dxa"/>
              <w:right w:w="120" w:type="dxa"/>
            </w:tcMar>
          </w:tcPr>
          <w:p w14:paraId="7A8217D5">
            <w:pPr>
              <w:widowControl/>
              <w:spacing w:line="240" w:lineRule="auto"/>
              <w:jc w:val="both"/>
              <w:rPr>
                <w:rFonts w:ascii="Times New Roman" w:hAnsi="Times New Roman"/>
                <w:kern w:val="0"/>
                <w:sz w:val="21"/>
                <w:szCs w:val="21"/>
              </w:rPr>
            </w:pPr>
            <w:r>
              <w:rPr>
                <w:rFonts w:ascii="Times New Roman" w:hAnsi="Times New Roman"/>
                <w:kern w:val="0"/>
                <w:sz w:val="21"/>
                <w:szCs w:val="21"/>
              </w:rPr>
              <w:t>否</w:t>
            </w:r>
          </w:p>
        </w:tc>
        <w:tc>
          <w:tcPr>
            <w:tcW w:w="833" w:type="pct"/>
            <w:tcBorders>
              <w:tl2br w:val="nil"/>
              <w:tr2bl w:val="nil"/>
            </w:tcBorders>
            <w:tcMar>
              <w:top w:w="60" w:type="dxa"/>
              <w:left w:w="120" w:type="dxa"/>
              <w:bottom w:w="30" w:type="dxa"/>
              <w:right w:w="120" w:type="dxa"/>
            </w:tcMar>
          </w:tcPr>
          <w:p w14:paraId="6BD93F03">
            <w:pPr>
              <w:widowControl/>
              <w:spacing w:line="240" w:lineRule="auto"/>
              <w:jc w:val="both"/>
              <w:rPr>
                <w:rFonts w:ascii="Times New Roman" w:hAnsi="Times New Roman"/>
                <w:kern w:val="0"/>
                <w:sz w:val="21"/>
                <w:szCs w:val="21"/>
              </w:rPr>
            </w:pPr>
            <w:r>
              <w:rPr>
                <w:rFonts w:ascii="Times New Roman" w:hAnsi="Times New Roman"/>
                <w:kern w:val="0"/>
                <w:sz w:val="21"/>
                <w:szCs w:val="21"/>
              </w:rPr>
              <w:t>例：阻断访问-已禁止该账号操作</w:t>
            </w:r>
          </w:p>
        </w:tc>
      </w:tr>
    </w:tbl>
    <w:p w14:paraId="163AC11D">
      <w:bookmarkStart w:id="149" w:name="_Toc11687"/>
      <w:bookmarkStart w:id="150" w:name="heading_51"/>
      <w:r>
        <w:br w:type="page"/>
      </w:r>
    </w:p>
    <w:p w14:paraId="68CCD7AE">
      <w:pPr>
        <w:pStyle w:val="66"/>
        <w:spacing w:before="240" w:beforeLines="100" w:after="120"/>
        <w:rPr>
          <w:spacing w:val="0"/>
        </w:rPr>
      </w:pPr>
      <w:bookmarkStart w:id="151" w:name="_Toc228523228"/>
      <w:r>
        <w:rPr>
          <w:rFonts w:hint="eastAsia"/>
          <w:spacing w:val="0"/>
        </w:rPr>
        <w:t>参</w:t>
      </w:r>
      <w:r>
        <w:rPr>
          <w:rFonts w:hint="eastAsia"/>
        </w:rPr>
        <w:t xml:space="preserve">  </w:t>
      </w:r>
      <w:r>
        <w:rPr>
          <w:rFonts w:hint="eastAsia"/>
          <w:spacing w:val="0"/>
        </w:rPr>
        <w:t>考</w:t>
      </w:r>
      <w:r>
        <w:rPr>
          <w:rFonts w:hint="eastAsia"/>
        </w:rPr>
        <w:t xml:space="preserve">  </w:t>
      </w:r>
      <w:r>
        <w:rPr>
          <w:rFonts w:hint="eastAsia"/>
          <w:spacing w:val="0"/>
        </w:rPr>
        <w:t>文</w:t>
      </w:r>
      <w:r>
        <w:rPr>
          <w:rFonts w:hint="eastAsia"/>
        </w:rPr>
        <w:t xml:space="preserve">  </w:t>
      </w:r>
      <w:r>
        <w:rPr>
          <w:rFonts w:hint="eastAsia"/>
          <w:spacing w:val="0"/>
        </w:rPr>
        <w:t>献</w:t>
      </w:r>
      <w:bookmarkEnd w:id="149"/>
      <w:bookmarkEnd w:id="150"/>
      <w:bookmarkEnd w:id="151"/>
    </w:p>
    <w:p w14:paraId="157B21C1">
      <w:pPr>
        <w:pStyle w:val="233"/>
        <w:numPr>
          <w:ilvl w:val="0"/>
          <w:numId w:val="32"/>
        </w:numPr>
        <w:spacing w:line="240" w:lineRule="auto"/>
        <w:ind w:firstLine="0" w:firstLineChars="0"/>
        <w:rPr>
          <w:rFonts w:ascii="Times New Roman" w:hAnsi="Times New Roman"/>
        </w:rPr>
      </w:pPr>
      <w:r>
        <w:rPr>
          <w:rFonts w:ascii="Times New Roman" w:hAnsi="Times New Roman"/>
        </w:rPr>
        <w:t>GB/T 1.1-2020 标准化工作导则 第 1 部分：标准化文件的结构和起草规则[S]. 国家市场监督管理总局, 国家标准化管理委员会, 2020.</w:t>
      </w:r>
    </w:p>
    <w:p w14:paraId="2FCAA009">
      <w:pPr>
        <w:pStyle w:val="233"/>
        <w:numPr>
          <w:ilvl w:val="0"/>
          <w:numId w:val="32"/>
        </w:numPr>
        <w:spacing w:line="240" w:lineRule="auto"/>
        <w:ind w:firstLine="0" w:firstLineChars="0"/>
        <w:rPr>
          <w:rFonts w:ascii="Times New Roman" w:hAnsi="Times New Roman"/>
        </w:rPr>
      </w:pPr>
      <w:r>
        <w:rPr>
          <w:rFonts w:ascii="Times New Roman" w:hAnsi="Times New Roman"/>
        </w:rPr>
        <w:t xml:space="preserve">GB/T 44780-2024 健康管理 健康信息存储架构[S]. 国家市场监督管理总局, 国家标准化管理委员会, 2024. </w:t>
      </w:r>
    </w:p>
    <w:p w14:paraId="0B6A5895">
      <w:pPr>
        <w:pStyle w:val="233"/>
        <w:numPr>
          <w:ilvl w:val="0"/>
          <w:numId w:val="32"/>
        </w:numPr>
        <w:spacing w:line="240" w:lineRule="auto"/>
        <w:ind w:firstLine="0" w:firstLineChars="0"/>
        <w:rPr>
          <w:rFonts w:ascii="Times New Roman" w:hAnsi="Times New Roman"/>
        </w:rPr>
      </w:pPr>
      <w:r>
        <w:rPr>
          <w:rFonts w:ascii="Times New Roman" w:hAnsi="Times New Roman"/>
        </w:rPr>
        <w:t>GB/T 41818-2022 信息技术 大数据 面向分析的数据存储与检索技术要求[S]. 国家市场监督管理总局, 国家标准化管理委员会, 2022.</w:t>
      </w:r>
    </w:p>
    <w:p w14:paraId="09D50168">
      <w:pPr>
        <w:pStyle w:val="233"/>
        <w:numPr>
          <w:ilvl w:val="0"/>
          <w:numId w:val="32"/>
        </w:numPr>
        <w:spacing w:line="240" w:lineRule="auto"/>
        <w:ind w:firstLine="0" w:firstLineChars="0"/>
        <w:rPr>
          <w:rFonts w:ascii="Times New Roman" w:hAnsi="Times New Roman"/>
        </w:rPr>
      </w:pPr>
      <w:r>
        <w:rPr>
          <w:rFonts w:ascii="Times New Roman" w:hAnsi="Times New Roman"/>
        </w:rPr>
        <w:t xml:space="preserve">GB/T 35273-2020 信息安全技术 个人信息安全规范[S]. 国家市场监督管理总局, 国家标准化管理委员会, 2020. </w:t>
      </w:r>
    </w:p>
    <w:p w14:paraId="4BA3ABE0">
      <w:pPr>
        <w:pStyle w:val="233"/>
        <w:numPr>
          <w:ilvl w:val="0"/>
          <w:numId w:val="32"/>
        </w:numPr>
        <w:spacing w:line="240" w:lineRule="auto"/>
        <w:ind w:firstLine="0" w:firstLineChars="0"/>
        <w:rPr>
          <w:rFonts w:ascii="Times New Roman" w:hAnsi="Times New Roman"/>
        </w:rPr>
      </w:pPr>
      <w:r>
        <w:rPr>
          <w:rFonts w:ascii="Times New Roman" w:hAnsi="Times New Roman"/>
        </w:rPr>
        <w:t xml:space="preserve">GB/T 22239-2019 信息安全技术 网络安全等级保护基本要求[S]. 国家市场监督管理总局, 国家标准化管理委员会, 2019. </w:t>
      </w:r>
    </w:p>
    <w:p w14:paraId="610599F3">
      <w:pPr>
        <w:pStyle w:val="233"/>
        <w:numPr>
          <w:ilvl w:val="0"/>
          <w:numId w:val="32"/>
        </w:numPr>
        <w:spacing w:line="240" w:lineRule="auto"/>
        <w:ind w:firstLine="0" w:firstLineChars="0"/>
        <w:rPr>
          <w:rFonts w:ascii="Times New Roman" w:hAnsi="Times New Roman"/>
        </w:rPr>
      </w:pPr>
      <w:r>
        <w:rPr>
          <w:rFonts w:ascii="Times New Roman" w:hAnsi="Times New Roman"/>
        </w:rPr>
        <w:t xml:space="preserve">药物临床试验质量管理规范[S]. 国家药品监督管理局, 国家卫生健康委员会, 2020年第57号公告. </w:t>
      </w:r>
    </w:p>
    <w:p w14:paraId="2EEFD67F">
      <w:pPr>
        <w:pStyle w:val="233"/>
        <w:numPr>
          <w:ilvl w:val="0"/>
          <w:numId w:val="32"/>
        </w:numPr>
        <w:spacing w:line="240" w:lineRule="auto"/>
        <w:ind w:firstLine="0" w:firstLineChars="0"/>
        <w:rPr>
          <w:rFonts w:ascii="Times New Roman" w:hAnsi="Times New Roman"/>
        </w:rPr>
      </w:pPr>
      <w:r>
        <w:rPr>
          <w:rFonts w:ascii="Times New Roman" w:hAnsi="Times New Roman"/>
        </w:rPr>
        <w:t xml:space="preserve">医疗卫生机构网络安全管理办法[S]. 国家卫生健康委员会, 2021. </w:t>
      </w:r>
    </w:p>
    <w:p w14:paraId="42048A19">
      <w:pPr>
        <w:pStyle w:val="233"/>
        <w:numPr>
          <w:ilvl w:val="0"/>
          <w:numId w:val="32"/>
        </w:numPr>
        <w:spacing w:line="240" w:lineRule="auto"/>
        <w:ind w:firstLine="0" w:firstLineChars="0"/>
        <w:rPr>
          <w:rFonts w:ascii="Times New Roman" w:hAnsi="Times New Roman"/>
        </w:rPr>
      </w:pPr>
      <w:r>
        <w:rPr>
          <w:rFonts w:ascii="Times New Roman" w:hAnsi="Times New Roman"/>
        </w:rPr>
        <w:t xml:space="preserve">中华人民共和国个人信息保护法[S]. 中华人民共和国主席令第91号, 2021. </w:t>
      </w:r>
    </w:p>
    <w:p w14:paraId="4332B141">
      <w:pPr>
        <w:pStyle w:val="233"/>
        <w:numPr>
          <w:ilvl w:val="0"/>
          <w:numId w:val="32"/>
        </w:numPr>
        <w:spacing w:line="240" w:lineRule="auto"/>
        <w:ind w:firstLine="0" w:firstLineChars="0"/>
        <w:rPr>
          <w:rFonts w:ascii="Times New Roman" w:hAnsi="Times New Roman"/>
        </w:rPr>
      </w:pPr>
      <w:r>
        <w:rPr>
          <w:rFonts w:ascii="Times New Roman" w:hAnsi="Times New Roman"/>
        </w:rPr>
        <mc:AlternateContent>
          <mc:Choice Requires="wps">
            <w:drawing>
              <wp:anchor distT="0" distB="0" distL="114300" distR="114300" simplePos="0" relativeHeight="251661312" behindDoc="0" locked="0" layoutInCell="1" allowOverlap="1">
                <wp:simplePos x="0" y="0"/>
                <wp:positionH relativeFrom="column">
                  <wp:posOffset>2026285</wp:posOffset>
                </wp:positionH>
                <wp:positionV relativeFrom="paragraph">
                  <wp:posOffset>1678305</wp:posOffset>
                </wp:positionV>
                <wp:extent cx="1760220" cy="0"/>
                <wp:effectExtent l="0" t="0" r="0" b="0"/>
                <wp:wrapNone/>
                <wp:docPr id="1631890961" name="直接连接符 4"/>
                <wp:cNvGraphicFramePr/>
                <a:graphic xmlns:a="http://schemas.openxmlformats.org/drawingml/2006/main">
                  <a:graphicData uri="http://schemas.microsoft.com/office/word/2010/wordprocessingShape">
                    <wps:wsp>
                      <wps:cNvCnPr/>
                      <wps:spPr bwMode="auto">
                        <a:xfrm>
                          <a:off x="0" y="0"/>
                          <a:ext cx="17603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4" o:spid="_x0000_s1026" o:spt="20" style="position:absolute;left:0pt;margin-left:159.55pt;margin-top:132.15pt;height:0pt;width:138.6pt;z-index:251661312;mso-width-relative:page;mso-height-relative:page;" filled="f" stroked="t" coordsize="21600,21600" o:gfxdata="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PJYmePYAAAACwEAAA8AAAAAAAAAAQAgAAAAIgAAAGRycy9kb3ducmV2LnhtbFBL&#10;AQIUABQAAAAIAIdO4kAVT6ur9gEAAMgDAAAOAAAAAAAAAAEAIAAAACcBAABkcnMvZTJvRG9jLnht&#10;bFBLBQYAAAAABgAGAFkBAACPBQAAAAA=&#10;">
                <v:fill on="f" focussize="0,0"/>
                <v:stroke weight="0.5pt" color="#000000 [3200]" miterlimit="8" joinstyle="miter"/>
                <v:imagedata o:title=""/>
                <o:lock v:ext="edit" aspectratio="f"/>
              </v:line>
            </w:pict>
          </mc:Fallback>
        </mc:AlternateContent>
      </w:r>
      <w:r>
        <w:rPr>
          <w:rFonts w:ascii="Times New Roman" w:hAnsi="Times New Roman"/>
        </w:rPr>
        <w:t>中华人民共和国药品管理法[S]. 中华人民共和国主席令第31号, 2019.</w:t>
      </w:r>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D0E79">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121EA">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322B4">
    <w:pPr>
      <w:pStyle w:val="55"/>
      <w:ind w:right="0"/>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3C782D">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509A3">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C039D">
    <w:pPr>
      <w:pStyle w:val="64"/>
      <w:rPr>
        <w:rFonts w:hint="eastAsia"/>
      </w:rPr>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61D4B">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925181"/>
    <w:multiLevelType w:val="singleLevel"/>
    <w:tmpl w:val="8F925181"/>
    <w:lvl w:ilvl="0" w:tentative="0">
      <w:start w:val="1"/>
      <w:numFmt w:val="decimal"/>
      <w:suff w:val="space"/>
      <w:lvlText w:val="[%1]"/>
      <w:lvlJc w:val="left"/>
    </w:lvl>
  </w:abstractNum>
  <w:abstractNum w:abstractNumId="1">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2"/>
      <w:suff w:val="nothing"/>
      <w:lvlText w:val="%1%2.%3　"/>
      <w:lvlJc w:val="left"/>
      <w:pPr>
        <w:ind w:left="0" w:firstLine="0"/>
      </w:pPr>
    </w:lvl>
    <w:lvl w:ilvl="3" w:tentative="0">
      <w:start w:val="1"/>
      <w:numFmt w:val="decimal"/>
      <w:pStyle w:val="121"/>
      <w:suff w:val="nothing"/>
      <w:lvlText w:val="%1%2.%3.%4　"/>
      <w:lvlJc w:val="left"/>
      <w:pPr>
        <w:ind w:left="0" w:firstLine="0"/>
      </w:pPr>
    </w:lvl>
    <w:lvl w:ilvl="4" w:tentative="0">
      <w:start w:val="1"/>
      <w:numFmt w:val="decimal"/>
      <w:pStyle w:val="156"/>
      <w:suff w:val="nothing"/>
      <w:lvlText w:val="%1%2.%3.%4.%5　"/>
      <w:lvlJc w:val="left"/>
      <w:pPr>
        <w:ind w:left="0" w:firstLine="0"/>
      </w:pPr>
    </w:lvl>
    <w:lvl w:ilvl="5" w:tentative="0">
      <w:start w:val="1"/>
      <w:numFmt w:val="decimal"/>
      <w:pStyle w:val="158"/>
      <w:suff w:val="nothing"/>
      <w:lvlText w:val="%1%2.%3.%4.%5.%6　"/>
      <w:lvlJc w:val="left"/>
      <w:pPr>
        <w:ind w:left="0" w:firstLine="0"/>
      </w:pPr>
    </w:lvl>
    <w:lvl w:ilvl="6" w:tentative="0">
      <w:start w:val="1"/>
      <w:numFmt w:val="decimal"/>
      <w:pStyle w:val="16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2"/>
      <w:lvlText w:val="%1"/>
      <w:lvlJc w:val="left"/>
      <w:pPr>
        <w:ind w:left="425" w:hanging="425"/>
      </w:pPr>
      <w:rPr>
        <w:rFonts w:hint="eastAsia"/>
      </w:rPr>
    </w:lvl>
    <w:lvl w:ilvl="1" w:tentative="0">
      <w:start w:val="1"/>
      <w:numFmt w:val="decimal"/>
      <w:pStyle w:val="203"/>
      <w:suff w:val="nothing"/>
      <w:lvlText w:val="%10.%2 "/>
      <w:lvlJc w:val="left"/>
      <w:pPr>
        <w:ind w:left="0" w:firstLine="0"/>
      </w:pPr>
      <w:rPr>
        <w:rFonts w:hint="eastAsia" w:ascii="黑体" w:eastAsia="黑体" w:hAnsiTheme="minorHAnsi"/>
        <w:b w:val="0"/>
        <w:i w:val="0"/>
        <w:sz w:val="21"/>
      </w:rPr>
    </w:lvl>
    <w:lvl w:ilvl="2" w:tentative="0">
      <w:start w:val="1"/>
      <w:numFmt w:val="decimal"/>
      <w:pStyle w:val="204"/>
      <w:suff w:val="nothing"/>
      <w:lvlText w:val="%10.%2.%3 "/>
      <w:lvlJc w:val="left"/>
      <w:pPr>
        <w:ind w:left="0" w:firstLine="0"/>
      </w:pPr>
      <w:rPr>
        <w:rFonts w:hint="eastAsia" w:ascii="黑体" w:eastAsia="黑体" w:hAnsiTheme="minorHAnsi"/>
        <w:b w:val="0"/>
        <w:i w:val="0"/>
        <w:sz w:val="21"/>
      </w:rPr>
    </w:lvl>
    <w:lvl w:ilvl="3" w:tentative="0">
      <w:start w:val="1"/>
      <w:numFmt w:val="decimal"/>
      <w:pStyle w:val="205"/>
      <w:suff w:val="nothing"/>
      <w:lvlText w:val="%10.%2.%3.%4 "/>
      <w:lvlJc w:val="left"/>
      <w:pPr>
        <w:ind w:left="0" w:firstLine="0"/>
      </w:pPr>
      <w:rPr>
        <w:rFonts w:hint="eastAsia" w:ascii="黑体" w:eastAsia="黑体" w:hAnsiTheme="minorHAnsi"/>
        <w:b w:val="0"/>
        <w:i w:val="0"/>
        <w:sz w:val="21"/>
      </w:rPr>
    </w:lvl>
    <w:lvl w:ilvl="4" w:tentative="0">
      <w:start w:val="1"/>
      <w:numFmt w:val="decimal"/>
      <w:pStyle w:val="206"/>
      <w:suff w:val="nothing"/>
      <w:lvlText w:val="%10.%2.%3.%4.%5 "/>
      <w:lvlJc w:val="left"/>
      <w:pPr>
        <w:ind w:left="0" w:firstLine="0"/>
      </w:pPr>
      <w:rPr>
        <w:rFonts w:hint="eastAsia" w:ascii="黑体" w:eastAsia="黑体" w:hAnsiTheme="minorHAnsi"/>
        <w:b w:val="0"/>
        <w:i w:val="0"/>
        <w:sz w:val="21"/>
      </w:rPr>
    </w:lvl>
    <w:lvl w:ilvl="5" w:tentative="0">
      <w:start w:val="1"/>
      <w:numFmt w:val="decimal"/>
      <w:pStyle w:val="207"/>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3"/>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5"/>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5"/>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0"/>
      <w:lvlText w:val=""/>
      <w:lvlJc w:val="left"/>
      <w:pPr>
        <w:ind w:left="851" w:hanging="431"/>
      </w:pPr>
      <w:rPr>
        <w:rFonts w:hint="default" w:ascii="Symbol" w:hAnsi="Symbol"/>
        <w:sz w:val="21"/>
      </w:rPr>
    </w:lvl>
    <w:lvl w:ilvl="2" w:tentative="0">
      <w:start w:val="1"/>
      <w:numFmt w:val="bullet"/>
      <w:pStyle w:val="17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4"/>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7"/>
      <w:lvlText w:val="%1)"/>
      <w:lvlJc w:val="left"/>
      <w:pPr>
        <w:tabs>
          <w:tab w:val="left" w:pos="851"/>
        </w:tabs>
        <w:ind w:left="851" w:hanging="426"/>
      </w:pPr>
      <w:rPr>
        <w:rFonts w:hint="eastAsia" w:ascii="宋体" w:hAnsi="Times New Roman" w:eastAsia="宋体"/>
        <w:sz w:val="21"/>
      </w:rPr>
    </w:lvl>
    <w:lvl w:ilvl="1" w:tentative="0">
      <w:start w:val="1"/>
      <w:numFmt w:val="decimal"/>
      <w:pStyle w:val="112"/>
      <w:lvlText w:val="%2)"/>
      <w:lvlJc w:val="left"/>
      <w:pPr>
        <w:tabs>
          <w:tab w:val="left" w:pos="1276"/>
        </w:tabs>
        <w:ind w:left="1276" w:hanging="425"/>
      </w:pPr>
      <w:rPr>
        <w:rFonts w:hint="eastAsia" w:ascii="宋体" w:hAnsi="Times New Roman" w:eastAsia="宋体"/>
        <w:sz w:val="21"/>
      </w:rPr>
    </w:lvl>
    <w:lvl w:ilvl="2" w:tentative="0">
      <w:start w:val="1"/>
      <w:numFmt w:val="decimal"/>
      <w:pStyle w:val="120"/>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201"/>
      <w:lvlText w:val="%1"/>
      <w:lvlJc w:val="left"/>
      <w:pPr>
        <w:ind w:left="420" w:hanging="420"/>
      </w:pPr>
      <w:rPr>
        <w:rFonts w:hint="eastAsia"/>
      </w:rPr>
    </w:lvl>
    <w:lvl w:ilvl="1" w:tentative="0">
      <w:start w:val="1"/>
      <w:numFmt w:val="decimal"/>
      <w:pStyle w:val="86"/>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6"/>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9"/>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6"/>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7"/>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2"/>
      <w:suff w:val="space"/>
      <w:lvlText w:val="%1"/>
      <w:lvlJc w:val="left"/>
      <w:pPr>
        <w:ind w:left="425" w:hanging="425"/>
      </w:pPr>
      <w:rPr>
        <w:rFonts w:hint="eastAsia"/>
      </w:rPr>
    </w:lvl>
    <w:lvl w:ilvl="1" w:tentative="0">
      <w:start w:val="1"/>
      <w:numFmt w:val="decimal"/>
      <w:pStyle w:val="80"/>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4"/>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5"/>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2"/>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9"/>
      <w:suff w:val="nothing"/>
      <w:lvlText w:val="附录%1"/>
      <w:lvlJc w:val="left"/>
      <w:pPr>
        <w:ind w:left="0" w:firstLine="0"/>
      </w:pPr>
      <w:rPr>
        <w:rFonts w:hint="default" w:ascii="Times New Roman" w:hAnsi="Times New Roman" w:cs="Times New Roman"/>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1"/>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100"/>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5"/>
      <w:suff w:val="nothing"/>
      <w:lvlText w:val="%1"/>
      <w:lvlJc w:val="left"/>
      <w:pPr>
        <w:ind w:left="0" w:firstLine="0"/>
      </w:pPr>
      <w:rPr>
        <w:rFonts w:hint="eastAsia"/>
      </w:rPr>
    </w:lvl>
    <w:lvl w:ilvl="1" w:tentative="0">
      <w:start w:val="1"/>
      <w:numFmt w:val="decimal"/>
      <w:pStyle w:val="107"/>
      <w:suff w:val="nothing"/>
      <w:lvlText w:val="%1%2　"/>
      <w:lvlJc w:val="left"/>
      <w:pPr>
        <w:ind w:left="1276" w:firstLine="0"/>
      </w:pPr>
      <w:rPr>
        <w:rFonts w:hint="eastAsia" w:ascii="黑体" w:eastAsia="黑体"/>
        <w:b w:val="0"/>
        <w:i w:val="0"/>
        <w:sz w:val="21"/>
      </w:rPr>
    </w:lvl>
    <w:lvl w:ilvl="2" w:tentative="0">
      <w:start w:val="1"/>
      <w:numFmt w:val="decimal"/>
      <w:pStyle w:val="10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pStyle w:val="97"/>
      <w:suff w:val="nothing"/>
      <w:lvlText w:val="%1%2.%3.%4.%5　"/>
      <w:lvlJc w:val="left"/>
      <w:pPr>
        <w:ind w:left="0" w:firstLine="0"/>
      </w:pPr>
      <w:rPr>
        <w:rFonts w:hint="eastAsia" w:ascii="黑体" w:eastAsia="黑体"/>
        <w:b w:val="0"/>
        <w:i w:val="0"/>
        <w:sz w:val="21"/>
      </w:rPr>
    </w:lvl>
    <w:lvl w:ilvl="5" w:tentative="0">
      <w:start w:val="1"/>
      <w:numFmt w:val="decimal"/>
      <w:pStyle w:val="101"/>
      <w:suff w:val="nothing"/>
      <w:lvlText w:val="%1%2.%3.%4.%5.%6　"/>
      <w:lvlJc w:val="left"/>
      <w:pPr>
        <w:ind w:left="0" w:firstLine="0"/>
      </w:pPr>
      <w:rPr>
        <w:rFonts w:hint="eastAsia" w:ascii="黑体" w:eastAsia="黑体"/>
        <w:b w:val="0"/>
        <w:i w:val="0"/>
        <w:sz w:val="21"/>
      </w:rPr>
    </w:lvl>
    <w:lvl w:ilvl="6" w:tentative="0">
      <w:start w:val="1"/>
      <w:numFmt w:val="decimal"/>
      <w:pStyle w:val="106"/>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8"/>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8"/>
  </w:num>
  <w:num w:numId="3">
    <w:abstractNumId w:val="6"/>
  </w:num>
  <w:num w:numId="4">
    <w:abstractNumId w:val="24"/>
  </w:num>
  <w:num w:numId="5">
    <w:abstractNumId w:val="19"/>
  </w:num>
  <w:num w:numId="6">
    <w:abstractNumId w:val="14"/>
  </w:num>
  <w:num w:numId="7">
    <w:abstractNumId w:val="9"/>
  </w:num>
  <w:num w:numId="8">
    <w:abstractNumId w:val="4"/>
  </w:num>
  <w:num w:numId="9">
    <w:abstractNumId w:val="10"/>
  </w:num>
  <w:num w:numId="10">
    <w:abstractNumId w:val="17"/>
  </w:num>
  <w:num w:numId="11">
    <w:abstractNumId w:val="26"/>
  </w:num>
  <w:num w:numId="12">
    <w:abstractNumId w:val="12"/>
  </w:num>
  <w:num w:numId="13">
    <w:abstractNumId w:val="13"/>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2"/>
  </w:num>
  <w:num w:numId="21">
    <w:abstractNumId w:val="11"/>
  </w:num>
  <w:num w:numId="22">
    <w:abstractNumId w:val="31"/>
  </w:num>
  <w:num w:numId="23">
    <w:abstractNumId w:val="21"/>
  </w:num>
  <w:num w:numId="24">
    <w:abstractNumId w:val="7"/>
  </w:num>
  <w:num w:numId="25">
    <w:abstractNumId w:val="27"/>
  </w:num>
  <w:num w:numId="26">
    <w:abstractNumId w:val="29"/>
  </w:num>
  <w:num w:numId="27">
    <w:abstractNumId w:val="3"/>
  </w:num>
  <w:num w:numId="28">
    <w:abstractNumId w:val="5"/>
  </w:num>
  <w:num w:numId="29">
    <w:abstractNumId w:val="15"/>
  </w:num>
  <w:num w:numId="30">
    <w:abstractNumId w:val="25"/>
  </w:num>
  <w:num w:numId="31">
    <w:abstractNumId w:val="23"/>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E61"/>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287"/>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17CE"/>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3CFD"/>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4978"/>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26196"/>
    <w:rsid w:val="003331E4"/>
    <w:rsid w:val="00336C64"/>
    <w:rsid w:val="00337162"/>
    <w:rsid w:val="0034194F"/>
    <w:rsid w:val="0034428F"/>
    <w:rsid w:val="00344605"/>
    <w:rsid w:val="00346932"/>
    <w:rsid w:val="003474AA"/>
    <w:rsid w:val="00347C16"/>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3DD9"/>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3CA"/>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3291"/>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4F7124"/>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4D63"/>
    <w:rsid w:val="00555044"/>
    <w:rsid w:val="005550FD"/>
    <w:rsid w:val="00561475"/>
    <w:rsid w:val="00562308"/>
    <w:rsid w:val="0056487B"/>
    <w:rsid w:val="00564FB9"/>
    <w:rsid w:val="00573D9E"/>
    <w:rsid w:val="005801E3"/>
    <w:rsid w:val="00581802"/>
    <w:rsid w:val="005836A8"/>
    <w:rsid w:val="0058409C"/>
    <w:rsid w:val="00584262"/>
    <w:rsid w:val="00586630"/>
    <w:rsid w:val="00587ADD"/>
    <w:rsid w:val="00593A49"/>
    <w:rsid w:val="00595BB0"/>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466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460F3"/>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05E3"/>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3FC1"/>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2111"/>
    <w:rsid w:val="00773C1F"/>
    <w:rsid w:val="00773D72"/>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37A0"/>
    <w:rsid w:val="007D6518"/>
    <w:rsid w:val="007D76BD"/>
    <w:rsid w:val="007E0BF1"/>
    <w:rsid w:val="007F0ED8"/>
    <w:rsid w:val="007F0F63"/>
    <w:rsid w:val="007F5487"/>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3E27"/>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D82"/>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0F92"/>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A75B0"/>
    <w:rsid w:val="009B09E0"/>
    <w:rsid w:val="009B0BC5"/>
    <w:rsid w:val="009B1247"/>
    <w:rsid w:val="009B1522"/>
    <w:rsid w:val="009B6029"/>
    <w:rsid w:val="009B6971"/>
    <w:rsid w:val="009C27F1"/>
    <w:rsid w:val="009C3152"/>
    <w:rsid w:val="009C3257"/>
    <w:rsid w:val="009C4CFA"/>
    <w:rsid w:val="009C5070"/>
    <w:rsid w:val="009D112C"/>
    <w:rsid w:val="009D1385"/>
    <w:rsid w:val="009D47FA"/>
    <w:rsid w:val="009D4C5B"/>
    <w:rsid w:val="009D50D2"/>
    <w:rsid w:val="009D55EE"/>
    <w:rsid w:val="009D6BCA"/>
    <w:rsid w:val="009E0F62"/>
    <w:rsid w:val="009E4A58"/>
    <w:rsid w:val="009E4A5D"/>
    <w:rsid w:val="009E5A2D"/>
    <w:rsid w:val="009E5AB2"/>
    <w:rsid w:val="009E60C7"/>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27571"/>
    <w:rsid w:val="00A30EFC"/>
    <w:rsid w:val="00A31984"/>
    <w:rsid w:val="00A32D73"/>
    <w:rsid w:val="00A3367B"/>
    <w:rsid w:val="00A33C67"/>
    <w:rsid w:val="00A3597D"/>
    <w:rsid w:val="00A36DD1"/>
    <w:rsid w:val="00A4006C"/>
    <w:rsid w:val="00A40091"/>
    <w:rsid w:val="00A4030F"/>
    <w:rsid w:val="00A4158D"/>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A8B"/>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00A9"/>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0EB0"/>
    <w:rsid w:val="00B939B1"/>
    <w:rsid w:val="00B96D40"/>
    <w:rsid w:val="00B97386"/>
    <w:rsid w:val="00BA263B"/>
    <w:rsid w:val="00BA42B2"/>
    <w:rsid w:val="00BA58D4"/>
    <w:rsid w:val="00BA5B9E"/>
    <w:rsid w:val="00BA7C9A"/>
    <w:rsid w:val="00BB31B3"/>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45574"/>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87D6D"/>
    <w:rsid w:val="00C905FC"/>
    <w:rsid w:val="00C92503"/>
    <w:rsid w:val="00C92D03"/>
    <w:rsid w:val="00C9319C"/>
    <w:rsid w:val="00C9427B"/>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9"/>
    <w:rsid w:val="00D072ED"/>
    <w:rsid w:val="00D07A16"/>
    <w:rsid w:val="00D1067E"/>
    <w:rsid w:val="00D10F50"/>
    <w:rsid w:val="00D11272"/>
    <w:rsid w:val="00D126F5"/>
    <w:rsid w:val="00D1489E"/>
    <w:rsid w:val="00D1506A"/>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5E7"/>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A7252"/>
    <w:rsid w:val="00DB0258"/>
    <w:rsid w:val="00DB286E"/>
    <w:rsid w:val="00DB38EE"/>
    <w:rsid w:val="00DB45A7"/>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1F75"/>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035"/>
    <w:rsid w:val="00F16F00"/>
    <w:rsid w:val="00F25BB6"/>
    <w:rsid w:val="00F26B7E"/>
    <w:rsid w:val="00F27A3B"/>
    <w:rsid w:val="00F3042E"/>
    <w:rsid w:val="00F314B1"/>
    <w:rsid w:val="00F32780"/>
    <w:rsid w:val="00F33817"/>
    <w:rsid w:val="00F420D5"/>
    <w:rsid w:val="00F451EA"/>
    <w:rsid w:val="00F45447"/>
    <w:rsid w:val="00F456C6"/>
    <w:rsid w:val="00F4577B"/>
    <w:rsid w:val="00F46496"/>
    <w:rsid w:val="00F474D0"/>
    <w:rsid w:val="00F47E61"/>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019"/>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8F6A3E"/>
    <w:rsid w:val="033173E9"/>
    <w:rsid w:val="049F51EA"/>
    <w:rsid w:val="06A72A7B"/>
    <w:rsid w:val="0EA21DA1"/>
    <w:rsid w:val="0F6B6D3C"/>
    <w:rsid w:val="11D34725"/>
    <w:rsid w:val="11E911D4"/>
    <w:rsid w:val="1582093B"/>
    <w:rsid w:val="15AC59B8"/>
    <w:rsid w:val="171E6442"/>
    <w:rsid w:val="17B44FF8"/>
    <w:rsid w:val="17FD532D"/>
    <w:rsid w:val="1E621B3A"/>
    <w:rsid w:val="227E16DB"/>
    <w:rsid w:val="23DF164F"/>
    <w:rsid w:val="24305A06"/>
    <w:rsid w:val="2A680588"/>
    <w:rsid w:val="2F3E34A4"/>
    <w:rsid w:val="3236068C"/>
    <w:rsid w:val="346C1656"/>
    <w:rsid w:val="36793856"/>
    <w:rsid w:val="36E840AC"/>
    <w:rsid w:val="37763FE8"/>
    <w:rsid w:val="397E00C4"/>
    <w:rsid w:val="39B5458C"/>
    <w:rsid w:val="3ED96F6F"/>
    <w:rsid w:val="444255B6"/>
    <w:rsid w:val="48DF606F"/>
    <w:rsid w:val="49B52D6E"/>
    <w:rsid w:val="4C0B4632"/>
    <w:rsid w:val="4CD7794F"/>
    <w:rsid w:val="51FF0661"/>
    <w:rsid w:val="5400631C"/>
    <w:rsid w:val="54824278"/>
    <w:rsid w:val="55834775"/>
    <w:rsid w:val="58DF319E"/>
    <w:rsid w:val="61751E71"/>
    <w:rsid w:val="6283706E"/>
    <w:rsid w:val="62B547F9"/>
    <w:rsid w:val="655265BD"/>
    <w:rsid w:val="67555D70"/>
    <w:rsid w:val="688B33B1"/>
    <w:rsid w:val="71566079"/>
    <w:rsid w:val="71A73585"/>
    <w:rsid w:val="72E90C14"/>
    <w:rsid w:val="768F5E17"/>
    <w:rsid w:val="77EE068E"/>
    <w:rsid w:val="7997722F"/>
    <w:rsid w:val="7FD03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9"/>
    <w:qFormat/>
    <w:uiPriority w:val="0"/>
    <w:pPr>
      <w:keepNext/>
      <w:keepLines/>
      <w:spacing w:before="260" w:after="260" w:line="416" w:lineRule="auto"/>
      <w:outlineLvl w:val="2"/>
    </w:pPr>
    <w:rPr>
      <w:b/>
      <w:bCs/>
      <w:sz w:val="32"/>
      <w:szCs w:val="32"/>
    </w:rPr>
  </w:style>
  <w:style w:type="paragraph" w:styleId="5">
    <w:name w:val="heading 4"/>
    <w:basedOn w:val="1"/>
    <w:next w:val="1"/>
    <w:link w:val="40"/>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1"/>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2"/>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3"/>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4"/>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5"/>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5"/>
    <w:semiHidden/>
    <w:unhideWhenUsed/>
    <w:uiPriority w:val="99"/>
    <w:pPr>
      <w:jc w:val="left"/>
    </w:pPr>
  </w:style>
  <w:style w:type="paragraph" w:styleId="14">
    <w:name w:val="Body Text"/>
    <w:basedOn w:val="1"/>
    <w:link w:val="89"/>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8"/>
    <w:semiHidden/>
    <w:unhideWhenUsed/>
    <w:qFormat/>
    <w:uiPriority w:val="99"/>
    <w:rPr>
      <w:sz w:val="18"/>
      <w:szCs w:val="18"/>
    </w:rPr>
  </w:style>
  <w:style w:type="paragraph" w:styleId="18">
    <w:name w:val="footer"/>
    <w:basedOn w:val="1"/>
    <w:link w:val="47"/>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6"/>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pPr>
      <w:tabs>
        <w:tab w:val="right" w:leader="dot" w:pos="9344"/>
      </w:tabs>
      <w:pPrChange w:id="0" w:author="腾 王" w:date="2026-05-01T10:20:00Z">
        <w:pPr>
          <w:widowControl w:val="0"/>
          <w:adjustRightInd w:val="0"/>
          <w:spacing w:line="400" w:lineRule="exact"/>
          <w:jc w:val="both"/>
        </w:pPr>
      </w:pPrChange>
    </w:pPr>
    <w:rPr>
      <w:rFonts w:ascii="Times New Roman"/>
      <w:kern w:val="0"/>
      <w:rPrChange w:id="2" w:author="腾 王" w:date="2026-05-01T10:20:00Z">
        <w:rPr>
          <w:rFonts w:ascii="宋体" w:hAnsi="Calibri" w:eastAsia="宋体"/>
          <w:kern w:val="2"/>
          <w:sz w:val="21"/>
          <w:szCs w:val="21"/>
          <w:lang w:val="en-US" w:eastAsia="zh-CN" w:bidi="ar-SA"/>
        </w:rPr>
      </w:rPrChange>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2"/>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51"/>
    <w:qFormat/>
    <w:uiPriority w:val="0"/>
    <w:pPr>
      <w:spacing w:before="240" w:after="60"/>
      <w:jc w:val="center"/>
      <w:outlineLvl w:val="0"/>
    </w:pPr>
    <w:rPr>
      <w:rFonts w:ascii="Arial" w:hAnsi="Arial" w:cs="Arial"/>
      <w:b/>
      <w:bCs/>
      <w:sz w:val="32"/>
      <w:szCs w:val="32"/>
    </w:rPr>
  </w:style>
  <w:style w:type="paragraph" w:styleId="27">
    <w:name w:val="annotation subject"/>
    <w:basedOn w:val="13"/>
    <w:next w:val="13"/>
    <w:link w:val="236"/>
    <w:semiHidden/>
    <w:unhideWhenUsed/>
    <w:uiPriority w:val="99"/>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annotation reference"/>
    <w:basedOn w:val="30"/>
    <w:semiHidden/>
    <w:unhideWhenUsed/>
    <w:uiPriority w:val="99"/>
    <w:rPr>
      <w:sz w:val="21"/>
      <w:szCs w:val="21"/>
    </w:rPr>
  </w:style>
  <w:style w:type="character" w:styleId="36">
    <w:name w:val="footnote reference"/>
    <w:semiHidden/>
    <w:qFormat/>
    <w:uiPriority w:val="0"/>
    <w:rPr>
      <w:rFonts w:ascii="宋体" w:hAnsi="宋体" w:eastAsia="宋体" w:cs="Times New Roman"/>
      <w:spacing w:val="0"/>
      <w:sz w:val="18"/>
      <w:vertAlign w:val="superscript"/>
    </w:rPr>
  </w:style>
  <w:style w:type="character" w:customStyle="1" w:styleId="37">
    <w:name w:val="标题 1 字符"/>
    <w:link w:val="2"/>
    <w:qFormat/>
    <w:uiPriority w:val="0"/>
    <w:rPr>
      <w:b/>
      <w:bCs/>
      <w:kern w:val="44"/>
      <w:sz w:val="44"/>
      <w:szCs w:val="44"/>
    </w:rPr>
  </w:style>
  <w:style w:type="character" w:customStyle="1" w:styleId="38">
    <w:name w:val="标题 2 字符"/>
    <w:link w:val="3"/>
    <w:qFormat/>
    <w:uiPriority w:val="0"/>
    <w:rPr>
      <w:rFonts w:ascii="Arial" w:hAnsi="Arial" w:eastAsia="黑体"/>
      <w:b/>
      <w:bCs/>
      <w:kern w:val="2"/>
      <w:sz w:val="32"/>
      <w:szCs w:val="32"/>
    </w:rPr>
  </w:style>
  <w:style w:type="character" w:customStyle="1" w:styleId="39">
    <w:name w:val="标题 3 字符"/>
    <w:link w:val="4"/>
    <w:qFormat/>
    <w:uiPriority w:val="0"/>
    <w:rPr>
      <w:b/>
      <w:bCs/>
      <w:kern w:val="2"/>
      <w:sz w:val="32"/>
      <w:szCs w:val="32"/>
    </w:rPr>
  </w:style>
  <w:style w:type="character" w:customStyle="1" w:styleId="40">
    <w:name w:val="标题 4 字符"/>
    <w:link w:val="5"/>
    <w:qFormat/>
    <w:uiPriority w:val="0"/>
    <w:rPr>
      <w:rFonts w:ascii="Arial" w:hAnsi="Arial" w:eastAsia="黑体"/>
      <w:b/>
      <w:bCs/>
      <w:kern w:val="2"/>
      <w:sz w:val="28"/>
      <w:szCs w:val="28"/>
    </w:rPr>
  </w:style>
  <w:style w:type="character" w:customStyle="1" w:styleId="41">
    <w:name w:val="标题 5 字符"/>
    <w:link w:val="6"/>
    <w:qFormat/>
    <w:uiPriority w:val="0"/>
    <w:rPr>
      <w:b/>
      <w:bCs/>
      <w:kern w:val="2"/>
      <w:sz w:val="28"/>
      <w:szCs w:val="28"/>
    </w:rPr>
  </w:style>
  <w:style w:type="character" w:customStyle="1" w:styleId="42">
    <w:name w:val="标题 6 字符"/>
    <w:link w:val="7"/>
    <w:qFormat/>
    <w:uiPriority w:val="0"/>
    <w:rPr>
      <w:rFonts w:ascii="Arial" w:hAnsi="Arial" w:eastAsia="黑体"/>
      <w:b/>
      <w:bCs/>
      <w:kern w:val="2"/>
      <w:sz w:val="24"/>
      <w:szCs w:val="24"/>
    </w:rPr>
  </w:style>
  <w:style w:type="character" w:customStyle="1" w:styleId="43">
    <w:name w:val="标题 7 字符"/>
    <w:link w:val="8"/>
    <w:qFormat/>
    <w:uiPriority w:val="0"/>
    <w:rPr>
      <w:b/>
      <w:bCs/>
      <w:kern w:val="2"/>
      <w:sz w:val="24"/>
      <w:szCs w:val="24"/>
    </w:rPr>
  </w:style>
  <w:style w:type="character" w:customStyle="1" w:styleId="44">
    <w:name w:val="标题 8 字符"/>
    <w:link w:val="9"/>
    <w:qFormat/>
    <w:uiPriority w:val="0"/>
    <w:rPr>
      <w:rFonts w:ascii="Arial" w:hAnsi="Arial" w:eastAsia="黑体"/>
      <w:kern w:val="2"/>
      <w:sz w:val="24"/>
      <w:szCs w:val="24"/>
    </w:rPr>
  </w:style>
  <w:style w:type="character" w:customStyle="1" w:styleId="45">
    <w:name w:val="标题 9 字符"/>
    <w:link w:val="10"/>
    <w:qFormat/>
    <w:uiPriority w:val="0"/>
    <w:rPr>
      <w:rFonts w:ascii="Arial" w:hAnsi="Arial" w:eastAsia="黑体"/>
      <w:kern w:val="2"/>
      <w:sz w:val="21"/>
      <w:szCs w:val="21"/>
    </w:rPr>
  </w:style>
  <w:style w:type="character" w:customStyle="1" w:styleId="46">
    <w:name w:val="页眉 字符"/>
    <w:link w:val="19"/>
    <w:qFormat/>
    <w:uiPriority w:val="99"/>
    <w:rPr>
      <w:kern w:val="2"/>
      <w:sz w:val="18"/>
      <w:szCs w:val="18"/>
    </w:rPr>
  </w:style>
  <w:style w:type="character" w:customStyle="1" w:styleId="47">
    <w:name w:val="页脚 字符"/>
    <w:link w:val="18"/>
    <w:qFormat/>
    <w:uiPriority w:val="99"/>
    <w:rPr>
      <w:rFonts w:ascii="宋体"/>
      <w:kern w:val="2"/>
      <w:sz w:val="18"/>
      <w:szCs w:val="18"/>
    </w:rPr>
  </w:style>
  <w:style w:type="character" w:customStyle="1" w:styleId="48">
    <w:name w:val="批注框文本 字符"/>
    <w:link w:val="17"/>
    <w:semiHidden/>
    <w:qFormat/>
    <w:uiPriority w:val="99"/>
    <w:rPr>
      <w:kern w:val="2"/>
      <w:sz w:val="18"/>
      <w:szCs w:val="18"/>
    </w:rPr>
  </w:style>
  <w:style w:type="paragraph" w:styleId="49">
    <w:name w:val="Quote"/>
    <w:basedOn w:val="1"/>
    <w:next w:val="1"/>
    <w:link w:val="50"/>
    <w:qFormat/>
    <w:uiPriority w:val="29"/>
    <w:rPr>
      <w:i/>
      <w:iCs/>
      <w:color w:val="000000"/>
    </w:rPr>
  </w:style>
  <w:style w:type="character" w:customStyle="1" w:styleId="50">
    <w:name w:val="引用 字符"/>
    <w:link w:val="49"/>
    <w:qFormat/>
    <w:uiPriority w:val="29"/>
    <w:rPr>
      <w:i/>
      <w:iCs/>
      <w:color w:val="000000"/>
      <w:kern w:val="2"/>
      <w:sz w:val="21"/>
      <w:szCs w:val="21"/>
    </w:rPr>
  </w:style>
  <w:style w:type="character" w:customStyle="1" w:styleId="51">
    <w:name w:val="标题 字符"/>
    <w:link w:val="26"/>
    <w:qFormat/>
    <w:uiPriority w:val="0"/>
    <w:rPr>
      <w:rFonts w:ascii="Arial" w:hAnsi="Arial" w:cs="Arial"/>
      <w:b/>
      <w:bCs/>
      <w:kern w:val="2"/>
      <w:sz w:val="32"/>
      <w:szCs w:val="32"/>
    </w:rPr>
  </w:style>
  <w:style w:type="paragraph" w:customStyle="1" w:styleId="52">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3">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4">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5">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6">
    <w:name w:val="标准书眉一"/>
    <w:qFormat/>
    <w:uiPriority w:val="0"/>
    <w:pPr>
      <w:jc w:val="both"/>
    </w:pPr>
    <w:rPr>
      <w:rFonts w:ascii="Times New Roman" w:hAnsi="Times New Roman" w:eastAsia="宋体" w:cs="Times New Roman"/>
      <w:lang w:val="en-US" w:eastAsia="zh-CN" w:bidi="ar-SA"/>
    </w:rPr>
  </w:style>
  <w:style w:type="paragraph" w:customStyle="1" w:styleId="57">
    <w:name w:val="标准文件_ICS"/>
    <w:basedOn w:val="1"/>
    <w:qFormat/>
    <w:uiPriority w:val="0"/>
    <w:pPr>
      <w:spacing w:line="0" w:lineRule="atLeast"/>
    </w:pPr>
    <w:rPr>
      <w:rFonts w:ascii="黑体" w:hAnsi="宋体" w:eastAsia="黑体"/>
    </w:rPr>
  </w:style>
  <w:style w:type="paragraph" w:customStyle="1" w:styleId="58">
    <w:name w:val="标准文件_标准正文"/>
    <w:basedOn w:val="1"/>
    <w:next w:val="59"/>
    <w:qFormat/>
    <w:uiPriority w:val="0"/>
    <w:pPr>
      <w:snapToGrid w:val="0"/>
      <w:ind w:firstLine="200" w:firstLineChars="200"/>
    </w:pPr>
    <w:rPr>
      <w:kern w:val="0"/>
    </w:rPr>
  </w:style>
  <w:style w:type="paragraph" w:customStyle="1" w:styleId="59">
    <w:name w:val="标准文件_段"/>
    <w:link w:val="187"/>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60">
    <w:name w:val="标准文件_版本"/>
    <w:basedOn w:val="58"/>
    <w:qFormat/>
    <w:uiPriority w:val="0"/>
    <w:pPr>
      <w:adjustRightInd/>
      <w:snapToGrid/>
      <w:ind w:firstLine="0" w:firstLineChars="0"/>
    </w:pPr>
    <w:rPr>
      <w:rFonts w:ascii="宋体" w:hAnsi="宋体"/>
      <w:kern w:val="2"/>
    </w:rPr>
  </w:style>
  <w:style w:type="paragraph" w:customStyle="1" w:styleId="61">
    <w:name w:val="标准文件_标准部门"/>
    <w:basedOn w:val="1"/>
    <w:qFormat/>
    <w:uiPriority w:val="0"/>
    <w:pPr>
      <w:jc w:val="center"/>
    </w:pPr>
    <w:rPr>
      <w:rFonts w:ascii="黑体" w:eastAsia="黑体"/>
      <w:kern w:val="0"/>
      <w:sz w:val="44"/>
    </w:rPr>
  </w:style>
  <w:style w:type="paragraph" w:customStyle="1" w:styleId="62">
    <w:name w:val="标准文件_标准代替"/>
    <w:basedOn w:val="1"/>
    <w:next w:val="1"/>
    <w:qFormat/>
    <w:uiPriority w:val="0"/>
    <w:pPr>
      <w:spacing w:line="310" w:lineRule="exact"/>
      <w:jc w:val="right"/>
    </w:pPr>
    <w:rPr>
      <w:rFonts w:ascii="宋体" w:hAnsi="宋体"/>
      <w:kern w:val="0"/>
    </w:rPr>
  </w:style>
  <w:style w:type="paragraph" w:customStyle="1" w:styleId="63">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9"/>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qFormat/>
    <w:uiPriority w:val="0"/>
    <w:rPr>
      <w:rFonts w:ascii="黑体" w:eastAsia="黑体"/>
      <w:spacing w:val="0"/>
      <w:w w:val="100"/>
      <w:position w:val="3"/>
      <w:sz w:val="28"/>
    </w:rPr>
  </w:style>
  <w:style w:type="paragraph" w:customStyle="1" w:styleId="70">
    <w:name w:val="标准文件_方框数字列项"/>
    <w:basedOn w:val="59"/>
    <w:qFormat/>
    <w:uiPriority w:val="0"/>
    <w:pPr>
      <w:numPr>
        <w:ilvl w:val="0"/>
        <w:numId w:val="3"/>
      </w:numPr>
      <w:ind w:firstLine="0" w:firstLineChars="0"/>
    </w:pPr>
  </w:style>
  <w:style w:type="paragraph" w:customStyle="1" w:styleId="71">
    <w:name w:val="标准文件_封面标准编号"/>
    <w:basedOn w:val="1"/>
    <w:next w:val="62"/>
    <w:qFormat/>
    <w:uiPriority w:val="0"/>
    <w:pPr>
      <w:spacing w:line="310" w:lineRule="exact"/>
      <w:jc w:val="right"/>
    </w:pPr>
    <w:rPr>
      <w:rFonts w:ascii="黑体" w:eastAsia="黑体"/>
      <w:kern w:val="0"/>
      <w:sz w:val="28"/>
    </w:rPr>
  </w:style>
  <w:style w:type="paragraph" w:customStyle="1" w:styleId="72">
    <w:name w:val="标准文件_封面标准分类号"/>
    <w:basedOn w:val="1"/>
    <w:qFormat/>
    <w:uiPriority w:val="0"/>
    <w:rPr>
      <w:rFonts w:ascii="黑体" w:eastAsia="黑体"/>
      <w:b/>
      <w:kern w:val="0"/>
      <w:sz w:val="28"/>
    </w:rPr>
  </w:style>
  <w:style w:type="paragraph" w:customStyle="1" w:styleId="73">
    <w:name w:val="标准文件_封面标准名称"/>
    <w:basedOn w:val="1"/>
    <w:qFormat/>
    <w:uiPriority w:val="0"/>
    <w:pPr>
      <w:spacing w:line="240" w:lineRule="auto"/>
      <w:jc w:val="center"/>
    </w:pPr>
    <w:rPr>
      <w:rFonts w:ascii="黑体" w:eastAsia="黑体"/>
      <w:kern w:val="0"/>
      <w:sz w:val="52"/>
    </w:rPr>
  </w:style>
  <w:style w:type="paragraph" w:customStyle="1" w:styleId="74">
    <w:name w:val="标准文件_封面标准英文名称"/>
    <w:basedOn w:val="1"/>
    <w:qFormat/>
    <w:uiPriority w:val="0"/>
    <w:pPr>
      <w:spacing w:line="240" w:lineRule="auto"/>
      <w:jc w:val="center"/>
    </w:pPr>
    <w:rPr>
      <w:rFonts w:ascii="黑体" w:eastAsia="黑体"/>
      <w:b/>
      <w:sz w:val="28"/>
    </w:rPr>
  </w:style>
  <w:style w:type="paragraph" w:customStyle="1" w:styleId="75">
    <w:name w:val="标准文件_封面发布日期"/>
    <w:basedOn w:val="1"/>
    <w:qFormat/>
    <w:uiPriority w:val="0"/>
    <w:pPr>
      <w:spacing w:line="310" w:lineRule="exact"/>
    </w:pPr>
    <w:rPr>
      <w:rFonts w:ascii="黑体" w:eastAsia="黑体"/>
      <w:kern w:val="0"/>
      <w:sz w:val="28"/>
    </w:rPr>
  </w:style>
  <w:style w:type="paragraph" w:customStyle="1" w:styleId="76">
    <w:name w:val="标准文件_封面密级"/>
    <w:basedOn w:val="1"/>
    <w:qFormat/>
    <w:uiPriority w:val="0"/>
    <w:rPr>
      <w:rFonts w:eastAsia="黑体"/>
      <w:sz w:val="32"/>
    </w:rPr>
  </w:style>
  <w:style w:type="paragraph" w:customStyle="1" w:styleId="77">
    <w:name w:val="标准文件_封面实施日期"/>
    <w:basedOn w:val="1"/>
    <w:qFormat/>
    <w:uiPriority w:val="0"/>
    <w:pPr>
      <w:spacing w:line="310" w:lineRule="exact"/>
      <w:jc w:val="right"/>
    </w:pPr>
    <w:rPr>
      <w:rFonts w:ascii="黑体" w:eastAsia="黑体"/>
      <w:sz w:val="28"/>
    </w:rPr>
  </w:style>
  <w:style w:type="paragraph" w:customStyle="1" w:styleId="78">
    <w:name w:val="标准文件_封面抬头"/>
    <w:basedOn w:val="59"/>
    <w:qFormat/>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9"/>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9"/>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9"/>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9"/>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8"/>
    <w:next w:val="58"/>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9"/>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9"/>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9"/>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9"/>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9">
    <w:name w:val="正文文本 字符"/>
    <w:link w:val="14"/>
    <w:qFormat/>
    <w:uiPriority w:val="0"/>
    <w:rPr>
      <w:kern w:val="2"/>
      <w:sz w:val="21"/>
      <w:szCs w:val="21"/>
    </w:rPr>
  </w:style>
  <w:style w:type="paragraph" w:customStyle="1" w:styleId="90">
    <w:name w:val="标准文件_附录章标题"/>
    <w:next w:val="59"/>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1">
    <w:name w:val="标准文件_公式后的破折号"/>
    <w:basedOn w:val="59"/>
    <w:next w:val="59"/>
    <w:qFormat/>
    <w:uiPriority w:val="0"/>
    <w:pPr>
      <w:ind w:left="488" w:leftChars="200" w:hanging="289" w:hangingChars="290"/>
    </w:pPr>
  </w:style>
  <w:style w:type="paragraph" w:customStyle="1" w:styleId="92">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3">
    <w:name w:val="标准文件_目次、标准名称标题"/>
    <w:basedOn w:val="92"/>
    <w:next w:val="59"/>
    <w:qFormat/>
    <w:uiPriority w:val="0"/>
    <w:pPr>
      <w:spacing w:line="460" w:lineRule="exact"/>
      <w:ind w:left="0" w:firstLine="0"/>
    </w:pPr>
  </w:style>
  <w:style w:type="paragraph" w:customStyle="1" w:styleId="94">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5">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6">
    <w:name w:val="标准文件_破折号列项（二级）"/>
    <w:basedOn w:val="95"/>
    <w:qFormat/>
    <w:uiPriority w:val="0"/>
    <w:pPr>
      <w:numPr>
        <w:numId w:val="10"/>
      </w:numPr>
    </w:pPr>
  </w:style>
  <w:style w:type="paragraph" w:customStyle="1" w:styleId="97">
    <w:name w:val="标准文件_三级条标题"/>
    <w:basedOn w:val="68"/>
    <w:next w:val="59"/>
    <w:qFormat/>
    <w:uiPriority w:val="0"/>
    <w:pPr>
      <w:widowControl/>
      <w:numPr>
        <w:ilvl w:val="4"/>
      </w:numPr>
      <w:outlineLvl w:val="3"/>
    </w:pPr>
  </w:style>
  <w:style w:type="character" w:customStyle="1" w:styleId="98">
    <w:name w:val="不明显参考1"/>
    <w:qFormat/>
    <w:uiPriority w:val="31"/>
    <w:rPr>
      <w:smallCaps/>
      <w:color w:val="C0504D"/>
      <w:u w:val="single"/>
    </w:rPr>
  </w:style>
  <w:style w:type="paragraph" w:customStyle="1" w:styleId="99">
    <w:name w:val="标准文件_示例后续"/>
    <w:basedOn w:val="1"/>
    <w:qFormat/>
    <w:uiPriority w:val="0"/>
    <w:pPr>
      <w:adjustRightInd/>
      <w:spacing w:line="240" w:lineRule="auto"/>
      <w:ind w:firstLine="200" w:firstLineChars="200"/>
    </w:pPr>
    <w:rPr>
      <w:sz w:val="18"/>
      <w:szCs w:val="24"/>
    </w:rPr>
  </w:style>
  <w:style w:type="paragraph" w:customStyle="1" w:styleId="100">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1">
    <w:name w:val="标准文件_四级条标题"/>
    <w:next w:val="59"/>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2">
    <w:name w:val="脚注文本 字符"/>
    <w:link w:val="22"/>
    <w:semiHidden/>
    <w:qFormat/>
    <w:uiPriority w:val="0"/>
    <w:rPr>
      <w:rFonts w:ascii="宋体"/>
      <w:kern w:val="2"/>
      <w:sz w:val="18"/>
      <w:szCs w:val="18"/>
    </w:rPr>
  </w:style>
  <w:style w:type="paragraph" w:customStyle="1" w:styleId="103">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4">
    <w:name w:val="标准文件_图表脚注"/>
    <w:basedOn w:val="1"/>
    <w:next w:val="59"/>
    <w:qFormat/>
    <w:uiPriority w:val="0"/>
    <w:pPr>
      <w:numPr>
        <w:ilvl w:val="0"/>
        <w:numId w:val="12"/>
      </w:numPr>
      <w:spacing w:line="240" w:lineRule="auto"/>
      <w:jc w:val="left"/>
    </w:pPr>
    <w:rPr>
      <w:rFonts w:ascii="宋体" w:hAnsi="宋体"/>
      <w:sz w:val="18"/>
    </w:rPr>
  </w:style>
  <w:style w:type="character" w:customStyle="1" w:styleId="105">
    <w:name w:val="标准文件_图表脚注内容"/>
    <w:qFormat/>
    <w:uiPriority w:val="0"/>
    <w:rPr>
      <w:rFonts w:ascii="宋体" w:hAnsi="宋体" w:eastAsia="宋体" w:cs="Times New Roman"/>
      <w:spacing w:val="0"/>
      <w:sz w:val="18"/>
      <w:vertAlign w:val="superscript"/>
    </w:rPr>
  </w:style>
  <w:style w:type="paragraph" w:customStyle="1" w:styleId="106">
    <w:name w:val="标准文件_五级条标题"/>
    <w:next w:val="59"/>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7">
    <w:name w:val="标准文件_章标题"/>
    <w:next w:val="59"/>
    <w:qFormat/>
    <w:uiPriority w:val="0"/>
    <w:pPr>
      <w:numPr>
        <w:ilvl w:val="1"/>
        <w:numId w:val="2"/>
      </w:numPr>
      <w:spacing w:before="100" w:beforeLines="100" w:after="100" w:afterLines="100"/>
      <w:ind w:left="0"/>
      <w:jc w:val="both"/>
      <w:outlineLvl w:val="0"/>
    </w:pPr>
    <w:rPr>
      <w:rFonts w:ascii="黑体" w:hAnsi="Times New Roman" w:eastAsia="黑体" w:cs="Times New Roman"/>
      <w:sz w:val="21"/>
      <w:lang w:val="en-US" w:eastAsia="zh-CN" w:bidi="ar-SA"/>
    </w:rPr>
  </w:style>
  <w:style w:type="paragraph" w:customStyle="1" w:styleId="108">
    <w:name w:val="标准文件_一级条标题"/>
    <w:basedOn w:val="107"/>
    <w:next w:val="59"/>
    <w:qFormat/>
    <w:uiPriority w:val="0"/>
    <w:pPr>
      <w:numPr>
        <w:ilvl w:val="2"/>
      </w:numPr>
      <w:spacing w:before="50" w:beforeLines="50" w:after="50" w:afterLines="50"/>
      <w:outlineLvl w:val="1"/>
    </w:pPr>
  </w:style>
  <w:style w:type="paragraph" w:customStyle="1" w:styleId="109">
    <w:name w:val="标准文件_一致程度"/>
    <w:basedOn w:val="1"/>
    <w:qFormat/>
    <w:uiPriority w:val="0"/>
    <w:pPr>
      <w:spacing w:line="440" w:lineRule="exact"/>
      <w:jc w:val="center"/>
    </w:pPr>
    <w:rPr>
      <w:sz w:val="28"/>
    </w:rPr>
  </w:style>
  <w:style w:type="paragraph" w:customStyle="1" w:styleId="110">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1">
    <w:name w:val="标准文件_英文图表脚注"/>
    <w:basedOn w:val="58"/>
    <w:qFormat/>
    <w:uiPriority w:val="0"/>
    <w:pPr>
      <w:widowControl/>
      <w:adjustRightInd/>
      <w:snapToGrid/>
      <w:spacing w:line="240" w:lineRule="auto"/>
      <w:ind w:left="79" w:hanging="79" w:hangingChars="80"/>
    </w:pPr>
    <w:rPr>
      <w:rFonts w:ascii="宋体" w:hAnsi="宋体"/>
    </w:rPr>
  </w:style>
  <w:style w:type="paragraph" w:customStyle="1" w:styleId="112">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3">
    <w:name w:val="标准文件_英文注："/>
    <w:basedOn w:val="1"/>
    <w:next w:val="59"/>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4">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5">
    <w:name w:val="标准文件_正文表标题"/>
    <w:next w:val="59"/>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公式"/>
    <w:basedOn w:val="1"/>
    <w:next w:val="58"/>
    <w:qFormat/>
    <w:uiPriority w:val="0"/>
    <w:pPr>
      <w:tabs>
        <w:tab w:val="center" w:pos="4678"/>
        <w:tab w:val="right" w:leader="middleDot" w:pos="9356"/>
      </w:tabs>
      <w:spacing w:line="240" w:lineRule="auto"/>
    </w:pPr>
    <w:rPr>
      <w:rFonts w:ascii="宋体" w:hAnsi="宋体"/>
    </w:rPr>
  </w:style>
  <w:style w:type="paragraph" w:customStyle="1" w:styleId="117">
    <w:name w:val="标准文件_正文图标题"/>
    <w:next w:val="59"/>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英文表标题"/>
    <w:next w:val="59"/>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9">
    <w:name w:val="标准文件_正文英文图标题"/>
    <w:next w:val="59"/>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0">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1">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2">
    <w:name w:val="发布部门"/>
    <w:next w:val="59"/>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3">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4">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5">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8">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9">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0">
    <w:name w:val="封面正文"/>
    <w:qFormat/>
    <w:uiPriority w:val="0"/>
    <w:pPr>
      <w:jc w:val="both"/>
    </w:pPr>
    <w:rPr>
      <w:rFonts w:ascii="Times New Roman" w:hAnsi="Times New Roman" w:eastAsia="宋体" w:cs="Times New Roman"/>
      <w:lang w:val="en-US" w:eastAsia="zh-CN" w:bidi="ar-SA"/>
    </w:rPr>
  </w:style>
  <w:style w:type="paragraph" w:customStyle="1" w:styleId="131">
    <w:name w:val="附录二级无标题条"/>
    <w:basedOn w:val="1"/>
    <w:next w:val="59"/>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2">
    <w:name w:val="附录三级无标题条"/>
    <w:basedOn w:val="131"/>
    <w:next w:val="59"/>
    <w:qFormat/>
    <w:uiPriority w:val="0"/>
    <w:pPr>
      <w:outlineLvl w:val="4"/>
    </w:pPr>
  </w:style>
  <w:style w:type="paragraph" w:customStyle="1" w:styleId="133">
    <w:name w:val="附录四级无标题条"/>
    <w:basedOn w:val="132"/>
    <w:next w:val="59"/>
    <w:qFormat/>
    <w:uiPriority w:val="0"/>
    <w:pPr>
      <w:outlineLvl w:val="5"/>
    </w:pPr>
  </w:style>
  <w:style w:type="paragraph" w:customStyle="1" w:styleId="134">
    <w:name w:val="附录图"/>
    <w:next w:val="59"/>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5">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6">
    <w:name w:val="附录五级无标题条"/>
    <w:basedOn w:val="133"/>
    <w:next w:val="59"/>
    <w:qFormat/>
    <w:uiPriority w:val="0"/>
    <w:pPr>
      <w:outlineLvl w:val="6"/>
    </w:pPr>
  </w:style>
  <w:style w:type="paragraph" w:customStyle="1" w:styleId="137">
    <w:name w:val="附录性质"/>
    <w:basedOn w:val="1"/>
    <w:qFormat/>
    <w:uiPriority w:val="0"/>
    <w:pPr>
      <w:widowControl/>
      <w:adjustRightInd/>
      <w:jc w:val="center"/>
    </w:pPr>
    <w:rPr>
      <w:rFonts w:ascii="黑体" w:eastAsia="黑体"/>
    </w:rPr>
  </w:style>
  <w:style w:type="paragraph" w:customStyle="1" w:styleId="138">
    <w:name w:val="附录一级无标题条"/>
    <w:basedOn w:val="90"/>
    <w:next w:val="59"/>
    <w:qFormat/>
    <w:uiPriority w:val="0"/>
    <w:pPr>
      <w:autoSpaceDN w:val="0"/>
      <w:outlineLvl w:val="2"/>
    </w:pPr>
    <w:rPr>
      <w:rFonts w:ascii="宋体" w:hAnsi="宋体" w:eastAsia="宋体"/>
    </w:rPr>
  </w:style>
  <w:style w:type="character" w:customStyle="1" w:styleId="139">
    <w:name w:val="个人答复风格"/>
    <w:qFormat/>
    <w:uiPriority w:val="0"/>
    <w:rPr>
      <w:rFonts w:ascii="Arial" w:hAnsi="Arial" w:eastAsia="宋体" w:cs="Arial"/>
      <w:color w:val="auto"/>
      <w:spacing w:val="0"/>
      <w:sz w:val="20"/>
    </w:rPr>
  </w:style>
  <w:style w:type="character" w:customStyle="1" w:styleId="140">
    <w:name w:val="个人撰写风格"/>
    <w:qFormat/>
    <w:uiPriority w:val="0"/>
    <w:rPr>
      <w:rFonts w:ascii="Arial" w:hAnsi="Arial" w:eastAsia="宋体" w:cs="Arial"/>
      <w:color w:val="auto"/>
      <w:spacing w:val="0"/>
      <w:sz w:val="20"/>
    </w:rPr>
  </w:style>
  <w:style w:type="paragraph" w:customStyle="1" w:styleId="141">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2">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3">
    <w:name w:val="列项·"/>
    <w:basedOn w:val="59"/>
    <w:qFormat/>
    <w:uiPriority w:val="0"/>
    <w:pPr>
      <w:tabs>
        <w:tab w:val="left" w:pos="840"/>
      </w:tabs>
    </w:pPr>
  </w:style>
  <w:style w:type="paragraph" w:customStyle="1" w:styleId="14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5">
    <w:name w:val="目录 21"/>
    <w:basedOn w:val="1"/>
    <w:next w:val="1"/>
    <w:autoRedefine/>
    <w:semiHidden/>
    <w:qFormat/>
    <w:uiPriority w:val="0"/>
    <w:pPr>
      <w:adjustRightInd/>
      <w:spacing w:line="240" w:lineRule="auto"/>
      <w:jc w:val="left"/>
    </w:pPr>
    <w:rPr>
      <w:bCs/>
      <w:iCs/>
    </w:rPr>
  </w:style>
  <w:style w:type="paragraph" w:customStyle="1" w:styleId="146">
    <w:name w:val="目录 31"/>
    <w:basedOn w:val="1"/>
    <w:next w:val="1"/>
    <w:autoRedefine/>
    <w:semiHidden/>
    <w:qFormat/>
    <w:uiPriority w:val="0"/>
    <w:pPr>
      <w:spacing w:line="240" w:lineRule="auto"/>
    </w:pPr>
    <w:rPr>
      <w:rFonts w:ascii="宋体" w:hAnsi="宋体"/>
      <w:iCs/>
    </w:rPr>
  </w:style>
  <w:style w:type="paragraph" w:customStyle="1" w:styleId="147">
    <w:name w:val="目录 41"/>
    <w:basedOn w:val="1"/>
    <w:next w:val="1"/>
    <w:autoRedefine/>
    <w:semiHidden/>
    <w:qFormat/>
    <w:uiPriority w:val="0"/>
    <w:pPr>
      <w:adjustRightInd/>
      <w:spacing w:line="240" w:lineRule="auto"/>
      <w:jc w:val="left"/>
    </w:pPr>
  </w:style>
  <w:style w:type="paragraph" w:customStyle="1" w:styleId="148">
    <w:name w:val="目录 51"/>
    <w:basedOn w:val="1"/>
    <w:next w:val="1"/>
    <w:autoRedefine/>
    <w:semiHidden/>
    <w:qFormat/>
    <w:uiPriority w:val="0"/>
    <w:pPr>
      <w:spacing w:line="240" w:lineRule="auto"/>
    </w:pPr>
    <w:rPr>
      <w:rFonts w:ascii="宋体" w:hAnsi="宋体"/>
    </w:rPr>
  </w:style>
  <w:style w:type="paragraph" w:customStyle="1" w:styleId="149">
    <w:name w:val="目录 61"/>
    <w:basedOn w:val="1"/>
    <w:next w:val="1"/>
    <w:autoRedefine/>
    <w:semiHidden/>
    <w:qFormat/>
    <w:uiPriority w:val="0"/>
    <w:pPr>
      <w:adjustRightInd/>
      <w:spacing w:line="240" w:lineRule="auto"/>
      <w:jc w:val="left"/>
    </w:pPr>
  </w:style>
  <w:style w:type="paragraph" w:customStyle="1" w:styleId="150">
    <w:name w:val="目录 71"/>
    <w:basedOn w:val="149"/>
    <w:autoRedefine/>
    <w:semiHidden/>
    <w:qFormat/>
    <w:uiPriority w:val="0"/>
    <w:pPr>
      <w:ind w:left="1260"/>
    </w:pPr>
  </w:style>
  <w:style w:type="paragraph" w:customStyle="1" w:styleId="151">
    <w:name w:val="目录 81"/>
    <w:basedOn w:val="150"/>
    <w:autoRedefine/>
    <w:semiHidden/>
    <w:qFormat/>
    <w:uiPriority w:val="0"/>
    <w:pPr>
      <w:ind w:left="1470"/>
    </w:pPr>
  </w:style>
  <w:style w:type="paragraph" w:customStyle="1" w:styleId="152">
    <w:name w:val="目录 91"/>
    <w:basedOn w:val="151"/>
    <w:autoRedefine/>
    <w:semiHidden/>
    <w:qFormat/>
    <w:uiPriority w:val="0"/>
    <w:pPr>
      <w:ind w:left="1680"/>
    </w:pPr>
  </w:style>
  <w:style w:type="paragraph" w:customStyle="1" w:styleId="153">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4">
    <w:name w:val="其他发布部门"/>
    <w:basedOn w:val="122"/>
    <w:qFormat/>
    <w:uiPriority w:val="0"/>
    <w:pPr>
      <w:framePr w:wrap="around"/>
      <w:spacing w:line="0" w:lineRule="atLeast"/>
    </w:pPr>
    <w:rPr>
      <w:rFonts w:ascii="黑体" w:eastAsia="黑体"/>
      <w:b w:val="0"/>
    </w:rPr>
  </w:style>
  <w:style w:type="paragraph" w:customStyle="1" w:styleId="155">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6">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7">
    <w:name w:val="实施日期"/>
    <w:basedOn w:val="123"/>
    <w:qFormat/>
    <w:uiPriority w:val="0"/>
    <w:pPr>
      <w:framePr w:hSpace="0" w:wrap="around" w:xAlign="right"/>
      <w:jc w:val="right"/>
    </w:pPr>
  </w:style>
  <w:style w:type="paragraph" w:customStyle="1" w:styleId="158">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0">
    <w:name w:val="无标题条"/>
    <w:next w:val="59"/>
    <w:qFormat/>
    <w:uiPriority w:val="0"/>
    <w:pPr>
      <w:jc w:val="both"/>
    </w:pPr>
    <w:rPr>
      <w:rFonts w:ascii="宋体" w:hAnsi="宋体" w:eastAsia="宋体" w:cs="Times New Roman"/>
      <w:sz w:val="21"/>
      <w:lang w:val="en-US" w:eastAsia="zh-CN" w:bidi="ar-SA"/>
    </w:rPr>
  </w:style>
  <w:style w:type="paragraph" w:customStyle="1" w:styleId="161">
    <w:name w:val="五级无标题条"/>
    <w:basedOn w:val="1"/>
    <w:qFormat/>
    <w:uiPriority w:val="0"/>
    <w:pPr>
      <w:numPr>
        <w:ilvl w:val="6"/>
        <w:numId w:val="20"/>
      </w:numPr>
      <w:adjustRightInd/>
    </w:pPr>
    <w:rPr>
      <w:szCs w:val="24"/>
    </w:rPr>
  </w:style>
  <w:style w:type="paragraph" w:customStyle="1" w:styleId="162">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3">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4">
    <w:name w:val="注×:后续"/>
    <w:basedOn w:val="163"/>
    <w:qFormat/>
    <w:uiPriority w:val="0"/>
    <w:pPr>
      <w:ind w:left="1406" w:leftChars="0" w:hanging="499" w:firstLineChars="0"/>
    </w:pPr>
  </w:style>
  <w:style w:type="paragraph" w:customStyle="1" w:styleId="165">
    <w:name w:val="标准文件_一级无标题"/>
    <w:basedOn w:val="108"/>
    <w:qFormat/>
    <w:uiPriority w:val="0"/>
    <w:pPr>
      <w:spacing w:before="0" w:beforeLines="0" w:after="0" w:afterLines="0"/>
      <w:outlineLvl w:val="9"/>
    </w:pPr>
    <w:rPr>
      <w:rFonts w:ascii="宋体" w:eastAsia="宋体"/>
    </w:rPr>
  </w:style>
  <w:style w:type="paragraph" w:customStyle="1" w:styleId="166">
    <w:name w:val="标准文件_五级无标题"/>
    <w:basedOn w:val="106"/>
    <w:qFormat/>
    <w:uiPriority w:val="0"/>
    <w:pPr>
      <w:spacing w:before="0" w:beforeLines="0" w:after="0" w:afterLines="0"/>
      <w:outlineLvl w:val="9"/>
    </w:pPr>
    <w:rPr>
      <w:rFonts w:ascii="宋体" w:eastAsia="宋体"/>
    </w:rPr>
  </w:style>
  <w:style w:type="paragraph" w:customStyle="1" w:styleId="167">
    <w:name w:val="标准文件_三级无标题"/>
    <w:basedOn w:val="97"/>
    <w:qFormat/>
    <w:uiPriority w:val="0"/>
    <w:pPr>
      <w:spacing w:before="0" w:beforeLines="0" w:after="0" w:afterLines="0"/>
      <w:outlineLvl w:val="9"/>
    </w:pPr>
    <w:rPr>
      <w:rFonts w:ascii="宋体" w:eastAsia="宋体"/>
    </w:rPr>
  </w:style>
  <w:style w:type="paragraph" w:customStyle="1" w:styleId="168">
    <w:name w:val="标准文件_二级无标题"/>
    <w:basedOn w:val="68"/>
    <w:qFormat/>
    <w:uiPriority w:val="0"/>
    <w:pPr>
      <w:spacing w:before="0" w:beforeLines="0" w:after="0" w:afterLines="0"/>
      <w:outlineLvl w:val="9"/>
    </w:pPr>
    <w:rPr>
      <w:rFonts w:ascii="宋体" w:eastAsia="宋体"/>
    </w:rPr>
  </w:style>
  <w:style w:type="paragraph" w:customStyle="1" w:styleId="169">
    <w:name w:val="标准_四级无标题"/>
    <w:basedOn w:val="101"/>
    <w:next w:val="59"/>
    <w:qFormat/>
    <w:uiPriority w:val="0"/>
    <w:rPr>
      <w:rFonts w:eastAsia="宋体"/>
    </w:rPr>
  </w:style>
  <w:style w:type="paragraph" w:customStyle="1" w:styleId="170">
    <w:name w:val="标准文件_四级无标题"/>
    <w:basedOn w:val="101"/>
    <w:qFormat/>
    <w:uiPriority w:val="0"/>
    <w:pPr>
      <w:spacing w:before="0" w:beforeLines="0" w:after="0" w:afterLines="0"/>
      <w:outlineLvl w:val="9"/>
    </w:pPr>
    <w:rPr>
      <w:rFonts w:ascii="宋体" w:hAnsi="黑体" w:eastAsia="宋体"/>
      <w:szCs w:val="52"/>
    </w:rPr>
  </w:style>
  <w:style w:type="paragraph" w:customStyle="1" w:styleId="171">
    <w:name w:val="标准文件_大写罗马数字编号列项"/>
    <w:basedOn w:val="59"/>
    <w:qFormat/>
    <w:uiPriority w:val="0"/>
    <w:pPr>
      <w:numPr>
        <w:ilvl w:val="0"/>
        <w:numId w:val="23"/>
      </w:numPr>
      <w:ind w:firstLine="0" w:firstLineChars="0"/>
    </w:pPr>
    <w:rPr>
      <w:rFonts w:cs="Arial"/>
      <w:szCs w:val="28"/>
    </w:rPr>
  </w:style>
  <w:style w:type="paragraph" w:customStyle="1" w:styleId="172">
    <w:name w:val="标准文件_小写罗马数字编号列项"/>
    <w:basedOn w:val="59"/>
    <w:qFormat/>
    <w:uiPriority w:val="0"/>
    <w:pPr>
      <w:numPr>
        <w:ilvl w:val="0"/>
        <w:numId w:val="24"/>
      </w:numPr>
      <w:ind w:firstLine="0" w:firstLineChars="0"/>
    </w:pPr>
    <w:rPr>
      <w:rFonts w:cs="Arial"/>
      <w:szCs w:val="28"/>
    </w:rPr>
  </w:style>
  <w:style w:type="paragraph" w:customStyle="1" w:styleId="173">
    <w:name w:val="标准文件_附录标题"/>
    <w:basedOn w:val="79"/>
    <w:qFormat/>
    <w:uiPriority w:val="0"/>
    <w:pPr>
      <w:numPr>
        <w:numId w:val="0"/>
      </w:numPr>
      <w:spacing w:after="280"/>
      <w:outlineLvl w:val="9"/>
    </w:pPr>
  </w:style>
  <w:style w:type="paragraph" w:customStyle="1" w:styleId="174">
    <w:name w:val="标准文件_二级项"/>
    <w:qFormat/>
    <w:uiPriority w:val="0"/>
    <w:rPr>
      <w:rFonts w:ascii="宋体" w:hAnsi="Times New Roman" w:eastAsia="宋体" w:cs="Times New Roman"/>
      <w:sz w:val="21"/>
      <w:lang w:val="en-US" w:eastAsia="zh-CN" w:bidi="ar-SA"/>
    </w:rPr>
  </w:style>
  <w:style w:type="paragraph" w:customStyle="1" w:styleId="175">
    <w:name w:val="标准文件_三级项"/>
    <w:basedOn w:val="1"/>
    <w:qFormat/>
    <w:uiPriority w:val="0"/>
    <w:pPr>
      <w:numPr>
        <w:ilvl w:val="2"/>
        <w:numId w:val="21"/>
      </w:numPr>
      <w:spacing w:line="536870612" w:lineRule="auto"/>
    </w:pPr>
    <w:rPr>
      <w:rFonts w:ascii="Times New Roman" w:hAnsi="Times New Roman"/>
    </w:rPr>
  </w:style>
  <w:style w:type="paragraph" w:customStyle="1" w:styleId="176">
    <w:name w:val="图表脚注说明"/>
    <w:basedOn w:val="1"/>
    <w:next w:val="59"/>
    <w:qFormat/>
    <w:uiPriority w:val="0"/>
    <w:pPr>
      <w:numPr>
        <w:ilvl w:val="0"/>
        <w:numId w:val="25"/>
      </w:numPr>
      <w:adjustRightInd/>
      <w:spacing w:line="240" w:lineRule="auto"/>
    </w:pPr>
    <w:rPr>
      <w:rFonts w:ascii="宋体" w:hAnsi="Times New Roman"/>
      <w:sz w:val="18"/>
      <w:szCs w:val="18"/>
    </w:rPr>
  </w:style>
  <w:style w:type="paragraph" w:customStyle="1" w:styleId="177">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8">
    <w:name w:val="标准文件_索引字母"/>
    <w:next w:val="59"/>
    <w:qFormat/>
    <w:uiPriority w:val="0"/>
    <w:pPr>
      <w:jc w:val="center"/>
    </w:pPr>
    <w:rPr>
      <w:rFonts w:ascii="宋体" w:hAnsi="宋体" w:eastAsia="Times New Roman" w:cs="Times New Roman"/>
      <w:b/>
      <w:kern w:val="2"/>
      <w:sz w:val="21"/>
      <w:lang w:val="en-US" w:eastAsia="zh-CN" w:bidi="ar-SA"/>
    </w:rPr>
  </w:style>
  <w:style w:type="paragraph" w:customStyle="1" w:styleId="179">
    <w:name w:val="标准文件_附录前"/>
    <w:next w:val="59"/>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0">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1">
    <w:name w:val="标准文件_表格"/>
    <w:basedOn w:val="59"/>
    <w:qFormat/>
    <w:uiPriority w:val="0"/>
    <w:pPr>
      <w:ind w:firstLine="0" w:firstLineChars="0"/>
      <w:jc w:val="center"/>
    </w:pPr>
    <w:rPr>
      <w:sz w:val="18"/>
    </w:rPr>
  </w:style>
  <w:style w:type="paragraph" w:customStyle="1" w:styleId="182">
    <w:name w:val="标准文件_注："/>
    <w:next w:val="59"/>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示例："/>
    <w:next w:val="185"/>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5">
    <w:name w:val="标准文件_示例内容"/>
    <w:basedOn w:val="59"/>
    <w:qFormat/>
    <w:uiPriority w:val="0"/>
    <w:pPr>
      <w:ind w:firstLine="420"/>
    </w:pPr>
    <w:rPr>
      <w:sz w:val="18"/>
    </w:rPr>
  </w:style>
  <w:style w:type="paragraph" w:customStyle="1" w:styleId="186">
    <w:name w:val="标准文件_示例×："/>
    <w:basedOn w:val="1"/>
    <w:next w:val="185"/>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7">
    <w:name w:val="标准文件_段 Char"/>
    <w:link w:val="59"/>
    <w:qFormat/>
    <w:uiPriority w:val="0"/>
    <w:rPr>
      <w:rFonts w:ascii="Times New Roman" w:hAnsi="Times New Roman"/>
      <w:sz w:val="21"/>
    </w:rPr>
  </w:style>
  <w:style w:type="paragraph" w:customStyle="1" w:styleId="188">
    <w:name w:val="标准文件_表格续"/>
    <w:basedOn w:val="59"/>
    <w:next w:val="59"/>
    <w:qFormat/>
    <w:uiPriority w:val="0"/>
    <w:pPr>
      <w:jc w:val="center"/>
    </w:pPr>
    <w:rPr>
      <w:rFonts w:ascii="黑体" w:hAnsi="黑体" w:eastAsia="黑体"/>
    </w:rPr>
  </w:style>
  <w:style w:type="character" w:styleId="189">
    <w:name w:val="Placeholder Text"/>
    <w:basedOn w:val="30"/>
    <w:semiHidden/>
    <w:qFormat/>
    <w:uiPriority w:val="99"/>
    <w:rPr>
      <w:color w:val="808080"/>
    </w:rPr>
  </w:style>
  <w:style w:type="paragraph" w:customStyle="1" w:styleId="190">
    <w:name w:val="标准文件_二级项2"/>
    <w:basedOn w:val="59"/>
    <w:qFormat/>
    <w:uiPriority w:val="0"/>
    <w:pPr>
      <w:numPr>
        <w:ilvl w:val="1"/>
        <w:numId w:val="21"/>
      </w:numPr>
      <w:ind w:firstLine="0" w:firstLineChars="0"/>
    </w:pPr>
  </w:style>
  <w:style w:type="paragraph" w:customStyle="1" w:styleId="191">
    <w:name w:val="标准文件_三级项2"/>
    <w:basedOn w:val="59"/>
    <w:qFormat/>
    <w:uiPriority w:val="0"/>
    <w:pPr>
      <w:numPr>
        <w:ilvl w:val="0"/>
        <w:numId w:val="30"/>
      </w:numPr>
      <w:spacing w:line="300" w:lineRule="exact"/>
      <w:ind w:firstLineChars="0"/>
    </w:pPr>
  </w:style>
  <w:style w:type="paragraph" w:customStyle="1" w:styleId="192">
    <w:name w:val="标准文件_一级项2"/>
    <w:basedOn w:val="59"/>
    <w:qFormat/>
    <w:uiPriority w:val="0"/>
    <w:pPr>
      <w:numPr>
        <w:ilvl w:val="0"/>
        <w:numId w:val="31"/>
      </w:numPr>
      <w:spacing w:line="300" w:lineRule="exact"/>
      <w:ind w:firstLineChars="0"/>
    </w:pPr>
  </w:style>
  <w:style w:type="paragraph" w:customStyle="1" w:styleId="193">
    <w:name w:val="标准文件_提示"/>
    <w:basedOn w:val="59"/>
    <w:next w:val="59"/>
    <w:qFormat/>
    <w:uiPriority w:val="0"/>
    <w:pPr>
      <w:ind w:firstLine="420"/>
    </w:pPr>
    <w:rPr>
      <w:rFonts w:ascii="黑体" w:eastAsia="黑体"/>
    </w:rPr>
  </w:style>
  <w:style w:type="character" w:customStyle="1" w:styleId="194">
    <w:name w:val="标准文件_来源"/>
    <w:basedOn w:val="30"/>
    <w:qFormat/>
    <w:uiPriority w:val="1"/>
    <w:rPr>
      <w:rFonts w:eastAsia="宋体"/>
      <w:sz w:val="21"/>
    </w:rPr>
  </w:style>
  <w:style w:type="paragraph" w:customStyle="1" w:styleId="195">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6">
    <w:name w:val="其他发布日期"/>
    <w:basedOn w:val="123"/>
    <w:qFormat/>
    <w:uiPriority w:val="0"/>
    <w:pPr>
      <w:framePr w:w="3997" w:h="471" w:hRule="exact" w:hSpace="0" w:vSpace="181" w:wrap="around" w:vAnchor="page" w:hAnchor="page" w:x="1419" w:y="14097"/>
    </w:pPr>
  </w:style>
  <w:style w:type="paragraph" w:customStyle="1" w:styleId="197">
    <w:name w:val="其他实施日期"/>
    <w:basedOn w:val="157"/>
    <w:qFormat/>
    <w:uiPriority w:val="0"/>
    <w:pPr>
      <w:framePr w:w="3997" w:h="471" w:hRule="exact" w:vSpace="181" w:wrap="around" w:vAnchor="page" w:hAnchor="page" w:x="7089" w:y="14097"/>
    </w:pPr>
  </w:style>
  <w:style w:type="paragraph" w:customStyle="1" w:styleId="198">
    <w:name w:val="标准文件_文件编号"/>
    <w:basedOn w:val="59"/>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9">
    <w:name w:val="标准文件_替换文件编号"/>
    <w:basedOn w:val="198"/>
    <w:qFormat/>
    <w:uiPriority w:val="0"/>
    <w:pPr>
      <w:framePr/>
      <w:spacing w:before="57"/>
    </w:pPr>
    <w:rPr>
      <w:sz w:val="21"/>
    </w:rPr>
  </w:style>
  <w:style w:type="paragraph" w:customStyle="1" w:styleId="200">
    <w:name w:val="标准文件_文件名称"/>
    <w:basedOn w:val="59"/>
    <w:next w:val="59"/>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1">
    <w:name w:val="标准文件_附录图标号"/>
    <w:basedOn w:val="59"/>
    <w:next w:val="59"/>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2">
    <w:name w:val="标准文件_附录表标号"/>
    <w:basedOn w:val="59"/>
    <w:next w:val="59"/>
    <w:qFormat/>
    <w:uiPriority w:val="0"/>
    <w:pPr>
      <w:numPr>
        <w:ilvl w:val="0"/>
        <w:numId w:val="5"/>
      </w:numPr>
      <w:spacing w:line="14" w:lineRule="exact"/>
      <w:ind w:firstLine="0" w:firstLineChars="0"/>
      <w:jc w:val="center"/>
    </w:pPr>
    <w:rPr>
      <w:rFonts w:eastAsia="黑体"/>
      <w:vanish/>
      <w:sz w:val="2"/>
    </w:rPr>
  </w:style>
  <w:style w:type="paragraph" w:customStyle="1" w:styleId="203">
    <w:name w:val="标准文件_引言一级条标题"/>
    <w:basedOn w:val="59"/>
    <w:next w:val="59"/>
    <w:qFormat/>
    <w:uiPriority w:val="0"/>
    <w:pPr>
      <w:numPr>
        <w:ilvl w:val="1"/>
        <w:numId w:val="8"/>
      </w:numPr>
      <w:spacing w:before="50" w:beforeLines="50" w:after="50" w:afterLines="50"/>
      <w:ind w:firstLineChars="0"/>
    </w:pPr>
    <w:rPr>
      <w:rFonts w:ascii="黑体" w:eastAsia="黑体"/>
    </w:rPr>
  </w:style>
  <w:style w:type="paragraph" w:customStyle="1" w:styleId="204">
    <w:name w:val="标准文件_引言二级条标题"/>
    <w:basedOn w:val="59"/>
    <w:next w:val="59"/>
    <w:qFormat/>
    <w:uiPriority w:val="0"/>
    <w:pPr>
      <w:numPr>
        <w:ilvl w:val="2"/>
        <w:numId w:val="8"/>
      </w:numPr>
      <w:spacing w:before="50" w:beforeLines="50" w:after="50" w:afterLines="50"/>
      <w:ind w:firstLineChars="0"/>
    </w:pPr>
    <w:rPr>
      <w:rFonts w:ascii="黑体" w:eastAsia="黑体"/>
    </w:rPr>
  </w:style>
  <w:style w:type="paragraph" w:customStyle="1" w:styleId="205">
    <w:name w:val="标准文件_引言三级条标题"/>
    <w:basedOn w:val="59"/>
    <w:next w:val="59"/>
    <w:qFormat/>
    <w:uiPriority w:val="0"/>
    <w:pPr>
      <w:numPr>
        <w:ilvl w:val="3"/>
        <w:numId w:val="8"/>
      </w:numPr>
      <w:spacing w:before="50" w:beforeLines="50" w:after="50" w:afterLines="50"/>
      <w:ind w:firstLineChars="0"/>
    </w:pPr>
    <w:rPr>
      <w:rFonts w:ascii="黑体" w:eastAsia="黑体"/>
    </w:rPr>
  </w:style>
  <w:style w:type="paragraph" w:customStyle="1" w:styleId="206">
    <w:name w:val="标准文件_引言四级条标题"/>
    <w:basedOn w:val="59"/>
    <w:next w:val="59"/>
    <w:qFormat/>
    <w:uiPriority w:val="0"/>
    <w:pPr>
      <w:numPr>
        <w:ilvl w:val="4"/>
        <w:numId w:val="8"/>
      </w:numPr>
      <w:spacing w:before="50" w:beforeLines="50" w:after="50" w:afterLines="50"/>
      <w:ind w:firstLineChars="0"/>
    </w:pPr>
    <w:rPr>
      <w:rFonts w:ascii="黑体" w:eastAsia="黑体"/>
    </w:rPr>
  </w:style>
  <w:style w:type="paragraph" w:customStyle="1" w:styleId="207">
    <w:name w:val="标准文件_引言五级条标题"/>
    <w:basedOn w:val="59"/>
    <w:next w:val="59"/>
    <w:qFormat/>
    <w:uiPriority w:val="0"/>
    <w:pPr>
      <w:numPr>
        <w:ilvl w:val="5"/>
        <w:numId w:val="8"/>
      </w:numPr>
      <w:spacing w:before="50" w:beforeLines="50" w:after="50" w:afterLines="50"/>
      <w:ind w:firstLineChars="0"/>
    </w:pPr>
    <w:rPr>
      <w:rFonts w:ascii="黑体" w:eastAsia="黑体"/>
    </w:rPr>
  </w:style>
  <w:style w:type="paragraph" w:customStyle="1" w:styleId="208">
    <w:name w:val="标准文件_注后"/>
    <w:basedOn w:val="59"/>
    <w:qFormat/>
    <w:uiPriority w:val="0"/>
    <w:pPr>
      <w:ind w:left="811" w:firstLine="0" w:firstLineChars="0"/>
    </w:pPr>
    <w:rPr>
      <w:sz w:val="18"/>
    </w:rPr>
  </w:style>
  <w:style w:type="paragraph" w:customStyle="1" w:styleId="209">
    <w:name w:val="标准文件_注X后"/>
    <w:basedOn w:val="59"/>
    <w:qFormat/>
    <w:uiPriority w:val="0"/>
    <w:pPr>
      <w:ind w:left="811" w:firstLine="0" w:firstLineChars="0"/>
    </w:pPr>
    <w:rPr>
      <w:sz w:val="18"/>
    </w:rPr>
  </w:style>
  <w:style w:type="paragraph" w:customStyle="1" w:styleId="210">
    <w:name w:val="标准文件_示例后"/>
    <w:basedOn w:val="59"/>
    <w:qFormat/>
    <w:uiPriority w:val="0"/>
    <w:pPr>
      <w:ind w:left="964" w:firstLine="0" w:firstLineChars="0"/>
    </w:pPr>
    <w:rPr>
      <w:sz w:val="18"/>
    </w:rPr>
  </w:style>
  <w:style w:type="paragraph" w:customStyle="1" w:styleId="211">
    <w:name w:val="标准文件_示例X后"/>
    <w:basedOn w:val="59"/>
    <w:link w:val="212"/>
    <w:qFormat/>
    <w:uiPriority w:val="0"/>
    <w:pPr>
      <w:ind w:left="1049" w:firstLine="0" w:firstLineChars="0"/>
    </w:pPr>
    <w:rPr>
      <w:sz w:val="18"/>
    </w:rPr>
  </w:style>
  <w:style w:type="character" w:customStyle="1" w:styleId="212">
    <w:name w:val="标准文件_示例X后 字符"/>
    <w:basedOn w:val="187"/>
    <w:link w:val="211"/>
    <w:qFormat/>
    <w:uiPriority w:val="0"/>
    <w:rPr>
      <w:rFonts w:ascii="Times New Roman" w:hAnsi="Times New Roman"/>
      <w:sz w:val="18"/>
    </w:rPr>
  </w:style>
  <w:style w:type="paragraph" w:customStyle="1" w:styleId="213">
    <w:name w:val="标准文件_索引项"/>
    <w:basedOn w:val="59"/>
    <w:next w:val="59"/>
    <w:qFormat/>
    <w:uiPriority w:val="0"/>
    <w:pPr>
      <w:tabs>
        <w:tab w:val="right" w:leader="dot" w:pos="9356"/>
      </w:tabs>
      <w:ind w:left="210" w:hanging="210" w:firstLineChars="0"/>
      <w:jc w:val="left"/>
    </w:pPr>
  </w:style>
  <w:style w:type="paragraph" w:customStyle="1" w:styleId="214">
    <w:name w:val="标准文件_附录一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二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三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四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五级无标题"/>
    <w:basedOn w:val="87"/>
    <w:qFormat/>
    <w:uiPriority w:val="0"/>
    <w:pPr>
      <w:spacing w:before="0" w:beforeLines="0" w:after="0" w:afterLines="0" w:line="276" w:lineRule="auto"/>
      <w:outlineLvl w:val="9"/>
    </w:pPr>
    <w:rPr>
      <w:rFonts w:ascii="宋体" w:eastAsia="宋体"/>
    </w:rPr>
  </w:style>
  <w:style w:type="paragraph" w:customStyle="1" w:styleId="219">
    <w:name w:val="标准文件_引言一级无标题"/>
    <w:basedOn w:val="203"/>
    <w:next w:val="59"/>
    <w:qFormat/>
    <w:uiPriority w:val="0"/>
    <w:pPr>
      <w:spacing w:before="0" w:beforeLines="0" w:after="0" w:afterLines="0" w:line="276" w:lineRule="auto"/>
    </w:pPr>
    <w:rPr>
      <w:rFonts w:ascii="宋体" w:eastAsia="宋体"/>
    </w:rPr>
  </w:style>
  <w:style w:type="paragraph" w:customStyle="1" w:styleId="220">
    <w:name w:val="标准文件_引言二级无标题"/>
    <w:basedOn w:val="204"/>
    <w:next w:val="59"/>
    <w:qFormat/>
    <w:uiPriority w:val="0"/>
    <w:pPr>
      <w:spacing w:before="0" w:beforeLines="0" w:after="0" w:afterLines="0" w:line="276" w:lineRule="auto"/>
    </w:pPr>
    <w:rPr>
      <w:rFonts w:ascii="宋体" w:eastAsia="宋体"/>
    </w:rPr>
  </w:style>
  <w:style w:type="paragraph" w:customStyle="1" w:styleId="221">
    <w:name w:val="标准文件_引言三级无标题"/>
    <w:basedOn w:val="205"/>
    <w:qFormat/>
    <w:uiPriority w:val="0"/>
    <w:pPr>
      <w:spacing w:before="0" w:beforeLines="0" w:after="0" w:afterLines="0" w:line="276" w:lineRule="auto"/>
    </w:pPr>
    <w:rPr>
      <w:rFonts w:ascii="宋体" w:eastAsia="宋体"/>
    </w:rPr>
  </w:style>
  <w:style w:type="paragraph" w:customStyle="1" w:styleId="222">
    <w:name w:val="标准文件_引言四级无标题"/>
    <w:basedOn w:val="206"/>
    <w:next w:val="59"/>
    <w:qFormat/>
    <w:uiPriority w:val="0"/>
    <w:pPr>
      <w:spacing w:before="0" w:beforeLines="0" w:after="0" w:afterLines="0" w:line="276" w:lineRule="auto"/>
    </w:pPr>
    <w:rPr>
      <w:rFonts w:ascii="宋体" w:eastAsia="宋体"/>
    </w:rPr>
  </w:style>
  <w:style w:type="paragraph" w:customStyle="1" w:styleId="223">
    <w:name w:val="标准文件_引言五级无标题"/>
    <w:basedOn w:val="207"/>
    <w:next w:val="59"/>
    <w:qFormat/>
    <w:uiPriority w:val="0"/>
    <w:pPr>
      <w:spacing w:before="0" w:beforeLines="0" w:after="0" w:afterLines="0" w:line="276" w:lineRule="auto"/>
    </w:pPr>
    <w:rPr>
      <w:rFonts w:ascii="宋体" w:eastAsia="宋体"/>
    </w:rPr>
  </w:style>
  <w:style w:type="paragraph" w:customStyle="1" w:styleId="224">
    <w:name w:val="标准文件_索引标题"/>
    <w:basedOn w:val="66"/>
    <w:next w:val="59"/>
    <w:qFormat/>
    <w:uiPriority w:val="0"/>
    <w:rPr>
      <w:rFonts w:hAnsi="黑体"/>
    </w:rPr>
  </w:style>
  <w:style w:type="paragraph" w:customStyle="1" w:styleId="225">
    <w:name w:val="标准文件_脚注内容"/>
    <w:basedOn w:val="59"/>
    <w:qFormat/>
    <w:uiPriority w:val="0"/>
    <w:pPr>
      <w:ind w:left="400" w:leftChars="200" w:hanging="200" w:hangingChars="200"/>
    </w:pPr>
    <w:rPr>
      <w:sz w:val="15"/>
    </w:rPr>
  </w:style>
  <w:style w:type="paragraph" w:customStyle="1" w:styleId="226">
    <w:name w:val="标准文件_术语条一"/>
    <w:basedOn w:val="165"/>
    <w:next w:val="59"/>
    <w:qFormat/>
    <w:uiPriority w:val="0"/>
  </w:style>
  <w:style w:type="paragraph" w:customStyle="1" w:styleId="227">
    <w:name w:val="标准文件_术语条二"/>
    <w:basedOn w:val="168"/>
    <w:next w:val="59"/>
    <w:qFormat/>
    <w:uiPriority w:val="0"/>
  </w:style>
  <w:style w:type="paragraph" w:customStyle="1" w:styleId="228">
    <w:name w:val="标准文件_术语条三"/>
    <w:basedOn w:val="167"/>
    <w:next w:val="59"/>
    <w:qFormat/>
    <w:uiPriority w:val="0"/>
  </w:style>
  <w:style w:type="paragraph" w:customStyle="1" w:styleId="229">
    <w:name w:val="标准文件_术语条四"/>
    <w:basedOn w:val="170"/>
    <w:next w:val="59"/>
    <w:qFormat/>
    <w:uiPriority w:val="0"/>
  </w:style>
  <w:style w:type="paragraph" w:customStyle="1" w:styleId="230">
    <w:name w:val="标准文件_术语条五"/>
    <w:basedOn w:val="166"/>
    <w:next w:val="59"/>
    <w:qFormat/>
    <w:uiPriority w:val="0"/>
  </w:style>
  <w:style w:type="paragraph" w:customStyle="1" w:styleId="231">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2">
    <w:name w:val="发布"/>
    <w:basedOn w:val="30"/>
    <w:qFormat/>
    <w:uiPriority w:val="0"/>
    <w:rPr>
      <w:rFonts w:ascii="黑体" w:eastAsia="黑体"/>
      <w:spacing w:val="85"/>
      <w:w w:val="100"/>
      <w:position w:val="3"/>
      <w:sz w:val="28"/>
      <w:szCs w:val="28"/>
    </w:rPr>
  </w:style>
  <w:style w:type="paragraph" w:styleId="233">
    <w:name w:val="List Paragraph"/>
    <w:basedOn w:val="1"/>
    <w:qFormat/>
    <w:uiPriority w:val="34"/>
    <w:pPr>
      <w:ind w:firstLine="420" w:firstLineChars="200"/>
    </w:pPr>
  </w:style>
  <w:style w:type="paragraph" w:customStyle="1" w:styleId="234">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character" w:customStyle="1" w:styleId="235">
    <w:name w:val="批注文字 字符"/>
    <w:basedOn w:val="30"/>
    <w:link w:val="13"/>
    <w:semiHidden/>
    <w:uiPriority w:val="99"/>
    <w:rPr>
      <w:rFonts w:ascii="Calibri" w:hAnsi="Calibri"/>
      <w:kern w:val="2"/>
      <w:sz w:val="21"/>
      <w:szCs w:val="21"/>
    </w:rPr>
  </w:style>
  <w:style w:type="character" w:customStyle="1" w:styleId="236">
    <w:name w:val="批注主题 字符"/>
    <w:basedOn w:val="235"/>
    <w:link w:val="27"/>
    <w:semiHidden/>
    <w:uiPriority w:val="99"/>
    <w:rPr>
      <w:rFonts w:ascii="Calibri" w:hAnsi="Calibri"/>
      <w:b/>
      <w:bCs/>
      <w:kern w:val="2"/>
      <w:sz w:val="21"/>
      <w:szCs w:val="21"/>
    </w:rPr>
  </w:style>
  <w:style w:type="paragraph" w:customStyle="1" w:styleId="237">
    <w:name w:val="Revision"/>
    <w:hidden/>
    <w:unhideWhenUsed/>
    <w:uiPriority w:val="99"/>
    <w:rPr>
      <w:rFonts w:ascii="Calibri" w:hAnsi="Calibri" w:eastAsia="宋体" w:cs="Times New Roman"/>
      <w:kern w:val="2"/>
      <w:sz w:val="21"/>
      <w:szCs w:val="21"/>
      <w:lang w:val="en-US" w:eastAsia="zh-CN" w:bidi="ar-SA"/>
    </w:rPr>
  </w:style>
  <w:style w:type="paragraph" w:customStyle="1" w:styleId="238">
    <w:name w:val="TOC Heading"/>
    <w:basedOn w:val="2"/>
    <w:next w:val="1"/>
    <w:unhideWhenUsed/>
    <w:qFormat/>
    <w:uiPriority w:val="39"/>
    <w:pPr>
      <w:widowControl/>
      <w:adjustRightInd/>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239">
    <w:name w:val="Unresolved Mention"/>
    <w:basedOn w:val="30"/>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glossaryDocument" Target="glossary/document.xml"/><Relationship Id="rId18" Type="http://schemas.openxmlformats.org/officeDocument/2006/relationships/fontTable" Target="fontTable.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6631;&#20934;&#21270;&#25991;&#20214;&#32534;&#20889;&#24037;&#20855;&#36719;&#20214;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13DB07F494D946DD974802DE07C4DB85"/>
        <w:style w:val=""/>
        <w:category>
          <w:name w:val="常规"/>
          <w:gallery w:val="placeholder"/>
        </w:category>
        <w:types>
          <w:type w:val="bbPlcHdr"/>
        </w:types>
        <w:behaviors>
          <w:behavior w:val="content"/>
        </w:behaviors>
        <w:description w:val=""/>
        <w:guid w:val="{F2EFD705-FCA5-40AD-8AF4-512CC35410C7}"/>
      </w:docPartPr>
      <w:docPartBody>
        <w:p w14:paraId="7E438A4E">
          <w:pPr>
            <w:pStyle w:val="5"/>
            <w:rPr>
              <w:rFonts w:hint="eastAsia"/>
            </w:rPr>
          </w:pPr>
          <w:r>
            <w:rPr>
              <w:rStyle w:val="4"/>
              <w:rFonts w:hint="eastAsia"/>
            </w:rPr>
            <w:t>单击或点击此处输入文字。</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2A6"/>
    <w:rsid w:val="0000791B"/>
    <w:rsid w:val="0005720E"/>
    <w:rsid w:val="001E3FFF"/>
    <w:rsid w:val="002150BD"/>
    <w:rsid w:val="00243CFD"/>
    <w:rsid w:val="002F184A"/>
    <w:rsid w:val="004F7124"/>
    <w:rsid w:val="00503552"/>
    <w:rsid w:val="00554D63"/>
    <w:rsid w:val="00615DFB"/>
    <w:rsid w:val="00621C1D"/>
    <w:rsid w:val="006D05E3"/>
    <w:rsid w:val="00920F92"/>
    <w:rsid w:val="00930DE4"/>
    <w:rsid w:val="009E60C7"/>
    <w:rsid w:val="00A13945"/>
    <w:rsid w:val="00C45574"/>
    <w:rsid w:val="00D0572A"/>
    <w:rsid w:val="00D323F8"/>
    <w:rsid w:val="00DA7252"/>
    <w:rsid w:val="00DB361F"/>
    <w:rsid w:val="00DB45A7"/>
    <w:rsid w:val="00E30B49"/>
    <w:rsid w:val="00F314B1"/>
    <w:rsid w:val="00F512A6"/>
    <w:rsid w:val="00F943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13DB07F494D946DD974802DE07C4DB8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17</Pages>
  <Words>2017</Words>
  <Characters>2411</Characters>
  <Lines>101</Lines>
  <Paragraphs>28</Paragraphs>
  <TotalTime>0</TotalTime>
  <ScaleCrop>false</ScaleCrop>
  <LinksUpToDate>false</LinksUpToDate>
  <CharactersWithSpaces>2651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2026-04-14T11:52:00Z</dcterms:created>
  <dc:creator>仓天磊</dc:creator>
  <cp:lastModifiedBy>J</cp:lastModifiedBy>
  <cp:lastPrinted>2021-02-02T08:22:00Z</cp:lastPrinted>
  <dcterms:modified xsi:type="dcterms:W3CDTF">2026-05-09T09:25:42Z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eyJoZGlkIjoiMTFmMDJjZGU0YzYzNjgxMjg1NzBlNDNlZWZkY2IyNjMiLCJ1c2VySWQiOiIxMzc2MzQzNjk3In0=</vt:lpwstr>
  </property>
  <property fmtid="{D5CDD505-2E9C-101B-9397-08002B2CF9AE}" pid="15" name="KSOProductBuildVer">
    <vt:lpwstr>2052-12.1.0.25865</vt:lpwstr>
  </property>
  <property fmtid="{D5CDD505-2E9C-101B-9397-08002B2CF9AE}" pid="16" name="ICV">
    <vt:lpwstr>9E41711F075B4510AAA5975403587210_13</vt:lpwstr>
  </property>
</Properties>
</file>