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6E3D9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3ADDE8ED">
            <w:pPr>
              <w:pStyle w:val="233"/>
              <w:framePr w:wrap="around" w:x="1382" w:y="3031"/>
              <w:rPr>
                <w:lang w:val="fr-FR"/>
              </w:rPr>
            </w:pPr>
            <w:bookmarkStart w:id="0"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1" w:name="StdNo1"/>
            <w:r>
              <w:rPr>
                <w:rFonts w:hint="eastAsia" w:ascii="Times New Roman"/>
                <w:b/>
                <w:bCs/>
                <w:lang w:val="fr-FR"/>
              </w:rPr>
              <w:t>RHA</w:t>
            </w:r>
            <w:bookmarkEnd w:id="1"/>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4CA0EA8B">
      <w:pPr>
        <w:pStyle w:val="233"/>
        <w:framePr w:wrap="around" w:x="1382" w:y="3031"/>
        <w:jc w:val="center"/>
        <w:rPr>
          <w:lang w:val="fr-FR"/>
        </w:rPr>
      </w:pPr>
      <w:r>
        <w:rPr>
          <w:rFonts w:hint="eastAsia"/>
          <w:lang w:val="fr-FR"/>
        </w:rPr>
        <w:t>————————————————————————————————————————</w:t>
      </w:r>
    </w:p>
    <w:p w14:paraId="5452AA7D">
      <w:pPr>
        <w:pStyle w:val="233"/>
        <w:framePr w:wrap="around" w:x="1382" w:y="3031"/>
        <w:rPr>
          <w:lang w:val="fr-FR"/>
        </w:rPr>
      </w:pPr>
    </w:p>
    <w:bookmarkEnd w:id="0"/>
    <w:p w14:paraId="3E0F7F1F">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738C9237">
      <w:pPr>
        <w:pStyle w:val="159"/>
        <w:framePr w:wrap="around" w:vAnchor="page" w:hAnchor="page" w:x="1821" w:y="739"/>
        <w:rPr>
          <w:b/>
          <w:bCs/>
        </w:rPr>
      </w:pPr>
      <w:r>
        <w:rPr>
          <w:rFonts w:hint="eastAsia"/>
          <w:b/>
          <w:bCs/>
        </w:rPr>
        <w:t>CCS C 05</w:t>
      </w:r>
    </w:p>
    <w:p w14:paraId="49DB1296">
      <w:pPr>
        <w:spacing w:line="240" w:lineRule="auto"/>
        <w:rPr>
          <w:rFonts w:hint="eastAsia" w:ascii="黑体" w:hAnsi="黑体" w:eastAsia="黑体"/>
          <w:kern w:val="0"/>
          <w:sz w:val="10"/>
          <w:szCs w:val="10"/>
        </w:rPr>
      </w:pPr>
      <w:r>
        <w:rPr>
          <w:rFonts w:hint="eastAsia"/>
        </w:rPr>
        <w:drawing>
          <wp:anchor distT="0" distB="0" distL="114300" distR="114300" simplePos="0" relativeHeight="251659264" behindDoc="0" locked="0" layoutInCell="1" allowOverlap="1">
            <wp:simplePos x="0" y="0"/>
            <wp:positionH relativeFrom="column">
              <wp:posOffset>4912360</wp:posOffset>
            </wp:positionH>
            <wp:positionV relativeFrom="page">
              <wp:posOffset>130175</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3"/>
                    <a:stretch>
                      <a:fillRect/>
                    </a:stretch>
                  </pic:blipFill>
                  <pic:spPr>
                    <a:xfrm>
                      <a:off x="0" y="0"/>
                      <a:ext cx="1076325" cy="1040130"/>
                    </a:xfrm>
                    <a:prstGeom prst="rect">
                      <a:avLst/>
                    </a:prstGeom>
                  </pic:spPr>
                </pic:pic>
              </a:graphicData>
            </a:graphic>
          </wp:anchor>
        </w:drawing>
      </w:r>
    </w:p>
    <w:p w14:paraId="7464EC91">
      <w:pPr>
        <w:pStyle w:val="53"/>
        <w:framePr w:w="9639" w:h="6976" w:hRule="exact" w:hSpace="0" w:vSpace="0" w:wrap="around" w:hAnchor="page" w:y="6408"/>
        <w:jc w:val="center"/>
        <w:rPr>
          <w:rFonts w:hint="eastAsia" w:ascii="黑体" w:hAnsi="黑体" w:eastAsia="黑体"/>
          <w:b w:val="0"/>
          <w:bCs w:val="0"/>
          <w:w w:val="100"/>
        </w:rPr>
      </w:pPr>
    </w:p>
    <w:p w14:paraId="5ED45BFA">
      <w:pPr>
        <w:pStyle w:val="200"/>
        <w:framePr w:h="6974" w:hRule="exact" w:wrap="around" w:x="1419" w:anchorLock="1"/>
        <w:spacing w:after="400" w:line="240" w:lineRule="auto"/>
        <w:rPr>
          <w:rFonts w:hint="default"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2" w:name="CSTD_NAME"/>
      <w:r>
        <w:rPr>
          <w:rFonts w:ascii="Times New Roman" w:hAnsi="Times New Roman"/>
        </w:rPr>
        <w:instrText xml:space="preserve"> FORMTEXT </w:instrText>
      </w:r>
      <w:r>
        <w:rPr>
          <w:rFonts w:ascii="Times New Roman" w:hAnsi="Times New Roman"/>
        </w:rPr>
        <w:fldChar w:fldCharType="separate"/>
      </w:r>
      <w:r>
        <w:rPr>
          <w:rFonts w:hint="default" w:ascii="Times New Roman" w:hAnsi="Times New Roman"/>
        </w:rPr>
        <w:t xml:space="preserve">临床研究病房智慧管理平台建设规范 </w:t>
      </w:r>
    </w:p>
    <w:p w14:paraId="13D975D7">
      <w:pPr>
        <w:pStyle w:val="200"/>
        <w:framePr w:h="6974" w:hRule="exact" w:wrap="around" w:x="1419" w:anchorLock="1"/>
        <w:spacing w:after="400" w:line="240" w:lineRule="auto"/>
        <w:rPr>
          <w:rFonts w:hint="default" w:ascii="Times New Roman" w:hAnsi="Times New Roman"/>
        </w:rPr>
      </w:pPr>
      <w:r>
        <w:rPr>
          <w:rFonts w:hint="default" w:ascii="Times New Roman" w:hAnsi="Times New Roman"/>
        </w:rPr>
        <w:t>第3部分：数据传输</w:t>
      </w:r>
      <w:r>
        <w:rPr>
          <w:rFonts w:ascii="Times New Roman" w:hAnsi="Times New Roman"/>
        </w:rPr>
        <w:fldChar w:fldCharType="end"/>
      </w:r>
      <w:bookmarkEnd w:id="2"/>
    </w:p>
    <w:p w14:paraId="14A1DD34">
      <w:pPr>
        <w:pStyle w:val="128"/>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3"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Specification for the construction of smart management platform for clinical research wards </w:t>
      </w:r>
    </w:p>
    <w:p w14:paraId="20AFDDEC">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Part 3: data transmission</w:t>
      </w:r>
      <w:r>
        <w:rPr>
          <w:rFonts w:eastAsia="黑体"/>
          <w:szCs w:val="28"/>
        </w:rPr>
        <w:fldChar w:fldCharType="end"/>
      </w:r>
      <w:bookmarkEnd w:id="3"/>
    </w:p>
    <w:p w14:paraId="36A139DE">
      <w:pPr>
        <w:pStyle w:val="128"/>
        <w:framePr w:w="9639" w:h="6974" w:hRule="exact" w:wrap="around" w:vAnchor="page" w:hAnchor="page" w:x="1419" w:y="6408" w:anchorLock="1"/>
        <w:spacing w:after="400" w:line="240" w:lineRule="auto"/>
        <w:textAlignment w:val="bottom"/>
        <w:rPr>
          <w:rFonts w:hint="eastAsia" w:ascii="黑体" w:hAnsi="黑体" w:eastAsia="黑体"/>
          <w:b/>
          <w:sz w:val="21"/>
          <w:szCs w:val="28"/>
        </w:rPr>
      </w:pPr>
      <w:r>
        <w:rPr>
          <w:rFonts w:hint="eastAsia" w:ascii="黑体" w:hAnsi="黑体" w:eastAsia="黑体"/>
          <w:sz w:val="24"/>
          <w:szCs w:val="28"/>
        </w:rPr>
        <w:t>（征求意见稿）</w:t>
      </w:r>
    </w:p>
    <w:p w14:paraId="15784459">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p w14:paraId="6A94FD79">
      <w:pPr>
        <w:pStyle w:val="196"/>
        <w:framePr w:w="9410" w:wrap="around" w:x="1474" w:y="15241"/>
        <w:jc w:val="center"/>
      </w:pPr>
      <w:bookmarkStart w:id="4"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4"/>
    <w:p w14:paraId="380A4A04">
      <w:pPr>
        <w:pStyle w:val="122"/>
        <w:framePr w:wrap="around" w:vAnchor="page" w:hAnchor="page" w:x="2518" w:y="15755"/>
        <w:rPr>
          <w:rFonts w:hint="eastAsia" w:ascii="黑体" w:hAnsi="黑体" w:eastAsia="黑体"/>
          <w:b w:val="0"/>
          <w:bCs/>
          <w:w w:val="100"/>
          <w:sz w:val="28"/>
          <w:szCs w:val="28"/>
        </w:rPr>
      </w:pPr>
      <w:r>
        <w:rPr>
          <w:rFonts w:hint="eastAsia" w:ascii="黑体" w:hAnsi="黑体" w:eastAsia="黑体"/>
          <w:b w:val="0"/>
          <w:bCs/>
          <w:w w:val="100"/>
          <w:sz w:val="28"/>
          <w:szCs w:val="28"/>
        </w:rPr>
        <w:t>中国研究型医院学会 发布</w:t>
      </w:r>
    </w:p>
    <w:p w14:paraId="314BE8AD">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0" layoutInCell="1" allowOverlap="1">
                <wp:simplePos x="0" y="0"/>
                <wp:positionH relativeFrom="column">
                  <wp:posOffset>-6350</wp:posOffset>
                </wp:positionH>
                <wp:positionV relativeFrom="paragraph">
                  <wp:posOffset>8714740</wp:posOffset>
                </wp:positionV>
                <wp:extent cx="5994400" cy="0"/>
                <wp:effectExtent l="0" t="0" r="0" b="0"/>
                <wp:wrapNone/>
                <wp:docPr id="1059180719" name="直接连接符 2"/>
                <wp:cNvGraphicFramePr/>
                <a:graphic xmlns:a="http://schemas.openxmlformats.org/drawingml/2006/main">
                  <a:graphicData uri="http://schemas.microsoft.com/office/word/2010/wordprocessingShape">
                    <wps:wsp>
                      <wps:cNvCnPr/>
                      <wps:spPr bwMode="auto">
                        <a:xfrm>
                          <a:off x="0" y="0"/>
                          <a:ext cx="59946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2" o:spid="_x0000_s1026" o:spt="20" style="position:absolute;left:0pt;margin-left:-0.5pt;margin-top:686.2pt;height:0pt;width:472pt;z-index:251660288;mso-width-relative:page;mso-height-relative:page;" filled="f" stroked="t" coordsize="21600,21600" o:gfxdata="UEsDBAoAAAAAAIdO4kAAAAAAAAAAAAAAAAAEAAAAZHJzL1BLAwQUAAAACACHTuJANP4nzdcAAAAM&#10;AQAADwAAAGRycy9kb3ducmV2LnhtbE2PwU7DMBBE70j8g7VI3FonbUVKiNMDEgckJErgwNFNtknA&#10;XgfbTcLfsxwqOO7saOZNsZutESP60DtSkC4TEEi1a3pqFby9Piy2IELU1GjjCBV8Y4BdeXlR6Lxx&#10;E73gWMVWcAiFXCvoYhxyKUPdodVh6QYk/h2dtzry6VvZeD1xuDVylSQ30uqeuKHTA953WH9WJ8sp&#10;lH0dZ+Pf989P3baaPvBxzFCp66s0uQMRcY5/ZvjFZ3QomengTtQEYRQsUp4SWV9nqw0Idtxu1iwd&#10;zpIsC/l/RPkDUEsDBBQAAAAIAIdO4kAKGMSY9gEAAMgDAAAOAAAAZHJzL2Uyb0RvYy54bWytU0uO&#10;EzEQ3SNxB8t70slAQtJKZxYTDRs+IwEHqLjd3Zb8k8tJJ5fgAkjsYMWS/dyG4RiU3UkYhs0s6IVl&#10;V7le+b16vbzcG812MqBytuKT0ZgzaYWrlW0r/vHD9bM5ZxjB1qCdlRU/SOSXq6dPlr0v5YXrnK5l&#10;YARisex9xbsYfVkUKDppAEfOS0vJxgUDkY6hLeoAPaEbXVyMx7Oid6H2wQmJSNH1kORHxPAYQNc0&#10;Ssi1E1sjbRxQg9QQiRJ2yiNf5dc2jRTxXdOgjExXnJjGvFIT2m/SWqyWULYBfKfE8QnwmCc84GRA&#10;WWp6hlpDBLYN6h8oo0Rw6Jo4Es4UA5GsCLGYjB9o874DLzMXkhr9WXT8f7Di7e4mMFWTE8bTxWQ+&#10;fjlZcGbB0OTvPv/4+enrr9svtN59/8Yuklq9x5KKruxNOJ7QE8Kmf+NqqoFtdFmIfRNMEoQosn3W&#10;+3DWW+4jExScLhYvZnPqJ065AspToQ8YX0lnWNpUXCubpIASdq8xUmu6erqSwtZdK63zOLVlfcVn&#10;z6c0ZAFk0YasQVvjiSbaljPQLXlfxJAR0WlVp+qEg6HdXOnAdpAck79Em7r9dS21XgN2w72cGrxk&#10;VKTfQytT8fn9am0JJImX5Bpk3Lj6kFXMcRpwbnM0Y3LQ/XOu/vMDrn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NP4nzdcAAAAMAQAADwAAAAAAAAABACAAAAAiAAAAZHJzL2Rvd25yZXYueG1sUEsB&#10;AhQAFAAAAAgAh07iQAoYxJj2AQAAyAMAAA4AAAAAAAAAAQAgAAAAJgEAAGRycy9lMm9Eb2MueG1s&#10;UEsFBgAAAAAGAAYAWQEAAI4FAAAAAA==&#10;">
                <v:fill on="f" focussize="0,0"/>
                <v:stroke weight="0.5pt" color="#000000 [3200]" miterlimit="8" joinstyle="miter"/>
                <v:imagedata o:title=""/>
                <o:lock v:ext="edit" aspectratio="f"/>
              </v:line>
            </w:pict>
          </mc:Fallback>
        </mc:AlternateContent>
      </w:r>
    </w:p>
    <w:p w14:paraId="4829F13D">
      <w:pPr>
        <w:pStyle w:val="92"/>
        <w:numPr>
          <w:ilvl w:val="0"/>
          <w:numId w:val="0"/>
        </w:numPr>
        <w:spacing w:before="240" w:beforeLines="100" w:after="240" w:afterLines="100"/>
        <w:outlineLvl w:val="9"/>
      </w:pPr>
      <w:bookmarkStart w:id="5" w:name="BookMark1"/>
      <w:bookmarkStart w:id="6" w:name="_Toc225519746"/>
      <w:r>
        <w:rPr>
          <w:rFonts w:hint="eastAsia"/>
          <w:spacing w:val="320"/>
        </w:rPr>
        <w:t>目</w:t>
      </w:r>
      <w:r>
        <w:rPr>
          <w:rFonts w:hint="eastAsia"/>
        </w:rPr>
        <w:t xml:space="preserve">  次</w:t>
      </w:r>
    </w:p>
    <w:sdt>
      <w:sdtPr>
        <w:rPr>
          <w:rFonts w:ascii="Calibri" w:hAnsi="Calibri" w:eastAsia="宋体" w:cs="Times New Roman"/>
          <w:color w:val="auto"/>
          <w:kern w:val="2"/>
          <w:sz w:val="21"/>
          <w:szCs w:val="21"/>
          <w:lang w:val="zh-CN"/>
        </w:rPr>
        <w:id w:val="1398871846"/>
        <w:docPartObj>
          <w:docPartGallery w:val="Table of Contents"/>
          <w:docPartUnique/>
        </w:docPartObj>
      </w:sdtPr>
      <w:sdtEndPr>
        <w:rPr>
          <w:rFonts w:ascii="Calibri" w:hAnsi="Calibri" w:eastAsia="宋体" w:cs="Times New Roman"/>
          <w:b/>
          <w:bCs/>
          <w:color w:val="auto"/>
          <w:kern w:val="2"/>
          <w:sz w:val="21"/>
          <w:szCs w:val="21"/>
          <w:lang w:val="zh-CN"/>
        </w:rPr>
      </w:sdtEndPr>
      <w:sdtContent>
        <w:p w14:paraId="51A871FE">
          <w:pPr>
            <w:pStyle w:val="237"/>
            <w:spacing w:before="120" w:after="120"/>
            <w:rPr>
              <w:rFonts w:hint="eastAsia"/>
              <w:sz w:val="21"/>
              <w:szCs w:val="21"/>
            </w:rPr>
          </w:pPr>
        </w:p>
        <w:p w14:paraId="1B6E8CFD">
          <w:pPr>
            <w:pStyle w:val="20"/>
            <w:rPr>
              <w:rFonts w:hint="eastAsia" w:asciiTheme="minorHAnsi" w:hAnsiTheme="minorHAnsi" w:eastAsiaTheme="minorEastAsia" w:cstheme="minorBidi"/>
              <w:sz w:val="22"/>
              <w:szCs w:val="24"/>
              <w14:ligatures w14:val="standardContextual"/>
            </w:rPr>
          </w:pPr>
          <w:r>
            <w:fldChar w:fldCharType="begin"/>
          </w:r>
          <w:r>
            <w:instrText xml:space="preserve"> TOC \o "1-3" \h \z \u </w:instrText>
          </w:r>
          <w:r>
            <w:fldChar w:fldCharType="separate"/>
          </w:r>
          <w:r>
            <w:rPr>
              <w:rStyle w:val="34"/>
            </w:rPr>
            <w:fldChar w:fldCharType="begin"/>
          </w:r>
          <w:r>
            <w:rPr>
              <w:rStyle w:val="34"/>
            </w:rPr>
            <w:instrText xml:space="preserve"> </w:instrText>
          </w:r>
          <w:r>
            <w:rPr>
              <w:rFonts w:hint="eastAsia"/>
            </w:rPr>
            <w:instrText xml:space="preserve">HYPERLINK \l "_Toc228519151"</w:instrText>
          </w:r>
          <w:r>
            <w:rPr>
              <w:rStyle w:val="34"/>
            </w:rPr>
            <w:instrText xml:space="preserve"> </w:instrText>
          </w:r>
          <w:r>
            <w:rPr>
              <w:rStyle w:val="34"/>
            </w:rPr>
            <w:fldChar w:fldCharType="separate"/>
          </w:r>
          <w:r>
            <w:rPr>
              <w:rStyle w:val="34"/>
            </w:rPr>
            <w:t>前言</w:t>
          </w:r>
          <w:r>
            <w:rPr>
              <w:rFonts w:hint="eastAsia"/>
            </w:rPr>
            <w:tab/>
          </w:r>
          <w:r>
            <w:rPr>
              <w:rFonts w:hint="eastAsia"/>
            </w:rPr>
            <w:fldChar w:fldCharType="begin"/>
          </w:r>
          <w:r>
            <w:rPr>
              <w:rFonts w:hint="eastAsia"/>
            </w:rPr>
            <w:instrText xml:space="preserve"> </w:instrText>
          </w:r>
          <w:r>
            <w:instrText xml:space="preserve">PAGEREF _Toc228519151 \h</w:instrText>
          </w:r>
          <w:r>
            <w:rPr>
              <w:rFonts w:hint="eastAsia"/>
            </w:rPr>
            <w:instrText xml:space="preserve"> </w:instrText>
          </w:r>
          <w:r>
            <w:rPr>
              <w:rFonts w:hint="eastAsia"/>
            </w:rPr>
            <w:fldChar w:fldCharType="separate"/>
          </w:r>
          <w:r>
            <w:t>II</w:t>
          </w:r>
          <w:r>
            <w:rPr>
              <w:rFonts w:hint="eastAsia"/>
            </w:rPr>
            <w:fldChar w:fldCharType="end"/>
          </w:r>
          <w:r>
            <w:rPr>
              <w:rStyle w:val="34"/>
            </w:rPr>
            <w:fldChar w:fldCharType="end"/>
          </w:r>
        </w:p>
        <w:p w14:paraId="7B2397F4">
          <w:pPr>
            <w:pStyle w:val="20"/>
            <w:rPr>
              <w:rFonts w:hint="eastAsia" w:ascii="Times New Roman" w:hAnsi="Calibri"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instrText xml:space="preserve">HYPERLINK \l "_Toc228519152"</w:instrText>
          </w:r>
          <w:r>
            <w:rPr>
              <w:rStyle w:val="34"/>
              <w:rFonts w:ascii="Times New Roman"/>
            </w:rPr>
            <w:instrText xml:space="preserve"> </w:instrText>
          </w:r>
          <w:r>
            <w:rPr>
              <w:rStyle w:val="34"/>
              <w:rFonts w:ascii="Times New Roman"/>
            </w:rPr>
            <w:fldChar w:fldCharType="separate"/>
          </w:r>
          <w:r>
            <w:rPr>
              <w:rStyle w:val="34"/>
              <w:rFonts w:ascii="Times New Roman"/>
            </w:rPr>
            <w:t>引言</w:t>
          </w:r>
          <w:r>
            <w:tab/>
          </w:r>
          <w:r>
            <w:fldChar w:fldCharType="begin"/>
          </w:r>
          <w:r>
            <w:instrText xml:space="preserve"> PAGEREF _Toc228519152 \h </w:instrText>
          </w:r>
          <w:r>
            <w:fldChar w:fldCharType="separate"/>
          </w:r>
          <w:r>
            <w:t>III</w:t>
          </w:r>
          <w:r>
            <w:fldChar w:fldCharType="end"/>
          </w:r>
          <w:r>
            <w:rPr>
              <w:rStyle w:val="34"/>
              <w:rFonts w:ascii="Times New Roman"/>
            </w:rPr>
            <w:fldChar w:fldCharType="end"/>
          </w:r>
        </w:p>
        <w:p w14:paraId="1F8967E0">
          <w:pPr>
            <w:pStyle w:val="20"/>
            <w:rPr>
              <w:rFonts w:hint="eastAsia" w:ascii="Times New Roman" w:hAnsi="Calibri" w:eastAsia="宋体" w:cs="Times New Roman"/>
              <w:sz w:val="22"/>
              <w:szCs w:val="24"/>
              <w14:ligatures w14:val="standardContextual"/>
            </w:rPr>
          </w:pPr>
          <w:r>
            <w:fldChar w:fldCharType="begin"/>
          </w:r>
          <w:r>
            <w:instrText xml:space="preserve">HYPERLINK \l "_Toc228519153"</w:instrText>
          </w:r>
          <w:r>
            <w:fldChar w:fldCharType="separate"/>
          </w:r>
          <w:r>
            <w:rPr>
              <w:rStyle w:val="34"/>
              <w:rFonts w:ascii="Times New Roman"/>
            </w:rPr>
            <w:t>1 范围</w:t>
          </w:r>
          <w:r>
            <w:tab/>
          </w:r>
          <w:r>
            <w:fldChar w:fldCharType="begin"/>
          </w:r>
          <w:r>
            <w:instrText xml:space="preserve"> PAGEREF _Toc228519153 \h </w:instrText>
          </w:r>
          <w:r>
            <w:fldChar w:fldCharType="separate"/>
          </w:r>
          <w:r>
            <w:t>1</w:t>
          </w:r>
          <w:r>
            <w:fldChar w:fldCharType="end"/>
          </w:r>
          <w:r>
            <w:fldChar w:fldCharType="end"/>
          </w:r>
        </w:p>
        <w:p w14:paraId="7562B624">
          <w:pPr>
            <w:pStyle w:val="20"/>
            <w:rPr>
              <w:rFonts w:hint="eastAsia" w:ascii="Times New Roman" w:hAnsi="Calibri" w:eastAsia="宋体" w:cs="Times New Roman"/>
              <w:sz w:val="22"/>
              <w:szCs w:val="24"/>
              <w14:ligatures w14:val="standardContextual"/>
            </w:rPr>
          </w:pPr>
          <w:r>
            <w:fldChar w:fldCharType="begin"/>
          </w:r>
          <w:r>
            <w:instrText xml:space="preserve">HYPERLINK \l "_Toc228519154"</w:instrText>
          </w:r>
          <w:r>
            <w:fldChar w:fldCharType="separate"/>
          </w:r>
          <w:r>
            <w:rPr>
              <w:rStyle w:val="34"/>
              <w:rFonts w:ascii="Times New Roman"/>
            </w:rPr>
            <w:t>2 规范性引用文件</w:t>
          </w:r>
          <w:r>
            <w:tab/>
          </w:r>
          <w:r>
            <w:fldChar w:fldCharType="begin"/>
          </w:r>
          <w:r>
            <w:instrText xml:space="preserve"> PAGEREF _Toc228519154 \h </w:instrText>
          </w:r>
          <w:r>
            <w:fldChar w:fldCharType="separate"/>
          </w:r>
          <w:r>
            <w:t>1</w:t>
          </w:r>
          <w:r>
            <w:fldChar w:fldCharType="end"/>
          </w:r>
          <w:r>
            <w:fldChar w:fldCharType="end"/>
          </w:r>
        </w:p>
        <w:p w14:paraId="66F28500">
          <w:pPr>
            <w:pStyle w:val="20"/>
            <w:rPr>
              <w:rFonts w:hint="eastAsia" w:ascii="Times New Roman" w:hAnsi="Calibri" w:eastAsia="宋体" w:cs="Times New Roman"/>
              <w:sz w:val="22"/>
              <w:szCs w:val="24"/>
              <w14:ligatures w14:val="standardContextual"/>
            </w:rPr>
          </w:pPr>
          <w:r>
            <w:fldChar w:fldCharType="begin"/>
          </w:r>
          <w:r>
            <w:instrText xml:space="preserve">HYPERLINK \l "_Toc228519155"</w:instrText>
          </w:r>
          <w:r>
            <w:fldChar w:fldCharType="separate"/>
          </w:r>
          <w:r>
            <w:rPr>
              <w:rStyle w:val="34"/>
              <w:rFonts w:ascii="Times New Roman"/>
            </w:rPr>
            <w:t>3 术语和定义</w:t>
          </w:r>
          <w:r>
            <w:tab/>
          </w:r>
          <w:r>
            <w:fldChar w:fldCharType="begin"/>
          </w:r>
          <w:r>
            <w:instrText xml:space="preserve"> PAGEREF _Toc228519155 \h </w:instrText>
          </w:r>
          <w:r>
            <w:fldChar w:fldCharType="separate"/>
          </w:r>
          <w:r>
            <w:t>1</w:t>
          </w:r>
          <w:r>
            <w:fldChar w:fldCharType="end"/>
          </w:r>
          <w:r>
            <w:fldChar w:fldCharType="end"/>
          </w:r>
        </w:p>
        <w:p w14:paraId="00E55002">
          <w:pPr>
            <w:pStyle w:val="20"/>
            <w:rPr>
              <w:rFonts w:hint="eastAsia" w:ascii="Times New Roman" w:hAnsi="Calibri" w:eastAsia="宋体" w:cs="Times New Roman"/>
              <w:sz w:val="22"/>
              <w:szCs w:val="24"/>
              <w14:ligatures w14:val="standardContextual"/>
            </w:rPr>
          </w:pPr>
          <w:r>
            <w:fldChar w:fldCharType="begin"/>
          </w:r>
          <w:r>
            <w:instrText xml:space="preserve">HYPERLINK \l "_Toc228519156"</w:instrText>
          </w:r>
          <w:r>
            <w:fldChar w:fldCharType="separate"/>
          </w:r>
          <w:r>
            <w:rPr>
              <w:rStyle w:val="34"/>
              <w:rFonts w:ascii="Times New Roman"/>
            </w:rPr>
            <w:t>4 缩略语</w:t>
          </w:r>
          <w:r>
            <w:tab/>
          </w:r>
          <w:r>
            <w:fldChar w:fldCharType="begin"/>
          </w:r>
          <w:r>
            <w:instrText xml:space="preserve"> PAGEREF _Toc228519156 \h </w:instrText>
          </w:r>
          <w:r>
            <w:fldChar w:fldCharType="separate"/>
          </w:r>
          <w:r>
            <w:t>2</w:t>
          </w:r>
          <w:r>
            <w:fldChar w:fldCharType="end"/>
          </w:r>
          <w:r>
            <w:fldChar w:fldCharType="end"/>
          </w:r>
        </w:p>
        <w:p w14:paraId="783B0BA1">
          <w:pPr>
            <w:pStyle w:val="20"/>
            <w:rPr>
              <w:rFonts w:hint="eastAsia" w:ascii="Times New Roman" w:hAnsi="Calibri"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instrText xml:space="preserve">HYPERLINK \l "_Toc228519157"</w:instrText>
          </w:r>
          <w:r>
            <w:rPr>
              <w:rStyle w:val="34"/>
              <w:rFonts w:ascii="Times New Roman"/>
            </w:rPr>
            <w:instrText xml:space="preserve"> </w:instrText>
          </w:r>
          <w:r>
            <w:rPr>
              <w:rStyle w:val="34"/>
              <w:rFonts w:ascii="Times New Roman"/>
            </w:rPr>
            <w:fldChar w:fldCharType="separate"/>
          </w:r>
          <w:r>
            <w:rPr>
              <w:rStyle w:val="34"/>
              <w:rFonts w:ascii="Times New Roman"/>
            </w:rPr>
            <w:t>5 数据传输总体要求</w:t>
          </w:r>
          <w:r>
            <w:tab/>
          </w:r>
          <w:r>
            <w:fldChar w:fldCharType="begin"/>
          </w:r>
          <w:r>
            <w:instrText xml:space="preserve"> PAGEREF _Toc228519157 \h </w:instrText>
          </w:r>
          <w:r>
            <w:fldChar w:fldCharType="separate"/>
          </w:r>
          <w:r>
            <w:t>3</w:t>
          </w:r>
          <w:r>
            <w:fldChar w:fldCharType="end"/>
          </w:r>
          <w:r>
            <w:rPr>
              <w:rStyle w:val="34"/>
              <w:rFonts w:ascii="Times New Roman"/>
            </w:rPr>
            <w:fldChar w:fldCharType="end"/>
          </w:r>
        </w:p>
        <w:p w14:paraId="0C3A1475">
          <w:pPr>
            <w:pStyle w:val="20"/>
            <w:rPr>
              <w:rFonts w:hint="eastAsia" w:ascii="Times New Roman" w:hAnsi="Calibri" w:eastAsia="宋体" w:cs="Times New Roman"/>
              <w:sz w:val="22"/>
              <w:szCs w:val="24"/>
              <w14:ligatures w14:val="standardContextual"/>
            </w:rPr>
          </w:pPr>
          <w:r>
            <w:fldChar w:fldCharType="begin"/>
          </w:r>
          <w:r>
            <w:instrText xml:space="preserve">HYPERLINK \l "_Toc228519158"</w:instrText>
          </w:r>
          <w:r>
            <w:fldChar w:fldCharType="separate"/>
          </w:r>
          <w:r>
            <w:rPr>
              <w:rStyle w:val="34"/>
              <w:rFonts w:ascii="Times New Roman"/>
            </w:rPr>
            <w:t>6 数据传输技术要求</w:t>
          </w:r>
          <w:r>
            <w:tab/>
          </w:r>
          <w:r>
            <w:fldChar w:fldCharType="begin"/>
          </w:r>
          <w:r>
            <w:instrText xml:space="preserve"> PAGEREF _Toc228519158 \h </w:instrText>
          </w:r>
          <w:r>
            <w:fldChar w:fldCharType="separate"/>
          </w:r>
          <w:r>
            <w:t>3</w:t>
          </w:r>
          <w:r>
            <w:fldChar w:fldCharType="end"/>
          </w:r>
          <w:r>
            <w:fldChar w:fldCharType="end"/>
          </w:r>
        </w:p>
        <w:p w14:paraId="2B2F79FD">
          <w:pPr>
            <w:pStyle w:val="20"/>
            <w:rPr>
              <w:rFonts w:hint="eastAsia" w:ascii="Times New Roman" w:hAnsi="Calibri" w:eastAsia="宋体" w:cs="Times New Roman"/>
              <w:sz w:val="22"/>
              <w:szCs w:val="24"/>
              <w14:ligatures w14:val="standardContextual"/>
            </w:rPr>
          </w:pPr>
          <w:r>
            <w:fldChar w:fldCharType="begin"/>
          </w:r>
          <w:r>
            <w:instrText xml:space="preserve">HYPERLINK \l "_Toc228519159"</w:instrText>
          </w:r>
          <w:r>
            <w:fldChar w:fldCharType="separate"/>
          </w:r>
          <w:r>
            <w:rPr>
              <w:rStyle w:val="34"/>
              <w:rFonts w:ascii="Times New Roman"/>
            </w:rPr>
            <w:t>7 数据格式与编码规范</w:t>
          </w:r>
          <w:r>
            <w:tab/>
          </w:r>
          <w:r>
            <w:fldChar w:fldCharType="begin"/>
          </w:r>
          <w:r>
            <w:instrText xml:space="preserve"> PAGEREF _Toc228519159 \h </w:instrText>
          </w:r>
          <w:r>
            <w:fldChar w:fldCharType="separate"/>
          </w:r>
          <w:r>
            <w:t>4</w:t>
          </w:r>
          <w:r>
            <w:fldChar w:fldCharType="end"/>
          </w:r>
          <w:r>
            <w:fldChar w:fldCharType="end"/>
          </w:r>
        </w:p>
        <w:p w14:paraId="57679C33">
          <w:pPr>
            <w:pStyle w:val="20"/>
            <w:rPr>
              <w:rFonts w:hint="eastAsia" w:ascii="Times New Roman" w:hAnsi="Calibri" w:eastAsia="宋体" w:cs="Times New Roman"/>
              <w:sz w:val="22"/>
              <w:szCs w:val="24"/>
              <w14:ligatures w14:val="standardContextual"/>
            </w:rPr>
          </w:pPr>
          <w:r>
            <w:fldChar w:fldCharType="begin"/>
          </w:r>
          <w:r>
            <w:instrText xml:space="preserve">HYPERLINK \l "_Toc228519160"</w:instrText>
          </w:r>
          <w:r>
            <w:fldChar w:fldCharType="separate"/>
          </w:r>
          <w:r>
            <w:rPr>
              <w:rStyle w:val="34"/>
              <w:rFonts w:ascii="Times New Roman"/>
            </w:rPr>
            <w:t>8 跨域数据传输规范</w:t>
          </w:r>
          <w:r>
            <w:tab/>
          </w:r>
          <w:r>
            <w:fldChar w:fldCharType="begin"/>
          </w:r>
          <w:r>
            <w:instrText xml:space="preserve"> PAGEREF _Toc228519160 \h </w:instrText>
          </w:r>
          <w:r>
            <w:fldChar w:fldCharType="separate"/>
          </w:r>
          <w:r>
            <w:t>5</w:t>
          </w:r>
          <w:r>
            <w:fldChar w:fldCharType="end"/>
          </w:r>
          <w:r>
            <w:fldChar w:fldCharType="end"/>
          </w:r>
        </w:p>
        <w:p w14:paraId="3CE040B2">
          <w:pPr>
            <w:pStyle w:val="20"/>
            <w:rPr>
              <w:rFonts w:hint="eastAsia" w:ascii="Times New Roman" w:hAnsi="Calibri"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instrText xml:space="preserve">HYPERLINK \l "_Toc228519161"</w:instrText>
          </w:r>
          <w:r>
            <w:rPr>
              <w:rStyle w:val="34"/>
              <w:rFonts w:ascii="Times New Roman"/>
            </w:rPr>
            <w:instrText xml:space="preserve"> </w:instrText>
          </w:r>
          <w:r>
            <w:rPr>
              <w:rStyle w:val="34"/>
              <w:rFonts w:ascii="Times New Roman"/>
            </w:rPr>
            <w:fldChar w:fldCharType="separate"/>
          </w:r>
          <w:r>
            <w:rPr>
              <w:rStyle w:val="34"/>
              <w:rFonts w:hint="eastAsia" w:ascii="Times New Roman"/>
              <w:spacing w:val="0"/>
            </w:rPr>
            <w:t>附录</w:t>
          </w:r>
          <w:r>
            <w:rPr>
              <w:rStyle w:val="34"/>
              <w:rFonts w:ascii="Times New Roman"/>
              <w:spacing w:val="0"/>
            </w:rPr>
            <w:t>A</w:t>
          </w:r>
          <w:r>
            <w:rPr>
              <w:rStyle w:val="34"/>
              <w:rFonts w:ascii="Times New Roman"/>
            </w:rPr>
            <w:t>（规范性）数据传输接口规范</w:t>
          </w:r>
          <w:r>
            <w:tab/>
          </w:r>
          <w:r>
            <w:fldChar w:fldCharType="begin"/>
          </w:r>
          <w:r>
            <w:instrText xml:space="preserve"> PAGEREF _Toc228519161 \h </w:instrText>
          </w:r>
          <w:r>
            <w:fldChar w:fldCharType="separate"/>
          </w:r>
          <w:r>
            <w:t>8</w:t>
          </w:r>
          <w:r>
            <w:fldChar w:fldCharType="end"/>
          </w:r>
          <w:r>
            <w:rPr>
              <w:rStyle w:val="34"/>
              <w:rFonts w:ascii="Times New Roman"/>
            </w:rPr>
            <w:fldChar w:fldCharType="end"/>
          </w:r>
        </w:p>
        <w:p w14:paraId="021EC349">
          <w:pPr>
            <w:pStyle w:val="20"/>
            <w:rPr>
              <w:rFonts w:hint="eastAsia" w:ascii="Times New Roman" w:hAnsi="Calibri"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instrText xml:space="preserve">HYPERLINK \l "_Toc228519162"</w:instrText>
          </w:r>
          <w:r>
            <w:rPr>
              <w:rStyle w:val="34"/>
              <w:rFonts w:ascii="Times New Roman"/>
            </w:rPr>
            <w:instrText xml:space="preserve"> </w:instrText>
          </w:r>
          <w:r>
            <w:rPr>
              <w:rStyle w:val="34"/>
              <w:rFonts w:ascii="Times New Roman"/>
            </w:rPr>
            <w:fldChar w:fldCharType="separate"/>
          </w:r>
          <w:r>
            <w:rPr>
              <w:rStyle w:val="34"/>
              <w:rFonts w:hint="eastAsia" w:ascii="Times New Roman"/>
              <w:spacing w:val="0"/>
            </w:rPr>
            <w:t>参考文</w:t>
          </w:r>
          <w:r>
            <w:rPr>
              <w:rStyle w:val="34"/>
              <w:rFonts w:ascii="Times New Roman"/>
            </w:rPr>
            <w:t>献</w:t>
          </w:r>
          <w:r>
            <w:tab/>
          </w:r>
          <w:r>
            <w:fldChar w:fldCharType="begin"/>
          </w:r>
          <w:r>
            <w:instrText xml:space="preserve"> PAGEREF _Toc228519162 \h </w:instrText>
          </w:r>
          <w:r>
            <w:fldChar w:fldCharType="separate"/>
          </w:r>
          <w:r>
            <w:t>10</w:t>
          </w:r>
          <w:r>
            <w:fldChar w:fldCharType="end"/>
          </w:r>
          <w:r>
            <w:rPr>
              <w:rStyle w:val="34"/>
              <w:rFonts w:ascii="Times New Roman"/>
            </w:rPr>
            <w:fldChar w:fldCharType="end"/>
          </w:r>
        </w:p>
        <w:p w14:paraId="462A0220">
          <w:pPr>
            <w:spacing w:line="240" w:lineRule="auto"/>
          </w:pPr>
          <w:r>
            <w:rPr>
              <w:b/>
              <w:bCs/>
              <w:lang w:val="zh-CN"/>
            </w:rPr>
            <w:fldChar w:fldCharType="end"/>
          </w:r>
        </w:p>
      </w:sdtContent>
    </w:sdt>
    <w:p w14:paraId="12A684BC">
      <w:pPr>
        <w:pStyle w:val="94"/>
        <w:tabs>
          <w:tab w:val="right" w:leader="dot" w:pos="9354"/>
        </w:tabs>
        <w:spacing w:after="360"/>
        <w:jc w:val="both"/>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5"/>
    <w:p w14:paraId="193EE4C9">
      <w:pPr>
        <w:pStyle w:val="92"/>
        <w:numPr>
          <w:ilvl w:val="0"/>
          <w:numId w:val="0"/>
        </w:numPr>
        <w:spacing w:before="240" w:beforeLines="100" w:after="240" w:afterLines="100"/>
        <w:ind w:left="0" w:firstLine="0"/>
      </w:pPr>
      <w:bookmarkStart w:id="7" w:name="_Toc26186"/>
      <w:bookmarkStart w:id="8" w:name="_Toc228519151"/>
      <w:bookmarkStart w:id="9" w:name="BookMark2"/>
      <w:r>
        <w:rPr>
          <w:rFonts w:hint="eastAsia"/>
          <w:spacing w:val="0"/>
        </w:rPr>
        <w:t>前</w:t>
      </w:r>
      <w:r>
        <w:rPr>
          <w:rFonts w:hint="eastAsia"/>
        </w:rPr>
        <w:t xml:space="preserve">  言</w:t>
      </w:r>
      <w:bookmarkEnd w:id="6"/>
      <w:bookmarkEnd w:id="7"/>
      <w:bookmarkEnd w:id="8"/>
    </w:p>
    <w:p w14:paraId="1CDBA73F">
      <w:pPr>
        <w:pStyle w:val="59"/>
        <w:ind w:firstLine="420"/>
      </w:pPr>
      <w:r>
        <w:rPr>
          <w:rFonts w:hint="eastAsia"/>
        </w:rPr>
        <w:t>本文件按照</w:t>
      </w:r>
      <w:r>
        <w:t>GB/T 1.1</w:t>
      </w:r>
      <w:r>
        <w:rPr>
          <w:rFonts w:hint="eastAsia"/>
        </w:rPr>
        <w:t>-</w:t>
      </w:r>
      <w:r>
        <w:t>2020</w:t>
      </w:r>
      <w:r>
        <w:rPr>
          <w:rFonts w:hint="eastAsia"/>
        </w:rPr>
        <w:t xml:space="preserve"> 《标准化工作导则</w:t>
      </w:r>
      <w:r>
        <w:t xml:space="preserve">  </w:t>
      </w:r>
      <w:r>
        <w:rPr>
          <w:rFonts w:hint="eastAsia"/>
        </w:rPr>
        <w:t>第</w:t>
      </w:r>
      <w:r>
        <w:t>1</w:t>
      </w:r>
      <w:r>
        <w:rPr>
          <w:rFonts w:hint="eastAsia"/>
        </w:rPr>
        <w:t>部分：标准化文件的结构和起草规则》的规定起草。</w:t>
      </w:r>
    </w:p>
    <w:p w14:paraId="641E347A">
      <w:pPr>
        <w:pStyle w:val="59"/>
        <w:ind w:firstLine="420"/>
        <w:rPr>
          <w:color w:val="0000FF"/>
        </w:rPr>
      </w:pPr>
      <w:r>
        <w:rPr>
          <w:color w:val="0000FF"/>
        </w:rPr>
        <w:t>请注意本文件的某些内容可能涉及专利。本文件的发布机构不承担识别专利的责任。</w:t>
      </w:r>
    </w:p>
    <w:p w14:paraId="31ABE684">
      <w:pPr>
        <w:pStyle w:val="59"/>
        <w:spacing w:line="240" w:lineRule="auto"/>
        <w:ind w:firstLine="420"/>
        <w:rPr>
          <w:color w:val="1F2329"/>
          <w:szCs w:val="21"/>
          <w:shd w:val="clear" w:color="auto" w:fill="FFFFFF"/>
        </w:rPr>
      </w:pPr>
      <w:r>
        <w:rPr>
          <w:rFonts w:hint="eastAsia"/>
          <w:color w:val="1F2329"/>
          <w:szCs w:val="21"/>
          <w:shd w:val="clear" w:color="auto" w:fill="FFFFFF"/>
        </w:rPr>
        <w:t>本文件为《临床研究病房智慧管理平台建设规范》系列团体标准第</w:t>
      </w:r>
      <w:r>
        <w:rPr>
          <w:color w:val="1F2329"/>
          <w:szCs w:val="21"/>
          <w:shd w:val="clear" w:color="auto" w:fill="FFFFFF"/>
        </w:rPr>
        <w:t>3</w:t>
      </w:r>
      <w:r>
        <w:rPr>
          <w:rFonts w:hint="eastAsia"/>
          <w:color w:val="1F2329"/>
          <w:szCs w:val="21"/>
          <w:shd w:val="clear" w:color="auto" w:fill="FFFFFF"/>
        </w:rPr>
        <w:t>部分，系列标准结构如下：</w:t>
      </w:r>
    </w:p>
    <w:p w14:paraId="2AB72C7F">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1</w:t>
      </w:r>
      <w:r>
        <w:rPr>
          <w:rFonts w:hint="eastAsia"/>
          <w:color w:val="1F2329"/>
          <w:szCs w:val="21"/>
          <w:shd w:val="clear" w:color="auto" w:fill="FFFFFF"/>
        </w:rPr>
        <w:t>部分：架构设计</w:t>
      </w:r>
    </w:p>
    <w:p w14:paraId="5032D61C">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2</w:t>
      </w:r>
      <w:r>
        <w:rPr>
          <w:rFonts w:hint="eastAsia"/>
          <w:color w:val="1F2329"/>
          <w:szCs w:val="21"/>
          <w:shd w:val="clear" w:color="auto" w:fill="FFFFFF"/>
        </w:rPr>
        <w:t>部分：数据采集</w:t>
      </w:r>
    </w:p>
    <w:p w14:paraId="494CBF12">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3</w:t>
      </w:r>
      <w:r>
        <w:rPr>
          <w:rFonts w:hint="eastAsia"/>
          <w:color w:val="1F2329"/>
          <w:szCs w:val="21"/>
          <w:shd w:val="clear" w:color="auto" w:fill="FFFFFF"/>
        </w:rPr>
        <w:t>部分：数据传输</w:t>
      </w:r>
    </w:p>
    <w:p w14:paraId="204AF9A5">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4</w:t>
      </w:r>
      <w:r>
        <w:rPr>
          <w:rFonts w:hint="eastAsia"/>
          <w:color w:val="1F2329"/>
          <w:szCs w:val="21"/>
          <w:shd w:val="clear" w:color="auto" w:fill="FFFFFF"/>
        </w:rPr>
        <w:t>部分：质量控制</w:t>
      </w:r>
    </w:p>
    <w:p w14:paraId="7757FC30">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5</w:t>
      </w:r>
      <w:r>
        <w:rPr>
          <w:rFonts w:hint="eastAsia"/>
          <w:color w:val="1F2329"/>
          <w:szCs w:val="21"/>
          <w:shd w:val="clear" w:color="auto" w:fill="FFFFFF"/>
        </w:rPr>
        <w:t>部分：数据管理</w:t>
      </w:r>
    </w:p>
    <w:p w14:paraId="0572C80F">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6</w:t>
      </w:r>
      <w:r>
        <w:rPr>
          <w:rFonts w:hint="eastAsia"/>
          <w:color w:val="1F2329"/>
          <w:szCs w:val="21"/>
          <w:shd w:val="clear" w:color="auto" w:fill="FFFFFF"/>
        </w:rPr>
        <w:t>部分：应用评价</w:t>
      </w:r>
    </w:p>
    <w:p w14:paraId="1F719C6D">
      <w:pPr>
        <w:pStyle w:val="59"/>
        <w:spacing w:line="240" w:lineRule="auto"/>
        <w:ind w:firstLine="420"/>
        <w:rPr>
          <w:color w:val="1F2329"/>
          <w:szCs w:val="21"/>
          <w:shd w:val="clear" w:color="auto" w:fill="FFFFFF"/>
        </w:rPr>
      </w:pPr>
      <w:r>
        <w:rPr>
          <w:rFonts w:hint="eastAsia"/>
          <w:color w:val="1F2329"/>
          <w:szCs w:val="21"/>
          <w:shd w:val="clear" w:color="auto" w:fill="FFFFFF"/>
        </w:rPr>
        <w:t>——第</w:t>
      </w:r>
      <w:r>
        <w:rPr>
          <w:color w:val="1F2329"/>
          <w:szCs w:val="21"/>
          <w:shd w:val="clear" w:color="auto" w:fill="FFFFFF"/>
        </w:rPr>
        <w:t>7</w:t>
      </w:r>
      <w:r>
        <w:rPr>
          <w:rFonts w:hint="eastAsia"/>
          <w:color w:val="1F2329"/>
          <w:szCs w:val="21"/>
          <w:shd w:val="clear" w:color="auto" w:fill="FFFFFF"/>
        </w:rPr>
        <w:t>部分：培训实施</w:t>
      </w:r>
    </w:p>
    <w:p w14:paraId="648AC52E">
      <w:pPr>
        <w:pStyle w:val="59"/>
        <w:ind w:firstLine="420"/>
      </w:pPr>
      <w:r>
        <w:rPr>
          <w:rFonts w:hint="eastAsia"/>
        </w:rPr>
        <w:t>本文件聚焦临床研究病房智慧管理平台数据传输全流程规范，与第</w:t>
      </w:r>
      <w:r>
        <w:t>2</w:t>
      </w:r>
      <w:r>
        <w:rPr>
          <w:rFonts w:hint="eastAsia"/>
        </w:rPr>
        <w:t>部分数据采集、第</w:t>
      </w:r>
      <w:r>
        <w:t>4-5</w:t>
      </w:r>
      <w:r>
        <w:rPr>
          <w:rFonts w:hint="eastAsia"/>
        </w:rPr>
        <w:t>部分质量控制及数据管理深度衔接，为第</w:t>
      </w:r>
      <w:r>
        <w:t>6</w:t>
      </w:r>
      <w:r>
        <w:rPr>
          <w:rFonts w:hint="eastAsia"/>
        </w:rPr>
        <w:t>部分应用评价、第</w:t>
      </w:r>
      <w:r>
        <w:t>7</w:t>
      </w:r>
      <w:r>
        <w:rPr>
          <w:rFonts w:hint="eastAsia"/>
        </w:rPr>
        <w:t>部分培训实施提供数据传输技术支撑，共同构建“建设</w:t>
      </w:r>
      <w:r>
        <w:t>-</w:t>
      </w:r>
      <w:r>
        <w:rPr>
          <w:rFonts w:hint="eastAsia"/>
        </w:rPr>
        <w:t>采集</w:t>
      </w:r>
      <w:r>
        <w:t>-</w:t>
      </w:r>
      <w:r>
        <w:rPr>
          <w:rFonts w:hint="eastAsia"/>
        </w:rPr>
        <w:t>传输</w:t>
      </w:r>
      <w:r>
        <w:t>-</w:t>
      </w:r>
      <w:r>
        <w:rPr>
          <w:rFonts w:hint="eastAsia"/>
        </w:rPr>
        <w:t>质控</w:t>
      </w:r>
      <w:r>
        <w:t>-</w:t>
      </w:r>
      <w:r>
        <w:rPr>
          <w:rFonts w:hint="eastAsia"/>
        </w:rPr>
        <w:t>管理</w:t>
      </w:r>
      <w:r>
        <w:t>-</w:t>
      </w:r>
      <w:r>
        <w:rPr>
          <w:rFonts w:hint="eastAsia"/>
        </w:rPr>
        <w:t>评价</w:t>
      </w:r>
      <w:r>
        <w:t>-</w:t>
      </w:r>
      <w:r>
        <w:rPr>
          <w:rFonts w:hint="eastAsia"/>
        </w:rPr>
        <w:t>优化”全流程标准体系。</w:t>
      </w:r>
    </w:p>
    <w:p w14:paraId="3ABB6FC5">
      <w:pPr>
        <w:pStyle w:val="59"/>
        <w:ind w:firstLine="420"/>
      </w:pPr>
      <w:r>
        <w:rPr>
          <w:rFonts w:hint="eastAsia"/>
        </w:rPr>
        <w:t>本文件由</w:t>
      </w:r>
      <w:r>
        <w:rPr>
          <w:rFonts w:hint="eastAsia"/>
          <w:lang w:val="en-US" w:eastAsia="zh-CN"/>
        </w:rPr>
        <w:t>中国研究型医院学会</w:t>
      </w:r>
      <w:r>
        <w:rPr>
          <w:rFonts w:hint="eastAsia"/>
        </w:rPr>
        <w:t>提出。</w:t>
      </w:r>
      <w:bookmarkStart w:id="102" w:name="_GoBack"/>
      <w:bookmarkEnd w:id="102"/>
    </w:p>
    <w:p w14:paraId="43BBAE49">
      <w:pPr>
        <w:pStyle w:val="59"/>
        <w:ind w:firstLine="420"/>
      </w:pPr>
      <w:r>
        <w:rPr>
          <w:rFonts w:hint="eastAsia"/>
        </w:rPr>
        <w:t>本文件由</w:t>
      </w:r>
      <w:r>
        <w:rPr>
          <w:rFonts w:hint="eastAsia"/>
          <w:lang w:val="en-US" w:eastAsia="zh-CN"/>
        </w:rPr>
        <w:t>中国研究型医院学会</w:t>
      </w:r>
      <w:r>
        <w:rPr>
          <w:rFonts w:hint="eastAsia"/>
        </w:rPr>
        <w:t>归口。</w:t>
      </w:r>
    </w:p>
    <w:p w14:paraId="1219F892">
      <w:pPr>
        <w:pStyle w:val="59"/>
        <w:ind w:firstLine="420"/>
      </w:pPr>
      <w:r>
        <w:rPr>
          <w:rFonts w:hint="eastAsia"/>
        </w:rPr>
        <w:t>本文件起草单位：。</w:t>
      </w:r>
    </w:p>
    <w:p w14:paraId="0961A88C">
      <w:pPr>
        <w:pStyle w:val="59"/>
        <w:ind w:firstLine="420"/>
      </w:pPr>
      <w:r>
        <w:rPr>
          <w:rFonts w:hint="eastAsia"/>
        </w:rPr>
        <w:t>本文件主要起草人：。</w:t>
      </w:r>
    </w:p>
    <w:p w14:paraId="028BBC7C">
      <w:pPr>
        <w:pStyle w:val="59"/>
        <w:ind w:firstLine="420"/>
      </w:pPr>
    </w:p>
    <w:p w14:paraId="45CA884F">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9"/>
    <w:p w14:paraId="05DC1F70">
      <w:pPr>
        <w:pStyle w:val="92"/>
        <w:numPr>
          <w:ilvl w:val="0"/>
          <w:numId w:val="0"/>
        </w:numPr>
        <w:spacing w:before="240" w:beforeLines="100" w:after="240" w:afterLines="100"/>
        <w:ind w:left="0" w:firstLine="0"/>
      </w:pPr>
      <w:bookmarkStart w:id="10" w:name="_Toc225519747"/>
      <w:bookmarkStart w:id="11" w:name="_Toc8647"/>
      <w:bookmarkStart w:id="12" w:name="_Toc228519152"/>
      <w:bookmarkStart w:id="13" w:name="BookMark3"/>
      <w:r>
        <w:rPr>
          <w:rFonts w:hint="eastAsia"/>
          <w:spacing w:val="0"/>
        </w:rPr>
        <w:t>引</w:t>
      </w:r>
      <w:r>
        <w:rPr>
          <w:rFonts w:hint="eastAsia"/>
        </w:rPr>
        <w:t xml:space="preserve">  言</w:t>
      </w:r>
      <w:bookmarkEnd w:id="10"/>
      <w:bookmarkEnd w:id="11"/>
      <w:bookmarkEnd w:id="12"/>
    </w:p>
    <w:bookmarkEnd w:id="13"/>
    <w:p w14:paraId="68AEC2E8">
      <w:pPr>
        <w:pStyle w:val="59"/>
        <w:ind w:firstLine="420"/>
        <w:rPr>
          <w:rFonts w:hint="eastAsia" w:ascii="宋体" w:hAnsi="宋体" w:cs="宋体"/>
          <w:sz w:val="24"/>
          <w:szCs w:val="24"/>
        </w:rPr>
      </w:pPr>
      <w:bookmarkStart w:id="14" w:name="BookMark4"/>
      <w:r>
        <w:rPr>
          <w:rFonts w:hint="eastAsia" w:ascii="宋体" w:hAnsi="宋体" w:cs="宋体"/>
          <w:sz w:val="24"/>
          <w:szCs w:val="24"/>
        </w:rPr>
        <w:t>临床研究病房智慧管理平台数据传输是连接院内各业务系统、跨机构多中心研究场景、去中心化临床试验终端的核心环节，直接决定临床研究多模态数据的流转效率、安全合规性与完整准确性。规范数据传输技术要求、格式编码、安全机制与跨域交互规则，是保障临床研究数据可信可溯、提升临床试验智能化管理水平、支撑医药创新研发高效落地的关键基础。</w:t>
      </w:r>
    </w:p>
    <w:p w14:paraId="13783977">
      <w:pPr>
        <w:pStyle w:val="59"/>
        <w:ind w:firstLine="420"/>
        <w:rPr>
          <w:sz w:val="24"/>
          <w:szCs w:val="24"/>
          <w:highlight w:val="yellow"/>
        </w:rPr>
      </w:pPr>
      <w:r>
        <w:rPr>
          <w:rFonts w:hint="eastAsia" w:ascii="宋体" w:hAnsi="宋体" w:cs="宋体"/>
          <w:sz w:val="24"/>
          <w:szCs w:val="24"/>
        </w:rPr>
        <w:t>本文件作为《临床研究病房智慧管理平台建设规范》系列团体标准的重要组成部分，填补了临床研究病房智慧管理场景下数据传输的标准空白，与系列标准中数据采集、质量控制、数据管理等核心模块协同配套，完善了临床研究病房智慧管理全链条标准支撑体系，为各级医疗机构、临床试验机构及相关服务商开展标准化数据传输建设与应用提供统一依据。</w:t>
      </w:r>
    </w:p>
    <w:p w14:paraId="09D6B327">
      <w:pPr>
        <w:rPr>
          <w:sz w:val="24"/>
          <w:szCs w:val="24"/>
        </w:rPr>
        <w:sectPr>
          <w:pgSz w:w="11906" w:h="16838"/>
          <w:pgMar w:top="1928" w:right="1134" w:bottom="1134" w:left="1134" w:header="1418" w:footer="1134" w:gutter="284"/>
          <w:pgNumType w:fmt="upperRoman"/>
          <w:cols w:space="425" w:num="1"/>
          <w:formProt w:val="0"/>
          <w:docGrid w:linePitch="312" w:charSpace="0"/>
        </w:sectPr>
      </w:pPr>
      <w:r>
        <w:rPr>
          <w:sz w:val="24"/>
          <w:szCs w:val="24"/>
        </w:rPr>
        <w:br w:type="page"/>
      </w:r>
    </w:p>
    <w:sdt>
      <w:sdtPr>
        <w:tag w:val="NEW_STAND_NAME"/>
        <w:id w:val="595910757"/>
        <w:lock w:val="sdtLocked"/>
        <w:placeholder>
          <w:docPart w:val="0AE236D5A80F46079847E4878748BD93"/>
        </w:placeholder>
      </w:sdtPr>
      <w:sdtEndPr>
        <w:rPr>
          <w:rFonts w:hint="eastAsia"/>
        </w:rPr>
      </w:sdtEndPr>
      <w:sdtContent>
        <w:p w14:paraId="3556385D">
          <w:pPr>
            <w:pStyle w:val="180"/>
            <w:spacing w:before="0" w:after="0" w:line="240" w:lineRule="auto"/>
            <w:rPr>
              <w:rFonts w:hint="eastAsia" w:ascii="Times New Roman" w:hAnsi="Times New Roman"/>
            </w:rPr>
          </w:pPr>
          <w:bookmarkStart w:id="15" w:name="NEW_STAND_NAME"/>
          <w:r>
            <w:rPr>
              <w:rFonts w:hint="eastAsia" w:ascii="Times New Roman" w:hAnsi="Times New Roman"/>
            </w:rPr>
            <w:t>临床研究病房智慧管理平台建设规范</w:t>
          </w:r>
        </w:p>
        <w:p w14:paraId="580AD835">
          <w:pPr>
            <w:pStyle w:val="180"/>
            <w:spacing w:before="0" w:beforeLines="-2147483648" w:after="0" w:afterLines="-2147483648" w:line="240" w:lineRule="auto"/>
            <w:rPr>
              <w:rFonts w:hint="eastAsia"/>
            </w:rPr>
          </w:pPr>
          <w:r>
            <w:rPr>
              <w:rFonts w:hint="eastAsia" w:ascii="Times New Roman" w:hAnsi="Times New Roman"/>
            </w:rPr>
            <w:t>第3部分：数据传输</w:t>
          </w:r>
        </w:p>
      </w:sdtContent>
    </w:sdt>
    <w:bookmarkEnd w:id="15"/>
    <w:p w14:paraId="33155B12">
      <w:pPr>
        <w:pStyle w:val="107"/>
        <w:spacing w:before="240" w:after="240"/>
      </w:pPr>
      <w:bookmarkStart w:id="16" w:name="_Toc19986"/>
      <w:bookmarkStart w:id="17" w:name="_Toc97192964"/>
      <w:bookmarkStart w:id="18" w:name="_Toc26986530"/>
      <w:bookmarkStart w:id="19" w:name="_Toc225519748"/>
      <w:bookmarkStart w:id="20" w:name="_Toc17233325"/>
      <w:bookmarkStart w:id="21" w:name="_Toc26648465"/>
      <w:bookmarkStart w:id="22" w:name="_Toc26718930"/>
      <w:bookmarkStart w:id="23" w:name="_Toc24884211"/>
      <w:bookmarkStart w:id="24" w:name="_Toc17233333"/>
      <w:bookmarkStart w:id="25" w:name="_Toc26986771"/>
      <w:bookmarkStart w:id="26" w:name="_Toc228519153"/>
      <w:bookmarkStart w:id="27" w:name="_Toc24884218"/>
      <w:r>
        <w:rPr>
          <w:rFonts w:hint="eastAsia"/>
        </w:rPr>
        <w:t>范围</w:t>
      </w:r>
      <w:bookmarkEnd w:id="16"/>
      <w:bookmarkEnd w:id="17"/>
      <w:bookmarkEnd w:id="18"/>
      <w:bookmarkEnd w:id="19"/>
      <w:bookmarkEnd w:id="20"/>
      <w:bookmarkEnd w:id="21"/>
      <w:bookmarkEnd w:id="22"/>
      <w:bookmarkEnd w:id="23"/>
      <w:bookmarkEnd w:id="24"/>
      <w:bookmarkEnd w:id="25"/>
      <w:bookmarkEnd w:id="26"/>
      <w:bookmarkEnd w:id="27"/>
    </w:p>
    <w:p w14:paraId="55539801">
      <w:pPr>
        <w:widowControl/>
        <w:shd w:val="clear" w:color="auto" w:fill="FFFFFF"/>
        <w:spacing w:after="0" w:line="240" w:lineRule="auto"/>
        <w:ind w:firstLine="420" w:firstLineChars="200"/>
        <w:jc w:val="both"/>
        <w:textAlignment w:val="baseline"/>
        <w:rPr>
          <w:rFonts w:ascii="Times New Roman" w:hAnsi="Times New Roman"/>
          <w:kern w:val="0"/>
          <w:szCs w:val="20"/>
        </w:rPr>
      </w:pPr>
      <w:bookmarkStart w:id="28" w:name="_Toc97192965"/>
      <w:bookmarkStart w:id="29" w:name="_Toc24884212"/>
      <w:bookmarkStart w:id="30" w:name="_Toc26986772"/>
      <w:bookmarkStart w:id="31" w:name="_Toc225519749"/>
      <w:bookmarkStart w:id="32" w:name="_Toc26648466"/>
      <w:bookmarkStart w:id="33" w:name="_Toc26986531"/>
      <w:bookmarkStart w:id="34" w:name="_Toc17233334"/>
      <w:bookmarkStart w:id="35" w:name="_Toc17233326"/>
      <w:bookmarkStart w:id="36" w:name="_Toc24884219"/>
      <w:bookmarkStart w:id="37" w:name="_Toc26718931"/>
      <w:r>
        <w:rPr>
          <w:rFonts w:ascii="Times New Roman" w:hAnsi="Times New Roman"/>
          <w:kern w:val="0"/>
          <w:szCs w:val="20"/>
        </w:rPr>
        <w:t>本文件规定了临床研究病房智慧管理平台数据传输的总体架构、技术要求、安全机制、数据格式规范、跨域传输管理及传输过程质量控制要求。</w:t>
      </w:r>
    </w:p>
    <w:p w14:paraId="02FB4FBC">
      <w:pPr>
        <w:widowControl/>
        <w:shd w:val="clear" w:color="auto" w:fill="FFFFFF"/>
        <w:spacing w:after="0" w:line="240" w:lineRule="auto"/>
        <w:ind w:firstLine="420" w:firstLineChars="200"/>
        <w:jc w:val="both"/>
        <w:textAlignment w:val="baseline"/>
        <w:rPr>
          <w:rFonts w:ascii="Times New Roman" w:hAnsi="Times New Roman"/>
          <w:kern w:val="0"/>
          <w:szCs w:val="20"/>
        </w:rPr>
      </w:pPr>
      <w:r>
        <w:rPr>
          <w:rFonts w:ascii="Times New Roman" w:hAnsi="Times New Roman"/>
          <w:kern w:val="0"/>
          <w:szCs w:val="20"/>
        </w:rPr>
        <w:t>本文件适用于各级医疗机构临床研究病房、临床试验机构、合同研究组织（CRO）、申办方及相关信息技术服务商在临床研究过程中涉及的多模态数据传输活动，涵盖院内系统间数据交换、跨机构多中心研究数据传输及去中心化临床试验（DCT）场景下的远程数据传输。</w:t>
      </w:r>
    </w:p>
    <w:p w14:paraId="7E2E8BF3">
      <w:pPr>
        <w:pStyle w:val="107"/>
        <w:spacing w:before="240" w:after="240"/>
      </w:pPr>
      <w:bookmarkStart w:id="38" w:name="_Toc3543"/>
      <w:bookmarkStart w:id="39" w:name="_Toc228519154"/>
      <w:r>
        <w:rPr>
          <w:rFonts w:hint="eastAsia"/>
        </w:rPr>
        <w:t>规范性引用文件</w:t>
      </w:r>
      <w:bookmarkEnd w:id="28"/>
      <w:bookmarkEnd w:id="29"/>
      <w:bookmarkEnd w:id="30"/>
      <w:bookmarkEnd w:id="31"/>
      <w:bookmarkEnd w:id="32"/>
      <w:bookmarkEnd w:id="33"/>
      <w:bookmarkEnd w:id="34"/>
      <w:bookmarkEnd w:id="35"/>
      <w:bookmarkEnd w:id="36"/>
      <w:bookmarkEnd w:id="37"/>
      <w:bookmarkEnd w:id="38"/>
      <w:bookmarkEnd w:id="39"/>
    </w:p>
    <w:p w14:paraId="5ABBF35F">
      <w:pPr>
        <w:pStyle w:val="59"/>
        <w:ind w:firstLine="420"/>
      </w:pPr>
      <w:sdt>
        <w:sdtPr>
          <w:rPr>
            <w:rFonts w:hint="eastAsia"/>
          </w:rPr>
          <w:id w:val="715848253"/>
          <w:placeholder>
            <w:docPart w:val="C727D9BE256B40FF80D982E87BBDDFB3"/>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77746B49">
      <w:pPr>
        <w:pStyle w:val="59"/>
        <w:ind w:firstLine="420"/>
        <w:rPr>
          <w:szCs w:val="21"/>
        </w:rPr>
      </w:pPr>
      <w:bookmarkStart w:id="40" w:name="OLE_LINK3"/>
      <w:r>
        <w:rPr>
          <w:szCs w:val="21"/>
        </w:rPr>
        <w:t>GB/T 22239-2019</w:t>
      </w:r>
      <w:bookmarkEnd w:id="40"/>
      <w:r>
        <w:rPr>
          <w:szCs w:val="21"/>
        </w:rPr>
        <w:t xml:space="preserve"> 信息安全技术 网络安全等级保护基本要求</w:t>
      </w:r>
    </w:p>
    <w:p w14:paraId="4844BF50">
      <w:pPr>
        <w:pStyle w:val="59"/>
        <w:ind w:firstLine="420"/>
        <w:rPr>
          <w:szCs w:val="21"/>
        </w:rPr>
      </w:pPr>
      <w:r>
        <w:rPr>
          <w:szCs w:val="21"/>
        </w:rPr>
        <w:t>GB/T 35273-2020 信息安全技术 个人信息安全规范</w:t>
      </w:r>
    </w:p>
    <w:p w14:paraId="106C3A34">
      <w:pPr>
        <w:pStyle w:val="59"/>
        <w:ind w:firstLine="420"/>
        <w:rPr>
          <w:szCs w:val="21"/>
        </w:rPr>
      </w:pPr>
      <w:r>
        <w:rPr>
          <w:szCs w:val="21"/>
        </w:rPr>
        <w:t>GB/T 39786-2021 信息安全技术 信息系统密码应用基本要求</w:t>
      </w:r>
    </w:p>
    <w:p w14:paraId="2301A413">
      <w:pPr>
        <w:pStyle w:val="59"/>
        <w:ind w:firstLine="420"/>
        <w:rPr>
          <w:szCs w:val="21"/>
        </w:rPr>
      </w:pPr>
      <w:r>
        <w:rPr>
          <w:szCs w:val="21"/>
        </w:rPr>
        <w:t>临床研究病房智慧管理平台建设规范 第</w:t>
      </w:r>
      <w:r>
        <w:rPr>
          <w:rFonts w:hint="eastAsia"/>
          <w:szCs w:val="21"/>
        </w:rPr>
        <w:t>1</w:t>
      </w:r>
      <w:r>
        <w:rPr>
          <w:szCs w:val="21"/>
        </w:rPr>
        <w:t>部分：</w:t>
      </w:r>
      <w:r>
        <w:rPr>
          <w:rFonts w:hint="eastAsia"/>
          <w:szCs w:val="21"/>
        </w:rPr>
        <w:t>架构设计</w:t>
      </w:r>
    </w:p>
    <w:p w14:paraId="110035D0">
      <w:pPr>
        <w:pStyle w:val="59"/>
        <w:ind w:firstLine="420"/>
        <w:rPr>
          <w:szCs w:val="21"/>
        </w:rPr>
      </w:pPr>
      <w:r>
        <w:rPr>
          <w:szCs w:val="21"/>
        </w:rPr>
        <w:t>临床研究病房智慧管理平台建设规范 第</w:t>
      </w:r>
      <w:r>
        <w:rPr>
          <w:rFonts w:hint="eastAsia"/>
          <w:szCs w:val="21"/>
        </w:rPr>
        <w:t>2</w:t>
      </w:r>
      <w:r>
        <w:rPr>
          <w:szCs w:val="21"/>
        </w:rPr>
        <w:t>部分：</w:t>
      </w:r>
      <w:r>
        <w:rPr>
          <w:rFonts w:hint="eastAsia"/>
          <w:szCs w:val="21"/>
        </w:rPr>
        <w:t>数据采集</w:t>
      </w:r>
    </w:p>
    <w:p w14:paraId="501D15EC">
      <w:pPr>
        <w:pStyle w:val="59"/>
        <w:ind w:firstLine="420"/>
        <w:rPr>
          <w:szCs w:val="21"/>
        </w:rPr>
      </w:pPr>
      <w:bookmarkStart w:id="41" w:name="OLE_LINK5"/>
      <w:r>
        <w:rPr>
          <w:szCs w:val="21"/>
        </w:rPr>
        <w:t>WS/T 305</w:t>
      </w:r>
      <w:bookmarkEnd w:id="41"/>
      <w:r>
        <w:rPr>
          <w:szCs w:val="21"/>
        </w:rPr>
        <w:t>-20</w:t>
      </w:r>
      <w:r>
        <w:rPr>
          <w:rFonts w:hint="eastAsia"/>
          <w:szCs w:val="21"/>
        </w:rPr>
        <w:t>23</w:t>
      </w:r>
      <w:r>
        <w:rPr>
          <w:szCs w:val="21"/>
        </w:rPr>
        <w:t xml:space="preserve"> 卫生信息数据集元数据规范</w:t>
      </w:r>
    </w:p>
    <w:p w14:paraId="06DEE2C4">
      <w:pPr>
        <w:pStyle w:val="59"/>
        <w:ind w:firstLine="420"/>
        <w:rPr>
          <w:szCs w:val="21"/>
        </w:rPr>
      </w:pPr>
      <w:r>
        <w:rPr>
          <w:szCs w:val="21"/>
        </w:rPr>
        <w:t>T/CQAP 3013-202</w:t>
      </w:r>
      <w:r>
        <w:rPr>
          <w:rFonts w:hint="eastAsia"/>
          <w:szCs w:val="21"/>
        </w:rPr>
        <w:t>3</w:t>
      </w:r>
      <w:r>
        <w:rPr>
          <w:szCs w:val="21"/>
        </w:rPr>
        <w:t xml:space="preserve"> 临床试验数据管理质量核查要点</w:t>
      </w:r>
    </w:p>
    <w:p w14:paraId="2FAE3F7D">
      <w:pPr>
        <w:pStyle w:val="59"/>
        <w:ind w:firstLine="420"/>
        <w:rPr>
          <w:szCs w:val="21"/>
        </w:rPr>
      </w:pPr>
      <w:r>
        <w:rPr>
          <w:szCs w:val="21"/>
        </w:rPr>
        <w:t>DICOM PS3.15-2024 医学数字成像和通信 安全及系统管理</w:t>
      </w:r>
    </w:p>
    <w:p w14:paraId="4AC6606C">
      <w:pPr>
        <w:pStyle w:val="59"/>
        <w:ind w:firstLine="420"/>
        <w:rPr>
          <w:szCs w:val="21"/>
        </w:rPr>
      </w:pPr>
      <w:r>
        <w:rPr>
          <w:szCs w:val="21"/>
        </w:rPr>
        <w:t>ISO 27799-2016 健康信息学 信息安全管理</w:t>
      </w:r>
    </w:p>
    <w:p w14:paraId="376DEA0C">
      <w:pPr>
        <w:pStyle w:val="59"/>
        <w:ind w:firstLine="420"/>
      </w:pPr>
      <w:bookmarkStart w:id="42" w:name="OLE_LINK9"/>
      <w:r>
        <w:rPr>
          <w:rFonts w:hint="eastAsia"/>
        </w:rPr>
        <w:t>GM/T 0015</w:t>
      </w:r>
      <w:bookmarkEnd w:id="42"/>
      <w:r>
        <w:rPr>
          <w:rFonts w:hint="eastAsia"/>
        </w:rPr>
        <w:t>-2023 《数字证书格式》</w:t>
      </w:r>
    </w:p>
    <w:p w14:paraId="0EB8ADE5">
      <w:pPr>
        <w:pStyle w:val="59"/>
        <w:ind w:firstLine="420"/>
        <w:rPr>
          <w:szCs w:val="21"/>
        </w:rPr>
      </w:pPr>
      <w:r>
        <w:rPr>
          <w:szCs w:val="21"/>
        </w:rPr>
        <w:t>WS/T 447-2014 基于电子病历的医院信息平台技术规范</w:t>
      </w:r>
    </w:p>
    <w:p w14:paraId="5DF3F45E">
      <w:pPr>
        <w:pStyle w:val="107"/>
        <w:spacing w:before="240" w:after="240"/>
      </w:pPr>
      <w:bookmarkStart w:id="43" w:name="_Toc225519750"/>
      <w:bookmarkStart w:id="44" w:name="_Toc228519155"/>
      <w:bookmarkStart w:id="45" w:name="_Toc7624"/>
      <w:r>
        <w:rPr>
          <w:rFonts w:hint="eastAsia"/>
        </w:rPr>
        <w:t>术语和定义</w:t>
      </w:r>
      <w:bookmarkEnd w:id="43"/>
      <w:bookmarkEnd w:id="44"/>
      <w:bookmarkEnd w:id="45"/>
    </w:p>
    <w:sdt>
      <w:sdtPr>
        <w:id w:val="-1909835108"/>
        <w:placeholder>
          <w:docPart w:val="F522C4A9F44240E8AE3754EB3C9EFB45"/>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72F2B39B">
          <w:pPr>
            <w:pStyle w:val="59"/>
            <w:ind w:firstLine="420"/>
          </w:pPr>
          <w:bookmarkStart w:id="46" w:name="_Toc26986532"/>
          <w:bookmarkEnd w:id="46"/>
          <w:r>
            <w:t>下列术语和定义适用于本文件。</w:t>
          </w:r>
        </w:p>
      </w:sdtContent>
    </w:sdt>
    <w:p w14:paraId="1DCFF095">
      <w:pPr>
        <w:pStyle w:val="108"/>
        <w:spacing w:before="120" w:after="120"/>
        <w:outlineLvl w:val="9"/>
      </w:pPr>
      <w:bookmarkStart w:id="47" w:name="_Toc25799"/>
    </w:p>
    <w:p w14:paraId="63E12C01">
      <w:pPr>
        <w:pStyle w:val="108"/>
        <w:numPr>
          <w:ilvl w:val="0"/>
          <w:numId w:val="0"/>
        </w:numPr>
        <w:spacing w:before="0" w:beforeLines="0" w:after="0" w:afterLines="0"/>
        <w:ind w:firstLine="420" w:firstLineChars="200"/>
        <w:outlineLvl w:val="9"/>
        <w:rPr>
          <w:rFonts w:ascii="Times New Roman"/>
        </w:rPr>
      </w:pPr>
      <w:r>
        <w:rPr>
          <w:rFonts w:hint="eastAsia" w:ascii="Times New Roman"/>
        </w:rPr>
        <w:t>数据传输</w:t>
      </w:r>
      <w:r>
        <w:rPr>
          <w:rFonts w:ascii="Times New Roman"/>
        </w:rPr>
        <w:t xml:space="preserve"> data transmission</w:t>
      </w:r>
      <w:bookmarkEnd w:id="47"/>
    </w:p>
    <w:p w14:paraId="50621561">
      <w:pPr>
        <w:pStyle w:val="59"/>
        <w:ind w:firstLine="420"/>
      </w:pPr>
      <w:r>
        <w:t>通过网络将临床研究相关数据（包括文本、影像、实时监测数据等）从一个系统、设备或机构传递到另一个系统、设备或机构的过程，是平台数据交互的核心环节。</w:t>
      </w:r>
    </w:p>
    <w:p w14:paraId="0ADE3E94">
      <w:pPr>
        <w:pStyle w:val="108"/>
        <w:spacing w:before="120" w:after="120"/>
        <w:outlineLvl w:val="9"/>
      </w:pPr>
      <w:bookmarkStart w:id="48" w:name="_Toc5681"/>
    </w:p>
    <w:p w14:paraId="5DDAFD1C">
      <w:pPr>
        <w:pStyle w:val="108"/>
        <w:numPr>
          <w:ilvl w:val="0"/>
          <w:numId w:val="0"/>
        </w:numPr>
        <w:spacing w:before="0" w:beforeLines="0" w:after="0" w:afterLines="0"/>
        <w:ind w:firstLine="420" w:firstLineChars="200"/>
        <w:outlineLvl w:val="9"/>
        <w:rPr>
          <w:rFonts w:ascii="Times New Roman"/>
        </w:rPr>
      </w:pPr>
      <w:r>
        <w:t>结构</w:t>
      </w:r>
      <w:r>
        <w:rPr>
          <w:rFonts w:hint="eastAsia" w:ascii="Times New Roman"/>
        </w:rPr>
        <w:t>化数据</w:t>
      </w:r>
      <w:r>
        <w:rPr>
          <w:rFonts w:ascii="Times New Roman"/>
        </w:rPr>
        <w:t xml:space="preserve"> structured data</w:t>
      </w:r>
      <w:bookmarkEnd w:id="48"/>
    </w:p>
    <w:p w14:paraId="352CF0F7">
      <w:pPr>
        <w:pStyle w:val="59"/>
        <w:ind w:firstLine="420"/>
      </w:pPr>
      <w:r>
        <w:t>具有固定格式、明确字段定义，可直接用于计算机识别、存储和分析的数据，如受试者基本信息、研究指标检测结果、医嘱信息等。</w:t>
      </w:r>
    </w:p>
    <w:p w14:paraId="4C0A23CF">
      <w:pPr>
        <w:pStyle w:val="108"/>
        <w:spacing w:before="120" w:after="120"/>
        <w:outlineLvl w:val="9"/>
      </w:pPr>
      <w:bookmarkStart w:id="49" w:name="_Toc512"/>
    </w:p>
    <w:p w14:paraId="18250CBF">
      <w:pPr>
        <w:pStyle w:val="108"/>
        <w:numPr>
          <w:ilvl w:val="0"/>
          <w:numId w:val="0"/>
        </w:numPr>
        <w:spacing w:before="0" w:beforeLines="0" w:after="0" w:afterLines="0"/>
        <w:ind w:firstLine="420" w:firstLineChars="200"/>
        <w:outlineLvl w:val="9"/>
        <w:rPr>
          <w:rFonts w:ascii="Times New Roman"/>
        </w:rPr>
      </w:pPr>
      <w:r>
        <w:t xml:space="preserve">非结构化数据 </w:t>
      </w:r>
      <w:r>
        <w:rPr>
          <w:rFonts w:ascii="Times New Roman"/>
        </w:rPr>
        <w:t>unstructured data</w:t>
      </w:r>
      <w:bookmarkEnd w:id="49"/>
    </w:p>
    <w:p w14:paraId="6066CD22">
      <w:pPr>
        <w:pStyle w:val="59"/>
        <w:ind w:firstLine="420"/>
      </w:pPr>
      <w:r>
        <w:t>无固定格式、字段定义不明确，难以直接用计算机进行结构化处理的数据，如医学影像、病程记录、研究报告扫描件等。</w:t>
      </w:r>
    </w:p>
    <w:p w14:paraId="08ECF159">
      <w:pPr>
        <w:pStyle w:val="108"/>
        <w:spacing w:before="120" w:after="120"/>
        <w:outlineLvl w:val="9"/>
      </w:pPr>
      <w:bookmarkStart w:id="50" w:name="_Toc23582"/>
    </w:p>
    <w:p w14:paraId="62D871B5">
      <w:pPr>
        <w:pStyle w:val="108"/>
        <w:numPr>
          <w:ilvl w:val="0"/>
          <w:numId w:val="0"/>
        </w:numPr>
        <w:spacing w:before="0" w:beforeLines="0" w:after="0" w:afterLines="0"/>
        <w:ind w:firstLine="420" w:firstLineChars="200"/>
        <w:outlineLvl w:val="9"/>
        <w:rPr>
          <w:rFonts w:ascii="Times New Roman"/>
        </w:rPr>
      </w:pPr>
      <w:r>
        <w:t xml:space="preserve">半结构化数据 </w:t>
      </w:r>
      <w:r>
        <w:rPr>
          <w:rFonts w:ascii="Times New Roman"/>
        </w:rPr>
        <w:t>semi-structured data</w:t>
      </w:r>
      <w:bookmarkEnd w:id="50"/>
    </w:p>
    <w:p w14:paraId="248F1D39">
      <w:pPr>
        <w:pStyle w:val="59"/>
        <w:ind w:firstLine="420"/>
      </w:pPr>
      <w:r>
        <w:t>介于结构化数据与非结构化数据之间，具有一定的结构框架，但部分字段可灵活定义的数据，如研究方案摘要、受试者随访记录（含自由文本描述）等。</w:t>
      </w:r>
    </w:p>
    <w:p w14:paraId="32302A06">
      <w:pPr>
        <w:pStyle w:val="108"/>
        <w:spacing w:before="120" w:after="120"/>
        <w:outlineLvl w:val="9"/>
      </w:pPr>
      <w:bookmarkStart w:id="51" w:name="_Toc6255"/>
    </w:p>
    <w:p w14:paraId="2160DFD6">
      <w:pPr>
        <w:pStyle w:val="108"/>
        <w:numPr>
          <w:ilvl w:val="0"/>
          <w:numId w:val="0"/>
        </w:numPr>
        <w:spacing w:before="0" w:beforeLines="0" w:after="0" w:afterLines="0"/>
        <w:ind w:firstLine="420" w:firstLineChars="200"/>
        <w:outlineLvl w:val="9"/>
        <w:rPr>
          <w:rFonts w:ascii="Times New Roman"/>
        </w:rPr>
      </w:pPr>
      <w:r>
        <w:t>医疗术语编</w:t>
      </w:r>
      <w:r>
        <w:rPr>
          <w:rFonts w:hint="eastAsia" w:ascii="Times New Roman"/>
        </w:rPr>
        <w:t>码</w:t>
      </w:r>
      <w:r>
        <w:rPr>
          <w:rFonts w:ascii="Times New Roman"/>
        </w:rPr>
        <w:t xml:space="preserve"> medical terminology coding</w:t>
      </w:r>
      <w:bookmarkEnd w:id="51"/>
    </w:p>
    <w:p w14:paraId="1C77DD33">
      <w:pPr>
        <w:pStyle w:val="59"/>
        <w:ind w:firstLine="420"/>
      </w:pPr>
      <w:r>
        <w:t>采用标准化的编码体系，对疾病、症状、检验项目、药物等医疗相关术语进行编码，实现医疗信息的统一识别与交互，常用编码体系包括ICD、LOINC等。</w:t>
      </w:r>
    </w:p>
    <w:p w14:paraId="339D2598">
      <w:pPr>
        <w:pStyle w:val="108"/>
        <w:spacing w:before="120" w:after="120"/>
        <w:outlineLvl w:val="9"/>
      </w:pPr>
      <w:bookmarkStart w:id="52" w:name="_Toc28990"/>
    </w:p>
    <w:p w14:paraId="3D6DB9CE">
      <w:pPr>
        <w:pStyle w:val="108"/>
        <w:numPr>
          <w:ilvl w:val="0"/>
          <w:numId w:val="0"/>
        </w:numPr>
        <w:spacing w:before="0" w:beforeLines="0" w:after="0" w:afterLines="0"/>
        <w:ind w:firstLine="420" w:firstLineChars="200"/>
        <w:outlineLvl w:val="9"/>
      </w:pPr>
      <w:r>
        <w:t>研究数据编码</w:t>
      </w:r>
      <w:r>
        <w:rPr>
          <w:rFonts w:ascii="Times New Roman"/>
        </w:rPr>
        <w:t xml:space="preserve"> research data coding</w:t>
      </w:r>
      <w:bookmarkEnd w:id="52"/>
    </w:p>
    <w:p w14:paraId="357DEA3B">
      <w:pPr>
        <w:pStyle w:val="59"/>
        <w:ind w:firstLine="420"/>
      </w:pPr>
      <w:r>
        <w:t>采用临床研究专用的标准化编码体系，对临床研究过程中的各类数据进行编码，确保研究数据的规范性、可比性和可交换性，核心编码体系为CDISC标准。</w:t>
      </w:r>
    </w:p>
    <w:p w14:paraId="1CBABC95">
      <w:pPr>
        <w:pStyle w:val="108"/>
        <w:spacing w:before="120" w:after="120"/>
        <w:outlineLvl w:val="9"/>
      </w:pPr>
      <w:bookmarkStart w:id="53" w:name="_Toc13229"/>
    </w:p>
    <w:p w14:paraId="3A8F9D78">
      <w:pPr>
        <w:pStyle w:val="108"/>
        <w:numPr>
          <w:ilvl w:val="0"/>
          <w:numId w:val="0"/>
        </w:numPr>
        <w:spacing w:before="0" w:beforeLines="0" w:after="0" w:afterLines="0"/>
        <w:ind w:firstLine="420" w:firstLineChars="200"/>
        <w:outlineLvl w:val="9"/>
        <w:rPr>
          <w:rFonts w:ascii="Times New Roman"/>
        </w:rPr>
      </w:pPr>
      <w:r>
        <w:t>跨域数据传</w:t>
      </w:r>
      <w:r>
        <w:rPr>
          <w:rFonts w:hint="eastAsia" w:ascii="Times New Roman"/>
        </w:rPr>
        <w:t>输</w:t>
      </w:r>
      <w:r>
        <w:rPr>
          <w:rFonts w:ascii="Times New Roman"/>
        </w:rPr>
        <w:t xml:space="preserve"> cross-domain data transmission</w:t>
      </w:r>
      <w:bookmarkEnd w:id="53"/>
    </w:p>
    <w:p w14:paraId="3298DBBD">
      <w:pPr>
        <w:pStyle w:val="59"/>
        <w:ind w:firstLine="420"/>
      </w:pPr>
      <w:r>
        <w:t>不同系统、不同机构、不同用户端之间的临床研究数据传输，包括院内各系统间、院内与研发系统间、院内与外部企业间、院内与用户端间的数据交互。</w:t>
      </w:r>
    </w:p>
    <w:p w14:paraId="526849AB">
      <w:pPr>
        <w:pStyle w:val="108"/>
        <w:spacing w:before="120" w:after="120"/>
        <w:outlineLvl w:val="9"/>
      </w:pPr>
      <w:bookmarkStart w:id="54" w:name="_Toc4089"/>
    </w:p>
    <w:p w14:paraId="2D329EA7">
      <w:pPr>
        <w:pStyle w:val="108"/>
        <w:numPr>
          <w:ilvl w:val="0"/>
          <w:numId w:val="0"/>
        </w:numPr>
        <w:spacing w:before="0" w:beforeLines="0" w:after="0" w:afterLines="0"/>
        <w:ind w:firstLine="420" w:firstLineChars="200"/>
        <w:outlineLvl w:val="9"/>
        <w:rPr>
          <w:rFonts w:ascii="Times New Roman"/>
        </w:rPr>
      </w:pPr>
      <w:r>
        <w:t>传输可靠</w:t>
      </w:r>
      <w:r>
        <w:rPr>
          <w:rFonts w:hint="eastAsia" w:ascii="Times New Roman"/>
        </w:rPr>
        <w:t>性</w:t>
      </w:r>
      <w:r>
        <w:rPr>
          <w:rFonts w:ascii="Times New Roman"/>
        </w:rPr>
        <w:t xml:space="preserve"> transmission reliability</w:t>
      </w:r>
      <w:bookmarkEnd w:id="54"/>
    </w:p>
    <w:p w14:paraId="09FD40F7">
      <w:pPr>
        <w:pStyle w:val="59"/>
        <w:ind w:firstLine="420"/>
      </w:pPr>
      <w:r>
        <w:t>数据在传输过程中不丢失、不重复、不篡改，能够准确、及时到达目标终端或系统的能力，通常用传输成功率、数据完整性等指标衡量。</w:t>
      </w:r>
    </w:p>
    <w:p w14:paraId="2F7A0DEA">
      <w:pPr>
        <w:pStyle w:val="108"/>
        <w:spacing w:before="120" w:after="120"/>
        <w:outlineLvl w:val="9"/>
      </w:pPr>
      <w:bookmarkStart w:id="55" w:name="_Toc12730"/>
    </w:p>
    <w:p w14:paraId="53B20478">
      <w:pPr>
        <w:pStyle w:val="108"/>
        <w:numPr>
          <w:ilvl w:val="0"/>
          <w:numId w:val="0"/>
        </w:numPr>
        <w:spacing w:before="0" w:beforeLines="0" w:after="0" w:afterLines="0"/>
        <w:ind w:firstLine="420" w:firstLineChars="200"/>
        <w:outlineLvl w:val="9"/>
        <w:rPr>
          <w:rFonts w:ascii="Times New Roman"/>
        </w:rPr>
      </w:pPr>
      <w:r>
        <w:t>传输加密</w:t>
      </w:r>
      <w:r>
        <w:rPr>
          <w:rFonts w:ascii="Times New Roman"/>
        </w:rPr>
        <w:t xml:space="preserve"> transmission encryption</w:t>
      </w:r>
      <w:bookmarkEnd w:id="55"/>
    </w:p>
    <w:p w14:paraId="6F624708">
      <w:pPr>
        <w:pStyle w:val="59"/>
        <w:ind w:firstLine="420"/>
      </w:pPr>
      <w:r>
        <w:t>在数据传输过程中，采用加密技术对数据进行处理，防止数据被窃取、篡改或泄露，保障数据传输过程中的机密性和完整性。</w:t>
      </w:r>
    </w:p>
    <w:p w14:paraId="139BC477">
      <w:pPr>
        <w:pStyle w:val="108"/>
        <w:spacing w:before="120" w:after="120"/>
        <w:outlineLvl w:val="9"/>
      </w:pPr>
      <w:bookmarkStart w:id="56" w:name="_Toc1083"/>
    </w:p>
    <w:p w14:paraId="284BFD23">
      <w:pPr>
        <w:pStyle w:val="108"/>
        <w:numPr>
          <w:ilvl w:val="0"/>
          <w:numId w:val="0"/>
        </w:numPr>
        <w:spacing w:before="0" w:beforeLines="0" w:after="0" w:afterLines="0"/>
        <w:ind w:firstLine="420" w:firstLineChars="200"/>
        <w:outlineLvl w:val="9"/>
        <w:rPr>
          <w:rFonts w:ascii="Times New Roman"/>
        </w:rPr>
      </w:pPr>
      <w:r>
        <w:t>传输认</w:t>
      </w:r>
      <w:r>
        <w:rPr>
          <w:rFonts w:hint="eastAsia" w:ascii="Times New Roman"/>
        </w:rPr>
        <w:t>证</w:t>
      </w:r>
      <w:r>
        <w:rPr>
          <w:rFonts w:ascii="Times New Roman"/>
        </w:rPr>
        <w:t xml:space="preserve"> transmission authentication</w:t>
      </w:r>
      <w:bookmarkEnd w:id="56"/>
    </w:p>
    <w:p w14:paraId="1D701C06">
      <w:pPr>
        <w:pStyle w:val="59"/>
        <w:ind w:firstLine="420"/>
      </w:pPr>
      <w:r>
        <w:t>通过特定的技术手段，验证数据传输双方（系统、设备、用户）的身份合法性，确保数据仅在授权的主体之间传输，防止未授权接入和数据伪造。</w:t>
      </w:r>
    </w:p>
    <w:p w14:paraId="70EFD34A">
      <w:pPr>
        <w:pStyle w:val="107"/>
        <w:spacing w:before="240" w:after="240"/>
      </w:pPr>
      <w:bookmarkStart w:id="57" w:name="_Toc225519756"/>
      <w:bookmarkStart w:id="58" w:name="_Toc228519156"/>
      <w:bookmarkStart w:id="59" w:name="_Toc4693"/>
      <w:r>
        <w:rPr>
          <w:rFonts w:hint="eastAsia"/>
        </w:rPr>
        <w:t>缩略语</w:t>
      </w:r>
      <w:bookmarkEnd w:id="57"/>
      <w:bookmarkEnd w:id="58"/>
      <w:bookmarkEnd w:id="59"/>
    </w:p>
    <w:p w14:paraId="3B89B82B">
      <w:pPr>
        <w:pStyle w:val="59"/>
        <w:ind w:firstLine="420"/>
      </w:pPr>
      <w:r>
        <w:rPr>
          <w:rFonts w:hint="eastAsia"/>
        </w:rPr>
        <w:t>下列缩略语适用于本文件。</w:t>
      </w:r>
    </w:p>
    <w:p w14:paraId="2D6B0DE2">
      <w:pPr>
        <w:pStyle w:val="59"/>
        <w:ind w:firstLine="420"/>
      </w:pPr>
      <w:r>
        <w:rPr>
          <w:rFonts w:hint="eastAsia"/>
        </w:rPr>
        <w:t>RIS：放射信息系统（Radiology Information System）</w:t>
      </w:r>
    </w:p>
    <w:p w14:paraId="7F005CC8">
      <w:pPr>
        <w:pStyle w:val="59"/>
        <w:ind w:firstLine="420"/>
      </w:pPr>
      <w:r>
        <w:rPr>
          <w:rFonts w:hint="eastAsia"/>
        </w:rPr>
        <w:t>EMR：电子病历系统（Electronic Medical Record System）</w:t>
      </w:r>
    </w:p>
    <w:p w14:paraId="4BF46203">
      <w:pPr>
        <w:pStyle w:val="59"/>
        <w:ind w:firstLine="420"/>
      </w:pPr>
      <w:r>
        <w:rPr>
          <w:rFonts w:hint="eastAsia"/>
        </w:rPr>
        <w:t>CTMS：临床研究管理系统（Clinical Trial Management System）</w:t>
      </w:r>
    </w:p>
    <w:p w14:paraId="7960E294">
      <w:pPr>
        <w:pStyle w:val="59"/>
        <w:ind w:firstLine="420"/>
      </w:pPr>
      <w:r>
        <w:rPr>
          <w:rFonts w:hint="eastAsia"/>
        </w:rPr>
        <w:t>IWRS：交互式网络应答系统（Interactive Web Response System）</w:t>
      </w:r>
    </w:p>
    <w:p w14:paraId="14E151A3">
      <w:pPr>
        <w:pStyle w:val="59"/>
        <w:ind w:firstLine="420"/>
      </w:pPr>
      <w:r>
        <w:rPr>
          <w:rFonts w:hint="eastAsia"/>
        </w:rPr>
        <w:t>IRT：随机化与试验药物管理系统（Interactive Randomization and Trial Supply Management System）</w:t>
      </w:r>
    </w:p>
    <w:p w14:paraId="23059616">
      <w:pPr>
        <w:pStyle w:val="59"/>
        <w:ind w:firstLine="420"/>
      </w:pPr>
      <w:r>
        <w:rPr>
          <w:rFonts w:hint="eastAsia"/>
        </w:rPr>
        <w:t>CRO：合同研究组织（Contract Research Organization）</w:t>
      </w:r>
    </w:p>
    <w:p w14:paraId="285B827D">
      <w:pPr>
        <w:pStyle w:val="59"/>
        <w:ind w:firstLine="420"/>
      </w:pPr>
      <w:r>
        <w:rPr>
          <w:rFonts w:hint="eastAsia"/>
        </w:rPr>
        <w:t>CDISC：临床数据交换标准协会（Clinical Data Interchange Standards Consortium）</w:t>
      </w:r>
    </w:p>
    <w:p w14:paraId="59A9CD99">
      <w:pPr>
        <w:pStyle w:val="59"/>
        <w:ind w:firstLine="420"/>
      </w:pPr>
      <w:r>
        <w:rPr>
          <w:rFonts w:hint="eastAsia"/>
        </w:rPr>
        <w:t>ICD：国际疾病分类（International Classification of Diseases）</w:t>
      </w:r>
    </w:p>
    <w:p w14:paraId="62415EC4">
      <w:pPr>
        <w:pStyle w:val="59"/>
        <w:ind w:firstLine="420"/>
      </w:pPr>
      <w:r>
        <w:rPr>
          <w:rFonts w:hint="eastAsia"/>
        </w:rPr>
        <w:t>LOINC：逻辑观察标识符命名与编码系统（Logical Observation Identifiers Names and Codes）</w:t>
      </w:r>
    </w:p>
    <w:p w14:paraId="00DD6C89">
      <w:pPr>
        <w:pStyle w:val="59"/>
        <w:ind w:firstLine="420"/>
      </w:pPr>
      <w:r>
        <w:rPr>
          <w:rFonts w:hint="eastAsia"/>
        </w:rPr>
        <w:t>SSL：安全套接层协议（Secure Sockets Layer）</w:t>
      </w:r>
    </w:p>
    <w:p w14:paraId="49996364">
      <w:pPr>
        <w:pStyle w:val="59"/>
        <w:ind w:firstLine="420"/>
      </w:pPr>
      <w:r>
        <w:rPr>
          <w:rFonts w:hint="eastAsia"/>
        </w:rPr>
        <w:t>TLS：传输层安全协议（Transport Layer Security）</w:t>
      </w:r>
    </w:p>
    <w:p w14:paraId="1C86BFD5">
      <w:pPr>
        <w:pStyle w:val="59"/>
        <w:ind w:firstLine="420"/>
      </w:pPr>
      <w:r>
        <w:rPr>
          <w:rFonts w:hint="eastAsia"/>
        </w:rPr>
        <w:t>AES：高级加密标准（Advanced Encryption Standard）</w:t>
      </w:r>
    </w:p>
    <w:p w14:paraId="787A1EC6">
      <w:pPr>
        <w:pStyle w:val="59"/>
        <w:ind w:firstLine="420"/>
      </w:pPr>
      <w:r>
        <w:rPr>
          <w:rFonts w:hint="eastAsia"/>
        </w:rPr>
        <w:t>XML：可扩展标记语言（Extensible Markup Language）</w:t>
      </w:r>
    </w:p>
    <w:p w14:paraId="7FFB8E4F">
      <w:pPr>
        <w:pStyle w:val="59"/>
        <w:ind w:firstLine="420"/>
      </w:pPr>
      <w:r>
        <w:rPr>
          <w:rFonts w:hint="eastAsia"/>
        </w:rPr>
        <w:t>JSON：JavaScript对象表示法（JavaScript Object Notation）</w:t>
      </w:r>
    </w:p>
    <w:p w14:paraId="708F5A9E">
      <w:pPr>
        <w:pStyle w:val="107"/>
        <w:spacing w:before="240" w:after="240"/>
      </w:pPr>
      <w:bookmarkStart w:id="60" w:name="_Toc4193"/>
      <w:bookmarkStart w:id="61" w:name="_Toc228519157"/>
      <w:r>
        <w:rPr>
          <w:rFonts w:hint="eastAsia"/>
        </w:rPr>
        <w:t>数据传输总体要求</w:t>
      </w:r>
      <w:bookmarkEnd w:id="60"/>
      <w:bookmarkEnd w:id="61"/>
    </w:p>
    <w:p w14:paraId="46944B38">
      <w:pPr>
        <w:pStyle w:val="108"/>
        <w:spacing w:before="120" w:after="120"/>
        <w:outlineLvl w:val="9"/>
      </w:pPr>
      <w:bookmarkStart w:id="62" w:name="_Toc12703"/>
      <w:r>
        <w:rPr>
          <w:rFonts w:hint="eastAsia"/>
        </w:rPr>
        <w:t>传输性能要求</w:t>
      </w:r>
      <w:bookmarkEnd w:id="62"/>
    </w:p>
    <w:p w14:paraId="42168BDE">
      <w:pPr>
        <w:pStyle w:val="68"/>
        <w:spacing w:before="0" w:beforeLines="0" w:after="0" w:afterLines="0"/>
        <w:outlineLvl w:val="9"/>
      </w:pPr>
      <w:r>
        <w:rPr>
          <w:rFonts w:hint="eastAsia"/>
        </w:rPr>
        <w:t>文本类数据传输性能要求</w:t>
      </w:r>
    </w:p>
    <w:p w14:paraId="7600AC65">
      <w:pPr>
        <w:pStyle w:val="59"/>
        <w:ind w:firstLine="420"/>
        <w:rPr>
          <w:color w:val="0000FF"/>
        </w:rPr>
      </w:pPr>
      <w:r>
        <w:rPr>
          <w:rFonts w:hint="eastAsia"/>
        </w:rPr>
        <w:t>文本类数据（包括受试者基本信息、研究医嘱、随访记录、检验报告文本等），使用院内医疗专用局域网，传输延迟应≤500ms，传输成功率≥99.9%，支持批量文本数据的并行传输，批量传输时无明显性能下降，确保文本数据能够及时同步至目标系统。</w:t>
      </w:r>
    </w:p>
    <w:p w14:paraId="12E29C59">
      <w:pPr>
        <w:pStyle w:val="68"/>
        <w:spacing w:before="0" w:beforeLines="0" w:after="0" w:afterLines="0"/>
        <w:outlineLvl w:val="9"/>
      </w:pPr>
      <w:r>
        <w:rPr>
          <w:rFonts w:hint="eastAsia"/>
        </w:rPr>
        <w:t>影像类数据传输性能要求</w:t>
      </w:r>
    </w:p>
    <w:p w14:paraId="1A94CD56">
      <w:pPr>
        <w:pStyle w:val="59"/>
        <w:ind w:firstLine="420"/>
      </w:pPr>
      <w:r>
        <w:rPr>
          <w:rFonts w:hint="eastAsia"/>
        </w:rPr>
        <w:t>影像类数据（包括CT、MRI、超声等医学影像文件），传输性能应适配文件大小，单张常规影像文件（≤100MB）传输延迟≤5s，大型影像文件（＞100MB）传输延迟≤30s，传输成功率≥99.5%，支持断点续传功能，避免因网络中断导致数据传输失败或重复传输。</w:t>
      </w:r>
    </w:p>
    <w:p w14:paraId="59962F43">
      <w:pPr>
        <w:pStyle w:val="68"/>
        <w:spacing w:before="0" w:beforeLines="0" w:after="0" w:afterLines="0"/>
        <w:outlineLvl w:val="9"/>
      </w:pPr>
      <w:r>
        <w:rPr>
          <w:rFonts w:hint="eastAsia"/>
        </w:rPr>
        <w:t>实时监测数据传输性能要求</w:t>
      </w:r>
    </w:p>
    <w:p w14:paraId="71A00111">
      <w:pPr>
        <w:pStyle w:val="59"/>
        <w:ind w:firstLine="420"/>
      </w:pPr>
      <w:r>
        <w:rPr>
          <w:rFonts w:hint="eastAsia"/>
        </w:rPr>
        <w:t>实时监测数据（包括受试者生命体征、心电监护数据、用药监测数据等），传输延迟应≤100ms，传输成功率≥99.95%，数据更新频率应与监测设备采集频率一致（至少每10s更新一次），确保实时监测数据能够及时反馈，支撑临床研究过程中的实时监护和应急处置。</w:t>
      </w:r>
    </w:p>
    <w:p w14:paraId="2255E050">
      <w:pPr>
        <w:pStyle w:val="108"/>
        <w:spacing w:before="120" w:after="120"/>
        <w:outlineLvl w:val="9"/>
      </w:pPr>
      <w:bookmarkStart w:id="63" w:name="_Toc32371"/>
      <w:r>
        <w:rPr>
          <w:rFonts w:hint="eastAsia"/>
        </w:rPr>
        <w:t>传输可靠性要求</w:t>
      </w:r>
      <w:bookmarkEnd w:id="63"/>
    </w:p>
    <w:p w14:paraId="538B2FB5">
      <w:pPr>
        <w:pStyle w:val="68"/>
        <w:spacing w:before="0" w:beforeLines="0" w:after="0" w:afterLines="0"/>
        <w:outlineLvl w:val="9"/>
      </w:pPr>
      <w:r>
        <w:rPr>
          <w:rFonts w:hint="eastAsia"/>
        </w:rPr>
        <w:t>院内系统间传输可靠性要求</w:t>
      </w:r>
    </w:p>
    <w:p w14:paraId="1DB21A02">
      <w:pPr>
        <w:pStyle w:val="59"/>
        <w:ind w:firstLine="420"/>
      </w:pPr>
      <w:r>
        <w:rPr>
          <w:rFonts w:hint="eastAsia"/>
        </w:rPr>
        <w:t>院内系统间（HIS、LIS、PACS、EMR与平台之间）数据传输可靠性等级为最高级，数据传输过程中应实现实时同步，支持数据校验机制，发现数据丢失、重复或篡改时，应自动触发提醒并完成数据补传、去重或恢复，传输过程日志应完整留存，留存时间不少于3年，确保数据可追溯、可核查。</w:t>
      </w:r>
    </w:p>
    <w:p w14:paraId="549C7DBE">
      <w:pPr>
        <w:pStyle w:val="68"/>
        <w:spacing w:before="0" w:beforeLines="0" w:after="0" w:afterLines="0"/>
        <w:outlineLvl w:val="9"/>
      </w:pPr>
      <w:r>
        <w:rPr>
          <w:rFonts w:hint="eastAsia"/>
        </w:rPr>
        <w:t>跨机构传输可靠性要求</w:t>
      </w:r>
    </w:p>
    <w:p w14:paraId="1290B2A6">
      <w:pPr>
        <w:pStyle w:val="59"/>
        <w:ind w:firstLine="420"/>
      </w:pPr>
      <w:r>
        <w:rPr>
          <w:rFonts w:hint="eastAsia"/>
        </w:rPr>
        <w:t>跨机构数据传输可靠性等级为中级，应依托专用研究网络开展传输，采用数据分片传输、校验码验证等技术，确保数据传输的完整性，传输中断时应支持自动重连和断点续传，传输日志应完整记录数据传输的时间、来源、去向、状态等信息，留存时间不少于3年，满足多中心临床研究的数据共享需求。</w:t>
      </w:r>
    </w:p>
    <w:p w14:paraId="54224EDD">
      <w:pPr>
        <w:pStyle w:val="68"/>
        <w:spacing w:before="0" w:beforeLines="0" w:after="0" w:afterLines="0"/>
        <w:outlineLvl w:val="9"/>
      </w:pPr>
      <w:r>
        <w:rPr>
          <w:rFonts w:hint="eastAsia"/>
        </w:rPr>
        <w:t>医院与外部平台传输可靠性要求</w:t>
      </w:r>
    </w:p>
    <w:p w14:paraId="433855D8">
      <w:pPr>
        <w:pStyle w:val="59"/>
        <w:ind w:firstLine="420"/>
      </w:pPr>
      <w:r>
        <w:rPr>
          <w:rFonts w:hint="eastAsia"/>
        </w:rPr>
        <w:t>医院与外部平台（包括CRO企业、申办方、第三方检测中心等）数据传输可靠性等级为基础级，应采用加密传输通道，实现数据传输的可监控，传输过程中应进行数据完整性校验，发现异常时及时通知相关负责人，传输日志留存时间不少于3年，确保数据传输过程可追溯，符合临床研究数据管理规范。</w:t>
      </w:r>
    </w:p>
    <w:p w14:paraId="634205F9">
      <w:pPr>
        <w:pStyle w:val="108"/>
        <w:spacing w:before="120" w:after="120"/>
        <w:outlineLvl w:val="9"/>
      </w:pPr>
      <w:bookmarkStart w:id="64" w:name="_Toc15936"/>
      <w:r>
        <w:rPr>
          <w:rFonts w:hint="eastAsia"/>
        </w:rPr>
        <w:t>传输安全总体策略</w:t>
      </w:r>
      <w:bookmarkEnd w:id="64"/>
    </w:p>
    <w:p w14:paraId="76EC1EBC">
      <w:pPr>
        <w:pStyle w:val="68"/>
        <w:spacing w:before="0" w:beforeLines="0" w:after="0" w:afterLines="0"/>
        <w:outlineLvl w:val="9"/>
      </w:pPr>
      <w:r>
        <w:rPr>
          <w:rFonts w:hint="eastAsia"/>
        </w:rPr>
        <w:t>数据来源与流向分类</w:t>
      </w:r>
    </w:p>
    <w:p w14:paraId="5B64071C">
      <w:pPr>
        <w:pStyle w:val="59"/>
        <w:ind w:firstLine="420"/>
      </w:pPr>
      <w:r>
        <w:rPr>
          <w:rFonts w:hint="eastAsia"/>
        </w:rPr>
        <w:t>根据数据来源与流向的不同，将数据分为三类：一是院内来源数据，包括HIS、LIS、PACS、EMR等院内系统产生的临床诊疗数据和研究相关数据，流向为平台及院内其他相关系统；二是外部企业来源数据，包括CRO企业、申办方、第三方检测中心等产生的研究方案、数据核查报告、检测结果等数据，流向为平台；三是用户端来源数据，包括受试者端提交的随访信息、研究者移动端录入的研究数据等，流向为平台，不同来源与流向的数据采用差异化的安全管控措施。</w:t>
      </w:r>
    </w:p>
    <w:p w14:paraId="27719DE8">
      <w:pPr>
        <w:pStyle w:val="68"/>
        <w:spacing w:before="0" w:beforeLines="0" w:after="0" w:afterLines="0"/>
        <w:outlineLvl w:val="9"/>
      </w:pPr>
      <w:r>
        <w:rPr>
          <w:rFonts w:hint="eastAsia"/>
        </w:rPr>
        <w:t>分级安全保护原则</w:t>
      </w:r>
    </w:p>
    <w:p w14:paraId="4CC393DD">
      <w:pPr>
        <w:pStyle w:val="59"/>
        <w:ind w:firstLine="420"/>
      </w:pPr>
      <w:r>
        <w:rPr>
          <w:rFonts w:hint="eastAsia"/>
        </w:rPr>
        <w:t>根据数据敏感程度，将临床研究数据分为核心敏感数据、一般敏感数据和普通数据，实行分级安全保护。核心敏感数据（包括受试者身份证号、联系方式、隐私部位影像、核心研究数据等）采用最高级安全保护措施；一般敏感数据（包括受试者基本病情、常规检验结果等）采用中级安全保护措施；普通数据（包括研究项目基本信息、非隐私性研究流程数据等）采用基础级安全保护措施，确保不同等级的数据得到适配的安全防护。</w:t>
      </w:r>
    </w:p>
    <w:p w14:paraId="060C632D">
      <w:pPr>
        <w:pStyle w:val="107"/>
        <w:spacing w:before="240" w:after="240"/>
      </w:pPr>
      <w:bookmarkStart w:id="65" w:name="_Toc9262"/>
      <w:bookmarkStart w:id="66" w:name="_Toc228519158"/>
      <w:r>
        <w:rPr>
          <w:rFonts w:hint="eastAsia"/>
        </w:rPr>
        <w:t>数据传输技术要求</w:t>
      </w:r>
      <w:bookmarkEnd w:id="65"/>
      <w:bookmarkEnd w:id="66"/>
    </w:p>
    <w:p w14:paraId="24455951">
      <w:pPr>
        <w:pStyle w:val="108"/>
        <w:spacing w:before="120" w:after="120"/>
        <w:outlineLvl w:val="9"/>
      </w:pPr>
      <w:bookmarkStart w:id="67" w:name="_Toc31184"/>
      <w:r>
        <w:rPr>
          <w:rFonts w:hint="eastAsia"/>
        </w:rPr>
        <w:t>传输接口要求</w:t>
      </w:r>
      <w:bookmarkEnd w:id="67"/>
    </w:p>
    <w:p w14:paraId="13803319">
      <w:pPr>
        <w:pStyle w:val="59"/>
        <w:ind w:firstLine="420"/>
      </w:pPr>
      <w:r>
        <w:rPr>
          <w:rFonts w:hint="eastAsia"/>
        </w:rPr>
        <w:t>院内系统与平台之间的传输接口，定位为院内临床研究相关数据的交互通道，遵循WS/T 447、WS/T 846等行业标准；跨机构（医院间）研究网络与平台之间的传输接口，定位为多中心临床研究数据共享的核心通道，遵循医疗行业跨机构数据交互相关标准；医院平台与外部企业（CRO、申办方、第三方检测中心等）平台之间的传输接口，定位为研究相关数据的双向交互通道，遵循CDISC等临床研究相关标准。</w:t>
      </w:r>
    </w:p>
    <w:p w14:paraId="3835022D">
      <w:pPr>
        <w:pStyle w:val="108"/>
        <w:spacing w:before="120" w:after="120"/>
        <w:outlineLvl w:val="9"/>
      </w:pPr>
      <w:bookmarkStart w:id="68" w:name="_Toc15450"/>
      <w:r>
        <w:rPr>
          <w:rFonts w:hint="eastAsia"/>
        </w:rPr>
        <w:t>传输协议要求</w:t>
      </w:r>
      <w:bookmarkEnd w:id="68"/>
    </w:p>
    <w:p w14:paraId="64A145BF">
      <w:pPr>
        <w:pStyle w:val="68"/>
        <w:spacing w:before="0" w:beforeLines="0" w:after="0" w:afterLines="0"/>
        <w:outlineLvl w:val="9"/>
      </w:pPr>
      <w:r>
        <w:rPr>
          <w:rFonts w:hint="eastAsia"/>
        </w:rPr>
        <w:t>医疗信息系统内部协议要求</w:t>
      </w:r>
    </w:p>
    <w:p w14:paraId="19FDA295">
      <w:pPr>
        <w:pStyle w:val="59"/>
        <w:ind w:firstLine="420"/>
      </w:pPr>
      <w:r>
        <w:rPr>
          <w:rFonts w:hint="eastAsia"/>
        </w:rPr>
        <w:t>院内系统（HIS、LIS、PACS、EMR等）与平台之间的数据传输，采用HL7、DICOM等医疗专用传输协议，遵循HL7和DICOM 3.0</w:t>
      </w:r>
      <w:r>
        <w:t> </w:t>
      </w:r>
      <w:r>
        <w:rPr>
          <w:rFonts w:hint="eastAsia"/>
        </w:rPr>
        <w:t>相关标准，确保院内医疗研究数据的规范交互与兼容。</w:t>
      </w:r>
    </w:p>
    <w:p w14:paraId="3252DAB6">
      <w:pPr>
        <w:pStyle w:val="68"/>
        <w:spacing w:before="0" w:beforeLines="0" w:after="0" w:afterLines="0"/>
        <w:outlineLvl w:val="9"/>
      </w:pPr>
      <w:r>
        <w:rPr>
          <w:rFonts w:hint="eastAsia"/>
        </w:rPr>
        <w:t>跨机构研究数据传输协议要求</w:t>
      </w:r>
    </w:p>
    <w:p w14:paraId="2F9D54E1">
      <w:pPr>
        <w:pStyle w:val="59"/>
        <w:ind w:firstLine="420"/>
      </w:pPr>
      <w:r>
        <w:rPr>
          <w:rFonts w:hint="eastAsia"/>
        </w:rPr>
        <w:t>跨机构研究数据传输，采用基于TCP/IP的专用传输协议，遵循临床研究跨机构数据传输相关标准，依托专用研究网络，确保多中心研究数据传输的稳定性和安全性。</w:t>
      </w:r>
    </w:p>
    <w:p w14:paraId="41CE10A2">
      <w:pPr>
        <w:pStyle w:val="68"/>
        <w:spacing w:before="0" w:beforeLines="0" w:after="0" w:afterLines="0"/>
        <w:outlineLvl w:val="9"/>
      </w:pPr>
      <w:r>
        <w:rPr>
          <w:rFonts w:hint="eastAsia"/>
        </w:rPr>
        <w:t>外部互联网传输协议要求</w:t>
      </w:r>
    </w:p>
    <w:p w14:paraId="1960E8FA">
      <w:pPr>
        <w:pStyle w:val="59"/>
        <w:ind w:firstLine="420"/>
      </w:pPr>
      <w:r>
        <w:rPr>
          <w:rFonts w:hint="eastAsia"/>
        </w:rPr>
        <w:t>医院与外部企业平台、用户端之间的互联网数据传输，采用HTTPS协议，结合SSL/TLS传输层安全协议，确保互联网环境下数据传输的机密性和完整性。</w:t>
      </w:r>
    </w:p>
    <w:p w14:paraId="35D6754B">
      <w:pPr>
        <w:pStyle w:val="108"/>
        <w:spacing w:before="120" w:after="120"/>
        <w:outlineLvl w:val="9"/>
      </w:pPr>
      <w:bookmarkStart w:id="69" w:name="_Toc23898"/>
      <w:r>
        <w:rPr>
          <w:rFonts w:hint="eastAsia"/>
        </w:rPr>
        <w:t>传输加密要求</w:t>
      </w:r>
      <w:bookmarkEnd w:id="69"/>
    </w:p>
    <w:p w14:paraId="7F5E9A1B">
      <w:pPr>
        <w:pStyle w:val="68"/>
        <w:spacing w:before="0" w:beforeLines="0" w:after="0" w:afterLines="0"/>
        <w:outlineLvl w:val="9"/>
      </w:pPr>
      <w:r>
        <w:rPr>
          <w:rFonts w:hint="eastAsia"/>
        </w:rPr>
        <w:t>院内系统间传输加密</w:t>
      </w:r>
    </w:p>
    <w:p w14:paraId="6B4AF22B">
      <w:pPr>
        <w:pStyle w:val="59"/>
        <w:ind w:firstLine="420"/>
      </w:pPr>
      <w:r>
        <w:rPr>
          <w:rFonts w:hint="eastAsia"/>
        </w:rPr>
        <w:t>院内系统间数据传输采用内部加密机制，可采用AES加密算法，加密等级不低于AES-128，依托院内局域网防护，确保数据在院内传输过程中的安全，符合《医疗卫生机构网络安全管理办法》相关要求。</w:t>
      </w:r>
    </w:p>
    <w:p w14:paraId="35395F45">
      <w:pPr>
        <w:pStyle w:val="68"/>
        <w:spacing w:before="0" w:beforeLines="0" w:after="0" w:afterLines="0"/>
        <w:outlineLvl w:val="9"/>
      </w:pPr>
      <w:r>
        <w:rPr>
          <w:rFonts w:hint="eastAsia"/>
        </w:rPr>
        <w:t>跨机构传输加密</w:t>
      </w:r>
    </w:p>
    <w:p w14:paraId="7508B972">
      <w:pPr>
        <w:pStyle w:val="59"/>
        <w:ind w:firstLine="420"/>
      </w:pPr>
      <w:r>
        <w:rPr>
          <w:rFonts w:hint="eastAsia"/>
        </w:rPr>
        <w:t>跨机构（医院间）数据传输采用端到端加密方式，加密等级不低于AES-256，结合专用研究网络的加密防护，实现数据传输全过程加密，确保多中心研究数据的安全传输，满足关键信息基础设施密码应用相关要求。</w:t>
      </w:r>
    </w:p>
    <w:p w14:paraId="6ABF5361">
      <w:pPr>
        <w:pStyle w:val="68"/>
        <w:spacing w:before="0" w:beforeLines="0" w:after="0" w:afterLines="0"/>
        <w:outlineLvl w:val="9"/>
      </w:pPr>
      <w:r>
        <w:rPr>
          <w:rFonts w:hint="eastAsia"/>
        </w:rPr>
        <w:t>医院与外部企业/平台传输加密</w:t>
      </w:r>
    </w:p>
    <w:p w14:paraId="48EEB1F0">
      <w:pPr>
        <w:pStyle w:val="59"/>
        <w:ind w:firstLine="420"/>
      </w:pPr>
      <w:r>
        <w:rPr>
          <w:rFonts w:hint="eastAsia"/>
        </w:rPr>
        <w:t>医院与外部企业、第三方平台之间的数据传输，采用双重加密方式（传输通道加密+数据本身加密），传输通道采用SSL/TLS 1.3协议加密，数据本身采用AES-256加密算法，确保互联网环境下数据传输的安全，符合商用密码应用安全性评估相关要求。</w:t>
      </w:r>
    </w:p>
    <w:p w14:paraId="082D2E24">
      <w:pPr>
        <w:pStyle w:val="68"/>
        <w:spacing w:before="0" w:beforeLines="0" w:after="0" w:afterLines="0"/>
        <w:outlineLvl w:val="9"/>
      </w:pPr>
      <w:r>
        <w:rPr>
          <w:rFonts w:hint="eastAsia"/>
        </w:rPr>
        <w:t>医院与用户端传输加密</w:t>
      </w:r>
    </w:p>
    <w:p w14:paraId="484FC869">
      <w:pPr>
        <w:pStyle w:val="59"/>
        <w:ind w:firstLine="420"/>
      </w:pPr>
      <w:r>
        <w:rPr>
          <w:rFonts w:hint="eastAsia"/>
        </w:rPr>
        <w:t>医院平台与受试者端、研究者移动端之间的数据传输，采用SSL/TLS传输层加密协议，结合数据脱敏处理，对核心敏感数据进行加密传输，确保用户端数据传输的安全，保护受试者隐私。</w:t>
      </w:r>
    </w:p>
    <w:p w14:paraId="37C839DD">
      <w:pPr>
        <w:pStyle w:val="108"/>
        <w:spacing w:before="120" w:after="120"/>
        <w:outlineLvl w:val="9"/>
      </w:pPr>
      <w:bookmarkStart w:id="70" w:name="_Toc26538"/>
      <w:r>
        <w:rPr>
          <w:rFonts w:hint="eastAsia"/>
        </w:rPr>
        <w:t>传输认证要求</w:t>
      </w:r>
      <w:bookmarkEnd w:id="70"/>
    </w:p>
    <w:p w14:paraId="1760A556">
      <w:pPr>
        <w:pStyle w:val="68"/>
        <w:spacing w:before="0" w:beforeLines="0" w:after="0" w:afterLines="0"/>
        <w:outlineLvl w:val="9"/>
      </w:pPr>
      <w:r>
        <w:rPr>
          <w:rFonts w:hint="eastAsia"/>
        </w:rPr>
        <w:t>身份认证机制</w:t>
      </w:r>
    </w:p>
    <w:p w14:paraId="71B383BE">
      <w:pPr>
        <w:pStyle w:val="59"/>
        <w:ind w:firstLine="420"/>
      </w:pPr>
      <w:r>
        <w:rPr>
          <w:rFonts w:hint="eastAsia"/>
        </w:rPr>
        <w:t>建立完善的用户身份认证机制，采用“账号密码+动态口令”“数字证书”（参考GM/T 0015-2023《数字证书格式》）等多因素认证方式，区分研究者、管理员、受试者、外部企业人员等不同用户角色，明确不同角色的数据访问和传输权限，确保身份认证的唯一性和安全性。</w:t>
      </w:r>
    </w:p>
    <w:p w14:paraId="0ED21660">
      <w:pPr>
        <w:pStyle w:val="68"/>
        <w:spacing w:before="0" w:beforeLines="0" w:after="0" w:afterLines="0"/>
        <w:outlineLvl w:val="9"/>
      </w:pPr>
      <w:r>
        <w:rPr>
          <w:rFonts w:hint="eastAsia"/>
        </w:rPr>
        <w:t>设备认证机制</w:t>
      </w:r>
    </w:p>
    <w:p w14:paraId="2CB10837">
      <w:pPr>
        <w:pStyle w:val="59"/>
        <w:ind w:firstLine="420"/>
      </w:pPr>
      <w:r>
        <w:rPr>
          <w:rFonts w:hint="eastAsia"/>
        </w:rPr>
        <w:t>对接入平台进行数据传输的设备（包括服务器、终端设备、移动端设备等）进行认证，采用设备唯一标识（UDI、MAC 地址）、设备指纹（SM3 ）等技术，验证设备的合法性，禁止未授权设备接入平台进行数据传输，确保设备层面的安全。</w:t>
      </w:r>
    </w:p>
    <w:p w14:paraId="1E94E752">
      <w:pPr>
        <w:pStyle w:val="68"/>
        <w:spacing w:before="0" w:beforeLines="0" w:after="0" w:afterLines="0"/>
        <w:outlineLvl w:val="9"/>
      </w:pPr>
      <w:r>
        <w:rPr>
          <w:rFonts w:hint="eastAsia"/>
        </w:rPr>
        <w:t>双向认证要求</w:t>
      </w:r>
    </w:p>
    <w:p w14:paraId="517AF740">
      <w:pPr>
        <w:pStyle w:val="59"/>
        <w:ind w:firstLine="420"/>
      </w:pPr>
      <w:r>
        <w:rPr>
          <w:rFonts w:hint="eastAsia"/>
        </w:rPr>
        <w:t>在跨机构数据传输、医院与外部企业/平台数据传输场景中，实现传输双方的双向认证，即发送方验证接收方的身份合法性，接收方验证发送方的身份合法性，确保数据传输的双方均为授权主体，防止数据被伪造或篡改。</w:t>
      </w:r>
    </w:p>
    <w:p w14:paraId="756C3082">
      <w:pPr>
        <w:pStyle w:val="107"/>
        <w:spacing w:before="240" w:after="240"/>
      </w:pPr>
      <w:bookmarkStart w:id="71" w:name="_Toc228519159"/>
      <w:bookmarkStart w:id="72" w:name="_Toc19259"/>
      <w:r>
        <w:rPr>
          <w:rFonts w:hint="eastAsia"/>
        </w:rPr>
        <w:t>数据格式与编码规范</w:t>
      </w:r>
      <w:bookmarkEnd w:id="71"/>
      <w:bookmarkEnd w:id="72"/>
    </w:p>
    <w:p w14:paraId="528DD865">
      <w:pPr>
        <w:pStyle w:val="108"/>
        <w:spacing w:before="120" w:after="120"/>
        <w:outlineLvl w:val="9"/>
      </w:pPr>
      <w:bookmarkStart w:id="73" w:name="_Toc31160"/>
      <w:r>
        <w:rPr>
          <w:rFonts w:hint="eastAsia"/>
        </w:rPr>
        <w:t>数据格式通用要求</w:t>
      </w:r>
      <w:bookmarkEnd w:id="73"/>
    </w:p>
    <w:p w14:paraId="26B38D8F">
      <w:pPr>
        <w:pStyle w:val="68"/>
        <w:spacing w:before="0" w:beforeLines="0" w:after="0" w:afterLines="0"/>
        <w:outlineLvl w:val="9"/>
      </w:pPr>
      <w:r>
        <w:rPr>
          <w:rFonts w:hint="eastAsia"/>
        </w:rPr>
        <w:t>结构化数据格式要求</w:t>
      </w:r>
    </w:p>
    <w:p w14:paraId="514A6BE2">
      <w:pPr>
        <w:pStyle w:val="59"/>
        <w:ind w:firstLine="420"/>
      </w:pPr>
      <w:r>
        <w:rPr>
          <w:rFonts w:hint="eastAsia"/>
        </w:rPr>
        <w:t>结构化数据采用JSON、XML等标准格式，字段定义符合临床研究数据元相关标准，明确字段名称、数据类型、长度、取值范围等属性，确保不同系统之间结构化数据的无缝交互，可参考CDISC ODM-XML相关规范。</w:t>
      </w:r>
    </w:p>
    <w:p w14:paraId="2F199B23">
      <w:pPr>
        <w:pStyle w:val="68"/>
        <w:spacing w:before="0" w:beforeLines="0" w:after="0" w:afterLines="0"/>
        <w:outlineLvl w:val="9"/>
      </w:pPr>
      <w:r>
        <w:rPr>
          <w:rFonts w:hint="eastAsia"/>
        </w:rPr>
        <w:t>非结构化数据格式要求</w:t>
      </w:r>
    </w:p>
    <w:p w14:paraId="046165FC">
      <w:pPr>
        <w:pStyle w:val="59"/>
        <w:ind w:firstLine="420"/>
      </w:pPr>
      <w:r>
        <w:rPr>
          <w:rFonts w:hint="eastAsia"/>
        </w:rPr>
        <w:t>非结构化数据采用通用、可兼容的格式，医学影像数据采用DICOM格式，文档类数据采用PDF格式，图片类数据采用JPEG、PNG等格式，确保非结构化数据能够在不同系统、设备之间正常展示和传输，符合医学影像相关标准。</w:t>
      </w:r>
    </w:p>
    <w:p w14:paraId="279226FA">
      <w:pPr>
        <w:pStyle w:val="68"/>
        <w:spacing w:before="0" w:beforeLines="0" w:after="0" w:afterLines="0"/>
        <w:outlineLvl w:val="9"/>
      </w:pPr>
      <w:r>
        <w:rPr>
          <w:rFonts w:hint="eastAsia"/>
        </w:rPr>
        <w:t>半结构化数据格式要求</w:t>
      </w:r>
    </w:p>
    <w:p w14:paraId="2CEE01AA">
      <w:pPr>
        <w:pStyle w:val="59"/>
        <w:ind w:firstLine="420"/>
      </w:pPr>
      <w:r>
        <w:rPr>
          <w:rFonts w:hint="eastAsia"/>
        </w:rPr>
        <w:t>半结构化数据采用标记语言格式（如XML），保留数据的基本结构框架，同时允许部分字段灵活定义，兼顾结构化数据的规范性和非结构化数据的灵活性，确保数据能够被计算机识别和人工解读。</w:t>
      </w:r>
    </w:p>
    <w:p w14:paraId="41C29D1E">
      <w:pPr>
        <w:pStyle w:val="108"/>
        <w:spacing w:before="120" w:after="120"/>
        <w:outlineLvl w:val="9"/>
      </w:pPr>
      <w:bookmarkStart w:id="74" w:name="_Toc18321"/>
      <w:bookmarkStart w:id="75" w:name="_Toc11623"/>
      <w:bookmarkStart w:id="76" w:name="_Toc165"/>
      <w:r>
        <w:rPr>
          <w:rFonts w:hint="eastAsia"/>
        </w:rPr>
        <w:t>数据元数据规范</w:t>
      </w:r>
      <w:bookmarkEnd w:id="74"/>
      <w:bookmarkEnd w:id="75"/>
      <w:bookmarkEnd w:id="76"/>
    </w:p>
    <w:p w14:paraId="621250E0">
      <w:pPr>
        <w:pStyle w:val="68"/>
        <w:spacing w:before="0" w:beforeLines="0" w:after="0" w:afterLines="0"/>
        <w:outlineLvl w:val="9"/>
      </w:pPr>
      <w:r>
        <w:rPr>
          <w:rFonts w:hint="eastAsia"/>
        </w:rPr>
        <w:t>元数据完整性</w:t>
      </w:r>
    </w:p>
    <w:p w14:paraId="73B59E6D">
      <w:pPr>
        <w:pStyle w:val="59"/>
        <w:ind w:firstLine="420"/>
      </w:pPr>
      <w:r>
        <w:rPr>
          <w:rFonts w:hint="eastAsia"/>
        </w:rPr>
        <w:t>元数据完整性：每批次传输数据必须附带元数据，描述数据的来源、上下文及质量信息，元数据应遵循WS/T 305规范。</w:t>
      </w:r>
    </w:p>
    <w:p w14:paraId="198BC1DF">
      <w:pPr>
        <w:pStyle w:val="68"/>
        <w:spacing w:before="0" w:beforeLines="0" w:after="0" w:afterLines="0"/>
        <w:outlineLvl w:val="9"/>
      </w:pPr>
      <w:r>
        <w:rPr>
          <w:rFonts w:hint="eastAsia"/>
        </w:rPr>
        <w:t>核心元数据项</w:t>
      </w:r>
    </w:p>
    <w:p w14:paraId="21994EAC">
      <w:pPr>
        <w:pStyle w:val="59"/>
        <w:ind w:firstLine="420"/>
      </w:pPr>
      <w:r>
        <w:rPr>
          <w:rFonts w:hint="eastAsia"/>
        </w:rPr>
        <w:t>核心元数据项：应包括：</w:t>
      </w:r>
    </w:p>
    <w:p w14:paraId="116BDAFA">
      <w:pPr>
        <w:pStyle w:val="59"/>
        <w:ind w:firstLine="420"/>
      </w:pPr>
      <w:r>
        <w:rPr>
          <w:rFonts w:hint="eastAsia"/>
        </w:rPr>
        <w:t>a) 标识类：数据唯一标识符（UUID）、研究项目编号（Protocol ID）、受试者编号（Subject ID，脱敏后）、访视点（Visit ID）；</w:t>
      </w:r>
    </w:p>
    <w:p w14:paraId="71BC6F07">
      <w:pPr>
        <w:pStyle w:val="59"/>
        <w:ind w:firstLine="420"/>
      </w:pPr>
      <w:r>
        <w:rPr>
          <w:rFonts w:hint="eastAsia"/>
        </w:rPr>
        <w:t>b) 来源类：采集设备UDI、设备型号、软件版本、采集地点、采集时间；</w:t>
      </w:r>
    </w:p>
    <w:p w14:paraId="64FC40F3">
      <w:pPr>
        <w:pStyle w:val="59"/>
        <w:ind w:firstLine="420"/>
      </w:pPr>
      <w:r>
        <w:rPr>
          <w:rFonts w:hint="eastAsia"/>
        </w:rPr>
        <w:t>c) 质量类：数据质量评分、异常标记、校准状态；</w:t>
      </w:r>
    </w:p>
    <w:p w14:paraId="3C548936">
      <w:pPr>
        <w:pStyle w:val="59"/>
        <w:ind w:firstLine="420"/>
      </w:pPr>
      <w:r>
        <w:rPr>
          <w:rFonts w:hint="eastAsia"/>
        </w:rPr>
        <w:t>d) 管理类：数据安全级别、脱敏标识、版本号、创建时间、修改时间。</w:t>
      </w:r>
    </w:p>
    <w:p w14:paraId="1220BBC7">
      <w:pPr>
        <w:pStyle w:val="68"/>
        <w:spacing w:before="0" w:beforeLines="0" w:after="0" w:afterLines="0"/>
        <w:outlineLvl w:val="9"/>
      </w:pPr>
      <w:r>
        <w:rPr>
          <w:rFonts w:hint="eastAsia"/>
        </w:rPr>
        <w:t>元数据关联绑定</w:t>
      </w:r>
    </w:p>
    <w:p w14:paraId="0CD08EFF">
      <w:pPr>
        <w:pStyle w:val="59"/>
        <w:ind w:firstLine="420"/>
      </w:pPr>
      <w:r>
        <w:rPr>
          <w:rFonts w:hint="eastAsia"/>
        </w:rPr>
        <w:t>元数据关联：元数据应与业务数据采用嵌入式（同一消息体内）或关联式（通过消息ID引用）方式绑定，确保元数据与业务数据同步传输、不可分离。</w:t>
      </w:r>
    </w:p>
    <w:p w14:paraId="380A8DFA">
      <w:pPr>
        <w:pStyle w:val="108"/>
        <w:spacing w:before="120" w:after="120"/>
        <w:outlineLvl w:val="9"/>
      </w:pPr>
      <w:bookmarkStart w:id="77" w:name="_Toc6882"/>
      <w:r>
        <w:rPr>
          <w:rFonts w:hint="eastAsia"/>
        </w:rPr>
        <w:t>数据编码规范</w:t>
      </w:r>
      <w:bookmarkEnd w:id="77"/>
    </w:p>
    <w:p w14:paraId="07F57249">
      <w:pPr>
        <w:pStyle w:val="68"/>
        <w:spacing w:before="0" w:beforeLines="0" w:after="0" w:afterLines="0"/>
        <w:outlineLvl w:val="9"/>
      </w:pPr>
      <w:r>
        <w:rPr>
          <w:rFonts w:hint="eastAsia"/>
        </w:rPr>
        <w:t>主数据编码要求</w:t>
      </w:r>
    </w:p>
    <w:p w14:paraId="6E2E126A">
      <w:pPr>
        <w:pStyle w:val="59"/>
        <w:ind w:firstLine="420"/>
      </w:pPr>
      <w:r>
        <w:rPr>
          <w:rFonts w:hint="eastAsia"/>
        </w:rPr>
        <w:t>主数据（受试者ID、研究项目ID、研究者ID等）采用院内统一的编码规则，编码应具有唯一性、稳定性和可扩展性，编码格式统一，确保不同系统之间主数据的一致识别和关联，支撑数据的整合与共享。</w:t>
      </w:r>
    </w:p>
    <w:p w14:paraId="788559AD">
      <w:pPr>
        <w:pStyle w:val="68"/>
        <w:spacing w:before="0" w:beforeLines="0" w:after="0" w:afterLines="0"/>
        <w:outlineLvl w:val="9"/>
      </w:pPr>
      <w:r>
        <w:rPr>
          <w:rFonts w:hint="eastAsia"/>
        </w:rPr>
        <w:t>医疗术语编码要求</w:t>
      </w:r>
    </w:p>
    <w:p w14:paraId="2ECE34B7">
      <w:pPr>
        <w:pStyle w:val="59"/>
        <w:ind w:firstLine="420"/>
      </w:pPr>
      <w:r>
        <w:rPr>
          <w:rFonts w:hint="eastAsia"/>
        </w:rPr>
        <w:t>医疗术语编码采用国际、国内通用的标准化编码体系，疾病编码采用ICD-11标准，检验项目编码采用LOINC标准，药物编码采用国家药品编码标准，确保医疗相关数据的统一识别和交互，符合医疗术语编码相关规范。</w:t>
      </w:r>
    </w:p>
    <w:p w14:paraId="37C9157E">
      <w:pPr>
        <w:pStyle w:val="68"/>
        <w:spacing w:before="0" w:beforeLines="0" w:after="0" w:afterLines="0"/>
        <w:outlineLvl w:val="9"/>
      </w:pPr>
      <w:r>
        <w:rPr>
          <w:rFonts w:hint="eastAsia"/>
        </w:rPr>
        <w:t>研究数据编码要求</w:t>
      </w:r>
    </w:p>
    <w:p w14:paraId="384A416A">
      <w:pPr>
        <w:pStyle w:val="59"/>
        <w:ind w:firstLine="420"/>
      </w:pPr>
      <w:r>
        <w:rPr>
          <w:rFonts w:hint="eastAsia"/>
        </w:rPr>
        <w:t>临床研究数据编码遵循CDISC相关标准，研究数据集编码采用SDTM标准，分析数据集编码采用ADaM标准，数据交换格式采用ODM-XML标准，确保研究数据的规范性、可比性和可交换性，满足临床研究数据提交和监管需求。</w:t>
      </w:r>
    </w:p>
    <w:p w14:paraId="13BC53A8">
      <w:pPr>
        <w:pStyle w:val="107"/>
        <w:spacing w:before="240" w:after="240"/>
      </w:pPr>
      <w:bookmarkStart w:id="78" w:name="_Toc228519160"/>
      <w:bookmarkStart w:id="79" w:name="_Toc19598"/>
      <w:r>
        <w:rPr>
          <w:rFonts w:hint="eastAsia"/>
        </w:rPr>
        <w:t>跨域数据传输规范</w:t>
      </w:r>
      <w:bookmarkEnd w:id="78"/>
      <w:bookmarkEnd w:id="79"/>
    </w:p>
    <w:p w14:paraId="3AE206D5">
      <w:pPr>
        <w:pStyle w:val="108"/>
        <w:spacing w:before="120" w:after="120"/>
        <w:outlineLvl w:val="9"/>
      </w:pPr>
      <w:bookmarkStart w:id="80" w:name="_Toc32475"/>
      <w:r>
        <w:rPr>
          <w:rFonts w:hint="eastAsia"/>
        </w:rPr>
        <w:t>院内系统数据交互</w:t>
      </w:r>
      <w:bookmarkEnd w:id="80"/>
    </w:p>
    <w:p w14:paraId="0C2CF911">
      <w:pPr>
        <w:pStyle w:val="68"/>
        <w:spacing w:before="0" w:beforeLines="0" w:after="0" w:afterLines="0"/>
        <w:outlineLvl w:val="9"/>
        <w:rPr>
          <w:rFonts w:ascii="Times New Roman"/>
        </w:rPr>
      </w:pPr>
      <w:r>
        <w:rPr>
          <w:rFonts w:hint="eastAsia" w:ascii="Times New Roman"/>
        </w:rPr>
        <w:t>与</w:t>
      </w:r>
      <w:r>
        <w:rPr>
          <w:rFonts w:ascii="Times New Roman"/>
        </w:rPr>
        <w:t>HIS</w:t>
      </w:r>
      <w:r>
        <w:rPr>
          <w:rFonts w:hint="eastAsia" w:ascii="Times New Roman"/>
        </w:rPr>
        <w:t>系统数据交互</w:t>
      </w:r>
    </w:p>
    <w:p w14:paraId="345BB2EE">
      <w:pPr>
        <w:pStyle w:val="59"/>
        <w:ind w:firstLine="420"/>
      </w:pPr>
      <w:r>
        <w:rPr>
          <w:rFonts w:hint="eastAsia"/>
        </w:rPr>
        <w:t>平台与HIS系统之间主要交互受试者基本信息、就诊信息、住院信息、费用信息等数据，HIS系统向平台同步相关数据，平台向HIS系统反馈临床研究相关的医嘱、诊疗计划等信息，确保数据实时同步、一致，支撑临床研究与常规诊疗的协同开展。</w:t>
      </w:r>
    </w:p>
    <w:p w14:paraId="3CEC1F51">
      <w:pPr>
        <w:pStyle w:val="68"/>
        <w:spacing w:before="0" w:beforeLines="0" w:after="0" w:afterLines="0"/>
        <w:outlineLvl w:val="9"/>
        <w:rPr>
          <w:rFonts w:ascii="Times New Roman"/>
        </w:rPr>
      </w:pPr>
      <w:r>
        <w:rPr>
          <w:rFonts w:hint="eastAsia" w:ascii="Times New Roman"/>
        </w:rPr>
        <w:t>与</w:t>
      </w:r>
      <w:r>
        <w:rPr>
          <w:rFonts w:ascii="Times New Roman"/>
        </w:rPr>
        <w:t>LIS/PACS/RIS</w:t>
      </w:r>
      <w:r>
        <w:rPr>
          <w:rFonts w:hint="eastAsia" w:ascii="Times New Roman"/>
        </w:rPr>
        <w:t>等医技系统数据交互</w:t>
      </w:r>
    </w:p>
    <w:p w14:paraId="497A2B82">
      <w:pPr>
        <w:pStyle w:val="59"/>
        <w:ind w:firstLine="420"/>
      </w:pPr>
      <w:r>
        <w:rPr>
          <w:rFonts w:hint="eastAsia"/>
        </w:rPr>
        <w:t>平台与LIS系统交互受试者检验项目、检验结果、检验报告等数据；与PACS/RIS系统交互受试者医学影像文件、影像报告、检查预约信息等数据，医技系统向平台同步相关数据，平台向医技系统发送研究相关的检查、检验申请，确保临床研究相关医技数据的及时获取和规范管理。</w:t>
      </w:r>
    </w:p>
    <w:p w14:paraId="6EE40632">
      <w:pPr>
        <w:pStyle w:val="68"/>
        <w:spacing w:before="0" w:beforeLines="0" w:after="0" w:afterLines="0"/>
        <w:outlineLvl w:val="9"/>
        <w:rPr>
          <w:rFonts w:ascii="Times New Roman"/>
        </w:rPr>
      </w:pPr>
      <w:r>
        <w:rPr>
          <w:rFonts w:hint="eastAsia" w:ascii="Times New Roman"/>
        </w:rPr>
        <w:t>与</w:t>
      </w:r>
      <w:r>
        <w:rPr>
          <w:rFonts w:ascii="Times New Roman"/>
        </w:rPr>
        <w:t>EMR</w:t>
      </w:r>
      <w:r>
        <w:rPr>
          <w:rFonts w:hint="eastAsia" w:ascii="Times New Roman"/>
        </w:rPr>
        <w:t>系统数据交互</w:t>
      </w:r>
    </w:p>
    <w:p w14:paraId="3CCEA28D">
      <w:pPr>
        <w:pStyle w:val="59"/>
        <w:ind w:firstLine="420"/>
      </w:pPr>
      <w:r>
        <w:rPr>
          <w:rFonts w:hint="eastAsia"/>
        </w:rPr>
        <w:t>平台与EMR系统之间交互受试者病历、病程记录、诊疗记录、用药记录等临床数据，EMR系统向平台同步相关数据，平台向EMR系统补充临床研究相关的记录信息，确保临床研究数据与电子病历数据的整合，支撑临床研究过程的溯源和质量控制。</w:t>
      </w:r>
    </w:p>
    <w:p w14:paraId="5E3ED4C3">
      <w:pPr>
        <w:pStyle w:val="68"/>
        <w:spacing w:before="0" w:beforeLines="0" w:after="0" w:afterLines="0"/>
        <w:outlineLvl w:val="9"/>
        <w:rPr>
          <w:rFonts w:ascii="Times New Roman"/>
        </w:rPr>
      </w:pPr>
      <w:r>
        <w:rPr>
          <w:rFonts w:hint="eastAsia" w:ascii="Times New Roman"/>
        </w:rPr>
        <w:t>院内数据交换格式规范</w:t>
      </w:r>
    </w:p>
    <w:p w14:paraId="2B751901">
      <w:pPr>
        <w:pStyle w:val="59"/>
        <w:ind w:firstLine="420"/>
      </w:pPr>
      <w:r>
        <w:rPr>
          <w:rFonts w:hint="eastAsia"/>
        </w:rPr>
        <w:t>院内系统与平台之间的数据交换，结构化数据采用JSON或XML格式，遵循WS/T 482、WS/T 500相关规范；非结构化数据采用DICOM、PDF等格式；编码采用ICD、LOINC等标准化编码体系，确保院内数据交换的规范、兼容，可参考WS/T 447-2014 基于电子病历的医院信息平台技术规范。</w:t>
      </w:r>
    </w:p>
    <w:p w14:paraId="464CFEE0">
      <w:pPr>
        <w:pStyle w:val="108"/>
        <w:spacing w:before="120" w:after="120"/>
        <w:outlineLvl w:val="9"/>
      </w:pPr>
      <w:bookmarkStart w:id="81" w:name="_Toc8628"/>
      <w:r>
        <w:rPr>
          <w:rFonts w:hint="eastAsia"/>
        </w:rPr>
        <w:t>院内与研发数据交互</w:t>
      </w:r>
      <w:bookmarkEnd w:id="81"/>
    </w:p>
    <w:p w14:paraId="12DAA41B">
      <w:pPr>
        <w:pStyle w:val="68"/>
        <w:spacing w:before="0" w:beforeLines="0" w:after="0" w:afterLines="0"/>
        <w:outlineLvl w:val="9"/>
        <w:rPr>
          <w:rFonts w:ascii="Times New Roman"/>
        </w:rPr>
      </w:pPr>
      <w:r>
        <w:rPr>
          <w:rFonts w:hint="eastAsia" w:ascii="Times New Roman"/>
        </w:rPr>
        <w:t>与</w:t>
      </w:r>
      <w:r>
        <w:rPr>
          <w:rFonts w:ascii="Times New Roman"/>
        </w:rPr>
        <w:t>EDC</w:t>
      </w:r>
      <w:r>
        <w:rPr>
          <w:rFonts w:hint="eastAsia" w:ascii="Times New Roman"/>
        </w:rPr>
        <w:t>系统数据交互</w:t>
      </w:r>
    </w:p>
    <w:p w14:paraId="68D65348">
      <w:pPr>
        <w:pStyle w:val="59"/>
        <w:ind w:firstLine="420"/>
      </w:pPr>
      <w:r>
        <w:rPr>
          <w:rFonts w:hint="eastAsia"/>
        </w:rPr>
        <w:t>平台与EDC系统之间交互临床研究数据，平台向EDC系统同步受试者基本信息、临床诊疗数据、医技数据等，EDC系统向平台反馈研究数据录入结果、数据核查报告等信息，确保临床研究数据的准确采集和质量控制，符合临床数据采集相关规范。</w:t>
      </w:r>
    </w:p>
    <w:p w14:paraId="0145E932">
      <w:pPr>
        <w:pStyle w:val="68"/>
        <w:spacing w:before="0" w:beforeLines="0" w:after="0" w:afterLines="0"/>
        <w:outlineLvl w:val="9"/>
        <w:rPr>
          <w:rFonts w:ascii="Times New Roman"/>
        </w:rPr>
      </w:pPr>
      <w:r>
        <w:rPr>
          <w:rFonts w:hint="eastAsia" w:ascii="Times New Roman"/>
        </w:rPr>
        <w:t>与</w:t>
      </w:r>
      <w:r>
        <w:rPr>
          <w:rFonts w:ascii="Times New Roman"/>
        </w:rPr>
        <w:t>CTMS</w:t>
      </w:r>
      <w:r>
        <w:rPr>
          <w:rFonts w:hint="eastAsia" w:ascii="Times New Roman"/>
        </w:rPr>
        <w:t>系统数据交互</w:t>
      </w:r>
    </w:p>
    <w:p w14:paraId="720FD630">
      <w:pPr>
        <w:pStyle w:val="59"/>
        <w:ind w:firstLine="420"/>
      </w:pPr>
      <w:r>
        <w:rPr>
          <w:rFonts w:hint="eastAsia"/>
        </w:rPr>
        <w:t>平台与CTMS系统之间交互研究项目信息、研究者信息、研究进度信息、任务分配信息等，CTMS系统向平台同步研究项目管理相关数据，平台向CTMS系统反馈临床研究开展过程中的相关数据，支撑临床研究项目的统筹管理和进度跟踪。</w:t>
      </w:r>
    </w:p>
    <w:p w14:paraId="6498E406">
      <w:pPr>
        <w:pStyle w:val="68"/>
        <w:spacing w:before="0" w:beforeLines="0" w:after="0" w:afterLines="0"/>
        <w:outlineLvl w:val="9"/>
        <w:rPr>
          <w:rFonts w:ascii="Times New Roman"/>
        </w:rPr>
      </w:pPr>
      <w:r>
        <w:rPr>
          <w:rFonts w:hint="eastAsia" w:ascii="Times New Roman"/>
        </w:rPr>
        <w:t>与</w:t>
      </w:r>
      <w:r>
        <w:rPr>
          <w:rFonts w:ascii="Times New Roman"/>
        </w:rPr>
        <w:t>IWRS/IRT</w:t>
      </w:r>
      <w:r>
        <w:rPr>
          <w:rFonts w:hint="eastAsia" w:ascii="Times New Roman"/>
        </w:rPr>
        <w:t>系统数据交互</w:t>
      </w:r>
    </w:p>
    <w:p w14:paraId="5870B7D5">
      <w:pPr>
        <w:pStyle w:val="59"/>
        <w:ind w:firstLine="420"/>
      </w:pPr>
      <w:r>
        <w:rPr>
          <w:rFonts w:hint="eastAsia"/>
        </w:rPr>
        <w:t>平台与IWRS/IRT系统之间交互受试者随机化结果、药物发放信息、随访计划信息等，IWRS/IRT系统向平台同步随机化和药物管理相关数据，平台向IWRS/IRT系统反馈受试者随访情况、用药依从性等信息，确保临床研究的随机性和药物管理的规范性。</w:t>
      </w:r>
    </w:p>
    <w:p w14:paraId="774957AB">
      <w:pPr>
        <w:pStyle w:val="68"/>
        <w:spacing w:before="0" w:beforeLines="0" w:after="0" w:afterLines="0"/>
        <w:outlineLvl w:val="9"/>
      </w:pPr>
      <w:r>
        <w:rPr>
          <w:rFonts w:hint="eastAsia"/>
        </w:rPr>
        <w:t>研究数据交换格式规范</w:t>
      </w:r>
    </w:p>
    <w:p w14:paraId="53B52D89">
      <w:pPr>
        <w:pStyle w:val="59"/>
        <w:ind w:firstLine="420"/>
      </w:pPr>
      <w:r>
        <w:rPr>
          <w:rFonts w:hint="eastAsia"/>
        </w:rPr>
        <w:t>院内平台与研发系统之间的数据交换，遵循CDISC相关标准，结构化数据采用XML（ODM-XML）、JSON格式，研究数据编码采用SDTM、ADaM标准，确保研究数据的规范性和可交换性，满足临床研究数据管理和提交需求。</w:t>
      </w:r>
    </w:p>
    <w:p w14:paraId="68A0C8B1">
      <w:pPr>
        <w:pStyle w:val="108"/>
        <w:spacing w:before="120" w:after="120"/>
        <w:outlineLvl w:val="9"/>
      </w:pPr>
      <w:bookmarkStart w:id="82" w:name="_Toc23035"/>
      <w:r>
        <w:rPr>
          <w:rFonts w:hint="eastAsia"/>
        </w:rPr>
        <w:t>院内与外部企业数据交互</w:t>
      </w:r>
      <w:bookmarkEnd w:id="82"/>
    </w:p>
    <w:p w14:paraId="7B402C07">
      <w:pPr>
        <w:pStyle w:val="68"/>
        <w:spacing w:before="0" w:beforeLines="0" w:after="0" w:afterLines="0"/>
        <w:outlineLvl w:val="9"/>
      </w:pPr>
      <w:r>
        <w:rPr>
          <w:rFonts w:hint="eastAsia"/>
        </w:rPr>
        <w:t>与CRO企业数据交互</w:t>
      </w:r>
    </w:p>
    <w:p w14:paraId="67E600CD">
      <w:pPr>
        <w:pStyle w:val="59"/>
        <w:ind w:firstLine="420"/>
      </w:pPr>
      <w:r>
        <w:rPr>
          <w:rFonts w:hint="eastAsia"/>
        </w:rPr>
        <w:t>平台与CRO企业之间交互研究方案、数据核查报告、研究进度报告、受试者筛选信息等数据，CRO企业向平台反馈数据核查意见、研究指导建议等，平台向CRO企业同步临床研究开展过程中的相关数据，支撑CRO企业开展研究监查、数据管理等工作。</w:t>
      </w:r>
    </w:p>
    <w:p w14:paraId="7DB9A6D7">
      <w:pPr>
        <w:pStyle w:val="68"/>
        <w:spacing w:before="0" w:beforeLines="0" w:after="0" w:afterLines="0"/>
        <w:outlineLvl w:val="9"/>
      </w:pPr>
      <w:r>
        <w:rPr>
          <w:rFonts w:hint="eastAsia"/>
        </w:rPr>
        <w:t>与申办方数据交互</w:t>
      </w:r>
    </w:p>
    <w:p w14:paraId="5642754C">
      <w:pPr>
        <w:pStyle w:val="59"/>
        <w:ind w:firstLine="420"/>
      </w:pPr>
      <w:r>
        <w:rPr>
          <w:rFonts w:hint="eastAsia"/>
        </w:rPr>
        <w:t>平台与申办方之间交互研究项目进展、研究数据统计结果、不良事件信息、受试者招募信息等数据，申办方向平台发送研究方案更新、研究要求等信息，平台向申办方同步临床研究的实施情况，确保申办方及时掌握研究进展。</w:t>
      </w:r>
    </w:p>
    <w:p w14:paraId="4E9AD3BA">
      <w:pPr>
        <w:pStyle w:val="68"/>
        <w:spacing w:before="0" w:beforeLines="0" w:after="0" w:afterLines="0"/>
        <w:outlineLvl w:val="9"/>
      </w:pPr>
      <w:r>
        <w:rPr>
          <w:rFonts w:hint="eastAsia"/>
        </w:rPr>
        <w:t>与第三方检测中心数据交互</w:t>
      </w:r>
    </w:p>
    <w:p w14:paraId="24B96EB9">
      <w:pPr>
        <w:pStyle w:val="59"/>
        <w:ind w:firstLine="420"/>
      </w:pPr>
      <w:r>
        <w:rPr>
          <w:rFonts w:hint="eastAsia"/>
        </w:rPr>
        <w:t>平台与第三方检测中心之间交互受试者检测样本信息、检测项目、检测结果、检测报告等数据，第三方检测中心向平台同步检测相关数据，平台向第三方检测中心发送检测申请、样本信息等，确保临床研究相关检测数据的准确、及时获取。</w:t>
      </w:r>
    </w:p>
    <w:p w14:paraId="78D9751D">
      <w:pPr>
        <w:pStyle w:val="68"/>
        <w:spacing w:before="0" w:beforeLines="0" w:after="0" w:afterLines="0"/>
        <w:outlineLvl w:val="9"/>
      </w:pPr>
      <w:r>
        <w:rPr>
          <w:rFonts w:hint="eastAsia"/>
        </w:rPr>
        <w:t>企业数据交换格式规范</w:t>
      </w:r>
    </w:p>
    <w:p w14:paraId="496EC56F">
      <w:pPr>
        <w:pStyle w:val="59"/>
        <w:ind w:firstLine="420"/>
      </w:pPr>
      <w:r>
        <w:rPr>
          <w:rFonts w:hint="eastAsia"/>
        </w:rPr>
        <w:t>医院平台与外部企业之间的数据交换，结构化数据采用XML、JSON格式，遵循CDISC相关标准；非结构化数据采用PDF、DICOM等通用格式；编码采用ICD、LOINC、CDISC等标准化编码体系，双方协商确定统一的数据交换格式，确保数据交互的兼容、规范。</w:t>
      </w:r>
    </w:p>
    <w:p w14:paraId="3998FC61">
      <w:pPr>
        <w:pStyle w:val="108"/>
        <w:spacing w:before="120" w:after="120"/>
        <w:outlineLvl w:val="9"/>
      </w:pPr>
      <w:bookmarkStart w:id="83" w:name="_Toc19813"/>
      <w:r>
        <w:rPr>
          <w:rFonts w:hint="eastAsia"/>
        </w:rPr>
        <w:t>院内与用户数据交互</w:t>
      </w:r>
      <w:bookmarkEnd w:id="83"/>
    </w:p>
    <w:p w14:paraId="3D16F2E6">
      <w:pPr>
        <w:pStyle w:val="68"/>
        <w:spacing w:before="0" w:beforeLines="0" w:after="0" w:afterLines="0"/>
        <w:outlineLvl w:val="9"/>
      </w:pPr>
      <w:r>
        <w:rPr>
          <w:rFonts w:hint="eastAsia"/>
        </w:rPr>
        <w:t>与受试者端数据交互</w:t>
      </w:r>
    </w:p>
    <w:p w14:paraId="34713D58">
      <w:pPr>
        <w:pStyle w:val="59"/>
        <w:ind w:firstLine="420"/>
      </w:pPr>
      <w:r>
        <w:rPr>
          <w:rFonts w:hint="eastAsia"/>
        </w:rPr>
        <w:t>平台与受试者端之间交互受试者随访提醒、随访信息提交、个人研究数据查询、知情同意书签署等数据，受试者端向平台提交随访记录、健康状况等信息，平台向受试者端推送随访计划、研究相关通知等，保障受试者参与临床研究的便捷性和知情权。</w:t>
      </w:r>
    </w:p>
    <w:p w14:paraId="774B1FFF">
      <w:pPr>
        <w:pStyle w:val="68"/>
        <w:spacing w:before="0" w:beforeLines="0" w:after="0" w:afterLines="0"/>
        <w:outlineLvl w:val="9"/>
      </w:pPr>
      <w:r>
        <w:rPr>
          <w:rFonts w:hint="eastAsia"/>
        </w:rPr>
        <w:t>与研究者移动端数据交互</w:t>
      </w:r>
    </w:p>
    <w:p w14:paraId="18178156">
      <w:pPr>
        <w:pStyle w:val="59"/>
        <w:ind w:firstLine="420"/>
      </w:pPr>
      <w:r>
        <w:rPr>
          <w:rFonts w:hint="eastAsia"/>
        </w:rPr>
        <w:t>平台与研究者移动端之间交互研究任务提醒、受试者随访记录录入、研究数据查询、研究进度查看等数据，研究者通过移动端向平台录入随访记录、不良事件等信息，平台向研究者移动端推送任务通知、数据核查提醒等，支撑研究者便捷开展临床研究工作。</w:t>
      </w:r>
    </w:p>
    <w:p w14:paraId="58C971EB">
      <w:pPr>
        <w:pStyle w:val="68"/>
        <w:spacing w:before="0" w:beforeLines="0" w:after="0" w:afterLines="0"/>
        <w:outlineLvl w:val="9"/>
      </w:pPr>
      <w:r>
        <w:rPr>
          <w:rFonts w:hint="eastAsia"/>
        </w:rPr>
        <w:t>用户数据交换格式规范</w:t>
      </w:r>
    </w:p>
    <w:p w14:paraId="43242E9F">
      <w:pPr>
        <w:pStyle w:val="59"/>
        <w:ind w:firstLine="420"/>
        <w:sectPr>
          <w:pgSz w:w="11906" w:h="16838"/>
          <w:pgMar w:top="1928" w:right="1134" w:bottom="1134" w:left="1134" w:header="1418" w:footer="1134" w:gutter="284"/>
          <w:pgNumType w:start="1"/>
          <w:cols w:space="425" w:num="1"/>
          <w:formProt w:val="0"/>
          <w:docGrid w:linePitch="312" w:charSpace="0"/>
        </w:sectPr>
      </w:pPr>
      <w:r>
        <w:rPr>
          <w:rFonts w:hint="eastAsia"/>
        </w:rPr>
        <w:t>平台与用户端之间的数据交换，采用轻量化格式（优先JSON格式），适配移动端传输需求，核心敏感数据采用加密和脱敏处理，编码采用标准化编码体系，确保数据传输的高效、安全，保护受试者隐私和研究数据安全。</w:t>
      </w:r>
    </w:p>
    <w:bookmarkEnd w:id="14"/>
    <w:p w14:paraId="5E1D52F7">
      <w:pPr>
        <w:pStyle w:val="201"/>
        <w:rPr>
          <w:rFonts w:hint="eastAsia"/>
        </w:rPr>
      </w:pPr>
      <w:bookmarkStart w:id="84" w:name="BookMark5"/>
    </w:p>
    <w:p w14:paraId="2604B954">
      <w:pPr>
        <w:pStyle w:val="202"/>
      </w:pPr>
    </w:p>
    <w:p w14:paraId="1E469F10">
      <w:pPr>
        <w:pStyle w:val="79"/>
        <w:spacing w:before="0" w:after="0" w:afterLines="0"/>
      </w:pPr>
      <w:bookmarkStart w:id="85" w:name="_Toc25173"/>
      <w:r>
        <w:br w:type="textWrapping"/>
      </w:r>
      <w:bookmarkStart w:id="86" w:name="_Toc225519793"/>
      <w:bookmarkStart w:id="87" w:name="_Toc228519161"/>
      <w:r>
        <w:rPr>
          <w:rFonts w:hint="eastAsia"/>
        </w:rPr>
        <w:t>（规范性）</w:t>
      </w:r>
      <w:r>
        <w:br w:type="textWrapping"/>
      </w:r>
      <w:bookmarkEnd w:id="86"/>
      <w:r>
        <w:rPr>
          <w:rFonts w:hint="eastAsia"/>
        </w:rPr>
        <w:t>数据传输接口规范</w:t>
      </w:r>
      <w:bookmarkEnd w:id="85"/>
      <w:bookmarkEnd w:id="87"/>
    </w:p>
    <w:p w14:paraId="1650F099">
      <w:pPr>
        <w:pStyle w:val="59"/>
        <w:ind w:firstLine="420"/>
      </w:pPr>
    </w:p>
    <w:p w14:paraId="3A2AD182">
      <w:pPr>
        <w:pStyle w:val="81"/>
        <w:spacing w:before="120" w:after="120"/>
        <w:outlineLvl w:val="9"/>
      </w:pPr>
      <w:bookmarkStart w:id="88" w:name="_Toc13552"/>
      <w:bookmarkStart w:id="89" w:name="_Toc18984"/>
      <w:r>
        <w:rPr>
          <w:rFonts w:hint="eastAsia"/>
        </w:rPr>
        <w:t>接口通用要求</w:t>
      </w:r>
      <w:bookmarkEnd w:id="88"/>
      <w:bookmarkEnd w:id="89"/>
    </w:p>
    <w:p w14:paraId="17B43D59">
      <w:pPr>
        <w:pStyle w:val="59"/>
        <w:ind w:firstLine="420"/>
      </w:pPr>
      <w:r>
        <w:rPr>
          <w:rFonts w:hint="eastAsia"/>
        </w:rPr>
        <w:t>所有数据交换接口应遵循RESTful风格，使用HTTPS协议，请求与响应均采用JSON格式，字符编码UTF-8。</w:t>
      </w:r>
    </w:p>
    <w:p w14:paraId="78A23FFE">
      <w:pPr>
        <w:pStyle w:val="59"/>
        <w:ind w:firstLine="420"/>
      </w:pPr>
      <w:r>
        <w:rPr>
          <w:rFonts w:hint="eastAsia"/>
        </w:rPr>
        <w:t>接口路径以/api/v{版本号}/开头，如/api/v1/observation/upload。</w:t>
      </w:r>
    </w:p>
    <w:p w14:paraId="037DEA1D">
      <w:pPr>
        <w:pStyle w:val="59"/>
        <w:ind w:firstLine="420"/>
      </w:pPr>
      <w:r>
        <w:rPr>
          <w:rFonts w:hint="eastAsia"/>
        </w:rPr>
        <w:t>每个接口需在HTTP Header中包含认证令牌：Authorization: Bearer &lt;token&gt;。</w:t>
      </w:r>
    </w:p>
    <w:p w14:paraId="108B1150">
      <w:pPr>
        <w:pStyle w:val="59"/>
        <w:ind w:firstLine="420"/>
      </w:pPr>
      <w:r>
        <w:rPr>
          <w:rFonts w:hint="eastAsia"/>
        </w:rPr>
        <w:t>接口响应需包含固定格式的状态码与消息体。</w:t>
      </w:r>
    </w:p>
    <w:p w14:paraId="4223D512">
      <w:pPr>
        <w:pStyle w:val="81"/>
        <w:spacing w:before="120" w:after="120"/>
        <w:outlineLvl w:val="9"/>
      </w:pPr>
      <w:bookmarkStart w:id="90" w:name="_Toc24114"/>
      <w:bookmarkStart w:id="91" w:name="_Toc569"/>
      <w:r>
        <w:rPr>
          <w:rFonts w:hint="eastAsia"/>
        </w:rPr>
        <w:t>接口通用响应结构</w:t>
      </w:r>
      <w:bookmarkEnd w:id="90"/>
      <w:bookmarkEnd w:id="91"/>
    </w:p>
    <w:p w14:paraId="73B1F76A">
      <w:pPr>
        <w:pStyle w:val="80"/>
        <w:spacing w:before="0" w:beforeLines="0" w:after="0" w:afterLines="0"/>
      </w:pPr>
      <w:r>
        <w:rPr>
          <w:rFonts w:hint="eastAsia"/>
        </w:rPr>
        <w:t>接口通用相应表</w:t>
      </w:r>
    </w:p>
    <w:tbl>
      <w:tblPr>
        <w:tblStyle w:val="29"/>
        <w:tblW w:w="93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1"/>
        <w:gridCol w:w="730"/>
        <w:gridCol w:w="7530"/>
      </w:tblGrid>
      <w:tr w14:paraId="17E9D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0D6DA295">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字段</w:t>
            </w:r>
          </w:p>
        </w:tc>
        <w:tc>
          <w:tcPr>
            <w:tcW w:w="0" w:type="auto"/>
            <w:vAlign w:val="center"/>
          </w:tcPr>
          <w:p w14:paraId="4202F862">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类型</w:t>
            </w:r>
          </w:p>
        </w:tc>
        <w:tc>
          <w:tcPr>
            <w:tcW w:w="7530" w:type="dxa"/>
            <w:vAlign w:val="center"/>
          </w:tcPr>
          <w:p w14:paraId="06FFA1AB">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说明</w:t>
            </w:r>
          </w:p>
        </w:tc>
      </w:tr>
      <w:tr w14:paraId="57944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01DCF946">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code</w:t>
            </w:r>
          </w:p>
        </w:tc>
        <w:tc>
          <w:tcPr>
            <w:tcW w:w="0" w:type="auto"/>
            <w:vAlign w:val="center"/>
          </w:tcPr>
          <w:p w14:paraId="15539B6B">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string</w:t>
            </w:r>
          </w:p>
        </w:tc>
        <w:tc>
          <w:tcPr>
            <w:tcW w:w="7530" w:type="dxa"/>
            <w:vAlign w:val="center"/>
          </w:tcPr>
          <w:p w14:paraId="437E1910">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状态码：</w:t>
            </w:r>
            <w:r>
              <w:rPr>
                <w:rFonts w:ascii="Times New Roman" w:hAnsi="Times New Roman" w:eastAsia="宋体" w:cs="Times New Roman"/>
                <w:color w:val="0F1115"/>
                <w:kern w:val="0"/>
                <w:lang w:bidi="ar"/>
              </w:rPr>
              <w:t>'200'</w:t>
            </w:r>
            <w:r>
              <w:rPr>
                <w:rFonts w:hint="eastAsia" w:ascii="Times New Roman" w:hAnsi="Times New Roman" w:eastAsia="宋体" w:cs="Times New Roman"/>
                <w:color w:val="0F1115"/>
                <w:kern w:val="0"/>
                <w:lang w:bidi="ar"/>
              </w:rPr>
              <w:t>成功，</w:t>
            </w:r>
            <w:r>
              <w:rPr>
                <w:rFonts w:ascii="Times New Roman" w:hAnsi="Times New Roman" w:eastAsia="宋体" w:cs="Times New Roman"/>
                <w:color w:val="0F1115"/>
                <w:kern w:val="0"/>
                <w:lang w:bidi="ar"/>
              </w:rPr>
              <w:t>'400'</w:t>
            </w:r>
            <w:r>
              <w:rPr>
                <w:rFonts w:hint="eastAsia" w:ascii="Times New Roman" w:hAnsi="Times New Roman" w:eastAsia="宋体" w:cs="Times New Roman"/>
                <w:color w:val="0F1115"/>
                <w:kern w:val="0"/>
                <w:lang w:bidi="ar"/>
              </w:rPr>
              <w:t>参数错误，</w:t>
            </w:r>
            <w:r>
              <w:rPr>
                <w:rFonts w:ascii="Times New Roman" w:hAnsi="Times New Roman" w:eastAsia="宋体" w:cs="Times New Roman"/>
                <w:color w:val="0F1115"/>
                <w:kern w:val="0"/>
                <w:lang w:bidi="ar"/>
              </w:rPr>
              <w:t>'401'</w:t>
            </w:r>
            <w:r>
              <w:rPr>
                <w:rFonts w:hint="eastAsia" w:ascii="Times New Roman" w:hAnsi="Times New Roman" w:eastAsia="宋体" w:cs="Times New Roman"/>
                <w:color w:val="0F1115"/>
                <w:kern w:val="0"/>
                <w:lang w:bidi="ar"/>
              </w:rPr>
              <w:t>认证失败，</w:t>
            </w:r>
            <w:r>
              <w:rPr>
                <w:rFonts w:ascii="Times New Roman" w:hAnsi="Times New Roman" w:eastAsia="宋体" w:cs="Times New Roman"/>
                <w:color w:val="0F1115"/>
                <w:kern w:val="0"/>
                <w:lang w:bidi="ar"/>
              </w:rPr>
              <w:t>'500'</w:t>
            </w:r>
            <w:r>
              <w:rPr>
                <w:rFonts w:hint="eastAsia" w:ascii="Times New Roman" w:hAnsi="Times New Roman" w:eastAsia="宋体" w:cs="Times New Roman"/>
                <w:color w:val="0F1115"/>
                <w:kern w:val="0"/>
                <w:lang w:bidi="ar"/>
              </w:rPr>
              <w:t>服务器错误</w:t>
            </w:r>
          </w:p>
        </w:tc>
      </w:tr>
      <w:tr w14:paraId="6CE1A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6E5B550A">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message</w:t>
            </w:r>
          </w:p>
        </w:tc>
        <w:tc>
          <w:tcPr>
            <w:tcW w:w="0" w:type="auto"/>
            <w:vAlign w:val="center"/>
          </w:tcPr>
          <w:p w14:paraId="40DA4DE1">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string</w:t>
            </w:r>
          </w:p>
        </w:tc>
        <w:tc>
          <w:tcPr>
            <w:tcW w:w="7530" w:type="dxa"/>
            <w:vAlign w:val="center"/>
          </w:tcPr>
          <w:p w14:paraId="11EA8449">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状态描述文字</w:t>
            </w:r>
          </w:p>
        </w:tc>
      </w:tr>
      <w:tr w14:paraId="22936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289BE043">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requestId</w:t>
            </w:r>
          </w:p>
        </w:tc>
        <w:tc>
          <w:tcPr>
            <w:tcW w:w="0" w:type="auto"/>
            <w:vAlign w:val="center"/>
          </w:tcPr>
          <w:p w14:paraId="7EF73F88">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string</w:t>
            </w:r>
          </w:p>
        </w:tc>
        <w:tc>
          <w:tcPr>
            <w:tcW w:w="7530" w:type="dxa"/>
            <w:vAlign w:val="center"/>
          </w:tcPr>
          <w:p w14:paraId="6E4D3266">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请求唯一标识（</w:t>
            </w:r>
            <w:r>
              <w:rPr>
                <w:rFonts w:ascii="Times New Roman" w:hAnsi="Times New Roman" w:eastAsia="宋体" w:cs="Times New Roman"/>
                <w:color w:val="0F1115"/>
                <w:kern w:val="0"/>
                <w:lang w:bidi="ar"/>
              </w:rPr>
              <w:t>UUID</w:t>
            </w:r>
            <w:r>
              <w:rPr>
                <w:rFonts w:hint="eastAsia" w:ascii="Times New Roman" w:hAnsi="Times New Roman" w:eastAsia="宋体" w:cs="Times New Roman"/>
                <w:color w:val="0F1115"/>
                <w:kern w:val="0"/>
                <w:lang w:bidi="ar"/>
              </w:rPr>
              <w:t>），用于链路追踪</w:t>
            </w:r>
          </w:p>
        </w:tc>
      </w:tr>
      <w:tr w14:paraId="4189D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0BB41401">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data</w:t>
            </w:r>
          </w:p>
        </w:tc>
        <w:tc>
          <w:tcPr>
            <w:tcW w:w="0" w:type="auto"/>
            <w:vAlign w:val="center"/>
          </w:tcPr>
          <w:p w14:paraId="16703140">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object</w:t>
            </w:r>
          </w:p>
        </w:tc>
        <w:tc>
          <w:tcPr>
            <w:tcW w:w="7530" w:type="dxa"/>
            <w:vAlign w:val="center"/>
          </w:tcPr>
          <w:p w14:paraId="691E1148">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成功时返回的业务数据，失败时可为空</w:t>
            </w:r>
          </w:p>
        </w:tc>
      </w:tr>
      <w:tr w14:paraId="4FB60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6017ED50">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timestamp</w:t>
            </w:r>
          </w:p>
        </w:tc>
        <w:tc>
          <w:tcPr>
            <w:tcW w:w="0" w:type="auto"/>
            <w:vAlign w:val="center"/>
          </w:tcPr>
          <w:p w14:paraId="10F810CC">
            <w:pPr>
              <w:widowControl/>
              <w:spacing w:line="240" w:lineRule="auto"/>
              <w:jc w:val="center"/>
              <w:rPr>
                <w:rFonts w:ascii="Times New Roman" w:hAnsi="Times New Roman"/>
              </w:rPr>
            </w:pPr>
            <w:r>
              <w:rPr>
                <w:rFonts w:ascii="Times New Roman" w:hAnsi="Times New Roman" w:eastAsia="宋体" w:cs="Times New Roman"/>
                <w:color w:val="0F1115"/>
                <w:kern w:val="0"/>
                <w:lang w:bidi="ar"/>
              </w:rPr>
              <w:t>string</w:t>
            </w:r>
          </w:p>
        </w:tc>
        <w:tc>
          <w:tcPr>
            <w:tcW w:w="7530" w:type="dxa"/>
            <w:vAlign w:val="center"/>
          </w:tcPr>
          <w:p w14:paraId="17A929D2">
            <w:pPr>
              <w:widowControl/>
              <w:spacing w:line="240" w:lineRule="auto"/>
              <w:jc w:val="center"/>
              <w:rPr>
                <w:rFonts w:ascii="Times New Roman" w:hAnsi="Times New Roman"/>
              </w:rPr>
            </w:pPr>
            <w:r>
              <w:rPr>
                <w:rFonts w:hint="eastAsia" w:ascii="Times New Roman" w:hAnsi="Times New Roman" w:eastAsia="宋体" w:cs="Times New Roman"/>
                <w:color w:val="0F1115"/>
                <w:kern w:val="0"/>
                <w:lang w:bidi="ar"/>
              </w:rPr>
              <w:t>响应时间戳，</w:t>
            </w:r>
            <w:r>
              <w:rPr>
                <w:rFonts w:ascii="Times New Roman" w:hAnsi="Times New Roman" w:eastAsia="宋体" w:cs="Times New Roman"/>
                <w:color w:val="0F1115"/>
                <w:kern w:val="0"/>
                <w:lang w:bidi="ar"/>
              </w:rPr>
              <w:t>ISO 8601</w:t>
            </w:r>
            <w:r>
              <w:rPr>
                <w:rFonts w:hint="eastAsia" w:ascii="Times New Roman" w:hAnsi="Times New Roman" w:eastAsia="宋体" w:cs="Times New Roman"/>
                <w:color w:val="0F1115"/>
                <w:kern w:val="0"/>
                <w:lang w:bidi="ar"/>
              </w:rPr>
              <w:t>格式，如</w:t>
            </w:r>
            <w:r>
              <w:rPr>
                <w:rFonts w:ascii="Times New Roman" w:hAnsi="Times New Roman" w:eastAsia="宋体" w:cs="Times New Roman"/>
                <w:color w:val="0F1115"/>
                <w:kern w:val="0"/>
                <w:lang w:bidi="ar"/>
              </w:rPr>
              <w:t>2025-04-08T10:30:00.123+08:00</w:t>
            </w:r>
          </w:p>
        </w:tc>
      </w:tr>
    </w:tbl>
    <w:p w14:paraId="15B3EC21">
      <w:pPr>
        <w:pStyle w:val="81"/>
        <w:spacing w:before="120" w:after="120"/>
        <w:outlineLvl w:val="9"/>
      </w:pPr>
      <w:bookmarkStart w:id="92" w:name="_Toc8475"/>
      <w:bookmarkStart w:id="93" w:name="_Toc5387"/>
      <w:r>
        <w:rPr>
          <w:rFonts w:hint="eastAsia"/>
        </w:rPr>
        <w:t>接口列表及定义</w:t>
      </w:r>
      <w:bookmarkEnd w:id="92"/>
      <w:bookmarkEnd w:id="93"/>
    </w:p>
    <w:p w14:paraId="32766E47">
      <w:pPr>
        <w:pStyle w:val="82"/>
        <w:spacing w:before="0" w:beforeLines="0" w:after="0" w:afterLines="0"/>
        <w:outlineLvl w:val="9"/>
      </w:pPr>
      <w:r>
        <w:rPr>
          <w:rFonts w:hint="eastAsia"/>
        </w:rPr>
        <w:t>上传生命体征数据</w:t>
      </w:r>
    </w:p>
    <w:p w14:paraId="04716DCB">
      <w:pPr>
        <w:pStyle w:val="59"/>
        <w:ind w:firstLine="420"/>
      </w:pPr>
      <w:r>
        <w:rPr>
          <w:rFonts w:hint="eastAsia"/>
        </w:rPr>
        <w:t>路径：/api/v1/sign/upload</w:t>
      </w:r>
    </w:p>
    <w:p w14:paraId="0E8DA99D">
      <w:pPr>
        <w:pStyle w:val="59"/>
        <w:ind w:firstLine="420"/>
      </w:pPr>
      <w:r>
        <w:rPr>
          <w:rFonts w:hint="eastAsia"/>
        </w:rPr>
        <w:t>方法：POST</w:t>
      </w:r>
    </w:p>
    <w:p w14:paraId="6BB0AD98">
      <w:pPr>
        <w:pStyle w:val="59"/>
        <w:ind w:firstLine="420"/>
      </w:pPr>
      <w:r>
        <w:rPr>
          <w:rFonts w:hint="eastAsia"/>
        </w:rPr>
        <w:t>请求体示例：</w:t>
      </w:r>
    </w:p>
    <w:p w14:paraId="74009DF2">
      <w:pPr>
        <w:pStyle w:val="59"/>
        <w:ind w:firstLine="420"/>
      </w:pPr>
      <w:r>
        <w:rPr>
          <w:rFonts w:hint="eastAsia"/>
        </w:rPr>
        <w:t>json</w:t>
      </w:r>
    </w:p>
    <w:p w14:paraId="56B84553">
      <w:pPr>
        <w:pStyle w:val="59"/>
        <w:ind w:firstLine="420"/>
      </w:pPr>
      <w:r>
        <w:rPr>
          <w:rFonts w:hint="eastAsia"/>
        </w:rPr>
        <w:t>{</w:t>
      </w:r>
    </w:p>
    <w:p w14:paraId="76485718">
      <w:pPr>
        <w:pStyle w:val="59"/>
        <w:ind w:firstLine="420"/>
      </w:pPr>
      <w:r>
        <w:rPr>
          <w:rFonts w:hint="eastAsia"/>
        </w:rPr>
        <w:t xml:space="preserve">  "subjectId": "SUBJ_001",</w:t>
      </w:r>
    </w:p>
    <w:p w14:paraId="50421AAB">
      <w:pPr>
        <w:pStyle w:val="59"/>
        <w:ind w:firstLine="420"/>
      </w:pPr>
      <w:r>
        <w:rPr>
          <w:rFonts w:hint="eastAsia"/>
        </w:rPr>
        <w:t xml:space="preserve">  "visitId": "V2",</w:t>
      </w:r>
    </w:p>
    <w:p w14:paraId="13060224">
      <w:pPr>
        <w:pStyle w:val="59"/>
        <w:ind w:firstLine="420"/>
      </w:pPr>
      <w:r>
        <w:rPr>
          <w:rFonts w:hint="eastAsia"/>
        </w:rPr>
        <w:t xml:space="preserve">  "deviceUdI": "UDI-12345",</w:t>
      </w:r>
    </w:p>
    <w:p w14:paraId="688CE7C2">
      <w:pPr>
        <w:pStyle w:val="59"/>
        <w:ind w:firstLine="420"/>
      </w:pPr>
      <w:r>
        <w:rPr>
          <w:rFonts w:hint="eastAsia"/>
        </w:rPr>
        <w:t xml:space="preserve">  "signals": [</w:t>
      </w:r>
    </w:p>
    <w:p w14:paraId="00A3DEAA">
      <w:pPr>
        <w:pStyle w:val="59"/>
        <w:ind w:firstLine="420"/>
      </w:pPr>
      <w:r>
        <w:rPr>
          <w:rFonts w:hint="eastAsia"/>
        </w:rPr>
        <w:t xml:space="preserve">    {</w:t>
      </w:r>
    </w:p>
    <w:p w14:paraId="29A1C36D">
      <w:pPr>
        <w:pStyle w:val="59"/>
        <w:ind w:firstLine="420"/>
      </w:pPr>
      <w:r>
        <w:rPr>
          <w:rFonts w:hint="eastAsia"/>
        </w:rPr>
        <w:t xml:space="preserve">      "type": "ECG",</w:t>
      </w:r>
    </w:p>
    <w:p w14:paraId="3DD2F1C2">
      <w:pPr>
        <w:pStyle w:val="59"/>
        <w:ind w:firstLine="420"/>
      </w:pPr>
      <w:r>
        <w:rPr>
          <w:rFonts w:hint="eastAsia"/>
        </w:rPr>
        <w:t xml:space="preserve">      "timestamp": "2025-04-08T09:00:00.000+08:00",</w:t>
      </w:r>
    </w:p>
    <w:p w14:paraId="6091778E">
      <w:pPr>
        <w:pStyle w:val="59"/>
        <w:ind w:firstLine="420"/>
      </w:pPr>
      <w:r>
        <w:rPr>
          <w:rFonts w:hint="eastAsia"/>
        </w:rPr>
        <w:t xml:space="preserve">      "value": 1.25,</w:t>
      </w:r>
    </w:p>
    <w:p w14:paraId="47A45D19">
      <w:pPr>
        <w:pStyle w:val="59"/>
        <w:ind w:firstLine="420"/>
      </w:pPr>
      <w:r>
        <w:rPr>
          <w:rFonts w:hint="eastAsia"/>
        </w:rPr>
        <w:t xml:space="preserve">      "unit": "mV"</w:t>
      </w:r>
    </w:p>
    <w:p w14:paraId="0794721C">
      <w:pPr>
        <w:pStyle w:val="59"/>
        <w:ind w:firstLine="420"/>
      </w:pPr>
      <w:r>
        <w:rPr>
          <w:rFonts w:hint="eastAsia"/>
        </w:rPr>
        <w:t xml:space="preserve">    }</w:t>
      </w:r>
    </w:p>
    <w:p w14:paraId="64EA5078">
      <w:pPr>
        <w:pStyle w:val="59"/>
        <w:ind w:firstLine="420"/>
      </w:pPr>
      <w:r>
        <w:rPr>
          <w:rFonts w:hint="eastAsia"/>
        </w:rPr>
        <w:t xml:space="preserve">  ]</w:t>
      </w:r>
    </w:p>
    <w:p w14:paraId="0C1E038F">
      <w:pPr>
        <w:pStyle w:val="59"/>
        <w:ind w:firstLine="420"/>
      </w:pPr>
      <w:r>
        <w:rPr>
          <w:rFonts w:hint="eastAsia"/>
        </w:rPr>
        <w:t>}</w:t>
      </w:r>
    </w:p>
    <w:p w14:paraId="767B3101">
      <w:pPr>
        <w:pStyle w:val="59"/>
        <w:ind w:firstLine="420"/>
      </w:pPr>
      <w:r>
        <w:rPr>
          <w:rFonts w:hint="eastAsia"/>
        </w:rPr>
        <w:t>响应：返回data中包含recordId及integrityHash。</w:t>
      </w:r>
    </w:p>
    <w:p w14:paraId="6A54605A">
      <w:pPr>
        <w:pStyle w:val="82"/>
        <w:spacing w:before="0" w:beforeLines="0" w:after="0" w:afterLines="0"/>
        <w:outlineLvl w:val="9"/>
      </w:pPr>
      <w:r>
        <w:rPr>
          <w:rFonts w:hint="eastAsia"/>
        </w:rPr>
        <w:t>批量上传医学影像元数据</w:t>
      </w:r>
    </w:p>
    <w:p w14:paraId="4201599A">
      <w:pPr>
        <w:pStyle w:val="59"/>
        <w:ind w:firstLine="420"/>
      </w:pPr>
      <w:r>
        <w:rPr>
          <w:rFonts w:hint="eastAsia"/>
        </w:rPr>
        <w:t>路径：/api/v1/imaging/meta</w:t>
      </w:r>
    </w:p>
    <w:p w14:paraId="48D73AEB">
      <w:pPr>
        <w:pStyle w:val="59"/>
        <w:ind w:firstLine="420"/>
      </w:pPr>
      <w:r>
        <w:rPr>
          <w:rFonts w:hint="eastAsia"/>
        </w:rPr>
        <w:t>方法：POST</w:t>
      </w:r>
    </w:p>
    <w:p w14:paraId="03FC1846">
      <w:pPr>
        <w:pStyle w:val="59"/>
        <w:ind w:firstLine="420"/>
      </w:pPr>
      <w:r>
        <w:rPr>
          <w:rFonts w:hint="eastAsia"/>
        </w:rPr>
        <w:t>支持分片上传，请求体包含分片序号、总分片数及分片数据。</w:t>
      </w:r>
    </w:p>
    <w:p w14:paraId="793BF32B">
      <w:pPr>
        <w:pStyle w:val="82"/>
        <w:spacing w:before="0" w:beforeLines="0" w:after="0" w:afterLines="0"/>
        <w:outlineLvl w:val="9"/>
      </w:pPr>
      <w:r>
        <w:rPr>
          <w:rFonts w:hint="eastAsia"/>
        </w:rPr>
        <w:t>查询传输任务状态</w:t>
      </w:r>
    </w:p>
    <w:p w14:paraId="0BECAC3D">
      <w:pPr>
        <w:pStyle w:val="59"/>
        <w:ind w:firstLine="420"/>
      </w:pPr>
      <w:r>
        <w:rPr>
          <w:rFonts w:hint="eastAsia"/>
        </w:rPr>
        <w:t>路径：/api/v1/task/{taskId}</w:t>
      </w:r>
    </w:p>
    <w:p w14:paraId="11985E21">
      <w:pPr>
        <w:pStyle w:val="59"/>
        <w:ind w:firstLine="420"/>
      </w:pPr>
      <w:r>
        <w:rPr>
          <w:rFonts w:hint="eastAsia"/>
        </w:rPr>
        <w:t>方法：GET</w:t>
      </w:r>
    </w:p>
    <w:p w14:paraId="1D5FD3C9">
      <w:pPr>
        <w:pStyle w:val="59"/>
        <w:ind w:firstLine="420"/>
      </w:pPr>
      <w:r>
        <w:rPr>
          <w:rFonts w:hint="eastAsia"/>
        </w:rPr>
        <w:t>响应：返回任务状态（pending/transmitting/success/failed）、已传输字节数、失败原因等。</w:t>
      </w:r>
    </w:p>
    <w:p w14:paraId="004C778D">
      <w:pPr>
        <w:pStyle w:val="82"/>
        <w:spacing w:before="0" w:beforeLines="0" w:after="0" w:afterLines="0"/>
        <w:outlineLvl w:val="9"/>
      </w:pPr>
      <w:r>
        <w:rPr>
          <w:rFonts w:hint="eastAsia"/>
        </w:rPr>
        <w:t>心跳及设备认证</w:t>
      </w:r>
    </w:p>
    <w:p w14:paraId="1093122D">
      <w:pPr>
        <w:pStyle w:val="59"/>
        <w:ind w:firstLine="420"/>
      </w:pPr>
      <w:r>
        <w:rPr>
          <w:rFonts w:hint="eastAsia"/>
        </w:rPr>
        <w:t>路径：/api/v1/device/heartbeat</w:t>
      </w:r>
    </w:p>
    <w:p w14:paraId="752CF36E">
      <w:pPr>
        <w:pStyle w:val="59"/>
        <w:ind w:firstLine="420"/>
      </w:pPr>
      <w:r>
        <w:rPr>
          <w:rFonts w:hint="eastAsia"/>
        </w:rPr>
        <w:t>方法：POST</w:t>
      </w:r>
    </w:p>
    <w:p w14:paraId="5883BC2D">
      <w:pPr>
        <w:pStyle w:val="59"/>
        <w:ind w:firstLine="420"/>
      </w:pPr>
      <w:r>
        <w:rPr>
          <w:rFonts w:hint="eastAsia"/>
        </w:rPr>
        <w:t>请求体：{"deviceId":"D001","timestamp":"..."}</w:t>
      </w:r>
    </w:p>
    <w:p w14:paraId="50D6E815">
      <w:pPr>
        <w:pStyle w:val="59"/>
        <w:ind w:firstLine="420"/>
      </w:pPr>
      <w:r>
        <w:rPr>
          <w:rFonts w:hint="eastAsia"/>
        </w:rPr>
        <w:t>响应：服务器返回当前时间及下次心跳间隔。</w:t>
      </w:r>
    </w:p>
    <w:p w14:paraId="5F925062">
      <w:pPr>
        <w:pStyle w:val="81"/>
        <w:spacing w:before="120" w:after="120"/>
        <w:outlineLvl w:val="9"/>
      </w:pPr>
      <w:bookmarkStart w:id="94" w:name="_Toc9297"/>
      <w:bookmarkStart w:id="95" w:name="_Toc28203"/>
      <w:r>
        <w:rPr>
          <w:rFonts w:hint="eastAsia"/>
        </w:rPr>
        <w:t>错误码定义</w:t>
      </w:r>
      <w:bookmarkEnd w:id="94"/>
      <w:bookmarkEnd w:id="95"/>
    </w:p>
    <w:p w14:paraId="0B22A8E1">
      <w:pPr>
        <w:pStyle w:val="80"/>
        <w:spacing w:before="0" w:beforeLines="0" w:after="0" w:afterLines="0"/>
      </w:pPr>
      <w:r>
        <w:rPr>
          <w:rFonts w:hint="eastAsia"/>
        </w:rPr>
        <w:t>错误码定义表</w:t>
      </w:r>
    </w:p>
    <w:tbl>
      <w:tblPr>
        <w:tblStyle w:val="2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14:paraId="01460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4BB57B15">
            <w:pPr>
              <w:widowControl/>
              <w:spacing w:line="250" w:lineRule="atLeast"/>
              <w:jc w:val="center"/>
              <w:rPr>
                <w:rStyle w:val="31"/>
                <w:rFonts w:ascii="Times New Roman" w:hAnsi="Times New Roman" w:eastAsia="宋体" w:cs="Times New Roman"/>
                <w:color w:val="0F1115"/>
                <w:kern w:val="2"/>
                <w:szCs w:val="21"/>
                <w:shd w:val="clear" w:color="auto" w:fill="FFFFFF"/>
              </w:rPr>
            </w:pPr>
            <w:r>
              <w:rPr>
                <w:rFonts w:hint="eastAsia" w:ascii="Times New Roman" w:hAnsi="Times New Roman" w:eastAsia="宋体" w:cs="Times New Roman"/>
                <w:b w:val="0"/>
                <w:bCs w:val="0"/>
                <w:color w:val="0F1115"/>
                <w:kern w:val="0"/>
                <w:lang w:bidi="ar"/>
              </w:rPr>
              <w:t>错误码</w:t>
            </w:r>
          </w:p>
        </w:tc>
        <w:tc>
          <w:tcPr>
            <w:tcW w:w="4785" w:type="dxa"/>
            <w:vAlign w:val="center"/>
          </w:tcPr>
          <w:p w14:paraId="0C3FA914">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说明</w:t>
            </w:r>
          </w:p>
        </w:tc>
      </w:tr>
      <w:tr w14:paraId="2D477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775D58F6">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1001</w:t>
            </w:r>
          </w:p>
        </w:tc>
        <w:tc>
          <w:tcPr>
            <w:tcW w:w="4785" w:type="dxa"/>
            <w:vAlign w:val="center"/>
          </w:tcPr>
          <w:p w14:paraId="532AD558">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认证令牌无效或过期</w:t>
            </w:r>
          </w:p>
        </w:tc>
      </w:tr>
      <w:tr w14:paraId="55802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2AF874EC">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1002</w:t>
            </w:r>
          </w:p>
        </w:tc>
        <w:tc>
          <w:tcPr>
            <w:tcW w:w="4785" w:type="dxa"/>
            <w:vAlign w:val="center"/>
          </w:tcPr>
          <w:p w14:paraId="18AA3A02">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请求签名校验失败</w:t>
            </w:r>
          </w:p>
        </w:tc>
      </w:tr>
      <w:tr w14:paraId="38A85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2FA5AB47">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2001</w:t>
            </w:r>
          </w:p>
        </w:tc>
        <w:tc>
          <w:tcPr>
            <w:tcW w:w="4785" w:type="dxa"/>
            <w:vAlign w:val="center"/>
          </w:tcPr>
          <w:p w14:paraId="01A882A3">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数据格式不符合规范</w:t>
            </w:r>
          </w:p>
        </w:tc>
      </w:tr>
      <w:tr w14:paraId="6CF53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2C479A03">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2002</w:t>
            </w:r>
          </w:p>
        </w:tc>
        <w:tc>
          <w:tcPr>
            <w:tcW w:w="4785" w:type="dxa"/>
            <w:vAlign w:val="center"/>
          </w:tcPr>
          <w:p w14:paraId="51EC2FDE">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必填字段缺失</w:t>
            </w:r>
          </w:p>
        </w:tc>
      </w:tr>
      <w:tr w14:paraId="7FFC5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171087B8">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3001</w:t>
            </w:r>
          </w:p>
        </w:tc>
        <w:tc>
          <w:tcPr>
            <w:tcW w:w="4785" w:type="dxa"/>
            <w:vAlign w:val="center"/>
          </w:tcPr>
          <w:p w14:paraId="70336D7D">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数据完整性校验失败</w:t>
            </w:r>
          </w:p>
        </w:tc>
      </w:tr>
      <w:tr w14:paraId="7BFDB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0EC2774D">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3002</w:t>
            </w:r>
          </w:p>
        </w:tc>
        <w:tc>
          <w:tcPr>
            <w:tcW w:w="4785" w:type="dxa"/>
            <w:vAlign w:val="center"/>
          </w:tcPr>
          <w:p w14:paraId="55676E42">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超出传输速率限制</w:t>
            </w:r>
          </w:p>
        </w:tc>
      </w:tr>
      <w:tr w14:paraId="05B45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4F63C509">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4001</w:t>
            </w:r>
          </w:p>
        </w:tc>
        <w:tc>
          <w:tcPr>
            <w:tcW w:w="4785" w:type="dxa"/>
            <w:vAlign w:val="center"/>
          </w:tcPr>
          <w:p w14:paraId="418AD258">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目标系统不可达</w:t>
            </w:r>
          </w:p>
        </w:tc>
      </w:tr>
      <w:tr w14:paraId="14658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85" w:type="dxa"/>
            <w:vAlign w:val="center"/>
          </w:tcPr>
          <w:p w14:paraId="73B7CA15">
            <w:pPr>
              <w:widowControl/>
              <w:spacing w:line="250" w:lineRule="atLeast"/>
              <w:jc w:val="center"/>
              <w:rPr>
                <w:rStyle w:val="31"/>
                <w:rFonts w:ascii="Times New Roman" w:hAnsi="Times New Roman" w:eastAsia="宋体" w:cs="Times New Roman"/>
                <w:color w:val="0F1115"/>
                <w:shd w:val="clear" w:color="auto" w:fill="FFFFFF"/>
              </w:rPr>
            </w:pPr>
            <w:r>
              <w:rPr>
                <w:rFonts w:ascii="Times New Roman" w:hAnsi="Times New Roman" w:eastAsia="宋体" w:cs="Times New Roman"/>
                <w:b w:val="0"/>
                <w:bCs w:val="0"/>
                <w:color w:val="0F1115"/>
                <w:kern w:val="0"/>
                <w:lang w:bidi="ar"/>
              </w:rPr>
              <w:t>5001</w:t>
            </w:r>
          </w:p>
        </w:tc>
        <w:tc>
          <w:tcPr>
            <w:tcW w:w="4785" w:type="dxa"/>
            <w:vAlign w:val="center"/>
          </w:tcPr>
          <w:p w14:paraId="6CD076AC">
            <w:pPr>
              <w:widowControl/>
              <w:spacing w:line="250" w:lineRule="atLeast"/>
              <w:jc w:val="center"/>
              <w:rPr>
                <w:rStyle w:val="31"/>
                <w:rFonts w:ascii="Times New Roman" w:hAnsi="Times New Roman" w:eastAsia="宋体" w:cs="Times New Roman"/>
                <w:color w:val="0F1115"/>
                <w:shd w:val="clear" w:color="auto" w:fill="FFFFFF"/>
              </w:rPr>
            </w:pPr>
            <w:r>
              <w:rPr>
                <w:rFonts w:hint="eastAsia" w:ascii="Times New Roman" w:hAnsi="Times New Roman" w:eastAsia="宋体" w:cs="Times New Roman"/>
                <w:b w:val="0"/>
                <w:bCs w:val="0"/>
                <w:color w:val="0F1115"/>
                <w:kern w:val="0"/>
                <w:lang w:bidi="ar"/>
              </w:rPr>
              <w:t>服务器内部错误</w:t>
            </w:r>
          </w:p>
        </w:tc>
      </w:tr>
    </w:tbl>
    <w:p w14:paraId="3A393FFB">
      <w:pPr>
        <w:pStyle w:val="81"/>
        <w:spacing w:before="120" w:after="120"/>
        <w:outlineLvl w:val="9"/>
      </w:pPr>
      <w:bookmarkStart w:id="96" w:name="_Toc19716"/>
      <w:bookmarkStart w:id="97" w:name="_Toc14328"/>
      <w:r>
        <w:rPr>
          <w:rFonts w:hint="eastAsia"/>
        </w:rPr>
        <w:t>接口安全规范</w:t>
      </w:r>
      <w:bookmarkEnd w:id="96"/>
      <w:bookmarkEnd w:id="97"/>
    </w:p>
    <w:p w14:paraId="41584964">
      <w:pPr>
        <w:pStyle w:val="59"/>
        <w:ind w:firstLine="420"/>
      </w:pPr>
      <w:r>
        <w:rPr>
          <w:rFonts w:hint="eastAsia"/>
        </w:rPr>
        <w:t>所有接口必须使用OAuth 2.0（client_credentials模式）获取访问令牌。</w:t>
      </w:r>
    </w:p>
    <w:p w14:paraId="7304468F">
      <w:pPr>
        <w:pStyle w:val="59"/>
        <w:ind w:firstLine="420"/>
      </w:pPr>
      <w:r>
        <w:rPr>
          <w:rFonts w:hint="eastAsia"/>
        </w:rPr>
        <w:t>敏感数据接口（含受试者标识）需额外验证数字签名：请求头X-Signature使用SM3-HMAC对请求体计算摘要。</w:t>
      </w:r>
    </w:p>
    <w:p w14:paraId="0613D5DD">
      <w:pPr>
        <w:pStyle w:val="59"/>
        <w:ind w:firstLine="420"/>
        <w:sectPr>
          <w:pgSz w:w="11906" w:h="16838"/>
          <w:pgMar w:top="1928" w:right="1134" w:bottom="1134" w:left="1134" w:header="1418" w:footer="1134" w:gutter="284"/>
          <w:cols w:space="425" w:num="1"/>
          <w:formProt w:val="0"/>
          <w:docGrid w:linePitch="312" w:charSpace="0"/>
        </w:sectPr>
      </w:pPr>
      <w:r>
        <w:rPr>
          <w:rFonts w:hint="eastAsia"/>
        </w:rPr>
        <w:t>接口调用频率限制：单客户端每分钟最多200次请求，超限返回429状态码。</w:t>
      </w:r>
    </w:p>
    <w:p w14:paraId="420020C7">
      <w:pPr>
        <w:pStyle w:val="201"/>
        <w:rPr>
          <w:rFonts w:hint="eastAsia"/>
        </w:rPr>
      </w:pPr>
    </w:p>
    <w:p w14:paraId="19F6538D">
      <w:pPr>
        <w:pStyle w:val="202"/>
      </w:pPr>
    </w:p>
    <w:bookmarkEnd w:id="84"/>
    <w:p w14:paraId="19F01939">
      <w:pPr>
        <w:pStyle w:val="66"/>
        <w:spacing w:before="240" w:beforeLines="100" w:after="120"/>
      </w:pPr>
      <w:bookmarkStart w:id="98" w:name="_Toc228519162"/>
      <w:bookmarkStart w:id="99" w:name="_Toc225519795"/>
      <w:bookmarkStart w:id="100" w:name="_Toc21707"/>
      <w:bookmarkStart w:id="101" w:name="_Toc1162"/>
      <w:r>
        <w:rPr>
          <w:rFonts w:hint="eastAsia"/>
          <w:spacing w:val="0"/>
        </w:rPr>
        <w:t>参</w:t>
      </w:r>
      <w:r>
        <w:rPr>
          <w:rFonts w:hint="eastAsia"/>
        </w:rPr>
        <w:t xml:space="preserve">  </w:t>
      </w:r>
      <w:r>
        <w:rPr>
          <w:rFonts w:hint="eastAsia"/>
          <w:spacing w:val="0"/>
        </w:rPr>
        <w:t>考</w:t>
      </w:r>
      <w:r>
        <w:rPr>
          <w:rFonts w:hint="eastAsia"/>
        </w:rPr>
        <w:t xml:space="preserve">  </w:t>
      </w:r>
      <w:r>
        <w:rPr>
          <w:rFonts w:hint="eastAsia"/>
          <w:spacing w:val="0"/>
        </w:rPr>
        <w:t>文</w:t>
      </w:r>
      <w:r>
        <w:rPr>
          <w:rFonts w:hint="eastAsia"/>
        </w:rPr>
        <w:t xml:space="preserve">  献</w:t>
      </w:r>
      <w:bookmarkEnd w:id="98"/>
      <w:bookmarkEnd w:id="99"/>
      <w:bookmarkEnd w:id="100"/>
      <w:bookmarkEnd w:id="101"/>
    </w:p>
    <w:p w14:paraId="2B0460BF">
      <w:pPr>
        <w:pStyle w:val="59"/>
        <w:numPr>
          <w:ilvl w:val="0"/>
          <w:numId w:val="32"/>
        </w:numPr>
        <w:tabs>
          <w:tab w:val="left" w:pos="425"/>
        </w:tabs>
        <w:spacing w:line="240" w:lineRule="auto"/>
        <w:ind w:firstLine="0" w:firstLineChars="0"/>
      </w:pPr>
      <w:r>
        <w:t>国家卫生和计划生育委员会. WS/T 447-2014 基于电子病历的医院信息平台技术规范 [S]. 北京</w:t>
      </w:r>
      <w:r>
        <w:rPr>
          <w:rFonts w:hint="eastAsia"/>
        </w:rPr>
        <w:t xml:space="preserve">: </w:t>
      </w:r>
      <w:r>
        <w:t>中国标准出版社</w:t>
      </w:r>
      <w:r>
        <w:rPr>
          <w:rFonts w:hint="eastAsia"/>
        </w:rPr>
        <w:t xml:space="preserve">, </w:t>
      </w:r>
      <w:r>
        <w:t>2014.</w:t>
      </w:r>
    </w:p>
    <w:p w14:paraId="62004C56">
      <w:pPr>
        <w:pStyle w:val="59"/>
        <w:numPr>
          <w:ilvl w:val="0"/>
          <w:numId w:val="32"/>
        </w:numPr>
        <w:tabs>
          <w:tab w:val="left" w:pos="425"/>
        </w:tabs>
        <w:spacing w:line="240" w:lineRule="auto"/>
        <w:ind w:firstLine="0" w:firstLineChars="0"/>
      </w:pPr>
      <w:r>
        <w:t>国家卫生和计划生育委员会. WS/T 544-2017 医学数字影像中文封装与通信规范 [S]. 北京</w:t>
      </w:r>
      <w:r>
        <w:rPr>
          <w:rFonts w:hint="eastAsia"/>
        </w:rPr>
        <w:t xml:space="preserve">: </w:t>
      </w:r>
      <w:r>
        <w:t>中国标准出版社</w:t>
      </w:r>
      <w:r>
        <w:rPr>
          <w:rFonts w:hint="eastAsia"/>
        </w:rPr>
        <w:t xml:space="preserve">, </w:t>
      </w:r>
      <w:r>
        <w:t>2017.</w:t>
      </w:r>
    </w:p>
    <w:p w14:paraId="407D6DFD">
      <w:pPr>
        <w:pStyle w:val="59"/>
        <w:numPr>
          <w:ilvl w:val="0"/>
          <w:numId w:val="32"/>
        </w:numPr>
        <w:tabs>
          <w:tab w:val="left" w:pos="425"/>
        </w:tabs>
        <w:spacing w:line="240" w:lineRule="auto"/>
        <w:ind w:firstLine="0" w:firstLineChars="0"/>
      </w:pPr>
      <w:r>
        <w:t>国家市场监督管理总局</w:t>
      </w:r>
      <w:r>
        <w:rPr>
          <w:rFonts w:hint="eastAsia"/>
        </w:rPr>
        <w:t xml:space="preserve">, </w:t>
      </w:r>
      <w:r>
        <w:t>国家标准化管理委员会. GB/T 22239-2019 信息安全技术 网络安全等级保护基本要求 [S]. 北京</w:t>
      </w:r>
      <w:r>
        <w:rPr>
          <w:rFonts w:hint="eastAsia"/>
        </w:rPr>
        <w:t xml:space="preserve">: </w:t>
      </w:r>
      <w:r>
        <w:t>中国标准出版社</w:t>
      </w:r>
      <w:r>
        <w:rPr>
          <w:rFonts w:hint="eastAsia"/>
        </w:rPr>
        <w:t xml:space="preserve">, </w:t>
      </w:r>
      <w:r>
        <w:t>2019.</w:t>
      </w:r>
    </w:p>
    <w:p w14:paraId="13C76B1C">
      <w:pPr>
        <w:pStyle w:val="59"/>
        <w:numPr>
          <w:ilvl w:val="0"/>
          <w:numId w:val="32"/>
        </w:numPr>
        <w:tabs>
          <w:tab w:val="left" w:pos="425"/>
        </w:tabs>
        <w:spacing w:line="240" w:lineRule="auto"/>
        <w:ind w:firstLine="0" w:firstLineChars="0"/>
      </w:pPr>
      <w:r>
        <w:t>国家卫生健康委员会. WS/T 30</w:t>
      </w:r>
      <w:r>
        <w:rPr>
          <w:rFonts w:hint="eastAsia"/>
        </w:rPr>
        <w:t>3</w:t>
      </w:r>
      <w:r>
        <w:t>-2023 卫生健康信息数据集元数据标准 [S]. 北京</w:t>
      </w:r>
      <w:r>
        <w:rPr>
          <w:rFonts w:hint="eastAsia"/>
        </w:rPr>
        <w:t xml:space="preserve">: </w:t>
      </w:r>
      <w:r>
        <w:t>中国标准出版社</w:t>
      </w:r>
      <w:r>
        <w:rPr>
          <w:rFonts w:hint="eastAsia"/>
        </w:rPr>
        <w:t xml:space="preserve">, </w:t>
      </w:r>
      <w:r>
        <w:t>2023.</w:t>
      </w:r>
    </w:p>
    <w:p w14:paraId="13EC33CC">
      <w:pPr>
        <w:pStyle w:val="59"/>
        <w:numPr>
          <w:ilvl w:val="0"/>
          <w:numId w:val="32"/>
        </w:numPr>
        <w:tabs>
          <w:tab w:val="left" w:pos="425"/>
        </w:tabs>
        <w:ind w:left="0" w:firstLine="0" w:firstLineChars="0"/>
      </w:pPr>
      <w:r>
        <mc:AlternateContent>
          <mc:Choice Requires="wps">
            <w:drawing>
              <wp:anchor distT="0" distB="0" distL="114300" distR="114300" simplePos="0" relativeHeight="251661312" behindDoc="0" locked="0" layoutInCell="1" allowOverlap="1">
                <wp:simplePos x="0" y="0"/>
                <wp:positionH relativeFrom="column">
                  <wp:posOffset>2543810</wp:posOffset>
                </wp:positionH>
                <wp:positionV relativeFrom="paragraph">
                  <wp:posOffset>848360</wp:posOffset>
                </wp:positionV>
                <wp:extent cx="1295400" cy="0"/>
                <wp:effectExtent l="0" t="0" r="0" b="0"/>
                <wp:wrapNone/>
                <wp:docPr id="2037521292" name="直接连接符 3"/>
                <wp:cNvGraphicFramePr/>
                <a:graphic xmlns:a="http://schemas.openxmlformats.org/drawingml/2006/main">
                  <a:graphicData uri="http://schemas.microsoft.com/office/word/2010/wordprocessingShape">
                    <wps:wsp>
                      <wps:cNvCnPr/>
                      <wps:spPr bwMode="auto">
                        <a:xfrm>
                          <a:off x="0" y="0"/>
                          <a:ext cx="1295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200.3pt;margin-top:66.8pt;height:0pt;width:102pt;z-index:251661312;mso-width-relative:page;mso-height-relative:page;" filled="f" stroked="t" coordsize="21600,21600" o:gfxdata="UEsDBAoAAAAAAIdO4kAAAAAAAAAAAAAAAAAEAAAAZHJzL1BLAwQUAAAACACHTuJA/bxBNNUAAAAL&#10;AQAADwAAAGRycy9kb3ducmV2LnhtbE2PQU/DMAyF70j8h8hI3FgyNm1TaboDEgckJKBw4Jg1XlNo&#10;nJJkbfn3GAkJbs9+T5+fy/3sezFiTF0gDcuFAoHUBNtRq+H15e5qByJlQ9b0gVDDFybYV+dnpSls&#10;mOgZxzq3giGUCqPB5TwUUqbGoTdpEQYk9o4hepN5jK200UwM9728VmojvemILzgz4K3D5qM+eabQ&#10;9vM49/Ht6fHB7erpHe/HLWp9ebFUNyAyzvkvDD/1uTpU3OkQTmST6DWsmc5RNlYrFpzYqDWLw+9G&#10;VqX8/0P1DVBLAwQUAAAACACHTuJA+W40j/QBAADIAwAADgAAAGRycy9lMm9Eb2MueG1srVNLjhMx&#10;EN0jcQfLe9JJhwxDK51ZTDRs+IwEHKDidndb8k8uJ525BBdAYgcrluznNgzHoOxOwjBsZoEXll2f&#10;V36vysuLvdFsJwMqZ2s+m0w5k1a4Rtmu5h8/XD075wwj2Aa0s7LmNxL5xerpk+XgK1m63ulGBkYg&#10;FqvB17yP0VdFgaKXBnDivLTkbF0wEOkauqIJMBC60UU5nZ4VgwuND05IRLKuRyc/IIbHALq2VUKu&#10;ndgaaeOIGqSGSJSwVx75Kr+2baWI79oWZWS65sQ05p2K0HmT9mK1hKoL4HslDk+AxzzhAScDylLR&#10;E9QaIrBtUP9AGSWCQ9fGiXCmGIlkRYjFbPpAm/c9eJm5kNToT6Lj/4MVb3fXgamm5uV0/mJRzsqX&#10;JWcWDHX+7vOPn5++/rr9Qvvd929sntQaPFaUdGmvw+GGnhA2wxvXUA5so8tC7NtgkiBEke2z3jcn&#10;veU+MkFGKrZ4PqVWiKOvgOqY6APGV9IZlg4118omKaCC3WuMVJpCjyHJbN2V0jq3U1s21PxsvkjI&#10;QCPa0mjQ0XiiibbjDHRHsy9iyIjotGpSdsLB0G0udWA7SBOTV6JN1f4KS6XXgP0Yl13jLBkV6Xto&#10;ZWp+fj9bWwJJ4iW5Rhk3rrnJKmY7NTiXOQxjmqD795z95wOu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9vEE01QAAAAsBAAAPAAAAAAAAAAEAIAAAACIAAABkcnMvZG93bnJldi54bWxQSwECFAAU&#10;AAAACACHTuJA+W40j/QBAADIAwAADgAAAAAAAAABACAAAAAkAQAAZHJzL2Uyb0RvYy54bWxQSwUG&#10;AAAAAAYABgBZAQAAigUAAAAA&#10;">
                <v:fill on="f" focussize="0,0"/>
                <v:stroke weight="0.5pt" color="#000000 [3200]" miterlimit="8" joinstyle="miter"/>
                <v:imagedata o:title=""/>
                <o:lock v:ext="edit" aspectratio="f"/>
              </v:line>
            </w:pict>
          </mc:Fallback>
        </mc:AlternateContent>
      </w:r>
      <w:r>
        <w:t>中国质量检验协会. T/CQAP 3013-2023 临床试验数据管理质量核查要点 [S]. 北京</w:t>
      </w:r>
      <w:r>
        <w:rPr>
          <w:rFonts w:hint="eastAsia"/>
        </w:rPr>
        <w:t xml:space="preserve">: </w:t>
      </w:r>
      <w:r>
        <w:t>中国标准出版社</w:t>
      </w:r>
      <w:r>
        <w:rPr>
          <w:rFonts w:hint="eastAsia"/>
        </w:rPr>
        <w:t xml:space="preserve">, </w:t>
      </w:r>
      <w:r>
        <w:t>2023.</w:t>
      </w: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81503">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70C4F">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C6B72">
    <w:pPr>
      <w:pStyle w:val="55"/>
      <w:rPr>
        <w:rFonts w:ascii="Times New Roman"/>
        <w:sz w:val="21"/>
        <w:szCs w:val="21"/>
      </w:rPr>
    </w:pPr>
    <w:r>
      <w:rPr>
        <w:rFonts w:ascii="Times New Roman"/>
        <w:sz w:val="21"/>
        <w:szCs w:val="21"/>
      </w:rPr>
      <w:fldChar w:fldCharType="begin"/>
    </w:r>
    <w:r>
      <w:rPr>
        <w:rFonts w:ascii="Times New Roman"/>
        <w:sz w:val="21"/>
        <w:szCs w:val="21"/>
      </w:rPr>
      <w:instrText xml:space="preserve">PAGE   \* MERGEFORMAT</w:instrText>
    </w:r>
    <w:r>
      <w:rPr>
        <w:rFonts w:ascii="Times New Roman"/>
        <w:sz w:val="21"/>
        <w:szCs w:val="21"/>
      </w:rPr>
      <w:fldChar w:fldCharType="separate"/>
    </w:r>
    <w:r>
      <w:rPr>
        <w:rFonts w:ascii="Times New Roman"/>
        <w:sz w:val="21"/>
        <w:szCs w:val="21"/>
        <w:lang w:val="zh-CN"/>
      </w:rPr>
      <w:t>1</w:t>
    </w:r>
    <w:r>
      <w:rPr>
        <w:rFonts w:ascii="Times New Roman"/>
        <w:sz w:val="21"/>
        <w:szCs w:val="2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DA52E">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290EA">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89A8D">
    <w:pPr>
      <w:pStyle w:val="64"/>
      <w:rPr>
        <w:rFonts w:hint="eastAsia"/>
      </w:rPr>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54480">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2AA1B20"/>
    <w:multiLevelType w:val="multilevel"/>
    <w:tmpl w:val="22AA1B20"/>
    <w:lvl w:ilvl="0" w:tentative="0">
      <w:start w:val="1"/>
      <w:numFmt w:val="decimal"/>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1">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default" w:ascii="Times New Roman" w:hAnsi="Times New Roman" w:eastAsia="黑体" w:cs="Times New Roman"/>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9"/>
      <w:suff w:val="nothing"/>
      <w:lvlText w:val="附录%1"/>
      <w:lvlJc w:val="left"/>
      <w:pPr>
        <w:ind w:left="0" w:firstLine="0"/>
      </w:pPr>
      <w:rPr>
        <w:rFonts w:hint="default" w:ascii="Times New Roman" w:hAnsi="Times New Roman" w:cs="Times New Roman"/>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9"/>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A69"/>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17B"/>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168"/>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66FC"/>
    <w:rsid w:val="000A7311"/>
    <w:rsid w:val="000B060F"/>
    <w:rsid w:val="000B1592"/>
    <w:rsid w:val="000B1FF2"/>
    <w:rsid w:val="000B3CDA"/>
    <w:rsid w:val="000B6A0B"/>
    <w:rsid w:val="000C053E"/>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0F736B"/>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55E"/>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058E"/>
    <w:rsid w:val="001A08DF"/>
    <w:rsid w:val="001A1A53"/>
    <w:rsid w:val="001A234A"/>
    <w:rsid w:val="001A4CF3"/>
    <w:rsid w:val="001A6696"/>
    <w:rsid w:val="001B06E8"/>
    <w:rsid w:val="001B71D0"/>
    <w:rsid w:val="001B71EE"/>
    <w:rsid w:val="001C04A8"/>
    <w:rsid w:val="001C2C03"/>
    <w:rsid w:val="001C41FF"/>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2EFE"/>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1EAA"/>
    <w:rsid w:val="00302F5F"/>
    <w:rsid w:val="0030441D"/>
    <w:rsid w:val="00306063"/>
    <w:rsid w:val="00313B85"/>
    <w:rsid w:val="00317988"/>
    <w:rsid w:val="003221B4"/>
    <w:rsid w:val="0032258D"/>
    <w:rsid w:val="00322E62"/>
    <w:rsid w:val="00324D13"/>
    <w:rsid w:val="00324EDD"/>
    <w:rsid w:val="003267DB"/>
    <w:rsid w:val="003331E4"/>
    <w:rsid w:val="00336C64"/>
    <w:rsid w:val="00337162"/>
    <w:rsid w:val="0034194F"/>
    <w:rsid w:val="00344605"/>
    <w:rsid w:val="003474AA"/>
    <w:rsid w:val="00350D1D"/>
    <w:rsid w:val="00352C83"/>
    <w:rsid w:val="00352F1A"/>
    <w:rsid w:val="0036107C"/>
    <w:rsid w:val="003615D2"/>
    <w:rsid w:val="00361C30"/>
    <w:rsid w:val="003621D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362"/>
    <w:rsid w:val="00392911"/>
    <w:rsid w:val="00392AD7"/>
    <w:rsid w:val="003938D9"/>
    <w:rsid w:val="00394376"/>
    <w:rsid w:val="003943FF"/>
    <w:rsid w:val="003974EB"/>
    <w:rsid w:val="003976B3"/>
    <w:rsid w:val="00397CC5"/>
    <w:rsid w:val="003A11D1"/>
    <w:rsid w:val="003A1582"/>
    <w:rsid w:val="003A3D9C"/>
    <w:rsid w:val="003A4077"/>
    <w:rsid w:val="003A4AA7"/>
    <w:rsid w:val="003A7AFA"/>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648C"/>
    <w:rsid w:val="00407D39"/>
    <w:rsid w:val="0041477A"/>
    <w:rsid w:val="004167A3"/>
    <w:rsid w:val="00420F39"/>
    <w:rsid w:val="00432DAA"/>
    <w:rsid w:val="00434305"/>
    <w:rsid w:val="00435108"/>
    <w:rsid w:val="00435DF7"/>
    <w:rsid w:val="0043741A"/>
    <w:rsid w:val="0044083F"/>
    <w:rsid w:val="00441AE7"/>
    <w:rsid w:val="00445574"/>
    <w:rsid w:val="004467FB"/>
    <w:rsid w:val="00452D6B"/>
    <w:rsid w:val="00454484"/>
    <w:rsid w:val="0045517B"/>
    <w:rsid w:val="00455180"/>
    <w:rsid w:val="00463B77"/>
    <w:rsid w:val="00463C7B"/>
    <w:rsid w:val="004644A6"/>
    <w:rsid w:val="004659BD"/>
    <w:rsid w:val="00470775"/>
    <w:rsid w:val="004737E0"/>
    <w:rsid w:val="004746B1"/>
    <w:rsid w:val="0047583F"/>
    <w:rsid w:val="00475DE8"/>
    <w:rsid w:val="00481C44"/>
    <w:rsid w:val="00484503"/>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74DA"/>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1FE9"/>
    <w:rsid w:val="004E30C5"/>
    <w:rsid w:val="004E4AA5"/>
    <w:rsid w:val="004E4AEE"/>
    <w:rsid w:val="004E59E3"/>
    <w:rsid w:val="004E67C0"/>
    <w:rsid w:val="004F391A"/>
    <w:rsid w:val="004F3CFB"/>
    <w:rsid w:val="004F6456"/>
    <w:rsid w:val="004F696E"/>
    <w:rsid w:val="004F6C71"/>
    <w:rsid w:val="00501139"/>
    <w:rsid w:val="005024D5"/>
    <w:rsid w:val="0050363E"/>
    <w:rsid w:val="005039BC"/>
    <w:rsid w:val="005043BB"/>
    <w:rsid w:val="00504A3D"/>
    <w:rsid w:val="00505767"/>
    <w:rsid w:val="005073F0"/>
    <w:rsid w:val="0050788A"/>
    <w:rsid w:val="00510A7B"/>
    <w:rsid w:val="00512F6E"/>
    <w:rsid w:val="00513038"/>
    <w:rsid w:val="00514174"/>
    <w:rsid w:val="00516088"/>
    <w:rsid w:val="00516B0B"/>
    <w:rsid w:val="005220EC"/>
    <w:rsid w:val="00523ECF"/>
    <w:rsid w:val="00523F95"/>
    <w:rsid w:val="00524D65"/>
    <w:rsid w:val="00525B16"/>
    <w:rsid w:val="00533D04"/>
    <w:rsid w:val="0053478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57D55"/>
    <w:rsid w:val="00561475"/>
    <w:rsid w:val="00562308"/>
    <w:rsid w:val="0056487B"/>
    <w:rsid w:val="00564FB9"/>
    <w:rsid w:val="00573D9E"/>
    <w:rsid w:val="005801E3"/>
    <w:rsid w:val="00580FC2"/>
    <w:rsid w:val="00581802"/>
    <w:rsid w:val="005836A8"/>
    <w:rsid w:val="0058409C"/>
    <w:rsid w:val="00584262"/>
    <w:rsid w:val="00585995"/>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5C30"/>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477F"/>
    <w:rsid w:val="006850CD"/>
    <w:rsid w:val="00685AAB"/>
    <w:rsid w:val="00693962"/>
    <w:rsid w:val="00693E25"/>
    <w:rsid w:val="006A07AA"/>
    <w:rsid w:val="006A25E5"/>
    <w:rsid w:val="006A2B46"/>
    <w:rsid w:val="006A336D"/>
    <w:rsid w:val="006A37B9"/>
    <w:rsid w:val="006A3D27"/>
    <w:rsid w:val="006A7DFC"/>
    <w:rsid w:val="006B2672"/>
    <w:rsid w:val="006B54BF"/>
    <w:rsid w:val="006B5F44"/>
    <w:rsid w:val="006B5F90"/>
    <w:rsid w:val="006B62E4"/>
    <w:rsid w:val="006C1BBA"/>
    <w:rsid w:val="006C2079"/>
    <w:rsid w:val="006C5A62"/>
    <w:rsid w:val="006C5D68"/>
    <w:rsid w:val="006C6976"/>
    <w:rsid w:val="006C6DD0"/>
    <w:rsid w:val="006D04EA"/>
    <w:rsid w:val="006D15B7"/>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15345"/>
    <w:rsid w:val="00722FBF"/>
    <w:rsid w:val="00722FC2"/>
    <w:rsid w:val="00724E1B"/>
    <w:rsid w:val="00725949"/>
    <w:rsid w:val="00727FA2"/>
    <w:rsid w:val="007322D9"/>
    <w:rsid w:val="00732BC0"/>
    <w:rsid w:val="0073720F"/>
    <w:rsid w:val="007374F4"/>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36A6"/>
    <w:rsid w:val="007C4593"/>
    <w:rsid w:val="007C5309"/>
    <w:rsid w:val="007C6069"/>
    <w:rsid w:val="007C6AC7"/>
    <w:rsid w:val="007D06C4"/>
    <w:rsid w:val="007D1352"/>
    <w:rsid w:val="007D2508"/>
    <w:rsid w:val="007D346A"/>
    <w:rsid w:val="007D6518"/>
    <w:rsid w:val="007D76BD"/>
    <w:rsid w:val="007E0BF1"/>
    <w:rsid w:val="007F0ED8"/>
    <w:rsid w:val="007F0F63"/>
    <w:rsid w:val="007F42B0"/>
    <w:rsid w:val="007F75CE"/>
    <w:rsid w:val="008013A4"/>
    <w:rsid w:val="008027CE"/>
    <w:rsid w:val="00802F42"/>
    <w:rsid w:val="00804383"/>
    <w:rsid w:val="00804BB7"/>
    <w:rsid w:val="00804D41"/>
    <w:rsid w:val="00806C2E"/>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3E72"/>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77127"/>
    <w:rsid w:val="008779CB"/>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397A"/>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3EDA"/>
    <w:rsid w:val="009378DD"/>
    <w:rsid w:val="009429D5"/>
    <w:rsid w:val="00942BF1"/>
    <w:rsid w:val="00945180"/>
    <w:rsid w:val="00945428"/>
    <w:rsid w:val="0094607B"/>
    <w:rsid w:val="00953604"/>
    <w:rsid w:val="0095496B"/>
    <w:rsid w:val="0095609D"/>
    <w:rsid w:val="00960F1E"/>
    <w:rsid w:val="009610DC"/>
    <w:rsid w:val="00961490"/>
    <w:rsid w:val="00961C3D"/>
    <w:rsid w:val="0096381A"/>
    <w:rsid w:val="00965E04"/>
    <w:rsid w:val="009674AD"/>
    <w:rsid w:val="00970CDC"/>
    <w:rsid w:val="009755CD"/>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3D33"/>
    <w:rsid w:val="009E4A58"/>
    <w:rsid w:val="009E5A2D"/>
    <w:rsid w:val="009E5AB2"/>
    <w:rsid w:val="009E60C7"/>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6893"/>
    <w:rsid w:val="00A8715E"/>
    <w:rsid w:val="00A9295B"/>
    <w:rsid w:val="00A93B09"/>
    <w:rsid w:val="00A952D7"/>
    <w:rsid w:val="00A963F7"/>
    <w:rsid w:val="00A96AD8"/>
    <w:rsid w:val="00AA02D4"/>
    <w:rsid w:val="00AA052C"/>
    <w:rsid w:val="00AA1E45"/>
    <w:rsid w:val="00AA4286"/>
    <w:rsid w:val="00AA456B"/>
    <w:rsid w:val="00AA57F5"/>
    <w:rsid w:val="00AA672E"/>
    <w:rsid w:val="00AA6EC9"/>
    <w:rsid w:val="00AB6309"/>
    <w:rsid w:val="00AB6C5F"/>
    <w:rsid w:val="00AB7129"/>
    <w:rsid w:val="00AB7AB2"/>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2093"/>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36D8"/>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0A56"/>
    <w:rsid w:val="00BC1A4E"/>
    <w:rsid w:val="00BC5DC7"/>
    <w:rsid w:val="00BC6B8B"/>
    <w:rsid w:val="00BC73D8"/>
    <w:rsid w:val="00BC7616"/>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A69"/>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2E27"/>
    <w:rsid w:val="00D4514F"/>
    <w:rsid w:val="00D451E2"/>
    <w:rsid w:val="00D45E89"/>
    <w:rsid w:val="00D45E8D"/>
    <w:rsid w:val="00D466AE"/>
    <w:rsid w:val="00D4734F"/>
    <w:rsid w:val="00D51BF3"/>
    <w:rsid w:val="00D56113"/>
    <w:rsid w:val="00D655E8"/>
    <w:rsid w:val="00D66846"/>
    <w:rsid w:val="00D675FB"/>
    <w:rsid w:val="00D71F25"/>
    <w:rsid w:val="00D72A9C"/>
    <w:rsid w:val="00D75F90"/>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DF5062"/>
    <w:rsid w:val="00E01138"/>
    <w:rsid w:val="00E02DFB"/>
    <w:rsid w:val="00E030F9"/>
    <w:rsid w:val="00E0311A"/>
    <w:rsid w:val="00E03138"/>
    <w:rsid w:val="00E044BD"/>
    <w:rsid w:val="00E06404"/>
    <w:rsid w:val="00E101C5"/>
    <w:rsid w:val="00E11A85"/>
    <w:rsid w:val="00E12495"/>
    <w:rsid w:val="00E14D68"/>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765"/>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5ECA"/>
    <w:rsid w:val="00E969D5"/>
    <w:rsid w:val="00EA0557"/>
    <w:rsid w:val="00EA58D1"/>
    <w:rsid w:val="00EA6048"/>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0095"/>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74E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21D105C"/>
    <w:rsid w:val="06F15D6E"/>
    <w:rsid w:val="08C66D04"/>
    <w:rsid w:val="0AC83C24"/>
    <w:rsid w:val="0D497137"/>
    <w:rsid w:val="1389746C"/>
    <w:rsid w:val="142F254E"/>
    <w:rsid w:val="157C5742"/>
    <w:rsid w:val="192F2723"/>
    <w:rsid w:val="1DFD4A65"/>
    <w:rsid w:val="20BE47F2"/>
    <w:rsid w:val="27026A05"/>
    <w:rsid w:val="2A2646F7"/>
    <w:rsid w:val="2A8B7E3A"/>
    <w:rsid w:val="2AA61DA8"/>
    <w:rsid w:val="2BE02720"/>
    <w:rsid w:val="2D0A1C4E"/>
    <w:rsid w:val="2F633120"/>
    <w:rsid w:val="33E876E4"/>
    <w:rsid w:val="34B4239D"/>
    <w:rsid w:val="3B6A4B0A"/>
    <w:rsid w:val="3E0668B8"/>
    <w:rsid w:val="3F0062A9"/>
    <w:rsid w:val="41A358A6"/>
    <w:rsid w:val="453C6199"/>
    <w:rsid w:val="454E1C10"/>
    <w:rsid w:val="46961258"/>
    <w:rsid w:val="476F5488"/>
    <w:rsid w:val="47F1510A"/>
    <w:rsid w:val="4A791DB1"/>
    <w:rsid w:val="4F0B04A7"/>
    <w:rsid w:val="4F4526C4"/>
    <w:rsid w:val="534C31EC"/>
    <w:rsid w:val="5409288A"/>
    <w:rsid w:val="54F56865"/>
    <w:rsid w:val="567D2EB7"/>
    <w:rsid w:val="581004B1"/>
    <w:rsid w:val="59085D97"/>
    <w:rsid w:val="5D06591F"/>
    <w:rsid w:val="5EBD5B0D"/>
    <w:rsid w:val="5FC42D25"/>
    <w:rsid w:val="63A60714"/>
    <w:rsid w:val="651111ED"/>
    <w:rsid w:val="66797786"/>
    <w:rsid w:val="67637236"/>
    <w:rsid w:val="6AFC16DA"/>
    <w:rsid w:val="71B0505E"/>
    <w:rsid w:val="77974495"/>
    <w:rsid w:val="7AF2325B"/>
    <w:rsid w:val="7FDF72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5"/>
    <w:semiHidden/>
    <w:unhideWhenUsed/>
    <w:qFormat/>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pPr>
      <w:tabs>
        <w:tab w:val="right" w:leader="dot" w:pos="9344"/>
      </w:tabs>
      <w:spacing w:line="240" w:lineRule="auto"/>
      <w:pPrChange w:id="0" w:author="腾 王" w:date="2026-05-01T09:13:00Z">
        <w:pPr>
          <w:widowControl w:val="0"/>
          <w:adjustRightInd w:val="0"/>
          <w:spacing w:line="400" w:lineRule="exact"/>
          <w:jc w:val="both"/>
        </w:pPr>
      </w:pPrChange>
    </w:pPr>
    <w:rPr>
      <w:rFonts w:ascii="Times New Roman"/>
      <w:kern w:val="0"/>
      <w:rPrChange w:id="2" w:author="腾 王" w:date="2026-05-01T09:13:00Z">
        <w:rPr>
          <w:rFonts w:ascii="宋体" w:hAnsi="Calibri" w:eastAsia="宋体"/>
          <w:kern w:val="2"/>
          <w:sz w:val="21"/>
          <w:szCs w:val="21"/>
          <w:lang w:val="en-US" w:eastAsia="zh-CN" w:bidi="ar-SA"/>
        </w:rPr>
      </w:rPrChange>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6"/>
    <w:semiHidden/>
    <w:unhideWhenUsed/>
    <w:qFormat/>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qFormat/>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qFormat/>
    <w:uiPriority w:val="0"/>
    <w:pPr>
      <w:outlineLvl w:val="5"/>
    </w:pPr>
  </w:style>
  <w:style w:type="paragraph" w:customStyle="1" w:styleId="134">
    <w:name w:val="附录图"/>
    <w:next w:val="59"/>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qFormat/>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qFormat/>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qFormat/>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frame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宋体"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paragraph" w:customStyle="1" w:styleId="233">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34">
    <w:name w:val="Revision"/>
    <w:hidden/>
    <w:unhideWhenUsed/>
    <w:qFormat/>
    <w:uiPriority w:val="99"/>
    <w:rPr>
      <w:rFonts w:ascii="Calibri" w:hAnsi="Calibri" w:eastAsia="宋体" w:cs="Times New Roman"/>
      <w:kern w:val="2"/>
      <w:sz w:val="21"/>
      <w:szCs w:val="21"/>
      <w:lang w:val="en-US" w:eastAsia="zh-CN" w:bidi="ar-SA"/>
    </w:rPr>
  </w:style>
  <w:style w:type="character" w:customStyle="1" w:styleId="235">
    <w:name w:val="批注文字 字符"/>
    <w:basedOn w:val="30"/>
    <w:link w:val="13"/>
    <w:semiHidden/>
    <w:qFormat/>
    <w:uiPriority w:val="99"/>
    <w:rPr>
      <w:rFonts w:ascii="Calibri" w:hAnsi="Calibri"/>
      <w:kern w:val="2"/>
      <w:sz w:val="21"/>
      <w:szCs w:val="21"/>
    </w:rPr>
  </w:style>
  <w:style w:type="character" w:customStyle="1" w:styleId="236">
    <w:name w:val="批注主题 字符"/>
    <w:basedOn w:val="235"/>
    <w:link w:val="27"/>
    <w:semiHidden/>
    <w:qFormat/>
    <w:uiPriority w:val="99"/>
    <w:rPr>
      <w:rFonts w:ascii="Calibri" w:hAnsi="Calibri"/>
      <w:b/>
      <w:bCs/>
      <w:kern w:val="2"/>
      <w:sz w:val="21"/>
      <w:szCs w:val="21"/>
    </w:rPr>
  </w:style>
  <w:style w:type="paragraph" w:customStyle="1" w:styleId="237">
    <w:name w:val="TOC Heading"/>
    <w:basedOn w:val="2"/>
    <w:next w:val="1"/>
    <w:unhideWhenUsed/>
    <w:qFormat/>
    <w:uiPriority w:val="39"/>
    <w:pPr>
      <w:widowControl/>
      <w:adjustRightInd/>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AE236D5A80F46079847E4878748BD93"/>
        <w:style w:val=""/>
        <w:category>
          <w:name w:val="常规"/>
          <w:gallery w:val="placeholder"/>
        </w:category>
        <w:types>
          <w:type w:val="bbPlcHdr"/>
        </w:types>
        <w:behaviors>
          <w:behavior w:val="content"/>
        </w:behaviors>
        <w:description w:val=""/>
        <w:guid w:val="{F0214896-369F-45A7-8AFA-3EA050F5766C}"/>
      </w:docPartPr>
      <w:docPartBody>
        <w:p w14:paraId="136FB8B4">
          <w:pPr>
            <w:pStyle w:val="5"/>
            <w:rPr>
              <w:rFonts w:hint="eastAsia"/>
            </w:rPr>
          </w:pPr>
          <w:r>
            <w:rPr>
              <w:rStyle w:val="4"/>
              <w:rFonts w:hint="eastAsia"/>
            </w:rPr>
            <w:t>单击或点击此处输入文字。</w:t>
          </w:r>
        </w:p>
      </w:docPartBody>
    </w:docPart>
    <w:docPart>
      <w:docPartPr>
        <w:name w:val="C727D9BE256B40FF80D982E87BBDDFB3"/>
        <w:style w:val=""/>
        <w:category>
          <w:name w:val="常规"/>
          <w:gallery w:val="placeholder"/>
        </w:category>
        <w:types>
          <w:type w:val="bbPlcHdr"/>
        </w:types>
        <w:behaviors>
          <w:behavior w:val="content"/>
        </w:behaviors>
        <w:description w:val=""/>
        <w:guid w:val="{318FD434-7939-4306-9C6F-0C414C302984}"/>
      </w:docPartPr>
      <w:docPartBody>
        <w:p w14:paraId="632BDEF7">
          <w:pPr>
            <w:pStyle w:val="6"/>
            <w:rPr>
              <w:rFonts w:hint="eastAsia"/>
            </w:rPr>
          </w:pPr>
          <w:r>
            <w:rPr>
              <w:rStyle w:val="4"/>
              <w:rFonts w:hint="eastAsia"/>
            </w:rPr>
            <w:t>选择一项。</w:t>
          </w:r>
        </w:p>
      </w:docPartBody>
    </w:docPart>
    <w:docPart>
      <w:docPartPr>
        <w:name w:val="F522C4A9F44240E8AE3754EB3C9EFB45"/>
        <w:style w:val=""/>
        <w:category>
          <w:name w:val="常规"/>
          <w:gallery w:val="placeholder"/>
        </w:category>
        <w:types>
          <w:type w:val="bbPlcHdr"/>
        </w:types>
        <w:behaviors>
          <w:behavior w:val="content"/>
        </w:behaviors>
        <w:description w:val=""/>
        <w:guid w:val="{A59EC00A-30B1-4462-A849-6F26E3B4F8E7}"/>
      </w:docPartPr>
      <w:docPartBody>
        <w:p w14:paraId="3B61D3DA">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09C"/>
    <w:rsid w:val="00301EAA"/>
    <w:rsid w:val="00396A54"/>
    <w:rsid w:val="00494F42"/>
    <w:rsid w:val="0072789A"/>
    <w:rsid w:val="00750585"/>
    <w:rsid w:val="00974CC3"/>
    <w:rsid w:val="009E60C7"/>
    <w:rsid w:val="00B0409C"/>
    <w:rsid w:val="00B736D8"/>
    <w:rsid w:val="00D63B71"/>
    <w:rsid w:val="00E044BD"/>
    <w:rsid w:val="00F400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0AE236D5A80F46079847E4878748BD9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C727D9BE256B40FF80D982E87BBDDFB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F522C4A9F44240E8AE3754EB3C9EFB4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14</Pages>
  <Words>4444</Words>
  <Characters>5452</Characters>
  <Lines>89</Lines>
  <Paragraphs>25</Paragraphs>
  <TotalTime>2</TotalTime>
  <ScaleCrop>false</ScaleCrop>
  <LinksUpToDate>false</LinksUpToDate>
  <CharactersWithSpaces>5720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2026-03-27T08:58:00Z</dcterms:created>
  <dc:creator>王文龙</dc:creator>
  <cp:lastModifiedBy>J</cp:lastModifiedBy>
  <cp:lastPrinted>2021-02-02T08:22:00Z</cp:lastPrinted>
  <dcterms:modified xsi:type="dcterms:W3CDTF">2026-05-09T09:12:47Z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9EF1C4682BA24155A76C35FA667F8A3D_13</vt:lpwstr>
  </property>
</Properties>
</file>