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D7969C">
      <w:pPr>
        <w:pStyle w:val="53"/>
        <w:framePr w:w="8178" w:h="856" w:hRule="exact" w:wrap="around" w:hAnchor="page" w:x="1926" w:y="2335"/>
        <w:rPr>
          <w:rFonts w:hint="eastAsia" w:ascii="黑体" w:hAnsi="黑体" w:eastAsia="黑体"/>
          <w:b w:val="0"/>
          <w:sz w:val="56"/>
          <w:szCs w:val="52"/>
        </w:rPr>
      </w:pPr>
      <w:r>
        <w:rPr>
          <w:rFonts w:hint="eastAsia" w:ascii="黑体" w:hAnsi="黑体" w:eastAsia="黑体"/>
          <w:b w:val="0"/>
          <w:sz w:val="56"/>
          <w:szCs w:val="52"/>
        </w:rPr>
        <w:t>团体标准</w:t>
      </w:r>
    </w:p>
    <w:p w14:paraId="1B1798DC">
      <w:pPr>
        <w:pStyle w:val="159"/>
        <w:framePr w:wrap="around" w:vAnchor="page" w:hAnchor="page" w:x="1821" w:y="739"/>
        <w:rPr>
          <w:b/>
          <w:bCs/>
        </w:rPr>
      </w:pPr>
      <w:r>
        <w:rPr>
          <w:b/>
          <w:bCs/>
        </w:rPr>
        <w:t>ICS</w:t>
      </w:r>
      <w:r>
        <w:rPr>
          <w:rFonts w:hint="eastAsia"/>
          <w:b/>
          <w:bCs/>
        </w:rPr>
        <w:t xml:space="preserve"> 11</w:t>
      </w:r>
      <w:r>
        <w:rPr>
          <w:b/>
          <w:bCs/>
        </w:rPr>
        <w:t>.0</w:t>
      </w:r>
      <w:r>
        <w:rPr>
          <w:rFonts w:hint="eastAsia"/>
          <w:b/>
          <w:bCs/>
        </w:rPr>
        <w:t>2</w:t>
      </w:r>
      <w:r>
        <w:rPr>
          <w:b/>
          <w:bCs/>
        </w:rPr>
        <w:t>0</w:t>
      </w:r>
    </w:p>
    <w:p w14:paraId="734FE38B">
      <w:pPr>
        <w:pStyle w:val="159"/>
        <w:framePr w:wrap="around" w:vAnchor="page" w:hAnchor="page" w:x="1821" w:y="739"/>
        <w:rPr>
          <w:b/>
          <w:bCs/>
        </w:rPr>
      </w:pPr>
      <w:r>
        <w:rPr>
          <w:rFonts w:hint="eastAsia"/>
          <w:b/>
          <w:bCs/>
        </w:rPr>
        <w:t>CCS C 05</w:t>
      </w:r>
    </w:p>
    <w:tbl>
      <w:tblPr>
        <w:tblStyle w:val="28"/>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178AAF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79539BBE">
            <w:pPr>
              <w:pStyle w:val="234"/>
              <w:framePr w:wrap="around" w:x="1382" w:y="3031"/>
              <w:rPr>
                <w:lang w:val="fr-FR"/>
              </w:rPr>
            </w:pPr>
            <w:bookmarkStart w:id="0" w:name="OLE_LINK7"/>
            <w:r>
              <w:rPr>
                <w:rFonts w:hint="eastAsia" w:ascii="Times New Roman"/>
                <w:b/>
                <w:bCs/>
                <w:lang w:val="fr-FR"/>
              </w:rPr>
              <w:t>T</w:t>
            </w:r>
            <w:r>
              <w:rPr>
                <w:rFonts w:ascii="Times New Roman"/>
                <w:b/>
                <w:bCs/>
                <w:lang w:val="fr-FR"/>
              </w:rPr>
              <w:t>/</w:t>
            </w:r>
            <w:r>
              <w:rPr>
                <w:rFonts w:hint="eastAsia" w:ascii="Times New Roman"/>
                <w:b/>
                <w:bCs/>
                <w:lang w:val="fr-FR"/>
              </w:rPr>
              <w:t>C</w:t>
            </w:r>
            <w:bookmarkStart w:id="1" w:name="StdNo1"/>
            <w:r>
              <w:rPr>
                <w:rFonts w:hint="eastAsia" w:ascii="Times New Roman"/>
                <w:b/>
                <w:bCs/>
                <w:lang w:val="fr-FR"/>
              </w:rPr>
              <w:t>RHA</w:t>
            </w:r>
            <w:bookmarkEnd w:id="1"/>
            <w:r>
              <w:rPr>
                <w:rFonts w:hint="eastAsia" w:ascii="Times New Roman"/>
                <w:lang w:val="fr-FR"/>
              </w:rPr>
              <w:t xml:space="preserve"> </w:t>
            </w:r>
            <w:r>
              <w:rPr>
                <w:rFonts w:hint="eastAsia"/>
                <w:lang w:val="fr-FR"/>
              </w:rPr>
              <w:t>XXX-202X</w:t>
            </w:r>
          </w:p>
        </w:tc>
      </w:tr>
    </w:tbl>
    <w:p w14:paraId="3E7E7571">
      <w:pPr>
        <w:pStyle w:val="234"/>
        <w:framePr w:wrap="around" w:x="1382" w:y="3031"/>
        <w:jc w:val="center"/>
      </w:pPr>
      <w:r>
        <w:rPr>
          <w:rFonts w:hint="eastAsia"/>
        </w:rPr>
        <w:t>————————————————————————————————————————</w:t>
      </w:r>
    </w:p>
    <w:p w14:paraId="146C3E21">
      <w:pPr>
        <w:pStyle w:val="234"/>
        <w:framePr w:wrap="around" w:x="1382" w:y="3031"/>
      </w:pPr>
    </w:p>
    <w:bookmarkEnd w:id="0"/>
    <w:p w14:paraId="649DA752">
      <w:pPr>
        <w:spacing w:line="240" w:lineRule="auto"/>
        <w:rPr>
          <w:rFonts w:hint="eastAsia" w:ascii="黑体" w:hAnsi="黑体" w:eastAsia="黑体"/>
          <w:kern w:val="0"/>
          <w:sz w:val="10"/>
          <w:szCs w:val="10"/>
        </w:rPr>
      </w:pPr>
      <w:r>
        <w:rPr>
          <w:rFonts w:hint="eastAsia"/>
        </w:rPr>
        <w:drawing>
          <wp:anchor distT="0" distB="0" distL="114300" distR="114300" simplePos="0" relativeHeight="251659264" behindDoc="0" locked="0" layoutInCell="1" allowOverlap="1">
            <wp:simplePos x="0" y="0"/>
            <wp:positionH relativeFrom="column">
              <wp:posOffset>4890135</wp:posOffset>
            </wp:positionH>
            <wp:positionV relativeFrom="page">
              <wp:posOffset>232410</wp:posOffset>
            </wp:positionV>
            <wp:extent cx="1076325" cy="1040130"/>
            <wp:effectExtent l="0" t="0" r="9525" b="7620"/>
            <wp:wrapTopAndBottom/>
            <wp:docPr id="1454776490" name="图片 1454776490"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776490" name="图片 1454776490" descr="a06827f94baeb281ac1150c54aaec17"/>
                    <pic:cNvPicPr>
                      <a:picLocks noChangeAspect="1"/>
                    </pic:cNvPicPr>
                  </pic:nvPicPr>
                  <pic:blipFill>
                    <a:blip r:embed="rId13"/>
                    <a:stretch>
                      <a:fillRect/>
                    </a:stretch>
                  </pic:blipFill>
                  <pic:spPr>
                    <a:xfrm>
                      <a:off x="0" y="0"/>
                      <a:ext cx="1076325" cy="1040130"/>
                    </a:xfrm>
                    <a:prstGeom prst="rect">
                      <a:avLst/>
                    </a:prstGeom>
                  </pic:spPr>
                </pic:pic>
              </a:graphicData>
            </a:graphic>
          </wp:anchor>
        </w:drawing>
      </w:r>
    </w:p>
    <w:p w14:paraId="0F28DF6A">
      <w:pPr>
        <w:pStyle w:val="53"/>
        <w:framePr w:w="9639" w:h="6976" w:hRule="exact" w:hSpace="0" w:vSpace="0" w:wrap="around" w:hAnchor="page" w:y="6408"/>
        <w:jc w:val="center"/>
        <w:rPr>
          <w:rFonts w:hint="eastAsia" w:ascii="黑体" w:hAnsi="黑体" w:eastAsia="黑体"/>
          <w:b w:val="0"/>
          <w:bCs w:val="0"/>
          <w:w w:val="100"/>
        </w:rPr>
      </w:pPr>
    </w:p>
    <w:p w14:paraId="2E0FAB31">
      <w:pPr>
        <w:pStyle w:val="200"/>
        <w:framePr w:h="6974" w:hRule="exact" w:wrap="around" w:x="1419" w:anchorLock="1"/>
        <w:spacing w:after="400" w:line="240" w:lineRule="auto"/>
        <w:rPr>
          <w:rFonts w:hint="default" w:ascii="Times New Roman" w:hAnsi="Times New Roman"/>
        </w:rPr>
      </w:pPr>
      <w:r>
        <w:rPr>
          <w:rFonts w:ascii="Times New Roman" w:hAnsi="Times New Roman"/>
        </w:rPr>
        <w:fldChar w:fldCharType="begin">
          <w:ffData>
            <w:name w:val="CSTD_NAME"/>
            <w:enabled/>
            <w:calcOnExit w:val="0"/>
            <w:textInput>
              <w:default w:val="点击此处添加标准名称"/>
            </w:textInput>
          </w:ffData>
        </w:fldChar>
      </w:r>
      <w:bookmarkStart w:id="2" w:name="CSTD_NAME"/>
      <w:r>
        <w:rPr>
          <w:rFonts w:ascii="Times New Roman" w:hAnsi="Times New Roman"/>
        </w:rPr>
        <w:instrText xml:space="preserve"> FORMTEXT </w:instrText>
      </w:r>
      <w:r>
        <w:rPr>
          <w:rFonts w:ascii="Times New Roman" w:hAnsi="Times New Roman"/>
        </w:rPr>
        <w:fldChar w:fldCharType="separate"/>
      </w:r>
      <w:r>
        <w:rPr>
          <w:rFonts w:hint="default" w:ascii="Times New Roman" w:hAnsi="Times New Roman"/>
        </w:rPr>
        <w:t>临床研究病房智慧管理平台建设规范</w:t>
      </w:r>
    </w:p>
    <w:p w14:paraId="2A274DCB">
      <w:pPr>
        <w:pStyle w:val="200"/>
        <w:framePr w:h="6974" w:hRule="exact" w:wrap="around" w:x="1419" w:anchorLock="1"/>
        <w:spacing w:after="400" w:line="240" w:lineRule="auto"/>
        <w:rPr>
          <w:rFonts w:hint="default" w:ascii="Times New Roman" w:hAnsi="Times New Roman"/>
        </w:rPr>
      </w:pPr>
      <w:r>
        <w:rPr>
          <w:rFonts w:hint="default" w:ascii="Times New Roman" w:hAnsi="Times New Roman"/>
        </w:rPr>
        <w:t>第7部分：培训实施</w:t>
      </w:r>
      <w:r>
        <w:rPr>
          <w:rFonts w:ascii="Times New Roman" w:hAnsi="Times New Roman"/>
        </w:rPr>
        <w:fldChar w:fldCharType="end"/>
      </w:r>
      <w:bookmarkEnd w:id="2"/>
    </w:p>
    <w:p w14:paraId="40E03A2A">
      <w:pPr>
        <w:framePr w:w="9639" w:h="6974" w:hRule="exact" w:wrap="around" w:vAnchor="page" w:hAnchor="page" w:x="1419" w:y="6408" w:anchorLock="1"/>
        <w:spacing w:after="400" w:line="240" w:lineRule="auto"/>
        <w:ind w:left="-1418"/>
      </w:pPr>
    </w:p>
    <w:p w14:paraId="752439CB">
      <w:pPr>
        <w:pStyle w:val="128"/>
        <w:framePr w:w="9639" w:h="6974" w:hRule="exact" w:wrap="around" w:vAnchor="page" w:hAnchor="page" w:x="1419" w:y="6408" w:anchorLock="1"/>
        <w:spacing w:after="400" w:line="240" w:lineRule="auto"/>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3" w:name="ESTD_NAME"/>
      <w:r>
        <w:rPr>
          <w:rFonts w:eastAsia="黑体"/>
          <w:szCs w:val="28"/>
        </w:rPr>
        <w:instrText xml:space="preserve"> FORMTEXT </w:instrText>
      </w:r>
      <w:r>
        <w:rPr>
          <w:rFonts w:eastAsia="黑体"/>
          <w:szCs w:val="28"/>
        </w:rPr>
        <w:fldChar w:fldCharType="separate"/>
      </w:r>
      <w:r>
        <w:rPr>
          <w:rFonts w:hint="eastAsia" w:eastAsia="黑体"/>
          <w:szCs w:val="28"/>
        </w:rPr>
        <w:t>Specification for the construction of smart management platform for clinical research wards</w:t>
      </w:r>
    </w:p>
    <w:p w14:paraId="09CA071A">
      <w:pPr>
        <w:pStyle w:val="128"/>
        <w:framePr w:w="9639" w:h="6974" w:hRule="exact" w:wrap="around" w:vAnchor="page" w:hAnchor="page" w:x="1419" w:y="6408" w:anchorLock="1"/>
        <w:spacing w:after="400" w:line="240" w:lineRule="auto"/>
        <w:textAlignment w:val="bottom"/>
        <w:rPr>
          <w:rFonts w:eastAsia="黑体"/>
          <w:szCs w:val="28"/>
        </w:rPr>
      </w:pPr>
      <w:r>
        <w:rPr>
          <w:rFonts w:hint="eastAsia" w:eastAsia="黑体"/>
          <w:szCs w:val="28"/>
        </w:rPr>
        <w:t>Part 7: training implementation</w:t>
      </w:r>
      <w:r>
        <w:rPr>
          <w:rFonts w:eastAsia="黑体"/>
          <w:szCs w:val="28"/>
        </w:rPr>
        <w:fldChar w:fldCharType="end"/>
      </w:r>
      <w:bookmarkEnd w:id="3"/>
    </w:p>
    <w:p w14:paraId="267F28B8">
      <w:pPr>
        <w:framePr w:w="9639" w:h="6974" w:hRule="exact" w:wrap="around" w:vAnchor="page" w:hAnchor="page" w:x="1419" w:y="6408" w:anchorLock="1"/>
        <w:spacing w:after="400" w:line="240" w:lineRule="auto"/>
        <w:ind w:left="-1418"/>
      </w:pPr>
    </w:p>
    <w:p w14:paraId="7749DE20">
      <w:pPr>
        <w:pStyle w:val="128"/>
        <w:framePr w:w="9639" w:h="6974" w:hRule="exact" w:wrap="around" w:vAnchor="page" w:hAnchor="page" w:x="1419" w:y="6408" w:anchorLock="1"/>
        <w:spacing w:after="400" w:line="240" w:lineRule="auto"/>
        <w:textAlignment w:val="bottom"/>
        <w:rPr>
          <w:rFonts w:eastAsia="黑体"/>
          <w:szCs w:val="28"/>
        </w:rPr>
      </w:pPr>
      <w:r>
        <w:rPr>
          <w:rFonts w:hint="eastAsia" w:eastAsia="黑体"/>
          <w:szCs w:val="28"/>
        </w:rPr>
        <w:t>（征求意见稿）</w:t>
      </w:r>
    </w:p>
    <w:p w14:paraId="483732FC">
      <w:pPr>
        <w:pStyle w:val="196"/>
        <w:framePr w:w="9410" w:wrap="around" w:x="1507" w:y="15219"/>
        <w:jc w:val="center"/>
      </w:pPr>
      <w:bookmarkStart w:id="4" w:name="OLE_LINK8"/>
      <w:r>
        <w:rPr>
          <w:rFonts w:hint="eastAsia" w:ascii="黑体" w:hAnsi="黑体"/>
        </w:rPr>
        <w:t>202X</w:t>
      </w:r>
      <w:r>
        <w:rPr>
          <w:rFonts w:ascii="黑体" w:hAnsi="黑体"/>
        </w:rPr>
        <w:t>-</w:t>
      </w:r>
      <w:r>
        <w:rPr>
          <w:rFonts w:hint="eastAsia" w:ascii="黑体" w:hAnsi="黑体"/>
        </w:rPr>
        <w:t>XX</w:t>
      </w:r>
      <w:r>
        <w:rPr>
          <w:rFonts w:ascii="黑体" w:hAnsi="黑体"/>
        </w:rPr>
        <w:t>-</w:t>
      </w:r>
      <w:r>
        <w:rPr>
          <w:rFonts w:hint="eastAsia" w:ascii="黑体" w:hAnsi="黑体"/>
          <w:szCs w:val="22"/>
        </w:rPr>
        <w:t>XX</w:t>
      </w:r>
      <w:r>
        <w:rPr>
          <w:rFonts w:hint="eastAsia"/>
        </w:rPr>
        <w:t xml:space="preserve">发布                                      </w:t>
      </w:r>
      <w:r>
        <w:rPr>
          <w:rFonts w:hint="eastAsia" w:ascii="黑体" w:hAnsi="黑体"/>
          <w:szCs w:val="22"/>
        </w:rPr>
        <w:t>202X-XX-XX实施</w:t>
      </w:r>
    </w:p>
    <w:bookmarkEnd w:id="4"/>
    <w:p w14:paraId="54FB698D">
      <w:pPr>
        <w:pStyle w:val="122"/>
        <w:framePr w:wrap="around" w:vAnchor="page" w:hAnchor="page" w:x="2518" w:y="15755"/>
        <w:rPr>
          <w:rFonts w:ascii="黑体" w:hAnsi="黑体" w:eastAsia="黑体"/>
          <w:b w:val="0"/>
          <w:bCs/>
          <w:w w:val="100"/>
          <w:sz w:val="28"/>
          <w:szCs w:val="28"/>
        </w:rPr>
      </w:pPr>
      <w:bookmarkStart w:id="5" w:name="OLE_LINK1"/>
      <w:r>
        <w:rPr>
          <w:rFonts w:hint="eastAsia" w:ascii="黑体" w:hAnsi="黑体" w:eastAsia="黑体"/>
          <w:b w:val="0"/>
          <w:bCs/>
          <w:w w:val="100"/>
          <w:sz w:val="28"/>
          <w:szCs w:val="28"/>
        </w:rPr>
        <w:t>中国研究型医院学会 发布</w:t>
      </w:r>
    </w:p>
    <w:bookmarkEnd w:id="5"/>
    <w:p w14:paraId="49419BB4">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sz w:val="24"/>
          <w:szCs w:val="28"/>
        </w:rPr>
        <mc:AlternateContent>
          <mc:Choice Requires="wps">
            <w:drawing>
              <wp:anchor distT="0" distB="0" distL="114300" distR="114300" simplePos="0" relativeHeight="251660288" behindDoc="0" locked="0" layoutInCell="1" allowOverlap="1">
                <wp:simplePos x="0" y="0"/>
                <wp:positionH relativeFrom="column">
                  <wp:posOffset>6985</wp:posOffset>
                </wp:positionH>
                <wp:positionV relativeFrom="paragraph">
                  <wp:posOffset>8584565</wp:posOffset>
                </wp:positionV>
                <wp:extent cx="5960110" cy="0"/>
                <wp:effectExtent l="0" t="0" r="0" b="0"/>
                <wp:wrapNone/>
                <wp:docPr id="1378265623" name="直接连接符 3"/>
                <wp:cNvGraphicFramePr/>
                <a:graphic xmlns:a="http://schemas.openxmlformats.org/drawingml/2006/main">
                  <a:graphicData uri="http://schemas.microsoft.com/office/word/2010/wordprocessingShape">
                    <wps:wsp>
                      <wps:cNvCnPr/>
                      <wps:spPr bwMode="auto">
                        <a:xfrm>
                          <a:off x="0" y="0"/>
                          <a:ext cx="596005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3" o:spid="_x0000_s1026" o:spt="20" style="position:absolute;left:0pt;margin-left:0.55pt;margin-top:675.95pt;height:0pt;width:469.3pt;z-index:251660288;mso-width-relative:page;mso-height-relative:page;" filled="f" stroked="t" coordsize="21600,21600" o:gfxdata="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mwS7/1gAAAAsBAAAPAAAAAAAAAAEAIAAAACIAAABkcnMvZG93bnJldi54bWxQSwEC&#10;FAAUAAAACACHTuJA2FRnG/YBAADIAwAADgAAAAAAAAABACAAAAAlAQAAZHJzL2Uyb0RvYy54bWxQ&#10;SwUGAAAAAAYABgBZAQAAjQUAAAAA&#10;">
                <v:fill on="f" focussize="0,0"/>
                <v:stroke weight="0.5pt" color="#000000 [3200]" miterlimit="8" joinstyle="miter"/>
                <v:imagedata o:title=""/>
                <o:lock v:ext="edit" aspectratio="f"/>
              </v:line>
            </w:pict>
          </mc:Fallback>
        </mc:AlternateContent>
      </w:r>
    </w:p>
    <w:p w14:paraId="74FF2DB1">
      <w:pPr>
        <w:pStyle w:val="94"/>
        <w:spacing w:after="360"/>
        <w:rPr>
          <w:kern w:val="0"/>
        </w:rPr>
      </w:pPr>
      <w:bookmarkStart w:id="6" w:name="BookMark1"/>
      <w:bookmarkStart w:id="7" w:name="_Toc227239147"/>
      <w:bookmarkStart w:id="8" w:name="_Toc227246290"/>
      <w:r>
        <w:rPr>
          <w:rFonts w:hint="eastAsia"/>
          <w:spacing w:val="0"/>
          <w:kern w:val="0"/>
        </w:rPr>
        <w:t>目</w:t>
      </w:r>
      <w:r>
        <w:rPr>
          <w:rFonts w:hint="eastAsia"/>
          <w:kern w:val="0"/>
        </w:rPr>
        <w:t xml:space="preserve">  次</w:t>
      </w:r>
    </w:p>
    <w:p w14:paraId="7C88CF51">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 TOC \o "1-1" \h </w:instrText>
      </w:r>
      <w:r>
        <w:rPr>
          <w:rFonts w:ascii="Times New Roman" w:hAnsi="Times New Roman"/>
        </w:rPr>
        <w:fldChar w:fldCharType="separate"/>
      </w:r>
      <w:r>
        <w:rPr>
          <w:rFonts w:ascii="Times New Roman" w:hAnsi="Times New Roman"/>
        </w:rPr>
        <w:fldChar w:fldCharType="begin"/>
      </w:r>
      <w:r>
        <w:rPr>
          <w:rFonts w:ascii="Times New Roman" w:hAnsi="Times New Roman"/>
        </w:rPr>
        <w:instrText xml:space="preserve">HYPERLINK \l "_Toc227756708"</w:instrText>
      </w:r>
      <w:r>
        <w:rPr>
          <w:rFonts w:ascii="Times New Roman" w:hAnsi="Times New Roman"/>
        </w:rPr>
        <w:fldChar w:fldCharType="separate"/>
      </w:r>
      <w:r>
        <w:rPr>
          <w:rStyle w:val="34"/>
          <w:rFonts w:hint="default" w:ascii="Times New Roman"/>
        </w:rPr>
        <w:t>前言</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_Toc227756708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II</w:t>
      </w:r>
      <w:r>
        <w:rPr>
          <w:rFonts w:hint="default" w:ascii="Times New Roman" w:hAnsi="Times New Roman"/>
        </w:rPr>
        <w:fldChar w:fldCharType="end"/>
      </w:r>
      <w:r>
        <w:rPr>
          <w:rFonts w:ascii="Times New Roman" w:hAnsi="Times New Roman"/>
        </w:rPr>
        <w:fldChar w:fldCharType="end"/>
      </w:r>
    </w:p>
    <w:p w14:paraId="2786458C">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"_Toc227756709"</w:instrText>
      </w:r>
      <w:r>
        <w:rPr>
          <w:rFonts w:ascii="Times New Roman" w:hAnsi="Times New Roman"/>
        </w:rPr>
        <w:fldChar w:fldCharType="separate"/>
      </w:r>
      <w:r>
        <w:rPr>
          <w:rStyle w:val="34"/>
          <w:rFonts w:hint="default" w:ascii="Times New Roman"/>
        </w:rPr>
        <w:t>引言</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_Toc227756709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III</w:t>
      </w:r>
      <w:r>
        <w:rPr>
          <w:rFonts w:hint="default" w:ascii="Times New Roman" w:hAnsi="Times New Roman"/>
        </w:rPr>
        <w:fldChar w:fldCharType="end"/>
      </w:r>
      <w:r>
        <w:rPr>
          <w:rFonts w:ascii="Times New Roman" w:hAnsi="Times New Roman"/>
        </w:rPr>
        <w:fldChar w:fldCharType="end"/>
      </w:r>
    </w:p>
    <w:p w14:paraId="6526CDB8">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"_Toc227756710"</w:instrText>
      </w:r>
      <w:r>
        <w:rPr>
          <w:rFonts w:ascii="Times New Roman" w:hAnsi="Times New Roman"/>
        </w:rPr>
        <w:fldChar w:fldCharType="separate"/>
      </w:r>
      <w:r>
        <w:rPr>
          <w:rStyle w:val="34"/>
          <w:rFonts w:hint="default" w:ascii="Times New Roman"/>
        </w:rPr>
        <w:t>1</w:t>
      </w:r>
      <w:r>
        <w:rPr>
          <w:rStyle w:val="34"/>
          <w:rFonts w:ascii="Times New Roman"/>
        </w:rPr>
        <w:t xml:space="preserve"> </w:t>
      </w:r>
      <w:r>
        <w:rPr>
          <w:rStyle w:val="34"/>
          <w:rFonts w:hint="default" w:ascii="Times New Roman"/>
        </w:rPr>
        <w:t>范围</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_Toc227756710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w:t>
      </w:r>
      <w:r>
        <w:rPr>
          <w:rFonts w:hint="default" w:ascii="Times New Roman" w:hAnsi="Times New Roman"/>
        </w:rPr>
        <w:fldChar w:fldCharType="end"/>
      </w:r>
      <w:r>
        <w:rPr>
          <w:rFonts w:ascii="Times New Roman" w:hAnsi="Times New Roman"/>
        </w:rPr>
        <w:fldChar w:fldCharType="end"/>
      </w:r>
    </w:p>
    <w:p w14:paraId="1CAEFF16">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"_Toc227756711"</w:instrText>
      </w:r>
      <w:r>
        <w:rPr>
          <w:rFonts w:ascii="Times New Roman" w:hAnsi="Times New Roman"/>
        </w:rPr>
        <w:fldChar w:fldCharType="separate"/>
      </w:r>
      <w:r>
        <w:rPr>
          <w:rStyle w:val="34"/>
          <w:rFonts w:hint="default" w:ascii="Times New Roman"/>
        </w:rPr>
        <w:t>2</w:t>
      </w:r>
      <w:r>
        <w:rPr>
          <w:rStyle w:val="34"/>
          <w:rFonts w:ascii="Times New Roman"/>
        </w:rPr>
        <w:t xml:space="preserve"> </w:t>
      </w:r>
      <w:r>
        <w:rPr>
          <w:rStyle w:val="34"/>
          <w:rFonts w:hint="default" w:ascii="Times New Roman"/>
        </w:rPr>
        <w:t>规范性引用文件</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_Toc227756711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w:t>
      </w:r>
      <w:r>
        <w:rPr>
          <w:rFonts w:hint="default" w:ascii="Times New Roman" w:hAnsi="Times New Roman"/>
        </w:rPr>
        <w:fldChar w:fldCharType="end"/>
      </w:r>
      <w:r>
        <w:rPr>
          <w:rFonts w:ascii="Times New Roman" w:hAnsi="Times New Roman"/>
        </w:rPr>
        <w:fldChar w:fldCharType="end"/>
      </w:r>
    </w:p>
    <w:p w14:paraId="007CB069">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"_Toc227756712"</w:instrText>
      </w:r>
      <w:r>
        <w:rPr>
          <w:rFonts w:ascii="Times New Roman" w:hAnsi="Times New Roman"/>
        </w:rPr>
        <w:fldChar w:fldCharType="separate"/>
      </w:r>
      <w:r>
        <w:rPr>
          <w:rStyle w:val="34"/>
          <w:rFonts w:hint="default" w:ascii="Times New Roman"/>
        </w:rPr>
        <w:t>3</w:t>
      </w:r>
      <w:r>
        <w:rPr>
          <w:rStyle w:val="34"/>
          <w:rFonts w:ascii="Times New Roman"/>
        </w:rPr>
        <w:t xml:space="preserve"> </w:t>
      </w:r>
      <w:r>
        <w:rPr>
          <w:rStyle w:val="34"/>
          <w:rFonts w:hint="default" w:ascii="Times New Roman"/>
        </w:rPr>
        <w:t>术语和定义</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_Toc227756712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w:t>
      </w:r>
      <w:r>
        <w:rPr>
          <w:rFonts w:hint="default" w:ascii="Times New Roman" w:hAnsi="Times New Roman"/>
        </w:rPr>
        <w:fldChar w:fldCharType="end"/>
      </w:r>
      <w:r>
        <w:rPr>
          <w:rFonts w:ascii="Times New Roman" w:hAnsi="Times New Roman"/>
        </w:rPr>
        <w:fldChar w:fldCharType="end"/>
      </w:r>
    </w:p>
    <w:p w14:paraId="4A884F36">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"_Toc227756713"</w:instrText>
      </w:r>
      <w:r>
        <w:rPr>
          <w:rFonts w:ascii="Times New Roman" w:hAnsi="Times New Roman"/>
        </w:rPr>
        <w:fldChar w:fldCharType="separate"/>
      </w:r>
      <w:r>
        <w:rPr>
          <w:rStyle w:val="34"/>
          <w:rFonts w:hint="default" w:ascii="Times New Roman"/>
        </w:rPr>
        <w:t>4</w:t>
      </w:r>
      <w:r>
        <w:rPr>
          <w:rStyle w:val="34"/>
          <w:rFonts w:ascii="Times New Roman"/>
        </w:rPr>
        <w:t xml:space="preserve"> </w:t>
      </w:r>
      <w:r>
        <w:rPr>
          <w:rStyle w:val="34"/>
          <w:rFonts w:hint="default" w:ascii="Times New Roman"/>
        </w:rPr>
        <w:t>培训目标</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_Toc227756713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w:t>
      </w:r>
      <w:r>
        <w:rPr>
          <w:rFonts w:hint="default" w:ascii="Times New Roman" w:hAnsi="Times New Roman"/>
        </w:rPr>
        <w:fldChar w:fldCharType="end"/>
      </w:r>
      <w:r>
        <w:rPr>
          <w:rFonts w:ascii="Times New Roman" w:hAnsi="Times New Roman"/>
        </w:rPr>
        <w:fldChar w:fldCharType="end"/>
      </w:r>
    </w:p>
    <w:p w14:paraId="6A53A4C1">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"_Toc227756714"</w:instrText>
      </w:r>
      <w:r>
        <w:rPr>
          <w:rFonts w:ascii="Times New Roman" w:hAnsi="Times New Roman"/>
        </w:rPr>
        <w:fldChar w:fldCharType="separate"/>
      </w:r>
      <w:r>
        <w:rPr>
          <w:rStyle w:val="34"/>
          <w:rFonts w:hint="default" w:ascii="Times New Roman"/>
        </w:rPr>
        <w:t>5</w:t>
      </w:r>
      <w:r>
        <w:rPr>
          <w:rStyle w:val="34"/>
          <w:rFonts w:ascii="Times New Roman"/>
        </w:rPr>
        <w:t xml:space="preserve"> </w:t>
      </w:r>
      <w:r>
        <w:rPr>
          <w:rStyle w:val="34"/>
          <w:rFonts w:hint="default" w:ascii="Times New Roman"/>
        </w:rPr>
        <w:t>培训原则</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_Toc227756714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2</w:t>
      </w:r>
      <w:r>
        <w:rPr>
          <w:rFonts w:hint="default" w:ascii="Times New Roman" w:hAnsi="Times New Roman"/>
        </w:rPr>
        <w:fldChar w:fldCharType="end"/>
      </w:r>
      <w:r>
        <w:rPr>
          <w:rFonts w:ascii="Times New Roman" w:hAnsi="Times New Roman"/>
        </w:rPr>
        <w:fldChar w:fldCharType="end"/>
      </w:r>
    </w:p>
    <w:p w14:paraId="25E47920">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"_Toc227756715"</w:instrText>
      </w:r>
      <w:r>
        <w:rPr>
          <w:rFonts w:ascii="Times New Roman" w:hAnsi="Times New Roman"/>
        </w:rPr>
        <w:fldChar w:fldCharType="separate"/>
      </w:r>
      <w:r>
        <w:rPr>
          <w:rStyle w:val="34"/>
          <w:rFonts w:hint="default" w:ascii="Times New Roman"/>
        </w:rPr>
        <w:t>6</w:t>
      </w:r>
      <w:r>
        <w:rPr>
          <w:rStyle w:val="34"/>
          <w:rFonts w:ascii="Times New Roman"/>
        </w:rPr>
        <w:t xml:space="preserve"> </w:t>
      </w:r>
      <w:r>
        <w:rPr>
          <w:rStyle w:val="34"/>
          <w:rFonts w:hint="default" w:ascii="Times New Roman"/>
        </w:rPr>
        <w:t>培训计划</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_Toc227756715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2</w:t>
      </w:r>
      <w:r>
        <w:rPr>
          <w:rFonts w:hint="default" w:ascii="Times New Roman" w:hAnsi="Times New Roman"/>
        </w:rPr>
        <w:fldChar w:fldCharType="end"/>
      </w:r>
      <w:r>
        <w:rPr>
          <w:rFonts w:ascii="Times New Roman" w:hAnsi="Times New Roman"/>
        </w:rPr>
        <w:fldChar w:fldCharType="end"/>
      </w:r>
    </w:p>
    <w:p w14:paraId="49078183">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"_Toc227756716"</w:instrText>
      </w:r>
      <w:r>
        <w:rPr>
          <w:rFonts w:ascii="Times New Roman" w:hAnsi="Times New Roman"/>
        </w:rPr>
        <w:fldChar w:fldCharType="separate"/>
      </w:r>
      <w:r>
        <w:rPr>
          <w:rStyle w:val="34"/>
          <w:rFonts w:hint="default" w:ascii="Times New Roman"/>
        </w:rPr>
        <w:t>7</w:t>
      </w:r>
      <w:r>
        <w:rPr>
          <w:rStyle w:val="34"/>
          <w:rFonts w:ascii="Times New Roman"/>
        </w:rPr>
        <w:t xml:space="preserve"> </w:t>
      </w:r>
      <w:r>
        <w:rPr>
          <w:rStyle w:val="34"/>
          <w:rFonts w:hint="default" w:ascii="Times New Roman"/>
        </w:rPr>
        <w:t>培训对象</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_Toc227756716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3</w:t>
      </w:r>
      <w:r>
        <w:rPr>
          <w:rFonts w:hint="default" w:ascii="Times New Roman" w:hAnsi="Times New Roman"/>
        </w:rPr>
        <w:fldChar w:fldCharType="end"/>
      </w:r>
      <w:r>
        <w:rPr>
          <w:rFonts w:ascii="Times New Roman" w:hAnsi="Times New Roman"/>
        </w:rPr>
        <w:fldChar w:fldCharType="end"/>
      </w:r>
    </w:p>
    <w:p w14:paraId="400063F8">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"_Toc227756717"</w:instrText>
      </w:r>
      <w:r>
        <w:rPr>
          <w:rFonts w:ascii="Times New Roman" w:hAnsi="Times New Roman"/>
        </w:rPr>
        <w:fldChar w:fldCharType="separate"/>
      </w:r>
      <w:r>
        <w:rPr>
          <w:rStyle w:val="34"/>
          <w:rFonts w:hint="default" w:ascii="Times New Roman"/>
        </w:rPr>
        <w:t>8</w:t>
      </w:r>
      <w:r>
        <w:rPr>
          <w:rStyle w:val="34"/>
          <w:rFonts w:ascii="Times New Roman"/>
        </w:rPr>
        <w:t xml:space="preserve"> </w:t>
      </w:r>
      <w:r>
        <w:rPr>
          <w:rStyle w:val="34"/>
          <w:rFonts w:hint="default" w:ascii="Times New Roman"/>
        </w:rPr>
        <w:t>培训内容</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_Toc227756717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4</w:t>
      </w:r>
      <w:r>
        <w:rPr>
          <w:rFonts w:hint="default" w:ascii="Times New Roman" w:hAnsi="Times New Roman"/>
        </w:rPr>
        <w:fldChar w:fldCharType="end"/>
      </w:r>
      <w:r>
        <w:rPr>
          <w:rFonts w:ascii="Times New Roman" w:hAnsi="Times New Roman"/>
        </w:rPr>
        <w:fldChar w:fldCharType="end"/>
      </w:r>
    </w:p>
    <w:p w14:paraId="6A07F1B7">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"_Toc227756718"</w:instrText>
      </w:r>
      <w:r>
        <w:rPr>
          <w:rFonts w:ascii="Times New Roman" w:hAnsi="Times New Roman"/>
        </w:rPr>
        <w:fldChar w:fldCharType="separate"/>
      </w:r>
      <w:r>
        <w:rPr>
          <w:rStyle w:val="34"/>
          <w:rFonts w:hint="default" w:ascii="Times New Roman"/>
        </w:rPr>
        <w:t>9</w:t>
      </w:r>
      <w:r>
        <w:rPr>
          <w:rStyle w:val="34"/>
          <w:rFonts w:ascii="Times New Roman"/>
        </w:rPr>
        <w:t xml:space="preserve"> </w:t>
      </w:r>
      <w:r>
        <w:rPr>
          <w:rStyle w:val="34"/>
          <w:rFonts w:hint="default" w:ascii="Times New Roman"/>
        </w:rPr>
        <w:t>培训实施</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_Toc227756718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6</w:t>
      </w:r>
      <w:r>
        <w:rPr>
          <w:rFonts w:hint="default" w:ascii="Times New Roman" w:hAnsi="Times New Roman"/>
        </w:rPr>
        <w:fldChar w:fldCharType="end"/>
      </w:r>
      <w:r>
        <w:rPr>
          <w:rFonts w:ascii="Times New Roman" w:hAnsi="Times New Roman"/>
        </w:rPr>
        <w:fldChar w:fldCharType="end"/>
      </w:r>
    </w:p>
    <w:p w14:paraId="4DD0E467">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"_Toc227756719"</w:instrText>
      </w:r>
      <w:r>
        <w:rPr>
          <w:rFonts w:ascii="Times New Roman" w:hAnsi="Times New Roman"/>
        </w:rPr>
        <w:fldChar w:fldCharType="separate"/>
      </w:r>
      <w:r>
        <w:rPr>
          <w:rStyle w:val="34"/>
          <w:rFonts w:hint="default" w:ascii="Times New Roman"/>
        </w:rPr>
        <w:t>10</w:t>
      </w:r>
      <w:r>
        <w:rPr>
          <w:rStyle w:val="34"/>
          <w:rFonts w:ascii="Times New Roman"/>
        </w:rPr>
        <w:t xml:space="preserve"> </w:t>
      </w:r>
      <w:r>
        <w:rPr>
          <w:rStyle w:val="34"/>
          <w:rFonts w:hint="default" w:ascii="Times New Roman"/>
        </w:rPr>
        <w:t>培训考核</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_Toc227756719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6</w:t>
      </w:r>
      <w:r>
        <w:rPr>
          <w:rFonts w:hint="default" w:ascii="Times New Roman" w:hAnsi="Times New Roman"/>
        </w:rPr>
        <w:fldChar w:fldCharType="end"/>
      </w:r>
      <w:r>
        <w:rPr>
          <w:rFonts w:ascii="Times New Roman" w:hAnsi="Times New Roman"/>
        </w:rPr>
        <w:fldChar w:fldCharType="end"/>
      </w:r>
    </w:p>
    <w:p w14:paraId="61D724F9">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"_Toc227756720"</w:instrText>
      </w:r>
      <w:r>
        <w:rPr>
          <w:rFonts w:ascii="Times New Roman" w:hAnsi="Times New Roman"/>
        </w:rPr>
        <w:fldChar w:fldCharType="separate"/>
      </w:r>
      <w:r>
        <w:rPr>
          <w:rStyle w:val="34"/>
          <w:rFonts w:hint="default" w:ascii="Times New Roman"/>
        </w:rPr>
        <w:t>11</w:t>
      </w:r>
      <w:r>
        <w:rPr>
          <w:rStyle w:val="34"/>
          <w:rFonts w:ascii="Times New Roman"/>
        </w:rPr>
        <w:t xml:space="preserve"> </w:t>
      </w:r>
      <w:r>
        <w:rPr>
          <w:rStyle w:val="34"/>
          <w:rFonts w:hint="default" w:ascii="Times New Roman"/>
        </w:rPr>
        <w:t>培训质量持续改进</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_Toc227756720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7</w:t>
      </w:r>
      <w:r>
        <w:rPr>
          <w:rFonts w:hint="default" w:ascii="Times New Roman" w:hAnsi="Times New Roman"/>
        </w:rPr>
        <w:fldChar w:fldCharType="end"/>
      </w:r>
      <w:r>
        <w:rPr>
          <w:rFonts w:ascii="Times New Roman" w:hAnsi="Times New Roman"/>
        </w:rPr>
        <w:fldChar w:fldCharType="end"/>
      </w:r>
    </w:p>
    <w:p w14:paraId="15B25155">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"_Toc227756721"</w:instrText>
      </w:r>
      <w:r>
        <w:rPr>
          <w:rFonts w:ascii="Times New Roman" w:hAnsi="Times New Roman"/>
        </w:rPr>
        <w:fldChar w:fldCharType="separate"/>
      </w:r>
      <w:r>
        <w:rPr>
          <w:rStyle w:val="34"/>
          <w:rFonts w:hint="default" w:ascii="Times New Roman"/>
        </w:rPr>
        <w:t>附录A（资料性）分岗位培训课时与考核要求</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_Toc227756721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9</w:t>
      </w:r>
      <w:r>
        <w:rPr>
          <w:rFonts w:hint="default" w:ascii="Times New Roman" w:hAnsi="Times New Roman"/>
        </w:rPr>
        <w:fldChar w:fldCharType="end"/>
      </w:r>
      <w:r>
        <w:rPr>
          <w:rFonts w:ascii="Times New Roman" w:hAnsi="Times New Roman"/>
        </w:rPr>
        <w:fldChar w:fldCharType="end"/>
      </w:r>
    </w:p>
    <w:p w14:paraId="74E6DA6E">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"_Toc227756722"</w:instrText>
      </w:r>
      <w:r>
        <w:rPr>
          <w:rFonts w:ascii="Times New Roman" w:hAnsi="Times New Roman"/>
        </w:rPr>
        <w:fldChar w:fldCharType="separate"/>
      </w:r>
      <w:r>
        <w:rPr>
          <w:rStyle w:val="34"/>
          <w:rFonts w:hint="default" w:ascii="Times New Roman"/>
        </w:rPr>
        <w:t>附录B（资料性）培训教材与资源清单</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_Toc227756722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10</w:t>
      </w:r>
      <w:r>
        <w:rPr>
          <w:rFonts w:hint="default" w:ascii="Times New Roman" w:hAnsi="Times New Roman"/>
        </w:rPr>
        <w:fldChar w:fldCharType="end"/>
      </w:r>
      <w:r>
        <w:rPr>
          <w:rFonts w:ascii="Times New Roman" w:hAnsi="Times New Roman"/>
        </w:rPr>
        <w:fldChar w:fldCharType="end"/>
      </w:r>
    </w:p>
    <w:p w14:paraId="5756A2C6">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"_Toc227756723"</w:instrText>
      </w:r>
      <w:r>
        <w:rPr>
          <w:rFonts w:ascii="Times New Roman" w:hAnsi="Times New Roman"/>
        </w:rPr>
        <w:fldChar w:fldCharType="separate"/>
      </w:r>
      <w:r>
        <w:rPr>
          <w:rStyle w:val="34"/>
          <w:rFonts w:hint="default" w:ascii="Times New Roman"/>
        </w:rPr>
        <w:t>附录C（资料性）培训效果评估问卷模板</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_Toc227756723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11</w:t>
      </w:r>
      <w:r>
        <w:rPr>
          <w:rFonts w:hint="default" w:ascii="Times New Roman" w:hAnsi="Times New Roman"/>
        </w:rPr>
        <w:fldChar w:fldCharType="end"/>
      </w:r>
      <w:r>
        <w:rPr>
          <w:rFonts w:ascii="Times New Roman" w:hAnsi="Times New Roman"/>
        </w:rPr>
        <w:fldChar w:fldCharType="end"/>
      </w:r>
    </w:p>
    <w:p w14:paraId="31AF66AA">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"_Toc227756724"</w:instrText>
      </w:r>
      <w:r>
        <w:rPr>
          <w:rFonts w:ascii="Times New Roman" w:hAnsi="Times New Roman"/>
        </w:rPr>
        <w:fldChar w:fldCharType="separate"/>
      </w:r>
      <w:r>
        <w:rPr>
          <w:rStyle w:val="34"/>
          <w:rFonts w:hint="default" w:ascii="Times New Roman"/>
        </w:rPr>
        <w:t>参考文献</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_Toc227756724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12</w:t>
      </w:r>
      <w:r>
        <w:rPr>
          <w:rFonts w:hint="default" w:ascii="Times New Roman" w:hAnsi="Times New Roman"/>
        </w:rPr>
        <w:fldChar w:fldCharType="end"/>
      </w:r>
      <w:r>
        <w:rPr>
          <w:rFonts w:ascii="Times New Roman" w:hAnsi="Times New Roman"/>
        </w:rPr>
        <w:fldChar w:fldCharType="end"/>
      </w:r>
    </w:p>
    <w:p w14:paraId="31024E57">
      <w:pPr>
        <w:pStyle w:val="94"/>
        <w:spacing w:before="0" w:after="0" w:afterLines="0"/>
        <w:jc w:val="both"/>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r>
        <w:rPr>
          <w:rFonts w:ascii="Times New Roman" w:hAnsi="Times New Roman" w:eastAsia="宋体"/>
          <w:sz w:val="21"/>
        </w:rPr>
        <w:fldChar w:fldCharType="end"/>
      </w:r>
    </w:p>
    <w:bookmarkEnd w:id="6"/>
    <w:p w14:paraId="40843D7E">
      <w:pPr>
        <w:pStyle w:val="92"/>
        <w:numPr>
          <w:ilvl w:val="0"/>
          <w:numId w:val="0"/>
        </w:numPr>
        <w:spacing w:before="240" w:beforeLines="100" w:after="240" w:afterLines="100"/>
        <w:ind w:left="0" w:firstLine="0"/>
      </w:pPr>
      <w:bookmarkStart w:id="9" w:name="_Toc227756708"/>
      <w:bookmarkStart w:id="10" w:name="BookMark2"/>
      <w:r>
        <w:rPr>
          <w:rFonts w:hint="eastAsia"/>
          <w:spacing w:val="0"/>
        </w:rPr>
        <w:t>前</w:t>
      </w:r>
      <w:r>
        <w:rPr>
          <w:rFonts w:hint="eastAsia"/>
        </w:rPr>
        <w:t xml:space="preserve">  言</w:t>
      </w:r>
      <w:bookmarkEnd w:id="7"/>
      <w:bookmarkEnd w:id="8"/>
      <w:bookmarkEnd w:id="9"/>
    </w:p>
    <w:p w14:paraId="2C37D51B">
      <w:pPr>
        <w:pStyle w:val="59"/>
        <w:ind w:firstLine="420"/>
      </w:pPr>
      <w:r>
        <w:rPr>
          <w:rFonts w:hint="eastAsia"/>
        </w:rPr>
        <w:t>本文件按照GB/T 1.1-2020 《标准化工作导则 第1部分：标准化文件的结构和起草规则》的规定起草。</w:t>
      </w:r>
    </w:p>
    <w:p w14:paraId="74F72779">
      <w:pPr>
        <w:pStyle w:val="59"/>
        <w:ind w:firstLine="420"/>
      </w:pPr>
      <w:r>
        <w:rPr>
          <w:rFonts w:hint="eastAsia"/>
        </w:rPr>
        <w:t>本文件是《临床研究病房智慧管理平台建设规范》的第7部分：培训实施。《临床研究病房智慧管理平台建设规范》分为以下部分：</w:t>
      </w:r>
    </w:p>
    <w:p w14:paraId="48B255C7">
      <w:pPr>
        <w:pStyle w:val="59"/>
        <w:ind w:firstLine="420"/>
      </w:pPr>
      <w:r>
        <w:rPr>
          <w:rFonts w:hint="eastAsia"/>
        </w:rPr>
        <w:t>第1部分：总体架构</w:t>
      </w:r>
    </w:p>
    <w:p w14:paraId="7C9180D7">
      <w:pPr>
        <w:pStyle w:val="59"/>
        <w:ind w:firstLine="420"/>
      </w:pPr>
      <w:r>
        <w:rPr>
          <w:rFonts w:hint="eastAsia"/>
        </w:rPr>
        <w:t>第2部分：数据管理</w:t>
      </w:r>
    </w:p>
    <w:p w14:paraId="7508B83B">
      <w:pPr>
        <w:pStyle w:val="59"/>
        <w:ind w:firstLine="420"/>
      </w:pPr>
      <w:r>
        <w:rPr>
          <w:rFonts w:hint="eastAsia"/>
        </w:rPr>
        <w:t>第3部分：过程管理</w:t>
      </w:r>
    </w:p>
    <w:p w14:paraId="6A90A0A6">
      <w:pPr>
        <w:pStyle w:val="59"/>
        <w:ind w:firstLine="420"/>
      </w:pPr>
      <w:r>
        <w:rPr>
          <w:rFonts w:hint="eastAsia"/>
        </w:rPr>
        <w:t>第4部分：决策支持</w:t>
      </w:r>
    </w:p>
    <w:p w14:paraId="496FEBD4">
      <w:pPr>
        <w:pStyle w:val="59"/>
        <w:ind w:firstLine="420"/>
      </w:pPr>
      <w:r>
        <w:rPr>
          <w:rFonts w:hint="eastAsia"/>
        </w:rPr>
        <w:t>第5部分：安全要求</w:t>
      </w:r>
    </w:p>
    <w:p w14:paraId="65B6F097">
      <w:pPr>
        <w:pStyle w:val="59"/>
        <w:ind w:firstLine="420"/>
      </w:pPr>
      <w:r>
        <w:rPr>
          <w:rFonts w:hint="eastAsia"/>
        </w:rPr>
        <w:t>第6部分：应用评价</w:t>
      </w:r>
    </w:p>
    <w:p w14:paraId="3638C31F">
      <w:pPr>
        <w:pStyle w:val="59"/>
        <w:ind w:firstLine="420"/>
      </w:pPr>
      <w:r>
        <w:rPr>
          <w:rFonts w:hint="eastAsia"/>
        </w:rPr>
        <w:t>第7部分：培训实施</w:t>
      </w:r>
    </w:p>
    <w:p w14:paraId="3AA2562D">
      <w:pPr>
        <w:pStyle w:val="59"/>
        <w:ind w:firstLine="420"/>
      </w:pPr>
      <w:r>
        <w:rPr>
          <w:rFonts w:hint="eastAsia"/>
        </w:rPr>
        <w:t>请注意本文件的某些内容可能涉及专利。本文件的发布机构不承担识别专利的责任。</w:t>
      </w:r>
    </w:p>
    <w:p w14:paraId="00D0D4FE">
      <w:pPr>
        <w:pStyle w:val="59"/>
        <w:ind w:firstLine="420"/>
      </w:pPr>
      <w:r>
        <w:rPr>
          <w:rFonts w:hint="eastAsia"/>
        </w:rPr>
        <w:t>本文件由</w:t>
      </w:r>
      <w:r>
        <w:rPr>
          <w:rFonts w:hint="eastAsia"/>
          <w:lang w:val="en-US" w:eastAsia="zh-CN"/>
        </w:rPr>
        <w:t>中国研究型医院学会</w:t>
      </w:r>
      <w:r>
        <w:rPr>
          <w:rFonts w:hint="eastAsia"/>
        </w:rPr>
        <w:t>提出。</w:t>
      </w:r>
    </w:p>
    <w:p w14:paraId="6687C32D">
      <w:pPr>
        <w:pStyle w:val="59"/>
        <w:ind w:firstLine="420"/>
      </w:pPr>
      <w:r>
        <w:rPr>
          <w:rFonts w:hint="eastAsia"/>
        </w:rPr>
        <w:t>本文件由</w:t>
      </w:r>
      <w:r>
        <w:rPr>
          <w:rFonts w:hint="eastAsia"/>
          <w:lang w:val="en-US" w:eastAsia="zh-CN"/>
        </w:rPr>
        <w:t>中国研究型医院学会</w:t>
      </w:r>
      <w:r>
        <w:rPr>
          <w:rFonts w:hint="eastAsia"/>
        </w:rPr>
        <w:t>归口。</w:t>
      </w:r>
      <w:bookmarkStart w:id="102" w:name="_GoBack"/>
      <w:bookmarkEnd w:id="102"/>
    </w:p>
    <w:p w14:paraId="01578A51">
      <w:pPr>
        <w:pStyle w:val="59"/>
        <w:ind w:firstLine="420"/>
      </w:pPr>
      <w:r>
        <w:rPr>
          <w:rFonts w:hint="eastAsia"/>
        </w:rPr>
        <w:t>本文件起草单位：。</w:t>
      </w:r>
    </w:p>
    <w:p w14:paraId="1661F2C3">
      <w:pPr>
        <w:pStyle w:val="59"/>
        <w:ind w:firstLine="420"/>
      </w:pPr>
      <w:r>
        <w:rPr>
          <w:rFonts w:hint="eastAsia"/>
        </w:rPr>
        <w:t>本文件主要起草人：。</w:t>
      </w:r>
    </w:p>
    <w:p w14:paraId="46AAD232">
      <w:pPr>
        <w:pStyle w:val="59"/>
        <w:ind w:firstLine="420"/>
      </w:pPr>
    </w:p>
    <w:p w14:paraId="224EA5B7">
      <w:pPr>
        <w:pStyle w:val="59"/>
        <w:ind w:firstLine="420"/>
        <w:sectPr>
          <w:pgSz w:w="11906" w:h="16838"/>
          <w:pgMar w:top="1928" w:right="1134" w:bottom="1134" w:left="1134" w:header="1418" w:footer="1134" w:gutter="284"/>
          <w:pgNumType w:fmt="upperRoman"/>
          <w:cols w:space="425" w:num="1"/>
          <w:formProt w:val="0"/>
          <w:docGrid w:linePitch="312" w:charSpace="0"/>
        </w:sectPr>
      </w:pPr>
    </w:p>
    <w:bookmarkEnd w:id="10"/>
    <w:p w14:paraId="3E381BAC">
      <w:pPr>
        <w:pStyle w:val="92"/>
        <w:numPr>
          <w:ilvl w:val="0"/>
          <w:numId w:val="0"/>
        </w:numPr>
        <w:spacing w:before="240" w:beforeLines="100" w:after="240" w:afterLines="100"/>
        <w:ind w:left="0" w:firstLine="0"/>
      </w:pPr>
      <w:bookmarkStart w:id="11" w:name="_Toc227246291"/>
      <w:bookmarkStart w:id="12" w:name="_Toc227756709"/>
      <w:bookmarkStart w:id="13" w:name="_Toc227239148"/>
      <w:bookmarkStart w:id="14" w:name="BookMark3"/>
      <w:r>
        <w:rPr>
          <w:rFonts w:hint="eastAsia"/>
          <w:spacing w:val="0"/>
        </w:rPr>
        <w:t>引</w:t>
      </w:r>
      <w:r>
        <w:rPr>
          <w:rFonts w:hint="eastAsia"/>
        </w:rPr>
        <w:t xml:space="preserve">  言</w:t>
      </w:r>
      <w:bookmarkEnd w:id="11"/>
      <w:bookmarkEnd w:id="12"/>
      <w:bookmarkEnd w:id="13"/>
    </w:p>
    <w:p w14:paraId="098A6630">
      <w:pPr>
        <w:pStyle w:val="59"/>
        <w:ind w:firstLine="420"/>
      </w:pPr>
      <w:r>
        <w:rPr>
          <w:rFonts w:hint="eastAsia"/>
        </w:rPr>
        <w:t>临床研究病房智慧管理平台的建设与应用是实现临床研究数据规范化、高质量、高效率采集与管理的关键技术支撑。平台的有效运行高度依赖于使用人员的正确认知、熟练操作与规范执行。建立一套科学、系统、可操作的培训实施标准，对于保障平台功能充分发挥、确保临床研究数据可靠性、提升试验运行质量、保护受试者权益与安全具有重要意义。</w:t>
      </w:r>
    </w:p>
    <w:p w14:paraId="1D7EE49B">
      <w:pPr>
        <w:pStyle w:val="59"/>
        <w:ind w:firstLine="420"/>
      </w:pPr>
      <w:r>
        <w:rPr>
          <w:rFonts w:hint="eastAsia"/>
        </w:rPr>
        <w:t>本文件在遵循药物临床试验质量管理规范及个人信息保护相关法律法规的基础上，结合智慧医疗技术与临床研究实际需求，规定了临床研究病房智慧管理平台培训实施的目标、原则、计划、对象、内容、方式、考核与持续改进要求，旨在为医疗机构、科研院所及相关企业在开展平台应用培训时提供统一的技术规范和管理依据。</w:t>
      </w:r>
    </w:p>
    <w:p w14:paraId="2814C562">
      <w:pPr>
        <w:pStyle w:val="59"/>
        <w:ind w:firstLine="420"/>
      </w:pPr>
    </w:p>
    <w:p w14:paraId="3FE5077C">
      <w:pPr>
        <w:pStyle w:val="59"/>
        <w:ind w:firstLine="199" w:firstLineChars="95"/>
        <w:rPr>
          <w:rFonts w:hint="eastAsia"/>
        </w:rPr>
        <w:sectPr>
          <w:pgSz w:w="11906" w:h="16838"/>
          <w:pgMar w:top="1928" w:right="1134" w:bottom="1134" w:left="1134" w:header="1418" w:footer="1134" w:gutter="284"/>
          <w:pgNumType w:fmt="upperRoman"/>
          <w:cols w:space="425" w:num="1"/>
          <w:formProt w:val="0"/>
          <w:docGrid w:linePitch="312" w:charSpace="0"/>
        </w:sectPr>
      </w:pPr>
    </w:p>
    <w:bookmarkEnd w:id="14"/>
    <w:p w14:paraId="505CF371">
      <w:pPr>
        <w:spacing w:line="20" w:lineRule="exact"/>
        <w:jc w:val="center"/>
        <w:rPr>
          <w:rFonts w:hint="eastAsia" w:ascii="黑体" w:hAnsi="黑体" w:eastAsia="黑体"/>
          <w:sz w:val="32"/>
          <w:szCs w:val="32"/>
        </w:rPr>
      </w:pPr>
      <w:bookmarkStart w:id="15" w:name="BookMark4"/>
    </w:p>
    <w:p w14:paraId="18F41643">
      <w:pPr>
        <w:spacing w:line="20" w:lineRule="exact"/>
        <w:jc w:val="center"/>
        <w:rPr>
          <w:rFonts w:hint="eastAsia" w:ascii="黑体" w:hAnsi="黑体" w:eastAsia="黑体"/>
          <w:sz w:val="32"/>
          <w:szCs w:val="32"/>
        </w:rPr>
      </w:pPr>
    </w:p>
    <w:sdt>
      <w:sdtPr>
        <w:tag w:val="NEW_STAND_NAME"/>
        <w:id w:val="595910757"/>
        <w:lock w:val="sdtLocked"/>
        <w:placeholder>
          <w:docPart w:val="3E9AF30D85724B67ABA31A157D7D913E"/>
        </w:placeholder>
      </w:sdtPr>
      <w:sdtEndPr>
        <w:rPr>
          <w:rFonts w:ascii="Times New Roman" w:hAnsi="Times New Roman"/>
        </w:rPr>
      </w:sdtEndPr>
      <w:sdtContent>
        <w:p w14:paraId="6706C481">
          <w:pPr>
            <w:pStyle w:val="180"/>
            <w:spacing w:before="0" w:beforeLines="-2147483648" w:after="0" w:afterLines="-2147483648" w:line="240" w:lineRule="auto"/>
            <w:rPr>
              <w:rFonts w:hint="default" w:ascii="Times New Roman" w:hAnsi="Times New Roman"/>
            </w:rPr>
          </w:pPr>
          <w:bookmarkStart w:id="16" w:name="NEW_STAND_NAME"/>
          <w:r>
            <w:rPr>
              <w:rFonts w:hint="default" w:ascii="Times New Roman" w:hAnsi="Times New Roman"/>
            </w:rPr>
            <w:t>临床研究病房智慧管理平台建设规范</w:t>
          </w:r>
        </w:p>
        <w:p w14:paraId="09AD8399">
          <w:pPr>
            <w:pStyle w:val="180"/>
            <w:spacing w:before="0" w:beforeLines="-2147483648" w:after="0" w:line="240" w:lineRule="auto"/>
            <w:rPr>
              <w:rFonts w:hint="default" w:ascii="Times New Roman" w:hAnsi="Times New Roman"/>
            </w:rPr>
          </w:pPr>
          <w:r>
            <w:rPr>
              <w:rFonts w:hint="default" w:ascii="Times New Roman" w:hAnsi="Times New Roman"/>
            </w:rPr>
            <w:t>第7部分：培训实施</w:t>
          </w:r>
        </w:p>
      </w:sdtContent>
    </w:sdt>
    <w:bookmarkEnd w:id="16"/>
    <w:p w14:paraId="609E4C49">
      <w:pPr>
        <w:pStyle w:val="107"/>
        <w:spacing w:before="240" w:after="240"/>
      </w:pPr>
      <w:bookmarkStart w:id="17" w:name="_Toc227246292"/>
      <w:bookmarkStart w:id="18" w:name="_Toc26648465"/>
      <w:bookmarkStart w:id="19" w:name="_Toc26986530"/>
      <w:bookmarkStart w:id="20" w:name="_Toc24884211"/>
      <w:bookmarkStart w:id="21" w:name="_Toc17233333"/>
      <w:bookmarkStart w:id="22" w:name="_Toc24884218"/>
      <w:bookmarkStart w:id="23" w:name="_Toc26986771"/>
      <w:bookmarkStart w:id="24" w:name="_Toc97192964"/>
      <w:bookmarkStart w:id="25" w:name="_Toc17233325"/>
      <w:bookmarkStart w:id="26" w:name="_Toc26718930"/>
      <w:bookmarkStart w:id="27" w:name="_Toc227239149"/>
      <w:bookmarkStart w:id="28" w:name="_Toc227756710"/>
      <w:r>
        <w:rPr>
          <w:rFonts w:hint="eastAsia"/>
        </w:rPr>
        <w:t>范围</w:t>
      </w:r>
      <w:bookmarkEnd w:id="17"/>
      <w:bookmarkEnd w:id="18"/>
      <w:bookmarkEnd w:id="19"/>
      <w:bookmarkEnd w:id="20"/>
      <w:bookmarkEnd w:id="21"/>
      <w:bookmarkEnd w:id="22"/>
      <w:bookmarkEnd w:id="23"/>
      <w:bookmarkEnd w:id="24"/>
      <w:bookmarkEnd w:id="25"/>
      <w:bookmarkEnd w:id="26"/>
      <w:bookmarkEnd w:id="27"/>
      <w:bookmarkEnd w:id="28"/>
    </w:p>
    <w:p w14:paraId="33E18634">
      <w:pPr>
        <w:pStyle w:val="59"/>
        <w:ind w:firstLine="420"/>
      </w:pPr>
      <w:bookmarkStart w:id="29" w:name="_Toc17233326"/>
      <w:bookmarkStart w:id="30" w:name="_Toc26648466"/>
      <w:bookmarkStart w:id="31" w:name="_Toc24884219"/>
      <w:bookmarkStart w:id="32" w:name="_Toc17233334"/>
      <w:bookmarkStart w:id="33" w:name="_Toc24884212"/>
      <w:r>
        <w:rPr>
          <w:rFonts w:hint="eastAsia"/>
        </w:rPr>
        <w:t>本文件规定了临床研究病房智慧管理平台培训的目标、原则、分层分类培训计划、培训对象及岗位职责、模块化培训内容、标准化培训实施流程、多元化考核体系及培训质量持续改进机制。</w:t>
      </w:r>
    </w:p>
    <w:p w14:paraId="6DE65221">
      <w:pPr>
        <w:pStyle w:val="59"/>
        <w:ind w:firstLine="420"/>
      </w:pPr>
      <w:r>
        <w:rPr>
          <w:rFonts w:hint="eastAsia"/>
        </w:rPr>
        <w:t>本文件适用于各级各类医疗机构、临床研究中心、CRO/SMO机构、第三方服务机构临床研究病房智慧管理平台使用人员、管理人员、技术支持人员及培训讲师的培训与考核管理，也可为平台的全国推广培训、区域培训中心建设、培训体系标准化提供指导。</w:t>
      </w:r>
    </w:p>
    <w:p w14:paraId="37E9A2A4">
      <w:pPr>
        <w:pStyle w:val="107"/>
        <w:spacing w:before="240" w:after="240"/>
      </w:pPr>
      <w:bookmarkStart w:id="34" w:name="_Toc26986772"/>
      <w:bookmarkStart w:id="35" w:name="_Toc227239150"/>
      <w:bookmarkStart w:id="36" w:name="_Toc26986531"/>
      <w:bookmarkStart w:id="37" w:name="_Toc227756711"/>
      <w:bookmarkStart w:id="38" w:name="_Toc97192965"/>
      <w:bookmarkStart w:id="39" w:name="_Toc26718931"/>
      <w:bookmarkStart w:id="40" w:name="_Toc227246293"/>
      <w:r>
        <w:rPr>
          <w:rFonts w:hint="eastAsia"/>
        </w:rPr>
        <w:t>规范性引用文件</w:t>
      </w:r>
      <w:bookmarkEnd w:id="29"/>
      <w:bookmarkEnd w:id="30"/>
      <w:bookmarkEnd w:id="31"/>
      <w:bookmarkEnd w:id="32"/>
      <w:bookmarkEnd w:id="33"/>
      <w:bookmarkEnd w:id="34"/>
      <w:bookmarkEnd w:id="35"/>
      <w:bookmarkEnd w:id="36"/>
      <w:bookmarkEnd w:id="37"/>
      <w:bookmarkEnd w:id="38"/>
      <w:bookmarkEnd w:id="39"/>
      <w:bookmarkEnd w:id="40"/>
    </w:p>
    <w:sdt>
      <w:sdtPr>
        <w:rPr>
          <w:rFonts w:hint="eastAsia"/>
        </w:rPr>
        <w:id w:val="715848253"/>
        <w:placeholder>
          <w:docPart w:val="747EFB41D5234300BB2D361EED9DD8F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191141BA">
          <w:pPr>
            <w:pStyle w:val="59"/>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6132F5F">
      <w:pPr>
        <w:pStyle w:val="59"/>
        <w:ind w:firstLine="420"/>
      </w:pPr>
      <w:r>
        <w:rPr>
          <w:rFonts w:hint="eastAsia"/>
        </w:rPr>
        <w:t>GB/T 22239-2019 信息安全技术 网络安全等级保护基本要求</w:t>
      </w:r>
    </w:p>
    <w:p w14:paraId="690D2F31">
      <w:pPr>
        <w:pStyle w:val="59"/>
        <w:ind w:firstLine="420"/>
      </w:pPr>
      <w:r>
        <w:rPr>
          <w:rFonts w:hint="eastAsia"/>
        </w:rPr>
        <w:t>《药物临床试验质量管理规范》（国家药监局 国家卫生健康委 2020年第57号公告）</w:t>
      </w:r>
    </w:p>
    <w:p w14:paraId="39D86948">
      <w:pPr>
        <w:pStyle w:val="59"/>
        <w:ind w:firstLine="420"/>
      </w:pPr>
      <w:r>
        <w:rPr>
          <w:rFonts w:hint="eastAsia"/>
        </w:rPr>
        <w:t>《个人信息保护法》（中华人民共和国主席令 第九十一号）</w:t>
      </w:r>
    </w:p>
    <w:p w14:paraId="3E4BBA03">
      <w:pPr>
        <w:pStyle w:val="107"/>
        <w:spacing w:before="240" w:after="240"/>
      </w:pPr>
      <w:bookmarkStart w:id="41" w:name="_Toc227756712"/>
      <w:bookmarkStart w:id="42" w:name="_Toc227246294"/>
      <w:bookmarkStart w:id="43" w:name="_Toc227239151"/>
      <w:bookmarkStart w:id="44" w:name="_Toc97192966"/>
      <w:r>
        <w:rPr>
          <w:rFonts w:hint="eastAsia"/>
          <w:szCs w:val="21"/>
        </w:rPr>
        <w:t>术语和定义</w:t>
      </w:r>
      <w:bookmarkEnd w:id="41"/>
      <w:bookmarkEnd w:id="42"/>
      <w:bookmarkEnd w:id="43"/>
      <w:bookmarkEnd w:id="44"/>
    </w:p>
    <w:sdt>
      <w:sdtPr>
        <w:id w:val="-1909835108"/>
        <w:placeholder>
          <w:docPart w:val="881F0D94F8074C4A8326B877373621BE"/>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7A2BCA2C">
          <w:pPr>
            <w:pStyle w:val="59"/>
            <w:ind w:firstLine="420"/>
          </w:pPr>
          <w:bookmarkStart w:id="45" w:name="_Toc26986532"/>
          <w:bookmarkEnd w:id="45"/>
          <w:r>
            <w:t>下列术语和定义适用于本文件。</w:t>
          </w:r>
        </w:p>
      </w:sdtContent>
    </w:sdt>
    <w:p w14:paraId="3725D39A">
      <w:pPr>
        <w:pStyle w:val="108"/>
        <w:spacing w:before="120" w:after="120"/>
        <w:outlineLvl w:val="9"/>
      </w:pPr>
      <w:bookmarkStart w:id="46" w:name="_Toc227239153"/>
    </w:p>
    <w:p w14:paraId="7CF7E5F4">
      <w:pPr>
        <w:pStyle w:val="108"/>
        <w:numPr>
          <w:ilvl w:val="0"/>
          <w:numId w:val="0"/>
        </w:numPr>
        <w:spacing w:before="0" w:beforeLines="0" w:after="0" w:afterLines="0"/>
        <w:ind w:firstLine="420" w:firstLineChars="200"/>
        <w:outlineLvl w:val="9"/>
      </w:pPr>
      <w:r>
        <w:t>融合式培训</w:t>
      </w:r>
      <w:bookmarkEnd w:id="46"/>
    </w:p>
    <w:p w14:paraId="4D3DB81A">
      <w:pPr>
        <w:pStyle w:val="59"/>
        <w:ind w:firstLine="420"/>
      </w:pPr>
      <w:r>
        <w:t>结合线上智慧学习系统与线下实操演练，融合虚拟仿真、场景模拟、AI 答疑、导师带教等多种形式的一体化培训模式。</w:t>
      </w:r>
    </w:p>
    <w:p w14:paraId="7EA19EA8">
      <w:pPr>
        <w:pStyle w:val="108"/>
        <w:spacing w:before="120" w:after="120"/>
        <w:outlineLvl w:val="9"/>
      </w:pPr>
      <w:bookmarkStart w:id="47" w:name="_Toc227239154"/>
    </w:p>
    <w:p w14:paraId="53CC9E07">
      <w:pPr>
        <w:pStyle w:val="108"/>
        <w:numPr>
          <w:ilvl w:val="0"/>
          <w:numId w:val="0"/>
        </w:numPr>
        <w:spacing w:before="0" w:beforeLines="0" w:after="0" w:afterLines="0"/>
        <w:ind w:firstLine="420" w:firstLineChars="200"/>
        <w:outlineLvl w:val="9"/>
      </w:pPr>
      <w:r>
        <w:t>智慧化赋能培训</w:t>
      </w:r>
      <w:bookmarkEnd w:id="47"/>
    </w:p>
    <w:p w14:paraId="6BD7518D">
      <w:pPr>
        <w:pStyle w:val="59"/>
        <w:ind w:firstLine="420"/>
      </w:pPr>
      <w:r>
        <w:t>利用智慧平台自身的技术能力，为培训对象提供个性化学习路径推荐、智能操作纠错、实时能力评估、自动学习档案生成的培训方式。</w:t>
      </w:r>
    </w:p>
    <w:p w14:paraId="155C6A5A">
      <w:pPr>
        <w:pStyle w:val="107"/>
        <w:spacing w:before="240" w:after="240"/>
      </w:pPr>
      <w:bookmarkStart w:id="48" w:name="_Toc227239155"/>
      <w:bookmarkStart w:id="49" w:name="_Toc227246295"/>
      <w:bookmarkStart w:id="50" w:name="_Toc227756713"/>
      <w:r>
        <w:rPr>
          <w:rFonts w:hint="eastAsia"/>
        </w:rPr>
        <w:t>培训目标</w:t>
      </w:r>
      <w:bookmarkEnd w:id="48"/>
      <w:bookmarkEnd w:id="49"/>
      <w:bookmarkEnd w:id="50"/>
    </w:p>
    <w:p w14:paraId="1568C761">
      <w:pPr>
        <w:pStyle w:val="108"/>
        <w:spacing w:before="120" w:after="120"/>
        <w:outlineLvl w:val="9"/>
      </w:pPr>
      <w:bookmarkStart w:id="51" w:name="_Toc227239156"/>
      <w:r>
        <w:rPr>
          <w:rFonts w:hint="eastAsia"/>
        </w:rPr>
        <w:t>总体目标</w:t>
      </w:r>
      <w:bookmarkEnd w:id="51"/>
    </w:p>
    <w:p w14:paraId="6FB58F0E">
      <w:pPr>
        <w:pStyle w:val="59"/>
        <w:ind w:firstLine="420"/>
      </w:pPr>
      <w:r>
        <w:rPr>
          <w:rFonts w:hint="eastAsia"/>
        </w:rPr>
        <w:t>建立覆盖智慧平台全生命周期、适配不同岗位核心需求的标准化智慧培训体系，培养兼具临床研究专业素养与数字化工具应用能力的复合型人才队伍。保障智慧平台安全、规范、高效落地运行，实现临床研究流程智慧化管控、质量控制实时化预警、数据管理全程化溯源，全面提升临床研究数据质量与执行效率。</w:t>
      </w:r>
    </w:p>
    <w:p w14:paraId="233DFC7B">
      <w:pPr>
        <w:pStyle w:val="108"/>
        <w:spacing w:before="120" w:after="120"/>
        <w:outlineLvl w:val="9"/>
      </w:pPr>
      <w:bookmarkStart w:id="52" w:name="_Toc227239157"/>
      <w:r>
        <w:rPr>
          <w:rFonts w:hint="eastAsia"/>
        </w:rPr>
        <w:t>具体目标</w:t>
      </w:r>
      <w:bookmarkEnd w:id="52"/>
    </w:p>
    <w:p w14:paraId="1C0BBFD8">
      <w:pPr>
        <w:pStyle w:val="59"/>
        <w:numPr>
          <w:ilvl w:val="0"/>
          <w:numId w:val="32"/>
        </w:numPr>
        <w:ind w:left="0" w:firstLine="420" w:firstLineChars="200"/>
      </w:pPr>
      <w:r>
        <w:rPr>
          <w:rFonts w:hint="eastAsia"/>
        </w:rPr>
        <w:t>准入阶段：实现所有拟使用人员100%完成基础培训与准入考核，考核合格后方可获得对应层级平台操作权限，杜绝无资质人员操作平台；确保全员掌握平台核心安全规范与基础操作流程，从源头规避操作风险。</w:t>
      </w:r>
    </w:p>
    <w:p w14:paraId="09CB8E0D">
      <w:pPr>
        <w:pStyle w:val="59"/>
        <w:numPr>
          <w:ilvl w:val="0"/>
          <w:numId w:val="32"/>
        </w:numPr>
        <w:ind w:left="0" w:firstLine="420" w:firstLineChars="200"/>
      </w:pPr>
      <w:r>
        <w:rPr>
          <w:rFonts w:hint="eastAsia"/>
        </w:rPr>
        <w:t>强化阶段：智慧平台正式上线后1个月内，在岗人员独立完成本岗位核心操作的准确率达到95%以上；3个月内，平台核心功能模块使用率达到80%以上，有效解决上线初期操作不熟练、流程衔接不畅等共性问题。</w:t>
      </w:r>
    </w:p>
    <w:p w14:paraId="61152E43">
      <w:pPr>
        <w:pStyle w:val="59"/>
        <w:numPr>
          <w:ilvl w:val="0"/>
          <w:numId w:val="32"/>
        </w:numPr>
        <w:ind w:left="0" w:firstLine="420" w:firstLineChars="200"/>
      </w:pPr>
      <w:r>
        <w:rPr>
          <w:rFonts w:hint="eastAsia"/>
        </w:rPr>
        <w:t>持续提升：建立常态化培训与复训机制，每年全员复训覆盖率100%；智慧平台重大功能更新后7日内完成全员专项培训，确保新功能与业务需求同步落地；法规标准更新后15日内完成合规性专项培训，保障研究全程合规。</w:t>
      </w:r>
    </w:p>
    <w:p w14:paraId="049C9A42">
      <w:pPr>
        <w:pStyle w:val="59"/>
        <w:numPr>
          <w:ilvl w:val="0"/>
          <w:numId w:val="32"/>
        </w:numPr>
        <w:ind w:left="0" w:firstLine="420" w:firstLineChars="200"/>
      </w:pPr>
      <w:r>
        <w:rPr>
          <w:rFonts w:hint="eastAsia"/>
        </w:rPr>
        <w:t>能力目标：临床研究医生能够熟练运用智慧平台完成受试者全周期管理、方案执行、数据审核、不良事件评估及智慧化数据分析；临床研究护士能够熟练运用智慧平台完成受试者随访、标本与试验用药智慧化管控、原始数据采集及平台预警响应处理。</w:t>
      </w:r>
    </w:p>
    <w:p w14:paraId="06D68842">
      <w:pPr>
        <w:pStyle w:val="107"/>
        <w:spacing w:before="240" w:after="240"/>
      </w:pPr>
      <w:bookmarkStart w:id="53" w:name="_Toc227756714"/>
      <w:bookmarkStart w:id="54" w:name="_Toc227246296"/>
      <w:bookmarkStart w:id="55" w:name="_Toc227239158"/>
      <w:r>
        <w:rPr>
          <w:rFonts w:hint="eastAsia"/>
        </w:rPr>
        <w:t>培训原则</w:t>
      </w:r>
      <w:bookmarkEnd w:id="53"/>
      <w:bookmarkEnd w:id="54"/>
      <w:bookmarkEnd w:id="55"/>
    </w:p>
    <w:p w14:paraId="6F35FAE1">
      <w:pPr>
        <w:pStyle w:val="108"/>
        <w:spacing w:before="120" w:after="120"/>
        <w:outlineLvl w:val="9"/>
      </w:pPr>
      <w:bookmarkStart w:id="56" w:name="_Toc227239159"/>
      <w:r>
        <w:rPr>
          <w:rFonts w:hint="eastAsia"/>
        </w:rPr>
        <w:t>全流程导向原则</w:t>
      </w:r>
      <w:bookmarkEnd w:id="56"/>
    </w:p>
    <w:p w14:paraId="04E67EB5">
      <w:pPr>
        <w:pStyle w:val="59"/>
        <w:ind w:firstLine="420"/>
      </w:pPr>
      <w:r>
        <w:rPr>
          <w:rFonts w:hint="eastAsia"/>
        </w:rPr>
        <w:t>培训内容覆盖智慧平台从研究项目立项、受试者入组、方案执行、数据管理到研究结题归档的全业务流程。坚持“实操为主、理论为辅”，理论教学占比严格控制在30%以内，每个核心操作环节均设置对应的实操练习任务。建立平台操作案例分享，重点围绕高频错误、易错环节、关键节点开展针对性强化训练，确保培训内容与临床研究实际工作无缝衔接。</w:t>
      </w:r>
    </w:p>
    <w:p w14:paraId="199787B3">
      <w:pPr>
        <w:pStyle w:val="108"/>
        <w:spacing w:before="120" w:after="120"/>
        <w:outlineLvl w:val="9"/>
      </w:pPr>
      <w:bookmarkStart w:id="57" w:name="_Toc227239160"/>
      <w:r>
        <w:rPr>
          <w:rFonts w:hint="eastAsia"/>
        </w:rPr>
        <w:t>场景化原则</w:t>
      </w:r>
      <w:bookmarkEnd w:id="57"/>
    </w:p>
    <w:p w14:paraId="653D9C5E">
      <w:pPr>
        <w:pStyle w:val="59"/>
        <w:ind w:firstLine="420"/>
      </w:pPr>
      <w:r>
        <w:rPr>
          <w:rFonts w:hint="eastAsia"/>
        </w:rPr>
        <w:t>构建涵盖受试者入组核查、严重不良事件紧急上报、数据溯源核查、质控问题闭环整改、试验用药紧急召回、系统故障应急处理等不少于20个临床研究典型工作场景库。采用沉浸式角色扮演与模拟演练方式，让培训对象在接近真实的工作场景中掌握操作要点与应急处理流程。场景库每半年更新1次，及时补充新业务场景与典型问题案例。</w:t>
      </w:r>
    </w:p>
    <w:p w14:paraId="07A4A0C9">
      <w:pPr>
        <w:pStyle w:val="108"/>
        <w:spacing w:before="120" w:after="120"/>
        <w:outlineLvl w:val="9"/>
      </w:pPr>
      <w:bookmarkStart w:id="58" w:name="_Toc227239161"/>
      <w:r>
        <w:rPr>
          <w:rFonts w:hint="eastAsia"/>
        </w:rPr>
        <w:t>智慧化原则</w:t>
      </w:r>
      <w:bookmarkEnd w:id="58"/>
      <w:r>
        <w:rPr>
          <w:rFonts w:hint="eastAsia"/>
        </w:rPr>
        <w:t>（培训的内容是智慧化）</w:t>
      </w:r>
    </w:p>
    <w:p w14:paraId="51B9024E">
      <w:pPr>
        <w:pStyle w:val="59"/>
        <w:ind w:firstLine="420"/>
      </w:pPr>
      <w:r>
        <w:rPr>
          <w:rFonts w:hint="eastAsia"/>
        </w:rPr>
        <w:t>充分利用智慧平台自身的人工智能、大数据技术能力开展培训，通过AI学习引擎分析培训对象的学习进度、错题类型与操作习惯，自动推送个性化学习内容与专项练习任务；利用智能操作纠错系统，实时反馈实操中的问题并提供标准化指导；自动生成个人培训档案与能力评估报告，为操作权限调整与后续培训计划制定提供数据支撑。</w:t>
      </w:r>
    </w:p>
    <w:p w14:paraId="419A4885">
      <w:pPr>
        <w:pStyle w:val="107"/>
        <w:spacing w:before="240" w:after="240"/>
      </w:pPr>
      <w:bookmarkStart w:id="59" w:name="_Toc227756715"/>
      <w:bookmarkStart w:id="60" w:name="_Toc227246297"/>
      <w:bookmarkStart w:id="61" w:name="_Toc227239162"/>
      <w:r>
        <w:rPr>
          <w:rFonts w:hint="eastAsia"/>
        </w:rPr>
        <w:t>培训计划</w:t>
      </w:r>
      <w:bookmarkEnd w:id="59"/>
      <w:bookmarkEnd w:id="60"/>
      <w:bookmarkEnd w:id="61"/>
    </w:p>
    <w:p w14:paraId="56DCFC84">
      <w:pPr>
        <w:pStyle w:val="108"/>
        <w:spacing w:before="120" w:after="120"/>
        <w:outlineLvl w:val="9"/>
      </w:pPr>
      <w:bookmarkStart w:id="62" w:name="_Toc227239163"/>
      <w:r>
        <w:rPr>
          <w:rFonts w:hint="eastAsia"/>
        </w:rPr>
        <w:t>准入阶段</w:t>
      </w:r>
      <w:bookmarkEnd w:id="62"/>
    </w:p>
    <w:p w14:paraId="76D04ADC">
      <w:pPr>
        <w:pStyle w:val="59"/>
        <w:numPr>
          <w:ilvl w:val="0"/>
          <w:numId w:val="33"/>
        </w:numPr>
        <w:ind w:left="0" w:firstLine="420" w:firstLineChars="200"/>
      </w:pPr>
      <w:r>
        <w:rPr>
          <w:rFonts w:hint="eastAsia"/>
        </w:rPr>
        <w:t>培训时间：智慧平台正式上线前1-2周；新入职临床研究人员在3个工作日内启动。</w:t>
      </w:r>
    </w:p>
    <w:p w14:paraId="2FD4E43E">
      <w:pPr>
        <w:pStyle w:val="59"/>
        <w:numPr>
          <w:ilvl w:val="0"/>
          <w:numId w:val="33"/>
        </w:numPr>
        <w:ind w:left="0" w:firstLine="420" w:firstLineChars="200"/>
      </w:pPr>
      <w:r>
        <w:rPr>
          <w:rFonts w:hint="eastAsia"/>
        </w:rPr>
        <w:t>培训对象：所有拟申请平台操作权限的临床研究医生、临床研究护士、平台管理人员、平台运行维护人员、CRO/SMO及第三方服务人员。</w:t>
      </w:r>
    </w:p>
    <w:p w14:paraId="1544DDFE">
      <w:pPr>
        <w:pStyle w:val="59"/>
        <w:numPr>
          <w:ilvl w:val="0"/>
          <w:numId w:val="33"/>
        </w:numPr>
        <w:ind w:left="0" w:firstLine="420" w:firstLineChars="200"/>
      </w:pPr>
      <w:r>
        <w:rPr>
          <w:rFonts w:hint="eastAsia"/>
        </w:rPr>
        <w:t>培训内容：</w:t>
      </w:r>
      <w:r>
        <w:t>对应各岗位通用基础模块与核心基础操作内容</w:t>
      </w:r>
      <w:r>
        <w:rPr>
          <w:rFonts w:hint="eastAsia"/>
        </w:rPr>
        <w:t>。。</w:t>
      </w:r>
    </w:p>
    <w:p w14:paraId="0E0506FC">
      <w:pPr>
        <w:pStyle w:val="59"/>
        <w:numPr>
          <w:ilvl w:val="0"/>
          <w:numId w:val="33"/>
        </w:numPr>
        <w:ind w:left="0" w:firstLine="420" w:firstLineChars="200"/>
      </w:pPr>
      <w:r>
        <w:rPr>
          <w:rFonts w:hint="eastAsia"/>
        </w:rPr>
        <w:t>培训目的：</w:t>
      </w:r>
      <w:r>
        <w:t>使培训对象掌握平台基本操作规范、安全合规要求及本岗位核心职责，具备上岗操作的基本能力</w:t>
      </w:r>
      <w:r>
        <w:rPr>
          <w:rFonts w:hint="eastAsia"/>
        </w:rPr>
        <w:t>。</w:t>
      </w:r>
    </w:p>
    <w:p w14:paraId="71E99D61">
      <w:pPr>
        <w:pStyle w:val="108"/>
        <w:spacing w:before="120" w:after="120"/>
        <w:outlineLvl w:val="9"/>
      </w:pPr>
      <w:bookmarkStart w:id="63" w:name="_Toc227239164"/>
      <w:r>
        <w:rPr>
          <w:rFonts w:hint="eastAsia"/>
        </w:rPr>
        <w:t>强化阶段</w:t>
      </w:r>
      <w:bookmarkEnd w:id="63"/>
    </w:p>
    <w:p w14:paraId="2A47760B">
      <w:pPr>
        <w:pStyle w:val="59"/>
        <w:numPr>
          <w:ilvl w:val="0"/>
          <w:numId w:val="34"/>
        </w:numPr>
        <w:ind w:left="0" w:firstLine="420" w:firstLineChars="200"/>
      </w:pPr>
      <w:r>
        <w:rPr>
          <w:rFonts w:hint="eastAsia"/>
        </w:rPr>
        <w:t>培训时间：智慧平台正式上线后1-3个月；新员工通过准入考核后1个月内。</w:t>
      </w:r>
    </w:p>
    <w:p w14:paraId="12885BBD">
      <w:pPr>
        <w:pStyle w:val="59"/>
        <w:numPr>
          <w:ilvl w:val="0"/>
          <w:numId w:val="34"/>
        </w:numPr>
        <w:ind w:left="0" w:firstLine="420" w:firstLineChars="200"/>
      </w:pPr>
      <w:r>
        <w:rPr>
          <w:rFonts w:hint="eastAsia"/>
        </w:rPr>
        <w:t>培训对象：已通过准入考核的平台使用人员。</w:t>
      </w:r>
    </w:p>
    <w:p w14:paraId="1434300A">
      <w:pPr>
        <w:pStyle w:val="59"/>
        <w:numPr>
          <w:ilvl w:val="0"/>
          <w:numId w:val="34"/>
        </w:numPr>
        <w:ind w:left="0" w:firstLine="420" w:firstLineChars="200"/>
      </w:pPr>
      <w:r>
        <w:rPr>
          <w:rFonts w:hint="eastAsia"/>
        </w:rPr>
        <w:t>培训内容：每日收集汇总平台运行中的操作问题，当日集中答疑解决；针对共性问题与流程堵点开展专项培训；组织典型案例研讨与操作技能交流；完成智慧应用模块基础培训；评估平台使用人员适应情况，动态调整操作权限。</w:t>
      </w:r>
    </w:p>
    <w:p w14:paraId="3123A2F6">
      <w:pPr>
        <w:pStyle w:val="59"/>
        <w:numPr>
          <w:ilvl w:val="0"/>
          <w:numId w:val="34"/>
        </w:numPr>
        <w:ind w:left="0" w:firstLine="420" w:firstLineChars="200"/>
      </w:pPr>
      <w:r>
        <w:rPr>
          <w:rFonts w:hint="eastAsia"/>
        </w:rPr>
        <w:t>培训目的：</w:t>
      </w:r>
      <w:r>
        <w:t>提升培训对象独立操作能力与问题解决能力，保障平台平稳高效运行</w:t>
      </w:r>
      <w:r>
        <w:rPr>
          <w:rFonts w:hint="eastAsia"/>
        </w:rPr>
        <w:t>。</w:t>
      </w:r>
    </w:p>
    <w:p w14:paraId="3F2F7B1A">
      <w:pPr>
        <w:pStyle w:val="108"/>
        <w:spacing w:before="120" w:after="120"/>
        <w:outlineLvl w:val="9"/>
      </w:pPr>
      <w:bookmarkStart w:id="64" w:name="_Toc227239165"/>
      <w:r>
        <w:rPr>
          <w:rFonts w:hint="eastAsia"/>
        </w:rPr>
        <w:t>持续提升阶段</w:t>
      </w:r>
      <w:bookmarkEnd w:id="64"/>
    </w:p>
    <w:p w14:paraId="1B927614">
      <w:pPr>
        <w:pStyle w:val="59"/>
        <w:numPr>
          <w:ilvl w:val="0"/>
          <w:numId w:val="35"/>
        </w:numPr>
        <w:ind w:left="0" w:firstLine="420" w:firstLineChars="200"/>
      </w:pPr>
      <w:r>
        <w:rPr>
          <w:rFonts w:hint="eastAsia"/>
        </w:rPr>
        <w:t>培训时间：智慧平台稳定运行后常态化开展。</w:t>
      </w:r>
    </w:p>
    <w:p w14:paraId="5CC8AABD">
      <w:pPr>
        <w:pStyle w:val="59"/>
        <w:numPr>
          <w:ilvl w:val="0"/>
          <w:numId w:val="35"/>
        </w:numPr>
        <w:ind w:left="0" w:firstLine="420" w:firstLineChars="200"/>
      </w:pPr>
      <w:r>
        <w:rPr>
          <w:rFonts w:hint="eastAsia"/>
        </w:rPr>
        <w:t>培训对象：所有平台使用人员。</w:t>
      </w:r>
    </w:p>
    <w:p w14:paraId="194B0DD2">
      <w:pPr>
        <w:pStyle w:val="59"/>
        <w:numPr>
          <w:ilvl w:val="0"/>
          <w:numId w:val="35"/>
        </w:numPr>
        <w:ind w:left="0" w:firstLine="420" w:firstLineChars="200"/>
      </w:pPr>
      <w:r>
        <w:rPr>
          <w:rFonts w:hint="eastAsia"/>
        </w:rPr>
        <w:t>培训内容：跟进临床研究质量控制中发现的操作问题，开展针对性强化培训；学习平台新增功能与进阶智慧应用；定期复盘操作流程，优化工作方法；选拔优秀骨干人员开展高级培训，培养内部培训师资。</w:t>
      </w:r>
    </w:p>
    <w:p w14:paraId="6F5E001C">
      <w:pPr>
        <w:pStyle w:val="59"/>
        <w:numPr>
          <w:ilvl w:val="0"/>
          <w:numId w:val="35"/>
        </w:numPr>
        <w:ind w:left="0" w:firstLine="420" w:firstLineChars="200"/>
      </w:pPr>
      <w:r>
        <w:rPr>
          <w:rFonts w:hint="eastAsia"/>
        </w:rPr>
        <w:t>培训目的：</w:t>
      </w:r>
      <w:r>
        <w:t>持续提升人员专业能力与平台应用水平，推动平台功能深度应用与持续优化</w:t>
      </w:r>
      <w:r>
        <w:rPr>
          <w:rFonts w:hint="eastAsia"/>
        </w:rPr>
        <w:t>。</w:t>
      </w:r>
    </w:p>
    <w:p w14:paraId="043735AD">
      <w:pPr>
        <w:pStyle w:val="107"/>
        <w:spacing w:before="240" w:after="240"/>
      </w:pPr>
      <w:bookmarkStart w:id="65" w:name="_Toc227239166"/>
      <w:bookmarkStart w:id="66" w:name="_Toc227246298"/>
      <w:bookmarkStart w:id="67" w:name="_Toc227756716"/>
      <w:r>
        <w:rPr>
          <w:rFonts w:hint="eastAsia"/>
        </w:rPr>
        <w:t>培训对象</w:t>
      </w:r>
      <w:bookmarkEnd w:id="65"/>
      <w:bookmarkEnd w:id="66"/>
      <w:bookmarkEnd w:id="67"/>
    </w:p>
    <w:p w14:paraId="5512D8EE">
      <w:pPr>
        <w:pStyle w:val="108"/>
        <w:spacing w:before="120" w:after="120"/>
        <w:outlineLvl w:val="9"/>
      </w:pPr>
      <w:bookmarkStart w:id="68" w:name="_Toc227239167"/>
      <w:r>
        <w:rPr>
          <w:rFonts w:hint="eastAsia"/>
        </w:rPr>
        <w:t>临床研究医生</w:t>
      </w:r>
      <w:bookmarkEnd w:id="68"/>
    </w:p>
    <w:p w14:paraId="4F190D4F">
      <w:pPr>
        <w:pStyle w:val="59"/>
        <w:ind w:firstLine="420"/>
      </w:pPr>
      <w:r>
        <w:rPr>
          <w:rFonts w:hint="eastAsia"/>
        </w:rPr>
        <w:t>包括主要研究者、研究者及研究助理。通过培训，各类人员应掌握临床研究智慧管理平台操作应用的以下基本能力：</w:t>
      </w:r>
    </w:p>
    <w:p w14:paraId="0F206A4A">
      <w:pPr>
        <w:pStyle w:val="59"/>
        <w:numPr>
          <w:ilvl w:val="1"/>
          <w:numId w:val="36"/>
        </w:numPr>
        <w:ind w:left="0" w:firstLine="420" w:firstLineChars="200"/>
      </w:pPr>
      <w:r>
        <w:rPr>
          <w:rFonts w:hint="eastAsia"/>
        </w:rPr>
        <w:t>主要研究者：掌握平台项目整体管控与权限分配的基本操作能力，能够熟练运用平台进行团队分级授权、研究进度全景监控及多中心研究数据的协同管理。</w:t>
      </w:r>
    </w:p>
    <w:p w14:paraId="699A6382">
      <w:pPr>
        <w:pStyle w:val="59"/>
        <w:numPr>
          <w:ilvl w:val="1"/>
          <w:numId w:val="36"/>
        </w:numPr>
        <w:ind w:left="0" w:firstLine="420" w:firstLineChars="200"/>
      </w:pPr>
      <w:r>
        <w:rPr>
          <w:rFonts w:hint="eastAsia"/>
        </w:rPr>
        <w:t>研究者：掌握受试者全流程电子化管理与数据审核的基本操作能力，能够熟练运用平台完成受试者筛选与入组评判、电子病历与研究数据的在线审核确认及质疑闭环处理，能够规范完成不良事件（AE/SAE）的电子化评估与上报，具备运用平台工具生成研究阶段性报告的基本能力。</w:t>
      </w:r>
    </w:p>
    <w:p w14:paraId="62E86F21">
      <w:pPr>
        <w:pStyle w:val="59"/>
        <w:numPr>
          <w:ilvl w:val="1"/>
          <w:numId w:val="36"/>
        </w:numPr>
        <w:ind w:left="0" w:firstLine="420" w:firstLineChars="200"/>
      </w:pPr>
      <w:r>
        <w:rPr>
          <w:rFonts w:hint="eastAsia"/>
        </w:rPr>
        <w:t>研究助理：掌握临床研究基础数据的规范化处理基本能力，能够熟练进行源数据向电子系统的准确录入，能够规范执行电子文档的分类归档与版本管理，掌握平台质控预警问题的接收、跟踪与整改反馈操作。</w:t>
      </w:r>
    </w:p>
    <w:p w14:paraId="09FC3D54">
      <w:pPr>
        <w:pStyle w:val="108"/>
        <w:spacing w:before="120" w:after="120"/>
        <w:outlineLvl w:val="9"/>
      </w:pPr>
      <w:bookmarkStart w:id="69" w:name="_Toc227239168"/>
      <w:r>
        <w:rPr>
          <w:rFonts w:hint="eastAsia"/>
        </w:rPr>
        <w:t>临床研究护士</w:t>
      </w:r>
      <w:bookmarkEnd w:id="69"/>
    </w:p>
    <w:p w14:paraId="2CC9680E">
      <w:pPr>
        <w:pStyle w:val="59"/>
        <w:ind w:firstLine="420"/>
      </w:pPr>
      <w:r>
        <w:rPr>
          <w:rFonts w:hint="eastAsia"/>
        </w:rPr>
        <w:t>包括研究护士、药物护士及标本护士。通过培训，各类人员应掌握临床研究智慧管理平台操作应用的以下基本能力：</w:t>
      </w:r>
    </w:p>
    <w:p w14:paraId="45A99ED4">
      <w:pPr>
        <w:pStyle w:val="59"/>
        <w:numPr>
          <w:ilvl w:val="1"/>
          <w:numId w:val="37"/>
        </w:numPr>
        <w:ind w:left="0" w:firstLine="420" w:firstLineChars="200"/>
      </w:pPr>
      <w:r>
        <w:rPr>
          <w:rFonts w:hint="eastAsia"/>
        </w:rPr>
        <w:t>研究护士：掌握受试者随访数字化执行的基本操作能力，能够熟练运用平台建立和维护受试者电子档案，规范执行电子知情同意书的在线签署与版本管控流程；能够准确响应平台的各类智能提醒，完成随访计划执行、生命体征等原始数据采集录入及可穿戴设备数据的对接操作。</w:t>
      </w:r>
    </w:p>
    <w:p w14:paraId="173EF845">
      <w:pPr>
        <w:pStyle w:val="59"/>
        <w:numPr>
          <w:ilvl w:val="1"/>
          <w:numId w:val="37"/>
        </w:numPr>
        <w:ind w:left="0" w:firstLine="420" w:firstLineChars="200"/>
      </w:pPr>
      <w:r>
        <w:rPr>
          <w:rFonts w:hint="eastAsia"/>
        </w:rPr>
        <w:t>药物护士：掌握试验用药全流程系统化记录的基本操作能力，能够熟练通过平台完成试验用药的接收、入库、领取、发放、回收与销毁等环节的系统扫码操作与台账记录，掌握试验用药冷链温湿度的系统监控及异常情况的在线预警响应操作。</w:t>
      </w:r>
    </w:p>
    <w:p w14:paraId="65C72CF5">
      <w:pPr>
        <w:pStyle w:val="59"/>
        <w:numPr>
          <w:ilvl w:val="1"/>
          <w:numId w:val="37"/>
        </w:numPr>
        <w:ind w:left="0" w:firstLine="420" w:firstLineChars="200"/>
      </w:pPr>
      <w:r>
        <w:rPr>
          <w:rFonts w:hint="eastAsia"/>
        </w:rPr>
        <w:t>标本护士：掌握生物标本全流程系统追溯的基本操作能力，能够熟练运用平台完成生物标本采集、条码标识打印、交接转运与存储等关键环节的系统打卡与状态记录，掌握检验检查结果与平台数据的自动同步核对操作，能够准确完成异常检验值的系统标记与上报流转。</w:t>
      </w:r>
    </w:p>
    <w:p w14:paraId="25148E32">
      <w:pPr>
        <w:pStyle w:val="108"/>
        <w:spacing w:before="120" w:after="120"/>
        <w:outlineLvl w:val="9"/>
      </w:pPr>
      <w:r>
        <w:t>平台管理人员</w:t>
      </w:r>
    </w:p>
    <w:p w14:paraId="209FC9D1">
      <w:pPr>
        <w:pStyle w:val="59"/>
        <w:ind w:firstLine="420"/>
      </w:pPr>
      <w:r>
        <w:rPr>
          <w:rFonts w:hint="eastAsia"/>
        </w:rPr>
        <w:t>包括机构办公室管理人员、项目管理人员、质量控制管理人员。通过培训，各类人员应掌握以下基本能力：</w:t>
      </w:r>
    </w:p>
    <w:p w14:paraId="2D0E0C80">
      <w:pPr>
        <w:pStyle w:val="59"/>
        <w:numPr>
          <w:ilvl w:val="1"/>
          <w:numId w:val="38"/>
        </w:numPr>
        <w:ind w:left="0" w:firstLine="420" w:firstLineChars="200"/>
      </w:pPr>
      <w:r>
        <w:rPr>
          <w:rFonts w:hint="eastAsia"/>
        </w:rPr>
        <w:t>机构办公室管理人员：掌握平台整体运行管控、权限体系管理、多项目统筹协调及跨部门协同能力，能够运用平台进行研究进度监控、资源调配及合规性监管。</w:t>
      </w:r>
    </w:p>
    <w:p w14:paraId="0F025F79">
      <w:pPr>
        <w:pStyle w:val="59"/>
        <w:numPr>
          <w:ilvl w:val="1"/>
          <w:numId w:val="38"/>
        </w:numPr>
        <w:ind w:left="0" w:firstLine="420" w:firstLineChars="200"/>
      </w:pPr>
      <w:r>
        <w:rPr>
          <w:rFonts w:hint="eastAsia"/>
        </w:rPr>
        <w:t>项目管理人员：掌握平台内项目全生命周期管理操作，能够熟练完成项目创建、人员授权、进度跟踪、问题协调及项目归档管理。</w:t>
      </w:r>
    </w:p>
    <w:p w14:paraId="691557AE">
      <w:pPr>
        <w:pStyle w:val="59"/>
        <w:numPr>
          <w:ilvl w:val="1"/>
          <w:numId w:val="38"/>
        </w:numPr>
        <w:ind w:left="0" w:firstLine="420" w:firstLineChars="200"/>
      </w:pPr>
      <w:r>
        <w:rPr>
          <w:rFonts w:hint="eastAsia"/>
        </w:rPr>
        <w:t>质量控制管理人员：掌握平台内置质控规则配置、质控任务派发、质控问题闭环管理及质量数据统计分析能力，能够运用平台开展实时质控与专项稽查。</w:t>
      </w:r>
    </w:p>
    <w:p w14:paraId="72D1AD49">
      <w:pPr>
        <w:pStyle w:val="108"/>
        <w:spacing w:before="120" w:after="120"/>
        <w:outlineLvl w:val="9"/>
      </w:pPr>
      <w:r>
        <w:rPr>
          <w:rFonts w:hint="eastAsia"/>
        </w:rPr>
        <w:t>平台运行维护人员</w:t>
      </w:r>
    </w:p>
    <w:p w14:paraId="70F1CC1E">
      <w:pPr>
        <w:pStyle w:val="59"/>
        <w:ind w:firstLine="420"/>
      </w:pPr>
      <w:r>
        <w:t>包括平台系统管理员、网络安全管理员、硬件运维人员。通过培训，各类人员应掌握以下基本能力：</w:t>
      </w:r>
    </w:p>
    <w:p w14:paraId="07308BD2">
      <w:pPr>
        <w:pStyle w:val="59"/>
        <w:numPr>
          <w:ilvl w:val="0"/>
          <w:numId w:val="39"/>
        </w:numPr>
        <w:ind w:left="0" w:firstLine="420" w:firstLineChars="200"/>
      </w:pPr>
      <w:r>
        <w:t>系统管理员：掌握平台部署架构、系统配置、用户账号管理、数据备份恢复及常见故障排查处理能力，能够保障平台稳定运行。</w:t>
      </w:r>
    </w:p>
    <w:p w14:paraId="6C70A092">
      <w:pPr>
        <w:pStyle w:val="59"/>
        <w:numPr>
          <w:ilvl w:val="0"/>
          <w:numId w:val="39"/>
        </w:numPr>
        <w:ind w:left="0" w:firstLine="420" w:firstLineChars="200"/>
      </w:pPr>
      <w:r>
        <w:t>网络安全管理员：掌握平台网络安全防护、数据加密脱敏、访问控制管理、安全事件应急处置及等保合规要求，能够防范数据泄露与网络攻击。</w:t>
      </w:r>
    </w:p>
    <w:p w14:paraId="37CD0477">
      <w:pPr>
        <w:pStyle w:val="59"/>
        <w:numPr>
          <w:ilvl w:val="0"/>
          <w:numId w:val="39"/>
        </w:numPr>
        <w:ind w:left="0" w:firstLine="420" w:firstLineChars="200"/>
      </w:pPr>
      <w:r>
        <w:t>硬件运维人员：掌握平台配套硬件设备的安装调试、日常维护及故障维修能力，保障硬件设备正常运行。</w:t>
      </w:r>
    </w:p>
    <w:p w14:paraId="4F3113C9">
      <w:pPr>
        <w:pStyle w:val="108"/>
        <w:spacing w:before="120" w:after="120"/>
        <w:outlineLvl w:val="9"/>
      </w:pPr>
      <w:r>
        <w:t>培训讲师</w:t>
      </w:r>
    </w:p>
    <w:p w14:paraId="28D0D598">
      <w:pPr>
        <w:pStyle w:val="59"/>
        <w:ind w:firstLine="0" w:firstLineChars="0"/>
      </w:pPr>
      <w:r>
        <w:rPr>
          <w:rFonts w:hint="eastAsia"/>
        </w:rPr>
        <w:t>包括内部培训师与外部技术讲师。通过培训，各类人员应掌握以下基本能力：</w:t>
      </w:r>
    </w:p>
    <w:p w14:paraId="6E9EFE4F">
      <w:pPr>
        <w:pStyle w:val="59"/>
        <w:numPr>
          <w:ilvl w:val="1"/>
          <w:numId w:val="40"/>
        </w:numPr>
        <w:ind w:left="0" w:firstLine="420" w:firstLineChars="200"/>
      </w:pPr>
      <w:r>
        <w:rPr>
          <w:rFonts w:hint="eastAsia"/>
        </w:rPr>
        <w:t>内部培训师：掌握平台核心功能操作、培训课程设计、教学方法运用及考核评价能力，能够独立开展实操培训与问题答疑。</w:t>
      </w:r>
    </w:p>
    <w:p w14:paraId="648F1196">
      <w:pPr>
        <w:pStyle w:val="59"/>
        <w:numPr>
          <w:ilvl w:val="1"/>
          <w:numId w:val="40"/>
        </w:numPr>
        <w:ind w:left="0" w:firstLine="420" w:firstLineChars="200"/>
      </w:pPr>
      <w:r>
        <w:rPr>
          <w:rFonts w:hint="eastAsia"/>
        </w:rPr>
        <w:t>外部技术讲师：掌握平台技术架构、底层原理、高级功能应用及定制化开发知识，能够开展技术进阶培训与疑难问题解决。</w:t>
      </w:r>
    </w:p>
    <w:p w14:paraId="5FA28F1E">
      <w:pPr>
        <w:pStyle w:val="108"/>
        <w:spacing w:before="120" w:after="120"/>
        <w:outlineLvl w:val="9"/>
        <w:rPr>
          <w:rFonts w:ascii="Times New Roman"/>
        </w:rPr>
      </w:pPr>
      <w:r>
        <w:rPr>
          <w:rFonts w:hint="default" w:ascii="Times New Roman"/>
        </w:rPr>
        <w:t>CRO/SMO及第三方服务人员</w:t>
      </w:r>
    </w:p>
    <w:p w14:paraId="7A5953C0">
      <w:pPr>
        <w:pStyle w:val="59"/>
        <w:ind w:firstLine="420"/>
      </w:pPr>
      <w:r>
        <w:rPr>
          <w:rFonts w:hint="eastAsia"/>
        </w:rPr>
        <w:t>包括临床研究协调员（CRC）、临床监查员（CRA）、数据管理员、统计分析师。通过培训，各类人员应掌握以下基本能力：</w:t>
      </w:r>
    </w:p>
    <w:p w14:paraId="4FEEF57E">
      <w:pPr>
        <w:pStyle w:val="59"/>
        <w:numPr>
          <w:ilvl w:val="1"/>
          <w:numId w:val="41"/>
        </w:numPr>
        <w:ind w:left="0" w:firstLine="420" w:firstLineChars="200"/>
      </w:pPr>
      <w:r>
        <w:rPr>
          <w:rFonts w:hint="eastAsia"/>
        </w:rPr>
        <w:t>CRC：掌握平台内受试者数据录入、随访执行、文档管理及质控问题整改操作，能够协助研究者完成日常研究工作。</w:t>
      </w:r>
    </w:p>
    <w:p w14:paraId="1D4CCFA6">
      <w:pPr>
        <w:pStyle w:val="59"/>
        <w:numPr>
          <w:ilvl w:val="1"/>
          <w:numId w:val="41"/>
        </w:numPr>
        <w:ind w:left="0" w:firstLine="420" w:firstLineChars="200"/>
      </w:pPr>
      <w:r>
        <w:rPr>
          <w:rFonts w:hint="eastAsia"/>
        </w:rPr>
        <w:t>CRA：掌握平台内研究数据监查、源数据核查（SDV）、质控问题跟踪及研究进度核实操作，能够开展远程监查与现场核查。</w:t>
      </w:r>
    </w:p>
    <w:p w14:paraId="26C6C3DC">
      <w:pPr>
        <w:pStyle w:val="59"/>
        <w:numPr>
          <w:ilvl w:val="1"/>
          <w:numId w:val="41"/>
        </w:numPr>
        <w:ind w:left="0" w:firstLine="420" w:firstLineChars="200"/>
      </w:pPr>
      <w:r>
        <w:rPr>
          <w:rFonts w:hint="eastAsia"/>
        </w:rPr>
        <w:t>数据管理员：掌握平台数据导出、数据清洗、数据质疑管理及数据归档操作，能够运用平台工具开展数据质量核查。</w:t>
      </w:r>
    </w:p>
    <w:p w14:paraId="32549D5F">
      <w:pPr>
        <w:pStyle w:val="59"/>
        <w:numPr>
          <w:ilvl w:val="1"/>
          <w:numId w:val="41"/>
        </w:numPr>
        <w:ind w:left="0" w:firstLine="420" w:firstLineChars="200"/>
      </w:pPr>
      <w:r>
        <w:rPr>
          <w:rFonts w:hint="eastAsia"/>
        </w:rPr>
        <w:t>统计分析师：掌握平台统计分析模块使用、数据集提取及统计报告生成操作，能够基于平台数据开展统计分析工作。</w:t>
      </w:r>
    </w:p>
    <w:p w14:paraId="7326262B">
      <w:pPr>
        <w:pStyle w:val="107"/>
        <w:spacing w:before="240" w:after="240"/>
      </w:pPr>
      <w:bookmarkStart w:id="70" w:name="_Toc227246299"/>
      <w:bookmarkStart w:id="71" w:name="_Toc227239169"/>
      <w:bookmarkStart w:id="72" w:name="_Toc227756717"/>
      <w:r>
        <w:rPr>
          <w:rFonts w:hint="eastAsia"/>
        </w:rPr>
        <w:t>培训内容</w:t>
      </w:r>
      <w:bookmarkEnd w:id="70"/>
      <w:bookmarkEnd w:id="71"/>
      <w:bookmarkEnd w:id="72"/>
    </w:p>
    <w:p w14:paraId="1993259A">
      <w:pPr>
        <w:pStyle w:val="108"/>
        <w:spacing w:before="120" w:after="120"/>
        <w:outlineLvl w:val="9"/>
        <w:rPr>
          <w:rFonts w:ascii="Times New Roman"/>
        </w:rPr>
      </w:pPr>
      <w:bookmarkStart w:id="73" w:name="_Toc227239170"/>
      <w:r>
        <w:rPr>
          <w:rFonts w:hint="eastAsia" w:ascii="Times New Roman"/>
        </w:rPr>
        <w:t>通用基础模块</w:t>
      </w:r>
      <w:bookmarkEnd w:id="73"/>
    </w:p>
    <w:p w14:paraId="3D1640AA">
      <w:pPr>
        <w:pStyle w:val="59"/>
        <w:numPr>
          <w:ilvl w:val="0"/>
          <w:numId w:val="42"/>
        </w:numPr>
        <w:ind w:left="0" w:firstLine="420" w:firstLineChars="200"/>
      </w:pPr>
      <w:r>
        <w:rPr>
          <w:rFonts w:hint="eastAsia"/>
        </w:rPr>
        <w:t>智慧平台总体架构、核心功能模块及全业务流程全景介绍。</w:t>
      </w:r>
    </w:p>
    <w:p w14:paraId="19BB8AAF">
      <w:pPr>
        <w:pStyle w:val="59"/>
        <w:numPr>
          <w:ilvl w:val="0"/>
          <w:numId w:val="42"/>
        </w:numPr>
        <w:ind w:left="0" w:firstLine="420" w:firstLineChars="200"/>
      </w:pPr>
      <w:r>
        <w:rPr>
          <w:rFonts w:hint="eastAsia"/>
        </w:rPr>
        <w:t>《药物临床试验质量管理规范》等相关法规中关于电子数据、电子签名、受试者隐私保护的核心要求。</w:t>
      </w:r>
    </w:p>
    <w:p w14:paraId="4AC415A5">
      <w:pPr>
        <w:pStyle w:val="59"/>
        <w:numPr>
          <w:ilvl w:val="0"/>
          <w:numId w:val="42"/>
        </w:numPr>
        <w:ind w:left="0" w:firstLine="420" w:firstLineChars="200"/>
      </w:pPr>
      <w:r>
        <w:rPr>
          <w:rFonts w:hint="eastAsia"/>
        </w:rPr>
        <w:t>平台账号管理、权限分级体系及操作权限申请、变更、注销流程。</w:t>
      </w:r>
    </w:p>
    <w:p w14:paraId="5F7F2C03">
      <w:pPr>
        <w:pStyle w:val="59"/>
        <w:numPr>
          <w:ilvl w:val="0"/>
          <w:numId w:val="42"/>
        </w:numPr>
        <w:ind w:left="0" w:firstLine="420" w:firstLineChars="200"/>
      </w:pPr>
      <w:r>
        <w:rPr>
          <w:rFonts w:hint="eastAsia"/>
        </w:rPr>
        <w:t>平台网络安全与数据安全规范，包括密码管理、数据脱敏、防泄露措施及应急处理流程。</w:t>
      </w:r>
    </w:p>
    <w:p w14:paraId="2CC85D76">
      <w:pPr>
        <w:pStyle w:val="59"/>
        <w:numPr>
          <w:ilvl w:val="0"/>
          <w:numId w:val="42"/>
        </w:numPr>
        <w:ind w:left="0" w:firstLine="420" w:firstLineChars="200"/>
      </w:pPr>
      <w:r>
        <w:rPr>
          <w:rFonts w:hint="eastAsia"/>
        </w:rPr>
        <w:t>平台常见故障排查方法与技术支持服务流程。</w:t>
      </w:r>
    </w:p>
    <w:p w14:paraId="1DB640B3">
      <w:pPr>
        <w:pStyle w:val="59"/>
        <w:numPr>
          <w:ilvl w:val="0"/>
          <w:numId w:val="42"/>
        </w:numPr>
        <w:ind w:left="0" w:firstLine="420" w:firstLineChars="200"/>
      </w:pPr>
      <w:r>
        <w:rPr>
          <w:rFonts w:hint="eastAsia"/>
        </w:rPr>
        <w:t>培训考核要求与操作资格证书管理规定。</w:t>
      </w:r>
    </w:p>
    <w:p w14:paraId="73DCDBC8">
      <w:pPr>
        <w:pStyle w:val="108"/>
        <w:spacing w:before="120" w:after="120"/>
        <w:outlineLvl w:val="9"/>
        <w:rPr>
          <w:rFonts w:ascii="Times New Roman"/>
        </w:rPr>
      </w:pPr>
      <w:bookmarkStart w:id="74" w:name="_Toc227239171"/>
      <w:r>
        <w:rPr>
          <w:rFonts w:ascii="Times New Roman"/>
        </w:rPr>
        <w:t>架构设计</w:t>
      </w:r>
      <w:r>
        <w:rPr>
          <w:rFonts w:hint="eastAsia" w:ascii="Times New Roman"/>
        </w:rPr>
        <w:t>模块</w:t>
      </w:r>
      <w:bookmarkEnd w:id="74"/>
    </w:p>
    <w:p w14:paraId="7AE86FCE">
      <w:pPr>
        <w:pStyle w:val="59"/>
        <w:ind w:firstLine="420"/>
      </w:pPr>
      <w:r>
        <w:rPr>
          <w:rFonts w:hint="eastAsia"/>
        </w:rPr>
        <w:t>本模块面向所有培训对象，重点讲解平台顶层设计与技术支撑体系，不同岗位培训侧重点如下：</w:t>
      </w:r>
    </w:p>
    <w:p w14:paraId="42161E42">
      <w:pPr>
        <w:pStyle w:val="59"/>
        <w:numPr>
          <w:ilvl w:val="1"/>
          <w:numId w:val="43"/>
        </w:numPr>
        <w:ind w:left="0" w:firstLine="420" w:firstLineChars="200"/>
      </w:pPr>
      <w:r>
        <w:rPr>
          <w:rFonts w:hint="eastAsia"/>
        </w:rPr>
        <w:t>临床研究医护人员：了解平台总体架构、核心功能模块划分及数据流转逻辑，掌握平台与院内HIS/LIS/PACS等系统的对接关系，明确各岗位在平台架构中的职责定位。</w:t>
      </w:r>
    </w:p>
    <w:p w14:paraId="65939D85">
      <w:pPr>
        <w:pStyle w:val="59"/>
        <w:numPr>
          <w:ilvl w:val="1"/>
          <w:numId w:val="43"/>
        </w:numPr>
        <w:ind w:left="0" w:firstLine="420" w:firstLineChars="200"/>
      </w:pPr>
      <w:r>
        <w:rPr>
          <w:rFonts w:hint="eastAsia"/>
        </w:rPr>
        <w:t>平台管理人员：掌握平台六级层级架构（基础设施层-资源层-支撑层-算法层-应用层-终端层）的功能定位，理解多中心协同架构设计原理，能够基于架构特点优化项目管理流程。</w:t>
      </w:r>
    </w:p>
    <w:p w14:paraId="6B0EE575">
      <w:pPr>
        <w:pStyle w:val="59"/>
        <w:numPr>
          <w:ilvl w:val="1"/>
          <w:numId w:val="43"/>
        </w:numPr>
        <w:ind w:left="0" w:firstLine="420" w:firstLineChars="200"/>
      </w:pPr>
      <w:r>
        <w:rPr>
          <w:rFonts w:hint="eastAsia"/>
        </w:rPr>
        <w:t>技术支持与运维人员：深入掌握平台各层级技术实现、硬件设备接入规范、外部系统接口标准及安全体系架构，能够开展系统部署、运维与故障排查。</w:t>
      </w:r>
    </w:p>
    <w:p w14:paraId="3585BA28">
      <w:pPr>
        <w:pStyle w:val="59"/>
        <w:numPr>
          <w:ilvl w:val="1"/>
          <w:numId w:val="43"/>
        </w:numPr>
        <w:ind w:left="0" w:firstLine="420" w:firstLineChars="200"/>
      </w:pPr>
      <w:r>
        <w:rPr>
          <w:rFonts w:hint="eastAsia"/>
        </w:rPr>
        <w:t>CRO/SMO及第三方服务人员：了解平台数据流转路径与接口规范，掌握第三方系统与平台的对接要求，明确数据交互的合规边界。</w:t>
      </w:r>
    </w:p>
    <w:p w14:paraId="664365B9">
      <w:pPr>
        <w:pStyle w:val="108"/>
        <w:spacing w:before="120" w:after="120"/>
        <w:outlineLvl w:val="9"/>
        <w:rPr>
          <w:rFonts w:ascii="Times New Roman"/>
        </w:rPr>
      </w:pPr>
      <w:r>
        <w:rPr>
          <w:rFonts w:ascii="Times New Roman"/>
        </w:rPr>
        <w:t>数据采集模块</w:t>
      </w:r>
    </w:p>
    <w:p w14:paraId="42A25834">
      <w:pPr>
        <w:pStyle w:val="59"/>
        <w:ind w:firstLine="420"/>
      </w:pPr>
      <w:r>
        <w:rPr>
          <w:rFonts w:hint="eastAsia"/>
        </w:rPr>
        <w:t>本模块面向所有直接参与数据采集与管理的人员，重点讲解数据采集全流程规范与智慧化采集技术，不同岗位培训侧重点如下：</w:t>
      </w:r>
    </w:p>
    <w:p w14:paraId="691E8F3E">
      <w:pPr>
        <w:pStyle w:val="59"/>
        <w:numPr>
          <w:ilvl w:val="1"/>
          <w:numId w:val="44"/>
        </w:numPr>
        <w:ind w:left="0" w:firstLine="420" w:firstLineChars="200"/>
      </w:pPr>
      <w:r>
        <w:rPr>
          <w:rFonts w:hint="eastAsia"/>
        </w:rPr>
        <w:t>临床研究医护人员：掌握多模态数据（文本、影像、生理时序、检验组学等）的采集方法与规范，熟练使用护理PDA、床旁采集盒等设备进行数据采集，了解自动采集与半自动采集的适用场景与操作要求。</w:t>
      </w:r>
    </w:p>
    <w:p w14:paraId="546A1AE2">
      <w:pPr>
        <w:pStyle w:val="59"/>
        <w:numPr>
          <w:ilvl w:val="1"/>
          <w:numId w:val="44"/>
        </w:numPr>
        <w:ind w:left="0" w:firstLine="420" w:firstLineChars="200"/>
      </w:pPr>
      <w:r>
        <w:rPr>
          <w:rFonts w:hint="eastAsia"/>
        </w:rPr>
        <w:t>平台管理人员：掌握数据采集策略配置、采集任务派发及采集质量监控方法，能够根据研究方案调整采集参数。</w:t>
      </w:r>
    </w:p>
    <w:p w14:paraId="05963662">
      <w:pPr>
        <w:pStyle w:val="59"/>
        <w:numPr>
          <w:ilvl w:val="1"/>
          <w:numId w:val="44"/>
        </w:numPr>
        <w:ind w:left="0" w:firstLine="420" w:firstLineChars="200"/>
      </w:pPr>
      <w:r>
        <w:rPr>
          <w:rFonts w:hint="eastAsia"/>
        </w:rPr>
        <w:t>技术支持与运维人员：掌握各类采集设备的接入调试、接口配置及数据采集异常排查方法，保障采集链路稳定运行。</w:t>
      </w:r>
    </w:p>
    <w:p w14:paraId="6EB0FEC1">
      <w:pPr>
        <w:pStyle w:val="59"/>
        <w:numPr>
          <w:ilvl w:val="1"/>
          <w:numId w:val="44"/>
        </w:numPr>
        <w:ind w:left="0" w:firstLine="420" w:firstLineChars="200"/>
      </w:pPr>
      <w:r>
        <w:rPr>
          <w:rFonts w:hint="eastAsia"/>
        </w:rPr>
        <w:t>CRC/CRA：掌握源数据采集核对规范、离线数据补采流程及数据采集问题整改要求，能够协助研究者完成数据采集与核查工作。</w:t>
      </w:r>
    </w:p>
    <w:p w14:paraId="172A11F3">
      <w:pPr>
        <w:pStyle w:val="108"/>
        <w:spacing w:before="120" w:after="120"/>
        <w:outlineLvl w:val="9"/>
        <w:rPr>
          <w:rFonts w:ascii="Times New Roman"/>
        </w:rPr>
      </w:pPr>
      <w:r>
        <w:rPr>
          <w:rFonts w:ascii="Times New Roman"/>
        </w:rPr>
        <w:t>数据传输模块</w:t>
      </w:r>
    </w:p>
    <w:p w14:paraId="43FF570B">
      <w:pPr>
        <w:pStyle w:val="59"/>
        <w:ind w:firstLine="420"/>
      </w:pPr>
      <w:r>
        <w:rPr>
          <w:rFonts w:hint="eastAsia"/>
        </w:rPr>
        <w:t>本模块面向平台管理人员、技术支持与运维人员及数据管理员，重点讲解数据传输技术要求与安全规范，不同岗位培训侧重点如下：</w:t>
      </w:r>
    </w:p>
    <w:p w14:paraId="35BB0A94">
      <w:pPr>
        <w:pStyle w:val="59"/>
        <w:numPr>
          <w:ilvl w:val="1"/>
          <w:numId w:val="45"/>
        </w:numPr>
        <w:ind w:left="0" w:firstLine="420" w:firstLineChars="200"/>
      </w:pPr>
      <w:r>
        <w:rPr>
          <w:rFonts w:hint="eastAsia"/>
        </w:rPr>
        <w:t>平台管理人员：了解数据传输性能要求、可靠性标准及分级安全保护原则，掌握跨域数据传输审批流程与合规要求。</w:t>
      </w:r>
    </w:p>
    <w:p w14:paraId="6391917A">
      <w:pPr>
        <w:pStyle w:val="59"/>
        <w:numPr>
          <w:ilvl w:val="1"/>
          <w:numId w:val="45"/>
        </w:numPr>
        <w:ind w:left="0" w:firstLine="420" w:firstLineChars="200"/>
      </w:pPr>
      <w:r>
        <w:rPr>
          <w:rFonts w:hint="eastAsia"/>
        </w:rPr>
        <w:t>技术支持与运维人员：深入掌握数据传输协议、加密机制、身份认证要求及传输故障处理方法，能够配置与维护数据传输通道，保障数据传输安全与稳定。</w:t>
      </w:r>
    </w:p>
    <w:p w14:paraId="6286DA9F">
      <w:pPr>
        <w:pStyle w:val="59"/>
        <w:numPr>
          <w:ilvl w:val="1"/>
          <w:numId w:val="45"/>
        </w:numPr>
        <w:ind w:left="0" w:firstLine="420" w:firstLineChars="200"/>
      </w:pPr>
      <w:r>
        <w:rPr>
          <w:rFonts w:hint="eastAsia"/>
        </w:rPr>
        <w:t>数据管理员：掌握数据传输完整性校验方法、传输异常数据处理流程及跨机构数据同步规范，能够核对传输数据的准确性与完整性。</w:t>
      </w:r>
    </w:p>
    <w:p w14:paraId="6A7DF5C7">
      <w:pPr>
        <w:pStyle w:val="108"/>
        <w:spacing w:before="120" w:after="120"/>
        <w:outlineLvl w:val="9"/>
        <w:rPr>
          <w:rFonts w:ascii="Times New Roman"/>
        </w:rPr>
      </w:pPr>
      <w:r>
        <w:rPr>
          <w:rFonts w:hint="eastAsia" w:ascii="Times New Roman"/>
        </w:rPr>
        <w:t>数据存储模块</w:t>
      </w:r>
    </w:p>
    <w:p w14:paraId="7D4AC255">
      <w:pPr>
        <w:pStyle w:val="59"/>
        <w:ind w:firstLine="420"/>
      </w:pPr>
      <w:r>
        <w:rPr>
          <w:rFonts w:hint="eastAsia"/>
        </w:rPr>
        <w:t>本模块面向平台管理人员、技术支持与运维人员及数据管理员，重点讲解数据传输技术要求与安全规范，不同岗位培训侧重点如下：</w:t>
      </w:r>
    </w:p>
    <w:p w14:paraId="380E3E6D">
      <w:pPr>
        <w:pStyle w:val="59"/>
        <w:numPr>
          <w:ilvl w:val="1"/>
          <w:numId w:val="46"/>
        </w:numPr>
        <w:ind w:left="0" w:firstLine="420" w:firstLineChars="200"/>
      </w:pPr>
      <w:r>
        <w:rPr>
          <w:rFonts w:hint="eastAsia"/>
        </w:rPr>
        <w:t>平台管理人员：了解数据传输性能要求、可靠性标准及分级安全保护原则，掌握跨域数据传输审批流程与合规要求。</w:t>
      </w:r>
    </w:p>
    <w:p w14:paraId="157DA5B4">
      <w:pPr>
        <w:pStyle w:val="59"/>
        <w:numPr>
          <w:ilvl w:val="1"/>
          <w:numId w:val="46"/>
        </w:numPr>
        <w:ind w:left="0" w:firstLine="420" w:firstLineChars="200"/>
      </w:pPr>
      <w:r>
        <w:rPr>
          <w:rFonts w:hint="eastAsia"/>
        </w:rPr>
        <w:t>技术支持与运维人员：深入掌握数据传输协议、加密机制、身份认证要求及传输故障处理方法，能够配置与维护数据传输通道，保障数据传输安全与稳定。</w:t>
      </w:r>
    </w:p>
    <w:p w14:paraId="104AB685">
      <w:pPr>
        <w:pStyle w:val="59"/>
        <w:numPr>
          <w:ilvl w:val="1"/>
          <w:numId w:val="46"/>
        </w:numPr>
        <w:ind w:left="0" w:firstLine="420" w:firstLineChars="200"/>
      </w:pPr>
      <w:r>
        <w:rPr>
          <w:rFonts w:hint="eastAsia"/>
        </w:rPr>
        <w:t>数据管理员：掌握数据传输完整性校验方法、传输异常数据处理流程及跨机构数据同步规范，能够核对传输数据的准确性与完整性。</w:t>
      </w:r>
    </w:p>
    <w:p w14:paraId="1D48D4C6">
      <w:pPr>
        <w:pStyle w:val="108"/>
        <w:spacing w:before="120" w:after="120"/>
        <w:outlineLvl w:val="9"/>
        <w:rPr>
          <w:rFonts w:ascii="Times New Roman"/>
        </w:rPr>
      </w:pPr>
      <w:r>
        <w:rPr>
          <w:rFonts w:hint="eastAsia" w:ascii="Times New Roman"/>
        </w:rPr>
        <w:t>数据存储模块</w:t>
      </w:r>
    </w:p>
    <w:p w14:paraId="0E177C36">
      <w:pPr>
        <w:pStyle w:val="59"/>
        <w:ind w:firstLine="420"/>
      </w:pPr>
      <w:r>
        <w:rPr>
          <w:rFonts w:hint="eastAsia"/>
        </w:rPr>
        <w:t>本模块面向平台管理人员、技术支持与运维人员及数据管理员，重点讲解数据存储架构与全生命周期管理规范，不同岗位培训侧重点如下：</w:t>
      </w:r>
    </w:p>
    <w:p w14:paraId="3604D3A6">
      <w:pPr>
        <w:pStyle w:val="59"/>
        <w:numPr>
          <w:ilvl w:val="1"/>
          <w:numId w:val="47"/>
        </w:numPr>
        <w:ind w:left="0" w:firstLine="420" w:firstLineChars="200"/>
      </w:pPr>
      <w:r>
        <w:rPr>
          <w:rFonts w:hint="eastAsia"/>
        </w:rPr>
        <w:t>平台管理人员：了解数据存储分层架构、数据分类分级规则及数据留存时限要求，掌握数据访问权限审批与数据销毁审批流程。</w:t>
      </w:r>
    </w:p>
    <w:p w14:paraId="72384B56">
      <w:pPr>
        <w:pStyle w:val="59"/>
        <w:numPr>
          <w:ilvl w:val="1"/>
          <w:numId w:val="47"/>
        </w:numPr>
        <w:ind w:left="0" w:firstLine="420" w:firstLineChars="200"/>
      </w:pPr>
      <w:r>
        <w:rPr>
          <w:rFonts w:hint="eastAsia"/>
        </w:rPr>
        <w:t>技术支持与运维人员：深入掌握数据存储介质要求、备份与恢复策略、容灾体系建设及存储安全管控措施，能够开展存储系统运维与数据备份恢复工作。</w:t>
      </w:r>
    </w:p>
    <w:p w14:paraId="74AF1FBF">
      <w:pPr>
        <w:pStyle w:val="59"/>
        <w:numPr>
          <w:ilvl w:val="1"/>
          <w:numId w:val="47"/>
        </w:numPr>
        <w:ind w:left="0" w:firstLine="420" w:firstLineChars="200"/>
      </w:pPr>
      <w:r>
        <w:rPr>
          <w:rFonts w:hint="eastAsia"/>
        </w:rPr>
        <w:t>数据管理员：掌握数据归档规范、存储数据质量核查方法及数据溯源查询操作，能够协助开展数据稽查与核查工作。</w:t>
      </w:r>
    </w:p>
    <w:p w14:paraId="7D61C5D0">
      <w:pPr>
        <w:pStyle w:val="108"/>
        <w:spacing w:before="120" w:after="120"/>
        <w:outlineLvl w:val="9"/>
        <w:rPr>
          <w:rFonts w:ascii="Times New Roman"/>
        </w:rPr>
      </w:pPr>
      <w:r>
        <w:rPr>
          <w:rFonts w:ascii="Times New Roman"/>
        </w:rPr>
        <w:t>质量控制模块</w:t>
      </w:r>
    </w:p>
    <w:p w14:paraId="2AEEBE44">
      <w:pPr>
        <w:pStyle w:val="59"/>
        <w:ind w:firstLine="420"/>
      </w:pPr>
      <w:r>
        <w:rPr>
          <w:rFonts w:hint="eastAsia"/>
        </w:rPr>
        <w:t>本模块面向所有培训对象，重点讲解平台内置质控体系与全流程质量管控要求，不同岗位培训侧重点如下：</w:t>
      </w:r>
    </w:p>
    <w:p w14:paraId="2405FA5E">
      <w:pPr>
        <w:pStyle w:val="59"/>
        <w:numPr>
          <w:ilvl w:val="1"/>
          <w:numId w:val="48"/>
        </w:numPr>
        <w:ind w:left="0" w:firstLine="420" w:firstLineChars="200"/>
      </w:pPr>
      <w:r>
        <w:rPr>
          <w:rFonts w:hint="eastAsia"/>
        </w:rPr>
        <w:t>临床研究医护人员：掌握数据录入质控规则、常见质量问题识别与整改方法，了解三级复核机制与质量问题上报流程。</w:t>
      </w:r>
    </w:p>
    <w:p w14:paraId="14629C74">
      <w:pPr>
        <w:pStyle w:val="59"/>
        <w:numPr>
          <w:ilvl w:val="1"/>
          <w:numId w:val="48"/>
        </w:numPr>
        <w:ind w:left="0" w:firstLine="420" w:firstLineChars="200"/>
      </w:pPr>
      <w:r>
        <w:rPr>
          <w:rFonts w:hint="eastAsia"/>
        </w:rPr>
        <w:t>平台质控管理人员：掌握平台智能质控规则配置、质控任务管理、质量问题闭环处理及质量统计分析方法，能够制定质量核查计划并组织实施。</w:t>
      </w:r>
    </w:p>
    <w:p w14:paraId="2618B960">
      <w:pPr>
        <w:pStyle w:val="59"/>
        <w:numPr>
          <w:ilvl w:val="1"/>
          <w:numId w:val="48"/>
        </w:numPr>
        <w:ind w:left="0" w:firstLine="420" w:firstLineChars="200"/>
      </w:pPr>
      <w:r>
        <w:rPr>
          <w:rFonts w:hint="eastAsia"/>
        </w:rPr>
        <w:t>CRA / 数据管理员：掌握源数据核查（SDV）操作规范、平台质控数据导出与分析方法，能够开展远程监查与数据质量评估。</w:t>
      </w:r>
    </w:p>
    <w:p w14:paraId="1D8C6A4C">
      <w:pPr>
        <w:pStyle w:val="59"/>
        <w:numPr>
          <w:ilvl w:val="1"/>
          <w:numId w:val="48"/>
        </w:numPr>
        <w:ind w:left="0" w:firstLine="420" w:firstLineChars="200"/>
      </w:pPr>
      <w:r>
        <w:rPr>
          <w:rFonts w:hint="eastAsia"/>
        </w:rPr>
        <w:t>技术支持与运维人员：掌握质控系统配置、质控规则更新及质控异常排查方法，保障质控功能正常运行。</w:t>
      </w:r>
    </w:p>
    <w:p w14:paraId="2ED6B7F5">
      <w:pPr>
        <w:pStyle w:val="108"/>
        <w:spacing w:before="120" w:after="120"/>
        <w:outlineLvl w:val="9"/>
        <w:rPr>
          <w:rFonts w:ascii="Times New Roman"/>
        </w:rPr>
      </w:pPr>
      <w:r>
        <w:rPr>
          <w:rFonts w:ascii="Times New Roman"/>
        </w:rPr>
        <w:t>应用评价模块</w:t>
      </w:r>
    </w:p>
    <w:p w14:paraId="7E5BFD61">
      <w:pPr>
        <w:pStyle w:val="59"/>
        <w:ind w:firstLine="420"/>
      </w:pPr>
      <w:r>
        <w:rPr>
          <w:rFonts w:hint="eastAsia"/>
        </w:rPr>
        <w:t>本模块面向平台管理人员、机构负责人及技术支持人员，重点讲解平台应用评价体系与持续优化方法，不同岗位培训侧重点如下：</w:t>
      </w:r>
    </w:p>
    <w:p w14:paraId="2A14681A">
      <w:pPr>
        <w:pStyle w:val="59"/>
        <w:numPr>
          <w:ilvl w:val="1"/>
          <w:numId w:val="49"/>
        </w:numPr>
        <w:ind w:left="0" w:firstLine="420" w:firstLineChars="200"/>
      </w:pPr>
      <w:r>
        <w:rPr>
          <w:rFonts w:hint="eastAsia"/>
        </w:rPr>
        <w:t>平台管理人员：了解应用评价基本原则、评价维度及量化指标，掌握评价数据采集与整理方法，能够配合开展平台应用评价工作。</w:t>
      </w:r>
    </w:p>
    <w:p w14:paraId="6BEA7CA4">
      <w:pPr>
        <w:pStyle w:val="59"/>
        <w:numPr>
          <w:ilvl w:val="1"/>
          <w:numId w:val="49"/>
        </w:numPr>
        <w:ind w:left="0" w:firstLine="420" w:firstLineChars="200"/>
      </w:pPr>
      <w:r>
        <w:rPr>
          <w:rFonts w:hint="eastAsia"/>
        </w:rPr>
        <w:t>机构负责人：理解平台应用评价结果的分级应用规则，能够基于评价结果制定平台推广与优化策略。</w:t>
      </w:r>
    </w:p>
    <w:p w14:paraId="1DBC9F8F">
      <w:pPr>
        <w:pStyle w:val="59"/>
        <w:numPr>
          <w:ilvl w:val="1"/>
          <w:numId w:val="49"/>
        </w:numPr>
        <w:ind w:left="0" w:firstLine="420" w:firstLineChars="200"/>
      </w:pPr>
      <w:r>
        <w:rPr>
          <w:rFonts w:hint="eastAsia"/>
        </w:rPr>
        <w:t>技术支持与运维人员：掌握平台运行数据统计分析方法、系统性能监测指标及用户反馈收集处理流程，能够为平台持续优化提供技术支撑。</w:t>
      </w:r>
    </w:p>
    <w:p w14:paraId="6841EDB7">
      <w:pPr>
        <w:pStyle w:val="107"/>
        <w:spacing w:before="240" w:after="240"/>
      </w:pPr>
      <w:bookmarkStart w:id="75" w:name="_Toc227239173"/>
      <w:bookmarkStart w:id="76" w:name="_Toc227756718"/>
      <w:bookmarkStart w:id="77" w:name="_Toc227246300"/>
      <w:r>
        <w:rPr>
          <w:rFonts w:hint="eastAsia"/>
        </w:rPr>
        <w:t>培训实施</w:t>
      </w:r>
      <w:bookmarkEnd w:id="75"/>
      <w:bookmarkEnd w:id="76"/>
      <w:bookmarkEnd w:id="77"/>
    </w:p>
    <w:p w14:paraId="44496B3C">
      <w:pPr>
        <w:pStyle w:val="108"/>
        <w:spacing w:before="120" w:after="120"/>
        <w:outlineLvl w:val="9"/>
        <w:rPr>
          <w:rFonts w:ascii="Times New Roman"/>
        </w:rPr>
      </w:pPr>
      <w:bookmarkStart w:id="78" w:name="_Toc227239174"/>
      <w:r>
        <w:rPr>
          <w:rFonts w:hint="eastAsia" w:ascii="Times New Roman"/>
        </w:rPr>
        <w:t>融合式培训方式</w:t>
      </w:r>
      <w:bookmarkEnd w:id="78"/>
    </w:p>
    <w:p w14:paraId="4FA3A9E6">
      <w:pPr>
        <w:pStyle w:val="59"/>
        <w:ind w:firstLine="420"/>
      </w:pPr>
      <w:r>
        <w:rPr>
          <w:rFonts w:hint="eastAsia"/>
        </w:rPr>
        <w:t>采用“线上智慧学习+线下实操演练+导师带教指导”的三维融合式培训模式：</w:t>
      </w:r>
    </w:p>
    <w:p w14:paraId="54B9B2DF">
      <w:pPr>
        <w:pStyle w:val="59"/>
        <w:numPr>
          <w:ilvl w:val="0"/>
          <w:numId w:val="50"/>
        </w:numPr>
        <w:ind w:left="0" w:firstLine="420" w:firstLineChars="200"/>
      </w:pPr>
      <w:r>
        <w:rPr>
          <w:rFonts w:hint="eastAsia"/>
        </w:rPr>
        <w:t>线上培训：开展网站微课学习、在线自测等。系统自动记录学习进度、停留时长，生成个性化学习报告，推送学习内容。</w:t>
      </w:r>
    </w:p>
    <w:p w14:paraId="730FF870">
      <w:pPr>
        <w:pStyle w:val="59"/>
        <w:numPr>
          <w:ilvl w:val="0"/>
          <w:numId w:val="50"/>
        </w:numPr>
        <w:ind w:left="0" w:firstLine="420" w:firstLineChars="200"/>
      </w:pPr>
      <w:r>
        <w:rPr>
          <w:rFonts w:hint="eastAsia"/>
        </w:rPr>
        <w:t>线下培训：开展实操演练、场景模拟、案例研讨、手把手教学等。由资深培训师现场指导，针对共性问题集中讲解，个性问题一对一辅导。利用平台独立的模拟训练环境，开展无风险实操练习与复杂场景模拟。</w:t>
      </w:r>
    </w:p>
    <w:p w14:paraId="46BAE250">
      <w:pPr>
        <w:pStyle w:val="59"/>
        <w:numPr>
          <w:ilvl w:val="0"/>
          <w:numId w:val="50"/>
        </w:numPr>
        <w:ind w:left="0" w:firstLine="420" w:firstLineChars="200"/>
      </w:pPr>
      <w:r>
        <w:rPr>
          <w:rFonts w:hint="eastAsia"/>
        </w:rPr>
        <w:t>导师带教：为每位新上岗人员指定1名具有1年以上平台使用经验的带教导师，带教周期不少于1个月。带教导师负责日常操作指导、问题解答与能力评估，确保新员工能够独立规范完成本岗位工作任务。</w:t>
      </w:r>
    </w:p>
    <w:p w14:paraId="0A88FA32">
      <w:pPr>
        <w:pStyle w:val="108"/>
        <w:spacing w:before="120" w:after="120"/>
        <w:outlineLvl w:val="9"/>
        <w:rPr>
          <w:rFonts w:ascii="Times New Roman"/>
        </w:rPr>
      </w:pPr>
      <w:bookmarkStart w:id="79" w:name="_Toc227239175"/>
      <w:r>
        <w:rPr>
          <w:rFonts w:hint="eastAsia" w:ascii="Times New Roman"/>
        </w:rPr>
        <w:t>标准化实施流程</w:t>
      </w:r>
      <w:bookmarkEnd w:id="79"/>
    </w:p>
    <w:p w14:paraId="43F30F8E">
      <w:pPr>
        <w:pStyle w:val="59"/>
        <w:numPr>
          <w:ilvl w:val="0"/>
          <w:numId w:val="51"/>
        </w:numPr>
        <w:ind w:left="0" w:firstLine="420" w:firstLineChars="200"/>
      </w:pPr>
      <w:r>
        <w:rPr>
          <w:rFonts w:hint="eastAsia"/>
        </w:rPr>
        <w:t>培训需求调研：培训前通过智慧平台发放调研问卷，结合岗位核心需求、既往操作问题与质量控制结果，精准分析培训需求，制定针对性培训方案与课程计划。</w:t>
      </w:r>
    </w:p>
    <w:p w14:paraId="5EA887B0">
      <w:pPr>
        <w:pStyle w:val="59"/>
        <w:numPr>
          <w:ilvl w:val="0"/>
          <w:numId w:val="51"/>
        </w:numPr>
        <w:ind w:left="0" w:firstLine="420" w:firstLineChars="200"/>
      </w:pPr>
      <w:r>
        <w:rPr>
          <w:rFonts w:hint="eastAsia"/>
        </w:rPr>
        <w:t>培训师资遴选：组建由智慧平台开发工程师、资深临床研究专家、GCP专员及质控专家组成的培训师资团队，所有师资需经过统一培训与考核，持证上岗。建立内部培训师激励机制，将培训教学工作纳入绩效考核。</w:t>
      </w:r>
    </w:p>
    <w:p w14:paraId="026A4142">
      <w:pPr>
        <w:pStyle w:val="59"/>
        <w:numPr>
          <w:ilvl w:val="0"/>
          <w:numId w:val="51"/>
        </w:numPr>
        <w:ind w:left="0" w:firstLine="420" w:firstLineChars="200"/>
      </w:pPr>
      <w:r>
        <w:rPr>
          <w:rFonts w:hint="eastAsia"/>
        </w:rPr>
        <w:t>培训教材编制：统一编制标准化培训教材，包括操作手册、视频教程、PPT课件、实操指南、典型案例集及模拟练习题。教材内容随平台功能迭代与法规更新及时修订，每半年进行一次全面更新。</w:t>
      </w:r>
    </w:p>
    <w:p w14:paraId="41563E0B">
      <w:pPr>
        <w:pStyle w:val="59"/>
        <w:numPr>
          <w:ilvl w:val="0"/>
          <w:numId w:val="51"/>
        </w:numPr>
        <w:ind w:left="0" w:firstLine="420" w:firstLineChars="200"/>
      </w:pPr>
      <w:r>
        <w:rPr>
          <w:rFonts w:hint="eastAsia"/>
        </w:rPr>
        <w:t>培训组织实施：线下培训提前做好场地、设备及模拟环境准备。培训过程中严格考勤，对未按时参加培训的人员自动提醒并安排补训。培训档案管理：通过智慧平台自动生成个人电子培训档案，完整记录培训对象的所有培训经历、学习进度、考核成绩、证书信息及能力评估结果。培训档案永久保存，作为操作权限授予、岗位调整与年度考核的重要依据。</w:t>
      </w:r>
    </w:p>
    <w:p w14:paraId="24970743">
      <w:pPr>
        <w:pStyle w:val="107"/>
        <w:spacing w:before="240" w:after="240"/>
      </w:pPr>
      <w:bookmarkStart w:id="80" w:name="_Toc227756719"/>
      <w:bookmarkStart w:id="81" w:name="_Toc227239176"/>
      <w:bookmarkStart w:id="82" w:name="_Toc227246301"/>
      <w:r>
        <w:rPr>
          <w:rFonts w:hint="eastAsia"/>
        </w:rPr>
        <w:t>培训考核</w:t>
      </w:r>
      <w:bookmarkEnd w:id="80"/>
      <w:bookmarkEnd w:id="81"/>
      <w:bookmarkEnd w:id="82"/>
    </w:p>
    <w:p w14:paraId="50FE68F6">
      <w:pPr>
        <w:pStyle w:val="108"/>
        <w:spacing w:before="120" w:after="120"/>
        <w:outlineLvl w:val="9"/>
        <w:rPr>
          <w:rFonts w:ascii="Times New Roman"/>
        </w:rPr>
      </w:pPr>
      <w:bookmarkStart w:id="83" w:name="_Toc227239177"/>
      <w:r>
        <w:rPr>
          <w:rFonts w:hint="eastAsia" w:ascii="Times New Roman"/>
        </w:rPr>
        <w:t>考核方式与权重</w:t>
      </w:r>
      <w:bookmarkEnd w:id="83"/>
    </w:p>
    <w:p w14:paraId="4B0D741E">
      <w:pPr>
        <w:pStyle w:val="59"/>
        <w:ind w:firstLine="420"/>
      </w:pPr>
      <w:r>
        <w:rPr>
          <w:rFonts w:hint="eastAsia"/>
        </w:rPr>
        <w:t>采用“过程性考核+终结性考核”相结合的多元化考核方式，综合评估培训效果，考核总分100分，具体权重如下：</w:t>
      </w:r>
    </w:p>
    <w:p w14:paraId="5E2C7911">
      <w:pPr>
        <w:pStyle w:val="59"/>
        <w:numPr>
          <w:ilvl w:val="0"/>
          <w:numId w:val="52"/>
        </w:numPr>
        <w:ind w:left="0" w:firstLine="420" w:firstLineChars="200"/>
      </w:pPr>
      <w:r>
        <w:rPr>
          <w:rFonts w:hint="eastAsia"/>
        </w:rPr>
        <w:t>过程性考核（15%）：包括线上课程完成率、作业完成情况、日常实操表现、导师带教评价等。</w:t>
      </w:r>
    </w:p>
    <w:p w14:paraId="6B2D56AB">
      <w:pPr>
        <w:pStyle w:val="59"/>
        <w:numPr>
          <w:ilvl w:val="0"/>
          <w:numId w:val="52"/>
        </w:numPr>
        <w:ind w:left="0" w:firstLine="420" w:firstLineChars="200"/>
      </w:pPr>
      <w:r>
        <w:rPr>
          <w:rFonts w:hint="eastAsia"/>
        </w:rPr>
        <w:t>理论知识考核（15%）：通过学习网站在线学习系统完成，案例分析等，学习时长不少于60分钟。</w:t>
      </w:r>
    </w:p>
    <w:p w14:paraId="4562C1A0">
      <w:pPr>
        <w:pStyle w:val="59"/>
        <w:numPr>
          <w:ilvl w:val="0"/>
          <w:numId w:val="52"/>
        </w:numPr>
        <w:ind w:left="0" w:firstLine="420" w:firstLineChars="200"/>
      </w:pPr>
      <w:r>
        <w:rPr>
          <w:rFonts w:hint="eastAsia"/>
        </w:rPr>
        <w:t>实操技能考核（55%）：在智慧平台模拟环境中完成本岗位全流程操作，由培训师按照标准化评分细则现场评分，重点考核操作的准确性、规范性与效率。</w:t>
      </w:r>
    </w:p>
    <w:p w14:paraId="78AAF95A">
      <w:pPr>
        <w:pStyle w:val="59"/>
        <w:numPr>
          <w:ilvl w:val="0"/>
          <w:numId w:val="52"/>
        </w:numPr>
        <w:ind w:left="0" w:firstLine="420" w:firstLineChars="200"/>
      </w:pPr>
      <w:r>
        <w:rPr>
          <w:rFonts w:hint="eastAsia"/>
        </w:rPr>
        <w:t>场景模拟考核（15%）：随机抽取2-3个典型临床研究场景，考核培训对象运用智慧平台解决实际问题的能力与应急处理能力。</w:t>
      </w:r>
    </w:p>
    <w:p w14:paraId="522CF6EB">
      <w:pPr>
        <w:pStyle w:val="108"/>
        <w:spacing w:before="120" w:after="120"/>
        <w:outlineLvl w:val="9"/>
        <w:rPr>
          <w:rFonts w:ascii="Times New Roman"/>
        </w:rPr>
      </w:pPr>
      <w:bookmarkStart w:id="84" w:name="_Toc227239178"/>
      <w:r>
        <w:rPr>
          <w:rFonts w:hint="eastAsia" w:ascii="Times New Roman"/>
        </w:rPr>
        <w:t>分岗位考核要点</w:t>
      </w:r>
      <w:bookmarkEnd w:id="84"/>
    </w:p>
    <w:p w14:paraId="22096DB7">
      <w:pPr>
        <w:pStyle w:val="68"/>
        <w:spacing w:before="0" w:beforeLines="0" w:after="0" w:afterLines="0"/>
        <w:outlineLvl w:val="9"/>
      </w:pPr>
      <w:r>
        <w:rPr>
          <w:rFonts w:hint="eastAsia"/>
        </w:rPr>
        <w:t>临床研究医生</w:t>
      </w:r>
    </w:p>
    <w:p w14:paraId="5EC2BEE0">
      <w:pPr>
        <w:pStyle w:val="59"/>
        <w:numPr>
          <w:ilvl w:val="0"/>
          <w:numId w:val="53"/>
        </w:numPr>
        <w:ind w:firstLineChars="0"/>
      </w:pPr>
      <w:r>
        <w:rPr>
          <w:rFonts w:hint="eastAsia"/>
        </w:rPr>
        <w:t>研究方案电子化录入的准确性与规范性。</w:t>
      </w:r>
    </w:p>
    <w:p w14:paraId="70217675">
      <w:pPr>
        <w:pStyle w:val="59"/>
        <w:numPr>
          <w:ilvl w:val="0"/>
          <w:numId w:val="53"/>
        </w:numPr>
        <w:ind w:firstLineChars="0"/>
      </w:pPr>
      <w:r>
        <w:rPr>
          <w:rFonts w:hint="eastAsia"/>
        </w:rPr>
        <w:t>受试者入组审核的准确性与及时性。</w:t>
      </w:r>
    </w:p>
    <w:p w14:paraId="4ECA5399">
      <w:pPr>
        <w:pStyle w:val="59"/>
        <w:numPr>
          <w:ilvl w:val="0"/>
          <w:numId w:val="53"/>
        </w:numPr>
        <w:ind w:firstLineChars="0"/>
      </w:pPr>
      <w:r>
        <w:rPr>
          <w:rFonts w:hint="eastAsia"/>
        </w:rPr>
        <w:t>研究数据审核与质疑处理的规范性。</w:t>
      </w:r>
    </w:p>
    <w:p w14:paraId="42F60067">
      <w:pPr>
        <w:pStyle w:val="59"/>
        <w:numPr>
          <w:ilvl w:val="0"/>
          <w:numId w:val="53"/>
        </w:numPr>
        <w:ind w:firstLineChars="0"/>
      </w:pPr>
      <w:r>
        <w:rPr>
          <w:rFonts w:hint="eastAsia"/>
        </w:rPr>
        <w:t>不良事件评估与上报的及时性与完整性。</w:t>
      </w:r>
    </w:p>
    <w:p w14:paraId="727A57DE">
      <w:pPr>
        <w:pStyle w:val="59"/>
        <w:numPr>
          <w:ilvl w:val="0"/>
          <w:numId w:val="53"/>
        </w:numPr>
        <w:ind w:firstLineChars="0"/>
      </w:pPr>
      <w:r>
        <w:rPr>
          <w:rFonts w:hint="eastAsia"/>
        </w:rPr>
        <w:t>智慧化报告生成与数据分析应用能力。</w:t>
      </w:r>
    </w:p>
    <w:p w14:paraId="5A89C16E">
      <w:pPr>
        <w:pStyle w:val="68"/>
        <w:spacing w:before="0" w:beforeLines="0" w:after="0" w:afterLines="0"/>
        <w:outlineLvl w:val="9"/>
      </w:pPr>
      <w:r>
        <w:rPr>
          <w:rFonts w:hint="eastAsia"/>
        </w:rPr>
        <w:t>临床研究护士</w:t>
      </w:r>
    </w:p>
    <w:p w14:paraId="71CE7472">
      <w:pPr>
        <w:pStyle w:val="59"/>
        <w:numPr>
          <w:ilvl w:val="0"/>
          <w:numId w:val="54"/>
        </w:numPr>
        <w:ind w:firstLineChars="0"/>
      </w:pPr>
      <w:r>
        <w:rPr>
          <w:rFonts w:hint="eastAsia"/>
        </w:rPr>
        <w:t>受试者信息采集与数据录入的准确率（要求≥99%）。</w:t>
      </w:r>
    </w:p>
    <w:p w14:paraId="1856314D">
      <w:pPr>
        <w:pStyle w:val="59"/>
        <w:numPr>
          <w:ilvl w:val="0"/>
          <w:numId w:val="54"/>
        </w:numPr>
        <w:ind w:firstLineChars="0"/>
      </w:pPr>
      <w:r>
        <w:rPr>
          <w:rFonts w:hint="eastAsia"/>
        </w:rPr>
        <w:t>随访计划执行的及时性与完整性。</w:t>
      </w:r>
    </w:p>
    <w:p w14:paraId="3DAE226D">
      <w:pPr>
        <w:pStyle w:val="59"/>
        <w:numPr>
          <w:ilvl w:val="0"/>
          <w:numId w:val="54"/>
        </w:numPr>
        <w:ind w:firstLineChars="0"/>
      </w:pPr>
      <w:r>
        <w:rPr>
          <w:rFonts w:hint="eastAsia"/>
        </w:rPr>
        <w:t>试验用药与生物标本管理的规范性。</w:t>
      </w:r>
    </w:p>
    <w:p w14:paraId="5C6B8610">
      <w:pPr>
        <w:pStyle w:val="59"/>
        <w:numPr>
          <w:ilvl w:val="0"/>
          <w:numId w:val="54"/>
        </w:numPr>
        <w:ind w:firstLineChars="0"/>
      </w:pPr>
      <w:r>
        <w:rPr>
          <w:rFonts w:hint="eastAsia"/>
        </w:rPr>
        <w:t>平台预警信息的响应速度与</w:t>
      </w:r>
      <w:r>
        <w:rPr>
          <w:rFonts w:hint="eastAsia"/>
        </w:rPr>
        <w:tab/>
      </w:r>
      <w:r>
        <w:rPr>
          <w:rFonts w:hint="eastAsia"/>
        </w:rPr>
        <w:t>处理能力。</w:t>
      </w:r>
    </w:p>
    <w:p w14:paraId="2403052E">
      <w:pPr>
        <w:pStyle w:val="59"/>
        <w:numPr>
          <w:ilvl w:val="0"/>
          <w:numId w:val="54"/>
        </w:numPr>
        <w:ind w:firstLineChars="0"/>
      </w:pPr>
      <w:r>
        <w:rPr>
          <w:rFonts w:hint="eastAsia"/>
        </w:rPr>
        <w:t>电子知情同意书签署管理的合规性。</w:t>
      </w:r>
    </w:p>
    <w:p w14:paraId="22EA88BC">
      <w:pPr>
        <w:pStyle w:val="68"/>
        <w:spacing w:before="0" w:beforeLines="0" w:after="0" w:afterLines="0"/>
        <w:outlineLvl w:val="9"/>
      </w:pPr>
      <w:r>
        <w:t>平台管理人员</w:t>
      </w:r>
    </w:p>
    <w:p w14:paraId="1A8C51AA">
      <w:pPr>
        <w:pStyle w:val="59"/>
        <w:numPr>
          <w:ilvl w:val="1"/>
          <w:numId w:val="55"/>
        </w:numPr>
        <w:ind w:firstLineChars="0"/>
      </w:pPr>
      <w:r>
        <w:rPr>
          <w:rFonts w:hint="eastAsia"/>
        </w:rPr>
        <w:t>平台权限分配与项目创建的规范性。</w:t>
      </w:r>
    </w:p>
    <w:p w14:paraId="1425B789">
      <w:pPr>
        <w:pStyle w:val="59"/>
        <w:numPr>
          <w:ilvl w:val="1"/>
          <w:numId w:val="55"/>
        </w:numPr>
        <w:ind w:firstLineChars="0"/>
      </w:pPr>
      <w:r>
        <w:rPr>
          <w:rFonts w:hint="eastAsia"/>
        </w:rPr>
        <w:t>研究进度监控与问题协调处理能力。</w:t>
      </w:r>
    </w:p>
    <w:p w14:paraId="05FEAEE8">
      <w:pPr>
        <w:pStyle w:val="59"/>
        <w:numPr>
          <w:ilvl w:val="1"/>
          <w:numId w:val="55"/>
        </w:numPr>
        <w:ind w:firstLineChars="0"/>
      </w:pPr>
      <w:r>
        <w:rPr>
          <w:rFonts w:hint="eastAsia"/>
        </w:rPr>
        <w:t>质控任务管理与质量问题闭环处理能力。</w:t>
      </w:r>
    </w:p>
    <w:p w14:paraId="1688AD3C">
      <w:pPr>
        <w:pStyle w:val="59"/>
        <w:numPr>
          <w:ilvl w:val="1"/>
          <w:numId w:val="55"/>
        </w:numPr>
        <w:ind w:firstLineChars="0"/>
      </w:pPr>
      <w:r>
        <w:rPr>
          <w:rFonts w:hint="eastAsia"/>
        </w:rPr>
        <w:t>平台运行数据统计与分析能力。</w:t>
      </w:r>
    </w:p>
    <w:p w14:paraId="146A9E0F">
      <w:pPr>
        <w:pStyle w:val="59"/>
        <w:numPr>
          <w:ilvl w:val="1"/>
          <w:numId w:val="55"/>
        </w:numPr>
        <w:ind w:firstLineChars="0"/>
      </w:pPr>
      <w:r>
        <w:rPr>
          <w:rFonts w:hint="eastAsia"/>
        </w:rPr>
        <w:t>合规性管理与风险防控能力。</w:t>
      </w:r>
    </w:p>
    <w:p w14:paraId="593E4EF5">
      <w:pPr>
        <w:pStyle w:val="68"/>
        <w:spacing w:before="0" w:beforeLines="0" w:after="0" w:afterLines="0"/>
        <w:outlineLvl w:val="9"/>
      </w:pPr>
      <w:r>
        <w:rPr>
          <w:rFonts w:hint="eastAsia"/>
        </w:rPr>
        <w:t>平台运行维护人员</w:t>
      </w:r>
    </w:p>
    <w:p w14:paraId="4667FEF8">
      <w:pPr>
        <w:pStyle w:val="59"/>
        <w:numPr>
          <w:ilvl w:val="1"/>
          <w:numId w:val="56"/>
        </w:numPr>
        <w:ind w:firstLineChars="0"/>
      </w:pPr>
      <w:r>
        <w:rPr>
          <w:rFonts w:hint="eastAsia"/>
        </w:rPr>
        <w:t>平台系统部署与配置能力。</w:t>
      </w:r>
    </w:p>
    <w:p w14:paraId="1EAD5480">
      <w:pPr>
        <w:pStyle w:val="59"/>
        <w:numPr>
          <w:ilvl w:val="1"/>
          <w:numId w:val="56"/>
        </w:numPr>
        <w:ind w:firstLineChars="0"/>
      </w:pPr>
      <w:r>
        <w:rPr>
          <w:rFonts w:hint="eastAsia"/>
        </w:rPr>
        <w:t>常见故障排查与应急处置能力。</w:t>
      </w:r>
    </w:p>
    <w:p w14:paraId="7A8F7542">
      <w:pPr>
        <w:pStyle w:val="59"/>
        <w:numPr>
          <w:ilvl w:val="1"/>
          <w:numId w:val="56"/>
        </w:numPr>
        <w:ind w:firstLineChars="0"/>
      </w:pPr>
      <w:r>
        <w:rPr>
          <w:rFonts w:hint="eastAsia"/>
        </w:rPr>
        <w:t>数据备份与恢复操作的规范性。</w:t>
      </w:r>
    </w:p>
    <w:p w14:paraId="6C925F1B">
      <w:pPr>
        <w:pStyle w:val="59"/>
        <w:numPr>
          <w:ilvl w:val="1"/>
          <w:numId w:val="56"/>
        </w:numPr>
        <w:ind w:firstLineChars="0"/>
      </w:pPr>
      <w:r>
        <w:rPr>
          <w:rFonts w:hint="eastAsia"/>
        </w:rPr>
        <w:t>网络安全防护与数据安全管理能力。</w:t>
      </w:r>
    </w:p>
    <w:p w14:paraId="46579202">
      <w:pPr>
        <w:pStyle w:val="59"/>
        <w:numPr>
          <w:ilvl w:val="1"/>
          <w:numId w:val="56"/>
        </w:numPr>
        <w:ind w:firstLineChars="0"/>
      </w:pPr>
      <w:r>
        <w:rPr>
          <w:rFonts w:hint="eastAsia"/>
        </w:rPr>
        <w:t>硬件设备维护与调试能力。</w:t>
      </w:r>
    </w:p>
    <w:p w14:paraId="288932AA">
      <w:pPr>
        <w:pStyle w:val="68"/>
        <w:spacing w:before="0" w:beforeLines="0" w:after="0" w:afterLines="0"/>
        <w:outlineLvl w:val="9"/>
        <w:rPr>
          <w:rFonts w:ascii="Times New Roman"/>
        </w:rPr>
      </w:pPr>
      <w:r>
        <w:rPr>
          <w:rFonts w:hint="default" w:ascii="Times New Roman"/>
        </w:rPr>
        <w:t>CRO/SMO 及第三方服务人员</w:t>
      </w:r>
    </w:p>
    <w:p w14:paraId="326978BA">
      <w:pPr>
        <w:pStyle w:val="59"/>
        <w:numPr>
          <w:ilvl w:val="1"/>
          <w:numId w:val="57"/>
        </w:numPr>
        <w:ind w:firstLineChars="0"/>
      </w:pPr>
      <w:bookmarkStart w:id="85" w:name="OLE_LINK25"/>
      <w:r>
        <w:rPr>
          <w:rFonts w:hint="eastAsia"/>
        </w:rPr>
        <w:t>平台内数据录入与核查的准确性。</w:t>
      </w:r>
    </w:p>
    <w:p w14:paraId="134950AA">
      <w:pPr>
        <w:pStyle w:val="59"/>
        <w:numPr>
          <w:ilvl w:val="1"/>
          <w:numId w:val="57"/>
        </w:numPr>
        <w:ind w:firstLineChars="0"/>
      </w:pPr>
      <w:r>
        <w:rPr>
          <w:rFonts w:hint="eastAsia"/>
        </w:rPr>
        <w:t>源数据核查（SDV）操作的规范性。</w:t>
      </w:r>
    </w:p>
    <w:p w14:paraId="7EA83C1B">
      <w:pPr>
        <w:pStyle w:val="59"/>
        <w:numPr>
          <w:ilvl w:val="1"/>
          <w:numId w:val="57"/>
        </w:numPr>
        <w:ind w:firstLineChars="0"/>
      </w:pPr>
      <w:r>
        <w:rPr>
          <w:rFonts w:hint="eastAsia"/>
        </w:rPr>
        <w:t>质控问题跟踪与整改验证能力。</w:t>
      </w:r>
    </w:p>
    <w:p w14:paraId="1716DA69">
      <w:pPr>
        <w:pStyle w:val="59"/>
        <w:numPr>
          <w:ilvl w:val="1"/>
          <w:numId w:val="57"/>
        </w:numPr>
        <w:ind w:firstLineChars="0"/>
      </w:pPr>
      <w:r>
        <w:rPr>
          <w:rFonts w:hint="eastAsia"/>
        </w:rPr>
        <w:t>数据导出与统计分析操作能力。</w:t>
      </w:r>
    </w:p>
    <w:p w14:paraId="62C5B8B2">
      <w:pPr>
        <w:pStyle w:val="59"/>
        <w:numPr>
          <w:ilvl w:val="1"/>
          <w:numId w:val="57"/>
        </w:numPr>
        <w:ind w:firstLineChars="0"/>
      </w:pPr>
      <w:r>
        <w:rPr>
          <w:rFonts w:hint="eastAsia"/>
        </w:rPr>
        <w:t>远程监查与项目协同能力。</w:t>
      </w:r>
    </w:p>
    <w:bookmarkEnd w:id="85"/>
    <w:p w14:paraId="564B7A9A">
      <w:pPr>
        <w:pStyle w:val="108"/>
        <w:spacing w:before="120" w:after="120"/>
        <w:outlineLvl w:val="9"/>
        <w:rPr>
          <w:rFonts w:ascii="Times New Roman"/>
        </w:rPr>
      </w:pPr>
      <w:bookmarkStart w:id="86" w:name="_Toc227239179"/>
      <w:r>
        <w:rPr>
          <w:rFonts w:hint="eastAsia" w:ascii="Times New Roman"/>
        </w:rPr>
        <w:t>合格标准与证书管理</w:t>
      </w:r>
      <w:bookmarkEnd w:id="86"/>
    </w:p>
    <w:p w14:paraId="28AB3C0A">
      <w:pPr>
        <w:pStyle w:val="59"/>
        <w:numPr>
          <w:ilvl w:val="0"/>
          <w:numId w:val="58"/>
        </w:numPr>
        <w:ind w:left="0" w:firstLine="420" w:firstLineChars="200"/>
      </w:pPr>
      <w:r>
        <w:rPr>
          <w:rFonts w:hint="eastAsia"/>
        </w:rPr>
        <w:t>考核总分≥85分，且单项考核成绩均≥70分为合格。考核合格者由医疗机构临床研究管理部门颁发统一制式的《临床研究病房智慧管理平台操作合格证书》。</w:t>
      </w:r>
    </w:p>
    <w:p w14:paraId="4C2B1A28">
      <w:pPr>
        <w:pStyle w:val="59"/>
        <w:numPr>
          <w:ilvl w:val="0"/>
          <w:numId w:val="58"/>
        </w:numPr>
        <w:ind w:left="0" w:firstLine="420" w:firstLineChars="200"/>
      </w:pPr>
      <w:r>
        <w:rPr>
          <w:rFonts w:hint="eastAsia"/>
        </w:rPr>
        <w:t>证书实行电子化管理，通过智慧平台生成唯一电子证书，支持在线查询与验证，证书有效期为2年。</w:t>
      </w:r>
    </w:p>
    <w:p w14:paraId="2C975829">
      <w:pPr>
        <w:pStyle w:val="59"/>
        <w:numPr>
          <w:ilvl w:val="0"/>
          <w:numId w:val="58"/>
        </w:numPr>
        <w:ind w:left="0" w:firstLine="420" w:firstLineChars="200"/>
      </w:pPr>
      <w:r>
        <w:rPr>
          <w:rFonts w:hint="eastAsia"/>
        </w:rPr>
        <w:t>证书有效期届满前3个月，持证人需完成不少于16学时的继续教育培训并通过复训考核，方可换发新证书。</w:t>
      </w:r>
    </w:p>
    <w:p w14:paraId="451DD863">
      <w:pPr>
        <w:pStyle w:val="59"/>
        <w:numPr>
          <w:ilvl w:val="0"/>
          <w:numId w:val="58"/>
        </w:numPr>
        <w:ind w:left="0" w:firstLine="420" w:firstLineChars="200"/>
      </w:pPr>
      <w:r>
        <w:rPr>
          <w:rFonts w:hint="eastAsia"/>
        </w:rPr>
        <w:t>考核不合格者需在1个月内完成补考，补考仍不合格者，暂停其平台操作权限，直至重新参加培训并考核合格。</w:t>
      </w:r>
    </w:p>
    <w:p w14:paraId="25033059">
      <w:pPr>
        <w:pStyle w:val="59"/>
        <w:numPr>
          <w:ilvl w:val="0"/>
          <w:numId w:val="58"/>
        </w:numPr>
        <w:ind w:left="0" w:firstLine="420" w:firstLineChars="200"/>
      </w:pPr>
      <w:r>
        <w:rPr>
          <w:rFonts w:hint="eastAsia"/>
        </w:rPr>
        <w:t>对于发生严重操作失误、违反平台安全规范或造成数据泄露的人员，立即吊销其操作证书，暂停平台操作权限，并根据情节轻重进行相应处理。</w:t>
      </w:r>
    </w:p>
    <w:p w14:paraId="06628CC5">
      <w:pPr>
        <w:pStyle w:val="107"/>
        <w:spacing w:before="240" w:after="240"/>
      </w:pPr>
      <w:bookmarkStart w:id="87" w:name="_Toc227239180"/>
      <w:bookmarkStart w:id="88" w:name="_Toc227756720"/>
      <w:bookmarkStart w:id="89" w:name="_Toc227246302"/>
      <w:r>
        <w:rPr>
          <w:rFonts w:hint="eastAsia"/>
        </w:rPr>
        <w:t>培训质量持续改进</w:t>
      </w:r>
      <w:bookmarkEnd w:id="87"/>
      <w:bookmarkEnd w:id="88"/>
      <w:bookmarkEnd w:id="89"/>
    </w:p>
    <w:p w14:paraId="0DBF0B28">
      <w:pPr>
        <w:pStyle w:val="108"/>
        <w:spacing w:before="120" w:after="120"/>
        <w:outlineLvl w:val="9"/>
        <w:rPr>
          <w:rFonts w:ascii="Times New Roman"/>
        </w:rPr>
      </w:pPr>
      <w:bookmarkStart w:id="90" w:name="_Toc227239181"/>
      <w:r>
        <w:rPr>
          <w:rFonts w:hint="eastAsia" w:ascii="Times New Roman"/>
        </w:rPr>
        <w:t>使用人员培训效果评价指标</w:t>
      </w:r>
      <w:bookmarkEnd w:id="90"/>
    </w:p>
    <w:p w14:paraId="751BA9BC">
      <w:pPr>
        <w:pStyle w:val="59"/>
        <w:ind w:firstLine="420"/>
      </w:pPr>
      <w:r>
        <w:rPr>
          <w:rFonts w:hint="eastAsia"/>
        </w:rPr>
        <w:t>建立量化、可追溯的培训效果评价指标体系，从过程与结果两个维度全面评估培训效果：</w:t>
      </w:r>
    </w:p>
    <w:p w14:paraId="414B97F1">
      <w:pPr>
        <w:pStyle w:val="59"/>
        <w:numPr>
          <w:ilvl w:val="0"/>
          <w:numId w:val="59"/>
        </w:numPr>
        <w:ind w:left="0" w:firstLine="420" w:firstLineChars="200"/>
      </w:pPr>
      <w:r>
        <w:rPr>
          <w:rFonts w:hint="eastAsia"/>
        </w:rPr>
        <w:t>过程指标：培训出勤率、课程完成率、考核通过率、培训满意度（目标值≥90分）、教材适用性评分</w:t>
      </w:r>
    </w:p>
    <w:p w14:paraId="0C10E221">
      <w:pPr>
        <w:pStyle w:val="59"/>
        <w:numPr>
          <w:ilvl w:val="0"/>
          <w:numId w:val="59"/>
        </w:numPr>
        <w:ind w:left="0" w:firstLine="420" w:firstLineChars="200"/>
      </w:pPr>
      <w:r>
        <w:rPr>
          <w:rFonts w:hint="eastAsia"/>
        </w:rPr>
        <w:t>结果指标：平台操作错误率（目标值≤3%）、数据录入准确率（目标值≥99%）、不良事件上报及时率（目标值≥98%）、质控问题整改率（目标值100%）、智慧功能使用率（目标值≥85%）</w:t>
      </w:r>
    </w:p>
    <w:p w14:paraId="7EBFBCD7">
      <w:pPr>
        <w:pStyle w:val="59"/>
        <w:ind w:firstLine="420"/>
      </w:pPr>
      <w:r>
        <w:rPr>
          <w:rFonts w:hint="eastAsia"/>
        </w:rPr>
        <w:t>通过网站采集上述指标数据，每季度进行统计分析，形成培训效果评估报告，为培训质量改进提供数据支撑。</w:t>
      </w:r>
    </w:p>
    <w:p w14:paraId="1CBC6E6E">
      <w:pPr>
        <w:pStyle w:val="108"/>
        <w:spacing w:before="120" w:after="120"/>
        <w:outlineLvl w:val="9"/>
        <w:rPr>
          <w:rFonts w:ascii="Times New Roman"/>
        </w:rPr>
      </w:pPr>
      <w:bookmarkStart w:id="91" w:name="_Toc227239182"/>
      <w:r>
        <w:rPr>
          <w:rFonts w:hint="eastAsia" w:ascii="Times New Roman"/>
        </w:rPr>
        <w:t>培训内容与方式动态优化</w:t>
      </w:r>
      <w:bookmarkEnd w:id="91"/>
    </w:p>
    <w:p w14:paraId="03E54237">
      <w:pPr>
        <w:pStyle w:val="59"/>
        <w:numPr>
          <w:ilvl w:val="0"/>
          <w:numId w:val="60"/>
        </w:numPr>
        <w:ind w:left="0" w:firstLine="420" w:firstLineChars="200"/>
      </w:pPr>
      <w:r>
        <w:rPr>
          <w:rFonts w:hint="eastAsia"/>
        </w:rPr>
        <w:t>建立培训问题反馈闭环：使用人员可通过智慧平台随时提交培训建议与问题反馈，培训管理部门在7个工作日内予以响应。每月汇总分析反馈意见，及时调整培训内容的侧重点与培训方式。</w:t>
      </w:r>
    </w:p>
    <w:p w14:paraId="0D29D9B4">
      <w:pPr>
        <w:pStyle w:val="59"/>
        <w:numPr>
          <w:ilvl w:val="0"/>
          <w:numId w:val="60"/>
        </w:numPr>
        <w:ind w:left="0" w:firstLine="420" w:firstLineChars="200"/>
      </w:pPr>
      <w:r>
        <w:rPr>
          <w:rFonts w:hint="eastAsia"/>
        </w:rPr>
        <w:t>培训内容动态更新：跟踪智慧平台功能迭代、法规标准更新及临床研究技术发展，及时更新培训教材与课程体系，补充新功能、新技术、新法规的培训内容。</w:t>
      </w:r>
    </w:p>
    <w:p w14:paraId="199177D4">
      <w:pPr>
        <w:pStyle w:val="59"/>
        <w:numPr>
          <w:ilvl w:val="0"/>
          <w:numId w:val="60"/>
        </w:numPr>
        <w:ind w:left="0" w:firstLine="420" w:firstLineChars="200"/>
      </w:pPr>
      <w:r>
        <w:rPr>
          <w:rFonts w:hint="eastAsia"/>
        </w:rPr>
        <w:t>培训方式持续优化：定期评估不同培训方式的效果，逐步增加虚拟仿真、AI互动等智慧化培训方式的比重。针对不同岗位特点，开发更具针对性的培训课程与考核形式。</w:t>
      </w:r>
    </w:p>
    <w:p w14:paraId="7CAEC4A6">
      <w:pPr>
        <w:pStyle w:val="59"/>
        <w:numPr>
          <w:ilvl w:val="0"/>
          <w:numId w:val="60"/>
        </w:numPr>
        <w:ind w:left="0" w:firstLine="420" w:firstLineChars="200"/>
      </w:pPr>
      <w:r>
        <w:rPr>
          <w:rFonts w:hint="eastAsia"/>
        </w:rPr>
        <w:t>建立PDCA循环管理：按照“计划-实施-检查-改进”的原则，对培训全过程进行闭环管理。每年度开展一次全面的培训质量评估，总结经验，查找不足，制定下一年度培训计划与改进措施。</w:t>
      </w:r>
    </w:p>
    <w:p w14:paraId="57BAFCD4">
      <w:pPr>
        <w:pStyle w:val="59"/>
        <w:numPr>
          <w:ilvl w:val="0"/>
          <w:numId w:val="60"/>
        </w:numPr>
        <w:ind w:left="0" w:firstLine="420" w:firstLineChars="200"/>
      </w:pPr>
      <w:r>
        <w:rPr>
          <w:rFonts w:hint="eastAsia"/>
        </w:rPr>
        <w:t>引入外部专家评价：定期邀请外部GCP专家、临床研究信息化专家对培训体系与培训效果进行评估，提出专业改进建议，持续提升培训质量。</w:t>
      </w:r>
    </w:p>
    <w:p w14:paraId="3B8239D7">
      <w:pPr>
        <w:pStyle w:val="59"/>
        <w:numPr>
          <w:ilvl w:val="0"/>
          <w:numId w:val="60"/>
        </w:numPr>
        <w:ind w:firstLineChars="0"/>
        <w:sectPr>
          <w:pgSz w:w="11906" w:h="16838"/>
          <w:pgMar w:top="1928" w:right="1134" w:bottom="1134" w:left="1134" w:header="1418" w:footer="1134" w:gutter="284"/>
          <w:pgNumType w:start="1"/>
          <w:cols w:space="425" w:num="1"/>
          <w:formProt w:val="0"/>
          <w:docGrid w:linePitch="312" w:charSpace="0"/>
        </w:sectPr>
      </w:pPr>
    </w:p>
    <w:bookmarkEnd w:id="15"/>
    <w:p w14:paraId="0DF1CB5E">
      <w:pPr>
        <w:pStyle w:val="201"/>
        <w:rPr>
          <w:rFonts w:hint="eastAsia"/>
        </w:rPr>
      </w:pPr>
      <w:bookmarkStart w:id="92" w:name="BookMark5"/>
    </w:p>
    <w:p w14:paraId="10139BF5">
      <w:pPr>
        <w:pStyle w:val="202"/>
      </w:pPr>
    </w:p>
    <w:p w14:paraId="5B52D26E">
      <w:pPr>
        <w:pStyle w:val="79"/>
        <w:spacing w:before="0" w:after="0" w:afterLines="0"/>
        <w:rPr>
          <w:rFonts w:ascii="Times New Roman"/>
        </w:rPr>
      </w:pPr>
      <w:r>
        <w:rPr>
          <w:rFonts w:ascii="Times New Roman"/>
        </w:rPr>
        <w:br w:type="textWrapping"/>
      </w:r>
      <w:bookmarkStart w:id="93" w:name="_Toc227756721"/>
      <w:r>
        <w:rPr>
          <w:rFonts w:hint="default" w:ascii="Times New Roman"/>
        </w:rPr>
        <w:t>（资料性）</w:t>
      </w:r>
      <w:r>
        <w:rPr>
          <w:rFonts w:ascii="Times New Roman"/>
        </w:rPr>
        <w:br w:type="textWrapping"/>
      </w:r>
      <w:r>
        <w:rPr>
          <w:rFonts w:hint="default" w:ascii="Times New Roman"/>
        </w:rPr>
        <w:t>分岗位培训课时与考核要求</w:t>
      </w:r>
      <w:bookmarkEnd w:id="93"/>
    </w:p>
    <w:p w14:paraId="41AE99B4">
      <w:pPr>
        <w:pStyle w:val="80"/>
        <w:numPr>
          <w:ilvl w:val="0"/>
          <w:numId w:val="0"/>
        </w:numPr>
        <w:spacing w:before="120" w:after="120"/>
        <w:jc w:val="both"/>
        <w:rPr>
          <w:rFonts w:hint="eastAsia"/>
          <w:kern w:val="0"/>
        </w:rPr>
      </w:pPr>
    </w:p>
    <w:p w14:paraId="135FAA4B">
      <w:pPr>
        <w:pStyle w:val="80"/>
        <w:spacing w:before="120" w:after="120"/>
        <w:rPr>
          <w:kern w:val="0"/>
        </w:rPr>
      </w:pPr>
      <w:r>
        <w:rPr>
          <w:kern w:val="0"/>
        </w:rPr>
        <w:t>分岗位培训课时与考核要求</w:t>
      </w:r>
    </w:p>
    <w:tbl>
      <w:tblPr>
        <w:tblStyle w:val="2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1820"/>
        <w:gridCol w:w="1428"/>
        <w:gridCol w:w="1428"/>
        <w:gridCol w:w="1428"/>
        <w:gridCol w:w="1586"/>
        <w:gridCol w:w="1864"/>
      </w:tblGrid>
      <w:tr w14:paraId="6373E6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276" w:hRule="atLeast"/>
          <w:tblHeader/>
          <w:jc w:val="center"/>
        </w:trPr>
        <w:tc>
          <w:tcPr>
            <w:tcW w:w="0" w:type="auto"/>
            <w:tcBorders>
              <w:top w:val="single" w:color="auto" w:sz="8" w:space="0"/>
              <w:bottom w:val="single" w:color="auto" w:sz="8" w:space="0"/>
            </w:tcBorders>
            <w:vAlign w:val="center"/>
          </w:tcPr>
          <w:p w14:paraId="0B965EFF">
            <w:pPr>
              <w:widowControl/>
              <w:spacing w:line="240" w:lineRule="auto"/>
              <w:jc w:val="center"/>
              <w:textAlignment w:val="center"/>
              <w:rPr>
                <w:rFonts w:ascii="Times New Roman" w:hAnsi="Times New Roman"/>
                <w:b/>
                <w:bCs/>
                <w:sz w:val="21"/>
                <w:szCs w:val="21"/>
              </w:rPr>
            </w:pPr>
            <w:r>
              <w:rPr>
                <w:rFonts w:hint="default" w:ascii="Times New Roman" w:hAnsi="Times New Roman" w:cs="Times New Roman"/>
                <w:b/>
                <w:bCs/>
                <w:color w:val="000000"/>
                <w:kern w:val="0"/>
                <w:sz w:val="21"/>
                <w:szCs w:val="21"/>
                <w:lang w:bidi="ar"/>
              </w:rPr>
              <w:t>岗位类别</w:t>
            </w:r>
          </w:p>
        </w:tc>
        <w:tc>
          <w:tcPr>
            <w:tcW w:w="0" w:type="auto"/>
            <w:tcBorders>
              <w:top w:val="single" w:color="auto" w:sz="8" w:space="0"/>
              <w:bottom w:val="single" w:color="auto" w:sz="8" w:space="0"/>
            </w:tcBorders>
            <w:vAlign w:val="center"/>
          </w:tcPr>
          <w:p w14:paraId="22C707B9">
            <w:pPr>
              <w:widowControl/>
              <w:spacing w:line="240" w:lineRule="auto"/>
              <w:jc w:val="center"/>
              <w:textAlignment w:val="center"/>
              <w:rPr>
                <w:rFonts w:ascii="Times New Roman" w:hAnsi="Times New Roman"/>
                <w:b/>
                <w:bCs/>
                <w:sz w:val="21"/>
                <w:szCs w:val="21"/>
              </w:rPr>
            </w:pPr>
            <w:r>
              <w:rPr>
                <w:rFonts w:hint="default" w:ascii="Times New Roman" w:hAnsi="Times New Roman" w:cs="Times New Roman"/>
                <w:b/>
                <w:bCs/>
                <w:color w:val="000000"/>
                <w:kern w:val="0"/>
                <w:sz w:val="21"/>
                <w:szCs w:val="21"/>
                <w:lang w:bidi="ar"/>
              </w:rPr>
              <w:t>准入培训最低学时</w:t>
            </w:r>
          </w:p>
        </w:tc>
        <w:tc>
          <w:tcPr>
            <w:tcW w:w="0" w:type="auto"/>
            <w:tcBorders>
              <w:top w:val="single" w:color="auto" w:sz="8" w:space="0"/>
              <w:bottom w:val="single" w:color="auto" w:sz="8" w:space="0"/>
            </w:tcBorders>
            <w:vAlign w:val="center"/>
          </w:tcPr>
          <w:p w14:paraId="488008B1">
            <w:pPr>
              <w:widowControl/>
              <w:spacing w:line="240" w:lineRule="auto"/>
              <w:jc w:val="center"/>
              <w:textAlignment w:val="center"/>
              <w:rPr>
                <w:rFonts w:ascii="Times New Roman" w:hAnsi="Times New Roman"/>
                <w:b/>
                <w:bCs/>
                <w:sz w:val="21"/>
                <w:szCs w:val="21"/>
              </w:rPr>
            </w:pPr>
            <w:r>
              <w:rPr>
                <w:rFonts w:hint="default" w:ascii="Times New Roman" w:hAnsi="Times New Roman" w:cs="Times New Roman"/>
                <w:b/>
                <w:bCs/>
                <w:color w:val="000000"/>
                <w:kern w:val="0"/>
                <w:sz w:val="21"/>
                <w:szCs w:val="21"/>
                <w:lang w:bidi="ar"/>
              </w:rPr>
              <w:t>强化培训最低学时</w:t>
            </w:r>
          </w:p>
        </w:tc>
        <w:tc>
          <w:tcPr>
            <w:tcW w:w="0" w:type="auto"/>
            <w:tcBorders>
              <w:top w:val="single" w:color="auto" w:sz="8" w:space="0"/>
              <w:bottom w:val="single" w:color="auto" w:sz="8" w:space="0"/>
            </w:tcBorders>
            <w:vAlign w:val="center"/>
          </w:tcPr>
          <w:p w14:paraId="72DA48E3">
            <w:pPr>
              <w:widowControl/>
              <w:spacing w:line="240" w:lineRule="auto"/>
              <w:jc w:val="center"/>
              <w:textAlignment w:val="center"/>
              <w:rPr>
                <w:rFonts w:ascii="Times New Roman" w:hAnsi="Times New Roman"/>
                <w:b/>
                <w:bCs/>
                <w:sz w:val="21"/>
                <w:szCs w:val="21"/>
              </w:rPr>
            </w:pPr>
            <w:r>
              <w:rPr>
                <w:rFonts w:hint="default" w:ascii="Times New Roman" w:hAnsi="Times New Roman" w:cs="Times New Roman"/>
                <w:b/>
                <w:bCs/>
                <w:color w:val="000000"/>
                <w:kern w:val="0"/>
                <w:sz w:val="21"/>
                <w:szCs w:val="21"/>
                <w:lang w:bidi="ar"/>
              </w:rPr>
              <w:t>年度复训最低学时</w:t>
            </w:r>
          </w:p>
        </w:tc>
        <w:tc>
          <w:tcPr>
            <w:tcW w:w="0" w:type="auto"/>
            <w:tcBorders>
              <w:top w:val="single" w:color="auto" w:sz="8" w:space="0"/>
              <w:bottom w:val="single" w:color="auto" w:sz="8" w:space="0"/>
            </w:tcBorders>
            <w:vAlign w:val="center"/>
          </w:tcPr>
          <w:p w14:paraId="3B2B1D75">
            <w:pPr>
              <w:widowControl/>
              <w:spacing w:line="240" w:lineRule="auto"/>
              <w:jc w:val="center"/>
              <w:textAlignment w:val="center"/>
              <w:rPr>
                <w:rFonts w:ascii="Times New Roman" w:hAnsi="Times New Roman"/>
                <w:b/>
                <w:bCs/>
                <w:sz w:val="21"/>
                <w:szCs w:val="21"/>
              </w:rPr>
            </w:pPr>
            <w:r>
              <w:rPr>
                <w:rFonts w:hint="default" w:ascii="Times New Roman" w:hAnsi="Times New Roman" w:cs="Times New Roman"/>
                <w:b/>
                <w:bCs/>
                <w:color w:val="000000"/>
                <w:kern w:val="0"/>
                <w:sz w:val="21"/>
                <w:szCs w:val="21"/>
                <w:lang w:bidi="ar"/>
              </w:rPr>
              <w:t>考核方式</w:t>
            </w:r>
          </w:p>
        </w:tc>
        <w:tc>
          <w:tcPr>
            <w:tcW w:w="0" w:type="auto"/>
            <w:tcBorders>
              <w:top w:val="single" w:color="auto" w:sz="8" w:space="0"/>
              <w:bottom w:val="single" w:color="auto" w:sz="8" w:space="0"/>
            </w:tcBorders>
            <w:vAlign w:val="center"/>
          </w:tcPr>
          <w:p w14:paraId="0015E80D">
            <w:pPr>
              <w:widowControl/>
              <w:spacing w:line="240" w:lineRule="auto"/>
              <w:jc w:val="center"/>
              <w:textAlignment w:val="center"/>
              <w:rPr>
                <w:rFonts w:ascii="Times New Roman" w:hAnsi="Times New Roman"/>
                <w:b/>
                <w:bCs/>
                <w:sz w:val="21"/>
                <w:szCs w:val="21"/>
              </w:rPr>
            </w:pPr>
            <w:r>
              <w:rPr>
                <w:rFonts w:hint="default" w:ascii="Times New Roman" w:hAnsi="Times New Roman" w:cs="Times New Roman"/>
                <w:b/>
                <w:bCs/>
                <w:color w:val="000000"/>
                <w:kern w:val="0"/>
                <w:sz w:val="21"/>
                <w:szCs w:val="21"/>
                <w:lang w:bidi="ar"/>
              </w:rPr>
              <w:t>合格标准</w:t>
            </w:r>
          </w:p>
        </w:tc>
      </w:tr>
      <w:tr w14:paraId="4D4817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0" w:type="auto"/>
            <w:tcBorders>
              <w:top w:val="single" w:color="auto" w:sz="8" w:space="0"/>
            </w:tcBorders>
            <w:vAlign w:val="center"/>
          </w:tcPr>
          <w:p w14:paraId="705819C7">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临床研究医生</w:t>
            </w:r>
          </w:p>
        </w:tc>
        <w:tc>
          <w:tcPr>
            <w:tcW w:w="0" w:type="auto"/>
            <w:tcBorders>
              <w:top w:val="single" w:color="auto" w:sz="8" w:space="0"/>
            </w:tcBorders>
            <w:vAlign w:val="center"/>
          </w:tcPr>
          <w:p w14:paraId="7EE1D908">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16</w:t>
            </w:r>
          </w:p>
        </w:tc>
        <w:tc>
          <w:tcPr>
            <w:tcW w:w="0" w:type="auto"/>
            <w:tcBorders>
              <w:top w:val="single" w:color="auto" w:sz="8" w:space="0"/>
            </w:tcBorders>
            <w:vAlign w:val="center"/>
          </w:tcPr>
          <w:p w14:paraId="394FFDEB">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8</w:t>
            </w:r>
          </w:p>
        </w:tc>
        <w:tc>
          <w:tcPr>
            <w:tcW w:w="0" w:type="auto"/>
            <w:tcBorders>
              <w:top w:val="single" w:color="auto" w:sz="8" w:space="0"/>
            </w:tcBorders>
            <w:vAlign w:val="center"/>
          </w:tcPr>
          <w:p w14:paraId="4CCCFD82">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8</w:t>
            </w:r>
          </w:p>
        </w:tc>
        <w:tc>
          <w:tcPr>
            <w:tcW w:w="0" w:type="auto"/>
            <w:tcBorders>
              <w:top w:val="single" w:color="auto" w:sz="8" w:space="0"/>
            </w:tcBorders>
            <w:vAlign w:val="center"/>
          </w:tcPr>
          <w:p w14:paraId="6F263599">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理论+实操+场景模拟</w:t>
            </w:r>
          </w:p>
        </w:tc>
        <w:tc>
          <w:tcPr>
            <w:tcW w:w="0" w:type="auto"/>
            <w:tcBorders>
              <w:top w:val="single" w:color="auto" w:sz="8" w:space="0"/>
            </w:tcBorders>
            <w:vAlign w:val="center"/>
          </w:tcPr>
          <w:p w14:paraId="27E31277">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总分≥85分，单项≥70分</w:t>
            </w:r>
          </w:p>
        </w:tc>
      </w:tr>
      <w:tr w14:paraId="202A26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0" w:type="auto"/>
            <w:vAlign w:val="center"/>
          </w:tcPr>
          <w:p w14:paraId="61C032E3">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临床研究护士</w:t>
            </w:r>
          </w:p>
        </w:tc>
        <w:tc>
          <w:tcPr>
            <w:tcW w:w="0" w:type="auto"/>
            <w:vAlign w:val="center"/>
          </w:tcPr>
          <w:p w14:paraId="256D2AC6">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20</w:t>
            </w:r>
          </w:p>
        </w:tc>
        <w:tc>
          <w:tcPr>
            <w:tcW w:w="0" w:type="auto"/>
            <w:vAlign w:val="center"/>
          </w:tcPr>
          <w:p w14:paraId="680EAE84">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12</w:t>
            </w:r>
          </w:p>
        </w:tc>
        <w:tc>
          <w:tcPr>
            <w:tcW w:w="0" w:type="auto"/>
            <w:vAlign w:val="center"/>
          </w:tcPr>
          <w:p w14:paraId="1649EDD3">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8</w:t>
            </w:r>
          </w:p>
        </w:tc>
        <w:tc>
          <w:tcPr>
            <w:tcW w:w="0" w:type="auto"/>
            <w:vAlign w:val="center"/>
          </w:tcPr>
          <w:p w14:paraId="2D357266">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理论+实操+场景模拟</w:t>
            </w:r>
          </w:p>
        </w:tc>
        <w:tc>
          <w:tcPr>
            <w:tcW w:w="0" w:type="auto"/>
            <w:vAlign w:val="center"/>
          </w:tcPr>
          <w:p w14:paraId="7672761D">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总分≥85分，单项≥70分</w:t>
            </w:r>
          </w:p>
        </w:tc>
      </w:tr>
      <w:tr w14:paraId="516C36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0" w:type="auto"/>
            <w:vAlign w:val="center"/>
          </w:tcPr>
          <w:p w14:paraId="0C077F11">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平台管理人员</w:t>
            </w:r>
          </w:p>
        </w:tc>
        <w:tc>
          <w:tcPr>
            <w:tcW w:w="0" w:type="auto"/>
            <w:vAlign w:val="center"/>
          </w:tcPr>
          <w:p w14:paraId="16A2662D">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12</w:t>
            </w:r>
          </w:p>
        </w:tc>
        <w:tc>
          <w:tcPr>
            <w:tcW w:w="0" w:type="auto"/>
            <w:vAlign w:val="center"/>
          </w:tcPr>
          <w:p w14:paraId="6F368C42">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6</w:t>
            </w:r>
          </w:p>
        </w:tc>
        <w:tc>
          <w:tcPr>
            <w:tcW w:w="0" w:type="auto"/>
            <w:vAlign w:val="center"/>
          </w:tcPr>
          <w:p w14:paraId="1AAFBDDC">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6</w:t>
            </w:r>
          </w:p>
        </w:tc>
        <w:tc>
          <w:tcPr>
            <w:tcW w:w="0" w:type="auto"/>
            <w:vAlign w:val="center"/>
          </w:tcPr>
          <w:p w14:paraId="63135A64">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理论+实操</w:t>
            </w:r>
          </w:p>
        </w:tc>
        <w:tc>
          <w:tcPr>
            <w:tcW w:w="0" w:type="auto"/>
            <w:vAlign w:val="center"/>
          </w:tcPr>
          <w:p w14:paraId="787F9461">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总分≥80分，单项≥70分</w:t>
            </w:r>
          </w:p>
        </w:tc>
      </w:tr>
      <w:tr w14:paraId="5B51C0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0" w:type="auto"/>
            <w:vAlign w:val="center"/>
          </w:tcPr>
          <w:p w14:paraId="3F68A1E4">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平台运维人员</w:t>
            </w:r>
          </w:p>
        </w:tc>
        <w:tc>
          <w:tcPr>
            <w:tcW w:w="0" w:type="auto"/>
            <w:vAlign w:val="center"/>
          </w:tcPr>
          <w:p w14:paraId="2C176D5D">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24</w:t>
            </w:r>
          </w:p>
        </w:tc>
        <w:tc>
          <w:tcPr>
            <w:tcW w:w="0" w:type="auto"/>
            <w:vAlign w:val="center"/>
          </w:tcPr>
          <w:p w14:paraId="19CB51D8">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12</w:t>
            </w:r>
          </w:p>
        </w:tc>
        <w:tc>
          <w:tcPr>
            <w:tcW w:w="0" w:type="auto"/>
            <w:vAlign w:val="center"/>
          </w:tcPr>
          <w:p w14:paraId="280F82C5">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12</w:t>
            </w:r>
          </w:p>
        </w:tc>
        <w:tc>
          <w:tcPr>
            <w:tcW w:w="0" w:type="auto"/>
            <w:vAlign w:val="center"/>
          </w:tcPr>
          <w:p w14:paraId="761874FD">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理论+实操+故障排查</w:t>
            </w:r>
          </w:p>
        </w:tc>
        <w:tc>
          <w:tcPr>
            <w:tcW w:w="0" w:type="auto"/>
            <w:vAlign w:val="center"/>
          </w:tcPr>
          <w:p w14:paraId="234CFB4F">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总分≥85分，单项≥70分</w:t>
            </w:r>
          </w:p>
        </w:tc>
      </w:tr>
      <w:tr w14:paraId="1BAF37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0" w:type="auto"/>
            <w:vAlign w:val="center"/>
          </w:tcPr>
          <w:p w14:paraId="6A593816">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培训讲师</w:t>
            </w:r>
          </w:p>
        </w:tc>
        <w:tc>
          <w:tcPr>
            <w:tcW w:w="0" w:type="auto"/>
            <w:vAlign w:val="center"/>
          </w:tcPr>
          <w:p w14:paraId="7BC98745">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32</w:t>
            </w:r>
          </w:p>
        </w:tc>
        <w:tc>
          <w:tcPr>
            <w:tcW w:w="0" w:type="auto"/>
            <w:vAlign w:val="center"/>
          </w:tcPr>
          <w:p w14:paraId="7D5755C1">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16</w:t>
            </w:r>
          </w:p>
        </w:tc>
        <w:tc>
          <w:tcPr>
            <w:tcW w:w="0" w:type="auto"/>
            <w:vAlign w:val="center"/>
          </w:tcPr>
          <w:p w14:paraId="1A81B857">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12</w:t>
            </w:r>
          </w:p>
        </w:tc>
        <w:tc>
          <w:tcPr>
            <w:tcW w:w="0" w:type="auto"/>
            <w:vAlign w:val="center"/>
          </w:tcPr>
          <w:p w14:paraId="7D899261">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理论+实操+教学演示</w:t>
            </w:r>
          </w:p>
        </w:tc>
        <w:tc>
          <w:tcPr>
            <w:tcW w:w="0" w:type="auto"/>
            <w:vAlign w:val="center"/>
          </w:tcPr>
          <w:p w14:paraId="21C19CF5">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总分≥90分，单项≥75分</w:t>
            </w:r>
          </w:p>
        </w:tc>
      </w:tr>
      <w:tr w14:paraId="1AAE30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0" w:type="auto"/>
            <w:vAlign w:val="center"/>
          </w:tcPr>
          <w:p w14:paraId="2BEF0574">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CRC</w:t>
            </w:r>
          </w:p>
        </w:tc>
        <w:tc>
          <w:tcPr>
            <w:tcW w:w="0" w:type="auto"/>
            <w:vAlign w:val="center"/>
          </w:tcPr>
          <w:p w14:paraId="0BB10258">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20</w:t>
            </w:r>
          </w:p>
        </w:tc>
        <w:tc>
          <w:tcPr>
            <w:tcW w:w="0" w:type="auto"/>
            <w:vAlign w:val="center"/>
          </w:tcPr>
          <w:p w14:paraId="20B39D39">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10</w:t>
            </w:r>
          </w:p>
        </w:tc>
        <w:tc>
          <w:tcPr>
            <w:tcW w:w="0" w:type="auto"/>
            <w:vAlign w:val="center"/>
          </w:tcPr>
          <w:p w14:paraId="25A3507A">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8</w:t>
            </w:r>
          </w:p>
        </w:tc>
        <w:tc>
          <w:tcPr>
            <w:tcW w:w="0" w:type="auto"/>
            <w:vAlign w:val="center"/>
          </w:tcPr>
          <w:p w14:paraId="055317B7">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理论+实操</w:t>
            </w:r>
          </w:p>
        </w:tc>
        <w:tc>
          <w:tcPr>
            <w:tcW w:w="0" w:type="auto"/>
            <w:vAlign w:val="center"/>
          </w:tcPr>
          <w:p w14:paraId="5FC16E37">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总分≥85分，单项≥70分</w:t>
            </w:r>
          </w:p>
        </w:tc>
      </w:tr>
      <w:tr w14:paraId="3C32BF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0" w:type="auto"/>
            <w:vAlign w:val="center"/>
          </w:tcPr>
          <w:p w14:paraId="278DA6D4">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CRA</w:t>
            </w:r>
          </w:p>
        </w:tc>
        <w:tc>
          <w:tcPr>
            <w:tcW w:w="0" w:type="auto"/>
            <w:vAlign w:val="center"/>
          </w:tcPr>
          <w:p w14:paraId="0045C7EB">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16</w:t>
            </w:r>
          </w:p>
        </w:tc>
        <w:tc>
          <w:tcPr>
            <w:tcW w:w="0" w:type="auto"/>
            <w:vAlign w:val="center"/>
          </w:tcPr>
          <w:p w14:paraId="10133EFE">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8</w:t>
            </w:r>
          </w:p>
        </w:tc>
        <w:tc>
          <w:tcPr>
            <w:tcW w:w="0" w:type="auto"/>
            <w:vAlign w:val="center"/>
          </w:tcPr>
          <w:p w14:paraId="4D6447BA">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6</w:t>
            </w:r>
          </w:p>
        </w:tc>
        <w:tc>
          <w:tcPr>
            <w:tcW w:w="0" w:type="auto"/>
            <w:vAlign w:val="center"/>
          </w:tcPr>
          <w:p w14:paraId="1B208E49">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理论+实操</w:t>
            </w:r>
          </w:p>
        </w:tc>
        <w:tc>
          <w:tcPr>
            <w:tcW w:w="0" w:type="auto"/>
            <w:vAlign w:val="center"/>
          </w:tcPr>
          <w:p w14:paraId="4AFF38CC">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总分≥80分，单项≥70分</w:t>
            </w:r>
          </w:p>
        </w:tc>
      </w:tr>
      <w:tr w14:paraId="6ADA37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0" w:type="auto"/>
            <w:vAlign w:val="center"/>
          </w:tcPr>
          <w:p w14:paraId="01E4BAD8">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数据管理员/统计分析师</w:t>
            </w:r>
          </w:p>
        </w:tc>
        <w:tc>
          <w:tcPr>
            <w:tcW w:w="0" w:type="auto"/>
            <w:vAlign w:val="center"/>
          </w:tcPr>
          <w:p w14:paraId="3EE09256">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20</w:t>
            </w:r>
          </w:p>
        </w:tc>
        <w:tc>
          <w:tcPr>
            <w:tcW w:w="0" w:type="auto"/>
            <w:vAlign w:val="center"/>
          </w:tcPr>
          <w:p w14:paraId="485ACAFB">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10</w:t>
            </w:r>
          </w:p>
        </w:tc>
        <w:tc>
          <w:tcPr>
            <w:tcW w:w="0" w:type="auto"/>
            <w:vAlign w:val="center"/>
          </w:tcPr>
          <w:p w14:paraId="5E29D294">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8</w:t>
            </w:r>
          </w:p>
        </w:tc>
        <w:tc>
          <w:tcPr>
            <w:tcW w:w="0" w:type="auto"/>
            <w:vAlign w:val="center"/>
          </w:tcPr>
          <w:p w14:paraId="058057FA">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理论+实操</w:t>
            </w:r>
          </w:p>
        </w:tc>
        <w:tc>
          <w:tcPr>
            <w:tcW w:w="0" w:type="auto"/>
            <w:vAlign w:val="center"/>
          </w:tcPr>
          <w:p w14:paraId="27BBCDFD">
            <w:pPr>
              <w:widowControl/>
              <w:spacing w:line="240" w:lineRule="auto"/>
              <w:jc w:val="center"/>
              <w:textAlignment w:val="center"/>
              <w:rPr>
                <w:rFonts w:ascii="Times New Roman" w:hAnsi="Times New Roman"/>
                <w:sz w:val="21"/>
                <w:szCs w:val="21"/>
              </w:rPr>
            </w:pPr>
            <w:r>
              <w:rPr>
                <w:rFonts w:hint="default" w:ascii="Times New Roman" w:hAnsi="Times New Roman" w:cs="Times New Roman"/>
                <w:color w:val="000000"/>
                <w:kern w:val="0"/>
                <w:sz w:val="21"/>
                <w:szCs w:val="21"/>
                <w:lang w:bidi="ar"/>
              </w:rPr>
              <w:t>总分≥85分，单项≥70分</w:t>
            </w:r>
          </w:p>
        </w:tc>
      </w:tr>
    </w:tbl>
    <w:p w14:paraId="50878CDD">
      <w:pPr>
        <w:pStyle w:val="59"/>
        <w:ind w:firstLine="420"/>
      </w:pPr>
    </w:p>
    <w:p w14:paraId="7B33CDAD">
      <w:pPr>
        <w:pStyle w:val="59"/>
        <w:ind w:firstLine="0" w:firstLineChars="0"/>
        <w:sectPr>
          <w:pgSz w:w="11906" w:h="16838"/>
          <w:pgMar w:top="1928" w:right="1134" w:bottom="1134" w:left="1134" w:header="1418" w:footer="1134" w:gutter="284"/>
          <w:cols w:space="425" w:num="1"/>
          <w:formProt w:val="0"/>
          <w:docGrid w:linePitch="312" w:charSpace="0"/>
        </w:sectPr>
      </w:pPr>
    </w:p>
    <w:p w14:paraId="0D666C6C">
      <w:pPr>
        <w:pStyle w:val="201"/>
        <w:rPr>
          <w:rFonts w:hint="eastAsia"/>
        </w:rPr>
      </w:pPr>
    </w:p>
    <w:p w14:paraId="2D5A2767">
      <w:pPr>
        <w:pStyle w:val="202"/>
      </w:pPr>
    </w:p>
    <w:p w14:paraId="76A66EC9">
      <w:pPr>
        <w:pStyle w:val="79"/>
        <w:spacing w:before="0" w:after="0" w:afterLines="0"/>
        <w:rPr>
          <w:rFonts w:ascii="Times New Roman"/>
        </w:rPr>
      </w:pPr>
      <w:bookmarkStart w:id="94" w:name="OLE_LINK24"/>
      <w:r>
        <w:rPr>
          <w:rFonts w:ascii="Times New Roman"/>
        </w:rPr>
        <w:br w:type="textWrapping"/>
      </w:r>
      <w:bookmarkStart w:id="95" w:name="_Toc227756722"/>
      <w:r>
        <w:rPr>
          <w:rFonts w:hint="eastAsia" w:ascii="Times New Roman"/>
        </w:rPr>
        <w:t>（资料性）</w:t>
      </w:r>
      <w:r>
        <w:rPr>
          <w:rFonts w:ascii="Times New Roman"/>
        </w:rPr>
        <w:br w:type="textWrapping"/>
      </w:r>
      <w:r>
        <w:rPr>
          <w:rFonts w:hint="eastAsia" w:ascii="Times New Roman"/>
        </w:rPr>
        <w:t>培训教材与资源清单</w:t>
      </w:r>
      <w:bookmarkEnd w:id="95"/>
    </w:p>
    <w:bookmarkEnd w:id="94"/>
    <w:p w14:paraId="47A21EC7">
      <w:pPr>
        <w:pStyle w:val="80"/>
        <w:numPr>
          <w:ilvl w:val="0"/>
          <w:numId w:val="0"/>
        </w:numPr>
        <w:spacing w:before="120" w:after="120"/>
        <w:jc w:val="both"/>
        <w:rPr>
          <w:rFonts w:hint="eastAsia"/>
          <w:kern w:val="0"/>
        </w:rPr>
      </w:pPr>
    </w:p>
    <w:p w14:paraId="69F50316">
      <w:pPr>
        <w:pStyle w:val="80"/>
        <w:spacing w:before="120" w:after="120"/>
        <w:rPr>
          <w:kern w:val="0"/>
        </w:rPr>
      </w:pPr>
      <w:r>
        <w:rPr>
          <w:kern w:val="0"/>
        </w:rPr>
        <w:t>标准化培训教材与资源清单</w:t>
      </w:r>
    </w:p>
    <w:tbl>
      <w:tblPr>
        <w:tblStyle w:val="2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1124"/>
        <w:gridCol w:w="3969"/>
        <w:gridCol w:w="2127"/>
        <w:gridCol w:w="2114"/>
      </w:tblGrid>
      <w:tr w14:paraId="6C8A0E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blHeader/>
          <w:jc w:val="center"/>
        </w:trPr>
        <w:tc>
          <w:tcPr>
            <w:tcW w:w="1124" w:type="dxa"/>
            <w:tcBorders>
              <w:top w:val="single" w:color="auto" w:sz="8" w:space="0"/>
              <w:bottom w:val="single" w:color="auto" w:sz="8" w:space="0"/>
            </w:tcBorders>
            <w:vAlign w:val="center"/>
          </w:tcPr>
          <w:p w14:paraId="77845CBF">
            <w:pPr>
              <w:widowControl/>
              <w:spacing w:line="240" w:lineRule="auto"/>
              <w:jc w:val="center"/>
              <w:rPr>
                <w:rFonts w:ascii="Times New Roman" w:hAnsi="Times New Roman"/>
                <w:sz w:val="21"/>
                <w:szCs w:val="21"/>
              </w:rPr>
            </w:pPr>
            <w:r>
              <w:rPr>
                <w:rFonts w:ascii="Times New Roman" w:hAnsi="Times New Roman" w:cs="Times New Roman"/>
                <w:b/>
                <w:bCs/>
                <w:kern w:val="0"/>
                <w:sz w:val="21"/>
                <w:szCs w:val="21"/>
                <w:lang w:bidi="ar"/>
              </w:rPr>
              <w:t>资源类型</w:t>
            </w:r>
          </w:p>
        </w:tc>
        <w:tc>
          <w:tcPr>
            <w:tcW w:w="3969" w:type="dxa"/>
            <w:tcBorders>
              <w:top w:val="single" w:color="auto" w:sz="8" w:space="0"/>
              <w:bottom w:val="single" w:color="auto" w:sz="8" w:space="0"/>
            </w:tcBorders>
            <w:vAlign w:val="center"/>
          </w:tcPr>
          <w:p w14:paraId="2BE711F6">
            <w:pPr>
              <w:widowControl/>
              <w:spacing w:line="240" w:lineRule="auto"/>
              <w:jc w:val="center"/>
              <w:rPr>
                <w:rFonts w:ascii="Times New Roman" w:hAnsi="Times New Roman"/>
                <w:sz w:val="21"/>
                <w:szCs w:val="21"/>
              </w:rPr>
            </w:pPr>
            <w:r>
              <w:rPr>
                <w:rFonts w:ascii="Times New Roman" w:hAnsi="Times New Roman" w:cs="Times New Roman"/>
                <w:b/>
                <w:bCs/>
                <w:kern w:val="0"/>
                <w:sz w:val="21"/>
                <w:szCs w:val="21"/>
                <w:lang w:bidi="ar"/>
              </w:rPr>
              <w:t>资源名称</w:t>
            </w:r>
          </w:p>
        </w:tc>
        <w:tc>
          <w:tcPr>
            <w:tcW w:w="2127" w:type="dxa"/>
            <w:tcBorders>
              <w:top w:val="single" w:color="auto" w:sz="8" w:space="0"/>
              <w:bottom w:val="single" w:color="auto" w:sz="8" w:space="0"/>
            </w:tcBorders>
            <w:vAlign w:val="center"/>
          </w:tcPr>
          <w:p w14:paraId="5AA8C689">
            <w:pPr>
              <w:widowControl/>
              <w:spacing w:line="240" w:lineRule="auto"/>
              <w:jc w:val="center"/>
              <w:rPr>
                <w:rFonts w:ascii="Times New Roman" w:hAnsi="Times New Roman"/>
                <w:sz w:val="21"/>
                <w:szCs w:val="21"/>
              </w:rPr>
            </w:pPr>
            <w:r>
              <w:rPr>
                <w:rFonts w:ascii="Times New Roman" w:hAnsi="Times New Roman" w:cs="Times New Roman"/>
                <w:b/>
                <w:bCs/>
                <w:kern w:val="0"/>
                <w:sz w:val="21"/>
                <w:szCs w:val="21"/>
                <w:lang w:bidi="ar"/>
              </w:rPr>
              <w:t>适用岗位</w:t>
            </w:r>
          </w:p>
        </w:tc>
        <w:tc>
          <w:tcPr>
            <w:tcW w:w="2114" w:type="dxa"/>
            <w:tcBorders>
              <w:top w:val="single" w:color="auto" w:sz="8" w:space="0"/>
              <w:bottom w:val="single" w:color="auto" w:sz="8" w:space="0"/>
            </w:tcBorders>
            <w:vAlign w:val="center"/>
          </w:tcPr>
          <w:p w14:paraId="17D54A24">
            <w:pPr>
              <w:widowControl/>
              <w:spacing w:line="240" w:lineRule="auto"/>
              <w:jc w:val="center"/>
              <w:rPr>
                <w:rFonts w:ascii="Times New Roman" w:hAnsi="Times New Roman"/>
                <w:sz w:val="21"/>
                <w:szCs w:val="21"/>
              </w:rPr>
            </w:pPr>
            <w:r>
              <w:rPr>
                <w:rFonts w:ascii="Times New Roman" w:hAnsi="Times New Roman" w:cs="Times New Roman"/>
                <w:b/>
                <w:bCs/>
                <w:kern w:val="0"/>
                <w:sz w:val="21"/>
                <w:szCs w:val="21"/>
                <w:lang w:bidi="ar"/>
              </w:rPr>
              <w:t>更新频率</w:t>
            </w:r>
          </w:p>
        </w:tc>
      </w:tr>
      <w:tr w14:paraId="637D82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124" w:type="dxa"/>
            <w:tcBorders>
              <w:top w:val="single" w:color="auto" w:sz="8" w:space="0"/>
            </w:tcBorders>
            <w:vAlign w:val="center"/>
          </w:tcPr>
          <w:p w14:paraId="07660858">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操作手册</w:t>
            </w:r>
          </w:p>
        </w:tc>
        <w:tc>
          <w:tcPr>
            <w:tcW w:w="3969" w:type="dxa"/>
            <w:tcBorders>
              <w:top w:val="single" w:color="auto" w:sz="8" w:space="0"/>
            </w:tcBorders>
            <w:vAlign w:val="center"/>
          </w:tcPr>
          <w:p w14:paraId="705ACAD8">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《临床研究病房智慧管理平台总体操作手册》</w:t>
            </w:r>
          </w:p>
        </w:tc>
        <w:tc>
          <w:tcPr>
            <w:tcW w:w="2127" w:type="dxa"/>
            <w:tcBorders>
              <w:top w:val="single" w:color="auto" w:sz="8" w:space="0"/>
            </w:tcBorders>
            <w:vAlign w:val="center"/>
          </w:tcPr>
          <w:p w14:paraId="6624A71E">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所有岗位</w:t>
            </w:r>
          </w:p>
        </w:tc>
        <w:tc>
          <w:tcPr>
            <w:tcW w:w="2114" w:type="dxa"/>
            <w:tcBorders>
              <w:top w:val="single" w:color="auto" w:sz="8" w:space="0"/>
            </w:tcBorders>
            <w:vAlign w:val="center"/>
          </w:tcPr>
          <w:p w14:paraId="272C2468">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每年1次</w:t>
            </w:r>
          </w:p>
        </w:tc>
      </w:tr>
      <w:tr w14:paraId="6EB139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124" w:type="dxa"/>
            <w:vAlign w:val="center"/>
          </w:tcPr>
          <w:p w14:paraId="61155D99">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操作手册</w:t>
            </w:r>
          </w:p>
        </w:tc>
        <w:tc>
          <w:tcPr>
            <w:tcW w:w="3969" w:type="dxa"/>
            <w:vAlign w:val="center"/>
          </w:tcPr>
          <w:p w14:paraId="0BB48EB4">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《临床研究医生岗位操作手册》</w:t>
            </w:r>
          </w:p>
        </w:tc>
        <w:tc>
          <w:tcPr>
            <w:tcW w:w="2127" w:type="dxa"/>
            <w:vAlign w:val="center"/>
          </w:tcPr>
          <w:p w14:paraId="28D333E2">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临床研究医生</w:t>
            </w:r>
          </w:p>
        </w:tc>
        <w:tc>
          <w:tcPr>
            <w:tcW w:w="2114" w:type="dxa"/>
            <w:vAlign w:val="center"/>
          </w:tcPr>
          <w:p w14:paraId="497A2A2F">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每年1次</w:t>
            </w:r>
          </w:p>
        </w:tc>
      </w:tr>
      <w:tr w14:paraId="3DA812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124" w:type="dxa"/>
            <w:vAlign w:val="center"/>
          </w:tcPr>
          <w:p w14:paraId="1FE65163">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操作手册</w:t>
            </w:r>
          </w:p>
        </w:tc>
        <w:tc>
          <w:tcPr>
            <w:tcW w:w="3969" w:type="dxa"/>
            <w:vAlign w:val="center"/>
          </w:tcPr>
          <w:p w14:paraId="61CCF624">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《临床研究护士岗位操作手册》</w:t>
            </w:r>
          </w:p>
        </w:tc>
        <w:tc>
          <w:tcPr>
            <w:tcW w:w="2127" w:type="dxa"/>
            <w:vAlign w:val="center"/>
          </w:tcPr>
          <w:p w14:paraId="0F0B9F3E">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临床研究护士</w:t>
            </w:r>
          </w:p>
        </w:tc>
        <w:tc>
          <w:tcPr>
            <w:tcW w:w="2114" w:type="dxa"/>
            <w:vAlign w:val="center"/>
          </w:tcPr>
          <w:p w14:paraId="4BE8D109">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每年1次</w:t>
            </w:r>
          </w:p>
        </w:tc>
      </w:tr>
      <w:tr w14:paraId="374635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180" w:hRule="atLeast"/>
          <w:jc w:val="center"/>
        </w:trPr>
        <w:tc>
          <w:tcPr>
            <w:tcW w:w="1124" w:type="dxa"/>
            <w:vAlign w:val="center"/>
          </w:tcPr>
          <w:p w14:paraId="73ED9A79">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操作手册</w:t>
            </w:r>
          </w:p>
        </w:tc>
        <w:tc>
          <w:tcPr>
            <w:tcW w:w="3969" w:type="dxa"/>
            <w:vAlign w:val="center"/>
          </w:tcPr>
          <w:p w14:paraId="7D4C0BFD">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《平台管理与运维操作手册》</w:t>
            </w:r>
          </w:p>
        </w:tc>
        <w:tc>
          <w:tcPr>
            <w:tcW w:w="2127" w:type="dxa"/>
            <w:vAlign w:val="center"/>
          </w:tcPr>
          <w:p w14:paraId="6974E8D0">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管理人员、运维人员</w:t>
            </w:r>
          </w:p>
        </w:tc>
        <w:tc>
          <w:tcPr>
            <w:tcW w:w="2114" w:type="dxa"/>
            <w:vAlign w:val="center"/>
          </w:tcPr>
          <w:p w14:paraId="45144FCD">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每年1次</w:t>
            </w:r>
          </w:p>
        </w:tc>
      </w:tr>
      <w:tr w14:paraId="16CD4C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124" w:type="dxa"/>
            <w:vAlign w:val="center"/>
          </w:tcPr>
          <w:p w14:paraId="1B909A40">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视频教程</w:t>
            </w:r>
          </w:p>
        </w:tc>
        <w:tc>
          <w:tcPr>
            <w:tcW w:w="3969" w:type="dxa"/>
            <w:vAlign w:val="center"/>
          </w:tcPr>
          <w:p w14:paraId="157A3D1A">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平台核心功能操作系列微课</w:t>
            </w:r>
          </w:p>
        </w:tc>
        <w:tc>
          <w:tcPr>
            <w:tcW w:w="2127" w:type="dxa"/>
            <w:vAlign w:val="center"/>
          </w:tcPr>
          <w:p w14:paraId="0D86DC99">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所有岗位</w:t>
            </w:r>
          </w:p>
        </w:tc>
        <w:tc>
          <w:tcPr>
            <w:tcW w:w="2114" w:type="dxa"/>
            <w:vAlign w:val="center"/>
          </w:tcPr>
          <w:p w14:paraId="09C99E5F">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每</w:t>
            </w:r>
            <w:r>
              <w:rPr>
                <w:rFonts w:hint="default" w:ascii="Times New Roman" w:hAnsi="Times New Roman" w:cs="Times New Roman"/>
                <w:kern w:val="0"/>
                <w:sz w:val="21"/>
                <w:szCs w:val="21"/>
                <w:lang w:bidi="ar"/>
              </w:rPr>
              <w:t>半年</w:t>
            </w:r>
            <w:r>
              <w:rPr>
                <w:rFonts w:ascii="Times New Roman" w:hAnsi="Times New Roman" w:cs="Times New Roman"/>
                <w:kern w:val="0"/>
                <w:sz w:val="21"/>
                <w:szCs w:val="21"/>
                <w:lang w:bidi="ar"/>
              </w:rPr>
              <w:t>1次</w:t>
            </w:r>
          </w:p>
        </w:tc>
      </w:tr>
      <w:tr w14:paraId="2FA822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124" w:type="dxa"/>
            <w:vAlign w:val="center"/>
          </w:tcPr>
          <w:p w14:paraId="5CF2ED65">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视频教程</w:t>
            </w:r>
          </w:p>
        </w:tc>
        <w:tc>
          <w:tcPr>
            <w:tcW w:w="3969" w:type="dxa"/>
            <w:vAlign w:val="center"/>
          </w:tcPr>
          <w:p w14:paraId="6E8A13BB">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典型场景模拟操作视频</w:t>
            </w:r>
          </w:p>
        </w:tc>
        <w:tc>
          <w:tcPr>
            <w:tcW w:w="2127" w:type="dxa"/>
            <w:vAlign w:val="center"/>
          </w:tcPr>
          <w:p w14:paraId="4223D72F">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医护人员、CRC</w:t>
            </w:r>
          </w:p>
        </w:tc>
        <w:tc>
          <w:tcPr>
            <w:tcW w:w="2114" w:type="dxa"/>
            <w:vAlign w:val="center"/>
          </w:tcPr>
          <w:p w14:paraId="7402EF6D">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每半年1次</w:t>
            </w:r>
          </w:p>
        </w:tc>
      </w:tr>
      <w:tr w14:paraId="240AC9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124" w:type="dxa"/>
            <w:vAlign w:val="center"/>
          </w:tcPr>
          <w:p w14:paraId="60323DCD">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课件</w:t>
            </w:r>
          </w:p>
        </w:tc>
        <w:tc>
          <w:tcPr>
            <w:tcW w:w="3969" w:type="dxa"/>
            <w:vAlign w:val="center"/>
          </w:tcPr>
          <w:p w14:paraId="0279DE4F">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《GCP与平台数据安全合规培训课件》</w:t>
            </w:r>
          </w:p>
        </w:tc>
        <w:tc>
          <w:tcPr>
            <w:tcW w:w="2127" w:type="dxa"/>
            <w:vAlign w:val="center"/>
          </w:tcPr>
          <w:p w14:paraId="18522158">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所有岗位</w:t>
            </w:r>
          </w:p>
        </w:tc>
        <w:tc>
          <w:tcPr>
            <w:tcW w:w="2114" w:type="dxa"/>
            <w:vAlign w:val="center"/>
          </w:tcPr>
          <w:p w14:paraId="21D5D9A1">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每年1次</w:t>
            </w:r>
          </w:p>
        </w:tc>
      </w:tr>
      <w:tr w14:paraId="459161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124" w:type="dxa"/>
            <w:vAlign w:val="center"/>
          </w:tcPr>
          <w:p w14:paraId="4CEEC4A1">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课件</w:t>
            </w:r>
          </w:p>
        </w:tc>
        <w:tc>
          <w:tcPr>
            <w:tcW w:w="3969" w:type="dxa"/>
            <w:vAlign w:val="center"/>
          </w:tcPr>
          <w:p w14:paraId="7EFA27CE">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《平台新功能培训课件》</w:t>
            </w:r>
          </w:p>
        </w:tc>
        <w:tc>
          <w:tcPr>
            <w:tcW w:w="2127" w:type="dxa"/>
            <w:vAlign w:val="center"/>
          </w:tcPr>
          <w:p w14:paraId="5DD60970">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所有岗位</w:t>
            </w:r>
          </w:p>
        </w:tc>
        <w:tc>
          <w:tcPr>
            <w:tcW w:w="2114" w:type="dxa"/>
            <w:vAlign w:val="center"/>
          </w:tcPr>
          <w:p w14:paraId="7734F469">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功能更新后7日内</w:t>
            </w:r>
          </w:p>
        </w:tc>
      </w:tr>
      <w:tr w14:paraId="44FDF1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124" w:type="dxa"/>
            <w:vAlign w:val="center"/>
          </w:tcPr>
          <w:p w14:paraId="75552636">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案例集</w:t>
            </w:r>
          </w:p>
        </w:tc>
        <w:tc>
          <w:tcPr>
            <w:tcW w:w="3969" w:type="dxa"/>
            <w:vAlign w:val="center"/>
          </w:tcPr>
          <w:p w14:paraId="5EA7DBDA">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平台操作典型问题与解决方案案例集</w:t>
            </w:r>
          </w:p>
        </w:tc>
        <w:tc>
          <w:tcPr>
            <w:tcW w:w="2127" w:type="dxa"/>
            <w:vAlign w:val="center"/>
          </w:tcPr>
          <w:p w14:paraId="68AA2C4F">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所有岗位</w:t>
            </w:r>
          </w:p>
        </w:tc>
        <w:tc>
          <w:tcPr>
            <w:tcW w:w="2114" w:type="dxa"/>
            <w:vAlign w:val="center"/>
          </w:tcPr>
          <w:p w14:paraId="6372C50A">
            <w:pPr>
              <w:widowControl/>
              <w:spacing w:line="240" w:lineRule="auto"/>
              <w:jc w:val="center"/>
              <w:rPr>
                <w:rFonts w:ascii="Times New Roman" w:hAnsi="Times New Roman"/>
                <w:sz w:val="21"/>
                <w:szCs w:val="21"/>
              </w:rPr>
            </w:pPr>
            <w:r>
              <w:rPr>
                <w:rFonts w:ascii="Times New Roman" w:hAnsi="Times New Roman" w:cs="Times New Roman"/>
                <w:kern w:val="0"/>
                <w:sz w:val="21"/>
                <w:szCs w:val="21"/>
                <w:lang w:bidi="ar"/>
              </w:rPr>
              <w:t>每半年1次</w:t>
            </w:r>
          </w:p>
        </w:tc>
      </w:tr>
    </w:tbl>
    <w:p w14:paraId="6FA67F2A">
      <w:pPr>
        <w:pStyle w:val="59"/>
        <w:ind w:firstLine="420"/>
      </w:pPr>
    </w:p>
    <w:p w14:paraId="6169743A">
      <w:pPr>
        <w:pStyle w:val="59"/>
        <w:ind w:firstLine="0" w:firstLineChars="0"/>
        <w:rPr>
          <w:rFonts w:hint="eastAsia"/>
        </w:rPr>
        <w:sectPr>
          <w:pgSz w:w="11906" w:h="16838"/>
          <w:pgMar w:top="1928" w:right="1134" w:bottom="1134" w:left="1134" w:header="1418" w:footer="1134" w:gutter="284"/>
          <w:cols w:space="425" w:num="1"/>
          <w:formProt w:val="0"/>
          <w:docGrid w:linePitch="312" w:charSpace="0"/>
        </w:sectPr>
      </w:pPr>
    </w:p>
    <w:p w14:paraId="259CCC95">
      <w:pPr>
        <w:pStyle w:val="201"/>
        <w:rPr>
          <w:rFonts w:hint="eastAsia"/>
        </w:rPr>
      </w:pPr>
    </w:p>
    <w:p w14:paraId="0B613F1B">
      <w:pPr>
        <w:pStyle w:val="202"/>
      </w:pPr>
    </w:p>
    <w:p w14:paraId="2CBEB385">
      <w:pPr>
        <w:pStyle w:val="79"/>
        <w:spacing w:before="0" w:after="0" w:afterLines="0"/>
        <w:rPr>
          <w:rFonts w:ascii="Times New Roman"/>
        </w:rPr>
      </w:pPr>
      <w:r>
        <w:rPr>
          <w:rFonts w:ascii="Times New Roman"/>
        </w:rPr>
        <w:br w:type="textWrapping"/>
      </w:r>
      <w:bookmarkStart w:id="96" w:name="_Toc227756723"/>
      <w:r>
        <w:rPr>
          <w:rFonts w:hint="eastAsia" w:ascii="Times New Roman"/>
        </w:rPr>
        <w:t>（资料性）</w:t>
      </w:r>
      <w:r>
        <w:rPr>
          <w:rFonts w:ascii="Times New Roman"/>
        </w:rPr>
        <w:br w:type="textWrapping"/>
      </w:r>
      <w:r>
        <w:rPr>
          <w:rFonts w:hint="eastAsia" w:ascii="Times New Roman"/>
        </w:rPr>
        <w:t>培训效果评估问卷模板</w:t>
      </w:r>
      <w:bookmarkEnd w:id="96"/>
    </w:p>
    <w:p w14:paraId="700260C9">
      <w:pPr>
        <w:pStyle w:val="80"/>
        <w:numPr>
          <w:ilvl w:val="0"/>
          <w:numId w:val="0"/>
        </w:numPr>
        <w:spacing w:before="120" w:after="120"/>
        <w:jc w:val="both"/>
        <w:rPr>
          <w:rFonts w:hint="eastAsia"/>
          <w:kern w:val="0"/>
        </w:rPr>
      </w:pPr>
    </w:p>
    <w:p w14:paraId="2AF9BE73">
      <w:pPr>
        <w:pStyle w:val="80"/>
        <w:spacing w:before="0" w:beforeLines="0" w:after="0" w:afterLines="0"/>
        <w:rPr>
          <w:kern w:val="0"/>
        </w:rPr>
      </w:pPr>
      <w:r>
        <w:rPr>
          <w:rFonts w:hint="eastAsia"/>
          <w:kern w:val="0"/>
        </w:rPr>
        <w:t>培训效果评估问卷</w:t>
      </w:r>
    </w:p>
    <w:tbl>
      <w:tblPr>
        <w:tblStyle w:val="29"/>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1876"/>
        <w:gridCol w:w="4208"/>
        <w:gridCol w:w="3470"/>
      </w:tblGrid>
      <w:tr w14:paraId="2B83EB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982" w:type="pct"/>
            <w:tcBorders>
              <w:top w:val="single" w:color="auto" w:sz="8" w:space="0"/>
              <w:bottom w:val="single" w:color="auto" w:sz="8" w:space="0"/>
            </w:tcBorders>
            <w:vAlign w:val="center"/>
          </w:tcPr>
          <w:p w14:paraId="4A0C000B">
            <w:pPr>
              <w:widowControl/>
              <w:jc w:val="center"/>
              <w:rPr>
                <w:rFonts w:ascii="Times New Roman" w:hAnsi="Times New Roman"/>
                <w:sz w:val="21"/>
                <w:szCs w:val="21"/>
              </w:rPr>
            </w:pPr>
            <w:r>
              <w:rPr>
                <w:rFonts w:ascii="Times New Roman" w:hAnsi="Times New Roman" w:cs="Times New Roman"/>
                <w:b/>
                <w:bCs/>
                <w:kern w:val="0"/>
                <w:sz w:val="21"/>
                <w:szCs w:val="21"/>
                <w:lang w:bidi="ar"/>
              </w:rPr>
              <w:t>评估维度</w:t>
            </w:r>
          </w:p>
        </w:tc>
        <w:tc>
          <w:tcPr>
            <w:tcW w:w="2202" w:type="pct"/>
            <w:tcBorders>
              <w:top w:val="single" w:color="auto" w:sz="8" w:space="0"/>
              <w:bottom w:val="single" w:color="auto" w:sz="8" w:space="0"/>
            </w:tcBorders>
            <w:vAlign w:val="center"/>
          </w:tcPr>
          <w:p w14:paraId="496A7DA9">
            <w:pPr>
              <w:widowControl/>
              <w:jc w:val="center"/>
              <w:rPr>
                <w:rFonts w:ascii="Times New Roman" w:hAnsi="Times New Roman"/>
                <w:sz w:val="21"/>
                <w:szCs w:val="21"/>
              </w:rPr>
            </w:pPr>
            <w:r>
              <w:rPr>
                <w:rFonts w:ascii="Times New Roman" w:hAnsi="Times New Roman" w:cs="Times New Roman"/>
                <w:b/>
                <w:bCs/>
                <w:kern w:val="0"/>
                <w:sz w:val="21"/>
                <w:szCs w:val="21"/>
                <w:lang w:bidi="ar"/>
              </w:rPr>
              <w:t>评估内容</w:t>
            </w:r>
          </w:p>
        </w:tc>
        <w:tc>
          <w:tcPr>
            <w:tcW w:w="1816" w:type="pct"/>
            <w:tcBorders>
              <w:top w:val="single" w:color="auto" w:sz="8" w:space="0"/>
              <w:bottom w:val="single" w:color="auto" w:sz="8" w:space="0"/>
            </w:tcBorders>
            <w:vAlign w:val="center"/>
          </w:tcPr>
          <w:p w14:paraId="1563AA2B">
            <w:pPr>
              <w:widowControl/>
              <w:jc w:val="center"/>
              <w:rPr>
                <w:rFonts w:ascii="Times New Roman" w:hAnsi="Times New Roman"/>
                <w:sz w:val="21"/>
                <w:szCs w:val="21"/>
              </w:rPr>
            </w:pPr>
            <w:r>
              <w:rPr>
                <w:rFonts w:ascii="Times New Roman" w:hAnsi="Times New Roman" w:cs="Times New Roman"/>
                <w:b/>
                <w:bCs/>
                <w:kern w:val="0"/>
                <w:sz w:val="21"/>
                <w:szCs w:val="21"/>
                <w:lang w:bidi="ar"/>
              </w:rPr>
              <w:t>评分（1-5分，1 =非常不满意，5=非常满意）</w:t>
            </w:r>
          </w:p>
        </w:tc>
      </w:tr>
      <w:tr w14:paraId="5FF15F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82" w:type="pct"/>
            <w:vMerge w:val="restart"/>
            <w:tcBorders>
              <w:top w:val="single" w:color="auto" w:sz="8" w:space="0"/>
            </w:tcBorders>
            <w:vAlign w:val="center"/>
          </w:tcPr>
          <w:p w14:paraId="7EDDD4E5">
            <w:pPr>
              <w:widowControl/>
              <w:jc w:val="center"/>
              <w:rPr>
                <w:rFonts w:ascii="Times New Roman" w:hAnsi="Times New Roman"/>
                <w:sz w:val="21"/>
                <w:szCs w:val="21"/>
              </w:rPr>
            </w:pPr>
            <w:r>
              <w:rPr>
                <w:rFonts w:ascii="Times New Roman" w:hAnsi="Times New Roman" w:cs="Times New Roman"/>
                <w:kern w:val="0"/>
                <w:sz w:val="21"/>
                <w:szCs w:val="21"/>
                <w:lang w:bidi="ar"/>
              </w:rPr>
              <w:t>培训内容</w:t>
            </w:r>
          </w:p>
        </w:tc>
        <w:tc>
          <w:tcPr>
            <w:tcW w:w="2202" w:type="pct"/>
            <w:tcBorders>
              <w:top w:val="single" w:color="auto" w:sz="8" w:space="0"/>
            </w:tcBorders>
            <w:vAlign w:val="center"/>
          </w:tcPr>
          <w:p w14:paraId="1F3D60B6">
            <w:pPr>
              <w:widowControl/>
              <w:jc w:val="left"/>
              <w:rPr>
                <w:rFonts w:ascii="Times New Roman" w:hAnsi="Times New Roman"/>
                <w:sz w:val="21"/>
                <w:szCs w:val="21"/>
              </w:rPr>
            </w:pPr>
            <w:r>
              <w:rPr>
                <w:rFonts w:ascii="Times New Roman" w:hAnsi="Times New Roman" w:cs="Times New Roman"/>
                <w:kern w:val="0"/>
                <w:sz w:val="21"/>
                <w:szCs w:val="21"/>
                <w:lang w:bidi="ar"/>
              </w:rPr>
              <w:t>1. 培训内容与岗位需求的匹配度</w:t>
            </w:r>
          </w:p>
        </w:tc>
        <w:tc>
          <w:tcPr>
            <w:tcW w:w="1816" w:type="pct"/>
            <w:tcBorders>
              <w:top w:val="single" w:color="auto" w:sz="8" w:space="0"/>
            </w:tcBorders>
            <w:vAlign w:val="center"/>
          </w:tcPr>
          <w:p w14:paraId="10B3E1FD">
            <w:pPr>
              <w:jc w:val="left"/>
              <w:rPr>
                <w:rFonts w:ascii="Times New Roman" w:hAnsi="Times New Roman"/>
                <w:sz w:val="21"/>
                <w:szCs w:val="21"/>
              </w:rPr>
            </w:pPr>
          </w:p>
        </w:tc>
      </w:tr>
      <w:tr w14:paraId="11B54C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82" w:type="pct"/>
            <w:vMerge w:val="continue"/>
            <w:vAlign w:val="center"/>
          </w:tcPr>
          <w:p w14:paraId="49E5F0F9">
            <w:pPr>
              <w:jc w:val="center"/>
              <w:rPr>
                <w:rFonts w:ascii="Times New Roman" w:hAnsi="Times New Roman"/>
                <w:sz w:val="21"/>
                <w:szCs w:val="21"/>
              </w:rPr>
            </w:pPr>
          </w:p>
        </w:tc>
        <w:tc>
          <w:tcPr>
            <w:tcW w:w="2202" w:type="pct"/>
            <w:vAlign w:val="center"/>
          </w:tcPr>
          <w:p w14:paraId="155A5248">
            <w:pPr>
              <w:widowControl/>
              <w:jc w:val="left"/>
              <w:rPr>
                <w:rFonts w:ascii="Times New Roman" w:hAnsi="Times New Roman"/>
                <w:sz w:val="21"/>
                <w:szCs w:val="21"/>
              </w:rPr>
            </w:pPr>
            <w:r>
              <w:rPr>
                <w:rFonts w:ascii="Times New Roman" w:hAnsi="Times New Roman" w:cs="Times New Roman"/>
                <w:kern w:val="0"/>
                <w:sz w:val="21"/>
                <w:szCs w:val="21"/>
                <w:lang w:bidi="ar"/>
              </w:rPr>
              <w:t>2. 培训内容的实用性与针对性</w:t>
            </w:r>
          </w:p>
        </w:tc>
        <w:tc>
          <w:tcPr>
            <w:tcW w:w="1816" w:type="pct"/>
            <w:vAlign w:val="center"/>
          </w:tcPr>
          <w:p w14:paraId="4513551E">
            <w:pPr>
              <w:jc w:val="left"/>
              <w:rPr>
                <w:rFonts w:ascii="Times New Roman" w:hAnsi="Times New Roman"/>
                <w:sz w:val="21"/>
                <w:szCs w:val="21"/>
              </w:rPr>
            </w:pPr>
          </w:p>
        </w:tc>
      </w:tr>
      <w:tr w14:paraId="32D349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82" w:type="pct"/>
            <w:vMerge w:val="continue"/>
            <w:vAlign w:val="center"/>
          </w:tcPr>
          <w:p w14:paraId="733AD963">
            <w:pPr>
              <w:jc w:val="center"/>
              <w:rPr>
                <w:rFonts w:ascii="Times New Roman" w:hAnsi="Times New Roman"/>
                <w:sz w:val="21"/>
                <w:szCs w:val="21"/>
              </w:rPr>
            </w:pPr>
          </w:p>
        </w:tc>
        <w:tc>
          <w:tcPr>
            <w:tcW w:w="2202" w:type="pct"/>
            <w:vAlign w:val="center"/>
          </w:tcPr>
          <w:p w14:paraId="33B29643">
            <w:pPr>
              <w:widowControl/>
              <w:jc w:val="left"/>
              <w:rPr>
                <w:rFonts w:ascii="Times New Roman" w:hAnsi="Times New Roman"/>
                <w:sz w:val="21"/>
                <w:szCs w:val="21"/>
              </w:rPr>
            </w:pPr>
            <w:r>
              <w:rPr>
                <w:rFonts w:ascii="Times New Roman" w:hAnsi="Times New Roman" w:cs="Times New Roman"/>
                <w:kern w:val="0"/>
                <w:sz w:val="21"/>
                <w:szCs w:val="21"/>
                <w:lang w:bidi="ar"/>
              </w:rPr>
              <w:t>3. 培训内容的难易程度</w:t>
            </w:r>
          </w:p>
        </w:tc>
        <w:tc>
          <w:tcPr>
            <w:tcW w:w="1816" w:type="pct"/>
            <w:vAlign w:val="center"/>
          </w:tcPr>
          <w:p w14:paraId="653B665F">
            <w:pPr>
              <w:jc w:val="left"/>
              <w:rPr>
                <w:rFonts w:ascii="Times New Roman" w:hAnsi="Times New Roman"/>
                <w:sz w:val="21"/>
                <w:szCs w:val="21"/>
              </w:rPr>
            </w:pPr>
          </w:p>
        </w:tc>
      </w:tr>
      <w:tr w14:paraId="711244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82" w:type="pct"/>
            <w:vMerge w:val="restart"/>
            <w:vAlign w:val="center"/>
          </w:tcPr>
          <w:p w14:paraId="6EA9C2DE">
            <w:pPr>
              <w:widowControl/>
              <w:jc w:val="center"/>
              <w:rPr>
                <w:rFonts w:ascii="Times New Roman" w:hAnsi="Times New Roman"/>
                <w:sz w:val="21"/>
                <w:szCs w:val="21"/>
              </w:rPr>
            </w:pPr>
            <w:r>
              <w:rPr>
                <w:rFonts w:ascii="Times New Roman" w:hAnsi="Times New Roman" w:cs="Times New Roman"/>
                <w:kern w:val="0"/>
                <w:sz w:val="21"/>
                <w:szCs w:val="21"/>
                <w:lang w:bidi="ar"/>
              </w:rPr>
              <w:t>培训师资</w:t>
            </w:r>
          </w:p>
        </w:tc>
        <w:tc>
          <w:tcPr>
            <w:tcW w:w="2202" w:type="pct"/>
            <w:vAlign w:val="center"/>
          </w:tcPr>
          <w:p w14:paraId="01A5A1DC">
            <w:pPr>
              <w:widowControl/>
              <w:jc w:val="left"/>
              <w:rPr>
                <w:rFonts w:ascii="Times New Roman" w:hAnsi="Times New Roman"/>
                <w:sz w:val="21"/>
                <w:szCs w:val="21"/>
              </w:rPr>
            </w:pPr>
            <w:r>
              <w:rPr>
                <w:rFonts w:ascii="Times New Roman" w:hAnsi="Times New Roman" w:cs="Times New Roman"/>
                <w:kern w:val="0"/>
                <w:sz w:val="21"/>
                <w:szCs w:val="21"/>
                <w:lang w:bidi="ar"/>
              </w:rPr>
              <w:t>4. 讲师的专业水平与讲解能力</w:t>
            </w:r>
          </w:p>
        </w:tc>
        <w:tc>
          <w:tcPr>
            <w:tcW w:w="1816" w:type="pct"/>
            <w:vAlign w:val="center"/>
          </w:tcPr>
          <w:p w14:paraId="4A3F14EA">
            <w:pPr>
              <w:jc w:val="left"/>
              <w:rPr>
                <w:rFonts w:ascii="Times New Roman" w:hAnsi="Times New Roman"/>
                <w:sz w:val="21"/>
                <w:szCs w:val="21"/>
              </w:rPr>
            </w:pPr>
          </w:p>
        </w:tc>
      </w:tr>
      <w:tr w14:paraId="242012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82" w:type="pct"/>
            <w:vMerge w:val="continue"/>
            <w:vAlign w:val="center"/>
          </w:tcPr>
          <w:p w14:paraId="64D512D9">
            <w:pPr>
              <w:jc w:val="center"/>
              <w:rPr>
                <w:rFonts w:ascii="Times New Roman" w:hAnsi="Times New Roman"/>
                <w:sz w:val="21"/>
                <w:szCs w:val="21"/>
              </w:rPr>
            </w:pPr>
          </w:p>
        </w:tc>
        <w:tc>
          <w:tcPr>
            <w:tcW w:w="2202" w:type="pct"/>
            <w:vAlign w:val="center"/>
          </w:tcPr>
          <w:p w14:paraId="5D410D3C">
            <w:pPr>
              <w:widowControl/>
              <w:jc w:val="left"/>
              <w:rPr>
                <w:rFonts w:ascii="Times New Roman" w:hAnsi="Times New Roman"/>
                <w:sz w:val="21"/>
                <w:szCs w:val="21"/>
              </w:rPr>
            </w:pPr>
            <w:r>
              <w:rPr>
                <w:rFonts w:ascii="Times New Roman" w:hAnsi="Times New Roman" w:cs="Times New Roman"/>
                <w:kern w:val="0"/>
                <w:sz w:val="21"/>
                <w:szCs w:val="21"/>
                <w:lang w:bidi="ar"/>
              </w:rPr>
              <w:t>5. 讲师的答疑与互动效果</w:t>
            </w:r>
          </w:p>
        </w:tc>
        <w:tc>
          <w:tcPr>
            <w:tcW w:w="1816" w:type="pct"/>
            <w:vAlign w:val="center"/>
          </w:tcPr>
          <w:p w14:paraId="23A5A10C">
            <w:pPr>
              <w:jc w:val="left"/>
              <w:rPr>
                <w:rFonts w:ascii="Times New Roman" w:hAnsi="Times New Roman"/>
                <w:sz w:val="21"/>
                <w:szCs w:val="21"/>
              </w:rPr>
            </w:pPr>
          </w:p>
        </w:tc>
      </w:tr>
      <w:tr w14:paraId="1522AC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82" w:type="pct"/>
            <w:vMerge w:val="restart"/>
            <w:vAlign w:val="center"/>
          </w:tcPr>
          <w:p w14:paraId="7D7509E8">
            <w:pPr>
              <w:widowControl/>
              <w:jc w:val="center"/>
              <w:rPr>
                <w:rFonts w:ascii="Times New Roman" w:hAnsi="Times New Roman"/>
                <w:sz w:val="21"/>
                <w:szCs w:val="21"/>
              </w:rPr>
            </w:pPr>
            <w:r>
              <w:rPr>
                <w:rFonts w:ascii="Times New Roman" w:hAnsi="Times New Roman" w:cs="Times New Roman"/>
                <w:kern w:val="0"/>
                <w:sz w:val="21"/>
                <w:szCs w:val="21"/>
                <w:lang w:bidi="ar"/>
              </w:rPr>
              <w:t>培训方式</w:t>
            </w:r>
          </w:p>
        </w:tc>
        <w:tc>
          <w:tcPr>
            <w:tcW w:w="2202" w:type="pct"/>
            <w:vAlign w:val="center"/>
          </w:tcPr>
          <w:p w14:paraId="0E0A0331">
            <w:pPr>
              <w:widowControl/>
              <w:jc w:val="left"/>
              <w:rPr>
                <w:rFonts w:ascii="Times New Roman" w:hAnsi="Times New Roman"/>
                <w:sz w:val="21"/>
                <w:szCs w:val="21"/>
              </w:rPr>
            </w:pPr>
            <w:r>
              <w:rPr>
                <w:rFonts w:ascii="Times New Roman" w:hAnsi="Times New Roman" w:cs="Times New Roman"/>
                <w:kern w:val="0"/>
                <w:sz w:val="21"/>
                <w:szCs w:val="21"/>
                <w:lang w:bidi="ar"/>
              </w:rPr>
              <w:t>6. 线上培训的便捷性与学习体验</w:t>
            </w:r>
          </w:p>
        </w:tc>
        <w:tc>
          <w:tcPr>
            <w:tcW w:w="1816" w:type="pct"/>
            <w:vAlign w:val="center"/>
          </w:tcPr>
          <w:p w14:paraId="312936A9">
            <w:pPr>
              <w:jc w:val="left"/>
              <w:rPr>
                <w:rFonts w:ascii="Times New Roman" w:hAnsi="Times New Roman"/>
                <w:sz w:val="21"/>
                <w:szCs w:val="21"/>
              </w:rPr>
            </w:pPr>
          </w:p>
        </w:tc>
      </w:tr>
      <w:tr w14:paraId="5585EB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82" w:type="pct"/>
            <w:vMerge w:val="continue"/>
            <w:vAlign w:val="center"/>
          </w:tcPr>
          <w:p w14:paraId="6E3863E1">
            <w:pPr>
              <w:jc w:val="center"/>
              <w:rPr>
                <w:rFonts w:ascii="Times New Roman" w:hAnsi="Times New Roman"/>
                <w:sz w:val="21"/>
                <w:szCs w:val="21"/>
              </w:rPr>
            </w:pPr>
          </w:p>
        </w:tc>
        <w:tc>
          <w:tcPr>
            <w:tcW w:w="2202" w:type="pct"/>
            <w:vAlign w:val="center"/>
          </w:tcPr>
          <w:p w14:paraId="045C9625">
            <w:pPr>
              <w:widowControl/>
              <w:jc w:val="left"/>
              <w:rPr>
                <w:rFonts w:ascii="Times New Roman" w:hAnsi="Times New Roman"/>
                <w:sz w:val="21"/>
                <w:szCs w:val="21"/>
              </w:rPr>
            </w:pPr>
            <w:r>
              <w:rPr>
                <w:rFonts w:ascii="Times New Roman" w:hAnsi="Times New Roman" w:cs="Times New Roman"/>
                <w:kern w:val="0"/>
                <w:sz w:val="21"/>
                <w:szCs w:val="21"/>
                <w:lang w:bidi="ar"/>
              </w:rPr>
              <w:t>7. 线下实操演练的充分性</w:t>
            </w:r>
          </w:p>
        </w:tc>
        <w:tc>
          <w:tcPr>
            <w:tcW w:w="1816" w:type="pct"/>
            <w:vAlign w:val="center"/>
          </w:tcPr>
          <w:p w14:paraId="6EF8B007">
            <w:pPr>
              <w:jc w:val="left"/>
              <w:rPr>
                <w:rFonts w:ascii="Times New Roman" w:hAnsi="Times New Roman"/>
                <w:sz w:val="21"/>
                <w:szCs w:val="21"/>
              </w:rPr>
            </w:pPr>
          </w:p>
        </w:tc>
      </w:tr>
      <w:tr w14:paraId="38FD1B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82" w:type="pct"/>
            <w:vMerge w:val="continue"/>
            <w:vAlign w:val="center"/>
          </w:tcPr>
          <w:p w14:paraId="0DA03B58">
            <w:pPr>
              <w:jc w:val="center"/>
              <w:rPr>
                <w:rFonts w:ascii="Times New Roman" w:hAnsi="Times New Roman"/>
                <w:sz w:val="21"/>
                <w:szCs w:val="21"/>
              </w:rPr>
            </w:pPr>
          </w:p>
        </w:tc>
        <w:tc>
          <w:tcPr>
            <w:tcW w:w="2202" w:type="pct"/>
            <w:vAlign w:val="center"/>
          </w:tcPr>
          <w:p w14:paraId="5711610E">
            <w:pPr>
              <w:widowControl/>
              <w:jc w:val="left"/>
              <w:rPr>
                <w:rFonts w:ascii="Times New Roman" w:hAnsi="Times New Roman"/>
                <w:sz w:val="21"/>
                <w:szCs w:val="21"/>
              </w:rPr>
            </w:pPr>
            <w:r>
              <w:rPr>
                <w:rFonts w:ascii="Times New Roman" w:hAnsi="Times New Roman" w:cs="Times New Roman"/>
                <w:kern w:val="0"/>
                <w:sz w:val="21"/>
                <w:szCs w:val="21"/>
                <w:lang w:bidi="ar"/>
              </w:rPr>
              <w:t>8. 导师带教的指导效果</w:t>
            </w:r>
          </w:p>
        </w:tc>
        <w:tc>
          <w:tcPr>
            <w:tcW w:w="1816" w:type="pct"/>
            <w:vAlign w:val="center"/>
          </w:tcPr>
          <w:p w14:paraId="50C537DE">
            <w:pPr>
              <w:jc w:val="left"/>
              <w:rPr>
                <w:rFonts w:ascii="Times New Roman" w:hAnsi="Times New Roman"/>
                <w:sz w:val="21"/>
                <w:szCs w:val="21"/>
              </w:rPr>
            </w:pPr>
          </w:p>
        </w:tc>
      </w:tr>
      <w:tr w14:paraId="2D8913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82" w:type="pct"/>
            <w:vMerge w:val="restart"/>
            <w:vAlign w:val="center"/>
          </w:tcPr>
          <w:p w14:paraId="6103FF5D">
            <w:pPr>
              <w:widowControl/>
              <w:jc w:val="center"/>
              <w:rPr>
                <w:rFonts w:ascii="Times New Roman" w:hAnsi="Times New Roman"/>
                <w:sz w:val="21"/>
                <w:szCs w:val="21"/>
              </w:rPr>
            </w:pPr>
            <w:r>
              <w:rPr>
                <w:rFonts w:ascii="Times New Roman" w:hAnsi="Times New Roman" w:cs="Times New Roman"/>
                <w:kern w:val="0"/>
                <w:sz w:val="21"/>
                <w:szCs w:val="21"/>
                <w:lang w:bidi="ar"/>
              </w:rPr>
              <w:t>培训组织</w:t>
            </w:r>
          </w:p>
        </w:tc>
        <w:tc>
          <w:tcPr>
            <w:tcW w:w="2202" w:type="pct"/>
            <w:vAlign w:val="center"/>
          </w:tcPr>
          <w:p w14:paraId="716888B8">
            <w:pPr>
              <w:widowControl/>
              <w:jc w:val="left"/>
              <w:rPr>
                <w:rFonts w:ascii="Times New Roman" w:hAnsi="Times New Roman"/>
                <w:sz w:val="21"/>
                <w:szCs w:val="21"/>
              </w:rPr>
            </w:pPr>
            <w:r>
              <w:rPr>
                <w:rFonts w:ascii="Times New Roman" w:hAnsi="Times New Roman" w:cs="Times New Roman"/>
                <w:kern w:val="0"/>
                <w:sz w:val="21"/>
                <w:szCs w:val="21"/>
                <w:lang w:bidi="ar"/>
              </w:rPr>
              <w:t>9. 培训时间安排的合理性</w:t>
            </w:r>
          </w:p>
        </w:tc>
        <w:tc>
          <w:tcPr>
            <w:tcW w:w="1816" w:type="pct"/>
            <w:vAlign w:val="center"/>
          </w:tcPr>
          <w:p w14:paraId="5251F74D">
            <w:pPr>
              <w:jc w:val="left"/>
              <w:rPr>
                <w:rFonts w:ascii="Times New Roman" w:hAnsi="Times New Roman"/>
                <w:sz w:val="21"/>
                <w:szCs w:val="21"/>
              </w:rPr>
            </w:pPr>
          </w:p>
        </w:tc>
      </w:tr>
      <w:tr w14:paraId="5870D508">
        <w:tblPrEx>
          <w:tblCellMar>
            <w:top w:w="0" w:type="dxa"/>
            <w:left w:w="100" w:type="dxa"/>
            <w:bottom w:w="0" w:type="dxa"/>
            <w:right w:w="100" w:type="dxa"/>
          </w:tblCellMar>
        </w:tblPrEx>
        <w:trPr>
          <w:jc w:val="center"/>
        </w:trPr>
        <w:tc>
          <w:tcPr>
            <w:tcW w:w="982" w:type="pct"/>
            <w:vMerge w:val="continue"/>
            <w:vAlign w:val="center"/>
          </w:tcPr>
          <w:p w14:paraId="7EC0B6A1">
            <w:pPr>
              <w:jc w:val="center"/>
              <w:rPr>
                <w:rFonts w:ascii="Times New Roman" w:hAnsi="Times New Roman"/>
                <w:sz w:val="21"/>
                <w:szCs w:val="21"/>
              </w:rPr>
            </w:pPr>
          </w:p>
        </w:tc>
        <w:tc>
          <w:tcPr>
            <w:tcW w:w="2202" w:type="pct"/>
            <w:vAlign w:val="center"/>
          </w:tcPr>
          <w:p w14:paraId="422B4296">
            <w:pPr>
              <w:widowControl/>
              <w:jc w:val="left"/>
              <w:rPr>
                <w:rFonts w:ascii="Times New Roman" w:hAnsi="Times New Roman"/>
                <w:sz w:val="21"/>
                <w:szCs w:val="21"/>
              </w:rPr>
            </w:pPr>
            <w:r>
              <w:rPr>
                <w:rFonts w:ascii="Times New Roman" w:hAnsi="Times New Roman" w:cs="Times New Roman"/>
                <w:kern w:val="0"/>
                <w:sz w:val="21"/>
                <w:szCs w:val="21"/>
                <w:lang w:bidi="ar"/>
              </w:rPr>
              <w:t>10. 培训场地与设备的保障情况</w:t>
            </w:r>
          </w:p>
        </w:tc>
        <w:tc>
          <w:tcPr>
            <w:tcW w:w="1816" w:type="pct"/>
            <w:vAlign w:val="center"/>
          </w:tcPr>
          <w:p w14:paraId="10A65753">
            <w:pPr>
              <w:jc w:val="left"/>
              <w:rPr>
                <w:rFonts w:ascii="Times New Roman" w:hAnsi="Times New Roman"/>
                <w:sz w:val="21"/>
                <w:szCs w:val="21"/>
              </w:rPr>
            </w:pPr>
          </w:p>
        </w:tc>
      </w:tr>
      <w:tr w14:paraId="2B8E42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82" w:type="pct"/>
            <w:vMerge w:val="restart"/>
            <w:vAlign w:val="center"/>
          </w:tcPr>
          <w:p w14:paraId="7BA9717D">
            <w:pPr>
              <w:widowControl/>
              <w:jc w:val="center"/>
              <w:rPr>
                <w:rFonts w:ascii="Times New Roman" w:hAnsi="Times New Roman"/>
                <w:sz w:val="21"/>
                <w:szCs w:val="21"/>
              </w:rPr>
            </w:pPr>
            <w:r>
              <w:rPr>
                <w:rFonts w:ascii="Times New Roman" w:hAnsi="Times New Roman" w:cs="Times New Roman"/>
                <w:kern w:val="0"/>
                <w:sz w:val="21"/>
                <w:szCs w:val="21"/>
                <w:lang w:bidi="ar"/>
              </w:rPr>
              <w:t>整体评价</w:t>
            </w:r>
          </w:p>
        </w:tc>
        <w:tc>
          <w:tcPr>
            <w:tcW w:w="2202" w:type="pct"/>
            <w:vAlign w:val="center"/>
          </w:tcPr>
          <w:p w14:paraId="2E73C398">
            <w:pPr>
              <w:widowControl/>
              <w:jc w:val="left"/>
              <w:rPr>
                <w:rFonts w:ascii="Times New Roman" w:hAnsi="Times New Roman"/>
                <w:sz w:val="21"/>
                <w:szCs w:val="21"/>
              </w:rPr>
            </w:pPr>
            <w:r>
              <w:rPr>
                <w:rFonts w:ascii="Times New Roman" w:hAnsi="Times New Roman" w:cs="Times New Roman"/>
                <w:kern w:val="0"/>
                <w:sz w:val="21"/>
                <w:szCs w:val="21"/>
                <w:lang w:bidi="ar"/>
              </w:rPr>
              <w:t>11. 本次培训的整体满意度</w:t>
            </w:r>
          </w:p>
        </w:tc>
        <w:tc>
          <w:tcPr>
            <w:tcW w:w="1816" w:type="pct"/>
            <w:vAlign w:val="center"/>
          </w:tcPr>
          <w:p w14:paraId="2A236960">
            <w:pPr>
              <w:jc w:val="left"/>
              <w:rPr>
                <w:rFonts w:ascii="Times New Roman" w:hAnsi="Times New Roman"/>
                <w:sz w:val="21"/>
                <w:szCs w:val="21"/>
              </w:rPr>
            </w:pPr>
          </w:p>
        </w:tc>
      </w:tr>
      <w:tr w14:paraId="6743E5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82" w:type="pct"/>
            <w:vMerge w:val="continue"/>
            <w:vAlign w:val="center"/>
          </w:tcPr>
          <w:p w14:paraId="0B98D116">
            <w:pPr>
              <w:jc w:val="center"/>
              <w:rPr>
                <w:rFonts w:ascii="Times New Roman" w:hAnsi="Times New Roman"/>
                <w:sz w:val="21"/>
                <w:szCs w:val="21"/>
              </w:rPr>
            </w:pPr>
          </w:p>
        </w:tc>
        <w:tc>
          <w:tcPr>
            <w:tcW w:w="2202" w:type="pct"/>
            <w:vAlign w:val="center"/>
          </w:tcPr>
          <w:p w14:paraId="0099E428">
            <w:pPr>
              <w:widowControl/>
              <w:jc w:val="left"/>
              <w:rPr>
                <w:rFonts w:ascii="Times New Roman" w:hAnsi="Times New Roman"/>
                <w:sz w:val="21"/>
                <w:szCs w:val="21"/>
              </w:rPr>
            </w:pPr>
            <w:r>
              <w:rPr>
                <w:rFonts w:ascii="Times New Roman" w:hAnsi="Times New Roman" w:cs="Times New Roman"/>
                <w:kern w:val="0"/>
                <w:sz w:val="21"/>
                <w:szCs w:val="21"/>
                <w:lang w:bidi="ar"/>
              </w:rPr>
              <w:t>12. 培训对实际工作的帮助程度</w:t>
            </w:r>
          </w:p>
        </w:tc>
        <w:tc>
          <w:tcPr>
            <w:tcW w:w="1816" w:type="pct"/>
            <w:vAlign w:val="center"/>
          </w:tcPr>
          <w:p w14:paraId="2AD2779F">
            <w:pPr>
              <w:jc w:val="left"/>
              <w:rPr>
                <w:rFonts w:ascii="Times New Roman" w:hAnsi="Times New Roman"/>
                <w:sz w:val="21"/>
                <w:szCs w:val="21"/>
              </w:rPr>
            </w:pPr>
          </w:p>
        </w:tc>
      </w:tr>
      <w:tr w14:paraId="58BA9A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82" w:type="pct"/>
            <w:vAlign w:val="center"/>
          </w:tcPr>
          <w:p w14:paraId="32BDDEF0">
            <w:pPr>
              <w:widowControl/>
              <w:jc w:val="center"/>
              <w:rPr>
                <w:rFonts w:ascii="Times New Roman" w:hAnsi="Times New Roman"/>
                <w:sz w:val="21"/>
                <w:szCs w:val="21"/>
              </w:rPr>
            </w:pPr>
            <w:r>
              <w:rPr>
                <w:rFonts w:ascii="Times New Roman" w:hAnsi="Times New Roman" w:cs="Times New Roman"/>
                <w:kern w:val="0"/>
                <w:sz w:val="21"/>
                <w:szCs w:val="21"/>
                <w:lang w:bidi="ar"/>
              </w:rPr>
              <w:t>意见建议</w:t>
            </w:r>
          </w:p>
        </w:tc>
        <w:tc>
          <w:tcPr>
            <w:tcW w:w="2202" w:type="pct"/>
            <w:vAlign w:val="center"/>
          </w:tcPr>
          <w:p w14:paraId="391E7EE5">
            <w:pPr>
              <w:widowControl/>
              <w:jc w:val="left"/>
              <w:rPr>
                <w:rFonts w:ascii="Times New Roman" w:hAnsi="Times New Roman"/>
                <w:sz w:val="21"/>
                <w:szCs w:val="21"/>
              </w:rPr>
            </w:pPr>
            <w:r>
              <w:rPr>
                <w:rFonts w:ascii="Times New Roman" w:hAnsi="Times New Roman" w:cs="Times New Roman"/>
                <w:kern w:val="0"/>
                <w:sz w:val="21"/>
                <w:szCs w:val="21"/>
                <w:lang w:bidi="ar"/>
              </w:rPr>
              <w:t>请提出您对本次培训的意见与改进建议：</w:t>
            </w:r>
          </w:p>
        </w:tc>
        <w:tc>
          <w:tcPr>
            <w:tcW w:w="1816" w:type="pct"/>
            <w:vAlign w:val="center"/>
          </w:tcPr>
          <w:p w14:paraId="61F6EBA2">
            <w:pPr>
              <w:widowControl/>
              <w:jc w:val="left"/>
              <w:rPr>
                <w:rFonts w:ascii="Times New Roman" w:hAnsi="Times New Roman"/>
                <w:sz w:val="21"/>
                <w:szCs w:val="21"/>
              </w:rPr>
            </w:pPr>
          </w:p>
        </w:tc>
      </w:tr>
      <w:bookmarkEnd w:id="92"/>
    </w:tbl>
    <w:p w14:paraId="49FBE00C">
      <w:pPr>
        <w:rPr>
          <w:rFonts w:ascii="Times New Roman" w:hAnsi="Times New Roman"/>
          <w:kern w:val="0"/>
          <w:szCs w:val="20"/>
        </w:rPr>
      </w:pPr>
      <w:bookmarkStart w:id="97" w:name="BookMark6"/>
    </w:p>
    <w:p w14:paraId="2BEB4CCB">
      <w:pPr>
        <w:sectPr>
          <w:pgSz w:w="11906" w:h="16838"/>
          <w:pgMar w:top="1928" w:right="1134" w:bottom="1134" w:left="1134" w:header="1418" w:footer="1134" w:gutter="284"/>
          <w:cols w:space="425" w:num="1"/>
          <w:formProt w:val="0"/>
          <w:docGrid w:linePitch="312" w:charSpace="0"/>
        </w:sectPr>
      </w:pPr>
    </w:p>
    <w:p w14:paraId="7CEDE3C1">
      <w:pPr>
        <w:pStyle w:val="66"/>
        <w:spacing w:before="240" w:beforeLines="100" w:after="120"/>
      </w:pPr>
      <w:bookmarkStart w:id="98" w:name="_Toc227246303"/>
      <w:bookmarkStart w:id="99" w:name="_Toc227239183"/>
      <w:bookmarkStart w:id="100" w:name="_Toc227756724"/>
      <w:r>
        <w:rPr>
          <w:rFonts w:hint="eastAsia"/>
          <w:spacing w:val="0"/>
        </w:rPr>
        <w:t>参</w:t>
      </w:r>
      <w:r>
        <w:rPr>
          <w:rFonts w:hint="eastAsia"/>
        </w:rPr>
        <w:t xml:space="preserve">  </w:t>
      </w:r>
      <w:r>
        <w:rPr>
          <w:rFonts w:hint="eastAsia"/>
          <w:spacing w:val="0"/>
        </w:rPr>
        <w:t>考</w:t>
      </w:r>
      <w:r>
        <w:rPr>
          <w:rFonts w:hint="eastAsia"/>
        </w:rPr>
        <w:t xml:space="preserve">  </w:t>
      </w:r>
      <w:r>
        <w:rPr>
          <w:rFonts w:hint="eastAsia"/>
          <w:spacing w:val="0"/>
        </w:rPr>
        <w:t>文</w:t>
      </w:r>
      <w:r>
        <w:rPr>
          <w:rFonts w:hint="eastAsia"/>
        </w:rPr>
        <w:t xml:space="preserve">  献</w:t>
      </w:r>
      <w:bookmarkEnd w:id="98"/>
      <w:bookmarkEnd w:id="99"/>
      <w:bookmarkEnd w:id="100"/>
    </w:p>
    <w:p w14:paraId="4D47656A">
      <w:pPr>
        <w:pStyle w:val="59"/>
        <w:numPr>
          <w:ilvl w:val="0"/>
          <w:numId w:val="61"/>
        </w:numPr>
        <w:ind w:hanging="440" w:firstLineChars="0"/>
      </w:pPr>
      <w:r>
        <w:t>《医疗卫生机构开展研究者发起的临床研究管理办法》（国卫科教发〔2024〕32号）</w:t>
      </w:r>
    </w:p>
    <w:p w14:paraId="470A688D">
      <w:pPr>
        <w:pStyle w:val="59"/>
        <w:numPr>
          <w:ilvl w:val="0"/>
          <w:numId w:val="61"/>
        </w:numPr>
        <w:ind w:hanging="440" w:firstLineChars="0"/>
      </w:pPr>
      <w:r>
        <w:rPr>
          <w:rFonts w:hint="eastAsia"/>
        </w:rPr>
        <w:t>《医疗卫生机构开展研究者发起的临床研究管理办法》（国卫科教发〔2024〕32号）</w:t>
      </w:r>
    </w:p>
    <w:p w14:paraId="7559C947">
      <w:pPr>
        <w:pStyle w:val="59"/>
        <w:numPr>
          <w:ilvl w:val="0"/>
          <w:numId w:val="61"/>
        </w:numPr>
        <w:ind w:hanging="440" w:firstLineChars="0"/>
      </w:pPr>
      <w:r>
        <w:rPr>
          <w:rFonts w:hint="eastAsia"/>
        </w:rPr>
        <w:t>《医疗器械临床试验质量管理规范》（国家市监总局、国家卫生健康委2022年第28号）</w:t>
      </w:r>
    </w:p>
    <w:p w14:paraId="108BA3C1">
      <w:pPr>
        <w:pStyle w:val="59"/>
        <w:numPr>
          <w:ilvl w:val="0"/>
          <w:numId w:val="61"/>
        </w:numPr>
        <w:ind w:hanging="440" w:firstLineChars="0"/>
      </w:pPr>
      <w:r>
        <w:t>《医疗卫生机构网络安全管理办法》（国卫规划发〔2022〕28号）</w:t>
      </w:r>
    </w:p>
    <w:p w14:paraId="5815D96F">
      <w:pPr>
        <w:pStyle w:val="59"/>
        <w:numPr>
          <w:ilvl w:val="0"/>
          <w:numId w:val="61"/>
        </w:numPr>
        <w:ind w:hanging="440" w:firstLineChars="0"/>
      </w:pPr>
      <w:r>
        <w:rPr>
          <w:rFonts w:hint="eastAsia"/>
        </w:rPr>
        <w:t>《药物临床试验质量管理规范》（国家药监局、国家卫生健康委2020年第57号公告）</w:t>
      </w:r>
    </w:p>
    <w:p w14:paraId="59436B9D">
      <w:pPr>
        <w:pStyle w:val="59"/>
        <w:numPr>
          <w:ilvl w:val="0"/>
          <w:numId w:val="61"/>
        </w:numPr>
        <w:ind w:hanging="440" w:firstLineChars="0"/>
      </w:pPr>
      <w:r>
        <w:rPr>
          <w:rFonts w:hint="eastAsia"/>
        </w:rPr>
        <w:t>《涉及人的生物医学研究伦理审查办法》（国卫科教发〔2023〕4号）</w:t>
      </w:r>
    </w:p>
    <w:p w14:paraId="0A843C48">
      <w:pPr>
        <w:pStyle w:val="59"/>
        <w:numPr>
          <w:ilvl w:val="0"/>
          <w:numId w:val="61"/>
        </w:numPr>
        <w:ind w:hanging="440" w:firstLineChars="0"/>
      </w:pPr>
      <w:r>
        <w:rPr>
          <w:rFonts w:hint="eastAsia"/>
        </w:rPr>
        <w:t>WS/T 303-2023 卫生健康信息数据元标准化规则</w:t>
      </w:r>
    </w:p>
    <w:p w14:paraId="124E9820">
      <w:pPr>
        <w:pStyle w:val="59"/>
        <w:numPr>
          <w:ilvl w:val="0"/>
          <w:numId w:val="61"/>
        </w:numPr>
        <w:ind w:hanging="440" w:firstLineChars="0"/>
      </w:pPr>
      <w:r>
        <w:rPr>
          <w:rFonts w:hint="eastAsia"/>
        </w:rPr>
        <mc:AlternateContent>
          <mc:Choice Requires="wps">
            <w:drawing>
              <wp:anchor distT="0" distB="0" distL="114300" distR="114300" simplePos="0" relativeHeight="251661312" behindDoc="0" locked="0" layoutInCell="1" allowOverlap="1">
                <wp:simplePos x="0" y="0"/>
                <wp:positionH relativeFrom="column">
                  <wp:posOffset>2272030</wp:posOffset>
                </wp:positionH>
                <wp:positionV relativeFrom="paragraph">
                  <wp:posOffset>1202055</wp:posOffset>
                </wp:positionV>
                <wp:extent cx="1336675" cy="0"/>
                <wp:effectExtent l="0" t="0" r="0" b="0"/>
                <wp:wrapNone/>
                <wp:docPr id="1952003662" name="直接连接符 4"/>
                <wp:cNvGraphicFramePr/>
                <a:graphic xmlns:a="http://schemas.openxmlformats.org/drawingml/2006/main">
                  <a:graphicData uri="http://schemas.microsoft.com/office/word/2010/wordprocessingShape">
                    <wps:wsp>
                      <wps:cNvCnPr/>
                      <wps:spPr bwMode="auto">
                        <a:xfrm>
                          <a:off x="0" y="0"/>
                          <a:ext cx="133696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4" o:spid="_x0000_s1026" o:spt="20" style="position:absolute;left:0pt;margin-left:178.9pt;margin-top:94.65pt;height:0pt;width:105.25pt;z-index:251661312;mso-width-relative:page;mso-height-relative:page;" filled="f" stroked="t" coordsize="21600,21600" o:gfxdata="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au0Cs9cAAAALAQAADwAAAAAAAAABACAAAAAiAAAAZHJzL2Rvd25yZXYueG1sUEsB&#10;AhQAFAAAAAgAh07iQDG583r2AQAAyAMAAA4AAAAAAAAAAQAgAAAAJgEAAGRycy9lMm9Eb2MueG1s&#10;UEsFBgAAAAAGAAYAWQEAAI4FAAAAAA==&#10;">
                <v:fill on="f" focussize="0,0"/>
                <v:stroke weight="0.5pt" color="#000000 [3200]" miterlimit="8" joinstyle="miter"/>
                <v:imagedata o:title=""/>
                <o:lock v:ext="edit" aspectratio="f"/>
              </v:line>
            </w:pict>
          </mc:Fallback>
        </mc:AlternateContent>
      </w:r>
      <w:bookmarkStart w:id="101" w:name="OLE_LINK26"/>
      <w:r>
        <w:rPr>
          <w:rFonts w:hint="eastAsia"/>
        </w:rPr>
        <w:t>GB/T 39725</w:t>
      </w:r>
      <w:bookmarkEnd w:id="101"/>
      <w:r>
        <w:rPr>
          <w:rFonts w:hint="eastAsia"/>
        </w:rPr>
        <w:t>-2020 信息安全技术—健康医疗数据安全指南</w:t>
      </w:r>
      <w:bookmarkEnd w:id="97"/>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62C739">
    <w:pPr>
      <w:pStyle w:val="18"/>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297146">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C0644D">
    <w:pPr>
      <w:pStyle w:val="55"/>
      <w:rPr>
        <w:rFonts w:ascii="Times New Roman"/>
        <w:sz w:val="21"/>
        <w:szCs w:val="21"/>
      </w:rPr>
    </w:pPr>
    <w:r>
      <w:rPr>
        <w:rFonts w:ascii="Times New Roman"/>
        <w:sz w:val="21"/>
        <w:szCs w:val="21"/>
      </w:rPr>
      <w:fldChar w:fldCharType="begin"/>
    </w:r>
    <w:r>
      <w:rPr>
        <w:rFonts w:ascii="Times New Roman"/>
        <w:sz w:val="21"/>
        <w:szCs w:val="21"/>
      </w:rPr>
      <w:instrText xml:space="preserve">PAGE   \* MERGEFORMAT</w:instrText>
    </w:r>
    <w:r>
      <w:rPr>
        <w:rFonts w:ascii="Times New Roman"/>
        <w:sz w:val="21"/>
        <w:szCs w:val="21"/>
      </w:rPr>
      <w:fldChar w:fldCharType="separate"/>
    </w:r>
    <w:r>
      <w:rPr>
        <w:rFonts w:ascii="Times New Roman"/>
        <w:sz w:val="21"/>
        <w:szCs w:val="21"/>
        <w:lang w:val="zh-CN"/>
      </w:rPr>
      <w:t>1</w:t>
    </w:r>
    <w:r>
      <w:rPr>
        <w:rFonts w:ascii="Times New Roman"/>
        <w:sz w:val="21"/>
        <w:szCs w:val="21"/>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E2F6D">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FC0F9">
    <w:pPr>
      <w:pStyle w:val="19"/>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87050A">
    <w:pPr>
      <w:pStyle w:val="64"/>
      <w:rPr>
        <w:rFonts w:hint="eastAsia"/>
      </w:rPr>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C83655">
    <w:pPr>
      <w:pStyle w:val="19"/>
      <w:jc w:val="right"/>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7"/>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2"/>
      <w:suff w:val="nothing"/>
      <w:lvlText w:val="%1%2.%3　"/>
      <w:lvlJc w:val="left"/>
      <w:pPr>
        <w:ind w:left="0" w:firstLine="0"/>
      </w:pPr>
    </w:lvl>
    <w:lvl w:ilvl="3" w:tentative="0">
      <w:start w:val="1"/>
      <w:numFmt w:val="decimal"/>
      <w:pStyle w:val="121"/>
      <w:suff w:val="nothing"/>
      <w:lvlText w:val="%1%2.%3.%4　"/>
      <w:lvlJc w:val="left"/>
      <w:pPr>
        <w:ind w:left="0" w:firstLine="0"/>
      </w:pPr>
    </w:lvl>
    <w:lvl w:ilvl="4" w:tentative="0">
      <w:start w:val="1"/>
      <w:numFmt w:val="decimal"/>
      <w:pStyle w:val="156"/>
      <w:suff w:val="nothing"/>
      <w:lvlText w:val="%1%2.%3.%4.%5　"/>
      <w:lvlJc w:val="left"/>
      <w:pPr>
        <w:ind w:left="0" w:firstLine="0"/>
      </w:pPr>
    </w:lvl>
    <w:lvl w:ilvl="5" w:tentative="0">
      <w:start w:val="1"/>
      <w:numFmt w:val="decimal"/>
      <w:pStyle w:val="158"/>
      <w:suff w:val="nothing"/>
      <w:lvlText w:val="%1%2.%3.%4.%5.%6　"/>
      <w:lvlJc w:val="left"/>
      <w:pPr>
        <w:ind w:left="0" w:firstLine="0"/>
      </w:pPr>
    </w:lvl>
    <w:lvl w:ilvl="6" w:tentative="0">
      <w:start w:val="1"/>
      <w:numFmt w:val="decimal"/>
      <w:pStyle w:val="161"/>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6470EA0"/>
    <w:multiLevelType w:val="multilevel"/>
    <w:tmpl w:val="06470EA0"/>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3">
    <w:nsid w:val="079102AD"/>
    <w:multiLevelType w:val="multilevel"/>
    <w:tmpl w:val="079102AD"/>
    <w:lvl w:ilvl="0" w:tentative="0">
      <w:start w:val="1"/>
      <w:numFmt w:val="decimal"/>
      <w:pStyle w:val="183"/>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4">
    <w:nsid w:val="07ED3FEA"/>
    <w:multiLevelType w:val="multilevel"/>
    <w:tmpl w:val="07ED3FEA"/>
    <w:lvl w:ilvl="0" w:tentative="0">
      <w:start w:val="1"/>
      <w:numFmt w:val="none"/>
      <w:pStyle w:val="92"/>
      <w:lvlText w:val="%1"/>
      <w:lvlJc w:val="left"/>
      <w:pPr>
        <w:ind w:left="425" w:hanging="425"/>
      </w:pPr>
      <w:rPr>
        <w:rFonts w:hint="eastAsia"/>
      </w:rPr>
    </w:lvl>
    <w:lvl w:ilvl="1" w:tentative="0">
      <w:start w:val="1"/>
      <w:numFmt w:val="decimal"/>
      <w:pStyle w:val="203"/>
      <w:suff w:val="nothing"/>
      <w:lvlText w:val="%10.%2 "/>
      <w:lvlJc w:val="left"/>
      <w:pPr>
        <w:ind w:left="0" w:firstLine="0"/>
      </w:pPr>
      <w:rPr>
        <w:rFonts w:hint="eastAsia" w:ascii="黑体" w:eastAsia="黑体" w:hAnsiTheme="minorHAnsi"/>
        <w:b w:val="0"/>
        <w:i w:val="0"/>
        <w:sz w:val="21"/>
      </w:rPr>
    </w:lvl>
    <w:lvl w:ilvl="2" w:tentative="0">
      <w:start w:val="1"/>
      <w:numFmt w:val="decimal"/>
      <w:pStyle w:val="204"/>
      <w:suff w:val="nothing"/>
      <w:lvlText w:val="%10.%2.%3 "/>
      <w:lvlJc w:val="left"/>
      <w:pPr>
        <w:ind w:left="0" w:firstLine="0"/>
      </w:pPr>
      <w:rPr>
        <w:rFonts w:hint="eastAsia" w:ascii="黑体" w:eastAsia="黑体" w:hAnsiTheme="minorHAnsi"/>
        <w:b w:val="0"/>
        <w:i w:val="0"/>
        <w:sz w:val="21"/>
      </w:rPr>
    </w:lvl>
    <w:lvl w:ilvl="3" w:tentative="0">
      <w:start w:val="1"/>
      <w:numFmt w:val="decimal"/>
      <w:pStyle w:val="205"/>
      <w:suff w:val="nothing"/>
      <w:lvlText w:val="%10.%2.%3.%4 "/>
      <w:lvlJc w:val="left"/>
      <w:pPr>
        <w:ind w:left="0" w:firstLine="0"/>
      </w:pPr>
      <w:rPr>
        <w:rFonts w:hint="eastAsia" w:ascii="黑体" w:eastAsia="黑体" w:hAnsiTheme="minorHAnsi"/>
        <w:b w:val="0"/>
        <w:i w:val="0"/>
        <w:sz w:val="21"/>
      </w:rPr>
    </w:lvl>
    <w:lvl w:ilvl="4" w:tentative="0">
      <w:start w:val="1"/>
      <w:numFmt w:val="decimal"/>
      <w:pStyle w:val="206"/>
      <w:suff w:val="nothing"/>
      <w:lvlText w:val="%10.%2.%3.%4.%5 "/>
      <w:lvlJc w:val="left"/>
      <w:pPr>
        <w:ind w:left="0" w:firstLine="0"/>
      </w:pPr>
      <w:rPr>
        <w:rFonts w:hint="eastAsia" w:ascii="黑体" w:eastAsia="黑体" w:hAnsiTheme="minorHAnsi"/>
        <w:b w:val="0"/>
        <w:i w:val="0"/>
        <w:sz w:val="21"/>
      </w:rPr>
    </w:lvl>
    <w:lvl w:ilvl="5" w:tentative="0">
      <w:start w:val="1"/>
      <w:numFmt w:val="decimal"/>
      <w:pStyle w:val="207"/>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0AE367E9"/>
    <w:multiLevelType w:val="multilevel"/>
    <w:tmpl w:val="0AE367E9"/>
    <w:lvl w:ilvl="0" w:tentative="0">
      <w:start w:val="1"/>
      <w:numFmt w:val="none"/>
      <w:pStyle w:val="184"/>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6">
    <w:nsid w:val="0BDC1670"/>
    <w:multiLevelType w:val="multilevel"/>
    <w:tmpl w:val="0BDC1670"/>
    <w:lvl w:ilvl="0" w:tentative="0">
      <w:start w:val="1"/>
      <w:numFmt w:val="decimal"/>
      <w:pStyle w:val="70"/>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D051F45"/>
    <w:multiLevelType w:val="multilevel"/>
    <w:tmpl w:val="0D051F45"/>
    <w:lvl w:ilvl="0" w:tentative="0">
      <w:start w:val="1"/>
      <w:numFmt w:val="lowerRoman"/>
      <w:pStyle w:val="17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8">
    <w:nsid w:val="183F6A3F"/>
    <w:multiLevelType w:val="multilevel"/>
    <w:tmpl w:val="183F6A3F"/>
    <w:lvl w:ilvl="0" w:tentative="0">
      <w:start w:val="1"/>
      <w:numFmt w:val="lowerLetter"/>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9">
    <w:nsid w:val="1A27116B"/>
    <w:multiLevelType w:val="multilevel"/>
    <w:tmpl w:val="1A27116B"/>
    <w:lvl w:ilvl="0" w:tentative="0">
      <w:start w:val="1"/>
      <w:numFmt w:val="lowerLetter"/>
      <w:lvlText w:val="%1)"/>
      <w:lvlJc w:val="left"/>
      <w:pPr>
        <w:ind w:left="780" w:hanging="360"/>
      </w:pPr>
      <w:rPr>
        <w:rFonts w:ascii="Times New Roman" w:hAnsi="Times New Roman" w:eastAsia="宋体" w:cs="Times New Roman"/>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10">
    <w:nsid w:val="1AD20F90"/>
    <w:multiLevelType w:val="multilevel"/>
    <w:tmpl w:val="1AD20F90"/>
    <w:lvl w:ilvl="0" w:tentative="0">
      <w:start w:val="1"/>
      <w:numFmt w:val="none"/>
      <w:pStyle w:val="113"/>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1AF15012"/>
    <w:multiLevelType w:val="multilevel"/>
    <w:tmpl w:val="1AF15012"/>
    <w:lvl w:ilvl="0" w:tentative="0">
      <w:start w:val="1"/>
      <w:numFmt w:val="upperLetter"/>
      <w:pStyle w:val="88"/>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2">
    <w:nsid w:val="1EAA1992"/>
    <w:multiLevelType w:val="multilevel"/>
    <w:tmpl w:val="1EAA1992"/>
    <w:lvl w:ilvl="0" w:tentative="0">
      <w:start w:val="1"/>
      <w:numFmt w:val="none"/>
      <w:pStyle w:val="95"/>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3">
    <w:nsid w:val="22315FB0"/>
    <w:multiLevelType w:val="multilevel"/>
    <w:tmpl w:val="22315FB0"/>
    <w:lvl w:ilvl="0" w:tentative="0">
      <w:start w:val="1"/>
      <w:numFmt w:val="lowerLetter"/>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14">
    <w:nsid w:val="23DC5A97"/>
    <w:multiLevelType w:val="multilevel"/>
    <w:tmpl w:val="23DC5A97"/>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5">
    <w:nsid w:val="24145BBE"/>
    <w:multiLevelType w:val="multilevel"/>
    <w:tmpl w:val="24145BBE"/>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6">
    <w:nsid w:val="24A505C5"/>
    <w:multiLevelType w:val="multilevel"/>
    <w:tmpl w:val="24A505C5"/>
    <w:lvl w:ilvl="0" w:tentative="0">
      <w:start w:val="1"/>
      <w:numFmt w:val="lowerLetter"/>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17">
    <w:nsid w:val="28E1772A"/>
    <w:multiLevelType w:val="multilevel"/>
    <w:tmpl w:val="28E1772A"/>
    <w:lvl w:ilvl="0" w:tentative="0">
      <w:start w:val="1"/>
      <w:numFmt w:val="lowerLetter"/>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18">
    <w:nsid w:val="2C514D44"/>
    <w:multiLevelType w:val="multilevel"/>
    <w:tmpl w:val="2C514D44"/>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9">
    <w:nsid w:val="2C5917C3"/>
    <w:multiLevelType w:val="multilevel"/>
    <w:tmpl w:val="2C5917C3"/>
    <w:lvl w:ilvl="0" w:tentative="0">
      <w:start w:val="1"/>
      <w:numFmt w:val="none"/>
      <w:pStyle w:val="135"/>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0"/>
      <w:lvlText w:val=""/>
      <w:lvlJc w:val="left"/>
      <w:pPr>
        <w:ind w:left="851" w:hanging="431"/>
      </w:pPr>
      <w:rPr>
        <w:rFonts w:hint="default" w:ascii="Symbol" w:hAnsi="Symbol"/>
        <w:sz w:val="21"/>
      </w:rPr>
    </w:lvl>
    <w:lvl w:ilvl="2" w:tentative="0">
      <w:start w:val="1"/>
      <w:numFmt w:val="bullet"/>
      <w:pStyle w:val="175"/>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20">
    <w:nsid w:val="32F04FB2"/>
    <w:multiLevelType w:val="multilevel"/>
    <w:tmpl w:val="32F04FB2"/>
    <w:lvl w:ilvl="0" w:tentative="0">
      <w:start w:val="1"/>
      <w:numFmt w:val="lowerLetter"/>
      <w:pStyle w:val="104"/>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1">
    <w:nsid w:val="38C06D4B"/>
    <w:multiLevelType w:val="multilevel"/>
    <w:tmpl w:val="38C06D4B"/>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2">
    <w:nsid w:val="3A2E3448"/>
    <w:multiLevelType w:val="multilevel"/>
    <w:tmpl w:val="3A2E3448"/>
    <w:lvl w:ilvl="0" w:tentative="0">
      <w:start w:val="1"/>
      <w:numFmt w:val="lowerLetter"/>
      <w:lvlText w:val="%1)"/>
      <w:lvlJc w:val="left"/>
      <w:pPr>
        <w:ind w:left="880" w:hanging="440"/>
      </w:pPr>
    </w:lvl>
    <w:lvl w:ilvl="1" w:tentative="0">
      <w:start w:val="1"/>
      <w:numFmt w:val="lowerLetter"/>
      <w:lvlText w:val="%2)"/>
      <w:lvlJc w:val="left"/>
      <w:pPr>
        <w:ind w:left="1320" w:hanging="440"/>
      </w:pPr>
    </w:lvl>
    <w:lvl w:ilvl="2" w:tentative="0">
      <w:start w:val="1"/>
      <w:numFmt w:val="lowerRoman"/>
      <w:lvlText w:val="%3."/>
      <w:lvlJc w:val="right"/>
      <w:pPr>
        <w:ind w:left="1760" w:hanging="440"/>
      </w:pPr>
    </w:lvl>
    <w:lvl w:ilvl="3" w:tentative="0">
      <w:start w:val="1"/>
      <w:numFmt w:val="decimal"/>
      <w:lvlText w:val="%4."/>
      <w:lvlJc w:val="left"/>
      <w:pPr>
        <w:ind w:left="2200" w:hanging="440"/>
      </w:pPr>
    </w:lvl>
    <w:lvl w:ilvl="4" w:tentative="0">
      <w:start w:val="1"/>
      <w:numFmt w:val="lowerLetter"/>
      <w:lvlText w:val="%5)"/>
      <w:lvlJc w:val="left"/>
      <w:pPr>
        <w:ind w:left="2640" w:hanging="440"/>
      </w:pPr>
    </w:lvl>
    <w:lvl w:ilvl="5" w:tentative="0">
      <w:start w:val="1"/>
      <w:numFmt w:val="lowerRoman"/>
      <w:lvlText w:val="%6."/>
      <w:lvlJc w:val="right"/>
      <w:pPr>
        <w:ind w:left="3080" w:hanging="440"/>
      </w:pPr>
    </w:lvl>
    <w:lvl w:ilvl="6" w:tentative="0">
      <w:start w:val="1"/>
      <w:numFmt w:val="decimal"/>
      <w:lvlText w:val="%7."/>
      <w:lvlJc w:val="left"/>
      <w:pPr>
        <w:ind w:left="3520" w:hanging="440"/>
      </w:pPr>
    </w:lvl>
    <w:lvl w:ilvl="7" w:tentative="0">
      <w:start w:val="1"/>
      <w:numFmt w:val="lowerLetter"/>
      <w:lvlText w:val="%8)"/>
      <w:lvlJc w:val="left"/>
      <w:pPr>
        <w:ind w:left="3960" w:hanging="440"/>
      </w:pPr>
    </w:lvl>
    <w:lvl w:ilvl="8" w:tentative="0">
      <w:start w:val="1"/>
      <w:numFmt w:val="lowerRoman"/>
      <w:lvlText w:val="%9."/>
      <w:lvlJc w:val="right"/>
      <w:pPr>
        <w:ind w:left="4400" w:hanging="440"/>
      </w:pPr>
    </w:lvl>
  </w:abstractNum>
  <w:abstractNum w:abstractNumId="23">
    <w:nsid w:val="3BF43390"/>
    <w:multiLevelType w:val="multilevel"/>
    <w:tmpl w:val="3BF43390"/>
    <w:lvl w:ilvl="0" w:tentative="0">
      <w:start w:val="1"/>
      <w:numFmt w:val="lowerLetter"/>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24">
    <w:nsid w:val="3C3B61AD"/>
    <w:multiLevelType w:val="multilevel"/>
    <w:tmpl w:val="3C3B61AD"/>
    <w:lvl w:ilvl="0" w:tentative="0">
      <w:start w:val="1"/>
      <w:numFmt w:val="lowerLetter"/>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25">
    <w:nsid w:val="407B0108"/>
    <w:multiLevelType w:val="multilevel"/>
    <w:tmpl w:val="407B0108"/>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6">
    <w:nsid w:val="438E6392"/>
    <w:multiLevelType w:val="multilevel"/>
    <w:tmpl w:val="438E6392"/>
    <w:lvl w:ilvl="0" w:tentative="0">
      <w:start w:val="1"/>
      <w:numFmt w:val="lowerLetter"/>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27">
    <w:nsid w:val="44C50F90"/>
    <w:multiLevelType w:val="multilevel"/>
    <w:tmpl w:val="44C50F90"/>
    <w:lvl w:ilvl="0" w:tentative="0">
      <w:start w:val="1"/>
      <w:numFmt w:val="lowerLetter"/>
      <w:pStyle w:val="177"/>
      <w:lvlText w:val="%1)"/>
      <w:lvlJc w:val="left"/>
      <w:pPr>
        <w:tabs>
          <w:tab w:val="left" w:pos="851"/>
        </w:tabs>
        <w:ind w:left="851" w:hanging="426"/>
      </w:pPr>
      <w:rPr>
        <w:rFonts w:hint="eastAsia" w:ascii="宋体" w:hAnsi="Times New Roman" w:eastAsia="宋体"/>
        <w:sz w:val="21"/>
      </w:rPr>
    </w:lvl>
    <w:lvl w:ilvl="1" w:tentative="0">
      <w:start w:val="1"/>
      <w:numFmt w:val="decimal"/>
      <w:pStyle w:val="112"/>
      <w:lvlText w:val="%2)"/>
      <w:lvlJc w:val="left"/>
      <w:pPr>
        <w:tabs>
          <w:tab w:val="left" w:pos="1276"/>
        </w:tabs>
        <w:ind w:left="1276" w:hanging="425"/>
      </w:pPr>
      <w:rPr>
        <w:rFonts w:hint="eastAsia" w:ascii="宋体" w:hAnsi="Times New Roman" w:eastAsia="宋体"/>
        <w:sz w:val="21"/>
      </w:rPr>
    </w:lvl>
    <w:lvl w:ilvl="2" w:tentative="0">
      <w:start w:val="1"/>
      <w:numFmt w:val="decimal"/>
      <w:pStyle w:val="120"/>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28">
    <w:nsid w:val="44FD522D"/>
    <w:multiLevelType w:val="multilevel"/>
    <w:tmpl w:val="44FD522D"/>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9">
    <w:nsid w:val="48802D1C"/>
    <w:multiLevelType w:val="multilevel"/>
    <w:tmpl w:val="48802D1C"/>
    <w:lvl w:ilvl="0" w:tentative="0">
      <w:start w:val="1"/>
      <w:numFmt w:val="upperLetter"/>
      <w:pStyle w:val="201"/>
      <w:lvlText w:val="%1"/>
      <w:lvlJc w:val="left"/>
      <w:pPr>
        <w:ind w:left="420" w:hanging="420"/>
      </w:pPr>
      <w:rPr>
        <w:rFonts w:hint="eastAsia"/>
      </w:rPr>
    </w:lvl>
    <w:lvl w:ilvl="1" w:tentative="0">
      <w:start w:val="1"/>
      <w:numFmt w:val="decimal"/>
      <w:pStyle w:val="86"/>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0">
    <w:nsid w:val="4B733A5F"/>
    <w:multiLevelType w:val="multilevel"/>
    <w:tmpl w:val="4B733A5F"/>
    <w:lvl w:ilvl="0" w:tentative="0">
      <w:start w:val="1"/>
      <w:numFmt w:val="decimal"/>
      <w:pStyle w:val="186"/>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1">
    <w:nsid w:val="4E5D0534"/>
    <w:multiLevelType w:val="multilevel"/>
    <w:tmpl w:val="4E5D0534"/>
    <w:lvl w:ilvl="0" w:tentative="0">
      <w:start w:val="1"/>
      <w:numFmt w:val="decimal"/>
      <w:pStyle w:val="119"/>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2">
    <w:nsid w:val="53DA194D"/>
    <w:multiLevelType w:val="multilevel"/>
    <w:tmpl w:val="53DA194D"/>
    <w:lvl w:ilvl="0" w:tentative="0">
      <w:start w:val="1"/>
      <w:numFmt w:val="lowerLetter"/>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33">
    <w:nsid w:val="54632751"/>
    <w:multiLevelType w:val="multilevel"/>
    <w:tmpl w:val="54632751"/>
    <w:lvl w:ilvl="0" w:tentative="0">
      <w:start w:val="1"/>
      <w:numFmt w:val="none"/>
      <w:pStyle w:val="96"/>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34">
    <w:nsid w:val="557C2AF5"/>
    <w:multiLevelType w:val="multilevel"/>
    <w:tmpl w:val="557C2AF5"/>
    <w:lvl w:ilvl="0" w:tentative="0">
      <w:start w:val="1"/>
      <w:numFmt w:val="decimal"/>
      <w:pStyle w:val="117"/>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5">
    <w:nsid w:val="5603797C"/>
    <w:multiLevelType w:val="multilevel"/>
    <w:tmpl w:val="5603797C"/>
    <w:lvl w:ilvl="0" w:tentative="0">
      <w:start w:val="1"/>
      <w:numFmt w:val="upperLetter"/>
      <w:pStyle w:val="202"/>
      <w:suff w:val="space"/>
      <w:lvlText w:val="%1"/>
      <w:lvlJc w:val="left"/>
      <w:pPr>
        <w:ind w:left="425" w:hanging="425"/>
      </w:pPr>
      <w:rPr>
        <w:rFonts w:hint="eastAsia"/>
      </w:rPr>
    </w:lvl>
    <w:lvl w:ilvl="1" w:tentative="0">
      <w:start w:val="1"/>
      <w:numFmt w:val="decimal"/>
      <w:pStyle w:val="80"/>
      <w:suff w:val="space"/>
      <w:lvlText w:val="表%1.%2 "/>
      <w:lvlJc w:val="center"/>
      <w:pPr>
        <w:ind w:left="0" w:firstLine="0"/>
      </w:pPr>
      <w:rPr>
        <w:rFonts w:hint="default" w:ascii="Times New Roman" w:hAnsi="Times New Roman" w:eastAsia="黑体" w:cs="Times New Roman"/>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36">
    <w:nsid w:val="564D2089"/>
    <w:multiLevelType w:val="multilevel"/>
    <w:tmpl w:val="564D2089"/>
    <w:lvl w:ilvl="0" w:tentative="0">
      <w:start w:val="1"/>
      <w:numFmt w:val="none"/>
      <w:pStyle w:val="114"/>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7">
    <w:nsid w:val="587E1F77"/>
    <w:multiLevelType w:val="multilevel"/>
    <w:tmpl w:val="587E1F77"/>
    <w:lvl w:ilvl="0" w:tentative="0">
      <w:start w:val="1"/>
      <w:numFmt w:val="decimal"/>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38">
    <w:nsid w:val="58DA797D"/>
    <w:multiLevelType w:val="multilevel"/>
    <w:tmpl w:val="58DA797D"/>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39">
    <w:nsid w:val="5C6D7B3A"/>
    <w:multiLevelType w:val="multilevel"/>
    <w:tmpl w:val="5C6D7B3A"/>
    <w:lvl w:ilvl="0" w:tentative="0">
      <w:start w:val="1"/>
      <w:numFmt w:val="lowerLetter"/>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40">
    <w:nsid w:val="621477A3"/>
    <w:multiLevelType w:val="multilevel"/>
    <w:tmpl w:val="621477A3"/>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41">
    <w:nsid w:val="644622F9"/>
    <w:multiLevelType w:val="multilevel"/>
    <w:tmpl w:val="644622F9"/>
    <w:lvl w:ilvl="0" w:tentative="0">
      <w:start w:val="1"/>
      <w:numFmt w:val="upperRoman"/>
      <w:pStyle w:val="17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42">
    <w:nsid w:val="646260FA"/>
    <w:multiLevelType w:val="multilevel"/>
    <w:tmpl w:val="646260FA"/>
    <w:lvl w:ilvl="0" w:tentative="0">
      <w:start w:val="1"/>
      <w:numFmt w:val="decimal"/>
      <w:pStyle w:val="115"/>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43">
    <w:nsid w:val="654A26C9"/>
    <w:multiLevelType w:val="multilevel"/>
    <w:tmpl w:val="654A26C9"/>
    <w:lvl w:ilvl="0" w:tentative="0">
      <w:start w:val="1"/>
      <w:numFmt w:val="none"/>
      <w:pStyle w:val="192"/>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44">
    <w:nsid w:val="657D3FBC"/>
    <w:multiLevelType w:val="multilevel"/>
    <w:tmpl w:val="657D3FBC"/>
    <w:lvl w:ilvl="0" w:tentative="0">
      <w:start w:val="1"/>
      <w:numFmt w:val="upperLetter"/>
      <w:pStyle w:val="79"/>
      <w:suff w:val="nothing"/>
      <w:lvlText w:val="附录%1"/>
      <w:lvlJc w:val="left"/>
      <w:pPr>
        <w:ind w:left="0" w:firstLine="0"/>
      </w:pPr>
      <w:rPr>
        <w:rFonts w:hint="eastAsia"/>
        <w:spacing w:val="100"/>
      </w:rPr>
    </w:lvl>
    <w:lvl w:ilvl="1" w:tentative="0">
      <w:start w:val="1"/>
      <w:numFmt w:val="decimal"/>
      <w:pStyle w:val="81"/>
      <w:suff w:val="nothing"/>
      <w:lvlText w:val="%1.%2　"/>
      <w:lvlJc w:val="left"/>
      <w:pPr>
        <w:ind w:left="0" w:firstLine="0"/>
      </w:pPr>
      <w:rPr>
        <w:rFonts w:hint="eastAsia" w:ascii="黑体" w:eastAsia="黑体"/>
        <w:b w:val="0"/>
        <w:i w:val="0"/>
        <w:sz w:val="21"/>
      </w:rPr>
    </w:lvl>
    <w:lvl w:ilvl="2" w:tentative="0">
      <w:start w:val="1"/>
      <w:numFmt w:val="decimal"/>
      <w:pStyle w:val="82"/>
      <w:suff w:val="nothing"/>
      <w:lvlText w:val="%1.%2.%3　"/>
      <w:lvlJc w:val="left"/>
      <w:pPr>
        <w:ind w:left="0" w:firstLine="0"/>
      </w:pPr>
      <w:rPr>
        <w:rFonts w:hint="eastAsia" w:ascii="黑体" w:eastAsia="黑体"/>
        <w:b w:val="0"/>
        <w:i w:val="0"/>
        <w:sz w:val="21"/>
      </w:rPr>
    </w:lvl>
    <w:lvl w:ilvl="3" w:tentative="0">
      <w:start w:val="1"/>
      <w:numFmt w:val="decimal"/>
      <w:pStyle w:val="84"/>
      <w:suff w:val="nothing"/>
      <w:lvlText w:val="%1.%2.%3.%4　"/>
      <w:lvlJc w:val="left"/>
      <w:pPr>
        <w:ind w:left="0" w:firstLine="0"/>
      </w:pPr>
      <w:rPr>
        <w:rFonts w:hint="eastAsia" w:ascii="黑体" w:eastAsia="黑体"/>
        <w:b w:val="0"/>
        <w:i w:val="0"/>
        <w:sz w:val="21"/>
      </w:rPr>
    </w:lvl>
    <w:lvl w:ilvl="4" w:tentative="0">
      <w:start w:val="1"/>
      <w:numFmt w:val="decimal"/>
      <w:pStyle w:val="85"/>
      <w:suff w:val="nothing"/>
      <w:lvlText w:val="%1.%2.%3.%4.%5　"/>
      <w:lvlJc w:val="left"/>
      <w:pPr>
        <w:ind w:left="0" w:firstLine="0"/>
      </w:pPr>
      <w:rPr>
        <w:rFonts w:hint="eastAsia" w:ascii="黑体" w:eastAsia="黑体"/>
        <w:b w:val="0"/>
        <w:i w:val="0"/>
        <w:sz w:val="21"/>
      </w:rPr>
    </w:lvl>
    <w:lvl w:ilvl="5" w:tentative="0">
      <w:start w:val="1"/>
      <w:numFmt w:val="decimal"/>
      <w:pStyle w:val="87"/>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45">
    <w:nsid w:val="677F4E0F"/>
    <w:multiLevelType w:val="multilevel"/>
    <w:tmpl w:val="677F4E0F"/>
    <w:lvl w:ilvl="0" w:tentative="0">
      <w:start w:val="1"/>
      <w:numFmt w:val="lowerLetter"/>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46">
    <w:nsid w:val="69327084"/>
    <w:multiLevelType w:val="multilevel"/>
    <w:tmpl w:val="69327084"/>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47">
    <w:nsid w:val="69506ABF"/>
    <w:multiLevelType w:val="multilevel"/>
    <w:tmpl w:val="69506ABF"/>
    <w:lvl w:ilvl="0" w:tentative="0">
      <w:start w:val="1"/>
      <w:numFmt w:val="bullet"/>
      <w:pStyle w:val="191"/>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48">
    <w:nsid w:val="6B863D3E"/>
    <w:multiLevelType w:val="multilevel"/>
    <w:tmpl w:val="6B863D3E"/>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49">
    <w:nsid w:val="6CA41985"/>
    <w:multiLevelType w:val="multilevel"/>
    <w:tmpl w:val="6CA41985"/>
    <w:lvl w:ilvl="0" w:tentative="0">
      <w:start w:val="1"/>
      <w:numFmt w:val="decimal"/>
      <w:pStyle w:val="100"/>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0">
    <w:nsid w:val="6CE42AC1"/>
    <w:multiLevelType w:val="multilevel"/>
    <w:tmpl w:val="6CE42AC1"/>
    <w:lvl w:ilvl="0" w:tentative="0">
      <w:start w:val="1"/>
      <w:numFmt w:val="lowerLetter"/>
      <w:pStyle w:val="176"/>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1">
    <w:nsid w:val="6CEA2025"/>
    <w:multiLevelType w:val="multilevel"/>
    <w:tmpl w:val="6CEA2025"/>
    <w:lvl w:ilvl="0" w:tentative="0">
      <w:start w:val="1"/>
      <w:numFmt w:val="none"/>
      <w:pStyle w:val="155"/>
      <w:suff w:val="nothing"/>
      <w:lvlText w:val="%1"/>
      <w:lvlJc w:val="left"/>
      <w:pPr>
        <w:ind w:left="0" w:firstLine="0"/>
      </w:pPr>
      <w:rPr>
        <w:rFonts w:hint="eastAsia"/>
      </w:rPr>
    </w:lvl>
    <w:lvl w:ilvl="1" w:tentative="0">
      <w:start w:val="1"/>
      <w:numFmt w:val="decimal"/>
      <w:pStyle w:val="107"/>
      <w:suff w:val="nothing"/>
      <w:lvlText w:val="%1%2　"/>
      <w:lvlJc w:val="left"/>
      <w:pPr>
        <w:ind w:left="0" w:firstLine="0"/>
      </w:pPr>
      <w:rPr>
        <w:rFonts w:hint="eastAsia" w:ascii="黑体" w:eastAsia="黑体"/>
        <w:b w:val="0"/>
        <w:i w:val="0"/>
        <w:sz w:val="21"/>
      </w:rPr>
    </w:lvl>
    <w:lvl w:ilvl="2" w:tentative="0">
      <w:start w:val="1"/>
      <w:numFmt w:val="decimal"/>
      <w:pStyle w:val="108"/>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8"/>
      <w:suff w:val="nothing"/>
      <w:lvlText w:val="%1%2.%3.%4　"/>
      <w:lvlJc w:val="left"/>
      <w:pPr>
        <w:ind w:left="0" w:firstLine="0"/>
      </w:pPr>
      <w:rPr>
        <w:rFonts w:hint="eastAsia" w:ascii="黑体" w:eastAsia="黑体"/>
        <w:b w:val="0"/>
        <w:i w:val="0"/>
        <w:sz w:val="21"/>
      </w:rPr>
    </w:lvl>
    <w:lvl w:ilvl="4" w:tentative="0">
      <w:start w:val="1"/>
      <w:numFmt w:val="decimal"/>
      <w:pStyle w:val="97"/>
      <w:suff w:val="nothing"/>
      <w:lvlText w:val="%1%2.%3.%4.%5　"/>
      <w:lvlJc w:val="left"/>
      <w:pPr>
        <w:ind w:left="0" w:firstLine="0"/>
      </w:pPr>
      <w:rPr>
        <w:rFonts w:hint="eastAsia" w:ascii="黑体" w:eastAsia="黑体"/>
        <w:b w:val="0"/>
        <w:i w:val="0"/>
        <w:sz w:val="21"/>
      </w:rPr>
    </w:lvl>
    <w:lvl w:ilvl="5" w:tentative="0">
      <w:start w:val="1"/>
      <w:numFmt w:val="decimal"/>
      <w:pStyle w:val="101"/>
      <w:suff w:val="nothing"/>
      <w:lvlText w:val="%1%2.%3.%4.%5.%6　"/>
      <w:lvlJc w:val="left"/>
      <w:pPr>
        <w:ind w:left="0" w:firstLine="0"/>
      </w:pPr>
      <w:rPr>
        <w:rFonts w:hint="eastAsia" w:ascii="黑体" w:eastAsia="黑体"/>
        <w:b w:val="0"/>
        <w:i w:val="0"/>
        <w:sz w:val="21"/>
      </w:rPr>
    </w:lvl>
    <w:lvl w:ilvl="6" w:tentative="0">
      <w:start w:val="1"/>
      <w:numFmt w:val="decimal"/>
      <w:pStyle w:val="106"/>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52">
    <w:nsid w:val="6DBF04F4"/>
    <w:multiLevelType w:val="multilevel"/>
    <w:tmpl w:val="6DBF04F4"/>
    <w:lvl w:ilvl="0" w:tentative="0">
      <w:start w:val="1"/>
      <w:numFmt w:val="none"/>
      <w:pStyle w:val="182"/>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53">
    <w:nsid w:val="6DF35F19"/>
    <w:multiLevelType w:val="multilevel"/>
    <w:tmpl w:val="6DF35F19"/>
    <w:lvl w:ilvl="0" w:tentative="0">
      <w:start w:val="1"/>
      <w:numFmt w:val="decimal"/>
      <w:pStyle w:val="118"/>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54">
    <w:nsid w:val="70762D83"/>
    <w:multiLevelType w:val="multilevel"/>
    <w:tmpl w:val="70762D83"/>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55">
    <w:nsid w:val="72EB6FB4"/>
    <w:multiLevelType w:val="multilevel"/>
    <w:tmpl w:val="72EB6FB4"/>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56">
    <w:nsid w:val="741D5E4B"/>
    <w:multiLevelType w:val="multilevel"/>
    <w:tmpl w:val="741D5E4B"/>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57">
    <w:nsid w:val="76933334"/>
    <w:multiLevelType w:val="multilevel"/>
    <w:tmpl w:val="76933334"/>
    <w:lvl w:ilvl="0" w:tentative="0">
      <w:start w:val="1"/>
      <w:numFmt w:val="none"/>
      <w:pStyle w:val="142"/>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8">
    <w:nsid w:val="79272770"/>
    <w:multiLevelType w:val="multilevel"/>
    <w:tmpl w:val="79272770"/>
    <w:lvl w:ilvl="0" w:tentative="0">
      <w:start w:val="1"/>
      <w:numFmt w:val="lowerLetter"/>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59">
    <w:nsid w:val="79FF7912"/>
    <w:multiLevelType w:val="multilevel"/>
    <w:tmpl w:val="79FF7912"/>
    <w:lvl w:ilvl="0" w:tentative="0">
      <w:start w:val="1"/>
      <w:numFmt w:val="lowerLetter"/>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60">
    <w:nsid w:val="7AFC636A"/>
    <w:multiLevelType w:val="multilevel"/>
    <w:tmpl w:val="7AFC636A"/>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0"/>
  </w:num>
  <w:num w:numId="2">
    <w:abstractNumId w:val="51"/>
  </w:num>
  <w:num w:numId="3">
    <w:abstractNumId w:val="6"/>
  </w:num>
  <w:num w:numId="4">
    <w:abstractNumId w:val="44"/>
  </w:num>
  <w:num w:numId="5">
    <w:abstractNumId w:val="35"/>
  </w:num>
  <w:num w:numId="6">
    <w:abstractNumId w:val="29"/>
  </w:num>
  <w:num w:numId="7">
    <w:abstractNumId w:val="11"/>
  </w:num>
  <w:num w:numId="8">
    <w:abstractNumId w:val="4"/>
  </w:num>
  <w:num w:numId="9">
    <w:abstractNumId w:val="12"/>
  </w:num>
  <w:num w:numId="10">
    <w:abstractNumId w:val="33"/>
  </w:num>
  <w:num w:numId="11">
    <w:abstractNumId w:val="49"/>
  </w:num>
  <w:num w:numId="12">
    <w:abstractNumId w:val="20"/>
  </w:num>
  <w:num w:numId="13">
    <w:abstractNumId w:val="27"/>
  </w:num>
  <w:num w:numId="14">
    <w:abstractNumId w:val="10"/>
  </w:num>
  <w:num w:numId="15">
    <w:abstractNumId w:val="36"/>
  </w:num>
  <w:num w:numId="16">
    <w:abstractNumId w:val="42"/>
  </w:num>
  <w:num w:numId="17">
    <w:abstractNumId w:val="34"/>
  </w:num>
  <w:num w:numId="18">
    <w:abstractNumId w:val="53"/>
  </w:num>
  <w:num w:numId="19">
    <w:abstractNumId w:val="31"/>
  </w:num>
  <w:num w:numId="20">
    <w:abstractNumId w:val="1"/>
  </w:num>
  <w:num w:numId="21">
    <w:abstractNumId w:val="19"/>
  </w:num>
  <w:num w:numId="22">
    <w:abstractNumId w:val="57"/>
  </w:num>
  <w:num w:numId="23">
    <w:abstractNumId w:val="41"/>
  </w:num>
  <w:num w:numId="24">
    <w:abstractNumId w:val="7"/>
  </w:num>
  <w:num w:numId="25">
    <w:abstractNumId w:val="50"/>
  </w:num>
  <w:num w:numId="26">
    <w:abstractNumId w:val="52"/>
  </w:num>
  <w:num w:numId="27">
    <w:abstractNumId w:val="3"/>
  </w:num>
  <w:num w:numId="28">
    <w:abstractNumId w:val="5"/>
  </w:num>
  <w:num w:numId="29">
    <w:abstractNumId w:val="30"/>
  </w:num>
  <w:num w:numId="30">
    <w:abstractNumId w:val="47"/>
  </w:num>
  <w:num w:numId="31">
    <w:abstractNumId w:val="43"/>
  </w:num>
  <w:num w:numId="32">
    <w:abstractNumId w:val="23"/>
  </w:num>
  <w:num w:numId="33">
    <w:abstractNumId w:val="32"/>
  </w:num>
  <w:num w:numId="34">
    <w:abstractNumId w:val="16"/>
  </w:num>
  <w:num w:numId="35">
    <w:abstractNumId w:val="26"/>
  </w:num>
  <w:num w:numId="36">
    <w:abstractNumId w:val="60"/>
  </w:num>
  <w:num w:numId="37">
    <w:abstractNumId w:val="55"/>
  </w:num>
  <w:num w:numId="38">
    <w:abstractNumId w:val="40"/>
  </w:num>
  <w:num w:numId="39">
    <w:abstractNumId w:val="22"/>
  </w:num>
  <w:num w:numId="40">
    <w:abstractNumId w:val="18"/>
  </w:num>
  <w:num w:numId="41">
    <w:abstractNumId w:val="15"/>
  </w:num>
  <w:num w:numId="42">
    <w:abstractNumId w:val="45"/>
  </w:num>
  <w:num w:numId="43">
    <w:abstractNumId w:val="2"/>
  </w:num>
  <w:num w:numId="44">
    <w:abstractNumId w:val="54"/>
  </w:num>
  <w:num w:numId="45">
    <w:abstractNumId w:val="14"/>
  </w:num>
  <w:num w:numId="46">
    <w:abstractNumId w:val="38"/>
  </w:num>
  <w:num w:numId="47">
    <w:abstractNumId w:val="46"/>
  </w:num>
  <w:num w:numId="48">
    <w:abstractNumId w:val="56"/>
  </w:num>
  <w:num w:numId="49">
    <w:abstractNumId w:val="21"/>
  </w:num>
  <w:num w:numId="50">
    <w:abstractNumId w:val="17"/>
  </w:num>
  <w:num w:numId="51">
    <w:abstractNumId w:val="8"/>
  </w:num>
  <w:num w:numId="52">
    <w:abstractNumId w:val="39"/>
  </w:num>
  <w:num w:numId="53">
    <w:abstractNumId w:val="13"/>
  </w:num>
  <w:num w:numId="54">
    <w:abstractNumId w:val="9"/>
  </w:num>
  <w:num w:numId="55">
    <w:abstractNumId w:val="25"/>
  </w:num>
  <w:num w:numId="56">
    <w:abstractNumId w:val="48"/>
  </w:num>
  <w:num w:numId="57">
    <w:abstractNumId w:val="28"/>
  </w:num>
  <w:num w:numId="58">
    <w:abstractNumId w:val="59"/>
  </w:num>
  <w:num w:numId="59">
    <w:abstractNumId w:val="24"/>
  </w:num>
  <w:num w:numId="60">
    <w:abstractNumId w:val="58"/>
  </w:num>
  <w:num w:numId="61">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dit="forms"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0E66"/>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294"/>
    <w:rsid w:val="000365ED"/>
    <w:rsid w:val="0004249A"/>
    <w:rsid w:val="00043282"/>
    <w:rsid w:val="00044286"/>
    <w:rsid w:val="00047AB0"/>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14BA"/>
    <w:rsid w:val="00082317"/>
    <w:rsid w:val="00083D2C"/>
    <w:rsid w:val="000860A2"/>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494"/>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A7B3C"/>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5B73"/>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1C6"/>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10B6"/>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4B4D"/>
    <w:rsid w:val="003B5BF0"/>
    <w:rsid w:val="003B60BF"/>
    <w:rsid w:val="003B6BE3"/>
    <w:rsid w:val="003B774A"/>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50E"/>
    <w:rsid w:val="004167A3"/>
    <w:rsid w:val="00416900"/>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6689B"/>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55E1"/>
    <w:rsid w:val="00516088"/>
    <w:rsid w:val="00516B0B"/>
    <w:rsid w:val="005220EC"/>
    <w:rsid w:val="00523ECF"/>
    <w:rsid w:val="00523F42"/>
    <w:rsid w:val="00523F95"/>
    <w:rsid w:val="00524D65"/>
    <w:rsid w:val="00525B16"/>
    <w:rsid w:val="00526325"/>
    <w:rsid w:val="00532610"/>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1B20"/>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5F7282"/>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0E66"/>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1DA"/>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1E12"/>
    <w:rsid w:val="00765C43"/>
    <w:rsid w:val="00765EFB"/>
    <w:rsid w:val="007671CA"/>
    <w:rsid w:val="00767C61"/>
    <w:rsid w:val="0077008A"/>
    <w:rsid w:val="00773C1F"/>
    <w:rsid w:val="00774DA4"/>
    <w:rsid w:val="00776599"/>
    <w:rsid w:val="0078114B"/>
    <w:rsid w:val="00781DD2"/>
    <w:rsid w:val="00783ECF"/>
    <w:rsid w:val="0078413A"/>
    <w:rsid w:val="00794B94"/>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2095"/>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97B72"/>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2AB8"/>
    <w:rsid w:val="009B6029"/>
    <w:rsid w:val="009B6971"/>
    <w:rsid w:val="009C27F1"/>
    <w:rsid w:val="009C3152"/>
    <w:rsid w:val="009C3257"/>
    <w:rsid w:val="009C4CFA"/>
    <w:rsid w:val="009C5070"/>
    <w:rsid w:val="009D112C"/>
    <w:rsid w:val="009D1385"/>
    <w:rsid w:val="009D47FA"/>
    <w:rsid w:val="009D4C5B"/>
    <w:rsid w:val="009D50D2"/>
    <w:rsid w:val="009D6A62"/>
    <w:rsid w:val="009D6BCA"/>
    <w:rsid w:val="009E0F62"/>
    <w:rsid w:val="009E4A58"/>
    <w:rsid w:val="009E5A2D"/>
    <w:rsid w:val="009E5AB2"/>
    <w:rsid w:val="009E60C7"/>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0FA9"/>
    <w:rsid w:val="00A648CD"/>
    <w:rsid w:val="00A6537A"/>
    <w:rsid w:val="00A67866"/>
    <w:rsid w:val="00A70B07"/>
    <w:rsid w:val="00A723F8"/>
    <w:rsid w:val="00A77CCB"/>
    <w:rsid w:val="00A83D8D"/>
    <w:rsid w:val="00A8446B"/>
    <w:rsid w:val="00A8473F"/>
    <w:rsid w:val="00A862D6"/>
    <w:rsid w:val="00A8715E"/>
    <w:rsid w:val="00A91CC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B7FE1"/>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68AB"/>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390"/>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73E68"/>
    <w:rsid w:val="00C80CB8"/>
    <w:rsid w:val="00C819F8"/>
    <w:rsid w:val="00C8248C"/>
    <w:rsid w:val="00C84E33"/>
    <w:rsid w:val="00C86D6F"/>
    <w:rsid w:val="00C905FC"/>
    <w:rsid w:val="00C92D03"/>
    <w:rsid w:val="00C9319C"/>
    <w:rsid w:val="00C9435D"/>
    <w:rsid w:val="00C94DF2"/>
    <w:rsid w:val="00C96741"/>
    <w:rsid w:val="00CA2D1B"/>
    <w:rsid w:val="00CA375D"/>
    <w:rsid w:val="00CA472E"/>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1E6F"/>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0BFB"/>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4A19"/>
    <w:rsid w:val="00E2552F"/>
    <w:rsid w:val="00E3137A"/>
    <w:rsid w:val="00E32CCF"/>
    <w:rsid w:val="00E34A98"/>
    <w:rsid w:val="00E35D1E"/>
    <w:rsid w:val="00E36359"/>
    <w:rsid w:val="00E364F9"/>
    <w:rsid w:val="00E365FA"/>
    <w:rsid w:val="00E36789"/>
    <w:rsid w:val="00E44A83"/>
    <w:rsid w:val="00E50168"/>
    <w:rsid w:val="00E502C1"/>
    <w:rsid w:val="00E502DD"/>
    <w:rsid w:val="00E50D3A"/>
    <w:rsid w:val="00E51308"/>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C5DE1"/>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74D"/>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BA14A0B"/>
    <w:rsid w:val="1E8A384F"/>
    <w:rsid w:val="36CD35B1"/>
    <w:rsid w:val="45EC684B"/>
    <w:rsid w:val="4AA21B88"/>
    <w:rsid w:val="4E9D76D0"/>
    <w:rsid w:val="51D71267"/>
    <w:rsid w:val="5F4511F5"/>
    <w:rsid w:val="62A709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8"/>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9"/>
    <w:qFormat/>
    <w:uiPriority w:val="0"/>
    <w:pPr>
      <w:keepNext/>
      <w:keepLines/>
      <w:spacing w:before="260" w:after="260" w:line="416" w:lineRule="auto"/>
      <w:outlineLvl w:val="2"/>
    </w:pPr>
    <w:rPr>
      <w:b/>
      <w:bCs/>
      <w:sz w:val="32"/>
      <w:szCs w:val="32"/>
    </w:rPr>
  </w:style>
  <w:style w:type="paragraph" w:styleId="5">
    <w:name w:val="heading 4"/>
    <w:basedOn w:val="1"/>
    <w:next w:val="1"/>
    <w:link w:val="40"/>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1"/>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2"/>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3"/>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4"/>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5"/>
    <w:qFormat/>
    <w:uiPriority w:val="0"/>
    <w:pPr>
      <w:keepNext/>
      <w:keepLines/>
      <w:adjustRightInd/>
      <w:spacing w:before="240" w:after="64" w:line="320" w:lineRule="auto"/>
      <w:outlineLvl w:val="8"/>
    </w:pPr>
    <w:rPr>
      <w:rFonts w:ascii="Arial" w:hAnsi="Arial" w:eastAsia="黑体"/>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link w:val="235"/>
    <w:semiHidden/>
    <w:unhideWhenUsed/>
    <w:qFormat/>
    <w:uiPriority w:val="99"/>
    <w:pPr>
      <w:jc w:val="left"/>
    </w:pPr>
  </w:style>
  <w:style w:type="paragraph" w:styleId="14">
    <w:name w:val="Body Text"/>
    <w:basedOn w:val="1"/>
    <w:link w:val="89"/>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8"/>
    <w:semiHidden/>
    <w:unhideWhenUsed/>
    <w:qFormat/>
    <w:uiPriority w:val="99"/>
    <w:rPr>
      <w:sz w:val="18"/>
      <w:szCs w:val="18"/>
    </w:rPr>
  </w:style>
  <w:style w:type="paragraph" w:styleId="18">
    <w:name w:val="footer"/>
    <w:basedOn w:val="1"/>
    <w:link w:val="47"/>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6"/>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2"/>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Title"/>
    <w:basedOn w:val="1"/>
    <w:link w:val="51"/>
    <w:qFormat/>
    <w:uiPriority w:val="0"/>
    <w:pPr>
      <w:spacing w:before="240" w:after="60"/>
      <w:jc w:val="center"/>
      <w:outlineLvl w:val="0"/>
    </w:pPr>
    <w:rPr>
      <w:rFonts w:ascii="Arial" w:hAnsi="Arial" w:cs="Arial"/>
      <w:b/>
      <w:bCs/>
      <w:sz w:val="32"/>
      <w:szCs w:val="32"/>
    </w:rPr>
  </w:style>
  <w:style w:type="paragraph" w:styleId="27">
    <w:name w:val="annotation subject"/>
    <w:basedOn w:val="13"/>
    <w:next w:val="13"/>
    <w:link w:val="236"/>
    <w:semiHidden/>
    <w:unhideWhenUsed/>
    <w:qFormat/>
    <w:uiPriority w:val="99"/>
    <w:rPr>
      <w:b/>
      <w:bCs/>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22"/>
    <w:rPr>
      <w:b/>
      <w:bCs/>
    </w:rPr>
  </w:style>
  <w:style w:type="character" w:styleId="32">
    <w:name w:val="page number"/>
    <w:qFormat/>
    <w:uiPriority w:val="0"/>
    <w:rPr>
      <w:rFonts w:ascii="宋体" w:hAnsi="Times New Roman" w:eastAsia="宋体"/>
      <w:sz w:val="18"/>
    </w:rPr>
  </w:style>
  <w:style w:type="character" w:styleId="33">
    <w:name w:val="Emphasis"/>
    <w:qFormat/>
    <w:uiPriority w:val="20"/>
    <w:rPr>
      <w:i/>
      <w:iCs/>
    </w:rPr>
  </w:style>
  <w:style w:type="character" w:styleId="34">
    <w:name w:val="Hyperlink"/>
    <w:qFormat/>
    <w:uiPriority w:val="99"/>
    <w:rPr>
      <w:rFonts w:ascii="宋体" w:hAnsi="Times New Roman" w:eastAsia="宋体"/>
      <w:color w:val="auto"/>
      <w:spacing w:val="0"/>
      <w:w w:val="100"/>
      <w:position w:val="0"/>
      <w:sz w:val="21"/>
      <w:u w:val="none"/>
      <w:vertAlign w:val="baseline"/>
    </w:rPr>
  </w:style>
  <w:style w:type="character" w:styleId="35">
    <w:name w:val="annotation reference"/>
    <w:basedOn w:val="30"/>
    <w:semiHidden/>
    <w:unhideWhenUsed/>
    <w:qFormat/>
    <w:uiPriority w:val="99"/>
    <w:rPr>
      <w:sz w:val="21"/>
      <w:szCs w:val="21"/>
    </w:rPr>
  </w:style>
  <w:style w:type="character" w:styleId="36">
    <w:name w:val="footnote reference"/>
    <w:semiHidden/>
    <w:qFormat/>
    <w:uiPriority w:val="0"/>
    <w:rPr>
      <w:rFonts w:ascii="宋体" w:hAnsi="宋体" w:eastAsia="宋体" w:cs="Times New Roman"/>
      <w:spacing w:val="0"/>
      <w:sz w:val="18"/>
      <w:vertAlign w:val="superscript"/>
    </w:rPr>
  </w:style>
  <w:style w:type="character" w:customStyle="1" w:styleId="37">
    <w:name w:val="标题 1 字符"/>
    <w:link w:val="2"/>
    <w:qFormat/>
    <w:uiPriority w:val="0"/>
    <w:rPr>
      <w:b/>
      <w:bCs/>
      <w:kern w:val="44"/>
      <w:sz w:val="44"/>
      <w:szCs w:val="44"/>
    </w:rPr>
  </w:style>
  <w:style w:type="character" w:customStyle="1" w:styleId="38">
    <w:name w:val="标题 2 字符"/>
    <w:link w:val="3"/>
    <w:qFormat/>
    <w:uiPriority w:val="0"/>
    <w:rPr>
      <w:rFonts w:ascii="Arial" w:hAnsi="Arial" w:eastAsia="黑体"/>
      <w:b/>
      <w:bCs/>
      <w:kern w:val="2"/>
      <w:sz w:val="32"/>
      <w:szCs w:val="32"/>
    </w:rPr>
  </w:style>
  <w:style w:type="character" w:customStyle="1" w:styleId="39">
    <w:name w:val="标题 3 字符"/>
    <w:link w:val="4"/>
    <w:qFormat/>
    <w:uiPriority w:val="0"/>
    <w:rPr>
      <w:b/>
      <w:bCs/>
      <w:kern w:val="2"/>
      <w:sz w:val="32"/>
      <w:szCs w:val="32"/>
    </w:rPr>
  </w:style>
  <w:style w:type="character" w:customStyle="1" w:styleId="40">
    <w:name w:val="标题 4 字符"/>
    <w:link w:val="5"/>
    <w:qFormat/>
    <w:uiPriority w:val="0"/>
    <w:rPr>
      <w:rFonts w:ascii="Arial" w:hAnsi="Arial" w:eastAsia="黑体"/>
      <w:b/>
      <w:bCs/>
      <w:kern w:val="2"/>
      <w:sz w:val="28"/>
      <w:szCs w:val="28"/>
    </w:rPr>
  </w:style>
  <w:style w:type="character" w:customStyle="1" w:styleId="41">
    <w:name w:val="标题 5 字符"/>
    <w:link w:val="6"/>
    <w:qFormat/>
    <w:uiPriority w:val="0"/>
    <w:rPr>
      <w:b/>
      <w:bCs/>
      <w:kern w:val="2"/>
      <w:sz w:val="28"/>
      <w:szCs w:val="28"/>
    </w:rPr>
  </w:style>
  <w:style w:type="character" w:customStyle="1" w:styleId="42">
    <w:name w:val="标题 6 字符"/>
    <w:link w:val="7"/>
    <w:qFormat/>
    <w:uiPriority w:val="0"/>
    <w:rPr>
      <w:rFonts w:ascii="Arial" w:hAnsi="Arial" w:eastAsia="黑体"/>
      <w:b/>
      <w:bCs/>
      <w:kern w:val="2"/>
      <w:sz w:val="24"/>
      <w:szCs w:val="24"/>
    </w:rPr>
  </w:style>
  <w:style w:type="character" w:customStyle="1" w:styleId="43">
    <w:name w:val="标题 7 字符"/>
    <w:link w:val="8"/>
    <w:qFormat/>
    <w:uiPriority w:val="0"/>
    <w:rPr>
      <w:b/>
      <w:bCs/>
      <w:kern w:val="2"/>
      <w:sz w:val="24"/>
      <w:szCs w:val="24"/>
    </w:rPr>
  </w:style>
  <w:style w:type="character" w:customStyle="1" w:styleId="44">
    <w:name w:val="标题 8 字符"/>
    <w:link w:val="9"/>
    <w:qFormat/>
    <w:uiPriority w:val="0"/>
    <w:rPr>
      <w:rFonts w:ascii="Arial" w:hAnsi="Arial" w:eastAsia="黑体"/>
      <w:kern w:val="2"/>
      <w:sz w:val="24"/>
      <w:szCs w:val="24"/>
    </w:rPr>
  </w:style>
  <w:style w:type="character" w:customStyle="1" w:styleId="45">
    <w:name w:val="标题 9 字符"/>
    <w:link w:val="10"/>
    <w:qFormat/>
    <w:uiPriority w:val="0"/>
    <w:rPr>
      <w:rFonts w:ascii="Arial" w:hAnsi="Arial" w:eastAsia="黑体"/>
      <w:kern w:val="2"/>
      <w:sz w:val="21"/>
      <w:szCs w:val="21"/>
    </w:rPr>
  </w:style>
  <w:style w:type="character" w:customStyle="1" w:styleId="46">
    <w:name w:val="页眉 字符"/>
    <w:link w:val="19"/>
    <w:qFormat/>
    <w:uiPriority w:val="99"/>
    <w:rPr>
      <w:kern w:val="2"/>
      <w:sz w:val="18"/>
      <w:szCs w:val="18"/>
    </w:rPr>
  </w:style>
  <w:style w:type="character" w:customStyle="1" w:styleId="47">
    <w:name w:val="页脚 字符"/>
    <w:link w:val="18"/>
    <w:qFormat/>
    <w:uiPriority w:val="99"/>
    <w:rPr>
      <w:rFonts w:ascii="宋体"/>
      <w:kern w:val="2"/>
      <w:sz w:val="18"/>
      <w:szCs w:val="18"/>
    </w:rPr>
  </w:style>
  <w:style w:type="character" w:customStyle="1" w:styleId="48">
    <w:name w:val="批注框文本 字符"/>
    <w:link w:val="17"/>
    <w:semiHidden/>
    <w:qFormat/>
    <w:uiPriority w:val="99"/>
    <w:rPr>
      <w:kern w:val="2"/>
      <w:sz w:val="18"/>
      <w:szCs w:val="18"/>
    </w:rPr>
  </w:style>
  <w:style w:type="paragraph" w:styleId="49">
    <w:name w:val="Quote"/>
    <w:basedOn w:val="1"/>
    <w:next w:val="1"/>
    <w:link w:val="50"/>
    <w:qFormat/>
    <w:uiPriority w:val="29"/>
    <w:rPr>
      <w:i/>
      <w:iCs/>
      <w:color w:val="000000"/>
    </w:rPr>
  </w:style>
  <w:style w:type="character" w:customStyle="1" w:styleId="50">
    <w:name w:val="引用 字符"/>
    <w:link w:val="49"/>
    <w:qFormat/>
    <w:uiPriority w:val="29"/>
    <w:rPr>
      <w:i/>
      <w:iCs/>
      <w:color w:val="000000"/>
      <w:kern w:val="2"/>
      <w:sz w:val="21"/>
      <w:szCs w:val="21"/>
    </w:rPr>
  </w:style>
  <w:style w:type="character" w:customStyle="1" w:styleId="51">
    <w:name w:val="标题 字符"/>
    <w:link w:val="26"/>
    <w:qFormat/>
    <w:uiPriority w:val="0"/>
    <w:rPr>
      <w:rFonts w:ascii="Arial" w:hAnsi="Arial" w:cs="Arial"/>
      <w:b/>
      <w:bCs/>
      <w:kern w:val="2"/>
      <w:sz w:val="32"/>
      <w:szCs w:val="32"/>
    </w:rPr>
  </w:style>
  <w:style w:type="paragraph" w:customStyle="1" w:styleId="52">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3">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4">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5">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6">
    <w:name w:val="标准书眉一"/>
    <w:qFormat/>
    <w:uiPriority w:val="0"/>
    <w:pPr>
      <w:jc w:val="both"/>
    </w:pPr>
    <w:rPr>
      <w:rFonts w:ascii="Times New Roman" w:hAnsi="Times New Roman" w:eastAsia="宋体" w:cs="Times New Roman"/>
      <w:lang w:val="en-US" w:eastAsia="zh-CN" w:bidi="ar-SA"/>
    </w:rPr>
  </w:style>
  <w:style w:type="paragraph" w:customStyle="1" w:styleId="57">
    <w:name w:val="标准文件_ICS"/>
    <w:basedOn w:val="1"/>
    <w:qFormat/>
    <w:uiPriority w:val="0"/>
    <w:pPr>
      <w:spacing w:line="0" w:lineRule="atLeast"/>
    </w:pPr>
    <w:rPr>
      <w:rFonts w:ascii="黑体" w:hAnsi="宋体" w:eastAsia="黑体"/>
    </w:rPr>
  </w:style>
  <w:style w:type="paragraph" w:customStyle="1" w:styleId="58">
    <w:name w:val="标准文件_标准正文"/>
    <w:basedOn w:val="1"/>
    <w:next w:val="59"/>
    <w:qFormat/>
    <w:uiPriority w:val="0"/>
    <w:pPr>
      <w:snapToGrid w:val="0"/>
      <w:ind w:firstLine="200" w:firstLineChars="200"/>
    </w:pPr>
    <w:rPr>
      <w:kern w:val="0"/>
    </w:rPr>
  </w:style>
  <w:style w:type="paragraph" w:customStyle="1" w:styleId="59">
    <w:name w:val="标准文件_段"/>
    <w:link w:val="187"/>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60">
    <w:name w:val="标准文件_版本"/>
    <w:basedOn w:val="58"/>
    <w:qFormat/>
    <w:uiPriority w:val="0"/>
    <w:pPr>
      <w:adjustRightInd/>
      <w:snapToGrid/>
      <w:ind w:firstLine="0" w:firstLineChars="0"/>
    </w:pPr>
    <w:rPr>
      <w:rFonts w:ascii="宋体" w:hAnsi="宋体"/>
      <w:kern w:val="2"/>
    </w:rPr>
  </w:style>
  <w:style w:type="paragraph" w:customStyle="1" w:styleId="61">
    <w:name w:val="标准文件_标准部门"/>
    <w:basedOn w:val="1"/>
    <w:qFormat/>
    <w:uiPriority w:val="0"/>
    <w:pPr>
      <w:jc w:val="center"/>
    </w:pPr>
    <w:rPr>
      <w:rFonts w:ascii="黑体" w:eastAsia="黑体"/>
      <w:kern w:val="0"/>
      <w:sz w:val="44"/>
    </w:rPr>
  </w:style>
  <w:style w:type="paragraph" w:customStyle="1" w:styleId="62">
    <w:name w:val="标准文件_标准代替"/>
    <w:basedOn w:val="1"/>
    <w:next w:val="1"/>
    <w:qFormat/>
    <w:uiPriority w:val="0"/>
    <w:pPr>
      <w:spacing w:line="310" w:lineRule="exact"/>
      <w:jc w:val="right"/>
    </w:pPr>
    <w:rPr>
      <w:rFonts w:ascii="宋体" w:hAnsi="宋体"/>
      <w:kern w:val="0"/>
    </w:rPr>
  </w:style>
  <w:style w:type="paragraph" w:customStyle="1" w:styleId="63">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4">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5">
    <w:name w:val="标准文件_页眉偶数页"/>
    <w:basedOn w:val="64"/>
    <w:next w:val="1"/>
    <w:qFormat/>
    <w:uiPriority w:val="0"/>
    <w:pPr>
      <w:jc w:val="left"/>
    </w:pPr>
  </w:style>
  <w:style w:type="paragraph" w:customStyle="1" w:styleId="66">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7">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8">
    <w:name w:val="标准文件_二级条标题"/>
    <w:next w:val="59"/>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9">
    <w:name w:val="标准文件_发布"/>
    <w:qFormat/>
    <w:uiPriority w:val="0"/>
    <w:rPr>
      <w:rFonts w:ascii="黑体" w:eastAsia="黑体"/>
      <w:spacing w:val="0"/>
      <w:w w:val="100"/>
      <w:position w:val="3"/>
      <w:sz w:val="28"/>
    </w:rPr>
  </w:style>
  <w:style w:type="paragraph" w:customStyle="1" w:styleId="70">
    <w:name w:val="标准文件_方框数字列项"/>
    <w:basedOn w:val="59"/>
    <w:qFormat/>
    <w:uiPriority w:val="0"/>
    <w:pPr>
      <w:numPr>
        <w:ilvl w:val="0"/>
        <w:numId w:val="3"/>
      </w:numPr>
      <w:ind w:firstLine="0" w:firstLineChars="0"/>
    </w:pPr>
  </w:style>
  <w:style w:type="paragraph" w:customStyle="1" w:styleId="71">
    <w:name w:val="标准文件_封面标准编号"/>
    <w:basedOn w:val="1"/>
    <w:next w:val="62"/>
    <w:qFormat/>
    <w:uiPriority w:val="0"/>
    <w:pPr>
      <w:spacing w:line="310" w:lineRule="exact"/>
      <w:jc w:val="right"/>
    </w:pPr>
    <w:rPr>
      <w:rFonts w:ascii="黑体" w:eastAsia="黑体"/>
      <w:kern w:val="0"/>
      <w:sz w:val="28"/>
    </w:rPr>
  </w:style>
  <w:style w:type="paragraph" w:customStyle="1" w:styleId="72">
    <w:name w:val="标准文件_封面标准分类号"/>
    <w:basedOn w:val="1"/>
    <w:qFormat/>
    <w:uiPriority w:val="0"/>
    <w:rPr>
      <w:rFonts w:ascii="黑体" w:eastAsia="黑体"/>
      <w:b/>
      <w:kern w:val="0"/>
      <w:sz w:val="28"/>
    </w:rPr>
  </w:style>
  <w:style w:type="paragraph" w:customStyle="1" w:styleId="73">
    <w:name w:val="标准文件_封面标准名称"/>
    <w:basedOn w:val="1"/>
    <w:qFormat/>
    <w:uiPriority w:val="0"/>
    <w:pPr>
      <w:spacing w:line="240" w:lineRule="auto"/>
      <w:jc w:val="center"/>
    </w:pPr>
    <w:rPr>
      <w:rFonts w:ascii="黑体" w:eastAsia="黑体"/>
      <w:kern w:val="0"/>
      <w:sz w:val="52"/>
    </w:rPr>
  </w:style>
  <w:style w:type="paragraph" w:customStyle="1" w:styleId="74">
    <w:name w:val="标准文件_封面标准英文名称"/>
    <w:basedOn w:val="1"/>
    <w:qFormat/>
    <w:uiPriority w:val="0"/>
    <w:pPr>
      <w:spacing w:line="240" w:lineRule="auto"/>
      <w:jc w:val="center"/>
    </w:pPr>
    <w:rPr>
      <w:rFonts w:ascii="黑体" w:eastAsia="黑体"/>
      <w:b/>
      <w:sz w:val="28"/>
    </w:rPr>
  </w:style>
  <w:style w:type="paragraph" w:customStyle="1" w:styleId="75">
    <w:name w:val="标准文件_封面发布日期"/>
    <w:basedOn w:val="1"/>
    <w:qFormat/>
    <w:uiPriority w:val="0"/>
    <w:pPr>
      <w:spacing w:line="310" w:lineRule="exact"/>
    </w:pPr>
    <w:rPr>
      <w:rFonts w:ascii="黑体" w:eastAsia="黑体"/>
      <w:kern w:val="0"/>
      <w:sz w:val="28"/>
    </w:rPr>
  </w:style>
  <w:style w:type="paragraph" w:customStyle="1" w:styleId="76">
    <w:name w:val="标准文件_封面密级"/>
    <w:basedOn w:val="1"/>
    <w:qFormat/>
    <w:uiPriority w:val="0"/>
    <w:rPr>
      <w:rFonts w:eastAsia="黑体"/>
      <w:sz w:val="32"/>
    </w:rPr>
  </w:style>
  <w:style w:type="paragraph" w:customStyle="1" w:styleId="77">
    <w:name w:val="标准文件_封面实施日期"/>
    <w:basedOn w:val="1"/>
    <w:qFormat/>
    <w:uiPriority w:val="0"/>
    <w:pPr>
      <w:spacing w:line="310" w:lineRule="exact"/>
      <w:jc w:val="right"/>
    </w:pPr>
    <w:rPr>
      <w:rFonts w:ascii="黑体" w:eastAsia="黑体"/>
      <w:sz w:val="28"/>
    </w:rPr>
  </w:style>
  <w:style w:type="paragraph" w:customStyle="1" w:styleId="78">
    <w:name w:val="标准文件_封面抬头"/>
    <w:basedOn w:val="59"/>
    <w:qFormat/>
    <w:uiPriority w:val="0"/>
    <w:pPr>
      <w:adjustRightInd w:val="0"/>
      <w:spacing w:line="800" w:lineRule="exact"/>
      <w:ind w:firstLine="0" w:firstLineChars="0"/>
      <w:jc w:val="distribute"/>
    </w:pPr>
    <w:rPr>
      <w:rFonts w:ascii="黑体" w:eastAsia="黑体"/>
      <w:b/>
      <w:sz w:val="64"/>
    </w:rPr>
  </w:style>
  <w:style w:type="paragraph" w:customStyle="1" w:styleId="79">
    <w:name w:val="标准文件_附录标识"/>
    <w:next w:val="59"/>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0">
    <w:name w:val="标准文件_附录表标题"/>
    <w:next w:val="59"/>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1">
    <w:name w:val="标准文件_附录一级条标题"/>
    <w:next w:val="59"/>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2">
    <w:name w:val="标准文件_附录二级条标题"/>
    <w:basedOn w:val="81"/>
    <w:next w:val="59"/>
    <w:qFormat/>
    <w:uiPriority w:val="0"/>
    <w:pPr>
      <w:widowControl/>
      <w:numPr>
        <w:ilvl w:val="2"/>
      </w:numPr>
      <w:wordWrap w:val="0"/>
      <w:overflowPunct w:val="0"/>
      <w:autoSpaceDE w:val="0"/>
      <w:autoSpaceDN w:val="0"/>
      <w:textAlignment w:val="baseline"/>
      <w:outlineLvl w:val="3"/>
    </w:pPr>
  </w:style>
  <w:style w:type="paragraph" w:customStyle="1" w:styleId="83">
    <w:name w:val="标准文件_附录公式"/>
    <w:basedOn w:val="58"/>
    <w:next w:val="58"/>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4">
    <w:name w:val="标准文件_附录三级条标题"/>
    <w:next w:val="59"/>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5">
    <w:name w:val="标准文件_附录四级条标题"/>
    <w:next w:val="59"/>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6">
    <w:name w:val="标准文件_附录图标题"/>
    <w:next w:val="59"/>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7">
    <w:name w:val="标准文件_附录五级条标题"/>
    <w:next w:val="59"/>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8">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9">
    <w:name w:val="正文文本 字符"/>
    <w:link w:val="14"/>
    <w:qFormat/>
    <w:uiPriority w:val="0"/>
    <w:rPr>
      <w:kern w:val="2"/>
      <w:sz w:val="21"/>
      <w:szCs w:val="21"/>
    </w:rPr>
  </w:style>
  <w:style w:type="paragraph" w:customStyle="1" w:styleId="90">
    <w:name w:val="标准文件_附录章标题"/>
    <w:next w:val="59"/>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1">
    <w:name w:val="标准文件_公式后的破折号"/>
    <w:basedOn w:val="59"/>
    <w:next w:val="59"/>
    <w:qFormat/>
    <w:uiPriority w:val="0"/>
    <w:pPr>
      <w:ind w:left="488" w:leftChars="200" w:hanging="289" w:hangingChars="290"/>
    </w:pPr>
  </w:style>
  <w:style w:type="paragraph" w:customStyle="1" w:styleId="92">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3">
    <w:name w:val="标准文件_目次、标准名称标题"/>
    <w:basedOn w:val="92"/>
    <w:next w:val="59"/>
    <w:qFormat/>
    <w:uiPriority w:val="0"/>
    <w:pPr>
      <w:spacing w:line="460" w:lineRule="exact"/>
      <w:ind w:left="0" w:firstLine="0"/>
    </w:pPr>
  </w:style>
  <w:style w:type="paragraph" w:customStyle="1" w:styleId="94">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5">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6">
    <w:name w:val="标准文件_破折号列项（二级）"/>
    <w:basedOn w:val="95"/>
    <w:qFormat/>
    <w:uiPriority w:val="0"/>
    <w:pPr>
      <w:numPr>
        <w:numId w:val="10"/>
      </w:numPr>
    </w:pPr>
  </w:style>
  <w:style w:type="paragraph" w:customStyle="1" w:styleId="97">
    <w:name w:val="标准文件_三级条标题"/>
    <w:basedOn w:val="68"/>
    <w:next w:val="59"/>
    <w:qFormat/>
    <w:uiPriority w:val="0"/>
    <w:pPr>
      <w:widowControl/>
      <w:numPr>
        <w:ilvl w:val="4"/>
      </w:numPr>
      <w:outlineLvl w:val="3"/>
    </w:pPr>
  </w:style>
  <w:style w:type="character" w:customStyle="1" w:styleId="98">
    <w:name w:val="不明显参考1"/>
    <w:qFormat/>
    <w:uiPriority w:val="31"/>
    <w:rPr>
      <w:smallCaps/>
      <w:color w:val="C0504D"/>
      <w:u w:val="single"/>
    </w:rPr>
  </w:style>
  <w:style w:type="paragraph" w:customStyle="1" w:styleId="99">
    <w:name w:val="标准文件_示例后续"/>
    <w:basedOn w:val="1"/>
    <w:qFormat/>
    <w:uiPriority w:val="0"/>
    <w:pPr>
      <w:adjustRightInd/>
      <w:spacing w:line="240" w:lineRule="auto"/>
      <w:ind w:firstLine="200" w:firstLineChars="200"/>
    </w:pPr>
    <w:rPr>
      <w:sz w:val="18"/>
      <w:szCs w:val="24"/>
    </w:rPr>
  </w:style>
  <w:style w:type="paragraph" w:customStyle="1" w:styleId="100">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1">
    <w:name w:val="标准文件_四级条标题"/>
    <w:next w:val="59"/>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2">
    <w:name w:val="脚注文本 字符"/>
    <w:link w:val="22"/>
    <w:semiHidden/>
    <w:qFormat/>
    <w:uiPriority w:val="0"/>
    <w:rPr>
      <w:rFonts w:ascii="宋体"/>
      <w:kern w:val="2"/>
      <w:sz w:val="18"/>
      <w:szCs w:val="18"/>
    </w:rPr>
  </w:style>
  <w:style w:type="paragraph" w:customStyle="1" w:styleId="103">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4">
    <w:name w:val="标准文件_图表脚注"/>
    <w:basedOn w:val="1"/>
    <w:next w:val="59"/>
    <w:qFormat/>
    <w:uiPriority w:val="0"/>
    <w:pPr>
      <w:numPr>
        <w:ilvl w:val="0"/>
        <w:numId w:val="12"/>
      </w:numPr>
      <w:spacing w:line="240" w:lineRule="auto"/>
      <w:jc w:val="left"/>
    </w:pPr>
    <w:rPr>
      <w:rFonts w:ascii="宋体" w:hAnsi="宋体"/>
      <w:sz w:val="18"/>
    </w:rPr>
  </w:style>
  <w:style w:type="character" w:customStyle="1" w:styleId="105">
    <w:name w:val="标准文件_图表脚注内容"/>
    <w:qFormat/>
    <w:uiPriority w:val="0"/>
    <w:rPr>
      <w:rFonts w:ascii="宋体" w:hAnsi="宋体" w:eastAsia="宋体" w:cs="Times New Roman"/>
      <w:spacing w:val="0"/>
      <w:sz w:val="18"/>
      <w:vertAlign w:val="superscript"/>
    </w:rPr>
  </w:style>
  <w:style w:type="paragraph" w:customStyle="1" w:styleId="106">
    <w:name w:val="标准文件_五级条标题"/>
    <w:next w:val="59"/>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7">
    <w:name w:val="标准文件_章标题"/>
    <w:next w:val="59"/>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8">
    <w:name w:val="标准文件_一级条标题"/>
    <w:basedOn w:val="107"/>
    <w:next w:val="59"/>
    <w:qFormat/>
    <w:uiPriority w:val="0"/>
    <w:pPr>
      <w:numPr>
        <w:ilvl w:val="2"/>
      </w:numPr>
      <w:spacing w:before="50" w:beforeLines="50" w:after="50" w:afterLines="50"/>
      <w:outlineLvl w:val="1"/>
    </w:pPr>
  </w:style>
  <w:style w:type="paragraph" w:customStyle="1" w:styleId="109">
    <w:name w:val="标准文件_一致程度"/>
    <w:basedOn w:val="1"/>
    <w:qFormat/>
    <w:uiPriority w:val="0"/>
    <w:pPr>
      <w:spacing w:line="440" w:lineRule="exact"/>
      <w:jc w:val="center"/>
    </w:pPr>
    <w:rPr>
      <w:sz w:val="28"/>
    </w:rPr>
  </w:style>
  <w:style w:type="paragraph" w:customStyle="1" w:styleId="110">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1">
    <w:name w:val="标准文件_英文图表脚注"/>
    <w:basedOn w:val="58"/>
    <w:qFormat/>
    <w:uiPriority w:val="0"/>
    <w:pPr>
      <w:widowControl/>
      <w:adjustRightInd/>
      <w:snapToGrid/>
      <w:spacing w:line="240" w:lineRule="auto"/>
      <w:ind w:left="79" w:hanging="79" w:hangingChars="80"/>
    </w:pPr>
    <w:rPr>
      <w:rFonts w:ascii="宋体" w:hAnsi="宋体"/>
    </w:rPr>
  </w:style>
  <w:style w:type="paragraph" w:customStyle="1" w:styleId="112">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3">
    <w:name w:val="标准文件_英文注："/>
    <w:basedOn w:val="1"/>
    <w:next w:val="59"/>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4">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5">
    <w:name w:val="标准文件_正文表标题"/>
    <w:next w:val="59"/>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公式"/>
    <w:basedOn w:val="1"/>
    <w:next w:val="58"/>
    <w:qFormat/>
    <w:uiPriority w:val="0"/>
    <w:pPr>
      <w:tabs>
        <w:tab w:val="center" w:pos="4678"/>
        <w:tab w:val="right" w:leader="middleDot" w:pos="9356"/>
      </w:tabs>
      <w:spacing w:line="240" w:lineRule="auto"/>
    </w:pPr>
    <w:rPr>
      <w:rFonts w:ascii="宋体" w:hAnsi="宋体"/>
    </w:rPr>
  </w:style>
  <w:style w:type="paragraph" w:customStyle="1" w:styleId="117">
    <w:name w:val="标准文件_正文图标题"/>
    <w:next w:val="59"/>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8">
    <w:name w:val="标准文件_正文英文表标题"/>
    <w:next w:val="59"/>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9">
    <w:name w:val="标准文件_正文英文图标题"/>
    <w:next w:val="59"/>
    <w:uiPriority w:val="0"/>
    <w:pPr>
      <w:numPr>
        <w:ilvl w:val="0"/>
        <w:numId w:val="19"/>
      </w:numPr>
      <w:jc w:val="center"/>
    </w:pPr>
    <w:rPr>
      <w:rFonts w:ascii="黑体" w:hAnsi="Times New Roman" w:eastAsia="黑体" w:cs="Times New Roman"/>
      <w:sz w:val="21"/>
      <w:lang w:val="en-US" w:eastAsia="zh-CN" w:bidi="ar-SA"/>
    </w:rPr>
  </w:style>
  <w:style w:type="paragraph" w:customStyle="1" w:styleId="120">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1">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2">
    <w:name w:val="发布部门"/>
    <w:next w:val="59"/>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3">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4">
    <w:name w:val="封面标准代替信息"/>
    <w:basedOn w:val="1"/>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5">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6">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7">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8">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9">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0">
    <w:name w:val="封面正文"/>
    <w:qFormat/>
    <w:uiPriority w:val="0"/>
    <w:pPr>
      <w:jc w:val="both"/>
    </w:pPr>
    <w:rPr>
      <w:rFonts w:ascii="Times New Roman" w:hAnsi="Times New Roman" w:eastAsia="宋体" w:cs="Times New Roman"/>
      <w:lang w:val="en-US" w:eastAsia="zh-CN" w:bidi="ar-SA"/>
    </w:rPr>
  </w:style>
  <w:style w:type="paragraph" w:customStyle="1" w:styleId="131">
    <w:name w:val="附录二级无标题条"/>
    <w:basedOn w:val="1"/>
    <w:next w:val="59"/>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2">
    <w:name w:val="附录三级无标题条"/>
    <w:basedOn w:val="131"/>
    <w:next w:val="59"/>
    <w:qFormat/>
    <w:uiPriority w:val="0"/>
    <w:pPr>
      <w:outlineLvl w:val="4"/>
    </w:pPr>
  </w:style>
  <w:style w:type="paragraph" w:customStyle="1" w:styleId="133">
    <w:name w:val="附录四级无标题条"/>
    <w:basedOn w:val="132"/>
    <w:next w:val="59"/>
    <w:uiPriority w:val="0"/>
    <w:pPr>
      <w:outlineLvl w:val="5"/>
    </w:pPr>
  </w:style>
  <w:style w:type="paragraph" w:customStyle="1" w:styleId="134">
    <w:name w:val="附录图"/>
    <w:next w:val="59"/>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5">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6">
    <w:name w:val="附录五级无标题条"/>
    <w:basedOn w:val="133"/>
    <w:next w:val="59"/>
    <w:qFormat/>
    <w:uiPriority w:val="0"/>
    <w:pPr>
      <w:outlineLvl w:val="6"/>
    </w:pPr>
  </w:style>
  <w:style w:type="paragraph" w:customStyle="1" w:styleId="137">
    <w:name w:val="附录性质"/>
    <w:basedOn w:val="1"/>
    <w:qFormat/>
    <w:uiPriority w:val="0"/>
    <w:pPr>
      <w:widowControl/>
      <w:adjustRightInd/>
      <w:jc w:val="center"/>
    </w:pPr>
    <w:rPr>
      <w:rFonts w:ascii="黑体" w:eastAsia="黑体"/>
    </w:rPr>
  </w:style>
  <w:style w:type="paragraph" w:customStyle="1" w:styleId="138">
    <w:name w:val="附录一级无标题条"/>
    <w:basedOn w:val="90"/>
    <w:next w:val="59"/>
    <w:qFormat/>
    <w:uiPriority w:val="0"/>
    <w:pPr>
      <w:autoSpaceDN w:val="0"/>
      <w:outlineLvl w:val="2"/>
    </w:pPr>
    <w:rPr>
      <w:rFonts w:ascii="宋体" w:hAnsi="宋体" w:eastAsia="宋体"/>
    </w:rPr>
  </w:style>
  <w:style w:type="character" w:customStyle="1" w:styleId="139">
    <w:name w:val="个人答复风格"/>
    <w:qFormat/>
    <w:uiPriority w:val="0"/>
    <w:rPr>
      <w:rFonts w:ascii="Arial" w:hAnsi="Arial" w:eastAsia="宋体" w:cs="Arial"/>
      <w:color w:val="auto"/>
      <w:spacing w:val="0"/>
      <w:sz w:val="20"/>
    </w:rPr>
  </w:style>
  <w:style w:type="character" w:customStyle="1" w:styleId="140">
    <w:name w:val="个人撰写风格"/>
    <w:qFormat/>
    <w:uiPriority w:val="0"/>
    <w:rPr>
      <w:rFonts w:ascii="Arial" w:hAnsi="Arial" w:eastAsia="宋体" w:cs="Arial"/>
      <w:color w:val="auto"/>
      <w:spacing w:val="0"/>
      <w:sz w:val="20"/>
    </w:rPr>
  </w:style>
  <w:style w:type="paragraph" w:customStyle="1" w:styleId="141">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2">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3">
    <w:name w:val="列项·"/>
    <w:basedOn w:val="59"/>
    <w:qFormat/>
    <w:uiPriority w:val="0"/>
    <w:pPr>
      <w:tabs>
        <w:tab w:val="left" w:pos="840"/>
      </w:tabs>
    </w:pPr>
  </w:style>
  <w:style w:type="paragraph" w:customStyle="1" w:styleId="144">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5">
    <w:name w:val="目录 21"/>
    <w:basedOn w:val="1"/>
    <w:next w:val="1"/>
    <w:autoRedefine/>
    <w:semiHidden/>
    <w:qFormat/>
    <w:uiPriority w:val="0"/>
    <w:pPr>
      <w:adjustRightInd/>
      <w:spacing w:line="240" w:lineRule="auto"/>
      <w:jc w:val="left"/>
    </w:pPr>
    <w:rPr>
      <w:bCs/>
      <w:iCs/>
    </w:rPr>
  </w:style>
  <w:style w:type="paragraph" w:customStyle="1" w:styleId="146">
    <w:name w:val="目录 31"/>
    <w:basedOn w:val="1"/>
    <w:next w:val="1"/>
    <w:autoRedefine/>
    <w:semiHidden/>
    <w:qFormat/>
    <w:uiPriority w:val="0"/>
    <w:pPr>
      <w:spacing w:line="240" w:lineRule="auto"/>
    </w:pPr>
    <w:rPr>
      <w:rFonts w:ascii="宋体" w:hAnsi="宋体"/>
      <w:iCs/>
    </w:rPr>
  </w:style>
  <w:style w:type="paragraph" w:customStyle="1" w:styleId="147">
    <w:name w:val="目录 41"/>
    <w:basedOn w:val="1"/>
    <w:next w:val="1"/>
    <w:autoRedefine/>
    <w:semiHidden/>
    <w:qFormat/>
    <w:uiPriority w:val="0"/>
    <w:pPr>
      <w:adjustRightInd/>
      <w:spacing w:line="240" w:lineRule="auto"/>
      <w:jc w:val="left"/>
    </w:pPr>
  </w:style>
  <w:style w:type="paragraph" w:customStyle="1" w:styleId="148">
    <w:name w:val="目录 51"/>
    <w:basedOn w:val="1"/>
    <w:next w:val="1"/>
    <w:autoRedefine/>
    <w:semiHidden/>
    <w:qFormat/>
    <w:uiPriority w:val="0"/>
    <w:pPr>
      <w:spacing w:line="240" w:lineRule="auto"/>
    </w:pPr>
    <w:rPr>
      <w:rFonts w:ascii="宋体" w:hAnsi="宋体"/>
    </w:rPr>
  </w:style>
  <w:style w:type="paragraph" w:customStyle="1" w:styleId="149">
    <w:name w:val="目录 61"/>
    <w:basedOn w:val="1"/>
    <w:next w:val="1"/>
    <w:autoRedefine/>
    <w:semiHidden/>
    <w:qFormat/>
    <w:uiPriority w:val="0"/>
    <w:pPr>
      <w:adjustRightInd/>
      <w:spacing w:line="240" w:lineRule="auto"/>
      <w:jc w:val="left"/>
    </w:pPr>
  </w:style>
  <w:style w:type="paragraph" w:customStyle="1" w:styleId="150">
    <w:name w:val="目录 71"/>
    <w:basedOn w:val="149"/>
    <w:autoRedefine/>
    <w:semiHidden/>
    <w:qFormat/>
    <w:uiPriority w:val="0"/>
    <w:pPr>
      <w:ind w:left="1260"/>
    </w:pPr>
  </w:style>
  <w:style w:type="paragraph" w:customStyle="1" w:styleId="151">
    <w:name w:val="目录 81"/>
    <w:basedOn w:val="150"/>
    <w:autoRedefine/>
    <w:semiHidden/>
    <w:qFormat/>
    <w:uiPriority w:val="0"/>
    <w:pPr>
      <w:ind w:left="1470"/>
    </w:pPr>
  </w:style>
  <w:style w:type="paragraph" w:customStyle="1" w:styleId="152">
    <w:name w:val="目录 91"/>
    <w:basedOn w:val="151"/>
    <w:autoRedefine/>
    <w:semiHidden/>
    <w:qFormat/>
    <w:uiPriority w:val="0"/>
    <w:pPr>
      <w:ind w:left="1680"/>
    </w:pPr>
  </w:style>
  <w:style w:type="paragraph" w:customStyle="1" w:styleId="153">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4">
    <w:name w:val="其他发布部门"/>
    <w:basedOn w:val="122"/>
    <w:qFormat/>
    <w:uiPriority w:val="0"/>
    <w:pPr>
      <w:framePr w:wrap="around"/>
      <w:spacing w:line="0" w:lineRule="atLeast"/>
    </w:pPr>
    <w:rPr>
      <w:rFonts w:ascii="黑体" w:eastAsia="黑体"/>
      <w:b w:val="0"/>
    </w:rPr>
  </w:style>
  <w:style w:type="paragraph" w:customStyle="1" w:styleId="155">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6">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7">
    <w:name w:val="实施日期"/>
    <w:basedOn w:val="123"/>
    <w:qFormat/>
    <w:uiPriority w:val="0"/>
    <w:pPr>
      <w:framePr w:hSpace="0" w:wrap="around" w:xAlign="right"/>
      <w:jc w:val="right"/>
    </w:pPr>
  </w:style>
  <w:style w:type="paragraph" w:customStyle="1" w:styleId="158">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9">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0">
    <w:name w:val="无标题条"/>
    <w:next w:val="59"/>
    <w:qFormat/>
    <w:uiPriority w:val="0"/>
    <w:pPr>
      <w:jc w:val="both"/>
    </w:pPr>
    <w:rPr>
      <w:rFonts w:ascii="宋体" w:hAnsi="宋体" w:eastAsia="宋体" w:cs="Times New Roman"/>
      <w:sz w:val="21"/>
      <w:lang w:val="en-US" w:eastAsia="zh-CN" w:bidi="ar-SA"/>
    </w:rPr>
  </w:style>
  <w:style w:type="paragraph" w:customStyle="1" w:styleId="161">
    <w:name w:val="五级无标题条"/>
    <w:basedOn w:val="1"/>
    <w:qFormat/>
    <w:uiPriority w:val="0"/>
    <w:pPr>
      <w:numPr>
        <w:ilvl w:val="6"/>
        <w:numId w:val="20"/>
      </w:numPr>
      <w:adjustRightInd/>
    </w:pPr>
    <w:rPr>
      <w:szCs w:val="24"/>
    </w:rPr>
  </w:style>
  <w:style w:type="paragraph" w:customStyle="1" w:styleId="162">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3">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4">
    <w:name w:val="注×:后续"/>
    <w:basedOn w:val="163"/>
    <w:qFormat/>
    <w:uiPriority w:val="0"/>
    <w:pPr>
      <w:ind w:left="1406" w:leftChars="0" w:hanging="499" w:firstLineChars="0"/>
    </w:pPr>
  </w:style>
  <w:style w:type="paragraph" w:customStyle="1" w:styleId="165">
    <w:name w:val="标准文件_一级无标题"/>
    <w:basedOn w:val="108"/>
    <w:qFormat/>
    <w:uiPriority w:val="0"/>
    <w:pPr>
      <w:spacing w:before="0" w:beforeLines="0" w:after="0" w:afterLines="0"/>
      <w:outlineLvl w:val="9"/>
    </w:pPr>
    <w:rPr>
      <w:rFonts w:ascii="宋体" w:eastAsia="宋体"/>
    </w:rPr>
  </w:style>
  <w:style w:type="paragraph" w:customStyle="1" w:styleId="166">
    <w:name w:val="标准文件_五级无标题"/>
    <w:basedOn w:val="106"/>
    <w:qFormat/>
    <w:uiPriority w:val="0"/>
    <w:pPr>
      <w:spacing w:before="0" w:beforeLines="0" w:after="0" w:afterLines="0"/>
      <w:outlineLvl w:val="9"/>
    </w:pPr>
    <w:rPr>
      <w:rFonts w:ascii="宋体" w:eastAsia="宋体"/>
    </w:rPr>
  </w:style>
  <w:style w:type="paragraph" w:customStyle="1" w:styleId="167">
    <w:name w:val="标准文件_三级无标题"/>
    <w:basedOn w:val="97"/>
    <w:qFormat/>
    <w:uiPriority w:val="0"/>
    <w:pPr>
      <w:spacing w:before="0" w:beforeLines="0" w:after="0" w:afterLines="0"/>
      <w:outlineLvl w:val="9"/>
    </w:pPr>
    <w:rPr>
      <w:rFonts w:ascii="宋体" w:eastAsia="宋体"/>
    </w:rPr>
  </w:style>
  <w:style w:type="paragraph" w:customStyle="1" w:styleId="168">
    <w:name w:val="标准文件_二级无标题"/>
    <w:basedOn w:val="68"/>
    <w:qFormat/>
    <w:uiPriority w:val="0"/>
    <w:pPr>
      <w:spacing w:before="0" w:beforeLines="0" w:after="0" w:afterLines="0"/>
      <w:outlineLvl w:val="9"/>
    </w:pPr>
    <w:rPr>
      <w:rFonts w:ascii="宋体" w:eastAsia="宋体"/>
    </w:rPr>
  </w:style>
  <w:style w:type="paragraph" w:customStyle="1" w:styleId="169">
    <w:name w:val="标准_四级无标题"/>
    <w:basedOn w:val="101"/>
    <w:next w:val="59"/>
    <w:qFormat/>
    <w:uiPriority w:val="0"/>
    <w:rPr>
      <w:rFonts w:eastAsia="宋体"/>
    </w:rPr>
  </w:style>
  <w:style w:type="paragraph" w:customStyle="1" w:styleId="170">
    <w:name w:val="标准文件_四级无标题"/>
    <w:basedOn w:val="101"/>
    <w:qFormat/>
    <w:uiPriority w:val="0"/>
    <w:pPr>
      <w:spacing w:before="0" w:beforeLines="0" w:after="0" w:afterLines="0"/>
      <w:outlineLvl w:val="9"/>
    </w:pPr>
    <w:rPr>
      <w:rFonts w:ascii="宋体" w:hAnsi="黑体" w:eastAsia="宋体"/>
      <w:szCs w:val="52"/>
    </w:rPr>
  </w:style>
  <w:style w:type="paragraph" w:customStyle="1" w:styleId="171">
    <w:name w:val="标准文件_大写罗马数字编号列项"/>
    <w:basedOn w:val="59"/>
    <w:qFormat/>
    <w:uiPriority w:val="0"/>
    <w:pPr>
      <w:numPr>
        <w:ilvl w:val="0"/>
        <w:numId w:val="23"/>
      </w:numPr>
      <w:ind w:firstLine="0" w:firstLineChars="0"/>
    </w:pPr>
    <w:rPr>
      <w:rFonts w:cs="Arial"/>
      <w:szCs w:val="28"/>
    </w:rPr>
  </w:style>
  <w:style w:type="paragraph" w:customStyle="1" w:styleId="172">
    <w:name w:val="标准文件_小写罗马数字编号列项"/>
    <w:basedOn w:val="59"/>
    <w:qFormat/>
    <w:uiPriority w:val="0"/>
    <w:pPr>
      <w:numPr>
        <w:ilvl w:val="0"/>
        <w:numId w:val="24"/>
      </w:numPr>
      <w:ind w:firstLine="0" w:firstLineChars="0"/>
    </w:pPr>
    <w:rPr>
      <w:rFonts w:cs="Arial"/>
      <w:szCs w:val="28"/>
    </w:rPr>
  </w:style>
  <w:style w:type="paragraph" w:customStyle="1" w:styleId="173">
    <w:name w:val="标准文件_附录标题"/>
    <w:basedOn w:val="79"/>
    <w:qFormat/>
    <w:uiPriority w:val="0"/>
    <w:pPr>
      <w:numPr>
        <w:numId w:val="0"/>
      </w:numPr>
      <w:spacing w:after="280"/>
      <w:outlineLvl w:val="9"/>
    </w:pPr>
  </w:style>
  <w:style w:type="paragraph" w:customStyle="1" w:styleId="174">
    <w:name w:val="标准文件_二级项"/>
    <w:qFormat/>
    <w:uiPriority w:val="0"/>
    <w:rPr>
      <w:rFonts w:ascii="宋体" w:hAnsi="Times New Roman" w:eastAsia="宋体" w:cs="Times New Roman"/>
      <w:sz w:val="21"/>
      <w:lang w:val="en-US" w:eastAsia="zh-CN" w:bidi="ar-SA"/>
    </w:rPr>
  </w:style>
  <w:style w:type="paragraph" w:customStyle="1" w:styleId="175">
    <w:name w:val="标准文件_三级项"/>
    <w:basedOn w:val="1"/>
    <w:qFormat/>
    <w:uiPriority w:val="0"/>
    <w:pPr>
      <w:numPr>
        <w:ilvl w:val="2"/>
        <w:numId w:val="21"/>
      </w:numPr>
      <w:spacing w:line="536870612" w:lineRule="auto"/>
    </w:pPr>
    <w:rPr>
      <w:rFonts w:ascii="Times New Roman" w:hAnsi="Times New Roman"/>
    </w:rPr>
  </w:style>
  <w:style w:type="paragraph" w:customStyle="1" w:styleId="176">
    <w:name w:val="图表脚注说明"/>
    <w:basedOn w:val="1"/>
    <w:next w:val="59"/>
    <w:qFormat/>
    <w:uiPriority w:val="0"/>
    <w:pPr>
      <w:numPr>
        <w:ilvl w:val="0"/>
        <w:numId w:val="25"/>
      </w:numPr>
      <w:adjustRightInd/>
      <w:spacing w:line="240" w:lineRule="auto"/>
    </w:pPr>
    <w:rPr>
      <w:rFonts w:ascii="宋体" w:hAnsi="Times New Roman"/>
      <w:sz w:val="18"/>
      <w:szCs w:val="18"/>
    </w:rPr>
  </w:style>
  <w:style w:type="paragraph" w:customStyle="1" w:styleId="177">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8">
    <w:name w:val="标准文件_索引字母"/>
    <w:next w:val="59"/>
    <w:qFormat/>
    <w:uiPriority w:val="0"/>
    <w:pPr>
      <w:jc w:val="center"/>
    </w:pPr>
    <w:rPr>
      <w:rFonts w:ascii="宋体" w:hAnsi="宋体" w:eastAsia="Times New Roman" w:cs="Times New Roman"/>
      <w:b/>
      <w:kern w:val="2"/>
      <w:sz w:val="21"/>
      <w:lang w:val="en-US" w:eastAsia="zh-CN" w:bidi="ar-SA"/>
    </w:rPr>
  </w:style>
  <w:style w:type="paragraph" w:customStyle="1" w:styleId="179">
    <w:name w:val="标准文件_附录前"/>
    <w:next w:val="59"/>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0">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1">
    <w:name w:val="标准文件_表格"/>
    <w:basedOn w:val="59"/>
    <w:qFormat/>
    <w:uiPriority w:val="0"/>
    <w:pPr>
      <w:ind w:firstLine="0" w:firstLineChars="0"/>
      <w:jc w:val="center"/>
    </w:pPr>
    <w:rPr>
      <w:sz w:val="18"/>
    </w:rPr>
  </w:style>
  <w:style w:type="paragraph" w:customStyle="1" w:styleId="182">
    <w:name w:val="标准文件_注："/>
    <w:next w:val="59"/>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3">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4">
    <w:name w:val="标准文件_示例："/>
    <w:next w:val="185"/>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5">
    <w:name w:val="标准文件_示例内容"/>
    <w:basedOn w:val="59"/>
    <w:qFormat/>
    <w:uiPriority w:val="0"/>
    <w:pPr>
      <w:ind w:firstLine="420"/>
    </w:pPr>
    <w:rPr>
      <w:sz w:val="18"/>
    </w:rPr>
  </w:style>
  <w:style w:type="paragraph" w:customStyle="1" w:styleId="186">
    <w:name w:val="标准文件_示例×："/>
    <w:basedOn w:val="1"/>
    <w:next w:val="185"/>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7">
    <w:name w:val="标准文件_段 Char"/>
    <w:link w:val="59"/>
    <w:qFormat/>
    <w:uiPriority w:val="0"/>
    <w:rPr>
      <w:rFonts w:ascii="Times New Roman" w:hAnsi="Times New Roman"/>
      <w:sz w:val="21"/>
    </w:rPr>
  </w:style>
  <w:style w:type="paragraph" w:customStyle="1" w:styleId="188">
    <w:name w:val="标准文件_表格续"/>
    <w:basedOn w:val="59"/>
    <w:next w:val="59"/>
    <w:qFormat/>
    <w:uiPriority w:val="0"/>
    <w:pPr>
      <w:jc w:val="center"/>
    </w:pPr>
    <w:rPr>
      <w:rFonts w:ascii="黑体" w:hAnsi="黑体" w:eastAsia="黑体"/>
    </w:rPr>
  </w:style>
  <w:style w:type="character" w:styleId="189">
    <w:name w:val="Placeholder Text"/>
    <w:basedOn w:val="30"/>
    <w:semiHidden/>
    <w:qFormat/>
    <w:uiPriority w:val="99"/>
    <w:rPr>
      <w:color w:val="808080"/>
    </w:rPr>
  </w:style>
  <w:style w:type="paragraph" w:customStyle="1" w:styleId="190">
    <w:name w:val="标准文件_二级项2"/>
    <w:basedOn w:val="59"/>
    <w:qFormat/>
    <w:uiPriority w:val="0"/>
    <w:pPr>
      <w:numPr>
        <w:ilvl w:val="1"/>
        <w:numId w:val="21"/>
      </w:numPr>
      <w:ind w:firstLine="0" w:firstLineChars="0"/>
    </w:pPr>
  </w:style>
  <w:style w:type="paragraph" w:customStyle="1" w:styleId="191">
    <w:name w:val="标准文件_三级项2"/>
    <w:basedOn w:val="59"/>
    <w:qFormat/>
    <w:uiPriority w:val="0"/>
    <w:pPr>
      <w:numPr>
        <w:ilvl w:val="0"/>
        <w:numId w:val="30"/>
      </w:numPr>
      <w:spacing w:line="300" w:lineRule="exact"/>
      <w:ind w:firstLineChars="0"/>
    </w:pPr>
  </w:style>
  <w:style w:type="paragraph" w:customStyle="1" w:styleId="192">
    <w:name w:val="标准文件_一级项2"/>
    <w:basedOn w:val="59"/>
    <w:qFormat/>
    <w:uiPriority w:val="0"/>
    <w:pPr>
      <w:numPr>
        <w:ilvl w:val="0"/>
        <w:numId w:val="31"/>
      </w:numPr>
      <w:spacing w:line="300" w:lineRule="exact"/>
      <w:ind w:firstLineChars="0"/>
    </w:pPr>
  </w:style>
  <w:style w:type="paragraph" w:customStyle="1" w:styleId="193">
    <w:name w:val="标准文件_提示"/>
    <w:basedOn w:val="59"/>
    <w:next w:val="59"/>
    <w:qFormat/>
    <w:uiPriority w:val="0"/>
    <w:pPr>
      <w:ind w:firstLine="420"/>
    </w:pPr>
    <w:rPr>
      <w:rFonts w:ascii="黑体" w:eastAsia="黑体"/>
    </w:rPr>
  </w:style>
  <w:style w:type="character" w:customStyle="1" w:styleId="194">
    <w:name w:val="标准文件_来源"/>
    <w:basedOn w:val="30"/>
    <w:qFormat/>
    <w:uiPriority w:val="1"/>
    <w:rPr>
      <w:rFonts w:eastAsia="宋体"/>
      <w:sz w:val="21"/>
    </w:rPr>
  </w:style>
  <w:style w:type="paragraph" w:customStyle="1" w:styleId="195">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6">
    <w:name w:val="其他发布日期"/>
    <w:basedOn w:val="123"/>
    <w:uiPriority w:val="0"/>
    <w:pPr>
      <w:framePr w:w="3997" w:h="471" w:hRule="exact" w:hSpace="0" w:vSpace="181" w:wrap="around" w:vAnchor="page" w:hAnchor="page" w:x="1419" w:y="14097"/>
    </w:pPr>
  </w:style>
  <w:style w:type="paragraph" w:customStyle="1" w:styleId="197">
    <w:name w:val="其他实施日期"/>
    <w:basedOn w:val="157"/>
    <w:qFormat/>
    <w:uiPriority w:val="0"/>
    <w:pPr>
      <w:framePr w:w="3997" w:h="471" w:hRule="exact" w:vSpace="181" w:wrap="around" w:vAnchor="page" w:hAnchor="page" w:x="7089" w:y="14097"/>
    </w:pPr>
  </w:style>
  <w:style w:type="paragraph" w:customStyle="1" w:styleId="198">
    <w:name w:val="标准文件_文件编号"/>
    <w:basedOn w:val="59"/>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9">
    <w:name w:val="标准文件_替换文件编号"/>
    <w:basedOn w:val="198"/>
    <w:qFormat/>
    <w:uiPriority w:val="0"/>
    <w:pPr>
      <w:spacing w:before="57"/>
    </w:pPr>
    <w:rPr>
      <w:sz w:val="21"/>
    </w:rPr>
  </w:style>
  <w:style w:type="paragraph" w:customStyle="1" w:styleId="200">
    <w:name w:val="标准文件_文件名称"/>
    <w:basedOn w:val="59"/>
    <w:next w:val="59"/>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1">
    <w:name w:val="标准文件_附录图标号"/>
    <w:basedOn w:val="59"/>
    <w:next w:val="59"/>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2">
    <w:name w:val="标准文件_附录表标号"/>
    <w:basedOn w:val="59"/>
    <w:next w:val="59"/>
    <w:qFormat/>
    <w:uiPriority w:val="0"/>
    <w:pPr>
      <w:numPr>
        <w:ilvl w:val="0"/>
        <w:numId w:val="5"/>
      </w:numPr>
      <w:spacing w:line="14" w:lineRule="exact"/>
      <w:ind w:firstLine="0" w:firstLineChars="0"/>
      <w:jc w:val="center"/>
    </w:pPr>
    <w:rPr>
      <w:rFonts w:eastAsia="黑体"/>
      <w:vanish/>
      <w:sz w:val="2"/>
    </w:rPr>
  </w:style>
  <w:style w:type="paragraph" w:customStyle="1" w:styleId="203">
    <w:name w:val="标准文件_引言一级条标题"/>
    <w:basedOn w:val="59"/>
    <w:next w:val="59"/>
    <w:qFormat/>
    <w:uiPriority w:val="0"/>
    <w:pPr>
      <w:numPr>
        <w:ilvl w:val="1"/>
        <w:numId w:val="8"/>
      </w:numPr>
      <w:spacing w:before="50" w:beforeLines="50" w:after="50" w:afterLines="50"/>
      <w:ind w:firstLineChars="0"/>
    </w:pPr>
    <w:rPr>
      <w:rFonts w:ascii="黑体" w:eastAsia="黑体"/>
    </w:rPr>
  </w:style>
  <w:style w:type="paragraph" w:customStyle="1" w:styleId="204">
    <w:name w:val="标准文件_引言二级条标题"/>
    <w:basedOn w:val="59"/>
    <w:next w:val="59"/>
    <w:qFormat/>
    <w:uiPriority w:val="0"/>
    <w:pPr>
      <w:numPr>
        <w:ilvl w:val="2"/>
        <w:numId w:val="8"/>
      </w:numPr>
      <w:spacing w:before="50" w:beforeLines="50" w:after="50" w:afterLines="50"/>
      <w:ind w:firstLineChars="0"/>
    </w:pPr>
    <w:rPr>
      <w:rFonts w:ascii="黑体" w:eastAsia="黑体"/>
    </w:rPr>
  </w:style>
  <w:style w:type="paragraph" w:customStyle="1" w:styleId="205">
    <w:name w:val="标准文件_引言三级条标题"/>
    <w:basedOn w:val="59"/>
    <w:next w:val="59"/>
    <w:qFormat/>
    <w:uiPriority w:val="0"/>
    <w:pPr>
      <w:numPr>
        <w:ilvl w:val="3"/>
        <w:numId w:val="8"/>
      </w:numPr>
      <w:spacing w:before="50" w:beforeLines="50" w:after="50" w:afterLines="50"/>
      <w:ind w:firstLineChars="0"/>
    </w:pPr>
    <w:rPr>
      <w:rFonts w:ascii="黑体" w:eastAsia="黑体"/>
    </w:rPr>
  </w:style>
  <w:style w:type="paragraph" w:customStyle="1" w:styleId="206">
    <w:name w:val="标准文件_引言四级条标题"/>
    <w:basedOn w:val="59"/>
    <w:next w:val="59"/>
    <w:qFormat/>
    <w:uiPriority w:val="0"/>
    <w:pPr>
      <w:numPr>
        <w:ilvl w:val="4"/>
        <w:numId w:val="8"/>
      </w:numPr>
      <w:spacing w:before="50" w:beforeLines="50" w:after="50" w:afterLines="50"/>
      <w:ind w:firstLineChars="0"/>
    </w:pPr>
    <w:rPr>
      <w:rFonts w:ascii="黑体" w:eastAsia="黑体"/>
    </w:rPr>
  </w:style>
  <w:style w:type="paragraph" w:customStyle="1" w:styleId="207">
    <w:name w:val="标准文件_引言五级条标题"/>
    <w:basedOn w:val="59"/>
    <w:next w:val="59"/>
    <w:qFormat/>
    <w:uiPriority w:val="0"/>
    <w:pPr>
      <w:numPr>
        <w:ilvl w:val="5"/>
        <w:numId w:val="8"/>
      </w:numPr>
      <w:spacing w:before="50" w:beforeLines="50" w:after="50" w:afterLines="50"/>
      <w:ind w:firstLineChars="0"/>
    </w:pPr>
    <w:rPr>
      <w:rFonts w:ascii="黑体" w:eastAsia="黑体"/>
    </w:rPr>
  </w:style>
  <w:style w:type="paragraph" w:customStyle="1" w:styleId="208">
    <w:name w:val="标准文件_注后"/>
    <w:basedOn w:val="59"/>
    <w:qFormat/>
    <w:uiPriority w:val="0"/>
    <w:pPr>
      <w:ind w:left="811" w:firstLine="0" w:firstLineChars="0"/>
    </w:pPr>
    <w:rPr>
      <w:sz w:val="18"/>
    </w:rPr>
  </w:style>
  <w:style w:type="paragraph" w:customStyle="1" w:styleId="209">
    <w:name w:val="标准文件_注X后"/>
    <w:basedOn w:val="59"/>
    <w:qFormat/>
    <w:uiPriority w:val="0"/>
    <w:pPr>
      <w:ind w:left="811" w:firstLine="0" w:firstLineChars="0"/>
    </w:pPr>
    <w:rPr>
      <w:sz w:val="18"/>
    </w:rPr>
  </w:style>
  <w:style w:type="paragraph" w:customStyle="1" w:styleId="210">
    <w:name w:val="标准文件_示例后"/>
    <w:basedOn w:val="59"/>
    <w:qFormat/>
    <w:uiPriority w:val="0"/>
    <w:pPr>
      <w:ind w:left="964" w:firstLine="0" w:firstLineChars="0"/>
    </w:pPr>
    <w:rPr>
      <w:sz w:val="18"/>
    </w:rPr>
  </w:style>
  <w:style w:type="paragraph" w:customStyle="1" w:styleId="211">
    <w:name w:val="标准文件_示例X后"/>
    <w:basedOn w:val="59"/>
    <w:link w:val="212"/>
    <w:qFormat/>
    <w:uiPriority w:val="0"/>
    <w:pPr>
      <w:ind w:left="1049" w:firstLine="0" w:firstLineChars="0"/>
    </w:pPr>
    <w:rPr>
      <w:sz w:val="18"/>
    </w:rPr>
  </w:style>
  <w:style w:type="character" w:customStyle="1" w:styleId="212">
    <w:name w:val="标准文件_示例X后 字符"/>
    <w:basedOn w:val="187"/>
    <w:link w:val="211"/>
    <w:qFormat/>
    <w:uiPriority w:val="0"/>
    <w:rPr>
      <w:rFonts w:ascii="宋体" w:hAnsi="Times New Roman"/>
      <w:sz w:val="18"/>
    </w:rPr>
  </w:style>
  <w:style w:type="paragraph" w:customStyle="1" w:styleId="213">
    <w:name w:val="标准文件_索引项"/>
    <w:basedOn w:val="59"/>
    <w:next w:val="59"/>
    <w:qFormat/>
    <w:uiPriority w:val="0"/>
    <w:pPr>
      <w:tabs>
        <w:tab w:val="right" w:leader="dot" w:pos="9356"/>
      </w:tabs>
      <w:ind w:left="210" w:hanging="210" w:firstLineChars="0"/>
      <w:jc w:val="left"/>
    </w:pPr>
  </w:style>
  <w:style w:type="paragraph" w:customStyle="1" w:styleId="214">
    <w:name w:val="标准文件_附录一级无标题"/>
    <w:basedOn w:val="81"/>
    <w:qFormat/>
    <w:uiPriority w:val="0"/>
    <w:pPr>
      <w:spacing w:before="0" w:beforeLines="0" w:after="0" w:afterLines="0" w:line="276" w:lineRule="auto"/>
      <w:outlineLvl w:val="9"/>
    </w:pPr>
    <w:rPr>
      <w:rFonts w:ascii="宋体" w:eastAsia="宋体"/>
    </w:rPr>
  </w:style>
  <w:style w:type="paragraph" w:customStyle="1" w:styleId="215">
    <w:name w:val="标准文件_附录二级无标题"/>
    <w:basedOn w:val="82"/>
    <w:qFormat/>
    <w:uiPriority w:val="0"/>
    <w:pPr>
      <w:spacing w:before="0" w:beforeLines="0" w:after="0" w:afterLines="0" w:line="276" w:lineRule="auto"/>
      <w:outlineLvl w:val="9"/>
    </w:pPr>
    <w:rPr>
      <w:rFonts w:ascii="宋体" w:eastAsia="宋体"/>
    </w:rPr>
  </w:style>
  <w:style w:type="paragraph" w:customStyle="1" w:styleId="216">
    <w:name w:val="标准文件_附录三级无标题"/>
    <w:basedOn w:val="84"/>
    <w:qFormat/>
    <w:uiPriority w:val="0"/>
    <w:pPr>
      <w:spacing w:before="0" w:beforeLines="0" w:after="0" w:afterLines="0" w:line="276" w:lineRule="auto"/>
      <w:outlineLvl w:val="9"/>
    </w:pPr>
    <w:rPr>
      <w:rFonts w:ascii="宋体" w:eastAsia="宋体"/>
    </w:rPr>
  </w:style>
  <w:style w:type="paragraph" w:customStyle="1" w:styleId="217">
    <w:name w:val="标准文件_附录四级无标题"/>
    <w:basedOn w:val="85"/>
    <w:qFormat/>
    <w:uiPriority w:val="0"/>
    <w:pPr>
      <w:spacing w:before="0" w:beforeLines="0" w:after="0" w:afterLines="0" w:line="276" w:lineRule="auto"/>
      <w:outlineLvl w:val="9"/>
    </w:pPr>
    <w:rPr>
      <w:rFonts w:ascii="宋体" w:eastAsia="宋体"/>
    </w:rPr>
  </w:style>
  <w:style w:type="paragraph" w:customStyle="1" w:styleId="218">
    <w:name w:val="标准文件_附录五级无标题"/>
    <w:basedOn w:val="87"/>
    <w:qFormat/>
    <w:uiPriority w:val="0"/>
    <w:pPr>
      <w:spacing w:before="0" w:beforeLines="0" w:after="0" w:afterLines="0" w:line="276" w:lineRule="auto"/>
      <w:outlineLvl w:val="9"/>
    </w:pPr>
    <w:rPr>
      <w:rFonts w:ascii="宋体" w:eastAsia="宋体"/>
    </w:rPr>
  </w:style>
  <w:style w:type="paragraph" w:customStyle="1" w:styleId="219">
    <w:name w:val="标准文件_引言一级无标题"/>
    <w:basedOn w:val="203"/>
    <w:next w:val="59"/>
    <w:qFormat/>
    <w:uiPriority w:val="0"/>
    <w:pPr>
      <w:spacing w:before="0" w:beforeLines="0" w:after="0" w:afterLines="0" w:line="276" w:lineRule="auto"/>
    </w:pPr>
    <w:rPr>
      <w:rFonts w:ascii="宋体" w:eastAsia="宋体"/>
    </w:rPr>
  </w:style>
  <w:style w:type="paragraph" w:customStyle="1" w:styleId="220">
    <w:name w:val="标准文件_引言二级无标题"/>
    <w:basedOn w:val="204"/>
    <w:next w:val="59"/>
    <w:qFormat/>
    <w:uiPriority w:val="0"/>
    <w:pPr>
      <w:spacing w:before="0" w:beforeLines="0" w:after="0" w:afterLines="0" w:line="276" w:lineRule="auto"/>
    </w:pPr>
    <w:rPr>
      <w:rFonts w:ascii="宋体" w:eastAsia="宋体"/>
    </w:rPr>
  </w:style>
  <w:style w:type="paragraph" w:customStyle="1" w:styleId="221">
    <w:name w:val="标准文件_引言三级无标题"/>
    <w:basedOn w:val="205"/>
    <w:qFormat/>
    <w:uiPriority w:val="0"/>
    <w:pPr>
      <w:spacing w:before="0" w:beforeLines="0" w:after="0" w:afterLines="0" w:line="276" w:lineRule="auto"/>
    </w:pPr>
    <w:rPr>
      <w:rFonts w:ascii="宋体" w:eastAsia="宋体"/>
    </w:rPr>
  </w:style>
  <w:style w:type="paragraph" w:customStyle="1" w:styleId="222">
    <w:name w:val="标准文件_引言四级无标题"/>
    <w:basedOn w:val="206"/>
    <w:next w:val="59"/>
    <w:qFormat/>
    <w:uiPriority w:val="0"/>
    <w:pPr>
      <w:spacing w:before="0" w:beforeLines="0" w:after="0" w:afterLines="0" w:line="276" w:lineRule="auto"/>
    </w:pPr>
    <w:rPr>
      <w:rFonts w:ascii="宋体" w:eastAsia="宋体"/>
    </w:rPr>
  </w:style>
  <w:style w:type="paragraph" w:customStyle="1" w:styleId="223">
    <w:name w:val="标准文件_引言五级无标题"/>
    <w:basedOn w:val="207"/>
    <w:next w:val="59"/>
    <w:qFormat/>
    <w:uiPriority w:val="0"/>
    <w:pPr>
      <w:spacing w:before="0" w:beforeLines="0" w:after="0" w:afterLines="0" w:line="276" w:lineRule="auto"/>
    </w:pPr>
    <w:rPr>
      <w:rFonts w:ascii="宋体" w:eastAsia="宋体"/>
    </w:rPr>
  </w:style>
  <w:style w:type="paragraph" w:customStyle="1" w:styleId="224">
    <w:name w:val="标准文件_索引标题"/>
    <w:basedOn w:val="66"/>
    <w:next w:val="59"/>
    <w:qFormat/>
    <w:uiPriority w:val="0"/>
    <w:rPr>
      <w:rFonts w:hAnsi="黑体"/>
    </w:rPr>
  </w:style>
  <w:style w:type="paragraph" w:customStyle="1" w:styleId="225">
    <w:name w:val="标准文件_脚注内容"/>
    <w:basedOn w:val="59"/>
    <w:qFormat/>
    <w:uiPriority w:val="0"/>
    <w:pPr>
      <w:ind w:left="400" w:leftChars="200" w:hanging="200" w:hangingChars="200"/>
    </w:pPr>
    <w:rPr>
      <w:sz w:val="15"/>
    </w:rPr>
  </w:style>
  <w:style w:type="paragraph" w:customStyle="1" w:styleId="226">
    <w:name w:val="标准文件_术语条一"/>
    <w:basedOn w:val="165"/>
    <w:next w:val="59"/>
    <w:qFormat/>
    <w:uiPriority w:val="0"/>
  </w:style>
  <w:style w:type="paragraph" w:customStyle="1" w:styleId="227">
    <w:name w:val="标准文件_术语条二"/>
    <w:basedOn w:val="168"/>
    <w:next w:val="59"/>
    <w:qFormat/>
    <w:uiPriority w:val="0"/>
  </w:style>
  <w:style w:type="paragraph" w:customStyle="1" w:styleId="228">
    <w:name w:val="标准文件_术语条三"/>
    <w:basedOn w:val="167"/>
    <w:next w:val="59"/>
    <w:qFormat/>
    <w:uiPriority w:val="0"/>
  </w:style>
  <w:style w:type="paragraph" w:customStyle="1" w:styleId="229">
    <w:name w:val="标准文件_术语条四"/>
    <w:basedOn w:val="170"/>
    <w:next w:val="59"/>
    <w:qFormat/>
    <w:uiPriority w:val="0"/>
  </w:style>
  <w:style w:type="paragraph" w:customStyle="1" w:styleId="230">
    <w:name w:val="标准文件_术语条五"/>
    <w:basedOn w:val="166"/>
    <w:next w:val="59"/>
    <w:qFormat/>
    <w:uiPriority w:val="0"/>
  </w:style>
  <w:style w:type="paragraph" w:customStyle="1" w:styleId="231">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2">
    <w:name w:val="发布"/>
    <w:basedOn w:val="30"/>
    <w:qFormat/>
    <w:uiPriority w:val="0"/>
    <w:rPr>
      <w:rFonts w:ascii="黑体" w:eastAsia="黑体"/>
      <w:spacing w:val="85"/>
      <w:w w:val="100"/>
      <w:position w:val="3"/>
      <w:sz w:val="28"/>
      <w:szCs w:val="28"/>
    </w:rPr>
  </w:style>
  <w:style w:type="paragraph" w:customStyle="1" w:styleId="233">
    <w:name w:val="Revision"/>
    <w:hidden/>
    <w:unhideWhenUsed/>
    <w:qFormat/>
    <w:uiPriority w:val="99"/>
    <w:rPr>
      <w:rFonts w:ascii="Calibri" w:hAnsi="Calibri" w:eastAsia="宋体" w:cs="Times New Roman"/>
      <w:kern w:val="2"/>
      <w:sz w:val="21"/>
      <w:szCs w:val="21"/>
      <w:lang w:val="en-US" w:eastAsia="zh-CN" w:bidi="ar-SA"/>
    </w:rPr>
  </w:style>
  <w:style w:type="paragraph" w:customStyle="1" w:styleId="234">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character" w:customStyle="1" w:styleId="235">
    <w:name w:val="批注文字 字符"/>
    <w:basedOn w:val="30"/>
    <w:link w:val="13"/>
    <w:semiHidden/>
    <w:qFormat/>
    <w:uiPriority w:val="99"/>
    <w:rPr>
      <w:rFonts w:ascii="Calibri" w:hAnsi="Calibri"/>
      <w:kern w:val="2"/>
      <w:sz w:val="21"/>
      <w:szCs w:val="21"/>
    </w:rPr>
  </w:style>
  <w:style w:type="character" w:customStyle="1" w:styleId="236">
    <w:name w:val="批注主题 字符"/>
    <w:basedOn w:val="235"/>
    <w:link w:val="27"/>
    <w:semiHidden/>
    <w:qFormat/>
    <w:uiPriority w:val="99"/>
    <w:rPr>
      <w:rFonts w:ascii="Calibri" w:hAnsi="Calibri"/>
      <w:b/>
      <w:bCs/>
      <w:kern w:val="2"/>
      <w:sz w:val="21"/>
      <w:szCs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26631;&#20934;&#21270;&#25991;&#20214;&#32534;&#20889;&#24037;&#20855;&#36719;&#20214;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E9AF30D85724B67ABA31A157D7D913E"/>
        <w:style w:val=""/>
        <w:category>
          <w:name w:val="常规"/>
          <w:gallery w:val="placeholder"/>
        </w:category>
        <w:types>
          <w:type w:val="bbPlcHdr"/>
        </w:types>
        <w:behaviors>
          <w:behavior w:val="content"/>
        </w:behaviors>
        <w:description w:val=""/>
        <w:guid w:val="{81786D78-DD8A-4075-8C80-15B8C0F18AD4}"/>
      </w:docPartPr>
      <w:docPartBody>
        <w:p w14:paraId="7D56B9CD">
          <w:pPr>
            <w:pStyle w:val="5"/>
            <w:rPr>
              <w:rFonts w:hint="eastAsia"/>
            </w:rPr>
          </w:pPr>
          <w:r>
            <w:rPr>
              <w:rStyle w:val="4"/>
              <w:rFonts w:hint="eastAsia"/>
            </w:rPr>
            <w:t>单击或点击此处输入文字。</w:t>
          </w:r>
        </w:p>
      </w:docPartBody>
    </w:docPart>
    <w:docPart>
      <w:docPartPr>
        <w:name w:val="747EFB41D5234300BB2D361EED9DD8F4"/>
        <w:style w:val=""/>
        <w:category>
          <w:name w:val="常规"/>
          <w:gallery w:val="placeholder"/>
        </w:category>
        <w:types>
          <w:type w:val="bbPlcHdr"/>
        </w:types>
        <w:behaviors>
          <w:behavior w:val="content"/>
        </w:behaviors>
        <w:description w:val=""/>
        <w:guid w:val="{817DCB69-7564-4056-8460-1B4C9089A42C}"/>
      </w:docPartPr>
      <w:docPartBody>
        <w:p w14:paraId="506C9987">
          <w:pPr>
            <w:pStyle w:val="6"/>
            <w:rPr>
              <w:rFonts w:hint="eastAsia"/>
            </w:rPr>
          </w:pPr>
          <w:r>
            <w:rPr>
              <w:rStyle w:val="4"/>
              <w:rFonts w:hint="eastAsia"/>
            </w:rPr>
            <w:t>选择一项。</w:t>
          </w:r>
        </w:p>
      </w:docPartBody>
    </w:docPart>
    <w:docPart>
      <w:docPartPr>
        <w:name w:val="881F0D94F8074C4A8326B877373621BE"/>
        <w:style w:val=""/>
        <w:category>
          <w:name w:val="常规"/>
          <w:gallery w:val="placeholder"/>
        </w:category>
        <w:types>
          <w:type w:val="bbPlcHdr"/>
        </w:types>
        <w:behaviors>
          <w:behavior w:val="content"/>
        </w:behaviors>
        <w:description w:val=""/>
        <w:guid w:val="{7324B38F-E267-4EF9-B21A-D2989190A5EF}"/>
      </w:docPartPr>
      <w:docPartBody>
        <w:p w14:paraId="351EDAA7">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D05"/>
    <w:rsid w:val="00070959"/>
    <w:rsid w:val="0007338B"/>
    <w:rsid w:val="00104D05"/>
    <w:rsid w:val="002A41C6"/>
    <w:rsid w:val="003B774A"/>
    <w:rsid w:val="00690EDE"/>
    <w:rsid w:val="006E7539"/>
    <w:rsid w:val="008C670C"/>
    <w:rsid w:val="00983E83"/>
    <w:rsid w:val="009D6A62"/>
    <w:rsid w:val="009E60C7"/>
    <w:rsid w:val="009F5001"/>
    <w:rsid w:val="00A60FA9"/>
    <w:rsid w:val="00A804C9"/>
    <w:rsid w:val="00BC5247"/>
    <w:rsid w:val="00C422AA"/>
    <w:rsid w:val="00D61D92"/>
    <w:rsid w:val="00DE30D7"/>
    <w:rsid w:val="00E36359"/>
    <w:rsid w:val="00E50168"/>
    <w:rsid w:val="00E513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3E9AF30D85724B67ABA31A157D7D913E"/>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47EFB41D5234300BB2D361EED9DD8F4"/>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881F0D94F8074C4A8326B877373621BE"/>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16</Pages>
  <Words>9445</Words>
  <Characters>9799</Characters>
  <Lines>89</Lines>
  <Paragraphs>25</Paragraphs>
  <TotalTime>0</TotalTime>
  <ScaleCrop>false</ScaleCrop>
  <LinksUpToDate>false</LinksUpToDate>
  <CharactersWithSpaces>9906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2026-04-16T03:52:00Z</dcterms:created>
  <dc:creator>王文龙</dc:creator>
  <cp:lastModifiedBy>J</cp:lastModifiedBy>
  <cp:lastPrinted>2021-02-02T08:22:00Z</cp:lastPrinted>
  <dcterms:modified xsi:type="dcterms:W3CDTF">2026-05-11T07:09:31Z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eyJoZGlkIjoiMTFmMDJjZGU0YzYzNjgxMjg1NzBlNDNlZWZkY2IyNjMiLCJ1c2VySWQiOiIxMzc2MzQzNjk3In0=</vt:lpwstr>
  </property>
  <property fmtid="{D5CDD505-2E9C-101B-9397-08002B2CF9AE}" pid="15" name="KSOProductBuildVer">
    <vt:lpwstr>2052-12.1.0.25865</vt:lpwstr>
  </property>
  <property fmtid="{D5CDD505-2E9C-101B-9397-08002B2CF9AE}" pid="16" name="ICV">
    <vt:lpwstr>6BAEADE10F4D4B949A66DB714EB5596C_12</vt:lpwstr>
  </property>
</Properties>
</file>