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F9029D">
      <w:pPr>
        <w:pStyle w:val="54"/>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tbl>
      <w:tblPr>
        <w:tblStyle w:val="29"/>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672A93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16D792E2">
            <w:pPr>
              <w:pStyle w:val="234"/>
              <w:framePr w:wrap="around" w:x="1382" w:y="3031"/>
              <w:rPr>
                <w:lang w:val="fr-FR"/>
              </w:rPr>
            </w:pPr>
            <w:bookmarkStart w:id="0"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1" w:name="StdNo1"/>
            <w:r>
              <w:rPr>
                <w:rFonts w:hint="eastAsia" w:ascii="Times New Roman"/>
                <w:b/>
                <w:bCs/>
                <w:lang w:val="fr-FR"/>
              </w:rPr>
              <w:t>RHA</w:t>
            </w:r>
            <w:bookmarkEnd w:id="1"/>
            <w:r>
              <w:rPr>
                <w:rFonts w:hint="eastAsia" w:ascii="Times New Roman"/>
                <w:lang w:val="fr-FR"/>
              </w:rPr>
              <w:t xml:space="preserve"> </w:t>
            </w:r>
            <w:r>
              <w:rPr>
                <w:rFonts w:hint="eastAsia"/>
                <w:lang w:val="fr-FR"/>
              </w:rPr>
              <w:t>XXX-202X</w:t>
            </w:r>
          </w:p>
        </w:tc>
      </w:tr>
    </w:tbl>
    <w:p w14:paraId="67631CA9">
      <w:pPr>
        <w:pStyle w:val="234"/>
        <w:framePr w:wrap="around" w:x="1382" w:y="3031"/>
        <w:jc w:val="center"/>
        <w:rPr>
          <w:lang w:val="fr-FR"/>
        </w:rPr>
      </w:pPr>
      <w:r>
        <w:rPr>
          <w:rFonts w:hint="eastAsia"/>
          <w:lang w:val="fr-FR"/>
        </w:rPr>
        <w:t>————————————————————————————————————————</w:t>
      </w:r>
    </w:p>
    <w:p w14:paraId="604F781A">
      <w:pPr>
        <w:pStyle w:val="234"/>
        <w:framePr w:wrap="around" w:x="1382" w:y="3031"/>
        <w:rPr>
          <w:lang w:val="fr-FR"/>
        </w:rPr>
      </w:pPr>
    </w:p>
    <w:bookmarkEnd w:id="0"/>
    <w:p w14:paraId="5B30385B">
      <w:pPr>
        <w:pStyle w:val="160"/>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63EED5A5">
      <w:pPr>
        <w:pStyle w:val="160"/>
        <w:framePr w:wrap="around" w:vAnchor="page" w:hAnchor="page" w:x="1821" w:y="739"/>
        <w:rPr>
          <w:b/>
          <w:bCs/>
        </w:rPr>
      </w:pPr>
      <w:r>
        <w:rPr>
          <w:rFonts w:hint="eastAsia"/>
          <w:b/>
          <w:bCs/>
        </w:rPr>
        <w:t>CCS C 05</w:t>
      </w:r>
    </w:p>
    <w:p w14:paraId="258A6D76">
      <w:pPr>
        <w:spacing w:line="240" w:lineRule="auto"/>
        <w:rPr>
          <w:rFonts w:hint="eastAsia" w:ascii="黑体" w:hAnsi="黑体" w:eastAsia="黑体"/>
          <w:kern w:val="0"/>
          <w:sz w:val="10"/>
          <w:szCs w:val="10"/>
        </w:rPr>
      </w:pPr>
      <w:r>
        <w:rPr>
          <w:rFonts w:hint="eastAsia"/>
        </w:rPr>
        <w:drawing>
          <wp:anchor distT="0" distB="0" distL="114300" distR="114300" simplePos="0" relativeHeight="251659264" behindDoc="0" locked="0" layoutInCell="1" allowOverlap="1">
            <wp:simplePos x="0" y="0"/>
            <wp:positionH relativeFrom="column">
              <wp:posOffset>4800600</wp:posOffset>
            </wp:positionH>
            <wp:positionV relativeFrom="page">
              <wp:posOffset>196850</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3"/>
                    <a:stretch>
                      <a:fillRect/>
                    </a:stretch>
                  </pic:blipFill>
                  <pic:spPr>
                    <a:xfrm>
                      <a:off x="0" y="0"/>
                      <a:ext cx="1076325" cy="1040130"/>
                    </a:xfrm>
                    <a:prstGeom prst="rect">
                      <a:avLst/>
                    </a:prstGeom>
                  </pic:spPr>
                </pic:pic>
              </a:graphicData>
            </a:graphic>
          </wp:anchor>
        </w:drawing>
      </w:r>
    </w:p>
    <w:p w14:paraId="4A961139">
      <w:pPr>
        <w:pStyle w:val="54"/>
        <w:framePr w:w="9639" w:h="6976" w:hRule="exact" w:hSpace="0" w:vSpace="0" w:wrap="around" w:hAnchor="page" w:y="6408"/>
        <w:jc w:val="center"/>
        <w:rPr>
          <w:rFonts w:hint="eastAsia" w:ascii="黑体" w:hAnsi="黑体" w:eastAsia="黑体"/>
          <w:b w:val="0"/>
          <w:bCs w:val="0"/>
          <w:w w:val="100"/>
        </w:rPr>
      </w:pPr>
    </w:p>
    <w:p w14:paraId="7A1F8AE0">
      <w:pPr>
        <w:pStyle w:val="201"/>
        <w:framePr w:h="6974" w:hRule="exact" w:wrap="around" w:x="1419" w:anchorLock="1"/>
        <w:spacing w:after="400" w:line="240" w:lineRule="auto"/>
        <w:rPr>
          <w:rFonts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2" w:name="CSTD_NAME"/>
      <w:r>
        <w:rPr>
          <w:rFonts w:ascii="Times New Roman" w:hAnsi="Times New Roman"/>
        </w:rPr>
        <w:instrText xml:space="preserve"> FORMTEXT </w:instrText>
      </w:r>
      <w:r>
        <w:rPr>
          <w:rFonts w:ascii="Times New Roman" w:hAnsi="Times New Roman"/>
        </w:rPr>
        <w:fldChar w:fldCharType="separate"/>
      </w:r>
      <w:r>
        <w:rPr>
          <w:rFonts w:ascii="Times New Roman" w:hAnsi="Times New Roman"/>
        </w:rPr>
        <w:t>临床研究病房智慧管理平台建设规范</w:t>
      </w:r>
    </w:p>
    <w:p w14:paraId="271FA50B">
      <w:pPr>
        <w:pStyle w:val="201"/>
        <w:framePr w:h="6974" w:hRule="exact" w:wrap="around" w:x="1419" w:anchorLock="1"/>
        <w:spacing w:after="400" w:line="240" w:lineRule="auto"/>
        <w:rPr>
          <w:rFonts w:ascii="Times New Roman" w:hAnsi="Times New Roman"/>
        </w:rPr>
      </w:pPr>
      <w:r>
        <w:rPr>
          <w:rFonts w:ascii="Times New Roman" w:hAnsi="Times New Roman"/>
        </w:rPr>
        <w:t>第5部分：质量控制</w:t>
      </w:r>
      <w:r>
        <w:rPr>
          <w:rFonts w:ascii="Times New Roman" w:hAnsi="Times New Roman"/>
        </w:rPr>
        <w:fldChar w:fldCharType="end"/>
      </w:r>
      <w:bookmarkEnd w:id="2"/>
    </w:p>
    <w:p w14:paraId="435F7129">
      <w:pPr>
        <w:pStyle w:val="129"/>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3"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the construction of smart management platform for clinical research wards</w:t>
      </w:r>
    </w:p>
    <w:p w14:paraId="3F85000C">
      <w:pPr>
        <w:pStyle w:val="129"/>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Part 5: quality control</w:t>
      </w:r>
      <w:r>
        <w:rPr>
          <w:rFonts w:eastAsia="黑体"/>
          <w:szCs w:val="28"/>
        </w:rPr>
        <w:fldChar w:fldCharType="end"/>
      </w:r>
      <w:bookmarkEnd w:id="3"/>
    </w:p>
    <w:p w14:paraId="65E38689">
      <w:pPr>
        <w:pStyle w:val="129"/>
        <w:framePr w:w="9639" w:h="6974" w:hRule="exact" w:wrap="around" w:vAnchor="page" w:hAnchor="page" w:x="1419" w:y="6408" w:anchorLock="1"/>
        <w:spacing w:before="0" w:beforeLines="-2147483648" w:after="400" w:afterLines="-2147483648" w:line="240" w:lineRule="auto"/>
        <w:textAlignment w:val="bottom"/>
        <w:rPr>
          <w:rFonts w:ascii="黑体" w:hAnsi="黑体" w:eastAsia="黑体"/>
          <w:b/>
          <w:sz w:val="28"/>
          <w:szCs w:val="28"/>
        </w:rPr>
      </w:pPr>
      <w:r>
        <w:rPr>
          <w:rFonts w:hint="eastAsia" w:ascii="黑体" w:hAnsi="黑体" w:eastAsia="黑体"/>
          <w:sz w:val="28"/>
          <w:szCs w:val="28"/>
        </w:rPr>
        <w:t>（征求意见稿）</w:t>
      </w:r>
    </w:p>
    <w:p w14:paraId="0AA8A611">
      <w:pPr>
        <w:pStyle w:val="197"/>
        <w:framePr w:w="9410" w:wrap="around" w:x="1474" w:y="15241"/>
        <w:jc w:val="center"/>
      </w:pPr>
      <w:bookmarkStart w:id="4"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4"/>
    <w:p w14:paraId="0166C75E">
      <w:pPr>
        <w:pStyle w:val="123"/>
        <w:framePr w:wrap="around" w:vAnchor="page" w:hAnchor="page" w:x="2518" w:y="15755"/>
        <w:rPr>
          <w:rFonts w:ascii="黑体" w:hAnsi="黑体" w:eastAsia="黑体"/>
          <w:b w:val="0"/>
          <w:bCs/>
          <w:w w:val="100"/>
          <w:sz w:val="28"/>
          <w:szCs w:val="28"/>
        </w:rPr>
      </w:pPr>
      <w:bookmarkStart w:id="5" w:name="OLE_LINK1"/>
      <w:r>
        <w:rPr>
          <w:rFonts w:hint="eastAsia" w:ascii="黑体" w:hAnsi="黑体" w:eastAsia="黑体"/>
          <w:b w:val="0"/>
          <w:bCs/>
          <w:w w:val="100"/>
          <w:sz w:val="28"/>
          <w:szCs w:val="28"/>
        </w:rPr>
        <w:t>中国研究型医院学会 发布</w:t>
      </w:r>
    </w:p>
    <w:bookmarkEnd w:id="5"/>
    <w:p w14:paraId="7F9125AA">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ascii="黑体"/>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8641080</wp:posOffset>
                </wp:positionV>
                <wp:extent cx="5971540" cy="0"/>
                <wp:effectExtent l="0" t="0" r="0" b="0"/>
                <wp:wrapNone/>
                <wp:docPr id="434344239" name="直接连接符 3"/>
                <wp:cNvGraphicFramePr/>
                <a:graphic xmlns:a="http://schemas.openxmlformats.org/drawingml/2006/main">
                  <a:graphicData uri="http://schemas.microsoft.com/office/word/2010/wordprocessingShape">
                    <wps:wsp>
                      <wps:cNvCnPr/>
                      <wps:spPr bwMode="auto">
                        <a:xfrm>
                          <a:off x="0" y="0"/>
                          <a:ext cx="59713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0pt;margin-top:680.4pt;height:0pt;width:470.2pt;z-index:251660288;mso-width-relative:page;mso-height-relative:page;" filled="f" stroked="t" coordsize="21600,21600" o:gfxdata="UEsDBAoAAAAAAIdO4kAAAAAAAAAAAAAAAAAEAAAAZHJzL1BLAwQUAAAACACHTuJAF8qlG9UAAAAK&#10;AQAADwAAAGRycy9kb3ducmV2LnhtbE2PwU7DMBBE70j8g7VI3KhdqNoS4vSAxAEJCQgcOLrxNg7E&#10;62C7Sfh7lgOC486MZueVu9n3YsSYukAalgsFAqkJtqNWw+vL3cUWRMqGrOkDoYYvTLCrTk9KU9gw&#10;0TOOdW4Fl1AqjAaX81BImRqH3qRFGJDYO4ToTeYzttJGM3G57+WlUmvpTUf8wZkBbx02H/XRcwtt&#10;Pg9zH9+eHh/ctp7e8X7coNbnZ0t1AyLjnP/C8DOfp0PFm/bhSDaJXgODZFav1ooJ2L9eqRWI/a8k&#10;q1L+R6i+AVBLAwQUAAAACACHTuJAt0Q2kPMBAADHAwAADgAAAGRycy9lMm9Eb2MueG1srVNLbtsw&#10;EN0X6B0I7mv5k6SJYDmLGOmmnwBtDjCmKIkAf+DQln2JXqBAd+2qy+5zm6bHyJCy3TTdZFEJIMj5&#10;vOF7M5xfbo1mGxlQOVvxyWjMmbTC1cq2Fb/9dP3qnDOMYGvQzsqK7yTyy8XLF/Pel3LqOqdrGRiB&#10;WCx7X/EuRl8WBYpOGsCR89KSs3HBQKRjaIs6QE/oRhfT8fis6F2ofXBCIpJ1OTj5HjE8B9A1jRJy&#10;6cTaSBsH1CA1RKKEnfLIF/m2TSNF/NA0KCPTFSemMa9UhPartBaLOZRtAN8psb8CPOcKTzgZUJaK&#10;HqGWEIGtg/oHyigRHLomjoQzxUAkK0IsJuMn2nzswMvMhaRGfxQd/x+seL+5CUzVFT+Z0X8ynV1w&#10;ZsFQ4++//Pz1+dvvu6+03v/4zmZJrN5jSTlX9ibsT+gJYNW/czXlwDq6rMO2CSbpQQzZNsu9O8ot&#10;t5EJMp5evJ7MJtQJcfAVUB4SfcD4RjrD0qbiWtmkBJSweYuRSlPoISSZrbtWWuduasv6ip/NThMy&#10;0IQ2NBm0NZ5Yom05A93S6IsYMiI6reqUnXAwtKsrHdgG0sDkL9Gman+FpdJLwG6Iy65hlIyK9Dq0&#10;MhU/f5ytLYEk8ZJcg4wrV++yitlO/c1l9rOYBujxOWf/eX+L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fKpRvVAAAACgEAAA8AAAAAAAAAAQAgAAAAIgAAAGRycy9kb3ducmV2LnhtbFBLAQIUABQA&#10;AAAIAIdO4kC3RDaQ8wEAAMcDAAAOAAAAAAAAAAEAIAAAACQBAABkcnMvZTJvRG9jLnhtbFBLBQYA&#10;AAAABgAGAFkBAACJBQAAAAA=&#10;">
                <v:fill on="f" focussize="0,0"/>
                <v:stroke weight="0.5pt" color="#000000 [3200]" miterlimit="8" joinstyle="miter"/>
                <v:imagedata o:title=""/>
                <o:lock v:ext="edit" aspectratio="f"/>
              </v:line>
            </w:pict>
          </mc:Fallback>
        </mc:AlternateContent>
      </w:r>
    </w:p>
    <w:p w14:paraId="7E5ED647">
      <w:pPr>
        <w:pStyle w:val="95"/>
        <w:spacing w:before="240" w:beforeLines="100" w:after="240" w:afterLines="100"/>
        <w:rPr>
          <w:kern w:val="0"/>
        </w:rPr>
      </w:pPr>
      <w:bookmarkStart w:id="6" w:name="BookMark1"/>
      <w:bookmarkStart w:id="7" w:name="_Toc225519746"/>
      <w:r>
        <w:rPr>
          <w:rFonts w:hint="eastAsia"/>
          <w:spacing w:val="0"/>
          <w:kern w:val="0"/>
        </w:rPr>
        <w:t>目</w:t>
      </w:r>
      <w:r>
        <w:rPr>
          <w:rFonts w:hint="eastAsia"/>
          <w:kern w:val="0"/>
        </w:rPr>
        <w:t xml:space="preserve">  </w:t>
      </w:r>
      <w:r>
        <w:rPr>
          <w:rFonts w:hint="eastAsia"/>
          <w:kern w:val="0"/>
        </w:rPr>
        <w:t>次</w:t>
      </w:r>
    </w:p>
    <w:sdt>
      <w:sdtPr>
        <w:rPr>
          <w:lang w:val="zh-CN"/>
        </w:rPr>
        <w:id w:val="-816176782"/>
        <w:docPartObj>
          <w:docPartGallery w:val="Table of Contents"/>
          <w:docPartUnique/>
        </w:docPartObj>
      </w:sdtPr>
      <w:sdtEndPr>
        <w:rPr>
          <w:rFonts w:ascii="Calibri" w:hAnsi="Calibri" w:eastAsia="宋体" w:cs="Times New Roman"/>
          <w:b/>
          <w:bCs/>
          <w:color w:val="auto"/>
          <w:kern w:val="2"/>
          <w:sz w:val="21"/>
          <w:szCs w:val="21"/>
          <w:lang w:val="zh-CN"/>
        </w:rPr>
      </w:sdtEndPr>
      <w:sdtContent>
        <w:p w14:paraId="462A7800">
          <w:pPr>
            <w:pStyle w:val="238"/>
            <w:spacing w:before="0" w:line="240" w:lineRule="auto"/>
            <w:jc w:val="both"/>
            <w:rPr>
              <w:rFonts w:hint="default" w:ascii="Times New Roman" w:hAnsi="Times New Roman" w:eastAsia="宋体" w:cs="Times New Roman"/>
              <w:sz w:val="21"/>
              <w:szCs w:val="21"/>
            </w:rPr>
          </w:pPr>
        </w:p>
        <w:p w14:paraId="33AC3010">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Fonts w:ascii="Times New Roman" w:hAnsi="Times New Roman"/>
              <w:kern w:val="0"/>
            </w:rPr>
            <w:fldChar w:fldCharType="begin"/>
          </w:r>
          <w:r>
            <w:rPr>
              <w:rFonts w:ascii="Times New Roman" w:hAnsi="Times New Roman"/>
              <w:kern w:val="0"/>
            </w:rPr>
            <w:instrText xml:space="preserve"> TOC \o "1-3" \h \z \u </w:instrText>
          </w:r>
          <w:r>
            <w:rPr>
              <w:rFonts w:hint="default" w:ascii="Times New Roman" w:hAnsi="Times New Roman"/>
              <w:kern w:val="0"/>
            </w:rPr>
            <w:fldChar w:fldCharType="separate"/>
          </w: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"_Toc228528405"</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前言</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_Toc228528405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II</w:t>
          </w:r>
          <w:r>
            <w:rPr>
              <w:rFonts w:hint="default" w:ascii="Times New Roman" w:hAnsi="Times New Roman"/>
              <w:kern w:val="0"/>
            </w:rPr>
            <w:fldChar w:fldCharType="end"/>
          </w:r>
          <w:r>
            <w:rPr>
              <w:rStyle w:val="35"/>
              <w:rFonts w:ascii="Times New Roman"/>
              <w:kern w:val="0"/>
            </w:rPr>
            <w:fldChar w:fldCharType="end"/>
          </w:r>
        </w:p>
        <w:p w14:paraId="6FBC9F51">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"_Toc228528406"</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引言</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_Toc228528406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III</w:t>
          </w:r>
          <w:r>
            <w:rPr>
              <w:rFonts w:hint="default" w:ascii="Times New Roman" w:hAnsi="Times New Roman"/>
              <w:kern w:val="0"/>
            </w:rPr>
            <w:fldChar w:fldCharType="end"/>
          </w:r>
          <w:r>
            <w:rPr>
              <w:rStyle w:val="35"/>
              <w:rFonts w:ascii="Times New Roman"/>
              <w:kern w:val="0"/>
            </w:rPr>
            <w:fldChar w:fldCharType="end"/>
          </w:r>
        </w:p>
        <w:p w14:paraId="3238C789">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"_Toc228528407"</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1 范围</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_Toc228528407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1</w:t>
          </w:r>
          <w:r>
            <w:rPr>
              <w:rFonts w:hint="default" w:ascii="Times New Roman" w:hAnsi="Times New Roman"/>
              <w:kern w:val="0"/>
            </w:rPr>
            <w:fldChar w:fldCharType="end"/>
          </w:r>
          <w:r>
            <w:rPr>
              <w:rStyle w:val="35"/>
              <w:rFonts w:ascii="Times New Roman"/>
              <w:kern w:val="0"/>
            </w:rPr>
            <w:fldChar w:fldCharType="end"/>
          </w:r>
        </w:p>
        <w:p w14:paraId="474B95D5">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"_Toc228528408"</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2 规范性引用文件</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_Toc228528408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1</w:t>
          </w:r>
          <w:r>
            <w:rPr>
              <w:rFonts w:hint="default" w:ascii="Times New Roman" w:hAnsi="Times New Roman"/>
              <w:kern w:val="0"/>
            </w:rPr>
            <w:fldChar w:fldCharType="end"/>
          </w:r>
          <w:r>
            <w:rPr>
              <w:rStyle w:val="35"/>
              <w:rFonts w:ascii="Times New Roman"/>
              <w:kern w:val="0"/>
            </w:rPr>
            <w:fldChar w:fldCharType="end"/>
          </w:r>
        </w:p>
        <w:p w14:paraId="39BFD5A9">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"_Toc228528409"</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3 术语和定义</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_Toc228528409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1</w:t>
          </w:r>
          <w:r>
            <w:rPr>
              <w:rFonts w:hint="default" w:ascii="Times New Roman" w:hAnsi="Times New Roman"/>
              <w:kern w:val="0"/>
            </w:rPr>
            <w:fldChar w:fldCharType="end"/>
          </w:r>
          <w:r>
            <w:rPr>
              <w:rStyle w:val="35"/>
              <w:rFonts w:ascii="Times New Roman"/>
              <w:kern w:val="0"/>
            </w:rPr>
            <w:fldChar w:fldCharType="end"/>
          </w:r>
        </w:p>
        <w:p w14:paraId="0F74809A">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"_Toc228528410"</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4 缩略语</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_Toc228528410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2</w:t>
          </w:r>
          <w:r>
            <w:rPr>
              <w:rFonts w:hint="default" w:ascii="Times New Roman" w:hAnsi="Times New Roman"/>
              <w:kern w:val="0"/>
            </w:rPr>
            <w:fldChar w:fldCharType="end"/>
          </w:r>
          <w:r>
            <w:rPr>
              <w:rStyle w:val="35"/>
              <w:rFonts w:ascii="Times New Roman"/>
              <w:kern w:val="0"/>
            </w:rPr>
            <w:fldChar w:fldCharType="end"/>
          </w:r>
        </w:p>
        <w:p w14:paraId="03763D03">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"_Toc228528412"</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5 质量控制体系</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_Toc228528412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2</w:t>
          </w:r>
          <w:r>
            <w:rPr>
              <w:rFonts w:hint="default" w:ascii="Times New Roman" w:hAnsi="Times New Roman"/>
              <w:kern w:val="0"/>
            </w:rPr>
            <w:fldChar w:fldCharType="end"/>
          </w:r>
          <w:r>
            <w:rPr>
              <w:rStyle w:val="35"/>
              <w:rFonts w:ascii="Times New Roman"/>
              <w:kern w:val="0"/>
            </w:rPr>
            <w:fldChar w:fldCharType="end"/>
          </w:r>
        </w:p>
        <w:p w14:paraId="6A0F3DE1">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"_Toc228528413"</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6 数据质量控制</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_Toc228528413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3</w:t>
          </w:r>
          <w:r>
            <w:rPr>
              <w:rFonts w:hint="default" w:ascii="Times New Roman" w:hAnsi="Times New Roman"/>
              <w:kern w:val="0"/>
            </w:rPr>
            <w:fldChar w:fldCharType="end"/>
          </w:r>
          <w:r>
            <w:rPr>
              <w:rStyle w:val="35"/>
              <w:rFonts w:ascii="Times New Roman"/>
              <w:kern w:val="0"/>
            </w:rPr>
            <w:fldChar w:fldCharType="end"/>
          </w:r>
        </w:p>
        <w:p w14:paraId="65C5DDDE">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"_Toc228528416"</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7 过程质量控制</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_Toc228528416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4</w:t>
          </w:r>
          <w:r>
            <w:rPr>
              <w:rFonts w:hint="default" w:ascii="Times New Roman" w:hAnsi="Times New Roman"/>
              <w:kern w:val="0"/>
            </w:rPr>
            <w:fldChar w:fldCharType="end"/>
          </w:r>
          <w:r>
            <w:rPr>
              <w:rStyle w:val="35"/>
              <w:rFonts w:ascii="Times New Roman"/>
              <w:kern w:val="0"/>
            </w:rPr>
            <w:fldChar w:fldCharType="end"/>
          </w:r>
        </w:p>
        <w:p w14:paraId="72DD7486">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"_Toc228528417"</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8 质量评价</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_Toc228528417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5</w:t>
          </w:r>
          <w:r>
            <w:rPr>
              <w:rFonts w:hint="default" w:ascii="Times New Roman" w:hAnsi="Times New Roman"/>
              <w:kern w:val="0"/>
            </w:rPr>
            <w:fldChar w:fldCharType="end"/>
          </w:r>
          <w:r>
            <w:rPr>
              <w:rStyle w:val="35"/>
              <w:rFonts w:ascii="Times New Roman"/>
              <w:kern w:val="0"/>
            </w:rPr>
            <w:fldChar w:fldCharType="end"/>
          </w:r>
        </w:p>
        <w:p w14:paraId="34CC2195">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"_Toc228528418"</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spacing w:val="0"/>
              <w:kern w:val="0"/>
            </w:rPr>
            <w:t>附录A</w:t>
          </w:r>
          <w:r>
            <w:rPr>
              <w:rStyle w:val="35"/>
              <w:rFonts w:ascii="Times New Roman"/>
              <w:kern w:val="0"/>
            </w:rPr>
            <w:t>（规范性）质量控制检查表</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_Toc228528418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6</w:t>
          </w:r>
          <w:r>
            <w:rPr>
              <w:rFonts w:hint="default" w:ascii="Times New Roman" w:hAnsi="Times New Roman"/>
              <w:kern w:val="0"/>
            </w:rPr>
            <w:fldChar w:fldCharType="end"/>
          </w:r>
          <w:r>
            <w:rPr>
              <w:rStyle w:val="35"/>
              <w:rFonts w:ascii="Times New Roman"/>
              <w:kern w:val="0"/>
            </w:rPr>
            <w:fldChar w:fldCharType="end"/>
          </w:r>
        </w:p>
        <w:p w14:paraId="16310FFF">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"_Toc228528419"</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spacing w:val="0"/>
              <w:kern w:val="0"/>
            </w:rPr>
            <w:t>附录B</w:t>
          </w:r>
          <w:r>
            <w:rPr>
              <w:rStyle w:val="35"/>
              <w:rFonts w:ascii="Times New Roman"/>
              <w:kern w:val="0"/>
            </w:rPr>
            <w:t>（规范性）质量问题处理流程</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_Toc228528419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8</w:t>
          </w:r>
          <w:r>
            <w:rPr>
              <w:rFonts w:hint="default" w:ascii="Times New Roman" w:hAnsi="Times New Roman"/>
              <w:kern w:val="0"/>
            </w:rPr>
            <w:fldChar w:fldCharType="end"/>
          </w:r>
          <w:r>
            <w:rPr>
              <w:rStyle w:val="35"/>
              <w:rFonts w:ascii="Times New Roman"/>
              <w:kern w:val="0"/>
            </w:rPr>
            <w:fldChar w:fldCharType="end"/>
          </w:r>
        </w:p>
        <w:p w14:paraId="733F6C52">
          <w:pPr>
            <w:pStyle w:val="20"/>
            <w:tabs>
              <w:tab w:val="right" w:leader="dot" w:pos="9344"/>
            </w:tabs>
            <w:spacing w:line="240" w:lineRule="auto"/>
            <w:rPr>
              <w:rFonts w:hint="default" w:ascii="Times New Roman" w:hAnsi="Times New Roman" w:eastAsia="宋体" w:cs="Times New Roman"/>
              <w:kern w:val="0"/>
              <w:sz w:val="22"/>
              <w:szCs w:val="24"/>
              <w14:ligatures w14:val="standardContextual"/>
            </w:rPr>
          </w:pPr>
          <w:r>
            <w:rPr>
              <w:rStyle w:val="35"/>
              <w:rFonts w:ascii="Times New Roman"/>
              <w:kern w:val="0"/>
            </w:rPr>
            <w:fldChar w:fldCharType="begin"/>
          </w:r>
          <w:r>
            <w:rPr>
              <w:rStyle w:val="35"/>
              <w:rFonts w:ascii="Times New Roman"/>
              <w:kern w:val="0"/>
            </w:rPr>
            <w:instrText xml:space="preserve"> </w:instrText>
          </w:r>
          <w:r>
            <w:rPr>
              <w:rFonts w:hint="default" w:ascii="Times New Roman" w:hAnsi="Times New Roman"/>
              <w:kern w:val="0"/>
            </w:rPr>
            <w:instrText xml:space="preserve">HYPERLINK \l "_Toc228528420"</w:instrText>
          </w:r>
          <w:r>
            <w:rPr>
              <w:rStyle w:val="35"/>
              <w:rFonts w:ascii="Times New Roman"/>
              <w:kern w:val="0"/>
            </w:rPr>
            <w:instrText xml:space="preserve"> </w:instrText>
          </w:r>
          <w:r>
            <w:rPr>
              <w:rStyle w:val="35"/>
              <w:rFonts w:ascii="Times New Roman"/>
              <w:kern w:val="0"/>
            </w:rPr>
            <w:fldChar w:fldCharType="separate"/>
          </w:r>
          <w:r>
            <w:rPr>
              <w:rStyle w:val="35"/>
              <w:rFonts w:ascii="Times New Roman"/>
              <w:kern w:val="0"/>
            </w:rPr>
            <w:t>参考文献</w:t>
          </w:r>
          <w:r>
            <w:rPr>
              <w:rFonts w:hint="default" w:ascii="Times New Roman" w:hAnsi="Times New Roman"/>
              <w:kern w:val="0"/>
            </w:rPr>
            <w:tab/>
          </w:r>
          <w:r>
            <w:rPr>
              <w:rFonts w:hint="default" w:ascii="Times New Roman" w:hAnsi="Times New Roman"/>
              <w:kern w:val="0"/>
            </w:rPr>
            <w:fldChar w:fldCharType="begin"/>
          </w:r>
          <w:r>
            <w:rPr>
              <w:rFonts w:hint="default" w:ascii="Times New Roman" w:hAnsi="Times New Roman"/>
              <w:kern w:val="0"/>
            </w:rPr>
            <w:instrText xml:space="preserve"> </w:instrText>
          </w:r>
          <w:r>
            <w:rPr>
              <w:rFonts w:ascii="Times New Roman" w:hAnsi="Times New Roman"/>
              <w:kern w:val="0"/>
            </w:rPr>
            <w:instrText xml:space="preserve">PAGEREF _Toc228528420 \h</w:instrText>
          </w:r>
          <w:r>
            <w:rPr>
              <w:rFonts w:hint="default" w:ascii="Times New Roman" w:hAnsi="Times New Roman"/>
              <w:kern w:val="0"/>
            </w:rPr>
            <w:instrText xml:space="preserve"> </w:instrText>
          </w:r>
          <w:r>
            <w:rPr>
              <w:rFonts w:hint="default" w:ascii="Times New Roman" w:hAnsi="Times New Roman"/>
              <w:kern w:val="0"/>
            </w:rPr>
            <w:fldChar w:fldCharType="separate"/>
          </w:r>
          <w:r>
            <w:rPr>
              <w:rFonts w:ascii="Times New Roman" w:hAnsi="Times New Roman"/>
              <w:kern w:val="0"/>
            </w:rPr>
            <w:t>10</w:t>
          </w:r>
          <w:r>
            <w:rPr>
              <w:rFonts w:hint="default" w:ascii="Times New Roman" w:hAnsi="Times New Roman"/>
              <w:kern w:val="0"/>
            </w:rPr>
            <w:fldChar w:fldCharType="end"/>
          </w:r>
          <w:r>
            <w:rPr>
              <w:rStyle w:val="35"/>
              <w:rFonts w:ascii="Times New Roman"/>
              <w:kern w:val="0"/>
            </w:rPr>
            <w:fldChar w:fldCharType="end"/>
          </w:r>
        </w:p>
        <w:p w14:paraId="664A6792">
          <w:pPr>
            <w:spacing w:line="240" w:lineRule="auto"/>
            <w:rPr>
              <w:rFonts w:hint="eastAsia"/>
            </w:rPr>
          </w:pPr>
          <w:r>
            <w:rPr>
              <w:rFonts w:ascii="Times New Roman" w:hAnsi="Times New Roman"/>
              <w:b/>
              <w:bCs/>
              <w:kern w:val="0"/>
              <w:lang w:val="zh-CN"/>
            </w:rPr>
            <w:fldChar w:fldCharType="end"/>
          </w:r>
        </w:p>
      </w:sdtContent>
    </w:sdt>
    <w:p w14:paraId="2C9D2AAC">
      <w:pPr>
        <w:pStyle w:val="95"/>
        <w:tabs>
          <w:tab w:val="right" w:leader="dot" w:pos="9354"/>
        </w:tabs>
        <w:spacing w:after="360"/>
        <w:jc w:val="both"/>
        <w:rPr>
          <w:rFonts w:hint="eastAsia"/>
        </w:rPr>
      </w:pPr>
    </w:p>
    <w:p w14:paraId="247AE061">
      <w:pPr>
        <w:pStyle w:val="95"/>
        <w:tabs>
          <w:tab w:val="right" w:leader="dot" w:pos="9354"/>
        </w:tabs>
        <w:spacing w:after="360"/>
        <w:rPr>
          <w:sz w:val="21"/>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6"/>
    <w:p w14:paraId="18FE9F30">
      <w:pPr>
        <w:pStyle w:val="93"/>
        <w:numPr>
          <w:ilvl w:val="0"/>
          <w:numId w:val="0"/>
        </w:numPr>
        <w:spacing w:before="240" w:beforeLines="100" w:after="240" w:afterLines="100"/>
        <w:ind w:left="0" w:firstLine="0"/>
      </w:pPr>
      <w:bookmarkStart w:id="8" w:name="_Toc31740"/>
      <w:bookmarkStart w:id="9" w:name="_Toc228528405"/>
      <w:bookmarkStart w:id="10" w:name="BookMark2"/>
      <w:r>
        <w:rPr>
          <w:rFonts w:hint="eastAsia"/>
          <w:spacing w:val="0"/>
        </w:rPr>
        <w:t>前</w:t>
      </w:r>
      <w:r>
        <w:rPr>
          <w:rFonts w:hint="eastAsia"/>
        </w:rPr>
        <w:t xml:space="preserve">  言</w:t>
      </w:r>
      <w:bookmarkEnd w:id="7"/>
      <w:bookmarkEnd w:id="8"/>
      <w:bookmarkEnd w:id="9"/>
    </w:p>
    <w:p w14:paraId="260D59F4">
      <w:pPr>
        <w:pStyle w:val="60"/>
        <w:ind w:firstLine="420"/>
      </w:pPr>
      <w:r>
        <w:rPr>
          <w:rFonts w:hint="default"/>
        </w:rPr>
        <w:t>本文件按照GB/T 1.1</w:t>
      </w:r>
      <w:r>
        <w:rPr>
          <w:rFonts w:hint="default"/>
        </w:rPr>
        <w:t>-</w:t>
      </w:r>
      <w:r>
        <w:rPr>
          <w:rFonts w:hint="default"/>
        </w:rPr>
        <w:t>2020</w:t>
      </w:r>
      <w:r>
        <w:rPr>
          <w:rFonts w:hint="default"/>
        </w:rPr>
        <w:t xml:space="preserve"> </w:t>
      </w:r>
      <w:r>
        <w:rPr>
          <w:rFonts w:hint="default"/>
        </w:rPr>
        <w:t>《标准化工作导则 第1部分：标准化文件的结构和起草规则》的规定起草。</w:t>
      </w:r>
    </w:p>
    <w:p w14:paraId="69409A03">
      <w:pPr>
        <w:pStyle w:val="60"/>
        <w:spacing w:line="240" w:lineRule="auto"/>
        <w:ind w:firstLine="420"/>
        <w:rPr>
          <w:color w:val="1F2329"/>
          <w:szCs w:val="21"/>
          <w:shd w:val="clear" w:color="auto" w:fill="FFFFFF"/>
        </w:rPr>
      </w:pPr>
      <w:r>
        <w:rPr>
          <w:rFonts w:hint="default"/>
          <w:color w:val="1F2329"/>
          <w:szCs w:val="21"/>
          <w:shd w:val="clear" w:color="auto" w:fill="FFFFFF"/>
        </w:rPr>
        <w:t>本文件为《临床研究病房智慧管理平台建设规范》系列团体标准第1部分，系列标准结构如下：</w:t>
      </w:r>
    </w:p>
    <w:p w14:paraId="6E616404">
      <w:pPr>
        <w:pStyle w:val="60"/>
        <w:spacing w:line="240" w:lineRule="auto"/>
        <w:ind w:firstLine="420"/>
        <w:rPr>
          <w:color w:val="1F2329"/>
          <w:szCs w:val="21"/>
          <w:shd w:val="clear" w:color="auto" w:fill="FFFFFF"/>
        </w:rPr>
      </w:pPr>
      <w:r>
        <w:rPr>
          <w:rFonts w:hint="default"/>
          <w:color w:val="1F2329"/>
          <w:szCs w:val="21"/>
          <w:shd w:val="clear" w:color="auto" w:fill="FFFFFF"/>
        </w:rPr>
        <w:t>——第1部分：架构设计</w:t>
      </w:r>
    </w:p>
    <w:p w14:paraId="2946E21E">
      <w:pPr>
        <w:pStyle w:val="60"/>
        <w:spacing w:line="240" w:lineRule="auto"/>
        <w:ind w:firstLine="420"/>
        <w:rPr>
          <w:color w:val="1F2329"/>
          <w:szCs w:val="21"/>
          <w:shd w:val="clear" w:color="auto" w:fill="FFFFFF"/>
        </w:rPr>
      </w:pPr>
      <w:r>
        <w:rPr>
          <w:rFonts w:hint="default"/>
          <w:color w:val="1F2329"/>
          <w:szCs w:val="21"/>
          <w:shd w:val="clear" w:color="auto" w:fill="FFFFFF"/>
        </w:rPr>
        <w:t>——第2部分：数据采集</w:t>
      </w:r>
    </w:p>
    <w:p w14:paraId="1F5D6BB2">
      <w:pPr>
        <w:pStyle w:val="60"/>
        <w:spacing w:line="240" w:lineRule="auto"/>
        <w:ind w:firstLine="420"/>
        <w:rPr>
          <w:color w:val="1F2329"/>
          <w:szCs w:val="21"/>
          <w:shd w:val="clear" w:color="auto" w:fill="FFFFFF"/>
        </w:rPr>
      </w:pPr>
      <w:r>
        <w:rPr>
          <w:rFonts w:hint="default"/>
          <w:color w:val="1F2329"/>
          <w:szCs w:val="21"/>
          <w:shd w:val="clear" w:color="auto" w:fill="FFFFFF"/>
        </w:rPr>
        <w:t>——第3部分：数据传输</w:t>
      </w:r>
    </w:p>
    <w:p w14:paraId="5DF95A7D">
      <w:pPr>
        <w:pStyle w:val="60"/>
        <w:spacing w:line="240" w:lineRule="auto"/>
        <w:ind w:firstLine="420"/>
        <w:rPr>
          <w:color w:val="1F2329"/>
          <w:szCs w:val="21"/>
          <w:shd w:val="clear" w:color="auto" w:fill="FFFFFF"/>
        </w:rPr>
      </w:pPr>
      <w:r>
        <w:rPr>
          <w:rFonts w:hint="default"/>
          <w:color w:val="1F2329"/>
          <w:szCs w:val="21"/>
          <w:shd w:val="clear" w:color="auto" w:fill="FFFFFF"/>
        </w:rPr>
        <w:t>——第4部分：质量控制</w:t>
      </w:r>
    </w:p>
    <w:p w14:paraId="42114A8C">
      <w:pPr>
        <w:pStyle w:val="60"/>
        <w:spacing w:line="240" w:lineRule="auto"/>
        <w:ind w:firstLine="420"/>
        <w:rPr>
          <w:color w:val="1F2329"/>
          <w:szCs w:val="21"/>
          <w:shd w:val="clear" w:color="auto" w:fill="FFFFFF"/>
        </w:rPr>
      </w:pPr>
      <w:r>
        <w:rPr>
          <w:rFonts w:hint="default"/>
          <w:color w:val="1F2329"/>
          <w:szCs w:val="21"/>
          <w:shd w:val="clear" w:color="auto" w:fill="FFFFFF"/>
        </w:rPr>
        <w:t>——第5部分：数据管理</w:t>
      </w:r>
    </w:p>
    <w:p w14:paraId="2C65AE3C">
      <w:pPr>
        <w:pStyle w:val="60"/>
        <w:spacing w:line="240" w:lineRule="auto"/>
        <w:ind w:firstLine="420"/>
        <w:rPr>
          <w:color w:val="1F2329"/>
          <w:szCs w:val="21"/>
          <w:shd w:val="clear" w:color="auto" w:fill="FFFFFF"/>
        </w:rPr>
      </w:pPr>
      <w:r>
        <w:rPr>
          <w:rFonts w:hint="default"/>
          <w:color w:val="1F2329"/>
          <w:szCs w:val="21"/>
          <w:shd w:val="clear" w:color="auto" w:fill="FFFFFF"/>
        </w:rPr>
        <w:t>——第6部分：应用评价</w:t>
      </w:r>
    </w:p>
    <w:p w14:paraId="53D9F150">
      <w:pPr>
        <w:pStyle w:val="60"/>
        <w:spacing w:line="240" w:lineRule="auto"/>
        <w:ind w:firstLine="420"/>
        <w:rPr>
          <w:color w:val="1F2329"/>
          <w:szCs w:val="21"/>
          <w:shd w:val="clear" w:color="auto" w:fill="FFFFFF"/>
        </w:rPr>
      </w:pPr>
      <w:r>
        <w:rPr>
          <w:rFonts w:hint="default"/>
          <w:color w:val="1F2329"/>
          <w:szCs w:val="21"/>
          <w:shd w:val="clear" w:color="auto" w:fill="FFFFFF"/>
        </w:rPr>
        <w:t>——第7部分：培训实施</w:t>
      </w:r>
    </w:p>
    <w:p w14:paraId="6B0B68C5">
      <w:pPr>
        <w:pStyle w:val="60"/>
        <w:ind w:firstLine="420"/>
        <w:rPr>
          <w:color w:val="1F2329"/>
          <w:szCs w:val="21"/>
          <w:shd w:val="clear" w:color="auto" w:fill="FFFFFF"/>
        </w:rPr>
      </w:pPr>
      <w:r>
        <w:rPr>
          <w:rFonts w:hint="default"/>
          <w:color w:val="1F2329"/>
          <w:szCs w:val="21"/>
          <w:shd w:val="clear" w:color="auto" w:fill="FFFFFF"/>
        </w:rPr>
        <w:t>本文件聚焦临床研究病房智慧管理平台质量控制核心要求，与第1-4部分架构、数据采集、传输、管理规范深度衔接，为第6部分应用评价、第7部分培训实施提供质量管控依据，构建“建设-管控-评价-优化”全流程标准体系。</w:t>
      </w:r>
    </w:p>
    <w:p w14:paraId="29DC930D">
      <w:pPr>
        <w:pStyle w:val="60"/>
        <w:ind w:firstLine="420"/>
        <w:rPr>
          <w:color w:val="1F2329"/>
          <w:shd w:val="clear" w:color="auto" w:fill="FFFFFF"/>
        </w:rPr>
      </w:pPr>
      <w:bookmarkStart w:id="11" w:name="OLE_LINK4"/>
      <w:r>
        <w:rPr>
          <w:color w:val="1F2329"/>
          <w:shd w:val="clear" w:color="auto" w:fill="FFFFFF"/>
        </w:rPr>
        <w:t>请注意本文件的某些内容可能涉及专利。本文件的发布机构不承担识别专利的责任。</w:t>
      </w:r>
      <w:bookmarkEnd w:id="11"/>
    </w:p>
    <w:p w14:paraId="2FBF3E2F">
      <w:pPr>
        <w:pStyle w:val="60"/>
        <w:ind w:firstLine="420"/>
      </w:pPr>
      <w:r>
        <w:rPr>
          <w:rFonts w:hint="default"/>
        </w:rPr>
        <w:t>本文件由</w:t>
      </w:r>
      <w:r>
        <w:rPr>
          <w:rFonts w:hint="eastAsia"/>
          <w:lang w:val="en-US" w:eastAsia="zh-CN"/>
        </w:rPr>
        <w:t>中国研究型医院学会</w:t>
      </w:r>
      <w:r>
        <w:rPr>
          <w:rFonts w:hint="default"/>
        </w:rPr>
        <w:t>提出。</w:t>
      </w:r>
    </w:p>
    <w:p w14:paraId="56C16B36">
      <w:pPr>
        <w:pStyle w:val="60"/>
        <w:ind w:firstLine="420"/>
      </w:pPr>
      <w:r>
        <w:rPr>
          <w:rFonts w:hint="default"/>
        </w:rPr>
        <w:t>本文件由</w:t>
      </w:r>
      <w:r>
        <w:rPr>
          <w:rFonts w:hint="eastAsia"/>
          <w:lang w:val="en-US" w:eastAsia="zh-CN"/>
        </w:rPr>
        <w:t>中国研究型医院学会</w:t>
      </w:r>
      <w:r>
        <w:rPr>
          <w:rFonts w:hint="default"/>
        </w:rPr>
        <w:t>归口。</w:t>
      </w:r>
    </w:p>
    <w:p w14:paraId="553AE429">
      <w:pPr>
        <w:pStyle w:val="60"/>
        <w:ind w:firstLine="420"/>
      </w:pPr>
      <w:r>
        <w:rPr>
          <w:rFonts w:hint="default"/>
        </w:rPr>
        <w:t>本文件起草单位：</w:t>
      </w:r>
      <w:r>
        <w:rPr>
          <w:rFonts w:hint="eastAsia"/>
        </w:rPr>
        <w:t>。</w:t>
      </w:r>
    </w:p>
    <w:p w14:paraId="4F4FE82A">
      <w:pPr>
        <w:pStyle w:val="60"/>
        <w:ind w:firstLine="420"/>
        <w:sectPr>
          <w:pgSz w:w="11906" w:h="16838"/>
          <w:pgMar w:top="1928" w:right="1134" w:bottom="1134" w:left="1134" w:header="1418" w:footer="1134" w:gutter="284"/>
          <w:pgNumType w:fmt="upperRoman"/>
          <w:cols w:space="425" w:num="1"/>
          <w:formProt w:val="0"/>
          <w:docGrid w:linePitch="312" w:charSpace="0"/>
        </w:sectPr>
      </w:pPr>
      <w:r>
        <w:rPr>
          <w:rFonts w:hint="default"/>
        </w:rPr>
        <w:t>本文件主要起草人：</w:t>
      </w:r>
      <w:r>
        <w:rPr>
          <w:rFonts w:hint="eastAsia"/>
        </w:rPr>
        <w:t>。</w:t>
      </w:r>
    </w:p>
    <w:bookmarkEnd w:id="10"/>
    <w:p w14:paraId="478A62FB">
      <w:pPr>
        <w:pStyle w:val="93"/>
        <w:numPr>
          <w:ilvl w:val="0"/>
          <w:numId w:val="0"/>
        </w:numPr>
        <w:spacing w:before="240" w:beforeLines="100" w:after="240" w:afterLines="100"/>
        <w:ind w:left="0" w:firstLine="0"/>
        <w:rPr>
          <w:rFonts w:ascii="黑体" w:eastAsia="黑体"/>
          <w:sz w:val="32"/>
        </w:rPr>
      </w:pPr>
      <w:bookmarkStart w:id="12" w:name="_Toc225519747"/>
      <w:bookmarkStart w:id="13" w:name="_Toc228528406"/>
      <w:bookmarkStart w:id="14" w:name="_Toc20430"/>
      <w:bookmarkStart w:id="15" w:name="BookMark3"/>
      <w:r>
        <w:rPr>
          <w:rFonts w:hint="eastAsia"/>
          <w:spacing w:val="0"/>
        </w:rPr>
        <w:t>引</w:t>
      </w:r>
      <w:r>
        <w:rPr>
          <w:rFonts w:hint="eastAsia"/>
        </w:rPr>
        <w:t xml:space="preserve">  言</w:t>
      </w:r>
      <w:bookmarkEnd w:id="12"/>
      <w:bookmarkEnd w:id="13"/>
      <w:bookmarkEnd w:id="14"/>
      <w:bookmarkEnd w:id="15"/>
      <w:bookmarkStart w:id="16" w:name="BookMark4"/>
    </w:p>
    <w:p w14:paraId="23041B37">
      <w:pPr>
        <w:widowControl/>
        <w:shd w:val="clear" w:color="auto" w:fill="FFFFFF"/>
        <w:spacing w:after="0" w:line="240" w:lineRule="auto"/>
        <w:ind w:firstLine="420" w:firstLineChars="200"/>
        <w:jc w:val="both"/>
        <w:textAlignment w:val="baseline"/>
        <w:rPr>
          <w:rFonts w:ascii="Times New Roman" w:hAnsi="Times New Roman"/>
          <w:color w:val="1F2329"/>
          <w:kern w:val="0"/>
          <w:shd w:val="clear" w:color="auto" w:fill="FFFFFF"/>
        </w:rPr>
      </w:pPr>
      <w:r>
        <w:rPr>
          <w:rFonts w:ascii="Times New Roman" w:hAnsi="Times New Roman"/>
          <w:color w:val="1F2329"/>
          <w:kern w:val="0"/>
          <w:shd w:val="clear" w:color="auto" w:fill="FFFFFF"/>
        </w:rPr>
        <w:t>为规范智慧研究病房管理平台质量控制工作，建立科学、系统、智能的质控体系，严格落实《药物临床试验质量管理规范》《临床试验数据管理工作技术指南》等法规要求，保障临床研究数据真实、完整、安全，保护受试者权益，全面提升临床研究质量管理水平，制定本文件。</w:t>
      </w:r>
    </w:p>
    <w:p w14:paraId="12B255B9">
      <w:pPr>
        <w:widowControl/>
        <w:shd w:val="clear" w:color="auto" w:fill="FFFFFF"/>
        <w:spacing w:line="240" w:lineRule="auto"/>
        <w:ind w:firstLine="420" w:firstLineChars="200"/>
        <w:textAlignment w:val="baseline"/>
        <w:rPr>
          <w:rFonts w:ascii="Times New Roman" w:hAnsi="Times New Roman"/>
          <w:color w:val="1F2329"/>
          <w:kern w:val="0"/>
          <w:shd w:val="clear" w:color="auto" w:fill="FFFFFF"/>
        </w:rPr>
      </w:pPr>
      <w:r>
        <w:rPr>
          <w:rFonts w:ascii="Times New Roman" w:hAnsi="Times New Roman"/>
          <w:color w:val="1F2329"/>
          <w:kern w:val="0"/>
          <w:shd w:val="clear" w:color="auto" w:fill="FFFFFF"/>
        </w:rPr>
        <w:t>本文件作为《临床研究病房智慧管理平台建设规范》系列团体标准的核心质控模块，衔接数据全生命周期管理与平台应用评价、培训实施环节，填补智慧化临床研究病房质量控制标准空白，推动临床研究质量管理向实时化、智能化、标准化方向发展，完善临床研究病房智慧管理全流程标准支撑体系。</w:t>
      </w:r>
    </w:p>
    <w:p w14:paraId="3067F600">
      <w:pPr>
        <w:widowControl/>
        <w:shd w:val="clear" w:color="auto" w:fill="FFFFFF"/>
        <w:spacing w:line="240" w:lineRule="auto"/>
        <w:textAlignment w:val="baseline"/>
        <w:rPr>
          <w:rFonts w:ascii="Times New Roman" w:hAnsi="Times New Roman"/>
          <w:color w:val="1F2329"/>
          <w:kern w:val="0"/>
          <w:shd w:val="clear" w:color="auto" w:fill="FFFFFF"/>
        </w:rPr>
        <w:sectPr>
          <w:pgSz w:w="11906" w:h="16838"/>
          <w:pgMar w:top="1928" w:right="1134" w:bottom="1134" w:left="1134" w:header="1418" w:footer="1134" w:gutter="284"/>
          <w:pgNumType w:fmt="upperRoman"/>
          <w:cols w:space="425" w:num="1"/>
          <w:formProt w:val="0"/>
          <w:docGrid w:linePitch="312" w:charSpace="0"/>
        </w:sectPr>
      </w:pPr>
      <w:r>
        <w:rPr>
          <w:rFonts w:ascii="Times New Roman" w:hAnsi="Times New Roman"/>
          <w:color w:val="1F2329"/>
          <w:kern w:val="0"/>
          <w:shd w:val="clear" w:color="auto" w:fill="FFFFFF"/>
        </w:rPr>
        <w:br w:type="page"/>
      </w:r>
    </w:p>
    <w:sdt>
      <w:sdtPr>
        <w:rPr>
          <w:rFonts w:ascii="Times New Roman" w:hAnsi="Times New Roman"/>
        </w:rPr>
        <w:tag w:val="NEW_STAND_NAME"/>
        <w:id w:val="595910757"/>
        <w:lock w:val="sdtLocked"/>
        <w:placeholder>
          <w:docPart w:val="0AE236D5A80F46079847E4878748BD93"/>
        </w:placeholder>
      </w:sdtPr>
      <w:sdtEndPr>
        <w:rPr>
          <w:rFonts w:ascii="Times New Roman" w:hAnsi="Times New Roman"/>
        </w:rPr>
      </w:sdtEndPr>
      <w:sdtContent>
        <w:p w14:paraId="2C7B1A0F">
          <w:pPr>
            <w:pStyle w:val="181"/>
            <w:spacing w:before="0" w:after="0" w:line="240" w:lineRule="auto"/>
            <w:rPr>
              <w:rFonts w:hint="default" w:ascii="Times New Roman" w:hAnsi="Times New Roman"/>
            </w:rPr>
          </w:pPr>
          <w:bookmarkStart w:id="17" w:name="NEW_STAND_NAME"/>
          <w:r>
            <w:rPr>
              <w:rFonts w:hint="default" w:ascii="Times New Roman" w:hAnsi="Times New Roman"/>
            </w:rPr>
            <w:t>临床研究病房智慧管理平台建设规范</w:t>
          </w:r>
        </w:p>
        <w:p w14:paraId="12B4E8A7">
          <w:pPr>
            <w:pStyle w:val="181"/>
            <w:spacing w:before="0" w:beforeLines="-2147483648" w:after="0" w:afterLines="-2147483648" w:line="240" w:lineRule="auto"/>
            <w:rPr>
              <w:rFonts w:hint="default" w:ascii="Times New Roman" w:hAnsi="Times New Roman"/>
            </w:rPr>
          </w:pPr>
          <w:r>
            <w:rPr>
              <w:rFonts w:hint="default" w:ascii="Times New Roman" w:hAnsi="Times New Roman"/>
            </w:rPr>
            <w:t>第5部分：</w:t>
          </w:r>
          <w:r>
            <w:rPr>
              <w:rFonts w:hint="default" w:ascii="Times New Roman" w:hAnsi="Times New Roman"/>
              <w:sz w:val="32"/>
              <w:szCs w:val="32"/>
            </w:rPr>
            <w:t>质量控制</w:t>
          </w:r>
        </w:p>
      </w:sdtContent>
    </w:sdt>
    <w:bookmarkEnd w:id="17"/>
    <w:p w14:paraId="414E14BA">
      <w:pPr>
        <w:pStyle w:val="108"/>
        <w:spacing w:before="240" w:after="240"/>
      </w:pPr>
      <w:bookmarkStart w:id="18" w:name="_Toc26648465"/>
      <w:bookmarkStart w:id="19" w:name="_Toc17233333"/>
      <w:bookmarkStart w:id="20" w:name="_Toc24884211"/>
      <w:bookmarkStart w:id="21" w:name="_Toc26718930"/>
      <w:bookmarkStart w:id="22" w:name="_Toc228528407"/>
      <w:bookmarkStart w:id="23" w:name="_Toc225519748"/>
      <w:bookmarkStart w:id="24" w:name="_Toc14922"/>
      <w:bookmarkStart w:id="25" w:name="_Toc17233325"/>
      <w:bookmarkStart w:id="26" w:name="_Toc24884218"/>
      <w:bookmarkStart w:id="27" w:name="_Toc26986530"/>
      <w:bookmarkStart w:id="28" w:name="_Toc97192964"/>
      <w:bookmarkStart w:id="29" w:name="_Toc26986771"/>
      <w:r>
        <w:rPr>
          <w:rFonts w:hint="eastAsia"/>
        </w:rPr>
        <w:t>范围</w:t>
      </w:r>
      <w:bookmarkEnd w:id="18"/>
      <w:bookmarkEnd w:id="19"/>
      <w:bookmarkEnd w:id="20"/>
      <w:bookmarkEnd w:id="21"/>
      <w:bookmarkEnd w:id="22"/>
      <w:bookmarkEnd w:id="23"/>
      <w:bookmarkEnd w:id="24"/>
      <w:bookmarkEnd w:id="25"/>
      <w:bookmarkEnd w:id="26"/>
      <w:bookmarkEnd w:id="27"/>
      <w:bookmarkEnd w:id="28"/>
      <w:bookmarkEnd w:id="29"/>
    </w:p>
    <w:p w14:paraId="6B7DF70A">
      <w:pPr>
        <w:widowControl/>
        <w:shd w:val="clear" w:color="auto" w:fill="FFFFFF"/>
        <w:spacing w:after="0" w:line="240" w:lineRule="auto"/>
        <w:ind w:firstLine="420" w:firstLineChars="200"/>
        <w:jc w:val="both"/>
        <w:textAlignment w:val="baseline"/>
        <w:rPr>
          <w:rFonts w:ascii="Times New Roman" w:hAnsi="Times New Roman"/>
          <w:kern w:val="0"/>
          <w:szCs w:val="20"/>
        </w:rPr>
      </w:pPr>
      <w:bookmarkStart w:id="30" w:name="_Toc26986531"/>
      <w:bookmarkStart w:id="31" w:name="_Toc17233326"/>
      <w:bookmarkStart w:id="32" w:name="_Toc225519749"/>
      <w:bookmarkStart w:id="33" w:name="_Toc97192965"/>
      <w:bookmarkStart w:id="34" w:name="_Toc26648466"/>
      <w:bookmarkStart w:id="35" w:name="_Toc26986772"/>
      <w:bookmarkStart w:id="36" w:name="_Toc26718931"/>
      <w:bookmarkStart w:id="37" w:name="_Toc17233334"/>
      <w:bookmarkStart w:id="38" w:name="_Toc24884219"/>
      <w:bookmarkStart w:id="39" w:name="_Toc24884212"/>
      <w:r>
        <w:rPr>
          <w:rFonts w:ascii="Times New Roman" w:hAnsi="Times New Roman"/>
          <w:kern w:val="0"/>
          <w:szCs w:val="20"/>
        </w:rPr>
        <w:t>本文件规定了智慧研究病房管理平台中临床研究数据采集质量控制、数据传输质量控制、数据管理质量控制、质量评价管理的核心要求。</w:t>
      </w:r>
    </w:p>
    <w:p w14:paraId="5A7B21CF">
      <w:pPr>
        <w:widowControl/>
        <w:shd w:val="clear" w:color="auto" w:fill="FFFFFF"/>
        <w:spacing w:after="0" w:line="240" w:lineRule="auto"/>
        <w:ind w:firstLine="420" w:firstLineChars="200"/>
        <w:jc w:val="both"/>
        <w:textAlignment w:val="baseline"/>
        <w:rPr>
          <w:rFonts w:ascii="Times New Roman" w:hAnsi="Times New Roman"/>
          <w:kern w:val="0"/>
          <w:szCs w:val="20"/>
        </w:rPr>
      </w:pPr>
      <w:r>
        <w:rPr>
          <w:rFonts w:ascii="Times New Roman" w:hAnsi="Times New Roman"/>
          <w:kern w:val="0"/>
          <w:szCs w:val="20"/>
        </w:rPr>
        <w:t>本文件适用于药物临床试验、医疗器械临床试验及真实世界研究等临床研究活动中，平台的质量控制功能设计、系统实施及质量管理应用，也可作为临床试验机构开展数据采集质控、传输质控、存储质控、质量评价等工作的技术依据。</w:t>
      </w:r>
    </w:p>
    <w:p w14:paraId="40CCE0AF">
      <w:pPr>
        <w:pStyle w:val="108"/>
        <w:spacing w:before="240" w:after="240"/>
      </w:pPr>
      <w:bookmarkStart w:id="40" w:name="_Toc7023"/>
      <w:bookmarkStart w:id="41" w:name="_Toc228528408"/>
      <w:r>
        <w:rPr>
          <w:rFonts w:hint="eastAsia"/>
        </w:rPr>
        <w:t>规范性引用文件</w:t>
      </w:r>
      <w:bookmarkEnd w:id="30"/>
      <w:bookmarkEnd w:id="31"/>
      <w:bookmarkEnd w:id="32"/>
      <w:bookmarkEnd w:id="33"/>
      <w:bookmarkEnd w:id="34"/>
      <w:bookmarkEnd w:id="35"/>
      <w:bookmarkEnd w:id="36"/>
      <w:bookmarkEnd w:id="37"/>
      <w:bookmarkEnd w:id="38"/>
      <w:bookmarkEnd w:id="39"/>
      <w:bookmarkEnd w:id="40"/>
      <w:bookmarkEnd w:id="41"/>
    </w:p>
    <w:p w14:paraId="0ED4754A">
      <w:pPr>
        <w:pStyle w:val="60"/>
        <w:autoSpaceDE/>
        <w:autoSpaceDN/>
        <w:adjustRightInd w:val="0"/>
        <w:ind w:firstLine="420"/>
        <w:textAlignment w:val="baseline"/>
      </w:pPr>
      <w:sdt>
        <w:sdtPr>
          <w:rPr>
            <w:rFonts w:hint="default"/>
          </w:rPr>
          <w:id w:val="715848253"/>
          <w:placeholder>
            <w:docPart w:val="C727D9BE256B40FF80D982E87BBDDFB3"/>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default"/>
          </w:rPr>
        </w:sdtEndPr>
        <w:sdtContent>
          <w:r>
            <w:rPr>
              <w:rFonts w:hint="default"/>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07A457F3">
      <w:pPr>
        <w:pStyle w:val="60"/>
        <w:autoSpaceDE/>
        <w:autoSpaceDN/>
        <w:adjustRightInd w:val="0"/>
        <w:ind w:firstLine="420"/>
        <w:textAlignment w:val="baseline"/>
        <w:rPr>
          <w:szCs w:val="21"/>
        </w:rPr>
      </w:pPr>
      <w:bookmarkStart w:id="42" w:name="OLE_LINK16"/>
      <w:r>
        <w:rPr>
          <w:rFonts w:hint="default"/>
          <w:szCs w:val="21"/>
        </w:rPr>
        <w:t>GB/T 22239</w:t>
      </w:r>
      <w:bookmarkEnd w:id="42"/>
      <w:r>
        <w:rPr>
          <w:rFonts w:hint="default"/>
          <w:szCs w:val="21"/>
        </w:rPr>
        <w:t>-2019 信息安全技术 网络安全等级保护基本要求</w:t>
      </w:r>
    </w:p>
    <w:p w14:paraId="46CEC45E">
      <w:pPr>
        <w:pStyle w:val="60"/>
        <w:autoSpaceDE/>
        <w:autoSpaceDN/>
        <w:adjustRightInd w:val="0"/>
        <w:ind w:firstLine="420"/>
        <w:textAlignment w:val="baseline"/>
        <w:rPr>
          <w:szCs w:val="21"/>
        </w:rPr>
      </w:pPr>
      <w:r>
        <w:rPr>
          <w:rFonts w:hint="default"/>
          <w:szCs w:val="21"/>
        </w:rPr>
        <w:t>GB/T 35273-2020 信息安全技术 个人信息安全规范</w:t>
      </w:r>
    </w:p>
    <w:p w14:paraId="055021BE">
      <w:pPr>
        <w:pStyle w:val="60"/>
        <w:autoSpaceDE/>
        <w:autoSpaceDN/>
        <w:adjustRightInd w:val="0"/>
        <w:ind w:firstLine="420"/>
        <w:textAlignment w:val="baseline"/>
        <w:rPr>
          <w:szCs w:val="21"/>
        </w:rPr>
      </w:pPr>
      <w:bookmarkStart w:id="43" w:name="OLE_LINK17"/>
      <w:r>
        <w:rPr>
          <w:rFonts w:hint="default"/>
          <w:szCs w:val="21"/>
        </w:rPr>
        <w:t>WS/T 797</w:t>
      </w:r>
      <w:bookmarkEnd w:id="43"/>
      <w:r>
        <w:rPr>
          <w:rFonts w:hint="default"/>
          <w:szCs w:val="21"/>
        </w:rPr>
        <w:t>-2022 临床试验数据管理基本规范</w:t>
      </w:r>
      <w:bookmarkStart w:id="110" w:name="_GoBack"/>
      <w:bookmarkEnd w:id="110"/>
    </w:p>
    <w:p w14:paraId="6E2B3676">
      <w:pPr>
        <w:pStyle w:val="60"/>
        <w:autoSpaceDE/>
        <w:autoSpaceDN/>
        <w:adjustRightInd w:val="0"/>
        <w:ind w:firstLine="420"/>
        <w:textAlignment w:val="baseline"/>
        <w:rPr>
          <w:szCs w:val="21"/>
        </w:rPr>
      </w:pPr>
      <w:r>
        <w:rPr>
          <w:rFonts w:hint="default"/>
          <w:szCs w:val="21"/>
        </w:rPr>
        <w:t>《药物临床试验质量管理规范》（国家药品监督管理局、国家卫生健康委员会，2020年）</w:t>
      </w:r>
    </w:p>
    <w:p w14:paraId="0AD52ECD">
      <w:pPr>
        <w:pStyle w:val="60"/>
        <w:autoSpaceDE/>
        <w:autoSpaceDN/>
        <w:adjustRightInd w:val="0"/>
        <w:ind w:firstLine="420"/>
        <w:textAlignment w:val="baseline"/>
        <w:rPr>
          <w:szCs w:val="21"/>
        </w:rPr>
      </w:pPr>
      <w:r>
        <w:rPr>
          <w:rFonts w:hint="default"/>
          <w:szCs w:val="21"/>
        </w:rPr>
        <w:t>《临床试验数据管理工作技术指南》（国家药品监督管理局药品审评中心2016年）</w:t>
      </w:r>
    </w:p>
    <w:p w14:paraId="2F713189">
      <w:pPr>
        <w:pStyle w:val="108"/>
        <w:spacing w:before="240" w:after="240"/>
      </w:pPr>
      <w:bookmarkStart w:id="44" w:name="_Toc225519750"/>
      <w:bookmarkStart w:id="45" w:name="_Toc24290"/>
      <w:bookmarkStart w:id="46" w:name="_Toc228528409"/>
      <w:r>
        <w:rPr>
          <w:rFonts w:hint="eastAsia"/>
        </w:rPr>
        <w:t>术语和定义</w:t>
      </w:r>
      <w:bookmarkEnd w:id="44"/>
      <w:bookmarkEnd w:id="45"/>
      <w:bookmarkEnd w:id="46"/>
    </w:p>
    <w:sdt>
      <w:sdtPr>
        <w:id w:val="-1909835108"/>
        <w:placeholder>
          <w:docPart w:val="F522C4A9F44240E8AE3754EB3C9EFB45"/>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4861E0D">
          <w:pPr>
            <w:pStyle w:val="60"/>
            <w:ind w:firstLine="420"/>
          </w:pPr>
          <w:bookmarkStart w:id="47" w:name="_Toc26986532"/>
          <w:bookmarkEnd w:id="47"/>
          <w:r>
            <w:t>下列术语和定义适用于本文件。</w:t>
          </w:r>
        </w:p>
      </w:sdtContent>
    </w:sdt>
    <w:p w14:paraId="55F87E24">
      <w:pPr>
        <w:pStyle w:val="109"/>
        <w:spacing w:before="120" w:after="120"/>
        <w:outlineLvl w:val="9"/>
      </w:pPr>
      <w:bookmarkStart w:id="48" w:name="_Toc2882"/>
    </w:p>
    <w:p w14:paraId="483BA4ED">
      <w:pPr>
        <w:pStyle w:val="109"/>
        <w:numPr>
          <w:ilvl w:val="0"/>
          <w:numId w:val="0"/>
        </w:numPr>
        <w:spacing w:before="0" w:beforeLines="0" w:after="0" w:afterLines="0"/>
        <w:ind w:firstLine="420" w:firstLineChars="200"/>
        <w:outlineLvl w:val="9"/>
        <w:rPr>
          <w:rFonts w:ascii="Times New Roman"/>
        </w:rPr>
      </w:pPr>
      <w:r>
        <w:rPr>
          <w:rFonts w:hint="default" w:ascii="Times New Roman"/>
        </w:rPr>
        <w:t xml:space="preserve">质量控制 </w:t>
      </w:r>
      <w:r>
        <w:rPr>
          <w:rFonts w:hint="eastAsia" w:ascii="Times New Roman"/>
        </w:rPr>
        <w:t>q</w:t>
      </w:r>
      <w:r>
        <w:rPr>
          <w:rFonts w:hint="default" w:ascii="Times New Roman"/>
        </w:rPr>
        <w:t xml:space="preserve">uality </w:t>
      </w:r>
      <w:r>
        <w:rPr>
          <w:rFonts w:hint="eastAsia" w:ascii="Times New Roman"/>
        </w:rPr>
        <w:t>c</w:t>
      </w:r>
      <w:r>
        <w:rPr>
          <w:rFonts w:hint="default" w:ascii="Times New Roman"/>
        </w:rPr>
        <w:t xml:space="preserve">ontrol; </w:t>
      </w:r>
      <w:r>
        <w:rPr>
          <w:rFonts w:hint="default" w:ascii="Times New Roman"/>
        </w:rPr>
        <w:t>QC</w:t>
      </w:r>
      <w:bookmarkEnd w:id="48"/>
    </w:p>
    <w:p w14:paraId="3332E786">
      <w:pPr>
        <w:pStyle w:val="60"/>
        <w:ind w:firstLine="420"/>
      </w:pPr>
      <w:r>
        <w:rPr>
          <w:rFonts w:hint="default"/>
        </w:rPr>
        <w:t>为确保平台运行符合预设质量要求，保障临床研究数据真实、完整、规范、安全，对平台设计、建设、运行、维护及临床研究相关操作实施的一系列检查、监控、纠正和预防活动。</w:t>
      </w:r>
    </w:p>
    <w:p w14:paraId="2592C6AA">
      <w:pPr>
        <w:pStyle w:val="109"/>
        <w:spacing w:before="120" w:after="120"/>
        <w:outlineLvl w:val="9"/>
      </w:pPr>
      <w:bookmarkStart w:id="49" w:name="_Toc24984"/>
    </w:p>
    <w:p w14:paraId="42E8C7D6">
      <w:pPr>
        <w:pStyle w:val="109"/>
        <w:numPr>
          <w:ilvl w:val="0"/>
          <w:numId w:val="0"/>
        </w:numPr>
        <w:spacing w:before="0" w:beforeLines="0" w:after="0" w:afterLines="0"/>
        <w:ind w:firstLine="420" w:firstLineChars="200"/>
        <w:outlineLvl w:val="9"/>
        <w:rPr>
          <w:rFonts w:ascii="Times New Roman"/>
        </w:rPr>
      </w:pPr>
      <w:r>
        <w:rPr>
          <w:rFonts w:hint="default" w:ascii="Times New Roman"/>
        </w:rPr>
        <w:t xml:space="preserve">数据质量 </w:t>
      </w:r>
      <w:r>
        <w:rPr>
          <w:rFonts w:hint="eastAsia" w:ascii="Times New Roman"/>
        </w:rPr>
        <w:t>d</w:t>
      </w:r>
      <w:r>
        <w:rPr>
          <w:rFonts w:hint="default" w:ascii="Times New Roman"/>
        </w:rPr>
        <w:t xml:space="preserve">ata </w:t>
      </w:r>
      <w:bookmarkEnd w:id="49"/>
      <w:r>
        <w:rPr>
          <w:rFonts w:hint="eastAsia" w:ascii="Times New Roman"/>
        </w:rPr>
        <w:t>q</w:t>
      </w:r>
      <w:r>
        <w:rPr>
          <w:rFonts w:hint="default" w:ascii="Times New Roman"/>
        </w:rPr>
        <w:t>uality</w:t>
      </w:r>
    </w:p>
    <w:p w14:paraId="77473382">
      <w:pPr>
        <w:pStyle w:val="60"/>
        <w:ind w:firstLine="420"/>
      </w:pPr>
      <w:r>
        <w:rPr>
          <w:rFonts w:hint="default"/>
        </w:rPr>
        <w:t>在指定条件下使用时，平台所存储和处理的临床研究数据的特性满足明确和隐含要求的程度，主要包括准确性、完整性、一致性、及时性、规范性和安全性。</w:t>
      </w:r>
    </w:p>
    <w:p w14:paraId="5DF97131">
      <w:pPr>
        <w:pStyle w:val="109"/>
        <w:spacing w:before="120" w:after="120"/>
        <w:outlineLvl w:val="9"/>
      </w:pPr>
      <w:bookmarkStart w:id="50" w:name="_Toc27250"/>
    </w:p>
    <w:p w14:paraId="018FE91B">
      <w:pPr>
        <w:pStyle w:val="109"/>
        <w:numPr>
          <w:ilvl w:val="0"/>
          <w:numId w:val="0"/>
        </w:numPr>
        <w:spacing w:before="0" w:beforeLines="0" w:after="0" w:afterLines="0"/>
        <w:ind w:firstLine="420" w:firstLineChars="200"/>
        <w:outlineLvl w:val="9"/>
        <w:rPr>
          <w:rFonts w:hint="eastAsia" w:ascii="Times New Roman"/>
        </w:rPr>
      </w:pPr>
      <w:r>
        <w:rPr>
          <w:rFonts w:hint="default" w:ascii="Times New Roman"/>
        </w:rPr>
        <w:t xml:space="preserve">质量风险管理 </w:t>
      </w:r>
      <w:r>
        <w:rPr>
          <w:rFonts w:hint="eastAsia" w:ascii="Times New Roman"/>
        </w:rPr>
        <w:t>q</w:t>
      </w:r>
      <w:r>
        <w:rPr>
          <w:rFonts w:hint="default" w:ascii="Times New Roman"/>
        </w:rPr>
        <w:t xml:space="preserve">uality </w:t>
      </w:r>
      <w:r>
        <w:rPr>
          <w:rFonts w:hint="eastAsia" w:ascii="Times New Roman"/>
        </w:rPr>
        <w:t>r</w:t>
      </w:r>
      <w:r>
        <w:rPr>
          <w:rFonts w:hint="default" w:ascii="Times New Roman"/>
        </w:rPr>
        <w:t xml:space="preserve">isk </w:t>
      </w:r>
      <w:r>
        <w:rPr>
          <w:rFonts w:hint="eastAsia" w:ascii="Times New Roman"/>
        </w:rPr>
        <w:t>m</w:t>
      </w:r>
      <w:r>
        <w:rPr>
          <w:rFonts w:hint="default" w:ascii="Times New Roman"/>
        </w:rPr>
        <w:t>anagement</w:t>
      </w:r>
      <w:r>
        <w:rPr>
          <w:rFonts w:hint="eastAsia" w:ascii="Times New Roman"/>
        </w:rPr>
        <w:t xml:space="preserve">; </w:t>
      </w:r>
      <w:r>
        <w:rPr>
          <w:rFonts w:hint="default" w:ascii="Times New Roman"/>
        </w:rPr>
        <w:t>QRM</w:t>
      </w:r>
      <w:bookmarkEnd w:id="50"/>
    </w:p>
    <w:p w14:paraId="08EE736C">
      <w:pPr>
        <w:pStyle w:val="60"/>
        <w:ind w:firstLine="420"/>
      </w:pPr>
      <w:r>
        <w:rPr>
          <w:rFonts w:hint="default"/>
        </w:rPr>
        <w:t>系统地识别、评估、控制和监控平台运行及临床研究过程中可能影响质量的风险，以最小化风险、保障临床研究质量的管理过程。</w:t>
      </w:r>
    </w:p>
    <w:p w14:paraId="1AE1C276">
      <w:pPr>
        <w:pStyle w:val="109"/>
        <w:spacing w:before="120" w:after="120"/>
        <w:outlineLvl w:val="9"/>
      </w:pPr>
      <w:bookmarkStart w:id="51" w:name="_Toc2537"/>
    </w:p>
    <w:p w14:paraId="3ECEBC12">
      <w:pPr>
        <w:pStyle w:val="109"/>
        <w:numPr>
          <w:ilvl w:val="0"/>
          <w:numId w:val="0"/>
        </w:numPr>
        <w:spacing w:before="0" w:beforeLines="0" w:after="0" w:afterLines="0"/>
        <w:ind w:firstLine="420" w:firstLineChars="200"/>
        <w:outlineLvl w:val="9"/>
        <w:rPr>
          <w:rFonts w:hint="eastAsia" w:ascii="Times New Roman"/>
        </w:rPr>
      </w:pPr>
      <w:r>
        <w:rPr>
          <w:rFonts w:hint="default" w:ascii="Times New Roman"/>
        </w:rPr>
        <w:t xml:space="preserve">受保护的健康信息 </w:t>
      </w:r>
      <w:r>
        <w:rPr>
          <w:rFonts w:hint="eastAsia" w:ascii="Times New Roman"/>
        </w:rPr>
        <w:t>p</w:t>
      </w:r>
      <w:r>
        <w:rPr>
          <w:rFonts w:hint="default" w:ascii="Times New Roman"/>
        </w:rPr>
        <w:t xml:space="preserve">rotected </w:t>
      </w:r>
      <w:r>
        <w:rPr>
          <w:rFonts w:hint="eastAsia" w:ascii="Times New Roman"/>
        </w:rPr>
        <w:t>h</w:t>
      </w:r>
      <w:r>
        <w:rPr>
          <w:rFonts w:hint="default" w:ascii="Times New Roman"/>
        </w:rPr>
        <w:t xml:space="preserve">ealth </w:t>
      </w:r>
      <w:r>
        <w:rPr>
          <w:rFonts w:hint="eastAsia" w:ascii="Times New Roman"/>
        </w:rPr>
        <w:t>i</w:t>
      </w:r>
      <w:r>
        <w:rPr>
          <w:rFonts w:hint="default" w:ascii="Times New Roman"/>
        </w:rPr>
        <w:t>nformation</w:t>
      </w:r>
      <w:r>
        <w:rPr>
          <w:rFonts w:hint="eastAsia" w:ascii="Times New Roman"/>
        </w:rPr>
        <w:t xml:space="preserve">; </w:t>
      </w:r>
      <w:r>
        <w:rPr>
          <w:rFonts w:hint="default" w:ascii="Times New Roman"/>
        </w:rPr>
        <w:t>PHI</w:t>
      </w:r>
      <w:bookmarkEnd w:id="51"/>
    </w:p>
    <w:p w14:paraId="1C11C89C">
      <w:pPr>
        <w:pStyle w:val="60"/>
        <w:ind w:firstLine="420"/>
      </w:pPr>
      <w:r>
        <w:rPr>
          <w:rFonts w:hint="default"/>
        </w:rPr>
        <w:t>涉及受试者个人身份、健康状况、诊疗记录等可识别特定自然人的健康信息，包括文本、影像、生理指标等各类数据。</w:t>
      </w:r>
    </w:p>
    <w:p w14:paraId="509A0E6A">
      <w:pPr>
        <w:pStyle w:val="109"/>
        <w:spacing w:before="120" w:after="120"/>
        <w:outlineLvl w:val="9"/>
      </w:pPr>
      <w:bookmarkStart w:id="52" w:name="_Toc3359"/>
    </w:p>
    <w:p w14:paraId="7149BE2B">
      <w:pPr>
        <w:pStyle w:val="109"/>
        <w:numPr>
          <w:ilvl w:val="0"/>
          <w:numId w:val="0"/>
        </w:numPr>
        <w:spacing w:before="0" w:beforeLines="0" w:after="0" w:afterLines="0"/>
        <w:ind w:firstLine="420" w:firstLineChars="200"/>
        <w:outlineLvl w:val="9"/>
        <w:rPr>
          <w:rFonts w:hint="eastAsia" w:ascii="Times New Roman"/>
        </w:rPr>
      </w:pPr>
      <w:r>
        <w:rPr>
          <w:rFonts w:hint="default" w:ascii="Times New Roman"/>
        </w:rPr>
        <w:t xml:space="preserve">数据溯源核查 </w:t>
      </w:r>
      <w:r>
        <w:rPr>
          <w:rFonts w:hint="eastAsia" w:ascii="Times New Roman"/>
        </w:rPr>
        <w:t>s</w:t>
      </w:r>
      <w:r>
        <w:rPr>
          <w:rFonts w:hint="default" w:ascii="Times New Roman"/>
        </w:rPr>
        <w:t xml:space="preserve">ource </w:t>
      </w:r>
      <w:r>
        <w:rPr>
          <w:rFonts w:hint="eastAsia" w:ascii="Times New Roman"/>
        </w:rPr>
        <w:t>d</w:t>
      </w:r>
      <w:r>
        <w:rPr>
          <w:rFonts w:hint="default" w:ascii="Times New Roman"/>
        </w:rPr>
        <w:t xml:space="preserve">ata </w:t>
      </w:r>
      <w:r>
        <w:rPr>
          <w:rFonts w:hint="eastAsia" w:ascii="Times New Roman"/>
        </w:rPr>
        <w:t>v</w:t>
      </w:r>
      <w:r>
        <w:rPr>
          <w:rFonts w:hint="default" w:ascii="Times New Roman"/>
        </w:rPr>
        <w:t>erification</w:t>
      </w:r>
      <w:r>
        <w:rPr>
          <w:rFonts w:hint="eastAsia" w:ascii="Times New Roman"/>
        </w:rPr>
        <w:t xml:space="preserve">; </w:t>
      </w:r>
      <w:r>
        <w:rPr>
          <w:rFonts w:hint="default" w:ascii="Times New Roman"/>
        </w:rPr>
        <w:t>SDV</w:t>
      </w:r>
      <w:bookmarkEnd w:id="52"/>
    </w:p>
    <w:p w14:paraId="35116BFC">
      <w:pPr>
        <w:pStyle w:val="60"/>
        <w:ind w:firstLine="420"/>
      </w:pPr>
      <w:r>
        <w:rPr>
          <w:rFonts w:hint="default"/>
        </w:rPr>
        <w:t>对平台内临床研究数据与原始研究记录进行核对，确认数据真实性、完整性和准确性，实现数据溯源的核查活动。</w:t>
      </w:r>
    </w:p>
    <w:p w14:paraId="75CFB764">
      <w:pPr>
        <w:pStyle w:val="109"/>
        <w:spacing w:before="120" w:after="120"/>
        <w:outlineLvl w:val="9"/>
      </w:pPr>
      <w:bookmarkStart w:id="53" w:name="_Toc4121"/>
    </w:p>
    <w:p w14:paraId="78687FD4">
      <w:pPr>
        <w:pStyle w:val="109"/>
        <w:numPr>
          <w:ilvl w:val="0"/>
          <w:numId w:val="0"/>
        </w:numPr>
        <w:spacing w:before="0" w:beforeLines="0" w:after="0" w:afterLines="0"/>
        <w:ind w:firstLine="420" w:firstLineChars="200"/>
        <w:outlineLvl w:val="9"/>
        <w:rPr>
          <w:rFonts w:ascii="Times New Roman"/>
        </w:rPr>
      </w:pPr>
      <w:r>
        <w:rPr>
          <w:rFonts w:hint="default" w:ascii="Times New Roman"/>
        </w:rPr>
        <w:t xml:space="preserve">智能预审核 </w:t>
      </w:r>
      <w:r>
        <w:rPr>
          <w:rFonts w:hint="eastAsia" w:ascii="Times New Roman"/>
        </w:rPr>
        <w:t>i</w:t>
      </w:r>
      <w:r>
        <w:rPr>
          <w:rFonts w:hint="default" w:ascii="Times New Roman"/>
        </w:rPr>
        <w:t xml:space="preserve">ntelligent </w:t>
      </w:r>
      <w:r>
        <w:rPr>
          <w:rFonts w:hint="eastAsia" w:ascii="Times New Roman"/>
        </w:rPr>
        <w:t>p</w:t>
      </w:r>
      <w:r>
        <w:rPr>
          <w:rFonts w:hint="default" w:ascii="Times New Roman"/>
        </w:rPr>
        <w:t>re</w:t>
      </w:r>
      <w:r>
        <w:rPr>
          <w:rFonts w:hint="default" w:ascii="Times New Roman"/>
        </w:rPr>
        <w:t>-audit</w:t>
      </w:r>
      <w:bookmarkEnd w:id="53"/>
    </w:p>
    <w:p w14:paraId="5BFCEDB0">
      <w:pPr>
        <w:pStyle w:val="60"/>
        <w:ind w:firstLine="420"/>
      </w:pPr>
      <w:r>
        <w:rPr>
          <w:rFonts w:hint="default"/>
        </w:rPr>
        <w:t>依托平台智能化功能，对临床研究数据（文本、影像）的准确性、完整性、格式规范性及逻辑一致性进行自动校验、标记异常的审核方式。</w:t>
      </w:r>
    </w:p>
    <w:p w14:paraId="4C954957">
      <w:pPr>
        <w:pStyle w:val="109"/>
        <w:spacing w:before="120" w:after="120"/>
        <w:outlineLvl w:val="9"/>
      </w:pPr>
      <w:bookmarkStart w:id="54" w:name="_Toc13029"/>
    </w:p>
    <w:p w14:paraId="11375494">
      <w:pPr>
        <w:pStyle w:val="109"/>
        <w:numPr>
          <w:ilvl w:val="0"/>
          <w:numId w:val="0"/>
        </w:numPr>
        <w:spacing w:before="0" w:beforeLines="0" w:after="0" w:afterLines="0"/>
        <w:ind w:firstLine="420" w:firstLineChars="200"/>
        <w:outlineLvl w:val="9"/>
        <w:rPr>
          <w:rFonts w:ascii="Times New Roman"/>
        </w:rPr>
      </w:pPr>
      <w:r>
        <w:rPr>
          <w:rFonts w:hint="default" w:ascii="Times New Roman"/>
        </w:rPr>
        <w:t xml:space="preserve">三级复核 </w:t>
      </w:r>
      <w:r>
        <w:rPr>
          <w:rFonts w:hint="eastAsia" w:ascii="Times New Roman"/>
        </w:rPr>
        <w:t>t</w:t>
      </w:r>
      <w:r>
        <w:rPr>
          <w:rFonts w:hint="default" w:ascii="Times New Roman"/>
        </w:rPr>
        <w:t>hree</w:t>
      </w:r>
      <w:r>
        <w:rPr>
          <w:rFonts w:hint="default" w:ascii="Times New Roman"/>
        </w:rPr>
        <w:t xml:space="preserve">-level </w:t>
      </w:r>
      <w:r>
        <w:rPr>
          <w:rFonts w:hint="eastAsia" w:ascii="Times New Roman"/>
        </w:rPr>
        <w:t>r</w:t>
      </w:r>
      <w:r>
        <w:rPr>
          <w:rFonts w:hint="default" w:ascii="Times New Roman"/>
        </w:rPr>
        <w:t>eview</w:t>
      </w:r>
      <w:bookmarkEnd w:id="54"/>
    </w:p>
    <w:p w14:paraId="12B46ADD">
      <w:pPr>
        <w:pStyle w:val="60"/>
        <w:ind w:firstLine="420"/>
      </w:pPr>
      <w:r>
        <w:rPr>
          <w:rFonts w:hint="default"/>
        </w:rPr>
        <w:t>针对临床研究核心数据，由录入人员自查、审核人员复核、临床研究负责人最终审核确认的三级审核机制，确保核心数据质量。</w:t>
      </w:r>
    </w:p>
    <w:p w14:paraId="2E74637F">
      <w:pPr>
        <w:pStyle w:val="108"/>
        <w:spacing w:before="240" w:after="240"/>
      </w:pPr>
      <w:bookmarkStart w:id="55" w:name="_Toc228528410"/>
      <w:bookmarkStart w:id="56" w:name="_Toc225519756"/>
      <w:bookmarkStart w:id="57" w:name="_Toc7299"/>
      <w:r>
        <w:rPr>
          <w:rFonts w:hint="eastAsia"/>
        </w:rPr>
        <w:t>缩略语</w:t>
      </w:r>
      <w:bookmarkEnd w:id="55"/>
      <w:bookmarkEnd w:id="56"/>
      <w:bookmarkEnd w:id="57"/>
    </w:p>
    <w:p w14:paraId="4219D65A">
      <w:pPr>
        <w:pStyle w:val="60"/>
        <w:ind w:firstLine="420"/>
      </w:pPr>
      <w:r>
        <w:rPr>
          <w:rFonts w:hint="eastAsia"/>
        </w:rPr>
        <w:t>下列缩略语适用于本文件：</w:t>
      </w:r>
    </w:p>
    <w:p w14:paraId="6CD0D189">
      <w:pPr>
        <w:pStyle w:val="60"/>
        <w:ind w:firstLine="420"/>
      </w:pPr>
      <w:r>
        <w:t xml:space="preserve">GCP：药物临床试验质量管理规范（Good </w:t>
      </w:r>
      <w:r>
        <w:rPr>
          <w:rFonts w:hint="eastAsia"/>
        </w:rPr>
        <w:t>c</w:t>
      </w:r>
      <w:r>
        <w:t xml:space="preserve">linical </w:t>
      </w:r>
      <w:r>
        <w:rPr>
          <w:rFonts w:hint="eastAsia"/>
        </w:rPr>
        <w:t>p</w:t>
      </w:r>
      <w:r>
        <w:t>ractice）</w:t>
      </w:r>
    </w:p>
    <w:p w14:paraId="751F3195">
      <w:pPr>
        <w:pStyle w:val="60"/>
        <w:ind w:firstLine="420"/>
      </w:pPr>
      <w:r>
        <w:t xml:space="preserve">IRB/IEC：伦理委员会（Institutional </w:t>
      </w:r>
      <w:r>
        <w:rPr>
          <w:rFonts w:hint="eastAsia"/>
        </w:rPr>
        <w:t>r</w:t>
      </w:r>
      <w:r>
        <w:t xml:space="preserve">eview </w:t>
      </w:r>
      <w:r>
        <w:rPr>
          <w:rFonts w:hint="eastAsia"/>
        </w:rPr>
        <w:t>b</w:t>
      </w:r>
      <w:r>
        <w:t>oard</w:t>
      </w:r>
      <w:r>
        <w:rPr>
          <w:rFonts w:hint="eastAsia"/>
        </w:rPr>
        <w:t xml:space="preserve"> </w:t>
      </w:r>
      <w:r>
        <w:t>/</w:t>
      </w:r>
      <w:r>
        <w:rPr>
          <w:rFonts w:hint="eastAsia"/>
        </w:rPr>
        <w:t xml:space="preserve"> </w:t>
      </w:r>
      <w:r>
        <w:t xml:space="preserve">Independent </w:t>
      </w:r>
      <w:r>
        <w:rPr>
          <w:rFonts w:hint="eastAsia"/>
        </w:rPr>
        <w:t>e</w:t>
      </w:r>
      <w:r>
        <w:t xml:space="preserve">thics </w:t>
      </w:r>
      <w:r>
        <w:rPr>
          <w:rFonts w:hint="eastAsia"/>
        </w:rPr>
        <w:t>c</w:t>
      </w:r>
      <w:r>
        <w:t>ommittee）</w:t>
      </w:r>
    </w:p>
    <w:p w14:paraId="3DD890AB">
      <w:pPr>
        <w:pStyle w:val="108"/>
        <w:spacing w:before="240" w:after="240"/>
      </w:pPr>
      <w:bookmarkStart w:id="58" w:name="_Toc5468"/>
      <w:bookmarkStart w:id="59" w:name="_Toc228528412"/>
      <w:r>
        <w:rPr>
          <w:rFonts w:hint="eastAsia"/>
        </w:rPr>
        <w:t>质量</w:t>
      </w:r>
      <w:bookmarkEnd w:id="58"/>
      <w:r>
        <w:rPr>
          <w:rFonts w:hint="eastAsia"/>
        </w:rPr>
        <w:t>控制体系</w:t>
      </w:r>
      <w:bookmarkEnd w:id="59"/>
    </w:p>
    <w:p w14:paraId="3832C2FE">
      <w:pPr>
        <w:pStyle w:val="109"/>
        <w:spacing w:before="120" w:after="120"/>
        <w:outlineLvl w:val="9"/>
      </w:pPr>
      <w:bookmarkStart w:id="60" w:name="_Toc23124"/>
      <w:bookmarkStart w:id="61" w:name="_Toc30300"/>
      <w:r>
        <w:rPr>
          <w:rFonts w:hint="eastAsia"/>
        </w:rPr>
        <w:t>质量核查计划</w:t>
      </w:r>
      <w:bookmarkEnd w:id="60"/>
      <w:bookmarkEnd w:id="61"/>
    </w:p>
    <w:p w14:paraId="0E6F6012">
      <w:pPr>
        <w:pStyle w:val="69"/>
        <w:spacing w:before="0" w:beforeLines="0" w:after="0" w:afterLines="0"/>
        <w:outlineLvl w:val="9"/>
      </w:pPr>
      <w:r>
        <w:rPr>
          <w:rFonts w:hint="eastAsia"/>
        </w:rPr>
        <w:t>计划制定要求</w:t>
      </w:r>
    </w:p>
    <w:p w14:paraId="61C54530">
      <w:pPr>
        <w:pStyle w:val="60"/>
        <w:ind w:firstLine="420"/>
      </w:pPr>
      <w:r>
        <w:rPr>
          <w:rFonts w:hint="eastAsia"/>
        </w:rPr>
        <w:t>a) 每个临床研究项目应在启动前制定书面的质量核查计划，明确核查范围、方法、频率、责任人及资源分配；</w:t>
      </w:r>
    </w:p>
    <w:p w14:paraId="67FC3A8C">
      <w:pPr>
        <w:pStyle w:val="60"/>
        <w:ind w:firstLine="420"/>
      </w:pPr>
      <w:r>
        <w:rPr>
          <w:rFonts w:hint="eastAsia"/>
        </w:rPr>
        <w:t>b) 质量核查计划应基于风险制定（RBQM原则），对KDKP数据及高风险环节提高核查强度和频率；</w:t>
      </w:r>
    </w:p>
    <w:p w14:paraId="525EED37">
      <w:pPr>
        <w:pStyle w:val="60"/>
        <w:ind w:firstLine="420"/>
      </w:pPr>
      <w:r>
        <w:rPr>
          <w:rFonts w:hint="eastAsia"/>
        </w:rPr>
        <w:t>c) 计划内容至少包括：核查目标、核查对象，包括数据域、系统模块、流程等、核查方法，包括自动、人工、混合等、抽样策略、核查工具、判定标准、报告路径、CAPA触发条件；</w:t>
      </w:r>
    </w:p>
    <w:p w14:paraId="1EBF4773">
      <w:pPr>
        <w:pStyle w:val="69"/>
        <w:spacing w:before="0" w:beforeLines="0" w:after="0" w:afterLines="0"/>
        <w:outlineLvl w:val="9"/>
      </w:pPr>
      <w:r>
        <w:rPr>
          <w:rFonts w:hint="eastAsia"/>
        </w:rPr>
        <w:t>核查实施要求</w:t>
      </w:r>
    </w:p>
    <w:p w14:paraId="2B24D2E8">
      <w:pPr>
        <w:pStyle w:val="60"/>
        <w:ind w:firstLine="420"/>
      </w:pPr>
      <w:r>
        <w:rPr>
          <w:rFonts w:hint="eastAsia"/>
        </w:rPr>
        <w:t>a) 核查活动应按计划执行，并在平台中记录每次核查的起止时间、执行人、核查范围、结果摘要；</w:t>
      </w:r>
    </w:p>
    <w:p w14:paraId="3EBBD6BD">
      <w:pPr>
        <w:pStyle w:val="60"/>
        <w:ind w:firstLine="420"/>
      </w:pPr>
      <w:r>
        <w:rPr>
          <w:rFonts w:hint="eastAsia"/>
        </w:rPr>
        <w:t>b) 采用自动核查时，应记录核查脚本或规则的版本号，并对规则变更进行版本管理；</w:t>
      </w:r>
    </w:p>
    <w:p w14:paraId="4729DCF0">
      <w:pPr>
        <w:pStyle w:val="69"/>
        <w:spacing w:before="0" w:beforeLines="0" w:after="0" w:afterLines="0"/>
        <w:outlineLvl w:val="9"/>
      </w:pPr>
      <w:r>
        <w:rPr>
          <w:rFonts w:hint="eastAsia"/>
        </w:rPr>
        <w:t>核查计划动态调整</w:t>
      </w:r>
    </w:p>
    <w:p w14:paraId="2C0DB995">
      <w:pPr>
        <w:pStyle w:val="60"/>
        <w:ind w:firstLine="420"/>
      </w:pPr>
      <w:r>
        <w:rPr>
          <w:rFonts w:hint="eastAsia"/>
        </w:rPr>
        <w:t>a) 每季度或当项目出现重大质量事件时，应对质量核查计划进行再评估；</w:t>
      </w:r>
    </w:p>
    <w:p w14:paraId="25954D2A">
      <w:pPr>
        <w:pStyle w:val="60"/>
        <w:ind w:firstLine="420"/>
      </w:pPr>
      <w:r>
        <w:rPr>
          <w:rFonts w:hint="eastAsia"/>
        </w:rPr>
        <w:t>b) 计划调整应形成书面记录，并纳入项目质量管理文档。</w:t>
      </w:r>
    </w:p>
    <w:p w14:paraId="6BBE1B66">
      <w:pPr>
        <w:pStyle w:val="109"/>
        <w:spacing w:before="120" w:after="120"/>
        <w:outlineLvl w:val="9"/>
      </w:pPr>
      <w:bookmarkStart w:id="62" w:name="heading_8"/>
      <w:bookmarkStart w:id="63" w:name="_Toc20706"/>
      <w:r>
        <w:t>质量风险管理</w:t>
      </w:r>
      <w:bookmarkEnd w:id="62"/>
      <w:bookmarkEnd w:id="63"/>
    </w:p>
    <w:p w14:paraId="772DFB68">
      <w:pPr>
        <w:pStyle w:val="69"/>
        <w:spacing w:before="0" w:beforeLines="0" w:after="0" w:afterLines="0"/>
        <w:outlineLvl w:val="9"/>
      </w:pPr>
      <w:r>
        <w:t>风险识别</w:t>
      </w:r>
    </w:p>
    <w:p w14:paraId="3A12BF97">
      <w:pPr>
        <w:pStyle w:val="60"/>
        <w:ind w:firstLine="420"/>
      </w:pPr>
      <w:r>
        <w:t>建立常态化风险识别机制，结合临床研究流程、平台功能及相关法规要求，全面识别平台运行及质量控制过程中的潜在风险，重点关注以下领域：</w:t>
      </w:r>
    </w:p>
    <w:p w14:paraId="7C4CD29A">
      <w:pPr>
        <w:pStyle w:val="60"/>
        <w:ind w:firstLine="420"/>
      </w:pPr>
      <w:r>
        <w:t>a) 数据风险：数据录入错误、缺失、篡改、重复，影像数据失真、格式不规范，数据传输丢失、泄露等；</w:t>
      </w:r>
    </w:p>
    <w:p w14:paraId="2A385A7A">
      <w:pPr>
        <w:pStyle w:val="60"/>
        <w:ind w:firstLine="420"/>
      </w:pPr>
      <w:r>
        <w:t>b) 系统风险：平台硬件故障、软件漏洞、系统崩溃，数据存储设备损坏，接口兼容异常等；</w:t>
      </w:r>
    </w:p>
    <w:p w14:paraId="4EF3CFF6">
      <w:pPr>
        <w:pStyle w:val="60"/>
        <w:ind w:firstLine="420"/>
      </w:pPr>
      <w:r>
        <w:t>c) 操作风险：操作人员资质不足、操作不规范，权限分配不合理，违规访问、修改数据等；</w:t>
      </w:r>
    </w:p>
    <w:p w14:paraId="7A7E01CE">
      <w:pPr>
        <w:pStyle w:val="60"/>
        <w:ind w:firstLine="420"/>
      </w:pPr>
      <w:r>
        <w:t>d) 合规风险：不符合GCP、数据安全及隐私保护相关法规要求，流程不合规，追溯记录不完整等；</w:t>
      </w:r>
    </w:p>
    <w:p w14:paraId="4F183C30">
      <w:pPr>
        <w:pStyle w:val="60"/>
        <w:ind w:firstLine="420"/>
      </w:pPr>
      <w:r>
        <w:t>e) 其他风险：第三方技术支持不到位，应急处置不及时，受试者隐私泄露等。</w:t>
      </w:r>
    </w:p>
    <w:p w14:paraId="6FC9DD1E">
      <w:pPr>
        <w:pStyle w:val="69"/>
        <w:spacing w:before="0" w:beforeLines="0" w:after="0" w:afterLines="0"/>
        <w:outlineLvl w:val="9"/>
      </w:pPr>
      <w:r>
        <w:t>风险评估</w:t>
      </w:r>
    </w:p>
    <w:p w14:paraId="2E34C661">
      <w:pPr>
        <w:pStyle w:val="60"/>
        <w:ind w:firstLine="420"/>
      </w:pPr>
      <w:r>
        <w:t>采用风险矩阵法，从风险发生的可能性和影响程度两个维度，对识别的风险进行分级评估，分为重大风险、一般风险、轻微风险三个等级：</w:t>
      </w:r>
    </w:p>
    <w:p w14:paraId="39AB4218">
      <w:pPr>
        <w:pStyle w:val="60"/>
        <w:ind w:firstLine="420"/>
      </w:pPr>
      <w:r>
        <w:t xml:space="preserve">a) </w:t>
      </w:r>
      <w:r>
        <w:rPr>
          <w:rFonts w:hint="eastAsia"/>
        </w:rPr>
        <w:t>风险发生可能性按1-3分进行评分，3分为高，指每周或单次操作即可能发生，或历史上反复出现；2分为中，指每月可能发生，或同类项目曾出现；1分为低，指每季度及以上才可能发生，或从未出现。</w:t>
      </w:r>
    </w:p>
    <w:p w14:paraId="7A1357CD">
      <w:pPr>
        <w:pStyle w:val="60"/>
        <w:ind w:firstLine="420"/>
      </w:pPr>
      <w:r>
        <w:t xml:space="preserve">b) </w:t>
      </w:r>
      <w:r>
        <w:rPr>
          <w:rFonts w:hint="eastAsia"/>
        </w:rPr>
        <w:t>风险影响程度按1-4分进行评分，4分为严重，指可导致数据失效、不可溯源、受试者权益受损或违反GCP等核心法规；3分为较大，指可导致关键数据错误或缺失、流程中断、影响研究进度；2分为一般，指仅造成非关键数据瑕疵、局部操作不规范，可快速纠正；1分为轻微，指仅为格式或提示类问题，不影响数据质量与研究合规。</w:t>
      </w:r>
    </w:p>
    <w:p w14:paraId="531C3F72">
      <w:pPr>
        <w:pStyle w:val="60"/>
        <w:ind w:firstLine="420"/>
      </w:pPr>
      <w:r>
        <w:rPr>
          <w:rFonts w:hint="eastAsia"/>
        </w:rPr>
        <w:t>c) 风险等级按乘积得分判定，得分≥9分为重大风险，得分4-8分为一般风险，得分≤3分为轻微风险。</w:t>
      </w:r>
    </w:p>
    <w:p w14:paraId="7DBAC882">
      <w:pPr>
        <w:pStyle w:val="109"/>
        <w:spacing w:before="120" w:after="120"/>
        <w:outlineLvl w:val="9"/>
      </w:pPr>
      <w:bookmarkStart w:id="64" w:name="_Toc30892"/>
      <w:bookmarkStart w:id="65" w:name="heading_9"/>
      <w:r>
        <w:t>质量持续改进机制</w:t>
      </w:r>
      <w:bookmarkEnd w:id="64"/>
      <w:bookmarkEnd w:id="65"/>
    </w:p>
    <w:p w14:paraId="01AB2A1A">
      <w:pPr>
        <w:pStyle w:val="69"/>
        <w:spacing w:before="0" w:beforeLines="0" w:after="0" w:afterLines="0"/>
        <w:outlineLvl w:val="9"/>
      </w:pPr>
      <w:r>
        <w:t>反馈机制</w:t>
      </w:r>
    </w:p>
    <w:p w14:paraId="1E7AD920">
      <w:pPr>
        <w:pStyle w:val="60"/>
        <w:ind w:firstLine="420"/>
      </w:pPr>
      <w:r>
        <w:t>建立多渠道质量反馈机制，明确反馈流程、处理时限和责任主体，接受医护人员、研究人员、平台操作人员及监管机构的反馈意见：</w:t>
      </w:r>
    </w:p>
    <w:p w14:paraId="69E86483">
      <w:pPr>
        <w:pStyle w:val="60"/>
        <w:ind w:firstLine="420"/>
      </w:pPr>
      <w:r>
        <w:t>a) 现场反馈：在临床研究现场设置反馈渠道，收集操作人员在平台使用过程中发现的质量问题；</w:t>
      </w:r>
    </w:p>
    <w:p w14:paraId="1364D5CD">
      <w:pPr>
        <w:pStyle w:val="60"/>
        <w:ind w:firstLine="420"/>
      </w:pPr>
      <w:r>
        <w:t>b) 定期反馈：每月召开质量反馈会议，汇总平台运行及质量控制过程中的问题，梳理改进建议；</w:t>
      </w:r>
    </w:p>
    <w:p w14:paraId="1E6AD5A4">
      <w:pPr>
        <w:pStyle w:val="60"/>
        <w:ind w:firstLine="420"/>
      </w:pPr>
      <w:r>
        <w:t>c) 线上反馈：在平台内设置反馈模块，支持操作人员实时提交质量问题及改进建议，确保反馈信息可追溯。</w:t>
      </w:r>
    </w:p>
    <w:p w14:paraId="0392C8F4">
      <w:pPr>
        <w:pStyle w:val="69"/>
        <w:spacing w:before="0" w:beforeLines="0" w:after="0" w:afterLines="0"/>
        <w:outlineLvl w:val="9"/>
      </w:pPr>
      <w:r>
        <w:t>审核与复盘</w:t>
      </w:r>
    </w:p>
    <w:p w14:paraId="3133D9FC">
      <w:pPr>
        <w:pStyle w:val="60"/>
        <w:ind w:firstLine="420"/>
      </w:pPr>
      <w:r>
        <w:t>建立定期审核机制，每月开展一次质量自查，每季度开展一次专项审核，每年开展一次全面审核，重点审核数据质量、流程合规性、系统运行状态及风险控制效果，形成审核报告，明确存在的问题及整改要求。</w:t>
      </w:r>
    </w:p>
    <w:p w14:paraId="2D3E6BDE">
      <w:pPr>
        <w:pStyle w:val="108"/>
        <w:spacing w:before="240" w:after="240"/>
      </w:pPr>
      <w:bookmarkStart w:id="66" w:name="_Toc15680"/>
      <w:bookmarkStart w:id="67" w:name="_Toc228528413"/>
      <w:r>
        <w:rPr>
          <w:rFonts w:hint="eastAsia"/>
        </w:rPr>
        <w:t>数据质量控制</w:t>
      </w:r>
      <w:bookmarkEnd w:id="66"/>
      <w:bookmarkEnd w:id="67"/>
    </w:p>
    <w:p w14:paraId="4EBCFCE3">
      <w:pPr>
        <w:pStyle w:val="109"/>
        <w:spacing w:before="120" w:after="120"/>
        <w:outlineLvl w:val="9"/>
      </w:pPr>
      <w:bookmarkStart w:id="68" w:name="_Toc15646"/>
      <w:r>
        <w:rPr>
          <w:rFonts w:hint="eastAsia"/>
        </w:rPr>
        <w:t>文本数据质量控制</w:t>
      </w:r>
      <w:bookmarkEnd w:id="68"/>
    </w:p>
    <w:p w14:paraId="433E771E">
      <w:pPr>
        <w:pStyle w:val="69"/>
        <w:spacing w:before="0" w:beforeLines="0" w:after="0" w:afterLines="0"/>
        <w:outlineLvl w:val="9"/>
      </w:pPr>
      <w:r>
        <w:t>完整性控制</w:t>
      </w:r>
    </w:p>
    <w:p w14:paraId="4E6C8DE4">
      <w:pPr>
        <w:pStyle w:val="60"/>
        <w:ind w:firstLine="420"/>
      </w:pPr>
      <w:r>
        <w:t>结合智慧化平台管控能力，确保文本数据全面覆盖临床研究需求，符合智慧化临床研究数据溯源及分析要求：</w:t>
      </w:r>
    </w:p>
    <w:p w14:paraId="358C556C">
      <w:pPr>
        <w:pStyle w:val="60"/>
        <w:ind w:firstLine="420"/>
      </w:pPr>
      <w:r>
        <w:t>a) 录入完整性：平台预设文本数据必填项清单，结合临床研究方案自动标记核心数据，对缺失必填项、关键信息不完整的内容，拒绝提交并提示补充；智能识别录入内容中的空白、模糊表述，提醒录入人员完善。</w:t>
      </w:r>
    </w:p>
    <w:p w14:paraId="63B5D1CB">
      <w:pPr>
        <w:pStyle w:val="60"/>
        <w:ind w:firstLine="420"/>
      </w:pPr>
      <w:r>
        <w:t>b) 审核完整性：审核过程中重点核查数据完整性，对核心数据缺失、关键信息遗漏的内容，退回补充完善。</w:t>
      </w:r>
    </w:p>
    <w:p w14:paraId="513E567A">
      <w:pPr>
        <w:pStyle w:val="60"/>
        <w:ind w:firstLine="420"/>
      </w:pPr>
      <w:r>
        <w:t>c) 存储完整性：文本数据存储期间，平台定期校验数据完整性，防范数据丢失、损坏；备份数据同步校验，确保备份数据与原始数据一致，保障数据全生命周期完整。</w:t>
      </w:r>
    </w:p>
    <w:p w14:paraId="5F885837">
      <w:pPr>
        <w:pStyle w:val="69"/>
        <w:spacing w:before="0" w:beforeLines="0" w:after="0" w:afterLines="0"/>
        <w:outlineLvl w:val="9"/>
      </w:pPr>
      <w:r>
        <w:t>格式规范性控制</w:t>
      </w:r>
    </w:p>
    <w:p w14:paraId="0CAD2447">
      <w:pPr>
        <w:pStyle w:val="60"/>
        <w:ind w:firstLine="420"/>
      </w:pPr>
      <w:r>
        <w:t>依托智慧化平台标准化管控功能，统一文本数据格式，确保数据规范统一，适配平台统计分析、跨设备读取及溯源需求：</w:t>
      </w:r>
    </w:p>
    <w:p w14:paraId="695579A7">
      <w:pPr>
        <w:pStyle w:val="60"/>
        <w:ind w:firstLine="420"/>
      </w:pPr>
      <w:r>
        <w:t>a) 格式统一：平台预设标准化录入格式，对日期（YYYY-MM-DD）、时间（HH:MM:SS）、数值单位、编码规则等进行统一管控，自动修正不规范格式，确保数据格式一致。</w:t>
      </w:r>
    </w:p>
    <w:p w14:paraId="0F28EEE9">
      <w:pPr>
        <w:pStyle w:val="60"/>
        <w:ind w:firstLine="420"/>
      </w:pPr>
      <w:r>
        <w:t>b) 术语规范：平台内置临床研究专用术语、缩写匹配校验功能，自动识别不规范术语、缩写，提醒修正，确保全文术语统一，避免因术语混乱影响数据使用。</w:t>
      </w:r>
    </w:p>
    <w:p w14:paraId="3062220F">
      <w:pPr>
        <w:pStyle w:val="109"/>
        <w:spacing w:before="120" w:after="120"/>
        <w:outlineLvl w:val="9"/>
      </w:pPr>
      <w:bookmarkStart w:id="69" w:name="_Toc4195"/>
      <w:r>
        <w:rPr>
          <w:rFonts w:hint="eastAsia"/>
        </w:rPr>
        <w:t>影像数据质量控制</w:t>
      </w:r>
      <w:bookmarkEnd w:id="69"/>
    </w:p>
    <w:p w14:paraId="3FC162E1">
      <w:pPr>
        <w:pStyle w:val="69"/>
        <w:spacing w:before="0" w:beforeLines="0" w:after="0" w:afterLines="0"/>
        <w:outlineLvl w:val="9"/>
      </w:pPr>
      <w:r>
        <w:t>完整性控制</w:t>
      </w:r>
    </w:p>
    <w:p w14:paraId="78FB2BE0">
      <w:pPr>
        <w:pStyle w:val="60"/>
        <w:ind w:firstLine="420"/>
      </w:pPr>
      <w:r>
        <w:t>结合智慧化平台管控功能，确保影像数据全面覆盖临床研究方案要求，保障研究分析的完整性：</w:t>
      </w:r>
    </w:p>
    <w:p w14:paraId="56CF1DEB">
      <w:pPr>
        <w:pStyle w:val="60"/>
        <w:ind w:firstLine="420"/>
      </w:pPr>
      <w:r>
        <w:t>a) 采集完整性：平台结合临床研究方案，预设影像采集清单（采集部位、角度、频次），采集过程中实时提醒，采集完成后自动校验影像数量、采集部位，不完整影像无法上传，确保采集内容完整。</w:t>
      </w:r>
    </w:p>
    <w:p w14:paraId="62BBAFCA">
      <w:pPr>
        <w:pStyle w:val="60"/>
        <w:ind w:firstLine="420"/>
      </w:pPr>
      <w:r>
        <w:t>b) 存储完整性：影像数据采用加密存储，平台定期校验存储影像的完整性，防范影像损坏、丢失</w:t>
      </w:r>
      <w:r>
        <w:rPr>
          <w:rFonts w:hint="eastAsia"/>
        </w:rPr>
        <w:t>。</w:t>
      </w:r>
    </w:p>
    <w:p w14:paraId="5553B60B">
      <w:pPr>
        <w:pStyle w:val="60"/>
        <w:ind w:firstLine="420"/>
      </w:pPr>
      <w:r>
        <w:t>c) 审核完整性：审核过程中核查影像是否完整、无损坏，对缺失、损坏的影像退回重新采集，确保审核合格的影像数据完整覆盖研究需求。</w:t>
      </w:r>
    </w:p>
    <w:p w14:paraId="077B9FC9">
      <w:pPr>
        <w:pStyle w:val="69"/>
        <w:spacing w:before="0" w:beforeLines="0" w:after="0" w:afterLines="0"/>
        <w:outlineLvl w:val="9"/>
      </w:pPr>
      <w:r>
        <w:t>格式规范性控制</w:t>
      </w:r>
    </w:p>
    <w:p w14:paraId="2CADA90E">
      <w:pPr>
        <w:pStyle w:val="60"/>
        <w:ind w:firstLine="420"/>
      </w:pPr>
      <w:r>
        <w:t>严格遵循行业标准，依托智慧化平台格式校验功能，确保影像数据格式规范，适配平台智能分析、跨设备读取及长期存储需求：</w:t>
      </w:r>
    </w:p>
    <w:p w14:paraId="1D3B390F">
      <w:pPr>
        <w:pStyle w:val="60"/>
        <w:ind w:firstLine="420"/>
      </w:pPr>
      <w:r>
        <w:t>a) 格式标准：采集的影像数据严格符合DICOM行业标准，平台自动校验影像格式、分辨率、像素等参数，不符合标准的影像无法上传，确保格式统一。</w:t>
      </w:r>
    </w:p>
    <w:p w14:paraId="0408A60E">
      <w:pPr>
        <w:pStyle w:val="60"/>
        <w:ind w:firstLine="420"/>
      </w:pPr>
      <w:r>
        <w:rPr>
          <w:rFonts w:hint="eastAsia"/>
        </w:rPr>
        <w:t>b</w:t>
      </w:r>
      <w:r>
        <w:t>) 传输格式规范：影像数据传输过程中保持格式统一，采用加密传输协议，确保传输过程中格式不丢失、不错乱，保障数据规范传递。</w:t>
      </w:r>
    </w:p>
    <w:p w14:paraId="5F6CD629">
      <w:pPr>
        <w:pStyle w:val="108"/>
        <w:spacing w:before="240" w:after="240"/>
      </w:pPr>
      <w:bookmarkStart w:id="70" w:name="_Toc228528414"/>
      <w:bookmarkEnd w:id="70"/>
      <w:bookmarkStart w:id="71" w:name="_Toc10984"/>
      <w:bookmarkStart w:id="72" w:name="_Toc228528416"/>
      <w:r>
        <w:rPr>
          <w:rFonts w:hint="eastAsia"/>
        </w:rPr>
        <w:t>过程质量控制</w:t>
      </w:r>
      <w:bookmarkEnd w:id="71"/>
      <w:bookmarkEnd w:id="72"/>
    </w:p>
    <w:p w14:paraId="6D60B9F5">
      <w:pPr>
        <w:pStyle w:val="109"/>
        <w:spacing w:before="120" w:after="120"/>
        <w:outlineLvl w:val="9"/>
      </w:pPr>
      <w:bookmarkStart w:id="73" w:name="_Toc14219"/>
      <w:r>
        <w:rPr>
          <w:rFonts w:hint="eastAsia"/>
        </w:rPr>
        <w:t>数据采集质量控制</w:t>
      </w:r>
      <w:bookmarkEnd w:id="73"/>
    </w:p>
    <w:p w14:paraId="32CAEEC1">
      <w:pPr>
        <w:pStyle w:val="69"/>
        <w:spacing w:before="0" w:beforeLines="0" w:after="0" w:afterLines="0"/>
        <w:outlineLvl w:val="9"/>
      </w:pPr>
      <w:r>
        <w:rPr>
          <w:rFonts w:hint="eastAsia"/>
        </w:rPr>
        <w:t>采集前准备</w:t>
      </w:r>
    </w:p>
    <w:p w14:paraId="2E363A9B">
      <w:pPr>
        <w:pStyle w:val="60"/>
        <w:ind w:firstLine="420"/>
      </w:pPr>
      <w:r>
        <w:rPr>
          <w:rFonts w:hint="eastAsia"/>
        </w:rPr>
        <w:t>应依据临床研究方案制定数据采集计划，对采集人员开展专项培训并考核合格，检查校准采集设备，核对受试者身份及知情同意书后，方可启动采集工作。</w:t>
      </w:r>
    </w:p>
    <w:p w14:paraId="717313A3">
      <w:pPr>
        <w:pStyle w:val="69"/>
        <w:spacing w:before="0" w:beforeLines="0" w:after="0" w:afterLines="0"/>
        <w:outlineLvl w:val="9"/>
      </w:pPr>
      <w:r>
        <w:rPr>
          <w:rFonts w:hint="eastAsia"/>
        </w:rPr>
        <w:t>采集过程控制</w:t>
      </w:r>
    </w:p>
    <w:p w14:paraId="66C5516B">
      <w:pPr>
        <w:pStyle w:val="60"/>
        <w:ind w:firstLine="420"/>
      </w:pPr>
      <w:r>
        <w:rPr>
          <w:rFonts w:hint="eastAsia"/>
        </w:rPr>
        <w:t>采集人员需按计划规范采集、实时录入数据，及时记录并上报异常情况，全程留存可追溯操作记录，由质量管理人员定期现场监督核查。</w:t>
      </w:r>
    </w:p>
    <w:p w14:paraId="3AD163CB">
      <w:pPr>
        <w:pStyle w:val="69"/>
        <w:spacing w:before="0" w:beforeLines="0" w:after="0" w:afterLines="0"/>
        <w:outlineLvl w:val="9"/>
      </w:pPr>
      <w:r>
        <w:rPr>
          <w:rFonts w:hint="eastAsia"/>
        </w:rPr>
        <w:t>采集后校验</w:t>
      </w:r>
    </w:p>
    <w:p w14:paraId="0DEE2822">
      <w:pPr>
        <w:pStyle w:val="60"/>
        <w:ind w:firstLine="420"/>
      </w:pPr>
      <w:r>
        <w:rPr>
          <w:rFonts w:hint="eastAsia"/>
        </w:rPr>
        <w:t>采集人员完成数据自查，平台自动校验数据异常，经复核合格后归档，不合格数据退回整改并重新校验审核。</w:t>
      </w:r>
    </w:p>
    <w:p w14:paraId="04865B79">
      <w:pPr>
        <w:pStyle w:val="109"/>
        <w:spacing w:before="120" w:after="120"/>
        <w:outlineLvl w:val="9"/>
      </w:pPr>
      <w:bookmarkStart w:id="74" w:name="_Toc29052"/>
      <w:r>
        <w:rPr>
          <w:rFonts w:hint="eastAsia"/>
        </w:rPr>
        <w:t>数据传输质量控制</w:t>
      </w:r>
      <w:bookmarkEnd w:id="74"/>
    </w:p>
    <w:p w14:paraId="316FF07F">
      <w:pPr>
        <w:pStyle w:val="69"/>
        <w:spacing w:before="0" w:beforeLines="0" w:after="0" w:afterLines="0"/>
        <w:outlineLvl w:val="9"/>
      </w:pPr>
      <w:r>
        <w:rPr>
          <w:rFonts w:hint="eastAsia"/>
        </w:rPr>
        <w:t>传输协议与方式</w:t>
      </w:r>
    </w:p>
    <w:p w14:paraId="2E6A132D">
      <w:pPr>
        <w:pStyle w:val="60"/>
        <w:ind w:firstLine="420"/>
      </w:pPr>
      <w:r>
        <w:rPr>
          <w:rFonts w:hint="eastAsia"/>
        </w:rPr>
        <w:t>a) 数据传输应采用安全、可靠的传输协议，优先采用SSL/TLS等加密传输协议，确保数据传输过程中不被泄露、篡改、丢失；</w:t>
      </w:r>
    </w:p>
    <w:p w14:paraId="366E736D">
      <w:pPr>
        <w:pStyle w:val="60"/>
        <w:ind w:firstLine="420"/>
      </w:pPr>
      <w:r>
        <w:rPr>
          <w:rFonts w:hint="eastAsia"/>
        </w:rPr>
        <w:t>b) 数据传输方式应符合临床研究数据安全要求，内部传输采用医院内网，外部传输（如与监管机构、合作单位传输）应采用专用通道，严禁通过公共网络、私人邮箱等不安全方式传输核心数据和重要数据；</w:t>
      </w:r>
    </w:p>
    <w:p w14:paraId="464EDA6A">
      <w:pPr>
        <w:pStyle w:val="69"/>
        <w:spacing w:before="0" w:beforeLines="0" w:after="0" w:afterLines="0"/>
        <w:outlineLvl w:val="9"/>
      </w:pPr>
      <w:r>
        <w:rPr>
          <w:rFonts w:hint="eastAsia"/>
        </w:rPr>
        <w:t>传输过程监控</w:t>
      </w:r>
    </w:p>
    <w:p w14:paraId="5A1DE8BA">
      <w:pPr>
        <w:pStyle w:val="60"/>
        <w:ind w:firstLine="420"/>
      </w:pPr>
      <w:r>
        <w:rPr>
          <w:rFonts w:hint="eastAsia"/>
        </w:rPr>
        <w:t>a) 平台应具备数据传输监控功能，实时监控数据传输状态，记录传输时间、传输内容、传输人员、传输结果等信息，形成传输日志，确保传输过程可追溯；</w:t>
      </w:r>
    </w:p>
    <w:p w14:paraId="487607B4">
      <w:pPr>
        <w:pStyle w:val="60"/>
        <w:ind w:firstLine="420"/>
      </w:pPr>
      <w:r>
        <w:rPr>
          <w:rFonts w:hint="eastAsia"/>
        </w:rPr>
        <w:t>b) 传输过程中如出现数据丢失、传输失败等异常情况，平台应及时发出预警，通知相关人员处理，重新传输数据，并记录异常处理过程；</w:t>
      </w:r>
    </w:p>
    <w:p w14:paraId="73125FF3">
      <w:pPr>
        <w:pStyle w:val="69"/>
        <w:spacing w:before="0" w:beforeLines="0" w:after="0" w:afterLines="0"/>
        <w:outlineLvl w:val="9"/>
      </w:pPr>
      <w:r>
        <w:rPr>
          <w:rFonts w:hint="eastAsia"/>
        </w:rPr>
        <w:t>传输后确认</w:t>
      </w:r>
    </w:p>
    <w:p w14:paraId="22F7EC22">
      <w:pPr>
        <w:pStyle w:val="60"/>
        <w:ind w:firstLine="420"/>
      </w:pPr>
      <w:r>
        <w:rPr>
          <w:rFonts w:hint="eastAsia"/>
        </w:rPr>
        <w:t>a) 数据传输完成后，接收方应立即对传输数据进行校验，核对数据的完整性、准确性，确认无误后签署接收意见，反馈给发送方；</w:t>
      </w:r>
    </w:p>
    <w:p w14:paraId="1C2A9BC3">
      <w:pPr>
        <w:pStyle w:val="60"/>
        <w:ind w:firstLine="420"/>
      </w:pPr>
      <w:r>
        <w:rPr>
          <w:rFonts w:hint="eastAsia"/>
        </w:rPr>
        <w:t>b) 如接收方发现数据缺失、错误等问题，应及时通知发送方，发送方重新传输数据，直至接收方确认无误；</w:t>
      </w:r>
    </w:p>
    <w:p w14:paraId="29A63F4A">
      <w:pPr>
        <w:pStyle w:val="60"/>
        <w:ind w:firstLine="420"/>
      </w:pPr>
      <w:r>
        <w:rPr>
          <w:rFonts w:hint="eastAsia"/>
        </w:rPr>
        <w:t>c) 传输确认记录应存档备查，包括传输凭证、接收意见、异常处理记录等。</w:t>
      </w:r>
    </w:p>
    <w:p w14:paraId="69D6BD3E">
      <w:pPr>
        <w:pStyle w:val="109"/>
        <w:spacing w:before="120" w:after="120"/>
        <w:outlineLvl w:val="9"/>
      </w:pPr>
      <w:bookmarkStart w:id="75" w:name="_Toc1741"/>
      <w:r>
        <w:rPr>
          <w:rFonts w:hint="eastAsia"/>
        </w:rPr>
        <w:t>全过程可追溯要求</w:t>
      </w:r>
      <w:bookmarkEnd w:id="75"/>
    </w:p>
    <w:p w14:paraId="6E26D8AD">
      <w:pPr>
        <w:pStyle w:val="69"/>
        <w:spacing w:before="0" w:beforeLines="0" w:after="0" w:afterLines="0"/>
        <w:outlineLvl w:val="9"/>
      </w:pPr>
      <w:r>
        <w:rPr>
          <w:rFonts w:hint="eastAsia"/>
        </w:rPr>
        <w:t>追溯范围</w:t>
      </w:r>
    </w:p>
    <w:p w14:paraId="635346ED">
      <w:pPr>
        <w:pStyle w:val="60"/>
        <w:ind w:firstLine="420"/>
      </w:pPr>
      <w:r>
        <w:rPr>
          <w:rFonts w:hint="eastAsia"/>
        </w:rPr>
        <w:t>平台应实现临床研究数据全生命周期的可追溯，追溯范围包括：数据采集、录入、审核、修改、传输、存储、归档、删除及平台运行、操作、维护等全过程，确保每一项操作都可追溯、可核查。</w:t>
      </w:r>
    </w:p>
    <w:p w14:paraId="0CD4E976">
      <w:pPr>
        <w:pStyle w:val="69"/>
        <w:spacing w:before="0" w:beforeLines="0" w:after="0" w:afterLines="0"/>
        <w:outlineLvl w:val="9"/>
      </w:pPr>
      <w:r>
        <w:rPr>
          <w:rFonts w:hint="eastAsia"/>
        </w:rPr>
        <w:t>追溯记录</w:t>
      </w:r>
    </w:p>
    <w:p w14:paraId="5F0D14E7">
      <w:pPr>
        <w:pStyle w:val="60"/>
        <w:ind w:firstLine="420"/>
      </w:pPr>
      <w:r>
        <w:rPr>
          <w:rFonts w:hint="eastAsia"/>
        </w:rPr>
        <w:t>a) 建立完整的追溯记录体系，记录每一项操作的相关信息，包括操作人员、操作时间、操作内容、操作结果、审批意见等，记录内容应真实、完整、清晰，不得篡改、删除；</w:t>
      </w:r>
    </w:p>
    <w:p w14:paraId="13E7D53C">
      <w:pPr>
        <w:pStyle w:val="60"/>
        <w:ind w:firstLine="420"/>
      </w:pPr>
      <w:r>
        <w:rPr>
          <w:rFonts w:hint="eastAsia"/>
        </w:rPr>
        <w:t>b) 追溯记录应与相关数据关联，形成完整的追溯链条，如数据修改记录应与原始数据、修改后数据关联，传输记录应与传输数据关联；</w:t>
      </w:r>
    </w:p>
    <w:p w14:paraId="3FEC272E">
      <w:pPr>
        <w:pStyle w:val="60"/>
        <w:ind w:firstLine="420"/>
      </w:pPr>
      <w:r>
        <w:rPr>
          <w:rFonts w:hint="eastAsia"/>
        </w:rPr>
        <w:t>c) 追溯记录的存储期限应与数据存储期限一致，至少保存至临床试验结束后5年，涉及重大疾病、特殊人群的临床研究，存储期限延长至10年，确保追溯记录可查询、可验证。</w:t>
      </w:r>
    </w:p>
    <w:p w14:paraId="61A7D505">
      <w:pPr>
        <w:pStyle w:val="108"/>
        <w:spacing w:before="240" w:after="240"/>
      </w:pPr>
      <w:bookmarkStart w:id="76" w:name="_Toc21717"/>
      <w:bookmarkStart w:id="77" w:name="_Toc228528417"/>
      <w:r>
        <w:rPr>
          <w:rFonts w:hint="eastAsia"/>
        </w:rPr>
        <w:t>质量</w:t>
      </w:r>
      <w:bookmarkEnd w:id="76"/>
      <w:r>
        <w:rPr>
          <w:rFonts w:hint="eastAsia"/>
        </w:rPr>
        <w:t>评价</w:t>
      </w:r>
      <w:bookmarkEnd w:id="77"/>
    </w:p>
    <w:p w14:paraId="7EA3FB54">
      <w:pPr>
        <w:pStyle w:val="109"/>
        <w:spacing w:before="120" w:after="120"/>
        <w:outlineLvl w:val="9"/>
      </w:pPr>
      <w:bookmarkStart w:id="78" w:name="heading_7"/>
      <w:bookmarkStart w:id="79" w:name="_Toc19145"/>
      <w:r>
        <w:t>质量方针与目标</w:t>
      </w:r>
      <w:bookmarkEnd w:id="78"/>
      <w:bookmarkEnd w:id="79"/>
    </w:p>
    <w:p w14:paraId="73EDAF89">
      <w:pPr>
        <w:pStyle w:val="60"/>
        <w:ind w:firstLine="420"/>
      </w:pPr>
      <w:r>
        <w:t>质量目标应具体、可量化、可实现、可考核，结合临床研究实际需求设定，至少包括以下内容：</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1"/>
        <w:gridCol w:w="3639"/>
        <w:gridCol w:w="4270"/>
      </w:tblGrid>
      <w:tr w14:paraId="0A998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00741BE0">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目标维度</w:t>
            </w:r>
          </w:p>
        </w:tc>
        <w:tc>
          <w:tcPr>
            <w:tcW w:w="3639" w:type="dxa"/>
            <w:vAlign w:val="center"/>
          </w:tcPr>
          <w:p w14:paraId="015E12A8">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具体质量目标</w:t>
            </w:r>
          </w:p>
        </w:tc>
        <w:tc>
          <w:tcPr>
            <w:tcW w:w="4270" w:type="dxa"/>
            <w:vAlign w:val="center"/>
          </w:tcPr>
          <w:p w14:paraId="10FE65F1">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量化指标</w:t>
            </w:r>
          </w:p>
        </w:tc>
      </w:tr>
      <w:tr w14:paraId="1A059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3E2810C2">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数据质量目标</w:t>
            </w:r>
          </w:p>
        </w:tc>
        <w:tc>
          <w:tcPr>
            <w:tcW w:w="3639" w:type="dxa"/>
            <w:vAlign w:val="center"/>
          </w:tcPr>
          <w:p w14:paraId="2217C9B1">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文本数据准确率、影像数据符合 DICOM 标准率、数据完整性、数据一致性、数据及时录入率</w:t>
            </w:r>
          </w:p>
        </w:tc>
        <w:tc>
          <w:tcPr>
            <w:tcW w:w="4270" w:type="dxa"/>
            <w:vAlign w:val="center"/>
          </w:tcPr>
          <w:p w14:paraId="05A159FB">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文本数据准确率≥99.5%，影像数据符合 DICOM标准率100%，数据完整性≥99%，数据一致性≥99.8%，数据及时录入率100%</w:t>
            </w:r>
          </w:p>
        </w:tc>
      </w:tr>
      <w:tr w14:paraId="59001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6418E86E">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过程合规目标</w:t>
            </w:r>
          </w:p>
        </w:tc>
        <w:tc>
          <w:tcPr>
            <w:tcW w:w="3639" w:type="dxa"/>
            <w:vAlign w:val="center"/>
          </w:tcPr>
          <w:p w14:paraId="2A99A718">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数据采集、传输、存储环节合规率、全过程可追溯率、质量核查覆盖率</w:t>
            </w:r>
          </w:p>
        </w:tc>
        <w:tc>
          <w:tcPr>
            <w:tcW w:w="4270" w:type="dxa"/>
            <w:vAlign w:val="center"/>
          </w:tcPr>
          <w:p w14:paraId="63AC031B">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数据采集、传输、存储等环节合规率100%，全过程可追溯率，100%质量核查覆盖率 100%</w:t>
            </w:r>
          </w:p>
        </w:tc>
      </w:tr>
      <w:tr w14:paraId="1A9AF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736351BF">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系统运行目标</w:t>
            </w:r>
          </w:p>
        </w:tc>
        <w:tc>
          <w:tcPr>
            <w:tcW w:w="3639" w:type="dxa"/>
            <w:vAlign w:val="center"/>
          </w:tcPr>
          <w:p w14:paraId="4443EFD1">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平台年故障率、单次故障恢复时间、数据传输成功率</w:t>
            </w:r>
          </w:p>
        </w:tc>
        <w:tc>
          <w:tcPr>
            <w:tcW w:w="4270" w:type="dxa"/>
            <w:vAlign w:val="center"/>
          </w:tcPr>
          <w:p w14:paraId="7D540043">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平台年故障率≤0.5%，单次故障恢复时间≤2小时，数据传输成功率≥99.9%</w:t>
            </w:r>
          </w:p>
        </w:tc>
      </w:tr>
      <w:tr w14:paraId="2F049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459A8EBA">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风险管控目标</w:t>
            </w:r>
          </w:p>
        </w:tc>
        <w:tc>
          <w:tcPr>
            <w:tcW w:w="3639" w:type="dxa"/>
            <w:vAlign w:val="center"/>
          </w:tcPr>
          <w:p w14:paraId="55625939">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重大质量风险识别覆盖率、风险处置及时率</w:t>
            </w:r>
          </w:p>
        </w:tc>
        <w:tc>
          <w:tcPr>
            <w:tcW w:w="4270" w:type="dxa"/>
            <w:vAlign w:val="center"/>
          </w:tcPr>
          <w:p w14:paraId="3905CFE0">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重大质量风险识别覆盖率100%，风险处置及时率 100%</w:t>
            </w:r>
          </w:p>
        </w:tc>
      </w:tr>
      <w:tr w14:paraId="4C1D6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1" w:type="dxa"/>
            <w:vAlign w:val="center"/>
          </w:tcPr>
          <w:p w14:paraId="5EBADB36">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持续改进目标</w:t>
            </w:r>
          </w:p>
        </w:tc>
        <w:tc>
          <w:tcPr>
            <w:tcW w:w="3639" w:type="dxa"/>
            <w:vAlign w:val="center"/>
          </w:tcPr>
          <w:p w14:paraId="417897C2">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每季度质量缺陷整改率、每年质量评价得分提升率</w:t>
            </w:r>
          </w:p>
        </w:tc>
        <w:tc>
          <w:tcPr>
            <w:tcW w:w="4270" w:type="dxa"/>
            <w:vAlign w:val="center"/>
          </w:tcPr>
          <w:p w14:paraId="4A62D1F5">
            <w:pPr>
              <w:widowControl/>
              <w:spacing w:line="240" w:lineRule="auto"/>
              <w:jc w:val="both"/>
              <w:textAlignment w:val="center"/>
              <w:rPr>
                <w:rFonts w:ascii="Times New Roman" w:hAnsi="Times New Roman"/>
                <w:kern w:val="0"/>
                <w:szCs w:val="20"/>
              </w:rPr>
            </w:pPr>
            <w:r>
              <w:rPr>
                <w:rFonts w:hint="default" w:ascii="Times New Roman" w:hAnsi="Times New Roman"/>
                <w:kern w:val="0"/>
                <w:szCs w:val="20"/>
              </w:rPr>
              <w:t>每季度质量缺陷整改率100%，每年质量评价得分提升≥5%</w:t>
            </w:r>
          </w:p>
        </w:tc>
      </w:tr>
    </w:tbl>
    <w:p w14:paraId="5DE9E4F9">
      <w:pPr>
        <w:pStyle w:val="109"/>
        <w:spacing w:before="120" w:after="120"/>
        <w:outlineLvl w:val="9"/>
      </w:pPr>
      <w:r>
        <w:rPr>
          <w:rFonts w:hint="eastAsia"/>
        </w:rPr>
        <w:t>质量评价指标</w:t>
      </w:r>
    </w:p>
    <w:p w14:paraId="71021539">
      <w:pPr>
        <w:pStyle w:val="69"/>
        <w:spacing w:before="0" w:beforeLines="0" w:after="0" w:afterLines="0"/>
        <w:outlineLvl w:val="9"/>
      </w:pPr>
      <w:r>
        <w:rPr>
          <w:rFonts w:hint="eastAsia"/>
        </w:rPr>
        <w:t>评价</w:t>
      </w:r>
      <w:r>
        <w:t>指标框架</w:t>
      </w:r>
    </w:p>
    <w:p w14:paraId="77F513B4">
      <w:pPr>
        <w:pStyle w:val="60"/>
        <w:ind w:firstLine="420"/>
      </w:pPr>
      <w:r>
        <w:t>平台质量评价指标体系应包括以下维度：</w:t>
      </w:r>
    </w:p>
    <w:p w14:paraId="1001E518">
      <w:pPr>
        <w:pStyle w:val="60"/>
        <w:ind w:firstLine="420"/>
      </w:pPr>
      <w:r>
        <w:t>a) 数据质量维度：完整性、准确性、一致性、及时性、合规性；</w:t>
      </w:r>
    </w:p>
    <w:p w14:paraId="33BE7135">
      <w:pPr>
        <w:pStyle w:val="60"/>
        <w:ind w:firstLine="420"/>
      </w:pPr>
      <w:r>
        <w:t>b) 系统性能维度：可用性、响应时间、并发处理能力、数据吞吐量；</w:t>
      </w:r>
    </w:p>
    <w:p w14:paraId="2C09CD88">
      <w:pPr>
        <w:pStyle w:val="60"/>
        <w:ind w:firstLine="420"/>
      </w:pPr>
      <w:r>
        <w:t>c) 流程合规维度：方案依从性、SOP执行率、培训完成率；</w:t>
      </w:r>
    </w:p>
    <w:p w14:paraId="0F1E94A1">
      <w:pPr>
        <w:pStyle w:val="60"/>
        <w:ind w:firstLine="420"/>
      </w:pPr>
      <w:r>
        <w:t>d) 安全维度：访问控制合规率、安全事件发生率、数据备份成功率。</w:t>
      </w:r>
    </w:p>
    <w:p w14:paraId="23389D23">
      <w:pPr>
        <w:pStyle w:val="69"/>
        <w:spacing w:before="0" w:beforeLines="0" w:after="0" w:afterLines="0"/>
        <w:outlineLvl w:val="9"/>
        <w:rPr>
          <w:rFonts w:ascii="Times New Roman"/>
        </w:rPr>
      </w:pPr>
      <w:r>
        <w:rPr>
          <w:rFonts w:ascii="Times New Roman"/>
        </w:rPr>
        <w:t>关键质量指标（KQI）</w:t>
      </w:r>
    </w:p>
    <w:p w14:paraId="4DF1077A">
      <w:pPr>
        <w:pStyle w:val="60"/>
        <w:ind w:firstLine="420"/>
      </w:pPr>
      <w:r>
        <w:t>建立关键质量指标库，包括但不限于：</w:t>
      </w:r>
    </w:p>
    <w:p w14:paraId="32B8C344">
      <w:pPr>
        <w:pStyle w:val="60"/>
        <w:ind w:firstLine="420"/>
      </w:pPr>
      <w:r>
        <w:t>a) 数据完整率=实际采集数据项/应采集数据项×100%；</w:t>
      </w:r>
    </w:p>
    <w:p w14:paraId="7527C96A">
      <w:pPr>
        <w:pStyle w:val="60"/>
        <w:ind w:firstLine="420"/>
      </w:pPr>
      <w:r>
        <w:t>b)</w:t>
      </w:r>
      <w:r>
        <w:rPr>
          <w:rFonts w:hint="eastAsia"/>
        </w:rPr>
        <w:t xml:space="preserve"> </w:t>
      </w:r>
      <w:r>
        <w:t>数据准确率=（1-错误数据条数/总数据条数）×100%；</w:t>
      </w:r>
    </w:p>
    <w:p w14:paraId="1266CCD0">
      <w:pPr>
        <w:pStyle w:val="60"/>
        <w:ind w:firstLine="420"/>
      </w:pPr>
      <w:r>
        <w:t>c)</w:t>
      </w:r>
      <w:r>
        <w:rPr>
          <w:rFonts w:hint="eastAsia"/>
        </w:rPr>
        <w:t xml:space="preserve"> </w:t>
      </w:r>
      <w:r>
        <w:t>数据及时率=及时采集/传输的数据量/总数据量×100%；</w:t>
      </w:r>
    </w:p>
    <w:p w14:paraId="0CCC1138">
      <w:pPr>
        <w:pStyle w:val="60"/>
        <w:ind w:firstLine="420"/>
      </w:pPr>
      <w:r>
        <w:t>d)</w:t>
      </w:r>
      <w:r>
        <w:rPr>
          <w:rFonts w:hint="eastAsia"/>
        </w:rPr>
        <w:t xml:space="preserve"> </w:t>
      </w:r>
      <w:r>
        <w:t>系统可用性=系统正常运行时间/总运行时间×100%。</w:t>
      </w:r>
    </w:p>
    <w:p w14:paraId="0BBD5A07">
      <w:pPr>
        <w:pStyle w:val="69"/>
        <w:spacing w:before="0" w:beforeLines="0" w:after="0" w:afterLines="0"/>
        <w:outlineLvl w:val="9"/>
        <w:rPr>
          <w:rFonts w:ascii="Times New Roman"/>
        </w:rPr>
      </w:pPr>
      <w:r>
        <w:rPr>
          <w:rFonts w:ascii="Times New Roman"/>
        </w:rPr>
        <w:t>质量容忍限（QTL）</w:t>
      </w:r>
    </w:p>
    <w:p w14:paraId="7A33795C">
      <w:pPr>
        <w:pStyle w:val="60"/>
        <w:ind w:firstLine="420"/>
      </w:pPr>
      <w:r>
        <w:t>a) 针对关键质量指标设定质量容忍限（QTL），明确可接受的质量波动范围；</w:t>
      </w:r>
    </w:p>
    <w:p w14:paraId="23C3AED1">
      <w:pPr>
        <w:pStyle w:val="60"/>
        <w:ind w:firstLine="420"/>
      </w:pPr>
      <w:r>
        <w:t>b) 超出QTL时触发预警，启动质量审查与改进流程；</w:t>
      </w:r>
    </w:p>
    <w:p w14:paraId="25164D16">
      <w:pPr>
        <w:pStyle w:val="60"/>
        <w:ind w:firstLine="420"/>
      </w:pPr>
      <w:r>
        <w:t>c) 定期（每季度）回顾QTL设定合理性，根据研究阶段与风险等级动态调整。</w:t>
      </w:r>
    </w:p>
    <w:p w14:paraId="63981191">
      <w:pPr>
        <w:pStyle w:val="60"/>
        <w:ind w:firstLine="0" w:firstLineChars="0"/>
        <w:sectPr>
          <w:pgSz w:w="11906" w:h="16838"/>
          <w:pgMar w:top="1928" w:right="1134" w:bottom="1134" w:left="1134" w:header="1418" w:footer="1134" w:gutter="284"/>
          <w:pgNumType w:start="1"/>
          <w:cols w:space="425" w:num="1"/>
          <w:formProt w:val="0"/>
          <w:docGrid w:linePitch="312" w:charSpace="0"/>
        </w:sectPr>
      </w:pPr>
    </w:p>
    <w:bookmarkEnd w:id="16"/>
    <w:p w14:paraId="5BE6D9F1">
      <w:pPr>
        <w:pStyle w:val="80"/>
        <w:spacing w:before="0" w:after="0" w:afterLines="0"/>
        <w:rPr>
          <w:rFonts w:ascii="Times New Roman"/>
        </w:rPr>
      </w:pPr>
      <w:bookmarkStart w:id="80" w:name="_Toc12892"/>
      <w:bookmarkStart w:id="81" w:name="BookMark5"/>
      <w:r>
        <w:rPr>
          <w:rFonts w:ascii="Times New Roman"/>
        </w:rPr>
        <w:br w:type="textWrapping"/>
      </w:r>
      <w:bookmarkStart w:id="82" w:name="_Toc225519793"/>
      <w:bookmarkStart w:id="83" w:name="_Toc228528418"/>
      <w:r>
        <w:rPr>
          <w:rFonts w:hint="default" w:ascii="Times New Roman"/>
        </w:rPr>
        <w:t>（规范性）</w:t>
      </w:r>
      <w:r>
        <w:rPr>
          <w:rFonts w:ascii="Times New Roman"/>
        </w:rPr>
        <w:br w:type="textWrapping"/>
      </w:r>
      <w:bookmarkEnd w:id="82"/>
      <w:r>
        <w:rPr>
          <w:rFonts w:hint="default" w:ascii="Times New Roman"/>
        </w:rPr>
        <w:t>质量控制检查表</w:t>
      </w:r>
      <w:bookmarkEnd w:id="80"/>
      <w:bookmarkEnd w:id="83"/>
    </w:p>
    <w:p w14:paraId="1BBCC508">
      <w:pPr>
        <w:pStyle w:val="82"/>
        <w:numPr>
          <w:ilvl w:val="0"/>
          <w:numId w:val="0"/>
        </w:numPr>
        <w:spacing w:before="0" w:beforeLines="0" w:after="0" w:afterLines="0"/>
        <w:outlineLvl w:val="9"/>
        <w:rPr>
          <w:rFonts w:hint="eastAsia"/>
        </w:rPr>
      </w:pPr>
      <w:bookmarkStart w:id="84" w:name="_Toc19004"/>
      <w:bookmarkStart w:id="85" w:name="_Toc14535"/>
    </w:p>
    <w:p w14:paraId="4243CC77">
      <w:pPr>
        <w:pStyle w:val="82"/>
        <w:spacing w:before="120" w:after="120"/>
        <w:outlineLvl w:val="9"/>
      </w:pPr>
      <w:r>
        <w:rPr>
          <w:rFonts w:hint="eastAsia"/>
        </w:rPr>
        <w:t>检查表内容</w:t>
      </w:r>
      <w:bookmarkEnd w:id="84"/>
      <w:bookmarkEnd w:id="85"/>
    </w:p>
    <w:p w14:paraId="3E07C9DF">
      <w:pPr>
        <w:pStyle w:val="81"/>
        <w:spacing w:before="120" w:after="120"/>
      </w:pPr>
      <w:r>
        <w:rPr>
          <w:rFonts w:hint="eastAsia"/>
        </w:rPr>
        <w:t>质量检测表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2"/>
        <w:gridCol w:w="1484"/>
        <w:gridCol w:w="2176"/>
        <w:gridCol w:w="1583"/>
        <w:gridCol w:w="1432"/>
        <w:gridCol w:w="1463"/>
      </w:tblGrid>
      <w:tr w14:paraId="12439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Align w:val="center"/>
          </w:tcPr>
          <w:p w14:paraId="4BD84548">
            <w:pPr>
              <w:widowControl/>
              <w:spacing w:line="240" w:lineRule="auto"/>
              <w:jc w:val="left"/>
              <w:rPr>
                <w:rFonts w:ascii="Times New Roman" w:hAnsi="Times New Roman"/>
              </w:rPr>
            </w:pPr>
            <w:r>
              <w:rPr>
                <w:rFonts w:ascii="Times New Roman" w:hAnsi="Times New Roman" w:eastAsia="宋体" w:cs="Times New Roman"/>
                <w:color w:val="0F1115"/>
                <w:kern w:val="0"/>
                <w:lang w:bidi="ar"/>
              </w:rPr>
              <w:t>检查模块</w:t>
            </w:r>
          </w:p>
        </w:tc>
        <w:tc>
          <w:tcPr>
            <w:tcW w:w="1595" w:type="dxa"/>
            <w:vAlign w:val="center"/>
          </w:tcPr>
          <w:p w14:paraId="42E6A9C2">
            <w:pPr>
              <w:widowControl/>
              <w:spacing w:line="240" w:lineRule="auto"/>
              <w:jc w:val="left"/>
              <w:rPr>
                <w:rFonts w:ascii="Times New Roman" w:hAnsi="Times New Roman"/>
              </w:rPr>
            </w:pPr>
            <w:r>
              <w:rPr>
                <w:rFonts w:ascii="Times New Roman" w:hAnsi="Times New Roman" w:eastAsia="宋体" w:cs="Times New Roman"/>
                <w:color w:val="0F1115"/>
                <w:kern w:val="0"/>
                <w:lang w:bidi="ar"/>
              </w:rPr>
              <w:t>检查项编号</w:t>
            </w:r>
          </w:p>
        </w:tc>
        <w:tc>
          <w:tcPr>
            <w:tcW w:w="1595" w:type="dxa"/>
            <w:vAlign w:val="center"/>
          </w:tcPr>
          <w:p w14:paraId="260B3FB6">
            <w:pPr>
              <w:widowControl/>
              <w:spacing w:line="240" w:lineRule="auto"/>
              <w:jc w:val="left"/>
              <w:rPr>
                <w:rFonts w:ascii="Times New Roman" w:hAnsi="Times New Roman"/>
              </w:rPr>
            </w:pPr>
            <w:r>
              <w:rPr>
                <w:rFonts w:ascii="Times New Roman" w:hAnsi="Times New Roman" w:eastAsia="宋体" w:cs="Times New Roman"/>
                <w:color w:val="0F1115"/>
                <w:kern w:val="0"/>
                <w:lang w:bidi="ar"/>
              </w:rPr>
              <w:t>检查内容</w:t>
            </w:r>
          </w:p>
        </w:tc>
        <w:tc>
          <w:tcPr>
            <w:tcW w:w="1595" w:type="dxa"/>
            <w:vAlign w:val="center"/>
          </w:tcPr>
          <w:p w14:paraId="1897E07E">
            <w:pPr>
              <w:widowControl/>
              <w:spacing w:line="240" w:lineRule="auto"/>
              <w:jc w:val="left"/>
              <w:rPr>
                <w:rFonts w:ascii="Times New Roman" w:hAnsi="Times New Roman"/>
              </w:rPr>
            </w:pPr>
            <w:r>
              <w:rPr>
                <w:rFonts w:ascii="Times New Roman" w:hAnsi="Times New Roman" w:eastAsia="宋体" w:cs="Times New Roman"/>
                <w:color w:val="0F1115"/>
                <w:kern w:val="0"/>
                <w:lang w:bidi="ar"/>
              </w:rPr>
              <w:t>判定标准</w:t>
            </w:r>
          </w:p>
        </w:tc>
        <w:tc>
          <w:tcPr>
            <w:tcW w:w="1595" w:type="dxa"/>
            <w:vAlign w:val="center"/>
          </w:tcPr>
          <w:p w14:paraId="158BFE2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检查方法</w:t>
            </w:r>
          </w:p>
        </w:tc>
        <w:tc>
          <w:tcPr>
            <w:tcW w:w="1595" w:type="dxa"/>
            <w:vAlign w:val="center"/>
          </w:tcPr>
          <w:p w14:paraId="36A27A88">
            <w:pPr>
              <w:widowControl/>
              <w:spacing w:line="240" w:lineRule="auto"/>
              <w:jc w:val="left"/>
              <w:rPr>
                <w:rFonts w:ascii="Times New Roman" w:hAnsi="Times New Roman"/>
              </w:rPr>
            </w:pPr>
            <w:r>
              <w:rPr>
                <w:rFonts w:ascii="Times New Roman" w:hAnsi="Times New Roman" w:eastAsia="宋体" w:cs="Times New Roman"/>
                <w:color w:val="0F1115"/>
                <w:kern w:val="0"/>
                <w:lang w:bidi="ar"/>
              </w:rPr>
              <w:t>结果（合格/不合格/不适用）</w:t>
            </w:r>
          </w:p>
        </w:tc>
      </w:tr>
      <w:tr w14:paraId="31FF2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45BC4DF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数据采集完整性</w:t>
            </w:r>
          </w:p>
        </w:tc>
        <w:tc>
          <w:tcPr>
            <w:tcW w:w="1595" w:type="dxa"/>
            <w:vAlign w:val="center"/>
          </w:tcPr>
          <w:p w14:paraId="640864DB">
            <w:pPr>
              <w:widowControl/>
              <w:spacing w:line="240" w:lineRule="auto"/>
              <w:jc w:val="left"/>
              <w:rPr>
                <w:rFonts w:ascii="Times New Roman" w:hAnsi="Times New Roman"/>
              </w:rPr>
            </w:pPr>
            <w:r>
              <w:rPr>
                <w:rFonts w:ascii="Times New Roman" w:hAnsi="Times New Roman" w:eastAsia="宋体" w:cs="Times New Roman"/>
                <w:color w:val="0F1115"/>
                <w:kern w:val="0"/>
                <w:lang w:bidi="ar"/>
              </w:rPr>
              <w:t>DC-01</w:t>
            </w:r>
          </w:p>
        </w:tc>
        <w:tc>
          <w:tcPr>
            <w:tcW w:w="1595" w:type="dxa"/>
            <w:vAlign w:val="center"/>
          </w:tcPr>
          <w:p w14:paraId="31121B1F">
            <w:pPr>
              <w:widowControl/>
              <w:spacing w:line="240" w:lineRule="auto"/>
              <w:jc w:val="left"/>
              <w:rPr>
                <w:rFonts w:ascii="Times New Roman" w:hAnsi="Times New Roman"/>
              </w:rPr>
            </w:pPr>
            <w:r>
              <w:rPr>
                <w:rFonts w:ascii="Times New Roman" w:hAnsi="Times New Roman" w:eastAsia="宋体" w:cs="Times New Roman"/>
                <w:color w:val="0F1115"/>
                <w:kern w:val="0"/>
                <w:lang w:bidi="ar"/>
              </w:rPr>
              <w:t>必填字段是否完整填写</w:t>
            </w:r>
          </w:p>
        </w:tc>
        <w:tc>
          <w:tcPr>
            <w:tcW w:w="1595" w:type="dxa"/>
            <w:vAlign w:val="center"/>
          </w:tcPr>
          <w:p w14:paraId="1EA74DE1">
            <w:pPr>
              <w:widowControl/>
              <w:spacing w:line="240" w:lineRule="auto"/>
              <w:jc w:val="left"/>
              <w:rPr>
                <w:rFonts w:ascii="Times New Roman" w:hAnsi="Times New Roman"/>
              </w:rPr>
            </w:pPr>
            <w:r>
              <w:rPr>
                <w:rFonts w:ascii="Times New Roman" w:hAnsi="Times New Roman" w:eastAsia="宋体" w:cs="Times New Roman"/>
                <w:color w:val="0F1115"/>
                <w:kern w:val="0"/>
                <w:lang w:bidi="ar"/>
              </w:rPr>
              <w:t>无缺失</w:t>
            </w:r>
          </w:p>
        </w:tc>
        <w:tc>
          <w:tcPr>
            <w:tcW w:w="1595" w:type="dxa"/>
            <w:vAlign w:val="center"/>
          </w:tcPr>
          <w:p w14:paraId="13636D82">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系统自动校验+人工抽查</w:t>
            </w:r>
          </w:p>
        </w:tc>
        <w:tc>
          <w:tcPr>
            <w:tcW w:w="1595" w:type="dxa"/>
          </w:tcPr>
          <w:p w14:paraId="686CD39D">
            <w:pPr>
              <w:pStyle w:val="60"/>
              <w:ind w:firstLine="0" w:firstLineChars="0"/>
              <w:jc w:val="center"/>
              <w:rPr>
                <w:szCs w:val="21"/>
              </w:rPr>
            </w:pPr>
          </w:p>
        </w:tc>
      </w:tr>
      <w:tr w14:paraId="331A0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23B501D2">
            <w:pPr>
              <w:spacing w:line="240" w:lineRule="auto"/>
              <w:rPr>
                <w:rFonts w:ascii="Times New Roman" w:hAnsi="Times New Roman"/>
              </w:rPr>
            </w:pPr>
          </w:p>
        </w:tc>
        <w:tc>
          <w:tcPr>
            <w:tcW w:w="1595" w:type="dxa"/>
            <w:vAlign w:val="center"/>
          </w:tcPr>
          <w:p w14:paraId="7213925A">
            <w:pPr>
              <w:widowControl/>
              <w:spacing w:line="240" w:lineRule="auto"/>
              <w:jc w:val="left"/>
              <w:rPr>
                <w:rFonts w:ascii="Times New Roman" w:hAnsi="Times New Roman"/>
              </w:rPr>
            </w:pPr>
            <w:r>
              <w:rPr>
                <w:rFonts w:ascii="Times New Roman" w:hAnsi="Times New Roman" w:eastAsia="宋体" w:cs="Times New Roman"/>
                <w:color w:val="0F1115"/>
                <w:kern w:val="0"/>
                <w:lang w:bidi="ar"/>
              </w:rPr>
              <w:t>DC-02</w:t>
            </w:r>
          </w:p>
        </w:tc>
        <w:tc>
          <w:tcPr>
            <w:tcW w:w="1595" w:type="dxa"/>
            <w:vAlign w:val="center"/>
          </w:tcPr>
          <w:p w14:paraId="73E28852">
            <w:pPr>
              <w:widowControl/>
              <w:spacing w:line="240" w:lineRule="auto"/>
              <w:jc w:val="left"/>
              <w:rPr>
                <w:rFonts w:ascii="Times New Roman" w:hAnsi="Times New Roman"/>
              </w:rPr>
            </w:pPr>
            <w:r>
              <w:rPr>
                <w:rFonts w:ascii="Times New Roman" w:hAnsi="Times New Roman" w:eastAsia="宋体" w:cs="Times New Roman"/>
                <w:color w:val="0F1115"/>
                <w:kern w:val="0"/>
                <w:lang w:bidi="ar"/>
              </w:rPr>
              <w:t>时序数据是否有断点</w:t>
            </w:r>
          </w:p>
        </w:tc>
        <w:tc>
          <w:tcPr>
            <w:tcW w:w="1595" w:type="dxa"/>
            <w:vAlign w:val="center"/>
          </w:tcPr>
          <w:p w14:paraId="549494EB">
            <w:pPr>
              <w:widowControl/>
              <w:spacing w:line="240" w:lineRule="auto"/>
              <w:jc w:val="left"/>
              <w:rPr>
                <w:rFonts w:ascii="Times New Roman" w:hAnsi="Times New Roman"/>
              </w:rPr>
            </w:pPr>
            <w:r>
              <w:rPr>
                <w:rFonts w:ascii="Times New Roman" w:hAnsi="Times New Roman" w:eastAsia="宋体" w:cs="Times New Roman"/>
                <w:color w:val="0F1115"/>
                <w:kern w:val="0"/>
                <w:lang w:bidi="ar"/>
              </w:rPr>
              <w:t>连续无缺失</w:t>
            </w:r>
          </w:p>
        </w:tc>
        <w:tc>
          <w:tcPr>
            <w:tcW w:w="1595" w:type="dxa"/>
            <w:vAlign w:val="center"/>
          </w:tcPr>
          <w:p w14:paraId="6321E132">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系统校验</w:t>
            </w:r>
          </w:p>
        </w:tc>
        <w:tc>
          <w:tcPr>
            <w:tcW w:w="1595" w:type="dxa"/>
          </w:tcPr>
          <w:p w14:paraId="25C93599">
            <w:pPr>
              <w:pStyle w:val="60"/>
              <w:ind w:firstLine="0" w:firstLineChars="0"/>
              <w:jc w:val="center"/>
              <w:rPr>
                <w:szCs w:val="21"/>
              </w:rPr>
            </w:pPr>
          </w:p>
        </w:tc>
      </w:tr>
      <w:tr w14:paraId="2D6D4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079CB61A">
            <w:pPr>
              <w:spacing w:line="240" w:lineRule="auto"/>
              <w:rPr>
                <w:rFonts w:ascii="Times New Roman" w:hAnsi="Times New Roman"/>
              </w:rPr>
            </w:pPr>
          </w:p>
        </w:tc>
        <w:tc>
          <w:tcPr>
            <w:tcW w:w="1595" w:type="dxa"/>
            <w:vAlign w:val="center"/>
          </w:tcPr>
          <w:p w14:paraId="2202B4D3">
            <w:pPr>
              <w:widowControl/>
              <w:spacing w:line="240" w:lineRule="auto"/>
              <w:jc w:val="left"/>
              <w:rPr>
                <w:rFonts w:ascii="Times New Roman" w:hAnsi="Times New Roman"/>
              </w:rPr>
            </w:pPr>
            <w:r>
              <w:rPr>
                <w:rFonts w:ascii="Times New Roman" w:hAnsi="Times New Roman" w:eastAsia="宋体" w:cs="Times New Roman"/>
                <w:color w:val="0F1115"/>
                <w:kern w:val="0"/>
                <w:lang w:bidi="ar"/>
              </w:rPr>
              <w:t>DC-03</w:t>
            </w:r>
          </w:p>
        </w:tc>
        <w:tc>
          <w:tcPr>
            <w:tcW w:w="1595" w:type="dxa"/>
            <w:vAlign w:val="center"/>
          </w:tcPr>
          <w:p w14:paraId="5CDFD107">
            <w:pPr>
              <w:widowControl/>
              <w:spacing w:line="240" w:lineRule="auto"/>
              <w:jc w:val="left"/>
              <w:rPr>
                <w:rFonts w:ascii="Times New Roman" w:hAnsi="Times New Roman"/>
              </w:rPr>
            </w:pPr>
            <w:r>
              <w:rPr>
                <w:rFonts w:ascii="Times New Roman" w:hAnsi="Times New Roman" w:eastAsia="宋体" w:cs="Times New Roman"/>
                <w:color w:val="0F1115"/>
                <w:kern w:val="0"/>
                <w:lang w:bidi="ar"/>
              </w:rPr>
              <w:t>附件（影像、报告）是否完整关联</w:t>
            </w:r>
          </w:p>
        </w:tc>
        <w:tc>
          <w:tcPr>
            <w:tcW w:w="1595" w:type="dxa"/>
            <w:vAlign w:val="center"/>
          </w:tcPr>
          <w:p w14:paraId="1162D33C">
            <w:pPr>
              <w:widowControl/>
              <w:spacing w:line="240" w:lineRule="auto"/>
              <w:jc w:val="left"/>
              <w:rPr>
                <w:rFonts w:ascii="Times New Roman" w:hAnsi="Times New Roman"/>
              </w:rPr>
            </w:pPr>
            <w:r>
              <w:rPr>
                <w:rFonts w:ascii="Times New Roman" w:hAnsi="Times New Roman" w:eastAsia="宋体" w:cs="Times New Roman"/>
                <w:color w:val="0F1115"/>
                <w:kern w:val="0"/>
                <w:lang w:bidi="ar"/>
              </w:rPr>
              <w:t>关联率100%</w:t>
            </w:r>
          </w:p>
        </w:tc>
        <w:tc>
          <w:tcPr>
            <w:tcW w:w="1595" w:type="dxa"/>
            <w:vAlign w:val="center"/>
          </w:tcPr>
          <w:p w14:paraId="174E6889">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系统校验</w:t>
            </w:r>
          </w:p>
        </w:tc>
        <w:tc>
          <w:tcPr>
            <w:tcW w:w="1595" w:type="dxa"/>
          </w:tcPr>
          <w:p w14:paraId="360D0B0A">
            <w:pPr>
              <w:pStyle w:val="60"/>
              <w:ind w:firstLine="0" w:firstLineChars="0"/>
              <w:jc w:val="center"/>
              <w:rPr>
                <w:szCs w:val="21"/>
              </w:rPr>
            </w:pPr>
          </w:p>
        </w:tc>
      </w:tr>
      <w:tr w14:paraId="0E9B5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550DA0F7">
            <w:pPr>
              <w:spacing w:line="240" w:lineRule="auto"/>
              <w:rPr>
                <w:rFonts w:ascii="Times New Roman" w:hAnsi="Times New Roman"/>
              </w:rPr>
            </w:pPr>
          </w:p>
        </w:tc>
        <w:tc>
          <w:tcPr>
            <w:tcW w:w="1595" w:type="dxa"/>
            <w:vAlign w:val="center"/>
          </w:tcPr>
          <w:p w14:paraId="06E518EC">
            <w:pPr>
              <w:widowControl/>
              <w:spacing w:line="240" w:lineRule="auto"/>
              <w:jc w:val="left"/>
              <w:rPr>
                <w:rFonts w:ascii="Times New Roman" w:hAnsi="Times New Roman"/>
              </w:rPr>
            </w:pPr>
            <w:r>
              <w:rPr>
                <w:rFonts w:ascii="Times New Roman" w:hAnsi="Times New Roman" w:eastAsia="宋体" w:cs="Times New Roman"/>
                <w:color w:val="0F1115"/>
                <w:kern w:val="0"/>
                <w:lang w:bidi="ar"/>
              </w:rPr>
              <w:t>DC-04</w:t>
            </w:r>
          </w:p>
        </w:tc>
        <w:tc>
          <w:tcPr>
            <w:tcW w:w="1595" w:type="dxa"/>
            <w:vAlign w:val="center"/>
          </w:tcPr>
          <w:p w14:paraId="1DF9CC82">
            <w:pPr>
              <w:widowControl/>
              <w:spacing w:line="240" w:lineRule="auto"/>
              <w:jc w:val="left"/>
              <w:rPr>
                <w:rFonts w:ascii="Times New Roman" w:hAnsi="Times New Roman"/>
              </w:rPr>
            </w:pPr>
            <w:r>
              <w:rPr>
                <w:rFonts w:ascii="Times New Roman" w:hAnsi="Times New Roman" w:eastAsia="宋体" w:cs="Times New Roman"/>
                <w:color w:val="0F1115"/>
                <w:kern w:val="0"/>
                <w:lang w:bidi="ar"/>
              </w:rPr>
              <w:t>缺失数据是否分类标记并记录原因</w:t>
            </w:r>
          </w:p>
        </w:tc>
        <w:tc>
          <w:tcPr>
            <w:tcW w:w="1595" w:type="dxa"/>
            <w:vAlign w:val="center"/>
          </w:tcPr>
          <w:p w14:paraId="1327689A">
            <w:pPr>
              <w:widowControl/>
              <w:spacing w:line="240" w:lineRule="auto"/>
              <w:jc w:val="left"/>
              <w:rPr>
                <w:rFonts w:ascii="Times New Roman" w:hAnsi="Times New Roman"/>
              </w:rPr>
            </w:pPr>
            <w:r>
              <w:rPr>
                <w:rFonts w:ascii="Times New Roman" w:hAnsi="Times New Roman" w:eastAsia="宋体" w:cs="Times New Roman"/>
                <w:color w:val="0F1115"/>
                <w:kern w:val="0"/>
                <w:lang w:bidi="ar"/>
              </w:rPr>
              <w:t>标记完整，原因合理</w:t>
            </w:r>
          </w:p>
        </w:tc>
        <w:tc>
          <w:tcPr>
            <w:tcW w:w="1595" w:type="dxa"/>
            <w:vAlign w:val="center"/>
          </w:tcPr>
          <w:p w14:paraId="69E49976">
            <w:pPr>
              <w:widowControl/>
              <w:spacing w:line="240" w:lineRule="auto"/>
              <w:jc w:val="left"/>
              <w:rPr>
                <w:rFonts w:ascii="Times New Roman" w:hAnsi="Times New Roman"/>
              </w:rPr>
            </w:pPr>
            <w:r>
              <w:rPr>
                <w:rFonts w:ascii="Times New Roman" w:hAnsi="Times New Roman" w:eastAsia="宋体" w:cs="Times New Roman"/>
                <w:color w:val="0F1115"/>
                <w:kern w:val="0"/>
                <w:lang w:bidi="ar"/>
              </w:rPr>
              <w:t>人工审核</w:t>
            </w:r>
          </w:p>
        </w:tc>
        <w:tc>
          <w:tcPr>
            <w:tcW w:w="1595" w:type="dxa"/>
          </w:tcPr>
          <w:p w14:paraId="01E02295">
            <w:pPr>
              <w:pStyle w:val="60"/>
              <w:ind w:firstLine="0" w:firstLineChars="0"/>
              <w:jc w:val="center"/>
              <w:rPr>
                <w:szCs w:val="21"/>
              </w:rPr>
            </w:pPr>
          </w:p>
        </w:tc>
      </w:tr>
      <w:tr w14:paraId="7636A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77A663E1">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数据采集准确性</w:t>
            </w:r>
          </w:p>
        </w:tc>
        <w:tc>
          <w:tcPr>
            <w:tcW w:w="1595" w:type="dxa"/>
            <w:vAlign w:val="center"/>
          </w:tcPr>
          <w:p w14:paraId="4552AC51">
            <w:pPr>
              <w:widowControl/>
              <w:spacing w:line="240" w:lineRule="auto"/>
              <w:jc w:val="left"/>
              <w:rPr>
                <w:rFonts w:ascii="Times New Roman" w:hAnsi="Times New Roman"/>
              </w:rPr>
            </w:pPr>
            <w:r>
              <w:rPr>
                <w:rFonts w:ascii="Times New Roman" w:hAnsi="Times New Roman" w:eastAsia="宋体" w:cs="Times New Roman"/>
                <w:color w:val="0F1115"/>
                <w:kern w:val="0"/>
                <w:lang w:bidi="ar"/>
              </w:rPr>
              <w:t>DA-01</w:t>
            </w:r>
          </w:p>
        </w:tc>
        <w:tc>
          <w:tcPr>
            <w:tcW w:w="1595" w:type="dxa"/>
            <w:vAlign w:val="center"/>
          </w:tcPr>
          <w:p w14:paraId="0FA989C1">
            <w:pPr>
              <w:widowControl/>
              <w:spacing w:line="240" w:lineRule="auto"/>
              <w:jc w:val="left"/>
              <w:rPr>
                <w:rFonts w:ascii="Times New Roman" w:hAnsi="Times New Roman"/>
              </w:rPr>
            </w:pPr>
            <w:r>
              <w:rPr>
                <w:rFonts w:ascii="Times New Roman" w:hAnsi="Times New Roman" w:eastAsia="宋体" w:cs="Times New Roman"/>
                <w:color w:val="0F1115"/>
                <w:kern w:val="0"/>
                <w:lang w:bidi="ar"/>
              </w:rPr>
              <w:t>范围值校验：异常数据是否触发预警</w:t>
            </w:r>
          </w:p>
        </w:tc>
        <w:tc>
          <w:tcPr>
            <w:tcW w:w="1595" w:type="dxa"/>
            <w:vAlign w:val="center"/>
          </w:tcPr>
          <w:p w14:paraId="76165AEC">
            <w:pPr>
              <w:widowControl/>
              <w:spacing w:line="240" w:lineRule="auto"/>
              <w:jc w:val="left"/>
              <w:rPr>
                <w:rFonts w:ascii="Times New Roman" w:hAnsi="Times New Roman"/>
              </w:rPr>
            </w:pPr>
            <w:r>
              <w:rPr>
                <w:rFonts w:ascii="Times New Roman" w:hAnsi="Times New Roman" w:eastAsia="宋体" w:cs="Times New Roman"/>
                <w:color w:val="0F1115"/>
                <w:kern w:val="0"/>
                <w:lang w:bidi="ar"/>
              </w:rPr>
              <w:t>超出合理范围即触发</w:t>
            </w:r>
          </w:p>
        </w:tc>
        <w:tc>
          <w:tcPr>
            <w:tcW w:w="1595" w:type="dxa"/>
            <w:vAlign w:val="center"/>
          </w:tcPr>
          <w:p w14:paraId="52AAF736">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系统测试+人工抽查</w:t>
            </w:r>
          </w:p>
        </w:tc>
        <w:tc>
          <w:tcPr>
            <w:tcW w:w="1595" w:type="dxa"/>
          </w:tcPr>
          <w:p w14:paraId="03DAA69E">
            <w:pPr>
              <w:pStyle w:val="60"/>
              <w:ind w:firstLine="0" w:firstLineChars="0"/>
              <w:jc w:val="center"/>
              <w:rPr>
                <w:szCs w:val="21"/>
              </w:rPr>
            </w:pPr>
          </w:p>
        </w:tc>
      </w:tr>
      <w:tr w14:paraId="461F9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28AF1244">
            <w:pPr>
              <w:spacing w:line="240" w:lineRule="auto"/>
              <w:rPr>
                <w:rFonts w:ascii="Times New Roman" w:hAnsi="Times New Roman"/>
              </w:rPr>
            </w:pPr>
          </w:p>
        </w:tc>
        <w:tc>
          <w:tcPr>
            <w:tcW w:w="1595" w:type="dxa"/>
            <w:vAlign w:val="center"/>
          </w:tcPr>
          <w:p w14:paraId="5F5C9225">
            <w:pPr>
              <w:widowControl/>
              <w:spacing w:line="240" w:lineRule="auto"/>
              <w:jc w:val="left"/>
              <w:rPr>
                <w:rFonts w:ascii="Times New Roman" w:hAnsi="Times New Roman"/>
              </w:rPr>
            </w:pPr>
            <w:r>
              <w:rPr>
                <w:rFonts w:ascii="Times New Roman" w:hAnsi="Times New Roman" w:eastAsia="宋体" w:cs="Times New Roman"/>
                <w:color w:val="0F1115"/>
                <w:kern w:val="0"/>
                <w:lang w:bidi="ar"/>
              </w:rPr>
              <w:t>DA-02</w:t>
            </w:r>
          </w:p>
        </w:tc>
        <w:tc>
          <w:tcPr>
            <w:tcW w:w="1595" w:type="dxa"/>
            <w:vAlign w:val="center"/>
          </w:tcPr>
          <w:p w14:paraId="7D5F6E4E">
            <w:pPr>
              <w:widowControl/>
              <w:spacing w:line="240" w:lineRule="auto"/>
              <w:jc w:val="left"/>
              <w:rPr>
                <w:rFonts w:ascii="Times New Roman" w:hAnsi="Times New Roman"/>
              </w:rPr>
            </w:pPr>
            <w:r>
              <w:rPr>
                <w:rFonts w:ascii="Times New Roman" w:hAnsi="Times New Roman" w:eastAsia="宋体" w:cs="Times New Roman"/>
                <w:color w:val="0F1115"/>
                <w:kern w:val="0"/>
                <w:lang w:bidi="ar"/>
              </w:rPr>
              <w:t>逻辑一致性校验：性别、年龄与检查项目匹配</w:t>
            </w:r>
          </w:p>
        </w:tc>
        <w:tc>
          <w:tcPr>
            <w:tcW w:w="1595" w:type="dxa"/>
            <w:vAlign w:val="center"/>
          </w:tcPr>
          <w:p w14:paraId="51179082">
            <w:pPr>
              <w:widowControl/>
              <w:spacing w:line="240" w:lineRule="auto"/>
              <w:jc w:val="left"/>
              <w:rPr>
                <w:rFonts w:ascii="Times New Roman" w:hAnsi="Times New Roman"/>
              </w:rPr>
            </w:pPr>
            <w:r>
              <w:rPr>
                <w:rFonts w:ascii="Times New Roman" w:hAnsi="Times New Roman" w:eastAsia="宋体" w:cs="Times New Roman"/>
                <w:color w:val="0F1115"/>
                <w:kern w:val="0"/>
                <w:lang w:bidi="ar"/>
              </w:rPr>
              <w:t>无逻辑矛盾</w:t>
            </w:r>
          </w:p>
        </w:tc>
        <w:tc>
          <w:tcPr>
            <w:tcW w:w="1595" w:type="dxa"/>
            <w:vAlign w:val="center"/>
          </w:tcPr>
          <w:p w14:paraId="100FB3E8">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系统校验</w:t>
            </w:r>
          </w:p>
        </w:tc>
        <w:tc>
          <w:tcPr>
            <w:tcW w:w="1595" w:type="dxa"/>
          </w:tcPr>
          <w:p w14:paraId="4575753E">
            <w:pPr>
              <w:pStyle w:val="60"/>
              <w:ind w:firstLine="0" w:firstLineChars="0"/>
              <w:jc w:val="center"/>
              <w:rPr>
                <w:szCs w:val="21"/>
              </w:rPr>
            </w:pPr>
          </w:p>
        </w:tc>
      </w:tr>
      <w:tr w14:paraId="3944E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4579C514">
            <w:pPr>
              <w:spacing w:line="240" w:lineRule="auto"/>
              <w:rPr>
                <w:rFonts w:ascii="Times New Roman" w:hAnsi="Times New Roman"/>
              </w:rPr>
            </w:pPr>
          </w:p>
        </w:tc>
        <w:tc>
          <w:tcPr>
            <w:tcW w:w="1595" w:type="dxa"/>
            <w:vAlign w:val="center"/>
          </w:tcPr>
          <w:p w14:paraId="6B8A7BA3">
            <w:pPr>
              <w:widowControl/>
              <w:spacing w:line="240" w:lineRule="auto"/>
              <w:jc w:val="left"/>
              <w:rPr>
                <w:rFonts w:ascii="Times New Roman" w:hAnsi="Times New Roman"/>
              </w:rPr>
            </w:pPr>
            <w:r>
              <w:rPr>
                <w:rFonts w:ascii="Times New Roman" w:hAnsi="Times New Roman" w:eastAsia="宋体" w:cs="Times New Roman"/>
                <w:color w:val="0F1115"/>
                <w:kern w:val="0"/>
                <w:lang w:bidi="ar"/>
              </w:rPr>
              <w:t>DA-03</w:t>
            </w:r>
          </w:p>
        </w:tc>
        <w:tc>
          <w:tcPr>
            <w:tcW w:w="1595" w:type="dxa"/>
            <w:vAlign w:val="center"/>
          </w:tcPr>
          <w:p w14:paraId="3AB60138">
            <w:pPr>
              <w:widowControl/>
              <w:spacing w:line="240" w:lineRule="auto"/>
              <w:jc w:val="left"/>
              <w:rPr>
                <w:rFonts w:ascii="Times New Roman" w:hAnsi="Times New Roman"/>
              </w:rPr>
            </w:pPr>
            <w:r>
              <w:rPr>
                <w:rFonts w:ascii="Times New Roman" w:hAnsi="Times New Roman" w:eastAsia="宋体" w:cs="Times New Roman"/>
                <w:color w:val="0F1115"/>
                <w:kern w:val="0"/>
                <w:lang w:bidi="ar"/>
              </w:rPr>
              <w:t>跨源一致性：eCRF与HIS/LIS数据比对</w:t>
            </w:r>
          </w:p>
        </w:tc>
        <w:tc>
          <w:tcPr>
            <w:tcW w:w="1595" w:type="dxa"/>
            <w:vAlign w:val="center"/>
          </w:tcPr>
          <w:p w14:paraId="7359957C">
            <w:pPr>
              <w:widowControl/>
              <w:spacing w:line="240" w:lineRule="auto"/>
              <w:jc w:val="left"/>
              <w:rPr>
                <w:rFonts w:ascii="Times New Roman" w:hAnsi="Times New Roman"/>
              </w:rPr>
            </w:pPr>
            <w:r>
              <w:rPr>
                <w:rFonts w:ascii="Times New Roman" w:hAnsi="Times New Roman" w:eastAsia="宋体" w:cs="Times New Roman"/>
                <w:color w:val="0F1115"/>
                <w:kern w:val="0"/>
                <w:lang w:bidi="ar"/>
              </w:rPr>
              <w:t>关键字段一致率≥99%</w:t>
            </w:r>
          </w:p>
        </w:tc>
        <w:tc>
          <w:tcPr>
            <w:tcW w:w="1595" w:type="dxa"/>
            <w:vAlign w:val="center"/>
          </w:tcPr>
          <w:p w14:paraId="4EC8B593">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系统比对</w:t>
            </w:r>
          </w:p>
        </w:tc>
        <w:tc>
          <w:tcPr>
            <w:tcW w:w="1595" w:type="dxa"/>
          </w:tcPr>
          <w:p w14:paraId="04EAA83D">
            <w:pPr>
              <w:pStyle w:val="60"/>
              <w:ind w:firstLine="0" w:firstLineChars="0"/>
              <w:jc w:val="center"/>
              <w:rPr>
                <w:szCs w:val="21"/>
              </w:rPr>
            </w:pPr>
          </w:p>
        </w:tc>
      </w:tr>
      <w:tr w14:paraId="0514E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2418CCCF">
            <w:pPr>
              <w:spacing w:line="240" w:lineRule="auto"/>
              <w:rPr>
                <w:rFonts w:ascii="Times New Roman" w:hAnsi="Times New Roman"/>
              </w:rPr>
            </w:pPr>
          </w:p>
        </w:tc>
        <w:tc>
          <w:tcPr>
            <w:tcW w:w="1595" w:type="dxa"/>
            <w:vAlign w:val="center"/>
          </w:tcPr>
          <w:p w14:paraId="6675E708">
            <w:pPr>
              <w:widowControl/>
              <w:spacing w:line="240" w:lineRule="auto"/>
              <w:jc w:val="left"/>
              <w:rPr>
                <w:rFonts w:ascii="Times New Roman" w:hAnsi="Times New Roman"/>
              </w:rPr>
            </w:pPr>
            <w:r>
              <w:rPr>
                <w:rFonts w:ascii="Times New Roman" w:hAnsi="Times New Roman" w:eastAsia="宋体" w:cs="Times New Roman"/>
                <w:color w:val="0F1115"/>
                <w:kern w:val="0"/>
                <w:lang w:bidi="ar"/>
              </w:rPr>
              <w:t>DA-04</w:t>
            </w:r>
          </w:p>
        </w:tc>
        <w:tc>
          <w:tcPr>
            <w:tcW w:w="1595" w:type="dxa"/>
            <w:vAlign w:val="center"/>
          </w:tcPr>
          <w:p w14:paraId="542D02D5">
            <w:pPr>
              <w:widowControl/>
              <w:spacing w:line="240" w:lineRule="auto"/>
              <w:jc w:val="left"/>
              <w:rPr>
                <w:rFonts w:ascii="Times New Roman" w:hAnsi="Times New Roman"/>
              </w:rPr>
            </w:pPr>
            <w:r>
              <w:rPr>
                <w:rFonts w:ascii="Times New Roman" w:hAnsi="Times New Roman" w:eastAsia="宋体" w:cs="Times New Roman"/>
                <w:color w:val="0F1115"/>
                <w:kern w:val="0"/>
                <w:lang w:bidi="ar"/>
              </w:rPr>
              <w:t>源数据核查（SDV）执行率</w:t>
            </w:r>
          </w:p>
        </w:tc>
        <w:tc>
          <w:tcPr>
            <w:tcW w:w="1595" w:type="dxa"/>
            <w:vAlign w:val="center"/>
          </w:tcPr>
          <w:p w14:paraId="5DD298EB">
            <w:pPr>
              <w:widowControl/>
              <w:spacing w:line="240" w:lineRule="auto"/>
              <w:jc w:val="left"/>
              <w:rPr>
                <w:rFonts w:ascii="Times New Roman" w:hAnsi="Times New Roman"/>
              </w:rPr>
            </w:pPr>
            <w:r>
              <w:rPr>
                <w:rFonts w:ascii="Times New Roman" w:hAnsi="Times New Roman" w:eastAsia="宋体" w:cs="Times New Roman"/>
                <w:color w:val="0F1115"/>
                <w:kern w:val="0"/>
                <w:lang w:bidi="ar"/>
              </w:rPr>
              <w:t>KDKP数据SDV比例≥规定值</w:t>
            </w:r>
          </w:p>
        </w:tc>
        <w:tc>
          <w:tcPr>
            <w:tcW w:w="1595" w:type="dxa"/>
            <w:vAlign w:val="center"/>
          </w:tcPr>
          <w:p w14:paraId="73414CA7">
            <w:pPr>
              <w:widowControl/>
              <w:spacing w:line="240" w:lineRule="auto"/>
              <w:jc w:val="left"/>
              <w:rPr>
                <w:rFonts w:ascii="Times New Roman" w:hAnsi="Times New Roman"/>
              </w:rPr>
            </w:pPr>
            <w:r>
              <w:rPr>
                <w:rFonts w:ascii="Times New Roman" w:hAnsi="Times New Roman" w:eastAsia="宋体" w:cs="Times New Roman"/>
                <w:color w:val="0F1115"/>
                <w:kern w:val="0"/>
                <w:lang w:bidi="ar"/>
              </w:rPr>
              <w:t>人工核查</w:t>
            </w:r>
          </w:p>
        </w:tc>
        <w:tc>
          <w:tcPr>
            <w:tcW w:w="1595" w:type="dxa"/>
          </w:tcPr>
          <w:p w14:paraId="2B26A857">
            <w:pPr>
              <w:pStyle w:val="60"/>
              <w:ind w:firstLine="0" w:firstLineChars="0"/>
              <w:jc w:val="center"/>
              <w:rPr>
                <w:szCs w:val="21"/>
              </w:rPr>
            </w:pPr>
          </w:p>
        </w:tc>
      </w:tr>
      <w:tr w14:paraId="2C0E4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0EDE42FC">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数据采集及时性</w:t>
            </w:r>
          </w:p>
        </w:tc>
        <w:tc>
          <w:tcPr>
            <w:tcW w:w="1595" w:type="dxa"/>
            <w:vAlign w:val="center"/>
          </w:tcPr>
          <w:p w14:paraId="7FBC80C1">
            <w:pPr>
              <w:widowControl/>
              <w:spacing w:line="240" w:lineRule="auto"/>
              <w:jc w:val="left"/>
              <w:rPr>
                <w:rFonts w:ascii="Times New Roman" w:hAnsi="Times New Roman"/>
              </w:rPr>
            </w:pPr>
            <w:r>
              <w:rPr>
                <w:rFonts w:ascii="Times New Roman" w:hAnsi="Times New Roman" w:eastAsia="宋体" w:cs="Times New Roman"/>
                <w:color w:val="0F1115"/>
                <w:kern w:val="0"/>
                <w:lang w:bidi="ar"/>
              </w:rPr>
              <w:t>DT-01</w:t>
            </w:r>
          </w:p>
        </w:tc>
        <w:tc>
          <w:tcPr>
            <w:tcW w:w="1595" w:type="dxa"/>
            <w:vAlign w:val="center"/>
          </w:tcPr>
          <w:p w14:paraId="7DA469B1">
            <w:pPr>
              <w:widowControl/>
              <w:spacing w:line="240" w:lineRule="auto"/>
              <w:jc w:val="left"/>
              <w:rPr>
                <w:rFonts w:ascii="Times New Roman" w:hAnsi="Times New Roman"/>
              </w:rPr>
            </w:pPr>
            <w:r>
              <w:rPr>
                <w:rFonts w:ascii="Times New Roman" w:hAnsi="Times New Roman" w:eastAsia="宋体" w:cs="Times New Roman"/>
                <w:color w:val="0F1115"/>
                <w:kern w:val="0"/>
                <w:lang w:bidi="ar"/>
              </w:rPr>
              <w:t>床旁监护数据延迟</w:t>
            </w:r>
          </w:p>
        </w:tc>
        <w:tc>
          <w:tcPr>
            <w:tcW w:w="1595" w:type="dxa"/>
            <w:vAlign w:val="center"/>
          </w:tcPr>
          <w:p w14:paraId="277795A0">
            <w:pPr>
              <w:widowControl/>
              <w:spacing w:line="240" w:lineRule="auto"/>
              <w:jc w:val="left"/>
              <w:rPr>
                <w:rFonts w:ascii="Times New Roman" w:hAnsi="Times New Roman"/>
              </w:rPr>
            </w:pPr>
            <w:r>
              <w:rPr>
                <w:rFonts w:ascii="Times New Roman" w:hAnsi="Times New Roman" w:eastAsia="宋体" w:cs="Times New Roman"/>
                <w:color w:val="0F1115"/>
                <w:kern w:val="0"/>
                <w:lang w:bidi="ar"/>
              </w:rPr>
              <w:t>≤设备采样周期</w:t>
            </w:r>
          </w:p>
        </w:tc>
        <w:tc>
          <w:tcPr>
            <w:tcW w:w="1595" w:type="dxa"/>
            <w:vAlign w:val="center"/>
          </w:tcPr>
          <w:p w14:paraId="31B3EB60">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系统监控</w:t>
            </w:r>
          </w:p>
        </w:tc>
        <w:tc>
          <w:tcPr>
            <w:tcW w:w="1595" w:type="dxa"/>
          </w:tcPr>
          <w:p w14:paraId="5E5989F4">
            <w:pPr>
              <w:pStyle w:val="60"/>
              <w:ind w:firstLine="0" w:firstLineChars="0"/>
              <w:jc w:val="center"/>
              <w:rPr>
                <w:szCs w:val="21"/>
              </w:rPr>
            </w:pPr>
          </w:p>
        </w:tc>
      </w:tr>
      <w:tr w14:paraId="1D665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3B7EE279">
            <w:pPr>
              <w:spacing w:line="240" w:lineRule="auto"/>
              <w:rPr>
                <w:rFonts w:ascii="Times New Roman" w:hAnsi="Times New Roman"/>
              </w:rPr>
            </w:pPr>
          </w:p>
        </w:tc>
        <w:tc>
          <w:tcPr>
            <w:tcW w:w="1595" w:type="dxa"/>
            <w:vAlign w:val="center"/>
          </w:tcPr>
          <w:p w14:paraId="0DC2FE1F">
            <w:pPr>
              <w:widowControl/>
              <w:spacing w:line="240" w:lineRule="auto"/>
              <w:jc w:val="left"/>
              <w:rPr>
                <w:rFonts w:ascii="Times New Roman" w:hAnsi="Times New Roman"/>
              </w:rPr>
            </w:pPr>
            <w:r>
              <w:rPr>
                <w:rFonts w:ascii="Times New Roman" w:hAnsi="Times New Roman" w:eastAsia="宋体" w:cs="Times New Roman"/>
                <w:color w:val="0F1115"/>
                <w:kern w:val="0"/>
                <w:lang w:bidi="ar"/>
              </w:rPr>
              <w:t>DT-02</w:t>
            </w:r>
          </w:p>
        </w:tc>
        <w:tc>
          <w:tcPr>
            <w:tcW w:w="1595" w:type="dxa"/>
            <w:vAlign w:val="center"/>
          </w:tcPr>
          <w:p w14:paraId="0C9BADA7">
            <w:pPr>
              <w:widowControl/>
              <w:spacing w:line="240" w:lineRule="auto"/>
              <w:jc w:val="left"/>
              <w:rPr>
                <w:rFonts w:ascii="Times New Roman" w:hAnsi="Times New Roman"/>
              </w:rPr>
            </w:pPr>
            <w:r>
              <w:rPr>
                <w:rFonts w:ascii="Times New Roman" w:hAnsi="Times New Roman" w:eastAsia="宋体" w:cs="Times New Roman"/>
                <w:color w:val="0F1115"/>
                <w:kern w:val="0"/>
                <w:lang w:bidi="ar"/>
              </w:rPr>
              <w:t>检验检查数据同步延迟</w:t>
            </w:r>
          </w:p>
        </w:tc>
        <w:tc>
          <w:tcPr>
            <w:tcW w:w="1595" w:type="dxa"/>
            <w:vAlign w:val="center"/>
          </w:tcPr>
          <w:p w14:paraId="4B619099">
            <w:pPr>
              <w:widowControl/>
              <w:spacing w:line="240" w:lineRule="auto"/>
              <w:jc w:val="left"/>
              <w:rPr>
                <w:rFonts w:ascii="Times New Roman" w:hAnsi="Times New Roman"/>
              </w:rPr>
            </w:pPr>
            <w:r>
              <w:rPr>
                <w:rFonts w:ascii="Times New Roman" w:hAnsi="Times New Roman" w:eastAsia="宋体" w:cs="Times New Roman"/>
                <w:color w:val="0F1115"/>
                <w:kern w:val="0"/>
                <w:lang w:bidi="ar"/>
              </w:rPr>
              <w:t>≤1小时</w:t>
            </w:r>
          </w:p>
        </w:tc>
        <w:tc>
          <w:tcPr>
            <w:tcW w:w="1595" w:type="dxa"/>
            <w:vAlign w:val="center"/>
          </w:tcPr>
          <w:p w14:paraId="78F50882">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系统监控</w:t>
            </w:r>
          </w:p>
        </w:tc>
        <w:tc>
          <w:tcPr>
            <w:tcW w:w="1595" w:type="dxa"/>
          </w:tcPr>
          <w:p w14:paraId="6B5455A4">
            <w:pPr>
              <w:pStyle w:val="60"/>
              <w:ind w:firstLine="0" w:firstLineChars="0"/>
              <w:jc w:val="center"/>
              <w:rPr>
                <w:szCs w:val="21"/>
              </w:rPr>
            </w:pPr>
          </w:p>
        </w:tc>
      </w:tr>
      <w:tr w14:paraId="55E10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7AF7984D">
            <w:pPr>
              <w:spacing w:line="240" w:lineRule="auto"/>
              <w:rPr>
                <w:rFonts w:ascii="Times New Roman" w:hAnsi="Times New Roman"/>
              </w:rPr>
            </w:pPr>
          </w:p>
        </w:tc>
        <w:tc>
          <w:tcPr>
            <w:tcW w:w="1595" w:type="dxa"/>
            <w:vAlign w:val="center"/>
          </w:tcPr>
          <w:p w14:paraId="079AC134">
            <w:pPr>
              <w:widowControl/>
              <w:spacing w:line="240" w:lineRule="auto"/>
              <w:jc w:val="left"/>
              <w:rPr>
                <w:rFonts w:ascii="Times New Roman" w:hAnsi="Times New Roman"/>
              </w:rPr>
            </w:pPr>
            <w:r>
              <w:rPr>
                <w:rFonts w:ascii="Times New Roman" w:hAnsi="Times New Roman" w:eastAsia="宋体" w:cs="Times New Roman"/>
                <w:color w:val="0F1115"/>
                <w:kern w:val="0"/>
                <w:lang w:bidi="ar"/>
              </w:rPr>
              <w:t>DT-03</w:t>
            </w:r>
          </w:p>
        </w:tc>
        <w:tc>
          <w:tcPr>
            <w:tcW w:w="1595" w:type="dxa"/>
            <w:vAlign w:val="center"/>
          </w:tcPr>
          <w:p w14:paraId="56F2ABD9">
            <w:pPr>
              <w:widowControl/>
              <w:spacing w:line="240" w:lineRule="auto"/>
              <w:jc w:val="left"/>
              <w:rPr>
                <w:rFonts w:ascii="Times New Roman" w:hAnsi="Times New Roman"/>
              </w:rPr>
            </w:pPr>
            <w:r>
              <w:rPr>
                <w:rFonts w:ascii="Times New Roman" w:hAnsi="Times New Roman" w:eastAsia="宋体" w:cs="Times New Roman"/>
                <w:color w:val="0F1115"/>
                <w:kern w:val="0"/>
                <w:lang w:bidi="ar"/>
              </w:rPr>
              <w:t>访视数据录入延迟</w:t>
            </w:r>
          </w:p>
        </w:tc>
        <w:tc>
          <w:tcPr>
            <w:tcW w:w="1595" w:type="dxa"/>
            <w:vAlign w:val="center"/>
          </w:tcPr>
          <w:p w14:paraId="36B79A5F">
            <w:pPr>
              <w:widowControl/>
              <w:spacing w:line="240" w:lineRule="auto"/>
              <w:jc w:val="left"/>
              <w:rPr>
                <w:rFonts w:ascii="Times New Roman" w:hAnsi="Times New Roman"/>
              </w:rPr>
            </w:pPr>
            <w:r>
              <w:rPr>
                <w:rFonts w:ascii="Times New Roman" w:hAnsi="Times New Roman" w:eastAsia="宋体" w:cs="Times New Roman"/>
                <w:color w:val="0F1115"/>
                <w:kern w:val="0"/>
                <w:lang w:bidi="ar"/>
              </w:rPr>
              <w:t>≤24小时</w:t>
            </w:r>
          </w:p>
        </w:tc>
        <w:tc>
          <w:tcPr>
            <w:tcW w:w="1595" w:type="dxa"/>
            <w:vAlign w:val="center"/>
          </w:tcPr>
          <w:p w14:paraId="3CA9EFA0">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系统监控</w:t>
            </w:r>
          </w:p>
        </w:tc>
        <w:tc>
          <w:tcPr>
            <w:tcW w:w="1595" w:type="dxa"/>
          </w:tcPr>
          <w:p w14:paraId="5E5AA10B">
            <w:pPr>
              <w:pStyle w:val="60"/>
              <w:ind w:firstLine="0" w:firstLineChars="0"/>
              <w:jc w:val="center"/>
              <w:rPr>
                <w:szCs w:val="21"/>
              </w:rPr>
            </w:pPr>
          </w:p>
        </w:tc>
      </w:tr>
      <w:tr w14:paraId="32224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35D45272">
            <w:pPr>
              <w:spacing w:line="240" w:lineRule="auto"/>
              <w:rPr>
                <w:rFonts w:ascii="Times New Roman" w:hAnsi="Times New Roman"/>
              </w:rPr>
            </w:pPr>
          </w:p>
        </w:tc>
        <w:tc>
          <w:tcPr>
            <w:tcW w:w="1595" w:type="dxa"/>
            <w:vAlign w:val="center"/>
          </w:tcPr>
          <w:p w14:paraId="2D6BB668">
            <w:pPr>
              <w:widowControl/>
              <w:spacing w:line="240" w:lineRule="auto"/>
              <w:jc w:val="left"/>
              <w:rPr>
                <w:rFonts w:ascii="Times New Roman" w:hAnsi="Times New Roman"/>
              </w:rPr>
            </w:pPr>
            <w:r>
              <w:rPr>
                <w:rFonts w:ascii="Times New Roman" w:hAnsi="Times New Roman" w:eastAsia="宋体" w:cs="Times New Roman"/>
                <w:color w:val="0F1115"/>
                <w:kern w:val="0"/>
                <w:lang w:bidi="ar"/>
              </w:rPr>
              <w:t>DT-04</w:t>
            </w:r>
          </w:p>
        </w:tc>
        <w:tc>
          <w:tcPr>
            <w:tcW w:w="1595" w:type="dxa"/>
            <w:vAlign w:val="center"/>
          </w:tcPr>
          <w:p w14:paraId="18418934">
            <w:pPr>
              <w:widowControl/>
              <w:spacing w:line="240" w:lineRule="auto"/>
              <w:jc w:val="left"/>
              <w:rPr>
                <w:rFonts w:ascii="Times New Roman" w:hAnsi="Times New Roman"/>
              </w:rPr>
            </w:pPr>
            <w:r>
              <w:rPr>
                <w:rFonts w:ascii="Times New Roman" w:hAnsi="Times New Roman" w:eastAsia="宋体" w:cs="Times New Roman"/>
                <w:color w:val="0F1115"/>
                <w:kern w:val="0"/>
                <w:lang w:bidi="ar"/>
              </w:rPr>
              <w:t>SAE报告延迟</w:t>
            </w:r>
          </w:p>
        </w:tc>
        <w:tc>
          <w:tcPr>
            <w:tcW w:w="1595" w:type="dxa"/>
            <w:vAlign w:val="center"/>
          </w:tcPr>
          <w:p w14:paraId="25394611">
            <w:pPr>
              <w:widowControl/>
              <w:spacing w:line="240" w:lineRule="auto"/>
              <w:jc w:val="left"/>
              <w:rPr>
                <w:rFonts w:ascii="Times New Roman" w:hAnsi="Times New Roman"/>
              </w:rPr>
            </w:pPr>
            <w:r>
              <w:rPr>
                <w:rFonts w:ascii="Times New Roman" w:hAnsi="Times New Roman" w:eastAsia="宋体" w:cs="Times New Roman"/>
                <w:color w:val="0F1115"/>
                <w:kern w:val="0"/>
                <w:lang w:bidi="ar"/>
              </w:rPr>
              <w:t>≤24小时</w:t>
            </w:r>
          </w:p>
        </w:tc>
        <w:tc>
          <w:tcPr>
            <w:tcW w:w="1595" w:type="dxa"/>
            <w:vAlign w:val="center"/>
          </w:tcPr>
          <w:p w14:paraId="2141BA2B">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系统监控</w:t>
            </w:r>
          </w:p>
        </w:tc>
        <w:tc>
          <w:tcPr>
            <w:tcW w:w="1595" w:type="dxa"/>
          </w:tcPr>
          <w:p w14:paraId="718FBBBD">
            <w:pPr>
              <w:pStyle w:val="60"/>
              <w:ind w:firstLine="0" w:firstLineChars="0"/>
              <w:jc w:val="center"/>
              <w:rPr>
                <w:szCs w:val="21"/>
              </w:rPr>
            </w:pPr>
          </w:p>
        </w:tc>
      </w:tr>
      <w:tr w14:paraId="311AA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678D69B9">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数据传输</w:t>
            </w:r>
          </w:p>
        </w:tc>
        <w:tc>
          <w:tcPr>
            <w:tcW w:w="1595" w:type="dxa"/>
            <w:vAlign w:val="center"/>
          </w:tcPr>
          <w:p w14:paraId="371DC3A9">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TR-01</w:t>
            </w:r>
          </w:p>
        </w:tc>
        <w:tc>
          <w:tcPr>
            <w:tcW w:w="1595" w:type="dxa"/>
            <w:vAlign w:val="center"/>
          </w:tcPr>
          <w:p w14:paraId="0BE801FD">
            <w:pPr>
              <w:widowControl/>
              <w:spacing w:line="240" w:lineRule="auto"/>
              <w:jc w:val="left"/>
              <w:rPr>
                <w:rFonts w:ascii="Times New Roman" w:hAnsi="Times New Roman"/>
              </w:rPr>
            </w:pPr>
            <w:r>
              <w:rPr>
                <w:rFonts w:ascii="Times New Roman" w:hAnsi="Times New Roman" w:eastAsia="宋体" w:cs="Times New Roman"/>
                <w:color w:val="0F1115"/>
                <w:kern w:val="0"/>
                <w:lang w:bidi="ar"/>
              </w:rPr>
              <w:t>传输前数据是否标记“已审核”</w:t>
            </w:r>
          </w:p>
        </w:tc>
        <w:tc>
          <w:tcPr>
            <w:tcW w:w="1595" w:type="dxa"/>
            <w:vAlign w:val="center"/>
          </w:tcPr>
          <w:p w14:paraId="5EA10759">
            <w:pPr>
              <w:widowControl/>
              <w:spacing w:line="240" w:lineRule="auto"/>
              <w:jc w:val="left"/>
              <w:rPr>
                <w:rFonts w:ascii="Times New Roman" w:hAnsi="Times New Roman"/>
              </w:rPr>
            </w:pPr>
            <w:r>
              <w:rPr>
                <w:rFonts w:ascii="Times New Roman" w:hAnsi="Times New Roman" w:eastAsia="宋体" w:cs="Times New Roman"/>
                <w:color w:val="0F1115"/>
                <w:kern w:val="0"/>
                <w:lang w:bidi="ar"/>
              </w:rPr>
              <w:t>100%标记</w:t>
            </w:r>
          </w:p>
        </w:tc>
        <w:tc>
          <w:tcPr>
            <w:tcW w:w="1595" w:type="dxa"/>
            <w:vAlign w:val="center"/>
          </w:tcPr>
          <w:p w14:paraId="62A3C343">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系统校验</w:t>
            </w:r>
          </w:p>
        </w:tc>
        <w:tc>
          <w:tcPr>
            <w:tcW w:w="1595" w:type="dxa"/>
          </w:tcPr>
          <w:p w14:paraId="3F86CAB0">
            <w:pPr>
              <w:pStyle w:val="60"/>
              <w:ind w:firstLine="0" w:firstLineChars="0"/>
              <w:jc w:val="center"/>
              <w:rPr>
                <w:szCs w:val="21"/>
              </w:rPr>
            </w:pPr>
          </w:p>
        </w:tc>
      </w:tr>
      <w:tr w14:paraId="6E69B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6710195B">
            <w:pPr>
              <w:spacing w:line="240" w:lineRule="auto"/>
              <w:rPr>
                <w:rFonts w:ascii="Times New Roman" w:hAnsi="Times New Roman"/>
              </w:rPr>
            </w:pPr>
          </w:p>
        </w:tc>
        <w:tc>
          <w:tcPr>
            <w:tcW w:w="1595" w:type="dxa"/>
            <w:vAlign w:val="center"/>
          </w:tcPr>
          <w:p w14:paraId="6FA9AD78">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TR-02</w:t>
            </w:r>
          </w:p>
        </w:tc>
        <w:tc>
          <w:tcPr>
            <w:tcW w:w="1595" w:type="dxa"/>
            <w:vAlign w:val="center"/>
          </w:tcPr>
          <w:p w14:paraId="5B70C6A2">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数据格式是否符合目标系统要求</w:t>
            </w:r>
          </w:p>
        </w:tc>
        <w:tc>
          <w:tcPr>
            <w:tcW w:w="1595" w:type="dxa"/>
            <w:vAlign w:val="center"/>
          </w:tcPr>
          <w:p w14:paraId="10812060">
            <w:pPr>
              <w:widowControl/>
              <w:spacing w:line="240" w:lineRule="auto"/>
              <w:jc w:val="left"/>
              <w:rPr>
                <w:rFonts w:ascii="Times New Roman" w:hAnsi="Times New Roman"/>
              </w:rPr>
            </w:pPr>
            <w:r>
              <w:rPr>
                <w:rFonts w:ascii="Times New Roman" w:hAnsi="Times New Roman" w:eastAsia="宋体" w:cs="Times New Roman"/>
                <w:color w:val="0F1115"/>
                <w:kern w:val="0"/>
                <w:lang w:bidi="ar"/>
              </w:rPr>
              <w:t>格式正确率100%</w:t>
            </w:r>
          </w:p>
        </w:tc>
        <w:tc>
          <w:tcPr>
            <w:tcW w:w="1595" w:type="dxa"/>
            <w:vAlign w:val="center"/>
          </w:tcPr>
          <w:p w14:paraId="44C3CF74">
            <w:pPr>
              <w:widowControl/>
              <w:spacing w:line="240" w:lineRule="auto"/>
              <w:jc w:val="left"/>
              <w:rPr>
                <w:rFonts w:ascii="Times New Roman" w:hAnsi="Times New Roman"/>
              </w:rPr>
            </w:pPr>
            <w:r>
              <w:rPr>
                <w:rFonts w:ascii="Times New Roman" w:hAnsi="Times New Roman" w:eastAsia="宋体" w:cs="Times New Roman"/>
                <w:color w:val="0F1115"/>
                <w:kern w:val="0"/>
                <w:lang w:bidi="ar"/>
              </w:rPr>
              <w:t>自动校验</w:t>
            </w:r>
          </w:p>
        </w:tc>
        <w:tc>
          <w:tcPr>
            <w:tcW w:w="1595" w:type="dxa"/>
          </w:tcPr>
          <w:p w14:paraId="26FA610B">
            <w:pPr>
              <w:pStyle w:val="60"/>
              <w:ind w:firstLine="0" w:firstLineChars="0"/>
              <w:jc w:val="center"/>
              <w:rPr>
                <w:szCs w:val="21"/>
              </w:rPr>
            </w:pPr>
          </w:p>
        </w:tc>
      </w:tr>
      <w:tr w14:paraId="4E58A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69810F48">
            <w:pPr>
              <w:spacing w:line="240" w:lineRule="auto"/>
              <w:rPr>
                <w:rFonts w:ascii="Times New Roman" w:hAnsi="Times New Roman"/>
              </w:rPr>
            </w:pPr>
          </w:p>
        </w:tc>
        <w:tc>
          <w:tcPr>
            <w:tcW w:w="1595" w:type="dxa"/>
            <w:vAlign w:val="center"/>
          </w:tcPr>
          <w:p w14:paraId="173438DE">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TR-03</w:t>
            </w:r>
          </w:p>
        </w:tc>
        <w:tc>
          <w:tcPr>
            <w:tcW w:w="1595" w:type="dxa"/>
            <w:vAlign w:val="center"/>
          </w:tcPr>
          <w:p w14:paraId="49764BDA">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敏感数据是否加密（AES-256/SM4）</w:t>
            </w:r>
          </w:p>
        </w:tc>
        <w:tc>
          <w:tcPr>
            <w:tcW w:w="1595" w:type="dxa"/>
            <w:vAlign w:val="center"/>
          </w:tcPr>
          <w:p w14:paraId="5A48D4A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是</w:t>
            </w:r>
          </w:p>
        </w:tc>
        <w:tc>
          <w:tcPr>
            <w:tcW w:w="1595" w:type="dxa"/>
            <w:vAlign w:val="center"/>
          </w:tcPr>
          <w:p w14:paraId="3713823B">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系统配置检查</w:t>
            </w:r>
          </w:p>
        </w:tc>
        <w:tc>
          <w:tcPr>
            <w:tcW w:w="1595" w:type="dxa"/>
          </w:tcPr>
          <w:p w14:paraId="0277F0AC">
            <w:pPr>
              <w:pStyle w:val="60"/>
              <w:ind w:firstLine="0" w:firstLineChars="0"/>
              <w:jc w:val="center"/>
              <w:rPr>
                <w:szCs w:val="21"/>
              </w:rPr>
            </w:pPr>
          </w:p>
        </w:tc>
      </w:tr>
      <w:tr w14:paraId="1C11C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39B6BCF7">
            <w:pPr>
              <w:spacing w:line="240" w:lineRule="auto"/>
              <w:rPr>
                <w:rFonts w:ascii="Times New Roman" w:hAnsi="Times New Roman"/>
              </w:rPr>
            </w:pPr>
          </w:p>
        </w:tc>
        <w:tc>
          <w:tcPr>
            <w:tcW w:w="1595" w:type="dxa"/>
            <w:vAlign w:val="center"/>
          </w:tcPr>
          <w:p w14:paraId="327C2992">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TR-04</w:t>
            </w:r>
          </w:p>
        </w:tc>
        <w:tc>
          <w:tcPr>
            <w:tcW w:w="1595" w:type="dxa"/>
            <w:vAlign w:val="center"/>
          </w:tcPr>
          <w:p w14:paraId="605397B6">
            <w:pPr>
              <w:widowControl/>
              <w:spacing w:line="240" w:lineRule="auto"/>
              <w:jc w:val="left"/>
              <w:rPr>
                <w:rFonts w:ascii="Times New Roman" w:hAnsi="Times New Roman"/>
              </w:rPr>
            </w:pPr>
            <w:r>
              <w:rPr>
                <w:rFonts w:ascii="Times New Roman" w:hAnsi="Times New Roman" w:eastAsia="宋体" w:cs="Times New Roman"/>
                <w:color w:val="0F1115"/>
                <w:kern w:val="0"/>
                <w:lang w:bidi="ar"/>
              </w:rPr>
              <w:t>传输通道是否采用TLS 1.2+</w:t>
            </w:r>
          </w:p>
        </w:tc>
        <w:tc>
          <w:tcPr>
            <w:tcW w:w="1595" w:type="dxa"/>
            <w:vAlign w:val="center"/>
          </w:tcPr>
          <w:p w14:paraId="01EFFA83">
            <w:pPr>
              <w:widowControl/>
              <w:spacing w:line="240" w:lineRule="auto"/>
              <w:jc w:val="left"/>
              <w:rPr>
                <w:rFonts w:ascii="Times New Roman" w:hAnsi="Times New Roman"/>
              </w:rPr>
            </w:pPr>
            <w:r>
              <w:rPr>
                <w:rFonts w:ascii="Times New Roman" w:hAnsi="Times New Roman" w:eastAsia="宋体" w:cs="Times New Roman"/>
                <w:color w:val="0F1115"/>
                <w:kern w:val="0"/>
                <w:lang w:bidi="ar"/>
              </w:rPr>
              <w:t>是</w:t>
            </w:r>
          </w:p>
        </w:tc>
        <w:tc>
          <w:tcPr>
            <w:tcW w:w="1595" w:type="dxa"/>
            <w:vAlign w:val="center"/>
          </w:tcPr>
          <w:p w14:paraId="6E6A1B73">
            <w:pPr>
              <w:widowControl/>
              <w:spacing w:line="240" w:lineRule="auto"/>
              <w:jc w:val="left"/>
              <w:rPr>
                <w:rFonts w:ascii="Times New Roman" w:hAnsi="Times New Roman"/>
              </w:rPr>
            </w:pPr>
            <w:r>
              <w:rPr>
                <w:rFonts w:ascii="Times New Roman" w:hAnsi="Times New Roman" w:eastAsia="宋体" w:cs="Times New Roman"/>
                <w:color w:val="0F1115"/>
                <w:kern w:val="0"/>
                <w:lang w:bidi="ar"/>
              </w:rPr>
              <w:t>安全扫描</w:t>
            </w:r>
          </w:p>
        </w:tc>
        <w:tc>
          <w:tcPr>
            <w:tcW w:w="1595" w:type="dxa"/>
          </w:tcPr>
          <w:p w14:paraId="77ABFCE4">
            <w:pPr>
              <w:pStyle w:val="60"/>
              <w:ind w:firstLine="0" w:firstLineChars="0"/>
              <w:jc w:val="center"/>
              <w:rPr>
                <w:szCs w:val="21"/>
              </w:rPr>
            </w:pPr>
          </w:p>
        </w:tc>
      </w:tr>
      <w:tr w14:paraId="07FC8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70062FDF">
            <w:pPr>
              <w:spacing w:line="240" w:lineRule="auto"/>
              <w:rPr>
                <w:rFonts w:ascii="Times New Roman" w:hAnsi="Times New Roman"/>
              </w:rPr>
            </w:pPr>
          </w:p>
        </w:tc>
        <w:tc>
          <w:tcPr>
            <w:tcW w:w="1595" w:type="dxa"/>
            <w:vAlign w:val="center"/>
          </w:tcPr>
          <w:p w14:paraId="386780B0">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TR-05</w:t>
            </w:r>
          </w:p>
        </w:tc>
        <w:tc>
          <w:tcPr>
            <w:tcW w:w="1595" w:type="dxa"/>
            <w:vAlign w:val="center"/>
          </w:tcPr>
          <w:p w14:paraId="75C0B162">
            <w:pPr>
              <w:widowControl/>
              <w:spacing w:line="240" w:lineRule="auto"/>
              <w:jc w:val="left"/>
              <w:rPr>
                <w:rFonts w:ascii="Times New Roman" w:hAnsi="Times New Roman"/>
              </w:rPr>
            </w:pPr>
            <w:r>
              <w:rPr>
                <w:rFonts w:ascii="Times New Roman" w:hAnsi="Times New Roman" w:eastAsia="宋体" w:cs="Times New Roman"/>
                <w:color w:val="0F1115"/>
                <w:kern w:val="0"/>
                <w:lang w:bidi="ar"/>
              </w:rPr>
              <w:t>传输完整率（成功/总）</w:t>
            </w:r>
          </w:p>
        </w:tc>
        <w:tc>
          <w:tcPr>
            <w:tcW w:w="1595" w:type="dxa"/>
            <w:vAlign w:val="center"/>
          </w:tcPr>
          <w:p w14:paraId="7C61E772">
            <w:pPr>
              <w:widowControl/>
              <w:spacing w:line="240" w:lineRule="auto"/>
              <w:jc w:val="left"/>
              <w:rPr>
                <w:rFonts w:ascii="Times New Roman" w:hAnsi="Times New Roman"/>
              </w:rPr>
            </w:pPr>
            <w:r>
              <w:rPr>
                <w:rFonts w:ascii="Times New Roman" w:hAnsi="Times New Roman" w:eastAsia="宋体" w:cs="Times New Roman"/>
                <w:color w:val="0F1115"/>
                <w:kern w:val="0"/>
                <w:lang w:bidi="ar"/>
              </w:rPr>
              <w:t>≥99.9%</w:t>
            </w:r>
          </w:p>
        </w:tc>
        <w:tc>
          <w:tcPr>
            <w:tcW w:w="1595" w:type="dxa"/>
            <w:vAlign w:val="center"/>
          </w:tcPr>
          <w:p w14:paraId="52F90184">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系统统计</w:t>
            </w:r>
          </w:p>
        </w:tc>
        <w:tc>
          <w:tcPr>
            <w:tcW w:w="1595" w:type="dxa"/>
          </w:tcPr>
          <w:p w14:paraId="35BBFD98">
            <w:pPr>
              <w:pStyle w:val="60"/>
              <w:ind w:firstLine="0" w:firstLineChars="0"/>
              <w:jc w:val="center"/>
              <w:rPr>
                <w:szCs w:val="21"/>
              </w:rPr>
            </w:pPr>
          </w:p>
        </w:tc>
      </w:tr>
      <w:tr w14:paraId="5892C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7D99DB02">
            <w:pPr>
              <w:spacing w:line="240" w:lineRule="auto"/>
              <w:rPr>
                <w:rFonts w:ascii="Times New Roman" w:hAnsi="Times New Roman"/>
              </w:rPr>
            </w:pPr>
          </w:p>
        </w:tc>
        <w:tc>
          <w:tcPr>
            <w:tcW w:w="1595" w:type="dxa"/>
            <w:vAlign w:val="center"/>
          </w:tcPr>
          <w:p w14:paraId="1273CA53">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TR-06</w:t>
            </w:r>
          </w:p>
        </w:tc>
        <w:tc>
          <w:tcPr>
            <w:tcW w:w="1595" w:type="dxa"/>
            <w:vAlign w:val="center"/>
          </w:tcPr>
          <w:p w14:paraId="7F258985">
            <w:pPr>
              <w:widowControl/>
              <w:spacing w:line="240" w:lineRule="auto"/>
              <w:jc w:val="left"/>
              <w:rPr>
                <w:rFonts w:ascii="Times New Roman" w:hAnsi="Times New Roman"/>
              </w:rPr>
            </w:pPr>
            <w:r>
              <w:rPr>
                <w:rFonts w:ascii="Times New Roman" w:hAnsi="Times New Roman" w:eastAsia="宋体" w:cs="Times New Roman"/>
                <w:color w:val="0F1115"/>
                <w:kern w:val="0"/>
                <w:lang w:bidi="ar"/>
              </w:rPr>
              <w:t>传输延迟（局域网/广域网）</w:t>
            </w:r>
          </w:p>
        </w:tc>
        <w:tc>
          <w:tcPr>
            <w:tcW w:w="1595" w:type="dxa"/>
            <w:vAlign w:val="center"/>
          </w:tcPr>
          <w:p w14:paraId="5E19BC6F">
            <w:pPr>
              <w:widowControl/>
              <w:spacing w:line="240" w:lineRule="auto"/>
              <w:jc w:val="left"/>
              <w:rPr>
                <w:rFonts w:ascii="Times New Roman" w:hAnsi="Times New Roman"/>
              </w:rPr>
            </w:pPr>
            <w:r>
              <w:rPr>
                <w:rFonts w:ascii="Times New Roman" w:hAnsi="Times New Roman" w:eastAsia="宋体" w:cs="Times New Roman"/>
                <w:color w:val="0F1115"/>
                <w:kern w:val="0"/>
                <w:lang w:bidi="ar"/>
              </w:rPr>
              <w:t>≤200ms/500ms</w:t>
            </w:r>
          </w:p>
        </w:tc>
        <w:tc>
          <w:tcPr>
            <w:tcW w:w="1595" w:type="dxa"/>
            <w:vAlign w:val="center"/>
          </w:tcPr>
          <w:p w14:paraId="1C5ED7C0">
            <w:pPr>
              <w:widowControl/>
              <w:spacing w:line="240" w:lineRule="auto"/>
              <w:jc w:val="left"/>
              <w:rPr>
                <w:rFonts w:ascii="Times New Roman" w:hAnsi="Times New Roman"/>
              </w:rPr>
            </w:pPr>
            <w:r>
              <w:rPr>
                <w:rFonts w:ascii="Times New Roman" w:hAnsi="Times New Roman" w:eastAsia="宋体" w:cs="Times New Roman"/>
                <w:color w:val="0F1115"/>
                <w:kern w:val="0"/>
                <w:lang w:bidi="ar"/>
              </w:rPr>
              <w:t>性能监控</w:t>
            </w:r>
          </w:p>
        </w:tc>
        <w:tc>
          <w:tcPr>
            <w:tcW w:w="1595" w:type="dxa"/>
          </w:tcPr>
          <w:p w14:paraId="7D87AA07">
            <w:pPr>
              <w:pStyle w:val="60"/>
              <w:ind w:firstLine="0" w:firstLineChars="0"/>
              <w:jc w:val="center"/>
              <w:rPr>
                <w:szCs w:val="21"/>
              </w:rPr>
            </w:pPr>
          </w:p>
        </w:tc>
      </w:tr>
      <w:tr w14:paraId="003AC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11071EAD">
            <w:pPr>
              <w:spacing w:line="240" w:lineRule="auto"/>
              <w:rPr>
                <w:rFonts w:ascii="Times New Roman" w:hAnsi="Times New Roman"/>
              </w:rPr>
            </w:pPr>
          </w:p>
        </w:tc>
        <w:tc>
          <w:tcPr>
            <w:tcW w:w="1595" w:type="dxa"/>
            <w:vAlign w:val="center"/>
          </w:tcPr>
          <w:p w14:paraId="59307B9C">
            <w:pPr>
              <w:widowControl/>
              <w:spacing w:line="240" w:lineRule="auto"/>
              <w:jc w:val="left"/>
              <w:rPr>
                <w:rFonts w:ascii="Times New Roman" w:hAnsi="Times New Roman"/>
              </w:rPr>
            </w:pPr>
            <w:r>
              <w:rPr>
                <w:rFonts w:ascii="Times New Roman" w:hAnsi="Times New Roman" w:eastAsia="宋体" w:cs="Times New Roman"/>
                <w:color w:val="0F1115"/>
                <w:kern w:val="0"/>
                <w:lang w:bidi="ar"/>
              </w:rPr>
              <w:t>TR-07</w:t>
            </w:r>
          </w:p>
        </w:tc>
        <w:tc>
          <w:tcPr>
            <w:tcW w:w="1595" w:type="dxa"/>
            <w:vAlign w:val="center"/>
          </w:tcPr>
          <w:p w14:paraId="3402E252">
            <w:pPr>
              <w:widowControl/>
              <w:spacing w:line="240" w:lineRule="auto"/>
              <w:jc w:val="left"/>
              <w:rPr>
                <w:rFonts w:ascii="Times New Roman" w:hAnsi="Times New Roman"/>
              </w:rPr>
            </w:pPr>
            <w:r>
              <w:rPr>
                <w:rFonts w:ascii="Times New Roman" w:hAnsi="Times New Roman" w:eastAsia="宋体" w:cs="Times New Roman"/>
                <w:color w:val="0F1115"/>
                <w:kern w:val="0"/>
                <w:lang w:bidi="ar"/>
              </w:rPr>
              <w:t>传输异常是否触发告警并记录日志</w:t>
            </w:r>
          </w:p>
        </w:tc>
        <w:tc>
          <w:tcPr>
            <w:tcW w:w="1595" w:type="dxa"/>
            <w:vAlign w:val="center"/>
          </w:tcPr>
          <w:p w14:paraId="6DB124AD">
            <w:pPr>
              <w:widowControl/>
              <w:spacing w:line="240" w:lineRule="auto"/>
              <w:jc w:val="left"/>
              <w:rPr>
                <w:rFonts w:ascii="Times New Roman" w:hAnsi="Times New Roman"/>
              </w:rPr>
            </w:pPr>
            <w:r>
              <w:rPr>
                <w:rFonts w:ascii="Times New Roman" w:hAnsi="Times New Roman" w:eastAsia="宋体" w:cs="Times New Roman"/>
                <w:color w:val="0F1115"/>
                <w:kern w:val="0"/>
                <w:lang w:bidi="ar"/>
              </w:rPr>
              <w:t>100%触发并记录</w:t>
            </w:r>
          </w:p>
        </w:tc>
        <w:tc>
          <w:tcPr>
            <w:tcW w:w="1595" w:type="dxa"/>
            <w:vAlign w:val="center"/>
          </w:tcPr>
          <w:p w14:paraId="3FD8E63A">
            <w:pPr>
              <w:widowControl/>
              <w:spacing w:line="240" w:lineRule="auto"/>
              <w:jc w:val="left"/>
              <w:rPr>
                <w:rFonts w:ascii="Times New Roman" w:hAnsi="Times New Roman"/>
              </w:rPr>
            </w:pPr>
            <w:r>
              <w:rPr>
                <w:rFonts w:ascii="Times New Roman" w:hAnsi="Times New Roman" w:eastAsia="宋体" w:cs="Times New Roman"/>
                <w:color w:val="0F1115"/>
                <w:kern w:val="0"/>
                <w:lang w:bidi="ar"/>
              </w:rPr>
              <w:t>模拟测试</w:t>
            </w:r>
          </w:p>
        </w:tc>
        <w:tc>
          <w:tcPr>
            <w:tcW w:w="1595" w:type="dxa"/>
          </w:tcPr>
          <w:p w14:paraId="7F050FC4">
            <w:pPr>
              <w:pStyle w:val="60"/>
              <w:ind w:firstLine="0" w:firstLineChars="0"/>
              <w:jc w:val="center"/>
              <w:rPr>
                <w:szCs w:val="21"/>
              </w:rPr>
            </w:pPr>
          </w:p>
        </w:tc>
      </w:tr>
      <w:tr w14:paraId="59A10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6981AA27">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数据处理</w:t>
            </w:r>
          </w:p>
        </w:tc>
        <w:tc>
          <w:tcPr>
            <w:tcW w:w="1595" w:type="dxa"/>
            <w:vAlign w:val="center"/>
          </w:tcPr>
          <w:p w14:paraId="2E69876B">
            <w:pPr>
              <w:widowControl/>
              <w:spacing w:line="240" w:lineRule="auto"/>
              <w:jc w:val="left"/>
              <w:rPr>
                <w:rFonts w:ascii="Times New Roman" w:hAnsi="Times New Roman"/>
              </w:rPr>
            </w:pPr>
            <w:r>
              <w:rPr>
                <w:rFonts w:ascii="Times New Roman" w:hAnsi="Times New Roman" w:eastAsia="宋体" w:cs="Times New Roman"/>
                <w:color w:val="0F1115"/>
                <w:kern w:val="0"/>
                <w:lang w:bidi="ar"/>
              </w:rPr>
              <w:t>DP-01</w:t>
            </w:r>
          </w:p>
        </w:tc>
        <w:tc>
          <w:tcPr>
            <w:tcW w:w="1595" w:type="dxa"/>
            <w:vAlign w:val="center"/>
          </w:tcPr>
          <w:p w14:paraId="217CCF4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数据清洗规则是否经审批</w:t>
            </w:r>
          </w:p>
        </w:tc>
        <w:tc>
          <w:tcPr>
            <w:tcW w:w="1595" w:type="dxa"/>
            <w:vAlign w:val="center"/>
          </w:tcPr>
          <w:p w14:paraId="4C29254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有审批记录</w:t>
            </w:r>
          </w:p>
        </w:tc>
        <w:tc>
          <w:tcPr>
            <w:tcW w:w="1595" w:type="dxa"/>
            <w:vAlign w:val="center"/>
          </w:tcPr>
          <w:p w14:paraId="61889F29">
            <w:pPr>
              <w:widowControl/>
              <w:spacing w:line="240" w:lineRule="auto"/>
              <w:jc w:val="left"/>
              <w:rPr>
                <w:rFonts w:ascii="Times New Roman" w:hAnsi="Times New Roman"/>
              </w:rPr>
            </w:pPr>
            <w:r>
              <w:rPr>
                <w:rFonts w:ascii="Times New Roman" w:hAnsi="Times New Roman" w:eastAsia="宋体" w:cs="Times New Roman"/>
                <w:color w:val="0F1115"/>
                <w:kern w:val="0"/>
                <w:lang w:bidi="ar"/>
              </w:rPr>
              <w:t>文档审查</w:t>
            </w:r>
          </w:p>
        </w:tc>
        <w:tc>
          <w:tcPr>
            <w:tcW w:w="1595" w:type="dxa"/>
          </w:tcPr>
          <w:p w14:paraId="514EDDD5">
            <w:pPr>
              <w:pStyle w:val="60"/>
              <w:ind w:firstLine="0" w:firstLineChars="0"/>
              <w:jc w:val="center"/>
              <w:rPr>
                <w:szCs w:val="21"/>
              </w:rPr>
            </w:pPr>
          </w:p>
        </w:tc>
      </w:tr>
      <w:tr w14:paraId="5279D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121B927C">
            <w:pPr>
              <w:spacing w:line="240" w:lineRule="auto"/>
              <w:rPr>
                <w:rFonts w:ascii="Times New Roman" w:hAnsi="Times New Roman"/>
              </w:rPr>
            </w:pPr>
          </w:p>
        </w:tc>
        <w:tc>
          <w:tcPr>
            <w:tcW w:w="1595" w:type="dxa"/>
            <w:vAlign w:val="center"/>
          </w:tcPr>
          <w:p w14:paraId="46CF604F">
            <w:pPr>
              <w:widowControl/>
              <w:spacing w:line="240" w:lineRule="auto"/>
              <w:jc w:val="left"/>
              <w:rPr>
                <w:rFonts w:ascii="Times New Roman" w:hAnsi="Times New Roman"/>
              </w:rPr>
            </w:pPr>
            <w:r>
              <w:rPr>
                <w:rFonts w:ascii="Times New Roman" w:hAnsi="Times New Roman" w:eastAsia="宋体" w:cs="Times New Roman"/>
                <w:color w:val="0F1115"/>
                <w:kern w:val="0"/>
                <w:lang w:bidi="ar"/>
              </w:rPr>
              <w:t>DP-02</w:t>
            </w:r>
          </w:p>
        </w:tc>
        <w:tc>
          <w:tcPr>
            <w:tcW w:w="1595" w:type="dxa"/>
            <w:vAlign w:val="center"/>
          </w:tcPr>
          <w:p w14:paraId="1CAE988F">
            <w:pPr>
              <w:widowControl/>
              <w:spacing w:line="240" w:lineRule="auto"/>
              <w:jc w:val="left"/>
              <w:rPr>
                <w:rFonts w:ascii="Times New Roman" w:hAnsi="Times New Roman"/>
              </w:rPr>
            </w:pPr>
            <w:r>
              <w:rPr>
                <w:rFonts w:ascii="Times New Roman" w:hAnsi="Times New Roman" w:eastAsia="宋体" w:cs="Times New Roman"/>
                <w:color w:val="0F1115"/>
                <w:kern w:val="0"/>
                <w:lang w:bidi="ar"/>
              </w:rPr>
              <w:t>清洗是否在副本上执行，原始数据保留</w:t>
            </w:r>
          </w:p>
        </w:tc>
        <w:tc>
          <w:tcPr>
            <w:tcW w:w="1595" w:type="dxa"/>
            <w:vAlign w:val="center"/>
          </w:tcPr>
          <w:p w14:paraId="711F61F7">
            <w:pPr>
              <w:widowControl/>
              <w:spacing w:line="240" w:lineRule="auto"/>
              <w:jc w:val="left"/>
              <w:rPr>
                <w:rFonts w:ascii="Times New Roman" w:hAnsi="Times New Roman"/>
              </w:rPr>
            </w:pPr>
            <w:r>
              <w:rPr>
                <w:rFonts w:ascii="Times New Roman" w:hAnsi="Times New Roman" w:eastAsia="宋体" w:cs="Times New Roman"/>
                <w:color w:val="0F1115"/>
                <w:kern w:val="0"/>
                <w:lang w:bidi="ar"/>
              </w:rPr>
              <w:t>是</w:t>
            </w:r>
          </w:p>
        </w:tc>
        <w:tc>
          <w:tcPr>
            <w:tcW w:w="1595" w:type="dxa"/>
            <w:vAlign w:val="center"/>
          </w:tcPr>
          <w:p w14:paraId="5BFE2D86">
            <w:pPr>
              <w:widowControl/>
              <w:spacing w:line="240" w:lineRule="auto"/>
              <w:jc w:val="left"/>
              <w:rPr>
                <w:rFonts w:ascii="Times New Roman" w:hAnsi="Times New Roman"/>
              </w:rPr>
            </w:pPr>
            <w:r>
              <w:rPr>
                <w:rFonts w:ascii="Times New Roman" w:hAnsi="Times New Roman" w:eastAsia="宋体" w:cs="Times New Roman"/>
                <w:color w:val="0F1115"/>
                <w:kern w:val="0"/>
                <w:lang w:bidi="ar"/>
              </w:rPr>
              <w:t>流程审查</w:t>
            </w:r>
          </w:p>
        </w:tc>
        <w:tc>
          <w:tcPr>
            <w:tcW w:w="1595" w:type="dxa"/>
          </w:tcPr>
          <w:p w14:paraId="412563FE">
            <w:pPr>
              <w:pStyle w:val="60"/>
              <w:ind w:firstLine="0" w:firstLineChars="0"/>
              <w:jc w:val="center"/>
              <w:rPr>
                <w:szCs w:val="21"/>
              </w:rPr>
            </w:pPr>
          </w:p>
        </w:tc>
      </w:tr>
      <w:tr w14:paraId="7CF71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27A713C1">
            <w:pPr>
              <w:spacing w:line="240" w:lineRule="auto"/>
              <w:rPr>
                <w:rFonts w:ascii="Times New Roman" w:hAnsi="Times New Roman"/>
              </w:rPr>
            </w:pPr>
          </w:p>
        </w:tc>
        <w:tc>
          <w:tcPr>
            <w:tcW w:w="1595" w:type="dxa"/>
            <w:vAlign w:val="center"/>
          </w:tcPr>
          <w:p w14:paraId="4FAD9640">
            <w:pPr>
              <w:widowControl/>
              <w:spacing w:line="240" w:lineRule="auto"/>
              <w:jc w:val="left"/>
              <w:rPr>
                <w:rFonts w:ascii="Times New Roman" w:hAnsi="Times New Roman"/>
              </w:rPr>
            </w:pPr>
            <w:r>
              <w:rPr>
                <w:rFonts w:ascii="Times New Roman" w:hAnsi="Times New Roman" w:eastAsia="宋体" w:cs="Times New Roman"/>
                <w:color w:val="0F1115"/>
                <w:kern w:val="0"/>
                <w:lang w:bidi="ar"/>
              </w:rPr>
              <w:t>DP-03</w:t>
            </w:r>
          </w:p>
        </w:tc>
        <w:tc>
          <w:tcPr>
            <w:tcW w:w="1595" w:type="dxa"/>
            <w:vAlign w:val="center"/>
          </w:tcPr>
          <w:p w14:paraId="5169E57F">
            <w:pPr>
              <w:widowControl/>
              <w:spacing w:line="240" w:lineRule="auto"/>
              <w:jc w:val="left"/>
              <w:rPr>
                <w:rFonts w:ascii="Times New Roman" w:hAnsi="Times New Roman"/>
              </w:rPr>
            </w:pPr>
            <w:r>
              <w:rPr>
                <w:rFonts w:ascii="Times New Roman" w:hAnsi="Times New Roman" w:eastAsia="宋体" w:cs="Times New Roman"/>
                <w:color w:val="0F1115"/>
                <w:kern w:val="0"/>
                <w:lang w:bidi="ar"/>
              </w:rPr>
              <w:t>编码映射（ICD/ATC/LOINC）是否经过验证</w:t>
            </w:r>
          </w:p>
        </w:tc>
        <w:tc>
          <w:tcPr>
            <w:tcW w:w="1595" w:type="dxa"/>
            <w:vAlign w:val="center"/>
          </w:tcPr>
          <w:p w14:paraId="66962794">
            <w:pPr>
              <w:widowControl/>
              <w:spacing w:line="240" w:lineRule="auto"/>
              <w:jc w:val="left"/>
              <w:rPr>
                <w:rFonts w:ascii="Times New Roman" w:hAnsi="Times New Roman"/>
              </w:rPr>
            </w:pPr>
            <w:r>
              <w:rPr>
                <w:rFonts w:ascii="Times New Roman" w:hAnsi="Times New Roman" w:eastAsia="宋体" w:cs="Times New Roman"/>
                <w:color w:val="0F1115"/>
                <w:kern w:val="0"/>
                <w:lang w:bidi="ar"/>
              </w:rPr>
              <w:t>有验证报告</w:t>
            </w:r>
          </w:p>
        </w:tc>
        <w:tc>
          <w:tcPr>
            <w:tcW w:w="1595" w:type="dxa"/>
            <w:vAlign w:val="center"/>
          </w:tcPr>
          <w:p w14:paraId="29794EEE">
            <w:pPr>
              <w:widowControl/>
              <w:spacing w:line="240" w:lineRule="auto"/>
              <w:jc w:val="left"/>
              <w:rPr>
                <w:rFonts w:ascii="Times New Roman" w:hAnsi="Times New Roman"/>
              </w:rPr>
            </w:pPr>
            <w:r>
              <w:rPr>
                <w:rFonts w:ascii="Times New Roman" w:hAnsi="Times New Roman" w:eastAsia="宋体" w:cs="Times New Roman"/>
                <w:color w:val="0F1115"/>
                <w:kern w:val="0"/>
                <w:lang w:bidi="ar"/>
              </w:rPr>
              <w:t>文档审查</w:t>
            </w:r>
          </w:p>
        </w:tc>
        <w:tc>
          <w:tcPr>
            <w:tcW w:w="1595" w:type="dxa"/>
          </w:tcPr>
          <w:p w14:paraId="2DD5C519">
            <w:pPr>
              <w:pStyle w:val="60"/>
              <w:ind w:firstLine="0" w:firstLineChars="0"/>
              <w:jc w:val="center"/>
              <w:rPr>
                <w:szCs w:val="21"/>
              </w:rPr>
            </w:pPr>
          </w:p>
        </w:tc>
      </w:tr>
      <w:tr w14:paraId="79DFE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2D83BD46">
            <w:pPr>
              <w:spacing w:line="240" w:lineRule="auto"/>
              <w:rPr>
                <w:rFonts w:ascii="Times New Roman" w:hAnsi="Times New Roman"/>
              </w:rPr>
            </w:pPr>
          </w:p>
        </w:tc>
        <w:tc>
          <w:tcPr>
            <w:tcW w:w="1595" w:type="dxa"/>
            <w:vAlign w:val="center"/>
          </w:tcPr>
          <w:p w14:paraId="3200FDDF">
            <w:pPr>
              <w:widowControl/>
              <w:spacing w:line="240" w:lineRule="auto"/>
              <w:jc w:val="left"/>
              <w:rPr>
                <w:rFonts w:ascii="Times New Roman" w:hAnsi="Times New Roman"/>
              </w:rPr>
            </w:pPr>
            <w:r>
              <w:rPr>
                <w:rFonts w:ascii="Times New Roman" w:hAnsi="Times New Roman" w:eastAsia="宋体" w:cs="Times New Roman"/>
                <w:color w:val="0F1115"/>
                <w:kern w:val="0"/>
                <w:lang w:bidi="ar"/>
              </w:rPr>
              <w:t>DP-04</w:t>
            </w:r>
          </w:p>
        </w:tc>
        <w:tc>
          <w:tcPr>
            <w:tcW w:w="1595" w:type="dxa"/>
            <w:vAlign w:val="center"/>
          </w:tcPr>
          <w:p w14:paraId="6B182CE0">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数据导出是否有授权和审计日志</w:t>
            </w:r>
          </w:p>
        </w:tc>
        <w:tc>
          <w:tcPr>
            <w:tcW w:w="1595" w:type="dxa"/>
            <w:vAlign w:val="center"/>
          </w:tcPr>
          <w:p w14:paraId="197E778D">
            <w:pPr>
              <w:widowControl/>
              <w:spacing w:line="240" w:lineRule="auto"/>
              <w:jc w:val="left"/>
              <w:rPr>
                <w:rFonts w:ascii="Times New Roman" w:hAnsi="Times New Roman"/>
              </w:rPr>
            </w:pPr>
            <w:r>
              <w:rPr>
                <w:rFonts w:ascii="Times New Roman" w:hAnsi="Times New Roman" w:eastAsia="宋体" w:cs="Times New Roman"/>
                <w:color w:val="0F1115"/>
                <w:kern w:val="0"/>
                <w:lang w:bidi="ar"/>
              </w:rPr>
              <w:t>是</w:t>
            </w:r>
          </w:p>
        </w:tc>
        <w:tc>
          <w:tcPr>
            <w:tcW w:w="1595" w:type="dxa"/>
            <w:vAlign w:val="center"/>
          </w:tcPr>
          <w:p w14:paraId="23BD1E89">
            <w:pPr>
              <w:widowControl/>
              <w:spacing w:line="240" w:lineRule="auto"/>
              <w:jc w:val="left"/>
              <w:rPr>
                <w:rFonts w:ascii="Times New Roman" w:hAnsi="Times New Roman"/>
              </w:rPr>
            </w:pPr>
            <w:r>
              <w:rPr>
                <w:rFonts w:ascii="Times New Roman" w:hAnsi="Times New Roman" w:eastAsia="宋体" w:cs="Times New Roman"/>
                <w:color w:val="0F1115"/>
                <w:kern w:val="0"/>
                <w:lang w:bidi="ar"/>
              </w:rPr>
              <w:t>日志审查</w:t>
            </w:r>
          </w:p>
        </w:tc>
        <w:tc>
          <w:tcPr>
            <w:tcW w:w="1595" w:type="dxa"/>
          </w:tcPr>
          <w:p w14:paraId="29493E18">
            <w:pPr>
              <w:pStyle w:val="60"/>
              <w:ind w:firstLine="0" w:firstLineChars="0"/>
              <w:jc w:val="center"/>
              <w:rPr>
                <w:szCs w:val="21"/>
              </w:rPr>
            </w:pPr>
          </w:p>
        </w:tc>
      </w:tr>
      <w:tr w14:paraId="7D7E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1EB16A3F">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系统性能</w:t>
            </w:r>
          </w:p>
        </w:tc>
        <w:tc>
          <w:tcPr>
            <w:tcW w:w="1595" w:type="dxa"/>
            <w:vAlign w:val="center"/>
          </w:tcPr>
          <w:p w14:paraId="1745B80C">
            <w:pPr>
              <w:widowControl/>
              <w:spacing w:line="240" w:lineRule="auto"/>
              <w:jc w:val="left"/>
              <w:rPr>
                <w:rFonts w:ascii="Times New Roman" w:hAnsi="Times New Roman"/>
              </w:rPr>
            </w:pPr>
            <w:r>
              <w:rPr>
                <w:rFonts w:ascii="Times New Roman" w:hAnsi="Times New Roman" w:eastAsia="宋体" w:cs="Times New Roman"/>
                <w:color w:val="0F1115"/>
                <w:kern w:val="0"/>
                <w:lang w:bidi="ar"/>
              </w:rPr>
              <w:t>SP-01</w:t>
            </w:r>
          </w:p>
        </w:tc>
        <w:tc>
          <w:tcPr>
            <w:tcW w:w="1595" w:type="dxa"/>
            <w:vAlign w:val="center"/>
          </w:tcPr>
          <w:p w14:paraId="68B270EF">
            <w:pPr>
              <w:widowControl/>
              <w:spacing w:line="240" w:lineRule="auto"/>
              <w:jc w:val="left"/>
              <w:rPr>
                <w:rFonts w:ascii="Times New Roman" w:hAnsi="Times New Roman"/>
              </w:rPr>
            </w:pPr>
            <w:r>
              <w:rPr>
                <w:rFonts w:ascii="Times New Roman" w:hAnsi="Times New Roman" w:eastAsia="宋体" w:cs="Times New Roman"/>
                <w:color w:val="0F1115"/>
                <w:kern w:val="0"/>
                <w:lang w:bidi="ar"/>
              </w:rPr>
              <w:t>系统可用性（月度）</w:t>
            </w:r>
          </w:p>
        </w:tc>
        <w:tc>
          <w:tcPr>
            <w:tcW w:w="1595" w:type="dxa"/>
            <w:vAlign w:val="center"/>
          </w:tcPr>
          <w:p w14:paraId="20A37318">
            <w:pPr>
              <w:widowControl/>
              <w:spacing w:line="240" w:lineRule="auto"/>
              <w:jc w:val="left"/>
              <w:rPr>
                <w:rFonts w:ascii="Times New Roman" w:hAnsi="Times New Roman"/>
              </w:rPr>
            </w:pPr>
            <w:r>
              <w:rPr>
                <w:rFonts w:ascii="Times New Roman" w:hAnsi="Times New Roman" w:eastAsia="宋体" w:cs="Times New Roman"/>
                <w:color w:val="0F1115"/>
                <w:kern w:val="0"/>
                <w:lang w:bidi="ar"/>
              </w:rPr>
              <w:t>≥99.5%</w:t>
            </w:r>
          </w:p>
        </w:tc>
        <w:tc>
          <w:tcPr>
            <w:tcW w:w="1595" w:type="dxa"/>
            <w:vAlign w:val="center"/>
          </w:tcPr>
          <w:p w14:paraId="39831345">
            <w:pPr>
              <w:widowControl/>
              <w:spacing w:line="240" w:lineRule="auto"/>
              <w:jc w:val="left"/>
              <w:rPr>
                <w:rFonts w:ascii="Times New Roman" w:hAnsi="Times New Roman"/>
              </w:rPr>
            </w:pPr>
            <w:r>
              <w:rPr>
                <w:rFonts w:ascii="Times New Roman" w:hAnsi="Times New Roman" w:eastAsia="宋体" w:cs="Times New Roman"/>
                <w:color w:val="0F1115"/>
                <w:kern w:val="0"/>
                <w:lang w:bidi="ar"/>
              </w:rPr>
              <w:t>监控数据</w:t>
            </w:r>
          </w:p>
        </w:tc>
        <w:tc>
          <w:tcPr>
            <w:tcW w:w="1595" w:type="dxa"/>
          </w:tcPr>
          <w:p w14:paraId="748716B4">
            <w:pPr>
              <w:pStyle w:val="60"/>
              <w:ind w:firstLine="0" w:firstLineChars="0"/>
              <w:jc w:val="center"/>
              <w:rPr>
                <w:szCs w:val="21"/>
              </w:rPr>
            </w:pPr>
          </w:p>
        </w:tc>
      </w:tr>
      <w:tr w14:paraId="5395F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0A3DFBEF">
            <w:pPr>
              <w:spacing w:line="240" w:lineRule="auto"/>
              <w:rPr>
                <w:rFonts w:ascii="Times New Roman" w:hAnsi="Times New Roman"/>
              </w:rPr>
            </w:pPr>
          </w:p>
        </w:tc>
        <w:tc>
          <w:tcPr>
            <w:tcW w:w="1595" w:type="dxa"/>
            <w:vAlign w:val="center"/>
          </w:tcPr>
          <w:p w14:paraId="06F6AFB5">
            <w:pPr>
              <w:widowControl/>
              <w:spacing w:line="240" w:lineRule="auto"/>
              <w:jc w:val="left"/>
              <w:rPr>
                <w:rFonts w:ascii="Times New Roman" w:hAnsi="Times New Roman"/>
              </w:rPr>
            </w:pPr>
            <w:r>
              <w:rPr>
                <w:rFonts w:ascii="Times New Roman" w:hAnsi="Times New Roman" w:eastAsia="宋体" w:cs="Times New Roman"/>
                <w:color w:val="0F1115"/>
                <w:kern w:val="0"/>
                <w:lang w:bidi="ar"/>
              </w:rPr>
              <w:t>SP-02</w:t>
            </w:r>
          </w:p>
        </w:tc>
        <w:tc>
          <w:tcPr>
            <w:tcW w:w="1595" w:type="dxa"/>
            <w:vAlign w:val="center"/>
          </w:tcPr>
          <w:p w14:paraId="40BF68DA">
            <w:pPr>
              <w:widowControl/>
              <w:spacing w:line="240" w:lineRule="auto"/>
              <w:jc w:val="left"/>
              <w:rPr>
                <w:rFonts w:ascii="Times New Roman" w:hAnsi="Times New Roman"/>
              </w:rPr>
            </w:pPr>
            <w:r>
              <w:rPr>
                <w:rFonts w:ascii="Times New Roman" w:hAnsi="Times New Roman" w:eastAsia="宋体" w:cs="Times New Roman"/>
                <w:color w:val="0F1115"/>
                <w:kern w:val="0"/>
                <w:lang w:bidi="ar"/>
              </w:rPr>
              <w:t>并发用户数支持</w:t>
            </w:r>
          </w:p>
        </w:tc>
        <w:tc>
          <w:tcPr>
            <w:tcW w:w="1595" w:type="dxa"/>
            <w:vAlign w:val="center"/>
          </w:tcPr>
          <w:p w14:paraId="0A265295">
            <w:pPr>
              <w:widowControl/>
              <w:spacing w:line="240" w:lineRule="auto"/>
              <w:jc w:val="left"/>
              <w:rPr>
                <w:rFonts w:ascii="Times New Roman" w:hAnsi="Times New Roman"/>
              </w:rPr>
            </w:pPr>
            <w:r>
              <w:rPr>
                <w:rFonts w:ascii="Times New Roman" w:hAnsi="Times New Roman" w:eastAsia="宋体" w:cs="Times New Roman"/>
                <w:color w:val="0F1115"/>
                <w:kern w:val="0"/>
                <w:lang w:bidi="ar"/>
              </w:rPr>
              <w:t>满足设计要求</w:t>
            </w:r>
          </w:p>
        </w:tc>
        <w:tc>
          <w:tcPr>
            <w:tcW w:w="1595" w:type="dxa"/>
            <w:vAlign w:val="center"/>
          </w:tcPr>
          <w:p w14:paraId="7B3ADA5E">
            <w:pPr>
              <w:widowControl/>
              <w:spacing w:line="240" w:lineRule="auto"/>
              <w:jc w:val="left"/>
              <w:rPr>
                <w:rFonts w:ascii="Times New Roman" w:hAnsi="Times New Roman"/>
              </w:rPr>
            </w:pPr>
            <w:r>
              <w:rPr>
                <w:rFonts w:ascii="Times New Roman" w:hAnsi="Times New Roman" w:eastAsia="宋体" w:cs="Times New Roman"/>
                <w:color w:val="0F1115"/>
                <w:kern w:val="0"/>
                <w:lang w:bidi="ar"/>
              </w:rPr>
              <w:t>压力测试</w:t>
            </w:r>
          </w:p>
        </w:tc>
        <w:tc>
          <w:tcPr>
            <w:tcW w:w="1595" w:type="dxa"/>
          </w:tcPr>
          <w:p w14:paraId="1BD849DA">
            <w:pPr>
              <w:pStyle w:val="60"/>
              <w:ind w:firstLine="0" w:firstLineChars="0"/>
              <w:jc w:val="center"/>
              <w:rPr>
                <w:szCs w:val="21"/>
              </w:rPr>
            </w:pPr>
          </w:p>
        </w:tc>
      </w:tr>
      <w:tr w14:paraId="2DB7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3AB8F339">
            <w:pPr>
              <w:spacing w:line="240" w:lineRule="auto"/>
              <w:rPr>
                <w:rFonts w:ascii="Times New Roman" w:hAnsi="Times New Roman"/>
              </w:rPr>
            </w:pPr>
          </w:p>
        </w:tc>
        <w:tc>
          <w:tcPr>
            <w:tcW w:w="1595" w:type="dxa"/>
            <w:vAlign w:val="center"/>
          </w:tcPr>
          <w:p w14:paraId="6457A34D">
            <w:pPr>
              <w:widowControl/>
              <w:spacing w:line="240" w:lineRule="auto"/>
              <w:jc w:val="left"/>
              <w:rPr>
                <w:rFonts w:ascii="Times New Roman" w:hAnsi="Times New Roman"/>
              </w:rPr>
            </w:pPr>
            <w:r>
              <w:rPr>
                <w:rFonts w:ascii="Times New Roman" w:hAnsi="Times New Roman" w:eastAsia="宋体" w:cs="Times New Roman"/>
                <w:color w:val="0F1115"/>
                <w:kern w:val="0"/>
                <w:lang w:bidi="ar"/>
              </w:rPr>
              <w:t>SP-03</w:t>
            </w:r>
          </w:p>
        </w:tc>
        <w:tc>
          <w:tcPr>
            <w:tcW w:w="1595" w:type="dxa"/>
            <w:vAlign w:val="center"/>
          </w:tcPr>
          <w:p w14:paraId="1120B9C3">
            <w:pPr>
              <w:widowControl/>
              <w:spacing w:line="240" w:lineRule="auto"/>
              <w:jc w:val="left"/>
              <w:rPr>
                <w:rFonts w:ascii="Times New Roman" w:hAnsi="Times New Roman"/>
              </w:rPr>
            </w:pPr>
            <w:r>
              <w:rPr>
                <w:rFonts w:ascii="Times New Roman" w:hAnsi="Times New Roman" w:eastAsia="宋体" w:cs="Times New Roman"/>
                <w:color w:val="0F1115"/>
                <w:kern w:val="0"/>
                <w:lang w:bidi="ar"/>
              </w:rPr>
              <w:t>数据备份成功率</w:t>
            </w:r>
          </w:p>
        </w:tc>
        <w:tc>
          <w:tcPr>
            <w:tcW w:w="1595" w:type="dxa"/>
            <w:vAlign w:val="center"/>
          </w:tcPr>
          <w:p w14:paraId="2F8319D3">
            <w:pPr>
              <w:widowControl/>
              <w:spacing w:line="240" w:lineRule="auto"/>
              <w:jc w:val="left"/>
              <w:rPr>
                <w:rFonts w:ascii="Times New Roman" w:hAnsi="Times New Roman"/>
              </w:rPr>
            </w:pPr>
            <w:r>
              <w:rPr>
                <w:rFonts w:ascii="Times New Roman" w:hAnsi="Times New Roman" w:eastAsia="宋体" w:cs="Times New Roman"/>
                <w:color w:val="0F1115"/>
                <w:kern w:val="0"/>
                <w:lang w:bidi="ar"/>
              </w:rPr>
              <w:t>100%</w:t>
            </w:r>
          </w:p>
        </w:tc>
        <w:tc>
          <w:tcPr>
            <w:tcW w:w="1595" w:type="dxa"/>
            <w:vAlign w:val="center"/>
          </w:tcPr>
          <w:p w14:paraId="53827F08">
            <w:pPr>
              <w:widowControl/>
              <w:spacing w:line="240" w:lineRule="auto"/>
              <w:jc w:val="left"/>
              <w:rPr>
                <w:rFonts w:ascii="Times New Roman" w:hAnsi="Times New Roman"/>
              </w:rPr>
            </w:pPr>
            <w:r>
              <w:rPr>
                <w:rFonts w:ascii="Times New Roman" w:hAnsi="Times New Roman" w:eastAsia="宋体" w:cs="Times New Roman"/>
                <w:color w:val="0F1115"/>
                <w:kern w:val="0"/>
                <w:lang w:bidi="ar"/>
              </w:rPr>
              <w:t>备份日志</w:t>
            </w:r>
          </w:p>
        </w:tc>
        <w:tc>
          <w:tcPr>
            <w:tcW w:w="1595" w:type="dxa"/>
          </w:tcPr>
          <w:p w14:paraId="50502568">
            <w:pPr>
              <w:pStyle w:val="60"/>
              <w:ind w:firstLine="0" w:firstLineChars="0"/>
              <w:jc w:val="center"/>
              <w:rPr>
                <w:szCs w:val="21"/>
              </w:rPr>
            </w:pPr>
          </w:p>
        </w:tc>
      </w:tr>
      <w:tr w14:paraId="6B572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0095F7EE">
            <w:pPr>
              <w:widowControl/>
              <w:spacing w:line="240" w:lineRule="auto"/>
              <w:jc w:val="left"/>
              <w:rPr>
                <w:rFonts w:ascii="Times New Roman" w:hAnsi="Times New Roman"/>
              </w:rPr>
            </w:pPr>
            <w:r>
              <w:rPr>
                <w:rFonts w:ascii="Times New Roman" w:hAnsi="Times New Roman" w:eastAsia="宋体" w:cs="Times New Roman"/>
                <w:color w:val="0F1115"/>
                <w:kern w:val="0"/>
                <w:lang w:bidi="ar"/>
              </w:rPr>
              <w:t>流程合规</w:t>
            </w:r>
          </w:p>
        </w:tc>
        <w:tc>
          <w:tcPr>
            <w:tcW w:w="1595" w:type="dxa"/>
            <w:vAlign w:val="center"/>
          </w:tcPr>
          <w:p w14:paraId="1455265A">
            <w:pPr>
              <w:widowControl/>
              <w:spacing w:line="240" w:lineRule="auto"/>
              <w:jc w:val="left"/>
              <w:rPr>
                <w:rFonts w:ascii="Times New Roman" w:hAnsi="Times New Roman"/>
              </w:rPr>
            </w:pPr>
            <w:r>
              <w:rPr>
                <w:rFonts w:ascii="Times New Roman" w:hAnsi="Times New Roman" w:eastAsia="宋体" w:cs="Times New Roman"/>
                <w:color w:val="0F1115"/>
                <w:kern w:val="0"/>
                <w:lang w:bidi="ar"/>
              </w:rPr>
              <w:t>PC-01</w:t>
            </w:r>
          </w:p>
        </w:tc>
        <w:tc>
          <w:tcPr>
            <w:tcW w:w="1595" w:type="dxa"/>
            <w:vAlign w:val="center"/>
          </w:tcPr>
          <w:p w14:paraId="21AD09B7">
            <w:pPr>
              <w:widowControl/>
              <w:spacing w:line="240" w:lineRule="auto"/>
              <w:jc w:val="left"/>
              <w:rPr>
                <w:rFonts w:ascii="Times New Roman" w:hAnsi="Times New Roman"/>
              </w:rPr>
            </w:pPr>
            <w:r>
              <w:rPr>
                <w:rFonts w:ascii="Times New Roman" w:hAnsi="Times New Roman" w:eastAsia="宋体" w:cs="Times New Roman"/>
                <w:color w:val="0F1115"/>
                <w:kern w:val="0"/>
                <w:lang w:bidi="ar"/>
              </w:rPr>
              <w:t>质量核查计划是否制定并审批</w:t>
            </w:r>
          </w:p>
        </w:tc>
        <w:tc>
          <w:tcPr>
            <w:tcW w:w="1595" w:type="dxa"/>
            <w:vAlign w:val="center"/>
          </w:tcPr>
          <w:p w14:paraId="065A673F">
            <w:pPr>
              <w:widowControl/>
              <w:spacing w:line="240" w:lineRule="auto"/>
              <w:jc w:val="left"/>
              <w:rPr>
                <w:rFonts w:ascii="Times New Roman" w:hAnsi="Times New Roman"/>
              </w:rPr>
            </w:pPr>
            <w:r>
              <w:rPr>
                <w:rFonts w:ascii="Times New Roman" w:hAnsi="Times New Roman" w:eastAsia="宋体" w:cs="Times New Roman"/>
                <w:color w:val="0F1115"/>
                <w:kern w:val="0"/>
                <w:lang w:bidi="ar"/>
              </w:rPr>
              <w:t>有且有效</w:t>
            </w:r>
          </w:p>
        </w:tc>
        <w:tc>
          <w:tcPr>
            <w:tcW w:w="1595" w:type="dxa"/>
            <w:vAlign w:val="center"/>
          </w:tcPr>
          <w:p w14:paraId="553788BB">
            <w:pPr>
              <w:widowControl/>
              <w:spacing w:line="240" w:lineRule="auto"/>
              <w:jc w:val="left"/>
              <w:rPr>
                <w:rFonts w:ascii="Times New Roman" w:hAnsi="Times New Roman"/>
              </w:rPr>
            </w:pPr>
            <w:r>
              <w:rPr>
                <w:rFonts w:ascii="Times New Roman" w:hAnsi="Times New Roman" w:eastAsia="宋体" w:cs="Times New Roman"/>
                <w:color w:val="0F1115"/>
                <w:kern w:val="0"/>
                <w:lang w:bidi="ar"/>
              </w:rPr>
              <w:t>文档审查</w:t>
            </w:r>
          </w:p>
        </w:tc>
        <w:tc>
          <w:tcPr>
            <w:tcW w:w="1595" w:type="dxa"/>
          </w:tcPr>
          <w:p w14:paraId="4E854FE7">
            <w:pPr>
              <w:pStyle w:val="60"/>
              <w:ind w:firstLine="0" w:firstLineChars="0"/>
              <w:jc w:val="center"/>
              <w:rPr>
                <w:szCs w:val="21"/>
              </w:rPr>
            </w:pPr>
          </w:p>
        </w:tc>
      </w:tr>
      <w:tr w14:paraId="687FC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0A07868A">
            <w:pPr>
              <w:spacing w:line="240" w:lineRule="auto"/>
              <w:rPr>
                <w:rFonts w:ascii="Times New Roman" w:hAnsi="Times New Roman"/>
              </w:rPr>
            </w:pPr>
          </w:p>
        </w:tc>
        <w:tc>
          <w:tcPr>
            <w:tcW w:w="1595" w:type="dxa"/>
            <w:vAlign w:val="center"/>
          </w:tcPr>
          <w:p w14:paraId="5DC11B98">
            <w:pPr>
              <w:widowControl/>
              <w:spacing w:line="240" w:lineRule="auto"/>
              <w:jc w:val="left"/>
              <w:rPr>
                <w:rFonts w:ascii="Times New Roman" w:hAnsi="Times New Roman"/>
              </w:rPr>
            </w:pPr>
            <w:r>
              <w:rPr>
                <w:rFonts w:ascii="Times New Roman" w:hAnsi="Times New Roman" w:eastAsia="宋体" w:cs="Times New Roman"/>
                <w:color w:val="0F1115"/>
                <w:kern w:val="0"/>
                <w:lang w:bidi="ar"/>
              </w:rPr>
              <w:t>PC-02</w:t>
            </w:r>
          </w:p>
        </w:tc>
        <w:tc>
          <w:tcPr>
            <w:tcW w:w="1595" w:type="dxa"/>
            <w:vAlign w:val="center"/>
          </w:tcPr>
          <w:p w14:paraId="544C90A7">
            <w:pPr>
              <w:widowControl/>
              <w:spacing w:line="240" w:lineRule="auto"/>
              <w:jc w:val="left"/>
              <w:rPr>
                <w:rFonts w:ascii="Times New Roman" w:hAnsi="Times New Roman"/>
              </w:rPr>
            </w:pPr>
            <w:r>
              <w:rPr>
                <w:rFonts w:ascii="Times New Roman" w:hAnsi="Times New Roman" w:eastAsia="宋体" w:cs="Times New Roman"/>
                <w:color w:val="0F1115"/>
                <w:kern w:val="0"/>
                <w:lang w:bidi="ar"/>
              </w:rPr>
              <w:t>核查计划是否按频率执行</w:t>
            </w:r>
          </w:p>
        </w:tc>
        <w:tc>
          <w:tcPr>
            <w:tcW w:w="1595" w:type="dxa"/>
            <w:vAlign w:val="center"/>
          </w:tcPr>
          <w:p w14:paraId="185628DE">
            <w:pPr>
              <w:widowControl/>
              <w:spacing w:line="240" w:lineRule="auto"/>
              <w:jc w:val="left"/>
              <w:rPr>
                <w:rFonts w:ascii="Times New Roman" w:hAnsi="Times New Roman"/>
              </w:rPr>
            </w:pPr>
            <w:r>
              <w:rPr>
                <w:rFonts w:ascii="Times New Roman" w:hAnsi="Times New Roman" w:eastAsia="宋体" w:cs="Times New Roman"/>
                <w:color w:val="0F1115"/>
                <w:kern w:val="0"/>
                <w:lang w:bidi="ar"/>
              </w:rPr>
              <w:t>执行率≥95%</w:t>
            </w:r>
          </w:p>
        </w:tc>
        <w:tc>
          <w:tcPr>
            <w:tcW w:w="1595" w:type="dxa"/>
            <w:vAlign w:val="center"/>
          </w:tcPr>
          <w:p w14:paraId="3C6A8A17">
            <w:pPr>
              <w:widowControl/>
              <w:spacing w:line="240" w:lineRule="auto"/>
              <w:jc w:val="left"/>
              <w:rPr>
                <w:rFonts w:ascii="Times New Roman" w:hAnsi="Times New Roman"/>
              </w:rPr>
            </w:pPr>
            <w:r>
              <w:rPr>
                <w:rFonts w:ascii="Times New Roman" w:hAnsi="Times New Roman" w:eastAsia="宋体" w:cs="Times New Roman"/>
                <w:color w:val="0F1115"/>
                <w:kern w:val="0"/>
                <w:lang w:bidi="ar"/>
              </w:rPr>
              <w:t>计划对比</w:t>
            </w:r>
          </w:p>
        </w:tc>
        <w:tc>
          <w:tcPr>
            <w:tcW w:w="1595" w:type="dxa"/>
          </w:tcPr>
          <w:p w14:paraId="5E406C18">
            <w:pPr>
              <w:pStyle w:val="60"/>
              <w:ind w:firstLine="0" w:firstLineChars="0"/>
              <w:jc w:val="center"/>
              <w:rPr>
                <w:szCs w:val="21"/>
              </w:rPr>
            </w:pPr>
          </w:p>
        </w:tc>
      </w:tr>
      <w:tr w14:paraId="44C31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09606732">
            <w:pPr>
              <w:spacing w:line="240" w:lineRule="auto"/>
              <w:rPr>
                <w:rFonts w:ascii="Times New Roman" w:hAnsi="Times New Roman"/>
              </w:rPr>
            </w:pPr>
          </w:p>
        </w:tc>
        <w:tc>
          <w:tcPr>
            <w:tcW w:w="1595" w:type="dxa"/>
            <w:vAlign w:val="center"/>
          </w:tcPr>
          <w:p w14:paraId="5263ACE6">
            <w:pPr>
              <w:widowControl/>
              <w:spacing w:line="240" w:lineRule="auto"/>
              <w:jc w:val="left"/>
              <w:rPr>
                <w:rFonts w:ascii="Times New Roman" w:hAnsi="Times New Roman"/>
              </w:rPr>
            </w:pPr>
            <w:r>
              <w:rPr>
                <w:rFonts w:ascii="Times New Roman" w:hAnsi="Times New Roman" w:eastAsia="宋体" w:cs="Times New Roman"/>
                <w:color w:val="0F1115"/>
                <w:kern w:val="0"/>
                <w:lang w:bidi="ar"/>
              </w:rPr>
              <w:t>PC-03</w:t>
            </w:r>
          </w:p>
        </w:tc>
        <w:tc>
          <w:tcPr>
            <w:tcW w:w="1595" w:type="dxa"/>
            <w:vAlign w:val="center"/>
          </w:tcPr>
          <w:p w14:paraId="54ECD52F">
            <w:pPr>
              <w:widowControl/>
              <w:spacing w:line="240" w:lineRule="auto"/>
              <w:jc w:val="left"/>
              <w:rPr>
                <w:rFonts w:ascii="Times New Roman" w:hAnsi="Times New Roman"/>
              </w:rPr>
            </w:pPr>
            <w:r>
              <w:rPr>
                <w:rFonts w:ascii="Times New Roman" w:hAnsi="Times New Roman" w:eastAsia="宋体" w:cs="Times New Roman"/>
                <w:color w:val="0F1115"/>
                <w:kern w:val="0"/>
                <w:lang w:bidi="ar"/>
              </w:rPr>
              <w:t>人员培训完成率</w:t>
            </w:r>
          </w:p>
        </w:tc>
        <w:tc>
          <w:tcPr>
            <w:tcW w:w="1595" w:type="dxa"/>
            <w:vAlign w:val="center"/>
          </w:tcPr>
          <w:p w14:paraId="1CBB5FEA">
            <w:pPr>
              <w:widowControl/>
              <w:spacing w:line="240" w:lineRule="auto"/>
              <w:jc w:val="left"/>
              <w:rPr>
                <w:rFonts w:ascii="Times New Roman" w:hAnsi="Times New Roman"/>
              </w:rPr>
            </w:pPr>
            <w:r>
              <w:rPr>
                <w:rFonts w:ascii="Times New Roman" w:hAnsi="Times New Roman" w:eastAsia="宋体" w:cs="Times New Roman"/>
                <w:color w:val="0F1115"/>
                <w:kern w:val="0"/>
                <w:lang w:bidi="ar"/>
              </w:rPr>
              <w:t>100%</w:t>
            </w:r>
          </w:p>
        </w:tc>
        <w:tc>
          <w:tcPr>
            <w:tcW w:w="1595" w:type="dxa"/>
            <w:vAlign w:val="center"/>
          </w:tcPr>
          <w:p w14:paraId="5B5B66CD">
            <w:pPr>
              <w:widowControl/>
              <w:spacing w:line="240" w:lineRule="auto"/>
              <w:jc w:val="left"/>
              <w:rPr>
                <w:rFonts w:ascii="Times New Roman" w:hAnsi="Times New Roman"/>
              </w:rPr>
            </w:pPr>
            <w:r>
              <w:rPr>
                <w:rFonts w:ascii="Times New Roman" w:hAnsi="Times New Roman" w:eastAsia="宋体" w:cs="Times New Roman"/>
                <w:color w:val="0F1115"/>
                <w:kern w:val="0"/>
                <w:lang w:bidi="ar"/>
              </w:rPr>
              <w:t>培训记录</w:t>
            </w:r>
          </w:p>
        </w:tc>
        <w:tc>
          <w:tcPr>
            <w:tcW w:w="1595" w:type="dxa"/>
          </w:tcPr>
          <w:p w14:paraId="5C83BBA9">
            <w:pPr>
              <w:pStyle w:val="60"/>
              <w:ind w:firstLine="0" w:firstLineChars="0"/>
              <w:jc w:val="center"/>
              <w:rPr>
                <w:szCs w:val="21"/>
              </w:rPr>
            </w:pPr>
          </w:p>
        </w:tc>
      </w:tr>
      <w:tr w14:paraId="5459B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restart"/>
            <w:vAlign w:val="center"/>
          </w:tcPr>
          <w:p w14:paraId="0C9D75C8">
            <w:pPr>
              <w:widowControl/>
              <w:spacing w:line="240" w:lineRule="auto"/>
              <w:jc w:val="left"/>
              <w:rPr>
                <w:rFonts w:ascii="Times New Roman" w:hAnsi="Times New Roman"/>
              </w:rPr>
            </w:pPr>
            <w:r>
              <w:rPr>
                <w:rFonts w:ascii="Times New Roman" w:hAnsi="Times New Roman" w:eastAsia="宋体" w:cs="Times New Roman"/>
                <w:color w:val="0F1115"/>
                <w:kern w:val="0"/>
                <w:lang w:bidi="ar"/>
              </w:rPr>
              <w:t>安全</w:t>
            </w:r>
          </w:p>
        </w:tc>
        <w:tc>
          <w:tcPr>
            <w:tcW w:w="1595" w:type="dxa"/>
            <w:vAlign w:val="center"/>
          </w:tcPr>
          <w:p w14:paraId="0FBC372D">
            <w:pPr>
              <w:widowControl/>
              <w:spacing w:line="240" w:lineRule="auto"/>
              <w:jc w:val="left"/>
              <w:rPr>
                <w:rFonts w:ascii="Times New Roman" w:hAnsi="Times New Roman"/>
              </w:rPr>
            </w:pPr>
            <w:r>
              <w:rPr>
                <w:rFonts w:ascii="Times New Roman" w:hAnsi="Times New Roman" w:eastAsia="宋体" w:cs="Times New Roman"/>
                <w:color w:val="0F1115"/>
                <w:kern w:val="0"/>
                <w:lang w:bidi="ar"/>
              </w:rPr>
              <w:t>SC-01</w:t>
            </w:r>
          </w:p>
        </w:tc>
        <w:tc>
          <w:tcPr>
            <w:tcW w:w="1595" w:type="dxa"/>
            <w:vAlign w:val="center"/>
          </w:tcPr>
          <w:p w14:paraId="429D71B2">
            <w:pPr>
              <w:widowControl/>
              <w:spacing w:line="240" w:lineRule="auto"/>
              <w:jc w:val="left"/>
              <w:rPr>
                <w:rFonts w:ascii="Times New Roman" w:hAnsi="Times New Roman"/>
              </w:rPr>
            </w:pPr>
            <w:r>
              <w:rPr>
                <w:rFonts w:ascii="Times New Roman" w:hAnsi="Times New Roman" w:eastAsia="宋体" w:cs="Times New Roman"/>
                <w:color w:val="0F1115"/>
                <w:kern w:val="0"/>
                <w:lang w:bidi="ar"/>
              </w:rPr>
              <w:t>访问控制合规（最小权限、角色分离）</w:t>
            </w:r>
          </w:p>
        </w:tc>
        <w:tc>
          <w:tcPr>
            <w:tcW w:w="1595" w:type="dxa"/>
            <w:vAlign w:val="center"/>
          </w:tcPr>
          <w:p w14:paraId="2D1F83EB">
            <w:pPr>
              <w:widowControl/>
              <w:spacing w:line="240" w:lineRule="auto"/>
              <w:jc w:val="left"/>
              <w:rPr>
                <w:rFonts w:ascii="Times New Roman" w:hAnsi="Times New Roman"/>
              </w:rPr>
            </w:pPr>
            <w:r>
              <w:rPr>
                <w:rFonts w:ascii="Times New Roman" w:hAnsi="Times New Roman" w:eastAsia="宋体" w:cs="Times New Roman"/>
                <w:color w:val="0F1115"/>
                <w:kern w:val="0"/>
                <w:lang w:bidi="ar"/>
              </w:rPr>
              <w:t>符合GB/T 22239</w:t>
            </w:r>
          </w:p>
        </w:tc>
        <w:tc>
          <w:tcPr>
            <w:tcW w:w="1595" w:type="dxa"/>
            <w:vAlign w:val="center"/>
          </w:tcPr>
          <w:p w14:paraId="2D14A870">
            <w:pPr>
              <w:widowControl/>
              <w:spacing w:line="240" w:lineRule="auto"/>
              <w:jc w:val="left"/>
              <w:rPr>
                <w:rFonts w:ascii="Times New Roman" w:hAnsi="Times New Roman"/>
              </w:rPr>
            </w:pPr>
            <w:r>
              <w:rPr>
                <w:rFonts w:ascii="Times New Roman" w:hAnsi="Times New Roman" w:eastAsia="宋体" w:cs="Times New Roman"/>
                <w:color w:val="0F1115"/>
                <w:kern w:val="0"/>
                <w:lang w:bidi="ar"/>
              </w:rPr>
              <w:t>安全审计</w:t>
            </w:r>
          </w:p>
        </w:tc>
        <w:tc>
          <w:tcPr>
            <w:tcW w:w="1595" w:type="dxa"/>
          </w:tcPr>
          <w:p w14:paraId="0C8E90E8">
            <w:pPr>
              <w:pStyle w:val="60"/>
              <w:ind w:firstLine="0" w:firstLineChars="0"/>
              <w:jc w:val="center"/>
              <w:rPr>
                <w:szCs w:val="21"/>
              </w:rPr>
            </w:pPr>
          </w:p>
        </w:tc>
      </w:tr>
      <w:tr w14:paraId="4979E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5" w:type="dxa"/>
            <w:vMerge w:val="continue"/>
            <w:vAlign w:val="center"/>
          </w:tcPr>
          <w:p w14:paraId="1165A544">
            <w:pPr>
              <w:spacing w:line="240" w:lineRule="auto"/>
              <w:rPr>
                <w:rFonts w:ascii="Times New Roman" w:hAnsi="Times New Roman"/>
              </w:rPr>
            </w:pPr>
          </w:p>
        </w:tc>
        <w:tc>
          <w:tcPr>
            <w:tcW w:w="1595" w:type="dxa"/>
            <w:vAlign w:val="center"/>
          </w:tcPr>
          <w:p w14:paraId="0381E2E5">
            <w:pPr>
              <w:widowControl/>
              <w:spacing w:line="240" w:lineRule="auto"/>
              <w:jc w:val="left"/>
              <w:rPr>
                <w:rFonts w:ascii="Times New Roman" w:hAnsi="Times New Roman"/>
              </w:rPr>
            </w:pPr>
            <w:r>
              <w:rPr>
                <w:rFonts w:ascii="Times New Roman" w:hAnsi="Times New Roman" w:eastAsia="宋体" w:cs="Times New Roman"/>
                <w:color w:val="0F1115"/>
                <w:kern w:val="0"/>
                <w:lang w:bidi="ar"/>
              </w:rPr>
              <w:t>SC-02</w:t>
            </w:r>
          </w:p>
        </w:tc>
        <w:tc>
          <w:tcPr>
            <w:tcW w:w="1595" w:type="dxa"/>
            <w:vAlign w:val="center"/>
          </w:tcPr>
          <w:p w14:paraId="28EA1FB8">
            <w:pPr>
              <w:widowControl/>
              <w:spacing w:line="240" w:lineRule="auto"/>
              <w:jc w:val="left"/>
              <w:rPr>
                <w:rFonts w:ascii="Times New Roman" w:hAnsi="Times New Roman"/>
              </w:rPr>
            </w:pPr>
            <w:r>
              <w:rPr>
                <w:rFonts w:ascii="Times New Roman" w:hAnsi="Times New Roman" w:eastAsia="宋体" w:cs="Times New Roman"/>
                <w:color w:val="0F1115"/>
                <w:kern w:val="0"/>
                <w:lang w:bidi="ar"/>
              </w:rPr>
              <w:t>安全事件是否记录并处置</w:t>
            </w:r>
          </w:p>
        </w:tc>
        <w:tc>
          <w:tcPr>
            <w:tcW w:w="1595" w:type="dxa"/>
            <w:vAlign w:val="center"/>
          </w:tcPr>
          <w:p w14:paraId="38CF95FC">
            <w:pPr>
              <w:widowControl/>
              <w:spacing w:line="240" w:lineRule="auto"/>
              <w:jc w:val="left"/>
              <w:rPr>
                <w:rFonts w:ascii="Times New Roman" w:hAnsi="Times New Roman"/>
              </w:rPr>
            </w:pPr>
            <w:r>
              <w:rPr>
                <w:rFonts w:ascii="Times New Roman" w:hAnsi="Times New Roman" w:eastAsia="宋体" w:cs="Times New Roman"/>
                <w:color w:val="0F1115"/>
                <w:kern w:val="0"/>
                <w:lang w:bidi="ar"/>
              </w:rPr>
              <w:t>100%记录</w:t>
            </w:r>
          </w:p>
        </w:tc>
        <w:tc>
          <w:tcPr>
            <w:tcW w:w="1595" w:type="dxa"/>
            <w:vAlign w:val="center"/>
          </w:tcPr>
          <w:p w14:paraId="0EB9AA9C">
            <w:pPr>
              <w:widowControl/>
              <w:spacing w:line="240" w:lineRule="auto"/>
              <w:jc w:val="left"/>
              <w:rPr>
                <w:rFonts w:ascii="Times New Roman" w:hAnsi="Times New Roman"/>
              </w:rPr>
            </w:pPr>
            <w:r>
              <w:rPr>
                <w:rFonts w:ascii="Times New Roman" w:hAnsi="Times New Roman" w:eastAsia="宋体" w:cs="Times New Roman"/>
                <w:color w:val="0F1115"/>
                <w:kern w:val="0"/>
                <w:lang w:bidi="ar"/>
              </w:rPr>
              <w:t>事件日志</w:t>
            </w:r>
          </w:p>
        </w:tc>
        <w:tc>
          <w:tcPr>
            <w:tcW w:w="1595" w:type="dxa"/>
          </w:tcPr>
          <w:p w14:paraId="03D2CFC8">
            <w:pPr>
              <w:pStyle w:val="60"/>
              <w:ind w:firstLine="0" w:firstLineChars="0"/>
              <w:jc w:val="center"/>
              <w:rPr>
                <w:szCs w:val="21"/>
              </w:rPr>
            </w:pPr>
          </w:p>
        </w:tc>
      </w:tr>
    </w:tbl>
    <w:p w14:paraId="47F6EB5B">
      <w:pPr>
        <w:pStyle w:val="82"/>
        <w:spacing w:before="120" w:after="120"/>
        <w:outlineLvl w:val="9"/>
      </w:pPr>
      <w:bookmarkStart w:id="86" w:name="_Toc22041"/>
      <w:bookmarkStart w:id="87" w:name="_Toc28542"/>
      <w:r>
        <w:t>检查频率</w:t>
      </w:r>
      <w:bookmarkEnd w:id="86"/>
      <w:bookmarkEnd w:id="87"/>
    </w:p>
    <w:p w14:paraId="66AFE723">
      <w:pPr>
        <w:pStyle w:val="60"/>
        <w:ind w:firstLine="420"/>
      </w:pPr>
      <w:r>
        <w:t>系统级检查（SP、SC类）：每季度至少一次。</w:t>
      </w:r>
    </w:p>
    <w:p w14:paraId="054304D5">
      <w:pPr>
        <w:pStyle w:val="60"/>
        <w:ind w:firstLine="420"/>
      </w:pPr>
      <w:r>
        <w:t>项目级检查（DC、DA、DT、TR、DP、PC类）：每月至少一次，或根据项目风险等级增加频率。</w:t>
      </w:r>
    </w:p>
    <w:p w14:paraId="771D0E0E">
      <w:pPr>
        <w:pStyle w:val="60"/>
        <w:ind w:firstLine="420"/>
      </w:pPr>
      <w:r>
        <w:t>出现严重缺陷后，应在整改完成后一周内进行专项复查。</w:t>
      </w:r>
    </w:p>
    <w:p w14:paraId="30B13582">
      <w:pPr>
        <w:pStyle w:val="82"/>
        <w:spacing w:before="120" w:after="120"/>
        <w:outlineLvl w:val="9"/>
      </w:pPr>
      <w:bookmarkStart w:id="88" w:name="_Toc19126"/>
      <w:bookmarkStart w:id="89" w:name="_Toc11810"/>
      <w:r>
        <w:t>检查记录保存</w:t>
      </w:r>
      <w:bookmarkEnd w:id="88"/>
      <w:bookmarkEnd w:id="89"/>
    </w:p>
    <w:p w14:paraId="195E90F9">
      <w:pPr>
        <w:pStyle w:val="60"/>
        <w:ind w:firstLine="420"/>
        <w:sectPr>
          <w:pgSz w:w="11906" w:h="16838"/>
          <w:pgMar w:top="1928" w:right="1134" w:bottom="1134" w:left="1134" w:header="1418" w:footer="1134" w:gutter="284"/>
          <w:cols w:space="425" w:num="1"/>
          <w:formProt w:val="0"/>
          <w:docGrid w:linePitch="312" w:charSpace="0"/>
        </w:sectPr>
      </w:pPr>
      <w:r>
        <w:t>所有检查记录（包括电子或纸质表单）应保存至临床试验结束后5年，并支持按项目、时间、检查人员等条件追溯查询。</w:t>
      </w:r>
    </w:p>
    <w:p w14:paraId="5BEC64A4">
      <w:pPr>
        <w:pStyle w:val="202"/>
        <w:rPr>
          <w:rFonts w:hint="eastAsia"/>
        </w:rPr>
      </w:pPr>
    </w:p>
    <w:p w14:paraId="16DDCCA9">
      <w:pPr>
        <w:pStyle w:val="203"/>
      </w:pPr>
    </w:p>
    <w:p w14:paraId="56012425">
      <w:pPr>
        <w:pStyle w:val="80"/>
        <w:spacing w:before="0" w:after="0" w:afterLines="0"/>
        <w:rPr>
          <w:rFonts w:ascii="Times New Roman"/>
        </w:rPr>
      </w:pPr>
      <w:bookmarkStart w:id="90" w:name="_Toc18385"/>
      <w:r>
        <w:rPr>
          <w:rFonts w:ascii="Times New Roman"/>
        </w:rPr>
        <w:br w:type="textWrapping"/>
      </w:r>
      <w:bookmarkStart w:id="91" w:name="_Toc228528419"/>
      <w:r>
        <w:rPr>
          <w:rFonts w:hint="eastAsia" w:ascii="Times New Roman"/>
        </w:rPr>
        <w:t>（规范性）</w:t>
      </w:r>
      <w:r>
        <w:rPr>
          <w:rFonts w:ascii="Times New Roman"/>
        </w:rPr>
        <w:br w:type="textWrapping"/>
      </w:r>
      <w:r>
        <w:rPr>
          <w:rFonts w:hint="eastAsia" w:ascii="Times New Roman"/>
        </w:rPr>
        <w:t>质量问题处理流程</w:t>
      </w:r>
      <w:bookmarkEnd w:id="90"/>
      <w:bookmarkEnd w:id="91"/>
    </w:p>
    <w:bookmarkEnd w:id="81"/>
    <w:p w14:paraId="04D4747D">
      <w:pPr>
        <w:pStyle w:val="60"/>
        <w:ind w:firstLine="0" w:firstLineChars="0"/>
      </w:pPr>
      <w:bookmarkStart w:id="92" w:name="BookMark6"/>
    </w:p>
    <w:p w14:paraId="6585991A">
      <w:pPr>
        <w:pStyle w:val="82"/>
        <w:spacing w:before="120" w:after="120"/>
        <w:outlineLvl w:val="9"/>
      </w:pPr>
      <w:bookmarkStart w:id="93" w:name="_Toc16416"/>
      <w:bookmarkStart w:id="94" w:name="_Toc27667"/>
      <w:r>
        <w:rPr>
          <w:rFonts w:hint="eastAsia"/>
        </w:rPr>
        <w:t>问题发现</w:t>
      </w:r>
      <w:bookmarkEnd w:id="93"/>
      <w:bookmarkEnd w:id="94"/>
    </w:p>
    <w:p w14:paraId="514F7567">
      <w:pPr>
        <w:pStyle w:val="60"/>
        <w:ind w:firstLine="420" w:firstLineChars="200"/>
      </w:pPr>
      <w:r>
        <w:rPr>
          <w:rFonts w:hint="eastAsia"/>
        </w:rPr>
        <w:t>质量问题可通过以下途径发现：</w:t>
      </w:r>
    </w:p>
    <w:p w14:paraId="7057CD07">
      <w:pPr>
        <w:pStyle w:val="60"/>
        <w:ind w:firstLine="420" w:firstLineChars="200"/>
      </w:pPr>
      <w:r>
        <w:rPr>
          <w:rFonts w:hint="eastAsia"/>
        </w:rPr>
        <w:t>a) 平台自动质量监控（如完整性校验、一致性比对、QTL超限预警）；</w:t>
      </w:r>
    </w:p>
    <w:p w14:paraId="736172DC">
      <w:pPr>
        <w:pStyle w:val="60"/>
        <w:ind w:firstLine="420" w:firstLineChars="200"/>
      </w:pPr>
      <w:r>
        <w:rPr>
          <w:rFonts w:hint="eastAsia"/>
        </w:rPr>
        <w:t>b) 人工质量核查（按照附录A检查表执行）；</w:t>
      </w:r>
    </w:p>
    <w:p w14:paraId="7C8062B8">
      <w:pPr>
        <w:pStyle w:val="60"/>
        <w:ind w:firstLine="420" w:firstLineChars="200"/>
      </w:pPr>
      <w:r>
        <w:rPr>
          <w:rFonts w:hint="eastAsia"/>
        </w:rPr>
        <w:t>c) 用户反馈（研究者、CRA、CRC等）；</w:t>
      </w:r>
    </w:p>
    <w:p w14:paraId="64583656">
      <w:pPr>
        <w:pStyle w:val="60"/>
        <w:ind w:firstLine="420" w:firstLineChars="200"/>
      </w:pPr>
      <w:r>
        <w:rPr>
          <w:rFonts w:hint="eastAsia"/>
        </w:rPr>
        <w:t>d) 内外部审计；</w:t>
      </w:r>
    </w:p>
    <w:p w14:paraId="27296712">
      <w:pPr>
        <w:pStyle w:val="60"/>
        <w:ind w:firstLine="420" w:firstLineChars="200"/>
      </w:pPr>
      <w:r>
        <w:rPr>
          <w:rFonts w:hint="eastAsia"/>
        </w:rPr>
        <w:t>e) 监管机构检查。</w:t>
      </w:r>
    </w:p>
    <w:p w14:paraId="7A63F19B">
      <w:pPr>
        <w:pStyle w:val="82"/>
        <w:spacing w:before="120" w:after="120"/>
        <w:outlineLvl w:val="9"/>
      </w:pPr>
      <w:bookmarkStart w:id="95" w:name="_Toc27506"/>
      <w:bookmarkStart w:id="96" w:name="_Toc29836"/>
      <w:r>
        <w:rPr>
          <w:rFonts w:hint="eastAsia"/>
        </w:rPr>
        <w:t>问题记录</w:t>
      </w:r>
      <w:bookmarkEnd w:id="95"/>
      <w:bookmarkEnd w:id="96"/>
    </w:p>
    <w:p w14:paraId="6738BFDE">
      <w:pPr>
        <w:pStyle w:val="60"/>
        <w:ind w:firstLine="420" w:firstLineChars="200"/>
      </w:pPr>
      <w:r>
        <w:rPr>
          <w:rFonts w:hint="eastAsia"/>
        </w:rPr>
        <w:t>发现人应在4小时内将问题录入质量管理模块，至少记录以下信息：</w:t>
      </w:r>
    </w:p>
    <w:p w14:paraId="07258B88">
      <w:pPr>
        <w:pStyle w:val="60"/>
        <w:ind w:firstLine="420" w:firstLineChars="200"/>
      </w:pPr>
      <w:r>
        <w:rPr>
          <w:rFonts w:hint="eastAsia"/>
        </w:rPr>
        <w:t>a) 问题唯一标识（系统自动生成）；</w:t>
      </w:r>
    </w:p>
    <w:p w14:paraId="466698C1">
      <w:pPr>
        <w:pStyle w:val="60"/>
        <w:ind w:firstLine="420" w:firstLineChars="200"/>
      </w:pPr>
      <w:r>
        <w:rPr>
          <w:rFonts w:hint="eastAsia"/>
        </w:rPr>
        <w:t>b) 问题发现时间、发现人、发现途径；</w:t>
      </w:r>
    </w:p>
    <w:p w14:paraId="68FEEE5D">
      <w:pPr>
        <w:pStyle w:val="60"/>
        <w:ind w:firstLine="420" w:firstLineChars="200"/>
      </w:pPr>
      <w:r>
        <w:rPr>
          <w:rFonts w:hint="eastAsia"/>
        </w:rPr>
        <w:t>c) 问题发生的时间、地点、涉及的项目/中心/受试者/数据域；</w:t>
      </w:r>
    </w:p>
    <w:p w14:paraId="170B6637">
      <w:pPr>
        <w:pStyle w:val="60"/>
        <w:ind w:firstLine="420" w:firstLineChars="200"/>
      </w:pPr>
      <w:r>
        <w:rPr>
          <w:rFonts w:hint="eastAsia"/>
        </w:rPr>
        <w:t>d) 问题详细描述（包括截图、日志、数据快照等证据）；</w:t>
      </w:r>
    </w:p>
    <w:p w14:paraId="2B5D0C32">
      <w:pPr>
        <w:pStyle w:val="60"/>
        <w:ind w:firstLine="420" w:firstLineChars="200"/>
      </w:pPr>
      <w:r>
        <w:rPr>
          <w:rFonts w:hint="eastAsia"/>
        </w:rPr>
        <w:t>e) 初步影响评估（对受试者安全、数据质量、研究合规性的影响）。</w:t>
      </w:r>
    </w:p>
    <w:p w14:paraId="2BA9A731">
      <w:pPr>
        <w:pStyle w:val="82"/>
        <w:spacing w:before="120" w:after="120"/>
        <w:outlineLvl w:val="9"/>
      </w:pPr>
      <w:bookmarkStart w:id="97" w:name="_Toc30442"/>
      <w:bookmarkStart w:id="98" w:name="_Toc11341"/>
      <w:r>
        <w:rPr>
          <w:rFonts w:hint="eastAsia"/>
        </w:rPr>
        <w:t>问题评估与分级</w:t>
      </w:r>
      <w:bookmarkEnd w:id="97"/>
      <w:bookmarkEnd w:id="98"/>
    </w:p>
    <w:p w14:paraId="267FD227">
      <w:pPr>
        <w:pStyle w:val="60"/>
        <w:ind w:firstLine="420" w:firstLineChars="200"/>
      </w:pPr>
      <w:r>
        <w:rPr>
          <w:rFonts w:hint="eastAsia"/>
        </w:rPr>
        <w:t>由质量管理员组织相关人员（如项目负责人、数据管理员、系统工程师）在24小时内完成评估，确定：</w:t>
      </w:r>
    </w:p>
    <w:p w14:paraId="10ADE35C">
      <w:pPr>
        <w:pStyle w:val="60"/>
        <w:ind w:firstLine="420" w:firstLineChars="200"/>
      </w:pPr>
      <w:r>
        <w:rPr>
          <w:rFonts w:hint="eastAsia"/>
        </w:rPr>
        <w:t>a) 问题根本原因（技术故障、人为错误、流程缺陷、外部因素等）；</w:t>
      </w:r>
    </w:p>
    <w:p w14:paraId="79F7F4F2">
      <w:pPr>
        <w:pStyle w:val="60"/>
        <w:ind w:firstLine="420" w:firstLineChars="200"/>
      </w:pPr>
      <w:r>
        <w:rPr>
          <w:rFonts w:hint="eastAsia"/>
        </w:rPr>
        <w:t>b) 缺陷等级（依据第8.3节分为严重、主要、一般）；</w:t>
      </w:r>
    </w:p>
    <w:p w14:paraId="387CCE6B">
      <w:pPr>
        <w:pStyle w:val="60"/>
        <w:ind w:firstLine="420" w:firstLineChars="200"/>
      </w:pPr>
      <w:r>
        <w:rPr>
          <w:rFonts w:hint="eastAsia"/>
        </w:rPr>
        <w:t>c) 影响范围（受影响的受试者数量、数据记录数、系统模块等）；</w:t>
      </w:r>
    </w:p>
    <w:p w14:paraId="2707A4EE">
      <w:pPr>
        <w:pStyle w:val="60"/>
        <w:ind w:firstLine="420" w:firstLineChars="200"/>
      </w:pPr>
      <w:r>
        <w:rPr>
          <w:rFonts w:hint="eastAsia"/>
        </w:rPr>
        <w:t>d) 紧急处置措施（如暂停数据采集、隔离问题数据、通知受影响方等）。</w:t>
      </w:r>
    </w:p>
    <w:p w14:paraId="6B4F11EE">
      <w:pPr>
        <w:pStyle w:val="82"/>
        <w:spacing w:before="120" w:after="120"/>
        <w:outlineLvl w:val="9"/>
      </w:pPr>
      <w:bookmarkStart w:id="99" w:name="_Toc27102"/>
      <w:bookmarkStart w:id="100" w:name="_Toc7300"/>
      <w:r>
        <w:rPr>
          <w:rFonts w:hint="eastAsia"/>
        </w:rPr>
        <w:t>问题处</w:t>
      </w:r>
      <w:r>
        <w:rPr>
          <w:rFonts w:hint="default" w:ascii="Times New Roman"/>
        </w:rPr>
        <w:t>置（CAPA）</w:t>
      </w:r>
      <w:bookmarkEnd w:id="99"/>
      <w:bookmarkEnd w:id="100"/>
    </w:p>
    <w:p w14:paraId="536FBEA3">
      <w:pPr>
        <w:pStyle w:val="60"/>
        <w:ind w:firstLine="420" w:firstLineChars="200"/>
      </w:pPr>
      <w:r>
        <w:rPr>
          <w:rFonts w:hint="eastAsia"/>
        </w:rPr>
        <w:t>根据缺陷等级制定并执行纠正和预防措施（CAPA）：</w:t>
      </w:r>
    </w:p>
    <w:p w14:paraId="00F151B4">
      <w:pPr>
        <w:pStyle w:val="60"/>
        <w:ind w:firstLine="420" w:firstLineChars="200"/>
      </w:pPr>
      <w:r>
        <w:rPr>
          <w:rFonts w:hint="eastAsia"/>
        </w:rPr>
        <w:t>a) 严重缺陷：</w:t>
      </w:r>
    </w:p>
    <w:p w14:paraId="44D81BBD">
      <w:pPr>
        <w:pStyle w:val="60"/>
        <w:ind w:firstLine="420" w:firstLineChars="200"/>
      </w:pPr>
      <w:r>
        <w:rPr>
          <w:rFonts w:hint="eastAsia"/>
        </w:rPr>
        <w:t>立即上报机构质控部门及伦理委员会（24小时内）；</w:t>
      </w:r>
    </w:p>
    <w:p w14:paraId="31AD0817">
      <w:pPr>
        <w:pStyle w:val="60"/>
        <w:ind w:firstLine="420" w:firstLineChars="200"/>
      </w:pPr>
      <w:r>
        <w:rPr>
          <w:rFonts w:hint="eastAsia"/>
        </w:rPr>
        <w:t>暂停相关研究环节或系统功能；</w:t>
      </w:r>
    </w:p>
    <w:p w14:paraId="561C24E8">
      <w:pPr>
        <w:pStyle w:val="60"/>
        <w:ind w:firstLine="420" w:firstLineChars="200"/>
      </w:pPr>
      <w:r>
        <w:rPr>
          <w:rFonts w:hint="eastAsia"/>
        </w:rPr>
        <w:t>成立专项整改小组，制定CAPA计划（48小时内完成）；</w:t>
      </w:r>
    </w:p>
    <w:p w14:paraId="10C0CE39">
      <w:pPr>
        <w:pStyle w:val="60"/>
        <w:ind w:firstLine="420" w:firstLineChars="200"/>
      </w:pPr>
      <w:r>
        <w:rPr>
          <w:rFonts w:hint="eastAsia"/>
        </w:rPr>
        <w:t>计划包括：立即纠正措施、根本原因分析、预防复发措施、验证方法、完成时限、责任人。</w:t>
      </w:r>
    </w:p>
    <w:p w14:paraId="4FB41070">
      <w:pPr>
        <w:pStyle w:val="60"/>
        <w:ind w:firstLine="420" w:firstLineChars="200"/>
      </w:pPr>
      <w:r>
        <w:rPr>
          <w:rFonts w:hint="eastAsia"/>
        </w:rPr>
        <w:t>b) 主要缺陷：</w:t>
      </w:r>
    </w:p>
    <w:p w14:paraId="49E76736">
      <w:pPr>
        <w:pStyle w:val="60"/>
        <w:ind w:firstLine="420" w:firstLineChars="200"/>
      </w:pPr>
      <w:r>
        <w:rPr>
          <w:rFonts w:hint="eastAsia"/>
        </w:rPr>
        <w:t>通知项目负责人及质控团队；</w:t>
      </w:r>
    </w:p>
    <w:p w14:paraId="4D6F6A3E">
      <w:pPr>
        <w:pStyle w:val="60"/>
        <w:ind w:firstLine="420" w:firstLineChars="200"/>
      </w:pPr>
      <w:r>
        <w:rPr>
          <w:rFonts w:hint="eastAsia"/>
        </w:rPr>
        <w:t>制定CAPA计划（7个工作日内）；</w:t>
      </w:r>
    </w:p>
    <w:p w14:paraId="464BAE61">
      <w:pPr>
        <w:pStyle w:val="60"/>
        <w:ind w:firstLine="420" w:firstLineChars="200"/>
      </w:pPr>
      <w:r>
        <w:rPr>
          <w:rFonts w:hint="eastAsia"/>
        </w:rPr>
        <w:t>计划包括纠正措施、预防措施、验证方法。</w:t>
      </w:r>
    </w:p>
    <w:p w14:paraId="606DA19E">
      <w:pPr>
        <w:pStyle w:val="60"/>
        <w:ind w:firstLine="420" w:firstLineChars="200"/>
      </w:pPr>
      <w:r>
        <w:rPr>
          <w:rFonts w:hint="eastAsia"/>
        </w:rPr>
        <w:t>c) 一般缺陷：</w:t>
      </w:r>
    </w:p>
    <w:p w14:paraId="68DE1731">
      <w:pPr>
        <w:pStyle w:val="60"/>
        <w:ind w:firstLine="420" w:firstLineChars="200"/>
      </w:pPr>
      <w:r>
        <w:rPr>
          <w:rFonts w:hint="eastAsia"/>
        </w:rPr>
        <w:t>通知直接责任人；</w:t>
      </w:r>
    </w:p>
    <w:p w14:paraId="2B2CA91D">
      <w:pPr>
        <w:pStyle w:val="60"/>
        <w:ind w:firstLine="420" w:firstLineChars="200"/>
      </w:pPr>
      <w:r>
        <w:rPr>
          <w:rFonts w:hint="eastAsia"/>
        </w:rPr>
        <w:t>制定简单整改措施（15个工作日内完成）；</w:t>
      </w:r>
    </w:p>
    <w:p w14:paraId="6B60901B">
      <w:pPr>
        <w:pStyle w:val="60"/>
        <w:ind w:firstLine="420" w:firstLineChars="200"/>
      </w:pPr>
      <w:r>
        <w:rPr>
          <w:rFonts w:hint="eastAsia"/>
        </w:rPr>
        <w:t>无需正式CAPA计划，但需记录整改行动。</w:t>
      </w:r>
    </w:p>
    <w:p w14:paraId="72853C17">
      <w:pPr>
        <w:pStyle w:val="82"/>
        <w:spacing w:before="120" w:after="120"/>
        <w:outlineLvl w:val="9"/>
      </w:pPr>
      <w:bookmarkStart w:id="101" w:name="_Toc9336"/>
      <w:bookmarkStart w:id="102" w:name="_Toc22542"/>
      <w:r>
        <w:rPr>
          <w:rFonts w:hint="eastAsia"/>
        </w:rPr>
        <w:t>验证与关闭</w:t>
      </w:r>
      <w:bookmarkEnd w:id="101"/>
      <w:bookmarkEnd w:id="102"/>
    </w:p>
    <w:p w14:paraId="7C5F27ED">
      <w:pPr>
        <w:pStyle w:val="60"/>
        <w:ind w:firstLine="420" w:firstLineChars="200"/>
      </w:pPr>
      <w:r>
        <w:rPr>
          <w:rFonts w:hint="eastAsia"/>
        </w:rPr>
        <w:t>a) 整改完成后，由质量管理员指定独立验证人进行验证，确认问题已解决且未引入新问题；</w:t>
      </w:r>
    </w:p>
    <w:p w14:paraId="698BACC0">
      <w:pPr>
        <w:pStyle w:val="60"/>
        <w:ind w:firstLine="420" w:firstLineChars="200"/>
      </w:pPr>
      <w:r>
        <w:rPr>
          <w:rFonts w:hint="eastAsia"/>
        </w:rPr>
        <w:t>b) 验证通过后，在质量管理模块中关闭问题，记录关闭时间及验证结论；</w:t>
      </w:r>
    </w:p>
    <w:p w14:paraId="2E6F331E">
      <w:pPr>
        <w:pStyle w:val="60"/>
        <w:ind w:firstLine="420" w:firstLineChars="200"/>
      </w:pPr>
      <w:r>
        <w:rPr>
          <w:rFonts w:hint="eastAsia"/>
        </w:rPr>
        <w:t>c) 若验证不通过，退回整改环节并重新启动CAPA。</w:t>
      </w:r>
    </w:p>
    <w:p w14:paraId="7B08D8EA">
      <w:pPr>
        <w:pStyle w:val="82"/>
        <w:spacing w:before="120" w:after="120"/>
        <w:outlineLvl w:val="9"/>
      </w:pPr>
      <w:bookmarkStart w:id="103" w:name="_Toc28673"/>
      <w:bookmarkStart w:id="104" w:name="_Toc22725"/>
      <w:r>
        <w:rPr>
          <w:rFonts w:hint="eastAsia"/>
        </w:rPr>
        <w:t>时限类型汇总</w:t>
      </w:r>
      <w:bookmarkEnd w:id="103"/>
      <w:bookmarkEnd w:id="104"/>
    </w:p>
    <w:p w14:paraId="1D76931A">
      <w:pPr>
        <w:pStyle w:val="81"/>
        <w:spacing w:before="0" w:beforeLines="0" w:after="0" w:afterLines="0"/>
      </w:pPr>
      <w:r>
        <w:rPr>
          <w:rFonts w:hint="eastAsia"/>
        </w:rPr>
        <w:t>任务时限表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0"/>
        <w:gridCol w:w="3190"/>
        <w:gridCol w:w="3190"/>
      </w:tblGrid>
      <w:tr w14:paraId="1F4A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68F61D4A">
            <w:pPr>
              <w:widowControl/>
              <w:spacing w:line="240" w:lineRule="auto"/>
              <w:jc w:val="both"/>
              <w:rPr>
                <w:rFonts w:ascii="Times New Roman" w:hAnsi="Times New Roman"/>
              </w:rPr>
            </w:pPr>
            <w:r>
              <w:rPr>
                <w:rFonts w:ascii="Times New Roman" w:hAnsi="Times New Roman" w:eastAsia="宋体" w:cs="Times New Roman"/>
                <w:color w:val="0F1115"/>
                <w:kern w:val="0"/>
                <w:lang w:bidi="ar"/>
              </w:rPr>
              <w:t>步骤</w:t>
            </w:r>
          </w:p>
        </w:tc>
        <w:tc>
          <w:tcPr>
            <w:tcW w:w="3190" w:type="dxa"/>
            <w:vAlign w:val="center"/>
          </w:tcPr>
          <w:p w14:paraId="44CE9FB6">
            <w:pPr>
              <w:widowControl/>
              <w:spacing w:line="240" w:lineRule="auto"/>
              <w:jc w:val="both"/>
              <w:rPr>
                <w:rFonts w:ascii="Times New Roman" w:hAnsi="Times New Roman"/>
              </w:rPr>
            </w:pPr>
            <w:r>
              <w:rPr>
                <w:rFonts w:ascii="Times New Roman" w:hAnsi="Times New Roman" w:eastAsia="宋体" w:cs="Times New Roman"/>
                <w:color w:val="0F1115"/>
                <w:kern w:val="0"/>
                <w:lang w:bidi="ar"/>
              </w:rPr>
              <w:t>责任角色</w:t>
            </w:r>
          </w:p>
        </w:tc>
        <w:tc>
          <w:tcPr>
            <w:tcW w:w="3190" w:type="dxa"/>
            <w:vAlign w:val="center"/>
          </w:tcPr>
          <w:p w14:paraId="45D1DE50">
            <w:pPr>
              <w:widowControl/>
              <w:spacing w:line="240" w:lineRule="auto"/>
              <w:jc w:val="both"/>
              <w:rPr>
                <w:rFonts w:ascii="Times New Roman" w:hAnsi="Times New Roman"/>
              </w:rPr>
            </w:pPr>
            <w:r>
              <w:rPr>
                <w:rFonts w:ascii="Times New Roman" w:hAnsi="Times New Roman" w:eastAsia="宋体" w:cs="Times New Roman"/>
                <w:color w:val="0F1115"/>
                <w:kern w:val="0"/>
                <w:lang w:bidi="ar"/>
              </w:rPr>
              <w:t>完成时限</w:t>
            </w:r>
          </w:p>
        </w:tc>
      </w:tr>
      <w:tr w14:paraId="1218C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04EBFB05">
            <w:pPr>
              <w:widowControl/>
              <w:spacing w:line="240" w:lineRule="auto"/>
              <w:jc w:val="both"/>
              <w:rPr>
                <w:rFonts w:ascii="Times New Roman" w:hAnsi="Times New Roman"/>
              </w:rPr>
            </w:pPr>
            <w:r>
              <w:rPr>
                <w:rFonts w:ascii="Times New Roman" w:hAnsi="Times New Roman" w:eastAsia="宋体" w:cs="Times New Roman"/>
                <w:color w:val="0F1115"/>
                <w:kern w:val="0"/>
                <w:lang w:bidi="ar"/>
              </w:rPr>
              <w:t>问题录入</w:t>
            </w:r>
          </w:p>
        </w:tc>
        <w:tc>
          <w:tcPr>
            <w:tcW w:w="3190" w:type="dxa"/>
            <w:vAlign w:val="center"/>
          </w:tcPr>
          <w:p w14:paraId="6C09A5D0">
            <w:pPr>
              <w:widowControl/>
              <w:spacing w:line="240" w:lineRule="auto"/>
              <w:jc w:val="both"/>
              <w:rPr>
                <w:rFonts w:ascii="Times New Roman" w:hAnsi="Times New Roman"/>
              </w:rPr>
            </w:pPr>
            <w:r>
              <w:rPr>
                <w:rFonts w:ascii="Times New Roman" w:hAnsi="Times New Roman" w:eastAsia="宋体" w:cs="Times New Roman"/>
                <w:color w:val="0F1115"/>
                <w:kern w:val="0"/>
                <w:lang w:bidi="ar"/>
              </w:rPr>
              <w:t>发现人</w:t>
            </w:r>
          </w:p>
        </w:tc>
        <w:tc>
          <w:tcPr>
            <w:tcW w:w="3190" w:type="dxa"/>
            <w:vAlign w:val="center"/>
          </w:tcPr>
          <w:p w14:paraId="492B02D7">
            <w:pPr>
              <w:widowControl/>
              <w:spacing w:line="240" w:lineRule="auto"/>
              <w:jc w:val="both"/>
              <w:rPr>
                <w:rFonts w:ascii="Times New Roman" w:hAnsi="Times New Roman"/>
              </w:rPr>
            </w:pPr>
            <w:r>
              <w:rPr>
                <w:rFonts w:ascii="Times New Roman" w:hAnsi="Times New Roman" w:eastAsia="宋体" w:cs="Times New Roman"/>
                <w:color w:val="0F1115"/>
                <w:kern w:val="0"/>
                <w:lang w:bidi="ar"/>
              </w:rPr>
              <w:t>4小时</w:t>
            </w:r>
          </w:p>
        </w:tc>
      </w:tr>
      <w:tr w14:paraId="4107F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5BFE9877">
            <w:pPr>
              <w:widowControl/>
              <w:spacing w:line="240" w:lineRule="auto"/>
              <w:jc w:val="both"/>
              <w:rPr>
                <w:rFonts w:ascii="Times New Roman" w:hAnsi="Times New Roman"/>
              </w:rPr>
            </w:pPr>
            <w:r>
              <w:rPr>
                <w:rFonts w:ascii="Times New Roman" w:hAnsi="Times New Roman" w:eastAsia="宋体" w:cs="Times New Roman"/>
                <w:color w:val="0F1115"/>
                <w:kern w:val="0"/>
                <w:lang w:bidi="ar"/>
              </w:rPr>
              <w:t>评估分级</w:t>
            </w:r>
          </w:p>
        </w:tc>
        <w:tc>
          <w:tcPr>
            <w:tcW w:w="3190" w:type="dxa"/>
            <w:vAlign w:val="center"/>
          </w:tcPr>
          <w:p w14:paraId="512BEF29">
            <w:pPr>
              <w:widowControl/>
              <w:spacing w:line="240" w:lineRule="auto"/>
              <w:jc w:val="both"/>
              <w:rPr>
                <w:rFonts w:ascii="Times New Roman" w:hAnsi="Times New Roman"/>
              </w:rPr>
            </w:pPr>
            <w:r>
              <w:rPr>
                <w:rFonts w:ascii="Times New Roman" w:hAnsi="Times New Roman" w:eastAsia="宋体" w:cs="Times New Roman"/>
                <w:color w:val="0F1115"/>
                <w:kern w:val="0"/>
                <w:lang w:bidi="ar"/>
              </w:rPr>
              <w:t>质量管理员</w:t>
            </w:r>
          </w:p>
        </w:tc>
        <w:tc>
          <w:tcPr>
            <w:tcW w:w="3190" w:type="dxa"/>
            <w:vAlign w:val="center"/>
          </w:tcPr>
          <w:p w14:paraId="1D82E13F">
            <w:pPr>
              <w:widowControl/>
              <w:spacing w:line="240" w:lineRule="auto"/>
              <w:jc w:val="both"/>
              <w:rPr>
                <w:rFonts w:ascii="Times New Roman" w:hAnsi="Times New Roman"/>
              </w:rPr>
            </w:pPr>
            <w:r>
              <w:rPr>
                <w:rFonts w:ascii="Times New Roman" w:hAnsi="Times New Roman" w:eastAsia="宋体" w:cs="Times New Roman"/>
                <w:color w:val="0F1115"/>
                <w:kern w:val="0"/>
                <w:lang w:bidi="ar"/>
              </w:rPr>
              <w:t>24小时</w:t>
            </w:r>
          </w:p>
        </w:tc>
      </w:tr>
      <w:tr w14:paraId="15F64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6896A4D9">
            <w:pPr>
              <w:widowControl/>
              <w:spacing w:line="240" w:lineRule="auto"/>
              <w:jc w:val="both"/>
              <w:rPr>
                <w:rFonts w:ascii="Times New Roman" w:hAnsi="Times New Roman"/>
              </w:rPr>
            </w:pPr>
            <w:r>
              <w:rPr>
                <w:rFonts w:ascii="Times New Roman" w:hAnsi="Times New Roman" w:eastAsia="宋体" w:cs="Times New Roman"/>
                <w:color w:val="0F1115"/>
                <w:kern w:val="0"/>
                <w:lang w:bidi="ar"/>
              </w:rPr>
              <w:t>严重缺陷上报</w:t>
            </w:r>
          </w:p>
        </w:tc>
        <w:tc>
          <w:tcPr>
            <w:tcW w:w="3190" w:type="dxa"/>
            <w:vAlign w:val="center"/>
          </w:tcPr>
          <w:p w14:paraId="763F0E3E">
            <w:pPr>
              <w:widowControl/>
              <w:spacing w:line="240" w:lineRule="auto"/>
              <w:jc w:val="both"/>
              <w:rPr>
                <w:rFonts w:ascii="Times New Roman" w:hAnsi="Times New Roman"/>
              </w:rPr>
            </w:pPr>
            <w:r>
              <w:rPr>
                <w:rFonts w:ascii="Times New Roman" w:hAnsi="Times New Roman" w:eastAsia="宋体" w:cs="Times New Roman"/>
                <w:color w:val="0F1115"/>
                <w:kern w:val="0"/>
                <w:lang w:bidi="ar"/>
              </w:rPr>
              <w:t>质量管理员</w:t>
            </w:r>
          </w:p>
        </w:tc>
        <w:tc>
          <w:tcPr>
            <w:tcW w:w="3190" w:type="dxa"/>
            <w:vAlign w:val="center"/>
          </w:tcPr>
          <w:p w14:paraId="6C125290">
            <w:pPr>
              <w:widowControl/>
              <w:spacing w:line="240" w:lineRule="auto"/>
              <w:jc w:val="both"/>
              <w:rPr>
                <w:rFonts w:ascii="Times New Roman" w:hAnsi="Times New Roman"/>
              </w:rPr>
            </w:pPr>
            <w:r>
              <w:rPr>
                <w:rFonts w:ascii="Times New Roman" w:hAnsi="Times New Roman" w:eastAsia="宋体" w:cs="Times New Roman"/>
                <w:color w:val="0F1115"/>
                <w:kern w:val="0"/>
                <w:lang w:bidi="ar"/>
              </w:rPr>
              <w:t>24小时</w:t>
            </w:r>
          </w:p>
        </w:tc>
      </w:tr>
      <w:tr w14:paraId="7EE2B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247B6365">
            <w:pPr>
              <w:widowControl/>
              <w:spacing w:line="240" w:lineRule="auto"/>
              <w:jc w:val="both"/>
              <w:rPr>
                <w:rFonts w:ascii="Times New Roman" w:hAnsi="Times New Roman"/>
              </w:rPr>
            </w:pPr>
            <w:r>
              <w:rPr>
                <w:rFonts w:ascii="Times New Roman" w:hAnsi="Times New Roman" w:eastAsia="宋体" w:cs="Times New Roman"/>
                <w:color w:val="0F1115"/>
                <w:kern w:val="0"/>
                <w:lang w:bidi="ar"/>
              </w:rPr>
              <w:t>严重缺陷CAPA计划</w:t>
            </w:r>
          </w:p>
        </w:tc>
        <w:tc>
          <w:tcPr>
            <w:tcW w:w="3190" w:type="dxa"/>
            <w:vAlign w:val="center"/>
          </w:tcPr>
          <w:p w14:paraId="2CA0EC90">
            <w:pPr>
              <w:widowControl/>
              <w:spacing w:line="240" w:lineRule="auto"/>
              <w:jc w:val="both"/>
              <w:rPr>
                <w:rFonts w:ascii="Times New Roman" w:hAnsi="Times New Roman"/>
              </w:rPr>
            </w:pPr>
            <w:r>
              <w:rPr>
                <w:rFonts w:ascii="Times New Roman" w:hAnsi="Times New Roman" w:eastAsia="宋体" w:cs="Times New Roman"/>
                <w:color w:val="0F1115"/>
                <w:kern w:val="0"/>
                <w:lang w:bidi="ar"/>
              </w:rPr>
              <w:t>整改小组</w:t>
            </w:r>
          </w:p>
        </w:tc>
        <w:tc>
          <w:tcPr>
            <w:tcW w:w="3190" w:type="dxa"/>
            <w:vAlign w:val="center"/>
          </w:tcPr>
          <w:p w14:paraId="34A0261B">
            <w:pPr>
              <w:widowControl/>
              <w:spacing w:line="240" w:lineRule="auto"/>
              <w:jc w:val="both"/>
              <w:rPr>
                <w:rFonts w:ascii="Times New Roman" w:hAnsi="Times New Roman"/>
              </w:rPr>
            </w:pPr>
            <w:r>
              <w:rPr>
                <w:rFonts w:ascii="Times New Roman" w:hAnsi="Times New Roman" w:eastAsia="宋体" w:cs="Times New Roman"/>
                <w:color w:val="0F1115"/>
                <w:kern w:val="0"/>
                <w:lang w:bidi="ar"/>
              </w:rPr>
              <w:t>48小时</w:t>
            </w:r>
          </w:p>
        </w:tc>
      </w:tr>
      <w:tr w14:paraId="6ACDE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59F31A66">
            <w:pPr>
              <w:widowControl/>
              <w:spacing w:line="240" w:lineRule="auto"/>
              <w:jc w:val="both"/>
              <w:rPr>
                <w:rFonts w:ascii="Times New Roman" w:hAnsi="Times New Roman"/>
              </w:rPr>
            </w:pPr>
            <w:r>
              <w:rPr>
                <w:rFonts w:ascii="Times New Roman" w:hAnsi="Times New Roman" w:eastAsia="宋体" w:cs="Times New Roman"/>
                <w:color w:val="0F1115"/>
                <w:kern w:val="0"/>
                <w:lang w:bidi="ar"/>
              </w:rPr>
              <w:t>主要缺陷CAPA计划</w:t>
            </w:r>
          </w:p>
        </w:tc>
        <w:tc>
          <w:tcPr>
            <w:tcW w:w="3190" w:type="dxa"/>
            <w:vAlign w:val="center"/>
          </w:tcPr>
          <w:p w14:paraId="5E489B7C">
            <w:pPr>
              <w:widowControl/>
              <w:spacing w:line="240" w:lineRule="auto"/>
              <w:jc w:val="both"/>
              <w:rPr>
                <w:rFonts w:ascii="Times New Roman" w:hAnsi="Times New Roman"/>
              </w:rPr>
            </w:pPr>
            <w:r>
              <w:rPr>
                <w:rFonts w:ascii="Times New Roman" w:hAnsi="Times New Roman" w:eastAsia="宋体" w:cs="Times New Roman"/>
                <w:color w:val="0F1115"/>
                <w:kern w:val="0"/>
                <w:lang w:bidi="ar"/>
              </w:rPr>
              <w:t>项目负责人</w:t>
            </w:r>
          </w:p>
        </w:tc>
        <w:tc>
          <w:tcPr>
            <w:tcW w:w="3190" w:type="dxa"/>
            <w:vAlign w:val="center"/>
          </w:tcPr>
          <w:p w14:paraId="2281DB7C">
            <w:pPr>
              <w:widowControl/>
              <w:spacing w:line="240" w:lineRule="auto"/>
              <w:jc w:val="both"/>
              <w:rPr>
                <w:rFonts w:ascii="Times New Roman" w:hAnsi="Times New Roman"/>
              </w:rPr>
            </w:pPr>
            <w:r>
              <w:rPr>
                <w:rFonts w:ascii="Times New Roman" w:hAnsi="Times New Roman" w:eastAsia="宋体" w:cs="Times New Roman"/>
                <w:color w:val="0F1115"/>
                <w:kern w:val="0"/>
                <w:lang w:bidi="ar"/>
              </w:rPr>
              <w:t>7个工作日</w:t>
            </w:r>
          </w:p>
        </w:tc>
      </w:tr>
      <w:tr w14:paraId="00019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78E59DEA">
            <w:pPr>
              <w:widowControl/>
              <w:spacing w:line="240" w:lineRule="auto"/>
              <w:jc w:val="both"/>
              <w:rPr>
                <w:rFonts w:ascii="Times New Roman" w:hAnsi="Times New Roman"/>
              </w:rPr>
            </w:pPr>
            <w:r>
              <w:rPr>
                <w:rFonts w:ascii="Times New Roman" w:hAnsi="Times New Roman" w:eastAsia="宋体" w:cs="Times New Roman"/>
                <w:color w:val="0F1115"/>
                <w:kern w:val="0"/>
                <w:lang w:bidi="ar"/>
              </w:rPr>
              <w:t>一般缺陷整改</w:t>
            </w:r>
          </w:p>
        </w:tc>
        <w:tc>
          <w:tcPr>
            <w:tcW w:w="3190" w:type="dxa"/>
            <w:vAlign w:val="center"/>
          </w:tcPr>
          <w:p w14:paraId="1BE80921">
            <w:pPr>
              <w:widowControl/>
              <w:spacing w:line="240" w:lineRule="auto"/>
              <w:jc w:val="both"/>
              <w:rPr>
                <w:rFonts w:ascii="Times New Roman" w:hAnsi="Times New Roman"/>
              </w:rPr>
            </w:pPr>
            <w:r>
              <w:rPr>
                <w:rFonts w:ascii="Times New Roman" w:hAnsi="Times New Roman" w:eastAsia="宋体" w:cs="Times New Roman"/>
                <w:color w:val="0F1115"/>
                <w:kern w:val="0"/>
                <w:lang w:bidi="ar"/>
              </w:rPr>
              <w:t>直接责任人</w:t>
            </w:r>
          </w:p>
        </w:tc>
        <w:tc>
          <w:tcPr>
            <w:tcW w:w="3190" w:type="dxa"/>
            <w:vAlign w:val="center"/>
          </w:tcPr>
          <w:p w14:paraId="2FB2F8DA">
            <w:pPr>
              <w:widowControl/>
              <w:spacing w:line="240" w:lineRule="auto"/>
              <w:jc w:val="both"/>
              <w:rPr>
                <w:rFonts w:ascii="Times New Roman" w:hAnsi="Times New Roman"/>
              </w:rPr>
            </w:pPr>
            <w:r>
              <w:rPr>
                <w:rFonts w:ascii="Times New Roman" w:hAnsi="Times New Roman" w:eastAsia="宋体" w:cs="Times New Roman"/>
                <w:color w:val="0F1115"/>
                <w:kern w:val="0"/>
                <w:lang w:bidi="ar"/>
              </w:rPr>
              <w:t>15个工作日</w:t>
            </w:r>
          </w:p>
        </w:tc>
      </w:tr>
      <w:tr w14:paraId="4CD65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vAlign w:val="center"/>
          </w:tcPr>
          <w:p w14:paraId="5700EA50">
            <w:pPr>
              <w:widowControl/>
              <w:spacing w:line="240" w:lineRule="auto"/>
              <w:jc w:val="both"/>
              <w:rPr>
                <w:rFonts w:ascii="Times New Roman" w:hAnsi="Times New Roman"/>
              </w:rPr>
            </w:pPr>
            <w:r>
              <w:rPr>
                <w:rFonts w:ascii="Times New Roman" w:hAnsi="Times New Roman" w:eastAsia="宋体" w:cs="Times New Roman"/>
                <w:color w:val="0F1115"/>
                <w:kern w:val="0"/>
                <w:lang w:bidi="ar"/>
              </w:rPr>
              <w:t>验证与关闭</w:t>
            </w:r>
          </w:p>
        </w:tc>
        <w:tc>
          <w:tcPr>
            <w:tcW w:w="3190" w:type="dxa"/>
            <w:vAlign w:val="center"/>
          </w:tcPr>
          <w:p w14:paraId="5929EEDB">
            <w:pPr>
              <w:widowControl/>
              <w:spacing w:line="240" w:lineRule="auto"/>
              <w:jc w:val="both"/>
              <w:rPr>
                <w:rFonts w:ascii="Times New Roman" w:hAnsi="Times New Roman"/>
              </w:rPr>
            </w:pPr>
            <w:r>
              <w:rPr>
                <w:rFonts w:ascii="Times New Roman" w:hAnsi="Times New Roman" w:eastAsia="宋体" w:cs="Times New Roman"/>
                <w:color w:val="0F1115"/>
                <w:kern w:val="0"/>
                <w:lang w:bidi="ar"/>
              </w:rPr>
              <w:t>验证人</w:t>
            </w:r>
          </w:p>
        </w:tc>
        <w:tc>
          <w:tcPr>
            <w:tcW w:w="3190" w:type="dxa"/>
            <w:vAlign w:val="center"/>
          </w:tcPr>
          <w:p w14:paraId="38BD2F8F">
            <w:pPr>
              <w:widowControl/>
              <w:spacing w:line="240" w:lineRule="auto"/>
              <w:jc w:val="both"/>
              <w:rPr>
                <w:rFonts w:ascii="Times New Roman" w:hAnsi="Times New Roman"/>
              </w:rPr>
            </w:pPr>
            <w:r>
              <w:rPr>
                <w:rFonts w:ascii="Times New Roman" w:hAnsi="Times New Roman" w:eastAsia="宋体" w:cs="Times New Roman"/>
                <w:color w:val="0F1115"/>
                <w:kern w:val="0"/>
                <w:lang w:bidi="ar"/>
              </w:rPr>
              <w:t>整改完成后5个工作日内</w:t>
            </w:r>
          </w:p>
        </w:tc>
      </w:tr>
    </w:tbl>
    <w:p w14:paraId="5712414B">
      <w:pPr>
        <w:pStyle w:val="82"/>
        <w:spacing w:before="120" w:after="120"/>
        <w:outlineLvl w:val="9"/>
      </w:pPr>
      <w:bookmarkStart w:id="105" w:name="_Toc23467"/>
      <w:bookmarkStart w:id="106" w:name="_Toc21370"/>
      <w:r>
        <w:rPr>
          <w:rFonts w:hint="eastAsia"/>
        </w:rPr>
        <w:t>记录保存</w:t>
      </w:r>
      <w:bookmarkEnd w:id="105"/>
      <w:bookmarkEnd w:id="106"/>
    </w:p>
    <w:p w14:paraId="725FC8EA">
      <w:pPr>
        <w:pStyle w:val="60"/>
        <w:ind w:firstLine="420"/>
        <w:sectPr>
          <w:pgSz w:w="11906" w:h="16838"/>
          <w:pgMar w:top="1928" w:right="1134" w:bottom="1134" w:left="1134" w:header="1418" w:footer="1134" w:gutter="284"/>
          <w:cols w:space="425" w:num="1"/>
          <w:formProt w:val="0"/>
          <w:docGrid w:linePitch="312" w:charSpace="0"/>
        </w:sectPr>
      </w:pPr>
      <w:r>
        <w:rPr>
          <w:rFonts w:hint="eastAsia"/>
        </w:rPr>
        <w:t>所有质量问题处理记录（包括评估报告、CAPA计划、验证记录等）应保存至临床试验结束后5年，并纳入机构质量管理档案。</w:t>
      </w:r>
    </w:p>
    <w:p w14:paraId="5FAB9DB6">
      <w:pPr>
        <w:pStyle w:val="67"/>
        <w:spacing w:before="240" w:beforeLines="100" w:after="120"/>
      </w:pPr>
      <w:bookmarkStart w:id="107" w:name="_Toc4291"/>
      <w:bookmarkStart w:id="108" w:name="_Toc228528420"/>
      <w:bookmarkStart w:id="109" w:name="_Toc225519795"/>
      <w:r>
        <w:rPr>
          <w:rFonts w:hint="eastAsia"/>
          <w:spacing w:val="0"/>
        </w:rPr>
        <w:t>参</w:t>
      </w:r>
      <w:r>
        <w:rPr>
          <w:rFonts w:hint="eastAsia"/>
        </w:rPr>
        <w:t xml:space="preserve">  </w:t>
      </w:r>
      <w:r>
        <w:rPr>
          <w:rFonts w:hint="eastAsia"/>
          <w:spacing w:val="0"/>
        </w:rPr>
        <w:t>考</w:t>
      </w:r>
      <w:r>
        <w:rPr>
          <w:rFonts w:hint="eastAsia"/>
        </w:rPr>
        <w:t xml:space="preserve">  </w:t>
      </w:r>
      <w:r>
        <w:rPr>
          <w:rFonts w:hint="eastAsia"/>
          <w:spacing w:val="0"/>
        </w:rPr>
        <w:t>文</w:t>
      </w:r>
      <w:r>
        <w:rPr>
          <w:rFonts w:hint="eastAsia"/>
        </w:rPr>
        <w:t xml:space="preserve">  献</w:t>
      </w:r>
      <w:bookmarkEnd w:id="107"/>
      <w:bookmarkEnd w:id="108"/>
      <w:bookmarkEnd w:id="109"/>
    </w:p>
    <w:p w14:paraId="55CE2DC0">
      <w:pPr>
        <w:widowControl/>
        <w:numPr>
          <w:ilvl w:val="0"/>
          <w:numId w:val="32"/>
        </w:numPr>
        <w:shd w:val="clear" w:color="auto" w:fill="FFFFFF"/>
        <w:spacing w:after="0" w:line="240" w:lineRule="auto"/>
        <w:jc w:val="both"/>
        <w:textAlignment w:val="baseline"/>
        <w:rPr>
          <w:rFonts w:ascii="Times New Roman" w:hAnsi="Times New Roman"/>
          <w:kern w:val="0"/>
          <w:szCs w:val="20"/>
        </w:rPr>
      </w:pPr>
      <w:r>
        <w:rPr>
          <w:rFonts w:hint="eastAsia" w:ascii="Times New Roman" w:hAnsi="Times New Roman"/>
          <w:kern w:val="0"/>
          <w:szCs w:val="20"/>
        </w:rPr>
        <w:t>国家卫生健康委员会. WS/T 303-2023 卫生健康信息数据元标准化规则 [S]. 北京：中国标准出版社，2023.</w:t>
      </w:r>
    </w:p>
    <w:p w14:paraId="61BE0866">
      <w:pPr>
        <w:widowControl/>
        <w:numPr>
          <w:ilvl w:val="0"/>
          <w:numId w:val="32"/>
        </w:numPr>
        <w:shd w:val="clear" w:color="auto" w:fill="FFFFFF"/>
        <w:spacing w:after="0" w:line="240" w:lineRule="auto"/>
        <w:jc w:val="both"/>
        <w:textAlignment w:val="baseline"/>
        <w:rPr>
          <w:rFonts w:ascii="Times New Roman" w:hAnsi="Times New Roman"/>
          <w:kern w:val="0"/>
          <w:szCs w:val="20"/>
        </w:rPr>
      </w:pPr>
      <w:r>
        <w:rPr>
          <w:rFonts w:hint="eastAsia" w:ascii="Times New Roman" w:hAnsi="Times New Roman"/>
          <w:kern w:val="0"/>
          <w:szCs w:val="20"/>
        </w:rPr>
        <w:t>国家药品监督管理局药品审评中心. 药物临床试验的电子数据采集技术指导原则[Z]. 北京: 中国医药科技出版社, 2016.</w:t>
      </w:r>
    </w:p>
    <w:p w14:paraId="52550F3D">
      <w:pPr>
        <w:widowControl/>
        <w:numPr>
          <w:ilvl w:val="0"/>
          <w:numId w:val="32"/>
        </w:numPr>
        <w:shd w:val="clear" w:color="auto" w:fill="FFFFFF"/>
        <w:spacing w:after="0" w:line="240" w:lineRule="auto"/>
        <w:jc w:val="both"/>
        <w:textAlignment w:val="baseline"/>
        <w:rPr>
          <w:rFonts w:ascii="Times New Roman" w:hAnsi="Times New Roman"/>
          <w:kern w:val="0"/>
          <w:szCs w:val="20"/>
        </w:rPr>
      </w:pPr>
      <w:r>
        <w:rPr>
          <w:rFonts w:hint="eastAsia" w:ascii="Times New Roman" w:hAnsi="Times New Roman"/>
          <w:kern w:val="0"/>
          <w:szCs w:val="20"/>
        </w:rPr>
        <w:t>国家药品监督管理局, 国家卫生健康委员会.药物临床试验质量管理规范（2020年第57号）[S]. 北京: 中国标准出版社, 2020.</w:t>
      </w:r>
    </w:p>
    <w:p w14:paraId="24367D5D">
      <w:pPr>
        <w:widowControl/>
        <w:numPr>
          <w:ilvl w:val="0"/>
          <w:numId w:val="32"/>
        </w:numPr>
        <w:shd w:val="clear" w:color="auto" w:fill="FFFFFF"/>
        <w:spacing w:after="0" w:line="240" w:lineRule="auto"/>
        <w:jc w:val="both"/>
        <w:textAlignment w:val="baseline"/>
        <w:rPr>
          <w:rFonts w:ascii="Times New Roman" w:hAnsi="Times New Roman"/>
          <w:kern w:val="0"/>
          <w:szCs w:val="20"/>
        </w:rPr>
      </w:pPr>
      <w:r>
        <w:rPr>
          <w:rFonts w:hint="eastAsia" w:ascii="Times New Roman" w:hAnsi="Times New Roman"/>
          <w:kern w:val="0"/>
          <w:szCs w:val="20"/>
        </w:rPr>
        <w:t>WS/T 263-2006 医用磁共振成像(MRI)设备影像质量检测与评价规范</w:t>
      </w:r>
    </w:p>
    <w:p w14:paraId="56A7B191">
      <w:pPr>
        <w:widowControl/>
        <w:numPr>
          <w:ilvl w:val="0"/>
          <w:numId w:val="32"/>
        </w:numPr>
        <w:shd w:val="clear" w:color="auto" w:fill="FFFFFF"/>
        <w:spacing w:line="240" w:lineRule="auto"/>
        <w:textAlignment w:val="baseline"/>
      </w:pPr>
      <w:r>
        <w:rPr>
          <w:rFonts w:hint="eastAsia" w:ascii="Times New Roman" w:hAnsi="Times New Roman"/>
          <w:kern w:val="0"/>
          <w:szCs w:val="20"/>
        </w:rPr>
        <w:t xml:space="preserve">DB64/T 2123-2025 </w:t>
      </w:r>
      <w:r>
        <w:rPr>
          <w:rFonts w:ascii="Times New Roman" w:hAnsi="Times New Roman"/>
          <w:kern w:val="0"/>
          <w:szCs w:val="20"/>
        </w:rPr>
        <w:t>互联网医院监管数据传输规范</w:t>
      </w:r>
      <w:r>
        <w:rPr>
          <w:rFonts w:hint="eastAsia"/>
        </w:rPr>
        <mc:AlternateContent>
          <mc:Choice Requires="wps">
            <w:drawing>
              <wp:anchor distT="0" distB="0" distL="114300" distR="114300" simplePos="0" relativeHeight="251661312" behindDoc="0" locked="0" layoutInCell="1" allowOverlap="1">
                <wp:simplePos x="0" y="0"/>
                <wp:positionH relativeFrom="column">
                  <wp:posOffset>2147570</wp:posOffset>
                </wp:positionH>
                <wp:positionV relativeFrom="paragraph">
                  <wp:posOffset>1388110</wp:posOffset>
                </wp:positionV>
                <wp:extent cx="1544955" cy="0"/>
                <wp:effectExtent l="0" t="0" r="0" b="0"/>
                <wp:wrapNone/>
                <wp:docPr id="1736663031" name="直接连接符 4"/>
                <wp:cNvGraphicFramePr/>
                <a:graphic xmlns:a="http://schemas.openxmlformats.org/drawingml/2006/main">
                  <a:graphicData uri="http://schemas.microsoft.com/office/word/2010/wordprocessingShape">
                    <wps:wsp>
                      <wps:cNvCnPr/>
                      <wps:spPr bwMode="auto">
                        <a:xfrm>
                          <a:off x="0" y="0"/>
                          <a:ext cx="154478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4" o:spid="_x0000_s1026" o:spt="20" style="position:absolute;left:0pt;margin-left:169.1pt;margin-top:109.3pt;height:0pt;width:121.65pt;z-index:251661312;mso-width-relative:page;mso-height-relative:page;" filled="f" stroked="t" coordsize="21600,21600" o:gfxdata="UEsDBAoAAAAAAIdO4kAAAAAAAAAAAAAAAAAEAAAAZHJzL1BLAwQUAAAACACHTuJAC4aEDtgAAAAL&#10;AQAADwAAAGRycy9kb3ducmV2LnhtbE2PwUrEMBCG74LvEEbw5qbtsruhNt2D4EEQ1K4Hj9lmtqkm&#10;k9pk2/r2RhD0ODM/33x/tV+cZROOofckIV9lwJBar3vqJLwe7m8EsBAVaWU9oYQvDLCvLy8qVWo/&#10;0wtOTexYglAolQQT41ByHlqDToWVH5DS7eRHp2Iax47rUc0J7iwvsmzLneopfTBqwDuD7UdzdolC&#10;u8/TYse356dHI5r5HR+mHUp5fZVnt8AiLvEvDD/6SR3q5HT0Z9KBWQnrtShSVEKRiy2wlNiIfAPs&#10;+LvhdcX/d6i/AVBLAwQUAAAACACHTuJAm2aMRvYBAADIAwAADgAAAGRycy9lMm9Eb2MueG1srVNL&#10;jhMxEN0jcQfLe9L5TSZqpTOLiYYNn5GAA1Tc7m5L/snlpDOX4AJI7GDFkj23YTgGZXcShmEzC3ph&#10;2VWuV36vXq+uDkazvQyonK34ZDTmTFrhamXbin94f/NiyRlGsDVoZ2XF7yTyq/XzZ6vel3LqOqdr&#10;GRiBWCx7X/EuRl8WBYpOGsCR89JSsnHBQKRjaIs6QE/oRhfT8XhR9C7UPjghESm6GZL8iBieAuia&#10;Rgm5cWJnpI0DapAaIlHCTnnk6/zappEivm0alJHpihPTmFdqQvttWov1Cso2gO+UOD4BnvKER5wM&#10;KEtNz1AbiMB2Qf0DZZQIDl0TR8KZYiCSFSEWk/Ejbd514GXmQlKjP4uO/w9WvNnfBqZqcsLlbLFY&#10;zMazCWcWDE3+/tP3nx+//Prxmdb7b1/ZPKnVeyyp6NrehuMJPSFs+9euphrYRZeFODTBJEGIIjtk&#10;ve/OestDZIKCk4v5/HI55UyccgWUp0IfML6UzrC0qbhWNkkBJexfYaTWdPV0JYWtu1Fa53Fqy/qK&#10;L2YXNGQBZNGGrEFb44km2pYz0C15X8SQEdFpVafqhIOh3V7rwPaQHJO/RJu6/XUttd4AdsO9nBq8&#10;ZFSk30MrU/Hlw2ptCSSJl+QaZNy6+i6rmOM04NzmaMbkoIfnXP3nB1z/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AuGhA7YAAAACwEAAA8AAAAAAAAAAQAgAAAAIgAAAGRycy9kb3ducmV2LnhtbFBL&#10;AQIUABQAAAAIAIdO4kCbZoxG9gEAAMgDAAAOAAAAAAAAAAEAIAAAACcBAABkcnMvZTJvRG9jLnht&#10;bFBLBQYAAAAABgAGAFkBAACPBQAAAAA=&#10;">
                <v:fill on="f" focussize="0,0"/>
                <v:stroke weight="0.5pt" color="#000000 [3200]" miterlimit="8" joinstyle="miter"/>
                <v:imagedata o:title=""/>
                <o:lock v:ext="edit" aspectratio="f"/>
              </v:line>
            </w:pict>
          </mc:Fallback>
        </mc:AlternateContent>
      </w:r>
      <w:bookmarkEnd w:id="92"/>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8EC3F">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21ACE">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50EFB">
    <w:pPr>
      <w:pStyle w:val="56"/>
      <w:rPr>
        <w:rFonts w:ascii="Times New Roman"/>
        <w:sz w:val="21"/>
        <w:szCs w:val="21"/>
      </w:rPr>
    </w:pPr>
    <w:r>
      <w:rPr>
        <w:rFonts w:ascii="Times New Roman"/>
        <w:sz w:val="21"/>
        <w:szCs w:val="21"/>
      </w:rPr>
      <w:fldChar w:fldCharType="begin"/>
    </w:r>
    <w:r>
      <w:rPr>
        <w:rFonts w:ascii="Times New Roman"/>
        <w:sz w:val="21"/>
        <w:szCs w:val="21"/>
      </w:rPr>
      <w:instrText xml:space="preserve">PAGE   \* MERGEFORMAT</w:instrText>
    </w:r>
    <w:r>
      <w:rPr>
        <w:rFonts w:ascii="Times New Roman"/>
        <w:sz w:val="21"/>
        <w:szCs w:val="21"/>
      </w:rPr>
      <w:fldChar w:fldCharType="separate"/>
    </w:r>
    <w:r>
      <w:rPr>
        <w:rFonts w:ascii="Times New Roman"/>
        <w:sz w:val="21"/>
        <w:szCs w:val="21"/>
        <w:lang w:val="zh-CN"/>
      </w:rPr>
      <w:t>1</w:t>
    </w:r>
    <w:r>
      <w:rPr>
        <w:rFonts w:ascii="Times New Roman"/>
        <w:sz w:val="21"/>
        <w:szCs w:val="2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6B70A">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CEEAF">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6B0DD">
    <w:pPr>
      <w:pStyle w:val="65"/>
      <w:rPr>
        <w:rFonts w:hint="eastAsia"/>
      </w:rPr>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E05B1">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2A4C32"/>
    <w:multiLevelType w:val="singleLevel"/>
    <w:tmpl w:val="BC2A4C32"/>
    <w:lvl w:ilvl="0" w:tentative="0">
      <w:start w:val="1"/>
      <w:numFmt w:val="decimal"/>
      <w:suff w:val="space"/>
      <w:lvlText w:val="[%1]"/>
      <w:lvlJc w:val="left"/>
    </w:lvl>
  </w:abstractNum>
  <w:abstractNum w:abstractNumId="1">
    <w:nsid w:val="02837933"/>
    <w:multiLevelType w:val="multilevel"/>
    <w:tmpl w:val="02837933"/>
    <w:lvl w:ilvl="0" w:tentative="0">
      <w:start w:val="1"/>
      <w:numFmt w:val="decimal"/>
      <w:pStyle w:val="68"/>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3"/>
      <w:suff w:val="nothing"/>
      <w:lvlText w:val="%1%2.%3　"/>
      <w:lvlJc w:val="left"/>
      <w:pPr>
        <w:ind w:left="0" w:firstLine="0"/>
      </w:pPr>
    </w:lvl>
    <w:lvl w:ilvl="3" w:tentative="0">
      <w:start w:val="1"/>
      <w:numFmt w:val="decimal"/>
      <w:pStyle w:val="122"/>
      <w:suff w:val="nothing"/>
      <w:lvlText w:val="%1%2.%3.%4　"/>
      <w:lvlJc w:val="left"/>
      <w:pPr>
        <w:ind w:left="0" w:firstLine="0"/>
      </w:pPr>
    </w:lvl>
    <w:lvl w:ilvl="4" w:tentative="0">
      <w:start w:val="1"/>
      <w:numFmt w:val="decimal"/>
      <w:pStyle w:val="157"/>
      <w:suff w:val="nothing"/>
      <w:lvlText w:val="%1%2.%3.%4.%5　"/>
      <w:lvlJc w:val="left"/>
      <w:pPr>
        <w:ind w:left="0" w:firstLine="0"/>
      </w:pPr>
    </w:lvl>
    <w:lvl w:ilvl="5" w:tentative="0">
      <w:start w:val="1"/>
      <w:numFmt w:val="decimal"/>
      <w:pStyle w:val="159"/>
      <w:suff w:val="nothing"/>
      <w:lvlText w:val="%1%2.%3.%4.%5.%6　"/>
      <w:lvlJc w:val="left"/>
      <w:pPr>
        <w:ind w:left="0" w:firstLine="0"/>
      </w:pPr>
    </w:lvl>
    <w:lvl w:ilvl="6" w:tentative="0">
      <w:start w:val="1"/>
      <w:numFmt w:val="decimal"/>
      <w:pStyle w:val="162"/>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4"/>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3"/>
      <w:lvlText w:val="%1"/>
      <w:lvlJc w:val="left"/>
      <w:pPr>
        <w:ind w:left="425" w:hanging="425"/>
      </w:pPr>
      <w:rPr>
        <w:rFonts w:hint="eastAsia"/>
      </w:rPr>
    </w:lvl>
    <w:lvl w:ilvl="1" w:tentative="0">
      <w:start w:val="1"/>
      <w:numFmt w:val="decimal"/>
      <w:pStyle w:val="204"/>
      <w:suff w:val="nothing"/>
      <w:lvlText w:val="%10.%2 "/>
      <w:lvlJc w:val="left"/>
      <w:pPr>
        <w:ind w:left="0" w:firstLine="0"/>
      </w:pPr>
      <w:rPr>
        <w:rFonts w:hint="eastAsia" w:ascii="黑体" w:eastAsia="黑体" w:hAnsiTheme="minorHAnsi"/>
        <w:b w:val="0"/>
        <w:i w:val="0"/>
        <w:sz w:val="21"/>
      </w:rPr>
    </w:lvl>
    <w:lvl w:ilvl="2" w:tentative="0">
      <w:start w:val="1"/>
      <w:numFmt w:val="decimal"/>
      <w:pStyle w:val="205"/>
      <w:suff w:val="nothing"/>
      <w:lvlText w:val="%10.%2.%3 "/>
      <w:lvlJc w:val="left"/>
      <w:pPr>
        <w:ind w:left="0" w:firstLine="0"/>
      </w:pPr>
      <w:rPr>
        <w:rFonts w:hint="eastAsia" w:ascii="黑体" w:eastAsia="黑体" w:hAnsiTheme="minorHAnsi"/>
        <w:b w:val="0"/>
        <w:i w:val="0"/>
        <w:sz w:val="21"/>
      </w:rPr>
    </w:lvl>
    <w:lvl w:ilvl="3" w:tentative="0">
      <w:start w:val="1"/>
      <w:numFmt w:val="decimal"/>
      <w:pStyle w:val="206"/>
      <w:suff w:val="nothing"/>
      <w:lvlText w:val="%10.%2.%3.%4 "/>
      <w:lvlJc w:val="left"/>
      <w:pPr>
        <w:ind w:left="0" w:firstLine="0"/>
      </w:pPr>
      <w:rPr>
        <w:rFonts w:hint="eastAsia" w:ascii="黑体" w:eastAsia="黑体" w:hAnsiTheme="minorHAnsi"/>
        <w:b w:val="0"/>
        <w:i w:val="0"/>
        <w:sz w:val="21"/>
      </w:rPr>
    </w:lvl>
    <w:lvl w:ilvl="4" w:tentative="0">
      <w:start w:val="1"/>
      <w:numFmt w:val="decimal"/>
      <w:pStyle w:val="207"/>
      <w:suff w:val="nothing"/>
      <w:lvlText w:val="%10.%2.%3.%4.%5 "/>
      <w:lvlJc w:val="left"/>
      <w:pPr>
        <w:ind w:left="0" w:firstLine="0"/>
      </w:pPr>
      <w:rPr>
        <w:rFonts w:hint="eastAsia" w:ascii="黑体" w:eastAsia="黑体" w:hAnsiTheme="minorHAnsi"/>
        <w:b w:val="0"/>
        <w:i w:val="0"/>
        <w:sz w:val="21"/>
      </w:rPr>
    </w:lvl>
    <w:lvl w:ilvl="5" w:tentative="0">
      <w:start w:val="1"/>
      <w:numFmt w:val="decimal"/>
      <w:pStyle w:val="208"/>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5"/>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71"/>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4"/>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9"/>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6"/>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6"/>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1"/>
      <w:lvlText w:val=""/>
      <w:lvlJc w:val="left"/>
      <w:pPr>
        <w:ind w:left="851" w:hanging="431"/>
      </w:pPr>
      <w:rPr>
        <w:rFonts w:hint="default" w:ascii="Symbol" w:hAnsi="Symbol"/>
        <w:sz w:val="21"/>
      </w:rPr>
    </w:lvl>
    <w:lvl w:ilvl="2" w:tentative="0">
      <w:start w:val="1"/>
      <w:numFmt w:val="bullet"/>
      <w:pStyle w:val="176"/>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5"/>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8"/>
      <w:lvlText w:val="%1)"/>
      <w:lvlJc w:val="left"/>
      <w:pPr>
        <w:tabs>
          <w:tab w:val="left" w:pos="851"/>
        </w:tabs>
        <w:ind w:left="851" w:hanging="426"/>
      </w:pPr>
      <w:rPr>
        <w:rFonts w:hint="eastAsia" w:ascii="宋体" w:hAnsi="Times New Roman" w:eastAsia="宋体"/>
        <w:sz w:val="21"/>
      </w:rPr>
    </w:lvl>
    <w:lvl w:ilvl="1" w:tentative="0">
      <w:start w:val="1"/>
      <w:numFmt w:val="decimal"/>
      <w:pStyle w:val="113"/>
      <w:lvlText w:val="%2)"/>
      <w:lvlJc w:val="left"/>
      <w:pPr>
        <w:tabs>
          <w:tab w:val="left" w:pos="1276"/>
        </w:tabs>
        <w:ind w:left="1276" w:hanging="425"/>
      </w:pPr>
      <w:rPr>
        <w:rFonts w:hint="eastAsia" w:ascii="宋体" w:hAnsi="Times New Roman" w:eastAsia="宋体"/>
        <w:sz w:val="21"/>
      </w:rPr>
    </w:lvl>
    <w:lvl w:ilvl="2" w:tentative="0">
      <w:start w:val="1"/>
      <w:numFmt w:val="decimal"/>
      <w:pStyle w:val="121"/>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2"/>
      <w:lvlText w:val="%1"/>
      <w:lvlJc w:val="left"/>
      <w:pPr>
        <w:ind w:left="420" w:hanging="420"/>
      </w:pPr>
      <w:rPr>
        <w:rFonts w:hint="eastAsia"/>
      </w:rPr>
    </w:lvl>
    <w:lvl w:ilvl="1" w:tentative="0">
      <w:start w:val="1"/>
      <w:numFmt w:val="decimal"/>
      <w:pStyle w:val="87"/>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7"/>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20"/>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7"/>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8"/>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3"/>
      <w:suff w:val="space"/>
      <w:lvlText w:val="%1"/>
      <w:lvlJc w:val="left"/>
      <w:pPr>
        <w:ind w:left="425" w:hanging="425"/>
      </w:pPr>
      <w:rPr>
        <w:rFonts w:hint="eastAsia"/>
      </w:rPr>
    </w:lvl>
    <w:lvl w:ilvl="1" w:tentative="0">
      <w:start w:val="1"/>
      <w:numFmt w:val="decimal"/>
      <w:pStyle w:val="81"/>
      <w:suff w:val="space"/>
      <w:lvlText w:val="表%1.%2 "/>
      <w:lvlJc w:val="center"/>
      <w:pPr>
        <w:ind w:left="0" w:firstLine="0"/>
      </w:pPr>
      <w:rPr>
        <w:rFonts w:hint="default" w:ascii="Times New Roman" w:hAnsi="Times New Roman" w:eastAsia="黑体" w:cs="Times New Roman"/>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5"/>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3"/>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80"/>
      <w:suff w:val="nothing"/>
      <w:lvlText w:val="附录%1"/>
      <w:lvlJc w:val="left"/>
      <w:pPr>
        <w:ind w:left="0" w:firstLine="0"/>
      </w:pPr>
      <w:rPr>
        <w:rFonts w:hint="eastAsia"/>
        <w:spacing w:val="100"/>
      </w:rPr>
    </w:lvl>
    <w:lvl w:ilvl="1" w:tentative="0">
      <w:start w:val="1"/>
      <w:numFmt w:val="decimal"/>
      <w:pStyle w:val="82"/>
      <w:suff w:val="nothing"/>
      <w:lvlText w:val="%1.%2　"/>
      <w:lvlJc w:val="left"/>
      <w:pPr>
        <w:ind w:left="0" w:firstLine="0"/>
      </w:pPr>
      <w:rPr>
        <w:rFonts w:hint="default" w:ascii="Times New Roman" w:hAnsi="Times New Roman" w:eastAsia="黑体" w:cs="Times New Roman"/>
        <w:b w:val="0"/>
        <w:i w:val="0"/>
        <w:sz w:val="21"/>
      </w:rPr>
    </w:lvl>
    <w:lvl w:ilvl="2" w:tentative="0">
      <w:start w:val="1"/>
      <w:numFmt w:val="decimal"/>
      <w:pStyle w:val="83"/>
      <w:suff w:val="nothing"/>
      <w:lvlText w:val="%1.%2.%3　"/>
      <w:lvlJc w:val="left"/>
      <w:pPr>
        <w:ind w:left="0" w:firstLine="0"/>
      </w:pPr>
      <w:rPr>
        <w:rFonts w:hint="eastAsia" w:ascii="黑体" w:eastAsia="黑体"/>
        <w:b w:val="0"/>
        <w:i w:val="0"/>
        <w:sz w:val="21"/>
      </w:rPr>
    </w:lvl>
    <w:lvl w:ilvl="3" w:tentative="0">
      <w:start w:val="1"/>
      <w:numFmt w:val="decimal"/>
      <w:pStyle w:val="85"/>
      <w:suff w:val="nothing"/>
      <w:lvlText w:val="%1.%2.%3.%4　"/>
      <w:lvlJc w:val="left"/>
      <w:pPr>
        <w:ind w:left="0" w:firstLine="0"/>
      </w:pPr>
      <w:rPr>
        <w:rFonts w:hint="eastAsia" w:ascii="黑体" w:eastAsia="黑体"/>
        <w:b w:val="0"/>
        <w:i w:val="0"/>
        <w:sz w:val="21"/>
      </w:rPr>
    </w:lvl>
    <w:lvl w:ilvl="4" w:tentative="0">
      <w:start w:val="1"/>
      <w:numFmt w:val="decimal"/>
      <w:pStyle w:val="86"/>
      <w:suff w:val="nothing"/>
      <w:lvlText w:val="%1.%2.%3.%4.%5　"/>
      <w:lvlJc w:val="left"/>
      <w:pPr>
        <w:ind w:left="0" w:firstLine="0"/>
      </w:pPr>
      <w:rPr>
        <w:rFonts w:hint="eastAsia" w:ascii="黑体" w:eastAsia="黑体"/>
        <w:b w:val="0"/>
        <w:i w:val="0"/>
        <w:sz w:val="21"/>
      </w:rPr>
    </w:lvl>
    <w:lvl w:ilvl="5" w:tentative="0">
      <w:start w:val="1"/>
      <w:numFmt w:val="decimal"/>
      <w:pStyle w:val="88"/>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2"/>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1"/>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7"/>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6"/>
      <w:suff w:val="nothing"/>
      <w:lvlText w:val="%1"/>
      <w:lvlJc w:val="left"/>
      <w:pPr>
        <w:ind w:left="0" w:firstLine="0"/>
      </w:pPr>
      <w:rPr>
        <w:rFonts w:hint="eastAsia"/>
      </w:rPr>
    </w:lvl>
    <w:lvl w:ilvl="1" w:tentative="0">
      <w:start w:val="1"/>
      <w:numFmt w:val="decimal"/>
      <w:pStyle w:val="108"/>
      <w:suff w:val="nothing"/>
      <w:lvlText w:val="%1%2　"/>
      <w:lvlJc w:val="left"/>
      <w:pPr>
        <w:ind w:left="0" w:firstLine="0"/>
      </w:pPr>
      <w:rPr>
        <w:rFonts w:hint="eastAsia" w:ascii="黑体" w:eastAsia="黑体"/>
        <w:b w:val="0"/>
        <w:i w:val="0"/>
        <w:sz w:val="21"/>
      </w:rPr>
    </w:lvl>
    <w:lvl w:ilvl="2" w:tentative="0">
      <w:start w:val="1"/>
      <w:numFmt w:val="decimal"/>
      <w:pStyle w:val="109"/>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9"/>
      <w:suff w:val="nothing"/>
      <w:lvlText w:val="%1%2.%3.%4　"/>
      <w:lvlJc w:val="left"/>
      <w:pPr>
        <w:ind w:left="0" w:firstLine="0"/>
      </w:pPr>
      <w:rPr>
        <w:rFonts w:hint="eastAsia" w:ascii="黑体" w:eastAsia="黑体"/>
        <w:b w:val="0"/>
        <w:i w:val="0"/>
        <w:sz w:val="21"/>
      </w:rPr>
    </w:lvl>
    <w:lvl w:ilvl="4" w:tentative="0">
      <w:start w:val="1"/>
      <w:numFmt w:val="decimal"/>
      <w:pStyle w:val="98"/>
      <w:suff w:val="nothing"/>
      <w:lvlText w:val="%1%2.%3.%4.%5　"/>
      <w:lvlJc w:val="left"/>
      <w:pPr>
        <w:ind w:left="0" w:firstLine="0"/>
      </w:pPr>
      <w:rPr>
        <w:rFonts w:hint="eastAsia" w:ascii="黑体" w:eastAsia="黑体"/>
        <w:b w:val="0"/>
        <w:i w:val="0"/>
        <w:sz w:val="21"/>
      </w:rPr>
    </w:lvl>
    <w:lvl w:ilvl="5" w:tentative="0">
      <w:start w:val="1"/>
      <w:numFmt w:val="decimal"/>
      <w:pStyle w:val="102"/>
      <w:suff w:val="nothing"/>
      <w:lvlText w:val="%1%2.%3.%4.%5.%6　"/>
      <w:lvlJc w:val="left"/>
      <w:pPr>
        <w:ind w:left="0" w:firstLine="0"/>
      </w:pPr>
      <w:rPr>
        <w:rFonts w:hint="eastAsia" w:ascii="黑体" w:eastAsia="黑体"/>
        <w:b w:val="0"/>
        <w:i w:val="0"/>
        <w:sz w:val="21"/>
      </w:rPr>
    </w:lvl>
    <w:lvl w:ilvl="6" w:tentative="0">
      <w:start w:val="1"/>
      <w:numFmt w:val="decimal"/>
      <w:pStyle w:val="107"/>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3"/>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9"/>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3"/>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A69"/>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17B"/>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168"/>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53E"/>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55E"/>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058E"/>
    <w:rsid w:val="001A1A53"/>
    <w:rsid w:val="001A234A"/>
    <w:rsid w:val="001A4CF3"/>
    <w:rsid w:val="001A6696"/>
    <w:rsid w:val="001B06E8"/>
    <w:rsid w:val="001B71D0"/>
    <w:rsid w:val="001B71EE"/>
    <w:rsid w:val="001C04A8"/>
    <w:rsid w:val="001C2C03"/>
    <w:rsid w:val="001C41FF"/>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2EFE"/>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6217"/>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267DB"/>
    <w:rsid w:val="003331E4"/>
    <w:rsid w:val="00336C64"/>
    <w:rsid w:val="00337162"/>
    <w:rsid w:val="0034194F"/>
    <w:rsid w:val="00344605"/>
    <w:rsid w:val="003474AA"/>
    <w:rsid w:val="00350D1D"/>
    <w:rsid w:val="00352C83"/>
    <w:rsid w:val="00352F1A"/>
    <w:rsid w:val="0036107C"/>
    <w:rsid w:val="003615D2"/>
    <w:rsid w:val="00361C30"/>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362"/>
    <w:rsid w:val="00392911"/>
    <w:rsid w:val="00392AD7"/>
    <w:rsid w:val="003938D9"/>
    <w:rsid w:val="00394376"/>
    <w:rsid w:val="003943FF"/>
    <w:rsid w:val="003974EB"/>
    <w:rsid w:val="003976B3"/>
    <w:rsid w:val="00397CC5"/>
    <w:rsid w:val="003A11D1"/>
    <w:rsid w:val="003A1582"/>
    <w:rsid w:val="003A3D9C"/>
    <w:rsid w:val="003A4077"/>
    <w:rsid w:val="003A4AA7"/>
    <w:rsid w:val="003A7AFA"/>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31D4"/>
    <w:rsid w:val="0041477A"/>
    <w:rsid w:val="004167A3"/>
    <w:rsid w:val="00432DAA"/>
    <w:rsid w:val="00434305"/>
    <w:rsid w:val="00435108"/>
    <w:rsid w:val="00435DF7"/>
    <w:rsid w:val="0043741A"/>
    <w:rsid w:val="0044083F"/>
    <w:rsid w:val="00441AE7"/>
    <w:rsid w:val="00445574"/>
    <w:rsid w:val="004467FB"/>
    <w:rsid w:val="00452D6B"/>
    <w:rsid w:val="00454484"/>
    <w:rsid w:val="0045517B"/>
    <w:rsid w:val="00455180"/>
    <w:rsid w:val="00463B77"/>
    <w:rsid w:val="00463C7B"/>
    <w:rsid w:val="004644A6"/>
    <w:rsid w:val="004659BD"/>
    <w:rsid w:val="00470775"/>
    <w:rsid w:val="004737E0"/>
    <w:rsid w:val="004746B1"/>
    <w:rsid w:val="0047583F"/>
    <w:rsid w:val="00475DE8"/>
    <w:rsid w:val="00481C44"/>
    <w:rsid w:val="00484503"/>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24D5"/>
    <w:rsid w:val="0050363E"/>
    <w:rsid w:val="005039BC"/>
    <w:rsid w:val="005043BB"/>
    <w:rsid w:val="00504A3D"/>
    <w:rsid w:val="00505767"/>
    <w:rsid w:val="005073F0"/>
    <w:rsid w:val="0050788A"/>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0FC2"/>
    <w:rsid w:val="00581802"/>
    <w:rsid w:val="005836A8"/>
    <w:rsid w:val="0058409C"/>
    <w:rsid w:val="00584262"/>
    <w:rsid w:val="00585995"/>
    <w:rsid w:val="00586630"/>
    <w:rsid w:val="00587A5E"/>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5C30"/>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477F"/>
    <w:rsid w:val="006850CD"/>
    <w:rsid w:val="00685AAB"/>
    <w:rsid w:val="00693962"/>
    <w:rsid w:val="00693E25"/>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5B7"/>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15345"/>
    <w:rsid w:val="00722FBF"/>
    <w:rsid w:val="00722FC2"/>
    <w:rsid w:val="00724E1B"/>
    <w:rsid w:val="00725949"/>
    <w:rsid w:val="00727FA2"/>
    <w:rsid w:val="007322D9"/>
    <w:rsid w:val="00732BC0"/>
    <w:rsid w:val="0073720F"/>
    <w:rsid w:val="007374F4"/>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96208"/>
    <w:rsid w:val="007A0521"/>
    <w:rsid w:val="007A2E12"/>
    <w:rsid w:val="007A3475"/>
    <w:rsid w:val="007A3DEE"/>
    <w:rsid w:val="007A41C8"/>
    <w:rsid w:val="007A54CE"/>
    <w:rsid w:val="007A5D3A"/>
    <w:rsid w:val="007A6FD9"/>
    <w:rsid w:val="007A7FFA"/>
    <w:rsid w:val="007B04EB"/>
    <w:rsid w:val="007B0D4F"/>
    <w:rsid w:val="007B5A3D"/>
    <w:rsid w:val="007B5B95"/>
    <w:rsid w:val="007B6032"/>
    <w:rsid w:val="007B68EA"/>
    <w:rsid w:val="007B7453"/>
    <w:rsid w:val="007C2D89"/>
    <w:rsid w:val="007C36A6"/>
    <w:rsid w:val="007C4593"/>
    <w:rsid w:val="007C5309"/>
    <w:rsid w:val="007C6069"/>
    <w:rsid w:val="007C6AC7"/>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06C2E"/>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77127"/>
    <w:rsid w:val="008779CB"/>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397A"/>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E6C8A"/>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3EDA"/>
    <w:rsid w:val="009378DD"/>
    <w:rsid w:val="009429D5"/>
    <w:rsid w:val="00942BF1"/>
    <w:rsid w:val="00945180"/>
    <w:rsid w:val="00945428"/>
    <w:rsid w:val="0094607B"/>
    <w:rsid w:val="00953604"/>
    <w:rsid w:val="0095496B"/>
    <w:rsid w:val="0095609D"/>
    <w:rsid w:val="00960F1E"/>
    <w:rsid w:val="009610DC"/>
    <w:rsid w:val="00961490"/>
    <w:rsid w:val="00961C3D"/>
    <w:rsid w:val="0096381A"/>
    <w:rsid w:val="00965E04"/>
    <w:rsid w:val="009674AD"/>
    <w:rsid w:val="00970CDC"/>
    <w:rsid w:val="009755CD"/>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0C7"/>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5854"/>
    <w:rsid w:val="00AA672E"/>
    <w:rsid w:val="00AA6EC9"/>
    <w:rsid w:val="00AB6309"/>
    <w:rsid w:val="00AB6C5F"/>
    <w:rsid w:val="00AB7129"/>
    <w:rsid w:val="00AB7AB2"/>
    <w:rsid w:val="00AC27A6"/>
    <w:rsid w:val="00AC30F7"/>
    <w:rsid w:val="00AC3A5A"/>
    <w:rsid w:val="00AC4D95"/>
    <w:rsid w:val="00AC5DF4"/>
    <w:rsid w:val="00AC6F36"/>
    <w:rsid w:val="00AD0AEF"/>
    <w:rsid w:val="00AD11B7"/>
    <w:rsid w:val="00AD1A94"/>
    <w:rsid w:val="00AD1C05"/>
    <w:rsid w:val="00AD4126"/>
    <w:rsid w:val="00AD421C"/>
    <w:rsid w:val="00AD44FA"/>
    <w:rsid w:val="00AE070A"/>
    <w:rsid w:val="00AE101C"/>
    <w:rsid w:val="00AE2A69"/>
    <w:rsid w:val="00AE37E5"/>
    <w:rsid w:val="00AE5EB4"/>
    <w:rsid w:val="00AF0C18"/>
    <w:rsid w:val="00AF2093"/>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36D8"/>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0A56"/>
    <w:rsid w:val="00BC1A4E"/>
    <w:rsid w:val="00BC5DC7"/>
    <w:rsid w:val="00BC6B8B"/>
    <w:rsid w:val="00BC73D8"/>
    <w:rsid w:val="00BC7616"/>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A69"/>
    <w:rsid w:val="00CC038D"/>
    <w:rsid w:val="00CC08DB"/>
    <w:rsid w:val="00CC39FF"/>
    <w:rsid w:val="00CC3C2F"/>
    <w:rsid w:val="00CC4AC8"/>
    <w:rsid w:val="00CC5233"/>
    <w:rsid w:val="00CC5DE6"/>
    <w:rsid w:val="00CC6E4E"/>
    <w:rsid w:val="00CC6FE8"/>
    <w:rsid w:val="00CC7202"/>
    <w:rsid w:val="00CD2808"/>
    <w:rsid w:val="00CD28BF"/>
    <w:rsid w:val="00CD4092"/>
    <w:rsid w:val="00CD4958"/>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96D"/>
    <w:rsid w:val="00D51BF3"/>
    <w:rsid w:val="00D56113"/>
    <w:rsid w:val="00D655E8"/>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DF5062"/>
    <w:rsid w:val="00E01138"/>
    <w:rsid w:val="00E02DFB"/>
    <w:rsid w:val="00E030F9"/>
    <w:rsid w:val="00E0311A"/>
    <w:rsid w:val="00E03138"/>
    <w:rsid w:val="00E03274"/>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016"/>
    <w:rsid w:val="00E77765"/>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5ECA"/>
    <w:rsid w:val="00E969D5"/>
    <w:rsid w:val="00EA0557"/>
    <w:rsid w:val="00EA58D1"/>
    <w:rsid w:val="00EA6048"/>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13CB"/>
    <w:rsid w:val="00F32780"/>
    <w:rsid w:val="00F33817"/>
    <w:rsid w:val="00F40095"/>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74E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C6721"/>
    <w:rsid w:val="00FC767E"/>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C56903"/>
    <w:rsid w:val="032D29B2"/>
    <w:rsid w:val="046E1034"/>
    <w:rsid w:val="0BFF73A3"/>
    <w:rsid w:val="0CAC7E96"/>
    <w:rsid w:val="0E6F3520"/>
    <w:rsid w:val="0F2D0A52"/>
    <w:rsid w:val="11092D0F"/>
    <w:rsid w:val="11B66F35"/>
    <w:rsid w:val="13050E1C"/>
    <w:rsid w:val="1760247F"/>
    <w:rsid w:val="179230D3"/>
    <w:rsid w:val="1A730580"/>
    <w:rsid w:val="1AFD753F"/>
    <w:rsid w:val="1C43089F"/>
    <w:rsid w:val="1C5A3A1F"/>
    <w:rsid w:val="1D3461C5"/>
    <w:rsid w:val="216300F7"/>
    <w:rsid w:val="25817FA3"/>
    <w:rsid w:val="32021609"/>
    <w:rsid w:val="32315BC0"/>
    <w:rsid w:val="33447F0E"/>
    <w:rsid w:val="35A82038"/>
    <w:rsid w:val="3941717D"/>
    <w:rsid w:val="3FEB1B34"/>
    <w:rsid w:val="4630117B"/>
    <w:rsid w:val="464E3D9E"/>
    <w:rsid w:val="4C37682E"/>
    <w:rsid w:val="4D1B614C"/>
    <w:rsid w:val="53FB5D2D"/>
    <w:rsid w:val="57452E73"/>
    <w:rsid w:val="5B887683"/>
    <w:rsid w:val="67BB3B85"/>
    <w:rsid w:val="6ACB7804"/>
    <w:rsid w:val="6F3B53CB"/>
    <w:rsid w:val="6F476EA9"/>
    <w:rsid w:val="70FC587C"/>
    <w:rsid w:val="72474323"/>
    <w:rsid w:val="7671405C"/>
    <w:rsid w:val="788E0CBC"/>
    <w:rsid w:val="7B133B42"/>
    <w:rsid w:val="7C5F6E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0"/>
    <w:qFormat/>
    <w:uiPriority w:val="0"/>
    <w:pPr>
      <w:keepNext/>
      <w:keepLines/>
      <w:spacing w:before="260" w:after="260" w:line="416" w:lineRule="auto"/>
      <w:outlineLvl w:val="2"/>
    </w:pPr>
    <w:rPr>
      <w:b/>
      <w:bCs/>
      <w:sz w:val="32"/>
      <w:szCs w:val="32"/>
    </w:rPr>
  </w:style>
  <w:style w:type="paragraph" w:styleId="5">
    <w:name w:val="heading 4"/>
    <w:basedOn w:val="1"/>
    <w:next w:val="1"/>
    <w:link w:val="41"/>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2"/>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3"/>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4"/>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5"/>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6"/>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6"/>
    <w:semiHidden/>
    <w:unhideWhenUsed/>
    <w:uiPriority w:val="99"/>
    <w:pPr>
      <w:jc w:val="left"/>
    </w:pPr>
  </w:style>
  <w:style w:type="paragraph" w:styleId="14">
    <w:name w:val="Body Text"/>
    <w:basedOn w:val="1"/>
    <w:link w:val="90"/>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9"/>
    <w:semiHidden/>
    <w:unhideWhenUsed/>
    <w:qFormat/>
    <w:uiPriority w:val="99"/>
    <w:rPr>
      <w:sz w:val="18"/>
      <w:szCs w:val="18"/>
    </w:rPr>
  </w:style>
  <w:style w:type="paragraph" w:styleId="18">
    <w:name w:val="footer"/>
    <w:basedOn w:val="1"/>
    <w:link w:val="48"/>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7"/>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3"/>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semiHidden/>
    <w:unhideWhenUsed/>
    <w:qFormat/>
    <w:uiPriority w:val="99"/>
    <w:rPr>
      <w:sz w:val="24"/>
    </w:rPr>
  </w:style>
  <w:style w:type="paragraph" w:styleId="27">
    <w:name w:val="Title"/>
    <w:basedOn w:val="1"/>
    <w:link w:val="52"/>
    <w:qFormat/>
    <w:uiPriority w:val="0"/>
    <w:pPr>
      <w:spacing w:before="240" w:after="60"/>
      <w:jc w:val="center"/>
      <w:outlineLvl w:val="0"/>
    </w:pPr>
    <w:rPr>
      <w:rFonts w:ascii="Arial" w:hAnsi="Arial" w:cs="Arial"/>
      <w:b/>
      <w:bCs/>
      <w:sz w:val="32"/>
      <w:szCs w:val="32"/>
    </w:rPr>
  </w:style>
  <w:style w:type="paragraph" w:styleId="28">
    <w:name w:val="annotation subject"/>
    <w:basedOn w:val="13"/>
    <w:next w:val="13"/>
    <w:link w:val="237"/>
    <w:semiHidden/>
    <w:unhideWhenUsed/>
    <w:qFormat/>
    <w:uiPriority w:val="99"/>
    <w:rPr>
      <w:b/>
      <w:bCs/>
    </w:rPr>
  </w:style>
  <w:style w:type="table" w:styleId="30">
    <w:name w:val="Table Grid"/>
    <w:basedOn w:val="2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qFormat/>
    <w:uiPriority w:val="22"/>
    <w:rPr>
      <w:b/>
      <w:bCs/>
    </w:rPr>
  </w:style>
  <w:style w:type="character" w:styleId="33">
    <w:name w:val="page number"/>
    <w:qFormat/>
    <w:uiPriority w:val="0"/>
    <w:rPr>
      <w:rFonts w:ascii="宋体" w:hAnsi="Times New Roman" w:eastAsia="宋体"/>
      <w:sz w:val="18"/>
    </w:rPr>
  </w:style>
  <w:style w:type="character" w:styleId="34">
    <w:name w:val="Emphasis"/>
    <w:qFormat/>
    <w:uiPriority w:val="20"/>
    <w:rPr>
      <w:i/>
      <w:iCs/>
    </w:rPr>
  </w:style>
  <w:style w:type="character" w:styleId="35">
    <w:name w:val="Hyperlink"/>
    <w:qFormat/>
    <w:uiPriority w:val="99"/>
    <w:rPr>
      <w:rFonts w:ascii="宋体" w:hAnsi="Times New Roman" w:eastAsia="宋体"/>
      <w:color w:val="auto"/>
      <w:spacing w:val="0"/>
      <w:w w:val="100"/>
      <w:position w:val="0"/>
      <w:sz w:val="21"/>
      <w:u w:val="none"/>
      <w:vertAlign w:val="baseline"/>
    </w:rPr>
  </w:style>
  <w:style w:type="character" w:styleId="36">
    <w:name w:val="annotation reference"/>
    <w:basedOn w:val="31"/>
    <w:semiHidden/>
    <w:unhideWhenUsed/>
    <w:uiPriority w:val="99"/>
    <w:rPr>
      <w:sz w:val="21"/>
      <w:szCs w:val="21"/>
    </w:rPr>
  </w:style>
  <w:style w:type="character" w:styleId="37">
    <w:name w:val="footnote reference"/>
    <w:semiHidden/>
    <w:qFormat/>
    <w:uiPriority w:val="0"/>
    <w:rPr>
      <w:rFonts w:ascii="宋体" w:hAnsi="宋体" w:eastAsia="宋体" w:cs="Times New Roman"/>
      <w:spacing w:val="0"/>
      <w:sz w:val="18"/>
      <w:vertAlign w:val="superscript"/>
    </w:rPr>
  </w:style>
  <w:style w:type="character" w:customStyle="1" w:styleId="38">
    <w:name w:val="标题 1 字符"/>
    <w:link w:val="2"/>
    <w:qFormat/>
    <w:uiPriority w:val="0"/>
    <w:rPr>
      <w:b/>
      <w:bCs/>
      <w:kern w:val="44"/>
      <w:sz w:val="44"/>
      <w:szCs w:val="44"/>
    </w:rPr>
  </w:style>
  <w:style w:type="character" w:customStyle="1" w:styleId="39">
    <w:name w:val="标题 2 字符"/>
    <w:link w:val="3"/>
    <w:qFormat/>
    <w:uiPriority w:val="0"/>
    <w:rPr>
      <w:rFonts w:ascii="Arial" w:hAnsi="Arial" w:eastAsia="黑体"/>
      <w:b/>
      <w:bCs/>
      <w:kern w:val="2"/>
      <w:sz w:val="32"/>
      <w:szCs w:val="32"/>
    </w:rPr>
  </w:style>
  <w:style w:type="character" w:customStyle="1" w:styleId="40">
    <w:name w:val="标题 3 字符"/>
    <w:link w:val="4"/>
    <w:qFormat/>
    <w:uiPriority w:val="0"/>
    <w:rPr>
      <w:b/>
      <w:bCs/>
      <w:kern w:val="2"/>
      <w:sz w:val="32"/>
      <w:szCs w:val="32"/>
    </w:rPr>
  </w:style>
  <w:style w:type="character" w:customStyle="1" w:styleId="41">
    <w:name w:val="标题 4 字符"/>
    <w:link w:val="5"/>
    <w:qFormat/>
    <w:uiPriority w:val="0"/>
    <w:rPr>
      <w:rFonts w:ascii="Arial" w:hAnsi="Arial" w:eastAsia="黑体"/>
      <w:b/>
      <w:bCs/>
      <w:kern w:val="2"/>
      <w:sz w:val="28"/>
      <w:szCs w:val="28"/>
    </w:rPr>
  </w:style>
  <w:style w:type="character" w:customStyle="1" w:styleId="42">
    <w:name w:val="标题 5 字符"/>
    <w:link w:val="6"/>
    <w:qFormat/>
    <w:uiPriority w:val="0"/>
    <w:rPr>
      <w:b/>
      <w:bCs/>
      <w:kern w:val="2"/>
      <w:sz w:val="28"/>
      <w:szCs w:val="28"/>
    </w:rPr>
  </w:style>
  <w:style w:type="character" w:customStyle="1" w:styleId="43">
    <w:name w:val="标题 6 字符"/>
    <w:link w:val="7"/>
    <w:qFormat/>
    <w:uiPriority w:val="0"/>
    <w:rPr>
      <w:rFonts w:ascii="Arial" w:hAnsi="Arial" w:eastAsia="黑体"/>
      <w:b/>
      <w:bCs/>
      <w:kern w:val="2"/>
      <w:sz w:val="24"/>
      <w:szCs w:val="24"/>
    </w:rPr>
  </w:style>
  <w:style w:type="character" w:customStyle="1" w:styleId="44">
    <w:name w:val="标题 7 字符"/>
    <w:link w:val="8"/>
    <w:qFormat/>
    <w:uiPriority w:val="0"/>
    <w:rPr>
      <w:b/>
      <w:bCs/>
      <w:kern w:val="2"/>
      <w:sz w:val="24"/>
      <w:szCs w:val="24"/>
    </w:rPr>
  </w:style>
  <w:style w:type="character" w:customStyle="1" w:styleId="45">
    <w:name w:val="标题 8 字符"/>
    <w:link w:val="9"/>
    <w:qFormat/>
    <w:uiPriority w:val="0"/>
    <w:rPr>
      <w:rFonts w:ascii="Arial" w:hAnsi="Arial" w:eastAsia="黑体"/>
      <w:kern w:val="2"/>
      <w:sz w:val="24"/>
      <w:szCs w:val="24"/>
    </w:rPr>
  </w:style>
  <w:style w:type="character" w:customStyle="1" w:styleId="46">
    <w:name w:val="标题 9 字符"/>
    <w:link w:val="10"/>
    <w:qFormat/>
    <w:uiPriority w:val="0"/>
    <w:rPr>
      <w:rFonts w:ascii="Arial" w:hAnsi="Arial" w:eastAsia="黑体"/>
      <w:kern w:val="2"/>
      <w:sz w:val="21"/>
      <w:szCs w:val="21"/>
    </w:rPr>
  </w:style>
  <w:style w:type="character" w:customStyle="1" w:styleId="47">
    <w:name w:val="页眉 字符"/>
    <w:link w:val="19"/>
    <w:qFormat/>
    <w:uiPriority w:val="99"/>
    <w:rPr>
      <w:kern w:val="2"/>
      <w:sz w:val="18"/>
      <w:szCs w:val="18"/>
    </w:rPr>
  </w:style>
  <w:style w:type="character" w:customStyle="1" w:styleId="48">
    <w:name w:val="页脚 字符"/>
    <w:link w:val="18"/>
    <w:qFormat/>
    <w:uiPriority w:val="99"/>
    <w:rPr>
      <w:rFonts w:ascii="宋体"/>
      <w:kern w:val="2"/>
      <w:sz w:val="18"/>
      <w:szCs w:val="18"/>
    </w:rPr>
  </w:style>
  <w:style w:type="character" w:customStyle="1" w:styleId="49">
    <w:name w:val="批注框文本 字符"/>
    <w:link w:val="17"/>
    <w:semiHidden/>
    <w:qFormat/>
    <w:uiPriority w:val="99"/>
    <w:rPr>
      <w:kern w:val="2"/>
      <w:sz w:val="18"/>
      <w:szCs w:val="18"/>
    </w:rPr>
  </w:style>
  <w:style w:type="paragraph" w:styleId="50">
    <w:name w:val="Quote"/>
    <w:basedOn w:val="1"/>
    <w:next w:val="1"/>
    <w:link w:val="51"/>
    <w:qFormat/>
    <w:uiPriority w:val="29"/>
    <w:rPr>
      <w:i/>
      <w:iCs/>
      <w:color w:val="000000"/>
    </w:rPr>
  </w:style>
  <w:style w:type="character" w:customStyle="1" w:styleId="51">
    <w:name w:val="引用 字符"/>
    <w:link w:val="50"/>
    <w:qFormat/>
    <w:uiPriority w:val="29"/>
    <w:rPr>
      <w:i/>
      <w:iCs/>
      <w:color w:val="000000"/>
      <w:kern w:val="2"/>
      <w:sz w:val="21"/>
      <w:szCs w:val="21"/>
    </w:rPr>
  </w:style>
  <w:style w:type="character" w:customStyle="1" w:styleId="52">
    <w:name w:val="标题 字符"/>
    <w:link w:val="27"/>
    <w:qFormat/>
    <w:uiPriority w:val="0"/>
    <w:rPr>
      <w:rFonts w:ascii="Arial" w:hAnsi="Arial" w:cs="Arial"/>
      <w:b/>
      <w:bCs/>
      <w:kern w:val="2"/>
      <w:sz w:val="32"/>
      <w:szCs w:val="32"/>
    </w:rPr>
  </w:style>
  <w:style w:type="paragraph" w:customStyle="1" w:styleId="53">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5">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7">
    <w:name w:val="标准书眉一"/>
    <w:qFormat/>
    <w:uiPriority w:val="0"/>
    <w:pPr>
      <w:jc w:val="both"/>
    </w:pPr>
    <w:rPr>
      <w:rFonts w:ascii="Times New Roman" w:hAnsi="Times New Roman" w:eastAsia="宋体" w:cs="Times New Roman"/>
      <w:lang w:val="en-US" w:eastAsia="zh-CN" w:bidi="ar-SA"/>
    </w:rPr>
  </w:style>
  <w:style w:type="paragraph" w:customStyle="1" w:styleId="58">
    <w:name w:val="标准文件_ICS"/>
    <w:basedOn w:val="1"/>
    <w:qFormat/>
    <w:uiPriority w:val="0"/>
    <w:pPr>
      <w:spacing w:line="0" w:lineRule="atLeast"/>
    </w:pPr>
    <w:rPr>
      <w:rFonts w:ascii="黑体" w:hAnsi="宋体" w:eastAsia="黑体"/>
    </w:rPr>
  </w:style>
  <w:style w:type="paragraph" w:customStyle="1" w:styleId="59">
    <w:name w:val="标准文件_标准正文"/>
    <w:basedOn w:val="1"/>
    <w:next w:val="60"/>
    <w:qFormat/>
    <w:uiPriority w:val="0"/>
    <w:pPr>
      <w:snapToGrid w:val="0"/>
      <w:ind w:firstLine="200" w:firstLineChars="200"/>
    </w:pPr>
    <w:rPr>
      <w:kern w:val="0"/>
    </w:rPr>
  </w:style>
  <w:style w:type="paragraph" w:customStyle="1" w:styleId="60">
    <w:name w:val="标准文件_段"/>
    <w:link w:val="188"/>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1">
    <w:name w:val="标准文件_版本"/>
    <w:basedOn w:val="59"/>
    <w:qFormat/>
    <w:uiPriority w:val="0"/>
    <w:pPr>
      <w:adjustRightInd/>
      <w:snapToGrid/>
      <w:ind w:firstLine="0" w:firstLineChars="0"/>
    </w:pPr>
    <w:rPr>
      <w:rFonts w:ascii="宋体" w:hAnsi="宋体"/>
      <w:kern w:val="2"/>
    </w:rPr>
  </w:style>
  <w:style w:type="paragraph" w:customStyle="1" w:styleId="62">
    <w:name w:val="标准文件_标准部门"/>
    <w:basedOn w:val="1"/>
    <w:qFormat/>
    <w:uiPriority w:val="0"/>
    <w:pPr>
      <w:jc w:val="center"/>
    </w:pPr>
    <w:rPr>
      <w:rFonts w:ascii="黑体" w:eastAsia="黑体"/>
      <w:kern w:val="0"/>
      <w:sz w:val="44"/>
    </w:rPr>
  </w:style>
  <w:style w:type="paragraph" w:customStyle="1" w:styleId="63">
    <w:name w:val="标准文件_标准代替"/>
    <w:basedOn w:val="1"/>
    <w:next w:val="1"/>
    <w:qFormat/>
    <w:uiPriority w:val="0"/>
    <w:pPr>
      <w:spacing w:line="310" w:lineRule="exact"/>
      <w:jc w:val="right"/>
    </w:pPr>
    <w:rPr>
      <w:rFonts w:ascii="宋体" w:hAnsi="宋体"/>
      <w:kern w:val="0"/>
    </w:rPr>
  </w:style>
  <w:style w:type="paragraph" w:customStyle="1" w:styleId="64">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5">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6">
    <w:name w:val="标准文件_页眉偶数页"/>
    <w:basedOn w:val="65"/>
    <w:next w:val="1"/>
    <w:qFormat/>
    <w:uiPriority w:val="0"/>
    <w:pPr>
      <w:jc w:val="left"/>
    </w:pPr>
  </w:style>
  <w:style w:type="paragraph" w:customStyle="1" w:styleId="67">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8">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9">
    <w:name w:val="标准文件_二级条标题"/>
    <w:next w:val="60"/>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70">
    <w:name w:val="标准文件_发布"/>
    <w:qFormat/>
    <w:uiPriority w:val="0"/>
    <w:rPr>
      <w:rFonts w:ascii="黑体" w:eastAsia="黑体"/>
      <w:spacing w:val="0"/>
      <w:w w:val="100"/>
      <w:position w:val="3"/>
      <w:sz w:val="28"/>
    </w:rPr>
  </w:style>
  <w:style w:type="paragraph" w:customStyle="1" w:styleId="71">
    <w:name w:val="标准文件_方框数字列项"/>
    <w:basedOn w:val="60"/>
    <w:qFormat/>
    <w:uiPriority w:val="0"/>
    <w:pPr>
      <w:numPr>
        <w:ilvl w:val="0"/>
        <w:numId w:val="3"/>
      </w:numPr>
      <w:ind w:firstLine="0" w:firstLineChars="0"/>
    </w:pPr>
  </w:style>
  <w:style w:type="paragraph" w:customStyle="1" w:styleId="72">
    <w:name w:val="标准文件_封面标准编号"/>
    <w:basedOn w:val="1"/>
    <w:next w:val="63"/>
    <w:qFormat/>
    <w:uiPriority w:val="0"/>
    <w:pPr>
      <w:spacing w:line="310" w:lineRule="exact"/>
      <w:jc w:val="right"/>
    </w:pPr>
    <w:rPr>
      <w:rFonts w:ascii="黑体" w:eastAsia="黑体"/>
      <w:kern w:val="0"/>
      <w:sz w:val="28"/>
    </w:rPr>
  </w:style>
  <w:style w:type="paragraph" w:customStyle="1" w:styleId="73">
    <w:name w:val="标准文件_封面标准分类号"/>
    <w:basedOn w:val="1"/>
    <w:qFormat/>
    <w:uiPriority w:val="0"/>
    <w:rPr>
      <w:rFonts w:ascii="黑体" w:eastAsia="黑体"/>
      <w:b/>
      <w:kern w:val="0"/>
      <w:sz w:val="28"/>
    </w:rPr>
  </w:style>
  <w:style w:type="paragraph" w:customStyle="1" w:styleId="74">
    <w:name w:val="标准文件_封面标准名称"/>
    <w:basedOn w:val="1"/>
    <w:qFormat/>
    <w:uiPriority w:val="0"/>
    <w:pPr>
      <w:spacing w:line="240" w:lineRule="auto"/>
      <w:jc w:val="center"/>
    </w:pPr>
    <w:rPr>
      <w:rFonts w:ascii="黑体" w:eastAsia="黑体"/>
      <w:kern w:val="0"/>
      <w:sz w:val="52"/>
    </w:rPr>
  </w:style>
  <w:style w:type="paragraph" w:customStyle="1" w:styleId="75">
    <w:name w:val="标准文件_封面标准英文名称"/>
    <w:basedOn w:val="1"/>
    <w:qFormat/>
    <w:uiPriority w:val="0"/>
    <w:pPr>
      <w:spacing w:line="240" w:lineRule="auto"/>
      <w:jc w:val="center"/>
    </w:pPr>
    <w:rPr>
      <w:rFonts w:ascii="黑体" w:eastAsia="黑体"/>
      <w:b/>
      <w:sz w:val="28"/>
    </w:rPr>
  </w:style>
  <w:style w:type="paragraph" w:customStyle="1" w:styleId="76">
    <w:name w:val="标准文件_封面发布日期"/>
    <w:basedOn w:val="1"/>
    <w:qFormat/>
    <w:uiPriority w:val="0"/>
    <w:pPr>
      <w:spacing w:line="310" w:lineRule="exact"/>
    </w:pPr>
    <w:rPr>
      <w:rFonts w:ascii="黑体" w:eastAsia="黑体"/>
      <w:kern w:val="0"/>
      <w:sz w:val="28"/>
    </w:rPr>
  </w:style>
  <w:style w:type="paragraph" w:customStyle="1" w:styleId="77">
    <w:name w:val="标准文件_封面密级"/>
    <w:basedOn w:val="1"/>
    <w:qFormat/>
    <w:uiPriority w:val="0"/>
    <w:rPr>
      <w:rFonts w:eastAsia="黑体"/>
      <w:sz w:val="32"/>
    </w:rPr>
  </w:style>
  <w:style w:type="paragraph" w:customStyle="1" w:styleId="78">
    <w:name w:val="标准文件_封面实施日期"/>
    <w:basedOn w:val="1"/>
    <w:qFormat/>
    <w:uiPriority w:val="0"/>
    <w:pPr>
      <w:spacing w:line="310" w:lineRule="exact"/>
      <w:jc w:val="right"/>
    </w:pPr>
    <w:rPr>
      <w:rFonts w:ascii="黑体" w:eastAsia="黑体"/>
      <w:sz w:val="28"/>
    </w:rPr>
  </w:style>
  <w:style w:type="paragraph" w:customStyle="1" w:styleId="79">
    <w:name w:val="标准文件_封面抬头"/>
    <w:basedOn w:val="60"/>
    <w:qFormat/>
    <w:uiPriority w:val="0"/>
    <w:pPr>
      <w:adjustRightInd w:val="0"/>
      <w:spacing w:line="800" w:lineRule="exact"/>
      <w:ind w:firstLine="0" w:firstLineChars="0"/>
      <w:jc w:val="distribute"/>
    </w:pPr>
    <w:rPr>
      <w:rFonts w:ascii="黑体" w:eastAsia="黑体"/>
      <w:b/>
      <w:sz w:val="64"/>
    </w:rPr>
  </w:style>
  <w:style w:type="paragraph" w:customStyle="1" w:styleId="80">
    <w:name w:val="标准文件_附录标识"/>
    <w:next w:val="60"/>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1">
    <w:name w:val="标准文件_附录表标题"/>
    <w:next w:val="60"/>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2">
    <w:name w:val="标准文件_附录一级条标题"/>
    <w:next w:val="60"/>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3">
    <w:name w:val="标准文件_附录二级条标题"/>
    <w:basedOn w:val="82"/>
    <w:next w:val="60"/>
    <w:qFormat/>
    <w:uiPriority w:val="0"/>
    <w:pPr>
      <w:widowControl/>
      <w:numPr>
        <w:ilvl w:val="2"/>
      </w:numPr>
      <w:wordWrap w:val="0"/>
      <w:overflowPunct w:val="0"/>
      <w:autoSpaceDE w:val="0"/>
      <w:autoSpaceDN w:val="0"/>
      <w:textAlignment w:val="baseline"/>
      <w:outlineLvl w:val="3"/>
    </w:pPr>
  </w:style>
  <w:style w:type="paragraph" w:customStyle="1" w:styleId="84">
    <w:name w:val="标准文件_附录公式"/>
    <w:basedOn w:val="59"/>
    <w:next w:val="59"/>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5">
    <w:name w:val="标准文件_附录三级条标题"/>
    <w:next w:val="60"/>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6">
    <w:name w:val="标准文件_附录四级条标题"/>
    <w:next w:val="60"/>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7">
    <w:name w:val="标准文件_附录图标题"/>
    <w:next w:val="60"/>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8">
    <w:name w:val="标准文件_附录五级条标题"/>
    <w:next w:val="60"/>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9">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0">
    <w:name w:val="正文文本 字符"/>
    <w:link w:val="14"/>
    <w:qFormat/>
    <w:uiPriority w:val="0"/>
    <w:rPr>
      <w:kern w:val="2"/>
      <w:sz w:val="21"/>
      <w:szCs w:val="21"/>
    </w:rPr>
  </w:style>
  <w:style w:type="paragraph" w:customStyle="1" w:styleId="91">
    <w:name w:val="标准文件_附录章标题"/>
    <w:next w:val="6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2">
    <w:name w:val="标准文件_公式后的破折号"/>
    <w:basedOn w:val="60"/>
    <w:next w:val="60"/>
    <w:qFormat/>
    <w:uiPriority w:val="0"/>
    <w:pPr>
      <w:ind w:left="488" w:leftChars="200" w:hanging="289" w:hangingChars="290"/>
    </w:pPr>
  </w:style>
  <w:style w:type="paragraph" w:customStyle="1" w:styleId="93">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4">
    <w:name w:val="标准文件_目次、标准名称标题"/>
    <w:basedOn w:val="93"/>
    <w:next w:val="60"/>
    <w:qFormat/>
    <w:uiPriority w:val="0"/>
    <w:pPr>
      <w:spacing w:line="460" w:lineRule="exact"/>
      <w:ind w:left="0" w:firstLine="0"/>
    </w:pPr>
  </w:style>
  <w:style w:type="paragraph" w:customStyle="1" w:styleId="95">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6">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7">
    <w:name w:val="标准文件_破折号列项（二级）"/>
    <w:basedOn w:val="96"/>
    <w:qFormat/>
    <w:uiPriority w:val="0"/>
    <w:pPr>
      <w:numPr>
        <w:numId w:val="10"/>
      </w:numPr>
    </w:pPr>
  </w:style>
  <w:style w:type="paragraph" w:customStyle="1" w:styleId="98">
    <w:name w:val="标准文件_三级条标题"/>
    <w:basedOn w:val="69"/>
    <w:next w:val="60"/>
    <w:qFormat/>
    <w:uiPriority w:val="0"/>
    <w:pPr>
      <w:widowControl/>
      <w:numPr>
        <w:ilvl w:val="4"/>
      </w:numPr>
      <w:outlineLvl w:val="3"/>
    </w:pPr>
  </w:style>
  <w:style w:type="character" w:customStyle="1" w:styleId="99">
    <w:name w:val="不明显参考1"/>
    <w:qFormat/>
    <w:uiPriority w:val="31"/>
    <w:rPr>
      <w:smallCaps/>
      <w:color w:val="C0504D"/>
      <w:u w:val="single"/>
    </w:rPr>
  </w:style>
  <w:style w:type="paragraph" w:customStyle="1" w:styleId="100">
    <w:name w:val="标准文件_示例后续"/>
    <w:basedOn w:val="1"/>
    <w:qFormat/>
    <w:uiPriority w:val="0"/>
    <w:pPr>
      <w:adjustRightInd/>
      <w:spacing w:line="240" w:lineRule="auto"/>
      <w:ind w:firstLine="200" w:firstLineChars="200"/>
    </w:pPr>
    <w:rPr>
      <w:sz w:val="18"/>
      <w:szCs w:val="24"/>
    </w:rPr>
  </w:style>
  <w:style w:type="paragraph" w:customStyle="1" w:styleId="101">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2">
    <w:name w:val="标准文件_四级条标题"/>
    <w:next w:val="60"/>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3">
    <w:name w:val="脚注文本 字符"/>
    <w:link w:val="22"/>
    <w:semiHidden/>
    <w:qFormat/>
    <w:uiPriority w:val="0"/>
    <w:rPr>
      <w:rFonts w:ascii="宋体"/>
      <w:kern w:val="2"/>
      <w:sz w:val="18"/>
      <w:szCs w:val="18"/>
    </w:rPr>
  </w:style>
  <w:style w:type="paragraph" w:customStyle="1" w:styleId="104">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5">
    <w:name w:val="标准文件_图表脚注"/>
    <w:basedOn w:val="1"/>
    <w:next w:val="60"/>
    <w:qFormat/>
    <w:uiPriority w:val="0"/>
    <w:pPr>
      <w:numPr>
        <w:ilvl w:val="0"/>
        <w:numId w:val="12"/>
      </w:numPr>
      <w:spacing w:line="240" w:lineRule="auto"/>
      <w:jc w:val="left"/>
    </w:pPr>
    <w:rPr>
      <w:rFonts w:ascii="宋体" w:hAnsi="宋体"/>
      <w:sz w:val="18"/>
    </w:rPr>
  </w:style>
  <w:style w:type="character" w:customStyle="1" w:styleId="106">
    <w:name w:val="标准文件_图表脚注内容"/>
    <w:qFormat/>
    <w:uiPriority w:val="0"/>
    <w:rPr>
      <w:rFonts w:ascii="宋体" w:hAnsi="宋体" w:eastAsia="宋体" w:cs="Times New Roman"/>
      <w:spacing w:val="0"/>
      <w:sz w:val="18"/>
      <w:vertAlign w:val="superscript"/>
    </w:rPr>
  </w:style>
  <w:style w:type="paragraph" w:customStyle="1" w:styleId="107">
    <w:name w:val="标准文件_五级条标题"/>
    <w:next w:val="60"/>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8">
    <w:name w:val="标准文件_章标题"/>
    <w:next w:val="60"/>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9">
    <w:name w:val="标准文件_一级条标题"/>
    <w:basedOn w:val="108"/>
    <w:next w:val="60"/>
    <w:qFormat/>
    <w:uiPriority w:val="0"/>
    <w:pPr>
      <w:numPr>
        <w:ilvl w:val="2"/>
      </w:numPr>
      <w:spacing w:before="50" w:beforeLines="50" w:after="50" w:afterLines="50"/>
      <w:outlineLvl w:val="1"/>
    </w:pPr>
  </w:style>
  <w:style w:type="paragraph" w:customStyle="1" w:styleId="110">
    <w:name w:val="标准文件_一致程度"/>
    <w:basedOn w:val="1"/>
    <w:qFormat/>
    <w:uiPriority w:val="0"/>
    <w:pPr>
      <w:spacing w:line="440" w:lineRule="exact"/>
      <w:jc w:val="center"/>
    </w:pPr>
    <w:rPr>
      <w:sz w:val="28"/>
    </w:rPr>
  </w:style>
  <w:style w:type="paragraph" w:customStyle="1" w:styleId="111">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2">
    <w:name w:val="标准文件_英文图表脚注"/>
    <w:basedOn w:val="59"/>
    <w:qFormat/>
    <w:uiPriority w:val="0"/>
    <w:pPr>
      <w:widowControl/>
      <w:adjustRightInd/>
      <w:snapToGrid/>
      <w:spacing w:line="240" w:lineRule="auto"/>
      <w:ind w:left="79" w:hanging="79" w:hangingChars="80"/>
    </w:pPr>
    <w:rPr>
      <w:rFonts w:ascii="宋体" w:hAnsi="宋体"/>
    </w:rPr>
  </w:style>
  <w:style w:type="paragraph" w:customStyle="1" w:styleId="113">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4">
    <w:name w:val="标准文件_英文注："/>
    <w:basedOn w:val="1"/>
    <w:next w:val="6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5">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6">
    <w:name w:val="标准文件_正文表标题"/>
    <w:next w:val="60"/>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公式"/>
    <w:basedOn w:val="1"/>
    <w:next w:val="59"/>
    <w:qFormat/>
    <w:uiPriority w:val="0"/>
    <w:pPr>
      <w:tabs>
        <w:tab w:val="center" w:pos="4678"/>
        <w:tab w:val="right" w:leader="middleDot" w:pos="9356"/>
      </w:tabs>
      <w:spacing w:line="240" w:lineRule="auto"/>
    </w:pPr>
    <w:rPr>
      <w:rFonts w:ascii="宋体" w:hAnsi="宋体"/>
    </w:rPr>
  </w:style>
  <w:style w:type="paragraph" w:customStyle="1" w:styleId="118">
    <w:name w:val="标准文件_正文图标题"/>
    <w:next w:val="60"/>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英文表标题"/>
    <w:next w:val="60"/>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0">
    <w:name w:val="标准文件_正文英文图标题"/>
    <w:next w:val="60"/>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1">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2">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3">
    <w:name w:val="发布部门"/>
    <w:next w:val="60"/>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5">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7">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8">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9">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0">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1">
    <w:name w:val="封面正文"/>
    <w:qFormat/>
    <w:uiPriority w:val="0"/>
    <w:pPr>
      <w:jc w:val="both"/>
    </w:pPr>
    <w:rPr>
      <w:rFonts w:ascii="Times New Roman" w:hAnsi="Times New Roman" w:eastAsia="宋体" w:cs="Times New Roman"/>
      <w:lang w:val="en-US" w:eastAsia="zh-CN" w:bidi="ar-SA"/>
    </w:rPr>
  </w:style>
  <w:style w:type="paragraph" w:customStyle="1" w:styleId="132">
    <w:name w:val="附录二级无标题条"/>
    <w:basedOn w:val="1"/>
    <w:next w:val="60"/>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3">
    <w:name w:val="附录三级无标题条"/>
    <w:basedOn w:val="132"/>
    <w:next w:val="60"/>
    <w:qFormat/>
    <w:uiPriority w:val="0"/>
    <w:pPr>
      <w:outlineLvl w:val="4"/>
    </w:pPr>
  </w:style>
  <w:style w:type="paragraph" w:customStyle="1" w:styleId="134">
    <w:name w:val="附录四级无标题条"/>
    <w:basedOn w:val="133"/>
    <w:next w:val="60"/>
    <w:qFormat/>
    <w:uiPriority w:val="0"/>
    <w:pPr>
      <w:outlineLvl w:val="5"/>
    </w:pPr>
  </w:style>
  <w:style w:type="paragraph" w:customStyle="1" w:styleId="135">
    <w:name w:val="附录图"/>
    <w:next w:val="60"/>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6">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7">
    <w:name w:val="附录五级无标题条"/>
    <w:basedOn w:val="134"/>
    <w:next w:val="60"/>
    <w:qFormat/>
    <w:uiPriority w:val="0"/>
    <w:pPr>
      <w:outlineLvl w:val="6"/>
    </w:pPr>
  </w:style>
  <w:style w:type="paragraph" w:customStyle="1" w:styleId="138">
    <w:name w:val="附录性质"/>
    <w:basedOn w:val="1"/>
    <w:qFormat/>
    <w:uiPriority w:val="0"/>
    <w:pPr>
      <w:widowControl/>
      <w:adjustRightInd/>
      <w:jc w:val="center"/>
    </w:pPr>
    <w:rPr>
      <w:rFonts w:ascii="黑体" w:eastAsia="黑体"/>
    </w:rPr>
  </w:style>
  <w:style w:type="paragraph" w:customStyle="1" w:styleId="139">
    <w:name w:val="附录一级无标题条"/>
    <w:basedOn w:val="91"/>
    <w:next w:val="60"/>
    <w:qFormat/>
    <w:uiPriority w:val="0"/>
    <w:pPr>
      <w:autoSpaceDN w:val="0"/>
      <w:outlineLvl w:val="2"/>
    </w:pPr>
    <w:rPr>
      <w:rFonts w:ascii="宋体" w:hAnsi="宋体" w:eastAsia="宋体"/>
    </w:rPr>
  </w:style>
  <w:style w:type="character" w:customStyle="1" w:styleId="140">
    <w:name w:val="个人答复风格"/>
    <w:qFormat/>
    <w:uiPriority w:val="0"/>
    <w:rPr>
      <w:rFonts w:ascii="Arial" w:hAnsi="Arial" w:eastAsia="宋体" w:cs="Arial"/>
      <w:color w:val="auto"/>
      <w:spacing w:val="0"/>
      <w:sz w:val="20"/>
    </w:rPr>
  </w:style>
  <w:style w:type="character" w:customStyle="1" w:styleId="141">
    <w:name w:val="个人撰写风格"/>
    <w:qFormat/>
    <w:uiPriority w:val="0"/>
    <w:rPr>
      <w:rFonts w:ascii="Arial" w:hAnsi="Arial" w:eastAsia="宋体" w:cs="Arial"/>
      <w:color w:val="auto"/>
      <w:spacing w:val="0"/>
      <w:sz w:val="20"/>
    </w:rPr>
  </w:style>
  <w:style w:type="paragraph" w:customStyle="1" w:styleId="142">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3">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4">
    <w:name w:val="列项·"/>
    <w:basedOn w:val="60"/>
    <w:qFormat/>
    <w:uiPriority w:val="0"/>
    <w:pPr>
      <w:tabs>
        <w:tab w:val="left" w:pos="840"/>
      </w:tabs>
    </w:pPr>
  </w:style>
  <w:style w:type="paragraph" w:customStyle="1" w:styleId="14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6">
    <w:name w:val="目录 21"/>
    <w:basedOn w:val="1"/>
    <w:next w:val="1"/>
    <w:autoRedefine/>
    <w:semiHidden/>
    <w:qFormat/>
    <w:uiPriority w:val="0"/>
    <w:pPr>
      <w:adjustRightInd/>
      <w:spacing w:line="240" w:lineRule="auto"/>
      <w:jc w:val="left"/>
    </w:pPr>
    <w:rPr>
      <w:bCs/>
      <w:iCs/>
    </w:rPr>
  </w:style>
  <w:style w:type="paragraph" w:customStyle="1" w:styleId="147">
    <w:name w:val="目录 31"/>
    <w:basedOn w:val="1"/>
    <w:next w:val="1"/>
    <w:autoRedefine/>
    <w:semiHidden/>
    <w:qFormat/>
    <w:uiPriority w:val="0"/>
    <w:pPr>
      <w:spacing w:line="240" w:lineRule="auto"/>
    </w:pPr>
    <w:rPr>
      <w:rFonts w:ascii="宋体" w:hAnsi="宋体"/>
      <w:iCs/>
    </w:rPr>
  </w:style>
  <w:style w:type="paragraph" w:customStyle="1" w:styleId="148">
    <w:name w:val="目录 41"/>
    <w:basedOn w:val="1"/>
    <w:next w:val="1"/>
    <w:autoRedefine/>
    <w:semiHidden/>
    <w:qFormat/>
    <w:uiPriority w:val="0"/>
    <w:pPr>
      <w:adjustRightInd/>
      <w:spacing w:line="240" w:lineRule="auto"/>
      <w:jc w:val="left"/>
    </w:pPr>
  </w:style>
  <w:style w:type="paragraph" w:customStyle="1" w:styleId="149">
    <w:name w:val="目录 51"/>
    <w:basedOn w:val="1"/>
    <w:next w:val="1"/>
    <w:autoRedefine/>
    <w:semiHidden/>
    <w:qFormat/>
    <w:uiPriority w:val="0"/>
    <w:pPr>
      <w:spacing w:line="240" w:lineRule="auto"/>
    </w:pPr>
    <w:rPr>
      <w:rFonts w:ascii="宋体" w:hAnsi="宋体"/>
    </w:rPr>
  </w:style>
  <w:style w:type="paragraph" w:customStyle="1" w:styleId="150">
    <w:name w:val="目录 61"/>
    <w:basedOn w:val="1"/>
    <w:next w:val="1"/>
    <w:autoRedefine/>
    <w:semiHidden/>
    <w:qFormat/>
    <w:uiPriority w:val="0"/>
    <w:pPr>
      <w:adjustRightInd/>
      <w:spacing w:line="240" w:lineRule="auto"/>
      <w:jc w:val="left"/>
    </w:pPr>
  </w:style>
  <w:style w:type="paragraph" w:customStyle="1" w:styleId="151">
    <w:name w:val="目录 71"/>
    <w:basedOn w:val="150"/>
    <w:autoRedefine/>
    <w:semiHidden/>
    <w:qFormat/>
    <w:uiPriority w:val="0"/>
    <w:pPr>
      <w:ind w:left="1260"/>
    </w:pPr>
  </w:style>
  <w:style w:type="paragraph" w:customStyle="1" w:styleId="152">
    <w:name w:val="目录 81"/>
    <w:basedOn w:val="151"/>
    <w:autoRedefine/>
    <w:semiHidden/>
    <w:qFormat/>
    <w:uiPriority w:val="0"/>
    <w:pPr>
      <w:ind w:left="1470"/>
    </w:pPr>
  </w:style>
  <w:style w:type="paragraph" w:customStyle="1" w:styleId="153">
    <w:name w:val="目录 91"/>
    <w:basedOn w:val="152"/>
    <w:autoRedefine/>
    <w:semiHidden/>
    <w:qFormat/>
    <w:uiPriority w:val="0"/>
    <w:pPr>
      <w:ind w:left="1680"/>
    </w:pPr>
  </w:style>
  <w:style w:type="paragraph" w:customStyle="1" w:styleId="154">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5">
    <w:name w:val="其他发布部门"/>
    <w:basedOn w:val="123"/>
    <w:qFormat/>
    <w:uiPriority w:val="0"/>
    <w:pPr>
      <w:framePr w:wrap="around"/>
      <w:spacing w:line="0" w:lineRule="atLeast"/>
    </w:pPr>
    <w:rPr>
      <w:rFonts w:ascii="黑体" w:eastAsia="黑体"/>
      <w:b w:val="0"/>
    </w:rPr>
  </w:style>
  <w:style w:type="paragraph" w:customStyle="1" w:styleId="156">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7">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8">
    <w:name w:val="实施日期"/>
    <w:basedOn w:val="124"/>
    <w:qFormat/>
    <w:uiPriority w:val="0"/>
    <w:pPr>
      <w:framePr w:hSpace="0" w:wrap="around" w:xAlign="right"/>
      <w:jc w:val="right"/>
    </w:pPr>
  </w:style>
  <w:style w:type="paragraph" w:customStyle="1" w:styleId="159">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0">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1">
    <w:name w:val="无标题条"/>
    <w:next w:val="60"/>
    <w:qFormat/>
    <w:uiPriority w:val="0"/>
    <w:pPr>
      <w:jc w:val="both"/>
    </w:pPr>
    <w:rPr>
      <w:rFonts w:ascii="宋体" w:hAnsi="宋体" w:eastAsia="宋体" w:cs="Times New Roman"/>
      <w:sz w:val="21"/>
      <w:lang w:val="en-US" w:eastAsia="zh-CN" w:bidi="ar-SA"/>
    </w:rPr>
  </w:style>
  <w:style w:type="paragraph" w:customStyle="1" w:styleId="162">
    <w:name w:val="五级无标题条"/>
    <w:basedOn w:val="1"/>
    <w:qFormat/>
    <w:uiPriority w:val="0"/>
    <w:pPr>
      <w:numPr>
        <w:ilvl w:val="6"/>
        <w:numId w:val="20"/>
      </w:numPr>
      <w:adjustRightInd/>
    </w:pPr>
    <w:rPr>
      <w:szCs w:val="24"/>
    </w:rPr>
  </w:style>
  <w:style w:type="paragraph" w:customStyle="1" w:styleId="163">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4">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5">
    <w:name w:val="注×:后续"/>
    <w:basedOn w:val="164"/>
    <w:qFormat/>
    <w:uiPriority w:val="0"/>
    <w:pPr>
      <w:ind w:left="1406" w:leftChars="0" w:hanging="499" w:firstLineChars="0"/>
    </w:pPr>
  </w:style>
  <w:style w:type="paragraph" w:customStyle="1" w:styleId="166">
    <w:name w:val="标准文件_一级无标题"/>
    <w:basedOn w:val="109"/>
    <w:qFormat/>
    <w:uiPriority w:val="0"/>
    <w:pPr>
      <w:spacing w:before="0" w:beforeLines="0" w:after="0" w:afterLines="0"/>
      <w:outlineLvl w:val="9"/>
    </w:pPr>
    <w:rPr>
      <w:rFonts w:ascii="宋体" w:eastAsia="宋体"/>
    </w:rPr>
  </w:style>
  <w:style w:type="paragraph" w:customStyle="1" w:styleId="167">
    <w:name w:val="标准文件_五级无标题"/>
    <w:basedOn w:val="107"/>
    <w:qFormat/>
    <w:uiPriority w:val="0"/>
    <w:pPr>
      <w:spacing w:before="0" w:beforeLines="0" w:after="0" w:afterLines="0"/>
      <w:outlineLvl w:val="9"/>
    </w:pPr>
    <w:rPr>
      <w:rFonts w:ascii="宋体" w:eastAsia="宋体"/>
    </w:rPr>
  </w:style>
  <w:style w:type="paragraph" w:customStyle="1" w:styleId="168">
    <w:name w:val="标准文件_三级无标题"/>
    <w:basedOn w:val="98"/>
    <w:qFormat/>
    <w:uiPriority w:val="0"/>
    <w:pPr>
      <w:spacing w:before="0" w:beforeLines="0" w:after="0" w:afterLines="0"/>
      <w:outlineLvl w:val="9"/>
    </w:pPr>
    <w:rPr>
      <w:rFonts w:ascii="宋体" w:eastAsia="宋体"/>
    </w:rPr>
  </w:style>
  <w:style w:type="paragraph" w:customStyle="1" w:styleId="169">
    <w:name w:val="标准文件_二级无标题"/>
    <w:basedOn w:val="69"/>
    <w:qFormat/>
    <w:uiPriority w:val="0"/>
    <w:pPr>
      <w:spacing w:before="0" w:beforeLines="0" w:after="0" w:afterLines="0"/>
      <w:outlineLvl w:val="9"/>
    </w:pPr>
    <w:rPr>
      <w:rFonts w:ascii="宋体" w:eastAsia="宋体"/>
    </w:rPr>
  </w:style>
  <w:style w:type="paragraph" w:customStyle="1" w:styleId="170">
    <w:name w:val="标准_四级无标题"/>
    <w:basedOn w:val="102"/>
    <w:next w:val="60"/>
    <w:qFormat/>
    <w:uiPriority w:val="0"/>
    <w:rPr>
      <w:rFonts w:eastAsia="宋体"/>
    </w:rPr>
  </w:style>
  <w:style w:type="paragraph" w:customStyle="1" w:styleId="171">
    <w:name w:val="标准文件_四级无标题"/>
    <w:basedOn w:val="102"/>
    <w:qFormat/>
    <w:uiPriority w:val="0"/>
    <w:pPr>
      <w:spacing w:before="0" w:beforeLines="0" w:after="0" w:afterLines="0"/>
      <w:outlineLvl w:val="9"/>
    </w:pPr>
    <w:rPr>
      <w:rFonts w:ascii="宋体" w:hAnsi="黑体" w:eastAsia="宋体"/>
      <w:szCs w:val="52"/>
    </w:rPr>
  </w:style>
  <w:style w:type="paragraph" w:customStyle="1" w:styleId="172">
    <w:name w:val="标准文件_大写罗马数字编号列项"/>
    <w:basedOn w:val="60"/>
    <w:qFormat/>
    <w:uiPriority w:val="0"/>
    <w:pPr>
      <w:numPr>
        <w:ilvl w:val="0"/>
        <w:numId w:val="23"/>
      </w:numPr>
      <w:ind w:firstLine="0" w:firstLineChars="0"/>
    </w:pPr>
    <w:rPr>
      <w:rFonts w:cs="Arial"/>
      <w:szCs w:val="28"/>
    </w:rPr>
  </w:style>
  <w:style w:type="paragraph" w:customStyle="1" w:styleId="173">
    <w:name w:val="标准文件_小写罗马数字编号列项"/>
    <w:basedOn w:val="60"/>
    <w:qFormat/>
    <w:uiPriority w:val="0"/>
    <w:pPr>
      <w:numPr>
        <w:ilvl w:val="0"/>
        <w:numId w:val="24"/>
      </w:numPr>
      <w:ind w:firstLine="0" w:firstLineChars="0"/>
    </w:pPr>
    <w:rPr>
      <w:rFonts w:cs="Arial"/>
      <w:szCs w:val="28"/>
    </w:rPr>
  </w:style>
  <w:style w:type="paragraph" w:customStyle="1" w:styleId="174">
    <w:name w:val="标准文件_附录标题"/>
    <w:basedOn w:val="80"/>
    <w:qFormat/>
    <w:uiPriority w:val="0"/>
    <w:pPr>
      <w:numPr>
        <w:numId w:val="0"/>
      </w:numPr>
      <w:spacing w:after="280"/>
      <w:outlineLvl w:val="9"/>
    </w:pPr>
  </w:style>
  <w:style w:type="paragraph" w:customStyle="1" w:styleId="175">
    <w:name w:val="标准文件_二级项"/>
    <w:qFormat/>
    <w:uiPriority w:val="0"/>
    <w:rPr>
      <w:rFonts w:ascii="宋体" w:hAnsi="Times New Roman" w:eastAsia="宋体" w:cs="Times New Roman"/>
      <w:sz w:val="21"/>
      <w:lang w:val="en-US" w:eastAsia="zh-CN" w:bidi="ar-SA"/>
    </w:rPr>
  </w:style>
  <w:style w:type="paragraph" w:customStyle="1" w:styleId="176">
    <w:name w:val="标准文件_三级项"/>
    <w:basedOn w:val="1"/>
    <w:qFormat/>
    <w:uiPriority w:val="0"/>
    <w:pPr>
      <w:numPr>
        <w:ilvl w:val="2"/>
        <w:numId w:val="21"/>
      </w:numPr>
      <w:spacing w:line="536870612" w:lineRule="auto"/>
    </w:pPr>
    <w:rPr>
      <w:rFonts w:ascii="Times New Roman" w:hAnsi="Times New Roman"/>
    </w:rPr>
  </w:style>
  <w:style w:type="paragraph" w:customStyle="1" w:styleId="177">
    <w:name w:val="图表脚注说明"/>
    <w:basedOn w:val="1"/>
    <w:next w:val="60"/>
    <w:qFormat/>
    <w:uiPriority w:val="0"/>
    <w:pPr>
      <w:numPr>
        <w:ilvl w:val="0"/>
        <w:numId w:val="25"/>
      </w:numPr>
      <w:adjustRightInd/>
      <w:spacing w:line="240" w:lineRule="auto"/>
    </w:pPr>
    <w:rPr>
      <w:rFonts w:ascii="宋体" w:hAnsi="Times New Roman"/>
      <w:sz w:val="18"/>
      <w:szCs w:val="18"/>
    </w:rPr>
  </w:style>
  <w:style w:type="paragraph" w:customStyle="1" w:styleId="178">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9">
    <w:name w:val="标准文件_索引字母"/>
    <w:next w:val="60"/>
    <w:qFormat/>
    <w:uiPriority w:val="0"/>
    <w:pPr>
      <w:jc w:val="center"/>
    </w:pPr>
    <w:rPr>
      <w:rFonts w:ascii="宋体" w:hAnsi="宋体" w:eastAsia="Times New Roman" w:cs="Times New Roman"/>
      <w:b/>
      <w:kern w:val="2"/>
      <w:sz w:val="21"/>
      <w:lang w:val="en-US" w:eastAsia="zh-CN" w:bidi="ar-SA"/>
    </w:rPr>
  </w:style>
  <w:style w:type="paragraph" w:customStyle="1" w:styleId="180">
    <w:name w:val="标准文件_附录前"/>
    <w:next w:val="6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1">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2">
    <w:name w:val="标准文件_表格"/>
    <w:basedOn w:val="60"/>
    <w:qFormat/>
    <w:uiPriority w:val="0"/>
    <w:pPr>
      <w:ind w:firstLine="0" w:firstLineChars="0"/>
      <w:jc w:val="center"/>
    </w:pPr>
    <w:rPr>
      <w:sz w:val="18"/>
    </w:rPr>
  </w:style>
  <w:style w:type="paragraph" w:customStyle="1" w:styleId="183">
    <w:name w:val="标准文件_注："/>
    <w:next w:val="60"/>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示例："/>
    <w:next w:val="186"/>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6">
    <w:name w:val="标准文件_示例内容"/>
    <w:basedOn w:val="60"/>
    <w:qFormat/>
    <w:uiPriority w:val="0"/>
    <w:pPr>
      <w:ind w:firstLine="420"/>
    </w:pPr>
    <w:rPr>
      <w:sz w:val="18"/>
    </w:rPr>
  </w:style>
  <w:style w:type="paragraph" w:customStyle="1" w:styleId="187">
    <w:name w:val="标准文件_示例×："/>
    <w:basedOn w:val="1"/>
    <w:next w:val="186"/>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8">
    <w:name w:val="标准文件_段 Char"/>
    <w:link w:val="60"/>
    <w:qFormat/>
    <w:uiPriority w:val="0"/>
    <w:rPr>
      <w:rFonts w:ascii="Times New Roman" w:hAnsi="Times New Roman"/>
      <w:sz w:val="21"/>
    </w:rPr>
  </w:style>
  <w:style w:type="paragraph" w:customStyle="1" w:styleId="189">
    <w:name w:val="标准文件_表格续"/>
    <w:basedOn w:val="60"/>
    <w:next w:val="60"/>
    <w:qFormat/>
    <w:uiPriority w:val="0"/>
    <w:pPr>
      <w:jc w:val="center"/>
    </w:pPr>
    <w:rPr>
      <w:rFonts w:ascii="黑体" w:hAnsi="黑体" w:eastAsia="黑体"/>
    </w:rPr>
  </w:style>
  <w:style w:type="character" w:styleId="190">
    <w:name w:val="Placeholder Text"/>
    <w:basedOn w:val="31"/>
    <w:semiHidden/>
    <w:qFormat/>
    <w:uiPriority w:val="99"/>
    <w:rPr>
      <w:color w:val="808080"/>
    </w:rPr>
  </w:style>
  <w:style w:type="paragraph" w:customStyle="1" w:styleId="191">
    <w:name w:val="标准文件_二级项2"/>
    <w:basedOn w:val="60"/>
    <w:qFormat/>
    <w:uiPriority w:val="0"/>
    <w:pPr>
      <w:numPr>
        <w:ilvl w:val="1"/>
        <w:numId w:val="21"/>
      </w:numPr>
      <w:ind w:firstLine="0" w:firstLineChars="0"/>
    </w:pPr>
  </w:style>
  <w:style w:type="paragraph" w:customStyle="1" w:styleId="192">
    <w:name w:val="标准文件_三级项2"/>
    <w:basedOn w:val="60"/>
    <w:qFormat/>
    <w:uiPriority w:val="0"/>
    <w:pPr>
      <w:numPr>
        <w:ilvl w:val="0"/>
        <w:numId w:val="30"/>
      </w:numPr>
      <w:spacing w:line="300" w:lineRule="exact"/>
      <w:ind w:firstLineChars="0"/>
    </w:pPr>
  </w:style>
  <w:style w:type="paragraph" w:customStyle="1" w:styleId="193">
    <w:name w:val="标准文件_一级项2"/>
    <w:basedOn w:val="60"/>
    <w:qFormat/>
    <w:uiPriority w:val="0"/>
    <w:pPr>
      <w:numPr>
        <w:ilvl w:val="0"/>
        <w:numId w:val="31"/>
      </w:numPr>
      <w:spacing w:line="300" w:lineRule="exact"/>
      <w:ind w:firstLineChars="0"/>
    </w:pPr>
  </w:style>
  <w:style w:type="paragraph" w:customStyle="1" w:styleId="194">
    <w:name w:val="标准文件_提示"/>
    <w:basedOn w:val="60"/>
    <w:next w:val="60"/>
    <w:qFormat/>
    <w:uiPriority w:val="0"/>
    <w:pPr>
      <w:ind w:firstLine="420"/>
    </w:pPr>
    <w:rPr>
      <w:rFonts w:ascii="黑体" w:eastAsia="黑体"/>
    </w:rPr>
  </w:style>
  <w:style w:type="character" w:customStyle="1" w:styleId="195">
    <w:name w:val="标准文件_来源"/>
    <w:basedOn w:val="31"/>
    <w:qFormat/>
    <w:uiPriority w:val="1"/>
    <w:rPr>
      <w:rFonts w:eastAsia="宋体"/>
      <w:sz w:val="21"/>
    </w:rPr>
  </w:style>
  <w:style w:type="paragraph" w:customStyle="1" w:styleId="19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7">
    <w:name w:val="其他发布日期"/>
    <w:basedOn w:val="124"/>
    <w:qFormat/>
    <w:uiPriority w:val="0"/>
    <w:pPr>
      <w:framePr w:w="3997" w:h="471" w:hRule="exact" w:hSpace="0" w:vSpace="181" w:wrap="around" w:vAnchor="page" w:hAnchor="page" w:x="1419" w:y="14097"/>
    </w:pPr>
  </w:style>
  <w:style w:type="paragraph" w:customStyle="1" w:styleId="198">
    <w:name w:val="其他实施日期"/>
    <w:basedOn w:val="158"/>
    <w:qFormat/>
    <w:uiPriority w:val="0"/>
    <w:pPr>
      <w:framePr w:w="3997" w:h="471" w:hRule="exact" w:vSpace="181" w:wrap="around" w:vAnchor="page" w:hAnchor="page" w:x="7089" w:y="14097"/>
    </w:pPr>
  </w:style>
  <w:style w:type="paragraph" w:customStyle="1" w:styleId="199">
    <w:name w:val="标准文件_文件编号"/>
    <w:basedOn w:val="60"/>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0">
    <w:name w:val="标准文件_替换文件编号"/>
    <w:basedOn w:val="199"/>
    <w:qFormat/>
    <w:uiPriority w:val="0"/>
    <w:pPr>
      <w:framePr/>
      <w:spacing w:before="57"/>
    </w:pPr>
    <w:rPr>
      <w:sz w:val="21"/>
    </w:rPr>
  </w:style>
  <w:style w:type="paragraph" w:customStyle="1" w:styleId="201">
    <w:name w:val="标准文件_文件名称"/>
    <w:basedOn w:val="60"/>
    <w:next w:val="60"/>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2">
    <w:name w:val="标准文件_附录图标号"/>
    <w:basedOn w:val="60"/>
    <w:next w:val="60"/>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3">
    <w:name w:val="标准文件_附录表标号"/>
    <w:basedOn w:val="60"/>
    <w:next w:val="60"/>
    <w:qFormat/>
    <w:uiPriority w:val="0"/>
    <w:pPr>
      <w:numPr>
        <w:ilvl w:val="0"/>
        <w:numId w:val="5"/>
      </w:numPr>
      <w:spacing w:line="14" w:lineRule="exact"/>
      <w:ind w:firstLine="0" w:firstLineChars="0"/>
      <w:jc w:val="center"/>
    </w:pPr>
    <w:rPr>
      <w:rFonts w:eastAsia="黑体"/>
      <w:vanish/>
      <w:sz w:val="2"/>
    </w:rPr>
  </w:style>
  <w:style w:type="paragraph" w:customStyle="1" w:styleId="204">
    <w:name w:val="标准文件_引言一级条标题"/>
    <w:basedOn w:val="60"/>
    <w:next w:val="60"/>
    <w:qFormat/>
    <w:uiPriority w:val="0"/>
    <w:pPr>
      <w:numPr>
        <w:ilvl w:val="1"/>
        <w:numId w:val="8"/>
      </w:numPr>
      <w:spacing w:before="50" w:beforeLines="50" w:after="50" w:afterLines="50"/>
      <w:ind w:firstLineChars="0"/>
    </w:pPr>
    <w:rPr>
      <w:rFonts w:ascii="黑体" w:eastAsia="黑体"/>
    </w:rPr>
  </w:style>
  <w:style w:type="paragraph" w:customStyle="1" w:styleId="205">
    <w:name w:val="标准文件_引言二级条标题"/>
    <w:basedOn w:val="60"/>
    <w:next w:val="60"/>
    <w:qFormat/>
    <w:uiPriority w:val="0"/>
    <w:pPr>
      <w:numPr>
        <w:ilvl w:val="2"/>
        <w:numId w:val="8"/>
      </w:numPr>
      <w:spacing w:before="50" w:beforeLines="50" w:after="50" w:afterLines="50"/>
      <w:ind w:firstLineChars="0"/>
    </w:pPr>
    <w:rPr>
      <w:rFonts w:ascii="黑体" w:eastAsia="黑体"/>
    </w:rPr>
  </w:style>
  <w:style w:type="paragraph" w:customStyle="1" w:styleId="206">
    <w:name w:val="标准文件_引言三级条标题"/>
    <w:basedOn w:val="60"/>
    <w:next w:val="60"/>
    <w:qFormat/>
    <w:uiPriority w:val="0"/>
    <w:pPr>
      <w:numPr>
        <w:ilvl w:val="3"/>
        <w:numId w:val="8"/>
      </w:numPr>
      <w:spacing w:before="50" w:beforeLines="50" w:after="50" w:afterLines="50"/>
      <w:ind w:firstLineChars="0"/>
    </w:pPr>
    <w:rPr>
      <w:rFonts w:ascii="黑体" w:eastAsia="黑体"/>
    </w:rPr>
  </w:style>
  <w:style w:type="paragraph" w:customStyle="1" w:styleId="207">
    <w:name w:val="标准文件_引言四级条标题"/>
    <w:basedOn w:val="60"/>
    <w:next w:val="60"/>
    <w:qFormat/>
    <w:uiPriority w:val="0"/>
    <w:pPr>
      <w:numPr>
        <w:ilvl w:val="4"/>
        <w:numId w:val="8"/>
      </w:numPr>
      <w:spacing w:before="50" w:beforeLines="50" w:after="50" w:afterLines="50"/>
      <w:ind w:firstLineChars="0"/>
    </w:pPr>
    <w:rPr>
      <w:rFonts w:ascii="黑体" w:eastAsia="黑体"/>
    </w:rPr>
  </w:style>
  <w:style w:type="paragraph" w:customStyle="1" w:styleId="208">
    <w:name w:val="标准文件_引言五级条标题"/>
    <w:basedOn w:val="60"/>
    <w:next w:val="60"/>
    <w:qFormat/>
    <w:uiPriority w:val="0"/>
    <w:pPr>
      <w:numPr>
        <w:ilvl w:val="5"/>
        <w:numId w:val="8"/>
      </w:numPr>
      <w:spacing w:before="50" w:beforeLines="50" w:after="50" w:afterLines="50"/>
      <w:ind w:firstLineChars="0"/>
    </w:pPr>
    <w:rPr>
      <w:rFonts w:ascii="黑体" w:eastAsia="黑体"/>
    </w:rPr>
  </w:style>
  <w:style w:type="paragraph" w:customStyle="1" w:styleId="209">
    <w:name w:val="标准文件_注后"/>
    <w:basedOn w:val="60"/>
    <w:qFormat/>
    <w:uiPriority w:val="0"/>
    <w:pPr>
      <w:ind w:left="811" w:firstLine="0" w:firstLineChars="0"/>
    </w:pPr>
    <w:rPr>
      <w:sz w:val="18"/>
    </w:rPr>
  </w:style>
  <w:style w:type="paragraph" w:customStyle="1" w:styleId="210">
    <w:name w:val="标准文件_注X后"/>
    <w:basedOn w:val="60"/>
    <w:qFormat/>
    <w:uiPriority w:val="0"/>
    <w:pPr>
      <w:ind w:left="811" w:firstLine="0" w:firstLineChars="0"/>
    </w:pPr>
    <w:rPr>
      <w:sz w:val="18"/>
    </w:rPr>
  </w:style>
  <w:style w:type="paragraph" w:customStyle="1" w:styleId="211">
    <w:name w:val="标准文件_示例后"/>
    <w:basedOn w:val="60"/>
    <w:qFormat/>
    <w:uiPriority w:val="0"/>
    <w:pPr>
      <w:ind w:left="964" w:firstLine="0" w:firstLineChars="0"/>
    </w:pPr>
    <w:rPr>
      <w:sz w:val="18"/>
    </w:rPr>
  </w:style>
  <w:style w:type="paragraph" w:customStyle="1" w:styleId="212">
    <w:name w:val="标准文件_示例X后"/>
    <w:basedOn w:val="60"/>
    <w:link w:val="213"/>
    <w:qFormat/>
    <w:uiPriority w:val="0"/>
    <w:pPr>
      <w:ind w:left="1049" w:firstLine="0" w:firstLineChars="0"/>
    </w:pPr>
    <w:rPr>
      <w:sz w:val="18"/>
    </w:rPr>
  </w:style>
  <w:style w:type="character" w:customStyle="1" w:styleId="213">
    <w:name w:val="标准文件_示例X后 字符"/>
    <w:basedOn w:val="188"/>
    <w:link w:val="212"/>
    <w:qFormat/>
    <w:uiPriority w:val="0"/>
    <w:rPr>
      <w:rFonts w:ascii="宋体" w:hAnsi="Times New Roman"/>
      <w:sz w:val="18"/>
    </w:rPr>
  </w:style>
  <w:style w:type="paragraph" w:customStyle="1" w:styleId="214">
    <w:name w:val="标准文件_索引项"/>
    <w:basedOn w:val="60"/>
    <w:next w:val="60"/>
    <w:qFormat/>
    <w:uiPriority w:val="0"/>
    <w:pPr>
      <w:tabs>
        <w:tab w:val="right" w:leader="dot" w:pos="9356"/>
      </w:tabs>
      <w:ind w:left="210" w:hanging="210" w:firstLineChars="0"/>
      <w:jc w:val="left"/>
    </w:pPr>
  </w:style>
  <w:style w:type="paragraph" w:customStyle="1" w:styleId="215">
    <w:name w:val="标准文件_附录一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二级无标题"/>
    <w:basedOn w:val="83"/>
    <w:qFormat/>
    <w:uiPriority w:val="0"/>
    <w:pPr>
      <w:spacing w:before="0" w:beforeLines="0" w:after="0" w:afterLines="0" w:line="276" w:lineRule="auto"/>
      <w:outlineLvl w:val="9"/>
    </w:pPr>
    <w:rPr>
      <w:rFonts w:ascii="宋体" w:eastAsia="宋体"/>
    </w:rPr>
  </w:style>
  <w:style w:type="paragraph" w:customStyle="1" w:styleId="217">
    <w:name w:val="标准文件_附录三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四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五级无标题"/>
    <w:basedOn w:val="88"/>
    <w:qFormat/>
    <w:uiPriority w:val="0"/>
    <w:pPr>
      <w:spacing w:before="0" w:beforeLines="0" w:after="0" w:afterLines="0" w:line="276" w:lineRule="auto"/>
      <w:outlineLvl w:val="9"/>
    </w:pPr>
    <w:rPr>
      <w:rFonts w:ascii="宋体" w:eastAsia="宋体"/>
    </w:rPr>
  </w:style>
  <w:style w:type="paragraph" w:customStyle="1" w:styleId="220">
    <w:name w:val="标准文件_引言一级无标题"/>
    <w:basedOn w:val="204"/>
    <w:next w:val="60"/>
    <w:qFormat/>
    <w:uiPriority w:val="0"/>
    <w:pPr>
      <w:spacing w:before="0" w:beforeLines="0" w:after="0" w:afterLines="0" w:line="276" w:lineRule="auto"/>
    </w:pPr>
    <w:rPr>
      <w:rFonts w:ascii="宋体" w:eastAsia="宋体"/>
    </w:rPr>
  </w:style>
  <w:style w:type="paragraph" w:customStyle="1" w:styleId="221">
    <w:name w:val="标准文件_引言二级无标题"/>
    <w:basedOn w:val="205"/>
    <w:next w:val="60"/>
    <w:qFormat/>
    <w:uiPriority w:val="0"/>
    <w:pPr>
      <w:spacing w:before="0" w:beforeLines="0" w:after="0" w:afterLines="0" w:line="276" w:lineRule="auto"/>
    </w:pPr>
    <w:rPr>
      <w:rFonts w:ascii="宋体" w:eastAsia="宋体"/>
    </w:rPr>
  </w:style>
  <w:style w:type="paragraph" w:customStyle="1" w:styleId="222">
    <w:name w:val="标准文件_引言三级无标题"/>
    <w:basedOn w:val="206"/>
    <w:qFormat/>
    <w:uiPriority w:val="0"/>
    <w:pPr>
      <w:spacing w:before="0" w:beforeLines="0" w:after="0" w:afterLines="0" w:line="276" w:lineRule="auto"/>
    </w:pPr>
    <w:rPr>
      <w:rFonts w:ascii="宋体" w:eastAsia="宋体"/>
    </w:rPr>
  </w:style>
  <w:style w:type="paragraph" w:customStyle="1" w:styleId="223">
    <w:name w:val="标准文件_引言四级无标题"/>
    <w:basedOn w:val="207"/>
    <w:next w:val="60"/>
    <w:qFormat/>
    <w:uiPriority w:val="0"/>
    <w:pPr>
      <w:spacing w:before="0" w:beforeLines="0" w:after="0" w:afterLines="0" w:line="276" w:lineRule="auto"/>
    </w:pPr>
    <w:rPr>
      <w:rFonts w:ascii="宋体" w:eastAsia="宋体"/>
    </w:rPr>
  </w:style>
  <w:style w:type="paragraph" w:customStyle="1" w:styleId="224">
    <w:name w:val="标准文件_引言五级无标题"/>
    <w:basedOn w:val="208"/>
    <w:next w:val="60"/>
    <w:qFormat/>
    <w:uiPriority w:val="0"/>
    <w:pPr>
      <w:spacing w:before="0" w:beforeLines="0" w:after="0" w:afterLines="0" w:line="276" w:lineRule="auto"/>
    </w:pPr>
    <w:rPr>
      <w:rFonts w:ascii="宋体" w:eastAsia="宋体"/>
    </w:rPr>
  </w:style>
  <w:style w:type="paragraph" w:customStyle="1" w:styleId="225">
    <w:name w:val="标准文件_索引标题"/>
    <w:basedOn w:val="67"/>
    <w:next w:val="60"/>
    <w:qFormat/>
    <w:uiPriority w:val="0"/>
    <w:rPr>
      <w:rFonts w:hAnsi="黑体"/>
    </w:rPr>
  </w:style>
  <w:style w:type="paragraph" w:customStyle="1" w:styleId="226">
    <w:name w:val="标准文件_脚注内容"/>
    <w:basedOn w:val="60"/>
    <w:qFormat/>
    <w:uiPriority w:val="0"/>
    <w:pPr>
      <w:ind w:left="400" w:leftChars="200" w:hanging="200" w:hangingChars="200"/>
    </w:pPr>
    <w:rPr>
      <w:sz w:val="15"/>
    </w:rPr>
  </w:style>
  <w:style w:type="paragraph" w:customStyle="1" w:styleId="227">
    <w:name w:val="标准文件_术语条一"/>
    <w:basedOn w:val="166"/>
    <w:next w:val="60"/>
    <w:qFormat/>
    <w:uiPriority w:val="0"/>
  </w:style>
  <w:style w:type="paragraph" w:customStyle="1" w:styleId="228">
    <w:name w:val="标准文件_术语条二"/>
    <w:basedOn w:val="169"/>
    <w:next w:val="60"/>
    <w:qFormat/>
    <w:uiPriority w:val="0"/>
  </w:style>
  <w:style w:type="paragraph" w:customStyle="1" w:styleId="229">
    <w:name w:val="标准文件_术语条三"/>
    <w:basedOn w:val="168"/>
    <w:next w:val="60"/>
    <w:qFormat/>
    <w:uiPriority w:val="0"/>
  </w:style>
  <w:style w:type="paragraph" w:customStyle="1" w:styleId="230">
    <w:name w:val="标准文件_术语条四"/>
    <w:basedOn w:val="171"/>
    <w:next w:val="60"/>
    <w:qFormat/>
    <w:uiPriority w:val="0"/>
  </w:style>
  <w:style w:type="paragraph" w:customStyle="1" w:styleId="231">
    <w:name w:val="标准文件_术语条五"/>
    <w:basedOn w:val="167"/>
    <w:next w:val="60"/>
    <w:qFormat/>
    <w:uiPriority w:val="0"/>
  </w:style>
  <w:style w:type="paragraph" w:customStyle="1" w:styleId="23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3">
    <w:name w:val="发布"/>
    <w:basedOn w:val="31"/>
    <w:qFormat/>
    <w:uiPriority w:val="0"/>
    <w:rPr>
      <w:rFonts w:ascii="黑体" w:eastAsia="黑体"/>
      <w:spacing w:val="85"/>
      <w:w w:val="100"/>
      <w:position w:val="3"/>
      <w:sz w:val="28"/>
      <w:szCs w:val="28"/>
    </w:rPr>
  </w:style>
  <w:style w:type="paragraph" w:customStyle="1" w:styleId="234">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35">
    <w:name w:val="Revision"/>
    <w:hidden/>
    <w:unhideWhenUsed/>
    <w:uiPriority w:val="99"/>
    <w:rPr>
      <w:rFonts w:ascii="Calibri" w:hAnsi="Calibri" w:eastAsia="宋体" w:cs="Times New Roman"/>
      <w:kern w:val="2"/>
      <w:sz w:val="21"/>
      <w:szCs w:val="21"/>
      <w:lang w:val="en-US" w:eastAsia="zh-CN" w:bidi="ar-SA"/>
    </w:rPr>
  </w:style>
  <w:style w:type="character" w:customStyle="1" w:styleId="236">
    <w:name w:val="批注文字 字符"/>
    <w:basedOn w:val="31"/>
    <w:link w:val="13"/>
    <w:semiHidden/>
    <w:uiPriority w:val="99"/>
    <w:rPr>
      <w:rFonts w:ascii="Calibri" w:hAnsi="Calibri"/>
      <w:kern w:val="2"/>
      <w:sz w:val="21"/>
      <w:szCs w:val="21"/>
    </w:rPr>
  </w:style>
  <w:style w:type="character" w:customStyle="1" w:styleId="237">
    <w:name w:val="批注主题 字符"/>
    <w:basedOn w:val="236"/>
    <w:link w:val="28"/>
    <w:semiHidden/>
    <w:uiPriority w:val="99"/>
    <w:rPr>
      <w:rFonts w:ascii="Calibri" w:hAnsi="Calibri"/>
      <w:b/>
      <w:bCs/>
      <w:kern w:val="2"/>
      <w:sz w:val="21"/>
      <w:szCs w:val="21"/>
    </w:rPr>
  </w:style>
  <w:style w:type="paragraph" w:customStyle="1" w:styleId="238">
    <w:name w:val="TOC Heading"/>
    <w:basedOn w:val="2"/>
    <w:next w:val="1"/>
    <w:unhideWhenUsed/>
    <w:qFormat/>
    <w:uiPriority w:val="39"/>
    <w:pPr>
      <w:widowControl/>
      <w:adjustRightInd/>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AE236D5A80F46079847E4878748BD93"/>
        <w:style w:val=""/>
        <w:category>
          <w:name w:val="常规"/>
          <w:gallery w:val="placeholder"/>
        </w:category>
        <w:types>
          <w:type w:val="bbPlcHdr"/>
        </w:types>
        <w:behaviors>
          <w:behavior w:val="content"/>
        </w:behaviors>
        <w:description w:val=""/>
        <w:guid w:val="{F0214896-369F-45A7-8AFA-3EA050F5766C}"/>
      </w:docPartPr>
      <w:docPartBody>
        <w:p w14:paraId="014E94ED">
          <w:pPr>
            <w:pStyle w:val="5"/>
            <w:rPr>
              <w:rFonts w:hint="eastAsia"/>
            </w:rPr>
          </w:pPr>
          <w:r>
            <w:rPr>
              <w:rStyle w:val="4"/>
              <w:rFonts w:hint="eastAsia"/>
            </w:rPr>
            <w:t>单击或点击此处输入文字。</w:t>
          </w:r>
        </w:p>
      </w:docPartBody>
    </w:docPart>
    <w:docPart>
      <w:docPartPr>
        <w:name w:val="C727D9BE256B40FF80D982E87BBDDFB3"/>
        <w:style w:val=""/>
        <w:category>
          <w:name w:val="常规"/>
          <w:gallery w:val="placeholder"/>
        </w:category>
        <w:types>
          <w:type w:val="bbPlcHdr"/>
        </w:types>
        <w:behaviors>
          <w:behavior w:val="content"/>
        </w:behaviors>
        <w:description w:val=""/>
        <w:guid w:val="{318FD434-7939-4306-9C6F-0C414C302984}"/>
      </w:docPartPr>
      <w:docPartBody>
        <w:p w14:paraId="5D9220FA">
          <w:pPr>
            <w:pStyle w:val="6"/>
            <w:rPr>
              <w:rFonts w:hint="eastAsia"/>
            </w:rPr>
          </w:pPr>
          <w:r>
            <w:rPr>
              <w:rStyle w:val="4"/>
              <w:rFonts w:hint="eastAsia"/>
            </w:rPr>
            <w:t>选择一项。</w:t>
          </w:r>
        </w:p>
      </w:docPartBody>
    </w:docPart>
    <w:docPart>
      <w:docPartPr>
        <w:name w:val="F522C4A9F44240E8AE3754EB3C9EFB45"/>
        <w:style w:val=""/>
        <w:category>
          <w:name w:val="常规"/>
          <w:gallery w:val="placeholder"/>
        </w:category>
        <w:types>
          <w:type w:val="bbPlcHdr"/>
        </w:types>
        <w:behaviors>
          <w:behavior w:val="content"/>
        </w:behaviors>
        <w:description w:val=""/>
        <w:guid w:val="{A59EC00A-30B1-4462-A849-6F26E3B4F8E7}"/>
      </w:docPartPr>
      <w:docPartBody>
        <w:p w14:paraId="60C4C7FD">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09C"/>
    <w:rsid w:val="002C6217"/>
    <w:rsid w:val="0072789A"/>
    <w:rsid w:val="009134A8"/>
    <w:rsid w:val="009E60C7"/>
    <w:rsid w:val="00B0409C"/>
    <w:rsid w:val="00B736D8"/>
    <w:rsid w:val="00EC0384"/>
    <w:rsid w:val="00F40095"/>
    <w:rsid w:val="00F46B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0AE236D5A80F46079847E4878748BD9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C727D9BE256B40FF80D982E87BBDDFB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F522C4A9F44240E8AE3754EB3C9EFB4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14</Pages>
  <Words>951</Words>
  <Characters>1124</Characters>
  <Lines>82</Lines>
  <Paragraphs>23</Paragraphs>
  <TotalTime>0</TotalTime>
  <ScaleCrop>false</ScaleCrop>
  <LinksUpToDate>false</LinksUpToDate>
  <CharactersWithSpaces>1300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2026-03-27T08:58:00Z</dcterms:created>
  <dc:creator>王文龙</dc:creator>
  <cp:lastModifiedBy>J</cp:lastModifiedBy>
  <cp:lastPrinted>2021-02-02T08:22:00Z</cp:lastPrinted>
  <dcterms:modified xsi:type="dcterms:W3CDTF">2026-05-09T09:26:13Z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0CCF467F3CD449989CA15C9ED3E293D5_13</vt:lpwstr>
  </property>
</Properties>
</file>