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41504">
      <w:pPr>
        <w:pStyle w:val="53"/>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tbl>
      <w:tblPr>
        <w:tblStyle w:val="2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43748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4A1C8704">
            <w:pPr>
              <w:pStyle w:val="239"/>
              <w:framePr w:wrap="around" w:x="1382" w:y="3031"/>
              <w:rPr>
                <w:lang w:val="fr-FR"/>
              </w:rPr>
            </w:pPr>
            <w:bookmarkStart w:id="0"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1" w:name="StdNo1"/>
            <w:r>
              <w:rPr>
                <w:rFonts w:hint="eastAsia" w:ascii="Times New Roman"/>
                <w:b/>
                <w:bCs/>
                <w:lang w:val="fr-FR"/>
              </w:rPr>
              <w:t>RHA</w:t>
            </w:r>
            <w:bookmarkEnd w:id="1"/>
            <w:r>
              <w:rPr>
                <w:rFonts w:hint="eastAsia" w:ascii="Times New Roman"/>
                <w:lang w:val="fr-FR"/>
              </w:rPr>
              <w:t xml:space="preserve"> </w:t>
            </w:r>
            <w:r>
              <w:rPr>
                <w:rFonts w:hint="eastAsia"/>
                <w:lang w:val="fr-FR"/>
              </w:rPr>
              <w:t>XXX-202X</w:t>
            </w:r>
          </w:p>
        </w:tc>
      </w:tr>
    </w:tbl>
    <w:p w14:paraId="68540D7B">
      <w:pPr>
        <w:pStyle w:val="239"/>
        <w:framePr w:wrap="around" w:x="1382" w:y="3031"/>
        <w:jc w:val="center"/>
        <w:rPr>
          <w:lang w:val="fr-FR"/>
        </w:rPr>
      </w:pPr>
      <w:r>
        <w:rPr>
          <w:rFonts w:hint="eastAsia"/>
          <w:lang w:val="fr-FR"/>
        </w:rPr>
        <w:t>————————————————————————————————————————</w:t>
      </w:r>
    </w:p>
    <w:p w14:paraId="7B960424">
      <w:pPr>
        <w:pStyle w:val="239"/>
        <w:framePr w:wrap="around" w:x="1382" w:y="3031"/>
        <w:rPr>
          <w:lang w:val="fr-FR"/>
        </w:rPr>
      </w:pPr>
    </w:p>
    <w:bookmarkEnd w:id="0"/>
    <w:p w14:paraId="2D0E94D3">
      <w:pPr>
        <w:pStyle w:val="159"/>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2370341A">
      <w:pPr>
        <w:pStyle w:val="159"/>
        <w:framePr w:wrap="around" w:vAnchor="page" w:hAnchor="page" w:x="1821" w:y="739"/>
        <w:rPr>
          <w:b/>
          <w:bCs/>
        </w:rPr>
      </w:pPr>
      <w:r>
        <w:rPr>
          <w:rFonts w:hint="eastAsia"/>
          <w:b/>
          <w:bCs/>
        </w:rPr>
        <w:t>CCS C 05</w:t>
      </w:r>
    </w:p>
    <w:p w14:paraId="35EE5BC4">
      <w:pPr>
        <w:spacing w:line="240" w:lineRule="auto"/>
        <w:rPr>
          <w:rFonts w:hint="eastAsia" w:ascii="黑体" w:hAnsi="黑体" w:eastAsia="黑体"/>
          <w:kern w:val="0"/>
          <w:sz w:val="10"/>
          <w:szCs w:val="10"/>
        </w:rPr>
      </w:pPr>
      <w:r>
        <w:rPr>
          <w:rFonts w:hint="eastAsia"/>
        </w:rPr>
        <w:drawing>
          <wp:anchor distT="0" distB="0" distL="114300" distR="114300" simplePos="0" relativeHeight="251661312" behindDoc="0" locked="0" layoutInCell="1" allowOverlap="1">
            <wp:simplePos x="0" y="0"/>
            <wp:positionH relativeFrom="column">
              <wp:posOffset>4773930</wp:posOffset>
            </wp:positionH>
            <wp:positionV relativeFrom="page">
              <wp:posOffset>205105</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4"/>
                    <a:stretch>
                      <a:fillRect/>
                    </a:stretch>
                  </pic:blipFill>
                  <pic:spPr>
                    <a:xfrm>
                      <a:off x="0" y="0"/>
                      <a:ext cx="1076325" cy="1040130"/>
                    </a:xfrm>
                    <a:prstGeom prst="rect">
                      <a:avLst/>
                    </a:prstGeom>
                  </pic:spPr>
                </pic:pic>
              </a:graphicData>
            </a:graphic>
          </wp:anchor>
        </w:drawing>
      </w:r>
    </w:p>
    <w:p w14:paraId="144348CB">
      <w:pPr>
        <w:pStyle w:val="53"/>
        <w:framePr w:w="9639" w:h="6976" w:hRule="exact" w:hSpace="0" w:vSpace="0" w:wrap="around" w:hAnchor="page" w:y="6408"/>
        <w:jc w:val="center"/>
        <w:rPr>
          <w:rFonts w:hint="eastAsia" w:ascii="黑体" w:hAnsi="黑体" w:eastAsia="黑体"/>
          <w:b w:val="0"/>
          <w:bCs w:val="0"/>
          <w:w w:val="100"/>
        </w:rPr>
      </w:pPr>
    </w:p>
    <w:p w14:paraId="744C5E5F">
      <w:pPr>
        <w:pStyle w:val="200"/>
        <w:framePr w:h="6974" w:hRule="exact" w:wrap="around" w:x="1419" w:anchorLock="1"/>
        <w:spacing w:after="400" w:line="240" w:lineRule="auto"/>
        <w:rPr>
          <w:rFonts w:hint="eastAsia"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2" w:name="CSTD_NAME"/>
      <w:r>
        <w:rPr>
          <w:rFonts w:hint="eastAsia" w:ascii="Times New Roman" w:hAnsi="Times New Roman"/>
        </w:rPr>
        <w:instrText xml:space="preserve"> FORMTEXT </w:instrText>
      </w:r>
      <w:r>
        <w:rPr>
          <w:rFonts w:ascii="Times New Roman" w:hAnsi="Times New Roman"/>
        </w:rPr>
        <w:fldChar w:fldCharType="separate"/>
      </w:r>
      <w:r>
        <w:rPr>
          <w:rFonts w:hint="eastAsia" w:ascii="Times New Roman" w:hAnsi="Times New Roman"/>
        </w:rPr>
        <w:t xml:space="preserve">临床研究病房智慧管理平台建设规范 </w:t>
      </w:r>
    </w:p>
    <w:p w14:paraId="30CD5F6B">
      <w:pPr>
        <w:pStyle w:val="200"/>
        <w:framePr w:h="6974" w:hRule="exact" w:wrap="around" w:x="1419" w:anchorLock="1"/>
        <w:spacing w:after="400" w:line="240" w:lineRule="auto"/>
        <w:rPr>
          <w:rFonts w:hint="eastAsia" w:ascii="Times New Roman" w:hAnsi="Times New Roman"/>
        </w:rPr>
      </w:pPr>
      <w:r>
        <w:rPr>
          <w:rFonts w:hint="eastAsia" w:ascii="Times New Roman" w:hAnsi="Times New Roman"/>
        </w:rPr>
        <w:t>第2部分：数据采集</w:t>
      </w:r>
      <w:r>
        <w:rPr>
          <w:rFonts w:ascii="Times New Roman" w:hAnsi="Times New Roman"/>
        </w:rPr>
        <w:fldChar w:fldCharType="end"/>
      </w:r>
      <w:bookmarkEnd w:id="2"/>
    </w:p>
    <w:p w14:paraId="0E69D63E">
      <w:pPr>
        <w:pStyle w:val="128"/>
        <w:framePr w:w="9639" w:h="6974" w:hRule="exact" w:wrap="around" w:vAnchor="page" w:hAnchor="page" w:x="1419" w:y="6408" w:anchorLock="1"/>
        <w:spacing w:after="400" w:line="240" w:lineRule="auto"/>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3" w:name="ESTD_NAME"/>
      <w:r>
        <w:rPr>
          <w:rFonts w:eastAsia="黑体"/>
          <w:szCs w:val="28"/>
        </w:rPr>
        <w:instrText xml:space="preserve"> FORMTEXT </w:instrText>
      </w:r>
      <w:r>
        <w:rPr>
          <w:rFonts w:eastAsia="黑体"/>
          <w:szCs w:val="28"/>
        </w:rPr>
        <w:fldChar w:fldCharType="separate"/>
      </w:r>
      <w:r>
        <w:rPr>
          <w:rFonts w:hint="eastAsia" w:eastAsia="黑体"/>
          <w:szCs w:val="28"/>
        </w:rPr>
        <w:t xml:space="preserve">Specification for the construction of smart management platform for clinical research wards </w:t>
      </w:r>
    </w:p>
    <w:p w14:paraId="0D4CC226">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Part 2: specification for data acquisition</w:t>
      </w:r>
      <w:r>
        <w:rPr>
          <w:rFonts w:eastAsia="黑体"/>
          <w:szCs w:val="28"/>
        </w:rPr>
        <w:fldChar w:fldCharType="end"/>
      </w:r>
      <w:bookmarkEnd w:id="3"/>
    </w:p>
    <w:p w14:paraId="046E13EA">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（征求意见稿）</w:t>
      </w:r>
    </w:p>
    <w:p w14:paraId="710FD3EC">
      <w:pPr>
        <w:pStyle w:val="122"/>
        <w:framePr w:wrap="around" w:vAnchor="page" w:hAnchor="page" w:x="2518" w:y="15755"/>
        <w:rPr>
          <w:rFonts w:ascii="黑体" w:hAnsi="黑体" w:eastAsia="黑体"/>
          <w:b w:val="0"/>
          <w:bCs/>
          <w:w w:val="100"/>
          <w:sz w:val="28"/>
          <w:szCs w:val="28"/>
        </w:rPr>
      </w:pPr>
      <w:bookmarkStart w:id="4" w:name="OLE_LINK1"/>
      <w:r>
        <w:rPr>
          <w:rFonts w:hint="eastAsia" w:ascii="黑体" w:hAnsi="黑体" w:eastAsia="黑体"/>
          <w:b w:val="0"/>
          <w:bCs/>
          <w:w w:val="100"/>
          <w:sz w:val="28"/>
          <w:szCs w:val="28"/>
        </w:rPr>
        <w:t>中国研究型医院学会 发布</w:t>
      </w:r>
    </w:p>
    <w:bookmarkEnd w:id="4"/>
    <w:p w14:paraId="751D3132">
      <w:pPr>
        <w:pStyle w:val="196"/>
        <w:framePr w:w="9410" w:wrap="around" w:x="1490" w:y="15134"/>
        <w:jc w:val="center"/>
      </w:pPr>
      <w:bookmarkStart w:id="5" w:name="OLE_LINK8"/>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bookmarkEnd w:id="5"/>
    <w:p w14:paraId="4EC586D4">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Ansi="黑体"/>
          <w:sz w:val="28"/>
        </w:rPr>
        <mc:AlternateContent>
          <mc:Choice Requires="wps">
            <w:drawing>
              <wp:anchor distT="0" distB="0" distL="114300" distR="114300" simplePos="0" relativeHeight="251660288" behindDoc="0" locked="0" layoutInCell="1" allowOverlap="1">
                <wp:simplePos x="0" y="0"/>
                <wp:positionH relativeFrom="column">
                  <wp:posOffset>12065</wp:posOffset>
                </wp:positionH>
                <wp:positionV relativeFrom="paragraph">
                  <wp:posOffset>8580755</wp:posOffset>
                </wp:positionV>
                <wp:extent cx="5989955" cy="0"/>
                <wp:effectExtent l="0" t="0" r="0" b="0"/>
                <wp:wrapNone/>
                <wp:docPr id="463265664" name="直接连接符 4"/>
                <wp:cNvGraphicFramePr/>
                <a:graphic xmlns:a="http://schemas.openxmlformats.org/drawingml/2006/main">
                  <a:graphicData uri="http://schemas.microsoft.com/office/word/2010/wordprocessingShape">
                    <wps:wsp>
                      <wps:cNvCnPr/>
                      <wps:spPr bwMode="auto">
                        <a:xfrm>
                          <a:off x="0" y="0"/>
                          <a:ext cx="59900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4" o:spid="_x0000_s1026" o:spt="20" style="position:absolute;left:0pt;margin-left:0.95pt;margin-top:675.65pt;height:0pt;width:471.65pt;z-index:251660288;mso-width-relative:page;mso-height-relative:page;" filled="f" stroked="t" coordsize="21600,21600" o:gfxdata="UEsDBAoAAAAAAIdO4kAAAAAAAAAAAAAAAAAEAAAAZHJzL1BLAwQUAAAACACHTuJAgw7vFtcAAAAL&#10;AQAADwAAAGRycy9kb3ducmV2LnhtbE2PMU/DMBCFdyT+g3VIbNRJS2mbxumAxICEBA0MHd3kmgTs&#10;c7DdJPx7jgHBdHp3T+++l+8ma8SAPnSOFKSzBARS5eqOGgVvrw83axAhaqq1cYQKvjDArri8yHVW&#10;u5H2OJSxERxCIdMK2hj7TMpQtWh1mLkeiW8n562OLH0ja69HDrdGzpPkTlrdEX9odY/3LVYf5dly&#10;Cq0+T5Pxh5fnp3Zdju/4OKxQqeurNNmCiDjFPzP84DM6FMx0dGeqgzCsN2zksVimCxBs2Nwu5yCO&#10;vytZ5PJ/h+IbUEsDBBQAAAAIAIdO4kClpGmX9QEAAMcDAAAOAAAAZHJzL2Uyb0RvYy54bWytU0uO&#10;EzEQ3SNxB8t70j2ZpDVppTOLiYYNn5GAA1Tcdrcl/2Q76eQSXACJHaxYsuc2DMeg7E7CMGxmgReW&#10;XZ9Xfq/Ky+u9VmTHfZDWNPRiUlLCDbOtNF1DP7y/fXFFSYhgWlDW8IYeeKDXq+fPloOr+dT2VrXc&#10;EwQxoR5cQ/sYXV0UgfVcQ5hYxw06hfUaIl59V7QeBkTXqpiWZVUM1rfOW8ZDQOt6dNIjon8KoBVC&#10;Mr62bKu5iSOq5woiUgq9dIGu8muF4Cy+FSLwSFRDkWnMOxbB8ybtxWoJdefB9ZIdnwBPecIjThqk&#10;waJnqDVEIFsv/4HSknkbrIgTZnUxEsmKIIuL8pE273pwPHNBqYM7ix7+Hyx7s7vzRLYNnVWX02pe&#10;VTNKDGhs/P2n7z8/fvn14zPu99++klkSa3Chxpwbc+ePt+AQYDO8ti3mwDbarMNeeJ30QIZkn+U+&#10;nOXm+0gYGueLRVku5pSwk6+A+pTofIgvudUkHRqqpElKQA27VyFiaQw9hSSzsbdSqdxNZcjQ0Opy&#10;jj1mgBMqcDLwqB2yDKajBFSHo8+iz4jBKtmm7IQTfLe5UZ7sIA1MXok2VvsrLJVeQ+jHuOwaR0nL&#10;iL9DSd3Qq4fZyiBIEi/JNcq4se0hq5jt2N9c5jiLaYAe3nP2n/+3+g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DDu8W1wAAAAsBAAAPAAAAAAAAAAEAIAAAACIAAABkcnMvZG93bnJldi54bWxQSwEC&#10;FAAUAAAACACHTuJApaRpl/UBAADHAwAADgAAAAAAAAABACAAAAAmAQAAZHJzL2Uyb0RvYy54bWxQ&#10;SwUGAAAAAAYABgBZAQAAjQUAAAAA&#10;">
                <v:fill on="f" focussize="0,0"/>
                <v:stroke weight="0.5pt" color="#000000 [3200]" miterlimit="8" joinstyle="miter"/>
                <v:imagedata o:title=""/>
                <o:lock v:ext="edit" aspectratio="f"/>
              </v:line>
            </w:pict>
          </mc:Fallback>
        </mc:AlternateContent>
      </w:r>
    </w:p>
    <w:p w14:paraId="0AD2545A">
      <w:pPr>
        <w:pStyle w:val="94"/>
        <w:spacing w:before="240" w:beforeLines="100" w:after="240" w:afterLines="100"/>
        <w:rPr>
          <w:kern w:val="0"/>
        </w:rPr>
      </w:pPr>
      <w:bookmarkStart w:id="6" w:name="BookMark1"/>
      <w:r>
        <w:rPr>
          <w:rFonts w:hint="eastAsia"/>
          <w:spacing w:val="0"/>
          <w:kern w:val="0"/>
        </w:rPr>
        <w:t>目</w:t>
      </w:r>
      <w:r>
        <w:rPr>
          <w:rFonts w:hint="eastAsia"/>
          <w:kern w:val="0"/>
        </w:rPr>
        <w:t xml:space="preserve">  </w:t>
      </w:r>
      <w:r>
        <w:rPr>
          <w:rFonts w:hint="eastAsia"/>
          <w:kern w:val="0"/>
        </w:rPr>
        <w:t>次</w:t>
      </w:r>
    </w:p>
    <w:sdt>
      <w:sdtPr>
        <w:rPr>
          <w:rFonts w:ascii="Calibri" w:hAnsi="Calibri" w:eastAsia="宋体" w:cs="Times New Roman"/>
          <w:color w:val="auto"/>
          <w:kern w:val="2"/>
          <w:sz w:val="21"/>
          <w:szCs w:val="21"/>
          <w:lang w:val="zh-CN"/>
        </w:rPr>
        <w:id w:val="-1322200876"/>
        <w:docPartObj>
          <w:docPartGallery w:val="Table of Contents"/>
          <w:docPartUnique/>
        </w:docPartObj>
      </w:sdtPr>
      <w:sdtEndPr>
        <w:rPr>
          <w:rFonts w:ascii="Calibri" w:hAnsi="Calibri" w:eastAsia="宋体" w:cs="Times New Roman"/>
          <w:b/>
          <w:bCs/>
          <w:color w:val="auto"/>
          <w:kern w:val="2"/>
          <w:sz w:val="21"/>
          <w:szCs w:val="21"/>
          <w:lang w:val="zh-CN"/>
        </w:rPr>
      </w:sdtEndPr>
      <w:sdtContent>
        <w:p w14:paraId="74B6D03A">
          <w:pPr>
            <w:pStyle w:val="237"/>
            <w:spacing w:before="0" w:after="0" w:line="240" w:lineRule="auto"/>
            <w:rPr>
              <w:rFonts w:hint="eastAsia"/>
              <w:sz w:val="21"/>
              <w:szCs w:val="21"/>
            </w:rPr>
          </w:pPr>
        </w:p>
        <w:p w14:paraId="73DA374B">
          <w:pPr>
            <w:pStyle w:val="20"/>
            <w:spacing w:line="240" w:lineRule="auto"/>
            <w:rPr>
              <w:rFonts w:hint="eastAsia" w:ascii="Times New Roman" w:hAnsi="Times New Roman" w:eastAsia="宋体" w:cs="Times New Roman"/>
              <w:sz w:val="22"/>
              <w:szCs w:val="24"/>
              <w14:ligatures w14:val="standardContextual"/>
            </w:rPr>
          </w:pPr>
          <w:r>
            <w:rPr>
              <w:rFonts w:ascii="Times New Roman" w:hAnsi="Times New Roman"/>
              <w:kern w:val="0"/>
            </w:rPr>
            <w:fldChar w:fldCharType="begin"/>
          </w:r>
          <w:r>
            <w:rPr>
              <w:rFonts w:hAnsi="Times New Roman"/>
            </w:rPr>
            <w:instrText xml:space="preserve"> TOC \o "1-3" \h \z \u </w:instrText>
          </w:r>
          <w:r>
            <w:rPr>
              <w:rFonts w:ascii="Times New Roman" w:hAnsi="Times New Roman"/>
              <w:b w:val="0"/>
              <w:bCs w:val="0"/>
              <w:lang w:val="en-US"/>
            </w:rPr>
            <w:fldChar w:fldCharType="separate"/>
          </w: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"_Toc228451402"</w:instrText>
          </w:r>
          <w:r>
            <w:rPr>
              <w:rStyle w:val="34"/>
              <w:rFonts w:ascii="Times New Roman"/>
            </w:rPr>
            <w:instrText xml:space="preserve"> </w:instrText>
          </w:r>
          <w:r>
            <w:rPr>
              <w:rStyle w:val="34"/>
              <w:rFonts w:ascii="Times New Roman"/>
            </w:rPr>
            <w:fldChar w:fldCharType="separate"/>
          </w:r>
          <w:r>
            <w:rPr>
              <w:rStyle w:val="34"/>
              <w:rFonts w:ascii="Times New Roman"/>
            </w:rPr>
            <w:t>前言</w:t>
          </w:r>
          <w:r>
            <w:rPr>
              <w:rFonts w:hAnsi="Times New Roman"/>
            </w:rPr>
            <w:tab/>
          </w:r>
          <w:r>
            <w:rPr>
              <w:rFonts w:hint="eastAsia" w:hAnsi="Times New Roman"/>
            </w:rPr>
            <w:fldChar w:fldCharType="begin"/>
          </w:r>
          <w:r>
            <w:rPr>
              <w:rFonts w:hAnsi="Times New Roman"/>
            </w:rPr>
            <w:instrText xml:space="preserve"> PAGEREF _Toc228451402 \h </w:instrText>
          </w:r>
          <w:r>
            <w:rPr>
              <w:rFonts w:hint="eastAsia" w:hAnsi="Times New Roman"/>
            </w:rPr>
            <w:fldChar w:fldCharType="separate"/>
          </w:r>
          <w:r>
            <w:rPr>
              <w:rFonts w:hAnsi="Times New Roman"/>
            </w:rPr>
            <w:t>II</w:t>
          </w:r>
          <w:r>
            <w:rPr>
              <w:rFonts w:hint="eastAsia" w:hAnsi="Times New Roman"/>
            </w:rPr>
            <w:fldChar w:fldCharType="end"/>
          </w:r>
          <w:r>
            <w:rPr>
              <w:rStyle w:val="34"/>
              <w:rFonts w:ascii="Times New Roman"/>
            </w:rPr>
            <w:fldChar w:fldCharType="end"/>
          </w:r>
        </w:p>
        <w:p w14:paraId="15883408">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"_Toc228451403"</w:instrText>
          </w:r>
          <w:r>
            <w:rPr>
              <w:rStyle w:val="34"/>
              <w:rFonts w:ascii="Times New Roman"/>
            </w:rPr>
            <w:instrText xml:space="preserve"> </w:instrText>
          </w:r>
          <w:r>
            <w:rPr>
              <w:rStyle w:val="34"/>
              <w:rFonts w:ascii="Times New Roman"/>
            </w:rPr>
            <w:fldChar w:fldCharType="separate"/>
          </w:r>
          <w:r>
            <w:rPr>
              <w:rStyle w:val="34"/>
              <w:rFonts w:ascii="Times New Roman"/>
            </w:rPr>
            <w:t>引言</w:t>
          </w:r>
          <w:r>
            <w:rPr>
              <w:rFonts w:hAnsi="Times New Roman"/>
            </w:rPr>
            <w:tab/>
          </w:r>
          <w:r>
            <w:rPr>
              <w:rFonts w:hint="eastAsia" w:hAnsi="Times New Roman"/>
            </w:rPr>
            <w:fldChar w:fldCharType="begin"/>
          </w:r>
          <w:r>
            <w:rPr>
              <w:rFonts w:hAnsi="Times New Roman"/>
            </w:rPr>
            <w:instrText xml:space="preserve"> PAGEREF _Toc228451403 \h </w:instrText>
          </w:r>
          <w:r>
            <w:rPr>
              <w:rFonts w:hint="eastAsia" w:hAnsi="Times New Roman"/>
            </w:rPr>
            <w:fldChar w:fldCharType="separate"/>
          </w:r>
          <w:r>
            <w:rPr>
              <w:rFonts w:hAnsi="Times New Roman"/>
            </w:rPr>
            <w:t>III</w:t>
          </w:r>
          <w:r>
            <w:rPr>
              <w:rFonts w:hint="eastAsia" w:hAnsi="Times New Roman"/>
            </w:rPr>
            <w:fldChar w:fldCharType="end"/>
          </w:r>
          <w:r>
            <w:rPr>
              <w:rStyle w:val="34"/>
              <w:rFonts w:ascii="Times New Roman"/>
            </w:rPr>
            <w:fldChar w:fldCharType="end"/>
          </w:r>
        </w:p>
        <w:p w14:paraId="2540CD15">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"_Toc228451404"</w:instrText>
          </w:r>
          <w:r>
            <w:rPr>
              <w:rStyle w:val="34"/>
              <w:rFonts w:ascii="Times New Roman"/>
            </w:rPr>
            <w:instrText xml:space="preserve"> </w:instrText>
          </w:r>
          <w:r>
            <w:rPr>
              <w:rStyle w:val="34"/>
              <w:rFonts w:ascii="Times New Roman"/>
            </w:rPr>
            <w:fldChar w:fldCharType="separate"/>
          </w:r>
          <w:r>
            <w:rPr>
              <w:rStyle w:val="34"/>
              <w:rFonts w:ascii="Times New Roman"/>
            </w:rPr>
            <w:t>1 范围</w:t>
          </w:r>
          <w:r>
            <w:rPr>
              <w:rFonts w:hAnsi="Times New Roman"/>
            </w:rPr>
            <w:tab/>
          </w:r>
          <w:r>
            <w:rPr>
              <w:rFonts w:hint="eastAsia" w:hAnsi="Times New Roman"/>
            </w:rPr>
            <w:fldChar w:fldCharType="begin"/>
          </w:r>
          <w:r>
            <w:rPr>
              <w:rFonts w:hAnsi="Times New Roman"/>
            </w:rPr>
            <w:instrText xml:space="preserve"> PAGEREF _Toc228451404 \h </w:instrText>
          </w:r>
          <w:r>
            <w:rPr>
              <w:rFonts w:hint="eastAsia" w:hAnsi="Times New Roman"/>
            </w:rPr>
            <w:fldChar w:fldCharType="separate"/>
          </w:r>
          <w:r>
            <w:rPr>
              <w:rFonts w:hAnsi="Times New Roman"/>
            </w:rPr>
            <w:t>1</w:t>
          </w:r>
          <w:r>
            <w:rPr>
              <w:rFonts w:hint="eastAsia" w:hAnsi="Times New Roman"/>
            </w:rPr>
            <w:fldChar w:fldCharType="end"/>
          </w:r>
          <w:r>
            <w:rPr>
              <w:rStyle w:val="34"/>
              <w:rFonts w:ascii="Times New Roman"/>
            </w:rPr>
            <w:fldChar w:fldCharType="end"/>
          </w:r>
        </w:p>
        <w:p w14:paraId="42085E9E">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"_Toc228451405"</w:instrText>
          </w:r>
          <w:r>
            <w:rPr>
              <w:rStyle w:val="34"/>
              <w:rFonts w:ascii="Times New Roman"/>
            </w:rPr>
            <w:instrText xml:space="preserve"> </w:instrText>
          </w:r>
          <w:r>
            <w:rPr>
              <w:rStyle w:val="34"/>
              <w:rFonts w:ascii="Times New Roman"/>
            </w:rPr>
            <w:fldChar w:fldCharType="separate"/>
          </w:r>
          <w:r>
            <w:rPr>
              <w:rStyle w:val="34"/>
              <w:rFonts w:ascii="Times New Roman"/>
            </w:rPr>
            <w:t>2 规范性引用文件</w:t>
          </w:r>
          <w:r>
            <w:rPr>
              <w:rFonts w:hAnsi="Times New Roman"/>
            </w:rPr>
            <w:tab/>
          </w:r>
          <w:r>
            <w:rPr>
              <w:rFonts w:hint="eastAsia" w:hAnsi="Times New Roman"/>
            </w:rPr>
            <w:fldChar w:fldCharType="begin"/>
          </w:r>
          <w:r>
            <w:rPr>
              <w:rFonts w:hAnsi="Times New Roman"/>
            </w:rPr>
            <w:instrText xml:space="preserve"> PAGEREF _Toc228451405 \h </w:instrText>
          </w:r>
          <w:r>
            <w:rPr>
              <w:rFonts w:hint="eastAsia" w:hAnsi="Times New Roman"/>
            </w:rPr>
            <w:fldChar w:fldCharType="separate"/>
          </w:r>
          <w:r>
            <w:rPr>
              <w:rFonts w:hAnsi="Times New Roman"/>
            </w:rPr>
            <w:t>1</w:t>
          </w:r>
          <w:r>
            <w:rPr>
              <w:rFonts w:hint="eastAsia" w:hAnsi="Times New Roman"/>
            </w:rPr>
            <w:fldChar w:fldCharType="end"/>
          </w:r>
          <w:r>
            <w:rPr>
              <w:rStyle w:val="34"/>
              <w:rFonts w:ascii="Times New Roman"/>
            </w:rPr>
            <w:fldChar w:fldCharType="end"/>
          </w:r>
        </w:p>
        <w:p w14:paraId="5622B1E2">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"_Toc228451406"</w:instrText>
          </w:r>
          <w:r>
            <w:rPr>
              <w:rStyle w:val="34"/>
              <w:rFonts w:ascii="Times New Roman"/>
            </w:rPr>
            <w:instrText xml:space="preserve"> </w:instrText>
          </w:r>
          <w:r>
            <w:rPr>
              <w:rStyle w:val="34"/>
              <w:rFonts w:ascii="Times New Roman"/>
            </w:rPr>
            <w:fldChar w:fldCharType="separate"/>
          </w:r>
          <w:r>
            <w:rPr>
              <w:rStyle w:val="34"/>
              <w:rFonts w:ascii="Times New Roman"/>
            </w:rPr>
            <w:t>3 术语和定义</w:t>
          </w:r>
          <w:r>
            <w:rPr>
              <w:rFonts w:hAnsi="Times New Roman"/>
            </w:rPr>
            <w:tab/>
          </w:r>
          <w:r>
            <w:rPr>
              <w:rFonts w:hint="eastAsia" w:hAnsi="Times New Roman"/>
            </w:rPr>
            <w:fldChar w:fldCharType="begin"/>
          </w:r>
          <w:r>
            <w:rPr>
              <w:rFonts w:hAnsi="Times New Roman"/>
            </w:rPr>
            <w:instrText xml:space="preserve"> PAGEREF _Toc228451406 \h </w:instrText>
          </w:r>
          <w:r>
            <w:rPr>
              <w:rFonts w:hint="eastAsia" w:hAnsi="Times New Roman"/>
            </w:rPr>
            <w:fldChar w:fldCharType="separate"/>
          </w:r>
          <w:r>
            <w:rPr>
              <w:rFonts w:hAnsi="Times New Roman"/>
            </w:rPr>
            <w:t>1</w:t>
          </w:r>
          <w:r>
            <w:rPr>
              <w:rFonts w:hint="eastAsia" w:hAnsi="Times New Roman"/>
            </w:rPr>
            <w:fldChar w:fldCharType="end"/>
          </w:r>
          <w:r>
            <w:rPr>
              <w:rStyle w:val="34"/>
              <w:rFonts w:ascii="Times New Roman"/>
            </w:rPr>
            <w:fldChar w:fldCharType="end"/>
          </w:r>
        </w:p>
        <w:p w14:paraId="0C0F06D1">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"_Toc228451407"</w:instrText>
          </w:r>
          <w:r>
            <w:rPr>
              <w:rStyle w:val="34"/>
              <w:rFonts w:ascii="Times New Roman"/>
            </w:rPr>
            <w:instrText xml:space="preserve"> </w:instrText>
          </w:r>
          <w:r>
            <w:rPr>
              <w:rStyle w:val="34"/>
              <w:rFonts w:ascii="Times New Roman"/>
            </w:rPr>
            <w:fldChar w:fldCharType="separate"/>
          </w:r>
          <w:r>
            <w:rPr>
              <w:rStyle w:val="34"/>
              <w:rFonts w:ascii="Times New Roman"/>
            </w:rPr>
            <w:t>4 缩略语</w:t>
          </w:r>
          <w:r>
            <w:rPr>
              <w:rFonts w:hAnsi="Times New Roman"/>
            </w:rPr>
            <w:tab/>
          </w:r>
          <w:r>
            <w:rPr>
              <w:rFonts w:hint="eastAsia" w:hAnsi="Times New Roman"/>
            </w:rPr>
            <w:fldChar w:fldCharType="begin"/>
          </w:r>
          <w:r>
            <w:rPr>
              <w:rFonts w:hAnsi="Times New Roman"/>
            </w:rPr>
            <w:instrText xml:space="preserve"> PAGEREF _Toc228451407 \h </w:instrText>
          </w:r>
          <w:r>
            <w:rPr>
              <w:rFonts w:hint="eastAsia" w:hAnsi="Times New Roman"/>
            </w:rPr>
            <w:fldChar w:fldCharType="separate"/>
          </w:r>
          <w:r>
            <w:rPr>
              <w:rFonts w:hAnsi="Times New Roman"/>
            </w:rPr>
            <w:t>2</w:t>
          </w:r>
          <w:r>
            <w:rPr>
              <w:rFonts w:hint="eastAsia" w:hAnsi="Times New Roman"/>
            </w:rPr>
            <w:fldChar w:fldCharType="end"/>
          </w:r>
          <w:r>
            <w:rPr>
              <w:rStyle w:val="34"/>
              <w:rFonts w:ascii="Times New Roman"/>
            </w:rPr>
            <w:fldChar w:fldCharType="end"/>
          </w:r>
        </w:p>
        <w:p w14:paraId="37853FFE">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"_Toc228451408"</w:instrText>
          </w:r>
          <w:r>
            <w:rPr>
              <w:rStyle w:val="34"/>
              <w:rFonts w:ascii="Times New Roman"/>
            </w:rPr>
            <w:instrText xml:space="preserve"> </w:instrText>
          </w:r>
          <w:r>
            <w:rPr>
              <w:rStyle w:val="34"/>
              <w:rFonts w:ascii="Times New Roman"/>
            </w:rPr>
            <w:fldChar w:fldCharType="separate"/>
          </w:r>
          <w:r>
            <w:rPr>
              <w:rStyle w:val="34"/>
              <w:rFonts w:ascii="Times New Roman"/>
            </w:rPr>
            <w:t>5 采集总体架构</w:t>
          </w:r>
          <w:r>
            <w:rPr>
              <w:rFonts w:hAnsi="Times New Roman"/>
            </w:rPr>
            <w:tab/>
          </w:r>
          <w:r>
            <w:rPr>
              <w:rFonts w:hint="eastAsia" w:hAnsi="Times New Roman"/>
            </w:rPr>
            <w:fldChar w:fldCharType="begin"/>
          </w:r>
          <w:r>
            <w:rPr>
              <w:rFonts w:hAnsi="Times New Roman"/>
            </w:rPr>
            <w:instrText xml:space="preserve"> PAGEREF _Toc228451408 \h </w:instrText>
          </w:r>
          <w:r>
            <w:rPr>
              <w:rFonts w:hint="eastAsia" w:hAnsi="Times New Roman"/>
            </w:rPr>
            <w:fldChar w:fldCharType="separate"/>
          </w:r>
          <w:r>
            <w:rPr>
              <w:rFonts w:hAnsi="Times New Roman"/>
            </w:rPr>
            <w:t>2</w:t>
          </w:r>
          <w:r>
            <w:rPr>
              <w:rFonts w:hint="eastAsia" w:hAnsi="Times New Roman"/>
            </w:rPr>
            <w:fldChar w:fldCharType="end"/>
          </w:r>
          <w:r>
            <w:rPr>
              <w:rStyle w:val="34"/>
              <w:rFonts w:ascii="Times New Roman"/>
            </w:rPr>
            <w:fldChar w:fldCharType="end"/>
          </w:r>
        </w:p>
        <w:p w14:paraId="0DF4B25E">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"_Toc228451409"</w:instrText>
          </w:r>
          <w:r>
            <w:rPr>
              <w:rStyle w:val="34"/>
              <w:rFonts w:ascii="Times New Roman"/>
            </w:rPr>
            <w:instrText xml:space="preserve"> </w:instrText>
          </w:r>
          <w:r>
            <w:rPr>
              <w:rStyle w:val="34"/>
              <w:rFonts w:ascii="Times New Roman"/>
            </w:rPr>
            <w:fldChar w:fldCharType="separate"/>
          </w:r>
          <w:r>
            <w:rPr>
              <w:rStyle w:val="34"/>
              <w:rFonts w:ascii="Times New Roman"/>
            </w:rPr>
            <w:t>6 采集对象和方式</w:t>
          </w:r>
          <w:r>
            <w:rPr>
              <w:rFonts w:hAnsi="Times New Roman"/>
            </w:rPr>
            <w:tab/>
          </w:r>
          <w:r>
            <w:rPr>
              <w:rFonts w:hint="eastAsia" w:hAnsi="Times New Roman"/>
            </w:rPr>
            <w:fldChar w:fldCharType="begin"/>
          </w:r>
          <w:r>
            <w:rPr>
              <w:rFonts w:hAnsi="Times New Roman"/>
            </w:rPr>
            <w:instrText xml:space="preserve"> PAGEREF _Toc228451409 \h </w:instrText>
          </w:r>
          <w:r>
            <w:rPr>
              <w:rFonts w:hint="eastAsia" w:hAnsi="Times New Roman"/>
            </w:rPr>
            <w:fldChar w:fldCharType="separate"/>
          </w:r>
          <w:r>
            <w:rPr>
              <w:rFonts w:hAnsi="Times New Roman"/>
            </w:rPr>
            <w:t>2</w:t>
          </w:r>
          <w:r>
            <w:rPr>
              <w:rFonts w:hint="eastAsia" w:hAnsi="Times New Roman"/>
            </w:rPr>
            <w:fldChar w:fldCharType="end"/>
          </w:r>
          <w:r>
            <w:rPr>
              <w:rStyle w:val="34"/>
              <w:rFonts w:ascii="Times New Roman"/>
            </w:rPr>
            <w:fldChar w:fldCharType="end"/>
          </w:r>
        </w:p>
        <w:p w14:paraId="7F6B715F">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"_Toc228451410"</w:instrText>
          </w:r>
          <w:r>
            <w:rPr>
              <w:rStyle w:val="34"/>
              <w:rFonts w:ascii="Times New Roman"/>
            </w:rPr>
            <w:instrText xml:space="preserve"> </w:instrText>
          </w:r>
          <w:r>
            <w:rPr>
              <w:rStyle w:val="34"/>
              <w:rFonts w:ascii="Times New Roman"/>
            </w:rPr>
            <w:fldChar w:fldCharType="separate"/>
          </w:r>
          <w:r>
            <w:rPr>
              <w:rStyle w:val="34"/>
              <w:rFonts w:ascii="Times New Roman"/>
            </w:rPr>
            <w:t>7 采集数据分类</w:t>
          </w:r>
          <w:r>
            <w:rPr>
              <w:rFonts w:hAnsi="Times New Roman"/>
            </w:rPr>
            <w:tab/>
          </w:r>
          <w:r>
            <w:rPr>
              <w:rFonts w:hint="eastAsia" w:hAnsi="Times New Roman"/>
            </w:rPr>
            <w:fldChar w:fldCharType="begin"/>
          </w:r>
          <w:r>
            <w:rPr>
              <w:rFonts w:hAnsi="Times New Roman"/>
            </w:rPr>
            <w:instrText xml:space="preserve"> PAGEREF _Toc228451410 \h </w:instrText>
          </w:r>
          <w:r>
            <w:rPr>
              <w:rFonts w:hint="eastAsia" w:hAnsi="Times New Roman"/>
            </w:rPr>
            <w:fldChar w:fldCharType="separate"/>
          </w:r>
          <w:r>
            <w:rPr>
              <w:rFonts w:hAnsi="Times New Roman"/>
            </w:rPr>
            <w:t>3</w:t>
          </w:r>
          <w:r>
            <w:rPr>
              <w:rFonts w:hint="eastAsia" w:hAnsi="Times New Roman"/>
            </w:rPr>
            <w:fldChar w:fldCharType="end"/>
          </w:r>
          <w:r>
            <w:rPr>
              <w:rStyle w:val="34"/>
              <w:rFonts w:ascii="Times New Roman"/>
            </w:rPr>
            <w:fldChar w:fldCharType="end"/>
          </w:r>
        </w:p>
        <w:p w14:paraId="57E956AD">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"_Toc228451411"</w:instrText>
          </w:r>
          <w:r>
            <w:rPr>
              <w:rStyle w:val="34"/>
              <w:rFonts w:ascii="Times New Roman"/>
            </w:rPr>
            <w:instrText xml:space="preserve"> </w:instrText>
          </w:r>
          <w:r>
            <w:rPr>
              <w:rStyle w:val="34"/>
              <w:rFonts w:ascii="Times New Roman"/>
            </w:rPr>
            <w:fldChar w:fldCharType="separate"/>
          </w:r>
          <w:r>
            <w:rPr>
              <w:rStyle w:val="34"/>
              <w:rFonts w:ascii="Times New Roman"/>
            </w:rPr>
            <w:t>8 设备与系统接口规范</w:t>
          </w:r>
          <w:r>
            <w:rPr>
              <w:rFonts w:hAnsi="Times New Roman"/>
            </w:rPr>
            <w:tab/>
          </w:r>
          <w:r>
            <w:rPr>
              <w:rFonts w:hint="eastAsia" w:hAnsi="Times New Roman"/>
            </w:rPr>
            <w:fldChar w:fldCharType="begin"/>
          </w:r>
          <w:r>
            <w:rPr>
              <w:rFonts w:hAnsi="Times New Roman"/>
            </w:rPr>
            <w:instrText xml:space="preserve"> PAGEREF _Toc228451411 \h </w:instrText>
          </w:r>
          <w:r>
            <w:rPr>
              <w:rFonts w:hint="eastAsia" w:hAnsi="Times New Roman"/>
            </w:rPr>
            <w:fldChar w:fldCharType="separate"/>
          </w:r>
          <w:r>
            <w:rPr>
              <w:rFonts w:hAnsi="Times New Roman"/>
            </w:rPr>
            <w:t>3</w:t>
          </w:r>
          <w:r>
            <w:rPr>
              <w:rFonts w:hint="eastAsia" w:hAnsi="Times New Roman"/>
            </w:rPr>
            <w:fldChar w:fldCharType="end"/>
          </w:r>
          <w:r>
            <w:rPr>
              <w:rStyle w:val="34"/>
              <w:rFonts w:ascii="Times New Roman"/>
            </w:rPr>
            <w:fldChar w:fldCharType="end"/>
          </w:r>
        </w:p>
        <w:p w14:paraId="2DAF0CC8">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"_Toc228451412"</w:instrText>
          </w:r>
          <w:r>
            <w:rPr>
              <w:rStyle w:val="34"/>
              <w:rFonts w:ascii="Times New Roman"/>
            </w:rPr>
            <w:instrText xml:space="preserve"> </w:instrText>
          </w:r>
          <w:r>
            <w:rPr>
              <w:rStyle w:val="34"/>
              <w:rFonts w:ascii="Times New Roman"/>
            </w:rPr>
            <w:fldChar w:fldCharType="separate"/>
          </w:r>
          <w:r>
            <w:rPr>
              <w:rStyle w:val="34"/>
              <w:rFonts w:ascii="Times New Roman"/>
            </w:rPr>
            <w:t>9 采集过程</w:t>
          </w:r>
          <w:r>
            <w:rPr>
              <w:rFonts w:hAnsi="Times New Roman"/>
            </w:rPr>
            <w:tab/>
          </w:r>
          <w:r>
            <w:rPr>
              <w:rFonts w:hint="eastAsia" w:hAnsi="Times New Roman"/>
            </w:rPr>
            <w:fldChar w:fldCharType="begin"/>
          </w:r>
          <w:r>
            <w:rPr>
              <w:rFonts w:hAnsi="Times New Roman"/>
            </w:rPr>
            <w:instrText xml:space="preserve"> PAGEREF _Toc228451412 \h </w:instrText>
          </w:r>
          <w:r>
            <w:rPr>
              <w:rFonts w:hint="eastAsia" w:hAnsi="Times New Roman"/>
            </w:rPr>
            <w:fldChar w:fldCharType="separate"/>
          </w:r>
          <w:r>
            <w:rPr>
              <w:rFonts w:hAnsi="Times New Roman"/>
            </w:rPr>
            <w:t>4</w:t>
          </w:r>
          <w:r>
            <w:rPr>
              <w:rFonts w:hint="eastAsia" w:hAnsi="Times New Roman"/>
            </w:rPr>
            <w:fldChar w:fldCharType="end"/>
          </w:r>
          <w:r>
            <w:rPr>
              <w:rStyle w:val="34"/>
              <w:rFonts w:ascii="Times New Roman"/>
            </w:rPr>
            <w:fldChar w:fldCharType="end"/>
          </w:r>
        </w:p>
        <w:p w14:paraId="2F8A17A5">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"_Toc228451413"</w:instrText>
          </w:r>
          <w:r>
            <w:rPr>
              <w:rStyle w:val="34"/>
              <w:rFonts w:ascii="Times New Roman"/>
            </w:rPr>
            <w:instrText xml:space="preserve"> </w:instrText>
          </w:r>
          <w:r>
            <w:rPr>
              <w:rStyle w:val="34"/>
              <w:rFonts w:ascii="Times New Roman"/>
            </w:rPr>
            <w:fldChar w:fldCharType="separate"/>
          </w:r>
          <w:r>
            <w:rPr>
              <w:rStyle w:val="34"/>
              <w:rFonts w:ascii="Times New Roman"/>
            </w:rPr>
            <w:t>10 采集安全要求</w:t>
          </w:r>
          <w:r>
            <w:rPr>
              <w:rFonts w:hAnsi="Times New Roman"/>
            </w:rPr>
            <w:tab/>
          </w:r>
          <w:r>
            <w:rPr>
              <w:rFonts w:hint="eastAsia" w:hAnsi="Times New Roman"/>
            </w:rPr>
            <w:fldChar w:fldCharType="begin"/>
          </w:r>
          <w:r>
            <w:rPr>
              <w:rFonts w:hAnsi="Times New Roman"/>
            </w:rPr>
            <w:instrText xml:space="preserve"> PAGEREF _Toc228451413 \h </w:instrText>
          </w:r>
          <w:r>
            <w:rPr>
              <w:rFonts w:hint="eastAsia" w:hAnsi="Times New Roman"/>
            </w:rPr>
            <w:fldChar w:fldCharType="separate"/>
          </w:r>
          <w:r>
            <w:rPr>
              <w:rFonts w:hAnsi="Times New Roman"/>
            </w:rPr>
            <w:t>6</w:t>
          </w:r>
          <w:r>
            <w:rPr>
              <w:rFonts w:hint="eastAsia" w:hAnsi="Times New Roman"/>
            </w:rPr>
            <w:fldChar w:fldCharType="end"/>
          </w:r>
          <w:r>
            <w:rPr>
              <w:rStyle w:val="34"/>
              <w:rFonts w:ascii="Times New Roman"/>
            </w:rPr>
            <w:fldChar w:fldCharType="end"/>
          </w:r>
        </w:p>
        <w:p w14:paraId="10F4CE3D">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kern w:val="0"/>
            </w:rPr>
            <w:instrText xml:space="preserve">HYPERLINK \l "_Toc228451414"</w:instrText>
          </w:r>
          <w:r>
            <w:rPr>
              <w:rStyle w:val="34"/>
              <w:rFonts w:ascii="Times New Roman"/>
            </w:rPr>
            <w:instrText xml:space="preserve"> </w:instrText>
          </w:r>
          <w:r>
            <w:rPr>
              <w:rStyle w:val="34"/>
              <w:rFonts w:ascii="Times New Roman"/>
            </w:rPr>
            <w:fldChar w:fldCharType="separate"/>
          </w:r>
          <w:r>
            <w:rPr>
              <w:rStyle w:val="34"/>
              <w:rFonts w:hint="eastAsia" w:ascii="Times New Roman"/>
              <w:spacing w:val="0"/>
              <w:kern w:val="0"/>
            </w:rPr>
            <w:t>附录</w:t>
          </w:r>
          <w:r>
            <w:rPr>
              <w:rStyle w:val="34"/>
              <w:rFonts w:ascii="Times New Roman"/>
              <w:spacing w:val="0"/>
              <w:kern w:val="0"/>
            </w:rPr>
            <w:t>A</w:t>
          </w:r>
          <w:r>
            <w:rPr>
              <w:rStyle w:val="34"/>
              <w:rFonts w:ascii="Times New Roman"/>
            </w:rPr>
            <w:t>（资料性）临床研究典型场景采集数据详细定义</w:t>
          </w:r>
          <w:r>
            <w:rPr>
              <w:rStyle w:val="34"/>
              <w:rFonts w:ascii="Times New Roman"/>
            </w:rPr>
            <w:tab/>
          </w:r>
          <w:r>
            <w:rPr>
              <w:rStyle w:val="34"/>
              <w:rFonts w:ascii="Times New Roman"/>
            </w:rPr>
            <w:fldChar w:fldCharType="begin"/>
          </w:r>
          <w:r>
            <w:rPr>
              <w:rStyle w:val="34"/>
              <w:rFonts w:ascii="Times New Roman"/>
            </w:rPr>
            <w:instrText xml:space="preserve"> PAGEREF _Toc228451414 \h </w:instrText>
          </w:r>
          <w:r>
            <w:rPr>
              <w:rStyle w:val="34"/>
              <w:rFonts w:ascii="Times New Roman"/>
            </w:rPr>
            <w:fldChar w:fldCharType="separate"/>
          </w:r>
          <w:r>
            <w:rPr>
              <w:rStyle w:val="34"/>
              <w:rFonts w:ascii="Times New Roman"/>
            </w:rPr>
            <w:t>8</w:t>
          </w:r>
          <w:r>
            <w:rPr>
              <w:rStyle w:val="34"/>
              <w:rFonts w:ascii="Times New Roman"/>
            </w:rPr>
            <w:fldChar w:fldCharType="end"/>
          </w:r>
          <w:r>
            <w:rPr>
              <w:rStyle w:val="34"/>
              <w:rFonts w:ascii="Times New Roman"/>
            </w:rPr>
            <w:fldChar w:fldCharType="end"/>
          </w:r>
        </w:p>
        <w:p w14:paraId="1A98C5EA">
          <w:pPr>
            <w:pStyle w:val="20"/>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hAnsi="Times New Roman"/>
            </w:rPr>
            <w:instrText xml:space="preserve">HYPERLINK \l "_Toc228451417"</w:instrText>
          </w:r>
          <w:r>
            <w:rPr>
              <w:rStyle w:val="34"/>
              <w:rFonts w:ascii="Times New Roman"/>
            </w:rPr>
            <w:instrText xml:space="preserve"> </w:instrText>
          </w:r>
          <w:r>
            <w:rPr>
              <w:rStyle w:val="34"/>
              <w:rFonts w:ascii="Times New Roman"/>
            </w:rPr>
            <w:fldChar w:fldCharType="separate"/>
          </w:r>
          <w:r>
            <w:rPr>
              <w:rStyle w:val="34"/>
              <w:rFonts w:ascii="Times New Roman"/>
            </w:rPr>
            <w:t>参考文献</w:t>
          </w:r>
          <w:r>
            <w:rPr>
              <w:rFonts w:hAnsi="Times New Roman"/>
            </w:rPr>
            <w:tab/>
          </w:r>
          <w:r>
            <w:rPr>
              <w:rFonts w:hint="eastAsia" w:hAnsi="Times New Roman"/>
            </w:rPr>
            <w:fldChar w:fldCharType="begin"/>
          </w:r>
          <w:r>
            <w:rPr>
              <w:rFonts w:hAnsi="Times New Roman"/>
            </w:rPr>
            <w:instrText xml:space="preserve"> PAGEREF _Toc228451417 \h </w:instrText>
          </w:r>
          <w:r>
            <w:rPr>
              <w:rFonts w:hint="eastAsia" w:hAnsi="Times New Roman"/>
            </w:rPr>
            <w:fldChar w:fldCharType="separate"/>
          </w:r>
          <w:r>
            <w:rPr>
              <w:rFonts w:hAnsi="Times New Roman"/>
            </w:rPr>
            <w:t>9</w:t>
          </w:r>
          <w:r>
            <w:rPr>
              <w:rFonts w:hint="eastAsia" w:hAnsi="Times New Roman"/>
            </w:rPr>
            <w:fldChar w:fldCharType="end"/>
          </w:r>
          <w:r>
            <w:rPr>
              <w:rStyle w:val="34"/>
              <w:rFonts w:ascii="Times New Roman"/>
            </w:rPr>
            <w:fldChar w:fldCharType="end"/>
          </w:r>
        </w:p>
        <w:p w14:paraId="245F37AF">
          <w:pPr>
            <w:spacing w:line="240" w:lineRule="auto"/>
          </w:pPr>
          <w:r>
            <w:rPr>
              <w:rFonts w:ascii="Times New Roman" w:hAnsi="Times New Roman"/>
              <w:b/>
              <w:bCs/>
              <w:lang w:val="zh-CN"/>
            </w:rPr>
            <w:fldChar w:fldCharType="end"/>
          </w:r>
        </w:p>
      </w:sdtContent>
    </w:sdt>
    <w:p w14:paraId="1DEFFD44">
      <w:pPr>
        <w:pStyle w:val="94"/>
        <w:spacing w:after="360"/>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p>
    <w:bookmarkEnd w:id="6"/>
    <w:p w14:paraId="1AD3DD84">
      <w:pPr>
        <w:pStyle w:val="92"/>
        <w:numPr>
          <w:ilvl w:val="0"/>
          <w:numId w:val="0"/>
        </w:numPr>
        <w:spacing w:before="240" w:beforeLines="100" w:after="240" w:afterLines="100"/>
        <w:ind w:left="0" w:firstLine="0"/>
      </w:pPr>
      <w:bookmarkStart w:id="7" w:name="_Toc228451402"/>
      <w:bookmarkStart w:id="8" w:name="_Toc32759"/>
      <w:bookmarkStart w:id="9" w:name="BookMark2"/>
      <w:r>
        <w:rPr>
          <w:rFonts w:hint="eastAsia"/>
          <w:spacing w:val="0"/>
        </w:rPr>
        <w:t>前</w:t>
      </w:r>
      <w:r>
        <w:rPr>
          <w:rFonts w:hint="eastAsia"/>
        </w:rPr>
        <w:t xml:space="preserve">  言</w:t>
      </w:r>
      <w:bookmarkEnd w:id="7"/>
      <w:bookmarkEnd w:id="8"/>
    </w:p>
    <w:p w14:paraId="4CE5D330">
      <w:pPr>
        <w:pStyle w:val="59"/>
        <w:ind w:firstLine="420"/>
      </w:pPr>
      <w:r>
        <w:t>T/XXX XXX</w:t>
      </w:r>
      <w:r>
        <w:rPr>
          <w:rFonts w:hint="eastAsia"/>
        </w:rPr>
        <w:t>《临床研究病房智慧管理平台建设规范》分为以下</w:t>
      </w:r>
      <w:r>
        <w:t>7</w:t>
      </w:r>
      <w:r>
        <w:rPr>
          <w:rFonts w:hint="eastAsia"/>
        </w:rPr>
        <w:t>个部分：</w:t>
      </w:r>
    </w:p>
    <w:p w14:paraId="27E3C828">
      <w:pPr>
        <w:pStyle w:val="59"/>
        <w:ind w:firstLine="420"/>
      </w:pPr>
      <w:r>
        <w:rPr>
          <w:rFonts w:hint="eastAsia"/>
        </w:rPr>
        <w:t>——第</w:t>
      </w:r>
      <w:r>
        <w:t>1</w:t>
      </w:r>
      <w:r>
        <w:rPr>
          <w:rFonts w:hint="eastAsia"/>
        </w:rPr>
        <w:t>部分：架构设计；</w:t>
      </w:r>
    </w:p>
    <w:p w14:paraId="688279B3">
      <w:pPr>
        <w:pStyle w:val="59"/>
        <w:ind w:firstLine="420"/>
      </w:pPr>
      <w:r>
        <w:rPr>
          <w:rFonts w:hint="eastAsia"/>
        </w:rPr>
        <w:t>——第</w:t>
      </w:r>
      <w:r>
        <w:t>2</w:t>
      </w:r>
      <w:r>
        <w:rPr>
          <w:rFonts w:hint="eastAsia"/>
        </w:rPr>
        <w:t>部分：数据采集；</w:t>
      </w:r>
    </w:p>
    <w:p w14:paraId="7083B9B1">
      <w:pPr>
        <w:pStyle w:val="59"/>
        <w:ind w:firstLine="420"/>
      </w:pPr>
      <w:r>
        <w:rPr>
          <w:rFonts w:hint="eastAsia"/>
        </w:rPr>
        <w:t>——第</w:t>
      </w:r>
      <w:r>
        <w:t>3</w:t>
      </w:r>
      <w:r>
        <w:rPr>
          <w:rFonts w:hint="eastAsia"/>
        </w:rPr>
        <w:t>部分：数据传输；</w:t>
      </w:r>
    </w:p>
    <w:p w14:paraId="0877AA33">
      <w:pPr>
        <w:pStyle w:val="59"/>
        <w:ind w:firstLine="420"/>
      </w:pPr>
      <w:r>
        <w:rPr>
          <w:rFonts w:hint="eastAsia"/>
        </w:rPr>
        <w:t>——第</w:t>
      </w:r>
      <w:r>
        <w:t>4</w:t>
      </w:r>
      <w:r>
        <w:rPr>
          <w:rFonts w:hint="eastAsia"/>
        </w:rPr>
        <w:t>部分：数据存储；</w:t>
      </w:r>
    </w:p>
    <w:p w14:paraId="71C91368">
      <w:pPr>
        <w:pStyle w:val="59"/>
        <w:ind w:firstLine="420"/>
      </w:pPr>
      <w:r>
        <w:rPr>
          <w:rFonts w:hint="eastAsia"/>
        </w:rPr>
        <w:t>——第</w:t>
      </w:r>
      <w:r>
        <w:t>5</w:t>
      </w:r>
      <w:r>
        <w:rPr>
          <w:rFonts w:hint="eastAsia"/>
        </w:rPr>
        <w:t>部分：质量控制；</w:t>
      </w:r>
    </w:p>
    <w:p w14:paraId="49FA756A">
      <w:pPr>
        <w:pStyle w:val="59"/>
        <w:ind w:firstLine="420"/>
      </w:pPr>
      <w:r>
        <w:rPr>
          <w:rFonts w:hint="eastAsia"/>
        </w:rPr>
        <w:t>——第</w:t>
      </w:r>
      <w:r>
        <w:t>6</w:t>
      </w:r>
      <w:r>
        <w:rPr>
          <w:rFonts w:hint="eastAsia"/>
        </w:rPr>
        <w:t>部分：应用评价；</w:t>
      </w:r>
    </w:p>
    <w:p w14:paraId="28774E6F">
      <w:pPr>
        <w:pStyle w:val="59"/>
        <w:ind w:firstLine="420"/>
      </w:pPr>
      <w:r>
        <w:rPr>
          <w:rFonts w:hint="eastAsia"/>
        </w:rPr>
        <w:t>——第</w:t>
      </w:r>
      <w:r>
        <w:t>7</w:t>
      </w:r>
      <w:r>
        <w:rPr>
          <w:rFonts w:hint="eastAsia"/>
        </w:rPr>
        <w:t>部分：培训实施。</w:t>
      </w:r>
    </w:p>
    <w:p w14:paraId="0408B386">
      <w:pPr>
        <w:pStyle w:val="59"/>
        <w:ind w:firstLine="420"/>
      </w:pPr>
      <w:r>
        <w:rPr>
          <w:rFonts w:hint="eastAsia"/>
        </w:rPr>
        <w:t>本部分为</w:t>
      </w:r>
      <w:r>
        <w:t>T/XXX XXX</w:t>
      </w:r>
      <w:r>
        <w:rPr>
          <w:rFonts w:hint="eastAsia"/>
        </w:rPr>
        <w:t>的第</w:t>
      </w:r>
      <w:r>
        <w:t>2</w:t>
      </w:r>
      <w:r>
        <w:rPr>
          <w:rFonts w:hint="eastAsia"/>
        </w:rPr>
        <w:t>部分。</w:t>
      </w:r>
    </w:p>
    <w:p w14:paraId="5CDBBBD3">
      <w:pPr>
        <w:pStyle w:val="59"/>
        <w:ind w:firstLine="420"/>
      </w:pPr>
      <w:r>
        <w:rPr>
          <w:rFonts w:hint="eastAsia"/>
        </w:rPr>
        <w:t>本文件按照</w:t>
      </w:r>
      <w:r>
        <w:t xml:space="preserve">GB/T 1.1-2020 </w:t>
      </w:r>
      <w:r>
        <w:rPr>
          <w:rFonts w:hint="eastAsia"/>
        </w:rPr>
        <w:t>《标准化工作导则</w:t>
      </w:r>
      <w:r>
        <w:t xml:space="preserve"> </w:t>
      </w:r>
      <w:r>
        <w:rPr>
          <w:rFonts w:hint="eastAsia"/>
        </w:rPr>
        <w:t>第</w:t>
      </w:r>
      <w:r>
        <w:t>1</w:t>
      </w:r>
      <w:r>
        <w:rPr>
          <w:rFonts w:hint="eastAsia"/>
        </w:rPr>
        <w:t>部分：标准化文件的结构和起草规则》的规定起草。</w:t>
      </w:r>
    </w:p>
    <w:p w14:paraId="74C16491">
      <w:pPr>
        <w:pStyle w:val="59"/>
        <w:ind w:firstLine="420"/>
      </w:pPr>
      <w:bookmarkStart w:id="10" w:name="OLE_LINK4"/>
      <w:r>
        <w:rPr>
          <w:rFonts w:hint="eastAsia"/>
        </w:rPr>
        <w:t>请注意本文件的某些内容可能涉及专利。本文件的发布机构不承担识别专利的责任。</w:t>
      </w:r>
    </w:p>
    <w:bookmarkEnd w:id="10"/>
    <w:p w14:paraId="3A3C037D">
      <w:pPr>
        <w:pStyle w:val="59"/>
        <w:ind w:firstLine="420"/>
      </w:pPr>
      <w:r>
        <w:rPr>
          <w:rFonts w:hint="eastAsia"/>
        </w:rPr>
        <w:t>本文件由</w:t>
      </w:r>
      <w:r>
        <w:rPr>
          <w:rFonts w:hint="eastAsia"/>
          <w:lang w:val="en-US" w:eastAsia="zh-CN"/>
        </w:rPr>
        <w:t>中国研究型医院学会</w:t>
      </w:r>
      <w:r>
        <w:rPr>
          <w:rFonts w:hint="eastAsia"/>
        </w:rPr>
        <w:t>提出。</w:t>
      </w:r>
    </w:p>
    <w:p w14:paraId="2B5EB325">
      <w:pPr>
        <w:pStyle w:val="59"/>
        <w:ind w:firstLine="420"/>
      </w:pPr>
      <w:r>
        <w:rPr>
          <w:rFonts w:hint="eastAsia"/>
        </w:rPr>
        <w:t>本文件由</w:t>
      </w:r>
      <w:r>
        <w:rPr>
          <w:rFonts w:hint="eastAsia"/>
          <w:lang w:val="en-US" w:eastAsia="zh-CN"/>
        </w:rPr>
        <w:t>中国研究型医院学会</w:t>
      </w:r>
      <w:r>
        <w:rPr>
          <w:rFonts w:hint="eastAsia"/>
        </w:rPr>
        <w:t>归口。</w:t>
      </w:r>
    </w:p>
    <w:p w14:paraId="6B0B5906">
      <w:pPr>
        <w:pStyle w:val="59"/>
        <w:ind w:firstLine="420"/>
      </w:pPr>
      <w:r>
        <w:rPr>
          <w:rFonts w:hint="eastAsia"/>
        </w:rPr>
        <w:t>本文件起草单位：</w:t>
      </w:r>
    </w:p>
    <w:p w14:paraId="2D631911">
      <w:pPr>
        <w:pStyle w:val="59"/>
        <w:ind w:firstLine="420"/>
      </w:pPr>
      <w:r>
        <w:rPr>
          <w:rFonts w:hint="eastAsia"/>
        </w:rPr>
        <w:t>本文件主要起草人：</w:t>
      </w:r>
    </w:p>
    <w:p w14:paraId="4DC56B94">
      <w:pPr>
        <w:pStyle w:val="59"/>
        <w:ind w:firstLine="420"/>
      </w:pPr>
    </w:p>
    <w:p w14:paraId="29BCF4C5">
      <w:pPr>
        <w:pStyle w:val="59"/>
        <w:ind w:firstLine="420"/>
        <w:sectPr>
          <w:pgSz w:w="11906" w:h="16838"/>
          <w:pgMar w:top="1928" w:right="1134" w:bottom="1134" w:left="1134" w:header="1418" w:footer="1134" w:gutter="284"/>
          <w:pgNumType w:fmt="upperRoman"/>
          <w:cols w:space="425" w:num="1"/>
          <w:formProt w:val="0"/>
          <w:titlePg/>
          <w:docGrid w:linePitch="312" w:charSpace="0"/>
        </w:sectPr>
      </w:pPr>
    </w:p>
    <w:bookmarkEnd w:id="9"/>
    <w:p w14:paraId="5106E18A">
      <w:pPr>
        <w:pStyle w:val="92"/>
        <w:numPr>
          <w:ilvl w:val="0"/>
          <w:numId w:val="0"/>
        </w:numPr>
        <w:spacing w:before="240" w:beforeLines="100" w:after="240" w:afterLines="100"/>
        <w:ind w:left="0" w:firstLine="0"/>
      </w:pPr>
      <w:bookmarkStart w:id="11" w:name="_Toc228451403"/>
      <w:bookmarkStart w:id="12" w:name="_Toc31846"/>
      <w:bookmarkStart w:id="13" w:name="BookMark3"/>
      <w:r>
        <w:rPr>
          <w:rFonts w:hint="eastAsia"/>
          <w:spacing w:val="0"/>
        </w:rPr>
        <w:t>引</w:t>
      </w:r>
      <w:r>
        <w:rPr>
          <w:rFonts w:hint="eastAsia"/>
        </w:rPr>
        <w:t xml:space="preserve">  言</w:t>
      </w:r>
      <w:bookmarkEnd w:id="11"/>
      <w:bookmarkEnd w:id="12"/>
    </w:p>
    <w:p w14:paraId="100738E9">
      <w:pPr>
        <w:widowControl/>
        <w:adjustRightInd/>
        <w:spacing w:line="240" w:lineRule="auto"/>
        <w:ind w:firstLine="420" w:firstLineChars="200"/>
        <w:jc w:val="both"/>
        <w:rPr>
          <w:rFonts w:ascii="Times New Roman" w:hAnsi="Times New Roman"/>
          <w:kern w:val="0"/>
          <w:szCs w:val="20"/>
        </w:rPr>
      </w:pPr>
      <w:r>
        <w:rPr>
          <w:rFonts w:ascii="Times New Roman" w:hAnsi="Times New Roman"/>
          <w:kern w:val="0"/>
          <w:szCs w:val="20"/>
        </w:rPr>
        <w:t>为解决临床研究病房智慧管理平台数据采集环节多源异构数据整合难、合规性管控弱、智慧化水平不足等行业共性痛点，满足《药物临床试验质量管理规范》对临床研究源数据的全流程管控要求，特制定本文件。</w:t>
      </w:r>
    </w:p>
    <w:p w14:paraId="001F0AF4">
      <w:pPr>
        <w:widowControl/>
        <w:spacing w:line="240" w:lineRule="auto"/>
        <w:ind w:firstLine="420" w:firstLineChars="200"/>
        <w:jc w:val="both"/>
        <w:rPr>
          <w:rFonts w:ascii="Times New Roman" w:hAnsi="Times New Roman"/>
          <w:kern w:val="0"/>
          <w:szCs w:val="20"/>
        </w:rPr>
      </w:pPr>
      <w:r>
        <w:rPr>
          <w:rFonts w:ascii="Times New Roman" w:hAnsi="Times New Roman"/>
          <w:kern w:val="0"/>
          <w:szCs w:val="20"/>
        </w:rPr>
        <w:t>本文件规定了临床研究病房智慧管理平台数据采集环节的全流程规范，是《临床研究病房智慧管理平台建设规范》系列标准的源头核心分册，与系列其他分册形成完整体系，为临床研究数据采集的设计、开发、部署与运维提供统一标准指引。</w:t>
      </w:r>
    </w:p>
    <w:p w14:paraId="41F3F0FB">
      <w:pPr>
        <w:widowControl/>
        <w:spacing w:line="240" w:lineRule="atLeast"/>
        <w:ind w:firstLine="420" w:firstLineChars="200"/>
        <w:jc w:val="left"/>
        <w:rPr>
          <w:rFonts w:ascii="Times New Roman" w:hAnsi="Times New Roman"/>
          <w:kern w:val="0"/>
          <w:szCs w:val="20"/>
        </w:rPr>
        <w:sectPr>
          <w:pgSz w:w="11906" w:h="16838"/>
          <w:pgMar w:top="1928" w:right="1134" w:bottom="1134" w:left="1134" w:header="1418" w:footer="1134" w:gutter="284"/>
          <w:pgNumType w:fmt="upperRoman"/>
          <w:cols w:space="425" w:num="1"/>
          <w:formProt w:val="0"/>
          <w:docGrid w:linePitch="312" w:charSpace="0"/>
        </w:sectPr>
      </w:pPr>
    </w:p>
    <w:bookmarkEnd w:id="13"/>
    <w:p w14:paraId="4670ABD2">
      <w:pPr>
        <w:spacing w:line="20" w:lineRule="exact"/>
        <w:jc w:val="center"/>
        <w:rPr>
          <w:rFonts w:hint="eastAsia" w:ascii="黑体" w:hAnsi="黑体" w:eastAsia="黑体"/>
          <w:sz w:val="32"/>
          <w:szCs w:val="32"/>
        </w:rPr>
      </w:pPr>
      <w:bookmarkStart w:id="14" w:name="BookMark4"/>
    </w:p>
    <w:p w14:paraId="6B7C68F5">
      <w:pPr>
        <w:spacing w:line="20" w:lineRule="exact"/>
        <w:jc w:val="center"/>
        <w:rPr>
          <w:rFonts w:hint="eastAsia" w:ascii="黑体" w:hAnsi="黑体" w:eastAsia="黑体"/>
          <w:sz w:val="32"/>
          <w:szCs w:val="32"/>
        </w:rPr>
      </w:pPr>
    </w:p>
    <w:sdt>
      <w:sdtPr>
        <w:tag w:val="NEW_STAND_NAME"/>
        <w:id w:val="595910757"/>
        <w:lock w:val="sdtLocked"/>
        <w:placeholder>
          <w:docPart w:val="13DB07F494D946DD974802DE07C4DB85"/>
        </w:placeholder>
      </w:sdtPr>
      <w:sdtContent>
        <w:p w14:paraId="4EC55089">
          <w:pPr>
            <w:pStyle w:val="180"/>
            <w:spacing w:before="0" w:beforeLines="-2147483648" w:after="0" w:afterLines="-2147483648" w:line="240" w:lineRule="auto"/>
          </w:pPr>
          <w:bookmarkStart w:id="15" w:name="OLE_LINK14"/>
          <w:bookmarkStart w:id="16" w:name="NEW_STAND_NAME"/>
        </w:p>
        <w:sdt>
          <w:sdtPr>
            <w:tag w:val="NEW_STAND_NAME"/>
            <w:id w:val="147453899"/>
            <w:lock w:val="sdtLocked"/>
            <w:placeholder>
              <w:docPart w:val="{f26b7956-c35f-47e1-b686-967e254e2f05}"/>
            </w:placeholder>
          </w:sdtPr>
          <w:sdtEndPr>
            <w:rPr>
              <w:rFonts w:ascii="Times New Roman" w:hAnsi="Times New Roman"/>
            </w:rPr>
          </w:sdtEndPr>
          <w:sdtContent>
            <w:p w14:paraId="1ED37EC2">
              <w:pPr>
                <w:pStyle w:val="180"/>
                <w:spacing w:before="0" w:beforeLines="-2147483648" w:after="0" w:afterLines="-2147483648" w:line="240" w:lineRule="auto"/>
                <w:rPr>
                  <w:rFonts w:hint="eastAsia" w:ascii="Times New Roman" w:hAnsi="Times New Roman"/>
                </w:rPr>
              </w:pPr>
              <w:r>
                <w:rPr>
                  <w:rFonts w:hint="eastAsia" w:ascii="Times New Roman" w:hAnsi="Times New Roman"/>
                </w:rPr>
                <w:t>临床研究病房智慧管理平台建设规范</w:t>
              </w:r>
            </w:p>
            <w:p w14:paraId="41E0D8E1">
              <w:pPr>
                <w:pStyle w:val="180"/>
                <w:spacing w:before="0" w:beforeLines="-2147483648" w:after="0" w:afterLines="-2147483648" w:line="240" w:lineRule="auto"/>
              </w:pPr>
              <w:r>
                <w:rPr>
                  <w:rFonts w:hint="eastAsia" w:ascii="Times New Roman" w:hAnsi="Times New Roman"/>
                </w:rPr>
                <w:t>第2部分：</w:t>
              </w:r>
              <w:bookmarkEnd w:id="15"/>
              <w:r>
                <w:rPr>
                  <w:rFonts w:hint="eastAsia" w:ascii="Times New Roman" w:hAnsi="Times New Roman"/>
                </w:rPr>
                <w:t>数据采集</w:t>
              </w:r>
            </w:p>
          </w:sdtContent>
        </w:sdt>
        <w:p w14:paraId="0AB4F304">
          <w:pPr>
            <w:pStyle w:val="180"/>
            <w:spacing w:before="0" w:beforeLines="-2147483648" w:after="0" w:afterLines="-2147483648" w:line="240" w:lineRule="auto"/>
            <w:rPr>
              <w:rFonts w:hint="eastAsia"/>
            </w:rPr>
          </w:pPr>
        </w:p>
      </w:sdtContent>
    </w:sdt>
    <w:bookmarkEnd w:id="14"/>
    <w:bookmarkEnd w:id="16"/>
    <w:p w14:paraId="5ADBA84F">
      <w:pPr>
        <w:pStyle w:val="107"/>
        <w:spacing w:before="240" w:after="240"/>
      </w:pPr>
      <w:bookmarkStart w:id="17" w:name="heading_3"/>
      <w:bookmarkStart w:id="18" w:name="_Toc11710"/>
      <w:bookmarkStart w:id="19" w:name="_Toc228451404"/>
      <w:bookmarkStart w:id="20" w:name="BookMark5"/>
      <w:r>
        <w:rPr>
          <w:rFonts w:hint="eastAsia"/>
        </w:rPr>
        <w:t>范围</w:t>
      </w:r>
      <w:bookmarkEnd w:id="17"/>
      <w:bookmarkEnd w:id="18"/>
      <w:bookmarkEnd w:id="19"/>
    </w:p>
    <w:p w14:paraId="37D4BFF5">
      <w:pPr>
        <w:pStyle w:val="59"/>
        <w:ind w:firstLine="420"/>
      </w:pPr>
      <w:r>
        <w:rPr>
          <w:rFonts w:hint="eastAsia"/>
        </w:rPr>
        <w:t>本文件规定了临床研究病房智慧管理平台中，临床研究数据采集的总体架构、采集对象、采集方式、数据分类、接口规范、采集过程和采集环节安全要求，明确了智慧化采集的技术要求与实施准则。</w:t>
      </w:r>
    </w:p>
    <w:p w14:paraId="77D4EB00">
      <w:pPr>
        <w:pStyle w:val="59"/>
        <w:ind w:firstLine="420"/>
      </w:pPr>
      <w:r>
        <w:rPr>
          <w:rFonts w:hint="eastAsia"/>
        </w:rPr>
        <w:t>本文件适用于临床研究病房智慧管理平台数据采集系统的设计、开发、部署、运维与全流程管理，涵盖药物、医疗器械等各类临床研究的数据采集活动，其他临床研究场景的数据采集活动可参考使用。</w:t>
      </w:r>
    </w:p>
    <w:p w14:paraId="3E484667">
      <w:pPr>
        <w:pStyle w:val="59"/>
        <w:ind w:firstLine="420"/>
      </w:pPr>
      <w:r>
        <w:rPr>
          <w:rFonts w:hint="eastAsia"/>
        </w:rPr>
        <w:t>本文件不适用于临床研究数据的传输、存储、统计分析、溯源审计环节专项技术要求，仅明确采集环节与上下游环节的边界划分与衔接规则，突出智慧化采集的核心技术要点与合规要求。</w:t>
      </w:r>
    </w:p>
    <w:p w14:paraId="75C1AA5E">
      <w:pPr>
        <w:pStyle w:val="107"/>
        <w:spacing w:before="240" w:after="240"/>
      </w:pPr>
      <w:bookmarkStart w:id="21" w:name="heading_4"/>
      <w:bookmarkStart w:id="22" w:name="_Toc228451405"/>
      <w:bookmarkStart w:id="23" w:name="_Toc27832"/>
      <w:r>
        <w:rPr>
          <w:rFonts w:hint="eastAsia"/>
        </w:rPr>
        <w:t>规范性引用文件</w:t>
      </w:r>
      <w:bookmarkEnd w:id="21"/>
      <w:bookmarkEnd w:id="22"/>
      <w:bookmarkEnd w:id="23"/>
    </w:p>
    <w:p w14:paraId="21B1C6E5">
      <w:pPr>
        <w:pStyle w:val="59"/>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3C2804A7">
      <w:pPr>
        <w:pStyle w:val="59"/>
        <w:ind w:firstLine="420"/>
      </w:pPr>
      <w:bookmarkStart w:id="24" w:name="_Toc8696"/>
      <w:bookmarkStart w:id="25" w:name="heading_5"/>
      <w:r>
        <w:rPr>
          <w:rFonts w:hint="eastAsia"/>
        </w:rPr>
        <w:t xml:space="preserve">GB/T 1.1-2020 标准化工作导则 第1部分：标准化文件的结构和起草规则 </w:t>
      </w:r>
    </w:p>
    <w:p w14:paraId="66473CC1">
      <w:pPr>
        <w:pStyle w:val="59"/>
        <w:ind w:firstLine="420"/>
      </w:pPr>
      <w:r>
        <w:rPr>
          <w:rFonts w:hint="eastAsia"/>
        </w:rPr>
        <w:t xml:space="preserve">GB/T 22239-2019 信息安全技术 网络安全等级保护基本要求 </w:t>
      </w:r>
    </w:p>
    <w:p w14:paraId="55F299E5">
      <w:pPr>
        <w:pStyle w:val="59"/>
        <w:ind w:firstLine="420"/>
      </w:pPr>
      <w:r>
        <w:rPr>
          <w:rFonts w:hint="eastAsia"/>
        </w:rPr>
        <w:t xml:space="preserve">GB/T 35273-2020 信息安全技术 个人信息安全规范 </w:t>
      </w:r>
    </w:p>
    <w:p w14:paraId="5706C19A">
      <w:pPr>
        <w:pStyle w:val="59"/>
        <w:ind w:firstLine="420"/>
      </w:pPr>
      <w:bookmarkStart w:id="26" w:name="OLE_LINK10"/>
      <w:r>
        <w:rPr>
          <w:rFonts w:hint="eastAsia"/>
        </w:rPr>
        <w:t>GB/T 44662-2024</w:t>
      </w:r>
      <w:bookmarkEnd w:id="26"/>
      <w:r>
        <w:rPr>
          <w:rFonts w:hint="eastAsia"/>
        </w:rPr>
        <w:t xml:space="preserve"> </w:t>
      </w:r>
      <w:bookmarkStart w:id="27" w:name="OLE_LINK9"/>
      <w:r>
        <w:rPr>
          <w:rFonts w:hint="eastAsia"/>
        </w:rPr>
        <w:t>健康管理 终端设备数据采集与传输协议规范</w:t>
      </w:r>
      <w:bookmarkEnd w:id="27"/>
      <w:r>
        <w:rPr>
          <w:rFonts w:hint="eastAsia"/>
        </w:rPr>
        <w:t xml:space="preserve"> </w:t>
      </w:r>
    </w:p>
    <w:p w14:paraId="393E21DD">
      <w:pPr>
        <w:pStyle w:val="59"/>
        <w:ind w:firstLine="420"/>
      </w:pPr>
      <w:r>
        <w:rPr>
          <w:rFonts w:hint="eastAsia"/>
        </w:rPr>
        <w:t>GB/T 17504-2015 健康信息学 医学数字成像和通信（DICOM）</w:t>
      </w:r>
    </w:p>
    <w:p w14:paraId="1FA5EADC">
      <w:pPr>
        <w:pStyle w:val="107"/>
        <w:spacing w:before="240" w:after="240"/>
      </w:pPr>
      <w:bookmarkStart w:id="28" w:name="_Toc228451406"/>
      <w:r>
        <w:rPr>
          <w:rFonts w:hint="eastAsia"/>
        </w:rPr>
        <w:t>术语和定义</w:t>
      </w:r>
      <w:bookmarkEnd w:id="24"/>
      <w:bookmarkEnd w:id="25"/>
      <w:bookmarkEnd w:id="28"/>
    </w:p>
    <w:p w14:paraId="3B2FD004">
      <w:pPr>
        <w:pStyle w:val="59"/>
        <w:ind w:firstLine="420"/>
      </w:pPr>
      <w:r>
        <w:rPr>
          <w:rFonts w:hint="eastAsia"/>
        </w:rPr>
        <w:t>下列术语和定义适用于本文件。</w:t>
      </w:r>
    </w:p>
    <w:p w14:paraId="45828BD1">
      <w:pPr>
        <w:pStyle w:val="108"/>
        <w:spacing w:before="120" w:after="120"/>
        <w:outlineLvl w:val="9"/>
      </w:pPr>
      <w:bookmarkStart w:id="29" w:name="_Toc10785"/>
      <w:bookmarkStart w:id="30" w:name="_Toc18117"/>
    </w:p>
    <w:p w14:paraId="344BF7FB">
      <w:pPr>
        <w:pStyle w:val="108"/>
        <w:numPr>
          <w:ilvl w:val="0"/>
          <w:numId w:val="0"/>
        </w:numPr>
        <w:spacing w:before="0" w:beforeLines="0" w:after="0" w:afterLines="0"/>
        <w:ind w:firstLine="420" w:firstLineChars="200"/>
        <w:outlineLvl w:val="9"/>
      </w:pPr>
      <w:r>
        <w:rPr>
          <w:rFonts w:hint="eastAsia"/>
        </w:rPr>
        <w:t xml:space="preserve">临床研究数据采集 </w:t>
      </w:r>
      <w:r>
        <w:rPr>
          <w:rFonts w:ascii="Times New Roman"/>
        </w:rPr>
        <w:t>clinical research data collection</w:t>
      </w:r>
      <w:bookmarkEnd w:id="29"/>
      <w:bookmarkEnd w:id="30"/>
    </w:p>
    <w:p w14:paraId="61751972">
      <w:pPr>
        <w:pStyle w:val="59"/>
        <w:ind w:firstLine="420"/>
      </w:pPr>
      <w:r>
        <w:rPr>
          <w:rFonts w:hint="eastAsia"/>
        </w:rPr>
        <w:t>在临床研究病房全场景下，依托智慧管理平台，按照临床试验方案、GCP及相关法规要求，通过智能化技术从设备、系统、受试者、研究者等多源数据源，实现临床研究源数据的自动获取、智能校验、标准化清洗转换，并合规输出至平台下一环节的全流程智慧化管理活动。</w:t>
      </w:r>
    </w:p>
    <w:p w14:paraId="02E18D0D">
      <w:pPr>
        <w:pStyle w:val="108"/>
        <w:spacing w:before="120" w:after="120"/>
        <w:outlineLvl w:val="9"/>
      </w:pPr>
      <w:bookmarkStart w:id="31" w:name="_Toc24218"/>
      <w:bookmarkStart w:id="32" w:name="_Toc2470"/>
    </w:p>
    <w:p w14:paraId="645E0C45">
      <w:pPr>
        <w:pStyle w:val="108"/>
        <w:numPr>
          <w:ilvl w:val="0"/>
          <w:numId w:val="0"/>
        </w:numPr>
        <w:spacing w:before="0" w:beforeLines="0" w:after="0" w:afterLines="0"/>
        <w:ind w:firstLine="420" w:firstLineChars="200"/>
        <w:outlineLvl w:val="9"/>
      </w:pPr>
      <w:r>
        <w:rPr>
          <w:rFonts w:hint="eastAsia"/>
        </w:rPr>
        <w:t xml:space="preserve">源数据 </w:t>
      </w:r>
      <w:r>
        <w:rPr>
          <w:rFonts w:ascii="Times New Roman"/>
        </w:rPr>
        <w:t>source data</w:t>
      </w:r>
      <w:bookmarkEnd w:id="31"/>
      <w:bookmarkEnd w:id="32"/>
    </w:p>
    <w:p w14:paraId="07099573">
      <w:pPr>
        <w:pStyle w:val="59"/>
        <w:ind w:firstLine="420"/>
      </w:pPr>
      <w:r>
        <w:rPr>
          <w:rFonts w:hint="eastAsia"/>
        </w:rPr>
        <w:t>临床试验中产生的原始记录、文件或数据，是临床试验数据核查与稽查的核心依据，可用于临床试验数据的重建和评价，包括智能化采集的实时数据与人工补充的结构化、非结构化数据。</w:t>
      </w:r>
    </w:p>
    <w:p w14:paraId="77E13918">
      <w:pPr>
        <w:pStyle w:val="108"/>
        <w:spacing w:before="120" w:after="120"/>
        <w:outlineLvl w:val="9"/>
      </w:pPr>
      <w:bookmarkStart w:id="33" w:name="_Toc19523"/>
    </w:p>
    <w:p w14:paraId="15B72336">
      <w:pPr>
        <w:pStyle w:val="108"/>
        <w:numPr>
          <w:ilvl w:val="0"/>
          <w:numId w:val="0"/>
        </w:numPr>
        <w:spacing w:before="0" w:beforeLines="0" w:after="0" w:afterLines="0"/>
        <w:ind w:firstLine="420" w:firstLineChars="200"/>
        <w:outlineLvl w:val="9"/>
        <w:rPr>
          <w:rFonts w:ascii="Times New Roman"/>
        </w:rPr>
      </w:pPr>
      <w:r>
        <w:rPr>
          <w:rFonts w:hint="eastAsia"/>
        </w:rPr>
        <w:t xml:space="preserve">智能化设备接入 </w:t>
      </w:r>
      <w:r>
        <w:rPr>
          <w:rFonts w:ascii="Times New Roman"/>
        </w:rPr>
        <w:t>intelligent device access</w:t>
      </w:r>
      <w:bookmarkEnd w:id="33"/>
    </w:p>
    <w:p w14:paraId="2DCE9E91">
      <w:pPr>
        <w:pStyle w:val="59"/>
        <w:ind w:firstLine="420"/>
      </w:pPr>
      <w:r>
        <w:rPr>
          <w:rFonts w:hint="eastAsia"/>
        </w:rPr>
        <w:t>具备数据自动采集、传输、处理能力的设备，能够与信息系统进行数据交互。</w:t>
      </w:r>
    </w:p>
    <w:p w14:paraId="1436D65D">
      <w:pPr>
        <w:pStyle w:val="108"/>
        <w:spacing w:before="120" w:after="120"/>
        <w:outlineLvl w:val="9"/>
      </w:pPr>
      <w:bookmarkStart w:id="34" w:name="_Toc19514"/>
      <w:bookmarkStart w:id="35" w:name="_Toc31644"/>
    </w:p>
    <w:p w14:paraId="6AA5F33F">
      <w:pPr>
        <w:pStyle w:val="108"/>
        <w:numPr>
          <w:ilvl w:val="0"/>
          <w:numId w:val="0"/>
        </w:numPr>
        <w:spacing w:before="0" w:beforeLines="0" w:after="0" w:afterLines="0"/>
        <w:ind w:firstLine="420" w:firstLineChars="200"/>
        <w:outlineLvl w:val="9"/>
        <w:rPr>
          <w:rFonts w:ascii="Times New Roman"/>
        </w:rPr>
      </w:pPr>
      <w:r>
        <w:rPr>
          <w:rFonts w:hint="eastAsia"/>
        </w:rPr>
        <w:t xml:space="preserve">场景化采集 </w:t>
      </w:r>
      <w:r>
        <w:rPr>
          <w:rFonts w:ascii="Times New Roman"/>
        </w:rPr>
        <w:t>scene-based collection</w:t>
      </w:r>
      <w:bookmarkEnd w:id="34"/>
      <w:bookmarkEnd w:id="35"/>
    </w:p>
    <w:p w14:paraId="7B71982B">
      <w:pPr>
        <w:pStyle w:val="59"/>
        <w:ind w:firstLine="420"/>
      </w:pPr>
      <w:r>
        <w:rPr>
          <w:rFonts w:hint="eastAsia"/>
        </w:rPr>
        <w:t>针对院内临床、受试者院外随访、科研专项、离线补采等临床研究不同场景，依托智慧管理平台实施的差异化、标准化、智能化数据采集策略，实现场景与采集方式的精准适配。</w:t>
      </w:r>
    </w:p>
    <w:p w14:paraId="0FE5443D">
      <w:pPr>
        <w:pStyle w:val="108"/>
        <w:spacing w:before="120" w:after="120"/>
        <w:outlineLvl w:val="9"/>
      </w:pPr>
      <w:bookmarkStart w:id="36" w:name="_Toc29425"/>
      <w:bookmarkStart w:id="37" w:name="_Toc31511"/>
    </w:p>
    <w:p w14:paraId="4FE7931F">
      <w:pPr>
        <w:pStyle w:val="108"/>
        <w:numPr>
          <w:ilvl w:val="0"/>
          <w:numId w:val="0"/>
        </w:numPr>
        <w:spacing w:before="0" w:beforeLines="0" w:after="0" w:afterLines="0"/>
        <w:ind w:firstLine="420" w:firstLineChars="200"/>
        <w:outlineLvl w:val="9"/>
      </w:pPr>
      <w:r>
        <w:rPr>
          <w:rFonts w:hint="eastAsia"/>
        </w:rPr>
        <w:t xml:space="preserve">数据清洗与转换 </w:t>
      </w:r>
      <w:r>
        <w:rPr>
          <w:rFonts w:ascii="Times New Roman"/>
        </w:rPr>
        <w:t>data cleaning and conversion</w:t>
      </w:r>
      <w:bookmarkEnd w:id="36"/>
      <w:bookmarkEnd w:id="37"/>
    </w:p>
    <w:p w14:paraId="0203DC84">
      <w:pPr>
        <w:pStyle w:val="59"/>
        <w:ind w:firstLine="420"/>
      </w:pPr>
      <w:r>
        <w:rPr>
          <w:rFonts w:hint="eastAsia"/>
        </w:rPr>
        <w:t>依托智慧管理平台的智能算法，对采集的原始数据进行缺省值处理、异常值剔除、格式统一、代码标准化的自动化处理过程，保障采集数据的一致性、规范性，支撑后续数据的智能化应用。</w:t>
      </w:r>
    </w:p>
    <w:p w14:paraId="0DBA85FE">
      <w:pPr>
        <w:pStyle w:val="108"/>
        <w:spacing w:before="120" w:after="120"/>
        <w:outlineLvl w:val="9"/>
      </w:pPr>
      <w:bookmarkStart w:id="38" w:name="_Toc18090"/>
      <w:bookmarkStart w:id="39" w:name="_Toc15053"/>
    </w:p>
    <w:p w14:paraId="692F55AB">
      <w:pPr>
        <w:pStyle w:val="108"/>
        <w:numPr>
          <w:ilvl w:val="0"/>
          <w:numId w:val="0"/>
        </w:numPr>
        <w:spacing w:before="0" w:beforeLines="0" w:after="0" w:afterLines="0"/>
        <w:ind w:firstLine="420" w:firstLineChars="200"/>
        <w:outlineLvl w:val="9"/>
        <w:rPr>
          <w:rFonts w:ascii="Times New Roman"/>
        </w:rPr>
      </w:pPr>
      <w:r>
        <w:rPr>
          <w:rFonts w:hint="eastAsia"/>
        </w:rPr>
        <w:t>智慧化采集</w:t>
      </w:r>
      <w:r>
        <w:t xml:space="preserve"> </w:t>
      </w:r>
      <w:r>
        <w:rPr>
          <w:rFonts w:ascii="Times New Roman"/>
        </w:rPr>
        <w:t>intelligent collection</w:t>
      </w:r>
      <w:bookmarkEnd w:id="38"/>
      <w:bookmarkEnd w:id="39"/>
    </w:p>
    <w:p w14:paraId="57F67749">
      <w:pPr>
        <w:pStyle w:val="59"/>
        <w:ind w:firstLine="420"/>
      </w:pPr>
      <w:r>
        <w:rPr>
          <w:rFonts w:hint="eastAsia"/>
        </w:rPr>
        <w:t>融合物联网、人工智能、大数据等技术，实现临床研究数据的自动获取、实时传输、智能校验、异常告警、全程溯源的采集模式，减少人工干预，提升采集效率与数据质量。</w:t>
      </w:r>
    </w:p>
    <w:p w14:paraId="254B0729">
      <w:pPr>
        <w:pStyle w:val="107"/>
        <w:spacing w:before="240" w:after="240"/>
      </w:pPr>
      <w:bookmarkStart w:id="40" w:name="heading_6"/>
      <w:bookmarkStart w:id="41" w:name="_Toc228451407"/>
      <w:bookmarkStart w:id="42" w:name="_Toc211"/>
      <w:r>
        <w:rPr>
          <w:rFonts w:hint="eastAsia"/>
        </w:rPr>
        <w:t>缩略语</w:t>
      </w:r>
      <w:bookmarkEnd w:id="40"/>
      <w:bookmarkEnd w:id="41"/>
      <w:bookmarkEnd w:id="42"/>
    </w:p>
    <w:p w14:paraId="4A5E68FD">
      <w:pPr>
        <w:pStyle w:val="59"/>
        <w:ind w:firstLine="420"/>
      </w:pPr>
      <w:r>
        <w:rPr>
          <w:rFonts w:hint="eastAsia"/>
        </w:rPr>
        <w:t>下列缩略语适用于本文件。</w:t>
      </w:r>
    </w:p>
    <w:p w14:paraId="22EE9B7C">
      <w:pPr>
        <w:pStyle w:val="59"/>
        <w:ind w:firstLine="420"/>
        <w:rPr>
          <w:lang w:val="fr-FR"/>
        </w:rPr>
      </w:pPr>
      <w:bookmarkStart w:id="43" w:name="heading_7"/>
      <w:bookmarkStart w:id="44" w:name="_Toc19339"/>
      <w:r>
        <w:rPr>
          <w:rFonts w:hint="eastAsia"/>
          <w:lang w:val="fr-FR"/>
        </w:rPr>
        <w:t>AI：</w:t>
      </w:r>
      <w:r>
        <w:rPr>
          <w:rFonts w:hint="eastAsia"/>
        </w:rPr>
        <w:t>人工智能</w:t>
      </w:r>
      <w:r>
        <w:rPr>
          <w:rFonts w:hint="eastAsia"/>
          <w:lang w:val="fr-FR"/>
        </w:rPr>
        <w:t xml:space="preserve">（Artificial intelligence） </w:t>
      </w:r>
    </w:p>
    <w:p w14:paraId="36CFBB44">
      <w:pPr>
        <w:pStyle w:val="59"/>
        <w:ind w:firstLine="420"/>
        <w:rPr>
          <w:lang w:val="fr-FR"/>
        </w:rPr>
      </w:pPr>
      <w:r>
        <w:rPr>
          <w:rFonts w:hint="eastAsia"/>
          <w:lang w:val="fr-FR"/>
        </w:rPr>
        <w:t>CRF：</w:t>
      </w:r>
      <w:r>
        <w:rPr>
          <w:rFonts w:hint="eastAsia"/>
        </w:rPr>
        <w:t>病例报告表</w:t>
      </w:r>
      <w:r>
        <w:rPr>
          <w:rFonts w:hint="eastAsia"/>
          <w:lang w:val="fr-FR"/>
        </w:rPr>
        <w:t xml:space="preserve">（Case report form） </w:t>
      </w:r>
    </w:p>
    <w:p w14:paraId="5A4FE3A9">
      <w:pPr>
        <w:pStyle w:val="59"/>
        <w:ind w:firstLine="420"/>
        <w:rPr>
          <w:lang w:val="fr-FR"/>
        </w:rPr>
      </w:pPr>
      <w:r>
        <w:rPr>
          <w:rFonts w:hint="eastAsia"/>
          <w:lang w:val="fr-FR"/>
        </w:rPr>
        <w:t>DICOM：</w:t>
      </w:r>
      <w:r>
        <w:rPr>
          <w:rFonts w:hint="eastAsia"/>
        </w:rPr>
        <w:t>医学数字成像和通信</w:t>
      </w:r>
      <w:r>
        <w:rPr>
          <w:rFonts w:hint="eastAsia"/>
          <w:lang w:val="fr-FR"/>
        </w:rPr>
        <w:t xml:space="preserve">（Digital imaging and communications in medicine） </w:t>
      </w:r>
    </w:p>
    <w:p w14:paraId="45DDC0EE">
      <w:pPr>
        <w:pStyle w:val="59"/>
        <w:ind w:firstLine="420"/>
        <w:rPr>
          <w:lang w:val="fr-FR"/>
        </w:rPr>
      </w:pPr>
      <w:r>
        <w:rPr>
          <w:rFonts w:hint="eastAsia"/>
          <w:lang w:val="fr-FR"/>
        </w:rPr>
        <w:t>EDC：</w:t>
      </w:r>
      <w:r>
        <w:rPr>
          <w:rFonts w:hint="eastAsia"/>
        </w:rPr>
        <w:t>电子数据采集系统</w:t>
      </w:r>
      <w:r>
        <w:rPr>
          <w:rFonts w:hint="eastAsia"/>
          <w:lang w:val="fr-FR"/>
        </w:rPr>
        <w:t xml:space="preserve">（Electronic data capture system） </w:t>
      </w:r>
    </w:p>
    <w:p w14:paraId="673F51EF">
      <w:pPr>
        <w:pStyle w:val="59"/>
        <w:ind w:firstLine="420"/>
        <w:rPr>
          <w:lang w:val="fr-FR"/>
        </w:rPr>
      </w:pPr>
      <w:r>
        <w:rPr>
          <w:rFonts w:hint="eastAsia"/>
          <w:lang w:val="fr-FR"/>
        </w:rPr>
        <w:t>EMR：</w:t>
      </w:r>
      <w:r>
        <w:rPr>
          <w:rFonts w:hint="eastAsia"/>
        </w:rPr>
        <w:t>电子病历系统</w:t>
      </w:r>
      <w:r>
        <w:rPr>
          <w:rFonts w:hint="eastAsia"/>
          <w:lang w:val="fr-FR"/>
        </w:rPr>
        <w:t xml:space="preserve">（Electronic medical record） </w:t>
      </w:r>
    </w:p>
    <w:p w14:paraId="007EB2E6">
      <w:pPr>
        <w:pStyle w:val="59"/>
        <w:ind w:firstLine="420"/>
        <w:rPr>
          <w:lang w:val="fr-FR"/>
        </w:rPr>
      </w:pPr>
      <w:r>
        <w:rPr>
          <w:rFonts w:hint="eastAsia"/>
          <w:lang w:val="fr-FR"/>
        </w:rPr>
        <w:t>GCP：</w:t>
      </w:r>
      <w:r>
        <w:rPr>
          <w:rFonts w:hint="eastAsia"/>
        </w:rPr>
        <w:t>药物临床试验质量管理规范</w:t>
      </w:r>
      <w:r>
        <w:rPr>
          <w:rFonts w:hint="eastAsia"/>
          <w:lang w:val="fr-FR"/>
        </w:rPr>
        <w:t>（Good clinical practice）</w:t>
      </w:r>
    </w:p>
    <w:p w14:paraId="0337381C">
      <w:pPr>
        <w:pStyle w:val="59"/>
        <w:ind w:firstLine="420"/>
        <w:rPr>
          <w:lang w:val="fr-FR"/>
        </w:rPr>
      </w:pPr>
      <w:r>
        <w:rPr>
          <w:rFonts w:hint="eastAsia"/>
          <w:lang w:val="fr-FR"/>
        </w:rPr>
        <w:t>HIS：</w:t>
      </w:r>
      <w:r>
        <w:rPr>
          <w:rFonts w:hint="eastAsia"/>
        </w:rPr>
        <w:t>医院信息系统</w:t>
      </w:r>
      <w:r>
        <w:rPr>
          <w:rFonts w:hint="eastAsia"/>
          <w:lang w:val="fr-FR"/>
        </w:rPr>
        <w:t xml:space="preserve">（Hospital information system） </w:t>
      </w:r>
    </w:p>
    <w:p w14:paraId="78704E6E">
      <w:pPr>
        <w:pStyle w:val="59"/>
        <w:ind w:firstLine="420"/>
        <w:rPr>
          <w:lang w:val="fr-FR"/>
        </w:rPr>
      </w:pPr>
      <w:r>
        <w:rPr>
          <w:rFonts w:hint="eastAsia"/>
          <w:lang w:val="fr-FR"/>
        </w:rPr>
        <w:t>IoT：</w:t>
      </w:r>
      <w:r>
        <w:rPr>
          <w:rFonts w:hint="eastAsia"/>
        </w:rPr>
        <w:t>物联网</w:t>
      </w:r>
      <w:r>
        <w:rPr>
          <w:rFonts w:hint="eastAsia"/>
          <w:lang w:val="fr-FR"/>
        </w:rPr>
        <w:t xml:space="preserve">（Internet of things） </w:t>
      </w:r>
    </w:p>
    <w:p w14:paraId="077DBE03">
      <w:pPr>
        <w:pStyle w:val="59"/>
        <w:ind w:firstLine="420"/>
        <w:rPr>
          <w:lang w:val="fr-FR"/>
        </w:rPr>
      </w:pPr>
      <w:r>
        <w:rPr>
          <w:rFonts w:hint="eastAsia"/>
          <w:lang w:val="fr-FR"/>
        </w:rPr>
        <w:t>LIS：</w:t>
      </w:r>
      <w:r>
        <w:rPr>
          <w:rFonts w:hint="eastAsia"/>
        </w:rPr>
        <w:t>实验室信息系统</w:t>
      </w:r>
      <w:r>
        <w:rPr>
          <w:rFonts w:hint="eastAsia"/>
          <w:lang w:val="fr-FR"/>
        </w:rPr>
        <w:t xml:space="preserve">（Laboratory information system） </w:t>
      </w:r>
    </w:p>
    <w:p w14:paraId="7DEF40CB">
      <w:pPr>
        <w:pStyle w:val="59"/>
        <w:ind w:firstLine="420"/>
        <w:rPr>
          <w:lang w:val="fr-FR"/>
        </w:rPr>
      </w:pPr>
      <w:r>
        <w:rPr>
          <w:rFonts w:hint="eastAsia"/>
          <w:lang w:val="fr-FR"/>
        </w:rPr>
        <w:t>PACS：</w:t>
      </w:r>
      <w:r>
        <w:rPr>
          <w:rFonts w:hint="eastAsia"/>
        </w:rPr>
        <w:t>医学影像存档与通信系统</w:t>
      </w:r>
      <w:r>
        <w:rPr>
          <w:rFonts w:hint="eastAsia"/>
          <w:lang w:val="fr-FR"/>
        </w:rPr>
        <w:t>（Picture archiving and communication systems）</w:t>
      </w:r>
    </w:p>
    <w:p w14:paraId="5E95A56E">
      <w:pPr>
        <w:pStyle w:val="107"/>
        <w:spacing w:before="240" w:after="240"/>
      </w:pPr>
      <w:bookmarkStart w:id="45" w:name="_Toc228451408"/>
      <w:r>
        <w:rPr>
          <w:rFonts w:hint="eastAsia"/>
        </w:rPr>
        <w:t>采集总体架构</w:t>
      </w:r>
      <w:bookmarkEnd w:id="43"/>
      <w:bookmarkEnd w:id="44"/>
      <w:bookmarkEnd w:id="45"/>
    </w:p>
    <w:p w14:paraId="2DF84634">
      <w:pPr>
        <w:pStyle w:val="59"/>
        <w:ind w:firstLine="420"/>
      </w:pPr>
      <w:r>
        <w:t>临床研究数据采集是临床研究病房智慧管理平台的源头核心环节，为平台全流程数据管理提供合规、完整、真实的源头数据支撑，总体架构遵循“分层部署、智能联动、合规可控”原则，分为三层结构，各层级边界清晰、职责明确。</w:t>
      </w:r>
      <w:r>
        <w:rPr>
          <w:rFonts w:hint="eastAsia"/>
        </w:rPr>
        <w:t>：</w:t>
      </w:r>
    </w:p>
    <w:p w14:paraId="28A9F92E">
      <w:pPr>
        <w:pStyle w:val="59"/>
        <w:ind w:firstLine="420"/>
      </w:pPr>
      <w:r>
        <w:rPr>
          <w:rFonts w:hint="eastAsia"/>
        </w:rPr>
        <w:t>a)</w:t>
      </w:r>
      <w:r>
        <w:t xml:space="preserve"> 设备端数据源层：数据采集的源头，涵盖临床研究病房内全类型数据源，具备数据实时采集、离线缓存、异常告警基础功能；</w:t>
      </w:r>
    </w:p>
    <w:p w14:paraId="1BC92DB5">
      <w:pPr>
        <w:pStyle w:val="59"/>
        <w:ind w:firstLine="420"/>
      </w:pPr>
      <w:r>
        <w:rPr>
          <w:rFonts w:hint="eastAsia"/>
        </w:rPr>
        <w:t xml:space="preserve">b) </w:t>
      </w:r>
      <w:r>
        <w:t>边缘采集接入层：数据采集的中间枢纽，集成智能网关、边缘计算节点，实现多源数据实时接入、协议转换与智能化预处理</w:t>
      </w:r>
      <w:r>
        <w:rPr>
          <w:rFonts w:hint="eastAsia"/>
        </w:rPr>
        <w:t>；</w:t>
      </w:r>
    </w:p>
    <w:p w14:paraId="0FEB43FC">
      <w:pPr>
        <w:pStyle w:val="59"/>
        <w:ind w:firstLine="420"/>
      </w:pPr>
      <w:r>
        <w:rPr>
          <w:rFonts w:hint="eastAsia"/>
        </w:rPr>
        <w:t xml:space="preserve">c) </w:t>
      </w:r>
      <w:r>
        <w:t>平台采集管控层：数据采集的核心管控中枢，实现数据智能校验、清洗转换与标准化输出，具备采集全流程智慧化管控与合规监管能力</w:t>
      </w:r>
      <w:r>
        <w:rPr>
          <w:rFonts w:hint="eastAsia"/>
        </w:rPr>
        <w:t>。</w:t>
      </w:r>
    </w:p>
    <w:p w14:paraId="4F9BDC1C">
      <w:pPr>
        <w:pStyle w:val="59"/>
        <w:ind w:firstLine="420"/>
      </w:pPr>
      <w:r>
        <w:rPr>
          <w:rFonts w:hint="eastAsia"/>
        </w:rPr>
        <w:t xml:space="preserve">d) </w:t>
      </w:r>
      <w:r>
        <w:t>总体架构应满足GCP合规要求，实现采集全流程操作留痕、数据溯源，支持采集策略的灵活配置与动态调整。</w:t>
      </w:r>
    </w:p>
    <w:p w14:paraId="2957F58A">
      <w:pPr>
        <w:pStyle w:val="107"/>
        <w:spacing w:before="240" w:after="240"/>
      </w:pPr>
      <w:bookmarkStart w:id="46" w:name="heading_8"/>
      <w:bookmarkStart w:id="47" w:name="_Toc29754"/>
      <w:bookmarkStart w:id="48" w:name="_Toc228451409"/>
      <w:r>
        <w:rPr>
          <w:rFonts w:hint="eastAsia"/>
        </w:rPr>
        <w:t>采集对象和方式</w:t>
      </w:r>
      <w:bookmarkEnd w:id="46"/>
      <w:bookmarkEnd w:id="47"/>
      <w:bookmarkEnd w:id="48"/>
    </w:p>
    <w:p w14:paraId="2E738108">
      <w:pPr>
        <w:pStyle w:val="108"/>
        <w:spacing w:before="120" w:after="120"/>
        <w:outlineLvl w:val="9"/>
      </w:pPr>
      <w:bookmarkStart w:id="49" w:name="_Toc16979"/>
      <w:bookmarkStart w:id="50" w:name="_Toc31418"/>
      <w:bookmarkStart w:id="51" w:name="heading_9"/>
      <w:r>
        <w:rPr>
          <w:rFonts w:hint="eastAsia"/>
        </w:rPr>
        <w:t>采集对象</w:t>
      </w:r>
      <w:bookmarkEnd w:id="49"/>
      <w:bookmarkEnd w:id="50"/>
      <w:bookmarkEnd w:id="51"/>
    </w:p>
    <w:p w14:paraId="2029D7D7">
      <w:pPr>
        <w:pStyle w:val="59"/>
        <w:ind w:firstLine="420"/>
      </w:pPr>
      <w:r>
        <w:rPr>
          <w:rFonts w:hint="eastAsia"/>
        </w:rPr>
        <w:t>临床研究病房智慧管理平台数据采集对象围绕临床研究全流程，涵盖与临床研究相关的设备、系统、终端与运行环境，结合智慧化采集需求，具体要求如下：</w:t>
      </w:r>
    </w:p>
    <w:p w14:paraId="004A14F9">
      <w:pPr>
        <w:pStyle w:val="59"/>
        <w:ind w:firstLine="420"/>
      </w:pPr>
      <w:r>
        <w:rPr>
          <w:rFonts w:hint="eastAsia"/>
        </w:rPr>
        <w:t>a) 医疗与科研设备：按用途与合规属性，包括医疗器械类设备、非医疗器械类科研设备、可穿戴与便携采集设备、环境监测传感器，所有设备应具备标准化数据输出能力，支持智慧化接入；</w:t>
      </w:r>
    </w:p>
    <w:p w14:paraId="35133AF9">
      <w:pPr>
        <w:pStyle w:val="59"/>
        <w:ind w:firstLine="420"/>
      </w:pPr>
      <w:r>
        <w:rPr>
          <w:rFonts w:hint="eastAsia"/>
        </w:rPr>
        <w:t>b) 院内信息系统：包括但不限于HIS、LIS、PACS、EMR等院内诊疗系统，应支持与智慧管理平台的智能对接，实现数据的自动同步与增量采集；</w:t>
      </w:r>
    </w:p>
    <w:p w14:paraId="3DCA23DF">
      <w:pPr>
        <w:pStyle w:val="59"/>
        <w:ind w:firstLine="420"/>
      </w:pPr>
      <w:r>
        <w:rPr>
          <w:rFonts w:hint="eastAsia"/>
        </w:rPr>
        <w:t>c) 临床研究专属系统：包括但不限于EDC系统、随机化系统、药物警戒系统、临床试验项目管理系统等科研管理系统，应具备与智慧管理平台的数据交互能力，实现临床研究流程与数据采集的智能联动；</w:t>
      </w:r>
    </w:p>
    <w:p w14:paraId="0ECEF9D5">
      <w:pPr>
        <w:pStyle w:val="59"/>
        <w:ind w:firstLine="420"/>
      </w:pPr>
      <w:r>
        <w:rPr>
          <w:rFonts w:hint="eastAsia"/>
        </w:rPr>
        <w:t>d) 操作与填报终端：包括研究者、CRC、数据管理员等临床试验相关人员的填报/补采终端，以及受试者自主上报终端，支持标准化填报、文件导入、语音录入等多样化采集方式，实现人工采集的智慧化辅助；</w:t>
      </w:r>
    </w:p>
    <w:p w14:paraId="35530F5C">
      <w:pPr>
        <w:pStyle w:val="59"/>
        <w:ind w:firstLine="420"/>
      </w:pPr>
      <w:r>
        <w:rPr>
          <w:rFonts w:hint="eastAsia"/>
        </w:rPr>
        <w:t>e) 运行环境：临床研究病房运行环境采集的数据包括但不限于温度、相对湿度、洁净度、气压、光照度等，通过智能传感器实现实时采集与异常告警，保障临床研究环境</w:t>
      </w:r>
      <w:r>
        <w:rPr>
          <w:rFonts w:ascii="Arial" w:hAnsi="Arial" w:eastAsia="等线" w:cs="Arial"/>
          <w:sz w:val="22"/>
        </w:rPr>
        <w:t>的合</w:t>
      </w:r>
      <w:r>
        <w:rPr>
          <w:rFonts w:hint="eastAsia"/>
        </w:rPr>
        <w:t>规性。</w:t>
      </w:r>
    </w:p>
    <w:p w14:paraId="4E8111FD">
      <w:pPr>
        <w:pStyle w:val="108"/>
        <w:spacing w:before="120" w:after="120"/>
        <w:outlineLvl w:val="9"/>
      </w:pPr>
      <w:bookmarkStart w:id="52" w:name="_Toc11030"/>
      <w:bookmarkStart w:id="53" w:name="_Toc6026"/>
      <w:bookmarkStart w:id="54" w:name="heading_10"/>
      <w:r>
        <w:rPr>
          <w:rFonts w:hint="eastAsia"/>
        </w:rPr>
        <w:t>采集方式</w:t>
      </w:r>
      <w:bookmarkEnd w:id="52"/>
      <w:bookmarkEnd w:id="53"/>
      <w:bookmarkEnd w:id="54"/>
    </w:p>
    <w:p w14:paraId="489C0162">
      <w:pPr>
        <w:pStyle w:val="59"/>
        <w:ind w:firstLine="420"/>
      </w:pPr>
      <w:r>
        <w:rPr>
          <w:rFonts w:hint="eastAsia"/>
        </w:rPr>
        <w:t>临床研究病房智慧管理平台数据采集方式分为自动采集方式、半自动采集方式两大类，结合智慧化技术实现差异化适配，分类逻辑互斥无交叉，全程操作留痕、可追溯，具体要求如下：</w:t>
      </w:r>
    </w:p>
    <w:p w14:paraId="23EDEAB7">
      <w:pPr>
        <w:pStyle w:val="59"/>
        <w:ind w:firstLine="420"/>
      </w:pPr>
      <w:r>
        <w:rPr>
          <w:rFonts w:hint="eastAsia"/>
        </w:rPr>
        <w:t>a) 半自动采集方式：依托智慧管理平台的填报终端，由人工以标准化表格、文件导入、语音录入或在线填报的形式完成数据采集，平台提供智能校验、逻辑提醒、必填项提示等智慧化辅助功能，可对数据进行人工筛选、核对与补充，全程操作留痕；适用于受试者知情同意书、伦理审批文件、研究者手写记录等纸质/非结构化文件数字化采集，以及离线数据补采、人工核查补录、科研专项数据补充采集等场景；</w:t>
      </w:r>
    </w:p>
    <w:p w14:paraId="79522759">
      <w:pPr>
        <w:pStyle w:val="59"/>
        <w:ind w:firstLine="420"/>
      </w:pPr>
      <w:r>
        <w:rPr>
          <w:rFonts w:hint="eastAsia"/>
        </w:rPr>
        <w:t>b) 自动采集方式：依托物联网、边缘计算等智慧化技术，通过平台采集系统以固定频率主动请求数据源端数据，或通过数据源端以固定频率主动向平台采集系统发送数据，可实现连续实时采集，按预设规则自动完成数据筛选、校验与预处理，全程不可篡改、全程留痕；适用于院内系统数据同步、医疗设备实时监测数据采集、环境传感器定时采集、受试者可穿戴设备数据同步、检验结果自动推送等场景；</w:t>
      </w:r>
    </w:p>
    <w:p w14:paraId="5FBC7C5D">
      <w:pPr>
        <w:pStyle w:val="59"/>
        <w:ind w:firstLine="420"/>
      </w:pPr>
      <w:r>
        <w:rPr>
          <w:rFonts w:hint="eastAsia"/>
        </w:rPr>
        <w:t>c) 智慧化适配要求：采集方式应根据临床研究场景、数据类型、实时性需求进行智能适配，平台可根据临床试验方案自动调整采集间隔、采集优先级，实现采集资源的优化配置；自动采集与半自动采集可实现无缝衔接，离线采集数据可在网络恢复后自动同步至平台，保障数据采集的连续性与完整性；</w:t>
      </w:r>
    </w:p>
    <w:p w14:paraId="5CFBDF83">
      <w:pPr>
        <w:pStyle w:val="59"/>
        <w:ind w:firstLine="420"/>
      </w:pPr>
      <w:r>
        <w:rPr>
          <w:rFonts w:hint="eastAsia"/>
        </w:rPr>
        <w:t>d) 术语规范要求：采集方式落地应严格采用行业通用术语表述，禁止使用特定企业产品代号、商品名，避免专家评审指向性风险，确保标准的通用性与适用性。</w:t>
      </w:r>
    </w:p>
    <w:p w14:paraId="45BA9BBA">
      <w:pPr>
        <w:pStyle w:val="107"/>
        <w:spacing w:before="240" w:after="240"/>
      </w:pPr>
      <w:bookmarkStart w:id="55" w:name="_Toc20884"/>
      <w:bookmarkStart w:id="56" w:name="heading_11"/>
      <w:bookmarkStart w:id="57" w:name="_Toc228451410"/>
      <w:r>
        <w:rPr>
          <w:rFonts w:hint="eastAsia"/>
        </w:rPr>
        <w:t>采集数据分类</w:t>
      </w:r>
      <w:bookmarkEnd w:id="55"/>
      <w:bookmarkEnd w:id="56"/>
      <w:bookmarkEnd w:id="57"/>
    </w:p>
    <w:p w14:paraId="22F50112">
      <w:pPr>
        <w:pStyle w:val="59"/>
        <w:ind w:firstLine="420"/>
      </w:pPr>
      <w:r>
        <w:rPr>
          <w:rFonts w:hint="eastAsia"/>
        </w:rPr>
        <w:t>临床研究病房采集数据从临床研究场景与数据模态维度分类，结合智慧化采集与管理需求，凝练为以下六大类，各类数据核心要求如下：</w:t>
      </w:r>
    </w:p>
    <w:p w14:paraId="2C36C27E">
      <w:pPr>
        <w:pStyle w:val="59"/>
        <w:ind w:firstLine="420"/>
      </w:pPr>
      <w:r>
        <w:rPr>
          <w:rFonts w:hint="eastAsia"/>
        </w:rPr>
        <w:t>a) 文本类数据：涵盖临床研究全流程文档及记录类文本，包括临床试验方案、知情同意书、CRF表、研究者记录、不良事件报告等，支持OCR智能识别与文本结构化提取，适配半自动与自动结合的采集模式。</w:t>
      </w:r>
    </w:p>
    <w:p w14:paraId="4BD02308">
      <w:pPr>
        <w:pStyle w:val="59"/>
        <w:ind w:firstLine="420"/>
      </w:pPr>
      <w:r>
        <w:rPr>
          <w:rFonts w:hint="eastAsia"/>
        </w:rPr>
        <w:t>b) 影像类数据：包含CT、MRI、超声、病理切片等医学影像资料及对应诊断报告，遵循DICOM格式标准，支持自动采集、智能归档与影像特征提取，保障影像数据合规可追溯。</w:t>
      </w:r>
    </w:p>
    <w:p w14:paraId="0ADCB9C9">
      <w:pPr>
        <w:pStyle w:val="59"/>
        <w:ind w:firstLine="420"/>
      </w:pPr>
      <w:r>
        <w:rPr>
          <w:rFonts w:hint="eastAsia"/>
        </w:rPr>
        <w:t>c) 检验与组学数据：涵盖血尿常规、生化等实验室检测数据，以及基因、蛋白等科研组学数据，支持从相关系统自动同步，可实现数值智能校验与异常数据标记。</w:t>
      </w:r>
    </w:p>
    <w:p w14:paraId="50CFF942">
      <w:pPr>
        <w:pStyle w:val="59"/>
        <w:ind w:firstLine="420"/>
      </w:pPr>
      <w:r>
        <w:rPr>
          <w:rFonts w:hint="eastAsia"/>
        </w:rPr>
        <w:t>d) 生理时序数据：主要为心电、血压、血氧等生命体征时序数据，包括可穿戴设备采集的连续数据，支持实时采集、时序分析与异常阈值告警，适配长周期监测需求。</w:t>
      </w:r>
    </w:p>
    <w:p w14:paraId="559A3D61">
      <w:pPr>
        <w:pStyle w:val="59"/>
        <w:ind w:firstLine="420"/>
      </w:pPr>
      <w:r>
        <w:rPr>
          <w:rFonts w:hint="eastAsia"/>
        </w:rPr>
        <w:t>e) 结构化业务数据：包含受试者人口学信息、入组分组、用药访视、样本管理等全流程管理数据，支持智能关联、自动填充与业务逻辑校验，提升采集效率。</w:t>
      </w:r>
    </w:p>
    <w:p w14:paraId="19319B5E">
      <w:pPr>
        <w:pStyle w:val="59"/>
        <w:ind w:firstLine="420"/>
      </w:pPr>
      <w:r>
        <w:rPr>
          <w:rFonts w:hint="eastAsia"/>
        </w:rPr>
        <w:t>f) 设备与环境数据：涵盖医疗科研设备运行参数及病房温湿度、洁净度等环境数据，通过智能传感器实时采集，支持状态监控、阈值告警与历史趋势分析。</w:t>
      </w:r>
    </w:p>
    <w:p w14:paraId="1F22128F">
      <w:pPr>
        <w:pStyle w:val="59"/>
        <w:ind w:firstLine="420"/>
      </w:pPr>
      <w:r>
        <w:rPr>
          <w:rFonts w:hint="eastAsia"/>
        </w:rPr>
        <w:t>各类数据详细定义包含数据名称、采集精度、采集方式等内容，适配智慧化采集与处理需求，具体详见附录A。</w:t>
      </w:r>
    </w:p>
    <w:p w14:paraId="792EAE45">
      <w:pPr>
        <w:pStyle w:val="107"/>
        <w:spacing w:before="240" w:after="240"/>
      </w:pPr>
      <w:bookmarkStart w:id="58" w:name="heading_12"/>
      <w:bookmarkStart w:id="59" w:name="_Toc19928"/>
      <w:bookmarkStart w:id="60" w:name="_Toc228451411"/>
      <w:r>
        <w:rPr>
          <w:rFonts w:hint="eastAsia"/>
        </w:rPr>
        <w:t>设备与系统接口规范</w:t>
      </w:r>
      <w:bookmarkEnd w:id="58"/>
      <w:bookmarkEnd w:id="59"/>
      <w:bookmarkEnd w:id="60"/>
    </w:p>
    <w:p w14:paraId="0EE0815C">
      <w:pPr>
        <w:pStyle w:val="59"/>
        <w:ind w:firstLine="420"/>
      </w:pPr>
      <w:r>
        <w:rPr>
          <w:rFonts w:hint="eastAsia"/>
        </w:rPr>
        <w:t>本章规定了临床研究病房智慧管理平台数据采集环节硬件、软件接口的通用要求与场景化规范，聚焦采集接入专属规则，融入智慧化技术要求，不涉及传输、存储环节接口，与同系列标准边界清晰。接口条款按“应、宜、可”三级强度表述，保障标准化、兼容性与智慧化适配性。</w:t>
      </w:r>
    </w:p>
    <w:p w14:paraId="55CF564D">
      <w:pPr>
        <w:pStyle w:val="108"/>
        <w:spacing w:before="120" w:after="120"/>
        <w:outlineLvl w:val="9"/>
      </w:pPr>
      <w:bookmarkStart w:id="61" w:name="_Toc5010"/>
      <w:bookmarkStart w:id="62" w:name="heading_13"/>
      <w:bookmarkStart w:id="63" w:name="_Toc18210"/>
      <w:r>
        <w:rPr>
          <w:rFonts w:hint="eastAsia"/>
        </w:rPr>
        <w:t>硬件接口</w:t>
      </w:r>
      <w:bookmarkEnd w:id="61"/>
      <w:bookmarkEnd w:id="62"/>
      <w:bookmarkEnd w:id="63"/>
    </w:p>
    <w:p w14:paraId="0E2EA470">
      <w:pPr>
        <w:pStyle w:val="59"/>
        <w:ind w:firstLine="420"/>
      </w:pPr>
      <w:r>
        <w:rPr>
          <w:rFonts w:hint="eastAsia"/>
        </w:rPr>
        <w:t>硬件接口需统一协议、格式与校验规则，保障数据真实可追溯、操作全程留痕，适配多场景设备智慧化接入，具备身份认证、故障自诊断与异常告警能力，明确采集精度、单位及时戳规范（精确到秒），支持OPC UA、MQTT等主流协议及多种接入方式，实现设备即插即用与自动重连，具体要求如下：</w:t>
      </w:r>
    </w:p>
    <w:p w14:paraId="2E6715B6">
      <w:pPr>
        <w:pStyle w:val="59"/>
        <w:ind w:firstLine="420"/>
      </w:pPr>
      <w:r>
        <w:rPr>
          <w:rFonts w:hint="eastAsia"/>
        </w:rPr>
        <w:t>a) 医疗器械类设备接口：需符合国家医疗器械标准与通信规范，完整输出原始数据、时戳、设备标识及采集人员信息，支持实时推送与异常上报，宜支持远程合规配置采集参数，可实现与平台智能联动监控。</w:t>
      </w:r>
    </w:p>
    <w:p w14:paraId="43B8A35C">
      <w:pPr>
        <w:pStyle w:val="59"/>
        <w:ind w:firstLine="420"/>
      </w:pPr>
      <w:r>
        <w:rPr>
          <w:rFonts w:hint="eastAsia"/>
        </w:rPr>
        <w:t>b) 非医疗器械类科研设备接口：宜遵循行业通用协议，支持标准化数据输出与自动同步，明确设备标识、时戳及数据精度，实现与试验项目、受试者信息智能关联，可支持离线缓存与断点续传，自动记录采集日志。</w:t>
      </w:r>
    </w:p>
    <w:p w14:paraId="1D5FDBC3">
      <w:pPr>
        <w:pStyle w:val="59"/>
        <w:ind w:firstLine="420"/>
      </w:pPr>
      <w:r>
        <w:rPr>
          <w:rFonts w:hint="eastAsia"/>
        </w:rPr>
        <w:t>c) 可穿戴与便携采集设备接口：需实现设备与受试者唯一绑定及身份校验，具备时间同步、离线缓存与低功耗通信能力，支持异常数据自动上报与采集中断告警，宜采用低功耗通用协议，可灵活配置采集频率。</w:t>
      </w:r>
    </w:p>
    <w:p w14:paraId="017E8B6E">
      <w:pPr>
        <w:pStyle w:val="59"/>
        <w:ind w:firstLine="420"/>
      </w:pPr>
      <w:r>
        <w:rPr>
          <w:rFonts w:hint="eastAsia"/>
        </w:rPr>
        <w:t>d) 环境监测设备接口：需支持定时采集与阈值超标告警，统一数据单位、精度及时戳规范，支持多点位同步采集与对比分析，宜支持无线即插即用，可远程合规配置采集周期与告警阈值，支持环境数据历史查询与趋势分析。</w:t>
      </w:r>
    </w:p>
    <w:p w14:paraId="6EB7A84A">
      <w:pPr>
        <w:pStyle w:val="108"/>
        <w:spacing w:before="120" w:after="120"/>
        <w:outlineLvl w:val="9"/>
      </w:pPr>
      <w:bookmarkStart w:id="64" w:name="_Toc9661"/>
      <w:bookmarkStart w:id="65" w:name="_Toc19128"/>
      <w:bookmarkStart w:id="66" w:name="heading_14"/>
      <w:r>
        <w:rPr>
          <w:rFonts w:hint="eastAsia"/>
        </w:rPr>
        <w:t>软件接口</w:t>
      </w:r>
      <w:bookmarkEnd w:id="64"/>
      <w:bookmarkEnd w:id="65"/>
      <w:bookmarkEnd w:id="66"/>
    </w:p>
    <w:p w14:paraId="16C01AF8">
      <w:pPr>
        <w:pStyle w:val="59"/>
        <w:ind w:firstLine="420"/>
      </w:pPr>
      <w:r>
        <w:rPr>
          <w:rFonts w:hint="eastAsia"/>
        </w:rPr>
        <w:t>软件接口需统一交互协议、字段映射与权限管控，符合GCP要求，融入智慧化交互技术，实现与数据源系统安全隔离，仅采集最小必要数据，具备数据校验、异常拦截与操作留痕能力，日志留存时限与对应数据一致，支持扩展与智能适配，不影响数据源系统正常运行，具体要求如下：</w:t>
      </w:r>
    </w:p>
    <w:p w14:paraId="62D75350">
      <w:pPr>
        <w:pStyle w:val="59"/>
        <w:ind w:firstLine="420"/>
      </w:pPr>
      <w:r>
        <w:rPr>
          <w:rFonts w:hint="eastAsia"/>
        </w:rPr>
        <w:t>a) 院内医疗信息系统接口：需遵循行业通用交互标准，严格执行最小必要原则，对敏感数据自动脱敏，实现权限分级管控与操作留痕，宜支持多种同步模式，建立异常反馈与闭环处理机制，保障数据同步及时准确。</w:t>
      </w:r>
    </w:p>
    <w:p w14:paraId="79A41F3E">
      <w:pPr>
        <w:pStyle w:val="59"/>
        <w:ind w:firstLine="420"/>
      </w:pPr>
      <w:r>
        <w:rPr>
          <w:rFonts w:hint="eastAsia"/>
        </w:rPr>
        <w:t>b) 临床研究专属系统接口：需支持试验项目、受试者与访视节点关联匹配，保障数据不可篡改、可溯源且与源系统一致，宜实现与平台采集流程自动联动，符合GCP要求，关键操作执行双人双锁审批，操作日志支持智能审计。</w:t>
      </w:r>
    </w:p>
    <w:p w14:paraId="284F7F0B">
      <w:pPr>
        <w:pStyle w:val="59"/>
        <w:ind w:firstLine="420"/>
      </w:pPr>
      <w:r>
        <w:rPr>
          <w:rFonts w:hint="eastAsia"/>
        </w:rPr>
        <w:t>c) 受试者自主上报端接口：需支持实名认证与知情同意校验，具备表单逻辑、必填项及值域合规校验能力，宜支持离线填报与自动补传，完整记录上报信息并全程留痕，支持上报数据智能核对与溯源。</w:t>
      </w:r>
    </w:p>
    <w:p w14:paraId="0CC983AB">
      <w:pPr>
        <w:pStyle w:val="59"/>
        <w:ind w:firstLine="420"/>
      </w:pPr>
      <w:r>
        <w:rPr>
          <w:rFonts w:hint="eastAsia"/>
        </w:rPr>
        <w:t>d) 算法与模型输出接口：需输出标准化结构化结果，明确算法版本、运行时间及输入源数据关联信息，完整记录运行全流程，宜实现与原始源数据强关联，具备结果异常校验与人工复核留痕能力，禁止覆盖原始数据。</w:t>
      </w:r>
    </w:p>
    <w:p w14:paraId="29CCF337">
      <w:pPr>
        <w:pStyle w:val="107"/>
        <w:spacing w:before="240" w:after="240"/>
      </w:pPr>
      <w:bookmarkStart w:id="67" w:name="_Toc228451412"/>
      <w:bookmarkStart w:id="68" w:name="_Toc19558"/>
      <w:bookmarkStart w:id="69" w:name="heading_15"/>
      <w:r>
        <w:rPr>
          <w:rFonts w:hint="eastAsia"/>
        </w:rPr>
        <w:t>采集过程</w:t>
      </w:r>
      <w:bookmarkEnd w:id="67"/>
      <w:bookmarkEnd w:id="68"/>
      <w:bookmarkEnd w:id="69"/>
    </w:p>
    <w:p w14:paraId="369B5262">
      <w:pPr>
        <w:pStyle w:val="59"/>
        <w:ind w:firstLine="420"/>
      </w:pPr>
      <w:r>
        <w:rPr>
          <w:rFonts w:hint="eastAsia"/>
        </w:rPr>
        <w:t>临床研究数据采集过程依托智慧管理平台，实现全流程智能化管控，包括数据获取、数据校验、数据清洗与转换、数据输出四个核心环节，各环节无缝衔接、全程留痕，确保采集数据的合规性、真实性、完整性与标准化，具体要求如下：</w:t>
      </w:r>
    </w:p>
    <w:p w14:paraId="7FB4456D">
      <w:pPr>
        <w:pStyle w:val="108"/>
        <w:spacing w:before="120" w:after="120"/>
        <w:outlineLvl w:val="9"/>
      </w:pPr>
      <w:bookmarkStart w:id="70" w:name="_Toc23194"/>
      <w:bookmarkStart w:id="71" w:name="_Toc27490"/>
      <w:bookmarkStart w:id="72" w:name="heading_16"/>
      <w:r>
        <w:rPr>
          <w:rFonts w:hint="eastAsia"/>
        </w:rPr>
        <w:t>数据获取</w:t>
      </w:r>
      <w:bookmarkEnd w:id="70"/>
      <w:bookmarkEnd w:id="71"/>
      <w:bookmarkEnd w:id="72"/>
    </w:p>
    <w:p w14:paraId="41D85FE8">
      <w:pPr>
        <w:pStyle w:val="59"/>
        <w:ind w:firstLine="420"/>
      </w:pPr>
      <w:r>
        <w:rPr>
          <w:rFonts w:hint="eastAsia"/>
        </w:rPr>
        <w:t>临床研究病房智慧管理平台数据获取应满足智慧化、合规化要求，具体如下：</w:t>
      </w:r>
    </w:p>
    <w:p w14:paraId="24E4241F">
      <w:pPr>
        <w:pStyle w:val="59"/>
        <w:ind w:firstLine="420"/>
      </w:pPr>
      <w:r>
        <w:rPr>
          <w:rFonts w:hint="eastAsia"/>
        </w:rPr>
        <w:t>a) 获取的每一条数据应包含数据来源唯一标识和秒级时间戳，明确数据采集设备、采集人员、采集场景等关联信息，保障数据可溯源；</w:t>
      </w:r>
    </w:p>
    <w:p w14:paraId="5F4A6EC2">
      <w:pPr>
        <w:pStyle w:val="59"/>
        <w:ind w:firstLine="420"/>
      </w:pPr>
      <w:r>
        <w:rPr>
          <w:rFonts w:hint="eastAsia"/>
        </w:rPr>
        <w:t>b) 获取的数据类型应包括数字量、模拟量、文本、影像、音频等全模态数据，覆盖本文件第7章规定的全类型采集数据，支持多源异构数据的智能整合；</w:t>
      </w:r>
    </w:p>
    <w:p w14:paraId="4587FCD7">
      <w:pPr>
        <w:pStyle w:val="59"/>
        <w:ind w:firstLine="420"/>
      </w:pPr>
      <w:r>
        <w:rPr>
          <w:rFonts w:hint="eastAsia"/>
        </w:rPr>
        <w:t>c) 应依据临床研究方案与数据实时性要求，通过平台智能配置不同类型数据的采样间隔，如实时、每秒、每小时、每日等，可根据临床试验进展动态调整采集策略；</w:t>
      </w:r>
    </w:p>
    <w:p w14:paraId="0CFBA152">
      <w:pPr>
        <w:pStyle w:val="59"/>
        <w:ind w:firstLine="420"/>
      </w:pPr>
      <w:r>
        <w:rPr>
          <w:rFonts w:hint="eastAsia"/>
        </w:rPr>
        <w:t>d) 数据获取任务的优先级由高到低应分为：不良事件与报警数据、受试者核心诊疗数据、试验关键流程数据、常规运行与环境数据、科研辅助数据，平台自动按优先级分配采集资源，保障关键数据的实时采集；</w:t>
      </w:r>
    </w:p>
    <w:p w14:paraId="2C6878C5">
      <w:pPr>
        <w:pStyle w:val="59"/>
        <w:ind w:firstLine="420"/>
      </w:pPr>
      <w:r>
        <w:rPr>
          <w:rFonts w:hint="eastAsia"/>
        </w:rPr>
        <w:t>e) 数据获取应严格遵循最小必要原则，禁止超范围、超权限获取数据，全程操作留痕，平台实时监控数据获取行为，对超范围采集行为自动阻断、实时告警；</w:t>
      </w:r>
    </w:p>
    <w:p w14:paraId="3EEDD6F6">
      <w:pPr>
        <w:pStyle w:val="59"/>
        <w:ind w:firstLine="420"/>
      </w:pPr>
      <w:r>
        <w:rPr>
          <w:rFonts w:hint="eastAsia"/>
        </w:rPr>
        <w:t>f) 支持多源数据的智能关联获取，实现同一受试者、同一试验项目相关数据的自动聚合，提升数据采集的完整性与关联性。</w:t>
      </w:r>
    </w:p>
    <w:p w14:paraId="455C7A74">
      <w:pPr>
        <w:pStyle w:val="108"/>
        <w:spacing w:before="120" w:after="120"/>
        <w:outlineLvl w:val="9"/>
      </w:pPr>
      <w:bookmarkStart w:id="73" w:name="_Toc6205"/>
      <w:bookmarkStart w:id="74" w:name="_Toc5686"/>
      <w:bookmarkStart w:id="75" w:name="heading_17"/>
      <w:r>
        <w:rPr>
          <w:rFonts w:hint="eastAsia"/>
        </w:rPr>
        <w:t>数据校验</w:t>
      </w:r>
      <w:bookmarkEnd w:id="73"/>
      <w:bookmarkEnd w:id="74"/>
      <w:bookmarkEnd w:id="75"/>
    </w:p>
    <w:p w14:paraId="07D27AE0">
      <w:pPr>
        <w:pStyle w:val="59"/>
        <w:ind w:firstLine="420"/>
      </w:pPr>
      <w:r>
        <w:rPr>
          <w:rFonts w:hint="eastAsia"/>
        </w:rPr>
        <w:t>临床研究病房智慧管理平台采集数据校验依托智能算法实现自动化校验，减少人工干预，提升校验效率与准确性，具体要求如下：</w:t>
      </w:r>
    </w:p>
    <w:p w14:paraId="30C0A8D6">
      <w:pPr>
        <w:pStyle w:val="59"/>
        <w:ind w:firstLine="420"/>
      </w:pPr>
      <w:r>
        <w:rPr>
          <w:rFonts w:hint="eastAsia"/>
        </w:rPr>
        <w:t>a) 应对获取的原始数据进行完整性校验，通过智能算法自动检测数据遗漏、字段缺失、文件损坏等问题，校验不通过的数据不得进入下一环节，自动退回并标记问题类型；</w:t>
      </w:r>
    </w:p>
    <w:p w14:paraId="6A19DBD4">
      <w:pPr>
        <w:pStyle w:val="59"/>
        <w:ind w:firstLine="420"/>
      </w:pPr>
      <w:r>
        <w:rPr>
          <w:rFonts w:hint="eastAsia"/>
        </w:rPr>
        <w:t>b) 应对原始数据进行逻辑合法性校验，包括值域范围、格式规范、业务逻辑匹配等，通过预设校验规则与智能算法识别异常值、无效值、逻辑矛盾数据，实时标记并告警；</w:t>
      </w:r>
    </w:p>
    <w:p w14:paraId="7D1335CB">
      <w:pPr>
        <w:pStyle w:val="59"/>
        <w:ind w:firstLine="420"/>
      </w:pPr>
      <w:r>
        <w:rPr>
          <w:rFonts w:hint="eastAsia"/>
        </w:rPr>
        <w:t>c) 应对原始数据进行唯一性校验，通过智能查重算法识别并处理重复采集数据，避免数据冗余，保留原始数据，标记重复数据并记录处理结果；</w:t>
      </w:r>
    </w:p>
    <w:p w14:paraId="6503AE85">
      <w:pPr>
        <w:pStyle w:val="59"/>
        <w:ind w:firstLine="420"/>
      </w:pPr>
      <w:r>
        <w:rPr>
          <w:rFonts w:hint="eastAsia"/>
        </w:rPr>
        <w:t>d) 校验过程全程留痕，记录校验时间、校验人员、校验规则、校验结果、问题数据详情等信息，校验不通过的数据应自动退回并记录退回原因、处理人、处理时间、处置结果，支持问题数据的跟踪与闭环处理；</w:t>
      </w:r>
    </w:p>
    <w:p w14:paraId="594B153B">
      <w:pPr>
        <w:pStyle w:val="59"/>
        <w:ind w:firstLine="420"/>
      </w:pPr>
      <w:r>
        <w:rPr>
          <w:rFonts w:hint="eastAsia"/>
        </w:rPr>
        <w:t>e) 应定期对校验规则的有效性进行验证与优化，支持校验规则的智能更新与自定义配置，适配临床研究方案的调整需求，提升校验的针对性与准确性。</w:t>
      </w:r>
    </w:p>
    <w:p w14:paraId="307A6E5F">
      <w:pPr>
        <w:pStyle w:val="108"/>
        <w:spacing w:before="120" w:after="120"/>
        <w:outlineLvl w:val="9"/>
      </w:pPr>
      <w:bookmarkStart w:id="76" w:name="_Toc174"/>
      <w:bookmarkStart w:id="77" w:name="heading_18"/>
      <w:bookmarkStart w:id="78" w:name="_Toc31828"/>
      <w:r>
        <w:rPr>
          <w:rFonts w:hint="eastAsia"/>
        </w:rPr>
        <w:t>数据清洗与转换</w:t>
      </w:r>
      <w:bookmarkEnd w:id="76"/>
      <w:bookmarkEnd w:id="77"/>
      <w:bookmarkEnd w:id="78"/>
    </w:p>
    <w:p w14:paraId="63E9089A">
      <w:pPr>
        <w:pStyle w:val="59"/>
        <w:ind w:firstLine="420"/>
      </w:pPr>
      <w:r>
        <w:rPr>
          <w:rFonts w:hint="eastAsia"/>
        </w:rPr>
        <w:t>临床研究病房智慧管理平台采集数据清洗与转换依托智能算法实现自动化处理，保障数据的标准化与一致性，具体要求如下：</w:t>
      </w:r>
    </w:p>
    <w:p w14:paraId="7DFBF0D4">
      <w:pPr>
        <w:pStyle w:val="59"/>
        <w:ind w:firstLine="420"/>
      </w:pPr>
      <w:r>
        <w:rPr>
          <w:rFonts w:hint="eastAsia"/>
        </w:rPr>
        <w:t>a) 应定义标准化的数据清洗规则，包括缺省值的检查和处理、异常值的检测和处理、噪声数据的检测和处理、不一致数据的检测和处理、重复数据的检测和处理等，支持规则的自定义配置与智能优化；</w:t>
      </w:r>
    </w:p>
    <w:p w14:paraId="45530301">
      <w:pPr>
        <w:pStyle w:val="59"/>
        <w:ind w:firstLine="420"/>
      </w:pPr>
      <w:r>
        <w:rPr>
          <w:rFonts w:hint="eastAsia"/>
        </w:rPr>
        <w:t>b) 应通过标准化规则与智能算法，对数据执行格式修正、补缺、拆分、合并、去重、除噪等过程，完成多源异构数据格式、代码、类型的标准化和统一化，实现数据的智能适配；</w:t>
      </w:r>
    </w:p>
    <w:p w14:paraId="1CA71F4C">
      <w:pPr>
        <w:pStyle w:val="59"/>
        <w:ind w:firstLine="420"/>
      </w:pPr>
      <w:r>
        <w:rPr>
          <w:rFonts w:hint="eastAsia"/>
        </w:rPr>
        <w:t>c) 数据清洗与转换应满足完整性、准确性、一致性、有效性、唯一性、时效性的质量要求，确保处理后的数据可直接用于后续的存储、分析与应用；</w:t>
      </w:r>
    </w:p>
    <w:p w14:paraId="52686998">
      <w:pPr>
        <w:pStyle w:val="59"/>
        <w:ind w:firstLine="420"/>
      </w:pPr>
      <w:r>
        <w:rPr>
          <w:rFonts w:hint="eastAsia"/>
        </w:rPr>
        <w:t>d) 数据清洗与转换过程不得修改、覆盖、删除原始源数据，原始数据与处理后数据应强关联、可对应、可溯源，支持原始数据与处理后数据的对比查询；</w:t>
      </w:r>
    </w:p>
    <w:p w14:paraId="0AA7D4E6">
      <w:pPr>
        <w:pStyle w:val="59"/>
        <w:ind w:firstLine="420"/>
      </w:pPr>
      <w:r>
        <w:rPr>
          <w:rFonts w:hint="eastAsia"/>
        </w:rPr>
        <w:t>e) 应对清洗转换方法的正确性和效率进行验证，通过智能算法监测清洗转换效果，对不满足要求的清洗规则进行调整和改进，清洗转换过程应全程留痕，记录处理过程、处理规则、处理结果等信息；</w:t>
      </w:r>
    </w:p>
    <w:p w14:paraId="639F2583">
      <w:pPr>
        <w:pStyle w:val="59"/>
        <w:ind w:firstLine="420"/>
      </w:pPr>
      <w:r>
        <w:rPr>
          <w:rFonts w:hint="eastAsia"/>
        </w:rPr>
        <w:t>f) 清洗转换后的合格数据应作为数据输出的唯一依据，不合格数据应退回重新处理或标记隔离，支持不合格数据的人工复核与重新处理。</w:t>
      </w:r>
    </w:p>
    <w:p w14:paraId="6B6F0800">
      <w:pPr>
        <w:pStyle w:val="108"/>
        <w:spacing w:before="120" w:after="120"/>
        <w:outlineLvl w:val="9"/>
      </w:pPr>
      <w:bookmarkStart w:id="79" w:name="heading_19"/>
      <w:bookmarkStart w:id="80" w:name="_Toc23638"/>
      <w:bookmarkStart w:id="81" w:name="_Toc17276"/>
      <w:r>
        <w:rPr>
          <w:rFonts w:hint="eastAsia"/>
        </w:rPr>
        <w:t>数据输出</w:t>
      </w:r>
      <w:bookmarkEnd w:id="79"/>
      <w:bookmarkEnd w:id="80"/>
      <w:bookmarkEnd w:id="81"/>
    </w:p>
    <w:p w14:paraId="1D92DA0B">
      <w:pPr>
        <w:pStyle w:val="59"/>
        <w:ind w:firstLine="420"/>
      </w:pPr>
      <w:r>
        <w:rPr>
          <w:rFonts w:hint="eastAsia"/>
        </w:rPr>
        <w:t>临床研究病房智慧管理平台采集数据输出应满足标准化、智慧化、合规化要求，实现与平台下游环节的无缝衔接，具体要求如下：</w:t>
      </w:r>
    </w:p>
    <w:p w14:paraId="25C39D28">
      <w:pPr>
        <w:pStyle w:val="59"/>
        <w:ind w:firstLine="420"/>
      </w:pPr>
      <w:r>
        <w:rPr>
          <w:rFonts w:hint="eastAsia"/>
        </w:rPr>
        <w:t>a) 完成校验、清洗转换后的合格数据，应通过标准化接口输出至平台下一环节，输出数据应附带唯一采集标识、时间戳、来源标识、校验结果、清洗转换记录等信息，保障数据可溯源；</w:t>
      </w:r>
    </w:p>
    <w:p w14:paraId="5C70D41B">
      <w:pPr>
        <w:pStyle w:val="59"/>
        <w:ind w:firstLine="420"/>
      </w:pPr>
      <w:r>
        <w:rPr>
          <w:rFonts w:hint="eastAsia"/>
        </w:rPr>
        <w:t>b) 应根据数据类型与业务需求，通过平台智能制定差异化的输出规则与频次，保障数据输出的及时性、稳定性，支持输出策略的灵活配置；</w:t>
      </w:r>
    </w:p>
    <w:p w14:paraId="6F860212">
      <w:pPr>
        <w:pStyle w:val="59"/>
        <w:ind w:firstLine="420"/>
      </w:pPr>
      <w:r>
        <w:rPr>
          <w:rFonts w:hint="eastAsia"/>
        </w:rPr>
        <w:t>c) 数据输出应建立权限管控与身份认证机制，采用加密技术保障输出数据安全，仅授权对象可获取输出数据，全程操作留痕，记录输出时间、输出对象、输出数据范围等信息；</w:t>
      </w:r>
    </w:p>
    <w:p w14:paraId="030A6CD2">
      <w:pPr>
        <w:pStyle w:val="59"/>
        <w:ind w:firstLine="420"/>
      </w:pPr>
      <w:r>
        <w:rPr>
          <w:rFonts w:hint="eastAsia"/>
        </w:rPr>
        <w:t>d) 应建立数据输出异常告警与补传机制，通过智能监测实时发现输出异常，及时告警并自动触发补传，保障数据输出的完整性、连续性；</w:t>
      </w:r>
    </w:p>
    <w:p w14:paraId="41FD6691">
      <w:pPr>
        <w:pStyle w:val="59"/>
        <w:ind w:firstLine="420"/>
      </w:pPr>
      <w:r>
        <w:rPr>
          <w:rFonts w:hint="eastAsia"/>
        </w:rPr>
        <w:t>e) 数据输出应严格遵循与系列标准其他分册的边界约定，不越界执行传输、存储环节的相关操作，支持输出数据的格式转换与智能适配，满足下游环节的数据需求。</w:t>
      </w:r>
    </w:p>
    <w:p w14:paraId="31549DF3">
      <w:pPr>
        <w:pStyle w:val="107"/>
        <w:spacing w:before="240" w:after="240"/>
      </w:pPr>
      <w:bookmarkStart w:id="82" w:name="_Toc29355"/>
      <w:bookmarkStart w:id="83" w:name="heading_20"/>
      <w:bookmarkStart w:id="84" w:name="_Toc228451413"/>
      <w:r>
        <w:rPr>
          <w:rFonts w:hint="eastAsia"/>
        </w:rPr>
        <w:t>采集安全要求</w:t>
      </w:r>
      <w:bookmarkEnd w:id="82"/>
      <w:bookmarkEnd w:id="83"/>
      <w:bookmarkEnd w:id="84"/>
    </w:p>
    <w:p w14:paraId="163C3285">
      <w:pPr>
        <w:pStyle w:val="59"/>
        <w:ind w:firstLine="420"/>
      </w:pPr>
      <w:r>
        <w:rPr>
          <w:rFonts w:hint="eastAsia"/>
        </w:rPr>
        <w:t>临床研究数据采集安全是保障临床研究合规性的核心，依托智慧化安全技术，建立全流程安全管控体系，防范各类安全风险，确保采集数据的保密性、完整性、可用性，具体要求如下：</w:t>
      </w:r>
    </w:p>
    <w:p w14:paraId="1E6AD77C">
      <w:pPr>
        <w:pStyle w:val="108"/>
        <w:spacing w:before="120" w:after="120"/>
        <w:outlineLvl w:val="9"/>
      </w:pPr>
      <w:bookmarkStart w:id="85" w:name="heading_21"/>
      <w:bookmarkStart w:id="86" w:name="_Toc1101"/>
      <w:bookmarkStart w:id="87" w:name="_Toc24258"/>
      <w:r>
        <w:rPr>
          <w:rFonts w:hint="eastAsia"/>
        </w:rPr>
        <w:t>总体要求</w:t>
      </w:r>
      <w:bookmarkEnd w:id="85"/>
      <w:bookmarkEnd w:id="86"/>
      <w:bookmarkEnd w:id="87"/>
    </w:p>
    <w:p w14:paraId="03D9683F">
      <w:pPr>
        <w:pStyle w:val="59"/>
        <w:ind w:firstLine="420"/>
      </w:pPr>
      <w:r>
        <w:rPr>
          <w:rFonts w:hint="eastAsia"/>
        </w:rPr>
        <w:t>临床研究病房智慧管理平台数据采集过程应设立身份认证、访问权限控制机制，明确重要数据的知悉范围，依托智能安全技术实现全流程安全管控；数据在整个获取、校验、清洗转换、输出过程中应严格依据权限使用；应定期对数据采集的安全性进行风险评估，并制定相应的风险处理计划，符合GB/T 22239等级保护的核心管控要求、GB/T 35273个人信息安全的核心准则，与平台整体安全管理体系深度融合；</w:t>
      </w:r>
    </w:p>
    <w:p w14:paraId="4680F534">
      <w:pPr>
        <w:pStyle w:val="59"/>
        <w:ind w:firstLine="420"/>
      </w:pPr>
      <w:r>
        <w:rPr>
          <w:rFonts w:hint="eastAsia"/>
        </w:rPr>
        <w:t>应建立智慧化安全监控体系，实时监测数据采集全流程的安全状态，对异常行为自动告警、快速处置，保障数据采集过程的安全可控；</w:t>
      </w:r>
    </w:p>
    <w:p w14:paraId="5C4BAE32">
      <w:pPr>
        <w:pStyle w:val="59"/>
        <w:ind w:firstLine="420"/>
      </w:pPr>
      <w:r>
        <w:rPr>
          <w:rFonts w:hint="eastAsia"/>
        </w:rPr>
        <w:t>采集的敏感数据（如受试者个人信息、诊疗数据）应采取加密、脱敏等安全措施，禁止明文采集、明文暂存、明文传输，严格遵循个人信息保护相关法规要求。</w:t>
      </w:r>
      <w:bookmarkStart w:id="105" w:name="_GoBack"/>
      <w:bookmarkEnd w:id="105"/>
    </w:p>
    <w:p w14:paraId="5E6699FD">
      <w:pPr>
        <w:pStyle w:val="108"/>
        <w:spacing w:before="120" w:after="120"/>
        <w:outlineLvl w:val="9"/>
      </w:pPr>
      <w:bookmarkStart w:id="88" w:name="_Toc11818"/>
      <w:bookmarkStart w:id="89" w:name="_Toc10868"/>
      <w:bookmarkStart w:id="90" w:name="heading_22"/>
      <w:r>
        <w:rPr>
          <w:rFonts w:hint="eastAsia"/>
        </w:rPr>
        <w:t>采集环节潜在安全风险</w:t>
      </w:r>
      <w:bookmarkEnd w:id="88"/>
      <w:bookmarkEnd w:id="89"/>
      <w:bookmarkEnd w:id="90"/>
    </w:p>
    <w:p w14:paraId="212E7958">
      <w:pPr>
        <w:pStyle w:val="59"/>
        <w:ind w:firstLine="420"/>
      </w:pPr>
      <w:r>
        <w:rPr>
          <w:rFonts w:hint="eastAsia"/>
        </w:rPr>
        <w:t>临床研究病房智慧管理平台数据采集过程各个数据活动阶段潜在的安全风险如下：</w:t>
      </w:r>
    </w:p>
    <w:p w14:paraId="0EF1F72B">
      <w:pPr>
        <w:pStyle w:val="59"/>
        <w:ind w:firstLine="420"/>
      </w:pPr>
      <w:r>
        <w:rPr>
          <w:rFonts w:hint="eastAsia"/>
        </w:rPr>
        <w:t>a) 数据获取阶段：主要包括数据被劫持和恶意篡改、数据源身份伪造、传感器/设备失效导致数据失真、超范围采集受试者隐私数据、未授权接入采集系统、设备被非法控制等风险；</w:t>
      </w:r>
    </w:p>
    <w:p w14:paraId="73A3EA0F">
      <w:pPr>
        <w:pStyle w:val="59"/>
        <w:ind w:firstLine="420"/>
      </w:pPr>
      <w:r>
        <w:rPr>
          <w:rFonts w:hint="eastAsia"/>
        </w:rPr>
        <w:t>b) 数据校验与清洗转换阶段：主要包括原始数据违规修改、数据处理错误、脏数据流入、处理规则被恶意篡改、操作权限越界、算法模型被攻击导致处理结果异常等风险；</w:t>
      </w:r>
    </w:p>
    <w:p w14:paraId="72573F8D">
      <w:pPr>
        <w:pStyle w:val="59"/>
        <w:ind w:firstLine="420"/>
      </w:pPr>
      <w:r>
        <w:rPr>
          <w:rFonts w:hint="eastAsia"/>
        </w:rPr>
        <w:t>c) 数据输出阶段：主要包括输出数据被嗅探和窃取、未授权访问、数据泄露、身份冒用、数据篡改、输出数据被非法滥用等风险。</w:t>
      </w:r>
    </w:p>
    <w:p w14:paraId="182DF90A">
      <w:pPr>
        <w:pStyle w:val="108"/>
        <w:spacing w:before="120" w:after="120"/>
        <w:outlineLvl w:val="9"/>
      </w:pPr>
      <w:bookmarkStart w:id="91" w:name="heading_23"/>
      <w:bookmarkStart w:id="92" w:name="_Toc17195"/>
      <w:bookmarkStart w:id="93" w:name="_Toc23563"/>
      <w:r>
        <w:rPr>
          <w:rFonts w:hint="eastAsia"/>
        </w:rPr>
        <w:t>采集全流程安全要求</w:t>
      </w:r>
      <w:bookmarkEnd w:id="91"/>
      <w:bookmarkEnd w:id="92"/>
      <w:bookmarkEnd w:id="93"/>
    </w:p>
    <w:p w14:paraId="36B7AF01">
      <w:pPr>
        <w:pStyle w:val="68"/>
        <w:spacing w:before="0" w:beforeLines="0" w:after="0" w:afterLines="0"/>
        <w:ind w:left="0"/>
        <w:outlineLvl w:val="9"/>
      </w:pPr>
      <w:bookmarkStart w:id="94" w:name="heading_24"/>
      <w:r>
        <w:rPr>
          <w:rFonts w:hint="eastAsia"/>
        </w:rPr>
        <w:t>数据获取安全</w:t>
      </w:r>
      <w:bookmarkEnd w:id="94"/>
    </w:p>
    <w:p w14:paraId="3FC17FF2">
      <w:pPr>
        <w:pStyle w:val="59"/>
        <w:ind w:firstLine="420"/>
      </w:pPr>
      <w:r>
        <w:rPr>
          <w:rFonts w:hint="eastAsia"/>
        </w:rPr>
        <w:t>临床研究病房智慧管理平台数据获取阶段的安全要求应包括但不限于：</w:t>
      </w:r>
    </w:p>
    <w:p w14:paraId="7D5644CC">
      <w:pPr>
        <w:pStyle w:val="59"/>
        <w:ind w:firstLine="420"/>
      </w:pPr>
      <w:r>
        <w:rPr>
          <w:rFonts w:hint="eastAsia"/>
        </w:rPr>
        <w:t>a) 遵循数据最小化原则，仅采集临床试验方案与伦理批准范围内的最少必要数据，禁止超范围采集，通过智能监测技术实时拦截超范围采集行为；</w:t>
      </w:r>
    </w:p>
    <w:p w14:paraId="719A36CC">
      <w:pPr>
        <w:pStyle w:val="59"/>
        <w:ind w:firstLine="420"/>
      </w:pPr>
      <w:r>
        <w:rPr>
          <w:rFonts w:hint="eastAsia"/>
        </w:rPr>
        <w:t>b) 对数据采集环境、设施和技术采取安全保护措施，对接入的数据源、设备、系统进行严格的身份认证与合规校验，采用加密技术保障设备接入安全，未经认证的数据源禁止接入；</w:t>
      </w:r>
    </w:p>
    <w:p w14:paraId="44353781">
      <w:pPr>
        <w:pStyle w:val="59"/>
        <w:ind w:firstLine="420"/>
      </w:pPr>
      <w:r>
        <w:rPr>
          <w:rFonts w:hint="eastAsia"/>
        </w:rPr>
        <w:t>c) 对获取的数据划分不同的安全等级，对受试者个人敏感信息采取脱敏、加密处理，禁止敏感信息明文采集、明文暂存，采用加密存储技术保障数据安全；</w:t>
      </w:r>
    </w:p>
    <w:p w14:paraId="489F3265">
      <w:pPr>
        <w:pStyle w:val="59"/>
        <w:ind w:firstLine="420"/>
      </w:pPr>
      <w:r>
        <w:rPr>
          <w:rFonts w:hint="eastAsia"/>
        </w:rPr>
        <w:t>d) 记录数据获取阶段各项操作的相关信息，全程留痕、不可篡改，支持操作日志的智能查询与审计，便于安全追溯；</w:t>
      </w:r>
    </w:p>
    <w:p w14:paraId="1E5D2110">
      <w:pPr>
        <w:pStyle w:val="59"/>
        <w:ind w:firstLine="420"/>
      </w:pPr>
      <w:r>
        <w:rPr>
          <w:rFonts w:hint="eastAsia"/>
        </w:rPr>
        <w:t>e) 建立数据获取异常监控机制，通过智能算法实时监测数据获取行为，对超频次、超范围、超权限的数据获取行为实时告警、自动阻断，及时处置安全风险。</w:t>
      </w:r>
    </w:p>
    <w:p w14:paraId="75CA2A84">
      <w:pPr>
        <w:pStyle w:val="68"/>
        <w:spacing w:before="0" w:beforeLines="0" w:after="0" w:afterLines="0"/>
        <w:ind w:left="0"/>
        <w:outlineLvl w:val="9"/>
      </w:pPr>
      <w:bookmarkStart w:id="95" w:name="heading_25"/>
      <w:r>
        <w:rPr>
          <w:rFonts w:hint="eastAsia"/>
        </w:rPr>
        <w:t>数据校验与清洗转换安全</w:t>
      </w:r>
      <w:bookmarkEnd w:id="95"/>
    </w:p>
    <w:p w14:paraId="67CE03A2">
      <w:pPr>
        <w:pStyle w:val="59"/>
        <w:ind w:firstLine="420"/>
      </w:pPr>
      <w:r>
        <w:rPr>
          <w:rFonts w:hint="eastAsia"/>
        </w:rPr>
        <w:t>临床研究病房智慧管理平台数据校验与清洗转换阶段的安全要求应包括但不限于：</w:t>
      </w:r>
    </w:p>
    <w:p w14:paraId="656E5D74">
      <w:pPr>
        <w:pStyle w:val="59"/>
        <w:ind w:firstLine="420"/>
      </w:pPr>
      <w:r>
        <w:rPr>
          <w:rFonts w:hint="eastAsia"/>
        </w:rPr>
        <w:t>a) 对原始源数据进行只读保护，采用加密技术禁止修改、覆盖、删除原始源数据，确保原始数据的真实性与完整性；</w:t>
      </w:r>
    </w:p>
    <w:p w14:paraId="560411CB">
      <w:pPr>
        <w:pStyle w:val="59"/>
        <w:ind w:firstLine="420"/>
      </w:pPr>
      <w:r>
        <w:rPr>
          <w:rFonts w:hint="eastAsia"/>
        </w:rPr>
        <w:t>b) 对数据校验与清洗转换规则实行权限管控，规则修改需经双人审批，全程留痕，支持规则修改的追溯与审计，防止规则被恶意篡改；</w:t>
      </w:r>
    </w:p>
    <w:p w14:paraId="752B6CBD">
      <w:pPr>
        <w:pStyle w:val="59"/>
        <w:ind w:firstLine="420"/>
      </w:pPr>
      <w:r>
        <w:rPr>
          <w:rFonts w:hint="eastAsia"/>
        </w:rPr>
        <w:t>c) 对数据清洗和转换结果的可靠性进行定期验证，通过智能算法对比处理结果与原始数据，确保处理后数据与原始源数据可对应、可追溯；</w:t>
      </w:r>
    </w:p>
    <w:p w14:paraId="1DF78041">
      <w:pPr>
        <w:pStyle w:val="59"/>
        <w:ind w:firstLine="420"/>
      </w:pPr>
      <w:r>
        <w:rPr>
          <w:rFonts w:hint="eastAsia"/>
        </w:rPr>
        <w:t>d) 记录数据校验与清洗转换阶段各项操作的相关信息，全程留痕、不可篡改，包括操作人、操作时间、操作内容、处理结果等，支持操作日志的查询与审计；</w:t>
      </w:r>
    </w:p>
    <w:p w14:paraId="3AFFFF2D">
      <w:pPr>
        <w:pStyle w:val="59"/>
        <w:ind w:firstLine="420"/>
      </w:pPr>
      <w:r>
        <w:rPr>
          <w:rFonts w:hint="eastAsia"/>
        </w:rPr>
        <w:t>e) 建立清洗转换异常告警机制，通过智能监测实时发现违规操作、规则异常、数据批量异常等情况，实时告警、闭环处置，防止脏数据流入下游环节。</w:t>
      </w:r>
    </w:p>
    <w:p w14:paraId="09ED38B8">
      <w:pPr>
        <w:pStyle w:val="68"/>
        <w:spacing w:before="0" w:beforeLines="0" w:after="0" w:afterLines="0"/>
        <w:ind w:left="0"/>
        <w:outlineLvl w:val="9"/>
      </w:pPr>
      <w:bookmarkStart w:id="96" w:name="heading_26"/>
      <w:r>
        <w:rPr>
          <w:rFonts w:hint="eastAsia"/>
        </w:rPr>
        <w:t>数据输出安全</w:t>
      </w:r>
      <w:bookmarkEnd w:id="96"/>
    </w:p>
    <w:p w14:paraId="6CA59660">
      <w:pPr>
        <w:pStyle w:val="59"/>
        <w:ind w:firstLine="420"/>
      </w:pPr>
      <w:r>
        <w:rPr>
          <w:rFonts w:hint="eastAsia"/>
        </w:rPr>
        <w:t>临床研究病房智慧管理平台数据输出阶段的安全要求应包括但不限于：</w:t>
      </w:r>
    </w:p>
    <w:p w14:paraId="2786CF2C">
      <w:pPr>
        <w:pStyle w:val="59"/>
        <w:ind w:firstLine="420"/>
      </w:pPr>
      <w:r>
        <w:rPr>
          <w:rFonts w:hint="eastAsia"/>
        </w:rPr>
        <w:t>a) 数据输出前完成身份认证与权限校验，采用多因素认证技术保障身份安全，仅授权主体可获取对应数据，禁止越权输出、超范围输出；</w:t>
      </w:r>
    </w:p>
    <w:p w14:paraId="79C68CD8">
      <w:pPr>
        <w:pStyle w:val="59"/>
        <w:ind w:firstLine="420"/>
      </w:pPr>
      <w:r>
        <w:rPr>
          <w:rFonts w:hint="eastAsia"/>
        </w:rPr>
        <w:t>b) 对输出的敏感数据采取加密处理，使用安全的输出通道，采用加密传输技术保障数据输出安全，防止数据被嗅探、窃取；</w:t>
      </w:r>
    </w:p>
    <w:p w14:paraId="51162DB5">
      <w:pPr>
        <w:pStyle w:val="59"/>
        <w:ind w:firstLine="420"/>
      </w:pPr>
      <w:r>
        <w:rPr>
          <w:rFonts w:hint="eastAsia"/>
        </w:rPr>
        <w:t>c) 对输出数据的完整性进行校验，通过智能算法对比输出数据与采集处理后的合格数据，确保输出数据与合格数据一致；</w:t>
      </w:r>
    </w:p>
    <w:p w14:paraId="5AE460AE">
      <w:pPr>
        <w:pStyle w:val="59"/>
        <w:ind w:firstLine="420"/>
      </w:pPr>
      <w:r>
        <w:rPr>
          <w:rFonts w:hint="eastAsia"/>
        </w:rPr>
        <w:t>d) 记录数据输出阶段各项操作的相关信息，全程留痕、不可篡改，包括输出人、输出时间、输出对象、输出数据范围等，支持操作日志的查询与审计；</w:t>
      </w:r>
    </w:p>
    <w:p w14:paraId="065DCA95">
      <w:pPr>
        <w:pStyle w:val="59"/>
        <w:ind w:firstLine="420"/>
      </w:pPr>
      <w:r>
        <w:rPr>
          <w:rFonts w:hint="eastAsia"/>
        </w:rPr>
        <w:t>e) 建立数据输出行为监控机制，通过智能算法对批量输出、异常时段输出、敏感数据输出等行为重点监控、分级审批，及时发现并处置数据泄露风险。</w:t>
      </w:r>
    </w:p>
    <w:p w14:paraId="30DB794F">
      <w:pPr>
        <w:pStyle w:val="59"/>
        <w:ind w:firstLine="199" w:firstLineChars="95"/>
      </w:pPr>
      <w:r>
        <w:br w:type="page"/>
      </w:r>
    </w:p>
    <w:p w14:paraId="573161A9">
      <w:pPr>
        <w:pStyle w:val="201"/>
        <w:rPr>
          <w:rFonts w:hint="eastAsia"/>
        </w:rPr>
      </w:pPr>
    </w:p>
    <w:p w14:paraId="1C7C7EB1">
      <w:pPr>
        <w:pStyle w:val="202"/>
      </w:pPr>
    </w:p>
    <w:bookmarkEnd w:id="20"/>
    <w:p w14:paraId="54C46A30">
      <w:pPr>
        <w:pStyle w:val="79"/>
        <w:spacing w:before="0" w:after="0" w:afterLines="0"/>
      </w:pPr>
      <w:bookmarkStart w:id="97" w:name="_Toc228451414"/>
      <w:bookmarkEnd w:id="97"/>
      <w:bookmarkStart w:id="98" w:name="_Toc31631"/>
      <w:bookmarkStart w:id="99" w:name="heading_27"/>
      <w:bookmarkStart w:id="100" w:name="BookMark6"/>
    </w:p>
    <w:p w14:paraId="068B9AF0">
      <w:pPr>
        <w:pStyle w:val="79"/>
        <w:numPr>
          <w:ilvl w:val="0"/>
          <w:numId w:val="0"/>
        </w:numPr>
        <w:spacing w:before="0" w:after="0" w:afterLines="0"/>
      </w:pPr>
      <w:bookmarkStart w:id="101" w:name="_Toc228451415"/>
      <w:r>
        <w:rPr>
          <w:rFonts w:hint="eastAsia"/>
        </w:rPr>
        <w:t>（资料性）</w:t>
      </w:r>
      <w:bookmarkEnd w:id="101"/>
    </w:p>
    <w:p w14:paraId="6F150E29">
      <w:pPr>
        <w:pStyle w:val="79"/>
        <w:numPr>
          <w:ilvl w:val="0"/>
          <w:numId w:val="0"/>
        </w:numPr>
        <w:spacing w:before="0" w:after="0" w:afterLines="0"/>
      </w:pPr>
      <w:bookmarkStart w:id="102" w:name="_Toc228451416"/>
      <w:r>
        <w:rPr>
          <w:rFonts w:hint="eastAsia"/>
        </w:rPr>
        <w:t>临床研究典型场景采集数据详细定义</w:t>
      </w:r>
      <w:bookmarkEnd w:id="98"/>
      <w:bookmarkEnd w:id="99"/>
      <w:bookmarkEnd w:id="102"/>
    </w:p>
    <w:p w14:paraId="06B10914">
      <w:pPr>
        <w:pStyle w:val="59"/>
        <w:ind w:firstLine="420"/>
      </w:pPr>
    </w:p>
    <w:p w14:paraId="15CD2E23">
      <w:pPr>
        <w:pStyle w:val="59"/>
        <w:ind w:firstLine="420"/>
      </w:pPr>
      <w:r>
        <w:rPr>
          <w:rFonts w:hint="eastAsia"/>
        </w:rPr>
        <w:t>本附录提供了临床研究典型场景下各类采集数据的详细定义，适配智慧化采集需求，明确数据采集的具体要求，为临床研究数据采集的落地实施提供参考。</w:t>
      </w:r>
    </w:p>
    <w:p w14:paraId="7B6FB646">
      <w:pPr>
        <w:pStyle w:val="80"/>
        <w:numPr>
          <w:ilvl w:val="0"/>
          <w:numId w:val="0"/>
        </w:numPr>
        <w:spacing w:before="0" w:beforeLines="0" w:after="0" w:afterLines="0"/>
        <w:rPr>
          <w:rFonts w:ascii="Times New Roman" w:eastAsia="宋体"/>
          <w:kern w:val="0"/>
        </w:rPr>
      </w:pPr>
      <w:r>
        <w:rPr>
          <w:rFonts w:hint="eastAsia" w:ascii="Times New Roman" w:eastAsia="宋体"/>
        </w:rPr>
        <w:t>表</w:t>
      </w:r>
      <w:r>
        <w:rPr>
          <w:rFonts w:ascii="Times New Roman" w:eastAsia="宋体"/>
        </w:rPr>
        <w:t xml:space="preserve">A.1 </w:t>
      </w:r>
      <w:r>
        <w:rPr>
          <w:rFonts w:hint="eastAsia" w:ascii="Times New Roman" w:eastAsia="宋体"/>
        </w:rPr>
        <w:t>临床研究专属采集数据核心要求</w:t>
      </w:r>
    </w:p>
    <w:tbl>
      <w:tblPr>
        <w:tblStyle w:val="28"/>
        <w:tblW w:w="5000" w:type="pct"/>
        <w:jc w:val="center"/>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fixed"/>
        <w:tblCellMar>
          <w:top w:w="15" w:type="dxa"/>
          <w:left w:w="15" w:type="dxa"/>
          <w:bottom w:w="15" w:type="dxa"/>
          <w:right w:w="15" w:type="dxa"/>
        </w:tblCellMar>
      </w:tblPr>
      <w:tblGrid>
        <w:gridCol w:w="1885"/>
        <w:gridCol w:w="3324"/>
        <w:gridCol w:w="1599"/>
        <w:gridCol w:w="2786"/>
      </w:tblGrid>
      <w:tr w14:paraId="173E6930">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tblHeader/>
          <w:jc w:val="center"/>
        </w:trPr>
        <w:tc>
          <w:tcPr>
            <w:tcW w:w="983" w:type="pct"/>
            <w:tcBorders>
              <w:tl2br w:val="nil"/>
              <w:tr2bl w:val="nil"/>
            </w:tcBorders>
            <w:tcMar>
              <w:top w:w="120" w:type="dxa"/>
              <w:left w:w="120" w:type="dxa"/>
              <w:bottom w:w="120" w:type="dxa"/>
              <w:right w:w="120" w:type="dxa"/>
            </w:tcMar>
            <w:vAlign w:val="center"/>
          </w:tcPr>
          <w:p w14:paraId="07B0992A">
            <w:pPr>
              <w:widowControl/>
              <w:spacing w:line="240" w:lineRule="auto"/>
              <w:jc w:val="center"/>
              <w:rPr>
                <w:rFonts w:ascii="Times New Roman" w:hAnsi="Times New Roman"/>
                <w:b/>
                <w:bCs/>
                <w:kern w:val="0"/>
                <w:sz w:val="21"/>
                <w:szCs w:val="21"/>
              </w:rPr>
            </w:pPr>
            <w:r>
              <w:rPr>
                <w:rFonts w:hint="eastAsia" w:ascii="Times New Roman" w:hAnsi="Times New Roman"/>
                <w:b/>
                <w:bCs/>
                <w:kern w:val="0"/>
                <w:sz w:val="21"/>
                <w:szCs w:val="21"/>
              </w:rPr>
              <w:t>数据大类</w:t>
            </w:r>
          </w:p>
        </w:tc>
        <w:tc>
          <w:tcPr>
            <w:tcW w:w="1732" w:type="pct"/>
            <w:tcBorders>
              <w:tl2br w:val="nil"/>
              <w:tr2bl w:val="nil"/>
            </w:tcBorders>
            <w:tcMar>
              <w:top w:w="120" w:type="dxa"/>
              <w:left w:w="120" w:type="dxa"/>
              <w:bottom w:w="120" w:type="dxa"/>
              <w:right w:w="120" w:type="dxa"/>
            </w:tcMar>
            <w:vAlign w:val="center"/>
          </w:tcPr>
          <w:p w14:paraId="1CF08BF2">
            <w:pPr>
              <w:widowControl/>
              <w:spacing w:line="240" w:lineRule="auto"/>
              <w:jc w:val="center"/>
              <w:rPr>
                <w:rFonts w:ascii="Times New Roman" w:hAnsi="Times New Roman"/>
                <w:b/>
                <w:bCs/>
                <w:kern w:val="0"/>
                <w:sz w:val="21"/>
                <w:szCs w:val="21"/>
              </w:rPr>
            </w:pPr>
            <w:r>
              <w:rPr>
                <w:rFonts w:hint="eastAsia" w:ascii="Times New Roman" w:hAnsi="Times New Roman"/>
                <w:b/>
                <w:bCs/>
                <w:kern w:val="0"/>
                <w:sz w:val="21"/>
                <w:szCs w:val="21"/>
              </w:rPr>
              <w:t>数据名称</w:t>
            </w:r>
          </w:p>
        </w:tc>
        <w:tc>
          <w:tcPr>
            <w:tcW w:w="833" w:type="pct"/>
            <w:tcBorders>
              <w:tl2br w:val="nil"/>
              <w:tr2bl w:val="nil"/>
            </w:tcBorders>
            <w:tcMar>
              <w:top w:w="120" w:type="dxa"/>
              <w:left w:w="120" w:type="dxa"/>
              <w:bottom w:w="120" w:type="dxa"/>
              <w:right w:w="120" w:type="dxa"/>
            </w:tcMar>
            <w:vAlign w:val="center"/>
          </w:tcPr>
          <w:p w14:paraId="5335726B">
            <w:pPr>
              <w:widowControl/>
              <w:spacing w:line="240" w:lineRule="auto"/>
              <w:jc w:val="center"/>
              <w:rPr>
                <w:rFonts w:ascii="Times New Roman" w:hAnsi="Times New Roman"/>
                <w:b/>
                <w:bCs/>
                <w:kern w:val="0"/>
                <w:sz w:val="21"/>
                <w:szCs w:val="21"/>
              </w:rPr>
            </w:pPr>
            <w:r>
              <w:rPr>
                <w:rFonts w:hint="eastAsia" w:ascii="Times New Roman" w:hAnsi="Times New Roman"/>
                <w:b/>
                <w:bCs/>
                <w:kern w:val="0"/>
                <w:sz w:val="21"/>
                <w:szCs w:val="21"/>
              </w:rPr>
              <w:t>采集方式</w:t>
            </w:r>
          </w:p>
        </w:tc>
        <w:tc>
          <w:tcPr>
            <w:tcW w:w="1452" w:type="pct"/>
            <w:tcBorders>
              <w:tl2br w:val="nil"/>
              <w:tr2bl w:val="nil"/>
            </w:tcBorders>
            <w:tcMar>
              <w:top w:w="120" w:type="dxa"/>
              <w:left w:w="120" w:type="dxa"/>
              <w:bottom w:w="120" w:type="dxa"/>
              <w:right w:w="120" w:type="dxa"/>
            </w:tcMar>
            <w:vAlign w:val="center"/>
          </w:tcPr>
          <w:p w14:paraId="447352DB">
            <w:pPr>
              <w:widowControl/>
              <w:spacing w:line="240" w:lineRule="auto"/>
              <w:jc w:val="center"/>
              <w:rPr>
                <w:rFonts w:ascii="Times New Roman" w:hAnsi="Times New Roman"/>
                <w:b/>
                <w:bCs/>
                <w:kern w:val="0"/>
                <w:sz w:val="21"/>
                <w:szCs w:val="21"/>
              </w:rPr>
            </w:pPr>
            <w:r>
              <w:rPr>
                <w:rFonts w:hint="eastAsia" w:ascii="Times New Roman" w:hAnsi="Times New Roman"/>
                <w:b/>
                <w:bCs/>
                <w:kern w:val="0"/>
                <w:sz w:val="21"/>
                <w:szCs w:val="21"/>
              </w:rPr>
              <w:t>推荐采集间隔</w:t>
            </w:r>
          </w:p>
        </w:tc>
      </w:tr>
      <w:tr w14:paraId="589CF2AF">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505610CE">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文本类数据</w:t>
            </w:r>
          </w:p>
        </w:tc>
        <w:tc>
          <w:tcPr>
            <w:tcW w:w="1732" w:type="pct"/>
            <w:tcBorders>
              <w:tl2br w:val="nil"/>
              <w:tr2bl w:val="nil"/>
            </w:tcBorders>
            <w:tcMar>
              <w:top w:w="120" w:type="dxa"/>
              <w:left w:w="120" w:type="dxa"/>
              <w:bottom w:w="120" w:type="dxa"/>
              <w:right w:w="120" w:type="dxa"/>
            </w:tcMar>
            <w:vAlign w:val="center"/>
          </w:tcPr>
          <w:p w14:paraId="10CF9BC9">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临床试验方案</w:t>
            </w:r>
          </w:p>
        </w:tc>
        <w:tc>
          <w:tcPr>
            <w:tcW w:w="833" w:type="pct"/>
            <w:tcBorders>
              <w:tl2br w:val="nil"/>
              <w:tr2bl w:val="nil"/>
            </w:tcBorders>
            <w:tcMar>
              <w:top w:w="120" w:type="dxa"/>
              <w:left w:w="120" w:type="dxa"/>
              <w:bottom w:w="120" w:type="dxa"/>
              <w:right w:w="120" w:type="dxa"/>
            </w:tcMar>
            <w:vAlign w:val="center"/>
          </w:tcPr>
          <w:p w14:paraId="0798258C">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半自动采集</w:t>
            </w:r>
          </w:p>
        </w:tc>
        <w:tc>
          <w:tcPr>
            <w:tcW w:w="1452" w:type="pct"/>
            <w:tcBorders>
              <w:tl2br w:val="nil"/>
              <w:tr2bl w:val="nil"/>
            </w:tcBorders>
            <w:tcMar>
              <w:top w:w="120" w:type="dxa"/>
              <w:left w:w="120" w:type="dxa"/>
              <w:bottom w:w="120" w:type="dxa"/>
              <w:right w:w="120" w:type="dxa"/>
            </w:tcMar>
            <w:vAlign w:val="center"/>
          </w:tcPr>
          <w:p w14:paraId="72E50FD2">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项目启动前一次性采集，修订时补充</w:t>
            </w:r>
          </w:p>
        </w:tc>
      </w:tr>
      <w:tr w14:paraId="5E306F0A">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1817061C">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文本类数据</w:t>
            </w:r>
          </w:p>
        </w:tc>
        <w:tc>
          <w:tcPr>
            <w:tcW w:w="1732" w:type="pct"/>
            <w:tcBorders>
              <w:tl2br w:val="nil"/>
              <w:tr2bl w:val="nil"/>
            </w:tcBorders>
            <w:tcMar>
              <w:top w:w="120" w:type="dxa"/>
              <w:left w:w="120" w:type="dxa"/>
              <w:bottom w:w="120" w:type="dxa"/>
              <w:right w:w="120" w:type="dxa"/>
            </w:tcMar>
            <w:vAlign w:val="center"/>
          </w:tcPr>
          <w:p w14:paraId="46520E2E">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知情同意书</w:t>
            </w:r>
          </w:p>
        </w:tc>
        <w:tc>
          <w:tcPr>
            <w:tcW w:w="833" w:type="pct"/>
            <w:tcBorders>
              <w:tl2br w:val="nil"/>
              <w:tr2bl w:val="nil"/>
            </w:tcBorders>
            <w:tcMar>
              <w:top w:w="120" w:type="dxa"/>
              <w:left w:w="120" w:type="dxa"/>
              <w:bottom w:w="120" w:type="dxa"/>
              <w:right w:w="120" w:type="dxa"/>
            </w:tcMar>
            <w:vAlign w:val="center"/>
          </w:tcPr>
          <w:p w14:paraId="54F6C26B">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半自动采集</w:t>
            </w:r>
          </w:p>
        </w:tc>
        <w:tc>
          <w:tcPr>
            <w:tcW w:w="1452" w:type="pct"/>
            <w:tcBorders>
              <w:tl2br w:val="nil"/>
              <w:tr2bl w:val="nil"/>
            </w:tcBorders>
            <w:tcMar>
              <w:top w:w="120" w:type="dxa"/>
              <w:left w:w="120" w:type="dxa"/>
              <w:bottom w:w="120" w:type="dxa"/>
              <w:right w:w="120" w:type="dxa"/>
            </w:tcMar>
            <w:vAlign w:val="center"/>
          </w:tcPr>
          <w:p w14:paraId="198D5632">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签署后</w:t>
            </w:r>
            <w:r>
              <w:rPr>
                <w:rFonts w:ascii="Times New Roman" w:hAnsi="Times New Roman"/>
                <w:kern w:val="0"/>
                <w:sz w:val="21"/>
                <w:szCs w:val="21"/>
              </w:rPr>
              <w:t>24</w:t>
            </w:r>
            <w:r>
              <w:rPr>
                <w:rFonts w:hint="eastAsia" w:ascii="Times New Roman" w:hAnsi="Times New Roman"/>
                <w:kern w:val="0"/>
                <w:sz w:val="21"/>
                <w:szCs w:val="21"/>
              </w:rPr>
              <w:t>小时内采集</w:t>
            </w:r>
          </w:p>
        </w:tc>
      </w:tr>
      <w:tr w14:paraId="67E820E0">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0320B94A">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文本类数据</w:t>
            </w:r>
          </w:p>
        </w:tc>
        <w:tc>
          <w:tcPr>
            <w:tcW w:w="1732" w:type="pct"/>
            <w:tcBorders>
              <w:tl2br w:val="nil"/>
              <w:tr2bl w:val="nil"/>
            </w:tcBorders>
            <w:tcMar>
              <w:top w:w="120" w:type="dxa"/>
              <w:left w:w="120" w:type="dxa"/>
              <w:bottom w:w="120" w:type="dxa"/>
              <w:right w:w="120" w:type="dxa"/>
            </w:tcMar>
            <w:vAlign w:val="center"/>
          </w:tcPr>
          <w:p w14:paraId="1970F984">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伦理审查批件</w:t>
            </w:r>
          </w:p>
        </w:tc>
        <w:tc>
          <w:tcPr>
            <w:tcW w:w="833" w:type="pct"/>
            <w:tcBorders>
              <w:tl2br w:val="nil"/>
              <w:tr2bl w:val="nil"/>
            </w:tcBorders>
            <w:tcMar>
              <w:top w:w="120" w:type="dxa"/>
              <w:left w:w="120" w:type="dxa"/>
              <w:bottom w:w="120" w:type="dxa"/>
              <w:right w:w="120" w:type="dxa"/>
            </w:tcMar>
            <w:vAlign w:val="center"/>
          </w:tcPr>
          <w:p w14:paraId="1E210830">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半自动采集</w:t>
            </w:r>
          </w:p>
        </w:tc>
        <w:tc>
          <w:tcPr>
            <w:tcW w:w="1452" w:type="pct"/>
            <w:tcBorders>
              <w:tl2br w:val="nil"/>
              <w:tr2bl w:val="nil"/>
            </w:tcBorders>
            <w:tcMar>
              <w:top w:w="120" w:type="dxa"/>
              <w:left w:w="120" w:type="dxa"/>
              <w:bottom w:w="120" w:type="dxa"/>
              <w:right w:w="120" w:type="dxa"/>
            </w:tcMar>
            <w:vAlign w:val="center"/>
          </w:tcPr>
          <w:p w14:paraId="7443CBA3">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获批后</w:t>
            </w:r>
            <w:r>
              <w:rPr>
                <w:rFonts w:ascii="Times New Roman" w:hAnsi="Times New Roman"/>
                <w:kern w:val="0"/>
                <w:sz w:val="21"/>
                <w:szCs w:val="21"/>
              </w:rPr>
              <w:t>24</w:t>
            </w:r>
            <w:r>
              <w:rPr>
                <w:rFonts w:hint="eastAsia" w:ascii="Times New Roman" w:hAnsi="Times New Roman"/>
                <w:kern w:val="0"/>
                <w:sz w:val="21"/>
                <w:szCs w:val="21"/>
              </w:rPr>
              <w:t>小时内采集</w:t>
            </w:r>
          </w:p>
        </w:tc>
      </w:tr>
      <w:tr w14:paraId="64C23FD7">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4F422A89">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文本类数据</w:t>
            </w:r>
          </w:p>
        </w:tc>
        <w:tc>
          <w:tcPr>
            <w:tcW w:w="1732" w:type="pct"/>
            <w:tcBorders>
              <w:tl2br w:val="nil"/>
              <w:tr2bl w:val="nil"/>
            </w:tcBorders>
            <w:tcMar>
              <w:top w:w="120" w:type="dxa"/>
              <w:left w:w="120" w:type="dxa"/>
              <w:bottom w:w="120" w:type="dxa"/>
              <w:right w:w="120" w:type="dxa"/>
            </w:tcMar>
            <w:vAlign w:val="center"/>
          </w:tcPr>
          <w:p w14:paraId="38669898">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病例报告表（</w:t>
            </w:r>
            <w:r>
              <w:rPr>
                <w:rFonts w:ascii="Times New Roman" w:hAnsi="Times New Roman"/>
                <w:kern w:val="0"/>
                <w:sz w:val="21"/>
                <w:szCs w:val="21"/>
              </w:rPr>
              <w:t>CRF</w:t>
            </w:r>
            <w:r>
              <w:rPr>
                <w:rFonts w:hint="eastAsia" w:ascii="Times New Roman" w:hAnsi="Times New Roman"/>
                <w:kern w:val="0"/>
                <w:sz w:val="21"/>
                <w:szCs w:val="21"/>
              </w:rPr>
              <w:t>）</w:t>
            </w:r>
          </w:p>
        </w:tc>
        <w:tc>
          <w:tcPr>
            <w:tcW w:w="833" w:type="pct"/>
            <w:tcBorders>
              <w:tl2br w:val="nil"/>
              <w:tr2bl w:val="nil"/>
            </w:tcBorders>
            <w:tcMar>
              <w:top w:w="120" w:type="dxa"/>
              <w:left w:w="120" w:type="dxa"/>
              <w:bottom w:w="120" w:type="dxa"/>
              <w:right w:w="120" w:type="dxa"/>
            </w:tcMar>
            <w:vAlign w:val="center"/>
          </w:tcPr>
          <w:p w14:paraId="52F8DC5B">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半自动</w:t>
            </w:r>
            <w:r>
              <w:rPr>
                <w:rFonts w:ascii="Times New Roman" w:hAnsi="Times New Roman"/>
                <w:kern w:val="0"/>
                <w:sz w:val="21"/>
                <w:szCs w:val="21"/>
              </w:rPr>
              <w:t xml:space="preserve"> / </w:t>
            </w:r>
            <w:r>
              <w:rPr>
                <w:rFonts w:hint="eastAsia" w:ascii="Times New Roman" w:hAnsi="Times New Roman"/>
                <w:kern w:val="0"/>
                <w:sz w:val="21"/>
                <w:szCs w:val="21"/>
              </w:rPr>
              <w:t>自动采集</w:t>
            </w:r>
          </w:p>
        </w:tc>
        <w:tc>
          <w:tcPr>
            <w:tcW w:w="1452" w:type="pct"/>
            <w:tcBorders>
              <w:tl2br w:val="nil"/>
              <w:tr2bl w:val="nil"/>
            </w:tcBorders>
            <w:tcMar>
              <w:top w:w="120" w:type="dxa"/>
              <w:left w:w="120" w:type="dxa"/>
              <w:bottom w:w="120" w:type="dxa"/>
              <w:right w:w="120" w:type="dxa"/>
            </w:tcMar>
            <w:vAlign w:val="center"/>
          </w:tcPr>
          <w:p w14:paraId="302A606F">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访视周期内采集</w:t>
            </w:r>
          </w:p>
        </w:tc>
      </w:tr>
      <w:tr w14:paraId="48875541">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0B17F9D2">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影像类数据</w:t>
            </w:r>
          </w:p>
        </w:tc>
        <w:tc>
          <w:tcPr>
            <w:tcW w:w="1732" w:type="pct"/>
            <w:tcBorders>
              <w:tl2br w:val="nil"/>
              <w:tr2bl w:val="nil"/>
            </w:tcBorders>
            <w:tcMar>
              <w:top w:w="120" w:type="dxa"/>
              <w:left w:w="120" w:type="dxa"/>
              <w:bottom w:w="120" w:type="dxa"/>
              <w:right w:w="120" w:type="dxa"/>
            </w:tcMar>
            <w:vAlign w:val="center"/>
          </w:tcPr>
          <w:p w14:paraId="31D7912E">
            <w:pPr>
              <w:widowControl/>
              <w:adjustRightInd/>
              <w:spacing w:line="240" w:lineRule="auto"/>
              <w:jc w:val="center"/>
              <w:rPr>
                <w:rFonts w:ascii="Times New Roman" w:hAnsi="Times New Roman"/>
                <w:kern w:val="0"/>
                <w:sz w:val="21"/>
                <w:szCs w:val="21"/>
              </w:rPr>
            </w:pPr>
            <w:r>
              <w:rPr>
                <w:rFonts w:ascii="Times New Roman" w:hAnsi="Times New Roman"/>
                <w:kern w:val="0"/>
                <w:sz w:val="21"/>
                <w:szCs w:val="21"/>
              </w:rPr>
              <w:t xml:space="preserve">CT/MRI/ </w:t>
            </w:r>
            <w:r>
              <w:rPr>
                <w:rFonts w:hint="eastAsia" w:ascii="Times New Roman" w:hAnsi="Times New Roman"/>
                <w:kern w:val="0"/>
                <w:sz w:val="21"/>
                <w:szCs w:val="21"/>
              </w:rPr>
              <w:t>超声</w:t>
            </w:r>
            <w:r>
              <w:rPr>
                <w:rFonts w:ascii="Times New Roman" w:hAnsi="Times New Roman"/>
                <w:kern w:val="0"/>
                <w:sz w:val="21"/>
                <w:szCs w:val="21"/>
              </w:rPr>
              <w:t xml:space="preserve"> / </w:t>
            </w:r>
            <w:r>
              <w:rPr>
                <w:rFonts w:hint="eastAsia" w:ascii="Times New Roman" w:hAnsi="Times New Roman"/>
                <w:kern w:val="0"/>
                <w:sz w:val="21"/>
                <w:szCs w:val="21"/>
              </w:rPr>
              <w:t>病理</w:t>
            </w:r>
            <w:r>
              <w:rPr>
                <w:rFonts w:ascii="Times New Roman" w:hAnsi="Times New Roman"/>
                <w:kern w:val="0"/>
                <w:sz w:val="21"/>
                <w:szCs w:val="21"/>
              </w:rPr>
              <w:t xml:space="preserve"> / </w:t>
            </w:r>
            <w:r>
              <w:rPr>
                <w:rFonts w:hint="eastAsia" w:ascii="Times New Roman" w:hAnsi="Times New Roman"/>
                <w:kern w:val="0"/>
                <w:sz w:val="21"/>
                <w:szCs w:val="21"/>
              </w:rPr>
              <w:t>内镜影像</w:t>
            </w:r>
          </w:p>
        </w:tc>
        <w:tc>
          <w:tcPr>
            <w:tcW w:w="833" w:type="pct"/>
            <w:tcBorders>
              <w:tl2br w:val="nil"/>
              <w:tr2bl w:val="nil"/>
            </w:tcBorders>
            <w:tcMar>
              <w:top w:w="120" w:type="dxa"/>
              <w:left w:w="120" w:type="dxa"/>
              <w:bottom w:w="120" w:type="dxa"/>
              <w:right w:w="120" w:type="dxa"/>
            </w:tcMar>
            <w:vAlign w:val="center"/>
          </w:tcPr>
          <w:p w14:paraId="35E96BC7">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自动采集</w:t>
            </w:r>
          </w:p>
        </w:tc>
        <w:tc>
          <w:tcPr>
            <w:tcW w:w="1452" w:type="pct"/>
            <w:tcBorders>
              <w:tl2br w:val="nil"/>
              <w:tr2bl w:val="nil"/>
            </w:tcBorders>
            <w:tcMar>
              <w:top w:w="120" w:type="dxa"/>
              <w:left w:w="120" w:type="dxa"/>
              <w:bottom w:w="120" w:type="dxa"/>
              <w:right w:w="120" w:type="dxa"/>
            </w:tcMar>
            <w:vAlign w:val="center"/>
          </w:tcPr>
          <w:p w14:paraId="56D87181">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检查完成后自动采集</w:t>
            </w:r>
          </w:p>
        </w:tc>
      </w:tr>
      <w:tr w14:paraId="0AF589BF">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0ADE6DF7">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检验与组学数据</w:t>
            </w:r>
          </w:p>
        </w:tc>
        <w:tc>
          <w:tcPr>
            <w:tcW w:w="1732" w:type="pct"/>
            <w:tcBorders>
              <w:tl2br w:val="nil"/>
              <w:tr2bl w:val="nil"/>
            </w:tcBorders>
            <w:tcMar>
              <w:top w:w="120" w:type="dxa"/>
              <w:left w:w="120" w:type="dxa"/>
              <w:bottom w:w="120" w:type="dxa"/>
              <w:right w:w="120" w:type="dxa"/>
            </w:tcMar>
            <w:vAlign w:val="center"/>
          </w:tcPr>
          <w:p w14:paraId="122D5DEC">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血常规</w:t>
            </w:r>
            <w:r>
              <w:rPr>
                <w:rFonts w:ascii="Times New Roman" w:hAnsi="Times New Roman"/>
                <w:kern w:val="0"/>
                <w:sz w:val="21"/>
                <w:szCs w:val="21"/>
              </w:rPr>
              <w:t xml:space="preserve"> / </w:t>
            </w:r>
            <w:r>
              <w:rPr>
                <w:rFonts w:hint="eastAsia" w:ascii="Times New Roman" w:hAnsi="Times New Roman"/>
                <w:kern w:val="0"/>
                <w:sz w:val="21"/>
                <w:szCs w:val="21"/>
              </w:rPr>
              <w:t>生化</w:t>
            </w:r>
            <w:r>
              <w:rPr>
                <w:rFonts w:ascii="Times New Roman" w:hAnsi="Times New Roman"/>
                <w:kern w:val="0"/>
                <w:sz w:val="21"/>
                <w:szCs w:val="21"/>
              </w:rPr>
              <w:t xml:space="preserve"> / </w:t>
            </w:r>
            <w:r>
              <w:rPr>
                <w:rFonts w:hint="eastAsia" w:ascii="Times New Roman" w:hAnsi="Times New Roman"/>
                <w:kern w:val="0"/>
                <w:sz w:val="21"/>
                <w:szCs w:val="21"/>
              </w:rPr>
              <w:t>免疫</w:t>
            </w:r>
            <w:r>
              <w:rPr>
                <w:rFonts w:ascii="Times New Roman" w:hAnsi="Times New Roman"/>
                <w:kern w:val="0"/>
                <w:sz w:val="21"/>
                <w:szCs w:val="21"/>
              </w:rPr>
              <w:t xml:space="preserve"> / </w:t>
            </w:r>
            <w:r>
              <w:rPr>
                <w:rFonts w:hint="eastAsia" w:ascii="Times New Roman" w:hAnsi="Times New Roman"/>
                <w:kern w:val="0"/>
                <w:sz w:val="21"/>
                <w:szCs w:val="21"/>
              </w:rPr>
              <w:t>微生物检测数据</w:t>
            </w:r>
          </w:p>
        </w:tc>
        <w:tc>
          <w:tcPr>
            <w:tcW w:w="833" w:type="pct"/>
            <w:tcBorders>
              <w:tl2br w:val="nil"/>
              <w:tr2bl w:val="nil"/>
            </w:tcBorders>
            <w:tcMar>
              <w:top w:w="120" w:type="dxa"/>
              <w:left w:w="120" w:type="dxa"/>
              <w:bottom w:w="120" w:type="dxa"/>
              <w:right w:w="120" w:type="dxa"/>
            </w:tcMar>
            <w:vAlign w:val="center"/>
          </w:tcPr>
          <w:p w14:paraId="7178DB42">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自动采集</w:t>
            </w:r>
          </w:p>
        </w:tc>
        <w:tc>
          <w:tcPr>
            <w:tcW w:w="1452" w:type="pct"/>
            <w:tcBorders>
              <w:tl2br w:val="nil"/>
              <w:tr2bl w:val="nil"/>
            </w:tcBorders>
            <w:tcMar>
              <w:top w:w="120" w:type="dxa"/>
              <w:left w:w="120" w:type="dxa"/>
              <w:bottom w:w="120" w:type="dxa"/>
              <w:right w:w="120" w:type="dxa"/>
            </w:tcMar>
            <w:vAlign w:val="center"/>
          </w:tcPr>
          <w:p w14:paraId="4480597A">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报告生成后自动采集</w:t>
            </w:r>
          </w:p>
        </w:tc>
      </w:tr>
      <w:tr w14:paraId="500C32C2">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08B2117F">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检验与组学数据</w:t>
            </w:r>
          </w:p>
        </w:tc>
        <w:tc>
          <w:tcPr>
            <w:tcW w:w="1732" w:type="pct"/>
            <w:tcBorders>
              <w:tl2br w:val="nil"/>
              <w:tr2bl w:val="nil"/>
            </w:tcBorders>
            <w:tcMar>
              <w:top w:w="120" w:type="dxa"/>
              <w:left w:w="120" w:type="dxa"/>
              <w:bottom w:w="120" w:type="dxa"/>
              <w:right w:w="120" w:type="dxa"/>
            </w:tcMar>
            <w:vAlign w:val="center"/>
          </w:tcPr>
          <w:p w14:paraId="3255F5F3">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基因</w:t>
            </w:r>
            <w:r>
              <w:rPr>
                <w:rFonts w:ascii="Times New Roman" w:hAnsi="Times New Roman"/>
                <w:kern w:val="0"/>
                <w:sz w:val="21"/>
                <w:szCs w:val="21"/>
              </w:rPr>
              <w:t xml:space="preserve"> / </w:t>
            </w:r>
            <w:r>
              <w:rPr>
                <w:rFonts w:hint="eastAsia" w:ascii="Times New Roman" w:hAnsi="Times New Roman"/>
                <w:kern w:val="0"/>
                <w:sz w:val="21"/>
                <w:szCs w:val="21"/>
              </w:rPr>
              <w:t>蛋白组学数据</w:t>
            </w:r>
          </w:p>
        </w:tc>
        <w:tc>
          <w:tcPr>
            <w:tcW w:w="833" w:type="pct"/>
            <w:tcBorders>
              <w:tl2br w:val="nil"/>
              <w:tr2bl w:val="nil"/>
            </w:tcBorders>
            <w:tcMar>
              <w:top w:w="120" w:type="dxa"/>
              <w:left w:w="120" w:type="dxa"/>
              <w:bottom w:w="120" w:type="dxa"/>
              <w:right w:w="120" w:type="dxa"/>
            </w:tcMar>
            <w:vAlign w:val="center"/>
          </w:tcPr>
          <w:p w14:paraId="26C949B0">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半自动</w:t>
            </w:r>
            <w:r>
              <w:rPr>
                <w:rFonts w:ascii="Times New Roman" w:hAnsi="Times New Roman"/>
                <w:kern w:val="0"/>
                <w:sz w:val="21"/>
                <w:szCs w:val="21"/>
              </w:rPr>
              <w:t xml:space="preserve"> / </w:t>
            </w:r>
            <w:r>
              <w:rPr>
                <w:rFonts w:hint="eastAsia" w:ascii="Times New Roman" w:hAnsi="Times New Roman"/>
                <w:kern w:val="0"/>
                <w:sz w:val="21"/>
                <w:szCs w:val="21"/>
              </w:rPr>
              <w:t>自动采集</w:t>
            </w:r>
          </w:p>
        </w:tc>
        <w:tc>
          <w:tcPr>
            <w:tcW w:w="1452" w:type="pct"/>
            <w:tcBorders>
              <w:tl2br w:val="nil"/>
              <w:tr2bl w:val="nil"/>
            </w:tcBorders>
            <w:tcMar>
              <w:top w:w="120" w:type="dxa"/>
              <w:left w:w="120" w:type="dxa"/>
              <w:bottom w:w="120" w:type="dxa"/>
              <w:right w:w="120" w:type="dxa"/>
            </w:tcMar>
            <w:vAlign w:val="center"/>
          </w:tcPr>
          <w:p w14:paraId="131CB9AF">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检测完成后采集</w:t>
            </w:r>
          </w:p>
        </w:tc>
      </w:tr>
      <w:tr w14:paraId="64834F53">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7F04218D">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生理时序数据</w:t>
            </w:r>
          </w:p>
        </w:tc>
        <w:tc>
          <w:tcPr>
            <w:tcW w:w="1732" w:type="pct"/>
            <w:tcBorders>
              <w:tl2br w:val="nil"/>
              <w:tr2bl w:val="nil"/>
            </w:tcBorders>
            <w:tcMar>
              <w:top w:w="120" w:type="dxa"/>
              <w:left w:w="120" w:type="dxa"/>
              <w:bottom w:w="120" w:type="dxa"/>
              <w:right w:w="120" w:type="dxa"/>
            </w:tcMar>
            <w:vAlign w:val="center"/>
          </w:tcPr>
          <w:p w14:paraId="5C881FB3">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心电</w:t>
            </w:r>
            <w:r>
              <w:rPr>
                <w:rFonts w:ascii="Times New Roman" w:hAnsi="Times New Roman"/>
                <w:kern w:val="0"/>
                <w:sz w:val="21"/>
                <w:szCs w:val="21"/>
              </w:rPr>
              <w:t xml:space="preserve"> / </w:t>
            </w:r>
            <w:r>
              <w:rPr>
                <w:rFonts w:hint="eastAsia" w:ascii="Times New Roman" w:hAnsi="Times New Roman"/>
                <w:kern w:val="0"/>
                <w:sz w:val="21"/>
                <w:szCs w:val="21"/>
              </w:rPr>
              <w:t>血压</w:t>
            </w:r>
            <w:r>
              <w:rPr>
                <w:rFonts w:ascii="Times New Roman" w:hAnsi="Times New Roman"/>
                <w:kern w:val="0"/>
                <w:sz w:val="21"/>
                <w:szCs w:val="21"/>
              </w:rPr>
              <w:t xml:space="preserve"> / </w:t>
            </w:r>
            <w:r>
              <w:rPr>
                <w:rFonts w:hint="eastAsia" w:ascii="Times New Roman" w:hAnsi="Times New Roman"/>
                <w:kern w:val="0"/>
                <w:sz w:val="21"/>
                <w:szCs w:val="21"/>
              </w:rPr>
              <w:t>血氧</w:t>
            </w:r>
            <w:r>
              <w:rPr>
                <w:rFonts w:ascii="Times New Roman" w:hAnsi="Times New Roman"/>
                <w:kern w:val="0"/>
                <w:sz w:val="21"/>
                <w:szCs w:val="21"/>
              </w:rPr>
              <w:t xml:space="preserve"> / </w:t>
            </w:r>
            <w:r>
              <w:rPr>
                <w:rFonts w:hint="eastAsia" w:ascii="Times New Roman" w:hAnsi="Times New Roman"/>
                <w:kern w:val="0"/>
                <w:sz w:val="21"/>
                <w:szCs w:val="21"/>
              </w:rPr>
              <w:t>体温</w:t>
            </w:r>
            <w:r>
              <w:rPr>
                <w:rFonts w:ascii="Times New Roman" w:hAnsi="Times New Roman"/>
                <w:kern w:val="0"/>
                <w:sz w:val="21"/>
                <w:szCs w:val="21"/>
              </w:rPr>
              <w:t xml:space="preserve"> / </w:t>
            </w:r>
            <w:r>
              <w:rPr>
                <w:rFonts w:hint="eastAsia" w:ascii="Times New Roman" w:hAnsi="Times New Roman"/>
                <w:kern w:val="0"/>
                <w:sz w:val="21"/>
                <w:szCs w:val="21"/>
              </w:rPr>
              <w:t>呼吸频率数据</w:t>
            </w:r>
          </w:p>
        </w:tc>
        <w:tc>
          <w:tcPr>
            <w:tcW w:w="833" w:type="pct"/>
            <w:tcBorders>
              <w:tl2br w:val="nil"/>
              <w:tr2bl w:val="nil"/>
            </w:tcBorders>
            <w:tcMar>
              <w:top w:w="120" w:type="dxa"/>
              <w:left w:w="120" w:type="dxa"/>
              <w:bottom w:w="120" w:type="dxa"/>
              <w:right w:w="120" w:type="dxa"/>
            </w:tcMar>
            <w:vAlign w:val="center"/>
          </w:tcPr>
          <w:p w14:paraId="6D34EB12">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自动</w:t>
            </w:r>
            <w:r>
              <w:rPr>
                <w:rFonts w:ascii="Times New Roman" w:hAnsi="Times New Roman"/>
                <w:kern w:val="0"/>
                <w:sz w:val="21"/>
                <w:szCs w:val="21"/>
              </w:rPr>
              <w:t xml:space="preserve"> / </w:t>
            </w:r>
            <w:r>
              <w:rPr>
                <w:rFonts w:hint="eastAsia" w:ascii="Times New Roman" w:hAnsi="Times New Roman"/>
                <w:kern w:val="0"/>
                <w:sz w:val="21"/>
                <w:szCs w:val="21"/>
              </w:rPr>
              <w:t>半自动采集</w:t>
            </w:r>
          </w:p>
        </w:tc>
        <w:tc>
          <w:tcPr>
            <w:tcW w:w="1452" w:type="pct"/>
            <w:tcBorders>
              <w:tl2br w:val="nil"/>
              <w:tr2bl w:val="nil"/>
            </w:tcBorders>
            <w:tcMar>
              <w:top w:w="120" w:type="dxa"/>
              <w:left w:w="120" w:type="dxa"/>
              <w:bottom w:w="120" w:type="dxa"/>
              <w:right w:w="120" w:type="dxa"/>
            </w:tcMar>
            <w:vAlign w:val="center"/>
          </w:tcPr>
          <w:p w14:paraId="222AF199">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按临床试验方案设定</w:t>
            </w:r>
          </w:p>
        </w:tc>
      </w:tr>
      <w:tr w14:paraId="6F2EA759">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1C870DB4">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结构化业务数据</w:t>
            </w:r>
          </w:p>
        </w:tc>
        <w:tc>
          <w:tcPr>
            <w:tcW w:w="1732" w:type="pct"/>
            <w:tcBorders>
              <w:tl2br w:val="nil"/>
              <w:tr2bl w:val="nil"/>
            </w:tcBorders>
            <w:tcMar>
              <w:top w:w="120" w:type="dxa"/>
              <w:left w:w="120" w:type="dxa"/>
              <w:bottom w:w="120" w:type="dxa"/>
              <w:right w:w="120" w:type="dxa"/>
            </w:tcMar>
            <w:vAlign w:val="center"/>
          </w:tcPr>
          <w:p w14:paraId="0425711C">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受试者人口学</w:t>
            </w:r>
            <w:r>
              <w:rPr>
                <w:rFonts w:ascii="Times New Roman" w:hAnsi="Times New Roman"/>
                <w:kern w:val="0"/>
                <w:sz w:val="21"/>
                <w:szCs w:val="21"/>
              </w:rPr>
              <w:t xml:space="preserve"> / </w:t>
            </w:r>
            <w:r>
              <w:rPr>
                <w:rFonts w:hint="eastAsia" w:ascii="Times New Roman" w:hAnsi="Times New Roman"/>
                <w:kern w:val="0"/>
                <w:sz w:val="21"/>
                <w:szCs w:val="21"/>
              </w:rPr>
              <w:t>入组</w:t>
            </w:r>
            <w:r>
              <w:rPr>
                <w:rFonts w:ascii="Times New Roman" w:hAnsi="Times New Roman"/>
                <w:kern w:val="0"/>
                <w:sz w:val="21"/>
                <w:szCs w:val="21"/>
              </w:rPr>
              <w:t xml:space="preserve"> / </w:t>
            </w:r>
            <w:r>
              <w:rPr>
                <w:rFonts w:hint="eastAsia" w:ascii="Times New Roman" w:hAnsi="Times New Roman"/>
                <w:kern w:val="0"/>
                <w:sz w:val="21"/>
                <w:szCs w:val="21"/>
              </w:rPr>
              <w:t>用药</w:t>
            </w:r>
            <w:r>
              <w:rPr>
                <w:rFonts w:ascii="Times New Roman" w:hAnsi="Times New Roman"/>
                <w:kern w:val="0"/>
                <w:sz w:val="21"/>
                <w:szCs w:val="21"/>
              </w:rPr>
              <w:t xml:space="preserve"> / </w:t>
            </w:r>
            <w:r>
              <w:rPr>
                <w:rFonts w:hint="eastAsia" w:ascii="Times New Roman" w:hAnsi="Times New Roman"/>
                <w:kern w:val="0"/>
                <w:sz w:val="21"/>
                <w:szCs w:val="21"/>
              </w:rPr>
              <w:t>访视数据</w:t>
            </w:r>
          </w:p>
        </w:tc>
        <w:tc>
          <w:tcPr>
            <w:tcW w:w="833" w:type="pct"/>
            <w:tcBorders>
              <w:tl2br w:val="nil"/>
              <w:tr2bl w:val="nil"/>
            </w:tcBorders>
            <w:tcMar>
              <w:top w:w="120" w:type="dxa"/>
              <w:left w:w="120" w:type="dxa"/>
              <w:bottom w:w="120" w:type="dxa"/>
              <w:right w:w="120" w:type="dxa"/>
            </w:tcMar>
            <w:vAlign w:val="center"/>
          </w:tcPr>
          <w:p w14:paraId="2B70F3EC">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半自动</w:t>
            </w:r>
            <w:r>
              <w:rPr>
                <w:rFonts w:ascii="Times New Roman" w:hAnsi="Times New Roman"/>
                <w:kern w:val="0"/>
                <w:sz w:val="21"/>
                <w:szCs w:val="21"/>
              </w:rPr>
              <w:t xml:space="preserve"> / </w:t>
            </w:r>
            <w:r>
              <w:rPr>
                <w:rFonts w:hint="eastAsia" w:ascii="Times New Roman" w:hAnsi="Times New Roman"/>
                <w:kern w:val="0"/>
                <w:sz w:val="21"/>
                <w:szCs w:val="21"/>
              </w:rPr>
              <w:t>自动采集</w:t>
            </w:r>
          </w:p>
        </w:tc>
        <w:tc>
          <w:tcPr>
            <w:tcW w:w="1452" w:type="pct"/>
            <w:tcBorders>
              <w:tl2br w:val="nil"/>
              <w:tr2bl w:val="nil"/>
            </w:tcBorders>
            <w:tcMar>
              <w:top w:w="120" w:type="dxa"/>
              <w:left w:w="120" w:type="dxa"/>
              <w:bottom w:w="120" w:type="dxa"/>
              <w:right w:w="120" w:type="dxa"/>
            </w:tcMar>
            <w:vAlign w:val="center"/>
          </w:tcPr>
          <w:p w14:paraId="274A79C8">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操作完成后</w:t>
            </w:r>
            <w:r>
              <w:rPr>
                <w:rFonts w:ascii="Times New Roman" w:hAnsi="Times New Roman"/>
                <w:kern w:val="0"/>
                <w:sz w:val="21"/>
                <w:szCs w:val="21"/>
              </w:rPr>
              <w:t>24</w:t>
            </w:r>
            <w:r>
              <w:rPr>
                <w:rFonts w:hint="eastAsia" w:ascii="Times New Roman" w:hAnsi="Times New Roman"/>
                <w:kern w:val="0"/>
                <w:sz w:val="21"/>
                <w:szCs w:val="21"/>
              </w:rPr>
              <w:t>小时内采集</w:t>
            </w:r>
          </w:p>
        </w:tc>
      </w:tr>
      <w:tr w14:paraId="1BB284D0">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6BD6FC49">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设备与环境数据</w:t>
            </w:r>
          </w:p>
        </w:tc>
        <w:tc>
          <w:tcPr>
            <w:tcW w:w="1732" w:type="pct"/>
            <w:tcBorders>
              <w:tl2br w:val="nil"/>
              <w:tr2bl w:val="nil"/>
            </w:tcBorders>
            <w:tcMar>
              <w:top w:w="120" w:type="dxa"/>
              <w:left w:w="120" w:type="dxa"/>
              <w:bottom w:w="120" w:type="dxa"/>
              <w:right w:w="120" w:type="dxa"/>
            </w:tcMar>
            <w:vAlign w:val="center"/>
          </w:tcPr>
          <w:p w14:paraId="31997F92">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设备运行状态</w:t>
            </w:r>
            <w:r>
              <w:rPr>
                <w:rFonts w:ascii="Times New Roman" w:hAnsi="Times New Roman"/>
                <w:kern w:val="0"/>
                <w:sz w:val="21"/>
                <w:szCs w:val="21"/>
              </w:rPr>
              <w:t xml:space="preserve"> / </w:t>
            </w:r>
            <w:r>
              <w:rPr>
                <w:rFonts w:hint="eastAsia" w:ascii="Times New Roman" w:hAnsi="Times New Roman"/>
                <w:kern w:val="0"/>
                <w:sz w:val="21"/>
                <w:szCs w:val="21"/>
              </w:rPr>
              <w:t>参数、病房环境数据</w:t>
            </w:r>
          </w:p>
        </w:tc>
        <w:tc>
          <w:tcPr>
            <w:tcW w:w="833" w:type="pct"/>
            <w:tcBorders>
              <w:tl2br w:val="nil"/>
              <w:tr2bl w:val="nil"/>
            </w:tcBorders>
            <w:tcMar>
              <w:top w:w="120" w:type="dxa"/>
              <w:left w:w="120" w:type="dxa"/>
              <w:bottom w:w="120" w:type="dxa"/>
              <w:right w:w="120" w:type="dxa"/>
            </w:tcMar>
            <w:vAlign w:val="center"/>
          </w:tcPr>
          <w:p w14:paraId="68BFD20A">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自动采集</w:t>
            </w:r>
          </w:p>
        </w:tc>
        <w:tc>
          <w:tcPr>
            <w:tcW w:w="1452" w:type="pct"/>
            <w:tcBorders>
              <w:tl2br w:val="nil"/>
              <w:tr2bl w:val="nil"/>
            </w:tcBorders>
            <w:tcMar>
              <w:top w:w="120" w:type="dxa"/>
              <w:left w:w="120" w:type="dxa"/>
              <w:bottom w:w="120" w:type="dxa"/>
              <w:right w:w="120" w:type="dxa"/>
            </w:tcMar>
            <w:vAlign w:val="center"/>
          </w:tcPr>
          <w:p w14:paraId="21E9A6D9">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按试验方案</w:t>
            </w:r>
            <w:r>
              <w:rPr>
                <w:rFonts w:ascii="Times New Roman" w:hAnsi="Times New Roman"/>
                <w:kern w:val="0"/>
                <w:sz w:val="21"/>
                <w:szCs w:val="21"/>
              </w:rPr>
              <w:t xml:space="preserve"> / </w:t>
            </w:r>
            <w:r>
              <w:rPr>
                <w:rFonts w:hint="eastAsia" w:ascii="Times New Roman" w:hAnsi="Times New Roman"/>
                <w:kern w:val="0"/>
                <w:sz w:val="21"/>
                <w:szCs w:val="21"/>
              </w:rPr>
              <w:t>标准设定</w:t>
            </w:r>
          </w:p>
        </w:tc>
      </w:tr>
      <w:tr w14:paraId="4CF91616">
        <w:tblPrEx>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CellMar>
            <w:top w:w="15" w:type="dxa"/>
            <w:left w:w="15" w:type="dxa"/>
            <w:bottom w:w="15" w:type="dxa"/>
            <w:right w:w="15" w:type="dxa"/>
          </w:tblCellMar>
        </w:tblPrEx>
        <w:trPr>
          <w:jc w:val="center"/>
        </w:trPr>
        <w:tc>
          <w:tcPr>
            <w:tcW w:w="983" w:type="pct"/>
            <w:tcBorders>
              <w:tl2br w:val="nil"/>
              <w:tr2bl w:val="nil"/>
            </w:tcBorders>
            <w:tcMar>
              <w:top w:w="120" w:type="dxa"/>
              <w:left w:w="120" w:type="dxa"/>
              <w:bottom w:w="120" w:type="dxa"/>
              <w:right w:w="120" w:type="dxa"/>
            </w:tcMar>
            <w:vAlign w:val="center"/>
          </w:tcPr>
          <w:p w14:paraId="2A9DD8F6">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报警与不良事件数据</w:t>
            </w:r>
          </w:p>
        </w:tc>
        <w:tc>
          <w:tcPr>
            <w:tcW w:w="1732" w:type="pct"/>
            <w:tcBorders>
              <w:tl2br w:val="nil"/>
              <w:tr2bl w:val="nil"/>
            </w:tcBorders>
            <w:tcMar>
              <w:top w:w="120" w:type="dxa"/>
              <w:left w:w="120" w:type="dxa"/>
              <w:bottom w:w="120" w:type="dxa"/>
              <w:right w:w="120" w:type="dxa"/>
            </w:tcMar>
            <w:vAlign w:val="center"/>
          </w:tcPr>
          <w:p w14:paraId="04990E18">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设备报警、不良事件相关数据</w:t>
            </w:r>
          </w:p>
        </w:tc>
        <w:tc>
          <w:tcPr>
            <w:tcW w:w="833" w:type="pct"/>
            <w:tcBorders>
              <w:tl2br w:val="nil"/>
              <w:tr2bl w:val="nil"/>
            </w:tcBorders>
            <w:tcMar>
              <w:top w:w="120" w:type="dxa"/>
              <w:left w:w="120" w:type="dxa"/>
              <w:bottom w:w="120" w:type="dxa"/>
              <w:right w:w="120" w:type="dxa"/>
            </w:tcMar>
            <w:vAlign w:val="center"/>
          </w:tcPr>
          <w:p w14:paraId="7EBE4F16">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自动</w:t>
            </w:r>
            <w:r>
              <w:rPr>
                <w:rFonts w:ascii="Times New Roman" w:hAnsi="Times New Roman"/>
                <w:kern w:val="0"/>
                <w:sz w:val="21"/>
                <w:szCs w:val="21"/>
              </w:rPr>
              <w:t xml:space="preserve"> / </w:t>
            </w:r>
            <w:r>
              <w:rPr>
                <w:rFonts w:hint="eastAsia" w:ascii="Times New Roman" w:hAnsi="Times New Roman"/>
                <w:kern w:val="0"/>
                <w:sz w:val="21"/>
                <w:szCs w:val="21"/>
              </w:rPr>
              <w:t>半自动采集</w:t>
            </w:r>
          </w:p>
        </w:tc>
        <w:tc>
          <w:tcPr>
            <w:tcW w:w="1452" w:type="pct"/>
            <w:tcBorders>
              <w:tl2br w:val="nil"/>
              <w:tr2bl w:val="nil"/>
            </w:tcBorders>
            <w:tcMar>
              <w:top w:w="120" w:type="dxa"/>
              <w:left w:w="120" w:type="dxa"/>
              <w:bottom w:w="120" w:type="dxa"/>
              <w:right w:w="120" w:type="dxa"/>
            </w:tcMar>
            <w:vAlign w:val="center"/>
          </w:tcPr>
          <w:p w14:paraId="65ECEAD0">
            <w:pPr>
              <w:widowControl/>
              <w:adjustRightInd/>
              <w:spacing w:line="240" w:lineRule="auto"/>
              <w:jc w:val="center"/>
              <w:rPr>
                <w:rFonts w:ascii="Times New Roman" w:hAnsi="Times New Roman"/>
                <w:kern w:val="0"/>
                <w:sz w:val="21"/>
                <w:szCs w:val="21"/>
              </w:rPr>
            </w:pPr>
            <w:r>
              <w:rPr>
                <w:rFonts w:hint="eastAsia" w:ascii="Times New Roman" w:hAnsi="Times New Roman"/>
                <w:kern w:val="0"/>
                <w:sz w:val="21"/>
                <w:szCs w:val="21"/>
              </w:rPr>
              <w:t>出现</w:t>
            </w:r>
            <w:r>
              <w:rPr>
                <w:rFonts w:ascii="Times New Roman" w:hAnsi="Times New Roman"/>
                <w:kern w:val="0"/>
                <w:sz w:val="21"/>
                <w:szCs w:val="21"/>
              </w:rPr>
              <w:t xml:space="preserve"> / </w:t>
            </w:r>
            <w:r>
              <w:rPr>
                <w:rFonts w:hint="eastAsia" w:ascii="Times New Roman" w:hAnsi="Times New Roman"/>
                <w:kern w:val="0"/>
                <w:sz w:val="21"/>
                <w:szCs w:val="21"/>
              </w:rPr>
              <w:t>发现后立即</w:t>
            </w:r>
            <w:r>
              <w:rPr>
                <w:rFonts w:ascii="Times New Roman" w:hAnsi="Times New Roman"/>
                <w:kern w:val="0"/>
                <w:sz w:val="21"/>
                <w:szCs w:val="21"/>
              </w:rPr>
              <w:t xml:space="preserve"> / 24</w:t>
            </w:r>
            <w:r>
              <w:rPr>
                <w:rFonts w:hint="eastAsia" w:ascii="Times New Roman" w:hAnsi="Times New Roman"/>
                <w:kern w:val="0"/>
                <w:sz w:val="21"/>
                <w:szCs w:val="21"/>
              </w:rPr>
              <w:t>小时内采集</w:t>
            </w:r>
          </w:p>
        </w:tc>
      </w:tr>
    </w:tbl>
    <w:p w14:paraId="74BBC870">
      <w:r>
        <w:br w:type="page"/>
      </w:r>
    </w:p>
    <w:p w14:paraId="3E7C7D9A">
      <w:pPr>
        <w:pStyle w:val="66"/>
        <w:spacing w:before="240" w:beforeLines="100" w:after="120"/>
      </w:pPr>
      <w:bookmarkStart w:id="103" w:name="_Toc24284"/>
      <w:bookmarkStart w:id="104" w:name="_Toc228451417"/>
      <w:r>
        <w:rPr>
          <w:rFonts w:hint="eastAsia"/>
          <w:spacing w:val="0"/>
        </w:rPr>
        <w:t>参</w:t>
      </w:r>
      <w:r>
        <w:rPr>
          <w:rFonts w:hint="eastAsia"/>
        </w:rPr>
        <w:t xml:space="preserve">  </w:t>
      </w:r>
      <w:r>
        <w:rPr>
          <w:rFonts w:hint="eastAsia"/>
          <w:spacing w:val="0"/>
        </w:rPr>
        <w:t>考</w:t>
      </w:r>
      <w:r>
        <w:rPr>
          <w:rFonts w:hint="eastAsia"/>
        </w:rPr>
        <w:t xml:space="preserve">  </w:t>
      </w:r>
      <w:r>
        <w:rPr>
          <w:rFonts w:hint="eastAsia"/>
          <w:spacing w:val="0"/>
        </w:rPr>
        <w:t>文</w:t>
      </w:r>
      <w:r>
        <w:rPr>
          <w:rFonts w:hint="eastAsia"/>
        </w:rPr>
        <w:t xml:space="preserve">  献</w:t>
      </w:r>
      <w:bookmarkEnd w:id="103"/>
      <w:bookmarkEnd w:id="104"/>
    </w:p>
    <w:bookmarkEnd w:id="100"/>
    <w:p w14:paraId="48EB5C54">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7714-2023 </w:t>
      </w:r>
      <w:r>
        <w:rPr>
          <w:rFonts w:hint="eastAsia" w:ascii="Times New Roman" w:hAnsi="Times New Roman"/>
        </w:rPr>
        <w:t>信息与文献</w:t>
      </w:r>
      <w:r>
        <w:rPr>
          <w:rFonts w:ascii="Times New Roman" w:hAnsi="Times New Roman"/>
        </w:rPr>
        <w:t xml:space="preserve"> </w:t>
      </w:r>
      <w:r>
        <w:rPr>
          <w:rFonts w:hint="eastAsia" w:ascii="Times New Roman" w:hAnsi="Times New Roman"/>
        </w:rPr>
        <w:t>参考文献著录规则</w:t>
      </w:r>
      <w:r>
        <w:rPr>
          <w:rFonts w:ascii="Times New Roman" w:hAnsi="Times New Roman"/>
        </w:rPr>
        <w:t xml:space="preserve">[S]. </w:t>
      </w:r>
      <w:r>
        <w:rPr>
          <w:rFonts w:hint="eastAsia" w:ascii="Times New Roman" w:hAnsi="Times New Roman"/>
        </w:rPr>
        <w:t>国家市场监督管理总局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2023. </w:t>
      </w:r>
    </w:p>
    <w:p w14:paraId="0841E520">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44662-2024 </w:t>
      </w:r>
      <w:r>
        <w:rPr>
          <w:rFonts w:hint="eastAsia" w:ascii="Times New Roman" w:hAnsi="Times New Roman"/>
        </w:rPr>
        <w:t>健康管理</w:t>
      </w:r>
      <w:r>
        <w:rPr>
          <w:rFonts w:ascii="Times New Roman" w:hAnsi="Times New Roman"/>
        </w:rPr>
        <w:t xml:space="preserve"> </w:t>
      </w:r>
      <w:r>
        <w:rPr>
          <w:rFonts w:hint="eastAsia" w:ascii="Times New Roman" w:hAnsi="Times New Roman"/>
        </w:rPr>
        <w:t>终端设备数据采集与传输协议规范</w:t>
      </w:r>
      <w:r>
        <w:rPr>
          <w:rFonts w:ascii="Times New Roman" w:hAnsi="Times New Roman"/>
        </w:rPr>
        <w:t xml:space="preserve">[S]. </w:t>
      </w:r>
      <w:r>
        <w:rPr>
          <w:rFonts w:hint="eastAsia" w:ascii="Times New Roman" w:hAnsi="Times New Roman"/>
        </w:rPr>
        <w:t>国家市场监督管理总局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2024. </w:t>
      </w:r>
    </w:p>
    <w:p w14:paraId="62FFB199">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17504-2015 </w:t>
      </w:r>
      <w:r>
        <w:rPr>
          <w:rFonts w:hint="eastAsia" w:ascii="Times New Roman" w:hAnsi="Times New Roman"/>
        </w:rPr>
        <w:t>健康信息学</w:t>
      </w:r>
      <w:r>
        <w:rPr>
          <w:rFonts w:ascii="Times New Roman" w:hAnsi="Times New Roman"/>
        </w:rPr>
        <w:t xml:space="preserve"> </w:t>
      </w:r>
      <w:r>
        <w:rPr>
          <w:rFonts w:hint="eastAsia" w:ascii="Times New Roman" w:hAnsi="Times New Roman"/>
        </w:rPr>
        <w:t>医学数字成像和通信（</w:t>
      </w:r>
      <w:r>
        <w:rPr>
          <w:rFonts w:ascii="Times New Roman" w:hAnsi="Times New Roman"/>
        </w:rPr>
        <w:t>DICOM</w:t>
      </w:r>
      <w:r>
        <w:rPr>
          <w:rFonts w:hint="eastAsia" w:ascii="Times New Roman" w:hAnsi="Times New Roman"/>
        </w:rPr>
        <w:t>）</w:t>
      </w:r>
      <w:r>
        <w:rPr>
          <w:rFonts w:ascii="Times New Roman" w:hAnsi="Times New Roman"/>
        </w:rPr>
        <w:t xml:space="preserve">[S]. </w:t>
      </w:r>
      <w:r>
        <w:rPr>
          <w:rFonts w:hint="eastAsia" w:ascii="Times New Roman" w:hAnsi="Times New Roman"/>
        </w:rPr>
        <w:t>国家质量监督检验检疫总局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2015. </w:t>
      </w:r>
    </w:p>
    <w:p w14:paraId="064D2489">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39786-2021 </w:t>
      </w:r>
      <w:r>
        <w:rPr>
          <w:rFonts w:hint="eastAsia" w:ascii="Times New Roman" w:hAnsi="Times New Roman"/>
        </w:rPr>
        <w:t>信息安全技术</w:t>
      </w:r>
      <w:r>
        <w:rPr>
          <w:rFonts w:ascii="Times New Roman" w:hAnsi="Times New Roman"/>
        </w:rPr>
        <w:t xml:space="preserve"> </w:t>
      </w:r>
      <w:r>
        <w:rPr>
          <w:rFonts w:hint="eastAsia" w:ascii="Times New Roman" w:hAnsi="Times New Roman"/>
        </w:rPr>
        <w:t>信息系统密码应用基本要求</w:t>
      </w:r>
      <w:r>
        <w:rPr>
          <w:rFonts w:ascii="Times New Roman" w:hAnsi="Times New Roman"/>
        </w:rPr>
        <w:t xml:space="preserve">[S]. </w:t>
      </w:r>
      <w:r>
        <w:rPr>
          <w:rFonts w:hint="eastAsia" w:ascii="Times New Roman" w:hAnsi="Times New Roman"/>
        </w:rPr>
        <w:t>国家市场监督管理总局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2021. </w:t>
      </w:r>
    </w:p>
    <w:p w14:paraId="587F491A">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39087-2020 </w:t>
      </w:r>
      <w:r>
        <w:rPr>
          <w:rFonts w:hint="eastAsia" w:ascii="Times New Roman" w:hAnsi="Times New Roman"/>
        </w:rPr>
        <w:t>健康信息学</w:t>
      </w:r>
      <w:r>
        <w:rPr>
          <w:rFonts w:ascii="Times New Roman" w:hAnsi="Times New Roman"/>
        </w:rPr>
        <w:t xml:space="preserve"> </w:t>
      </w:r>
      <w:r>
        <w:rPr>
          <w:rFonts w:hint="eastAsia" w:ascii="Times New Roman" w:hAnsi="Times New Roman"/>
        </w:rPr>
        <w:t>健康信息学特征描述框架</w:t>
      </w:r>
      <w:r>
        <w:rPr>
          <w:rFonts w:ascii="Times New Roman" w:hAnsi="Times New Roman"/>
        </w:rPr>
        <w:t xml:space="preserve">[S]. </w:t>
      </w:r>
      <w:r>
        <w:rPr>
          <w:rFonts w:hint="eastAsia" w:ascii="Times New Roman" w:hAnsi="Times New Roman"/>
        </w:rPr>
        <w:t>国家市场监督管理总局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2020. </w:t>
      </w:r>
    </w:p>
    <w:p w14:paraId="2624402A">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35273-2020 </w:t>
      </w:r>
      <w:r>
        <w:rPr>
          <w:rFonts w:hint="eastAsia" w:ascii="Times New Roman" w:hAnsi="Times New Roman"/>
        </w:rPr>
        <w:t>信息安全技术</w:t>
      </w:r>
      <w:r>
        <w:rPr>
          <w:rFonts w:ascii="Times New Roman" w:hAnsi="Times New Roman"/>
        </w:rPr>
        <w:t xml:space="preserve"> </w:t>
      </w:r>
      <w:r>
        <w:rPr>
          <w:rFonts w:hint="eastAsia" w:ascii="Times New Roman" w:hAnsi="Times New Roman"/>
        </w:rPr>
        <w:t>个人信息安全规范</w:t>
      </w:r>
      <w:r>
        <w:rPr>
          <w:rFonts w:ascii="Times New Roman" w:hAnsi="Times New Roman"/>
        </w:rPr>
        <w:t xml:space="preserve">[S]. </w:t>
      </w:r>
      <w:r>
        <w:rPr>
          <w:rFonts w:hint="eastAsia" w:ascii="Times New Roman" w:hAnsi="Times New Roman"/>
        </w:rPr>
        <w:t>国家市场监督管理总局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2020. </w:t>
      </w:r>
    </w:p>
    <w:p w14:paraId="57BE5D4E">
      <w:pPr>
        <w:pStyle w:val="233"/>
        <w:numPr>
          <w:ilvl w:val="0"/>
          <w:numId w:val="32"/>
        </w:numPr>
        <w:spacing w:line="240" w:lineRule="auto"/>
        <w:ind w:left="0" w:firstLine="0" w:firstLineChars="0"/>
        <w:rPr>
          <w:rFonts w:ascii="Times New Roman" w:hAnsi="Times New Roman"/>
        </w:rPr>
      </w:pPr>
      <w:r>
        <w:rPr>
          <w:rFonts w:ascii="Times New Roman" w:hAnsi="Times New Roman"/>
        </w:rPr>
        <w:t xml:space="preserve">GB/T 22239-2019 </w:t>
      </w:r>
      <w:r>
        <w:rPr>
          <w:rFonts w:hint="eastAsia" w:ascii="Times New Roman" w:hAnsi="Times New Roman"/>
        </w:rPr>
        <w:t>信息安全技术</w:t>
      </w:r>
      <w:r>
        <w:rPr>
          <w:rFonts w:ascii="Times New Roman" w:hAnsi="Times New Roman"/>
        </w:rPr>
        <w:t xml:space="preserve"> </w:t>
      </w:r>
      <w:r>
        <w:rPr>
          <w:rFonts w:hint="eastAsia" w:ascii="Times New Roman" w:hAnsi="Times New Roman"/>
        </w:rPr>
        <w:t>网络安全等级保护基本要求</w:t>
      </w:r>
      <w:r>
        <w:rPr>
          <w:rFonts w:ascii="Times New Roman" w:hAnsi="Times New Roman"/>
        </w:rPr>
        <w:t xml:space="preserve">[S]. </w:t>
      </w:r>
      <w:r>
        <w:rPr>
          <w:rFonts w:hint="eastAsia" w:ascii="Times New Roman" w:hAnsi="Times New Roman"/>
        </w:rPr>
        <w:t>国家市场监督管理总局</w:t>
      </w:r>
      <w:r>
        <w:rPr>
          <w:rFonts w:ascii="Times New Roman" w:hAnsi="Times New Roman"/>
        </w:rPr>
        <w:t xml:space="preserve">, </w:t>
      </w:r>
      <w:r>
        <w:rPr>
          <w:rFonts w:hint="eastAsia" w:ascii="Times New Roman" w:hAnsi="Times New Roman"/>
        </w:rPr>
        <w:t>国家标准化管理委员会</w:t>
      </w:r>
      <w:r>
        <w:rPr>
          <w:rFonts w:ascii="Times New Roman" w:hAnsi="Times New Roman"/>
        </w:rPr>
        <w:t xml:space="preserve">, 2019. </w:t>
      </w:r>
    </w:p>
    <w:p w14:paraId="3D0E4F34">
      <w:pPr>
        <w:pStyle w:val="233"/>
        <w:numPr>
          <w:ilvl w:val="0"/>
          <w:numId w:val="32"/>
        </w:numPr>
        <w:spacing w:line="240" w:lineRule="auto"/>
        <w:ind w:left="0" w:firstLine="0" w:firstLineChars="0"/>
        <w:rPr>
          <w:rFonts w:ascii="Times New Roman" w:hAnsi="Times New Roman"/>
        </w:rPr>
      </w:pPr>
      <w:r>
        <w:rPr>
          <w:rFonts w:hint="eastAsia" w:ascii="Times New Roman" w:hAnsi="Times New Roman"/>
        </w:rPr>
        <w:t>药物临床试验质量管理规范</w:t>
      </w:r>
      <w:r>
        <w:rPr>
          <w:rFonts w:ascii="Times New Roman" w:hAnsi="Times New Roman"/>
        </w:rPr>
        <w:t xml:space="preserve">[S]. </w:t>
      </w:r>
      <w:r>
        <w:rPr>
          <w:rFonts w:hint="eastAsia" w:ascii="Times New Roman" w:hAnsi="Times New Roman"/>
        </w:rPr>
        <w:t>国家药品监督管理局</w:t>
      </w:r>
      <w:r>
        <w:rPr>
          <w:rFonts w:ascii="Times New Roman" w:hAnsi="Times New Roman"/>
        </w:rPr>
        <w:t xml:space="preserve">, </w:t>
      </w:r>
      <w:r>
        <w:rPr>
          <w:rFonts w:hint="eastAsia" w:ascii="Times New Roman" w:hAnsi="Times New Roman"/>
        </w:rPr>
        <w:t>国家卫生健康委员会</w:t>
      </w:r>
      <w:r>
        <w:rPr>
          <w:rFonts w:ascii="Times New Roman" w:hAnsi="Times New Roman"/>
        </w:rPr>
        <w:t>, 2020</w:t>
      </w:r>
      <w:r>
        <w:rPr>
          <w:rFonts w:hint="eastAsia" w:ascii="Times New Roman" w:hAnsi="Times New Roman"/>
        </w:rPr>
        <w:t>年第</w:t>
      </w:r>
      <w:r>
        <w:rPr>
          <w:rFonts w:ascii="Times New Roman" w:hAnsi="Times New Roman"/>
        </w:rPr>
        <w:t>57</w:t>
      </w:r>
      <w:r>
        <w:rPr>
          <w:rFonts w:hint="eastAsia" w:ascii="Times New Roman" w:hAnsi="Times New Roman"/>
        </w:rPr>
        <w:t>号公告</w:t>
      </w:r>
      <w:r>
        <w:rPr>
          <w:rFonts w:ascii="Times New Roman" w:hAnsi="Times New Roman"/>
        </w:rPr>
        <w:t xml:space="preserve">. </w:t>
      </w:r>
    </w:p>
    <w:p w14:paraId="69015DDF">
      <w:pPr>
        <w:pStyle w:val="233"/>
        <w:numPr>
          <w:ilvl w:val="0"/>
          <w:numId w:val="32"/>
        </w:numPr>
        <w:spacing w:line="240" w:lineRule="auto"/>
        <w:ind w:left="0" w:firstLine="0" w:firstLineChars="0"/>
        <w:rPr>
          <w:rFonts w:ascii="Times New Roman" w:hAnsi="Times New Roman"/>
        </w:rPr>
      </w:pPr>
      <w:r>
        <w:rPr>
          <w:rFonts w:hint="eastAsia" w:ascii="Times New Roman" w:hAnsi="Times New Roman"/>
        </w:rPr>
        <w:t>医疗器械临床试验质量管理规范</w:t>
      </w:r>
      <w:r>
        <w:rPr>
          <w:rFonts w:ascii="Times New Roman" w:hAnsi="Times New Roman"/>
        </w:rPr>
        <w:t xml:space="preserve">[S]. </w:t>
      </w:r>
      <w:r>
        <w:rPr>
          <w:rFonts w:hint="eastAsia" w:ascii="Times New Roman" w:hAnsi="Times New Roman"/>
        </w:rPr>
        <w:t>国家药品监督管理局</w:t>
      </w:r>
      <w:r>
        <w:rPr>
          <w:rFonts w:ascii="Times New Roman" w:hAnsi="Times New Roman"/>
        </w:rPr>
        <w:t xml:space="preserve">, </w:t>
      </w:r>
      <w:r>
        <w:rPr>
          <w:rFonts w:hint="eastAsia" w:ascii="Times New Roman" w:hAnsi="Times New Roman"/>
        </w:rPr>
        <w:t>国家卫生健康委员会</w:t>
      </w:r>
      <w:r>
        <w:rPr>
          <w:rFonts w:ascii="Times New Roman" w:hAnsi="Times New Roman"/>
        </w:rPr>
        <w:t>, 2022</w:t>
      </w:r>
      <w:r>
        <w:rPr>
          <w:rFonts w:hint="eastAsia" w:ascii="Times New Roman" w:hAnsi="Times New Roman"/>
        </w:rPr>
        <w:t>年第</w:t>
      </w:r>
      <w:r>
        <w:rPr>
          <w:rFonts w:ascii="Times New Roman" w:hAnsi="Times New Roman"/>
        </w:rPr>
        <w:t>31</w:t>
      </w:r>
      <w:r>
        <w:rPr>
          <w:rFonts w:hint="eastAsia" w:ascii="Times New Roman" w:hAnsi="Times New Roman"/>
        </w:rPr>
        <w:t>号公告</w:t>
      </w:r>
      <w:r>
        <w:rPr>
          <w:rFonts w:ascii="Times New Roman" w:hAnsi="Times New Roman"/>
        </w:rPr>
        <w:t xml:space="preserve">. </w:t>
      </w:r>
    </w:p>
    <w:p w14:paraId="747B27FF">
      <w:pPr>
        <w:pStyle w:val="233"/>
        <w:numPr>
          <w:ilvl w:val="0"/>
          <w:numId w:val="32"/>
        </w:numPr>
        <w:spacing w:line="240" w:lineRule="auto"/>
        <w:ind w:left="0" w:firstLine="0" w:firstLineChars="0"/>
        <w:rPr>
          <w:rFonts w:ascii="Times New Roman" w:hAnsi="Times New Roman"/>
        </w:rPr>
      </w:pPr>
      <w:r>
        <w:rPr>
          <w:rFonts w:hint="eastAsia" w:ascii="Times New Roman" w:hAnsi="Times New Roman"/>
        </w:rPr>
        <w:t>医疗卫生机构网络安全管理办法</w:t>
      </w:r>
      <w:r>
        <w:rPr>
          <w:rFonts w:ascii="Times New Roman" w:hAnsi="Times New Roman"/>
        </w:rPr>
        <w:t xml:space="preserve">[S]. </w:t>
      </w:r>
      <w:r>
        <w:rPr>
          <w:rFonts w:hint="eastAsia" w:ascii="Times New Roman" w:hAnsi="Times New Roman"/>
        </w:rPr>
        <w:t>国家卫生健康委员会</w:t>
      </w:r>
      <w:r>
        <w:rPr>
          <w:rFonts w:ascii="Times New Roman" w:hAnsi="Times New Roman"/>
        </w:rPr>
        <w:t xml:space="preserve">, 2021. </w:t>
      </w:r>
    </w:p>
    <w:p w14:paraId="33BA68BC">
      <w:pPr>
        <w:pStyle w:val="233"/>
        <w:numPr>
          <w:ilvl w:val="0"/>
          <w:numId w:val="32"/>
        </w:numPr>
        <w:spacing w:line="240" w:lineRule="auto"/>
        <w:ind w:left="0" w:firstLine="0" w:firstLineChars="0"/>
        <w:rPr>
          <w:rFonts w:ascii="Times New Roman" w:hAnsi="Times New Roman"/>
        </w:rPr>
      </w:pPr>
      <w:r>
        <w:rPr>
          <w:rFonts w:hint="eastAsia" w:ascii="Times New Roman" w:hAnsi="Times New Roman"/>
        </w:rPr>
        <w:t>中华人民共和国个人信息保护法</w:t>
      </w:r>
      <w:r>
        <w:rPr>
          <w:rFonts w:ascii="Times New Roman" w:hAnsi="Times New Roman"/>
        </w:rPr>
        <w:t xml:space="preserve">[S]. </w:t>
      </w:r>
      <w:r>
        <w:rPr>
          <w:rFonts w:hint="eastAsia" w:ascii="Times New Roman" w:hAnsi="Times New Roman"/>
        </w:rPr>
        <w:t>中华人民共和国主席令第</w:t>
      </w:r>
      <w:r>
        <w:rPr>
          <w:rFonts w:ascii="Times New Roman" w:hAnsi="Times New Roman"/>
        </w:rPr>
        <w:t>91</w:t>
      </w:r>
      <w:r>
        <w:rPr>
          <w:rFonts w:hint="eastAsia" w:ascii="Times New Roman" w:hAnsi="Times New Roman"/>
        </w:rPr>
        <w:t>号</w:t>
      </w:r>
      <w:r>
        <w:rPr>
          <w:rFonts w:ascii="Times New Roman" w:hAnsi="Times New Roman"/>
        </w:rPr>
        <w:t xml:space="preserve">, 2021. </w:t>
      </w:r>
    </w:p>
    <w:p w14:paraId="1150BAF5">
      <w:pPr>
        <w:pStyle w:val="233"/>
        <w:numPr>
          <w:ilvl w:val="0"/>
          <w:numId w:val="32"/>
        </w:numPr>
        <w:spacing w:line="240" w:lineRule="auto"/>
        <w:ind w:left="0" w:firstLine="0" w:firstLineChars="0"/>
        <w:rPr>
          <w:rFonts w:ascii="Times New Roman" w:hAnsi="Times New Roman"/>
        </w:rPr>
      </w:pPr>
      <w:r>
        <w:rPr>
          <w:rFonts w:hint="eastAsia" w:ascii="Times New Roman" w:hAnsi="Times New Roman"/>
        </w:rPr>
        <w:t>中华人民共和国药品管理法</w:t>
      </w:r>
      <w:r>
        <w:rPr>
          <w:rFonts w:ascii="Times New Roman" w:hAnsi="Times New Roman"/>
        </w:rPr>
        <w:t xml:space="preserve">[S]. </w:t>
      </w:r>
      <w:r>
        <w:rPr>
          <w:rFonts w:hint="eastAsia" w:ascii="Times New Roman" w:hAnsi="Times New Roman"/>
        </w:rPr>
        <w:t>中华人民共和国主席令第</w:t>
      </w:r>
      <w:r>
        <w:rPr>
          <w:rFonts w:ascii="Times New Roman" w:hAnsi="Times New Roman"/>
        </w:rPr>
        <w:t>31</w:t>
      </w:r>
      <w:r>
        <w:rPr>
          <w:rFonts w:hint="eastAsia" w:ascii="Times New Roman" w:hAnsi="Times New Roman"/>
        </w:rPr>
        <w:t>号</w:t>
      </w:r>
      <w:r>
        <w:rPr>
          <w:rFonts w:ascii="Times New Roman" w:hAnsi="Times New Roman"/>
        </w:rPr>
        <w:t xml:space="preserve">, 2019. </w:t>
      </w:r>
    </w:p>
    <w:p w14:paraId="6121077E">
      <w:pPr>
        <w:pStyle w:val="233"/>
        <w:numPr>
          <w:ilvl w:val="0"/>
          <w:numId w:val="32"/>
        </w:numPr>
        <w:spacing w:line="240" w:lineRule="auto"/>
        <w:ind w:left="0" w:firstLine="0" w:firstLineChars="0"/>
        <w:rPr>
          <w:rFonts w:ascii="Times New Roman" w:hAnsi="Times New Roman"/>
        </w:rPr>
      </w:pPr>
      <w:r>
        <w:rPr>
          <w:rFonts w:ascii="Times New Roman" w:hAnsi="Times New Roman"/>
        </w:rPr>
        <mc:AlternateContent>
          <mc:Choice Requires="wps">
            <w:drawing>
              <wp:anchor distT="0" distB="0" distL="114300" distR="114300" simplePos="0" relativeHeight="251659264" behindDoc="0" locked="0" layoutInCell="1" allowOverlap="1">
                <wp:simplePos x="0" y="0"/>
                <wp:positionH relativeFrom="column">
                  <wp:posOffset>1955165</wp:posOffset>
                </wp:positionH>
                <wp:positionV relativeFrom="paragraph">
                  <wp:posOffset>785495</wp:posOffset>
                </wp:positionV>
                <wp:extent cx="1288415" cy="0"/>
                <wp:effectExtent l="0" t="0" r="0" b="0"/>
                <wp:wrapNone/>
                <wp:docPr id="419893163" name="直接连接符 3"/>
                <wp:cNvGraphicFramePr/>
                <a:graphic xmlns:a="http://schemas.openxmlformats.org/drawingml/2006/main">
                  <a:graphicData uri="http://schemas.microsoft.com/office/word/2010/wordprocessingShape">
                    <wps:wsp>
                      <wps:cNvCnPr/>
                      <wps:spPr bwMode="auto">
                        <a:xfrm>
                          <a:off x="0" y="0"/>
                          <a:ext cx="128847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153.95pt;margin-top:61.85pt;height:0pt;width:101.45pt;z-index:251659264;mso-width-relative:page;mso-height-relative:page;" filled="f" stroked="t" coordsize="21600,21600" o:gfxdata="UEsDBAoAAAAAAIdO4kAAAAAAAAAAAAAAAAAEAAAAZHJzL1BLAwQUAAAACACHTuJAEs8ZXtgAAAAL&#10;AQAADwAAAGRycy9kb3ducmV2LnhtbE2PTU+DQBCG7yb+h82YeLMLbaENZenBxIOJiYoePG5hClR2&#10;Fne3gP/eMTGpt/l48s4z+X42vRjR+c6SgngRgUCqbN1Ro+D97eFuC8IHTbXuLaGCb/SwL66vcp3V&#10;dqJXHMvQCA4hn2kFbQhDJqWvWjTaL+yAxLujdUYHbl0ja6cnDje9XEZRKo3uiC+0esD7FqvP8mw4&#10;hTZfx7l3Hy/PT+22nE74OG5QqdubONqBCDiHCwy/+qwOBTsd7JlqL3oFq/UqZZSLZRKDYCJZpwmI&#10;w99EFrn8/0PxA1BLAwQUAAAACACHTuJAyjAg8/QBAADHAwAADgAAAGRycy9lMm9Eb2MueG1srVNL&#10;jhMxEN0jcQfLe9L5DCHTSmcWEw0bPiMBB6i43d2W/JPLSSeX4AJI7GDFkj23YTgGZXcShmEzC7yw&#10;7Pq88ntVXl7tjWY7GVA5W/HJaMyZtMLVyrYV//D+5tmCM4xga9DOyoofJPKr1dMny96Xcuo6p2sZ&#10;GIFYLHtf8S5GXxYFik4awJHz0pKzccFApGtoizpAT+hGF9PxeF70LtQ+OCERyboenPyIGB4D6JpG&#10;Cbl2YmukjQNqkBoiUcJOeeSr/NqmkSK+bRqUkemKE9OYdypC503ai9USyjaA75Q4PgEe84QHnAwo&#10;S0XPUGuIwLZB/QNllAgOXRNHwpliIJIVIRaT8QNt3nXgZeZCUqM/i47/D1a82d0GpuqKX0wuF5ez&#10;yXzGmQVDjb/79P3nxy+/fnym/e7bVzZLYvUeS8q5trfheENPAJv+taspB7bRZR32TTBJD2LI9lnu&#10;w1luuY9MkHEyXSwuXlA9cfIVUJ4SfcD4UjrD0qHiWtmkBJSwe4WRSlPoKSSZrbtRWuduasv6is9n&#10;z6nHAmhCG5oMOhpPLNG2nIFuafRFDBkRnVZ1yk44GNrNtQ5sB2lg8kq0qdpfYan0GrAb4rJrGCWj&#10;Iv0OrUzFF/eztSWQJF6Sa5Bx4+pDVjHbqb+5zHEW0wDdv+fsP/9v9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Szxle2AAAAAsBAAAPAAAAAAAAAAEAIAAAACIAAABkcnMvZG93bnJldi54bWxQSwEC&#10;FAAUAAAACACHTuJAyjAg8/QBAADHAwAADgAAAAAAAAABACAAAAAnAQAAZHJzL2Uyb0RvYy54bWxQ&#10;SwUGAAAAAAYABgBZAQAAjQUAAAAA&#10;">
                <v:fill on="f" focussize="0,0"/>
                <v:stroke weight="0.5pt" color="#000000 [3200]" miterlimit="8" joinstyle="miter"/>
                <v:imagedata o:title=""/>
                <o:lock v:ext="edit" aspectratio="f"/>
              </v:line>
            </w:pict>
          </mc:Fallback>
        </mc:AlternateContent>
      </w:r>
      <w:r>
        <w:rPr>
          <w:rFonts w:hint="eastAsia" w:ascii="Times New Roman" w:hAnsi="Times New Roman"/>
        </w:rPr>
        <w:t>中华人民共和国医疗器械监督管理条例</w:t>
      </w:r>
      <w:r>
        <w:rPr>
          <w:rFonts w:ascii="Times New Roman" w:hAnsi="Times New Roman"/>
        </w:rPr>
        <w:t xml:space="preserve">[S]. </w:t>
      </w:r>
      <w:r>
        <w:rPr>
          <w:rFonts w:hint="eastAsia" w:ascii="Times New Roman" w:hAnsi="Times New Roman"/>
        </w:rPr>
        <w:t>中华人民共和国国务院令第</w:t>
      </w:r>
      <w:r>
        <w:rPr>
          <w:rFonts w:ascii="Times New Roman" w:hAnsi="Times New Roman"/>
        </w:rPr>
        <w:t>766</w:t>
      </w:r>
      <w:r>
        <w:rPr>
          <w:rFonts w:hint="eastAsia" w:ascii="Times New Roman" w:hAnsi="Times New Roman"/>
        </w:rPr>
        <w:t>号</w:t>
      </w:r>
      <w:r>
        <w:rPr>
          <w:rFonts w:ascii="Times New Roman" w:hAnsi="Times New Roman"/>
        </w:rPr>
        <w:t>, 2021.</w:t>
      </w:r>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DDBEB">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C0194C">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CBE44">
    <w:pPr>
      <w:pStyle w:val="55"/>
      <w:rPr>
        <w:rFonts w:ascii="Times New Roman"/>
        <w:sz w:val="21"/>
        <w:szCs w:val="21"/>
      </w:rPr>
    </w:pPr>
    <w:r>
      <w:rPr>
        <w:rFonts w:ascii="Times New Roman"/>
        <w:sz w:val="21"/>
        <w:szCs w:val="21"/>
      </w:rPr>
      <w:fldChar w:fldCharType="begin"/>
    </w:r>
    <w:r>
      <w:rPr>
        <w:rFonts w:ascii="Times New Roman"/>
        <w:sz w:val="21"/>
        <w:szCs w:val="21"/>
      </w:rPr>
      <w:instrText xml:space="preserve">PAGE   \* MERGEFORMAT</w:instrText>
    </w:r>
    <w:r>
      <w:rPr>
        <w:rFonts w:ascii="Times New Roman"/>
        <w:sz w:val="21"/>
        <w:szCs w:val="21"/>
      </w:rPr>
      <w:fldChar w:fldCharType="separate"/>
    </w:r>
    <w:r>
      <w:rPr>
        <w:rFonts w:ascii="Times New Roman"/>
        <w:sz w:val="21"/>
        <w:szCs w:val="21"/>
        <w:lang w:val="zh-CN"/>
      </w:rPr>
      <w:t>1</w:t>
    </w:r>
    <w:r>
      <w:rPr>
        <w:rFonts w:ascii="Times New Roman"/>
        <w:sz w:val="21"/>
        <w:szCs w:val="21"/>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470C2">
    <w:pPr>
      <w:pStyle w:val="18"/>
    </w:pPr>
    <w:r>
      <w:fldChar w:fldCharType="begin"/>
    </w:r>
    <w:r>
      <w:instrText xml:space="preserve">PAGE   \* MERGEFORMAT</w:instrText>
    </w:r>
    <w:r>
      <w:fldChar w:fldCharType="separate"/>
    </w:r>
    <w:r>
      <w:rPr>
        <w:lang w:val="zh-CN"/>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60DA9">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64D82">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108C4F">
    <w:pPr>
      <w:pStyle w:val="64"/>
      <w:ind w:right="210"/>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54557">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1516007"/>
    <w:multiLevelType w:val="multilevel"/>
    <w:tmpl w:val="51516007"/>
    <w:lvl w:ilvl="0" w:tentative="0">
      <w:start w:val="1"/>
      <w:numFmt w:val="decimal"/>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7">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9"/>
      <w:suff w:val="nothing"/>
      <w:lvlText w:val="附录%1"/>
      <w:lvlJc w:val="left"/>
      <w:pPr>
        <w:ind w:left="0" w:firstLine="0"/>
      </w:pPr>
      <w:rPr>
        <w:rFonts w:hint="default" w:ascii="Times New Roman" w:hAnsi="Times New Roman" w:cs="Times New Roman"/>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0"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8"/>
      <w:suff w:val="nothing"/>
      <w:lvlText w:val="%1%2.%3.%4　"/>
      <w:lvlJc w:val="left"/>
      <w:pPr>
        <w:ind w:left="709"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3"/>
  </w:num>
  <w:num w:numId="7">
    <w:abstractNumId w:val="8"/>
  </w:num>
  <w:num w:numId="8">
    <w:abstractNumId w:val="3"/>
  </w:num>
  <w:num w:numId="9">
    <w:abstractNumId w:val="9"/>
  </w:num>
  <w:num w:numId="10">
    <w:abstractNumId w:val="17"/>
  </w:num>
  <w:num w:numId="11">
    <w:abstractNumId w:val="26"/>
  </w:num>
  <w:num w:numId="12">
    <w:abstractNumId w:val="11"/>
  </w:num>
  <w:num w:numId="13">
    <w:abstractNumId w:val="12"/>
  </w:num>
  <w:num w:numId="14">
    <w:abstractNumId w:val="7"/>
  </w:num>
  <w:num w:numId="15">
    <w:abstractNumId w:val="20"/>
  </w:num>
  <w:num w:numId="16">
    <w:abstractNumId w:val="22"/>
  </w:num>
  <w:num w:numId="17">
    <w:abstractNumId w:val="18"/>
  </w:num>
  <w:num w:numId="18">
    <w:abstractNumId w:val="30"/>
  </w:num>
  <w:num w:numId="19">
    <w:abstractNumId w:val="15"/>
  </w:num>
  <w:num w:numId="20">
    <w:abstractNumId w:val="1"/>
  </w:num>
  <w:num w:numId="21">
    <w:abstractNumId w:val="10"/>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4"/>
  </w:num>
  <w:num w:numId="30">
    <w:abstractNumId w:val="25"/>
  </w:num>
  <w:num w:numId="31">
    <w:abstractNumId w:val="23"/>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E61"/>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3A6A"/>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2047"/>
    <w:rsid w:val="00243540"/>
    <w:rsid w:val="00243CFD"/>
    <w:rsid w:val="0024497B"/>
    <w:rsid w:val="0024515B"/>
    <w:rsid w:val="00246021"/>
    <w:rsid w:val="0024666E"/>
    <w:rsid w:val="00247F52"/>
    <w:rsid w:val="00250B25"/>
    <w:rsid w:val="00250BBE"/>
    <w:rsid w:val="002515C2"/>
    <w:rsid w:val="0025194F"/>
    <w:rsid w:val="00257C23"/>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1EAA"/>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47C16"/>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3DD9"/>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093"/>
    <w:rsid w:val="00470775"/>
    <w:rsid w:val="004746B1"/>
    <w:rsid w:val="004746D7"/>
    <w:rsid w:val="0047583F"/>
    <w:rsid w:val="00475DE8"/>
    <w:rsid w:val="00481C44"/>
    <w:rsid w:val="00484936"/>
    <w:rsid w:val="00485C89"/>
    <w:rsid w:val="004860B5"/>
    <w:rsid w:val="00486BE3"/>
    <w:rsid w:val="004905E4"/>
    <w:rsid w:val="00490A89"/>
    <w:rsid w:val="00490AB4"/>
    <w:rsid w:val="00492F02"/>
    <w:rsid w:val="004939AE"/>
    <w:rsid w:val="004A12DF"/>
    <w:rsid w:val="004A1502"/>
    <w:rsid w:val="004A1BA8"/>
    <w:rsid w:val="004A4B57"/>
    <w:rsid w:val="004A63FA"/>
    <w:rsid w:val="004A6A3D"/>
    <w:rsid w:val="004B0272"/>
    <w:rsid w:val="004B2701"/>
    <w:rsid w:val="004B2E1B"/>
    <w:rsid w:val="004B3AA8"/>
    <w:rsid w:val="004B3E93"/>
    <w:rsid w:val="004B647D"/>
    <w:rsid w:val="004C1FBC"/>
    <w:rsid w:val="004C2314"/>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4F7124"/>
    <w:rsid w:val="00501139"/>
    <w:rsid w:val="0050363E"/>
    <w:rsid w:val="005039BC"/>
    <w:rsid w:val="005043BB"/>
    <w:rsid w:val="00504A3D"/>
    <w:rsid w:val="00505767"/>
    <w:rsid w:val="005073F0"/>
    <w:rsid w:val="00510A7B"/>
    <w:rsid w:val="00512F6E"/>
    <w:rsid w:val="00513038"/>
    <w:rsid w:val="00514174"/>
    <w:rsid w:val="00516088"/>
    <w:rsid w:val="00516B0B"/>
    <w:rsid w:val="00516E3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1DB3"/>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2AD"/>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466E"/>
    <w:rsid w:val="006015CE"/>
    <w:rsid w:val="00604784"/>
    <w:rsid w:val="00606419"/>
    <w:rsid w:val="00607D29"/>
    <w:rsid w:val="00612952"/>
    <w:rsid w:val="00614CC1"/>
    <w:rsid w:val="00615A9D"/>
    <w:rsid w:val="00617387"/>
    <w:rsid w:val="006205D6"/>
    <w:rsid w:val="00622131"/>
    <w:rsid w:val="006252D8"/>
    <w:rsid w:val="006259BC"/>
    <w:rsid w:val="0062636B"/>
    <w:rsid w:val="00632182"/>
    <w:rsid w:val="00632AE0"/>
    <w:rsid w:val="00633C17"/>
    <w:rsid w:val="00634D9E"/>
    <w:rsid w:val="00636E3E"/>
    <w:rsid w:val="006371DA"/>
    <w:rsid w:val="006379F7"/>
    <w:rsid w:val="00637E4D"/>
    <w:rsid w:val="00640620"/>
    <w:rsid w:val="00641A1F"/>
    <w:rsid w:val="00645904"/>
    <w:rsid w:val="00651ACB"/>
    <w:rsid w:val="00651C47"/>
    <w:rsid w:val="00651F41"/>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05E3"/>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6706"/>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4ABC"/>
    <w:rsid w:val="00755402"/>
    <w:rsid w:val="00756B26"/>
    <w:rsid w:val="00756EDF"/>
    <w:rsid w:val="007600E3"/>
    <w:rsid w:val="00765C43"/>
    <w:rsid w:val="00765EFB"/>
    <w:rsid w:val="007671CA"/>
    <w:rsid w:val="00767C61"/>
    <w:rsid w:val="0077008A"/>
    <w:rsid w:val="00772111"/>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37A0"/>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3E27"/>
    <w:rsid w:val="00865ACA"/>
    <w:rsid w:val="00865D28"/>
    <w:rsid w:val="00865F85"/>
    <w:rsid w:val="00867C10"/>
    <w:rsid w:val="00870439"/>
    <w:rsid w:val="00870DA1"/>
    <w:rsid w:val="00883F93"/>
    <w:rsid w:val="00884DB3"/>
    <w:rsid w:val="00885A9D"/>
    <w:rsid w:val="008864F6"/>
    <w:rsid w:val="0089049D"/>
    <w:rsid w:val="008928C9"/>
    <w:rsid w:val="008930CB"/>
    <w:rsid w:val="00893883"/>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4E2"/>
    <w:rsid w:val="008E4BB6"/>
    <w:rsid w:val="008E5518"/>
    <w:rsid w:val="008E6A84"/>
    <w:rsid w:val="008F0CDC"/>
    <w:rsid w:val="008F17A3"/>
    <w:rsid w:val="008F1ED3"/>
    <w:rsid w:val="008F4C29"/>
    <w:rsid w:val="008F70BD"/>
    <w:rsid w:val="008F788F"/>
    <w:rsid w:val="008F7EA2"/>
    <w:rsid w:val="00902722"/>
    <w:rsid w:val="009027BC"/>
    <w:rsid w:val="009062E6"/>
    <w:rsid w:val="009112F0"/>
    <w:rsid w:val="00911BE5"/>
    <w:rsid w:val="00913CA9"/>
    <w:rsid w:val="009145AE"/>
    <w:rsid w:val="009146CE"/>
    <w:rsid w:val="00914CA7"/>
    <w:rsid w:val="00915C3E"/>
    <w:rsid w:val="009161A8"/>
    <w:rsid w:val="00920F92"/>
    <w:rsid w:val="009245AE"/>
    <w:rsid w:val="009245F5"/>
    <w:rsid w:val="009249EC"/>
    <w:rsid w:val="009273B3"/>
    <w:rsid w:val="009305B5"/>
    <w:rsid w:val="009378DD"/>
    <w:rsid w:val="009429D5"/>
    <w:rsid w:val="00942BF1"/>
    <w:rsid w:val="00945180"/>
    <w:rsid w:val="00945428"/>
    <w:rsid w:val="0094607B"/>
    <w:rsid w:val="00953604"/>
    <w:rsid w:val="009548BA"/>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15F6"/>
    <w:rsid w:val="009A21CD"/>
    <w:rsid w:val="009A278C"/>
    <w:rsid w:val="009A2BC2"/>
    <w:rsid w:val="009A42C1"/>
    <w:rsid w:val="009A5429"/>
    <w:rsid w:val="009A72AD"/>
    <w:rsid w:val="009B09E0"/>
    <w:rsid w:val="009B0BC5"/>
    <w:rsid w:val="009B1247"/>
    <w:rsid w:val="009B1522"/>
    <w:rsid w:val="009B6029"/>
    <w:rsid w:val="009B65D6"/>
    <w:rsid w:val="009B6971"/>
    <w:rsid w:val="009C27F1"/>
    <w:rsid w:val="009C3152"/>
    <w:rsid w:val="009C3257"/>
    <w:rsid w:val="009C4CFA"/>
    <w:rsid w:val="009C5070"/>
    <w:rsid w:val="009D112C"/>
    <w:rsid w:val="009D1385"/>
    <w:rsid w:val="009D47FA"/>
    <w:rsid w:val="009D4C5B"/>
    <w:rsid w:val="009D50D2"/>
    <w:rsid w:val="009D55EE"/>
    <w:rsid w:val="009D6BCA"/>
    <w:rsid w:val="009E0F62"/>
    <w:rsid w:val="009E4A58"/>
    <w:rsid w:val="009E5A2D"/>
    <w:rsid w:val="009E5AB2"/>
    <w:rsid w:val="009E60C7"/>
    <w:rsid w:val="009E6219"/>
    <w:rsid w:val="009F03B3"/>
    <w:rsid w:val="00A0096C"/>
    <w:rsid w:val="00A01757"/>
    <w:rsid w:val="00A01E42"/>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0B98"/>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A8B"/>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D4D22"/>
    <w:rsid w:val="00AD638D"/>
    <w:rsid w:val="00AE070A"/>
    <w:rsid w:val="00AE101C"/>
    <w:rsid w:val="00AE2A69"/>
    <w:rsid w:val="00AE37E5"/>
    <w:rsid w:val="00AE5EB4"/>
    <w:rsid w:val="00AF0C18"/>
    <w:rsid w:val="00AF47C5"/>
    <w:rsid w:val="00AF5398"/>
    <w:rsid w:val="00B049AF"/>
    <w:rsid w:val="00B07242"/>
    <w:rsid w:val="00B10534"/>
    <w:rsid w:val="00B10823"/>
    <w:rsid w:val="00B113DB"/>
    <w:rsid w:val="00B11D8A"/>
    <w:rsid w:val="00B12981"/>
    <w:rsid w:val="00B147DD"/>
    <w:rsid w:val="00B156FD"/>
    <w:rsid w:val="00B200A9"/>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0EB0"/>
    <w:rsid w:val="00B939B1"/>
    <w:rsid w:val="00B96D40"/>
    <w:rsid w:val="00B97386"/>
    <w:rsid w:val="00BA263B"/>
    <w:rsid w:val="00BA42B2"/>
    <w:rsid w:val="00BA58D4"/>
    <w:rsid w:val="00BA5B9E"/>
    <w:rsid w:val="00BA7C9A"/>
    <w:rsid w:val="00BB31B3"/>
    <w:rsid w:val="00BB5F8F"/>
    <w:rsid w:val="00BB657A"/>
    <w:rsid w:val="00BB7F62"/>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45574"/>
    <w:rsid w:val="00C521D6"/>
    <w:rsid w:val="00C55232"/>
    <w:rsid w:val="00C553A4"/>
    <w:rsid w:val="00C55A06"/>
    <w:rsid w:val="00C55D03"/>
    <w:rsid w:val="00C601BC"/>
    <w:rsid w:val="00C62AB4"/>
    <w:rsid w:val="00C6329F"/>
    <w:rsid w:val="00C63340"/>
    <w:rsid w:val="00C643F9"/>
    <w:rsid w:val="00C64E95"/>
    <w:rsid w:val="00C71372"/>
    <w:rsid w:val="00C72410"/>
    <w:rsid w:val="00C7287F"/>
    <w:rsid w:val="00C80CB8"/>
    <w:rsid w:val="00C819F8"/>
    <w:rsid w:val="00C8248C"/>
    <w:rsid w:val="00C84E33"/>
    <w:rsid w:val="00C86D6F"/>
    <w:rsid w:val="00C87D6D"/>
    <w:rsid w:val="00C905FC"/>
    <w:rsid w:val="00C92D03"/>
    <w:rsid w:val="00C9319C"/>
    <w:rsid w:val="00C9435D"/>
    <w:rsid w:val="00C94DF2"/>
    <w:rsid w:val="00C96741"/>
    <w:rsid w:val="00CA2D1B"/>
    <w:rsid w:val="00CA375D"/>
    <w:rsid w:val="00CA65AD"/>
    <w:rsid w:val="00CA662A"/>
    <w:rsid w:val="00CA7AFD"/>
    <w:rsid w:val="00CA7C3C"/>
    <w:rsid w:val="00CB0189"/>
    <w:rsid w:val="00CB0BA2"/>
    <w:rsid w:val="00CB1A42"/>
    <w:rsid w:val="00CB1B0C"/>
    <w:rsid w:val="00CB2C0B"/>
    <w:rsid w:val="00CB2FF6"/>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D7C"/>
    <w:rsid w:val="00CE30EA"/>
    <w:rsid w:val="00CF048A"/>
    <w:rsid w:val="00CF155A"/>
    <w:rsid w:val="00CF2947"/>
    <w:rsid w:val="00CF686F"/>
    <w:rsid w:val="00CF6E60"/>
    <w:rsid w:val="00CF7BCA"/>
    <w:rsid w:val="00D008FD"/>
    <w:rsid w:val="00D0321C"/>
    <w:rsid w:val="00D035EC"/>
    <w:rsid w:val="00D06AB1"/>
    <w:rsid w:val="00D06FC1"/>
    <w:rsid w:val="00D072E9"/>
    <w:rsid w:val="00D072ED"/>
    <w:rsid w:val="00D07A16"/>
    <w:rsid w:val="00D1067E"/>
    <w:rsid w:val="00D10F50"/>
    <w:rsid w:val="00D11272"/>
    <w:rsid w:val="00D126F5"/>
    <w:rsid w:val="00D1489E"/>
    <w:rsid w:val="00D20737"/>
    <w:rsid w:val="00D21E81"/>
    <w:rsid w:val="00D223DE"/>
    <w:rsid w:val="00D25E37"/>
    <w:rsid w:val="00D2661A"/>
    <w:rsid w:val="00D271A1"/>
    <w:rsid w:val="00D27582"/>
    <w:rsid w:val="00D27EC4"/>
    <w:rsid w:val="00D32719"/>
    <w:rsid w:val="00D33333"/>
    <w:rsid w:val="00D352A2"/>
    <w:rsid w:val="00D4162B"/>
    <w:rsid w:val="00D4514F"/>
    <w:rsid w:val="00D451E2"/>
    <w:rsid w:val="00D45E89"/>
    <w:rsid w:val="00D45E8D"/>
    <w:rsid w:val="00D466AE"/>
    <w:rsid w:val="00D4734F"/>
    <w:rsid w:val="00D508F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A7252"/>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D6C2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33C0"/>
    <w:rsid w:val="00E15CCD"/>
    <w:rsid w:val="00E202EF"/>
    <w:rsid w:val="00E210B5"/>
    <w:rsid w:val="00E24ABE"/>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4325"/>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799"/>
    <w:rsid w:val="00E969D5"/>
    <w:rsid w:val="00EA58D1"/>
    <w:rsid w:val="00EA61BC"/>
    <w:rsid w:val="00EA681A"/>
    <w:rsid w:val="00EA735B"/>
    <w:rsid w:val="00EB1E69"/>
    <w:rsid w:val="00EB2086"/>
    <w:rsid w:val="00EB31ED"/>
    <w:rsid w:val="00EB5EDF"/>
    <w:rsid w:val="00EB60FE"/>
    <w:rsid w:val="00EB74DB"/>
    <w:rsid w:val="00EC255D"/>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42E"/>
    <w:rsid w:val="00F314B1"/>
    <w:rsid w:val="00F32780"/>
    <w:rsid w:val="00F33817"/>
    <w:rsid w:val="00F420D5"/>
    <w:rsid w:val="00F451EA"/>
    <w:rsid w:val="00F45447"/>
    <w:rsid w:val="00F456C6"/>
    <w:rsid w:val="00F4577B"/>
    <w:rsid w:val="00F46496"/>
    <w:rsid w:val="00F474D0"/>
    <w:rsid w:val="00F47E61"/>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019"/>
    <w:rsid w:val="00FD2A7C"/>
    <w:rsid w:val="00FD59EB"/>
    <w:rsid w:val="00FD70E1"/>
    <w:rsid w:val="00FD7299"/>
    <w:rsid w:val="00FE1FBE"/>
    <w:rsid w:val="00FE3901"/>
    <w:rsid w:val="00FE39D3"/>
    <w:rsid w:val="00FE4BCE"/>
    <w:rsid w:val="00FE54AE"/>
    <w:rsid w:val="00FE576A"/>
    <w:rsid w:val="00FE7E79"/>
    <w:rsid w:val="00FF3E7D"/>
    <w:rsid w:val="00FF5B99"/>
    <w:rsid w:val="00FF730C"/>
    <w:rsid w:val="00FF73F4"/>
    <w:rsid w:val="00FF7CE4"/>
    <w:rsid w:val="00FF7E39"/>
    <w:rsid w:val="018F6A3E"/>
    <w:rsid w:val="049F51EA"/>
    <w:rsid w:val="0EA21DA1"/>
    <w:rsid w:val="0F6B6D3C"/>
    <w:rsid w:val="112A6783"/>
    <w:rsid w:val="11E911D4"/>
    <w:rsid w:val="168801D3"/>
    <w:rsid w:val="171E6442"/>
    <w:rsid w:val="23DF164F"/>
    <w:rsid w:val="24305A06"/>
    <w:rsid w:val="2E1F500D"/>
    <w:rsid w:val="2F3E34A4"/>
    <w:rsid w:val="3236068C"/>
    <w:rsid w:val="36E840AC"/>
    <w:rsid w:val="397E00C4"/>
    <w:rsid w:val="39B5458C"/>
    <w:rsid w:val="3C384394"/>
    <w:rsid w:val="3ED96F6F"/>
    <w:rsid w:val="3F6834B8"/>
    <w:rsid w:val="40BE48FA"/>
    <w:rsid w:val="444255B6"/>
    <w:rsid w:val="472B6E1F"/>
    <w:rsid w:val="49B52D6E"/>
    <w:rsid w:val="4CD7794F"/>
    <w:rsid w:val="51FF0661"/>
    <w:rsid w:val="5400631C"/>
    <w:rsid w:val="56B15C98"/>
    <w:rsid w:val="57A71D65"/>
    <w:rsid w:val="5ABB5740"/>
    <w:rsid w:val="617F71FF"/>
    <w:rsid w:val="6283706E"/>
    <w:rsid w:val="655265BD"/>
    <w:rsid w:val="660074FA"/>
    <w:rsid w:val="6D7F2E4A"/>
    <w:rsid w:val="6F6C5A61"/>
    <w:rsid w:val="71566079"/>
    <w:rsid w:val="72053AAD"/>
    <w:rsid w:val="72E90C14"/>
    <w:rsid w:val="7629328D"/>
    <w:rsid w:val="768F5E17"/>
    <w:rsid w:val="77EE068E"/>
    <w:rsid w:val="786848E4"/>
    <w:rsid w:val="7FD03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qFormat/>
    <w:uiPriority w:val="0"/>
    <w:pPr>
      <w:keepNext/>
      <w:keepLines/>
      <w:spacing w:before="260" w:after="260" w:line="416" w:lineRule="auto"/>
      <w:outlineLvl w:val="2"/>
    </w:pPr>
    <w:rPr>
      <w:b/>
      <w:bCs/>
      <w:sz w:val="32"/>
      <w:szCs w:val="32"/>
    </w:rPr>
  </w:style>
  <w:style w:type="paragraph" w:styleId="5">
    <w:name w:val="heading 4"/>
    <w:basedOn w:val="1"/>
    <w:next w:val="1"/>
    <w:link w:val="40"/>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5"/>
    <w:semiHidden/>
    <w:unhideWhenUsed/>
    <w:qFormat/>
    <w:uiPriority w:val="99"/>
    <w:pPr>
      <w:jc w:val="left"/>
    </w:pPr>
  </w:style>
  <w:style w:type="paragraph" w:styleId="14">
    <w:name w:val="Body Text"/>
    <w:basedOn w:val="1"/>
    <w:link w:val="89"/>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semiHidden/>
    <w:unhideWhenUsed/>
    <w:qFormat/>
    <w:uiPriority w:val="99"/>
    <w:rPr>
      <w:sz w:val="18"/>
      <w:szCs w:val="18"/>
    </w:rPr>
  </w:style>
  <w:style w:type="paragraph" w:styleId="18">
    <w:name w:val="footer"/>
    <w:basedOn w:val="1"/>
    <w:link w:val="47"/>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pPr>
      <w:tabs>
        <w:tab w:val="right" w:leader="dot" w:pos="9344"/>
      </w:tabs>
      <w:pPrChange w:id="0" w:author="腾 王" w:date="2026-04-30T14:23:00Z">
        <w:pPr>
          <w:widowControl w:val="0"/>
          <w:adjustRightInd w:val="0"/>
          <w:spacing w:line="400" w:lineRule="exact"/>
          <w:jc w:val="both"/>
        </w:pPr>
      </w:pPrChange>
    </w:pPr>
    <w:rPr>
      <w:rFonts w:ascii="Times New Roman"/>
      <w:kern w:val="0"/>
      <w:rPrChange w:id="2" w:author="腾 王" w:date="2026-04-30T14:23:00Z">
        <w:rPr>
          <w:rFonts w:ascii="宋体" w:hAnsi="Calibri" w:eastAsia="宋体"/>
          <w:kern w:val="2"/>
          <w:sz w:val="21"/>
          <w:szCs w:val="21"/>
          <w:lang w:val="en-US" w:eastAsia="zh-CN" w:bidi="ar-SA"/>
        </w:rPr>
      </w:rPrChange>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1"/>
    <w:qFormat/>
    <w:uiPriority w:val="0"/>
    <w:pPr>
      <w:spacing w:before="240" w:after="60"/>
      <w:jc w:val="center"/>
      <w:outlineLvl w:val="0"/>
    </w:pPr>
    <w:rPr>
      <w:rFonts w:ascii="Arial" w:hAnsi="Arial" w:cs="Arial"/>
      <w:b/>
      <w:bCs/>
      <w:sz w:val="32"/>
      <w:szCs w:val="32"/>
    </w:rPr>
  </w:style>
  <w:style w:type="paragraph" w:styleId="27">
    <w:name w:val="annotation subject"/>
    <w:basedOn w:val="13"/>
    <w:next w:val="13"/>
    <w:link w:val="236"/>
    <w:semiHidden/>
    <w:unhideWhenUsed/>
    <w:uiPriority w:val="99"/>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annotation reference"/>
    <w:basedOn w:val="30"/>
    <w:semiHidden/>
    <w:unhideWhenUsed/>
    <w:uiPriority w:val="99"/>
    <w:rPr>
      <w:sz w:val="21"/>
      <w:szCs w:val="21"/>
    </w:rPr>
  </w:style>
  <w:style w:type="character" w:styleId="36">
    <w:name w:val="footnote reference"/>
    <w:semiHidden/>
    <w:qFormat/>
    <w:uiPriority w:val="0"/>
    <w:rPr>
      <w:rFonts w:ascii="宋体" w:hAnsi="宋体" w:eastAsia="宋体" w:cs="Times New Roman"/>
      <w:spacing w:val="0"/>
      <w:sz w:val="18"/>
      <w:vertAlign w:val="superscript"/>
    </w:rPr>
  </w:style>
  <w:style w:type="character" w:customStyle="1" w:styleId="37">
    <w:name w:val="标题 1 字符"/>
    <w:link w:val="2"/>
    <w:qFormat/>
    <w:uiPriority w:val="0"/>
    <w:rPr>
      <w:b/>
      <w:bCs/>
      <w:kern w:val="44"/>
      <w:sz w:val="44"/>
      <w:szCs w:val="44"/>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标题 3 字符"/>
    <w:link w:val="4"/>
    <w:qFormat/>
    <w:uiPriority w:val="0"/>
    <w:rPr>
      <w:b/>
      <w:bCs/>
      <w:kern w:val="2"/>
      <w:sz w:val="32"/>
      <w:szCs w:val="32"/>
    </w:rPr>
  </w:style>
  <w:style w:type="character" w:customStyle="1" w:styleId="40">
    <w:name w:val="标题 4 字符"/>
    <w:link w:val="5"/>
    <w:qFormat/>
    <w:uiPriority w:val="0"/>
    <w:rPr>
      <w:rFonts w:ascii="Arial" w:hAnsi="Arial" w:eastAsia="黑体"/>
      <w:b/>
      <w:bCs/>
      <w:kern w:val="2"/>
      <w:sz w:val="28"/>
      <w:szCs w:val="28"/>
    </w:rPr>
  </w:style>
  <w:style w:type="character" w:customStyle="1" w:styleId="41">
    <w:name w:val="标题 5 字符"/>
    <w:link w:val="6"/>
    <w:qFormat/>
    <w:uiPriority w:val="0"/>
    <w:rPr>
      <w:b/>
      <w:bCs/>
      <w:kern w:val="2"/>
      <w:sz w:val="28"/>
      <w:szCs w:val="28"/>
    </w:rPr>
  </w:style>
  <w:style w:type="character" w:customStyle="1" w:styleId="42">
    <w:name w:val="标题 6 字符"/>
    <w:link w:val="7"/>
    <w:qFormat/>
    <w:uiPriority w:val="0"/>
    <w:rPr>
      <w:rFonts w:ascii="Arial" w:hAnsi="Arial" w:eastAsia="黑体"/>
      <w:b/>
      <w:bCs/>
      <w:kern w:val="2"/>
      <w:sz w:val="24"/>
      <w:szCs w:val="24"/>
    </w:rPr>
  </w:style>
  <w:style w:type="character" w:customStyle="1" w:styleId="43">
    <w:name w:val="标题 7 字符"/>
    <w:link w:val="8"/>
    <w:qFormat/>
    <w:uiPriority w:val="0"/>
    <w:rPr>
      <w:b/>
      <w:bCs/>
      <w:kern w:val="2"/>
      <w:sz w:val="24"/>
      <w:szCs w:val="24"/>
    </w:rPr>
  </w:style>
  <w:style w:type="character" w:customStyle="1" w:styleId="44">
    <w:name w:val="标题 8 字符"/>
    <w:link w:val="9"/>
    <w:qFormat/>
    <w:uiPriority w:val="0"/>
    <w:rPr>
      <w:rFonts w:ascii="Arial" w:hAnsi="Arial" w:eastAsia="黑体"/>
      <w:kern w:val="2"/>
      <w:sz w:val="24"/>
      <w:szCs w:val="24"/>
    </w:rPr>
  </w:style>
  <w:style w:type="character" w:customStyle="1" w:styleId="45">
    <w:name w:val="标题 9 字符"/>
    <w:link w:val="10"/>
    <w:qFormat/>
    <w:uiPriority w:val="0"/>
    <w:rPr>
      <w:rFonts w:ascii="Arial" w:hAnsi="Arial" w:eastAsia="黑体"/>
      <w:kern w:val="2"/>
      <w:sz w:val="21"/>
      <w:szCs w:val="21"/>
    </w:rPr>
  </w:style>
  <w:style w:type="character" w:customStyle="1" w:styleId="46">
    <w:name w:val="页眉 字符"/>
    <w:link w:val="19"/>
    <w:qFormat/>
    <w:uiPriority w:val="99"/>
    <w:rPr>
      <w:kern w:val="2"/>
      <w:sz w:val="18"/>
      <w:szCs w:val="18"/>
    </w:rPr>
  </w:style>
  <w:style w:type="character" w:customStyle="1" w:styleId="47">
    <w:name w:val="页脚 字符"/>
    <w:link w:val="18"/>
    <w:qFormat/>
    <w:uiPriority w:val="99"/>
    <w:rPr>
      <w:rFonts w:ascii="宋体"/>
      <w:kern w:val="2"/>
      <w:sz w:val="18"/>
      <w:szCs w:val="18"/>
    </w:rPr>
  </w:style>
  <w:style w:type="character" w:customStyle="1" w:styleId="48">
    <w:name w:val="批注框文本 字符"/>
    <w:link w:val="17"/>
    <w:semiHidden/>
    <w:qFormat/>
    <w:uiPriority w:val="99"/>
    <w:rPr>
      <w:kern w:val="2"/>
      <w:sz w:val="18"/>
      <w:szCs w:val="18"/>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kern w:val="2"/>
      <w:sz w:val="21"/>
      <w:szCs w:val="21"/>
    </w:rPr>
  </w:style>
  <w:style w:type="character" w:customStyle="1" w:styleId="51">
    <w:name w:val="标题 字符"/>
    <w:link w:val="26"/>
    <w:qFormat/>
    <w:uiPriority w:val="0"/>
    <w:rPr>
      <w:rFonts w:ascii="Arial" w:hAnsi="Arial" w:cs="Arial"/>
      <w:b/>
      <w:bCs/>
      <w:kern w:val="2"/>
      <w:sz w:val="32"/>
      <w:szCs w:val="32"/>
    </w:rPr>
  </w:style>
  <w:style w:type="paragraph" w:customStyle="1" w:styleId="52">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qFormat/>
    <w:uiPriority w:val="0"/>
    <w:pPr>
      <w:spacing w:line="0" w:lineRule="atLeast"/>
    </w:pPr>
    <w:rPr>
      <w:rFonts w:ascii="黑体" w:hAnsi="宋体" w:eastAsia="黑体"/>
    </w:rPr>
  </w:style>
  <w:style w:type="paragraph" w:customStyle="1" w:styleId="58">
    <w:name w:val="标准文件_标准正文"/>
    <w:basedOn w:val="1"/>
    <w:next w:val="59"/>
    <w:qFormat/>
    <w:uiPriority w:val="0"/>
    <w:pPr>
      <w:snapToGrid w:val="0"/>
      <w:ind w:firstLine="200" w:firstLineChars="200"/>
    </w:pPr>
    <w:rPr>
      <w:kern w:val="0"/>
    </w:rPr>
  </w:style>
  <w:style w:type="paragraph" w:customStyle="1" w:styleId="59">
    <w:name w:val="标准文件_段"/>
    <w:link w:val="187"/>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0">
    <w:name w:val="标准文件_版本"/>
    <w:basedOn w:val="58"/>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9"/>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9"/>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qFormat/>
    <w:uiPriority w:val="0"/>
    <w:rPr>
      <w:kern w:val="2"/>
      <w:sz w:val="21"/>
      <w:szCs w:val="21"/>
    </w:rPr>
  </w:style>
  <w:style w:type="paragraph" w:customStyle="1" w:styleId="90">
    <w:name w:val="标准文件_附录章标题"/>
    <w:next w:val="59"/>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qFormat/>
    <w:uiPriority w:val="0"/>
    <w:pPr>
      <w:ind w:left="488" w:leftChars="200" w:hanging="289" w:hangingChars="290"/>
    </w:pPr>
  </w:style>
  <w:style w:type="paragraph" w:customStyle="1" w:styleId="92">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qFormat/>
    <w:uiPriority w:val="0"/>
    <w:pPr>
      <w:spacing w:line="460" w:lineRule="exact"/>
      <w:ind w:left="0" w:firstLine="0"/>
    </w:pPr>
  </w:style>
  <w:style w:type="paragraph" w:customStyle="1" w:styleId="94">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5">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qFormat/>
    <w:uiPriority w:val="0"/>
    <w:pPr>
      <w:numPr>
        <w:numId w:val="10"/>
      </w:numPr>
    </w:pPr>
  </w:style>
  <w:style w:type="paragraph" w:customStyle="1" w:styleId="97">
    <w:name w:val="标准文件_三级条标题"/>
    <w:basedOn w:val="68"/>
    <w:next w:val="59"/>
    <w:qFormat/>
    <w:uiPriority w:val="0"/>
    <w:pPr>
      <w:widowControl/>
      <w:numPr>
        <w:ilvl w:val="4"/>
      </w:numPr>
      <w:outlineLvl w:val="3"/>
    </w:pPr>
  </w:style>
  <w:style w:type="character" w:customStyle="1" w:styleId="98">
    <w:name w:val="不明显参考1"/>
    <w:qFormat/>
    <w:uiPriority w:val="31"/>
    <w:rPr>
      <w:smallCaps/>
      <w:color w:val="C0504D"/>
      <w:u w:val="single"/>
    </w:rPr>
  </w:style>
  <w:style w:type="paragraph" w:customStyle="1" w:styleId="99">
    <w:name w:val="标准文件_示例后续"/>
    <w:basedOn w:val="1"/>
    <w:qFormat/>
    <w:uiPriority w:val="0"/>
    <w:pPr>
      <w:adjustRightInd/>
      <w:spacing w:line="240" w:lineRule="auto"/>
      <w:ind w:firstLine="200" w:firstLineChars="200"/>
    </w:pPr>
    <w:rPr>
      <w:sz w:val="18"/>
      <w:szCs w:val="24"/>
    </w:rPr>
  </w:style>
  <w:style w:type="paragraph" w:customStyle="1" w:styleId="100">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semiHidden/>
    <w:qFormat/>
    <w:uiPriority w:val="0"/>
    <w:rPr>
      <w:rFonts w:ascii="宋体"/>
      <w:kern w:val="2"/>
      <w:sz w:val="18"/>
      <w:szCs w:val="18"/>
    </w:rPr>
  </w:style>
  <w:style w:type="paragraph" w:customStyle="1" w:styleId="103">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qFormat/>
    <w:uiPriority w:val="0"/>
    <w:pPr>
      <w:numPr>
        <w:ilvl w:val="0"/>
        <w:numId w:val="12"/>
      </w:numPr>
      <w:spacing w:line="240" w:lineRule="auto"/>
      <w:jc w:val="left"/>
    </w:pPr>
    <w:rPr>
      <w:rFonts w:ascii="宋体" w:hAnsi="宋体"/>
      <w:sz w:val="18"/>
    </w:rPr>
  </w:style>
  <w:style w:type="character" w:customStyle="1" w:styleId="105">
    <w:name w:val="标准文件_图表脚注内容"/>
    <w:qFormat/>
    <w:uiPriority w:val="0"/>
    <w:rPr>
      <w:rFonts w:ascii="宋体" w:hAnsi="宋体" w:eastAsia="宋体" w:cs="Times New Roman"/>
      <w:spacing w:val="0"/>
      <w:sz w:val="18"/>
      <w:vertAlign w:val="superscript"/>
    </w:rPr>
  </w:style>
  <w:style w:type="paragraph" w:customStyle="1" w:styleId="106">
    <w:name w:val="标准文件_五级条标题"/>
    <w:next w:val="59"/>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qFormat/>
    <w:uiPriority w:val="0"/>
    <w:pPr>
      <w:numPr>
        <w:ilvl w:val="2"/>
      </w:numPr>
      <w:spacing w:before="50" w:beforeLines="50" w:after="50" w:afterLines="50"/>
      <w:outlineLvl w:val="1"/>
    </w:pPr>
  </w:style>
  <w:style w:type="paragraph" w:customStyle="1" w:styleId="109">
    <w:name w:val="标准文件_一致程度"/>
    <w:basedOn w:val="1"/>
    <w:qFormat/>
    <w:uiPriority w:val="0"/>
    <w:pPr>
      <w:spacing w:line="440" w:lineRule="exact"/>
      <w:jc w:val="center"/>
    </w:pPr>
    <w:rPr>
      <w:sz w:val="28"/>
    </w:rPr>
  </w:style>
  <w:style w:type="paragraph" w:customStyle="1" w:styleId="110">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2">
    <w:name w:val="发布部门"/>
    <w:next w:val="59"/>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qFormat/>
    <w:uiPriority w:val="0"/>
    <w:pPr>
      <w:outlineLvl w:val="4"/>
    </w:pPr>
  </w:style>
  <w:style w:type="paragraph" w:customStyle="1" w:styleId="133">
    <w:name w:val="附录四级无标题条"/>
    <w:basedOn w:val="132"/>
    <w:next w:val="59"/>
    <w:qFormat/>
    <w:uiPriority w:val="0"/>
    <w:pPr>
      <w:outlineLvl w:val="5"/>
    </w:pPr>
  </w:style>
  <w:style w:type="paragraph" w:customStyle="1" w:styleId="134">
    <w:name w:val="附录图"/>
    <w:next w:val="59"/>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qFormat/>
    <w:uiPriority w:val="0"/>
    <w:pPr>
      <w:outlineLvl w:val="6"/>
    </w:pPr>
  </w:style>
  <w:style w:type="paragraph" w:customStyle="1" w:styleId="137">
    <w:name w:val="附录性质"/>
    <w:basedOn w:val="1"/>
    <w:qFormat/>
    <w:uiPriority w:val="0"/>
    <w:pPr>
      <w:widowControl/>
      <w:adjustRightInd/>
      <w:jc w:val="center"/>
    </w:pPr>
    <w:rPr>
      <w:rFonts w:ascii="黑体" w:eastAsia="黑体"/>
    </w:rPr>
  </w:style>
  <w:style w:type="paragraph" w:customStyle="1" w:styleId="138">
    <w:name w:val="附录一级无标题条"/>
    <w:basedOn w:val="90"/>
    <w:next w:val="59"/>
    <w:qFormat/>
    <w:uiPriority w:val="0"/>
    <w:pPr>
      <w:autoSpaceDN w:val="0"/>
      <w:outlineLvl w:val="2"/>
    </w:pPr>
    <w:rPr>
      <w:rFonts w:ascii="宋体" w:hAnsi="宋体" w:eastAsia="宋体"/>
    </w:rPr>
  </w:style>
  <w:style w:type="character" w:customStyle="1" w:styleId="139">
    <w:name w:val="个人答复风格"/>
    <w:qFormat/>
    <w:uiPriority w:val="0"/>
    <w:rPr>
      <w:rFonts w:ascii="Arial" w:hAnsi="Arial" w:eastAsia="宋体" w:cs="Arial"/>
      <w:color w:val="auto"/>
      <w:spacing w:val="0"/>
      <w:sz w:val="20"/>
    </w:rPr>
  </w:style>
  <w:style w:type="character" w:customStyle="1" w:styleId="140">
    <w:name w:val="个人撰写风格"/>
    <w:qFormat/>
    <w:uiPriority w:val="0"/>
    <w:rPr>
      <w:rFonts w:ascii="Arial" w:hAnsi="Arial" w:eastAsia="宋体" w:cs="Arial"/>
      <w:color w:val="auto"/>
      <w:spacing w:val="0"/>
      <w:sz w:val="20"/>
    </w:rPr>
  </w:style>
  <w:style w:type="paragraph" w:customStyle="1" w:styleId="14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qFormat/>
    <w:uiPriority w:val="0"/>
    <w:pPr>
      <w:tabs>
        <w:tab w:val="left" w:pos="840"/>
      </w:tabs>
    </w:pPr>
  </w:style>
  <w:style w:type="paragraph" w:customStyle="1" w:styleId="14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uiPriority w:val="0"/>
    <w:pPr>
      <w:spacing w:line="240" w:lineRule="auto"/>
    </w:pPr>
    <w:rPr>
      <w:rFonts w:ascii="宋体" w:hAnsi="宋体"/>
      <w:iCs/>
    </w:rPr>
  </w:style>
  <w:style w:type="paragraph" w:customStyle="1" w:styleId="147">
    <w:name w:val="目录 41"/>
    <w:basedOn w:val="1"/>
    <w:next w:val="1"/>
    <w:autoRedefine/>
    <w:semiHidden/>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qFormat/>
    <w:uiPriority w:val="0"/>
    <w:pPr>
      <w:framePr w:wrap="around"/>
      <w:spacing w:line="0" w:lineRule="atLeast"/>
    </w:pPr>
    <w:rPr>
      <w:rFonts w:ascii="黑体" w:eastAsia="黑体"/>
      <w:b w:val="0"/>
    </w:rPr>
  </w:style>
  <w:style w:type="paragraph" w:customStyle="1" w:styleId="15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uiPriority w:val="0"/>
    <w:pPr>
      <w:numPr>
        <w:ilvl w:val="4"/>
        <w:numId w:val="20"/>
      </w:numPr>
      <w:adjustRightInd/>
      <w:spacing w:line="240" w:lineRule="auto"/>
    </w:pPr>
    <w:rPr>
      <w:rFonts w:ascii="宋体" w:hAnsi="宋体"/>
      <w:szCs w:val="24"/>
    </w:rPr>
  </w:style>
  <w:style w:type="paragraph" w:customStyle="1" w:styleId="157">
    <w:name w:val="实施日期"/>
    <w:basedOn w:val="123"/>
    <w:qFormat/>
    <w:uiPriority w:val="0"/>
    <w:pPr>
      <w:framePr w:hSpace="0" w:wrap="around" w:xAlign="right"/>
      <w:jc w:val="right"/>
    </w:pPr>
  </w:style>
  <w:style w:type="paragraph" w:customStyle="1" w:styleId="15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qFormat/>
    <w:uiPriority w:val="0"/>
    <w:pPr>
      <w:numPr>
        <w:ilvl w:val="6"/>
        <w:numId w:val="20"/>
      </w:numPr>
      <w:adjustRightInd/>
    </w:pPr>
    <w:rPr>
      <w:szCs w:val="24"/>
    </w:rPr>
  </w:style>
  <w:style w:type="paragraph" w:customStyle="1" w:styleId="16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3">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qFormat/>
    <w:uiPriority w:val="0"/>
    <w:pPr>
      <w:ind w:left="1406" w:leftChars="0" w:hanging="499" w:firstLineChars="0"/>
    </w:pPr>
  </w:style>
  <w:style w:type="paragraph" w:customStyle="1" w:styleId="165">
    <w:name w:val="标准文件_一级无标题"/>
    <w:basedOn w:val="108"/>
    <w:qFormat/>
    <w:uiPriority w:val="0"/>
    <w:pPr>
      <w:spacing w:before="0" w:beforeLines="0" w:after="0" w:afterLines="0"/>
      <w:outlineLvl w:val="9"/>
    </w:pPr>
    <w:rPr>
      <w:rFonts w:ascii="宋体" w:eastAsia="宋体"/>
    </w:rPr>
  </w:style>
  <w:style w:type="paragraph" w:customStyle="1" w:styleId="166">
    <w:name w:val="标准文件_五级无标题"/>
    <w:basedOn w:val="106"/>
    <w:qFormat/>
    <w:uiPriority w:val="0"/>
    <w:pPr>
      <w:spacing w:before="0" w:beforeLines="0" w:after="0" w:afterLines="0"/>
      <w:outlineLvl w:val="9"/>
    </w:pPr>
    <w:rPr>
      <w:rFonts w:ascii="宋体" w:eastAsia="宋体"/>
    </w:rPr>
  </w:style>
  <w:style w:type="paragraph" w:customStyle="1" w:styleId="167">
    <w:name w:val="标准文件_三级无标题"/>
    <w:basedOn w:val="97"/>
    <w:qFormat/>
    <w:uiPriority w:val="0"/>
    <w:pPr>
      <w:spacing w:before="0" w:beforeLines="0" w:after="0" w:afterLines="0"/>
      <w:outlineLvl w:val="9"/>
    </w:pPr>
    <w:rPr>
      <w:rFonts w:ascii="宋体" w:eastAsia="宋体"/>
    </w:rPr>
  </w:style>
  <w:style w:type="paragraph" w:customStyle="1" w:styleId="168">
    <w:name w:val="标准文件_二级无标题"/>
    <w:basedOn w:val="68"/>
    <w:qFormat/>
    <w:uiPriority w:val="0"/>
    <w:pPr>
      <w:spacing w:before="0" w:beforeLines="0" w:after="0" w:afterLines="0"/>
      <w:outlineLvl w:val="9"/>
    </w:pPr>
    <w:rPr>
      <w:rFonts w:ascii="宋体" w:eastAsia="宋体"/>
    </w:rPr>
  </w:style>
  <w:style w:type="paragraph" w:customStyle="1" w:styleId="169">
    <w:name w:val="标准_四级无标题"/>
    <w:basedOn w:val="101"/>
    <w:next w:val="59"/>
    <w:qFormat/>
    <w:uiPriority w:val="0"/>
    <w:rPr>
      <w:rFonts w:eastAsia="宋体"/>
    </w:rPr>
  </w:style>
  <w:style w:type="paragraph" w:customStyle="1" w:styleId="170">
    <w:name w:val="标准文件_四级无标题"/>
    <w:basedOn w:val="101"/>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uiPriority w:val="0"/>
    <w:pPr>
      <w:numPr>
        <w:ilvl w:val="0"/>
        <w:numId w:val="23"/>
      </w:numPr>
      <w:ind w:firstLine="0" w:firstLineChars="0"/>
    </w:pPr>
    <w:rPr>
      <w:rFonts w:cs="Arial"/>
      <w:szCs w:val="28"/>
    </w:rPr>
  </w:style>
  <w:style w:type="paragraph" w:customStyle="1" w:styleId="172">
    <w:name w:val="标准文件_小写罗马数字编号列项"/>
    <w:basedOn w:val="59"/>
    <w:qFormat/>
    <w:uiPriority w:val="0"/>
    <w:pPr>
      <w:numPr>
        <w:ilvl w:val="0"/>
        <w:numId w:val="24"/>
      </w:numPr>
      <w:ind w:firstLine="0" w:firstLineChars="0"/>
    </w:pPr>
    <w:rPr>
      <w:rFonts w:cs="Arial"/>
      <w:szCs w:val="28"/>
    </w:rPr>
  </w:style>
  <w:style w:type="paragraph" w:customStyle="1" w:styleId="173">
    <w:name w:val="标准文件_附录标题"/>
    <w:basedOn w:val="79"/>
    <w:qFormat/>
    <w:uiPriority w:val="0"/>
    <w:pPr>
      <w:numPr>
        <w:numId w:val="0"/>
      </w:numPr>
      <w:spacing w:after="280"/>
      <w:outlineLvl w:val="9"/>
    </w:pPr>
  </w:style>
  <w:style w:type="paragraph" w:customStyle="1" w:styleId="174">
    <w:name w:val="标准文件_二级项"/>
    <w:uiPriority w:val="0"/>
    <w:rPr>
      <w:rFonts w:ascii="宋体" w:hAnsi="Times New Roman" w:eastAsia="宋体" w:cs="Times New Roman"/>
      <w:sz w:val="21"/>
      <w:lang w:val="en-US" w:eastAsia="zh-CN" w:bidi="ar-SA"/>
    </w:rPr>
  </w:style>
  <w:style w:type="paragraph" w:customStyle="1" w:styleId="175">
    <w:name w:val="标准文件_三级项"/>
    <w:basedOn w:val="1"/>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qFormat/>
    <w:uiPriority w:val="0"/>
    <w:pPr>
      <w:ind w:firstLine="0" w:firstLineChars="0"/>
      <w:jc w:val="center"/>
    </w:pPr>
    <w:rPr>
      <w:sz w:val="18"/>
    </w:rPr>
  </w:style>
  <w:style w:type="paragraph" w:customStyle="1" w:styleId="182">
    <w:name w:val="标准文件_注："/>
    <w:next w:val="59"/>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qFormat/>
    <w:uiPriority w:val="0"/>
    <w:pPr>
      <w:ind w:firstLine="420"/>
    </w:pPr>
    <w:rPr>
      <w:sz w:val="18"/>
    </w:rPr>
  </w:style>
  <w:style w:type="paragraph" w:customStyle="1" w:styleId="186">
    <w:name w:val="标准文件_示例×："/>
    <w:basedOn w:val="1"/>
    <w:next w:val="185"/>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qFormat/>
    <w:uiPriority w:val="0"/>
    <w:rPr>
      <w:rFonts w:ascii="Times New Roman" w:hAnsi="Times New Roman"/>
      <w:sz w:val="21"/>
    </w:rPr>
  </w:style>
  <w:style w:type="paragraph" w:customStyle="1" w:styleId="188">
    <w:name w:val="标准文件_表格续"/>
    <w:basedOn w:val="59"/>
    <w:next w:val="59"/>
    <w:qFormat/>
    <w:uiPriority w:val="0"/>
    <w:pPr>
      <w:jc w:val="center"/>
    </w:pPr>
    <w:rPr>
      <w:rFonts w:ascii="黑体" w:hAnsi="黑体" w:eastAsia="黑体"/>
    </w:rPr>
  </w:style>
  <w:style w:type="character" w:styleId="189">
    <w:name w:val="Placeholder Text"/>
    <w:basedOn w:val="30"/>
    <w:semiHidden/>
    <w:qFormat/>
    <w:uiPriority w:val="99"/>
    <w:rPr>
      <w:color w:val="808080"/>
    </w:rPr>
  </w:style>
  <w:style w:type="paragraph" w:customStyle="1" w:styleId="190">
    <w:name w:val="标准文件_二级项2"/>
    <w:basedOn w:val="59"/>
    <w:qFormat/>
    <w:uiPriority w:val="0"/>
    <w:pPr>
      <w:numPr>
        <w:ilvl w:val="1"/>
        <w:numId w:val="21"/>
      </w:numPr>
      <w:ind w:firstLine="0" w:firstLineChars="0"/>
    </w:pPr>
  </w:style>
  <w:style w:type="paragraph" w:customStyle="1" w:styleId="191">
    <w:name w:val="标准文件_三级项2"/>
    <w:basedOn w:val="59"/>
    <w:qFormat/>
    <w:uiPriority w:val="0"/>
    <w:pPr>
      <w:numPr>
        <w:ilvl w:val="0"/>
        <w:numId w:val="30"/>
      </w:numPr>
      <w:spacing w:line="300" w:lineRule="exact"/>
      <w:ind w:firstLineChars="0"/>
    </w:pPr>
  </w:style>
  <w:style w:type="paragraph" w:customStyle="1" w:styleId="192">
    <w:name w:val="标准文件_一级项2"/>
    <w:basedOn w:val="59"/>
    <w:qFormat/>
    <w:uiPriority w:val="0"/>
    <w:pPr>
      <w:numPr>
        <w:ilvl w:val="0"/>
        <w:numId w:val="31"/>
      </w:numPr>
      <w:spacing w:line="300" w:lineRule="exact"/>
      <w:ind w:firstLineChars="0"/>
    </w:pPr>
  </w:style>
  <w:style w:type="paragraph" w:customStyle="1" w:styleId="193">
    <w:name w:val="标准文件_提示"/>
    <w:basedOn w:val="59"/>
    <w:next w:val="59"/>
    <w:qFormat/>
    <w:uiPriority w:val="0"/>
    <w:pPr>
      <w:ind w:firstLine="420"/>
    </w:pPr>
    <w:rPr>
      <w:rFonts w:ascii="黑体" w:eastAsia="黑体"/>
    </w:rPr>
  </w:style>
  <w:style w:type="character" w:customStyle="1" w:styleId="194">
    <w:name w:val="标准文件_来源"/>
    <w:basedOn w:val="30"/>
    <w:qFormat/>
    <w:uiPriority w:val="1"/>
    <w:rPr>
      <w:rFonts w:eastAsia="宋体"/>
      <w:sz w:val="21"/>
    </w:rPr>
  </w:style>
  <w:style w:type="paragraph" w:customStyle="1" w:styleId="195">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qFormat/>
    <w:uiPriority w:val="0"/>
    <w:pPr>
      <w:framePr w:w="3997" w:h="471" w:hRule="exact" w:hSpace="0" w:vSpace="181" w:wrap="around" w:vAnchor="page" w:hAnchor="page" w:x="1419" w:y="14097"/>
    </w:pPr>
  </w:style>
  <w:style w:type="paragraph" w:customStyle="1" w:styleId="197">
    <w:name w:val="其他实施日期"/>
    <w:basedOn w:val="157"/>
    <w:qFormat/>
    <w:uiPriority w:val="0"/>
    <w:pPr>
      <w:framePr w:w="3997" w:h="471" w:hRule="exact" w:vSpace="181" w:wrap="around" w:vAnchor="page" w:hAnchor="page" w:x="7089" w:y="14097"/>
    </w:pPr>
  </w:style>
  <w:style w:type="paragraph" w:customStyle="1" w:styleId="198">
    <w:name w:val="标准文件_文件编号"/>
    <w:basedOn w:val="59"/>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qFormat/>
    <w:uiPriority w:val="0"/>
    <w:pPr>
      <w:framePr/>
      <w:spacing w:before="57"/>
    </w:pPr>
    <w:rPr>
      <w:sz w:val="21"/>
    </w:rPr>
  </w:style>
  <w:style w:type="paragraph" w:customStyle="1" w:styleId="200">
    <w:name w:val="标准文件_文件名称"/>
    <w:basedOn w:val="59"/>
    <w:next w:val="59"/>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qFormat/>
    <w:uiPriority w:val="0"/>
    <w:pPr>
      <w:ind w:left="811" w:firstLine="0" w:firstLineChars="0"/>
    </w:pPr>
    <w:rPr>
      <w:sz w:val="18"/>
    </w:rPr>
  </w:style>
  <w:style w:type="paragraph" w:customStyle="1" w:styleId="209">
    <w:name w:val="标准文件_注X后"/>
    <w:basedOn w:val="59"/>
    <w:qFormat/>
    <w:uiPriority w:val="0"/>
    <w:pPr>
      <w:ind w:left="811" w:firstLine="0" w:firstLineChars="0"/>
    </w:pPr>
    <w:rPr>
      <w:sz w:val="18"/>
    </w:rPr>
  </w:style>
  <w:style w:type="paragraph" w:customStyle="1" w:styleId="210">
    <w:name w:val="标准文件_示例后"/>
    <w:basedOn w:val="59"/>
    <w:qFormat/>
    <w:uiPriority w:val="0"/>
    <w:pPr>
      <w:ind w:left="964" w:firstLine="0" w:firstLineChars="0"/>
    </w:pPr>
    <w:rPr>
      <w:sz w:val="18"/>
    </w:rPr>
  </w:style>
  <w:style w:type="paragraph" w:customStyle="1" w:styleId="211">
    <w:name w:val="标准文件_示例X后"/>
    <w:basedOn w:val="59"/>
    <w:link w:val="212"/>
    <w:qFormat/>
    <w:uiPriority w:val="0"/>
    <w:pPr>
      <w:ind w:left="1049" w:firstLine="0" w:firstLineChars="0"/>
    </w:pPr>
    <w:rPr>
      <w:sz w:val="18"/>
    </w:rPr>
  </w:style>
  <w:style w:type="character" w:customStyle="1" w:styleId="212">
    <w:name w:val="标准文件_示例X后 字符"/>
    <w:basedOn w:val="187"/>
    <w:link w:val="211"/>
    <w:qFormat/>
    <w:uiPriority w:val="0"/>
    <w:rPr>
      <w:rFonts w:ascii="Times New Roman" w:hAnsi="Times New Roman"/>
      <w:sz w:val="18"/>
    </w:rPr>
  </w:style>
  <w:style w:type="paragraph" w:customStyle="1" w:styleId="213">
    <w:name w:val="标准文件_索引项"/>
    <w:basedOn w:val="59"/>
    <w:next w:val="59"/>
    <w:qFormat/>
    <w:uiPriority w:val="0"/>
    <w:pPr>
      <w:tabs>
        <w:tab w:val="right" w:leader="dot" w:pos="9356"/>
      </w:tabs>
      <w:ind w:left="210" w:hanging="210" w:firstLineChars="0"/>
      <w:jc w:val="left"/>
    </w:pPr>
  </w:style>
  <w:style w:type="paragraph" w:customStyle="1" w:styleId="214">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qFormat/>
    <w:uiPriority w:val="0"/>
    <w:pPr>
      <w:spacing w:before="0" w:beforeLines="0" w:after="0" w:afterLines="0" w:line="276" w:lineRule="auto"/>
    </w:pPr>
    <w:rPr>
      <w:rFonts w:ascii="宋体" w:eastAsia="宋体"/>
    </w:rPr>
  </w:style>
  <w:style w:type="paragraph" w:customStyle="1" w:styleId="221">
    <w:name w:val="标准文件_引言三级无标题"/>
    <w:basedOn w:val="205"/>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qFormat/>
    <w:uiPriority w:val="0"/>
    <w:rPr>
      <w:rFonts w:hAnsi="黑体"/>
    </w:rPr>
  </w:style>
  <w:style w:type="paragraph" w:customStyle="1" w:styleId="225">
    <w:name w:val="标准文件_脚注内容"/>
    <w:basedOn w:val="59"/>
    <w:qFormat/>
    <w:uiPriority w:val="0"/>
    <w:pPr>
      <w:ind w:left="400" w:leftChars="200" w:hanging="200" w:hangingChars="200"/>
    </w:pPr>
    <w:rPr>
      <w:sz w:val="15"/>
    </w:rPr>
  </w:style>
  <w:style w:type="paragraph" w:customStyle="1" w:styleId="226">
    <w:name w:val="标准文件_术语条一"/>
    <w:basedOn w:val="165"/>
    <w:next w:val="59"/>
    <w:qFormat/>
    <w:uiPriority w:val="0"/>
  </w:style>
  <w:style w:type="paragraph" w:customStyle="1" w:styleId="227">
    <w:name w:val="标准文件_术语条二"/>
    <w:basedOn w:val="168"/>
    <w:next w:val="59"/>
    <w:qFormat/>
    <w:uiPriority w:val="0"/>
  </w:style>
  <w:style w:type="paragraph" w:customStyle="1" w:styleId="228">
    <w:name w:val="标准文件_术语条三"/>
    <w:basedOn w:val="167"/>
    <w:next w:val="59"/>
    <w:qFormat/>
    <w:uiPriority w:val="0"/>
  </w:style>
  <w:style w:type="paragraph" w:customStyle="1" w:styleId="229">
    <w:name w:val="标准文件_术语条四"/>
    <w:basedOn w:val="170"/>
    <w:next w:val="59"/>
    <w:qFormat/>
    <w:uiPriority w:val="0"/>
  </w:style>
  <w:style w:type="paragraph" w:customStyle="1" w:styleId="230">
    <w:name w:val="标准文件_术语条五"/>
    <w:basedOn w:val="166"/>
    <w:next w:val="59"/>
    <w:qFormat/>
    <w:uiPriority w:val="0"/>
  </w:style>
  <w:style w:type="paragraph" w:customStyle="1" w:styleId="23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0"/>
    <w:qFormat/>
    <w:uiPriority w:val="0"/>
    <w:rPr>
      <w:rFonts w:ascii="黑体" w:eastAsia="黑体"/>
      <w:spacing w:val="85"/>
      <w:w w:val="100"/>
      <w:position w:val="3"/>
      <w:sz w:val="28"/>
      <w:szCs w:val="28"/>
    </w:rPr>
  </w:style>
  <w:style w:type="paragraph" w:styleId="233">
    <w:name w:val="List Paragraph"/>
    <w:basedOn w:val="1"/>
    <w:qFormat/>
    <w:uiPriority w:val="34"/>
    <w:pPr>
      <w:ind w:firstLine="420" w:firstLineChars="200"/>
    </w:pPr>
  </w:style>
  <w:style w:type="paragraph" w:customStyle="1" w:styleId="234">
    <w:name w:val="Revision"/>
    <w:hidden/>
    <w:unhideWhenUsed/>
    <w:uiPriority w:val="99"/>
    <w:rPr>
      <w:rFonts w:ascii="Calibri" w:hAnsi="Calibri" w:eastAsia="宋体" w:cs="Times New Roman"/>
      <w:kern w:val="2"/>
      <w:sz w:val="21"/>
      <w:szCs w:val="21"/>
      <w:lang w:val="en-US" w:eastAsia="zh-CN" w:bidi="ar-SA"/>
    </w:rPr>
  </w:style>
  <w:style w:type="character" w:customStyle="1" w:styleId="235">
    <w:name w:val="批注文字 字符"/>
    <w:basedOn w:val="30"/>
    <w:link w:val="13"/>
    <w:semiHidden/>
    <w:uiPriority w:val="99"/>
    <w:rPr>
      <w:rFonts w:ascii="Calibri" w:hAnsi="Calibri"/>
      <w:kern w:val="2"/>
      <w:sz w:val="21"/>
      <w:szCs w:val="21"/>
    </w:rPr>
  </w:style>
  <w:style w:type="character" w:customStyle="1" w:styleId="236">
    <w:name w:val="批注主题 字符"/>
    <w:basedOn w:val="235"/>
    <w:link w:val="27"/>
    <w:semiHidden/>
    <w:uiPriority w:val="99"/>
    <w:rPr>
      <w:rFonts w:ascii="Calibri" w:hAnsi="Calibri"/>
      <w:b/>
      <w:bCs/>
      <w:kern w:val="2"/>
      <w:sz w:val="21"/>
      <w:szCs w:val="21"/>
    </w:rPr>
  </w:style>
  <w:style w:type="paragraph" w:customStyle="1" w:styleId="237">
    <w:name w:val="TOC Heading"/>
    <w:basedOn w:val="2"/>
    <w:next w:val="1"/>
    <w:unhideWhenUsed/>
    <w:qFormat/>
    <w:uiPriority w:val="39"/>
    <w:pPr>
      <w:widowControl/>
      <w:adjustRightInd/>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238">
    <w:name w:val="Unresolved Mention"/>
    <w:basedOn w:val="30"/>
    <w:semiHidden/>
    <w:unhideWhenUsed/>
    <w:uiPriority w:val="99"/>
    <w:rPr>
      <w:color w:val="605E5C"/>
      <w:shd w:val="clear" w:color="auto" w:fill="E1DFDD"/>
    </w:rPr>
  </w:style>
  <w:style w:type="paragraph" w:customStyle="1" w:styleId="239">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13DB07F494D946DD974802DE07C4DB85"/>
        <w:style w:val=""/>
        <w:category>
          <w:name w:val="常规"/>
          <w:gallery w:val="placeholder"/>
        </w:category>
        <w:types>
          <w:type w:val="bbPlcHdr"/>
        </w:types>
        <w:behaviors>
          <w:behavior w:val="content"/>
        </w:behaviors>
        <w:description w:val=""/>
        <w:guid w:val="{F2EFD705-FCA5-40AD-8AF4-512CC35410C7}"/>
      </w:docPartPr>
      <w:docPartBody>
        <w:p w14:paraId="403A057B">
          <w:pPr>
            <w:pStyle w:val="5"/>
            <w:rPr>
              <w:rFonts w:hint="eastAsia"/>
            </w:rPr>
          </w:pPr>
          <w:r>
            <w:rPr>
              <w:rStyle w:val="4"/>
              <w:rFonts w:hint="eastAsia"/>
            </w:rPr>
            <w:t>单击或点击此处输入文字。</w:t>
          </w:r>
        </w:p>
      </w:docPartBody>
    </w:docPart>
    <w:docPart>
      <w:docPartPr>
        <w:name w:val="{f26b7956-c35f-47e1-b686-967e254e2f05}"/>
        <w:style w:val=""/>
        <w:category>
          <w:name w:val="常规"/>
          <w:gallery w:val="placeholder"/>
        </w:category>
        <w:types>
          <w:type w:val="bbPlcHdr"/>
        </w:types>
        <w:behaviors>
          <w:behavior w:val="content"/>
        </w:behaviors>
        <w:description w:val=""/>
        <w:guid w:val="{F26B7956-C35F-47E1-B686-967E254E2F05}"/>
      </w:docPartPr>
      <w:docPartBody>
        <w:p w14:paraId="69FAE5C3">
          <w:pPr>
            <w:pStyle w:val="6"/>
            <w:rPr>
              <w:rFonts w:hint="eastAsia"/>
            </w:rPr>
          </w:pPr>
          <w:r>
            <w:rPr>
              <w:rStyle w:val="4"/>
              <w:rFonts w:hint="eastAsia"/>
            </w:rPr>
            <w:t>单击或点击此处输入文字。</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2A6"/>
    <w:rsid w:val="001E3FFF"/>
    <w:rsid w:val="002150BD"/>
    <w:rsid w:val="00243CFD"/>
    <w:rsid w:val="002A6475"/>
    <w:rsid w:val="00301EAA"/>
    <w:rsid w:val="00373DF1"/>
    <w:rsid w:val="004F7124"/>
    <w:rsid w:val="006D05E3"/>
    <w:rsid w:val="00816320"/>
    <w:rsid w:val="00920F92"/>
    <w:rsid w:val="00930DE4"/>
    <w:rsid w:val="009E60C7"/>
    <w:rsid w:val="00A130B7"/>
    <w:rsid w:val="00B93609"/>
    <w:rsid w:val="00BB7F62"/>
    <w:rsid w:val="00C45574"/>
    <w:rsid w:val="00D323F8"/>
    <w:rsid w:val="00DA7252"/>
    <w:rsid w:val="00E30B49"/>
    <w:rsid w:val="00E365FB"/>
    <w:rsid w:val="00E670F6"/>
    <w:rsid w:val="00EA3EA2"/>
    <w:rsid w:val="00F314B1"/>
    <w:rsid w:val="00F512A6"/>
    <w:rsid w:val="00F94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13DB07F494D946DD974802DE07C4DB8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CE093A1D22574445BFB54B5837893FF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15</Pages>
  <Words>819</Words>
  <Characters>1049</Characters>
  <Lines>98</Lines>
  <Paragraphs>27</Paragraphs>
  <TotalTime>7</TotalTime>
  <ScaleCrop>false</ScaleCrop>
  <LinksUpToDate>false</LinksUpToDate>
  <CharactersWithSpaces>1227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2026-04-15T07:58:00Z</dcterms:created>
  <dc:creator>仓天磊</dc:creator>
  <cp:lastModifiedBy>J</cp:lastModifiedBy>
  <cp:lastPrinted>2021-02-02T08:22:00Z</cp:lastPrinted>
  <dcterms:modified xsi:type="dcterms:W3CDTF">2026-05-09T09:09:01Z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9A6C33D577EA40D2A088BE2911B0F9A1_13</vt:lpwstr>
  </property>
</Properties>
</file>