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B4C989">
      <w:pPr>
        <w:spacing w:line="600"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广西热带作物学会团体标准</w:t>
      </w:r>
    </w:p>
    <w:p w14:paraId="5CA46A81">
      <w:pPr>
        <w:spacing w:line="600"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《茶树花红茶加工技术规程》</w:t>
      </w:r>
    </w:p>
    <w:p w14:paraId="2A96B99F">
      <w:pPr>
        <w:spacing w:line="600"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编制说明</w:t>
      </w:r>
    </w:p>
    <w:p w14:paraId="735BCBAB">
      <w:pPr>
        <w:rPr>
          <w:rFonts w:hint="eastAsia" w:ascii="仿宋" w:hAnsi="仿宋" w:eastAsia="仿宋" w:cs="Times New Roman"/>
          <w:sz w:val="32"/>
          <w:szCs w:val="32"/>
        </w:rPr>
      </w:pPr>
    </w:p>
    <w:p w14:paraId="02009740">
      <w:pPr>
        <w:spacing w:line="600" w:lineRule="exact"/>
        <w:ind w:firstLine="640" w:firstLineChars="200"/>
        <w:rPr>
          <w:rFonts w:hint="eastAsia" w:ascii="仿宋" w:hAnsi="仿宋" w:eastAsia="仿宋" w:cs="Times New Roman"/>
          <w:sz w:val="32"/>
          <w:szCs w:val="32"/>
        </w:rPr>
      </w:pPr>
      <w:r>
        <w:rPr>
          <w:rFonts w:hint="eastAsia" w:ascii="黑体" w:hAnsi="黑体" w:eastAsia="黑体" w:cs="黑体"/>
          <w:sz w:val="32"/>
          <w:szCs w:val="32"/>
        </w:rPr>
        <w:t>一、任务来源、起草单位、主要起草人（姓名、单位、职务/职称、参与编制标准分工情况）</w:t>
      </w:r>
    </w:p>
    <w:p w14:paraId="00F2E1B3">
      <w:pPr>
        <w:spacing w:line="60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（一）任务来源</w:t>
      </w:r>
    </w:p>
    <w:p w14:paraId="1871287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根据广西热带作物学会《广西热带作物学会关于下达2026年第三批团体标准制修订项目计划的通知》（桂热学字〔2026〕7号）文件精神，由广西南亚热带农业科学研究所提出，广西南亚热带农业科学研究所、南宁茗韵茶业有限公司、贵港市港南区北一茶厂起草的团体标准《茶树花红茶加工技术规程》（项目序号：0015），于2026年3月获批准立项。</w:t>
      </w:r>
    </w:p>
    <w:p w14:paraId="6988C5CE">
      <w:pPr>
        <w:spacing w:line="60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（二）起草单位、主要起草人</w:t>
      </w:r>
    </w:p>
    <w:p w14:paraId="18121ED9">
      <w:pPr>
        <w:spacing w:line="500" w:lineRule="exact"/>
        <w:ind w:firstLine="640" w:firstLineChars="200"/>
        <w:jc w:val="center"/>
        <w:rPr>
          <w:rFonts w:hint="eastAsia" w:ascii="仿宋_GB2312" w:hAnsi="仿宋" w:eastAsia="仿宋_GB2312"/>
          <w:sz w:val="32"/>
          <w:szCs w:val="32"/>
        </w:rPr>
      </w:pPr>
      <w:r>
        <w:rPr>
          <w:rFonts w:hint="eastAsia" w:ascii="仿宋_GB2312" w:hAnsi="仿宋" w:eastAsia="仿宋_GB2312"/>
          <w:sz w:val="32"/>
          <w:szCs w:val="32"/>
        </w:rPr>
        <w:t>表</w:t>
      </w:r>
      <w:r>
        <w:rPr>
          <w:rFonts w:ascii="Times New Roman" w:hAnsi="Times New Roman" w:eastAsia="仿宋_GB2312" w:cs="Times New Roman"/>
          <w:sz w:val="32"/>
          <w:szCs w:val="32"/>
        </w:rPr>
        <w:t>1</w:t>
      </w:r>
      <w:r>
        <w:rPr>
          <w:rFonts w:hint="eastAsia" w:ascii="仿宋_GB2312" w:hAnsi="仿宋" w:eastAsia="仿宋_GB2312"/>
          <w:sz w:val="32"/>
          <w:szCs w:val="32"/>
        </w:rPr>
        <w:t xml:space="preserve"> 主要编制人员与责任分工</w:t>
      </w:r>
    </w:p>
    <w:tbl>
      <w:tblPr>
        <w:tblStyle w:val="6"/>
        <w:tblW w:w="82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2"/>
        <w:gridCol w:w="1559"/>
        <w:gridCol w:w="1804"/>
        <w:gridCol w:w="1946"/>
        <w:gridCol w:w="1843"/>
      </w:tblGrid>
      <w:tr w14:paraId="13D07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0A3639F6">
            <w:pPr>
              <w:jc w:val="center"/>
              <w:rPr>
                <w:rFonts w:hint="eastAsia" w:ascii="仿宋_GB2312" w:hAnsi="仿宋" w:eastAsia="仿宋_GB2312"/>
                <w:b/>
                <w:color w:val="000000"/>
                <w:sz w:val="22"/>
                <w:szCs w:val="22"/>
              </w:rPr>
            </w:pPr>
            <w:r>
              <w:rPr>
                <w:rFonts w:hint="eastAsia" w:ascii="仿宋_GB2312" w:hAnsi="仿宋" w:eastAsia="仿宋_GB2312"/>
                <w:b/>
                <w:color w:val="000000"/>
                <w:spacing w:val="-6"/>
                <w:sz w:val="22"/>
                <w:szCs w:val="22"/>
              </w:rPr>
              <w:t>姓名</w:t>
            </w:r>
          </w:p>
        </w:tc>
        <w:tc>
          <w:tcPr>
            <w:tcW w:w="1559" w:type="dxa"/>
            <w:tcBorders>
              <w:top w:val="single" w:color="auto" w:sz="4" w:space="0"/>
              <w:left w:val="nil"/>
              <w:bottom w:val="single" w:color="auto" w:sz="4" w:space="0"/>
              <w:right w:val="single" w:color="auto" w:sz="4" w:space="0"/>
            </w:tcBorders>
            <w:vAlign w:val="center"/>
          </w:tcPr>
          <w:p w14:paraId="5D5A3EA6">
            <w:pPr>
              <w:jc w:val="center"/>
              <w:rPr>
                <w:rFonts w:hint="eastAsia" w:ascii="仿宋_GB2312" w:hAnsi="仿宋" w:eastAsia="仿宋_GB2312"/>
                <w:b/>
                <w:color w:val="000000"/>
                <w:sz w:val="22"/>
                <w:szCs w:val="22"/>
              </w:rPr>
            </w:pPr>
            <w:r>
              <w:rPr>
                <w:rFonts w:hint="eastAsia" w:ascii="仿宋_GB2312" w:hAnsi="仿宋" w:eastAsia="仿宋_GB2312"/>
                <w:b/>
                <w:color w:val="000000"/>
                <w:spacing w:val="-6"/>
                <w:sz w:val="22"/>
                <w:szCs w:val="22"/>
              </w:rPr>
              <w:t>职称</w:t>
            </w:r>
          </w:p>
        </w:tc>
        <w:tc>
          <w:tcPr>
            <w:tcW w:w="1804" w:type="dxa"/>
            <w:tcBorders>
              <w:top w:val="single" w:color="auto" w:sz="4" w:space="0"/>
              <w:left w:val="nil"/>
              <w:bottom w:val="single" w:color="auto" w:sz="4" w:space="0"/>
              <w:right w:val="single" w:color="auto" w:sz="4" w:space="0"/>
            </w:tcBorders>
            <w:vAlign w:val="center"/>
          </w:tcPr>
          <w:p w14:paraId="6A224D8E">
            <w:pPr>
              <w:jc w:val="center"/>
              <w:rPr>
                <w:rFonts w:hint="eastAsia" w:ascii="仿宋_GB2312" w:hAnsi="仿宋" w:eastAsia="仿宋_GB2312"/>
                <w:b/>
                <w:color w:val="000000"/>
                <w:sz w:val="22"/>
                <w:szCs w:val="22"/>
              </w:rPr>
            </w:pPr>
            <w:r>
              <w:rPr>
                <w:rFonts w:hint="eastAsia" w:ascii="仿宋_GB2312" w:hAnsi="仿宋" w:eastAsia="仿宋_GB2312"/>
                <w:b/>
                <w:color w:val="000000"/>
                <w:spacing w:val="-6"/>
                <w:sz w:val="22"/>
                <w:szCs w:val="22"/>
              </w:rPr>
              <w:t>从事专业</w:t>
            </w:r>
          </w:p>
        </w:tc>
        <w:tc>
          <w:tcPr>
            <w:tcW w:w="1946" w:type="dxa"/>
            <w:tcBorders>
              <w:top w:val="single" w:color="auto" w:sz="4" w:space="0"/>
              <w:left w:val="nil"/>
              <w:bottom w:val="single" w:color="auto" w:sz="4" w:space="0"/>
              <w:right w:val="single" w:color="auto" w:sz="4" w:space="0"/>
            </w:tcBorders>
            <w:vAlign w:val="center"/>
          </w:tcPr>
          <w:p w14:paraId="410625F7">
            <w:pPr>
              <w:jc w:val="center"/>
              <w:rPr>
                <w:rFonts w:hint="eastAsia" w:ascii="仿宋_GB2312" w:hAnsi="仿宋" w:eastAsia="仿宋_GB2312"/>
                <w:b/>
                <w:color w:val="000000"/>
                <w:sz w:val="22"/>
                <w:szCs w:val="22"/>
              </w:rPr>
            </w:pPr>
            <w:r>
              <w:rPr>
                <w:rFonts w:hint="eastAsia" w:ascii="仿宋_GB2312" w:hAnsi="仿宋" w:eastAsia="仿宋_GB2312"/>
                <w:b/>
                <w:color w:val="000000"/>
                <w:spacing w:val="-6"/>
                <w:sz w:val="22"/>
                <w:szCs w:val="22"/>
              </w:rPr>
              <w:t>工作单位</w:t>
            </w:r>
          </w:p>
        </w:tc>
        <w:tc>
          <w:tcPr>
            <w:tcW w:w="1843" w:type="dxa"/>
            <w:tcBorders>
              <w:top w:val="single" w:color="auto" w:sz="4" w:space="0"/>
              <w:left w:val="single" w:color="auto" w:sz="4" w:space="0"/>
              <w:bottom w:val="single" w:color="auto" w:sz="4" w:space="0"/>
              <w:right w:val="single" w:color="auto" w:sz="4" w:space="0"/>
            </w:tcBorders>
            <w:vAlign w:val="center"/>
          </w:tcPr>
          <w:p w14:paraId="23EB455B">
            <w:pPr>
              <w:jc w:val="center"/>
              <w:rPr>
                <w:rFonts w:hint="eastAsia" w:ascii="仿宋_GB2312" w:hAnsi="仿宋" w:eastAsia="仿宋_GB2312"/>
                <w:b/>
                <w:bCs/>
                <w:color w:val="000000"/>
                <w:sz w:val="22"/>
                <w:szCs w:val="22"/>
              </w:rPr>
            </w:pPr>
            <w:r>
              <w:rPr>
                <w:rFonts w:hint="eastAsia" w:ascii="仿宋_GB2312" w:hAnsi="仿宋" w:eastAsia="仿宋_GB2312"/>
                <w:b/>
                <w:bCs/>
                <w:color w:val="000000"/>
                <w:sz w:val="22"/>
                <w:szCs w:val="22"/>
              </w:rPr>
              <w:t>参与编制标准分工情况</w:t>
            </w:r>
          </w:p>
        </w:tc>
      </w:tr>
      <w:tr w14:paraId="03F49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3FB026F5">
            <w:pPr>
              <w:jc w:val="center"/>
              <w:rPr>
                <w:rFonts w:hint="eastAsia" w:ascii="仿宋_GB2312" w:hAnsi="仿宋" w:eastAsia="仿宋_GB2312"/>
                <w:b/>
                <w:bCs/>
                <w:color w:val="000000"/>
                <w:sz w:val="22"/>
                <w:szCs w:val="22"/>
              </w:rPr>
            </w:pPr>
            <w:r>
              <w:rPr>
                <w:rStyle w:val="8"/>
                <w:rFonts w:hint="eastAsia" w:ascii="仿宋_GB2312" w:hAnsi="仿宋" w:eastAsia="仿宋_GB2312"/>
                <w:color w:val="000000"/>
                <w:sz w:val="22"/>
                <w:szCs w:val="22"/>
              </w:rPr>
              <w:t>赵云雄</w:t>
            </w:r>
          </w:p>
        </w:tc>
        <w:tc>
          <w:tcPr>
            <w:tcW w:w="1559" w:type="dxa"/>
            <w:tcBorders>
              <w:top w:val="single" w:color="auto" w:sz="4" w:space="0"/>
              <w:left w:val="nil"/>
              <w:bottom w:val="single" w:color="auto" w:sz="4" w:space="0"/>
              <w:right w:val="single" w:color="auto" w:sz="4" w:space="0"/>
            </w:tcBorders>
            <w:vAlign w:val="center"/>
          </w:tcPr>
          <w:p w14:paraId="63D34B82">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助理研究员</w:t>
            </w:r>
          </w:p>
        </w:tc>
        <w:tc>
          <w:tcPr>
            <w:tcW w:w="1804" w:type="dxa"/>
            <w:tcBorders>
              <w:top w:val="single" w:color="auto" w:sz="4" w:space="0"/>
              <w:left w:val="nil"/>
              <w:bottom w:val="single" w:color="auto" w:sz="4" w:space="0"/>
              <w:right w:val="single" w:color="auto" w:sz="4" w:space="0"/>
            </w:tcBorders>
            <w:vAlign w:val="center"/>
          </w:tcPr>
          <w:p w14:paraId="3C04B782">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茶叶精深加工</w:t>
            </w:r>
          </w:p>
        </w:tc>
        <w:tc>
          <w:tcPr>
            <w:tcW w:w="1946" w:type="dxa"/>
            <w:tcBorders>
              <w:top w:val="single" w:color="auto" w:sz="4" w:space="0"/>
              <w:left w:val="nil"/>
              <w:bottom w:val="single" w:color="auto" w:sz="4" w:space="0"/>
              <w:right w:val="single" w:color="auto" w:sz="4" w:space="0"/>
            </w:tcBorders>
            <w:vAlign w:val="center"/>
          </w:tcPr>
          <w:p w14:paraId="1C00C4AE">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64860181">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负责全面工作</w:t>
            </w:r>
          </w:p>
        </w:tc>
      </w:tr>
      <w:tr w14:paraId="27DC8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5971F51C">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王云仙</w:t>
            </w:r>
          </w:p>
        </w:tc>
        <w:tc>
          <w:tcPr>
            <w:tcW w:w="1559" w:type="dxa"/>
            <w:tcBorders>
              <w:top w:val="single" w:color="auto" w:sz="4" w:space="0"/>
              <w:left w:val="nil"/>
              <w:bottom w:val="single" w:color="auto" w:sz="4" w:space="0"/>
              <w:right w:val="single" w:color="auto" w:sz="4" w:space="0"/>
            </w:tcBorders>
            <w:vAlign w:val="center"/>
          </w:tcPr>
          <w:p w14:paraId="03D5237E">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助理研究员</w:t>
            </w:r>
          </w:p>
        </w:tc>
        <w:tc>
          <w:tcPr>
            <w:tcW w:w="1804" w:type="dxa"/>
            <w:tcBorders>
              <w:top w:val="single" w:color="auto" w:sz="4" w:space="0"/>
              <w:left w:val="nil"/>
              <w:bottom w:val="single" w:color="auto" w:sz="4" w:space="0"/>
              <w:right w:val="single" w:color="auto" w:sz="4" w:space="0"/>
            </w:tcBorders>
            <w:vAlign w:val="center"/>
          </w:tcPr>
          <w:p w14:paraId="22BF56F7">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茶叶精深加工</w:t>
            </w:r>
          </w:p>
        </w:tc>
        <w:tc>
          <w:tcPr>
            <w:tcW w:w="1946" w:type="dxa"/>
            <w:tcBorders>
              <w:top w:val="single" w:color="auto" w:sz="4" w:space="0"/>
              <w:left w:val="nil"/>
              <w:bottom w:val="single" w:color="auto" w:sz="4" w:space="0"/>
              <w:right w:val="single" w:color="auto" w:sz="4" w:space="0"/>
            </w:tcBorders>
            <w:vAlign w:val="center"/>
          </w:tcPr>
          <w:p w14:paraId="2178126E">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1667D17E">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编写标准</w:t>
            </w:r>
          </w:p>
        </w:tc>
      </w:tr>
      <w:tr w14:paraId="4CCA1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6BF96E0E">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冯红钰</w:t>
            </w:r>
          </w:p>
        </w:tc>
        <w:tc>
          <w:tcPr>
            <w:tcW w:w="1559" w:type="dxa"/>
            <w:tcBorders>
              <w:top w:val="single" w:color="auto" w:sz="4" w:space="0"/>
              <w:left w:val="nil"/>
              <w:bottom w:val="single" w:color="auto" w:sz="4" w:space="0"/>
              <w:right w:val="single" w:color="auto" w:sz="4" w:space="0"/>
            </w:tcBorders>
            <w:vAlign w:val="center"/>
          </w:tcPr>
          <w:p w14:paraId="5AFFF1EA">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正高级农艺师</w:t>
            </w:r>
          </w:p>
        </w:tc>
        <w:tc>
          <w:tcPr>
            <w:tcW w:w="1804" w:type="dxa"/>
            <w:tcBorders>
              <w:top w:val="single" w:color="auto" w:sz="4" w:space="0"/>
              <w:left w:val="nil"/>
              <w:bottom w:val="single" w:color="auto" w:sz="4" w:space="0"/>
              <w:right w:val="single" w:color="auto" w:sz="4" w:space="0"/>
            </w:tcBorders>
            <w:vAlign w:val="center"/>
          </w:tcPr>
          <w:p w14:paraId="27F08E54">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5290EAB5">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1C88F274">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编写标准</w:t>
            </w:r>
          </w:p>
        </w:tc>
      </w:tr>
      <w:tr w14:paraId="0CBE6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1FE469AC">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刘宝贵</w:t>
            </w:r>
          </w:p>
        </w:tc>
        <w:tc>
          <w:tcPr>
            <w:tcW w:w="1559" w:type="dxa"/>
            <w:tcBorders>
              <w:top w:val="single" w:color="auto" w:sz="4" w:space="0"/>
              <w:left w:val="nil"/>
              <w:bottom w:val="single" w:color="auto" w:sz="4" w:space="0"/>
              <w:right w:val="single" w:color="auto" w:sz="4" w:space="0"/>
            </w:tcBorders>
            <w:vAlign w:val="center"/>
          </w:tcPr>
          <w:p w14:paraId="18B6AA21">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助理研究员</w:t>
            </w:r>
          </w:p>
        </w:tc>
        <w:tc>
          <w:tcPr>
            <w:tcW w:w="1804" w:type="dxa"/>
            <w:tcBorders>
              <w:top w:val="single" w:color="auto" w:sz="4" w:space="0"/>
              <w:left w:val="nil"/>
              <w:bottom w:val="single" w:color="auto" w:sz="4" w:space="0"/>
              <w:right w:val="single" w:color="auto" w:sz="4" w:space="0"/>
            </w:tcBorders>
            <w:vAlign w:val="center"/>
          </w:tcPr>
          <w:p w14:paraId="32A961C5">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27189BBC">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761B349D">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开展试验、协助编写标准</w:t>
            </w:r>
          </w:p>
        </w:tc>
      </w:tr>
      <w:tr w14:paraId="243CD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3C00A275">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杨晶晶</w:t>
            </w:r>
          </w:p>
        </w:tc>
        <w:tc>
          <w:tcPr>
            <w:tcW w:w="1559" w:type="dxa"/>
            <w:tcBorders>
              <w:top w:val="single" w:color="auto" w:sz="4" w:space="0"/>
              <w:left w:val="nil"/>
              <w:bottom w:val="single" w:color="auto" w:sz="4" w:space="0"/>
              <w:right w:val="single" w:color="auto" w:sz="4" w:space="0"/>
            </w:tcBorders>
            <w:vAlign w:val="center"/>
          </w:tcPr>
          <w:p w14:paraId="7F654196">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助理研究员</w:t>
            </w:r>
          </w:p>
        </w:tc>
        <w:tc>
          <w:tcPr>
            <w:tcW w:w="1804" w:type="dxa"/>
            <w:tcBorders>
              <w:top w:val="single" w:color="auto" w:sz="4" w:space="0"/>
              <w:left w:val="nil"/>
              <w:bottom w:val="single" w:color="auto" w:sz="4" w:space="0"/>
              <w:right w:val="single" w:color="auto" w:sz="4" w:space="0"/>
            </w:tcBorders>
            <w:vAlign w:val="center"/>
          </w:tcPr>
          <w:p w14:paraId="6A920496">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7EC6DA4F">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2DB21784">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开展试验、协助编写标准</w:t>
            </w:r>
          </w:p>
        </w:tc>
      </w:tr>
      <w:tr w14:paraId="433FE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28F6300E">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罗莲凤</w:t>
            </w:r>
          </w:p>
        </w:tc>
        <w:tc>
          <w:tcPr>
            <w:tcW w:w="1559" w:type="dxa"/>
            <w:tcBorders>
              <w:top w:val="single" w:color="auto" w:sz="4" w:space="0"/>
              <w:left w:val="nil"/>
              <w:bottom w:val="single" w:color="auto" w:sz="4" w:space="0"/>
              <w:right w:val="single" w:color="auto" w:sz="4" w:space="0"/>
            </w:tcBorders>
            <w:vAlign w:val="center"/>
          </w:tcPr>
          <w:p w14:paraId="079E44F5">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正高级农艺师</w:t>
            </w:r>
          </w:p>
        </w:tc>
        <w:tc>
          <w:tcPr>
            <w:tcW w:w="1804" w:type="dxa"/>
            <w:tcBorders>
              <w:top w:val="single" w:color="auto" w:sz="4" w:space="0"/>
              <w:left w:val="nil"/>
              <w:bottom w:val="single" w:color="auto" w:sz="4" w:space="0"/>
              <w:right w:val="single" w:color="auto" w:sz="4" w:space="0"/>
            </w:tcBorders>
            <w:vAlign w:val="center"/>
          </w:tcPr>
          <w:p w14:paraId="5DC82380">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6206BDB0">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37A80120">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项目技术指导</w:t>
            </w:r>
          </w:p>
        </w:tc>
      </w:tr>
      <w:tr w14:paraId="3C445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136B97DD">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陈海生</w:t>
            </w:r>
          </w:p>
        </w:tc>
        <w:tc>
          <w:tcPr>
            <w:tcW w:w="1559" w:type="dxa"/>
            <w:tcBorders>
              <w:top w:val="single" w:color="auto" w:sz="4" w:space="0"/>
              <w:left w:val="nil"/>
              <w:bottom w:val="single" w:color="auto" w:sz="4" w:space="0"/>
              <w:right w:val="single" w:color="auto" w:sz="4" w:space="0"/>
            </w:tcBorders>
            <w:vAlign w:val="center"/>
          </w:tcPr>
          <w:p w14:paraId="21ADC54D">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正高级农艺师</w:t>
            </w:r>
          </w:p>
        </w:tc>
        <w:tc>
          <w:tcPr>
            <w:tcW w:w="1804" w:type="dxa"/>
            <w:tcBorders>
              <w:top w:val="single" w:color="auto" w:sz="4" w:space="0"/>
              <w:left w:val="nil"/>
              <w:bottom w:val="single" w:color="auto" w:sz="4" w:space="0"/>
              <w:right w:val="single" w:color="auto" w:sz="4" w:space="0"/>
            </w:tcBorders>
            <w:vAlign w:val="center"/>
          </w:tcPr>
          <w:p w14:paraId="2276EC29">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474EA02C">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2E638DD1">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项目技术指导</w:t>
            </w:r>
          </w:p>
        </w:tc>
      </w:tr>
      <w:tr w14:paraId="28B5F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36F2003D">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李子平</w:t>
            </w:r>
          </w:p>
        </w:tc>
        <w:tc>
          <w:tcPr>
            <w:tcW w:w="1559" w:type="dxa"/>
            <w:tcBorders>
              <w:top w:val="single" w:color="auto" w:sz="4" w:space="0"/>
              <w:left w:val="nil"/>
              <w:bottom w:val="single" w:color="auto" w:sz="4" w:space="0"/>
              <w:right w:val="single" w:color="auto" w:sz="4" w:space="0"/>
            </w:tcBorders>
            <w:vAlign w:val="center"/>
          </w:tcPr>
          <w:p w14:paraId="7D0004AA">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高级农艺师</w:t>
            </w:r>
          </w:p>
        </w:tc>
        <w:tc>
          <w:tcPr>
            <w:tcW w:w="1804" w:type="dxa"/>
            <w:tcBorders>
              <w:top w:val="single" w:color="auto" w:sz="4" w:space="0"/>
              <w:left w:val="nil"/>
              <w:bottom w:val="single" w:color="auto" w:sz="4" w:space="0"/>
              <w:right w:val="single" w:color="auto" w:sz="4" w:space="0"/>
            </w:tcBorders>
            <w:vAlign w:val="center"/>
          </w:tcPr>
          <w:p w14:paraId="04BFEC2A">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51D3CB38">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4527F384">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企业调研，验证数据</w:t>
            </w:r>
          </w:p>
        </w:tc>
      </w:tr>
      <w:tr w14:paraId="6B721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5186C4D6">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覃仁源</w:t>
            </w:r>
          </w:p>
        </w:tc>
        <w:tc>
          <w:tcPr>
            <w:tcW w:w="1559" w:type="dxa"/>
            <w:tcBorders>
              <w:top w:val="single" w:color="auto" w:sz="4" w:space="0"/>
              <w:left w:val="nil"/>
              <w:bottom w:val="single" w:color="auto" w:sz="4" w:space="0"/>
              <w:right w:val="single" w:color="auto" w:sz="4" w:space="0"/>
            </w:tcBorders>
            <w:vAlign w:val="center"/>
          </w:tcPr>
          <w:p w14:paraId="3A3A1E9C">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农艺师</w:t>
            </w:r>
          </w:p>
        </w:tc>
        <w:tc>
          <w:tcPr>
            <w:tcW w:w="1804" w:type="dxa"/>
            <w:tcBorders>
              <w:top w:val="single" w:color="auto" w:sz="4" w:space="0"/>
              <w:left w:val="nil"/>
              <w:bottom w:val="single" w:color="auto" w:sz="4" w:space="0"/>
              <w:right w:val="single" w:color="auto" w:sz="4" w:space="0"/>
            </w:tcBorders>
            <w:vAlign w:val="center"/>
          </w:tcPr>
          <w:p w14:paraId="62B50A7B">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565FF948">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3AEB2EE0">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企业调研，验证数据</w:t>
            </w:r>
          </w:p>
        </w:tc>
      </w:tr>
      <w:tr w14:paraId="79C5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58EB12AB">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吴妃妃</w:t>
            </w:r>
          </w:p>
        </w:tc>
        <w:tc>
          <w:tcPr>
            <w:tcW w:w="1559" w:type="dxa"/>
            <w:tcBorders>
              <w:top w:val="single" w:color="auto" w:sz="4" w:space="0"/>
              <w:left w:val="nil"/>
              <w:bottom w:val="single" w:color="auto" w:sz="4" w:space="0"/>
              <w:right w:val="single" w:color="auto" w:sz="4" w:space="0"/>
            </w:tcBorders>
            <w:vAlign w:val="center"/>
          </w:tcPr>
          <w:p w14:paraId="4D381771">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助理研究员</w:t>
            </w:r>
          </w:p>
        </w:tc>
        <w:tc>
          <w:tcPr>
            <w:tcW w:w="1804" w:type="dxa"/>
            <w:tcBorders>
              <w:top w:val="single" w:color="auto" w:sz="4" w:space="0"/>
              <w:left w:val="nil"/>
              <w:bottom w:val="single" w:color="auto" w:sz="4" w:space="0"/>
              <w:right w:val="single" w:color="auto" w:sz="4" w:space="0"/>
            </w:tcBorders>
            <w:vAlign w:val="center"/>
          </w:tcPr>
          <w:p w14:paraId="7BE82469">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13C9D299">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40A0F433">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开展试验、协助编写标准</w:t>
            </w:r>
          </w:p>
        </w:tc>
      </w:tr>
      <w:tr w14:paraId="03765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2FBD00E0">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高斯婷</w:t>
            </w:r>
          </w:p>
        </w:tc>
        <w:tc>
          <w:tcPr>
            <w:tcW w:w="1559" w:type="dxa"/>
            <w:tcBorders>
              <w:top w:val="single" w:color="auto" w:sz="4" w:space="0"/>
              <w:left w:val="nil"/>
              <w:bottom w:val="single" w:color="auto" w:sz="4" w:space="0"/>
              <w:right w:val="single" w:color="auto" w:sz="4" w:space="0"/>
            </w:tcBorders>
            <w:vAlign w:val="center"/>
          </w:tcPr>
          <w:p w14:paraId="00D75AE2">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助理研究员</w:t>
            </w:r>
          </w:p>
        </w:tc>
        <w:tc>
          <w:tcPr>
            <w:tcW w:w="1804" w:type="dxa"/>
            <w:tcBorders>
              <w:top w:val="single" w:color="auto" w:sz="4" w:space="0"/>
              <w:left w:val="nil"/>
              <w:bottom w:val="single" w:color="auto" w:sz="4" w:space="0"/>
              <w:right w:val="single" w:color="auto" w:sz="4" w:space="0"/>
            </w:tcBorders>
            <w:vAlign w:val="center"/>
          </w:tcPr>
          <w:p w14:paraId="60C64AD8">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323229E5">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497E0AEF">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开展试验、协助编写标准</w:t>
            </w:r>
          </w:p>
        </w:tc>
      </w:tr>
      <w:tr w14:paraId="20DA3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0A4656A1">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魏宗游</w:t>
            </w:r>
          </w:p>
        </w:tc>
        <w:tc>
          <w:tcPr>
            <w:tcW w:w="1559" w:type="dxa"/>
            <w:tcBorders>
              <w:top w:val="single" w:color="auto" w:sz="4" w:space="0"/>
              <w:left w:val="nil"/>
              <w:bottom w:val="single" w:color="auto" w:sz="4" w:space="0"/>
              <w:right w:val="single" w:color="auto" w:sz="4" w:space="0"/>
            </w:tcBorders>
            <w:vAlign w:val="center"/>
          </w:tcPr>
          <w:p w14:paraId="4776072D">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助理研究员</w:t>
            </w:r>
          </w:p>
        </w:tc>
        <w:tc>
          <w:tcPr>
            <w:tcW w:w="1804" w:type="dxa"/>
            <w:tcBorders>
              <w:top w:val="single" w:color="auto" w:sz="4" w:space="0"/>
              <w:left w:val="nil"/>
              <w:bottom w:val="single" w:color="auto" w:sz="4" w:space="0"/>
              <w:right w:val="single" w:color="auto" w:sz="4" w:space="0"/>
            </w:tcBorders>
            <w:vAlign w:val="center"/>
          </w:tcPr>
          <w:p w14:paraId="15FE1507">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4F79728D">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012C703B">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开展试验、协助编写标准</w:t>
            </w:r>
          </w:p>
        </w:tc>
      </w:tr>
      <w:tr w14:paraId="19362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1664553F">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刘汉焱</w:t>
            </w:r>
          </w:p>
        </w:tc>
        <w:tc>
          <w:tcPr>
            <w:tcW w:w="1559" w:type="dxa"/>
            <w:tcBorders>
              <w:top w:val="single" w:color="auto" w:sz="4" w:space="0"/>
              <w:left w:val="nil"/>
              <w:bottom w:val="single" w:color="auto" w:sz="4" w:space="0"/>
              <w:right w:val="single" w:color="auto" w:sz="4" w:space="0"/>
            </w:tcBorders>
            <w:vAlign w:val="center"/>
          </w:tcPr>
          <w:p w14:paraId="22271BFE">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正高级农艺师</w:t>
            </w:r>
          </w:p>
        </w:tc>
        <w:tc>
          <w:tcPr>
            <w:tcW w:w="1804" w:type="dxa"/>
            <w:tcBorders>
              <w:top w:val="single" w:color="auto" w:sz="4" w:space="0"/>
              <w:left w:val="nil"/>
              <w:bottom w:val="single" w:color="auto" w:sz="4" w:space="0"/>
              <w:right w:val="single" w:color="auto" w:sz="4" w:space="0"/>
            </w:tcBorders>
            <w:vAlign w:val="center"/>
          </w:tcPr>
          <w:p w14:paraId="5169AB66">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5DE156DF">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28CE9BA7">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企业调研，验证数据</w:t>
            </w:r>
          </w:p>
        </w:tc>
      </w:tr>
      <w:tr w14:paraId="19664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1CB5E122">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李金婷</w:t>
            </w:r>
          </w:p>
        </w:tc>
        <w:tc>
          <w:tcPr>
            <w:tcW w:w="1559" w:type="dxa"/>
            <w:tcBorders>
              <w:top w:val="single" w:color="auto" w:sz="4" w:space="0"/>
              <w:left w:val="nil"/>
              <w:bottom w:val="single" w:color="auto" w:sz="4" w:space="0"/>
              <w:right w:val="single" w:color="auto" w:sz="4" w:space="0"/>
            </w:tcBorders>
            <w:vAlign w:val="center"/>
          </w:tcPr>
          <w:p w14:paraId="088A841C">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高级农艺师</w:t>
            </w:r>
          </w:p>
        </w:tc>
        <w:tc>
          <w:tcPr>
            <w:tcW w:w="1804" w:type="dxa"/>
            <w:tcBorders>
              <w:top w:val="single" w:color="auto" w:sz="4" w:space="0"/>
              <w:left w:val="nil"/>
              <w:bottom w:val="single" w:color="auto" w:sz="4" w:space="0"/>
              <w:right w:val="single" w:color="auto" w:sz="4" w:space="0"/>
            </w:tcBorders>
            <w:vAlign w:val="center"/>
          </w:tcPr>
          <w:p w14:paraId="44FAE6D6">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68767037">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22BBCAF8">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企业调研，验证数据</w:t>
            </w:r>
          </w:p>
        </w:tc>
      </w:tr>
      <w:tr w14:paraId="0EB6A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7CC05E43">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梁光志</w:t>
            </w:r>
          </w:p>
        </w:tc>
        <w:tc>
          <w:tcPr>
            <w:tcW w:w="1559" w:type="dxa"/>
            <w:tcBorders>
              <w:top w:val="single" w:color="auto" w:sz="4" w:space="0"/>
              <w:left w:val="nil"/>
              <w:bottom w:val="single" w:color="auto" w:sz="4" w:space="0"/>
              <w:right w:val="single" w:color="auto" w:sz="4" w:space="0"/>
            </w:tcBorders>
            <w:vAlign w:val="center"/>
          </w:tcPr>
          <w:p w14:paraId="7AED3A34">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正高级农艺师</w:t>
            </w:r>
          </w:p>
        </w:tc>
        <w:tc>
          <w:tcPr>
            <w:tcW w:w="1804" w:type="dxa"/>
            <w:tcBorders>
              <w:top w:val="single" w:color="auto" w:sz="4" w:space="0"/>
              <w:left w:val="nil"/>
              <w:bottom w:val="single" w:color="auto" w:sz="4" w:space="0"/>
              <w:right w:val="single" w:color="auto" w:sz="4" w:space="0"/>
            </w:tcBorders>
            <w:vAlign w:val="center"/>
          </w:tcPr>
          <w:p w14:paraId="79DEE57B">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7716A4FA">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3AC4106B">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项目技术指导</w:t>
            </w:r>
          </w:p>
        </w:tc>
      </w:tr>
      <w:tr w14:paraId="05C23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68C19E94">
            <w:pPr>
              <w:jc w:val="center"/>
              <w:rPr>
                <w:rStyle w:val="8"/>
                <w:rFonts w:hint="eastAsia" w:ascii="仿宋_GB2312" w:hAnsi="仿宋" w:eastAsia="仿宋_GB2312"/>
                <w:color w:val="000000"/>
                <w:sz w:val="22"/>
                <w:szCs w:val="22"/>
              </w:rPr>
            </w:pPr>
            <w:r>
              <w:rPr>
                <w:rStyle w:val="8"/>
                <w:rFonts w:hint="eastAsia" w:ascii="仿宋_GB2312" w:hAnsi="仿宋" w:eastAsia="仿宋_GB2312"/>
                <w:color w:val="000000"/>
                <w:sz w:val="22"/>
                <w:szCs w:val="22"/>
              </w:rPr>
              <w:t>蹇钦昊</w:t>
            </w:r>
          </w:p>
        </w:tc>
        <w:tc>
          <w:tcPr>
            <w:tcW w:w="1559" w:type="dxa"/>
            <w:tcBorders>
              <w:top w:val="single" w:color="auto" w:sz="4" w:space="0"/>
              <w:left w:val="nil"/>
              <w:bottom w:val="single" w:color="auto" w:sz="4" w:space="0"/>
              <w:right w:val="single" w:color="auto" w:sz="4" w:space="0"/>
            </w:tcBorders>
            <w:vAlign w:val="center"/>
          </w:tcPr>
          <w:p w14:paraId="66ED8714">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助理研究员</w:t>
            </w:r>
          </w:p>
        </w:tc>
        <w:tc>
          <w:tcPr>
            <w:tcW w:w="1804" w:type="dxa"/>
            <w:tcBorders>
              <w:top w:val="single" w:color="auto" w:sz="4" w:space="0"/>
              <w:left w:val="nil"/>
              <w:bottom w:val="single" w:color="auto" w:sz="4" w:space="0"/>
              <w:right w:val="single" w:color="auto" w:sz="4" w:space="0"/>
            </w:tcBorders>
            <w:vAlign w:val="center"/>
          </w:tcPr>
          <w:p w14:paraId="4163F903">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3354AD66">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广西南亚热带农业科学研究所</w:t>
            </w:r>
          </w:p>
        </w:tc>
        <w:tc>
          <w:tcPr>
            <w:tcW w:w="1843" w:type="dxa"/>
            <w:tcBorders>
              <w:top w:val="single" w:color="auto" w:sz="4" w:space="0"/>
              <w:left w:val="single" w:color="auto" w:sz="4" w:space="0"/>
              <w:bottom w:val="single" w:color="auto" w:sz="4" w:space="0"/>
              <w:right w:val="single" w:color="auto" w:sz="4" w:space="0"/>
            </w:tcBorders>
            <w:vAlign w:val="center"/>
          </w:tcPr>
          <w:p w14:paraId="528CFC91">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开展试验、协助编写标准</w:t>
            </w:r>
          </w:p>
        </w:tc>
      </w:tr>
      <w:tr w14:paraId="0D758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32C5AB6B">
            <w:pPr>
              <w:jc w:val="center"/>
              <w:rPr>
                <w:rFonts w:ascii="仿宋_GB2312" w:eastAsia="仿宋_GB2312"/>
              </w:rPr>
            </w:pPr>
            <w:r>
              <w:rPr>
                <w:rFonts w:hint="eastAsia" w:ascii="仿宋_GB2312" w:hAnsi="仿宋" w:eastAsia="仿宋_GB2312"/>
                <w:color w:val="000000"/>
                <w:sz w:val="22"/>
                <w:szCs w:val="22"/>
              </w:rPr>
              <w:t>黄建国</w:t>
            </w:r>
          </w:p>
        </w:tc>
        <w:tc>
          <w:tcPr>
            <w:tcW w:w="1559" w:type="dxa"/>
            <w:tcBorders>
              <w:top w:val="single" w:color="auto" w:sz="4" w:space="0"/>
              <w:left w:val="nil"/>
              <w:bottom w:val="single" w:color="auto" w:sz="4" w:space="0"/>
              <w:right w:val="single" w:color="auto" w:sz="4" w:space="0"/>
            </w:tcBorders>
            <w:vAlign w:val="center"/>
          </w:tcPr>
          <w:p w14:paraId="644E078D">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农艺师</w:t>
            </w:r>
          </w:p>
        </w:tc>
        <w:tc>
          <w:tcPr>
            <w:tcW w:w="1804" w:type="dxa"/>
            <w:tcBorders>
              <w:top w:val="single" w:color="auto" w:sz="4" w:space="0"/>
              <w:left w:val="nil"/>
              <w:bottom w:val="single" w:color="auto" w:sz="4" w:space="0"/>
              <w:right w:val="single" w:color="auto" w:sz="4" w:space="0"/>
            </w:tcBorders>
            <w:vAlign w:val="center"/>
          </w:tcPr>
          <w:p w14:paraId="2084AAB4">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茶叶加工</w:t>
            </w:r>
          </w:p>
        </w:tc>
        <w:tc>
          <w:tcPr>
            <w:tcW w:w="1946" w:type="dxa"/>
            <w:tcBorders>
              <w:top w:val="single" w:color="auto" w:sz="4" w:space="0"/>
              <w:left w:val="nil"/>
              <w:bottom w:val="single" w:color="auto" w:sz="4" w:space="0"/>
              <w:right w:val="single" w:color="auto" w:sz="4" w:space="0"/>
            </w:tcBorders>
            <w:vAlign w:val="center"/>
          </w:tcPr>
          <w:p w14:paraId="1C95863F">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南宁茗韵茶业有限公司</w:t>
            </w:r>
          </w:p>
        </w:tc>
        <w:tc>
          <w:tcPr>
            <w:tcW w:w="1843" w:type="dxa"/>
            <w:tcBorders>
              <w:top w:val="single" w:color="auto" w:sz="4" w:space="0"/>
              <w:left w:val="single" w:color="auto" w:sz="4" w:space="0"/>
              <w:bottom w:val="single" w:color="auto" w:sz="4" w:space="0"/>
              <w:right w:val="single" w:color="auto" w:sz="4" w:space="0"/>
            </w:tcBorders>
            <w:vAlign w:val="center"/>
          </w:tcPr>
          <w:p w14:paraId="2F4BE3F9">
            <w:pPr>
              <w:jc w:val="center"/>
              <w:rPr>
                <w:rFonts w:hint="eastAsia" w:ascii="仿宋_GB2312" w:hAnsi="仿宋" w:eastAsia="仿宋_GB2312"/>
                <w:color w:val="000000"/>
                <w:sz w:val="22"/>
                <w:szCs w:val="22"/>
              </w:rPr>
            </w:pPr>
            <w:r>
              <w:rPr>
                <w:rFonts w:hint="eastAsia" w:ascii="仿宋_GB2312" w:hAnsi="仿宋" w:eastAsia="仿宋_GB2312"/>
                <w:color w:val="000000"/>
                <w:sz w:val="22"/>
                <w:szCs w:val="22"/>
              </w:rPr>
              <w:t>协助编写标准</w:t>
            </w:r>
          </w:p>
        </w:tc>
      </w:tr>
      <w:tr w14:paraId="44719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062" w:type="dxa"/>
            <w:tcBorders>
              <w:top w:val="single" w:color="auto" w:sz="4" w:space="0"/>
              <w:left w:val="single" w:color="auto" w:sz="4" w:space="0"/>
              <w:bottom w:val="single" w:color="auto" w:sz="4" w:space="0"/>
              <w:right w:val="single" w:color="auto" w:sz="4" w:space="0"/>
            </w:tcBorders>
            <w:vAlign w:val="center"/>
          </w:tcPr>
          <w:p w14:paraId="1F432F2B">
            <w:pPr>
              <w:jc w:val="center"/>
              <w:rPr>
                <w:rFonts w:ascii="仿宋_GB2312" w:eastAsia="仿宋_GB2312"/>
              </w:rPr>
            </w:pPr>
            <w:r>
              <w:rPr>
                <w:rFonts w:hint="eastAsia" w:ascii="仿宋_GB2312" w:eastAsia="仿宋_GB2312"/>
              </w:rPr>
              <w:t>黄敬新</w:t>
            </w:r>
          </w:p>
        </w:tc>
        <w:tc>
          <w:tcPr>
            <w:tcW w:w="1559" w:type="dxa"/>
            <w:tcBorders>
              <w:top w:val="single" w:color="auto" w:sz="4" w:space="0"/>
              <w:left w:val="nil"/>
              <w:bottom w:val="single" w:color="auto" w:sz="4" w:space="0"/>
              <w:right w:val="single" w:color="auto" w:sz="4" w:space="0"/>
            </w:tcBorders>
            <w:vAlign w:val="center"/>
          </w:tcPr>
          <w:p w14:paraId="6F7552C5">
            <w:pPr>
              <w:jc w:val="center"/>
              <w:rPr>
                <w:rFonts w:hint="eastAsia" w:ascii="仿宋_GB2312" w:hAnsi="仿宋" w:eastAsia="仿宋_GB2312"/>
                <w:color w:val="000000"/>
              </w:rPr>
            </w:pPr>
            <w:r>
              <w:rPr>
                <w:rFonts w:hint="eastAsia" w:ascii="仿宋_GB2312" w:hAnsi="仿宋" w:eastAsia="仿宋_GB2312"/>
                <w:color w:val="000000"/>
              </w:rPr>
              <w:t>农艺师</w:t>
            </w:r>
          </w:p>
        </w:tc>
        <w:tc>
          <w:tcPr>
            <w:tcW w:w="1804" w:type="dxa"/>
            <w:tcBorders>
              <w:top w:val="single" w:color="auto" w:sz="4" w:space="0"/>
              <w:left w:val="nil"/>
              <w:bottom w:val="single" w:color="auto" w:sz="4" w:space="0"/>
              <w:right w:val="single" w:color="auto" w:sz="4" w:space="0"/>
            </w:tcBorders>
            <w:vAlign w:val="center"/>
          </w:tcPr>
          <w:p w14:paraId="02F53AB8">
            <w:pPr>
              <w:jc w:val="center"/>
              <w:rPr>
                <w:rFonts w:hint="eastAsia" w:ascii="仿宋_GB2312" w:hAnsi="仿宋" w:eastAsia="仿宋_GB2312"/>
                <w:color w:val="000000"/>
              </w:rPr>
            </w:pPr>
            <w:r>
              <w:rPr>
                <w:rFonts w:hint="eastAsia" w:ascii="仿宋_GB2312" w:hAnsi="仿宋" w:eastAsia="仿宋_GB2312"/>
                <w:color w:val="000000"/>
              </w:rPr>
              <w:t>茶叶加工</w:t>
            </w:r>
          </w:p>
        </w:tc>
        <w:tc>
          <w:tcPr>
            <w:tcW w:w="1946" w:type="dxa"/>
            <w:tcBorders>
              <w:top w:val="single" w:color="auto" w:sz="4" w:space="0"/>
              <w:left w:val="nil"/>
              <w:bottom w:val="single" w:color="auto" w:sz="4" w:space="0"/>
              <w:right w:val="single" w:color="auto" w:sz="4" w:space="0"/>
            </w:tcBorders>
            <w:vAlign w:val="center"/>
          </w:tcPr>
          <w:p w14:paraId="14DA4EBB">
            <w:pPr>
              <w:jc w:val="center"/>
              <w:rPr>
                <w:rFonts w:hint="eastAsia" w:ascii="仿宋_GB2312" w:hAnsi="仿宋" w:eastAsia="仿宋_GB2312"/>
                <w:color w:val="000000"/>
              </w:rPr>
            </w:pPr>
            <w:r>
              <w:rPr>
                <w:rFonts w:hint="eastAsia" w:ascii="仿宋_GB2312" w:hAnsi="仿宋" w:eastAsia="仿宋_GB2312"/>
                <w:color w:val="000000"/>
              </w:rPr>
              <w:t>贵港市港南区北一茶厂</w:t>
            </w:r>
          </w:p>
        </w:tc>
        <w:tc>
          <w:tcPr>
            <w:tcW w:w="1843" w:type="dxa"/>
            <w:tcBorders>
              <w:top w:val="single" w:color="auto" w:sz="4" w:space="0"/>
              <w:left w:val="single" w:color="auto" w:sz="4" w:space="0"/>
              <w:bottom w:val="single" w:color="auto" w:sz="4" w:space="0"/>
              <w:right w:val="single" w:color="auto" w:sz="4" w:space="0"/>
            </w:tcBorders>
            <w:vAlign w:val="center"/>
          </w:tcPr>
          <w:p w14:paraId="160B2405">
            <w:pPr>
              <w:jc w:val="center"/>
              <w:rPr>
                <w:rStyle w:val="8"/>
                <w:rFonts w:ascii="仿宋_GB2312" w:eastAsia="仿宋_GB2312"/>
                <w:sz w:val="22"/>
                <w:szCs w:val="22"/>
              </w:rPr>
            </w:pPr>
            <w:r>
              <w:rPr>
                <w:rFonts w:hint="eastAsia" w:ascii="仿宋_GB2312" w:hAnsi="仿宋" w:eastAsia="仿宋_GB2312"/>
                <w:color w:val="000000"/>
                <w:sz w:val="22"/>
                <w:szCs w:val="22"/>
              </w:rPr>
              <w:t>协助编写标准</w:t>
            </w:r>
          </w:p>
        </w:tc>
      </w:tr>
    </w:tbl>
    <w:p w14:paraId="6BB71A8F">
      <w:pPr>
        <w:ind w:firstLine="640" w:firstLineChars="200"/>
        <w:rPr>
          <w:rFonts w:hint="eastAsia" w:ascii="黑体" w:hAnsi="黑体" w:eastAsia="黑体" w:cs="Times New Roman"/>
          <w:sz w:val="32"/>
          <w:szCs w:val="32"/>
        </w:rPr>
      </w:pPr>
      <w:r>
        <w:rPr>
          <w:rFonts w:hint="eastAsia" w:ascii="黑体" w:hAnsi="黑体" w:eastAsia="黑体" w:cs="Times New Roman"/>
          <w:sz w:val="32"/>
          <w:szCs w:val="32"/>
        </w:rPr>
        <w:t>二、项目背景及目的意义</w:t>
      </w:r>
    </w:p>
    <w:p w14:paraId="749A15FE">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广西壮族自治区地处中国西南部，部分地区属亚热带湿润季风气候区，年平均气温20.8 ℃～22.4 ℃，年降雨量1088～1799毫米，年日照时数1800小时以上。该区域雨量充沛、日照充足，独特的气候条件十分适宜茶树生长。茶产业是广西优势特色农业产业。在科技赋能下，2025年广西茶园面积稳步扩展至168.64万亩，茶叶产量达到13.66万吨，同比增长3.7%，产业规模持续扩大。茶产业已成为带动群众增收、助力乡村全面振兴的重要产业，产量已连续6年稳居全国前十。目前，广西全区共有589个脱贫村发展茶叶种植，带动12.2万脱贫农户实现稳定增收</w:t>
      </w:r>
    </w:p>
    <w:p w14:paraId="365DC2BE">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茶树花作为茶树的重要副产物，具有良好的开发价值和经济效益。其富含茶多糖、黄酮等有益成分，营养价值日益受到学界认可。近年来研究发现，茶花富含氨基酸、茶多糖、多酚等生物活性物质，其可溶性糖含量是茶叶的4-6倍，黄酮类物质含量超3倍，具有显著的抗氧化、降血脂等健康功效。自2013年被列入新资源食品名录以来，逐渐进入市场视野。据统计，单株茶树每年最高可开花12399朵，平均开花4567朵；每百朵鲜花最大重量为217 g，平均为87.3 g。全国每年可产生茶树花资源超过400万吨。然而，长期以来，茶树的研究与利用多集中于芽叶，对花的关注相对不足，导致大量茶树花资源被浪费。实践中，部分茶农在花芽分化期喷洒赤霉素、盛花期施用乙烯利等植物生长调节剂以抑制开花。茶树的花期通常从9月开始，持续至12月；而在我国西南部分地区，花期可延续至次年2～3月，甚至全年开放。广西大部分茶区年平均气温18 ℃～25 ℃，茶树开花旺盛。开展茶树花红茶加工，不仅有助于资源的合理利用，还能减轻茶树花与翌年春芽争夺养分，从而提升新茶品质。采摘茶树花有利于促进芽叶生长发育，提高茶园综合效益。同时，茶树花的采摘期与茶叶采收旺季错开，有助于缓解淡季劳动力闲置问题，具有显著的经济效益和社会效益。</w:t>
      </w:r>
    </w:p>
    <w:p w14:paraId="08B89BF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红茶是我国六大茶之一，也是全世界最受欢迎的饮料之一。中国作为世界上红茶出口和消费大国，近年来红茶的贸易结构不断优化，具有特色的红茶产品以及高端红茶的市场占有率逐渐增加。目前，饮用花果茶正成为一种时尚，以茶树花和鲜叶为原料制成茶树花红茶，茶叶+花香融合成一种全新的风味，在混合发酵中，花的香气成分通过生化反应真正融入茶叶细胞内部，形成了更持久、更沉稳的内源性香型，如蜜香、花果香甚至独特的“花蜜香”。使其既融合了鲜花与茶叶的香气风味，又兼具茶叶的多种保健功能，展现出广阔的市场应用前景。</w:t>
      </w:r>
    </w:p>
    <w:p w14:paraId="2D441F02">
      <w:pPr>
        <w:spacing w:line="600" w:lineRule="exact"/>
        <w:ind w:firstLine="640" w:firstLineChars="200"/>
        <w:rPr>
          <w:rFonts w:ascii="Times New Roman" w:hAnsi="Times New Roman" w:eastAsia="仿宋_GB2312" w:cs="Times New Roman"/>
          <w:sz w:val="28"/>
          <w:szCs w:val="28"/>
        </w:rPr>
      </w:pPr>
      <w:r>
        <w:rPr>
          <w:rFonts w:hint="eastAsia" w:ascii="Times New Roman" w:hAnsi="Times New Roman" w:eastAsia="仿宋_GB2312" w:cs="Times New Roman"/>
          <w:sz w:val="32"/>
          <w:szCs w:val="32"/>
        </w:rPr>
        <w:t>目前，广西已有较多企业开展茶树花红茶的开发利用，但多处于作坊式生产阶段，缺乏统一的加工技术标准，亟需规范工艺流程，提升产品质量。为加快广西茶树花资源的开发利用，提高茶树附加值，推动茶产业高质量发展，制定《茶树花红茶加工技术规程》团体标准十分必要。该标准的实施，将有效促进广西茶树花红茶加工的规范化、标准化和清洁化，保障产品质量稳定，助力广西茶产业持续健康发展。</w:t>
      </w:r>
    </w:p>
    <w:p w14:paraId="6A82D583">
      <w:pPr>
        <w:ind w:firstLine="640" w:firstLineChars="200"/>
        <w:rPr>
          <w:rFonts w:hint="eastAsia" w:ascii="黑体" w:hAnsi="黑体" w:eastAsia="黑体" w:cs="Times New Roman"/>
          <w:sz w:val="32"/>
          <w:szCs w:val="32"/>
        </w:rPr>
      </w:pPr>
      <w:r>
        <w:rPr>
          <w:rFonts w:hint="eastAsia" w:ascii="黑体" w:hAnsi="黑体" w:eastAsia="黑体" w:cs="Times New Roman"/>
          <w:sz w:val="32"/>
          <w:szCs w:val="32"/>
        </w:rPr>
        <w:t>三、标准编制过程，包括标准制修订项目工作组的建立和开展的相关工作</w:t>
      </w:r>
    </w:p>
    <w:p w14:paraId="3676C478">
      <w:pPr>
        <w:spacing w:line="600" w:lineRule="exact"/>
        <w:ind w:firstLine="640" w:firstLineChars="200"/>
        <w:rPr>
          <w:rFonts w:hint="eastAsia" w:ascii="楷体" w:hAnsi="楷体" w:eastAsia="楷体" w:cs="Times New Roman"/>
          <w:sz w:val="32"/>
          <w:szCs w:val="32"/>
        </w:rPr>
      </w:pPr>
      <w:r>
        <w:rPr>
          <w:rFonts w:hint="eastAsia" w:ascii="楷体" w:hAnsi="楷体" w:eastAsia="楷体" w:cs="Times New Roman"/>
          <w:sz w:val="32"/>
          <w:szCs w:val="32"/>
        </w:rPr>
        <w:t>（一）前期研究基础</w:t>
      </w:r>
    </w:p>
    <w:p w14:paraId="2407ED1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自2016年起，起草单位持续开展茶树花与茶叶鲜叶混合加工红茶及红碎茶的课题研究。期间，科技人员多次赴广西各主要茶区多家花茶及茶树花生产企业进行实地调研与交流学习，系统了解茶树花混合加工红茶方面的工艺做法，并对国内花茶、传统红茶、茶树花、以及茶树花与鲜叶混合加工红茶的加工工艺与品质特征进行了对比分析。</w:t>
      </w:r>
    </w:p>
    <w:p w14:paraId="6278D38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通过多次试制，团队初步确定了茶树花红茶的加工工艺路线为：鲜叶→萎凋→揉捻→混合发酵→干燥→拣梗筛分→成品茶。主要工艺参数如下：萎凋后鲜叶水分含量控制在60%～62%；发酵阶段按茶树花:鲜叶=0.5:3～1:3的比例添加新鲜茶树花；发酵湿度保持在95%，环境温度控制在26 ℃～30 ℃，堆叶厚度为15 cm～20 cm，发酵时间为3.5 h～4 h；干燥工序中，毛火温度为100 ℃～120 ℃，时间为15 min～20 min，足火温度为80 ℃～90 ℃，时间为120 min～150 min。</w:t>
      </w:r>
    </w:p>
    <w:p w14:paraId="571BC129">
      <w:pPr>
        <w:spacing w:line="600" w:lineRule="exact"/>
        <w:ind w:firstLine="640" w:firstLineChars="200"/>
        <w:rPr>
          <w:rFonts w:hint="eastAsia" w:ascii="楷体" w:hAnsi="楷体" w:eastAsia="楷体" w:cs="Times New Roman"/>
          <w:sz w:val="32"/>
          <w:szCs w:val="32"/>
        </w:rPr>
      </w:pPr>
      <w:r>
        <w:rPr>
          <w:rFonts w:hint="eastAsia" w:ascii="楷体" w:hAnsi="楷体" w:eastAsia="楷体" w:cs="Times New Roman"/>
          <w:sz w:val="32"/>
          <w:szCs w:val="32"/>
        </w:rPr>
        <w:t>（二）标准草案编制</w:t>
      </w:r>
    </w:p>
    <w:p w14:paraId="59892F1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1.成立标准编制工作组</w:t>
      </w:r>
    </w:p>
    <w:p w14:paraId="785D700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团体标准《茶树花红茶加工技术规程》项目任务下达后，广西南亚热带农业科学研究所成立标准编制工作组，制定了标准编写方案，明确任务职责，确定工作技术路线，开展标准编制工作。编制工作组下设三个组，分别是资料收集组、草案编写组、标准实施组。资料收集组负责国内外有关茶树花茶加工技术的文献资料的查询、收集和整理工作，查阅已有茶树花茶加工的研究进展。草案编写组负责起草标准草案、征求意见稿和标准编制说明、送审稿等相关资料的编写工作，包括后期召开征求意见会、网上征求意见，以及标准的不断修改和完善。标准实施组负责《茶树花红茶加工技术规程》标准发布后，组织相关单位、茶企、茶农开展标准宣贯培训会，对标准进行详细解读，让相关人员了解标准，并根据标准对茶树花红茶加工技术按标准要求进行，保证茶树花红茶的品质，并对标准实施情况进行总结分析，不断对标准提出修正意见。</w:t>
      </w:r>
    </w:p>
    <w:p w14:paraId="2EA1EE0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2.收集整理文献资料</w:t>
      </w:r>
    </w:p>
    <w:p w14:paraId="5FBEB93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标准编制工作组收集了国内有关茶树花红茶加工的相关文献资料。主要参考资料有：</w:t>
      </w:r>
    </w:p>
    <w:p w14:paraId="4963F6E9">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GB/T 191  包装储运图示标志</w:t>
      </w:r>
    </w:p>
    <w:p w14:paraId="1B0425A2">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GH/T 1070  茶叶包装通则</w:t>
      </w:r>
    </w:p>
    <w:p w14:paraId="09247B4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GB 7718  食品安全国家标准  预包装食品标签通则</w:t>
      </w:r>
    </w:p>
    <w:p w14:paraId="579A8BA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GB 14881  食品安全国家标准  食品生产通用卫生规范</w:t>
      </w:r>
    </w:p>
    <w:p w14:paraId="5EEBF089">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GB/T 30375  茶叶贮存</w:t>
      </w:r>
    </w:p>
    <w:p w14:paraId="595DF96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GB 32744  茶叶加工良好规范</w:t>
      </w:r>
    </w:p>
    <w:p w14:paraId="7D3FBF2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GB/T 25810  红茶加工技术规范</w:t>
      </w:r>
    </w:p>
    <w:p w14:paraId="1712ACD8">
      <w:pPr>
        <w:spacing w:line="600" w:lineRule="exact"/>
        <w:ind w:firstLine="640" w:firstLineChars="200"/>
        <w:rPr>
          <w:rFonts w:ascii="Times New Roman" w:hAnsi="Times New Roman" w:eastAsia="仿宋_GB2312" w:cs="Times New Roman"/>
          <w:sz w:val="32"/>
          <w:szCs w:val="32"/>
        </w:rPr>
      </w:pPr>
      <w:bookmarkStart w:id="0" w:name="_Hlk224639766"/>
      <w:r>
        <w:rPr>
          <w:rFonts w:hint="eastAsia" w:ascii="Times New Roman" w:hAnsi="Times New Roman" w:eastAsia="仿宋_GB2312" w:cs="Times New Roman"/>
          <w:sz w:val="32"/>
          <w:szCs w:val="32"/>
        </w:rPr>
        <w:t>3.研讨确定标准主体内容</w:t>
      </w:r>
      <w:bookmarkEnd w:id="0"/>
    </w:p>
    <w:p w14:paraId="0A407AE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标准编制工作组在对收集的资料进行整理研究之后，2025年9月标准编制工作组召开了标准编制会议，对标准的整体框架结构进行了研究，并对标准的关键性内容进行了初步探讨。经过研究，茶树花红茶加工的主体内容确定为加工的术语和定义、基本要求、加工工艺、包装、贮存、档案管理。</w:t>
      </w:r>
    </w:p>
    <w:p w14:paraId="5B83A40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4.调研、形成文本草案、征求意见稿</w:t>
      </w:r>
    </w:p>
    <w:p w14:paraId="4DF61352">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2025年10月-12月，标准起草工作小组进行了广泛实地调研工作，查阅了大量的国内外文献资料，形成了标准的基本构架，对主要内容进行了讨论并对项目的工作进行了部署和安排。</w:t>
      </w:r>
    </w:p>
    <w:p w14:paraId="74500DB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2026年1月-3月，广西热带作物学会《广西热带作物学会关于下达2026年第三批团体标准制修订项目计划的通知》（桂热学字〔2026〕7号）文件精神，团体标准《茶树花红茶加工技术规程》获批立项（项目序号：0015）。在前期工作的基础之上，通过理清逻辑脉络，整合已有的参考资料中有关</w:t>
      </w:r>
      <w:bookmarkStart w:id="1" w:name="_Hlk224640385"/>
      <w:r>
        <w:rPr>
          <w:rFonts w:hint="eastAsia" w:ascii="Times New Roman" w:hAnsi="Times New Roman" w:eastAsia="仿宋_GB2312" w:cs="Times New Roman"/>
          <w:sz w:val="32"/>
          <w:szCs w:val="32"/>
        </w:rPr>
        <w:t>茶树花红茶</w:t>
      </w:r>
      <w:bookmarkEnd w:id="1"/>
      <w:r>
        <w:rPr>
          <w:rFonts w:hint="eastAsia" w:ascii="Times New Roman" w:hAnsi="Times New Roman" w:eastAsia="仿宋_GB2312" w:cs="Times New Roman"/>
          <w:sz w:val="32"/>
          <w:szCs w:val="32"/>
        </w:rPr>
        <w:t>加工的技术要求，并结合茶树花红茶实际的生产要求，按照简化、统一等原则编制完成团体标准《茶树花红茶加工技术规程》（草案）。</w:t>
      </w:r>
    </w:p>
    <w:p w14:paraId="3E2A6EDC">
      <w:pPr>
        <w:spacing w:line="600" w:lineRule="exact"/>
        <w:ind w:firstLine="640" w:firstLineChars="200"/>
        <w:rPr>
          <w:rFonts w:ascii="Times New Roman" w:hAnsi="Times New Roman" w:eastAsia="仿宋_GB2312" w:cs="Times New Roman"/>
          <w:color w:val="EE0000"/>
          <w:sz w:val="32"/>
          <w:szCs w:val="32"/>
        </w:rPr>
      </w:pPr>
      <w:r>
        <w:rPr>
          <w:rFonts w:hint="eastAsia" w:ascii="Times New Roman" w:hAnsi="Times New Roman" w:eastAsia="仿宋_GB2312" w:cs="Times New Roman"/>
          <w:sz w:val="32"/>
          <w:szCs w:val="32"/>
        </w:rPr>
        <w:t>2026年4月，标准起草工作组深入茶树花红茶企业，针对茶树花红茶生产情况进行分组实地调研学习，掌握各企业加工的具体技术要求。标准编制工作组多次召开会议，对标准草案进行了反复修改和研究讨论。最终形成了团体标准《茶树花红茶加工技术规程》（征求意见稿）和团体标准《茶树花红茶红茶加工技术规程》（征求意见稿）编制说明</w:t>
      </w:r>
      <w:r>
        <w:rPr>
          <w:rFonts w:hint="eastAsia" w:ascii="Times New Roman" w:hAnsi="Times New Roman" w:eastAsia="仿宋_GB2312" w:cs="Times New Roman"/>
          <w:color w:val="000000" w:themeColor="text1"/>
          <w:sz w:val="32"/>
          <w:szCs w:val="32"/>
          <w14:textFill>
            <w14:solidFill>
              <w14:schemeClr w14:val="tx1"/>
            </w14:solidFill>
          </w14:textFill>
        </w:rPr>
        <w:t>。</w:t>
      </w:r>
    </w:p>
    <w:p w14:paraId="3845F335">
      <w:pPr>
        <w:spacing w:line="600" w:lineRule="exact"/>
        <w:ind w:firstLine="640" w:firstLineChars="200"/>
        <w:rPr>
          <w:rFonts w:hint="eastAsia" w:ascii="黑体" w:hAnsi="黑体" w:eastAsia="黑体" w:cs="Times New Roman"/>
          <w:sz w:val="32"/>
          <w:szCs w:val="32"/>
        </w:rPr>
      </w:pPr>
      <w:r>
        <w:rPr>
          <w:rFonts w:hint="eastAsia" w:ascii="黑体" w:hAnsi="黑体" w:eastAsia="黑体" w:cs="Times New Roman"/>
          <w:sz w:val="32"/>
          <w:szCs w:val="32"/>
        </w:rPr>
        <w:t>四、标准主要章节内容及确定依据（修订标准时，应说明新、旧标准的对比）</w:t>
      </w:r>
    </w:p>
    <w:p w14:paraId="5BF2748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团体标准《茶树花红茶加工技术规程》主要内容包括加工的术语和定义、基本要求、加工工艺、包装、贮存、档案管理。</w:t>
      </w:r>
    </w:p>
    <w:p w14:paraId="68A5FFB0">
      <w:pPr>
        <w:spacing w:line="600" w:lineRule="exact"/>
        <w:ind w:firstLine="640"/>
        <w:rPr>
          <w:rFonts w:hint="eastAsia" w:ascii="楷体" w:hAnsi="楷体" w:eastAsia="楷体" w:cs="Times New Roman"/>
          <w:sz w:val="32"/>
          <w:szCs w:val="32"/>
        </w:rPr>
      </w:pPr>
      <w:r>
        <w:rPr>
          <w:rFonts w:hint="eastAsia" w:ascii="楷体" w:hAnsi="楷体" w:eastAsia="楷体" w:cs="Times New Roman"/>
          <w:sz w:val="32"/>
          <w:szCs w:val="32"/>
        </w:rPr>
        <w:t>（一）术语和定义</w:t>
      </w:r>
    </w:p>
    <w:p w14:paraId="1BD58F33">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茶树花：山茶科山茶属茶树（</w:t>
      </w:r>
      <w:r>
        <w:rPr>
          <w:rFonts w:hint="eastAsia" w:ascii="Times New Roman" w:hAnsi="Times New Roman" w:eastAsia="仿宋_GB2312" w:cs="Times New Roman"/>
          <w:i/>
          <w:iCs/>
          <w:sz w:val="32"/>
          <w:szCs w:val="32"/>
        </w:rPr>
        <w:t>Camellia sinensis</w:t>
      </w:r>
      <w:r>
        <w:rPr>
          <w:rFonts w:hint="eastAsia" w:ascii="Times New Roman" w:hAnsi="Times New Roman" w:eastAsia="仿宋_GB2312" w:cs="Times New Roman"/>
          <w:sz w:val="32"/>
          <w:szCs w:val="32"/>
        </w:rPr>
        <w:t>(L.)O.Kuntze）开的鲜花。</w:t>
      </w:r>
    </w:p>
    <w:p w14:paraId="5B398D66">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茶树花红茶：通过在发酵阶段加入茶树花混合发酵加工而成的茶树花红茶。</w:t>
      </w:r>
    </w:p>
    <w:p w14:paraId="414DA52D">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混合发酵：在一定温度、湿度和含氧条件下，茶叶、茶树花中活性物质发生以多酚类化合物酶促氧化为主体的一系列化学反应的过程。</w:t>
      </w:r>
    </w:p>
    <w:p w14:paraId="73A026B5">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上述术语定义体现了茶树花红茶以茶树花与鲜叶混合加工的技术特征，与现行花茶类标准中“窨花”工艺的术语定义形成明确区分。</w:t>
      </w:r>
    </w:p>
    <w:p w14:paraId="1D251A95">
      <w:pPr>
        <w:spacing w:line="600" w:lineRule="exact"/>
        <w:ind w:firstLine="640"/>
        <w:rPr>
          <w:rFonts w:hint="eastAsia" w:ascii="楷体" w:hAnsi="楷体" w:eastAsia="楷体" w:cs="Times New Roman"/>
          <w:sz w:val="32"/>
          <w:szCs w:val="32"/>
        </w:rPr>
      </w:pPr>
      <w:r>
        <w:rPr>
          <w:rFonts w:hint="eastAsia" w:ascii="楷体" w:hAnsi="楷体" w:eastAsia="楷体" w:cs="Times New Roman"/>
          <w:sz w:val="32"/>
          <w:szCs w:val="32"/>
        </w:rPr>
        <w:t>（二）基本要求</w:t>
      </w:r>
    </w:p>
    <w:p w14:paraId="1D51F34A">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1.茶鲜叶</w:t>
      </w:r>
    </w:p>
    <w:p w14:paraId="6BEF1D92">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从适制品种茶树上采摘的鲜叶嫩度、净度、匀度、新鲜度一致，不含非茶类物质。</w:t>
      </w:r>
    </w:p>
    <w:p w14:paraId="4F4E6A04">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2.茶树花</w:t>
      </w:r>
    </w:p>
    <w:p w14:paraId="0E45FE96">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茶树花已于2013年被列入新资源食品名录，其作为食品原料的合规性已有法规保障。对茶树花原料要求应为同一品种、同一批次、花朵完整匀净、新鲜无水滴，宜在每年10月～12月进行采摘。采摘工具使用通风无异味竹篮或竹筐，并且茶树花采摘后应保持新鲜并在3 h内运送至加工厂。</w:t>
      </w:r>
    </w:p>
    <w:p w14:paraId="2E447FE2">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3.加工人员与场地</w:t>
      </w:r>
    </w:p>
    <w:p w14:paraId="34B8CE36">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加工人员与场地应符合GB 14881的相关规定。</w:t>
      </w:r>
    </w:p>
    <w:p w14:paraId="27A33437">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4.加工设备</w:t>
      </w:r>
    </w:p>
    <w:p w14:paraId="30DB747B">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加工设备应符合GB/T 32744的相关规定。</w:t>
      </w:r>
    </w:p>
    <w:p w14:paraId="12DABFFA">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5.加工工艺</w:t>
      </w:r>
    </w:p>
    <w:p w14:paraId="6320E0E9">
      <w:pPr>
        <w:spacing w:line="600" w:lineRule="exact"/>
        <w:ind w:firstLine="640"/>
        <w:rPr>
          <w:rFonts w:hint="eastAsia" w:ascii="楷体" w:hAnsi="楷体" w:eastAsia="楷体" w:cs="Times New Roman"/>
          <w:sz w:val="32"/>
          <w:szCs w:val="32"/>
        </w:rPr>
      </w:pPr>
      <w:r>
        <w:rPr>
          <w:rFonts w:hint="eastAsia" w:ascii="楷体" w:hAnsi="楷体" w:eastAsia="楷体" w:cs="Times New Roman"/>
          <w:sz w:val="32"/>
          <w:szCs w:val="32"/>
        </w:rPr>
        <w:t>（三）工艺流程及参数</w:t>
      </w:r>
    </w:p>
    <w:p w14:paraId="5B785D7E">
      <w:pPr>
        <w:spacing w:line="600" w:lineRule="exact"/>
        <w:ind w:firstLine="64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本标准经起草单位通过多次试制，最终确定核心加工工艺如下图所示。</w:t>
      </w:r>
    </w:p>
    <w:p w14:paraId="3A9CD64E">
      <w:pPr>
        <w:ind w:firstLine="640"/>
        <w:rPr>
          <w:rFonts w:hint="eastAsia" w:ascii="仿宋" w:hAnsi="仿宋" w:eastAsia="仿宋" w:cs="Times New Roman"/>
          <w:sz w:val="28"/>
          <w:szCs w:val="28"/>
        </w:rPr>
      </w:pPr>
      <w:r>
        <w:rPr>
          <w:rFonts w:hint="eastAsia"/>
        </w:rPr>
        <mc:AlternateContent>
          <mc:Choice Requires="wpc">
            <w:drawing>
              <wp:inline distT="0" distB="0" distL="0" distR="0">
                <wp:extent cx="5274310" cy="975995"/>
                <wp:effectExtent l="0" t="0" r="173990" b="0"/>
                <wp:docPr id="1095708125" name="画布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g:wgp>
                        <wpg:cNvPr id="1786829237" name="组合 1786829237"/>
                        <wpg:cNvGrpSpPr/>
                        <wpg:grpSpPr>
                          <a:xfrm>
                            <a:off x="119207" y="104079"/>
                            <a:ext cx="5311105" cy="823021"/>
                            <a:chOff x="90169" y="104079"/>
                            <a:chExt cx="5311105" cy="823021"/>
                          </a:xfrm>
                        </wpg:grpSpPr>
                        <wps:wsp>
                          <wps:cNvPr id="1359400567" name="矩形 1359400567"/>
                          <wps:cNvSpPr/>
                          <wps:spPr>
                            <a:xfrm>
                              <a:off x="90169" y="104091"/>
                              <a:ext cx="492458"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0F1F425">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鲜叶</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85256646" name="矩形 1785256646"/>
                          <wps:cNvSpPr/>
                          <wps:spPr>
                            <a:xfrm>
                              <a:off x="841572" y="104088"/>
                              <a:ext cx="509798"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FC83290">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萎凋</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823459764" name="矩形 823459764"/>
                          <wps:cNvSpPr/>
                          <wps:spPr>
                            <a:xfrm>
                              <a:off x="1610234" y="104091"/>
                              <a:ext cx="527137"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14FA9DC">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揉捻</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11548822" name="矩形 2011548822"/>
                          <wps:cNvSpPr/>
                          <wps:spPr>
                            <a:xfrm>
                              <a:off x="2396309" y="104100"/>
                              <a:ext cx="751404"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4203FCA">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混合发酵</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67715028" name="矩形 967715028"/>
                          <wps:cNvSpPr/>
                          <wps:spPr>
                            <a:xfrm>
                              <a:off x="3406646" y="104091"/>
                              <a:ext cx="497086"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F0B40E9">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干燥</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310727439" name="矩形 1310727439"/>
                          <wps:cNvSpPr/>
                          <wps:spPr>
                            <a:xfrm>
                              <a:off x="4162664" y="104079"/>
                              <a:ext cx="471198"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18CD060">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精制</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15906753" name="矩形 315906753"/>
                          <wps:cNvSpPr/>
                          <wps:spPr>
                            <a:xfrm>
                              <a:off x="4898408" y="104079"/>
                              <a:ext cx="502866"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899423D">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成品</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64774803" name="直接箭头连接符 464774803"/>
                          <wps:cNvCnPr/>
                          <wps:spPr bwMode="auto">
                            <a:xfrm>
                              <a:off x="582627" y="250853"/>
                              <a:ext cx="258945" cy="0"/>
                            </a:xfrm>
                            <a:prstGeom prst="straightConnector1">
                              <a:avLst/>
                            </a:prstGeom>
                            <a:noFill/>
                            <a:ln w="6350">
                              <a:solidFill>
                                <a:srgbClr val="000000"/>
                              </a:solidFill>
                              <a:round/>
                              <a:tailEnd type="triangle"/>
                            </a:ln>
                          </wps:spPr>
                          <wps:bodyPr/>
                        </wps:wsp>
                        <wps:wsp>
                          <wps:cNvPr id="310804399" name="直接箭头连接符 310804399"/>
                          <wps:cNvCnPr/>
                          <wps:spPr bwMode="auto">
                            <a:xfrm>
                              <a:off x="1351287" y="258945"/>
                              <a:ext cx="258945" cy="0"/>
                            </a:xfrm>
                            <a:prstGeom prst="straightConnector1">
                              <a:avLst/>
                            </a:prstGeom>
                            <a:noFill/>
                            <a:ln w="6350">
                              <a:solidFill>
                                <a:srgbClr val="000000"/>
                              </a:solidFill>
                              <a:round/>
                              <a:tailEnd type="triangle"/>
                            </a:ln>
                          </wps:spPr>
                          <wps:bodyPr/>
                        </wps:wsp>
                        <wps:wsp>
                          <wps:cNvPr id="1285868485" name="直接箭头连接符 1285868485"/>
                          <wps:cNvCnPr/>
                          <wps:spPr bwMode="auto">
                            <a:xfrm>
                              <a:off x="2137370" y="258945"/>
                              <a:ext cx="258945" cy="0"/>
                            </a:xfrm>
                            <a:prstGeom prst="straightConnector1">
                              <a:avLst/>
                            </a:prstGeom>
                            <a:noFill/>
                            <a:ln w="6350">
                              <a:solidFill>
                                <a:srgbClr val="000000"/>
                              </a:solidFill>
                              <a:round/>
                              <a:tailEnd type="triangle"/>
                            </a:ln>
                          </wps:spPr>
                          <wps:bodyPr/>
                        </wps:wsp>
                        <wps:wsp>
                          <wps:cNvPr id="1813852070" name="直接箭头连接符 1813852070"/>
                          <wps:cNvCnPr/>
                          <wps:spPr bwMode="auto">
                            <a:xfrm>
                              <a:off x="3147707" y="258945"/>
                              <a:ext cx="258945" cy="0"/>
                            </a:xfrm>
                            <a:prstGeom prst="straightConnector1">
                              <a:avLst/>
                            </a:prstGeom>
                            <a:noFill/>
                            <a:ln w="6350">
                              <a:solidFill>
                                <a:srgbClr val="000000"/>
                              </a:solidFill>
                              <a:round/>
                              <a:tailEnd type="triangle"/>
                            </a:ln>
                          </wps:spPr>
                          <wps:bodyPr/>
                        </wps:wsp>
                        <wps:wsp>
                          <wps:cNvPr id="1404007296" name="直接箭头连接符 1404007296"/>
                          <wps:cNvCnPr/>
                          <wps:spPr bwMode="auto">
                            <a:xfrm>
                              <a:off x="3903726" y="258945"/>
                              <a:ext cx="258945" cy="0"/>
                            </a:xfrm>
                            <a:prstGeom prst="straightConnector1">
                              <a:avLst/>
                            </a:prstGeom>
                            <a:noFill/>
                            <a:ln w="6350">
                              <a:solidFill>
                                <a:schemeClr val="tx1"/>
                              </a:solidFill>
                              <a:round/>
                              <a:tailEnd type="triangle"/>
                            </a:ln>
                          </wps:spPr>
                          <wps:bodyPr/>
                        </wps:wsp>
                        <wps:wsp>
                          <wps:cNvPr id="2115892851" name="直接箭头连接符 2115892851"/>
                          <wps:cNvCnPr/>
                          <wps:spPr bwMode="auto">
                            <a:xfrm>
                              <a:off x="4641344" y="258945"/>
                              <a:ext cx="258945" cy="0"/>
                            </a:xfrm>
                            <a:prstGeom prst="straightConnector1">
                              <a:avLst/>
                            </a:prstGeom>
                            <a:noFill/>
                            <a:ln w="6350">
                              <a:solidFill>
                                <a:schemeClr val="tx1"/>
                              </a:solidFill>
                              <a:round/>
                              <a:tailEnd type="triangle"/>
                            </a:ln>
                          </wps:spPr>
                          <wps:bodyPr/>
                        </wps:wsp>
                        <wps:wsp>
                          <wps:cNvPr id="2138232837" name="矩形 2138232837"/>
                          <wps:cNvSpPr/>
                          <wps:spPr>
                            <a:xfrm>
                              <a:off x="1529365" y="650896"/>
                              <a:ext cx="607651"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1361464">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茶树花</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31246082" name="矩形 331246082"/>
                          <wps:cNvSpPr/>
                          <wps:spPr>
                            <a:xfrm>
                              <a:off x="2396055" y="650899"/>
                              <a:ext cx="751315"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3BD4351">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摊晾</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09625963" name="直接箭头连接符 1609625963"/>
                          <wps:cNvCnPr/>
                          <wps:spPr bwMode="auto">
                            <a:xfrm>
                              <a:off x="2137365" y="805753"/>
                              <a:ext cx="258945" cy="0"/>
                            </a:xfrm>
                            <a:prstGeom prst="straightConnector1">
                              <a:avLst/>
                            </a:prstGeom>
                            <a:noFill/>
                            <a:ln w="6350">
                              <a:solidFill>
                                <a:srgbClr val="000000"/>
                              </a:solidFill>
                              <a:round/>
                              <a:tailEnd type="triangle"/>
                            </a:ln>
                          </wps:spPr>
                          <wps:bodyPr/>
                        </wps:wsp>
                        <wps:wsp>
                          <wps:cNvPr id="1755059545" name="直接箭头连接符 1755059545"/>
                          <wps:cNvCnPr/>
                          <wps:spPr bwMode="auto">
                            <a:xfrm rot="16200000">
                              <a:off x="2637858" y="509738"/>
                              <a:ext cx="258945" cy="0"/>
                            </a:xfrm>
                            <a:prstGeom prst="straightConnector1">
                              <a:avLst/>
                            </a:prstGeom>
                            <a:noFill/>
                            <a:ln w="6350">
                              <a:solidFill>
                                <a:srgbClr val="000000"/>
                              </a:solidFill>
                              <a:round/>
                              <a:tailEnd type="triangle"/>
                            </a:ln>
                          </wps:spPr>
                          <wps:bodyPr/>
                        </wps:wsp>
                      </wpg:wgp>
                    </wpc:wpc>
                  </a:graphicData>
                </a:graphic>
              </wp:inline>
            </w:drawing>
          </mc:Choice>
          <mc:Fallback>
            <w:pict>
              <v:group id="画布 3" o:spid="_x0000_s1026" o:spt="203" style="height:76.85pt;width:415.3pt;" coordsize="5274310,975995" editas="canvas" o:gfxdata="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">
                <o:lock v:ext="edit" aspectratio="f"/>
                <v:shape id="画布 3" o:spid="_x0000_s1026" style="position:absolute;left:0;top:0;height:975995;width:5274310;" fillcolor="#FFFFFF" filled="t" stroked="f" coordsize="21600,21600" o:gfxdata="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">
                  <v:fill on="t" focussize="0,0"/>
                  <v:stroke on="f"/>
                  <v:imagedata o:title=""/>
                  <o:lock v:ext="edit" aspectratio="t"/>
                </v:shape>
                <v:group id="_x0000_s1026" o:spid="_x0000_s1026" o:spt="203" style="position:absolute;left:119207;top:104079;height:823021;width:5311105;" coordorigin="90169,104079" coordsize="5311105,823021" o:gfxdata="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">
                  <o:lock v:ext="edit" aspectratio="f"/>
                  <v:rect id="_x0000_s1026" o:spid="_x0000_s1026" o:spt="1" style="position:absolute;left:90169;top:104091;height:276201;width:492458;v-text-anchor:middle;" filled="f" stroked="t" coordsize="21600,21600" o:gfxdata="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DQxar4A&#10;AADjAAAADwAAAAAAAAABACAAAAAiAAAAZHJzL2Rvd25yZXYueG1sUEsBAhQAFAAAAAgAh07iQDMv&#10;BZ47AAAAOQAAABAAAAAAAAAAAQAgAAAADQEAAGRycy9zaGFwZXhtbC54bWxQSwUGAAAAAAYABgBb&#10;AQAAtwMAAAAA&#10;">
                    <v:fill on="f" focussize="0,0"/>
                    <v:stroke weight="0.5pt" color="#000000 [3213]" miterlimit="8" joinstyle="miter"/>
                    <v:imagedata o:title=""/>
                    <o:lock v:ext="edit" aspectratio="f"/>
                    <v:textbox>
                      <w:txbxContent>
                        <w:p w14:paraId="10F1F425">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鲜叶</w:t>
                          </w:r>
                        </w:p>
                      </w:txbxContent>
                    </v:textbox>
                  </v:rect>
                  <v:rect id="_x0000_s1026" o:spid="_x0000_s1026" o:spt="1" style="position:absolute;left:841572;top:104088;height:276201;width:509798;v-text-anchor:middle;" filled="f" stroked="t" coordsize="21600,21600" o:gfxdata="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UAXe/&#10;AAAA4wAAAA8AAAAAAAAAAQAgAAAAIgAAAGRycy9kb3ducmV2LnhtbFBLAQIUABQAAAAIAIdO4kAz&#10;LwWeOwAAADkAAAAQAAAAAAAAAAEAIAAAAA4BAABkcnMvc2hhcGV4bWwueG1sUEsFBgAAAAAGAAYA&#10;WwEAALgDAAAAAA==&#10;">
                    <v:fill on="f" focussize="0,0"/>
                    <v:stroke weight="0.5pt" color="#000000 [3213]" miterlimit="8" joinstyle="miter"/>
                    <v:imagedata o:title=""/>
                    <o:lock v:ext="edit" aspectratio="f"/>
                    <v:textbox>
                      <w:txbxContent>
                        <w:p w14:paraId="1FC83290">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萎凋</w:t>
                          </w:r>
                        </w:p>
                      </w:txbxContent>
                    </v:textbox>
                  </v:rect>
                  <v:rect id="_x0000_s1026" o:spid="_x0000_s1026" o:spt="1" style="position:absolute;left:1610234;top:104091;height:276201;width:527137;v-text-anchor:middle;" filled="f" stroked="t" coordsize="21600,21600" o:gfxdata="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JCF&#10;+UTCAAAA4gAAAA8AAAAAAAAAAQAgAAAAIgAAAGRycy9kb3ducmV2LnhtbFBLAQIUABQAAAAIAIdO&#10;4kAzLwWeOwAAADkAAAAQAAAAAAAAAAEAIAAAABEBAABkcnMvc2hhcGV4bWwueG1sUEsFBgAAAAAG&#10;AAYAWwEAALsDAAAAAA==&#10;">
                    <v:fill on="f" focussize="0,0"/>
                    <v:stroke weight="0.5pt" color="#000000 [3213]" miterlimit="8" joinstyle="miter"/>
                    <v:imagedata o:title=""/>
                    <o:lock v:ext="edit" aspectratio="f"/>
                    <v:textbox>
                      <w:txbxContent>
                        <w:p w14:paraId="214FA9DC">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揉捻</w:t>
                          </w:r>
                        </w:p>
                      </w:txbxContent>
                    </v:textbox>
                  </v:rect>
                  <v:rect id="_x0000_s1026" o:spid="_x0000_s1026" o:spt="1" style="position:absolute;left:2396309;top:104100;height:276201;width:751404;v-text-anchor:middle;" filled="f" stroked="t" coordsize="21600,21600" o:gfxdata="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OV+&#10;QTPCAAAA4wAAAA8AAAAAAAAAAQAgAAAAIgAAAGRycy9kb3ducmV2LnhtbFBLAQIUABQAAAAIAIdO&#10;4kAzLwWeOwAAADkAAAAQAAAAAAAAAAEAIAAAABEBAABkcnMvc2hhcGV4bWwueG1sUEsFBgAAAAAG&#10;AAYAWwEAALsDAAAAAA==&#10;">
                    <v:fill on="f" focussize="0,0"/>
                    <v:stroke weight="0.5pt" color="#000000 [3213]" miterlimit="8" joinstyle="miter"/>
                    <v:imagedata o:title=""/>
                    <o:lock v:ext="edit" aspectratio="f"/>
                    <v:textbox>
                      <w:txbxContent>
                        <w:p w14:paraId="54203FCA">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混合发酵</w:t>
                          </w:r>
                        </w:p>
                      </w:txbxContent>
                    </v:textbox>
                  </v:rect>
                  <v:rect id="_x0000_s1026" o:spid="_x0000_s1026" o:spt="1" style="position:absolute;left:3406646;top:104091;height:276201;width:497086;v-text-anchor:middle;" filled="f" stroked="t" coordsize="21600,21600" o:gfxdata="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ld+ob4A&#10;AADiAAAADwAAAAAAAAABACAAAAAiAAAAZHJzL2Rvd25yZXYueG1sUEsBAhQAFAAAAAgAh07iQDMv&#10;BZ47AAAAOQAAABAAAAAAAAAAAQAgAAAADQEAAGRycy9zaGFwZXhtbC54bWxQSwUGAAAAAAYABgBb&#10;AQAAtwMAAAAA&#10;">
                    <v:fill on="f" focussize="0,0"/>
                    <v:stroke weight="0.5pt" color="#000000 [3213]" miterlimit="8" joinstyle="miter"/>
                    <v:imagedata o:title=""/>
                    <o:lock v:ext="edit" aspectratio="f"/>
                    <v:textbox>
                      <w:txbxContent>
                        <w:p w14:paraId="3F0B40E9">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干燥</w:t>
                          </w:r>
                        </w:p>
                      </w:txbxContent>
                    </v:textbox>
                  </v:rect>
                  <v:rect id="_x0000_s1026" o:spid="_x0000_s1026" o:spt="1" style="position:absolute;left:4162664;top:104079;height:276201;width:471198;v-text-anchor:middle;" filled="f" stroked="t" coordsize="21600,21600" o:gfxdata="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10XBdvQAA&#10;AOMAAAAPAAAAAAAAAAEAIAAAACIAAABkcnMvZG93bnJldi54bWxQSwECFAAUAAAACACHTuJAMy8F&#10;njsAAAA5AAAAEAAAAAAAAAABACAAAAAMAQAAZHJzL3NoYXBleG1sLnhtbFBLBQYAAAAABgAGAFsB&#10;AAC2AwAAAAA=&#10;">
                    <v:fill on="f" focussize="0,0"/>
                    <v:stroke weight="0.5pt" color="#000000 [3213]" miterlimit="8" joinstyle="miter"/>
                    <v:imagedata o:title=""/>
                    <o:lock v:ext="edit" aspectratio="f"/>
                    <v:textbox>
                      <w:txbxContent>
                        <w:p w14:paraId="218CD060">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精制</w:t>
                          </w:r>
                        </w:p>
                      </w:txbxContent>
                    </v:textbox>
                  </v:rect>
                  <v:rect id="_x0000_s1026" o:spid="_x0000_s1026" o:spt="1" style="position:absolute;left:4898408;top:104079;height:276201;width:502866;v-text-anchor:middle;" filled="f" stroked="t" coordsize="21600,21600" o:gfxdata="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Bwc&#10;nC7CAAAA4gAAAA8AAAAAAAAAAQAgAAAAIgAAAGRycy9kb3ducmV2LnhtbFBLAQIUABQAAAAIAIdO&#10;4kAzLwWeOwAAADkAAAAQAAAAAAAAAAEAIAAAABEBAABkcnMvc2hhcGV4bWwueG1sUEsFBgAAAAAG&#10;AAYAWwEAALsDAAAAAA==&#10;">
                    <v:fill on="f" focussize="0,0"/>
                    <v:stroke weight="0.5pt" color="#000000 [3213]" miterlimit="8" joinstyle="miter"/>
                    <v:imagedata o:title=""/>
                    <o:lock v:ext="edit" aspectratio="f"/>
                    <v:textbox>
                      <w:txbxContent>
                        <w:p w14:paraId="7899423D">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成品</w:t>
                          </w:r>
                        </w:p>
                      </w:txbxContent>
                    </v:textbox>
                  </v:rect>
                  <v:shape id="_x0000_s1026" o:spid="_x0000_s1026" o:spt="32" type="#_x0000_t32" style="position:absolute;left:582627;top:250853;height:0;width:258945;" filled="f" stroked="t" coordsize="21600,21600" o:gfxdata="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c8JolsQAAADiAAAADwAAAAAAAAABACAAAAAiAAAAZHJzL2Rvd25yZXYueG1sUEsBAhQAFAAAAAgA&#10;h07iQDMvBZ47AAAAOQAAABAAAAAAAAAAAQAgAAAAEwEAAGRycy9zaGFwZXhtbC54bWxQSwUGAAAA&#10;AAYABgBbAQAAvQMAAAAA&#10;">
                    <v:fill on="f" focussize="0,0"/>
                    <v:stroke weight="0.5pt" color="#000000" joinstyle="round" endarrow="block"/>
                    <v:imagedata o:title=""/>
                    <o:lock v:ext="edit" aspectratio="f"/>
                  </v:shape>
                  <v:shape id="_x0000_s1026" o:spid="_x0000_s1026" o:spt="32" type="#_x0000_t32" style="position:absolute;left:1351287;top:258945;height:0;width:258945;" filled="f" stroked="t" coordsize="21600,21600" o:gfxdata="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Gkq&#10;Wy/CAAAA4gAAAA8AAAAAAAAAAQAgAAAAIgAAAGRycy9kb3ducmV2LnhtbFBLAQIUABQAAAAIAIdO&#10;4kAzLwWeOwAAADkAAAAQAAAAAAAAAAEAIAAAABEBAABkcnMvc2hhcGV4bWwueG1sUEsFBgAAAAAG&#10;AAYAWwEAALsDAAAAAA==&#10;">
                    <v:fill on="f" focussize="0,0"/>
                    <v:stroke weight="0.5pt" color="#000000" joinstyle="round" endarrow="block"/>
                    <v:imagedata o:title=""/>
                    <o:lock v:ext="edit" aspectratio="f"/>
                  </v:shape>
                  <v:shape id="_x0000_s1026" o:spid="_x0000_s1026" o:spt="32" type="#_x0000_t32" style="position:absolute;left:2137370;top:258945;height:0;width:258945;" filled="f" stroked="t" coordsize="21600,21600" o:gfxdata="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cZaW&#10;SsEAAADjAAAADwAAAAAAAAABACAAAAAiAAAAZHJzL2Rvd25yZXYueG1sUEsBAhQAFAAAAAgAh07i&#10;QDMvBZ47AAAAOQAAABAAAAAAAAAAAQAgAAAAEAEAAGRycy9zaGFwZXhtbC54bWxQSwUGAAAAAAYA&#10;BgBbAQAAugMAAAAA&#10;">
                    <v:fill on="f" focussize="0,0"/>
                    <v:stroke weight="0.5pt" color="#000000" joinstyle="round" endarrow="block"/>
                    <v:imagedata o:title=""/>
                    <o:lock v:ext="edit" aspectratio="f"/>
                  </v:shape>
                  <v:shape id="_x0000_s1026" o:spid="_x0000_s1026" o:spt="32" type="#_x0000_t32" style="position:absolute;left:3147707;top:258945;height:0;width:258945;" filled="f" stroked="t" coordsize="21600,21600" o:gfxdata="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N&#10;8wQlwwAAAOMAAAAPAAAAAAAAAAEAIAAAACIAAABkcnMvZG93bnJldi54bWxQSwECFAAUAAAACACH&#10;TuJAMy8FnjsAAAA5AAAAEAAAAAAAAAABACAAAAASAQAAZHJzL3NoYXBleG1sLnhtbFBLBQYAAAAA&#10;BgAGAFsBAAC8AwAAAAA=&#10;">
                    <v:fill on="f" focussize="0,0"/>
                    <v:stroke weight="0.5pt" color="#000000" joinstyle="round" endarrow="block"/>
                    <v:imagedata o:title=""/>
                    <o:lock v:ext="edit" aspectratio="f"/>
                  </v:shape>
                  <v:shape id="_x0000_s1026" o:spid="_x0000_s1026" o:spt="32" type="#_x0000_t32" style="position:absolute;left:3903726;top:258945;height:0;width:258945;" filled="f" stroked="t" coordsize="21600,21600" o:gfxdata="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QFhZu/&#10;AAAA4wAAAA8AAAAAAAAAAQAgAAAAIgAAAGRycy9kb3ducmV2LnhtbFBLAQIUABQAAAAIAIdO4kAz&#10;LwWeOwAAADkAAAAQAAAAAAAAAAEAIAAAAA4BAABkcnMvc2hhcGV4bWwueG1sUEsFBgAAAAAGAAYA&#10;WwEAALgDAAAAAA==&#10;">
                    <v:fill on="f" focussize="0,0"/>
                    <v:stroke weight="0.5pt" color="#000000 [3213]" joinstyle="round" endarrow="block"/>
                    <v:imagedata o:title=""/>
                    <o:lock v:ext="edit" aspectratio="f"/>
                  </v:shape>
                  <v:shape id="_x0000_s1026" o:spid="_x0000_s1026" o:spt="32" type="#_x0000_t32" style="position:absolute;left:4641344;top:258945;height:0;width:258945;" filled="f" stroked="t" coordsize="21600,21600" o:gfxdata="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F&#10;FFjHwwAAAOMAAAAPAAAAAAAAAAEAIAAAACIAAABkcnMvZG93bnJldi54bWxQSwECFAAUAAAACACH&#10;TuJAMy8FnjsAAAA5AAAAEAAAAAAAAAABACAAAAASAQAAZHJzL3NoYXBleG1sLnhtbFBLBQYAAAAA&#10;BgAGAFsBAAC8AwAAAAA=&#10;">
                    <v:fill on="f" focussize="0,0"/>
                    <v:stroke weight="0.5pt" color="#000000 [3213]" joinstyle="round" endarrow="block"/>
                    <v:imagedata o:title=""/>
                    <o:lock v:ext="edit" aspectratio="f"/>
                  </v:shape>
                  <v:rect id="_x0000_s1026" o:spid="_x0000_s1026" o:spt="1" style="position:absolute;left:1529365;top:650896;height:276201;width:607651;v-text-anchor:middle;" filled="f" stroked="t" coordsize="21600,21600" o:gfxdata="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AgzA&#10;JcEAAADjAAAADwAAAAAAAAABACAAAAAiAAAAZHJzL2Rvd25yZXYueG1sUEsBAhQAFAAAAAgAh07i&#10;QDMvBZ47AAAAOQAAABAAAAAAAAAAAQAgAAAAEAEAAGRycy9zaGFwZXhtbC54bWxQSwUGAAAAAAYA&#10;BgBbAQAAugMAAAAA&#10;">
                    <v:fill on="f" focussize="0,0"/>
                    <v:stroke weight="0.5pt" color="#000000 [3213]" miterlimit="8" joinstyle="miter"/>
                    <v:imagedata o:title=""/>
                    <o:lock v:ext="edit" aspectratio="f"/>
                    <v:textbox>
                      <w:txbxContent>
                        <w:p w14:paraId="51361464">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茶树花</w:t>
                          </w:r>
                        </w:p>
                      </w:txbxContent>
                    </v:textbox>
                  </v:rect>
                  <v:rect id="_x0000_s1026" o:spid="_x0000_s1026" o:spt="1" style="position:absolute;left:2396055;top:650899;height:276201;width:751315;v-text-anchor:middle;" filled="f" stroked="t" coordsize="21600,21600" o:gfxdata="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pxN/&#10;icEAAADiAAAADwAAAAAAAAABACAAAAAiAAAAZHJzL2Rvd25yZXYueG1sUEsBAhQAFAAAAAgAh07i&#10;QDMvBZ47AAAAOQAAABAAAAAAAAAAAQAgAAAAEAEAAGRycy9zaGFwZXhtbC54bWxQSwUGAAAAAAYA&#10;BgBbAQAAugMAAAAA&#10;">
                    <v:fill on="f" focussize="0,0"/>
                    <v:stroke weight="0.5pt" color="#000000 [3213]" miterlimit="8" joinstyle="miter"/>
                    <v:imagedata o:title=""/>
                    <o:lock v:ext="edit" aspectratio="f"/>
                    <v:textbox>
                      <w:txbxContent>
                        <w:p w14:paraId="33BD4351">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摊晾</w:t>
                          </w:r>
                        </w:p>
                      </w:txbxContent>
                    </v:textbox>
                  </v:rect>
                  <v:shape id="_x0000_s1026" o:spid="_x0000_s1026" o:spt="32" type="#_x0000_t32" style="position:absolute;left:2137365;top:805753;height:0;width:258945;" filled="f" stroked="t" coordsize="21600,21600" o:gfxdata="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sQYZ&#10;2sEAAADjAAAADwAAAAAAAAABACAAAAAiAAAAZHJzL2Rvd25yZXYueG1sUEsBAhQAFAAAAAgAh07i&#10;QDMvBZ47AAAAOQAAABAAAAAAAAAAAQAgAAAAEAEAAGRycy9zaGFwZXhtbC54bWxQSwUGAAAAAAYA&#10;BgBbAQAAugMAAAAA&#10;">
                    <v:fill on="f" focussize="0,0"/>
                    <v:stroke weight="0.5pt" color="#000000" joinstyle="round" endarrow="block"/>
                    <v:imagedata o:title=""/>
                    <o:lock v:ext="edit" aspectratio="f"/>
                  </v:shape>
                  <v:shape id="_x0000_s1026" o:spid="_x0000_s1026" o:spt="32" type="#_x0000_t32" style="position:absolute;left:2637858;top:509738;height:0;width:258945;rotation:-5898240f;" filled="f" stroked="t" coordsize="21600,21600" o:gfxdata="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OZY&#10;QiDCAAAA4wAAAA8AAAAAAAAAAQAgAAAAIgAAAGRycy9kb3ducmV2LnhtbFBLAQIUABQAAAAIAIdO&#10;4kAzLwWeOwAAADkAAAAQAAAAAAAAAAEAIAAAABEBAABkcnMvc2hhcGV4bWwueG1sUEsFBgAAAAAG&#10;AAYAWwEAALsDAAAAAA==&#10;">
                    <v:fill on="f" focussize="0,0"/>
                    <v:stroke weight="0.5pt" color="#000000" joinstyle="round" endarrow="block"/>
                    <v:imagedata o:title=""/>
                    <o:lock v:ext="edit" aspectratio="f"/>
                  </v:shape>
                </v:group>
                <w10:wrap type="none"/>
                <w10:anchorlock/>
              </v:group>
            </w:pict>
          </mc:Fallback>
        </mc:AlternateContent>
      </w:r>
    </w:p>
    <w:p w14:paraId="5FDE28E2">
      <w:pPr>
        <w:ind w:firstLine="640"/>
        <w:jc w:val="cente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图1 茶树花红茶加工工艺流程</w:t>
      </w:r>
    </w:p>
    <w:p w14:paraId="0B036CED">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1.萎凋</w:t>
      </w:r>
    </w:p>
    <w:p w14:paraId="0F77EF43">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萎凋可参照功夫红茶萎凋，可选择萎凋槽萎凋或室内自然萎凋，萎凋至萎凋叶含水率60%～62%为宜，叶面失去光泽，叶色转为暗绿，青草气减退，叶形皱缩，叶质柔软，折梗不断，紧握成团，松手可缓慢松散。</w:t>
      </w:r>
    </w:p>
    <w:p w14:paraId="50020CF3">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2.揉捻</w:t>
      </w:r>
    </w:p>
    <w:p w14:paraId="5108C9C0">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参照功夫红茶及起草单位人员前期制作花香型红茶经验确定装叶量以自然装满揉捻桶为宜，嫩叶宜轻揉，老叶宜重揉，先空揉10 min～15 min，压力按“轻-重-轻”原则交替进行，揉捻50 min～60 min，时间不宜太长也不宜太短，揉捻时间太短，不成条索，叶片破损少不利于后续发酵，揉捻时间太长，茶叶破碎严重。将茶叶揉捻至90%以上芽叶成条索、茶汁溢出黏附叶表面为适度。</w:t>
      </w:r>
    </w:p>
    <w:p w14:paraId="0459310D">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3.茶花摊晾</w:t>
      </w:r>
    </w:p>
    <w:p w14:paraId="6B4F4073">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刚采摘的茶树花呼吸旺盛、堆温高，若不及时摊开，易因闷堆发热导致红变、水闷味，甚至失活腐烂。摊晾通过薄摊通风，快速散出呼吸热与多余水汽，维持花朵活性，适度摊晾可激活水解酶与氧化酶活性，促进内含物转化，让清香更显，为后续加工奠定风味基础。同时新鲜的茶树花含水量高、花瓣脆，直接进行加工容易断瓣。因此可将茶树花剔除梗、叶及杂物后摊晾于室内竹匾上，摊晾时要轻轻抖散摊平呈蓬松状态，保持厚薄一致，根据茶树花含水量不同，摊花厚度3 cm～4 cm；摊放程度以花朵表面开始失水，青气褪去为宜，摊放时间1 h～3 h。</w:t>
      </w:r>
    </w:p>
    <w:p w14:paraId="351061BB">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4.混合发酵</w:t>
      </w:r>
    </w:p>
    <w:p w14:paraId="2BDBB206">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混合发酵是本标准区别于现行“花茶”类标准的核心工序。经过试验优化，茶树花与鲜叶比例宜为0.5:3～1:3，该比例范围内成品茶的花香与茶香协调性最佳，若鲜花添加量过多，花蜜香则会掩盖茶味。其他发酵环境参数与传统红茶发酵基本一致，但由于茶树花的加入，部分参数需要相应调整，发酵叶厚度15 cm～20 cm，发酵时间3.5 h～4 h为宜，每隔0.5 h～1.0 h翻动一次。发酵至青草气消除，透出甜香或花果香，叶面积80%～90%的色泽呈现橘黄色或黄红色。</w:t>
      </w:r>
    </w:p>
    <w:p w14:paraId="43580B32">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5.干燥</w:t>
      </w:r>
    </w:p>
    <w:p w14:paraId="064D4B52">
      <w:pPr>
        <w:spacing w:line="600" w:lineRule="exact"/>
        <w:ind w:firstLine="641"/>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干燥方式及参数与传统红茶基本相同，先进行毛火100 ℃～120 ℃短时干燥迅速破坏酶活性，固定发酵品质，摊晾冷却后再通过足火80 ℃～90 ℃低温慢烘有利于保留花香成分。</w:t>
      </w:r>
    </w:p>
    <w:p w14:paraId="6E901251">
      <w:pPr>
        <w:spacing w:line="600" w:lineRule="exact"/>
        <w:ind w:firstLine="641"/>
        <w:rPr>
          <w:rFonts w:hint="eastAsia" w:ascii="黑体" w:hAnsi="黑体" w:eastAsia="黑体" w:cs="Times New Roman"/>
          <w:sz w:val="32"/>
          <w:szCs w:val="32"/>
        </w:rPr>
      </w:pPr>
      <w:r>
        <w:rPr>
          <w:rFonts w:hint="eastAsia" w:ascii="黑体" w:hAnsi="黑体" w:eastAsia="黑体" w:cs="Times New Roman"/>
          <w:sz w:val="32"/>
          <w:szCs w:val="32"/>
        </w:rPr>
        <w:t>五、国内外同类标准制修订情况及</w:t>
      </w:r>
      <w:bookmarkStart w:id="2" w:name="_Hlk226560417"/>
      <w:r>
        <w:rPr>
          <w:rFonts w:hint="eastAsia" w:ascii="黑体" w:hAnsi="黑体" w:eastAsia="黑体" w:cs="Times New Roman"/>
          <w:sz w:val="32"/>
          <w:szCs w:val="32"/>
        </w:rPr>
        <w:t>与法律法规、强制性标准关系</w:t>
      </w:r>
      <w:bookmarkEnd w:id="2"/>
      <w:r>
        <w:rPr>
          <w:rFonts w:hint="eastAsia" w:ascii="黑体" w:hAnsi="黑体" w:eastAsia="黑体" w:cs="Times New Roman"/>
          <w:sz w:val="32"/>
          <w:szCs w:val="32"/>
        </w:rPr>
        <w:t>，如采用国际标准或国外先进标准，应对采标情况进行说明</w:t>
      </w:r>
    </w:p>
    <w:p w14:paraId="4DC46417">
      <w:pPr>
        <w:spacing w:line="600" w:lineRule="exact"/>
        <w:ind w:firstLine="640" w:firstLineChars="200"/>
        <w:rPr>
          <w:rFonts w:hint="eastAsia" w:ascii="楷体" w:hAnsi="楷体" w:eastAsia="楷体" w:cs="Times New Roman"/>
          <w:sz w:val="32"/>
          <w:szCs w:val="32"/>
        </w:rPr>
      </w:pPr>
      <w:r>
        <w:rPr>
          <w:rFonts w:hint="eastAsia" w:ascii="楷体" w:hAnsi="楷体" w:eastAsia="楷体" w:cs="Times New Roman"/>
          <w:sz w:val="32"/>
          <w:szCs w:val="32"/>
        </w:rPr>
        <w:t>（一）国内外同类标准制修订情况</w:t>
      </w:r>
    </w:p>
    <w:p w14:paraId="07FF4C8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经检索，国外未见有同类标准，国内与本标准相关现行有效的主要有行业标准2项，分别是GH/T 1296—2020《花果香型红茶加工技术规程》，适用于花果香型红茶的生产加工；以及GH/T 1382—2022《花果香红茶》，适用于花果香红茶产品。地方标准有2项，分别是信阳市地方标准DB4115/T 086—2023《茶树花加工技术规程》，规定了茶树花的加工条件、原料选择、加工流程、加工技术、包装贮存等内容，适用于茶树花的加工；以及安徽省地方标准DB34/T 5343—2025《茶树花加工技术规程》，规范了茶树花加工全流程操作和加工记录。团体标准有2项，分别是T/XYCY 007—2024《茶树花加工技术规程》，规定了茶树花的术语和定义、加工条件、原料选择、加工流程、加工技术、包装贮存等内容；T/JSSCYXH 04—2024《茶树花茶加工技术规程》，规定了鲜花摊放—杀青—摊凉—初烘—二次摊凉—足干—除杂归堆的工艺流程及加工设备要求。在检索到的相关标准中主要是以茶鲜叶为原料或茶树花为原料单独加工，均不涉及茶树花与茶鲜叶混合发酵加工红茶的技术路线。本标准聚焦于茶树花与鲜叶混合发酵的工艺路线，在混合发酵核心工序上与现有标准形成显著差异，填补了茶树花混合加工红茶领域的标准空白。</w:t>
      </w:r>
    </w:p>
    <w:p w14:paraId="64FBD018">
      <w:pPr>
        <w:spacing w:line="600" w:lineRule="exact"/>
        <w:ind w:firstLine="640" w:firstLineChars="200"/>
        <w:rPr>
          <w:rFonts w:hint="eastAsia" w:ascii="楷体" w:hAnsi="楷体" w:eastAsia="楷体" w:cs="Times New Roman"/>
          <w:sz w:val="32"/>
          <w:szCs w:val="32"/>
        </w:rPr>
      </w:pPr>
      <w:r>
        <w:rPr>
          <w:rFonts w:hint="eastAsia" w:ascii="楷体" w:hAnsi="楷体" w:eastAsia="楷体" w:cs="Times New Roman"/>
          <w:sz w:val="32"/>
          <w:szCs w:val="32"/>
        </w:rPr>
        <w:t>（二）与法律法规、强制性标准关系</w:t>
      </w:r>
    </w:p>
    <w:p w14:paraId="05803E95">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本标准的制定严格遵循《中华人民共和国标准化法》、《中华人民共和国食品安全法》法律法规的要求，以及严格执行强制性国家标准GB 14881《食品安全国家标准 食品生产通用卫生规范》和GB 7718《食品安全国家标准 预包装食品标签通则》。本标准相关内容均以这些强制性标准为基础，确保技术要求不低于强制性标准的规定</w:t>
      </w:r>
    </w:p>
    <w:p w14:paraId="281B9401">
      <w:pPr>
        <w:spacing w:line="600" w:lineRule="exact"/>
        <w:ind w:firstLine="640" w:firstLineChars="200"/>
        <w:rPr>
          <w:rFonts w:hint="eastAsia" w:ascii="黑体" w:hAnsi="黑体" w:eastAsia="黑体" w:cs="Times New Roman"/>
          <w:sz w:val="32"/>
          <w:szCs w:val="32"/>
        </w:rPr>
      </w:pPr>
      <w:r>
        <w:rPr>
          <w:rFonts w:hint="eastAsia" w:ascii="黑体" w:hAnsi="黑体" w:eastAsia="黑体" w:cs="Times New Roman"/>
          <w:sz w:val="32"/>
          <w:szCs w:val="32"/>
        </w:rPr>
        <w:t>六、重大分歧意见的处理经过和依据</w:t>
      </w:r>
    </w:p>
    <w:p w14:paraId="7A3EBCD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本文件研制过程中无重大分歧意见。</w:t>
      </w:r>
    </w:p>
    <w:p w14:paraId="4509B777">
      <w:pPr>
        <w:spacing w:line="600" w:lineRule="exact"/>
        <w:ind w:firstLine="640" w:firstLineChars="200"/>
        <w:rPr>
          <w:rFonts w:hint="eastAsia" w:ascii="黑体" w:hAnsi="黑体" w:eastAsia="黑体" w:cs="Times New Roman"/>
          <w:sz w:val="32"/>
          <w:szCs w:val="32"/>
        </w:rPr>
      </w:pPr>
      <w:r>
        <w:rPr>
          <w:rFonts w:hint="eastAsia" w:ascii="黑体" w:hAnsi="黑体" w:eastAsia="黑体" w:cs="Times New Roman"/>
          <w:sz w:val="32"/>
          <w:szCs w:val="32"/>
        </w:rPr>
        <w:t>七、实施标准的措施</w:t>
      </w:r>
    </w:p>
    <w:p w14:paraId="7BC39969">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团体标准《茶树花红茶加工技术规程》发布后，标准实施组负责组织茶树花红茶加工企业开展标准宣贯培训会，对标准进行详细解读，让相关人员了解标准，向茶树花红茶加工企业推荐执行本标准。</w:t>
      </w:r>
    </w:p>
    <w:p w14:paraId="5016B38D">
      <w:pPr>
        <w:spacing w:line="600" w:lineRule="exact"/>
        <w:ind w:firstLine="640" w:firstLineChars="200"/>
        <w:rPr>
          <w:rFonts w:hint="eastAsia" w:ascii="黑体" w:hAnsi="黑体" w:eastAsia="黑体" w:cs="Times New Roman"/>
          <w:sz w:val="32"/>
          <w:szCs w:val="32"/>
        </w:rPr>
      </w:pPr>
      <w:r>
        <w:rPr>
          <w:rFonts w:hint="eastAsia" w:ascii="黑体" w:hAnsi="黑体" w:eastAsia="黑体" w:cs="Times New Roman"/>
          <w:sz w:val="32"/>
          <w:szCs w:val="32"/>
        </w:rPr>
        <w:t>八、自我承诺</w:t>
      </w:r>
    </w:p>
    <w:p w14:paraId="6570928E">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承诺本文件内容和各项指标不低于国家强制性标准。也不存在内容或某项指标低于推荐性</w:t>
      </w:r>
      <w:bookmarkStart w:id="3" w:name="_GoBack"/>
      <w:bookmarkEnd w:id="3"/>
      <w:r>
        <w:rPr>
          <w:rFonts w:hint="eastAsia" w:ascii="Times New Roman" w:hAnsi="Times New Roman" w:eastAsia="仿宋_GB2312" w:cs="Times New Roman"/>
          <w:sz w:val="32"/>
          <w:szCs w:val="32"/>
        </w:rPr>
        <w:t>国家标准的情况。</w:t>
      </w:r>
    </w:p>
    <w:p w14:paraId="20D0268D">
      <w:pPr>
        <w:spacing w:line="600" w:lineRule="exact"/>
        <w:ind w:firstLine="640" w:firstLineChars="200"/>
        <w:rPr>
          <w:rFonts w:hint="eastAsia" w:ascii="黑体" w:hAnsi="黑体" w:eastAsia="黑体" w:cs="Times New Roman"/>
          <w:sz w:val="32"/>
          <w:szCs w:val="32"/>
        </w:rPr>
      </w:pPr>
      <w:r>
        <w:rPr>
          <w:rFonts w:hint="eastAsia" w:ascii="黑体" w:hAnsi="黑体" w:eastAsia="黑体" w:cs="Times New Roman"/>
          <w:sz w:val="32"/>
          <w:szCs w:val="32"/>
        </w:rPr>
        <w:t>九、其他应予以说明的事项</w:t>
      </w:r>
    </w:p>
    <w:p w14:paraId="68D3706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无</w:t>
      </w:r>
    </w:p>
    <w:p w14:paraId="6C63AC49"/>
    <w:p w14:paraId="3BD67498"/>
    <w:p w14:paraId="44BC4387">
      <w:pPr>
        <w:pStyle w:val="5"/>
        <w:spacing w:before="0" w:after="0" w:line="600" w:lineRule="exact"/>
        <w:jc w:val="right"/>
        <w:rPr>
          <w:rFonts w:ascii="Times New Roman" w:hAnsi="Times New Roman" w:eastAsia="仿宋_GB2312" w:cs="Times New Roman"/>
          <w:b w:val="0"/>
          <w:bCs w:val="0"/>
          <w:color w:val="000000"/>
          <w:kern w:val="0"/>
          <w:lang w:val="zh-CN" w:bidi="ar"/>
        </w:rPr>
      </w:pPr>
      <w:r>
        <w:rPr>
          <w:rFonts w:hint="eastAsia" w:ascii="Times New Roman" w:hAnsi="Times New Roman" w:eastAsia="仿宋_GB2312" w:cs="Times New Roman"/>
          <w:b w:val="0"/>
          <w:bCs w:val="0"/>
          <w:color w:val="000000"/>
          <w:kern w:val="0"/>
          <w:lang w:val="zh-CN" w:bidi="ar"/>
        </w:rPr>
        <w:t>《茶树花红茶加工技术规程》编制工作小组</w:t>
      </w:r>
    </w:p>
    <w:p w14:paraId="05777CD2">
      <w:pPr>
        <w:pStyle w:val="5"/>
        <w:spacing w:before="0" w:after="0" w:line="600" w:lineRule="exact"/>
        <w:ind w:left="420" w:leftChars="200" w:firstLine="640" w:firstLineChars="200"/>
        <w:jc w:val="both"/>
        <w:rPr>
          <w:rFonts w:ascii="Times New Roman" w:hAnsi="Times New Roman" w:eastAsia="仿宋_GB2312" w:cs="Times New Roman"/>
          <w:b w:val="0"/>
          <w:bCs w:val="0"/>
          <w:color w:val="000000"/>
          <w:kern w:val="0"/>
          <w:lang w:val="zh-CN" w:bidi="ar"/>
        </w:rPr>
      </w:pPr>
      <w:r>
        <w:rPr>
          <w:rFonts w:hint="eastAsia" w:ascii="Times New Roman" w:hAnsi="Times New Roman" w:eastAsia="仿宋_GB2312" w:cs="Times New Roman"/>
          <w:b w:val="0"/>
          <w:bCs w:val="0"/>
          <w:color w:val="000000"/>
          <w:kern w:val="0"/>
          <w:lang w:val="zh-CN" w:bidi="ar"/>
        </w:rPr>
        <w:t xml:space="preserve">                     2026年</w:t>
      </w:r>
      <w:r>
        <w:rPr>
          <w:rFonts w:hint="eastAsia" w:ascii="Times New Roman" w:hAnsi="Times New Roman" w:eastAsia="仿宋_GB2312" w:cs="Times New Roman"/>
          <w:b w:val="0"/>
          <w:bCs w:val="0"/>
          <w:color w:val="000000"/>
          <w:kern w:val="0"/>
          <w:lang w:bidi="ar"/>
        </w:rPr>
        <w:t>4</w:t>
      </w:r>
      <w:r>
        <w:rPr>
          <w:rFonts w:hint="eastAsia" w:ascii="Times New Roman" w:hAnsi="Times New Roman" w:eastAsia="仿宋_GB2312" w:cs="Times New Roman"/>
          <w:b w:val="0"/>
          <w:bCs w:val="0"/>
          <w:color w:val="000000"/>
          <w:kern w:val="0"/>
          <w:lang w:val="zh-CN" w:bidi="ar"/>
        </w:rPr>
        <w:t>月</w:t>
      </w:r>
      <w:r>
        <w:rPr>
          <w:rFonts w:hint="eastAsia" w:ascii="Times New Roman" w:hAnsi="Times New Roman" w:eastAsia="仿宋_GB2312" w:cs="Times New Roman"/>
          <w:b w:val="0"/>
          <w:bCs w:val="0"/>
          <w:color w:val="000000"/>
          <w:kern w:val="0"/>
          <w:lang w:bidi="ar"/>
        </w:rPr>
        <w:t>28</w:t>
      </w:r>
      <w:r>
        <w:rPr>
          <w:rFonts w:hint="eastAsia" w:ascii="Times New Roman" w:hAnsi="Times New Roman" w:eastAsia="仿宋_GB2312" w:cs="Times New Roman"/>
          <w:b w:val="0"/>
          <w:bCs w:val="0"/>
          <w:color w:val="000000"/>
          <w:kern w:val="0"/>
          <w:lang w:val="zh-CN" w:bidi="ar"/>
        </w:rPr>
        <w:t xml:space="preserve">日 </w:t>
      </w:r>
    </w:p>
    <w:p w14:paraId="53FC318B"/>
    <w:p w14:paraId="481F49C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31B12023-2678-4721-81CA-C24D740EFA74}"/>
  </w:font>
  <w:font w:name="宋体">
    <w:panose1 w:val="02010600030101010101"/>
    <w:charset w:val="86"/>
    <w:family w:val="auto"/>
    <w:pitch w:val="default"/>
    <w:sig w:usb0="00000203" w:usb1="288F0000" w:usb2="00000006" w:usb3="00000000" w:csb0="00040001" w:csb1="00000000"/>
    <w:embedRegular r:id="rId2" w:fontKey="{AD5C7198-2731-44BE-92D9-585C79899763}"/>
  </w:font>
  <w:font w:name="Wingdings">
    <w:panose1 w:val="05000000000000000000"/>
    <w:charset w:val="02"/>
    <w:family w:val="auto"/>
    <w:pitch w:val="default"/>
    <w:sig w:usb0="00000000" w:usb1="00000000" w:usb2="00000000" w:usb3="00000000" w:csb0="80000000" w:csb1="00000000"/>
    <w:embedRegular r:id="rId3" w:fontKey="{C82D0F64-B6D9-4632-9651-C78CC51DF601}"/>
  </w:font>
  <w:font w:name="Arial">
    <w:panose1 w:val="020B0604020202020204"/>
    <w:charset w:val="01"/>
    <w:family w:val="swiss"/>
    <w:pitch w:val="default"/>
    <w:sig w:usb0="E0002EFF" w:usb1="C000785B" w:usb2="00000009" w:usb3="00000000" w:csb0="400001FF" w:csb1="FFFF0000"/>
    <w:embedRegular r:id="rId4" w:fontKey="{25937C88-28DF-48F6-AE11-C8C12B0495DE}"/>
  </w:font>
  <w:font w:name="黑体">
    <w:panose1 w:val="02010609060101010101"/>
    <w:charset w:val="86"/>
    <w:family w:val="auto"/>
    <w:pitch w:val="default"/>
    <w:sig w:usb0="800002BF" w:usb1="38CF7CFA" w:usb2="00000016" w:usb3="00000000" w:csb0="00040001" w:csb1="00000000"/>
    <w:embedRegular r:id="rId5" w:fontKey="{0AA5A514-1C56-4D92-B2E5-36E2F9DDB94C}"/>
  </w:font>
  <w:font w:name="Courier New">
    <w:panose1 w:val="02070309020205020404"/>
    <w:charset w:val="01"/>
    <w:family w:val="modern"/>
    <w:pitch w:val="default"/>
    <w:sig w:usb0="E0002EFF" w:usb1="C0007843" w:usb2="00000009" w:usb3="00000000" w:csb0="400001FF" w:csb1="FFFF0000"/>
    <w:embedRegular r:id="rId6" w:fontKey="{127A1C7F-35D3-4D50-BCAE-BE7B57822835}"/>
  </w:font>
  <w:font w:name="Symbol">
    <w:panose1 w:val="05050102010706020507"/>
    <w:charset w:val="02"/>
    <w:family w:val="roman"/>
    <w:pitch w:val="default"/>
    <w:sig w:usb0="00000000" w:usb1="00000000" w:usb2="00000000" w:usb3="00000000" w:csb0="80000000" w:csb1="00000000"/>
    <w:embedRegular r:id="rId7" w:fontKey="{C58C875D-C4A4-436C-9B26-21C36B8498F3}"/>
  </w:font>
  <w:font w:name="Calibri">
    <w:panose1 w:val="020F0502020204030204"/>
    <w:charset w:val="00"/>
    <w:family w:val="swiss"/>
    <w:pitch w:val="default"/>
    <w:sig w:usb0="E4002EFF" w:usb1="C200247B" w:usb2="00000009" w:usb3="00000000" w:csb0="200001FF" w:csb1="00000000"/>
    <w:embedRegular r:id="rId8" w:fontKey="{A8E4F4A6-BC6F-47C7-96F0-E71C5654178F}"/>
  </w:font>
  <w:font w:name="Cambria">
    <w:panose1 w:val="02040503050406030204"/>
    <w:charset w:val="00"/>
    <w:family w:val="roman"/>
    <w:pitch w:val="default"/>
    <w:sig w:usb0="E00006FF" w:usb1="420024FF" w:usb2="02000000" w:usb3="00000000" w:csb0="2000019F" w:csb1="00000000"/>
    <w:embedRegular r:id="rId9" w:fontKey="{9F3B58A2-91F3-4873-B07D-AB06F25A1FC2}"/>
  </w:font>
  <w:font w:name="方正小标宋简体">
    <w:panose1 w:val="02000000000000000000"/>
    <w:charset w:val="86"/>
    <w:family w:val="auto"/>
    <w:pitch w:val="default"/>
    <w:sig w:usb0="00000001" w:usb1="08000000" w:usb2="00000000" w:usb3="00000000" w:csb0="00040000" w:csb1="00000000"/>
    <w:embedRegular r:id="rId10" w:fontKey="{D084A0E0-D8C8-4CDD-ACFA-EBA1BA0F8A3F}"/>
  </w:font>
  <w:font w:name="仿宋">
    <w:panose1 w:val="02010609060101010101"/>
    <w:charset w:val="86"/>
    <w:family w:val="modern"/>
    <w:pitch w:val="default"/>
    <w:sig w:usb0="800002BF" w:usb1="38CF7CFA" w:usb2="00000016" w:usb3="00000000" w:csb0="00040001" w:csb1="00000000"/>
    <w:embedRegular r:id="rId11" w:fontKey="{D49FF108-5192-41AB-8DA9-36D8D7646DDE}"/>
  </w:font>
  <w:font w:name="楷体">
    <w:panose1 w:val="02010609060101010101"/>
    <w:charset w:val="86"/>
    <w:family w:val="modern"/>
    <w:pitch w:val="default"/>
    <w:sig w:usb0="800002BF" w:usb1="38CF7CFA" w:usb2="00000016" w:usb3="00000000" w:csb0="00040001" w:csb1="00000000"/>
    <w:embedRegular r:id="rId12" w:fontKey="{E79FD226-AA52-4C5A-9056-306F1F6FD0EC}"/>
  </w:font>
  <w:font w:name="仿宋_GB2312">
    <w:panose1 w:val="02010609030101010101"/>
    <w:charset w:val="86"/>
    <w:family w:val="modern"/>
    <w:pitch w:val="default"/>
    <w:sig w:usb0="00000001" w:usb1="080E0000" w:usb2="00000000" w:usb3="00000000" w:csb0="00040000" w:csb1="00000000"/>
    <w:embedRegular r:id="rId13" w:fontKey="{ECA495CF-87A7-4133-9D01-C1B9F2BFB3B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zNmY1NjE2ZDQ0YjdkMjFjYmU4NTZlZjBhMjY1MmYifQ=="/>
  </w:docVars>
  <w:rsids>
    <w:rsidRoot w:val="7DFA2237"/>
    <w:rsid w:val="000B43BA"/>
    <w:rsid w:val="000C1442"/>
    <w:rsid w:val="00111759"/>
    <w:rsid w:val="00124CD3"/>
    <w:rsid w:val="00144DB1"/>
    <w:rsid w:val="00155FE5"/>
    <w:rsid w:val="00172384"/>
    <w:rsid w:val="00175849"/>
    <w:rsid w:val="001B056D"/>
    <w:rsid w:val="001D0E6E"/>
    <w:rsid w:val="00235487"/>
    <w:rsid w:val="00275B45"/>
    <w:rsid w:val="0028459E"/>
    <w:rsid w:val="002E7A4A"/>
    <w:rsid w:val="002F1A80"/>
    <w:rsid w:val="00333F64"/>
    <w:rsid w:val="00366389"/>
    <w:rsid w:val="003852FA"/>
    <w:rsid w:val="003A51F1"/>
    <w:rsid w:val="003A5C1E"/>
    <w:rsid w:val="003B4FB8"/>
    <w:rsid w:val="00423957"/>
    <w:rsid w:val="00433E65"/>
    <w:rsid w:val="00442497"/>
    <w:rsid w:val="0047152D"/>
    <w:rsid w:val="00471AED"/>
    <w:rsid w:val="004C20B9"/>
    <w:rsid w:val="004C6B2A"/>
    <w:rsid w:val="004D658B"/>
    <w:rsid w:val="004F2863"/>
    <w:rsid w:val="00501670"/>
    <w:rsid w:val="00503FDA"/>
    <w:rsid w:val="005B31CD"/>
    <w:rsid w:val="005C2615"/>
    <w:rsid w:val="00686C81"/>
    <w:rsid w:val="00753745"/>
    <w:rsid w:val="007546F5"/>
    <w:rsid w:val="00760657"/>
    <w:rsid w:val="007661FA"/>
    <w:rsid w:val="00781EB6"/>
    <w:rsid w:val="007827DC"/>
    <w:rsid w:val="007B06E9"/>
    <w:rsid w:val="007B2E03"/>
    <w:rsid w:val="007D320F"/>
    <w:rsid w:val="007F79DF"/>
    <w:rsid w:val="00805988"/>
    <w:rsid w:val="008226A8"/>
    <w:rsid w:val="0086023B"/>
    <w:rsid w:val="008F271F"/>
    <w:rsid w:val="00915352"/>
    <w:rsid w:val="00927DFA"/>
    <w:rsid w:val="009A2C4B"/>
    <w:rsid w:val="00A11BA8"/>
    <w:rsid w:val="00A7431D"/>
    <w:rsid w:val="00A92463"/>
    <w:rsid w:val="00AA6647"/>
    <w:rsid w:val="00AA6FFD"/>
    <w:rsid w:val="00AA77E8"/>
    <w:rsid w:val="00AB0A27"/>
    <w:rsid w:val="00BB02E6"/>
    <w:rsid w:val="00BB7D37"/>
    <w:rsid w:val="00BE1D20"/>
    <w:rsid w:val="00BE691E"/>
    <w:rsid w:val="00BF633C"/>
    <w:rsid w:val="00C75D6A"/>
    <w:rsid w:val="00CD7851"/>
    <w:rsid w:val="00CE03BA"/>
    <w:rsid w:val="00CE6E22"/>
    <w:rsid w:val="00D85718"/>
    <w:rsid w:val="00D947A0"/>
    <w:rsid w:val="00DC758A"/>
    <w:rsid w:val="00E61EF9"/>
    <w:rsid w:val="00E72B19"/>
    <w:rsid w:val="00EB3F9D"/>
    <w:rsid w:val="00ED684E"/>
    <w:rsid w:val="00F46E9C"/>
    <w:rsid w:val="00F673B1"/>
    <w:rsid w:val="00F81994"/>
    <w:rsid w:val="00FF1AAD"/>
    <w:rsid w:val="157764EE"/>
    <w:rsid w:val="6BA87CBD"/>
    <w:rsid w:val="7DFA22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iPriority w:val="0"/>
    <w:pPr>
      <w:jc w:val="left"/>
    </w:pPr>
  </w:style>
  <w:style w:type="paragraph" w:styleId="3">
    <w:name w:val="footer"/>
    <w:basedOn w:val="1"/>
    <w:link w:val="10"/>
    <w:uiPriority w:val="0"/>
    <w:pPr>
      <w:tabs>
        <w:tab w:val="center" w:pos="4153"/>
        <w:tab w:val="right" w:pos="8306"/>
      </w:tabs>
      <w:snapToGrid w:val="0"/>
      <w:jc w:val="left"/>
    </w:pPr>
    <w:rPr>
      <w:sz w:val="18"/>
      <w:szCs w:val="18"/>
    </w:rPr>
  </w:style>
  <w:style w:type="paragraph" w:styleId="4">
    <w:name w:val="header"/>
    <w:basedOn w:val="1"/>
    <w:link w:val="9"/>
    <w:uiPriority w:val="0"/>
    <w:pPr>
      <w:tabs>
        <w:tab w:val="center" w:pos="4153"/>
        <w:tab w:val="right" w:pos="8306"/>
      </w:tabs>
      <w:snapToGrid w:val="0"/>
      <w:jc w:val="center"/>
    </w:pPr>
    <w:rPr>
      <w:sz w:val="18"/>
      <w:szCs w:val="18"/>
    </w:rPr>
  </w:style>
  <w:style w:type="paragraph" w:styleId="5">
    <w:name w:val="Title"/>
    <w:basedOn w:val="1"/>
    <w:next w:val="1"/>
    <w:qFormat/>
    <w:uiPriority w:val="0"/>
    <w:pPr>
      <w:spacing w:before="240" w:after="60"/>
      <w:jc w:val="center"/>
      <w:outlineLvl w:val="0"/>
    </w:pPr>
    <w:rPr>
      <w:rFonts w:ascii="Cambria" w:hAnsi="Cambria" w:eastAsia="宋体"/>
      <w:b/>
      <w:bCs/>
      <w:sz w:val="32"/>
      <w:szCs w:val="32"/>
    </w:rPr>
  </w:style>
  <w:style w:type="character" w:styleId="8">
    <w:name w:val="annotation reference"/>
    <w:uiPriority w:val="0"/>
    <w:rPr>
      <w:sz w:val="21"/>
      <w:szCs w:val="21"/>
    </w:rPr>
  </w:style>
  <w:style w:type="character" w:customStyle="1" w:styleId="9">
    <w:name w:val="页眉 字符"/>
    <w:basedOn w:val="7"/>
    <w:link w:val="4"/>
    <w:qFormat/>
    <w:uiPriority w:val="0"/>
    <w:rPr>
      <w:kern w:val="2"/>
      <w:sz w:val="18"/>
      <w:szCs w:val="18"/>
    </w:rPr>
  </w:style>
  <w:style w:type="character" w:customStyle="1" w:styleId="10">
    <w:name w:val="页脚 字符"/>
    <w:basedOn w:val="7"/>
    <w:link w:val="3"/>
    <w:uiPriority w:val="0"/>
    <w:rPr>
      <w:kern w:val="2"/>
      <w:sz w:val="18"/>
      <w:szCs w:val="18"/>
    </w:rPr>
  </w:style>
  <w:style w:type="paragraph" w:styleId="11">
    <w:name w:val="List Paragraph"/>
    <w:basedOn w:val="1"/>
    <w:unhideWhenUsed/>
    <w:qFormat/>
    <w:uiPriority w:val="99"/>
    <w:pPr>
      <w:ind w:firstLine="420" w:firstLineChars="200"/>
    </w:pPr>
  </w:style>
  <w:style w:type="paragraph" w:customStyle="1" w:styleId="12">
    <w:name w:val="Revision"/>
    <w:hidden/>
    <w:unhideWhenUsed/>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5772</Words>
  <Characters>6128</Characters>
  <Lines>45</Lines>
  <Paragraphs>12</Paragraphs>
  <TotalTime>301</TotalTime>
  <ScaleCrop>false</ScaleCrop>
  <LinksUpToDate>false</LinksUpToDate>
  <CharactersWithSpaces>6229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2026-03-11T09:31:00Z</dcterms:created>
  <dc:creator>嘎嘎</dc:creator>
  <cp:lastModifiedBy>ljx</cp:lastModifiedBy>
  <dcterms:modified xsi:type="dcterms:W3CDTF">2026-05-08T08:41:02Z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FED9BDB60B8B46FDAF684D2B24C67871_13</vt:lpwstr>
  </property>
  <property fmtid="{D5CDD505-2E9C-101B-9397-08002B2CF9AE}" pid="4" name="KSOTemplateDocerSaveRecord">
    <vt:lpwstr>eyJoZGlkIjoiMzg2M2FkY2IxYzM1OTU4ODUxMDFiMzMzYWYyOTY1NTgiLCJ1c2VySWQiOiI3MDY1NDIzOTAifQ==</vt:lpwstr>
  </property>
</Properties>
</file>