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03.080.99</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559C41F5">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A20</w:t>
            </w:r>
            <w:r>
              <w:rPr>
                <w:rFonts w:ascii="黑体" w:hAnsi="黑体" w:eastAsia="黑体"/>
                <w:sz w:val="21"/>
                <w:szCs w:val="21"/>
              </w:rPr>
              <w:fldChar w:fldCharType="end"/>
            </w:r>
            <w:bookmarkEnd w:id="2"/>
          </w:p>
        </w:tc>
      </w:tr>
    </w:tbl>
    <w:p w14:paraId="3CD15C96">
      <w:pPr>
        <w:pStyle w:val="50"/>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6"/>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0"/>
        <w:framePr w:w="9639" w:h="6976" w:hRule="exact" w:hSpace="0" w:vSpace="0" w:wrap="around" w:hAnchor="page" w:y="6408"/>
        <w:jc w:val="center"/>
        <w:rPr>
          <w:rFonts w:ascii="黑体" w:hAnsi="黑体" w:eastAsia="黑体"/>
          <w:b w:val="0"/>
          <w:bCs w:val="0"/>
          <w:w w:val="100"/>
        </w:rPr>
      </w:pPr>
    </w:p>
    <w:p w14:paraId="78AC8BF5">
      <w:pPr>
        <w:pStyle w:val="197"/>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中医药养生市集建设与服务规范</w:t>
      </w:r>
      <w:r>
        <w:fldChar w:fldCharType="end"/>
      </w:r>
      <w:bookmarkEnd w:id="9"/>
    </w:p>
    <w:p w14:paraId="508635D4">
      <w:pPr>
        <w:framePr w:w="9639" w:h="6974" w:hRule="exact" w:wrap="around" w:vAnchor="page" w:hAnchor="page" w:x="1419" w:y="6408" w:anchorLock="1"/>
        <w:ind w:left="-1418"/>
      </w:pPr>
    </w:p>
    <w:p w14:paraId="14C9465E">
      <w:pPr>
        <w:pStyle w:val="125"/>
        <w:framePr w:w="9639" w:h="6974" w:hRule="exact" w:wrap="around" w:vAnchor="page" w:hAnchor="page" w:x="1419" w:y="6408" w:anchorLock="1"/>
        <w:textAlignment w:val="bottom"/>
        <w:rPr>
          <w:rFonts w:hint="eastAsia" w:eastAsia="黑体"/>
          <w:szCs w:val="28"/>
          <w:lang w:val="en-US" w:eastAsia="zh-CN"/>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Construction and Service Specification for Traditional Chinese Medicine</w:t>
      </w:r>
      <w:r>
        <w:rPr>
          <w:rFonts w:hint="eastAsia" w:eastAsia="黑体"/>
          <w:szCs w:val="28"/>
          <w:lang w:val="en-US" w:eastAsia="zh-CN"/>
        </w:rPr>
        <w:t xml:space="preserve"> Wellness Markets</w:t>
      </w:r>
    </w:p>
    <w:p w14:paraId="278376D5">
      <w:pPr>
        <w:pStyle w:val="125"/>
        <w:framePr w:w="9639" w:h="6974" w:hRule="exact" w:wrap="around" w:vAnchor="page" w:hAnchor="page" w:x="1419" w:y="6408" w:anchorLock="1"/>
        <w:textAlignment w:val="bottom"/>
        <w:rPr>
          <w:rFonts w:hint="eastAsia" w:eastAsia="黑体"/>
          <w:szCs w:val="28"/>
        </w:rPr>
      </w:pPr>
    </w:p>
    <w:p w14:paraId="0B0FD945">
      <w:pPr>
        <w:pStyle w:val="125"/>
        <w:framePr w:w="9639" w:h="6974" w:hRule="exact" w:wrap="around" w:vAnchor="page" w:hAnchor="page" w:x="1419" w:y="6408" w:anchorLock="1"/>
        <w:textAlignment w:val="bottom"/>
        <w:rPr>
          <w:rFonts w:hint="eastAsia" w:eastAsia="黑体"/>
          <w:szCs w:val="28"/>
        </w:rPr>
      </w:pPr>
    </w:p>
    <w:p w14:paraId="68984876">
      <w:pPr>
        <w:pStyle w:val="125"/>
        <w:framePr w:w="9639" w:h="6974" w:hRule="exact" w:wrap="around" w:vAnchor="page" w:hAnchor="page" w:x="1419" w:y="6408" w:anchorLock="1"/>
        <w:textAlignment w:val="bottom"/>
        <w:rPr>
          <w:rFonts w:eastAsia="黑体"/>
          <w:szCs w:val="28"/>
        </w:rPr>
      </w:pPr>
      <w:r>
        <w:rPr>
          <w:rFonts w:hint="eastAsia" w:eastAsia="黑体"/>
          <w:szCs w:val="28"/>
          <w:lang w:eastAsia="zh-CN"/>
        </w:rPr>
        <w:t>（征求意见稿）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5"/>
        <w:framePr w:w="9639" w:h="6974" w:hRule="exact" w:wrap="around" w:vAnchor="page" w:hAnchor="page" w:x="1419" w:y="6408" w:anchorLock="1"/>
        <w:textAlignment w:val="bottom"/>
        <w:rPr>
          <w:rFonts w:eastAsia="黑体"/>
          <w:szCs w:val="28"/>
        </w:rPr>
      </w:pPr>
    </w:p>
    <w:p w14:paraId="1A0DA96B">
      <w:pPr>
        <w:pStyle w:val="125"/>
        <w:framePr w:w="9639" w:h="6974" w:hRule="exact" w:wrap="around" w:vAnchor="page" w:hAnchor="page" w:x="1419" w:y="6408" w:anchorLock="1"/>
        <w:spacing w:before="440" w:after="160"/>
        <w:textAlignment w:val="bottom"/>
        <w:rPr>
          <w:sz w:val="24"/>
          <w:szCs w:val="28"/>
        </w:rPr>
      </w:pPr>
    </w:p>
    <w:p w14:paraId="18BBDAAC">
      <w:pPr>
        <w:pStyle w:val="193"/>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4"/>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361F588">
      <w:pPr>
        <w:pStyle w:val="91"/>
        <w:spacing w:after="360"/>
        <w:outlineLvl w:val="1"/>
      </w:pPr>
      <w:bookmarkStart w:id="18" w:name="BookMark1"/>
      <w:r>
        <w:rPr>
          <w:rFonts w:hint="eastAsia"/>
          <w:spacing w:val="320"/>
        </w:rPr>
        <w:t>目</w:t>
      </w:r>
      <w:r>
        <w:rPr>
          <w:rFonts w:hint="eastAsia"/>
        </w:rPr>
        <w:t>次</w:t>
      </w:r>
    </w:p>
    <w:p w14:paraId="2FCE948A">
      <w:pPr>
        <w:pStyle w:val="91"/>
        <w:spacing w:after="360" w:line="360" w:lineRule="auto"/>
        <w:sectPr>
          <w:headerReference r:id="rId9" w:type="default"/>
          <w:footerReference r:id="rId11" w:type="default"/>
          <w:headerReference r:id="rId10" w:type="even"/>
          <w:pgSz w:w="11906" w:h="16838"/>
          <w:pgMar w:top="2410" w:right="1134" w:bottom="1134" w:left="1134" w:header="1418" w:footer="1134" w:gutter="284"/>
          <w:pgNumType w:fmt="upperRoman" w:start="1"/>
          <w:cols w:space="425" w:num="1"/>
          <w:formProt w:val="0"/>
          <w:docGrid w:linePitch="312" w:charSpace="0"/>
        </w:sectPr>
      </w:pPr>
    </w:p>
    <w:bookmarkEnd w:id="18"/>
    <w:p w14:paraId="0A5973BF">
      <w:pPr>
        <w:pStyle w:val="89"/>
        <w:spacing w:after="360"/>
      </w:pPr>
      <w:bookmarkStart w:id="19" w:name="_Toc27272"/>
      <w:bookmarkStart w:id="20" w:name="BookMark2"/>
      <w:r>
        <w:rPr>
          <w:spacing w:val="320"/>
        </w:rPr>
        <w:t>前</w:t>
      </w:r>
      <w:r>
        <w:t>言</w:t>
      </w:r>
      <w:bookmarkEnd w:id="19"/>
    </w:p>
    <w:p w14:paraId="7E89CE78">
      <w:pPr>
        <w:pStyle w:val="56"/>
        <w:ind w:firstLine="420"/>
      </w:pPr>
      <w:r>
        <w:rPr>
          <w:rFonts w:hint="eastAsia"/>
        </w:rPr>
        <w:t>本文件按照GB/T 1.1-2020《标准化工作导则  第1部分：标准化文件的结构和起草规则》的规定起草。</w:t>
      </w:r>
    </w:p>
    <w:p w14:paraId="00A497ED">
      <w:pPr>
        <w:pStyle w:val="56"/>
        <w:ind w:firstLine="420"/>
        <w:rPr>
          <w:rFonts w:hint="eastAsia" w:hAnsi="Times New Roman" w:cs="Times New Roman"/>
          <w:color w:val="auto"/>
        </w:rPr>
      </w:pPr>
      <w:r>
        <w:rPr>
          <w:rFonts w:hint="eastAsia"/>
        </w:rPr>
        <w:t>请注意本文件的某些内容可能涉及专利。本</w:t>
      </w:r>
      <w:r>
        <w:rPr>
          <w:rFonts w:hint="eastAsia"/>
          <w:color w:val="auto"/>
        </w:rPr>
        <w:t>文件的发布机构不承担识别专利的责任</w:t>
      </w:r>
      <w:r>
        <w:rPr>
          <w:rFonts w:hint="eastAsia" w:hAnsi="Times New Roman" w:cs="Times New Roman"/>
          <w:color w:val="auto"/>
        </w:rPr>
        <w:t>。本文件由</w:t>
      </w:r>
      <w:r>
        <w:rPr>
          <w:rFonts w:hint="eastAsia" w:hAnsi="Times New Roman" w:cs="Times New Roman"/>
          <w:color w:val="auto"/>
          <w:lang w:eastAsia="en-US"/>
        </w:rPr>
        <w:t>台州市中医</w:t>
      </w:r>
      <w:r>
        <w:rPr>
          <w:rFonts w:hint="default" w:hAnsi="Times New Roman" w:cs="Times New Roman"/>
          <w:color w:val="auto"/>
          <w:lang w:eastAsia="en-US"/>
        </w:rPr>
        <w:t>院</w:t>
      </w:r>
      <w:r>
        <w:rPr>
          <w:rFonts w:hint="eastAsia" w:hAnsi="Times New Roman" w:cs="Times New Roman"/>
          <w:color w:val="auto"/>
        </w:rPr>
        <w:t>提出。</w:t>
      </w:r>
    </w:p>
    <w:p w14:paraId="1640DE90">
      <w:pPr>
        <w:pStyle w:val="56"/>
        <w:ind w:firstLine="420"/>
        <w:rPr>
          <w:color w:val="auto"/>
        </w:rPr>
      </w:pPr>
      <w:r>
        <w:rPr>
          <w:rFonts w:hint="eastAsia"/>
          <w:color w:val="auto"/>
        </w:rPr>
        <w:t>本文件由中国中医药研究促进会归口。</w:t>
      </w:r>
    </w:p>
    <w:p w14:paraId="08ADD694">
      <w:pPr>
        <w:pStyle w:val="56"/>
        <w:ind w:firstLine="420"/>
        <w:rPr>
          <w:rFonts w:hint="default" w:hAnsi="Times New Roman" w:eastAsia="宋体" w:cs="Times New Roman"/>
          <w:color w:val="auto"/>
          <w:highlight w:val="yellow"/>
          <w:lang w:val="en-US" w:eastAsia="zh-CN"/>
        </w:rPr>
      </w:pPr>
      <w:r>
        <w:rPr>
          <w:rFonts w:hint="eastAsia"/>
          <w:color w:val="auto"/>
        </w:rPr>
        <w:t>本文件起草单位：</w:t>
      </w:r>
      <w:r>
        <w:rPr>
          <w:rFonts w:hint="eastAsia" w:cs="Times New Roman"/>
          <w:color w:val="auto"/>
          <w:lang w:val="en-US" w:eastAsia="zh-CN"/>
        </w:rPr>
        <w:t xml:space="preserve">台州市中医院   中国标准化研究院   台州市卫生健康委员会 </w:t>
      </w:r>
    </w:p>
    <w:p w14:paraId="32D78306">
      <w:pPr>
        <w:pStyle w:val="56"/>
        <w:ind w:firstLine="420"/>
        <w:rPr>
          <w:rFonts w:hint="eastAsia" w:hAnsi="Times New Roman" w:eastAsia="宋体" w:cs="Times New Roman"/>
          <w:color w:val="auto"/>
          <w:lang w:eastAsia="zh-CN"/>
        </w:rPr>
      </w:pPr>
      <w:r>
        <w:rPr>
          <w:rFonts w:hint="eastAsia" w:hAnsi="Times New Roman" w:cs="Times New Roman"/>
          <w:color w:val="auto"/>
        </w:rPr>
        <w:t>本文件主要起草人：</w:t>
      </w:r>
      <w:r>
        <w:rPr>
          <w:rFonts w:hint="default" w:hAnsi="Times New Roman" w:cs="Times New Roman"/>
          <w:lang w:eastAsia="en-US"/>
        </w:rPr>
        <w:t xml:space="preserve">李海军 王秀蓉 </w:t>
      </w:r>
      <w:r>
        <w:rPr>
          <w:rFonts w:hint="eastAsia" w:hAnsi="Times New Roman" w:cs="Times New Roman"/>
          <w:lang w:eastAsia="zh-CN"/>
        </w:rPr>
        <w:t>陈萌</w:t>
      </w:r>
      <w:r>
        <w:rPr>
          <w:rFonts w:hint="eastAsia" w:cs="Times New Roman"/>
          <w:lang w:val="en-US" w:eastAsia="zh-CN"/>
        </w:rPr>
        <w:t xml:space="preserve"> </w:t>
      </w:r>
      <w:r>
        <w:rPr>
          <w:rFonts w:hint="eastAsia" w:hAnsi="Times New Roman" w:cs="Times New Roman"/>
          <w:lang w:eastAsia="zh-CN"/>
        </w:rPr>
        <w:t>李滨</w:t>
      </w:r>
      <w:r>
        <w:rPr>
          <w:rFonts w:hint="eastAsia" w:hAnsi="Times New Roman" w:cs="Times New Roman"/>
          <w:lang w:val="en-US" w:eastAsia="zh-CN"/>
        </w:rPr>
        <w:t xml:space="preserve">  陈嘉琪   </w:t>
      </w:r>
      <w:r>
        <w:rPr>
          <w:rFonts w:hint="default" w:hAnsi="Times New Roman" w:cs="Times New Roman"/>
          <w:lang w:eastAsia="en-US"/>
        </w:rPr>
        <w:t xml:space="preserve">洪小兵  洪优优 贺小青 虞志红 叶轶莉 王菊红  </w:t>
      </w:r>
      <w:r>
        <w:rPr>
          <w:rFonts w:hint="default" w:hAnsi="Times New Roman" w:cs="Times New Roman"/>
          <w:lang w:eastAsia="en-US"/>
        </w:rPr>
        <w:t>邱敏洁</w:t>
      </w:r>
      <w:r>
        <w:rPr>
          <w:rFonts w:hint="eastAsia" w:cs="Times New Roman"/>
          <w:lang w:val="en-US" w:eastAsia="zh-CN"/>
        </w:rPr>
        <w:t xml:space="preserve">  </w:t>
      </w:r>
      <w:r>
        <w:rPr>
          <w:rFonts w:hint="default" w:hAnsi="Times New Roman" w:cs="Times New Roman"/>
          <w:lang w:eastAsia="en-US"/>
        </w:rPr>
        <w:t xml:space="preserve">徐列兵  詹茂庆 周杭临 苏薪伊 周媚 </w:t>
      </w:r>
      <w:r>
        <w:rPr>
          <w:rFonts w:hint="default" w:cs="Times New Roman"/>
          <w:lang w:eastAsia="en-US"/>
        </w:rPr>
        <w:t>陈凯</w:t>
      </w:r>
      <w:r>
        <w:rPr>
          <w:rFonts w:hint="default" w:hAnsi="Times New Roman" w:cs="Times New Roman"/>
          <w:lang w:eastAsia="en-US"/>
        </w:rPr>
        <w:t xml:space="preserve"> 黄凯  </w:t>
      </w:r>
      <w:r>
        <w:rPr>
          <w:rFonts w:hint="default" w:hAnsi="Times New Roman" w:cs="Times New Roman"/>
          <w:lang w:val="en-US" w:eastAsia="en-US"/>
        </w:rPr>
        <w:t>刘笑</w:t>
      </w:r>
      <w:r>
        <w:rPr>
          <w:rFonts w:hint="default" w:hAnsi="Times New Roman" w:cs="Times New Roman"/>
          <w:lang w:eastAsia="en-US"/>
        </w:rPr>
        <w:t xml:space="preserve"> </w:t>
      </w:r>
      <w:r>
        <w:rPr>
          <w:rFonts w:hint="eastAsia" w:hAnsi="Times New Roman" w:cs="Times New Roman"/>
          <w:lang w:val="en-US" w:eastAsia="zh-CN"/>
        </w:rPr>
        <w:t>项微微</w:t>
      </w:r>
      <w:r>
        <w:rPr>
          <w:rFonts w:hint="default" w:hAnsi="Times New Roman" w:cs="Times New Roman"/>
          <w:lang w:eastAsia="zh-CN"/>
        </w:rPr>
        <w:t xml:space="preserve"> 王宇 徐云英</w:t>
      </w:r>
    </w:p>
    <w:p w14:paraId="3233E5A8">
      <w:pPr>
        <w:pStyle w:val="56"/>
        <w:ind w:firstLine="420"/>
        <w:rPr>
          <w:rFonts w:hint="default" w:hAnsi="Times New Roman" w:cs="Times New Roman"/>
          <w:color w:val="auto"/>
          <w:lang w:eastAsia="zh-CN"/>
        </w:rPr>
      </w:pPr>
    </w:p>
    <w:p w14:paraId="3C8F5278">
      <w:pPr>
        <w:rPr>
          <w:rFonts w:hint="eastAsia" w:hAnsi="Times New Roman" w:cs="Times New Roman"/>
          <w:color w:val="auto"/>
          <w:lang w:eastAsia="zh-CN"/>
        </w:rPr>
      </w:pPr>
      <w:r>
        <w:rPr>
          <w:rFonts w:hint="eastAsia" w:hAnsi="Times New Roman" w:cs="Times New Roman"/>
          <w:color w:val="auto"/>
          <w:lang w:eastAsia="zh-CN"/>
        </w:rPr>
        <w:br w:type="page"/>
      </w:r>
      <w:bookmarkStart w:id="82" w:name="_GoBack"/>
      <w:bookmarkEnd w:id="82"/>
    </w:p>
    <w:p w14:paraId="5422A81D">
      <w:pPr>
        <w:pStyle w:val="89"/>
        <w:spacing w:after="360"/>
        <w:rPr>
          <w:color w:val="auto"/>
        </w:rPr>
      </w:pPr>
      <w:bookmarkStart w:id="21" w:name="_Toc8366"/>
      <w:r>
        <w:rPr>
          <w:rFonts w:hint="eastAsia"/>
          <w:color w:val="auto"/>
          <w:spacing w:val="320"/>
          <w:lang w:val="en-US" w:eastAsia="zh-CN"/>
        </w:rPr>
        <w:t>引</w:t>
      </w:r>
      <w:r>
        <w:rPr>
          <w:color w:val="auto"/>
        </w:rPr>
        <w:t>言</w:t>
      </w:r>
      <w:bookmarkEnd w:id="21"/>
    </w:p>
    <w:p w14:paraId="45ECC73C">
      <w:pPr>
        <w:widowControl/>
        <w:kinsoku w:val="0"/>
        <w:autoSpaceDE w:val="0"/>
        <w:autoSpaceDN w:val="0"/>
        <w:adjustRightInd w:val="0"/>
        <w:snapToGrid w:val="0"/>
        <w:spacing w:before="86" w:line="360" w:lineRule="auto"/>
        <w:ind w:right="71" w:firstLine="420"/>
        <w:jc w:val="left"/>
        <w:textAlignment w:val="baseline"/>
        <w:rPr>
          <w:rFonts w:hint="eastAsia" w:ascii="宋体" w:hAnsi="Times New Roman" w:eastAsia="宋体" w:cs="Times New Roman"/>
          <w:color w:val="auto"/>
          <w:kern w:val="0"/>
          <w:sz w:val="21"/>
          <w:szCs w:val="20"/>
          <w:lang w:val="en-US" w:eastAsia="en-US" w:bidi="ar-SA"/>
        </w:rPr>
      </w:pPr>
      <w:r>
        <w:rPr>
          <w:rFonts w:hint="eastAsia" w:ascii="宋体" w:hAnsi="Times New Roman" w:eastAsia="宋体" w:cs="Times New Roman"/>
          <w:color w:val="auto"/>
          <w:kern w:val="0"/>
          <w:sz w:val="21"/>
          <w:szCs w:val="20"/>
          <w:lang w:val="en-US" w:eastAsia="en-US" w:bidi="ar-SA"/>
        </w:rPr>
        <w:t>为系统总结并推广“杏林联盟·夜市惠民”等项目经验，推动中医药服务从医疗机构向社区生活场景延伸，促进中医药文化创造性转化与创新性发展，特制定本标准。本标准旨在规范中医药养生市集的建设、运营与服务，打造“文化引领、健康惠民、产业联动”的中医药服务新模式，形成可复制、可推广的标准化体系，助力中医药事业高质量发展与“健康中国”建设。</w:t>
      </w:r>
    </w:p>
    <w:p w14:paraId="4F0D7D6C">
      <w:pPr>
        <w:spacing w:line="20" w:lineRule="exact"/>
        <w:jc w:val="center"/>
        <w:rPr>
          <w:rFonts w:ascii="黑体" w:hAnsi="黑体" w:eastAsia="黑体"/>
          <w:color w:val="auto"/>
          <w:sz w:val="32"/>
          <w:szCs w:val="32"/>
        </w:rPr>
      </w:pPr>
      <w:r>
        <w:rPr>
          <w:rFonts w:hint="eastAsia" w:hAnsi="Times New Roman" w:cs="Times New Roman"/>
          <w:color w:val="auto"/>
          <w:lang w:eastAsia="zh-CN"/>
        </w:rPr>
        <w:br w:type="page"/>
      </w:r>
      <w:bookmarkEnd w:id="20"/>
      <w:bookmarkStart w:id="22" w:name="BookMark4"/>
    </w:p>
    <w:p w14:paraId="7DF50EB9">
      <w:pPr>
        <w:spacing w:line="20" w:lineRule="exact"/>
        <w:jc w:val="center"/>
        <w:rPr>
          <w:rFonts w:ascii="黑体" w:hAnsi="黑体" w:eastAsia="黑体"/>
          <w:color w:val="auto"/>
          <w:sz w:val="32"/>
          <w:szCs w:val="32"/>
        </w:rPr>
      </w:pPr>
    </w:p>
    <w:sdt>
      <w:sdtPr>
        <w:rPr>
          <w:color w:val="auto"/>
        </w:rPr>
        <w:tag w:val="NEW_STAND_NAME"/>
        <w:id w:val="595910757"/>
        <w:lock w:val="sdtLocked"/>
        <w:placeholder>
          <w:docPart w:val="A276024014E749F195FC61D7865681B4"/>
        </w:placeholder>
      </w:sdtPr>
      <w:sdtEndPr>
        <w:rPr>
          <w:color w:val="auto"/>
        </w:rPr>
      </w:sdtEndPr>
      <w:sdtContent>
        <w:p w14:paraId="0885E84A">
          <w:pPr>
            <w:jc w:val="center"/>
            <w:rPr>
              <w:color w:val="auto"/>
            </w:rPr>
          </w:pPr>
          <w:bookmarkStart w:id="23" w:name="NEW_STAND_NAME"/>
          <w:r>
            <w:rPr>
              <w:rFonts w:hint="eastAsia" w:ascii="黑体" w:hAnsi="黑体" w:eastAsia="黑体" w:cs="黑体"/>
              <w:snapToGrid w:val="0"/>
              <w:color w:val="auto"/>
              <w:spacing w:val="7"/>
              <w:kern w:val="0"/>
              <w:sz w:val="31"/>
              <w:szCs w:val="31"/>
              <w:lang w:val="en-US" w:eastAsia="en-US" w:bidi="ar-SA"/>
            </w:rPr>
            <w:t>中医药养生市集建设与服务规范</w:t>
          </w:r>
        </w:p>
      </w:sdtContent>
    </w:sdt>
    <w:bookmarkEnd w:id="23"/>
    <w:p w14:paraId="23A36214">
      <w:pPr>
        <w:pStyle w:val="104"/>
        <w:spacing w:before="240" w:after="240"/>
        <w:rPr>
          <w:color w:val="auto"/>
        </w:rPr>
      </w:pPr>
      <w:bookmarkStart w:id="24" w:name="_Toc17233325"/>
      <w:bookmarkStart w:id="25" w:name="_Toc24884211"/>
      <w:bookmarkStart w:id="26" w:name="_Toc17233333"/>
      <w:bookmarkStart w:id="27" w:name="_Toc26718930"/>
      <w:bookmarkStart w:id="28" w:name="_Toc21305"/>
      <w:bookmarkStart w:id="29" w:name="_Toc26986771"/>
      <w:bookmarkStart w:id="30" w:name="_Toc24884218"/>
      <w:bookmarkStart w:id="31" w:name="_Toc26986530"/>
      <w:bookmarkStart w:id="32" w:name="_Toc26648465"/>
      <w:r>
        <w:rPr>
          <w:rFonts w:hint="eastAsia"/>
          <w:color w:val="auto"/>
        </w:rPr>
        <w:t>范围</w:t>
      </w:r>
      <w:bookmarkEnd w:id="24"/>
      <w:bookmarkEnd w:id="25"/>
      <w:bookmarkEnd w:id="26"/>
      <w:bookmarkEnd w:id="27"/>
      <w:bookmarkEnd w:id="28"/>
      <w:bookmarkEnd w:id="29"/>
      <w:bookmarkEnd w:id="30"/>
      <w:bookmarkEnd w:id="31"/>
      <w:bookmarkEnd w:id="32"/>
    </w:p>
    <w:p w14:paraId="1A2DFDBC">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color w:val="auto"/>
          <w:kern w:val="0"/>
          <w:sz w:val="21"/>
          <w:szCs w:val="20"/>
          <w:lang w:val="en-US" w:eastAsia="en-US" w:bidi="ar-SA"/>
        </w:rPr>
      </w:pPr>
      <w:bookmarkStart w:id="33" w:name="_Toc26648466"/>
      <w:bookmarkStart w:id="34" w:name="_Toc17233334"/>
      <w:bookmarkStart w:id="35" w:name="_Toc24884219"/>
      <w:bookmarkStart w:id="36" w:name="_Toc17233326"/>
      <w:bookmarkStart w:id="37" w:name="_Toc24884212"/>
      <w:r>
        <w:rPr>
          <w:rFonts w:hint="eastAsia" w:ascii="宋体" w:hAnsi="Times New Roman" w:eastAsia="宋体" w:cs="Times New Roman"/>
          <w:color w:val="auto"/>
          <w:kern w:val="0"/>
          <w:sz w:val="21"/>
          <w:szCs w:val="20"/>
          <w:lang w:val="en-US" w:eastAsia="en-US" w:bidi="ar-SA"/>
        </w:rPr>
        <w:t>本标准规定了中医药养生市集</w:t>
      </w:r>
      <w:r>
        <w:rPr>
          <w:rFonts w:hint="eastAsia" w:ascii="宋体" w:hAnsi="Times New Roman" w:eastAsia="宋体" w:cs="Times New Roman"/>
          <w:color w:val="auto"/>
          <w:kern w:val="0"/>
          <w:sz w:val="21"/>
          <w:szCs w:val="20"/>
          <w:lang w:val="en-US" w:eastAsia="zh-CN" w:bidi="ar-SA"/>
        </w:rPr>
        <w:t>建设与养生服务</w:t>
      </w:r>
      <w:r>
        <w:rPr>
          <w:rFonts w:hint="eastAsia" w:ascii="宋体" w:hAnsi="Times New Roman" w:eastAsia="宋体" w:cs="Times New Roman"/>
          <w:color w:val="auto"/>
          <w:kern w:val="0"/>
          <w:sz w:val="21"/>
          <w:szCs w:val="20"/>
          <w:lang w:val="en-US" w:eastAsia="en-US" w:bidi="ar-SA"/>
        </w:rPr>
        <w:t>的</w:t>
      </w:r>
      <w:r>
        <w:rPr>
          <w:rFonts w:hint="eastAsia" w:ascii="宋体" w:hAnsi="Times New Roman" w:eastAsia="宋体" w:cs="Times New Roman"/>
          <w:color w:val="auto"/>
          <w:kern w:val="0"/>
          <w:sz w:val="21"/>
          <w:szCs w:val="20"/>
          <w:lang w:val="en-US" w:eastAsia="zh-CN" w:bidi="ar-SA"/>
        </w:rPr>
        <w:t>总体</w:t>
      </w:r>
      <w:r>
        <w:rPr>
          <w:rFonts w:hint="eastAsia" w:ascii="宋体" w:hAnsi="Times New Roman" w:eastAsia="宋体" w:cs="Times New Roman"/>
          <w:color w:val="auto"/>
          <w:kern w:val="0"/>
          <w:sz w:val="21"/>
          <w:szCs w:val="20"/>
          <w:lang w:val="en-US" w:eastAsia="en-US" w:bidi="ar-SA"/>
        </w:rPr>
        <w:t>原则、建设要求、服务</w:t>
      </w:r>
      <w:r>
        <w:rPr>
          <w:rFonts w:hint="eastAsia" w:ascii="宋体" w:hAnsi="Times New Roman" w:eastAsia="宋体" w:cs="Times New Roman"/>
          <w:color w:val="auto"/>
          <w:kern w:val="0"/>
          <w:sz w:val="21"/>
          <w:szCs w:val="20"/>
          <w:lang w:val="en-US" w:eastAsia="zh-CN" w:bidi="ar-SA"/>
        </w:rPr>
        <w:t>内容与要求</w:t>
      </w:r>
      <w:r>
        <w:rPr>
          <w:rFonts w:hint="eastAsia" w:ascii="宋体" w:hAnsi="Times New Roman" w:eastAsia="宋体" w:cs="Times New Roman"/>
          <w:color w:val="auto"/>
          <w:kern w:val="0"/>
          <w:sz w:val="21"/>
          <w:szCs w:val="20"/>
          <w:lang w:val="en-US" w:eastAsia="en-US" w:bidi="ar-SA"/>
        </w:rPr>
        <w:t>、</w:t>
      </w:r>
      <w:r>
        <w:rPr>
          <w:rFonts w:hint="eastAsia" w:ascii="宋体" w:hAnsi="Times New Roman" w:eastAsia="宋体" w:cs="Times New Roman"/>
          <w:color w:val="auto"/>
          <w:kern w:val="0"/>
          <w:sz w:val="21"/>
          <w:szCs w:val="20"/>
          <w:lang w:val="en-US" w:eastAsia="zh-CN" w:bidi="ar-SA"/>
        </w:rPr>
        <w:t>服务管理要求</w:t>
      </w:r>
      <w:r>
        <w:rPr>
          <w:rFonts w:hint="eastAsia" w:ascii="宋体" w:hAnsi="Times New Roman" w:eastAsia="宋体" w:cs="Times New Roman"/>
          <w:color w:val="auto"/>
          <w:kern w:val="0"/>
          <w:sz w:val="21"/>
          <w:szCs w:val="20"/>
          <w:lang w:val="en-US" w:eastAsia="en-US" w:bidi="ar-SA"/>
        </w:rPr>
        <w:t>以及评价与改进。</w:t>
      </w:r>
    </w:p>
    <w:p w14:paraId="3EF38FC0">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color w:val="auto"/>
          <w:kern w:val="0"/>
          <w:sz w:val="21"/>
          <w:szCs w:val="20"/>
          <w:lang w:val="en-US" w:eastAsia="zh-CN" w:bidi="ar-SA"/>
        </w:rPr>
      </w:pPr>
      <w:r>
        <w:rPr>
          <w:rFonts w:hint="eastAsia" w:ascii="宋体" w:hAnsi="Times New Roman" w:eastAsia="宋体" w:cs="Times New Roman"/>
          <w:color w:val="auto"/>
          <w:kern w:val="0"/>
          <w:sz w:val="21"/>
          <w:szCs w:val="20"/>
          <w:lang w:val="en-US" w:eastAsia="en-US" w:bidi="ar-SA"/>
        </w:rPr>
        <w:t>本标准适用于医疗机构策划与实施中医药文化市集活动。</w:t>
      </w:r>
    </w:p>
    <w:p w14:paraId="5D42895D">
      <w:pPr>
        <w:pStyle w:val="104"/>
        <w:spacing w:before="240" w:after="240"/>
        <w:rPr>
          <w:color w:val="auto"/>
        </w:rPr>
      </w:pPr>
      <w:bookmarkStart w:id="38" w:name="_Toc26986772"/>
      <w:bookmarkStart w:id="39" w:name="_Toc26718931"/>
      <w:bookmarkStart w:id="40" w:name="_Toc26986531"/>
      <w:bookmarkStart w:id="41" w:name="_Toc2711"/>
      <w:r>
        <w:rPr>
          <w:rFonts w:hint="eastAsia"/>
          <w:color w:val="auto"/>
        </w:rPr>
        <w:t>规范性引用文件</w:t>
      </w:r>
      <w:bookmarkEnd w:id="33"/>
      <w:bookmarkEnd w:id="34"/>
      <w:bookmarkEnd w:id="35"/>
      <w:bookmarkEnd w:id="36"/>
      <w:bookmarkEnd w:id="37"/>
      <w:bookmarkEnd w:id="38"/>
      <w:bookmarkEnd w:id="39"/>
      <w:bookmarkEnd w:id="40"/>
      <w:bookmarkEnd w:id="41"/>
    </w:p>
    <w:sdt>
      <w:sdtPr>
        <w:rPr>
          <w:rFonts w:hint="eastAsia"/>
          <w:color w:val="auto"/>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color w:val="auto"/>
        </w:rPr>
      </w:sdtEndPr>
      <w:sdtContent>
        <w:p w14:paraId="3052F18C">
          <w:pPr>
            <w:pStyle w:val="56"/>
            <w:spacing w:line="240" w:lineRule="auto"/>
            <w:ind w:firstLine="420"/>
            <w:rPr>
              <w:color w:val="auto"/>
            </w:rPr>
          </w:pPr>
          <w:r>
            <w:rPr>
              <w:rFonts w:hint="eastAsia" w:ascii="宋体" w:hAnsi="Times New Roman" w:eastAsia="宋体" w:cs="Times New Roman"/>
              <w:color w:val="auto"/>
              <w:sz w:val="21"/>
              <w:lang w:val="en-US" w:eastAsia="zh-CN" w:bidi="ar-SA"/>
            </w:rPr>
            <w:t>本文件没有规范性引用文件。</w:t>
          </w:r>
        </w:p>
      </w:sdtContent>
    </w:sdt>
    <w:p w14:paraId="22E57D42">
      <w:pPr>
        <w:pStyle w:val="104"/>
        <w:spacing w:before="240" w:after="240" w:line="360" w:lineRule="auto"/>
        <w:rPr>
          <w:color w:val="auto"/>
        </w:rPr>
      </w:pPr>
      <w:bookmarkStart w:id="42" w:name="_Toc19886"/>
      <w:r>
        <w:rPr>
          <w:rFonts w:hint="eastAsia"/>
          <w:color w:val="auto"/>
          <w:szCs w:val="21"/>
        </w:rPr>
        <w:t>术语和定义</w:t>
      </w:r>
      <w:bookmarkEnd w:id="42"/>
    </w:p>
    <w:sdt>
      <w:sdtPr>
        <w:rPr>
          <w:color w:val="auto"/>
        </w:r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color w:val="auto"/>
        </w:rPr>
      </w:sdtEndPr>
      <w:sdtContent>
        <w:p w14:paraId="19EB1DD2">
          <w:pPr>
            <w:pStyle w:val="56"/>
            <w:spacing w:line="360" w:lineRule="auto"/>
            <w:ind w:firstLine="420"/>
            <w:rPr>
              <w:color w:val="auto"/>
            </w:rPr>
          </w:pPr>
          <w:bookmarkStart w:id="43" w:name="_Toc26986532"/>
          <w:bookmarkEnd w:id="43"/>
          <w:r>
            <w:rPr>
              <w:rFonts w:ascii="宋体" w:hAnsi="Times New Roman" w:eastAsia="宋体" w:cs="Times New Roman"/>
              <w:color w:val="auto"/>
              <w:sz w:val="21"/>
              <w:lang w:val="en-US" w:eastAsia="zh-CN" w:bidi="ar-SA"/>
            </w:rPr>
            <w:t>下列术语和定义适用于本文件。</w:t>
          </w:r>
        </w:p>
      </w:sdtContent>
    </w:sdt>
    <w:p w14:paraId="398809DC">
      <w:pPr>
        <w:pStyle w:val="105"/>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color w:val="auto"/>
        </w:rPr>
      </w:pPr>
      <w:bookmarkStart w:id="44" w:name="_Toc1608"/>
      <w:bookmarkEnd w:id="44"/>
      <w:bookmarkStart w:id="45" w:name="_Toc28104"/>
      <w:bookmarkStart w:id="46" w:name="_Toc6700"/>
      <w:bookmarkStart w:id="47" w:name="_Toc92982884"/>
    </w:p>
    <w:p w14:paraId="301A7EDC">
      <w:pPr>
        <w:pStyle w:val="105"/>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宋体" w:cs="Arial"/>
          <w:color w:val="auto"/>
          <w:lang w:val="en-US" w:eastAsia="zh-CN"/>
        </w:rPr>
      </w:pPr>
      <w:bookmarkStart w:id="48" w:name="_Toc24207"/>
      <w:r>
        <w:rPr>
          <w:rFonts w:hint="eastAsia"/>
          <w:color w:val="auto"/>
          <w:lang w:val="en-US" w:eastAsia="zh-CN"/>
        </w:rPr>
        <w:t>中医药养生市集</w:t>
      </w:r>
      <w:r>
        <w:rPr>
          <w:color w:val="auto"/>
        </w:rPr>
        <w:t>　</w:t>
      </w:r>
      <w:bookmarkEnd w:id="45"/>
      <w:bookmarkEnd w:id="46"/>
      <w:bookmarkEnd w:id="48"/>
      <w:r>
        <w:rPr>
          <w:rFonts w:hint="eastAsia"/>
          <w:color w:val="auto"/>
          <w:lang w:val="en-US" w:eastAsia="zh-CN"/>
        </w:rPr>
        <w:t>Traditional Chinese Medicine wellness market</w:t>
      </w:r>
    </w:p>
    <w:p w14:paraId="23B7C3FF">
      <w:pPr>
        <w:widowControl/>
        <w:kinsoku w:val="0"/>
        <w:autoSpaceDE w:val="0"/>
        <w:autoSpaceDN w:val="0"/>
        <w:adjustRightInd w:val="0"/>
        <w:snapToGrid w:val="0"/>
        <w:spacing w:before="214" w:line="240" w:lineRule="auto"/>
        <w:ind w:right="67" w:firstLine="422"/>
        <w:jc w:val="left"/>
        <w:textAlignment w:val="baseline"/>
        <w:rPr>
          <w:rFonts w:hint="eastAsia" w:cs="Times New Roman"/>
          <w:color w:val="auto"/>
        </w:rPr>
      </w:pPr>
      <w:r>
        <w:rPr>
          <w:rFonts w:hint="eastAsia" w:cs="Times New Roman"/>
          <w:color w:val="auto"/>
          <w:lang w:val="en-US" w:eastAsia="en-US"/>
        </w:rPr>
        <w:t>以中医养生理论为指导，在特定场所周期性开展的，集健康服务、文化体验、知识普及与健康消费于一体的开放式、综合性中医药惠民服务平台。</w:t>
      </w:r>
    </w:p>
    <w:p w14:paraId="2C5E2B56">
      <w:pPr>
        <w:pStyle w:val="105"/>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color w:val="auto"/>
        </w:rPr>
      </w:pPr>
      <w:bookmarkStart w:id="49" w:name="_Toc30825"/>
      <w:bookmarkEnd w:id="49"/>
      <w:bookmarkStart w:id="50" w:name="_Toc26411"/>
      <w:bookmarkStart w:id="51" w:name="_Toc29742"/>
    </w:p>
    <w:p w14:paraId="6C0A6617">
      <w:pPr>
        <w:pStyle w:val="105"/>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40" w:firstLineChars="200"/>
        <w:textAlignment w:val="auto"/>
        <w:rPr>
          <w:rFonts w:ascii="Arial" w:hAnsi="Arial" w:cs="Arial"/>
          <w:color w:val="auto"/>
        </w:rPr>
      </w:pPr>
      <w:bookmarkStart w:id="52" w:name="_Toc2043"/>
      <w:r>
        <w:rPr>
          <w:rFonts w:hint="eastAsia"/>
          <w:snapToGrid w:val="0"/>
          <w:color w:val="auto"/>
          <w:spacing w:val="10"/>
          <w:kern w:val="0"/>
          <w:sz w:val="20"/>
          <w:szCs w:val="20"/>
        </w:rPr>
        <w:t>中医适宜技术</w:t>
      </w:r>
      <w:r>
        <w:rPr>
          <w:rFonts w:hint="eastAsia" w:ascii="Arial" w:hAnsi="Arial" w:cs="Arial"/>
          <w:color w:val="auto"/>
        </w:rPr>
        <w:t xml:space="preserve"> </w:t>
      </w:r>
      <w:bookmarkEnd w:id="50"/>
      <w:bookmarkEnd w:id="51"/>
      <w:bookmarkEnd w:id="52"/>
      <w:r>
        <w:rPr>
          <w:rFonts w:hint="eastAsia"/>
          <w:color w:val="auto"/>
          <w:lang w:val="en-US" w:eastAsia="zh-CN"/>
        </w:rPr>
        <w:t>Traditional Chinese Medicine Appropriate Techniques</w:t>
      </w:r>
      <w:r>
        <w:rPr>
          <w:rFonts w:hint="default"/>
          <w:color w:val="auto"/>
          <w:lang w:val="en-US" w:eastAsia="zh-CN"/>
        </w:rPr>
        <w:t> </w:t>
      </w:r>
    </w:p>
    <w:p w14:paraId="4AE98F67">
      <w:pPr>
        <w:widowControl/>
        <w:kinsoku w:val="0"/>
        <w:autoSpaceDE w:val="0"/>
        <w:autoSpaceDN w:val="0"/>
        <w:adjustRightInd w:val="0"/>
        <w:snapToGrid w:val="0"/>
        <w:spacing w:before="214" w:line="240" w:lineRule="auto"/>
        <w:ind w:right="67" w:firstLine="422"/>
        <w:jc w:val="left"/>
        <w:textAlignment w:val="baseline"/>
        <w:rPr>
          <w:rFonts w:hint="eastAsia" w:ascii="Arial" w:hAnsi="Arial" w:eastAsia="Arial" w:cs="Arial"/>
          <w:snapToGrid w:val="0"/>
          <w:color w:val="auto"/>
          <w:spacing w:val="1"/>
          <w:kern w:val="0"/>
          <w:sz w:val="20"/>
          <w:szCs w:val="20"/>
        </w:rPr>
      </w:pPr>
      <w:r>
        <w:rPr>
          <w:rFonts w:hint="eastAsia" w:hAnsi="Times New Roman" w:cs="Times New Roman"/>
          <w:color w:val="auto"/>
          <w:lang w:val="en-US" w:eastAsia="en-US"/>
        </w:rPr>
        <w:t>具有“简、便、验、廉”特点的安全有效、成本低廉、简便易学的中医药防治技术，如灸法、刮痧、拔罐、推拿、耳穴压豆等。</w:t>
      </w:r>
    </w:p>
    <w:p w14:paraId="243C0037">
      <w:pPr>
        <w:pStyle w:val="105"/>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color w:val="auto"/>
        </w:rPr>
      </w:pPr>
      <w:bookmarkStart w:id="53" w:name="_Toc12883"/>
      <w:bookmarkEnd w:id="53"/>
      <w:bookmarkStart w:id="54" w:name="_Toc5889"/>
      <w:bookmarkStart w:id="55" w:name="_Toc6043"/>
    </w:p>
    <w:p w14:paraId="66509FDE">
      <w:pPr>
        <w:pStyle w:val="105"/>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ascii="Arial" w:hAnsi="Arial" w:cs="Arial"/>
          <w:color w:val="auto"/>
        </w:rPr>
      </w:pPr>
      <w:bookmarkStart w:id="56" w:name="_Toc5846"/>
      <w:r>
        <w:rPr>
          <w:rFonts w:hint="eastAsia" w:ascii="黑体" w:hAnsi="黑体" w:eastAsia="黑体" w:cs="黑体"/>
          <w:color w:val="auto"/>
          <w:lang w:val="en-US" w:eastAsia="zh-CN"/>
        </w:rPr>
        <w:t>夜门诊</w:t>
      </w:r>
      <w:r>
        <w:rPr>
          <w:rFonts w:hint="eastAsia"/>
          <w:color w:val="auto"/>
          <w:lang w:val="en-US" w:eastAsia="zh-CN"/>
        </w:rPr>
        <w:t xml:space="preserve"> </w:t>
      </w:r>
      <w:bookmarkEnd w:id="54"/>
      <w:bookmarkEnd w:id="55"/>
      <w:bookmarkEnd w:id="56"/>
      <w:r>
        <w:rPr>
          <w:rFonts w:hint="eastAsia"/>
          <w:color w:val="auto"/>
          <w:lang w:val="en-US" w:eastAsia="zh-CN"/>
        </w:rPr>
        <w:t>Evening Clinic</w:t>
      </w:r>
    </w:p>
    <w:p w14:paraId="5B1B10B9">
      <w:pPr>
        <w:pStyle w:val="105"/>
        <w:numPr>
          <w:ilvl w:val="2"/>
          <w:numId w:val="0"/>
        </w:numPr>
        <w:spacing w:before="120" w:after="120" w:line="240" w:lineRule="auto"/>
        <w:ind w:firstLine="420" w:firstLineChars="200"/>
        <w:outlineLvl w:val="9"/>
        <w:rPr>
          <w:rFonts w:hint="eastAsia" w:ascii="Calibri" w:hAnsi="Times New Roman" w:eastAsia="宋体" w:cs="Times New Roman"/>
          <w:color w:val="auto"/>
          <w:kern w:val="2"/>
          <w:sz w:val="21"/>
          <w:szCs w:val="21"/>
          <w:lang w:val="en-US" w:eastAsia="en-US" w:bidi="ar-SA"/>
        </w:rPr>
      </w:pPr>
      <w:bookmarkStart w:id="57" w:name="_Toc617"/>
      <w:bookmarkStart w:id="58" w:name="_Toc28076"/>
      <w:bookmarkStart w:id="59" w:name="_Toc12954"/>
      <w:r>
        <w:rPr>
          <w:rFonts w:hint="eastAsia" w:ascii="Calibri" w:hAnsi="Times New Roman" w:eastAsia="宋体" w:cs="Times New Roman"/>
          <w:color w:val="auto"/>
          <w:kern w:val="2"/>
          <w:sz w:val="21"/>
          <w:szCs w:val="21"/>
          <w:lang w:val="en-US" w:eastAsia="en-US" w:bidi="ar-SA"/>
        </w:rPr>
        <w:t>为满足上班族、学生等群体非工作时间段的就医需求，在医疗机构常规服务时间之外，于市集等特定场所开设的，提供中医诊疗与健康咨询的服务形式。</w:t>
      </w:r>
      <w:bookmarkEnd w:id="57"/>
      <w:bookmarkEnd w:id="58"/>
      <w:bookmarkEnd w:id="59"/>
    </w:p>
    <w:p w14:paraId="5CC20757">
      <w:pPr>
        <w:pStyle w:val="105"/>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color w:val="auto"/>
        </w:rPr>
      </w:pPr>
      <w:bookmarkStart w:id="60" w:name="_Toc26523"/>
      <w:bookmarkEnd w:id="60"/>
      <w:bookmarkStart w:id="61" w:name="_Toc8890"/>
      <w:bookmarkStart w:id="62" w:name="_Toc27719"/>
    </w:p>
    <w:p w14:paraId="036E4F04">
      <w:pPr>
        <w:pStyle w:val="105"/>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ascii="Arial" w:hAnsi="Arial" w:cs="Arial"/>
          <w:color w:val="auto"/>
        </w:rPr>
      </w:pPr>
      <w:bookmarkStart w:id="63" w:name="_Toc17180"/>
      <w:r>
        <w:rPr>
          <w:rFonts w:hint="eastAsia"/>
          <w:color w:val="auto"/>
          <w:lang w:val="en-US" w:eastAsia="zh-CN"/>
        </w:rPr>
        <w:t>治未病</w:t>
      </w:r>
      <w:r>
        <w:rPr>
          <w:color w:val="auto"/>
        </w:rPr>
        <w:t>　</w:t>
      </w:r>
      <w:bookmarkEnd w:id="47"/>
      <w:bookmarkEnd w:id="61"/>
      <w:bookmarkEnd w:id="62"/>
      <w:bookmarkEnd w:id="63"/>
      <w:r>
        <w:rPr>
          <w:rFonts w:hint="eastAsia"/>
          <w:color w:val="auto"/>
          <w:lang w:val="en-US" w:eastAsia="zh-CN"/>
        </w:rPr>
        <w:t>Preventive Treatment of Disease</w:t>
      </w:r>
    </w:p>
    <w:p w14:paraId="6EA10A85">
      <w:pPr>
        <w:pStyle w:val="56"/>
        <w:adjustRightInd w:val="0"/>
        <w:snapToGrid w:val="0"/>
        <w:spacing w:line="240" w:lineRule="auto"/>
        <w:ind w:firstLine="420"/>
        <w:rPr>
          <w:rFonts w:hint="eastAsia" w:ascii="Calibri" w:hAnsi="Times New Roman" w:eastAsia="宋体" w:cs="Times New Roman"/>
          <w:color w:val="auto"/>
          <w:kern w:val="2"/>
          <w:sz w:val="21"/>
          <w:szCs w:val="21"/>
          <w:lang w:val="en-US" w:eastAsia="en-US" w:bidi="ar-SA"/>
        </w:rPr>
      </w:pPr>
      <w:r>
        <w:rPr>
          <w:rFonts w:hint="eastAsia" w:ascii="Calibri" w:hAnsi="Times New Roman" w:eastAsia="宋体" w:cs="Times New Roman"/>
          <w:color w:val="auto"/>
          <w:kern w:val="2"/>
          <w:sz w:val="21"/>
          <w:szCs w:val="21"/>
          <w:lang w:val="en-US" w:eastAsia="en-US" w:bidi="ar-SA"/>
        </w:rPr>
        <w:t>以中医理论为指导，采取相应措施，养护正气、预防疾病、维护健康的活动。包括体质辨识、健康状态评估、健康咨询与指导、干预调理等。</w:t>
      </w:r>
    </w:p>
    <w:p w14:paraId="55EF36A5">
      <w:pPr>
        <w:pStyle w:val="104"/>
        <w:spacing w:before="240" w:after="240"/>
        <w:rPr>
          <w:color w:val="auto"/>
        </w:rPr>
      </w:pPr>
      <w:bookmarkStart w:id="64" w:name="_Toc18105"/>
      <w:r>
        <w:rPr>
          <w:rFonts w:hint="eastAsia"/>
          <w:color w:val="auto"/>
          <w:lang w:val="en-US" w:eastAsia="zh-CN"/>
        </w:rPr>
        <w:t>总体原则</w:t>
      </w:r>
      <w:bookmarkEnd w:id="64"/>
    </w:p>
    <w:p w14:paraId="5774964A">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color w:val="auto"/>
        </w:rPr>
      </w:pPr>
      <w:bookmarkStart w:id="65" w:name="_Toc10357"/>
      <w:r>
        <w:rPr>
          <w:rFonts w:hint="eastAsia" w:ascii="黑体" w:hAnsi="黑体" w:eastAsia="黑体" w:cs="黑体"/>
          <w:color w:val="auto"/>
          <w:lang w:val="en-US" w:eastAsia="zh-CN"/>
        </w:rPr>
        <w:t>公益为本，应</w:t>
      </w:r>
      <w:r>
        <w:rPr>
          <w:rFonts w:hint="eastAsia" w:hAnsi="黑体" w:cs="黑体"/>
          <w:color w:val="auto"/>
          <w:lang w:val="en-US" w:eastAsia="zh-CN"/>
        </w:rPr>
        <w:t>时</w:t>
      </w:r>
      <w:r>
        <w:rPr>
          <w:rFonts w:hint="eastAsia" w:ascii="黑体" w:hAnsi="黑体" w:eastAsia="黑体" w:cs="黑体"/>
          <w:color w:val="auto"/>
          <w:lang w:val="en-US" w:eastAsia="zh-CN"/>
        </w:rPr>
        <w:t>便民</w:t>
      </w:r>
      <w:bookmarkEnd w:id="65"/>
    </w:p>
    <w:p w14:paraId="3C5A80A6">
      <w:pPr>
        <w:pStyle w:val="56"/>
        <w:spacing w:line="240" w:lineRule="auto"/>
        <w:ind w:firstLine="420"/>
        <w:rPr>
          <w:rFonts w:hint="eastAsia" w:hAnsi="Times New Roman" w:eastAsia="宋体" w:cs="Times New Roman"/>
          <w:color w:val="auto"/>
          <w:lang w:val="en-US" w:eastAsia="zh-CN"/>
        </w:rPr>
      </w:pPr>
      <w:r>
        <w:rPr>
          <w:rFonts w:hint="eastAsia" w:hAnsi="Times New Roman" w:cs="Times New Roman"/>
          <w:color w:val="auto"/>
        </w:rPr>
        <w:t>坚持以公益为导向，聚焦于提供符合养生规律的健康服务与产品，通过“因</w:t>
      </w:r>
      <w:r>
        <w:rPr>
          <w:rFonts w:hint="eastAsia" w:cs="Times New Roman"/>
          <w:color w:val="auto"/>
          <w:lang w:val="en-US" w:eastAsia="zh-CN"/>
        </w:rPr>
        <w:t>需而设</w:t>
      </w:r>
      <w:r>
        <w:rPr>
          <w:rFonts w:hint="eastAsia" w:hAnsi="Times New Roman" w:cs="Times New Roman"/>
          <w:color w:val="auto"/>
        </w:rPr>
        <w:t>”的方式，切实便利居民参与，满足其季节性的健康需求</w:t>
      </w:r>
      <w:r>
        <w:rPr>
          <w:rFonts w:hint="eastAsia" w:cs="Times New Roman"/>
          <w:color w:val="auto"/>
          <w:lang w:eastAsia="zh-CN"/>
        </w:rPr>
        <w:t>。</w:t>
      </w:r>
    </w:p>
    <w:p w14:paraId="12D75A3F">
      <w:pPr>
        <w:pStyle w:val="56"/>
        <w:keepNext w:val="0"/>
        <w:keepLines w:val="0"/>
        <w:pageBreakBefore w:val="0"/>
        <w:widowControl/>
        <w:kinsoku/>
        <w:wordWrap/>
        <w:overflowPunct/>
        <w:topLinePunct w:val="0"/>
        <w:autoSpaceDE/>
        <w:autoSpaceDN/>
        <w:bidi w:val="0"/>
        <w:adjustRightInd/>
        <w:snapToGrid/>
        <w:spacing w:before="157" w:beforeLines="50" w:after="157" w:afterLines="50" w:line="240" w:lineRule="auto"/>
        <w:ind w:firstLine="0" w:firstLineChars="0"/>
        <w:textAlignment w:val="auto"/>
        <w:outlineLvl w:val="2"/>
        <w:rPr>
          <w:rFonts w:hint="default" w:eastAsia="黑体"/>
          <w:color w:val="auto"/>
          <w:lang w:val="en-US" w:eastAsia="zh-CN"/>
        </w:rPr>
      </w:pPr>
      <w:r>
        <w:rPr>
          <w:rFonts w:hint="eastAsia" w:ascii="黑体" w:eastAsia="黑体"/>
          <w:color w:val="auto"/>
        </w:rPr>
        <w:t>4.</w:t>
      </w:r>
      <w:r>
        <w:rPr>
          <w:rFonts w:ascii="黑体" w:eastAsia="黑体"/>
          <w:color w:val="auto"/>
        </w:rPr>
        <w:t>1</w:t>
      </w:r>
      <w:r>
        <w:rPr>
          <w:rFonts w:hint="eastAsia" w:ascii="黑体" w:eastAsia="黑体"/>
          <w:color w:val="auto"/>
        </w:rPr>
        <w:t xml:space="preserve">.2 </w:t>
      </w:r>
      <w:r>
        <w:rPr>
          <w:rFonts w:hint="eastAsia" w:ascii="黑体" w:eastAsia="黑体"/>
          <w:color w:val="auto"/>
          <w:lang w:val="en-US" w:eastAsia="zh-CN"/>
        </w:rPr>
        <w:t>传承精华，守正创新</w:t>
      </w:r>
    </w:p>
    <w:p w14:paraId="6CA0ECCE">
      <w:pPr>
        <w:pStyle w:val="56"/>
        <w:spacing w:line="240" w:lineRule="auto"/>
        <w:ind w:firstLine="420"/>
        <w:rPr>
          <w:rFonts w:hint="eastAsia" w:eastAsia="宋体"/>
          <w:color w:val="auto"/>
          <w:lang w:eastAsia="zh-CN"/>
        </w:rPr>
      </w:pPr>
      <w:r>
        <w:rPr>
          <w:rFonts w:hint="eastAsia" w:hAnsi="Times New Roman" w:cs="Times New Roman"/>
          <w:color w:val="auto"/>
        </w:rPr>
        <w:t>深入挖掘传统养生智慧与中医适宜技术，并借助现代设计、科技与市场手段，对其进行创造性转化与创新性发展，实现</w:t>
      </w:r>
      <w:r>
        <w:rPr>
          <w:rFonts w:hint="eastAsia" w:cs="Times New Roman"/>
          <w:color w:val="auto"/>
          <w:lang w:val="en-US" w:eastAsia="zh-CN"/>
        </w:rPr>
        <w:t>内容与形式</w:t>
      </w:r>
      <w:r>
        <w:rPr>
          <w:rFonts w:hint="eastAsia" w:hAnsi="Times New Roman" w:cs="Times New Roman"/>
          <w:color w:val="auto"/>
        </w:rPr>
        <w:t>的生动呈现</w:t>
      </w:r>
      <w:r>
        <w:rPr>
          <w:rFonts w:hint="eastAsia" w:hAnsi="Times New Roman" w:cs="Times New Roman"/>
          <w:color w:val="auto"/>
          <w:lang w:eastAsia="zh-CN"/>
        </w:rPr>
        <w:t>。</w:t>
      </w:r>
    </w:p>
    <w:p w14:paraId="454E7598">
      <w:pPr>
        <w:pStyle w:val="56"/>
        <w:keepNext w:val="0"/>
        <w:keepLines w:val="0"/>
        <w:pageBreakBefore w:val="0"/>
        <w:widowControl/>
        <w:kinsoku/>
        <w:wordWrap/>
        <w:overflowPunct/>
        <w:topLinePunct w:val="0"/>
        <w:autoSpaceDE/>
        <w:autoSpaceDN/>
        <w:bidi w:val="0"/>
        <w:adjustRightInd/>
        <w:snapToGrid/>
        <w:spacing w:before="157" w:beforeLines="50" w:after="157" w:afterLines="50" w:line="240" w:lineRule="auto"/>
        <w:ind w:firstLine="0" w:firstLineChars="0"/>
        <w:textAlignment w:val="auto"/>
        <w:outlineLvl w:val="2"/>
        <w:rPr>
          <w:rFonts w:hint="default" w:ascii="黑体" w:eastAsia="黑体"/>
          <w:color w:val="auto"/>
          <w:lang w:val="en-US" w:eastAsia="zh-CN"/>
        </w:rPr>
      </w:pPr>
      <w:r>
        <w:rPr>
          <w:rFonts w:hint="eastAsia" w:ascii="黑体" w:eastAsia="黑体"/>
          <w:color w:val="auto"/>
        </w:rPr>
        <w:t>4.</w:t>
      </w:r>
      <w:r>
        <w:rPr>
          <w:rFonts w:ascii="黑体" w:eastAsia="黑体"/>
          <w:color w:val="auto"/>
        </w:rPr>
        <w:t>1</w:t>
      </w:r>
      <w:r>
        <w:rPr>
          <w:rFonts w:hint="eastAsia" w:ascii="黑体" w:eastAsia="黑体"/>
          <w:color w:val="auto"/>
        </w:rPr>
        <w:t xml:space="preserve">.3 </w:t>
      </w:r>
      <w:r>
        <w:rPr>
          <w:rFonts w:hint="eastAsia" w:ascii="黑体" w:eastAsia="黑体"/>
          <w:color w:val="auto"/>
          <w:lang w:val="en-US" w:eastAsia="zh-CN"/>
        </w:rPr>
        <w:t>因地制宜，动态策划</w:t>
      </w:r>
    </w:p>
    <w:p w14:paraId="66439A39">
      <w:pPr>
        <w:pStyle w:val="56"/>
        <w:spacing w:line="240" w:lineRule="auto"/>
        <w:ind w:firstLine="420"/>
        <w:rPr>
          <w:rFonts w:hint="eastAsia" w:hAnsi="Times New Roman" w:cs="Times New Roman"/>
          <w:color w:val="auto"/>
        </w:rPr>
      </w:pPr>
      <w:r>
        <w:rPr>
          <w:rFonts w:hint="eastAsia" w:hAnsi="Times New Roman" w:cs="Times New Roman"/>
          <w:color w:val="auto"/>
        </w:rPr>
        <w:t>紧密依托本地中医药资源、地域文化及群众生活习惯，进行特色化策划。市集内容与主题动态</w:t>
      </w:r>
      <w:r>
        <w:rPr>
          <w:rFonts w:hint="eastAsia" w:cs="Times New Roman"/>
          <w:color w:val="auto"/>
          <w:lang w:val="en-US" w:eastAsia="zh-CN"/>
        </w:rPr>
        <w:t>更新</w:t>
      </w:r>
      <w:r>
        <w:rPr>
          <w:rFonts w:hint="eastAsia" w:hAnsi="Times New Roman" w:cs="Times New Roman"/>
          <w:color w:val="auto"/>
        </w:rPr>
        <w:t>，做到主题鲜明、内容各异，形成“</w:t>
      </w:r>
      <w:r>
        <w:rPr>
          <w:rFonts w:hint="eastAsia" w:cs="Times New Roman"/>
          <w:color w:val="auto"/>
          <w:lang w:val="en-US" w:eastAsia="zh-CN"/>
        </w:rPr>
        <w:t>期期</w:t>
      </w:r>
      <w:r>
        <w:rPr>
          <w:rFonts w:hint="eastAsia" w:hAnsi="Times New Roman" w:cs="Times New Roman"/>
          <w:color w:val="auto"/>
        </w:rPr>
        <w:t>有主题，场场有特色”的持续吸引力。</w:t>
      </w:r>
    </w:p>
    <w:p w14:paraId="3F4C6DCF">
      <w:pPr>
        <w:pStyle w:val="56"/>
        <w:keepNext w:val="0"/>
        <w:keepLines w:val="0"/>
        <w:pageBreakBefore w:val="0"/>
        <w:widowControl/>
        <w:kinsoku/>
        <w:wordWrap/>
        <w:overflowPunct/>
        <w:topLinePunct w:val="0"/>
        <w:autoSpaceDE/>
        <w:autoSpaceDN/>
        <w:bidi w:val="0"/>
        <w:adjustRightInd/>
        <w:snapToGrid/>
        <w:spacing w:before="157" w:beforeLines="50" w:after="157" w:afterLines="50" w:line="240" w:lineRule="auto"/>
        <w:ind w:firstLine="0" w:firstLineChars="0"/>
        <w:textAlignment w:val="auto"/>
        <w:outlineLvl w:val="2"/>
        <w:rPr>
          <w:rFonts w:hint="default" w:ascii="黑体" w:eastAsia="黑体"/>
          <w:color w:val="auto"/>
          <w:lang w:val="en-US" w:eastAsia="zh-CN"/>
        </w:rPr>
      </w:pPr>
      <w:r>
        <w:rPr>
          <w:rFonts w:hint="eastAsia" w:ascii="黑体" w:eastAsia="黑体"/>
          <w:color w:val="auto"/>
        </w:rPr>
        <w:t>4.</w:t>
      </w:r>
      <w:r>
        <w:rPr>
          <w:rFonts w:ascii="黑体" w:eastAsia="黑体"/>
          <w:color w:val="auto"/>
        </w:rPr>
        <w:t>1</w:t>
      </w:r>
      <w:r>
        <w:rPr>
          <w:rFonts w:hint="eastAsia" w:ascii="黑体" w:eastAsia="黑体"/>
          <w:color w:val="auto"/>
        </w:rPr>
        <w:t xml:space="preserve">.4 </w:t>
      </w:r>
      <w:r>
        <w:rPr>
          <w:rFonts w:hint="eastAsia" w:ascii="黑体" w:eastAsia="黑体"/>
          <w:color w:val="auto"/>
          <w:lang w:val="en-US" w:eastAsia="zh-CN"/>
        </w:rPr>
        <w:t>多方联动，融合发展</w:t>
      </w:r>
    </w:p>
    <w:p w14:paraId="58144B19">
      <w:pPr>
        <w:pStyle w:val="56"/>
        <w:spacing w:line="240" w:lineRule="auto"/>
        <w:ind w:firstLine="420"/>
        <w:rPr>
          <w:rFonts w:hint="eastAsia" w:hAnsi="Times New Roman" w:cs="Times New Roman"/>
          <w:color w:val="auto"/>
          <w:lang w:eastAsia="zh-CN"/>
        </w:rPr>
      </w:pPr>
      <w:r>
        <w:rPr>
          <w:rFonts w:hint="eastAsia" w:hAnsi="Times New Roman" w:cs="Times New Roman"/>
          <w:color w:val="auto"/>
        </w:rPr>
        <w:t>构建由医疗机构、社区、企业、媒体等多方参与的协同机制，整合资源，优势互补，共同推动中医药文化、健康服务与相关产业在</w:t>
      </w:r>
      <w:r>
        <w:rPr>
          <w:rFonts w:hint="eastAsia" w:cs="Times New Roman"/>
          <w:color w:val="auto"/>
          <w:lang w:val="en-US" w:eastAsia="zh-CN"/>
        </w:rPr>
        <w:t>多元化</w:t>
      </w:r>
      <w:r>
        <w:rPr>
          <w:rFonts w:hint="eastAsia" w:hAnsi="Times New Roman" w:cs="Times New Roman"/>
          <w:color w:val="auto"/>
        </w:rPr>
        <w:t>场景中的深度融合发展</w:t>
      </w:r>
      <w:r>
        <w:rPr>
          <w:rFonts w:hint="eastAsia" w:hAnsi="Times New Roman" w:cs="Times New Roman"/>
          <w:color w:val="auto"/>
          <w:lang w:eastAsia="zh-CN"/>
        </w:rPr>
        <w:t>。</w:t>
      </w:r>
    </w:p>
    <w:p w14:paraId="76E55F88">
      <w:pPr>
        <w:pStyle w:val="104"/>
        <w:spacing w:before="240" w:after="240"/>
        <w:rPr>
          <w:color w:val="auto"/>
        </w:rPr>
      </w:pPr>
      <w:r>
        <w:rPr>
          <w:rFonts w:hint="eastAsia"/>
          <w:color w:val="auto"/>
          <w:lang w:val="en-US" w:eastAsia="zh-CN"/>
        </w:rPr>
        <w:t>基本要求</w:t>
      </w:r>
    </w:p>
    <w:p w14:paraId="73163630">
      <w:pPr>
        <w:pStyle w:val="56"/>
        <w:spacing w:line="240" w:lineRule="auto"/>
        <w:ind w:left="0" w:leftChars="0" w:firstLine="0" w:firstLineChars="0"/>
        <w:rPr>
          <w:rFonts w:hint="eastAsia" w:hAnsi="Times New Roman" w:cs="Times New Roman"/>
          <w:color w:val="auto"/>
          <w:lang w:eastAsia="zh-CN"/>
        </w:rPr>
      </w:pPr>
      <w:r>
        <w:rPr>
          <w:rFonts w:hint="eastAsia" w:ascii="黑体" w:hAnsi="黑体" w:eastAsia="黑体" w:cs="黑体"/>
          <w:color w:val="auto"/>
          <w:lang w:val="en-US" w:eastAsia="zh-CN"/>
        </w:rPr>
        <w:t>5</w:t>
      </w:r>
      <w:r>
        <w:rPr>
          <w:rFonts w:hint="eastAsia" w:ascii="黑体" w:hAnsi="黑体" w:eastAsia="黑体" w:cs="黑体"/>
          <w:color w:val="auto"/>
        </w:rPr>
        <w:t xml:space="preserve">.1 </w:t>
      </w:r>
      <w:r>
        <w:rPr>
          <w:rFonts w:hint="eastAsia" w:hAnsi="Times New Roman" w:cs="Times New Roman"/>
          <w:color w:val="auto"/>
        </w:rPr>
        <w:t>主办或承办</w:t>
      </w:r>
      <w:r>
        <w:rPr>
          <w:rFonts w:hint="eastAsia" w:hAnsi="Times New Roman" w:cs="Times New Roman"/>
          <w:color w:val="auto"/>
          <w:lang w:val="en-US" w:eastAsia="zh-CN"/>
        </w:rPr>
        <w:t>中医药养生</w:t>
      </w:r>
      <w:r>
        <w:rPr>
          <w:rFonts w:hint="eastAsia" w:hAnsi="Times New Roman" w:cs="Times New Roman"/>
          <w:color w:val="auto"/>
        </w:rPr>
        <w:t>市集的医疗机构应依法取得《医疗机构执业许可证》，并在其执业登记机关备案。</w:t>
      </w:r>
      <w:r>
        <w:rPr>
          <w:rFonts w:hint="default" w:hAnsi="Times New Roman" w:cs="Times New Roman"/>
          <w:color w:val="auto"/>
        </w:rPr>
        <w:br w:type="textWrapping"/>
      </w:r>
      <w:r>
        <w:rPr>
          <w:rFonts w:hint="eastAsia" w:ascii="黑体" w:hAnsi="黑体" w:eastAsia="黑体" w:cs="黑体"/>
          <w:color w:val="auto"/>
          <w:lang w:val="en-US" w:eastAsia="zh-CN"/>
        </w:rPr>
        <w:t>5</w:t>
      </w:r>
      <w:r>
        <w:rPr>
          <w:rFonts w:hint="eastAsia" w:ascii="黑体" w:hAnsi="黑体" w:eastAsia="黑体" w:cs="黑体"/>
          <w:color w:val="auto"/>
        </w:rPr>
        <w:t xml:space="preserve">.2 </w:t>
      </w:r>
      <w:r>
        <w:rPr>
          <w:rFonts w:hint="default" w:hAnsi="Times New Roman" w:cs="Times New Roman"/>
          <w:color w:val="auto"/>
        </w:rPr>
        <w:t>在院外场所开展</w:t>
      </w:r>
      <w:r>
        <w:rPr>
          <w:rFonts w:hint="eastAsia" w:hAnsi="Times New Roman" w:cs="Times New Roman"/>
          <w:color w:val="auto"/>
          <w:lang w:val="en-US" w:eastAsia="zh-CN"/>
        </w:rPr>
        <w:t>中医药养生</w:t>
      </w:r>
      <w:r>
        <w:rPr>
          <w:rFonts w:hint="eastAsia" w:hAnsi="Times New Roman" w:cs="Times New Roman"/>
          <w:color w:val="auto"/>
        </w:rPr>
        <w:t>市集</w:t>
      </w:r>
      <w:r>
        <w:rPr>
          <w:rFonts w:hint="default" w:hAnsi="Times New Roman" w:cs="Times New Roman"/>
          <w:color w:val="auto"/>
        </w:rPr>
        <w:t>，应按照当地卫生健康行政部门的规定，提交活动方案、场地信息、人员安排、安全保障措施等材料，办理相关备案或审批手续。</w:t>
      </w:r>
      <w:r>
        <w:rPr>
          <w:rFonts w:hint="default" w:hAnsi="Times New Roman" w:cs="Times New Roman"/>
          <w:color w:val="auto"/>
        </w:rPr>
        <w:br w:type="textWrapping"/>
      </w:r>
      <w:r>
        <w:rPr>
          <w:rFonts w:hint="eastAsia" w:ascii="黑体" w:hAnsi="黑体" w:eastAsia="黑体" w:cs="黑体"/>
          <w:color w:val="auto"/>
          <w:lang w:val="en-US" w:eastAsia="zh-CN"/>
        </w:rPr>
        <w:t>5</w:t>
      </w:r>
      <w:r>
        <w:rPr>
          <w:rFonts w:hint="eastAsia" w:ascii="黑体" w:hAnsi="黑体" w:eastAsia="黑体" w:cs="黑体"/>
          <w:color w:val="auto"/>
        </w:rPr>
        <w:t>.3</w:t>
      </w:r>
      <w:r>
        <w:rPr>
          <w:rFonts w:hint="default" w:hAnsi="Times New Roman" w:cs="Times New Roman"/>
          <w:color w:val="auto"/>
        </w:rPr>
        <w:t xml:space="preserve"> 涉及诊疗活动的，应在备案材料中明确诊疗项目、服务范围及操作规范。</w:t>
      </w:r>
    </w:p>
    <w:p w14:paraId="4B6794C0">
      <w:pPr>
        <w:pStyle w:val="104"/>
        <w:spacing w:before="240" w:after="240"/>
        <w:rPr>
          <w:color w:val="auto"/>
        </w:rPr>
      </w:pPr>
      <w:bookmarkStart w:id="66" w:name="_Toc28856"/>
      <w:r>
        <w:rPr>
          <w:rFonts w:hint="eastAsia"/>
          <w:color w:val="auto"/>
          <w:lang w:val="en-US" w:eastAsia="zh-CN"/>
        </w:rPr>
        <w:t>建设要求</w:t>
      </w:r>
      <w:bookmarkEnd w:id="66"/>
    </w:p>
    <w:p w14:paraId="3D954D4A">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Times New Roman" w:hAnsi="Times New Roman" w:eastAsia="宋体" w:cs="Times New Roman"/>
          <w:b w:val="0"/>
          <w:bCs w:val="0"/>
          <w:snapToGrid w:val="0"/>
          <w:color w:val="auto"/>
          <w:spacing w:val="10"/>
          <w:kern w:val="0"/>
          <w:sz w:val="21"/>
          <w:szCs w:val="21"/>
        </w:rPr>
      </w:pPr>
      <w:bookmarkStart w:id="67" w:name="_Toc30202"/>
      <w:r>
        <w:rPr>
          <w:rFonts w:hint="eastAsia" w:hAnsi="黑体" w:cs="黑体"/>
          <w:color w:val="auto"/>
          <w:lang w:val="en-US" w:eastAsia="zh-CN"/>
        </w:rPr>
        <w:t>选址条件</w:t>
      </w:r>
      <w:bookmarkEnd w:id="67"/>
    </w:p>
    <w:p w14:paraId="5DBAF8C6">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auto"/>
          <w:spacing w:val="8"/>
          <w:kern w:val="0"/>
          <w:sz w:val="21"/>
          <w:szCs w:val="21"/>
          <w:lang w:val="en-US" w:eastAsia="zh-CN" w:bidi="ar-SA"/>
        </w:rPr>
      </w:pPr>
      <w:r>
        <w:rPr>
          <w:rFonts w:hint="eastAsia" w:ascii="黑体" w:hAnsi="黑体" w:eastAsia="黑体" w:cs="黑体"/>
          <w:b w:val="0"/>
          <w:bCs w:val="0"/>
          <w:snapToGrid w:val="0"/>
          <w:color w:val="auto"/>
          <w:spacing w:val="10"/>
          <w:kern w:val="0"/>
          <w:sz w:val="21"/>
          <w:szCs w:val="21"/>
          <w:lang w:val="en-US" w:eastAsia="zh-CN"/>
        </w:rPr>
        <w:t>6</w:t>
      </w:r>
      <w:r>
        <w:rPr>
          <w:rFonts w:hint="eastAsia" w:ascii="黑体" w:hAnsi="黑体" w:eastAsia="黑体" w:cs="黑体"/>
          <w:b w:val="0"/>
          <w:bCs w:val="0"/>
          <w:snapToGrid w:val="0"/>
          <w:color w:val="auto"/>
          <w:spacing w:val="10"/>
          <w:kern w:val="0"/>
          <w:sz w:val="21"/>
          <w:szCs w:val="21"/>
        </w:rPr>
        <w:t>.</w:t>
      </w:r>
      <w:r>
        <w:rPr>
          <w:rFonts w:hint="eastAsia" w:ascii="黑体" w:hAnsi="黑体" w:eastAsia="黑体" w:cs="黑体"/>
          <w:b w:val="0"/>
          <w:bCs w:val="0"/>
          <w:snapToGrid w:val="0"/>
          <w:color w:val="auto"/>
          <w:spacing w:val="10"/>
          <w:kern w:val="0"/>
          <w:sz w:val="21"/>
          <w:szCs w:val="21"/>
          <w:lang w:val="en-US" w:eastAsia="zh-CN"/>
        </w:rPr>
        <w:t>1</w:t>
      </w:r>
      <w:r>
        <w:rPr>
          <w:rFonts w:hint="eastAsia" w:ascii="黑体" w:hAnsi="黑体" w:eastAsia="黑体" w:cs="黑体"/>
          <w:b w:val="0"/>
          <w:bCs w:val="0"/>
          <w:snapToGrid w:val="0"/>
          <w:color w:val="auto"/>
          <w:spacing w:val="10"/>
          <w:kern w:val="0"/>
          <w:sz w:val="21"/>
          <w:szCs w:val="21"/>
        </w:rPr>
        <w:t>.1</w:t>
      </w:r>
      <w:r>
        <w:rPr>
          <w:rFonts w:hint="default" w:ascii="Times New Roman" w:hAnsi="Times New Roman" w:eastAsia="宋体" w:cs="Times New Roman"/>
          <w:b w:val="0"/>
          <w:bCs w:val="0"/>
          <w:snapToGrid w:val="0"/>
          <w:color w:val="auto"/>
          <w:spacing w:val="10"/>
          <w:kern w:val="0"/>
          <w:sz w:val="21"/>
          <w:szCs w:val="21"/>
          <w:lang w:val="en-US" w:eastAsia="zh-CN"/>
        </w:rPr>
        <w:t xml:space="preserve"> </w:t>
      </w:r>
      <w:r>
        <w:rPr>
          <w:rFonts w:hint="default" w:ascii="Times New Roman" w:hAnsi="Times New Roman" w:eastAsia="宋体" w:cs="Times New Roman"/>
          <w:b w:val="0"/>
          <w:bCs w:val="0"/>
          <w:snapToGrid w:val="0"/>
          <w:color w:val="auto"/>
          <w:spacing w:val="8"/>
          <w:kern w:val="0"/>
          <w:sz w:val="21"/>
          <w:szCs w:val="21"/>
          <w:lang w:val="en-US" w:eastAsia="zh-CN" w:bidi="ar-SA"/>
        </w:rPr>
        <w:t>场地应选择交通便利、人流适中、环境开阔的公共区域。</w:t>
      </w:r>
    </w:p>
    <w:p w14:paraId="7E4A7891">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snapToGrid w:val="0"/>
          <w:color w:val="000000"/>
          <w:spacing w:val="8"/>
          <w:kern w:val="0"/>
          <w:sz w:val="18"/>
          <w:szCs w:val="18"/>
          <w:lang w:val="en-US" w:eastAsia="zh-CN" w:bidi="ar-SA"/>
        </w:rPr>
      </w:pPr>
      <w:r>
        <w:rPr>
          <w:rFonts w:hint="eastAsia" w:ascii="黑体" w:hAnsi="黑体" w:eastAsia="黑体" w:cs="黑体"/>
          <w:b w:val="0"/>
          <w:bCs w:val="0"/>
          <w:snapToGrid w:val="0"/>
          <w:color w:val="auto"/>
          <w:spacing w:val="8"/>
          <w:kern w:val="0"/>
          <w:sz w:val="18"/>
          <w:szCs w:val="18"/>
          <w:lang w:val="en-US" w:eastAsia="zh-CN" w:bidi="ar-SA"/>
        </w:rPr>
        <w:t>示例：</w:t>
      </w:r>
      <w:r>
        <w:rPr>
          <w:rFonts w:hint="default" w:ascii="Times New Roman" w:hAnsi="Times New Roman" w:eastAsia="宋体" w:cs="Times New Roman"/>
          <w:b w:val="0"/>
          <w:bCs w:val="0"/>
          <w:snapToGrid w:val="0"/>
          <w:color w:val="auto"/>
          <w:spacing w:val="8"/>
          <w:kern w:val="0"/>
          <w:sz w:val="18"/>
          <w:szCs w:val="18"/>
          <w:lang w:val="en-US" w:eastAsia="zh-CN" w:bidi="ar-SA"/>
        </w:rPr>
        <w:t>广场、公园、步行街等</w:t>
      </w:r>
      <w:r>
        <w:rPr>
          <w:rFonts w:hint="default" w:ascii="Times New Roman" w:hAnsi="Times New Roman" w:eastAsia="宋体" w:cs="Times New Roman"/>
          <w:b w:val="0"/>
          <w:bCs w:val="0"/>
          <w:snapToGrid w:val="0"/>
          <w:color w:val="000000"/>
          <w:spacing w:val="8"/>
          <w:kern w:val="0"/>
          <w:sz w:val="18"/>
          <w:szCs w:val="18"/>
          <w:lang w:val="en-US" w:eastAsia="zh-CN" w:bidi="ar-SA"/>
        </w:rPr>
        <w:t>。</w:t>
      </w:r>
    </w:p>
    <w:p w14:paraId="54AC747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r>
        <w:rPr>
          <w:rFonts w:hint="eastAsia" w:ascii="黑体" w:hAnsi="黑体" w:eastAsia="黑体" w:cs="黑体"/>
          <w:b w:val="0"/>
          <w:bCs w:val="0"/>
          <w:snapToGrid w:val="0"/>
          <w:color w:val="000000"/>
          <w:spacing w:val="10"/>
          <w:kern w:val="0"/>
          <w:sz w:val="21"/>
          <w:szCs w:val="21"/>
          <w:lang w:val="en-US" w:eastAsia="zh-CN"/>
        </w:rPr>
        <w:t>6</w:t>
      </w:r>
      <w:r>
        <w:rPr>
          <w:rFonts w:hint="eastAsia" w:ascii="黑体" w:hAnsi="黑体" w:eastAsia="黑体" w:cs="黑体"/>
          <w:b w:val="0"/>
          <w:bCs w:val="0"/>
          <w:snapToGrid w:val="0"/>
          <w:color w:val="000000"/>
          <w:spacing w:val="10"/>
          <w:kern w:val="0"/>
          <w:sz w:val="21"/>
          <w:szCs w:val="21"/>
        </w:rPr>
        <w:t>.</w:t>
      </w:r>
      <w:r>
        <w:rPr>
          <w:rFonts w:hint="eastAsia" w:ascii="黑体" w:hAnsi="黑体" w:eastAsia="黑体" w:cs="黑体"/>
          <w:b w:val="0"/>
          <w:bCs w:val="0"/>
          <w:snapToGrid w:val="0"/>
          <w:color w:val="000000"/>
          <w:spacing w:val="10"/>
          <w:kern w:val="0"/>
          <w:sz w:val="21"/>
          <w:szCs w:val="21"/>
          <w:lang w:val="en-US" w:eastAsia="zh-CN"/>
        </w:rPr>
        <w:t>1</w:t>
      </w:r>
      <w:r>
        <w:rPr>
          <w:rFonts w:hint="eastAsia" w:ascii="黑体" w:hAnsi="黑体" w:eastAsia="黑体" w:cs="黑体"/>
          <w:b w:val="0"/>
          <w:bCs w:val="0"/>
          <w:snapToGrid w:val="0"/>
          <w:color w:val="000000"/>
          <w:spacing w:val="10"/>
          <w:kern w:val="0"/>
          <w:sz w:val="21"/>
          <w:szCs w:val="21"/>
        </w:rPr>
        <w:t>.2</w:t>
      </w:r>
      <w:r>
        <w:rPr>
          <w:rFonts w:hint="default" w:ascii="Times New Roman" w:hAnsi="Times New Roman" w:eastAsia="宋体" w:cs="Times New Roman"/>
          <w:b w:val="0"/>
          <w:bCs w:val="0"/>
          <w:snapToGrid w:val="0"/>
          <w:color w:val="000000"/>
          <w:spacing w:val="10"/>
          <w:kern w:val="0"/>
          <w:sz w:val="21"/>
          <w:szCs w:val="21"/>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场地应具备</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稳定可靠</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的市政配套设施</w:t>
      </w:r>
      <w:r>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t>，</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包括但不限于：</w:t>
      </w:r>
    </w:p>
    <w:p w14:paraId="36A5D85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r>
        <w:rPr>
          <w:rFonts w:hint="default" w:ascii="Times New Roman" w:hAnsi="Times New Roman" w:eastAsia="宋体" w:cs="Times New Roman"/>
          <w:b w:val="0"/>
          <w:bCs w:val="0"/>
          <w:snapToGrid w:val="0"/>
          <w:color w:val="000000"/>
          <w:spacing w:val="8"/>
          <w:kern w:val="0"/>
          <w:sz w:val="21"/>
          <w:szCs w:val="21"/>
          <w:lang w:val="en-US" w:eastAsia="zh-CN" w:bidi="ar-SA"/>
        </w:rPr>
        <w:t>——电力供应；</w:t>
      </w:r>
    </w:p>
    <w:p w14:paraId="41F9C3C5">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r>
        <w:rPr>
          <w:rFonts w:hint="default" w:ascii="Times New Roman" w:hAnsi="Times New Roman" w:eastAsia="宋体" w:cs="Times New Roman"/>
          <w:b w:val="0"/>
          <w:bCs w:val="0"/>
          <w:snapToGrid w:val="0"/>
          <w:color w:val="000000"/>
          <w:spacing w:val="8"/>
          <w:kern w:val="0"/>
          <w:sz w:val="21"/>
          <w:szCs w:val="21"/>
          <w:lang w:val="en-US" w:eastAsia="zh-CN" w:bidi="ar-SA"/>
        </w:rPr>
        <w:t>——夜间照明系统；</w:t>
      </w:r>
    </w:p>
    <w:p w14:paraId="1B3970AC">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pPr>
      <w:r>
        <w:rPr>
          <w:rFonts w:hint="default" w:ascii="Times New Roman" w:hAnsi="Times New Roman" w:eastAsia="宋体" w:cs="Times New Roman"/>
          <w:b w:val="0"/>
          <w:bCs w:val="0"/>
          <w:snapToGrid w:val="0"/>
          <w:color w:val="000000"/>
          <w:spacing w:val="8"/>
          <w:kern w:val="0"/>
          <w:sz w:val="21"/>
          <w:szCs w:val="21"/>
          <w:lang w:val="en-US" w:eastAsia="zh-CN" w:bidi="ar-SA"/>
        </w:rPr>
        <w:t>——</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给排水接口；</w:t>
      </w:r>
    </w:p>
    <w:p w14:paraId="7D787806">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t>——</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畅通的移动通信信号</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p>
    <w:p w14:paraId="2996138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eastAsia" w:ascii="黑体" w:hAnsi="黑体" w:eastAsia="黑体" w:cs="黑体"/>
          <w:b w:val="0"/>
          <w:bCs w:val="0"/>
          <w:i w:val="0"/>
          <w:iCs w:val="0"/>
          <w:caps w:val="0"/>
          <w:snapToGrid w:val="0"/>
          <w:color w:val="000000"/>
          <w:spacing w:val="8"/>
          <w:kern w:val="0"/>
          <w:sz w:val="21"/>
          <w:szCs w:val="21"/>
          <w:shd w:val="clear"/>
          <w:lang w:val="en-US" w:eastAsia="zh-CN"/>
        </w:rPr>
        <w:t>6.1.3</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t>场地面积与形状应能满足功能分区布局与人流安全疏散的要求。</w:t>
      </w:r>
    </w:p>
    <w:p w14:paraId="5F47FAE7">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pPr>
      <w:r>
        <w:rPr>
          <w:rFonts w:hint="eastAsia" w:ascii="黑体" w:hAnsi="黑体" w:eastAsia="黑体" w:cs="黑体"/>
          <w:b w:val="0"/>
          <w:bCs w:val="0"/>
          <w:i w:val="0"/>
          <w:iCs w:val="0"/>
          <w:caps w:val="0"/>
          <w:snapToGrid w:val="0"/>
          <w:color w:val="000000"/>
          <w:spacing w:val="8"/>
          <w:kern w:val="0"/>
          <w:sz w:val="21"/>
          <w:szCs w:val="21"/>
          <w:shd w:val="clear"/>
          <w:lang w:val="en-US" w:eastAsia="zh-CN"/>
        </w:rPr>
        <w:t>6.1.4</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 xml:space="preserve"> 场</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地宜具备一定的文化底蕴或宜人的环境基础，便于通过布置融入中医药文化元素，营造出兼具文化韵味、健康主题与集市活力的复合氛围</w:t>
      </w:r>
      <w:r>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t>。</w:t>
      </w:r>
    </w:p>
    <w:p w14:paraId="7719F22C">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bookmarkStart w:id="68" w:name="_Toc6339"/>
      <w:r>
        <w:rPr>
          <w:rFonts w:hint="eastAsia" w:hAnsi="黑体" w:cs="黑体"/>
          <w:lang w:val="en-US" w:eastAsia="zh-CN"/>
        </w:rPr>
        <w:t>功能布局</w:t>
      </w:r>
      <w:bookmarkEnd w:id="68"/>
    </w:p>
    <w:p w14:paraId="0CBBBCB1">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pPr>
      <w:r>
        <w:rPr>
          <w:rFonts w:hint="eastAsia" w:ascii="黑体" w:hAnsi="黑体" w:eastAsia="黑体" w:cs="黑体"/>
          <w:b w:val="0"/>
          <w:bCs w:val="0"/>
          <w:snapToGrid w:val="0"/>
          <w:color w:val="000000"/>
          <w:spacing w:val="8"/>
          <w:kern w:val="0"/>
          <w:sz w:val="21"/>
          <w:szCs w:val="21"/>
          <w:lang w:val="en-US" w:eastAsia="zh-CN"/>
        </w:rPr>
        <w:t>6</w:t>
      </w:r>
      <w:r>
        <w:rPr>
          <w:rFonts w:hint="eastAsia" w:ascii="黑体" w:hAnsi="黑体" w:eastAsia="黑体" w:cs="黑体"/>
          <w:b w:val="0"/>
          <w:bCs w:val="0"/>
          <w:snapToGrid w:val="0"/>
          <w:color w:val="000000"/>
          <w:spacing w:val="8"/>
          <w:kern w:val="0"/>
          <w:sz w:val="21"/>
          <w:szCs w:val="21"/>
          <w:lang w:eastAsia="zh-CN"/>
        </w:rPr>
        <w:t>.</w:t>
      </w:r>
      <w:r>
        <w:rPr>
          <w:rFonts w:hint="eastAsia" w:ascii="黑体" w:hAnsi="黑体" w:eastAsia="黑体" w:cs="黑体"/>
          <w:b w:val="0"/>
          <w:bCs w:val="0"/>
          <w:snapToGrid w:val="0"/>
          <w:color w:val="000000"/>
          <w:spacing w:val="8"/>
          <w:kern w:val="0"/>
          <w:sz w:val="21"/>
          <w:szCs w:val="21"/>
          <w:lang w:val="en-US" w:eastAsia="zh-CN"/>
        </w:rPr>
        <w:t>2</w:t>
      </w:r>
      <w:r>
        <w:rPr>
          <w:rFonts w:hint="eastAsia" w:ascii="黑体" w:hAnsi="黑体" w:eastAsia="黑体" w:cs="黑体"/>
          <w:b w:val="0"/>
          <w:bCs w:val="0"/>
          <w:snapToGrid w:val="0"/>
          <w:color w:val="000000"/>
          <w:spacing w:val="8"/>
          <w:kern w:val="0"/>
          <w:sz w:val="21"/>
          <w:szCs w:val="21"/>
          <w:lang w:eastAsia="zh-CN"/>
        </w:rPr>
        <w:t>.1</w:t>
      </w:r>
      <w:r>
        <w:rPr>
          <w:rFonts w:hint="default" w:ascii="Times New Roman" w:hAnsi="Times New Roman" w:eastAsia="宋体" w:cs="Times New Roman"/>
          <w:b w:val="0"/>
          <w:bCs w:val="0"/>
          <w:snapToGrid w:val="0"/>
          <w:color w:val="000000"/>
          <w:spacing w:val="8"/>
          <w:kern w:val="0"/>
          <w:sz w:val="21"/>
          <w:szCs w:val="21"/>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应以当</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期</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养生主题为核心导向，各</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服务</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区域的设置、面积分配应服务于主题内容的有效呈现与体验流程。</w:t>
      </w:r>
    </w:p>
    <w:p w14:paraId="5FB93D07">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eastAsia" w:ascii="黑体" w:hAnsi="黑体" w:eastAsia="黑体" w:cs="黑体"/>
          <w:b w:val="0"/>
          <w:bCs w:val="0"/>
          <w:i w:val="0"/>
          <w:iCs w:val="0"/>
          <w:caps w:val="0"/>
          <w:snapToGrid w:val="0"/>
          <w:color w:val="000000"/>
          <w:spacing w:val="8"/>
          <w:kern w:val="0"/>
          <w:sz w:val="21"/>
          <w:szCs w:val="21"/>
          <w:shd w:val="clear"/>
          <w:lang w:val="en-US" w:eastAsia="zh-CN"/>
        </w:rPr>
        <w:t>6.2.2</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 xml:space="preserve"> 应规划但不限于以下服务区：</w:t>
      </w:r>
    </w:p>
    <w:p w14:paraId="5DED433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——健康服务区；</w:t>
      </w:r>
    </w:p>
    <w:p w14:paraId="42A0CF8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784" w:firstLineChars="4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18"/>
          <w:szCs w:val="18"/>
          <w:shd w:val="clear"/>
          <w:lang w:val="en-US" w:eastAsia="zh-CN"/>
        </w:rPr>
      </w:pPr>
      <w:r>
        <w:rPr>
          <w:rFonts w:hint="eastAsia" w:ascii="黑体" w:hAnsi="黑体" w:eastAsia="黑体" w:cs="黑体"/>
          <w:b w:val="0"/>
          <w:bCs w:val="0"/>
          <w:i w:val="0"/>
          <w:iCs w:val="0"/>
          <w:caps w:val="0"/>
          <w:snapToGrid w:val="0"/>
          <w:color w:val="000000"/>
          <w:spacing w:val="8"/>
          <w:kern w:val="0"/>
          <w:sz w:val="18"/>
          <w:szCs w:val="18"/>
          <w:shd w:val="clear"/>
          <w:lang w:val="en-US" w:eastAsia="zh-CN"/>
        </w:rPr>
        <w:t>注：</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提供中医健康状态评估、咨询、干预体验及</w:t>
      </w:r>
      <w:r>
        <w:rPr>
          <w:rFonts w:hint="eastAsia" w:ascii="Times New Roman" w:hAnsi="Times New Roman" w:cs="Times New Roman"/>
          <w:b w:val="0"/>
          <w:bCs w:val="0"/>
          <w:i w:val="0"/>
          <w:iCs w:val="0"/>
          <w:caps w:val="0"/>
          <w:snapToGrid w:val="0"/>
          <w:color w:val="000000"/>
          <w:spacing w:val="8"/>
          <w:kern w:val="0"/>
          <w:sz w:val="18"/>
          <w:szCs w:val="18"/>
          <w:shd w:val="clear" w:fill="auto"/>
          <w:lang w:eastAsia="zh-CN"/>
        </w:rPr>
        <w:t>“</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治未病</w:t>
      </w:r>
      <w:r>
        <w:rPr>
          <w:rFonts w:hint="eastAsia" w:ascii="Times New Roman" w:hAnsi="Times New Roman" w:cs="Times New Roman"/>
          <w:b w:val="0"/>
          <w:bCs w:val="0"/>
          <w:i w:val="0"/>
          <w:iCs w:val="0"/>
          <w:caps w:val="0"/>
          <w:snapToGrid w:val="0"/>
          <w:color w:val="000000"/>
          <w:spacing w:val="8"/>
          <w:kern w:val="0"/>
          <w:sz w:val="18"/>
          <w:szCs w:val="18"/>
          <w:shd w:val="clear" w:fill="auto"/>
          <w:lang w:eastAsia="zh-CN"/>
        </w:rPr>
        <w:t>”</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指导的核心区域</w:t>
      </w:r>
      <w:r>
        <w:rPr>
          <w:rFonts w:hint="default" w:ascii="Times New Roman" w:hAnsi="Times New Roman" w:eastAsia="宋体" w:cs="Times New Roman"/>
          <w:b w:val="0"/>
          <w:bCs w:val="0"/>
          <w:i w:val="0"/>
          <w:iCs w:val="0"/>
          <w:caps w:val="0"/>
          <w:snapToGrid w:val="0"/>
          <w:color w:val="000000"/>
          <w:spacing w:val="8"/>
          <w:kern w:val="0"/>
          <w:sz w:val="18"/>
          <w:szCs w:val="18"/>
          <w:shd w:val="clear"/>
          <w:lang w:eastAsia="zh-CN"/>
        </w:rPr>
        <w:t>。</w:t>
      </w:r>
    </w:p>
    <w:p w14:paraId="7FAFA306">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——文化体验区；</w:t>
      </w:r>
    </w:p>
    <w:p w14:paraId="49A9FBE5">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784" w:firstLineChars="4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18"/>
          <w:szCs w:val="18"/>
          <w:shd w:val="clear"/>
          <w:lang w:val="en-US" w:eastAsia="zh-CN"/>
        </w:rPr>
      </w:pPr>
      <w:r>
        <w:rPr>
          <w:rFonts w:hint="eastAsia" w:ascii="黑体" w:hAnsi="黑体" w:eastAsia="黑体" w:cs="黑体"/>
          <w:b w:val="0"/>
          <w:bCs w:val="0"/>
          <w:i w:val="0"/>
          <w:iCs w:val="0"/>
          <w:caps w:val="0"/>
          <w:snapToGrid w:val="0"/>
          <w:color w:val="000000"/>
          <w:spacing w:val="8"/>
          <w:kern w:val="0"/>
          <w:sz w:val="18"/>
          <w:szCs w:val="18"/>
          <w:shd w:val="clear"/>
          <w:lang w:val="en-US" w:eastAsia="zh-CN"/>
        </w:rPr>
        <w:t>注：</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提供中医药文化展示、知识科普、技艺传承及互动体验的区域。</w:t>
      </w:r>
    </w:p>
    <w:p w14:paraId="4B48F3FD">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——产业互动区；</w:t>
      </w:r>
    </w:p>
    <w:p w14:paraId="1FA7919C">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784" w:firstLineChars="4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18"/>
          <w:szCs w:val="18"/>
          <w:shd w:val="clear"/>
          <w:lang w:val="en-US" w:eastAsia="zh-CN"/>
        </w:rPr>
      </w:pPr>
      <w:r>
        <w:rPr>
          <w:rFonts w:hint="eastAsia" w:ascii="黑体" w:hAnsi="黑体" w:eastAsia="黑体" w:cs="黑体"/>
          <w:b w:val="0"/>
          <w:bCs w:val="0"/>
          <w:i w:val="0"/>
          <w:iCs w:val="0"/>
          <w:caps w:val="0"/>
          <w:snapToGrid w:val="0"/>
          <w:color w:val="000000"/>
          <w:spacing w:val="8"/>
          <w:kern w:val="0"/>
          <w:sz w:val="18"/>
          <w:szCs w:val="18"/>
          <w:shd w:val="clear"/>
          <w:lang w:val="en-US" w:eastAsia="zh-CN"/>
        </w:rPr>
        <w:t>注：</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展示、品鉴、销售与当</w:t>
      </w:r>
      <w:r>
        <w:rPr>
          <w:rFonts w:hint="eastAsia" w:ascii="Times New Roman" w:hAnsi="Times New Roman" w:cs="Times New Roman"/>
          <w:b w:val="0"/>
          <w:bCs w:val="0"/>
          <w:i w:val="0"/>
          <w:iCs w:val="0"/>
          <w:caps w:val="0"/>
          <w:snapToGrid w:val="0"/>
          <w:color w:val="000000"/>
          <w:spacing w:val="8"/>
          <w:kern w:val="0"/>
          <w:sz w:val="18"/>
          <w:szCs w:val="18"/>
          <w:shd w:val="clear" w:fill="auto"/>
          <w:lang w:val="en-US" w:eastAsia="zh-CN"/>
        </w:rPr>
        <w:t>期</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养生相关的健康产品、食品及文创商品的区域</w:t>
      </w:r>
      <w:r>
        <w:rPr>
          <w:rFonts w:hint="default" w:ascii="Times New Roman" w:hAnsi="Times New Roman" w:eastAsia="宋体" w:cs="Times New Roman"/>
          <w:b w:val="0"/>
          <w:bCs w:val="0"/>
          <w:i w:val="0"/>
          <w:iCs w:val="0"/>
          <w:caps w:val="0"/>
          <w:snapToGrid w:val="0"/>
          <w:color w:val="000000"/>
          <w:spacing w:val="8"/>
          <w:kern w:val="0"/>
          <w:sz w:val="18"/>
          <w:szCs w:val="18"/>
          <w:shd w:val="clear"/>
          <w:lang w:eastAsia="zh-CN"/>
        </w:rPr>
        <w:t>。</w:t>
      </w:r>
    </w:p>
    <w:p w14:paraId="3DD2E676">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——后勤保障区。</w:t>
      </w:r>
    </w:p>
    <w:p w14:paraId="6BD7163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784" w:firstLineChars="4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pPr>
      <w:r>
        <w:rPr>
          <w:rFonts w:hint="eastAsia" w:ascii="黑体" w:hAnsi="黑体" w:eastAsia="黑体" w:cs="黑体"/>
          <w:b w:val="0"/>
          <w:bCs w:val="0"/>
          <w:i w:val="0"/>
          <w:iCs w:val="0"/>
          <w:caps w:val="0"/>
          <w:snapToGrid w:val="0"/>
          <w:color w:val="000000"/>
          <w:spacing w:val="8"/>
          <w:kern w:val="0"/>
          <w:sz w:val="18"/>
          <w:szCs w:val="18"/>
          <w:shd w:val="clear" w:fill="auto"/>
          <w:lang w:val="en-US" w:eastAsia="zh-CN"/>
        </w:rPr>
        <w:t>注：</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用于物资集中存储、工作人员休整、设备维护、垃圾暂存及应急指挥的区域</w:t>
      </w:r>
      <w:r>
        <w:rPr>
          <w:rFonts w:hint="default" w:ascii="Times New Roman" w:hAnsi="Times New Roman" w:eastAsia="宋体" w:cs="Times New Roman"/>
          <w:b w:val="0"/>
          <w:bCs w:val="0"/>
          <w:i w:val="0"/>
          <w:iCs w:val="0"/>
          <w:caps w:val="0"/>
          <w:snapToGrid w:val="0"/>
          <w:color w:val="000000"/>
          <w:spacing w:val="8"/>
          <w:kern w:val="0"/>
          <w:sz w:val="18"/>
          <w:szCs w:val="18"/>
          <w:shd w:val="clear"/>
          <w:lang w:eastAsia="zh-CN"/>
        </w:rPr>
        <w:t>。</w:t>
      </w:r>
    </w:p>
    <w:p w14:paraId="3514439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pPr>
      <w:r>
        <w:rPr>
          <w:rFonts w:hint="eastAsia" w:ascii="黑体" w:hAnsi="黑体" w:eastAsia="黑体" w:cs="黑体"/>
          <w:b w:val="0"/>
          <w:bCs w:val="0"/>
          <w:i w:val="0"/>
          <w:iCs w:val="0"/>
          <w:caps w:val="0"/>
          <w:snapToGrid w:val="0"/>
          <w:color w:val="000000"/>
          <w:spacing w:val="8"/>
          <w:kern w:val="0"/>
          <w:sz w:val="21"/>
          <w:szCs w:val="21"/>
          <w:shd w:val="clear"/>
          <w:lang w:val="en-US" w:eastAsia="zh-CN"/>
        </w:rPr>
        <w:t>6.2.3</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应根据服务内容的动静特性进行相对分离，规划清晰、便捷、无交叉干扰的人员流动路线，确保</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服务</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体验舒适、有序。</w:t>
      </w:r>
    </w:p>
    <w:p w14:paraId="20DDD4FE">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pPr>
      <w:r>
        <w:rPr>
          <w:rFonts w:hint="eastAsia" w:ascii="黑体" w:hAnsi="黑体" w:eastAsia="黑体" w:cs="黑体"/>
          <w:b w:val="0"/>
          <w:bCs w:val="0"/>
          <w:i w:val="0"/>
          <w:iCs w:val="0"/>
          <w:caps w:val="0"/>
          <w:snapToGrid w:val="0"/>
          <w:color w:val="000000"/>
          <w:spacing w:val="8"/>
          <w:kern w:val="0"/>
          <w:sz w:val="21"/>
          <w:szCs w:val="21"/>
          <w:shd w:val="clear"/>
          <w:lang w:val="en-US" w:eastAsia="zh-CN"/>
        </w:rPr>
        <w:t>6.2.4</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 xml:space="preserve"> 针对服务区中</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需要特殊环境条件的</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功能模块应</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进行针对性布局优化</w:t>
      </w:r>
      <w:r>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t>。</w:t>
      </w:r>
    </w:p>
    <w:p w14:paraId="27E30161">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r>
        <w:rPr>
          <w:rFonts w:hint="eastAsia" w:ascii="黑体" w:hAnsi="黑体" w:eastAsia="黑体" w:cs="黑体"/>
          <w:b w:val="0"/>
          <w:bCs w:val="0"/>
          <w:i w:val="0"/>
          <w:iCs w:val="0"/>
          <w:caps w:val="0"/>
          <w:snapToGrid w:val="0"/>
          <w:color w:val="000000"/>
          <w:spacing w:val="8"/>
          <w:kern w:val="0"/>
          <w:sz w:val="18"/>
          <w:szCs w:val="18"/>
          <w:shd w:val="clear"/>
          <w:lang w:val="en-US"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lang w:val="en-US" w:eastAsia="zh-CN"/>
        </w:rPr>
        <w:t>如健康服务区中的艾灸区应在</w:t>
      </w:r>
      <w:r>
        <w:rPr>
          <w:rFonts w:hint="eastAsia" w:ascii="Times New Roman" w:hAnsi="Times New Roman" w:cs="Times New Roman"/>
          <w:b w:val="0"/>
          <w:bCs w:val="0"/>
          <w:i w:val="0"/>
          <w:iCs w:val="0"/>
          <w:caps w:val="0"/>
          <w:snapToGrid w:val="0"/>
          <w:color w:val="000000"/>
          <w:spacing w:val="8"/>
          <w:kern w:val="0"/>
          <w:sz w:val="18"/>
          <w:szCs w:val="18"/>
          <w:shd w:val="clear"/>
          <w:lang w:val="en-US" w:eastAsia="zh-CN"/>
        </w:rPr>
        <w:t>高温天气</w:t>
      </w:r>
      <w:r>
        <w:rPr>
          <w:rFonts w:hint="default" w:ascii="Times New Roman" w:hAnsi="Times New Roman" w:eastAsia="宋体" w:cs="Times New Roman"/>
          <w:b w:val="0"/>
          <w:bCs w:val="0"/>
          <w:i w:val="0"/>
          <w:iCs w:val="0"/>
          <w:caps w:val="0"/>
          <w:snapToGrid w:val="0"/>
          <w:color w:val="000000"/>
          <w:spacing w:val="8"/>
          <w:kern w:val="0"/>
          <w:sz w:val="18"/>
          <w:szCs w:val="18"/>
          <w:shd w:val="clear"/>
          <w:lang w:val="en-US" w:eastAsia="zh-CN"/>
        </w:rPr>
        <w:t>加强通风；咨询区中的咨询区应加强隐私保护等。</w:t>
      </w:r>
    </w:p>
    <w:p w14:paraId="62DA5285">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bookmarkStart w:id="69" w:name="_Toc29358"/>
      <w:r>
        <w:rPr>
          <w:rFonts w:hint="eastAsia" w:hAnsi="黑体" w:cs="黑体"/>
          <w:lang w:val="en-US" w:eastAsia="zh-CN"/>
        </w:rPr>
        <w:t>设施设备</w:t>
      </w:r>
      <w:bookmarkEnd w:id="69"/>
    </w:p>
    <w:p w14:paraId="692DF0E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6</w:t>
      </w:r>
      <w:r>
        <w:rPr>
          <w:rFonts w:hint="eastAsia" w:ascii="黑体" w:hAnsi="黑体" w:eastAsia="黑体" w:cs="黑体"/>
          <w:b w:val="0"/>
          <w:bCs w:val="0"/>
          <w:i w:val="0"/>
          <w:iCs w:val="0"/>
          <w:caps w:val="0"/>
          <w:snapToGrid w:val="0"/>
          <w:color w:val="000000"/>
          <w:spacing w:val="8"/>
          <w:kern w:val="0"/>
          <w:sz w:val="21"/>
          <w:szCs w:val="21"/>
          <w:shd w:val="clear" w:fill="auto"/>
          <w:lang w:eastAsia="zh-CN"/>
        </w:rPr>
        <w:t>.3.1</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应配备统一且体现中医药文化特色的基础服务设施。</w:t>
      </w:r>
    </w:p>
    <w:p w14:paraId="425788FB">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eastAsia" w:ascii="Times New Roman" w:hAnsi="Times New Roman" w:cs="Times New Roman"/>
          <w:b w:val="0"/>
          <w:bCs w:val="0"/>
          <w:i w:val="0"/>
          <w:iCs w:val="0"/>
          <w:caps w:val="0"/>
          <w:snapToGrid w:val="0"/>
          <w:color w:val="000000"/>
          <w:spacing w:val="8"/>
          <w:kern w:val="0"/>
          <w:sz w:val="18"/>
          <w:szCs w:val="18"/>
          <w:shd w:val="clear" w:fill="auto"/>
          <w:lang w:val="en-US" w:eastAsia="zh-CN"/>
        </w:rPr>
        <w:t>包括统一的</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展位、桌椅、遮阳（雨）棚、问询服务台、公共休息座椅等。</w:t>
      </w:r>
    </w:p>
    <w:p w14:paraId="01BADD91">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6</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.3.2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应配备与所提供服务内容相匹配的、符合国家相关标准与安全要求的专业设备。</w:t>
      </w:r>
    </w:p>
    <w:p w14:paraId="2900762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18"/>
          <w:szCs w:val="18"/>
          <w:shd w:val="clear"/>
          <w:lang w:val="en-US" w:eastAsia="zh-CN"/>
        </w:rPr>
      </w:pPr>
      <w:r>
        <w:rPr>
          <w:rFonts w:hint="eastAsia" w:ascii="黑体" w:hAnsi="黑体" w:eastAsia="黑体" w:cs="黑体"/>
          <w:b w:val="0"/>
          <w:bCs w:val="0"/>
          <w:i w:val="0"/>
          <w:iCs w:val="0"/>
          <w:caps w:val="0"/>
          <w:snapToGrid w:val="0"/>
          <w:color w:val="000000"/>
          <w:spacing w:val="8"/>
          <w:kern w:val="0"/>
          <w:sz w:val="18"/>
          <w:szCs w:val="18"/>
          <w:shd w:val="clear"/>
          <w:lang w:val="en-US"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诊疗器械、消毒设备、医疗废物收集容器及应急药箱</w:t>
      </w:r>
      <w:r>
        <w:rPr>
          <w:rFonts w:hint="default" w:ascii="Times New Roman" w:hAnsi="Times New Roman" w:eastAsia="宋体" w:cs="Times New Roman"/>
          <w:b w:val="0"/>
          <w:bCs w:val="0"/>
          <w:i w:val="0"/>
          <w:iCs w:val="0"/>
          <w:caps w:val="0"/>
          <w:snapToGrid w:val="0"/>
          <w:color w:val="000000"/>
          <w:spacing w:val="8"/>
          <w:kern w:val="0"/>
          <w:sz w:val="18"/>
          <w:szCs w:val="18"/>
          <w:shd w:val="clear"/>
          <w:lang w:val="en-US" w:eastAsia="zh-CN"/>
        </w:rPr>
        <w:t>等</w:t>
      </w:r>
      <w:r>
        <w:rPr>
          <w:rFonts w:hint="eastAsia" w:ascii="Times New Roman" w:hAnsi="Times New Roman" w:cs="Times New Roman"/>
          <w:b w:val="0"/>
          <w:bCs w:val="0"/>
          <w:i w:val="0"/>
          <w:iCs w:val="0"/>
          <w:caps w:val="0"/>
          <w:snapToGrid w:val="0"/>
          <w:color w:val="000000"/>
          <w:spacing w:val="8"/>
          <w:kern w:val="0"/>
          <w:sz w:val="18"/>
          <w:szCs w:val="18"/>
          <w:shd w:val="clear"/>
          <w:lang w:val="en-US" w:eastAsia="zh-CN"/>
        </w:rPr>
        <w:t>健康服务设备；中医药材标本、养生功法教学器材、传统文化展示装置等文化体验服务设备；产品体验装、制作工具、展销陈列用具、互动体验装置等产业互动服务设备。</w:t>
      </w:r>
    </w:p>
    <w:p w14:paraId="06F0BA1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6</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.3.3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鼓励配置有助于提升服务体验与效率的智能化、数字化设备。</w:t>
      </w:r>
    </w:p>
    <w:p w14:paraId="29898586">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智能体质辨识仪、用于展示与交互的数字多媒体设备、非接触式支付终端等。</w:t>
      </w:r>
    </w:p>
    <w:p w14:paraId="479C9C0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6</w:t>
      </w:r>
      <w:r>
        <w:rPr>
          <w:rFonts w:hint="eastAsia" w:ascii="黑体" w:hAnsi="黑体" w:eastAsia="黑体" w:cs="黑体"/>
          <w:b w:val="0"/>
          <w:bCs w:val="0"/>
          <w:i w:val="0"/>
          <w:iCs w:val="0"/>
          <w:caps w:val="0"/>
          <w:snapToGrid w:val="0"/>
          <w:color w:val="000000"/>
          <w:spacing w:val="8"/>
          <w:kern w:val="0"/>
          <w:sz w:val="21"/>
          <w:szCs w:val="21"/>
          <w:shd w:val="clear" w:fill="auto"/>
          <w:lang w:eastAsia="zh-CN"/>
        </w:rPr>
        <w:t>.3.4</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应</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配备完善的安全与应急设施设备，并确保其状态完好、取用便捷。</w:t>
      </w:r>
    </w:p>
    <w:p w14:paraId="6A91C36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——应按规定配置足量、有效的消防器材（如灭火器），并设置醒目的消防安全标志。</w:t>
      </w:r>
    </w:p>
    <w:p w14:paraId="72285313">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——应在关键区域设置急救包（箱）。</w:t>
      </w:r>
    </w:p>
    <w:p w14:paraId="09FC4C0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——应保障应急照明系统正常运行。</w:t>
      </w:r>
    </w:p>
    <w:p w14:paraId="49CE4FD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6</w:t>
      </w:r>
      <w:r>
        <w:rPr>
          <w:rFonts w:hint="eastAsia" w:ascii="黑体" w:hAnsi="黑体" w:eastAsia="黑体" w:cs="黑体"/>
          <w:b w:val="0"/>
          <w:bCs w:val="0"/>
          <w:i w:val="0"/>
          <w:iCs w:val="0"/>
          <w:caps w:val="0"/>
          <w:snapToGrid w:val="0"/>
          <w:color w:val="000000"/>
          <w:spacing w:val="8"/>
          <w:kern w:val="0"/>
          <w:sz w:val="21"/>
          <w:szCs w:val="21"/>
          <w:shd w:val="clear" w:fill="auto"/>
          <w:lang w:eastAsia="zh-CN"/>
        </w:rPr>
        <w:t>.3.</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5</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设施设备的选型、布局与使用应考虑</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气候与场景</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影响</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并与当期</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主题适配。</w:t>
      </w:r>
    </w:p>
    <w:p w14:paraId="198B3DA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高温季节可增加通风散热设备（如风扇）与防暑降温用品；寒冷季节可为户外服务区域提供保暖设备（如暖风机）；不同时期的主题视觉元素（如装饰、布景）应与当期养生主题相协调。</w:t>
      </w:r>
    </w:p>
    <w:p w14:paraId="5FF74467">
      <w:pPr>
        <w:pStyle w:val="104"/>
        <w:spacing w:before="240" w:after="240"/>
        <w:rPr>
          <w:highlight w:val="none"/>
        </w:rPr>
      </w:pPr>
      <w:bookmarkStart w:id="70" w:name="_Toc20554"/>
      <w:r>
        <w:rPr>
          <w:rFonts w:hint="eastAsia"/>
          <w:highlight w:val="none"/>
          <w:lang w:val="en-US" w:eastAsia="zh-CN"/>
        </w:rPr>
        <w:t>服务内容与要求</w:t>
      </w:r>
      <w:bookmarkEnd w:id="70"/>
    </w:p>
    <w:p w14:paraId="2A41D30A">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bookmarkStart w:id="71" w:name="_Toc7891"/>
      <w:r>
        <w:rPr>
          <w:rFonts w:hint="eastAsia" w:hAnsi="黑体" w:cs="黑体"/>
          <w:lang w:val="en-US" w:eastAsia="zh-CN"/>
        </w:rPr>
        <w:t>健康服务</w:t>
      </w:r>
      <w:bookmarkEnd w:id="71"/>
    </w:p>
    <w:p w14:paraId="48E7D11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.1.1</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应提供以中医</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治未病</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理念为核心，以</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中医养生理论</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为指导的健康状态评估、咨询与调理指导服务。</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.1.2</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宜</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提供不少于</w:t>
      </w:r>
      <w:r>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t>5</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种与当</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期</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养生主题紧密关联的中医适宜技术体验服务。</w:t>
      </w:r>
    </w:p>
    <w:p w14:paraId="4CE490E7">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.1.3</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应开展中医体质辨识服务，并结合</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个性化特点</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提供个性化的饮食、起居、情志及运动调养建议。</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.1.4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可开设具有季节特色的</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夜门诊</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或专题健康咨询，重点解决当季常见健康问题。</w:t>
      </w:r>
    </w:p>
    <w:p w14:paraId="0635EBF8">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bookmarkStart w:id="72" w:name="_Toc16592"/>
      <w:r>
        <w:rPr>
          <w:rFonts w:hint="eastAsia" w:hAnsi="黑体" w:cs="黑体"/>
          <w:lang w:val="en-US" w:eastAsia="zh-CN"/>
        </w:rPr>
        <w:t>文化体验服务</w:t>
      </w:r>
      <w:bookmarkEnd w:id="72"/>
    </w:p>
    <w:p w14:paraId="3789F2D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.2.1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应设计并开展互动性强、体验感佳的中医药文化科普活动。</w:t>
      </w:r>
    </w:p>
    <w:p w14:paraId="3DB55FD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常用道地药材或</w:t>
      </w:r>
      <w:r>
        <w:rPr>
          <w:rFonts w:hint="eastAsia" w:ascii="Times New Roman" w:hAnsi="Times New Roman" w:cs="Times New Roman"/>
          <w:b w:val="0"/>
          <w:bCs w:val="0"/>
          <w:i w:val="0"/>
          <w:iCs w:val="0"/>
          <w:caps w:val="0"/>
          <w:snapToGrid w:val="0"/>
          <w:color w:val="000000"/>
          <w:spacing w:val="8"/>
          <w:kern w:val="0"/>
          <w:sz w:val="18"/>
          <w:szCs w:val="18"/>
          <w:shd w:val="clear" w:fill="auto"/>
          <w:lang w:val="en-US" w:eastAsia="zh-CN"/>
        </w:rPr>
        <w:t>特色</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药用植物的辨识讲解、传统炮制技艺或古法制作（如泛丸、制香囊）的演示与简易体验。</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.2.2</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应组织中医养生导引功法的现场教学与集体练习。</w:t>
      </w:r>
    </w:p>
    <w:p w14:paraId="2FA04EC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根据不同</w:t>
      </w:r>
      <w:r>
        <w:rPr>
          <w:rFonts w:hint="eastAsia" w:ascii="Times New Roman" w:hAnsi="Times New Roman" w:cs="Times New Roman"/>
          <w:b w:val="0"/>
          <w:bCs w:val="0"/>
          <w:i w:val="0"/>
          <w:iCs w:val="0"/>
          <w:caps w:val="0"/>
          <w:snapToGrid w:val="0"/>
          <w:color w:val="000000"/>
          <w:spacing w:val="8"/>
          <w:kern w:val="0"/>
          <w:sz w:val="18"/>
          <w:szCs w:val="18"/>
          <w:shd w:val="clear" w:fill="auto"/>
          <w:lang w:val="en-US" w:eastAsia="zh-CN"/>
        </w:rPr>
        <w:t>主题</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，教学八段锦、五禽戏、六字诀、太极拳等相应功法或招式。</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.2.3</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应设置中医药文化与养生知识展览，利用展板、实物、多媒体等形式进行系统科普。</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.2.4</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鼓励开发并组织与</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传统民俗</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相结合的文化创意互动活动，增强趣味性与参与感。</w:t>
      </w:r>
    </w:p>
    <w:p w14:paraId="4280A95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春季制作养生香囊、秋季手制中药润唇膏、冬季体验古籍拓印等。</w:t>
      </w:r>
    </w:p>
    <w:p w14:paraId="5923C746">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Times New Roman" w:hAnsi="Times New Roman" w:eastAsia="宋体" w:cs="Times New Roman"/>
          <w:b w:val="0"/>
          <w:bCs w:val="0"/>
          <w:i w:val="0"/>
          <w:iCs w:val="0"/>
          <w:caps w:val="0"/>
          <w:color w:val="0F1115"/>
          <w:spacing w:val="0"/>
          <w:sz w:val="21"/>
          <w:szCs w:val="21"/>
          <w:shd w:val="clear" w:fill="FFFFFF"/>
          <w:lang w:val="en-US" w:eastAsia="zh-CN"/>
        </w:rPr>
      </w:pPr>
      <w:bookmarkStart w:id="73" w:name="_Toc9984"/>
      <w:r>
        <w:rPr>
          <w:rFonts w:hint="eastAsia" w:hAnsi="黑体" w:cs="黑体"/>
          <w:lang w:val="en-US" w:eastAsia="zh-CN"/>
        </w:rPr>
        <w:t>产业互动服务</w:t>
      </w:r>
      <w:bookmarkEnd w:id="73"/>
    </w:p>
    <w:p w14:paraId="65D3879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.3.1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应推广和提供适合</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时令</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食养的药膳、养生茶饮等健康产品的品鉴与科普。</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.3.2</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宜</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展示并介绍由医疗机构研制或具有地方特色的膏方、院内制剂、康养产品等，促进中医药健康成果的转化与认知。</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.3.3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销售的中医药相关产品必须符合国家相关质量安全标准，并对其功效进行客观、科学的说明。</w:t>
      </w:r>
    </w:p>
    <w:p w14:paraId="2710B89A">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eastAsia" w:ascii="Times New Roman" w:hAnsi="Times New Roman" w:eastAsia="宋体" w:cs="Times New Roman"/>
          <w:b w:val="0"/>
          <w:bCs w:val="0"/>
          <w:i w:val="0"/>
          <w:iCs w:val="0"/>
          <w:caps w:val="0"/>
          <w:snapToGrid w:val="0"/>
          <w:color w:val="000000"/>
          <w:spacing w:val="8"/>
          <w:kern w:val="0"/>
          <w:sz w:val="18"/>
          <w:szCs w:val="18"/>
          <w:shd w:val="clear" w:fill="auto"/>
          <w:lang w:val="en-US" w:eastAsia="zh-CN"/>
        </w:rPr>
        <w:t>中医药相关产品</w:t>
      </w:r>
      <w:r>
        <w:rPr>
          <w:rFonts w:hint="eastAsia" w:ascii="Times New Roman" w:hAnsi="Times New Roman" w:cs="Times New Roman"/>
          <w:b w:val="0"/>
          <w:bCs w:val="0"/>
          <w:i w:val="0"/>
          <w:iCs w:val="0"/>
          <w:caps w:val="0"/>
          <w:snapToGrid w:val="0"/>
          <w:color w:val="000000"/>
          <w:spacing w:val="8"/>
          <w:kern w:val="0"/>
          <w:sz w:val="18"/>
          <w:szCs w:val="18"/>
          <w:shd w:val="clear" w:fill="auto"/>
          <w:lang w:val="en-US" w:eastAsia="zh-CN"/>
        </w:rPr>
        <w:t>包括</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val="en-US" w:eastAsia="zh-CN"/>
        </w:rPr>
        <w:t>食品、保健品、日化用品、文创产品等</w:t>
      </w:r>
      <w:r>
        <w:rPr>
          <w:rFonts w:hint="eastAsia" w:ascii="Times New Roman" w:hAnsi="Times New Roman" w:cs="Times New Roman"/>
          <w:b w:val="0"/>
          <w:bCs w:val="0"/>
          <w:i w:val="0"/>
          <w:iCs w:val="0"/>
          <w:caps w:val="0"/>
          <w:snapToGrid w:val="0"/>
          <w:color w:val="000000"/>
          <w:spacing w:val="8"/>
          <w:kern w:val="0"/>
          <w:sz w:val="18"/>
          <w:szCs w:val="18"/>
          <w:shd w:val="clear" w:fill="auto"/>
          <w:lang w:val="en-US" w:eastAsia="zh-CN"/>
        </w:rPr>
        <w:t>。</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.3.4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鼓励设置健康产品体验式消费场景，提供基于个人健康需求的轻定制服务。</w:t>
      </w:r>
    </w:p>
    <w:p w14:paraId="77653057">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eastAsia="zh-CN"/>
        </w:rPr>
        <w:t>示例：</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根据体质辨识结果推荐并现场配制代茶饮方，或提供膏方、香囊的定制咨询服务。</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7</w:t>
      </w:r>
      <w:r>
        <w:rPr>
          <w:rFonts w:hint="eastAsia" w:ascii="黑体" w:hAnsi="黑体" w:eastAsia="黑体" w:cs="黑体"/>
          <w:b w:val="0"/>
          <w:bCs w:val="0"/>
          <w:i w:val="0"/>
          <w:iCs w:val="0"/>
          <w:caps w:val="0"/>
          <w:snapToGrid w:val="0"/>
          <w:color w:val="000000"/>
          <w:spacing w:val="8"/>
          <w:kern w:val="0"/>
          <w:sz w:val="21"/>
          <w:szCs w:val="21"/>
          <w:shd w:val="clear" w:fill="auto"/>
          <w:lang w:eastAsia="zh-CN"/>
        </w:rPr>
        <w:t>.3.5</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产业互动活动应坚持文化引领与健康导向，避免过度商业化营销。</w:t>
      </w:r>
    </w:p>
    <w:p w14:paraId="33799707">
      <w:pPr>
        <w:pStyle w:val="104"/>
        <w:spacing w:before="240" w:after="240"/>
      </w:pPr>
      <w:bookmarkStart w:id="74" w:name="_Toc28972"/>
      <w:r>
        <w:rPr>
          <w:rFonts w:hint="eastAsia"/>
          <w:lang w:val="en-US" w:eastAsia="zh-CN"/>
        </w:rPr>
        <w:t>服务管理</w:t>
      </w:r>
      <w:bookmarkEnd w:id="74"/>
    </w:p>
    <w:p w14:paraId="62139C59">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bookmarkStart w:id="75" w:name="_Toc14561"/>
      <w:r>
        <w:rPr>
          <w:rFonts w:hint="eastAsia" w:ascii="黑体" w:hAnsi="黑体" w:eastAsia="黑体" w:cs="黑体"/>
          <w:b w:val="0"/>
          <w:bCs w:val="0"/>
          <w:i w:val="0"/>
          <w:iCs w:val="0"/>
          <w:caps w:val="0"/>
          <w:color w:val="0F1115"/>
          <w:spacing w:val="0"/>
          <w:sz w:val="21"/>
          <w:szCs w:val="21"/>
          <w:shd w:val="clear" w:fill="FFFFFF"/>
          <w:lang w:val="en-US" w:eastAsia="zh-CN"/>
        </w:rPr>
        <w:t>人员</w:t>
      </w:r>
      <w:r>
        <w:rPr>
          <w:rFonts w:hint="eastAsia" w:hAnsi="黑体" w:cs="黑体"/>
          <w:b w:val="0"/>
          <w:bCs w:val="0"/>
          <w:i w:val="0"/>
          <w:iCs w:val="0"/>
          <w:caps w:val="0"/>
          <w:color w:val="0F1115"/>
          <w:spacing w:val="0"/>
          <w:sz w:val="21"/>
          <w:szCs w:val="21"/>
          <w:shd w:val="clear" w:fill="FFFFFF"/>
          <w:lang w:val="en-US" w:eastAsia="zh-CN"/>
        </w:rPr>
        <w:t>管理</w:t>
      </w:r>
      <w:bookmarkEnd w:id="75"/>
    </w:p>
    <w:p w14:paraId="09CE3453">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snapToGrid w:val="0"/>
          <w:color w:val="000000"/>
          <w:spacing w:val="1"/>
          <w:kern w:val="0"/>
          <w:sz w:val="21"/>
          <w:szCs w:val="21"/>
          <w:lang w:val="en-US" w:eastAsia="zh-CN"/>
        </w:rPr>
        <w:t xml:space="preserve">8.1.1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直接提供健康咨询与技术体验的医务人员，</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val="en-US" w:eastAsia="zh-CN"/>
        </w:rPr>
        <w:t>应</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持有《医师资格证书》《医师执业证书》</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等</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有效的执业资格证书，并遵守医疗卫生相关法律法规。</w:t>
      </w:r>
    </w:p>
    <w:p w14:paraId="6FFDBDA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pPr>
      <w:r>
        <w:rPr>
          <w:rFonts w:hint="eastAsia" w:ascii="黑体" w:hAnsi="黑体" w:eastAsia="黑体" w:cs="黑体"/>
          <w:b w:val="0"/>
          <w:bCs w:val="0"/>
          <w:snapToGrid w:val="0"/>
          <w:color w:val="000000"/>
          <w:spacing w:val="1"/>
          <w:kern w:val="0"/>
          <w:sz w:val="21"/>
          <w:szCs w:val="21"/>
          <w:lang w:val="en-US" w:eastAsia="zh-CN"/>
        </w:rPr>
        <w:t xml:space="preserve">8.1.2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非卫生技术人员可承担引导、秩序维护、文化讲解、产品介绍等辅助性工作。</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w:t>
      </w:r>
      <w:r>
        <w:rPr>
          <w:rFonts w:hint="eastAsia" w:ascii="黑体" w:hAnsi="黑体" w:eastAsia="黑体" w:cs="黑体"/>
          <w:b w:val="0"/>
          <w:bCs w:val="0"/>
          <w:i w:val="0"/>
          <w:iCs w:val="0"/>
          <w:caps w:val="0"/>
          <w:snapToGrid w:val="0"/>
          <w:color w:val="000000"/>
          <w:spacing w:val="8"/>
          <w:kern w:val="0"/>
          <w:sz w:val="21"/>
          <w:szCs w:val="21"/>
          <w:shd w:val="clear" w:fill="auto"/>
          <w:lang w:eastAsia="zh-CN"/>
        </w:rPr>
        <w:t>.1.</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3</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所有服务人员应经过岗前培训，熟悉</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当期</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市集主题、服务内容、流程规范及应急处理预案。</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w:t>
      </w:r>
      <w:r>
        <w:rPr>
          <w:rFonts w:hint="eastAsia" w:ascii="黑体" w:hAnsi="黑体" w:eastAsia="黑体" w:cs="黑体"/>
          <w:b w:val="0"/>
          <w:bCs w:val="0"/>
          <w:i w:val="0"/>
          <w:iCs w:val="0"/>
          <w:caps w:val="0"/>
          <w:snapToGrid w:val="0"/>
          <w:color w:val="000000"/>
          <w:spacing w:val="8"/>
          <w:kern w:val="0"/>
          <w:sz w:val="21"/>
          <w:szCs w:val="21"/>
          <w:shd w:val="clear" w:fill="auto"/>
          <w:lang w:eastAsia="zh-CN"/>
        </w:rPr>
        <w:t>.1.</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4</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应配备</w:t>
      </w:r>
      <w:r>
        <w:rPr>
          <w:rFonts w:hint="default" w:ascii="Times New Roman" w:hAnsi="Times New Roman" w:eastAsia="宋体" w:cs="Times New Roman"/>
          <w:b w:val="0"/>
          <w:bCs w:val="0"/>
          <w:i w:val="0"/>
          <w:iCs w:val="0"/>
          <w:caps w:val="0"/>
          <w:snapToGrid w:val="0"/>
          <w:color w:val="000000"/>
          <w:spacing w:val="8"/>
          <w:kern w:val="0"/>
          <w:sz w:val="21"/>
          <w:szCs w:val="21"/>
          <w:shd w:val="clear"/>
          <w:lang w:val="en-US" w:eastAsia="zh-CN"/>
        </w:rPr>
        <w:t>管理人员</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，统筹协调活动执行、人员调度和突发情况处置</w:t>
      </w:r>
      <w:r>
        <w:rPr>
          <w:rFonts w:hint="default" w:ascii="Times New Roman" w:hAnsi="Times New Roman" w:eastAsia="宋体" w:cs="Times New Roman"/>
          <w:b w:val="0"/>
          <w:bCs w:val="0"/>
          <w:i w:val="0"/>
          <w:iCs w:val="0"/>
          <w:caps w:val="0"/>
          <w:snapToGrid w:val="0"/>
          <w:color w:val="000000"/>
          <w:spacing w:val="8"/>
          <w:kern w:val="0"/>
          <w:sz w:val="21"/>
          <w:szCs w:val="21"/>
          <w:shd w:val="clear"/>
          <w:lang w:eastAsia="zh-CN"/>
        </w:rPr>
        <w:t>。</w:t>
      </w:r>
    </w:p>
    <w:p w14:paraId="6E4B86D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Style w:val="29"/>
          <w:rFonts w:hint="default" w:ascii="Times New Roman" w:hAnsi="Times New Roman" w:eastAsia="宋体" w:cs="Times New Roman"/>
          <w:b w:val="0"/>
          <w:bCs w:val="0"/>
          <w:i w:val="0"/>
          <w:iCs w:val="0"/>
          <w:caps w:val="0"/>
          <w:color w:val="0F1115"/>
          <w:spacing w:val="0"/>
          <w:sz w:val="21"/>
          <w:szCs w:val="21"/>
          <w:shd w:val="clear" w:fill="FFFFFF"/>
        </w:rPr>
      </w:pPr>
      <w:r>
        <w:rPr>
          <w:rStyle w:val="29"/>
          <w:rFonts w:hint="eastAsia" w:ascii="黑体" w:hAnsi="黑体" w:eastAsia="黑体" w:cs="黑体"/>
          <w:b w:val="0"/>
          <w:bCs w:val="0"/>
          <w:i w:val="0"/>
          <w:iCs w:val="0"/>
          <w:caps w:val="0"/>
          <w:color w:val="0F1115"/>
          <w:spacing w:val="0"/>
          <w:sz w:val="21"/>
          <w:szCs w:val="21"/>
          <w:shd w:val="clear" w:fill="FFFFFF"/>
          <w:lang w:val="en-US" w:eastAsia="zh-CN"/>
        </w:rPr>
        <w:t>8</w:t>
      </w:r>
      <w:r>
        <w:rPr>
          <w:rStyle w:val="29"/>
          <w:rFonts w:hint="eastAsia" w:ascii="黑体" w:hAnsi="黑体" w:eastAsia="黑体" w:cs="黑体"/>
          <w:b w:val="0"/>
          <w:bCs w:val="0"/>
          <w:i w:val="0"/>
          <w:iCs w:val="0"/>
          <w:caps w:val="0"/>
          <w:color w:val="0F1115"/>
          <w:spacing w:val="0"/>
          <w:sz w:val="21"/>
          <w:szCs w:val="21"/>
          <w:shd w:val="clear" w:fill="FFFFFF"/>
        </w:rPr>
        <w:t>.</w:t>
      </w:r>
      <w:r>
        <w:rPr>
          <w:rStyle w:val="29"/>
          <w:rFonts w:hint="eastAsia" w:ascii="黑体" w:hAnsi="黑体" w:eastAsia="黑体" w:cs="黑体"/>
          <w:b w:val="0"/>
          <w:bCs w:val="0"/>
          <w:i w:val="0"/>
          <w:iCs w:val="0"/>
          <w:caps w:val="0"/>
          <w:color w:val="0F1115"/>
          <w:spacing w:val="0"/>
          <w:sz w:val="21"/>
          <w:szCs w:val="21"/>
          <w:shd w:val="clear" w:fill="FFFFFF"/>
          <w:lang w:val="en-US" w:eastAsia="zh-CN"/>
        </w:rPr>
        <w:t>1</w:t>
      </w:r>
      <w:r>
        <w:rPr>
          <w:rStyle w:val="29"/>
          <w:rFonts w:hint="eastAsia" w:ascii="黑体" w:hAnsi="黑体" w:eastAsia="黑体" w:cs="黑体"/>
          <w:b w:val="0"/>
          <w:bCs w:val="0"/>
          <w:i w:val="0"/>
          <w:iCs w:val="0"/>
          <w:caps w:val="0"/>
          <w:color w:val="0F1115"/>
          <w:spacing w:val="0"/>
          <w:sz w:val="21"/>
          <w:szCs w:val="21"/>
          <w:shd w:val="clear" w:fill="FFFFFF"/>
        </w:rPr>
        <w:t>.</w:t>
      </w:r>
      <w:r>
        <w:rPr>
          <w:rStyle w:val="29"/>
          <w:rFonts w:hint="eastAsia" w:ascii="黑体" w:hAnsi="黑体" w:eastAsia="黑体" w:cs="黑体"/>
          <w:b w:val="0"/>
          <w:bCs w:val="0"/>
          <w:i w:val="0"/>
          <w:iCs w:val="0"/>
          <w:caps w:val="0"/>
          <w:color w:val="0F1115"/>
          <w:spacing w:val="0"/>
          <w:sz w:val="21"/>
          <w:szCs w:val="21"/>
          <w:shd w:val="clear" w:fill="FFFFFF"/>
          <w:lang w:val="en-US" w:eastAsia="zh-CN"/>
        </w:rPr>
        <w:t>5</w:t>
      </w:r>
      <w:r>
        <w:rPr>
          <w:rStyle w:val="29"/>
          <w:rFonts w:hint="default" w:ascii="Times New Roman" w:hAnsi="Times New Roman" w:eastAsia="宋体" w:cs="Times New Roman"/>
          <w:b w:val="0"/>
          <w:bCs w:val="0"/>
          <w:i w:val="0"/>
          <w:iCs w:val="0"/>
          <w:caps w:val="0"/>
          <w:color w:val="0F1115"/>
          <w:spacing w:val="0"/>
          <w:sz w:val="21"/>
          <w:szCs w:val="21"/>
          <w:shd w:val="clear" w:fill="FFFFFF"/>
        </w:rPr>
        <w:t xml:space="preserve"> 应配备足够的志愿者，负责引导、秩序维护和辅助服务。</w:t>
      </w:r>
    </w:p>
    <w:p w14:paraId="67CBEC94">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Style w:val="29"/>
          <w:rFonts w:hint="default" w:ascii="Times New Roman" w:hAnsi="Times New Roman" w:eastAsia="宋体" w:cs="Times New Roman"/>
          <w:b w:val="0"/>
          <w:bCs w:val="0"/>
          <w:i w:val="0"/>
          <w:iCs w:val="0"/>
          <w:caps w:val="0"/>
          <w:color w:val="0F1115"/>
          <w:spacing w:val="0"/>
          <w:sz w:val="21"/>
          <w:szCs w:val="21"/>
          <w:shd w:val="clear" w:fill="FFFFFF"/>
          <w:lang w:eastAsia="zh-CN"/>
        </w:rPr>
      </w:pPr>
      <w:bookmarkStart w:id="76" w:name="_Toc22977"/>
      <w:r>
        <w:rPr>
          <w:rFonts w:hint="eastAsia" w:hAnsi="黑体" w:cs="黑体"/>
          <w:b w:val="0"/>
          <w:bCs w:val="0"/>
          <w:i w:val="0"/>
          <w:iCs w:val="0"/>
          <w:caps w:val="0"/>
          <w:color w:val="0F1115"/>
          <w:spacing w:val="0"/>
          <w:sz w:val="21"/>
          <w:szCs w:val="21"/>
          <w:shd w:val="clear" w:fill="FFFFFF"/>
          <w:lang w:val="en-US" w:eastAsia="zh-CN"/>
        </w:rPr>
        <w:t>服务流程和策划</w:t>
      </w:r>
      <w:bookmarkEnd w:id="76"/>
    </w:p>
    <w:p w14:paraId="6A37F59C">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8"/>
          <w:kern w:val="0"/>
          <w:sz w:val="21"/>
          <w:szCs w:val="21"/>
          <w:shd w:val="clear" w:fill="auto"/>
          <w:lang w:val="en-US"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w:t>
      </w:r>
      <w:r>
        <w:rPr>
          <w:rFonts w:hint="eastAsia" w:ascii="黑体" w:hAnsi="黑体" w:eastAsia="黑体" w:cs="黑体"/>
          <w:b w:val="0"/>
          <w:bCs w:val="0"/>
          <w:i w:val="0"/>
          <w:iCs w:val="0"/>
          <w:caps w:val="0"/>
          <w:snapToGrid w:val="0"/>
          <w:color w:val="000000"/>
          <w:spacing w:val="8"/>
          <w:kern w:val="0"/>
          <w:sz w:val="21"/>
          <w:szCs w:val="21"/>
          <w:shd w:val="clear" w:fill="auto"/>
          <w:lang w:eastAsia="zh-CN"/>
        </w:rPr>
        <w:t>.2.1</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应基于养生理论和</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目标人群需求的</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调研</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设</w:t>
      </w:r>
      <w:r>
        <w:rPr>
          <w:rStyle w:val="29"/>
          <w:rFonts w:hint="default" w:ascii="Times New Roman" w:hAnsi="Times New Roman" w:eastAsia="宋体" w:cs="Times New Roman"/>
          <w:b w:val="0"/>
          <w:bCs w:val="0"/>
          <w:i w:val="0"/>
          <w:iCs w:val="0"/>
          <w:caps w:val="0"/>
          <w:color w:val="0F1115"/>
          <w:spacing w:val="0"/>
          <w:sz w:val="21"/>
          <w:szCs w:val="21"/>
          <w:shd w:val="clear" w:fill="FFFFFF"/>
        </w:rPr>
        <w:t>计差异化的活动主题</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（参见附录A）</w:t>
      </w:r>
      <w:r>
        <w:rPr>
          <w:rStyle w:val="29"/>
          <w:rFonts w:hint="default" w:ascii="Times New Roman" w:hAnsi="Times New Roman" w:eastAsia="宋体" w:cs="Times New Roman"/>
          <w:b w:val="0"/>
          <w:bCs w:val="0"/>
          <w:i w:val="0"/>
          <w:iCs w:val="0"/>
          <w:caps w:val="0"/>
          <w:color w:val="0F1115"/>
          <w:spacing w:val="0"/>
          <w:sz w:val="21"/>
          <w:szCs w:val="21"/>
          <w:shd w:val="clear" w:fill="FFFFFF"/>
        </w:rPr>
        <w:t>，并据此规划相应</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的特色产品与服务项目。</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w:t>
      </w:r>
      <w:r>
        <w:rPr>
          <w:rFonts w:hint="eastAsia" w:ascii="黑体" w:hAnsi="黑体" w:eastAsia="黑体" w:cs="黑体"/>
          <w:b w:val="0"/>
          <w:bCs w:val="0"/>
          <w:i w:val="0"/>
          <w:iCs w:val="0"/>
          <w:caps w:val="0"/>
          <w:snapToGrid w:val="0"/>
          <w:color w:val="000000"/>
          <w:spacing w:val="8"/>
          <w:kern w:val="0"/>
          <w:sz w:val="21"/>
          <w:szCs w:val="21"/>
          <w:shd w:val="clear" w:fill="auto"/>
          <w:lang w:eastAsia="zh-CN"/>
        </w:rPr>
        <w:t>.2.2</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应制定详尽的活动方案，明确活动目标、核心内容、总体流程、宣传策略与预算框架。</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w:t>
      </w:r>
      <w:r>
        <w:rPr>
          <w:rFonts w:hint="eastAsia" w:ascii="黑体" w:hAnsi="黑体" w:eastAsia="黑体" w:cs="黑体"/>
          <w:b w:val="0"/>
          <w:bCs w:val="0"/>
          <w:i w:val="0"/>
          <w:iCs w:val="0"/>
          <w:caps w:val="0"/>
          <w:snapToGrid w:val="0"/>
          <w:color w:val="000000"/>
          <w:spacing w:val="8"/>
          <w:kern w:val="0"/>
          <w:sz w:val="21"/>
          <w:szCs w:val="21"/>
          <w:shd w:val="clear" w:fill="auto"/>
          <w:lang w:eastAsia="zh-CN"/>
        </w:rPr>
        <w:t>.2.3</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 xml:space="preserve"> 应为各类服务设计标准化的服务流程，并准备清晰的流程说明材料，用于现场公示与指引。</w:t>
      </w:r>
    </w:p>
    <w:p w14:paraId="675BDD68">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Times New Roman" w:hAnsi="Times New Roman" w:eastAsia="宋体" w:cs="Times New Roman"/>
          <w:b w:val="0"/>
          <w:bCs w:val="0"/>
          <w:snapToGrid w:val="0"/>
          <w:color w:val="000000"/>
          <w:spacing w:val="8"/>
          <w:kern w:val="0"/>
          <w:sz w:val="21"/>
          <w:szCs w:val="21"/>
          <w:lang w:val="en-US" w:eastAsia="zh-CN"/>
        </w:rPr>
      </w:pPr>
      <w:bookmarkStart w:id="77" w:name="_Toc3860"/>
      <w:r>
        <w:rPr>
          <w:rFonts w:hint="eastAsia" w:hAnsi="黑体" w:cs="黑体"/>
          <w:b w:val="0"/>
          <w:bCs w:val="0"/>
          <w:i w:val="0"/>
          <w:iCs w:val="0"/>
          <w:caps w:val="0"/>
          <w:color w:val="0F1115"/>
          <w:spacing w:val="0"/>
          <w:sz w:val="21"/>
          <w:szCs w:val="21"/>
          <w:shd w:val="clear" w:fill="FFFFFF"/>
          <w:lang w:val="en-US" w:eastAsia="zh-CN"/>
        </w:rPr>
        <w:t>日常运营管理</w:t>
      </w:r>
      <w:bookmarkEnd w:id="77"/>
    </w:p>
    <w:p w14:paraId="4E353C8B">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 xml:space="preserve">8.3.1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应制定详细的</w:t>
      </w:r>
      <w:r>
        <w:rPr>
          <w:rFonts w:hint="eastAsia" w:ascii="Times New Roman" w:hAnsi="Times New Roman" w:eastAsia="宋体" w:cs="Times New Roman"/>
          <w:b w:val="0"/>
          <w:bCs w:val="0"/>
          <w:i w:val="0"/>
          <w:iCs w:val="0"/>
          <w:caps w:val="0"/>
          <w:snapToGrid w:val="0"/>
          <w:color w:val="000000"/>
          <w:spacing w:val="8"/>
          <w:kern w:val="0"/>
          <w:sz w:val="21"/>
          <w:szCs w:val="21"/>
          <w:shd w:val="clear" w:fill="auto"/>
          <w:lang w:val="en-US" w:eastAsia="zh-CN"/>
        </w:rPr>
        <w:t>单场活动</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运营方案，包括活动日程、人员</w:t>
      </w:r>
      <w:r>
        <w:rPr>
          <w:rFonts w:hint="eastAsia" w:ascii="Times New Roman" w:hAnsi="Times New Roman" w:eastAsia="宋体" w:cs="Times New Roman"/>
          <w:b w:val="0"/>
          <w:bCs w:val="0"/>
          <w:i w:val="0"/>
          <w:iCs w:val="0"/>
          <w:caps w:val="0"/>
          <w:snapToGrid w:val="0"/>
          <w:color w:val="000000"/>
          <w:spacing w:val="8"/>
          <w:kern w:val="0"/>
          <w:sz w:val="21"/>
          <w:szCs w:val="21"/>
          <w:shd w:val="clear" w:fill="auto"/>
          <w:lang w:val="en-US" w:eastAsia="zh-CN"/>
        </w:rPr>
        <w:t>安排</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、物资清单和宣传计划。</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8.3</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.2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应按照既定流程提供服务。对接受诊疗等服务的参与者，需进行必要的信息登记与安全告知。</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br w:type="textWrapping"/>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8.3</w:t>
      </w:r>
      <w:r>
        <w:rPr>
          <w:rFonts w:hint="eastAsia" w:ascii="黑体" w:hAnsi="黑体" w:eastAsia="黑体" w:cs="黑体"/>
          <w:b w:val="0"/>
          <w:bCs w:val="0"/>
          <w:i w:val="0"/>
          <w:iCs w:val="0"/>
          <w:caps w:val="0"/>
          <w:snapToGrid w:val="0"/>
          <w:color w:val="000000"/>
          <w:spacing w:val="8"/>
          <w:kern w:val="0"/>
          <w:sz w:val="21"/>
          <w:szCs w:val="21"/>
          <w:shd w:val="clear" w:fill="auto"/>
          <w:lang w:eastAsia="zh-CN"/>
        </w:rPr>
        <w:t xml:space="preserve">.3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加强现场秩序维护与环境整洁管理，营造友好、有序的参与体验。</w:t>
      </w:r>
    </w:p>
    <w:p w14:paraId="4B1272FC">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bookmarkStart w:id="78" w:name="_Toc26485"/>
      <w:r>
        <w:rPr>
          <w:rFonts w:hint="eastAsia" w:hAnsi="黑体" w:cs="黑体"/>
          <w:b w:val="0"/>
          <w:bCs w:val="0"/>
          <w:i w:val="0"/>
          <w:iCs w:val="0"/>
          <w:caps w:val="0"/>
          <w:color w:val="0F1115"/>
          <w:spacing w:val="0"/>
          <w:sz w:val="21"/>
          <w:szCs w:val="21"/>
          <w:shd w:val="clear" w:fill="FFFFFF"/>
          <w:lang w:val="en-US" w:eastAsia="zh-CN"/>
        </w:rPr>
        <w:t>安全管理</w:t>
      </w:r>
      <w:bookmarkEnd w:id="78"/>
    </w:p>
    <w:p w14:paraId="3851F9A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eastAsia"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8.4</w:t>
      </w:r>
      <w:r>
        <w:rPr>
          <w:rFonts w:hint="eastAsia" w:ascii="黑体" w:hAnsi="黑体" w:eastAsia="黑体" w:cs="黑体"/>
          <w:b w:val="0"/>
          <w:bCs w:val="0"/>
          <w:i w:val="0"/>
          <w:iCs w:val="0"/>
          <w:caps w:val="0"/>
          <w:snapToGrid w:val="0"/>
          <w:color w:val="000000"/>
          <w:spacing w:val="8"/>
          <w:kern w:val="0"/>
          <w:sz w:val="21"/>
          <w:szCs w:val="21"/>
          <w:shd w:val="clear" w:fill="auto"/>
          <w:lang w:eastAsia="zh-CN"/>
        </w:rPr>
        <w:t>.1</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应制定明确的安全管理制度与应急预案，并指定现场安全负责人</w:t>
      </w:r>
      <w:r>
        <w:rPr>
          <w:rFonts w:hint="eastAsia" w:ascii="Times New Roman" w:hAnsi="Times New Roman" w:eastAsia="宋体" w:cs="Times New Roman"/>
          <w:b w:val="0"/>
          <w:bCs w:val="0"/>
          <w:i w:val="0"/>
          <w:iCs w:val="0"/>
          <w:caps w:val="0"/>
          <w:snapToGrid w:val="0"/>
          <w:color w:val="000000"/>
          <w:spacing w:val="8"/>
          <w:kern w:val="0"/>
          <w:sz w:val="21"/>
          <w:szCs w:val="21"/>
          <w:shd w:val="clear" w:fill="auto"/>
          <w:lang w:eastAsia="zh-CN"/>
        </w:rPr>
        <w:t>。</w:t>
      </w:r>
    </w:p>
    <w:p w14:paraId="58AE5343">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392" w:firstLineChars="20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18"/>
          <w:szCs w:val="18"/>
          <w:shd w:val="clear" w:fill="auto"/>
          <w:lang w:val="en-US" w:eastAsia="zh-CN"/>
        </w:rPr>
        <w:t>注：</w:t>
      </w:r>
      <w:r>
        <w:rPr>
          <w:rFonts w:hint="default" w:ascii="Times New Roman" w:hAnsi="Times New Roman" w:eastAsia="宋体" w:cs="Times New Roman"/>
          <w:b w:val="0"/>
          <w:bCs w:val="0"/>
          <w:i w:val="0"/>
          <w:iCs w:val="0"/>
          <w:caps w:val="0"/>
          <w:snapToGrid w:val="0"/>
          <w:color w:val="000000"/>
          <w:spacing w:val="8"/>
          <w:kern w:val="0"/>
          <w:sz w:val="18"/>
          <w:szCs w:val="18"/>
          <w:shd w:val="clear" w:fill="auto"/>
          <w:lang w:eastAsia="zh-CN"/>
        </w:rPr>
        <w:t>预案应涵盖医疗急救、消防疏散、恶劣天气应对、设备故障、人群拥堵等常见突发场景。</w:t>
      </w:r>
    </w:p>
    <w:p w14:paraId="1192620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8.4</w:t>
      </w:r>
      <w:r>
        <w:rPr>
          <w:rFonts w:hint="eastAsia" w:ascii="黑体" w:hAnsi="黑体" w:eastAsia="黑体" w:cs="黑体"/>
          <w:b w:val="0"/>
          <w:bCs w:val="0"/>
          <w:i w:val="0"/>
          <w:iCs w:val="0"/>
          <w:caps w:val="0"/>
          <w:snapToGrid w:val="0"/>
          <w:color w:val="000000"/>
          <w:spacing w:val="8"/>
          <w:kern w:val="0"/>
          <w:sz w:val="21"/>
          <w:szCs w:val="21"/>
          <w:shd w:val="clear" w:fill="auto"/>
          <w:lang w:eastAsia="zh-CN"/>
        </w:rPr>
        <w:t>.</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2</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所有参与服务提供的人员</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应</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经过安全培训并定期演练。</w:t>
      </w:r>
    </w:p>
    <w:p w14:paraId="478206C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8.4</w:t>
      </w:r>
      <w:r>
        <w:rPr>
          <w:rFonts w:hint="eastAsia" w:ascii="黑体" w:hAnsi="黑体" w:eastAsia="黑体" w:cs="黑体"/>
          <w:b w:val="0"/>
          <w:bCs w:val="0"/>
          <w:i w:val="0"/>
          <w:iCs w:val="0"/>
          <w:caps w:val="0"/>
          <w:snapToGrid w:val="0"/>
          <w:color w:val="000000"/>
          <w:spacing w:val="8"/>
          <w:kern w:val="0"/>
          <w:sz w:val="21"/>
          <w:szCs w:val="21"/>
          <w:shd w:val="clear" w:fill="auto"/>
          <w:lang w:eastAsia="zh-CN"/>
        </w:rPr>
        <w:t>.</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 xml:space="preserve">3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应确保服务区域布局合理、通道畅通，并设置必要的安全警示标识。高峰时段采取必要限流措施</w:t>
      </w:r>
      <w:r>
        <w:rPr>
          <w:rFonts w:hint="eastAsia" w:ascii="Times New Roman" w:hAnsi="Times New Roman" w:cs="Times New Roman"/>
          <w:b w:val="0"/>
          <w:bCs w:val="0"/>
          <w:i w:val="0"/>
          <w:iCs w:val="0"/>
          <w:caps w:val="0"/>
          <w:snapToGrid w:val="0"/>
          <w:color w:val="000000"/>
          <w:spacing w:val="8"/>
          <w:kern w:val="0"/>
          <w:sz w:val="21"/>
          <w:szCs w:val="21"/>
          <w:shd w:val="clear" w:fill="auto"/>
          <w:lang w:eastAsia="zh-CN"/>
        </w:rPr>
        <w:t>。</w:t>
      </w:r>
    </w:p>
    <w:p w14:paraId="02DC68C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8.4</w:t>
      </w:r>
      <w:r>
        <w:rPr>
          <w:rFonts w:hint="eastAsia" w:ascii="黑体" w:hAnsi="黑体" w:eastAsia="黑体" w:cs="黑体"/>
          <w:b w:val="0"/>
          <w:bCs w:val="0"/>
          <w:i w:val="0"/>
          <w:iCs w:val="0"/>
          <w:caps w:val="0"/>
          <w:snapToGrid w:val="0"/>
          <w:color w:val="000000"/>
          <w:spacing w:val="8"/>
          <w:kern w:val="0"/>
          <w:sz w:val="21"/>
          <w:szCs w:val="21"/>
          <w:shd w:val="clear" w:fill="auto"/>
          <w:lang w:eastAsia="zh-CN"/>
        </w:rPr>
        <w:t>.</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4</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严格执行消毒规范，对医疗废弃物进行规范分类与处置</w:t>
      </w:r>
      <w:r>
        <w:rPr>
          <w:rFonts w:hint="eastAsia" w:ascii="Times New Roman" w:hAnsi="Times New Roman" w:eastAsia="宋体" w:cs="Times New Roman"/>
          <w:b w:val="0"/>
          <w:bCs w:val="0"/>
          <w:i w:val="0"/>
          <w:iCs w:val="0"/>
          <w:caps w:val="0"/>
          <w:snapToGrid w:val="0"/>
          <w:color w:val="000000"/>
          <w:spacing w:val="8"/>
          <w:kern w:val="0"/>
          <w:sz w:val="21"/>
          <w:szCs w:val="21"/>
          <w:shd w:val="clear" w:fill="auto"/>
          <w:lang w:eastAsia="zh-CN"/>
        </w:rPr>
        <w:t>。</w:t>
      </w:r>
    </w:p>
    <w:p w14:paraId="4DCB671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jc w:val="both"/>
        <w:textAlignment w:val="baseline"/>
        <w:outlineLvl w:val="9"/>
        <w:rPr>
          <w:rFonts w:hint="default" w:ascii="Times New Roman" w:hAnsi="Times New Roman" w:eastAsia="宋体" w:cs="Times New Roman"/>
          <w:b w:val="0"/>
          <w:bCs w:val="0"/>
          <w:snapToGrid w:val="0"/>
          <w:color w:val="000000"/>
          <w:spacing w:val="1"/>
          <w:kern w:val="0"/>
          <w:sz w:val="21"/>
          <w:szCs w:val="21"/>
          <w:lang w:val="en-US" w:eastAsia="zh-CN"/>
        </w:rPr>
      </w:pP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8.4</w:t>
      </w:r>
      <w:r>
        <w:rPr>
          <w:rFonts w:hint="eastAsia" w:ascii="黑体" w:hAnsi="黑体" w:eastAsia="黑体" w:cs="黑体"/>
          <w:b w:val="0"/>
          <w:bCs w:val="0"/>
          <w:i w:val="0"/>
          <w:iCs w:val="0"/>
          <w:caps w:val="0"/>
          <w:snapToGrid w:val="0"/>
          <w:color w:val="000000"/>
          <w:spacing w:val="8"/>
          <w:kern w:val="0"/>
          <w:sz w:val="21"/>
          <w:szCs w:val="21"/>
          <w:shd w:val="clear" w:fill="auto"/>
          <w:lang w:eastAsia="zh-CN"/>
        </w:rPr>
        <w:t>.</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rPr>
        <w:t>5</w:t>
      </w:r>
      <w:r>
        <w:rPr>
          <w:rFonts w:hint="eastAsia" w:ascii="Times New Roman" w:hAnsi="Times New Roman" w:cs="Times New Roman"/>
          <w:b w:val="0"/>
          <w:bCs w:val="0"/>
          <w:i w:val="0"/>
          <w:iCs w:val="0"/>
          <w:caps w:val="0"/>
          <w:snapToGrid w:val="0"/>
          <w:color w:val="000000"/>
          <w:spacing w:val="8"/>
          <w:kern w:val="0"/>
          <w:sz w:val="21"/>
          <w:szCs w:val="21"/>
          <w:shd w:val="clear" w:fill="auto"/>
          <w:lang w:val="en-US" w:eastAsia="zh-CN"/>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eastAsia="zh-CN"/>
        </w:rPr>
        <w:t>涉及食品或饮品的展示与体验，须确保原料安全、加工合规、储存得当，并在显著位置公示相关安全提示。</w:t>
      </w:r>
    </w:p>
    <w:p w14:paraId="781E1212">
      <w:pPr>
        <w:pStyle w:val="104"/>
        <w:spacing w:before="240" w:after="240"/>
      </w:pPr>
      <w:r>
        <w:rPr>
          <w:rFonts w:hint="eastAsia"/>
          <w:lang w:val="en-US" w:eastAsia="zh-CN"/>
        </w:rPr>
        <w:t>评价与改进</w:t>
      </w:r>
    </w:p>
    <w:p w14:paraId="03DA3FD1">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hAnsi="黑体" w:cs="黑体"/>
          <w:b w:val="0"/>
          <w:bCs w:val="0"/>
          <w:i w:val="0"/>
          <w:iCs w:val="0"/>
          <w:caps w:val="0"/>
          <w:color w:val="0F1115"/>
          <w:spacing w:val="0"/>
          <w:sz w:val="21"/>
          <w:szCs w:val="21"/>
          <w:shd w:val="clear" w:fill="FFFFFF"/>
          <w:lang w:val="en-US" w:eastAsia="zh-CN"/>
        </w:rPr>
        <w:t>服务评价</w:t>
      </w:r>
    </w:p>
    <w:p w14:paraId="20D1B1F0">
      <w:pPr>
        <w:pStyle w:val="105"/>
        <w:keepNext w:val="0"/>
        <w:keepLines w:val="0"/>
        <w:pageBreakBefore w:val="0"/>
        <w:widowControl/>
        <w:numPr>
          <w:ilvl w:val="2"/>
          <w:numId w:val="0"/>
        </w:numPr>
        <w:kinsoku/>
        <w:wordWrap/>
        <w:overflowPunct/>
        <w:topLinePunct w:val="0"/>
        <w:autoSpaceDE/>
        <w:autoSpaceDN/>
        <w:bidi w:val="0"/>
        <w:adjustRightInd/>
        <w:snapToGrid/>
        <w:spacing w:before="0" w:beforeLines="0" w:after="0" w:afterLines="0" w:line="240" w:lineRule="auto"/>
        <w:ind w:leftChars="0"/>
        <w:textAlignment w:val="auto"/>
        <w:rPr>
          <w:rFonts w:hint="default" w:ascii="Times New Roman" w:hAnsi="Times New Roman" w:eastAsia="宋体" w:cs="Times New Roman"/>
          <w:b w:val="0"/>
          <w:bCs w:val="0"/>
          <w:i w:val="0"/>
          <w:iCs w:val="0"/>
          <w:caps w:val="0"/>
          <w:snapToGrid w:val="0"/>
          <w:color w:val="000000"/>
          <w:spacing w:val="8"/>
          <w:kern w:val="0"/>
          <w:sz w:val="21"/>
          <w:szCs w:val="21"/>
          <w:shd w:val="clear" w:fill="auto"/>
          <w:lang w:val="en-US" w:eastAsia="zh-CN" w:bidi="ar-SA"/>
        </w:rPr>
      </w:pPr>
      <w:r>
        <w:rPr>
          <w:rFonts w:hint="eastAsia" w:hAnsi="黑体" w:cs="黑体"/>
          <w:b w:val="0"/>
          <w:bCs w:val="0"/>
          <w:i w:val="0"/>
          <w:iCs w:val="0"/>
          <w:caps w:val="0"/>
          <w:snapToGrid w:val="0"/>
          <w:color w:val="000000"/>
          <w:spacing w:val="8"/>
          <w:kern w:val="0"/>
          <w:sz w:val="21"/>
          <w:szCs w:val="21"/>
          <w:shd w:val="clear" w:fill="auto"/>
          <w:lang w:val="en-US" w:eastAsia="zh-CN" w:bidi="ar-SA"/>
        </w:rPr>
        <w:t>9</w:t>
      </w:r>
      <w:r>
        <w:rPr>
          <w:rFonts w:hint="eastAsia" w:ascii="黑体" w:hAnsi="黑体" w:eastAsia="黑体" w:cs="黑体"/>
          <w:b w:val="0"/>
          <w:bCs w:val="0"/>
          <w:i w:val="0"/>
          <w:iCs w:val="0"/>
          <w:caps w:val="0"/>
          <w:snapToGrid w:val="0"/>
          <w:color w:val="000000"/>
          <w:spacing w:val="8"/>
          <w:kern w:val="0"/>
          <w:sz w:val="21"/>
          <w:szCs w:val="21"/>
          <w:shd w:val="clear" w:fill="auto"/>
          <w:lang w:val="en-US" w:eastAsia="zh-CN" w:bidi="ar-SA"/>
        </w:rPr>
        <w:t>.1.1</w:t>
      </w:r>
      <w:r>
        <w:rPr>
          <w:rFonts w:hint="eastAsia" w:ascii="Times New Roman" w:eastAsia="宋体" w:cs="Times New Roman"/>
          <w:b w:val="0"/>
          <w:bCs w:val="0"/>
          <w:i w:val="0"/>
          <w:iCs w:val="0"/>
          <w:caps w:val="0"/>
          <w:snapToGrid w:val="0"/>
          <w:color w:val="000000"/>
          <w:spacing w:val="8"/>
          <w:kern w:val="0"/>
          <w:sz w:val="21"/>
          <w:szCs w:val="21"/>
          <w:shd w:val="clear" w:fill="auto"/>
          <w:lang w:val="en-US" w:eastAsia="zh-CN" w:bidi="ar-SA"/>
        </w:rPr>
        <w:t xml:space="preserve"> </w:t>
      </w:r>
      <w:r>
        <w:rPr>
          <w:rFonts w:hint="default" w:ascii="Times New Roman" w:hAnsi="Times New Roman" w:eastAsia="宋体" w:cs="Times New Roman"/>
          <w:b w:val="0"/>
          <w:bCs w:val="0"/>
          <w:i w:val="0"/>
          <w:iCs w:val="0"/>
          <w:caps w:val="0"/>
          <w:snapToGrid w:val="0"/>
          <w:color w:val="000000"/>
          <w:spacing w:val="8"/>
          <w:kern w:val="0"/>
          <w:sz w:val="21"/>
          <w:szCs w:val="21"/>
          <w:shd w:val="clear" w:fill="auto"/>
          <w:lang w:val="en-US" w:eastAsia="zh-CN" w:bidi="ar-SA"/>
        </w:rPr>
        <w:t>应建立常态化的服务评价管理机制，定期通过多元渠道收集内外部评价信息，并组织开展系统评价。信息收集渠道应包括但不限于</w:t>
      </w:r>
      <w:r>
        <w:rPr>
          <w:rFonts w:hint="eastAsia" w:ascii="Times New Roman" w:eastAsia="宋体" w:cs="Times New Roman"/>
          <w:b w:val="0"/>
          <w:bCs w:val="0"/>
          <w:i w:val="0"/>
          <w:iCs w:val="0"/>
          <w:caps w:val="0"/>
          <w:snapToGrid w:val="0"/>
          <w:color w:val="000000"/>
          <w:spacing w:val="8"/>
          <w:kern w:val="0"/>
          <w:sz w:val="21"/>
          <w:szCs w:val="21"/>
          <w:shd w:val="clear" w:fill="auto"/>
          <w:lang w:val="en-US" w:eastAsia="zh-CN" w:bidi="ar-SA"/>
        </w:rPr>
        <w:t>：</w:t>
      </w:r>
    </w:p>
    <w:p w14:paraId="0E45CF18">
      <w:pPr>
        <w:pStyle w:val="56"/>
        <w:keepNext w:val="0"/>
        <w:keepLines w:val="0"/>
        <w:pageBreakBefore w:val="0"/>
        <w:widowControl/>
        <w:kinsoku/>
        <w:wordWrap/>
        <w:overflowPunct/>
        <w:topLinePunct w:val="0"/>
        <w:autoSpaceDE w:val="0"/>
        <w:autoSpaceDN w:val="0"/>
        <w:bidi w:val="0"/>
        <w:adjustRightInd w:val="0"/>
        <w:snapToGrid w:val="0"/>
        <w:ind w:left="0" w:leftChars="0" w:firstLine="452" w:firstLineChars="200"/>
        <w:textAlignment w:val="auto"/>
        <w:rPr>
          <w:rFonts w:ascii="宋体" w:hAnsi="宋体" w:eastAsia="宋体" w:cs="宋体"/>
          <w:b w:val="0"/>
          <w:bCs w:val="0"/>
          <w:color w:val="000000"/>
          <w:sz w:val="20"/>
          <w:szCs w:val="20"/>
        </w:rPr>
      </w:pPr>
      <w:r>
        <w:rPr>
          <w:rFonts w:hint="eastAsia" w:ascii="Times New Roman" w:cs="Times New Roman"/>
          <w:b w:val="0"/>
          <w:bCs w:val="0"/>
          <w:i w:val="0"/>
          <w:iCs w:val="0"/>
          <w:caps w:val="0"/>
          <w:snapToGrid w:val="0"/>
          <w:color w:val="000000"/>
          <w:spacing w:val="8"/>
          <w:kern w:val="0"/>
          <w:sz w:val="21"/>
          <w:szCs w:val="21"/>
          <w:shd w:val="clear" w:fill="auto"/>
          <w:lang w:val="en-US" w:eastAsia="zh-CN" w:bidi="ar-SA"/>
        </w:rPr>
        <w:t>——现场收集；</w:t>
      </w:r>
    </w:p>
    <w:p w14:paraId="0FDDE231">
      <w:pPr>
        <w:pStyle w:val="56"/>
        <w:keepNext w:val="0"/>
        <w:keepLines w:val="0"/>
        <w:pageBreakBefore w:val="0"/>
        <w:widowControl/>
        <w:kinsoku/>
        <w:wordWrap/>
        <w:overflowPunct/>
        <w:topLinePunct w:val="0"/>
        <w:autoSpaceDE w:val="0"/>
        <w:autoSpaceDN w:val="0"/>
        <w:bidi w:val="0"/>
        <w:adjustRightInd w:val="0"/>
        <w:snapToGrid w:val="0"/>
        <w:ind w:left="0" w:leftChars="0" w:firstLine="452" w:firstLineChars="200"/>
        <w:textAlignment w:val="auto"/>
        <w:rPr>
          <w:rFonts w:hint="eastAsia" w:ascii="Times New Roman" w:eastAsia="宋体" w:cs="Times New Roman"/>
          <w:b w:val="0"/>
          <w:bCs w:val="0"/>
          <w:i w:val="0"/>
          <w:iCs w:val="0"/>
          <w:caps w:val="0"/>
          <w:snapToGrid w:val="0"/>
          <w:color w:val="000000"/>
          <w:spacing w:val="8"/>
          <w:kern w:val="0"/>
          <w:sz w:val="21"/>
          <w:szCs w:val="21"/>
          <w:shd w:val="clear" w:fill="auto"/>
          <w:lang w:val="en-US" w:eastAsia="zh-CN" w:bidi="ar-SA"/>
        </w:rPr>
      </w:pPr>
      <w:r>
        <w:rPr>
          <w:rFonts w:hint="eastAsia" w:ascii="Times New Roman" w:cs="Times New Roman"/>
          <w:b w:val="0"/>
          <w:bCs w:val="0"/>
          <w:i w:val="0"/>
          <w:iCs w:val="0"/>
          <w:caps w:val="0"/>
          <w:snapToGrid w:val="0"/>
          <w:color w:val="000000"/>
          <w:spacing w:val="8"/>
          <w:kern w:val="0"/>
          <w:sz w:val="21"/>
          <w:szCs w:val="21"/>
          <w:shd w:val="clear" w:fill="auto"/>
          <w:lang w:val="en-US" w:eastAsia="zh-CN" w:bidi="ar-SA"/>
        </w:rPr>
        <w:t>——</w:t>
      </w:r>
      <w:r>
        <w:rPr>
          <w:rFonts w:ascii="宋体" w:hAnsi="宋体" w:eastAsia="宋体" w:cs="宋体"/>
          <w:b w:val="0"/>
          <w:bCs w:val="0"/>
          <w:color w:val="000000"/>
          <w:sz w:val="20"/>
          <w:szCs w:val="20"/>
        </w:rPr>
        <w:t>客服电话、线上服务平台</w:t>
      </w:r>
      <w:r>
        <w:rPr>
          <w:rFonts w:hint="eastAsia" w:hAnsi="宋体" w:cs="宋体"/>
          <w:b w:val="0"/>
          <w:bCs w:val="0"/>
          <w:color w:val="000000"/>
          <w:sz w:val="20"/>
          <w:szCs w:val="20"/>
          <w:lang w:eastAsia="zh-CN"/>
        </w:rPr>
        <w:t>；</w:t>
      </w:r>
    </w:p>
    <w:p w14:paraId="27D79628">
      <w:pPr>
        <w:pStyle w:val="56"/>
        <w:keepNext w:val="0"/>
        <w:keepLines w:val="0"/>
        <w:pageBreakBefore w:val="0"/>
        <w:widowControl/>
        <w:kinsoku/>
        <w:wordWrap/>
        <w:overflowPunct/>
        <w:topLinePunct w:val="0"/>
        <w:autoSpaceDE w:val="0"/>
        <w:autoSpaceDN w:val="0"/>
        <w:bidi w:val="0"/>
        <w:adjustRightInd w:val="0"/>
        <w:snapToGrid w:val="0"/>
        <w:ind w:left="0" w:leftChars="0" w:firstLine="452" w:firstLineChars="200"/>
        <w:textAlignment w:val="auto"/>
        <w:rPr>
          <w:rFonts w:ascii="宋体" w:hAnsi="宋体" w:eastAsia="宋体" w:cs="宋体"/>
          <w:b w:val="0"/>
          <w:bCs w:val="0"/>
          <w:color w:val="000000"/>
          <w:sz w:val="20"/>
          <w:szCs w:val="20"/>
        </w:rPr>
      </w:pPr>
      <w:r>
        <w:rPr>
          <w:rFonts w:hint="eastAsia" w:ascii="Times New Roman" w:cs="Times New Roman"/>
          <w:b w:val="0"/>
          <w:bCs w:val="0"/>
          <w:i w:val="0"/>
          <w:iCs w:val="0"/>
          <w:caps w:val="0"/>
          <w:snapToGrid w:val="0"/>
          <w:color w:val="000000"/>
          <w:spacing w:val="8"/>
          <w:kern w:val="0"/>
          <w:sz w:val="21"/>
          <w:szCs w:val="21"/>
          <w:shd w:val="clear" w:fill="auto"/>
          <w:lang w:val="en-US" w:eastAsia="zh-CN" w:bidi="ar-SA"/>
        </w:rPr>
        <w:t>——</w:t>
      </w:r>
      <w:r>
        <w:rPr>
          <w:rFonts w:ascii="宋体" w:hAnsi="宋体" w:eastAsia="宋体" w:cs="宋体"/>
          <w:b w:val="0"/>
          <w:bCs w:val="0"/>
          <w:color w:val="000000"/>
          <w:sz w:val="20"/>
          <w:szCs w:val="20"/>
        </w:rPr>
        <w:t xml:space="preserve">意见反馈表、投诉邮箱； </w:t>
      </w:r>
    </w:p>
    <w:p w14:paraId="482B1B29">
      <w:pPr>
        <w:pStyle w:val="56"/>
        <w:keepNext w:val="0"/>
        <w:keepLines w:val="0"/>
        <w:pageBreakBefore w:val="0"/>
        <w:widowControl/>
        <w:kinsoku/>
        <w:wordWrap/>
        <w:overflowPunct/>
        <w:topLinePunct w:val="0"/>
        <w:autoSpaceDE w:val="0"/>
        <w:autoSpaceDN w:val="0"/>
        <w:bidi w:val="0"/>
        <w:adjustRightInd w:val="0"/>
        <w:snapToGrid w:val="0"/>
        <w:ind w:left="0" w:leftChars="0" w:firstLine="452" w:firstLineChars="200"/>
        <w:textAlignment w:val="auto"/>
        <w:rPr>
          <w:rFonts w:hint="default" w:ascii="宋体" w:hAnsi="宋体" w:eastAsia="宋体" w:cs="宋体"/>
          <w:b w:val="0"/>
          <w:bCs w:val="0"/>
          <w:color w:val="000000"/>
          <w:sz w:val="20"/>
          <w:szCs w:val="20"/>
          <w:lang w:val="en-US"/>
        </w:rPr>
      </w:pPr>
      <w:r>
        <w:rPr>
          <w:rFonts w:hint="eastAsia" w:ascii="Times New Roman" w:cs="Times New Roman"/>
          <w:b w:val="0"/>
          <w:bCs w:val="0"/>
          <w:i w:val="0"/>
          <w:iCs w:val="0"/>
          <w:caps w:val="0"/>
          <w:snapToGrid w:val="0"/>
          <w:color w:val="000000"/>
          <w:spacing w:val="8"/>
          <w:kern w:val="0"/>
          <w:sz w:val="21"/>
          <w:szCs w:val="21"/>
          <w:shd w:val="clear" w:fill="auto"/>
          <w:lang w:val="en-US" w:eastAsia="zh-CN" w:bidi="ar-SA"/>
        </w:rPr>
        <w:t>——定期回访。</w:t>
      </w:r>
    </w:p>
    <w:p w14:paraId="37D12EC4">
      <w:pPr>
        <w:keepNext w:val="0"/>
        <w:keepLines w:val="0"/>
        <w:pageBreakBefore w:val="0"/>
        <w:widowControl/>
        <w:kinsoku/>
        <w:wordWrap/>
        <w:overflowPunct/>
        <w:topLinePunct w:val="0"/>
        <w:autoSpaceDE w:val="0"/>
        <w:autoSpaceDN w:val="0"/>
        <w:bidi w:val="0"/>
        <w:adjustRightInd w:val="0"/>
        <w:snapToGrid w:val="0"/>
        <w:spacing w:line="240" w:lineRule="auto"/>
        <w:ind w:left="0"/>
        <w:jc w:val="both"/>
        <w:textAlignment w:val="baseline"/>
        <w:outlineLvl w:val="9"/>
        <w:rPr>
          <w:rFonts w:hint="default" w:ascii="Times New Roman" w:hAnsi="Times New Roman" w:eastAsia="宋体" w:cs="Times New Roman"/>
          <w:b w:val="0"/>
          <w:bCs w:val="0"/>
          <w:snapToGrid w:val="0"/>
          <w:color w:val="000000"/>
          <w:spacing w:val="9"/>
          <w:kern w:val="0"/>
          <w:sz w:val="21"/>
          <w:szCs w:val="21"/>
          <w:lang w:eastAsia="en-US"/>
        </w:rPr>
      </w:pPr>
      <w:r>
        <w:rPr>
          <w:rFonts w:hint="eastAsia" w:ascii="黑体" w:hAnsi="黑体" w:eastAsia="黑体" w:cs="黑体"/>
          <w:b w:val="0"/>
          <w:bCs w:val="0"/>
          <w:snapToGrid w:val="0"/>
          <w:color w:val="000000"/>
          <w:spacing w:val="9"/>
          <w:kern w:val="0"/>
          <w:sz w:val="21"/>
          <w:szCs w:val="21"/>
          <w:lang w:val="en-US" w:eastAsia="zh-CN"/>
        </w:rPr>
        <w:t>9.1.2</w:t>
      </w:r>
      <w:r>
        <w:rPr>
          <w:rFonts w:hint="eastAsia" w:ascii="Times New Roman" w:hAnsi="Times New Roman" w:cs="Times New Roman"/>
          <w:b w:val="0"/>
          <w:bCs w:val="0"/>
          <w:snapToGrid w:val="0"/>
          <w:color w:val="000000"/>
          <w:spacing w:val="9"/>
          <w:kern w:val="0"/>
          <w:sz w:val="21"/>
          <w:szCs w:val="21"/>
          <w:lang w:val="en-US" w:eastAsia="zh-CN"/>
        </w:rPr>
        <w:t xml:space="preserve"> </w:t>
      </w:r>
      <w:r>
        <w:rPr>
          <w:rFonts w:hint="default" w:ascii="Times New Roman" w:hAnsi="Times New Roman" w:eastAsia="宋体" w:cs="Times New Roman"/>
          <w:b w:val="0"/>
          <w:bCs w:val="0"/>
          <w:snapToGrid w:val="0"/>
          <w:color w:val="000000"/>
          <w:spacing w:val="9"/>
          <w:kern w:val="0"/>
          <w:sz w:val="21"/>
          <w:szCs w:val="21"/>
          <w:lang w:eastAsia="en-US"/>
        </w:rPr>
        <w:t>应建立综合评价体系，指标包括但不限于：</w:t>
      </w:r>
    </w:p>
    <w:p w14:paraId="6F895B5B">
      <w:pPr>
        <w:keepNext w:val="0"/>
        <w:keepLines w:val="0"/>
        <w:pageBreakBefore w:val="0"/>
        <w:widowControl/>
        <w:kinsoku/>
        <w:wordWrap/>
        <w:overflowPunct/>
        <w:topLinePunct w:val="0"/>
        <w:autoSpaceDE w:val="0"/>
        <w:autoSpaceDN w:val="0"/>
        <w:bidi w:val="0"/>
        <w:adjustRightInd w:val="0"/>
        <w:snapToGrid w:val="0"/>
        <w:spacing w:line="240" w:lineRule="auto"/>
        <w:ind w:left="0" w:firstLine="452" w:firstLineChars="200"/>
        <w:jc w:val="both"/>
        <w:textAlignment w:val="baseline"/>
        <w:outlineLvl w:val="9"/>
        <w:rPr>
          <w:rFonts w:hint="default" w:ascii="Times New Roman" w:hAnsi="Times New Roman" w:eastAsia="宋体" w:cs="Times New Roman"/>
          <w:b w:val="0"/>
          <w:bCs w:val="0"/>
          <w:snapToGrid w:val="0"/>
          <w:color w:val="000000"/>
          <w:spacing w:val="9"/>
          <w:kern w:val="0"/>
          <w:sz w:val="21"/>
          <w:szCs w:val="21"/>
          <w:lang w:eastAsia="en-US"/>
        </w:rPr>
      </w:pPr>
      <w:r>
        <w:rPr>
          <w:rFonts w:hint="eastAsia" w:ascii="Times New Roman" w:cs="Times New Roman"/>
          <w:b w:val="0"/>
          <w:bCs w:val="0"/>
          <w:i w:val="0"/>
          <w:iCs w:val="0"/>
          <w:caps w:val="0"/>
          <w:snapToGrid w:val="0"/>
          <w:color w:val="000000"/>
          <w:spacing w:val="8"/>
          <w:kern w:val="0"/>
          <w:sz w:val="21"/>
          <w:szCs w:val="21"/>
          <w:shd w:val="clear" w:fill="auto"/>
          <w:lang w:val="en-US" w:eastAsia="zh-CN" w:bidi="ar-SA"/>
        </w:rPr>
        <w:t>——</w:t>
      </w:r>
      <w:r>
        <w:rPr>
          <w:rFonts w:hint="default" w:ascii="Times New Roman" w:hAnsi="Times New Roman" w:eastAsia="宋体" w:cs="Times New Roman"/>
          <w:b w:val="0"/>
          <w:bCs w:val="0"/>
          <w:snapToGrid w:val="0"/>
          <w:color w:val="000000"/>
          <w:spacing w:val="9"/>
          <w:kern w:val="0"/>
          <w:sz w:val="21"/>
          <w:szCs w:val="21"/>
          <w:lang w:eastAsia="en-US"/>
        </w:rPr>
        <w:t>参与度</w:t>
      </w:r>
    </w:p>
    <w:p w14:paraId="312E9BFD">
      <w:pPr>
        <w:keepNext w:val="0"/>
        <w:keepLines w:val="0"/>
        <w:pageBreakBefore w:val="0"/>
        <w:widowControl/>
        <w:kinsoku/>
        <w:wordWrap/>
        <w:overflowPunct/>
        <w:topLinePunct w:val="0"/>
        <w:autoSpaceDE w:val="0"/>
        <w:autoSpaceDN w:val="0"/>
        <w:bidi w:val="0"/>
        <w:adjustRightInd w:val="0"/>
        <w:snapToGrid w:val="0"/>
        <w:spacing w:line="240" w:lineRule="auto"/>
        <w:ind w:left="0" w:firstLine="456" w:firstLineChars="200"/>
        <w:jc w:val="both"/>
        <w:textAlignment w:val="baseline"/>
        <w:outlineLvl w:val="9"/>
        <w:rPr>
          <w:rFonts w:hint="default" w:ascii="Times New Roman" w:hAnsi="Times New Roman" w:eastAsia="宋体" w:cs="Times New Roman"/>
          <w:b w:val="0"/>
          <w:bCs w:val="0"/>
          <w:snapToGrid w:val="0"/>
          <w:color w:val="000000"/>
          <w:spacing w:val="9"/>
          <w:kern w:val="0"/>
          <w:sz w:val="21"/>
          <w:szCs w:val="21"/>
          <w:lang w:eastAsia="en-US"/>
        </w:rPr>
      </w:pPr>
      <w:r>
        <w:rPr>
          <w:rFonts w:hint="eastAsia" w:ascii="Times New Roman" w:hAnsi="Times New Roman" w:cs="Times New Roman"/>
          <w:b w:val="0"/>
          <w:bCs w:val="0"/>
          <w:snapToGrid w:val="0"/>
          <w:color w:val="000000"/>
          <w:spacing w:val="9"/>
          <w:kern w:val="0"/>
          <w:sz w:val="21"/>
          <w:szCs w:val="21"/>
          <w:lang w:eastAsia="zh-CN"/>
        </w:rPr>
        <w:t>——</w:t>
      </w:r>
      <w:r>
        <w:rPr>
          <w:rFonts w:hint="default" w:ascii="Times New Roman" w:hAnsi="Times New Roman" w:eastAsia="宋体" w:cs="Times New Roman"/>
          <w:b w:val="0"/>
          <w:bCs w:val="0"/>
          <w:snapToGrid w:val="0"/>
          <w:color w:val="000000"/>
          <w:spacing w:val="9"/>
          <w:kern w:val="0"/>
          <w:sz w:val="21"/>
          <w:szCs w:val="21"/>
          <w:lang w:eastAsia="en-US"/>
        </w:rPr>
        <w:t>满意度</w:t>
      </w:r>
    </w:p>
    <w:p w14:paraId="296BAF74">
      <w:pPr>
        <w:keepNext w:val="0"/>
        <w:keepLines w:val="0"/>
        <w:pageBreakBefore w:val="0"/>
        <w:widowControl/>
        <w:kinsoku/>
        <w:wordWrap/>
        <w:overflowPunct/>
        <w:topLinePunct w:val="0"/>
        <w:autoSpaceDE w:val="0"/>
        <w:autoSpaceDN w:val="0"/>
        <w:bidi w:val="0"/>
        <w:adjustRightInd w:val="0"/>
        <w:snapToGrid w:val="0"/>
        <w:spacing w:line="240" w:lineRule="auto"/>
        <w:ind w:left="0" w:firstLine="456" w:firstLineChars="200"/>
        <w:jc w:val="both"/>
        <w:textAlignment w:val="baseline"/>
        <w:outlineLvl w:val="9"/>
        <w:rPr>
          <w:rFonts w:hint="default" w:ascii="Times New Roman" w:hAnsi="Times New Roman" w:eastAsia="宋体" w:cs="Times New Roman"/>
          <w:b w:val="0"/>
          <w:bCs w:val="0"/>
          <w:snapToGrid w:val="0"/>
          <w:color w:val="000000"/>
          <w:spacing w:val="9"/>
          <w:kern w:val="0"/>
          <w:sz w:val="21"/>
          <w:szCs w:val="21"/>
          <w:lang w:eastAsia="en-US"/>
        </w:rPr>
      </w:pPr>
      <w:r>
        <w:rPr>
          <w:rFonts w:hint="eastAsia" w:ascii="Times New Roman" w:hAnsi="Times New Roman" w:cs="Times New Roman"/>
          <w:b w:val="0"/>
          <w:bCs w:val="0"/>
          <w:snapToGrid w:val="0"/>
          <w:color w:val="000000"/>
          <w:spacing w:val="9"/>
          <w:kern w:val="0"/>
          <w:sz w:val="21"/>
          <w:szCs w:val="21"/>
          <w:lang w:eastAsia="zh-CN"/>
        </w:rPr>
        <w:t>——</w:t>
      </w:r>
      <w:r>
        <w:rPr>
          <w:rFonts w:hint="default" w:ascii="Times New Roman" w:hAnsi="Times New Roman" w:eastAsia="宋体" w:cs="Times New Roman"/>
          <w:b w:val="0"/>
          <w:bCs w:val="0"/>
          <w:snapToGrid w:val="0"/>
          <w:color w:val="000000"/>
          <w:spacing w:val="9"/>
          <w:kern w:val="0"/>
          <w:sz w:val="21"/>
          <w:szCs w:val="21"/>
          <w:lang w:eastAsia="en-US"/>
        </w:rPr>
        <w:t>影响力</w:t>
      </w:r>
    </w:p>
    <w:p w14:paraId="7CE6F210">
      <w:pPr>
        <w:keepNext w:val="0"/>
        <w:keepLines w:val="0"/>
        <w:pageBreakBefore w:val="0"/>
        <w:widowControl/>
        <w:kinsoku/>
        <w:wordWrap/>
        <w:overflowPunct/>
        <w:topLinePunct w:val="0"/>
        <w:autoSpaceDE w:val="0"/>
        <w:autoSpaceDN w:val="0"/>
        <w:bidi w:val="0"/>
        <w:adjustRightInd w:val="0"/>
        <w:snapToGrid w:val="0"/>
        <w:spacing w:line="240" w:lineRule="auto"/>
        <w:ind w:left="0" w:firstLine="456" w:firstLineChars="200"/>
        <w:jc w:val="both"/>
        <w:textAlignment w:val="baseline"/>
        <w:outlineLvl w:val="9"/>
        <w:rPr>
          <w:rFonts w:hint="default" w:ascii="Times New Roman" w:hAnsi="Times New Roman" w:eastAsia="宋体" w:cs="Times New Roman"/>
          <w:b w:val="0"/>
          <w:bCs w:val="0"/>
          <w:snapToGrid w:val="0"/>
          <w:color w:val="000000"/>
          <w:spacing w:val="1"/>
          <w:kern w:val="0"/>
          <w:sz w:val="21"/>
          <w:szCs w:val="21"/>
        </w:rPr>
      </w:pPr>
      <w:r>
        <w:rPr>
          <w:rFonts w:hint="eastAsia" w:ascii="Times New Roman" w:hAnsi="Times New Roman" w:cs="Times New Roman"/>
          <w:b w:val="0"/>
          <w:bCs w:val="0"/>
          <w:snapToGrid w:val="0"/>
          <w:color w:val="000000"/>
          <w:spacing w:val="9"/>
          <w:kern w:val="0"/>
          <w:sz w:val="21"/>
          <w:szCs w:val="21"/>
          <w:lang w:eastAsia="zh-CN"/>
        </w:rPr>
        <w:t>——</w:t>
      </w:r>
      <w:r>
        <w:rPr>
          <w:rFonts w:hint="default" w:ascii="Times New Roman" w:hAnsi="Times New Roman" w:eastAsia="宋体" w:cs="Times New Roman"/>
          <w:b w:val="0"/>
          <w:bCs w:val="0"/>
          <w:snapToGrid w:val="0"/>
          <w:color w:val="000000"/>
          <w:spacing w:val="9"/>
          <w:kern w:val="0"/>
          <w:sz w:val="21"/>
          <w:szCs w:val="21"/>
          <w:lang w:eastAsia="en-US"/>
        </w:rPr>
        <w:t>转化度</w:t>
      </w:r>
    </w:p>
    <w:p w14:paraId="670BB865">
      <w:pPr>
        <w:pStyle w:val="105"/>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hAnsi="黑体" w:cs="黑体"/>
          <w:b w:val="0"/>
          <w:bCs w:val="0"/>
          <w:i w:val="0"/>
          <w:iCs w:val="0"/>
          <w:caps w:val="0"/>
          <w:color w:val="0F1115"/>
          <w:spacing w:val="0"/>
          <w:sz w:val="21"/>
          <w:szCs w:val="21"/>
          <w:shd w:val="clear" w:fill="FFFFFF"/>
          <w:lang w:val="en-US" w:eastAsia="zh-CN"/>
        </w:rPr>
        <w:t>服务改进</w:t>
      </w:r>
    </w:p>
    <w:p w14:paraId="012D936C">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1"/>
          <w:kern w:val="0"/>
          <w:sz w:val="21"/>
          <w:szCs w:val="21"/>
        </w:rPr>
      </w:pPr>
      <w:r>
        <w:rPr>
          <w:rFonts w:hint="eastAsia" w:ascii="黑体" w:hAnsi="黑体" w:eastAsia="黑体" w:cs="黑体"/>
          <w:b w:val="0"/>
          <w:bCs w:val="0"/>
          <w:snapToGrid w:val="0"/>
          <w:color w:val="000000"/>
          <w:spacing w:val="1"/>
          <w:kern w:val="0"/>
          <w:sz w:val="21"/>
          <w:szCs w:val="21"/>
          <w:lang w:val="en-US" w:eastAsia="zh-CN"/>
        </w:rPr>
        <w:t>9</w:t>
      </w:r>
      <w:r>
        <w:rPr>
          <w:rFonts w:hint="eastAsia" w:ascii="黑体" w:hAnsi="黑体" w:eastAsia="黑体" w:cs="黑体"/>
          <w:b w:val="0"/>
          <w:bCs w:val="0"/>
          <w:snapToGrid w:val="0"/>
          <w:color w:val="000000"/>
          <w:spacing w:val="1"/>
          <w:kern w:val="0"/>
          <w:sz w:val="21"/>
          <w:szCs w:val="21"/>
        </w:rPr>
        <w:t>.2.1</w:t>
      </w:r>
      <w:r>
        <w:rPr>
          <w:rFonts w:hint="eastAsia" w:ascii="黑体" w:hAnsi="黑体" w:eastAsia="黑体" w:cs="黑体"/>
          <w:b w:val="0"/>
          <w:bCs w:val="0"/>
          <w:snapToGrid w:val="0"/>
          <w:color w:val="000000"/>
          <w:spacing w:val="1"/>
          <w:kern w:val="0"/>
          <w:sz w:val="21"/>
          <w:szCs w:val="21"/>
          <w:lang w:val="en-US" w:eastAsia="zh-CN"/>
        </w:rPr>
        <w:t xml:space="preserve"> </w:t>
      </w:r>
      <w:r>
        <w:rPr>
          <w:rFonts w:hint="default" w:ascii="Times New Roman" w:hAnsi="Times New Roman" w:eastAsia="宋体" w:cs="Times New Roman"/>
          <w:b w:val="0"/>
          <w:bCs w:val="0"/>
          <w:snapToGrid w:val="0"/>
          <w:color w:val="000000"/>
          <w:spacing w:val="1"/>
          <w:kern w:val="0"/>
          <w:sz w:val="21"/>
          <w:szCs w:val="21"/>
          <w:lang w:val="en-US" w:eastAsia="zh-CN"/>
        </w:rPr>
        <w:t xml:space="preserve"> </w:t>
      </w:r>
      <w:r>
        <w:rPr>
          <w:rFonts w:hint="default" w:ascii="Times New Roman" w:hAnsi="Times New Roman" w:eastAsia="宋体" w:cs="Times New Roman"/>
          <w:b w:val="0"/>
          <w:bCs w:val="0"/>
          <w:snapToGrid w:val="0"/>
          <w:color w:val="000000"/>
          <w:spacing w:val="8"/>
          <w:kern w:val="0"/>
          <w:sz w:val="21"/>
          <w:szCs w:val="21"/>
          <w:lang w:val="en-US" w:eastAsia="zh-CN" w:bidi="ar-SA"/>
        </w:rPr>
        <w:t>每次活动后应进行全面总结，分析评价数据与反馈意见。</w:t>
      </w:r>
    </w:p>
    <w:p w14:paraId="598BD8BE">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r>
        <w:rPr>
          <w:rFonts w:hint="eastAsia" w:ascii="黑体" w:hAnsi="黑体" w:eastAsia="黑体" w:cs="黑体"/>
          <w:b w:val="0"/>
          <w:bCs w:val="0"/>
          <w:snapToGrid w:val="0"/>
          <w:color w:val="000000"/>
          <w:spacing w:val="1"/>
          <w:kern w:val="0"/>
          <w:sz w:val="21"/>
          <w:szCs w:val="21"/>
          <w:lang w:val="en-US" w:eastAsia="zh-CN"/>
        </w:rPr>
        <w:t>9</w:t>
      </w:r>
      <w:r>
        <w:rPr>
          <w:rFonts w:hint="eastAsia" w:ascii="黑体" w:hAnsi="黑体" w:eastAsia="黑体" w:cs="黑体"/>
          <w:b w:val="0"/>
          <w:bCs w:val="0"/>
          <w:snapToGrid w:val="0"/>
          <w:color w:val="000000"/>
          <w:spacing w:val="1"/>
          <w:kern w:val="0"/>
          <w:sz w:val="21"/>
          <w:szCs w:val="21"/>
        </w:rPr>
        <w:t>.2.2</w:t>
      </w:r>
      <w:r>
        <w:rPr>
          <w:rFonts w:hint="eastAsia" w:ascii="黑体" w:hAnsi="黑体" w:eastAsia="黑体" w:cs="黑体"/>
          <w:b w:val="0"/>
          <w:bCs w:val="0"/>
          <w:snapToGrid w:val="0"/>
          <w:color w:val="000000"/>
          <w:spacing w:val="1"/>
          <w:kern w:val="0"/>
          <w:sz w:val="21"/>
          <w:szCs w:val="21"/>
          <w:lang w:val="en-US" w:eastAsia="zh-CN"/>
        </w:rPr>
        <w:t xml:space="preserve"> </w:t>
      </w:r>
      <w:r>
        <w:rPr>
          <w:rFonts w:hint="default" w:ascii="Times New Roman" w:hAnsi="Times New Roman" w:eastAsia="宋体" w:cs="Times New Roman"/>
          <w:b w:val="0"/>
          <w:bCs w:val="0"/>
          <w:snapToGrid w:val="0"/>
          <w:color w:val="000000"/>
          <w:spacing w:val="1"/>
          <w:kern w:val="0"/>
          <w:sz w:val="21"/>
          <w:szCs w:val="21"/>
          <w:lang w:val="en-US" w:eastAsia="zh-CN"/>
        </w:rPr>
        <w:t xml:space="preserve"> </w:t>
      </w:r>
      <w:r>
        <w:rPr>
          <w:rFonts w:hint="default" w:ascii="Times New Roman" w:hAnsi="Times New Roman" w:eastAsia="宋体" w:cs="Times New Roman"/>
          <w:b w:val="0"/>
          <w:bCs w:val="0"/>
          <w:snapToGrid w:val="0"/>
          <w:color w:val="000000"/>
          <w:spacing w:val="8"/>
          <w:kern w:val="0"/>
          <w:sz w:val="21"/>
          <w:szCs w:val="21"/>
          <w:lang w:val="en-US" w:eastAsia="zh-CN" w:bidi="ar-SA"/>
        </w:rPr>
        <w:t>应针对存在的问题制定改进措施，并在后续活动中落实。</w:t>
      </w:r>
    </w:p>
    <w:p w14:paraId="74B67B15">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both"/>
        <w:textAlignment w:val="baseline"/>
        <w:outlineLvl w:val="9"/>
        <w:rPr>
          <w:rFonts w:hint="default" w:ascii="Times New Roman" w:hAnsi="Times New Roman" w:eastAsia="宋体" w:cs="Times New Roman"/>
          <w:b w:val="0"/>
          <w:bCs w:val="0"/>
          <w:snapToGrid w:val="0"/>
          <w:color w:val="000000"/>
          <w:spacing w:val="8"/>
          <w:kern w:val="0"/>
          <w:sz w:val="21"/>
          <w:szCs w:val="21"/>
          <w:lang w:val="en-US" w:eastAsia="zh-CN" w:bidi="ar-SA"/>
        </w:rPr>
      </w:pPr>
      <w:r>
        <w:rPr>
          <w:rFonts w:hint="eastAsia" w:ascii="黑体" w:hAnsi="黑体" w:eastAsia="黑体" w:cs="黑体"/>
          <w:b w:val="0"/>
          <w:bCs w:val="0"/>
          <w:snapToGrid w:val="0"/>
          <w:color w:val="000000"/>
          <w:spacing w:val="1"/>
          <w:kern w:val="0"/>
          <w:sz w:val="21"/>
          <w:szCs w:val="21"/>
          <w:lang w:val="en-US" w:eastAsia="zh-CN"/>
        </w:rPr>
        <w:t>9</w:t>
      </w:r>
      <w:r>
        <w:rPr>
          <w:rFonts w:hint="eastAsia" w:ascii="黑体" w:hAnsi="黑体" w:eastAsia="黑体" w:cs="黑体"/>
          <w:b w:val="0"/>
          <w:bCs w:val="0"/>
          <w:snapToGrid w:val="0"/>
          <w:color w:val="000000"/>
          <w:spacing w:val="1"/>
          <w:kern w:val="0"/>
          <w:sz w:val="21"/>
          <w:szCs w:val="21"/>
        </w:rPr>
        <w:t>.2.3</w:t>
      </w:r>
      <w:r>
        <w:rPr>
          <w:rFonts w:hint="default" w:ascii="Times New Roman" w:hAnsi="Times New Roman" w:eastAsia="宋体" w:cs="Times New Roman"/>
          <w:b w:val="0"/>
          <w:bCs w:val="0"/>
          <w:snapToGrid w:val="0"/>
          <w:color w:val="000000"/>
          <w:spacing w:val="1"/>
          <w:kern w:val="0"/>
          <w:sz w:val="21"/>
          <w:szCs w:val="21"/>
          <w:lang w:val="en-US" w:eastAsia="zh-CN"/>
        </w:rPr>
        <w:t xml:space="preserve">  </w:t>
      </w:r>
      <w:r>
        <w:rPr>
          <w:rFonts w:hint="default" w:ascii="Times New Roman" w:hAnsi="Times New Roman" w:eastAsia="宋体" w:cs="Times New Roman"/>
          <w:b w:val="0"/>
          <w:bCs w:val="0"/>
          <w:snapToGrid w:val="0"/>
          <w:color w:val="000000"/>
          <w:spacing w:val="8"/>
          <w:kern w:val="0"/>
          <w:sz w:val="21"/>
          <w:szCs w:val="21"/>
          <w:lang w:val="en-US" w:eastAsia="zh-CN" w:bidi="ar-SA"/>
        </w:rPr>
        <w:t>应鼓励将活动成果转化为科研论文、技术标准或健康产品，实现可持续发展。</w:t>
      </w:r>
    </w:p>
    <w:p w14:paraId="20059BBC">
      <w:pPr>
        <w:keepNext w:val="0"/>
        <w:keepLines w:val="0"/>
        <w:pageBreakBefore w:val="0"/>
        <w:wordWrap/>
        <w:overflowPunct/>
        <w:topLinePunct w:val="0"/>
        <w:bidi w:val="0"/>
        <w:adjustRightInd w:val="0"/>
        <w:snapToGrid w:val="0"/>
        <w:spacing w:line="240" w:lineRule="auto"/>
        <w:ind w:left="0"/>
        <w:jc w:val="both"/>
        <w:outlineLvl w:val="9"/>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br w:type="page"/>
      </w:r>
    </w:p>
    <w:p w14:paraId="30A6D42E">
      <w:pPr>
        <w:pStyle w:val="63"/>
        <w:adjustRightInd w:val="0"/>
        <w:snapToGrid w:val="0"/>
        <w:spacing w:before="0" w:beforeLines="0" w:after="0" w:afterLines="0" w:line="240" w:lineRule="auto"/>
        <w:rPr>
          <w:bCs/>
          <w:color w:val="auto"/>
        </w:rPr>
      </w:pPr>
      <w:bookmarkStart w:id="79" w:name="_Toc19316"/>
      <w:r>
        <w:rPr>
          <w:rFonts w:hint="eastAsia"/>
          <w:bCs/>
          <w:color w:val="auto"/>
        </w:rPr>
        <w:t>附录A</w:t>
      </w:r>
      <w:bookmarkEnd w:id="79"/>
    </w:p>
    <w:p w14:paraId="067A7CE3">
      <w:pPr>
        <w:pStyle w:val="63"/>
        <w:adjustRightInd w:val="0"/>
        <w:snapToGrid w:val="0"/>
        <w:spacing w:before="0" w:beforeLines="0" w:after="0" w:afterLines="0" w:line="240" w:lineRule="auto"/>
        <w:rPr>
          <w:bCs/>
          <w:color w:val="auto"/>
        </w:rPr>
      </w:pPr>
      <w:bookmarkStart w:id="80" w:name="_Toc18085"/>
      <w:r>
        <w:rPr>
          <w:rFonts w:hint="eastAsia"/>
          <w:bCs/>
          <w:color w:val="auto"/>
        </w:rPr>
        <w:t>（资料性）</w:t>
      </w:r>
      <w:bookmarkEnd w:id="80"/>
    </w:p>
    <w:p w14:paraId="7E7B3F29">
      <w:pPr>
        <w:pStyle w:val="13"/>
        <w:widowControl/>
        <w:kinsoku w:val="0"/>
        <w:autoSpaceDE w:val="0"/>
        <w:autoSpaceDN w:val="0"/>
        <w:adjustRightInd w:val="0"/>
        <w:snapToGrid w:val="0"/>
        <w:spacing w:before="65" w:line="240" w:lineRule="auto"/>
        <w:ind w:left="20"/>
        <w:jc w:val="center"/>
        <w:textAlignment w:val="baseline"/>
        <w:outlineLvl w:val="0"/>
        <w:rPr>
          <w:rFonts w:hint="eastAsia" w:ascii="黑体" w:hAnsi="黑体" w:eastAsia="黑体" w:cs="黑体"/>
          <w:snapToGrid w:val="0"/>
          <w:color w:val="auto"/>
          <w:spacing w:val="1"/>
          <w:kern w:val="0"/>
          <w:sz w:val="20"/>
          <w:szCs w:val="20"/>
          <w:lang w:val="en-US" w:eastAsia="zh-CN"/>
        </w:rPr>
      </w:pPr>
      <w:r>
        <w:rPr>
          <w:rFonts w:hint="eastAsia" w:ascii="黑体" w:hAnsi="黑体" w:eastAsia="黑体" w:cs="黑体"/>
          <w:snapToGrid w:val="0"/>
          <w:color w:val="auto"/>
          <w:spacing w:val="1"/>
          <w:kern w:val="0"/>
          <w:sz w:val="20"/>
          <w:szCs w:val="20"/>
          <w:lang w:val="en-US" w:eastAsia="zh-CN"/>
        </w:rPr>
        <w:t>中医药养生市集主题与内容</w:t>
      </w:r>
    </w:p>
    <w:p w14:paraId="4CC8519C">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firstLine="452" w:firstLineChars="200"/>
        <w:jc w:val="both"/>
        <w:textAlignment w:val="baseline"/>
        <w:outlineLvl w:val="9"/>
        <w:rPr>
          <w:rFonts w:hint="eastAsia"/>
          <w:snapToGrid w:val="0"/>
          <w:color w:val="auto"/>
          <w:spacing w:val="1"/>
          <w:kern w:val="0"/>
          <w:sz w:val="20"/>
          <w:szCs w:val="20"/>
          <w:lang w:val="en-US" w:eastAsia="zh-CN"/>
        </w:rPr>
      </w:pPr>
      <w:r>
        <w:rPr>
          <w:rFonts w:hint="default" w:ascii="Times New Roman" w:hAnsi="Times New Roman" w:eastAsia="宋体" w:cs="Times New Roman"/>
          <w:b w:val="0"/>
          <w:bCs w:val="0"/>
          <w:snapToGrid w:val="0"/>
          <w:color w:val="auto"/>
          <w:spacing w:val="8"/>
          <w:kern w:val="0"/>
          <w:sz w:val="21"/>
          <w:szCs w:val="21"/>
          <w:lang w:val="en-US" w:eastAsia="zh-CN" w:bidi="ar-SA"/>
        </w:rPr>
        <w:t>本附录提供了养生市集可参考的主题方向、核心原则及相应的服务、文化、产业内容示例。策划者可结合目标人群需求、时令特点、地域文化及本地资源，选择或组合主题方向，设计差异化的市集活动。</w:t>
      </w:r>
    </w:p>
    <w:p w14:paraId="5F3B9E6E">
      <w:pPr>
        <w:pStyle w:val="13"/>
        <w:widowControl/>
        <w:kinsoku w:val="0"/>
        <w:autoSpaceDE w:val="0"/>
        <w:autoSpaceDN w:val="0"/>
        <w:adjustRightInd w:val="0"/>
        <w:snapToGrid w:val="0"/>
        <w:spacing w:before="65" w:line="240" w:lineRule="auto"/>
        <w:ind w:left="20"/>
        <w:jc w:val="both"/>
        <w:textAlignment w:val="baseline"/>
        <w:outlineLvl w:val="0"/>
        <w:rPr>
          <w:rFonts w:hint="eastAsia" w:ascii="黑体" w:hAnsi="黑体" w:eastAsia="黑体" w:cs="黑体"/>
          <w:snapToGrid w:val="0"/>
          <w:color w:val="auto"/>
          <w:spacing w:val="1"/>
          <w:kern w:val="0"/>
          <w:sz w:val="20"/>
          <w:szCs w:val="20"/>
          <w:lang w:val="en-US" w:eastAsia="zh-CN"/>
        </w:rPr>
      </w:pPr>
      <w:r>
        <w:rPr>
          <w:rFonts w:hint="eastAsia" w:ascii="黑体" w:hAnsi="黑体" w:eastAsia="黑体" w:cs="黑体"/>
          <w:snapToGrid w:val="0"/>
          <w:color w:val="auto"/>
          <w:spacing w:val="1"/>
          <w:kern w:val="0"/>
          <w:sz w:val="20"/>
          <w:szCs w:val="20"/>
          <w:lang w:val="en-US" w:eastAsia="zh-CN"/>
        </w:rPr>
        <w:t>A.1 四季养生主题</w:t>
      </w:r>
    </w:p>
    <w:bookmarkEnd w:id="22"/>
    <w:tbl>
      <w:tblPr>
        <w:tblStyle w:val="27"/>
        <w:tblW w:w="94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3"/>
        <w:gridCol w:w="1978"/>
        <w:gridCol w:w="6333"/>
      </w:tblGrid>
      <w:tr w14:paraId="15398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13" w:type="dxa"/>
          </w:tcPr>
          <w:p w14:paraId="419E938A">
            <w:pPr>
              <w:pStyle w:val="13"/>
              <w:widowControl/>
              <w:kinsoku w:val="0"/>
              <w:autoSpaceDE w:val="0"/>
              <w:autoSpaceDN w:val="0"/>
              <w:adjustRightInd w:val="0"/>
              <w:snapToGrid w:val="0"/>
              <w:spacing w:before="65" w:line="231" w:lineRule="auto"/>
              <w:ind w:left="20"/>
              <w:jc w:val="center"/>
              <w:textAlignment w:val="baseline"/>
              <w:outlineLvl w:val="0"/>
              <w:rPr>
                <w:rFonts w:hint="default" w:ascii="宋体" w:hAnsi="宋体" w:eastAsia="宋体" w:cs="宋体"/>
                <w:snapToGrid w:val="0"/>
                <w:color w:val="auto"/>
                <w:spacing w:val="8"/>
                <w:kern w:val="0"/>
                <w:sz w:val="20"/>
                <w:szCs w:val="20"/>
                <w:lang w:val="en-US" w:eastAsia="zh-CN" w:bidi="ar-SA"/>
              </w:rPr>
            </w:pPr>
            <w:bookmarkStart w:id="81" w:name="BookMark6"/>
            <w:r>
              <w:rPr>
                <w:rFonts w:hint="eastAsia" w:ascii="宋体" w:hAnsi="宋体" w:cs="宋体"/>
                <w:snapToGrid w:val="0"/>
                <w:color w:val="auto"/>
                <w:spacing w:val="8"/>
                <w:kern w:val="0"/>
                <w:sz w:val="20"/>
                <w:szCs w:val="20"/>
                <w:lang w:val="en-US" w:eastAsia="zh-CN" w:bidi="ar-SA"/>
              </w:rPr>
              <w:t>主题方向</w:t>
            </w:r>
          </w:p>
        </w:tc>
        <w:tc>
          <w:tcPr>
            <w:tcW w:w="1978" w:type="dxa"/>
          </w:tcPr>
          <w:p w14:paraId="5FBB2D1B">
            <w:pPr>
              <w:pStyle w:val="13"/>
              <w:widowControl/>
              <w:kinsoku w:val="0"/>
              <w:autoSpaceDE w:val="0"/>
              <w:autoSpaceDN w:val="0"/>
              <w:adjustRightInd w:val="0"/>
              <w:snapToGrid w:val="0"/>
              <w:spacing w:before="65" w:line="231" w:lineRule="auto"/>
              <w:ind w:left="2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核心养生原则</w:t>
            </w:r>
          </w:p>
        </w:tc>
        <w:tc>
          <w:tcPr>
            <w:tcW w:w="6333" w:type="dxa"/>
          </w:tcPr>
          <w:p w14:paraId="0903AEBA">
            <w:pPr>
              <w:pStyle w:val="13"/>
              <w:widowControl/>
              <w:kinsoku w:val="0"/>
              <w:autoSpaceDE w:val="0"/>
              <w:autoSpaceDN w:val="0"/>
              <w:adjustRightInd w:val="0"/>
              <w:snapToGrid w:val="0"/>
              <w:spacing w:before="65" w:line="231" w:lineRule="auto"/>
              <w:ind w:left="2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特色服务与产品示例</w:t>
            </w:r>
          </w:p>
        </w:tc>
      </w:tr>
      <w:tr w14:paraId="26E33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13" w:type="dxa"/>
          </w:tcPr>
          <w:p w14:paraId="0C8E913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春季</w:t>
            </w:r>
          </w:p>
        </w:tc>
        <w:tc>
          <w:tcPr>
            <w:tcW w:w="1978" w:type="dxa"/>
          </w:tcPr>
          <w:p w14:paraId="399EAA0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春养肝，护阳气</w:t>
            </w:r>
          </w:p>
        </w:tc>
        <w:tc>
          <w:tcPr>
            <w:tcW w:w="6333" w:type="dxa"/>
          </w:tcPr>
          <w:p w14:paraId="78EECA9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 xml:space="preserve">服务：疏肝理气夜门诊、青少年近视防治、春季助长推拿。 </w:t>
            </w:r>
          </w:p>
          <w:p w14:paraId="78A8744E">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 xml:space="preserve">产品： 疏肝解郁花茶、健脾糕点半成品。 </w:t>
            </w:r>
          </w:p>
          <w:p w14:paraId="554092D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文化： 中药材辨识、香囊制作。</w:t>
            </w:r>
          </w:p>
        </w:tc>
      </w:tr>
      <w:tr w14:paraId="4C97F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13" w:type="dxa"/>
          </w:tcPr>
          <w:p w14:paraId="0755D34A">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夏季</w:t>
            </w:r>
          </w:p>
        </w:tc>
        <w:tc>
          <w:tcPr>
            <w:tcW w:w="1978" w:type="dxa"/>
          </w:tcPr>
          <w:p w14:paraId="02BCCEF6">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夏养心，治未病（冬病夏治）</w:t>
            </w:r>
          </w:p>
        </w:tc>
        <w:tc>
          <w:tcPr>
            <w:tcW w:w="6333" w:type="dxa"/>
          </w:tcPr>
          <w:p w14:paraId="7CA283C1">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服务：多种灸法（督脉灸、脐灸）体验、三伏贴预约、夏季养心义诊。</w:t>
            </w:r>
          </w:p>
          <w:p w14:paraId="21C8D23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 xml:space="preserve">产品： 清心祛暑凉茶、薏苡仁绿豆汤。 </w:t>
            </w:r>
          </w:p>
          <w:p w14:paraId="2339DDE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文化： 养生功法教学（静坐、冥想）。</w:t>
            </w:r>
          </w:p>
        </w:tc>
      </w:tr>
      <w:tr w14:paraId="3DE74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13" w:type="dxa"/>
          </w:tcPr>
          <w:p w14:paraId="449D5EFD">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秋季</w:t>
            </w:r>
          </w:p>
        </w:tc>
        <w:tc>
          <w:tcPr>
            <w:tcW w:w="1978" w:type="dxa"/>
          </w:tcPr>
          <w:p w14:paraId="4E72EB9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秋养肺，防秋燥</w:t>
            </w:r>
          </w:p>
        </w:tc>
        <w:tc>
          <w:tcPr>
            <w:tcW w:w="6333" w:type="dxa"/>
          </w:tcPr>
          <w:p w14:paraId="773D121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 xml:space="preserve">服务：润肺止咳夜门诊、健肺吐纳功教学、耳穴压豆（针对咳嗽、失眠）。 </w:t>
            </w:r>
          </w:p>
          <w:p w14:paraId="66C22D2C">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 xml:space="preserve">产品： 秋梨膏、百合杏仁露、定制化中药月饼。 </w:t>
            </w:r>
          </w:p>
          <w:p w14:paraId="41BD62E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文化： 杏林音乐会、中药手串DIY。</w:t>
            </w:r>
          </w:p>
        </w:tc>
      </w:tr>
      <w:tr w14:paraId="3A5FB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13" w:type="dxa"/>
          </w:tcPr>
          <w:p w14:paraId="794C83C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冬季</w:t>
            </w:r>
          </w:p>
        </w:tc>
        <w:tc>
          <w:tcPr>
            <w:tcW w:w="1978" w:type="dxa"/>
          </w:tcPr>
          <w:p w14:paraId="53EA34E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冬养肾，宜进补</w:t>
            </w:r>
          </w:p>
        </w:tc>
        <w:tc>
          <w:tcPr>
            <w:tcW w:w="6333" w:type="dxa"/>
          </w:tcPr>
          <w:p w14:paraId="73AB680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 xml:space="preserve">服务：“数字膏方”定制、红外热成像检测、补肾益精类咨询。 </w:t>
            </w:r>
          </w:p>
          <w:p w14:paraId="31B4105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 xml:space="preserve">产品： 即食膏方、养生药酒、药膳火锅料包。 </w:t>
            </w:r>
          </w:p>
          <w:p w14:paraId="3F2C920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文化： 膏方文化展、古法熬膏展示。</w:t>
            </w:r>
          </w:p>
        </w:tc>
      </w:tr>
    </w:tbl>
    <w:p w14:paraId="02D6259A">
      <w:pPr>
        <w:pStyle w:val="13"/>
        <w:widowControl/>
        <w:kinsoku w:val="0"/>
        <w:autoSpaceDE w:val="0"/>
        <w:autoSpaceDN w:val="0"/>
        <w:adjustRightInd w:val="0"/>
        <w:snapToGrid w:val="0"/>
        <w:spacing w:before="65" w:line="240" w:lineRule="auto"/>
        <w:ind w:left="20"/>
        <w:jc w:val="both"/>
        <w:textAlignment w:val="baseline"/>
        <w:outlineLvl w:val="0"/>
        <w:rPr>
          <w:rFonts w:hint="eastAsia" w:ascii="黑体" w:hAnsi="黑体" w:eastAsia="黑体" w:cs="黑体"/>
          <w:snapToGrid w:val="0"/>
          <w:color w:val="auto"/>
          <w:spacing w:val="1"/>
          <w:kern w:val="0"/>
          <w:sz w:val="20"/>
          <w:szCs w:val="20"/>
          <w:lang w:val="en-US" w:eastAsia="zh-CN"/>
        </w:rPr>
      </w:pPr>
      <w:r>
        <w:rPr>
          <w:rFonts w:hint="eastAsia" w:ascii="黑体" w:hAnsi="黑体" w:eastAsia="黑体" w:cs="黑体"/>
          <w:snapToGrid w:val="0"/>
          <w:color w:val="auto"/>
          <w:spacing w:val="1"/>
          <w:kern w:val="0"/>
          <w:sz w:val="20"/>
          <w:szCs w:val="20"/>
          <w:lang w:val="en-US" w:eastAsia="zh-CN"/>
        </w:rPr>
        <w:t>A.2 重点人群养生主题</w:t>
      </w:r>
    </w:p>
    <w:tbl>
      <w:tblPr>
        <w:tblStyle w:val="27"/>
        <w:tblW w:w="94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58"/>
        <w:gridCol w:w="2350"/>
        <w:gridCol w:w="5616"/>
      </w:tblGrid>
      <w:tr w14:paraId="37CFA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tcPr>
          <w:p w14:paraId="4FEF9A4D">
            <w:pPr>
              <w:pStyle w:val="13"/>
              <w:widowControl/>
              <w:kinsoku w:val="0"/>
              <w:autoSpaceDE w:val="0"/>
              <w:autoSpaceDN w:val="0"/>
              <w:adjustRightInd w:val="0"/>
              <w:snapToGrid w:val="0"/>
              <w:spacing w:before="65" w:line="231" w:lineRule="auto"/>
              <w:ind w:left="20"/>
              <w:jc w:val="center"/>
              <w:textAlignment w:val="baseline"/>
              <w:outlineLvl w:val="0"/>
              <w:rPr>
                <w:rFonts w:hint="default" w:ascii="宋体" w:hAnsi="宋体" w:eastAsia="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主题方向</w:t>
            </w:r>
          </w:p>
        </w:tc>
        <w:tc>
          <w:tcPr>
            <w:tcW w:w="2350" w:type="dxa"/>
          </w:tcPr>
          <w:p w14:paraId="3F2F4045">
            <w:pPr>
              <w:pStyle w:val="13"/>
              <w:widowControl/>
              <w:kinsoku w:val="0"/>
              <w:autoSpaceDE w:val="0"/>
              <w:autoSpaceDN w:val="0"/>
              <w:adjustRightInd w:val="0"/>
              <w:snapToGrid w:val="0"/>
              <w:spacing w:before="65" w:line="231" w:lineRule="auto"/>
              <w:ind w:left="2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核心养生原则</w:t>
            </w:r>
          </w:p>
        </w:tc>
        <w:tc>
          <w:tcPr>
            <w:tcW w:w="5616" w:type="dxa"/>
          </w:tcPr>
          <w:p w14:paraId="774154D3">
            <w:pPr>
              <w:pStyle w:val="13"/>
              <w:widowControl/>
              <w:kinsoku w:val="0"/>
              <w:autoSpaceDE w:val="0"/>
              <w:autoSpaceDN w:val="0"/>
              <w:adjustRightInd w:val="0"/>
              <w:snapToGrid w:val="0"/>
              <w:spacing w:before="65" w:line="231" w:lineRule="auto"/>
              <w:ind w:left="2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特色服务与产品示例</w:t>
            </w:r>
          </w:p>
        </w:tc>
      </w:tr>
      <w:tr w14:paraId="39B1F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tcPr>
          <w:p w14:paraId="7E6E7EE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儿童保健</w:t>
            </w:r>
          </w:p>
        </w:tc>
        <w:tc>
          <w:tcPr>
            <w:tcW w:w="2350" w:type="dxa"/>
          </w:tcPr>
          <w:p w14:paraId="6B01B10C">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健脾助长，增强免疫</w:t>
            </w:r>
          </w:p>
        </w:tc>
        <w:tc>
          <w:tcPr>
            <w:tcW w:w="5616" w:type="dxa"/>
          </w:tcPr>
          <w:p w14:paraId="261CEC5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服务</w:t>
            </w:r>
            <w:r>
              <w:rPr>
                <w:rFonts w:hint="default" w:ascii="宋体" w:hAnsi="宋体" w:eastAsia="宋体" w:cs="宋体"/>
                <w:snapToGrid w:val="0"/>
                <w:color w:val="auto"/>
                <w:spacing w:val="8"/>
                <w:kern w:val="0"/>
                <w:sz w:val="20"/>
                <w:szCs w:val="20"/>
                <w:lang w:val="en-US" w:eastAsia="zh-CN" w:bidi="ar-SA"/>
              </w:rPr>
              <w:t>：小儿推拿（厌食、助长）、近视防治、过敏调理、生长发育评估。</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产品：健脾糕点、儿童草本浴包、防感香囊、药食同源零食。</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文化：卡通药材辨识、亲子香囊制作、儿童保健操教学。</w:t>
            </w:r>
          </w:p>
        </w:tc>
      </w:tr>
      <w:tr w14:paraId="13237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vAlign w:val="top"/>
          </w:tcPr>
          <w:p w14:paraId="5B8F30F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default"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女生养护</w:t>
            </w:r>
          </w:p>
        </w:tc>
        <w:tc>
          <w:tcPr>
            <w:tcW w:w="2350" w:type="dxa"/>
            <w:vAlign w:val="top"/>
          </w:tcPr>
          <w:p w14:paraId="1280F61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调理气血，疏肝解郁</w:t>
            </w:r>
          </w:p>
        </w:tc>
        <w:tc>
          <w:tcPr>
            <w:tcW w:w="5616" w:type="dxa"/>
            <w:vAlign w:val="top"/>
          </w:tcPr>
          <w:p w14:paraId="73AB44C3">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服务</w:t>
            </w:r>
            <w:r>
              <w:rPr>
                <w:rFonts w:hint="default" w:ascii="宋体" w:hAnsi="宋体" w:eastAsia="宋体" w:cs="宋体"/>
                <w:snapToGrid w:val="0"/>
                <w:color w:val="auto"/>
                <w:spacing w:val="8"/>
                <w:kern w:val="0"/>
                <w:sz w:val="20"/>
                <w:szCs w:val="20"/>
                <w:lang w:val="en-US" w:eastAsia="zh-CN" w:bidi="ar-SA"/>
              </w:rPr>
              <w:t>：月经调理咨询、更年期保健、产后康复指导、乳腺健康咨询。</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产品：阿胶糕、气血茶饮、草本面膜、玫瑰精油、四物汤包。</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文化：养颜花草茶品鉴、中医美容讲座、舒缓瑜伽教学、手作草本皂。</w:t>
            </w:r>
          </w:p>
        </w:tc>
      </w:tr>
      <w:tr w14:paraId="479F6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vAlign w:val="top"/>
          </w:tcPr>
          <w:p w14:paraId="1FEFBD3E">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default"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老年颐养</w:t>
            </w:r>
          </w:p>
        </w:tc>
        <w:tc>
          <w:tcPr>
            <w:tcW w:w="2350" w:type="dxa"/>
            <w:vAlign w:val="top"/>
          </w:tcPr>
          <w:p w14:paraId="6BD6EDD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延缓衰老，防治慢病</w:t>
            </w:r>
          </w:p>
        </w:tc>
        <w:tc>
          <w:tcPr>
            <w:tcW w:w="5616" w:type="dxa"/>
            <w:vAlign w:val="top"/>
          </w:tcPr>
          <w:p w14:paraId="3CAF19FD">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服务</w:t>
            </w:r>
            <w:r>
              <w:rPr>
                <w:rFonts w:hint="default" w:ascii="宋体" w:hAnsi="宋体" w:eastAsia="宋体" w:cs="宋体"/>
                <w:snapToGrid w:val="0"/>
                <w:color w:val="auto"/>
                <w:spacing w:val="8"/>
                <w:kern w:val="0"/>
                <w:sz w:val="20"/>
                <w:szCs w:val="20"/>
                <w:lang w:val="en-US" w:eastAsia="zh-CN" w:bidi="ar-SA"/>
              </w:rPr>
              <w:t>：慢病管理咨询、关节养护指导、认知功能评估、老年跌倒预防指导。</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产品：参茶、药膳汤料包、足浴盆、艾草贴、降压养生茶。</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文化：八段锦教学、太极拳展演、老年养生讲座、重阳登高文化分享。</w:t>
            </w:r>
          </w:p>
        </w:tc>
      </w:tr>
      <w:tr w14:paraId="34F8D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vAlign w:val="top"/>
          </w:tcPr>
          <w:p w14:paraId="0E3FB413">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default"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职场亚健康</w:t>
            </w:r>
          </w:p>
        </w:tc>
        <w:tc>
          <w:tcPr>
            <w:tcW w:w="2350" w:type="dxa"/>
            <w:vAlign w:val="top"/>
          </w:tcPr>
          <w:p w14:paraId="7EB242A7">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center"/>
              <w:textAlignment w:val="baseline"/>
              <w:outlineLvl w:val="0"/>
              <w:rPr>
                <w:rFonts w:hint="eastAsia" w:ascii="宋体" w:hAnsi="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缓解疲劳，改善睡眠</w:t>
            </w:r>
          </w:p>
        </w:tc>
        <w:tc>
          <w:tcPr>
            <w:tcW w:w="5616" w:type="dxa"/>
            <w:vAlign w:val="top"/>
          </w:tcPr>
          <w:p w14:paraId="1E3DF950">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服务</w:t>
            </w:r>
            <w:r>
              <w:rPr>
                <w:rFonts w:hint="default" w:ascii="宋体" w:hAnsi="宋体" w:eastAsia="宋体" w:cs="宋体"/>
                <w:snapToGrid w:val="0"/>
                <w:color w:val="auto"/>
                <w:spacing w:val="8"/>
                <w:kern w:val="0"/>
                <w:sz w:val="20"/>
                <w:szCs w:val="20"/>
                <w:lang w:val="en-US" w:eastAsia="zh-CN" w:bidi="ar-SA"/>
              </w:rPr>
              <w:t>：睡眠调理咨询、颈肩推拿、压力管理指导、用眼保健咨询。</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产品：助眠茶饮、草本眼罩、安神喷雾、护颈枕、提神香囊。</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文化：办公室养生操教学、冥想放松体验、午休养生讲座、职场压力管理分享。</w:t>
            </w:r>
          </w:p>
        </w:tc>
      </w:tr>
    </w:tbl>
    <w:p w14:paraId="415F4ED9">
      <w:pPr>
        <w:pStyle w:val="13"/>
        <w:widowControl/>
        <w:kinsoku w:val="0"/>
        <w:autoSpaceDE w:val="0"/>
        <w:autoSpaceDN w:val="0"/>
        <w:adjustRightInd w:val="0"/>
        <w:snapToGrid w:val="0"/>
        <w:spacing w:before="65" w:line="240" w:lineRule="auto"/>
        <w:ind w:left="20"/>
        <w:jc w:val="both"/>
        <w:textAlignment w:val="baseline"/>
        <w:outlineLvl w:val="0"/>
        <w:rPr>
          <w:rFonts w:hint="eastAsia" w:ascii="黑体" w:hAnsi="黑体" w:eastAsia="黑体" w:cs="黑体"/>
          <w:snapToGrid w:val="0"/>
          <w:color w:val="auto"/>
          <w:spacing w:val="1"/>
          <w:kern w:val="0"/>
          <w:sz w:val="20"/>
          <w:szCs w:val="20"/>
          <w:lang w:val="en-US" w:eastAsia="zh-CN"/>
        </w:rPr>
      </w:pPr>
      <w:r>
        <w:rPr>
          <w:rFonts w:hint="eastAsia" w:ascii="黑体" w:hAnsi="黑体" w:eastAsia="黑体" w:cs="黑体"/>
          <w:snapToGrid w:val="0"/>
          <w:color w:val="auto"/>
          <w:spacing w:val="1"/>
          <w:kern w:val="0"/>
          <w:sz w:val="20"/>
          <w:szCs w:val="20"/>
          <w:lang w:val="en-US" w:eastAsia="zh-CN"/>
        </w:rPr>
        <w:t>A.3 常见健康问题调理主题</w:t>
      </w:r>
    </w:p>
    <w:tbl>
      <w:tblPr>
        <w:tblStyle w:val="27"/>
        <w:tblW w:w="94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58"/>
        <w:gridCol w:w="2350"/>
        <w:gridCol w:w="5616"/>
      </w:tblGrid>
      <w:tr w14:paraId="41466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tcPr>
          <w:p w14:paraId="5895CC9E">
            <w:pPr>
              <w:pStyle w:val="13"/>
              <w:widowControl/>
              <w:kinsoku w:val="0"/>
              <w:autoSpaceDE w:val="0"/>
              <w:autoSpaceDN w:val="0"/>
              <w:adjustRightInd w:val="0"/>
              <w:snapToGrid w:val="0"/>
              <w:spacing w:before="65" w:line="231" w:lineRule="auto"/>
              <w:ind w:left="20"/>
              <w:jc w:val="center"/>
              <w:textAlignment w:val="baseline"/>
              <w:outlineLvl w:val="0"/>
              <w:rPr>
                <w:rFonts w:hint="default" w:ascii="宋体" w:hAnsi="宋体" w:eastAsia="宋体" w:cs="宋体"/>
                <w:snapToGrid w:val="0"/>
                <w:color w:val="auto"/>
                <w:spacing w:val="8"/>
                <w:kern w:val="0"/>
                <w:sz w:val="20"/>
                <w:szCs w:val="20"/>
                <w:lang w:val="en-US" w:eastAsia="zh-CN" w:bidi="ar-SA"/>
              </w:rPr>
            </w:pPr>
            <w:r>
              <w:rPr>
                <w:rFonts w:hint="eastAsia" w:ascii="宋体" w:hAnsi="宋体" w:cs="宋体"/>
                <w:snapToGrid w:val="0"/>
                <w:color w:val="auto"/>
                <w:spacing w:val="8"/>
                <w:kern w:val="0"/>
                <w:sz w:val="20"/>
                <w:szCs w:val="20"/>
                <w:lang w:val="en-US" w:eastAsia="zh-CN" w:bidi="ar-SA"/>
              </w:rPr>
              <w:t>主题方向</w:t>
            </w:r>
          </w:p>
        </w:tc>
        <w:tc>
          <w:tcPr>
            <w:tcW w:w="2350" w:type="dxa"/>
          </w:tcPr>
          <w:p w14:paraId="51D70266">
            <w:pPr>
              <w:pStyle w:val="13"/>
              <w:widowControl/>
              <w:kinsoku w:val="0"/>
              <w:autoSpaceDE w:val="0"/>
              <w:autoSpaceDN w:val="0"/>
              <w:adjustRightInd w:val="0"/>
              <w:snapToGrid w:val="0"/>
              <w:spacing w:before="65" w:line="231" w:lineRule="auto"/>
              <w:ind w:left="2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核心养生原则</w:t>
            </w:r>
          </w:p>
        </w:tc>
        <w:tc>
          <w:tcPr>
            <w:tcW w:w="5616" w:type="dxa"/>
          </w:tcPr>
          <w:p w14:paraId="48210CD6">
            <w:pPr>
              <w:pStyle w:val="13"/>
              <w:widowControl/>
              <w:kinsoku w:val="0"/>
              <w:autoSpaceDE w:val="0"/>
              <w:autoSpaceDN w:val="0"/>
              <w:adjustRightInd w:val="0"/>
              <w:snapToGrid w:val="0"/>
              <w:spacing w:before="65" w:line="231" w:lineRule="auto"/>
              <w:ind w:left="20"/>
              <w:jc w:val="center"/>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eastAsia" w:ascii="宋体" w:hAnsi="宋体" w:eastAsia="宋体" w:cs="宋体"/>
                <w:snapToGrid w:val="0"/>
                <w:color w:val="auto"/>
                <w:spacing w:val="8"/>
                <w:kern w:val="0"/>
                <w:sz w:val="20"/>
                <w:szCs w:val="20"/>
                <w:lang w:val="en-US" w:eastAsia="zh-CN" w:bidi="ar-SA"/>
              </w:rPr>
              <w:t>特色服务与产品示例</w:t>
            </w:r>
          </w:p>
        </w:tc>
      </w:tr>
      <w:tr w14:paraId="7D619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tcPr>
          <w:p w14:paraId="39AF59BB">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健脾和胃</w:t>
            </w:r>
          </w:p>
        </w:tc>
        <w:tc>
          <w:tcPr>
            <w:tcW w:w="2350" w:type="dxa"/>
          </w:tcPr>
          <w:p w14:paraId="4816098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调养脾胃，促进运化</w:t>
            </w:r>
          </w:p>
        </w:tc>
        <w:tc>
          <w:tcPr>
            <w:tcW w:w="5616" w:type="dxa"/>
          </w:tcPr>
          <w:p w14:paraId="1E737FCE">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服务：脾胃功能咨询、小儿推拿（厌食、积食）、成人消化不良调理、穴位贴敷（足三里）。</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产品：健脾茶饮、八珍糕、山药饼、益生元饮品、茯苓糕。</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文化：健脾药材辨识（茯苓、山药、白术）、摩腹手法教学、脾胃养生讲座。</w:t>
            </w:r>
          </w:p>
        </w:tc>
      </w:tr>
      <w:tr w14:paraId="2F53D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tcPr>
          <w:p w14:paraId="19BFB184">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清热祛湿</w:t>
            </w:r>
          </w:p>
        </w:tc>
        <w:tc>
          <w:tcPr>
            <w:tcW w:w="2350" w:type="dxa"/>
          </w:tcPr>
          <w:p w14:paraId="66BF4F8F">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清解热邪，利水渗湿</w:t>
            </w:r>
          </w:p>
        </w:tc>
        <w:tc>
          <w:tcPr>
            <w:tcW w:w="5616" w:type="dxa"/>
          </w:tcPr>
          <w:p w14:paraId="4331C06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服务：湿热体质辨识、祛湿咨询、刮痧体验、拔罐体验、祛湿穴位指导。</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产品：祛湿茶饮（薏米赤小豆）、薏米糕、草本足浴包、艾草贴。</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文化：祛湿药材辨识（薏苡仁、赤小豆、荷叶）、祛湿养生操教学、夏季防暑祛湿讲座</w:t>
            </w:r>
          </w:p>
        </w:tc>
      </w:tr>
      <w:tr w14:paraId="7E208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tcPr>
          <w:p w14:paraId="436F8369">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益气养血</w:t>
            </w:r>
          </w:p>
        </w:tc>
        <w:tc>
          <w:tcPr>
            <w:tcW w:w="2350" w:type="dxa"/>
          </w:tcPr>
          <w:p w14:paraId="3CCF34E5">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补益气血，改善虚弱</w:t>
            </w:r>
          </w:p>
        </w:tc>
        <w:tc>
          <w:tcPr>
            <w:tcW w:w="5616" w:type="dxa"/>
          </w:tcPr>
          <w:p w14:paraId="7640D0EA">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服务：气血状态评估、贫血防治指导、艾灸体验（气海、血海）、产后气血调理咨询。</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产品：阿胶糕、气血茶饮（红枣桂圆）、当归红枣糕、黄芪精、四物汤包。</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文化：补益药材辨识（当归、黄芪、红枣）、阿胶糕制作演示、气血养生讲座</w:t>
            </w:r>
          </w:p>
        </w:tc>
      </w:tr>
      <w:tr w14:paraId="40773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58" w:type="dxa"/>
          </w:tcPr>
          <w:p w14:paraId="062963B2">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安神助眠</w:t>
            </w:r>
          </w:p>
        </w:tc>
        <w:tc>
          <w:tcPr>
            <w:tcW w:w="2350" w:type="dxa"/>
          </w:tcPr>
          <w:p w14:paraId="034AF855">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宁心安神，改善睡眠</w:t>
            </w:r>
          </w:p>
        </w:tc>
        <w:tc>
          <w:tcPr>
            <w:tcW w:w="5616" w:type="dxa"/>
          </w:tcPr>
          <w:p w14:paraId="1192BBE8">
            <w:pPr>
              <w:pStyle w:val="13"/>
              <w:keepNext w:val="0"/>
              <w:keepLines w:val="0"/>
              <w:pageBreakBefore w:val="0"/>
              <w:widowControl/>
              <w:kinsoku w:val="0"/>
              <w:wordWrap/>
              <w:overflowPunct/>
              <w:topLinePunct w:val="0"/>
              <w:autoSpaceDE w:val="0"/>
              <w:autoSpaceDN w:val="0"/>
              <w:bidi w:val="0"/>
              <w:adjustRightInd w:val="0"/>
              <w:snapToGrid w:val="0"/>
              <w:spacing w:after="0" w:line="240" w:lineRule="auto"/>
              <w:ind w:left="0"/>
              <w:jc w:val="left"/>
              <w:textAlignment w:val="baseline"/>
              <w:outlineLvl w:val="0"/>
              <w:rPr>
                <w:rFonts w:hint="eastAsia" w:ascii="宋体" w:hAnsi="宋体" w:eastAsia="宋体" w:cs="宋体"/>
                <w:snapToGrid w:val="0"/>
                <w:color w:val="auto"/>
                <w:spacing w:val="8"/>
                <w:kern w:val="0"/>
                <w:sz w:val="20"/>
                <w:szCs w:val="20"/>
                <w:lang w:val="en-US" w:eastAsia="zh-CN" w:bidi="ar-SA"/>
              </w:rPr>
            </w:pPr>
            <w:r>
              <w:rPr>
                <w:rFonts w:hint="default" w:ascii="宋体" w:hAnsi="宋体" w:eastAsia="宋体" w:cs="宋体"/>
                <w:snapToGrid w:val="0"/>
                <w:color w:val="auto"/>
                <w:spacing w:val="8"/>
                <w:kern w:val="0"/>
                <w:sz w:val="20"/>
                <w:szCs w:val="20"/>
                <w:lang w:val="en-US" w:eastAsia="zh-CN" w:bidi="ar-SA"/>
              </w:rPr>
              <w:t>服务：睡眠质量评估、失眠咨询、耳穴压豆（神门、心）、头部推拿体验、芳香疗法体验。</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产品：助眠茶饮（酸枣仁）、安神枕、草本喷雾、助眠香囊、薰衣草精油。</w:t>
            </w:r>
            <w:r>
              <w:rPr>
                <w:rFonts w:hint="default" w:ascii="宋体" w:hAnsi="宋体" w:eastAsia="宋体" w:cs="宋体"/>
                <w:snapToGrid w:val="0"/>
                <w:color w:val="auto"/>
                <w:spacing w:val="8"/>
                <w:kern w:val="0"/>
                <w:sz w:val="20"/>
                <w:szCs w:val="20"/>
                <w:lang w:val="en-US" w:eastAsia="zh-CN" w:bidi="ar-SA"/>
              </w:rPr>
              <w:br w:type="textWrapping"/>
            </w:r>
            <w:r>
              <w:rPr>
                <w:rFonts w:hint="default" w:ascii="宋体" w:hAnsi="宋体" w:eastAsia="宋体" w:cs="宋体"/>
                <w:snapToGrid w:val="0"/>
                <w:color w:val="auto"/>
                <w:spacing w:val="8"/>
                <w:kern w:val="0"/>
                <w:sz w:val="20"/>
                <w:szCs w:val="20"/>
                <w:lang w:val="en-US" w:eastAsia="zh-CN" w:bidi="ar-SA"/>
              </w:rPr>
              <w:t>文化：安神药材辨识（酸枣仁、合欢皮、远志）、放松冥想体验、睡眠卫生讲座。</w:t>
            </w:r>
          </w:p>
        </w:tc>
      </w:tr>
    </w:tbl>
    <w:p w14:paraId="5D260757">
      <w:pPr>
        <w:pStyle w:val="63"/>
        <w:spacing w:before="96" w:after="120"/>
        <w:rPr>
          <w:color w:val="auto"/>
          <w:spacing w:val="105"/>
        </w:rPr>
      </w:pPr>
    </w:p>
    <w:p w14:paraId="780EC37D">
      <w:pPr>
        <w:pStyle w:val="56"/>
        <w:spacing w:line="360" w:lineRule="auto"/>
        <w:ind w:firstLine="0" w:firstLineChars="0"/>
        <w:rPr>
          <w:color w:val="auto"/>
        </w:rPr>
      </w:pPr>
    </w:p>
    <w:p w14:paraId="00D4F86A">
      <w:pPr>
        <w:pStyle w:val="63"/>
        <w:spacing w:before="96" w:after="120"/>
        <w:rPr>
          <w:color w:val="auto"/>
          <w:spacing w:val="105"/>
        </w:rPr>
      </w:pPr>
    </w:p>
    <w:p w14:paraId="6F4E9D89">
      <w:pPr>
        <w:pStyle w:val="63"/>
        <w:spacing w:before="96" w:after="120"/>
        <w:rPr>
          <w:color w:val="auto"/>
          <w:spacing w:val="105"/>
        </w:rPr>
      </w:pPr>
    </w:p>
    <w:p w14:paraId="21843941">
      <w:pPr>
        <w:pStyle w:val="63"/>
        <w:spacing w:before="96" w:after="120"/>
        <w:rPr>
          <w:color w:val="auto"/>
          <w:spacing w:val="105"/>
        </w:rPr>
      </w:pPr>
    </w:p>
    <w:p w14:paraId="4F3AE780">
      <w:pPr>
        <w:pStyle w:val="63"/>
        <w:spacing w:before="96" w:after="120"/>
        <w:jc w:val="both"/>
        <w:rPr>
          <w:color w:val="auto"/>
          <w:spacing w:val="105"/>
        </w:rPr>
      </w:pPr>
    </w:p>
    <w:p w14:paraId="74F8BB8F">
      <w:pPr>
        <w:pStyle w:val="63"/>
        <w:spacing w:before="96" w:after="120"/>
        <w:rPr>
          <w:color w:val="auto"/>
          <w:spacing w:val="105"/>
        </w:rPr>
      </w:pPr>
    </w:p>
    <w:p w14:paraId="2F038DC3">
      <w:pPr>
        <w:pStyle w:val="63"/>
        <w:spacing w:before="96" w:after="120"/>
        <w:rPr>
          <w:color w:val="auto"/>
          <w:spacing w:val="105"/>
        </w:rPr>
      </w:pPr>
    </w:p>
    <w:p w14:paraId="63FBEC2F">
      <w:pPr>
        <w:pStyle w:val="63"/>
        <w:spacing w:before="96" w:after="120"/>
        <w:rPr>
          <w:color w:val="auto"/>
          <w:spacing w:val="105"/>
        </w:rPr>
      </w:pPr>
    </w:p>
    <w:p w14:paraId="575E55A6">
      <w:pPr>
        <w:pStyle w:val="63"/>
        <w:spacing w:before="96" w:after="120"/>
        <w:rPr>
          <w:color w:val="auto"/>
          <w:spacing w:val="105"/>
        </w:rPr>
      </w:pPr>
    </w:p>
    <w:p w14:paraId="3044581A">
      <w:pPr>
        <w:pStyle w:val="63"/>
        <w:spacing w:before="96" w:after="120"/>
        <w:rPr>
          <w:color w:val="auto"/>
          <w:spacing w:val="105"/>
        </w:rPr>
      </w:pPr>
    </w:p>
    <w:p w14:paraId="482184D1">
      <w:pPr>
        <w:pStyle w:val="63"/>
        <w:spacing w:before="96" w:after="120"/>
        <w:rPr>
          <w:color w:val="auto"/>
          <w:spacing w:val="105"/>
        </w:rPr>
      </w:pPr>
    </w:p>
    <w:p w14:paraId="276A145F">
      <w:pPr>
        <w:pStyle w:val="63"/>
        <w:spacing w:before="96" w:after="120"/>
        <w:rPr>
          <w:color w:val="auto"/>
          <w:spacing w:val="105"/>
        </w:rPr>
      </w:pPr>
    </w:p>
    <w:p w14:paraId="68A36A52">
      <w:pPr>
        <w:pStyle w:val="56"/>
        <w:ind w:firstLine="0" w:firstLineChars="0"/>
        <w:jc w:val="center"/>
        <w:rPr>
          <w:rFonts w:ascii="黑体" w:hAnsi="黑体" w:eastAsia="黑体"/>
          <w:color w:val="auto"/>
        </w:rPr>
      </w:pPr>
      <w:r>
        <w:rPr>
          <w:rFonts w:hint="eastAsia"/>
          <w:color w:val="auto"/>
        </w:rPr>
        <w:br w:type="page"/>
      </w:r>
      <w:bookmarkEnd w:id="81"/>
      <w:r>
        <w:rPr>
          <w:rFonts w:hint="eastAsia" w:ascii="黑体" w:hAnsi="黑体" w:eastAsia="黑体"/>
          <w:color w:val="auto"/>
        </w:rPr>
        <w:t>参考文献</w:t>
      </w:r>
    </w:p>
    <w:p w14:paraId="754B805A">
      <w:pPr>
        <w:pStyle w:val="56"/>
        <w:ind w:firstLine="0" w:firstLineChars="0"/>
        <w:jc w:val="center"/>
        <w:rPr>
          <w:rFonts w:ascii="黑体" w:hAnsi="黑体" w:eastAsia="黑体"/>
          <w:color w:val="auto"/>
        </w:rPr>
      </w:pPr>
    </w:p>
    <w:p w14:paraId="25520903">
      <w:pPr>
        <w:pStyle w:val="56"/>
        <w:spacing w:line="300" w:lineRule="auto"/>
        <w:ind w:firstLine="420"/>
        <w:jc w:val="left"/>
        <w:rPr>
          <w:rFonts w:hint="eastAsia" w:hAnsi="宋体"/>
          <w:color w:val="auto"/>
          <w:lang w:eastAsia="en-US"/>
        </w:rPr>
      </w:pPr>
      <w:r>
        <w:rPr>
          <w:rFonts w:hint="eastAsia" w:hAnsi="宋体"/>
          <w:color w:val="auto"/>
          <w:lang w:eastAsia="en-US"/>
        </w:rPr>
        <w:t>[1] 《中华人民共和国中医药法》</w:t>
      </w:r>
    </w:p>
    <w:p w14:paraId="0A6965DD">
      <w:pPr>
        <w:pStyle w:val="56"/>
        <w:spacing w:line="300" w:lineRule="auto"/>
        <w:ind w:firstLine="420"/>
        <w:jc w:val="left"/>
        <w:rPr>
          <w:rFonts w:hint="eastAsia" w:hAnsi="宋体"/>
          <w:color w:val="auto"/>
          <w:lang w:eastAsia="en-US"/>
        </w:rPr>
      </w:pPr>
      <w:r>
        <w:rPr>
          <w:rFonts w:hint="eastAsia" w:hAnsi="宋体"/>
          <w:color w:val="auto"/>
          <w:lang w:eastAsia="en-US"/>
        </w:rPr>
        <w:t>[2]《中共中央 国务院关于促进中医药传承创新发展的意见》</w:t>
      </w:r>
    </w:p>
    <w:p w14:paraId="44D4BC40">
      <w:pPr>
        <w:pStyle w:val="56"/>
        <w:spacing w:line="300" w:lineRule="auto"/>
        <w:ind w:firstLine="420"/>
        <w:jc w:val="left"/>
        <w:rPr>
          <w:rFonts w:hint="eastAsia" w:hAnsi="宋体"/>
          <w:color w:val="auto"/>
          <w:lang w:val="en-US" w:eastAsia="zh-CN"/>
        </w:rPr>
      </w:pPr>
      <w:r>
        <w:rPr>
          <w:rFonts w:hint="eastAsia" w:hAnsi="宋体"/>
          <w:color w:val="auto"/>
          <w:lang w:val="en-US" w:eastAsia="zh-CN"/>
        </w:rPr>
        <w:t>[3]《国家中医药管理局关于印发中医养生保健服务规范（试行）的通知》</w:t>
      </w:r>
    </w:p>
    <w:p w14:paraId="6964D434">
      <w:pPr>
        <w:pStyle w:val="56"/>
        <w:spacing w:line="300" w:lineRule="auto"/>
        <w:ind w:firstLine="420"/>
        <w:jc w:val="left"/>
        <w:rPr>
          <w:rFonts w:hint="default" w:hAnsi="宋体"/>
          <w:color w:val="auto"/>
          <w:lang w:val="en-US" w:eastAsia="zh-CN"/>
        </w:rPr>
      </w:pPr>
      <w:r>
        <w:rPr>
          <w:rFonts w:hint="eastAsia" w:hAnsi="宋体"/>
          <w:color w:val="auto"/>
          <w:lang w:val="en-US" w:eastAsia="zh-CN"/>
        </w:rPr>
        <w:t>[4] 《中医医院治未病科建设与管理指南（2025年修订版）》</w:t>
      </w:r>
    </w:p>
    <w:p w14:paraId="7FABF9C0">
      <w:pPr>
        <w:pStyle w:val="56"/>
        <w:spacing w:line="300" w:lineRule="auto"/>
        <w:ind w:firstLine="420"/>
        <w:jc w:val="left"/>
        <w:rPr>
          <w:rFonts w:hint="eastAsia" w:hAnsi="宋体"/>
          <w:color w:val="auto"/>
          <w:lang w:eastAsia="en-US"/>
        </w:rPr>
      </w:pPr>
      <w:r>
        <w:rPr>
          <w:rFonts w:hint="eastAsia" w:hAnsi="宋体"/>
          <w:color w:val="auto"/>
          <w:lang w:eastAsia="en-US"/>
        </w:rPr>
        <w:t>[</w:t>
      </w:r>
      <w:r>
        <w:rPr>
          <w:rFonts w:hint="eastAsia" w:hAnsi="宋体"/>
          <w:color w:val="auto"/>
          <w:lang w:val="en-US" w:eastAsia="zh-CN"/>
        </w:rPr>
        <w:t>5</w:t>
      </w:r>
      <w:r>
        <w:rPr>
          <w:rFonts w:hint="eastAsia" w:hAnsi="宋体"/>
          <w:color w:val="auto"/>
          <w:lang w:eastAsia="en-US"/>
        </w:rPr>
        <w:t>]“杏林联盟·夜市惠民”——台州市中医专科联盟服务模式创新与推广项目活动总结</w:t>
      </w:r>
    </w:p>
    <w:p w14:paraId="413EE356">
      <w:pPr>
        <w:pStyle w:val="56"/>
        <w:spacing w:line="300" w:lineRule="auto"/>
        <w:ind w:firstLine="420"/>
        <w:jc w:val="left"/>
        <w:rPr>
          <w:rFonts w:hint="eastAsia" w:hAnsi="宋体"/>
          <w:color w:val="auto"/>
          <w:lang w:eastAsia="en-US"/>
        </w:rPr>
      </w:pPr>
      <w:r>
        <w:rPr>
          <w:rFonts w:hint="eastAsia" w:hAnsi="宋体"/>
          <w:color w:val="auto"/>
          <w:lang w:eastAsia="en-US"/>
        </w:rPr>
        <w:t>[</w:t>
      </w:r>
      <w:r>
        <w:rPr>
          <w:rFonts w:hint="eastAsia" w:hAnsi="宋体"/>
          <w:color w:val="auto"/>
          <w:lang w:val="en-US" w:eastAsia="zh-CN"/>
        </w:rPr>
        <w:t>6</w:t>
      </w:r>
      <w:r>
        <w:rPr>
          <w:rFonts w:hint="eastAsia" w:hAnsi="宋体"/>
          <w:color w:val="auto"/>
          <w:lang w:eastAsia="en-US"/>
        </w:rPr>
        <w:t>]GB/T 13016 标准体系表编制原则和要求</w:t>
      </w:r>
    </w:p>
    <w:p w14:paraId="0155739E">
      <w:pPr>
        <w:pStyle w:val="56"/>
        <w:spacing w:line="300" w:lineRule="auto"/>
        <w:ind w:firstLine="420"/>
        <w:jc w:val="left"/>
        <w:rPr>
          <w:rFonts w:hint="eastAsia" w:hAnsi="宋体"/>
          <w:color w:val="auto"/>
        </w:rPr>
      </w:pPr>
    </w:p>
    <w:sectPr>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FT Thymes"/>
    <w:panose1 w:val="02020603050405020304"/>
    <w:charset w:val="01"/>
    <w:family w:val="auto"/>
    <w:pitch w:val="default"/>
    <w:sig w:usb0="00000000" w:usb1="00000000" w:usb2="00000009" w:usb3="00000000" w:csb0="400001FF" w:csb1="FFFF0000"/>
  </w:font>
  <w:font w:name="宋体">
    <w:altName w:val="书宋-简"/>
    <w:panose1 w:val="00000000000000000000"/>
    <w:charset w:val="86"/>
    <w:family w:val="auto"/>
    <w:pitch w:val="default"/>
    <w:sig w:usb0="00000000" w:usb1="00000000" w:usb2="00000000" w:usb3="00000000" w:csb0="00000000" w:csb1="00000000"/>
  </w:font>
  <w:font w:name="Wingdings">
    <w:altName w:val="FTToken"/>
    <w:panose1 w:val="05000000000000000000"/>
    <w:charset w:val="02"/>
    <w:family w:val="auto"/>
    <w:pitch w:val="default"/>
    <w:sig w:usb0="00000000" w:usb1="00000000" w:usb2="00000000" w:usb3="00000000" w:csb0="80000000" w:csb1="00000000"/>
  </w:font>
  <w:font w:name="Arial">
    <w:altName w:val="FT Thymes"/>
    <w:panose1 w:val="020B0604020202020204"/>
    <w:charset w:val="01"/>
    <w:family w:val="swiss"/>
    <w:pitch w:val="default"/>
    <w:sig w:usb0="E0002AFF" w:usb1="C0007843" w:usb2="00000009" w:usb3="00000000" w:csb0="400001FF" w:csb1="FFFF0000"/>
  </w:font>
  <w:font w:name="黑体">
    <w:altName w:val="黑体-简"/>
    <w:panose1 w:val="02010609060101010101"/>
    <w:charset w:val="86"/>
    <w:family w:val="auto"/>
    <w:pitch w:val="default"/>
    <w:sig w:usb0="800002BF" w:usb1="38CF7CFA" w:usb2="00000016" w:usb3="00000000" w:csb0="00040001" w:csb1="00000000"/>
  </w:font>
  <w:font w:name="Courier New">
    <w:altName w:val="HarmonyOS Sans"/>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FT Thymes">
    <w:panose1 w:val="02020603050405020304"/>
    <w:charset w:val="00"/>
    <w:family w:val="auto"/>
    <w:pitch w:val="default"/>
    <w:sig w:usb0="E0002EFF" w:usb1="C000785B" w:usb2="00000009" w:usb3="00000000" w:csb0="00000001" w:csb1="00000000"/>
  </w:font>
  <w:font w:name="Calibri">
    <w:altName w:val="FT Thymes"/>
    <w:panose1 w:val="020F0502020204030204"/>
    <w:charset w:val="00"/>
    <w:family w:val="swiss"/>
    <w:pitch w:val="default"/>
    <w:sig w:usb0="00000000" w:usb1="00000000" w:usb2="00000001" w:usb3="00000000" w:csb0="0000019F" w:csb1="00000000"/>
  </w:font>
  <w:font w:name="书宋-简">
    <w:panose1 w:val="02010600030101010101"/>
    <w:charset w:val="86"/>
    <w:family w:val="auto"/>
    <w:pitch w:val="default"/>
    <w:sig w:usb0="A00002BF" w:usb1="3ACF7CFA" w:usb2="00000016" w:usb3="00000000" w:csb0="00040001" w:csb1="00000000"/>
  </w:font>
  <w:font w:name="SimSun">
    <w:altName w:val="书宋-简"/>
    <w:panose1 w:val="00000000000000000000"/>
    <w:charset w:val="00"/>
    <w:family w:val="auto"/>
    <w:pitch w:val="default"/>
    <w:sig w:usb0="00000000" w:usb1="00000000" w:usb2="00000000" w:usb3="00000000" w:csb0="00000000" w:csb1="00000000"/>
  </w:font>
  <w:font w:name="黑体-简">
    <w:panose1 w:val="02010609060101010101"/>
    <w:charset w:val="86"/>
    <w:family w:val="auto"/>
    <w:pitch w:val="default"/>
    <w:sig w:usb0="A00002BF" w:usb1="3ACF7CFA" w:usb2="00000016" w:usb3="00000000" w:csb0="00040001" w:csb1="00000000"/>
  </w:font>
  <w:font w:name="等线">
    <w:altName w:val="方正等线-简"/>
    <w:panose1 w:val="02010600030101010101"/>
    <w:charset w:val="86"/>
    <w:family w:val="auto"/>
    <w:pitch w:val="default"/>
    <w:sig w:usb0="00000000" w:usb1="00000000" w:usb2="00000016" w:usb3="00000000" w:csb0="0004000F" w:csb1="00000000"/>
  </w:font>
  <w:font w:name="方正等线-简">
    <w:panose1 w:val="02000500000000000000"/>
    <w:charset w:val="86"/>
    <w:family w:val="auto"/>
    <w:pitch w:val="default"/>
    <w:sig w:usb0="A10102FF" w:usb1="38CF7CFB" w:usb2="00010016" w:usb3="00000000" w:csb0="00040001" w:csb1="00000000"/>
  </w:font>
  <w:font w:name="Kingsoft Sign">
    <w:panose1 w:val="05050102010706020507"/>
    <w:charset w:val="00"/>
    <w:family w:val="auto"/>
    <w:pitch w:val="default"/>
    <w:sig w:usb0="00000000" w:usb1="10000000" w:usb2="00000000" w:usb3="00000000" w:csb0="00000001" w:csb1="00000000"/>
  </w:font>
  <w:font w:name="FTToken">
    <w:panose1 w:val="05000000000000000000"/>
    <w:charset w:val="00"/>
    <w:family w:val="auto"/>
    <w:pitch w:val="default"/>
    <w:sig w:usb0="00000000" w:usb1="10000000" w:usb2="00000000" w:usb3="00000000" w:csb0="80000000" w:csb1="00000000"/>
  </w:font>
  <w:font w:name="等线 Light">
    <w:altName w:val="书宋-简"/>
    <w:panose1 w:val="02010600030101010101"/>
    <w:charset w:val="86"/>
    <w:family w:val="auto"/>
    <w:pitch w:val="default"/>
    <w:sig w:usb0="00000000" w:usb1="00000000" w:usb2="00000016" w:usb3="00000000" w:csb0="0004000F" w:csb1="00000000"/>
  </w:font>
  <w:font w:name="方正雅意黑 GB18030L2 R">
    <w:panose1 w:val="02000500000000000000"/>
    <w:charset w:val="86"/>
    <w:family w:val="auto"/>
    <w:pitch w:val="default"/>
    <w:sig w:usb0="E00002FF" w:usb1="38CFFCFB" w:usb2="00000016" w:usb3="00000000" w:csb0="6004019F" w:csb1="DFD70000"/>
  </w:font>
  <w:font w:name="方正仿宋_GBK">
    <w:panose1 w:val="02000000000000000000"/>
    <w:charset w:val="86"/>
    <w:family w:val="auto"/>
    <w:pitch w:val="default"/>
    <w:sig w:usb0="A00002BF" w:usb1="38CF7CFA" w:usb2="00082016" w:usb3="00000000" w:csb0="00040001" w:csb1="00000000"/>
  </w:font>
  <w:font w:name="HarmonyOS Sans">
    <w:panose1 w:val="00000500000000000000"/>
    <w:charset w:val="00"/>
    <w:family w:val="auto"/>
    <w:pitch w:val="default"/>
    <w:sig w:usb0="A0000287" w:usb1="00000011"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2"/>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1"/>
    </w:pPr>
    <w:r>
      <w:fldChar w:fldCharType="begin"/>
    </w:r>
    <w:r>
      <w:instrText xml:space="preserve"> STYLEREF  标准文件_文件编号  \* MERGEFORMAT </w:instrText>
    </w:r>
    <w:r>
      <w:fldChar w:fldCharType="separate"/>
    </w:r>
    <w:r>
      <w:t>T/CRACM ****—****</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09015">
    <w:pPr>
      <w:pStyle w:val="18"/>
      <w:jc w:val="right"/>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8210766"/>
    <w:rsid w:val="090B72F2"/>
    <w:rsid w:val="10063813"/>
    <w:rsid w:val="10B93AD7"/>
    <w:rsid w:val="12411FD6"/>
    <w:rsid w:val="13644ECD"/>
    <w:rsid w:val="150211C4"/>
    <w:rsid w:val="16F77107"/>
    <w:rsid w:val="17716E08"/>
    <w:rsid w:val="18B76B4E"/>
    <w:rsid w:val="1AAB6751"/>
    <w:rsid w:val="1F49071C"/>
    <w:rsid w:val="242E0F1E"/>
    <w:rsid w:val="261A7284"/>
    <w:rsid w:val="265E2CFF"/>
    <w:rsid w:val="269B7732"/>
    <w:rsid w:val="2960467D"/>
    <w:rsid w:val="2EC1207D"/>
    <w:rsid w:val="2F61560E"/>
    <w:rsid w:val="2FFE33BB"/>
    <w:rsid w:val="31187057"/>
    <w:rsid w:val="33BE302F"/>
    <w:rsid w:val="3D670613"/>
    <w:rsid w:val="3ED100BA"/>
    <w:rsid w:val="3EDE585F"/>
    <w:rsid w:val="42EE735F"/>
    <w:rsid w:val="4DC22AD5"/>
    <w:rsid w:val="4E1A37F5"/>
    <w:rsid w:val="4EE9DFDC"/>
    <w:rsid w:val="5164091A"/>
    <w:rsid w:val="52727703"/>
    <w:rsid w:val="544337DB"/>
    <w:rsid w:val="57261BCD"/>
    <w:rsid w:val="57435475"/>
    <w:rsid w:val="596404E6"/>
    <w:rsid w:val="5A82491F"/>
    <w:rsid w:val="5A963B0E"/>
    <w:rsid w:val="5D6D5C42"/>
    <w:rsid w:val="5E03641E"/>
    <w:rsid w:val="60E530F9"/>
    <w:rsid w:val="63D3141F"/>
    <w:rsid w:val="65442AE4"/>
    <w:rsid w:val="658633A0"/>
    <w:rsid w:val="677F1BDC"/>
    <w:rsid w:val="6897167A"/>
    <w:rsid w:val="6E4229EA"/>
    <w:rsid w:val="74EE65C9"/>
    <w:rsid w:val="76E969F9"/>
    <w:rsid w:val="79D143EB"/>
    <w:rsid w:val="7FB626A0"/>
    <w:rsid w:val="D3F59C71"/>
    <w:rsid w:val="F7FFB0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basedOn w:val="28"/>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rFonts w:ascii="Times New Roman" w:hAnsi="Times New Roman" w:eastAsia="宋体" w:cs="Times New Roman"/>
      <w:b/>
      <w:bCs/>
      <w:kern w:val="44"/>
      <w:sz w:val="44"/>
      <w:szCs w:val="44"/>
    </w:rPr>
  </w:style>
  <w:style w:type="character" w:customStyle="1" w:styleId="35">
    <w:name w:val="标题 2 字符"/>
    <w:link w:val="3"/>
    <w:qFormat/>
    <w:uiPriority w:val="0"/>
    <w:rPr>
      <w:rFonts w:ascii="Arial" w:hAnsi="Arial" w:eastAsia="黑体" w:cs="Times New Roman"/>
      <w:b/>
      <w:bCs/>
      <w:sz w:val="32"/>
      <w:szCs w:val="32"/>
    </w:rPr>
  </w:style>
  <w:style w:type="character" w:customStyle="1" w:styleId="36">
    <w:name w:val="标题 3 字符"/>
    <w:link w:val="4"/>
    <w:qFormat/>
    <w:uiPriority w:val="0"/>
    <w:rPr>
      <w:rFonts w:ascii="Times New Roman" w:hAnsi="Times New Roman" w:eastAsia="宋体" w:cs="Times New Roman"/>
      <w:b/>
      <w:bCs/>
      <w:sz w:val="32"/>
      <w:szCs w:val="32"/>
    </w:rPr>
  </w:style>
  <w:style w:type="character" w:customStyle="1" w:styleId="37">
    <w:name w:val="标题 4 字符"/>
    <w:link w:val="5"/>
    <w:qFormat/>
    <w:uiPriority w:val="0"/>
    <w:rPr>
      <w:rFonts w:ascii="Arial" w:hAnsi="Arial" w:eastAsia="黑体" w:cs="Times New Roman"/>
      <w:b/>
      <w:bCs/>
      <w:sz w:val="28"/>
      <w:szCs w:val="28"/>
    </w:rPr>
  </w:style>
  <w:style w:type="character" w:customStyle="1" w:styleId="38">
    <w:name w:val="标题 5 字符"/>
    <w:link w:val="6"/>
    <w:qFormat/>
    <w:uiPriority w:val="0"/>
    <w:rPr>
      <w:rFonts w:ascii="Times New Roman" w:hAnsi="Times New Roman" w:eastAsia="宋体" w:cs="Times New Roman"/>
      <w:b/>
      <w:bCs/>
      <w:sz w:val="28"/>
      <w:szCs w:val="28"/>
    </w:rPr>
  </w:style>
  <w:style w:type="character" w:customStyle="1" w:styleId="39">
    <w:name w:val="标题 6 字符"/>
    <w:link w:val="7"/>
    <w:qFormat/>
    <w:uiPriority w:val="0"/>
    <w:rPr>
      <w:rFonts w:ascii="Arial" w:hAnsi="Arial" w:eastAsia="黑体" w:cs="Times New Roman"/>
      <w:b/>
      <w:bCs/>
      <w:sz w:val="24"/>
      <w:szCs w:val="24"/>
    </w:rPr>
  </w:style>
  <w:style w:type="character" w:customStyle="1" w:styleId="40">
    <w:name w:val="标题 7 字符"/>
    <w:link w:val="8"/>
    <w:qFormat/>
    <w:uiPriority w:val="0"/>
    <w:rPr>
      <w:rFonts w:ascii="Times New Roman" w:hAnsi="Times New Roman" w:eastAsia="宋体" w:cs="Times New Roman"/>
      <w:b/>
      <w:bCs/>
      <w:sz w:val="24"/>
      <w:szCs w:val="24"/>
    </w:rPr>
  </w:style>
  <w:style w:type="character" w:customStyle="1" w:styleId="41">
    <w:name w:val="标题 8 字符"/>
    <w:link w:val="9"/>
    <w:qFormat/>
    <w:uiPriority w:val="0"/>
    <w:rPr>
      <w:rFonts w:ascii="Arial" w:hAnsi="Arial" w:eastAsia="黑体" w:cs="Times New Roman"/>
      <w:sz w:val="24"/>
      <w:szCs w:val="24"/>
    </w:rPr>
  </w:style>
  <w:style w:type="character" w:customStyle="1" w:styleId="42">
    <w:name w:val="标题 9 字符"/>
    <w:link w:val="10"/>
    <w:qFormat/>
    <w:uiPriority w:val="0"/>
    <w:rPr>
      <w:rFonts w:ascii="Arial" w:hAnsi="Arial" w:eastAsia="黑体" w:cs="Times New Roman"/>
      <w:szCs w:val="21"/>
    </w:rPr>
  </w:style>
  <w:style w:type="character" w:customStyle="1" w:styleId="43">
    <w:name w:val="页眉 字符"/>
    <w:link w:val="18"/>
    <w:qFormat/>
    <w:uiPriority w:val="99"/>
    <w:rPr>
      <w:rFonts w:ascii="Times New Roman" w:hAnsi="Times New Roman" w:eastAsia="宋体" w:cs="Times New Roman"/>
      <w:sz w:val="18"/>
      <w:szCs w:val="18"/>
    </w:rPr>
  </w:style>
  <w:style w:type="character" w:customStyle="1" w:styleId="44">
    <w:name w:val="页脚 字符"/>
    <w:link w:val="17"/>
    <w:qFormat/>
    <w:uiPriority w:val="99"/>
    <w:rPr>
      <w:rFonts w:ascii="宋体" w:hAnsi="Times New Roman" w:eastAsia="宋体" w:cs="Times New Roman"/>
      <w:sz w:val="18"/>
      <w:szCs w:val="18"/>
    </w:rPr>
  </w:style>
  <w:style w:type="character" w:customStyle="1" w:styleId="45">
    <w:name w:val="批注框文本 字符"/>
    <w:link w:val="16"/>
    <w:semiHidden/>
    <w:qFormat/>
    <w:uiPriority w:val="99"/>
    <w:rPr>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rPr>
  </w:style>
  <w:style w:type="character" w:customStyle="1" w:styleId="48">
    <w:name w:val="标题 字符"/>
    <w:link w:val="25"/>
    <w:qFormat/>
    <w:uiPriority w:val="0"/>
    <w:rPr>
      <w:rFonts w:ascii="Arial" w:hAnsi="Arial" w:eastAsia="宋体" w:cs="Arial"/>
      <w:b/>
      <w:bCs/>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rFonts w:ascii="Times New Roman" w:hAnsi="Times New Roman" w:eastAsia="宋体" w:cs="Times New Roman"/>
      <w:szCs w:val="20"/>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pPr>
  </w:style>
  <w:style w:type="paragraph" w:customStyle="1" w:styleId="91">
    <w:name w:val="标准文件_目录标题"/>
    <w:basedOn w:val="1"/>
    <w:qFormat/>
    <w:uiPriority w:val="0"/>
    <w:pPr>
      <w:spacing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ind w:left="0" w:firstLine="200"/>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hAnsi="Times New Roman" w:eastAsia="宋体" w:cs="Times New Roman"/>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ind w:left="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semiHidden/>
    <w:qFormat/>
    <w:uiPriority w:val="0"/>
    <w:pPr>
      <w:adjustRightInd/>
      <w:spacing w:line="240" w:lineRule="auto"/>
      <w:jc w:val="left"/>
    </w:pPr>
    <w:rPr>
      <w:bCs/>
      <w:iCs/>
    </w:rPr>
  </w:style>
  <w:style w:type="paragraph" w:customStyle="1" w:styleId="143">
    <w:name w:val="目录 31"/>
    <w:basedOn w:val="1"/>
    <w:next w:val="1"/>
    <w:semiHidden/>
    <w:qFormat/>
    <w:uiPriority w:val="0"/>
    <w:pPr>
      <w:spacing w:line="240" w:lineRule="auto"/>
    </w:pPr>
    <w:rPr>
      <w:rFonts w:ascii="宋体" w:hAnsi="宋体"/>
      <w:iCs/>
    </w:rPr>
  </w:style>
  <w:style w:type="paragraph" w:customStyle="1" w:styleId="144">
    <w:name w:val="目录 41"/>
    <w:basedOn w:val="1"/>
    <w:next w:val="1"/>
    <w:semiHidden/>
    <w:qFormat/>
    <w:uiPriority w:val="0"/>
    <w:pPr>
      <w:adjustRightInd/>
      <w:spacing w:line="240" w:lineRule="auto"/>
      <w:jc w:val="left"/>
    </w:pPr>
  </w:style>
  <w:style w:type="paragraph" w:customStyle="1" w:styleId="145">
    <w:name w:val="目录 51"/>
    <w:basedOn w:val="1"/>
    <w:next w:val="1"/>
    <w:semiHidden/>
    <w:qFormat/>
    <w:uiPriority w:val="0"/>
    <w:pPr>
      <w:spacing w:line="240" w:lineRule="auto"/>
    </w:pPr>
    <w:rPr>
      <w:rFonts w:ascii="宋体" w:hAnsi="宋体"/>
    </w:rPr>
  </w:style>
  <w:style w:type="paragraph" w:customStyle="1" w:styleId="146">
    <w:name w:val="目录 61"/>
    <w:basedOn w:val="1"/>
    <w:next w:val="1"/>
    <w:semiHidden/>
    <w:qFormat/>
    <w:uiPriority w:val="0"/>
    <w:pPr>
      <w:adjustRightInd/>
      <w:spacing w:line="240" w:lineRule="auto"/>
      <w:jc w:val="left"/>
    </w:pPr>
  </w:style>
  <w:style w:type="paragraph" w:customStyle="1" w:styleId="147">
    <w:name w:val="目录 71"/>
    <w:basedOn w:val="146"/>
    <w:semiHidden/>
    <w:qFormat/>
    <w:uiPriority w:val="0"/>
    <w:pPr>
      <w:ind w:left="1260"/>
    </w:pPr>
  </w:style>
  <w:style w:type="paragraph" w:customStyle="1" w:styleId="148">
    <w:name w:val="目录 81"/>
    <w:basedOn w:val="147"/>
    <w:semiHidden/>
    <w:qFormat/>
    <w:uiPriority w:val="0"/>
    <w:pPr>
      <w:ind w:left="1470"/>
    </w:pPr>
  </w:style>
  <w:style w:type="paragraph" w:customStyle="1" w:styleId="149">
    <w:name w:val="目录 91"/>
    <w:basedOn w:val="148"/>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ind w:left="783"/>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left="1271" w:hanging="420" w:firstLineChars="0"/>
    </w:pPr>
  </w:style>
  <w:style w:type="paragraph" w:customStyle="1" w:styleId="188">
    <w:name w:val="标准文件_三级项2"/>
    <w:basedOn w:val="56"/>
    <w:qFormat/>
    <w:uiPriority w:val="0"/>
    <w:pPr>
      <w:numPr>
        <w:ilvl w:val="0"/>
        <w:numId w:val="30"/>
      </w:numPr>
      <w:spacing w:line="300" w:lineRule="exact"/>
      <w:ind w:left="1276" w:hanging="425" w:firstLineChars="0"/>
    </w:pPr>
    <w:rPr>
      <w:rFonts w:ascii="Times New Roman"/>
    </w:rPr>
  </w:style>
  <w:style w:type="paragraph" w:customStyle="1" w:styleId="189">
    <w:name w:val="标准文件_一级项2"/>
    <w:basedOn w:val="56"/>
    <w:qFormat/>
    <w:uiPriority w:val="0"/>
    <w:pPr>
      <w:numPr>
        <w:ilvl w:val="0"/>
        <w:numId w:val="31"/>
      </w:numPr>
      <w:spacing w:line="300" w:lineRule="exact"/>
      <w:ind w:left="1271" w:hanging="420"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character" w:customStyle="1" w:styleId="230">
    <w:name w:val="high-light-bg4"/>
    <w:basedOn w:val="28"/>
    <w:qFormat/>
    <w:uiPriority w:val="0"/>
  </w:style>
  <w:style w:type="paragraph" w:styleId="23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glossaryDocument" Target="glossary/document.xml"/><Relationship Id="rId18" Type="http://schemas.openxmlformats.org/officeDocument/2006/relationships/fontTable" Target="fontTable.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C:\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书宋-简"/>
    <w:panose1 w:val="00000000000000000000"/>
    <w:charset w:val="86"/>
    <w:family w:val="auto"/>
    <w:pitch w:val="default"/>
    <w:sig w:usb0="00000000" w:usb1="00000000" w:usb2="00000000" w:usb3="00000000" w:csb0="00000000" w:csb1="00000000"/>
  </w:font>
  <w:font w:name="Wingdings">
    <w:altName w:val="FTToken"/>
    <w:panose1 w:val="05000000000000000000"/>
    <w:charset w:val="02"/>
    <w:family w:val="auto"/>
    <w:pitch w:val="default"/>
    <w:sig w:usb0="00000000" w:usb1="00000000" w:usb2="00000000" w:usb3="00000000" w:csb0="80000000" w:csb1="00000000"/>
  </w:font>
  <w:font w:name="Arial">
    <w:altName w:val="FT Thymes"/>
    <w:panose1 w:val="020B0604020202020204"/>
    <w:charset w:val="01"/>
    <w:family w:val="swiss"/>
    <w:pitch w:val="default"/>
    <w:sig w:usb0="E0002AFF" w:usb1="C0007843" w:usb2="00000009" w:usb3="00000000" w:csb0="400001FF" w:csb1="FFFF0000"/>
  </w:font>
  <w:font w:name="黑体">
    <w:altName w:val="黑体-简"/>
    <w:panose1 w:val="02010609060101010101"/>
    <w:charset w:val="86"/>
    <w:family w:val="auto"/>
    <w:pitch w:val="default"/>
    <w:sig w:usb0="800002BF" w:usb1="38CF7CFA" w:usb2="00000016" w:usb3="00000000" w:csb0="00040001" w:csb1="00000000"/>
  </w:font>
  <w:font w:name="Courier New">
    <w:altName w:val="HarmonyOS Sans"/>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FT Thymes">
    <w:panose1 w:val="02020603050405020304"/>
    <w:charset w:val="00"/>
    <w:family w:val="auto"/>
    <w:pitch w:val="default"/>
    <w:sig w:usb0="E0002EFF" w:usb1="C000785B" w:usb2="00000009" w:usb3="00000000" w:csb0="00000001" w:csb1="00000000"/>
  </w:font>
  <w:font w:name="Calibri">
    <w:altName w:val="FT Thymes"/>
    <w:panose1 w:val="020F0502020204030204"/>
    <w:charset w:val="00"/>
    <w:family w:val="swiss"/>
    <w:pitch w:val="default"/>
    <w:sig w:usb0="00000000" w:usb1="00000000" w:usb2="00000001" w:usb3="00000000" w:csb0="0000019F" w:csb1="00000000"/>
  </w:font>
  <w:font w:name="书宋-简">
    <w:panose1 w:val="02010600030101010101"/>
    <w:charset w:val="86"/>
    <w:family w:val="auto"/>
    <w:pitch w:val="default"/>
    <w:sig w:usb0="A00002BF" w:usb1="3ACF7CFA" w:usb2="00000016" w:usb3="00000000" w:csb0="00040001" w:csb1="00000000"/>
  </w:font>
  <w:font w:name="SimSun">
    <w:altName w:val="书宋-简"/>
    <w:panose1 w:val="00000000000000000000"/>
    <w:charset w:val="00"/>
    <w:family w:val="auto"/>
    <w:pitch w:val="default"/>
    <w:sig w:usb0="00000000" w:usb1="00000000" w:usb2="00000000" w:usb3="00000000" w:csb0="00000000" w:csb1="00000000"/>
  </w:font>
  <w:font w:name="等线">
    <w:altName w:val="方正等线-简"/>
    <w:panose1 w:val="02010600030101010101"/>
    <w:charset w:val="86"/>
    <w:family w:val="auto"/>
    <w:pitch w:val="default"/>
    <w:sig w:usb0="00000000" w:usb1="00000000" w:usb2="00000016" w:usb3="00000000" w:csb0="0004000F" w:csb1="00000000"/>
  </w:font>
  <w:font w:name="方正等线-简">
    <w:panose1 w:val="02000500000000000000"/>
    <w:charset w:val="86"/>
    <w:family w:val="auto"/>
    <w:pitch w:val="default"/>
    <w:sig w:usb0="A10102FF" w:usb1="38CF7CFB" w:usb2="00010016" w:usb3="00000000" w:csb0="00040001" w:csb1="00000000"/>
  </w:font>
  <w:font w:name="等线">
    <w:altName w:val="方正等线-简"/>
    <w:panose1 w:val="00000000000000000000"/>
    <w:charset w:val="86"/>
    <w:family w:val="auto"/>
    <w:pitch w:val="default"/>
    <w:sig w:usb0="00000000" w:usb1="00000000" w:usb2="00000000" w:usb3="00000000" w:csb0="00000000" w:csb1="00000000"/>
  </w:font>
  <w:font w:name="等线">
    <w:altName w:val="方正等线-简"/>
    <w:panose1 w:val="00000000000000000000"/>
    <w:charset w:val="00"/>
    <w:family w:val="auto"/>
    <w:pitch w:val="default"/>
    <w:sig w:usb0="00000000" w:usb1="00000000" w:usb2="00000000" w:usb3="00000000" w:csb0="00000000" w:csb1="00000000"/>
  </w:font>
  <w:font w:name="FTToken">
    <w:panose1 w:val="05000000000000000000"/>
    <w:charset w:val="00"/>
    <w:family w:val="auto"/>
    <w:pitch w:val="default"/>
    <w:sig w:usb0="00000000" w:usb1="10000000" w:usb2="00000000" w:usb3="00000000" w:csb0="80000000" w:csb1="00000000"/>
  </w:font>
  <w:font w:name="黑体-简">
    <w:panose1 w:val="02010609060101010101"/>
    <w:charset w:val="86"/>
    <w:family w:val="auto"/>
    <w:pitch w:val="default"/>
    <w:sig w:usb0="A00002BF" w:usb1="3ACF7CFA" w:usb2="00000016" w:usb3="00000000" w:csb0="00040001" w:csb1="00000000"/>
  </w:font>
  <w:font w:name="HarmonyOS Sans">
    <w:panose1 w:val="00000500000000000000"/>
    <w:charset w:val="00"/>
    <w:family w:val="auto"/>
    <w:pitch w:val="default"/>
    <w:sig w:usb0="A0000287" w:usb1="00000011" w:usb2="00000000" w:usb3="00000000" w:csb0="00000001" w:csb1="00000000"/>
  </w:font>
  <w:font w:name="Kingsoft Sign">
    <w:panose1 w:val="05050102010706020507"/>
    <w:charset w:val="00"/>
    <w:family w:val="auto"/>
    <w:pitch w:val="default"/>
    <w:sig w:usb0="00000000" w:usb1="1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tyleName="APA" SelectedStyle="\APASixthEditionOfficeOnline.xsl"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12</Pages>
  <Words>4465</Words>
  <Characters>4924</Characters>
  <Lines>61</Lines>
  <Paragraphs>17</Paragraphs>
  <TotalTime>0</TotalTime>
  <ScaleCrop>false</ScaleCrop>
  <LinksUpToDate>false</LinksUpToDate>
  <CharactersWithSpaces>5041</CharactersWithSpaces>
  <Application>WPS Office_12.1.3.26376_F1E327BC-269C-435d-A152-05C5408002CA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2023-11-11T07:45:00Z</dcterms:created>
  <dc:creator>微软用户;wen</dc:creator>
  <dc:description>&lt;config cover="true" show_menu="true" version="1.0.0" doctype="SDKXY"&gt;_x000d_
&lt;/config&gt;</dc:description>
  <cp:lastModifiedBy>WPS_李海军</cp:lastModifiedBy>
  <cp:lastPrinted>2021-11-29T03:39:00Z</cp:lastPrinted>
  <dcterms:modified xsi:type="dcterms:W3CDTF">2026-05-09T15:44:09Z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2052-12.1.3.26376</vt:lpwstr>
  </property>
  <property fmtid="{D5CDD505-2E9C-101B-9397-08002B2CF9AE}" pid="15" name="ICV">
    <vt:lpwstr>931C34DE48CF4343B443AC26670130B7_13</vt:lpwstr>
  </property>
  <property fmtid="{D5CDD505-2E9C-101B-9397-08002B2CF9AE}" pid="16" name="KSOTemplateDocerSaveRecord">
    <vt:lpwstr>eyJoZGlkIjoiOTNhYzk2NjdkNzE3ZjM0MDllNTZkZTZlMGYzZGI1YjEiLCJ1c2VySWQiOiI0MTg0NTA0MDAifQ==</vt:lpwstr>
  </property>
</Properties>
</file>