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DF1137D">
      <w:pPr>
        <w:jc w:val="center"/>
        <w:rPr>
          <w:rFonts w:ascii="黑体" w:hAnsi="黑体" w:eastAsia="黑体"/>
          <w:sz w:val="28"/>
          <w:szCs w:val="28"/>
        </w:rPr>
      </w:pPr>
      <w:r>
        <w:rPr>
          <w:rFonts w:hint="eastAsia" w:ascii="黑体" w:hAnsi="黑体" w:eastAsia="黑体"/>
          <w:sz w:val="32"/>
          <w:szCs w:val="32"/>
          <w:lang w:val="en-US" w:eastAsia="zh-CN"/>
        </w:rPr>
        <w:t>中国中医药研究促进会</w:t>
      </w:r>
      <w:r>
        <w:rPr>
          <w:rFonts w:hint="eastAsia" w:ascii="黑体" w:hAnsi="黑体" w:eastAsia="黑体"/>
          <w:sz w:val="32"/>
          <w:szCs w:val="32"/>
        </w:rPr>
        <w:t>标准</w:t>
      </w:r>
      <w:r>
        <w:rPr>
          <w:rFonts w:ascii="黑体" w:hAnsi="黑体" w:eastAsia="黑体"/>
          <w:sz w:val="32"/>
          <w:szCs w:val="32"/>
        </w:rPr>
        <w:br w:type="textWrapping"/>
      </w:r>
      <w:r>
        <w:rPr>
          <w:rFonts w:hint="eastAsia" w:ascii="黑体" w:hAnsi="黑体" w:eastAsia="黑体"/>
          <w:sz w:val="28"/>
          <w:szCs w:val="28"/>
          <w:lang w:val="en-US" w:eastAsia="zh-CN"/>
        </w:rPr>
        <w:t>《中医药养生市集建设与服务规范》</w:t>
      </w:r>
      <w:r>
        <w:rPr>
          <w:rFonts w:hint="eastAsia" w:ascii="黑体" w:hAnsi="黑体" w:eastAsia="黑体"/>
          <w:sz w:val="28"/>
          <w:szCs w:val="28"/>
          <w:lang w:eastAsia="zh-CN"/>
        </w:rPr>
        <w:t>（</w:t>
      </w:r>
      <w:r>
        <w:rPr>
          <w:rFonts w:hint="eastAsia" w:ascii="黑体" w:hAnsi="黑体" w:eastAsia="黑体"/>
          <w:sz w:val="28"/>
          <w:szCs w:val="28"/>
          <w:lang w:val="en-US" w:eastAsia="zh-CN"/>
        </w:rPr>
        <w:t>征求意见稿</w:t>
      </w:r>
      <w:r>
        <w:rPr>
          <w:rFonts w:hint="eastAsia" w:ascii="黑体" w:hAnsi="黑体" w:eastAsia="黑体"/>
          <w:sz w:val="28"/>
          <w:szCs w:val="28"/>
          <w:lang w:eastAsia="zh-CN"/>
        </w:rPr>
        <w:t>）</w:t>
      </w:r>
      <w:r>
        <w:rPr>
          <w:rFonts w:hint="eastAsia" w:ascii="黑体" w:hAnsi="黑体" w:eastAsia="黑体"/>
          <w:sz w:val="28"/>
          <w:szCs w:val="28"/>
        </w:rPr>
        <w:t>编制说明</w:t>
      </w:r>
    </w:p>
    <w:p w14:paraId="298D70B1">
      <w:pPr>
        <w:jc w:val="center"/>
        <w:rPr>
          <w:rFonts w:ascii="宋体" w:hAnsi="宋体"/>
          <w:szCs w:val="21"/>
        </w:rPr>
      </w:pPr>
    </w:p>
    <w:p w14:paraId="17E47D9C">
      <w:pPr>
        <w:spacing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一、</w:t>
      </w:r>
      <w:r>
        <w:rPr>
          <w:rFonts w:ascii="Times New Roman" w:hAnsi="Times New Roman"/>
          <w:b/>
          <w:sz w:val="24"/>
          <w:szCs w:val="24"/>
        </w:rPr>
        <w:t>工作简况</w:t>
      </w:r>
    </w:p>
    <w:p w14:paraId="38AA3538">
      <w:pPr>
        <w:spacing w:line="36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1、任务来源</w:t>
      </w:r>
    </w:p>
    <w:p w14:paraId="37D600C3">
      <w:pPr>
        <w:spacing w:line="360" w:lineRule="auto"/>
        <w:ind w:firstLine="480" w:firstLineChars="200"/>
        <w:rPr>
          <w:rFonts w:hint="default" w:ascii="Times New Roman" w:hAnsi="Times New Roman"/>
          <w:sz w:val="24"/>
          <w:szCs w:val="24"/>
          <w:lang w:val="en-US"/>
        </w:rPr>
      </w:pPr>
      <w:r>
        <w:rPr>
          <w:rFonts w:hint="eastAsia" w:ascii="Times New Roman" w:hAnsi="Times New Roman"/>
          <w:sz w:val="24"/>
          <w:szCs w:val="24"/>
          <w:lang w:val="en-US" w:eastAsia="zh-CN"/>
        </w:rPr>
        <w:t>《中医药养生市集建设与服务规范》是由中国中医药研究促进会批准立项的团体标准项目。根据中国中医药研究促进会《关于〈潞党参仓储流通技术规范〉等八个团体标准立项公告》，该标准由台州市中医院提出，中国中医药研究促进会归口，台州市中医院、中国标准化</w:t>
      </w:r>
      <w:bookmarkStart w:id="0" w:name="_GoBack"/>
      <w:bookmarkEnd w:id="0"/>
      <w:r>
        <w:rPr>
          <w:rFonts w:hint="eastAsia" w:ascii="Times New Roman" w:hAnsi="Times New Roman"/>
          <w:sz w:val="24"/>
          <w:szCs w:val="24"/>
          <w:lang w:val="en-US" w:eastAsia="zh-CN"/>
        </w:rPr>
        <w:t>研究院等单位负责起草。</w:t>
      </w:r>
    </w:p>
    <w:p w14:paraId="482E41E0">
      <w:pPr>
        <w:spacing w:line="360" w:lineRule="auto"/>
        <w:rPr>
          <w:rFonts w:ascii="Times New Roman" w:hAnsi="Times New Roman"/>
          <w:b/>
          <w:sz w:val="24"/>
          <w:szCs w:val="24"/>
        </w:rPr>
      </w:pPr>
      <w:r>
        <w:rPr>
          <w:rFonts w:hint="eastAsia" w:ascii="Times New Roman" w:hAnsi="Times New Roman"/>
          <w:b/>
          <w:sz w:val="24"/>
          <w:szCs w:val="24"/>
        </w:rPr>
        <w:t>2、编制背景及目标</w:t>
      </w:r>
    </w:p>
    <w:p w14:paraId="61B95E43">
      <w:pPr>
        <w:pStyle w:val="12"/>
        <w:keepNext w:val="0"/>
        <w:keepLines w:val="0"/>
        <w:widowControl/>
        <w:suppressLineNumbers w:val="0"/>
        <w:shd w:val="clear" w:fill="FFFFFF"/>
        <w:spacing w:before="80" w:beforeAutospacing="0" w:after="80" w:afterAutospacing="0" w:line="360" w:lineRule="auto"/>
        <w:ind w:left="0" w:right="0" w:firstLine="0"/>
        <w:rPr>
          <w:rFonts w:hint="eastAsia" w:ascii="Times New Roman" w:hAnsi="Times New Roman" w:eastAsia="宋体" w:cs="Times New Roman"/>
          <w:kern w:val="2"/>
          <w:sz w:val="24"/>
          <w:szCs w:val="24"/>
          <w:lang w:val="en-US" w:eastAsia="zh-CN" w:bidi="ar-SA"/>
        </w:rPr>
      </w:pPr>
      <w:r>
        <w:rPr>
          <w:rFonts w:hint="default" w:ascii="Times New Roman" w:hAnsi="Times New Roman" w:eastAsia="宋体" w:cs="Times New Roman"/>
          <w:kern w:val="2"/>
          <w:sz w:val="24"/>
          <w:szCs w:val="24"/>
          <w:lang w:val="en-US" w:eastAsia="zh-CN" w:bidi="ar-SA"/>
        </w:rPr>
        <w:t>近年来，国家高度重视中医药事业发展。《中华人民共和国中医药法》明确提出</w:t>
      </w:r>
      <w:r>
        <w:rPr>
          <w:rFonts w:hint="eastAsia" w:ascii="Times New Roman" w:hAnsi="Times New Roman" w:cs="Times New Roman"/>
          <w:kern w:val="2"/>
          <w:sz w:val="24"/>
          <w:szCs w:val="24"/>
          <w:lang w:val="en-US" w:eastAsia="zh-CN" w:bidi="ar-SA"/>
        </w:rPr>
        <w:t>“</w:t>
      </w:r>
      <w:r>
        <w:rPr>
          <w:rFonts w:hint="default" w:ascii="Times New Roman" w:hAnsi="Times New Roman" w:eastAsia="宋体" w:cs="Times New Roman"/>
          <w:kern w:val="2"/>
          <w:sz w:val="24"/>
          <w:szCs w:val="24"/>
          <w:lang w:val="en-US" w:eastAsia="zh-CN" w:bidi="ar-SA"/>
        </w:rPr>
        <w:t>支持社会力量举办中医医疗机构，发展中医药健康服务</w:t>
      </w:r>
      <w:r>
        <w:rPr>
          <w:rFonts w:hint="eastAsia" w:ascii="Times New Roman" w:hAnsi="Times New Roman" w:cs="Times New Roman"/>
          <w:kern w:val="2"/>
          <w:sz w:val="24"/>
          <w:szCs w:val="24"/>
          <w:lang w:val="en-US" w:eastAsia="zh-CN" w:bidi="ar-SA"/>
        </w:rPr>
        <w:t>”</w:t>
      </w:r>
      <w:r>
        <w:rPr>
          <w:rFonts w:hint="default" w:ascii="Times New Roman" w:hAnsi="Times New Roman" w:eastAsia="宋体" w:cs="Times New Roman"/>
          <w:kern w:val="2"/>
          <w:sz w:val="24"/>
          <w:szCs w:val="24"/>
          <w:lang w:val="en-US" w:eastAsia="zh-CN" w:bidi="ar-SA"/>
        </w:rPr>
        <w:t>。《中共中央 国务院关于促进中医药传承创新发展的意见》强调</w:t>
      </w:r>
      <w:r>
        <w:rPr>
          <w:rFonts w:hint="eastAsia" w:ascii="Times New Roman" w:hAnsi="Times New Roman" w:cs="Times New Roman"/>
          <w:kern w:val="2"/>
          <w:sz w:val="24"/>
          <w:szCs w:val="24"/>
          <w:lang w:val="en-US" w:eastAsia="zh-CN" w:bidi="ar-SA"/>
        </w:rPr>
        <w:t>“</w:t>
      </w:r>
      <w:r>
        <w:rPr>
          <w:rFonts w:hint="default" w:ascii="Times New Roman" w:hAnsi="Times New Roman" w:eastAsia="宋体" w:cs="Times New Roman"/>
          <w:kern w:val="2"/>
          <w:sz w:val="24"/>
          <w:szCs w:val="24"/>
          <w:lang w:val="en-US" w:eastAsia="zh-CN" w:bidi="ar-SA"/>
        </w:rPr>
        <w:t>推动中医药文化创造性转化、创新性发展</w:t>
      </w:r>
      <w:r>
        <w:rPr>
          <w:rFonts w:hint="eastAsia" w:ascii="Times New Roman" w:hAnsi="Times New Roman" w:cs="Times New Roman"/>
          <w:kern w:val="2"/>
          <w:sz w:val="24"/>
          <w:szCs w:val="24"/>
          <w:lang w:val="en-US" w:eastAsia="zh-CN" w:bidi="ar-SA"/>
        </w:rPr>
        <w:t>”</w:t>
      </w:r>
      <w:r>
        <w:rPr>
          <w:rFonts w:hint="default" w:ascii="Times New Roman" w:hAnsi="Times New Roman" w:eastAsia="宋体" w:cs="Times New Roman"/>
          <w:kern w:val="2"/>
          <w:sz w:val="24"/>
          <w:szCs w:val="24"/>
          <w:lang w:val="en-US" w:eastAsia="zh-CN" w:bidi="ar-SA"/>
        </w:rPr>
        <w:t>。《国家中医药管理局关于印发中医养生保健服务规范（试行）的通知》对中医养生保健服务提出了明确要求。在此背景下，台州市中医专科联盟创新开展的</w:t>
      </w:r>
      <w:r>
        <w:rPr>
          <w:rFonts w:hint="eastAsia" w:ascii="Times New Roman" w:hAnsi="Times New Roman" w:cs="Times New Roman"/>
          <w:kern w:val="2"/>
          <w:sz w:val="24"/>
          <w:szCs w:val="24"/>
          <w:lang w:val="en-US" w:eastAsia="zh-CN" w:bidi="ar-SA"/>
        </w:rPr>
        <w:t>“</w:t>
      </w:r>
      <w:r>
        <w:rPr>
          <w:rFonts w:hint="default" w:ascii="Times New Roman" w:hAnsi="Times New Roman" w:eastAsia="宋体" w:cs="Times New Roman"/>
          <w:kern w:val="2"/>
          <w:sz w:val="24"/>
          <w:szCs w:val="24"/>
          <w:lang w:val="en-US" w:eastAsia="zh-CN" w:bidi="ar-SA"/>
        </w:rPr>
        <w:t>杏林联盟·夜市惠民</w:t>
      </w:r>
      <w:r>
        <w:rPr>
          <w:rFonts w:hint="eastAsia" w:ascii="Times New Roman" w:hAnsi="Times New Roman" w:cs="Times New Roman"/>
          <w:kern w:val="2"/>
          <w:sz w:val="24"/>
          <w:szCs w:val="24"/>
          <w:lang w:val="en-US" w:eastAsia="zh-CN" w:bidi="ar-SA"/>
        </w:rPr>
        <w:t>”</w:t>
      </w:r>
      <w:r>
        <w:rPr>
          <w:rFonts w:hint="default" w:ascii="Times New Roman" w:hAnsi="Times New Roman" w:eastAsia="宋体" w:cs="Times New Roman"/>
          <w:kern w:val="2"/>
          <w:sz w:val="24"/>
          <w:szCs w:val="24"/>
          <w:lang w:val="en-US" w:eastAsia="zh-CN" w:bidi="ar-SA"/>
        </w:rPr>
        <w:t>等项目，将中医药服务从医疗机构延伸至社区生活场景，取得了良好的社会反响。该项目通过集市形式，集健康服务、文化体验、知识普及与健康消费于一体，实现了</w:t>
      </w:r>
      <w:r>
        <w:rPr>
          <w:rFonts w:hint="eastAsia" w:ascii="Times New Roman" w:hAnsi="Times New Roman" w:cs="Times New Roman"/>
          <w:kern w:val="2"/>
          <w:sz w:val="24"/>
          <w:szCs w:val="24"/>
          <w:lang w:val="en-US" w:eastAsia="zh-CN" w:bidi="ar-SA"/>
        </w:rPr>
        <w:t>“</w:t>
      </w:r>
      <w:r>
        <w:rPr>
          <w:rFonts w:hint="default" w:ascii="Times New Roman" w:hAnsi="Times New Roman" w:eastAsia="宋体" w:cs="Times New Roman"/>
          <w:kern w:val="2"/>
          <w:sz w:val="24"/>
          <w:szCs w:val="24"/>
          <w:lang w:val="en-US" w:eastAsia="zh-CN" w:bidi="ar-SA"/>
        </w:rPr>
        <w:t>文化引领、健康惠民、产业联动</w:t>
      </w:r>
      <w:r>
        <w:rPr>
          <w:rFonts w:hint="eastAsia" w:ascii="Times New Roman" w:hAnsi="Times New Roman" w:cs="Times New Roman"/>
          <w:kern w:val="2"/>
          <w:sz w:val="24"/>
          <w:szCs w:val="24"/>
          <w:lang w:val="en-US" w:eastAsia="zh-CN" w:bidi="ar-SA"/>
        </w:rPr>
        <w:t>”</w:t>
      </w:r>
      <w:r>
        <w:rPr>
          <w:rFonts w:hint="default" w:ascii="Times New Roman" w:hAnsi="Times New Roman" w:eastAsia="宋体" w:cs="Times New Roman"/>
          <w:kern w:val="2"/>
          <w:sz w:val="24"/>
          <w:szCs w:val="24"/>
          <w:lang w:val="en-US" w:eastAsia="zh-CN" w:bidi="ar-SA"/>
        </w:rPr>
        <w:t>的目标，形成了一批可复制、可推广的经验做法。</w:t>
      </w:r>
    </w:p>
    <w:p w14:paraId="059376DB">
      <w:pPr>
        <w:pStyle w:val="12"/>
        <w:keepNext w:val="0"/>
        <w:keepLines w:val="0"/>
        <w:widowControl/>
        <w:suppressLineNumbers w:val="0"/>
        <w:shd w:val="clear" w:fill="FFFFFF"/>
        <w:spacing w:before="80" w:beforeAutospacing="0" w:after="80" w:afterAutospacing="0" w:line="360" w:lineRule="auto"/>
        <w:ind w:left="0" w:right="0" w:firstLine="0"/>
        <w:rPr>
          <w:rFonts w:hint="default" w:ascii="Times New Roman" w:hAnsi="Times New Roman" w:eastAsia="宋体" w:cs="Times New Roman"/>
          <w:kern w:val="2"/>
          <w:sz w:val="24"/>
          <w:szCs w:val="24"/>
          <w:lang w:val="en-US" w:eastAsia="zh-CN" w:bidi="ar-SA"/>
        </w:rPr>
      </w:pPr>
      <w:r>
        <w:rPr>
          <w:rFonts w:hint="default" w:ascii="Times New Roman" w:hAnsi="Times New Roman" w:eastAsia="宋体" w:cs="Times New Roman"/>
          <w:kern w:val="2"/>
          <w:sz w:val="24"/>
          <w:szCs w:val="24"/>
          <w:lang w:val="en-US" w:eastAsia="zh-CN" w:bidi="ar-SA"/>
        </w:rPr>
        <w:t>然而，随着各地中医药养生市集活动的不断涌现，市集的建设标准、服务内容、管理要求等方面缺乏统一规范，导致活动质量参差不齐，影响了中医药文化传播效果和群众服务体验。因此，本项目旨在通过制定《中医药养生市集建设与服务规范》团体标准，系统总结</w:t>
      </w:r>
      <w:r>
        <w:rPr>
          <w:rFonts w:hint="eastAsia" w:ascii="Times New Roman" w:hAnsi="Times New Roman" w:cs="Times New Roman"/>
          <w:kern w:val="2"/>
          <w:sz w:val="24"/>
          <w:szCs w:val="24"/>
          <w:lang w:val="en-US" w:eastAsia="zh-CN" w:bidi="ar-SA"/>
        </w:rPr>
        <w:t>“</w:t>
      </w:r>
      <w:r>
        <w:rPr>
          <w:rFonts w:hint="default" w:ascii="Times New Roman" w:hAnsi="Times New Roman" w:eastAsia="宋体" w:cs="Times New Roman"/>
          <w:kern w:val="2"/>
          <w:sz w:val="24"/>
          <w:szCs w:val="24"/>
          <w:lang w:val="en-US" w:eastAsia="zh-CN" w:bidi="ar-SA"/>
        </w:rPr>
        <w:t>杏林联盟·夜市惠民</w:t>
      </w:r>
      <w:r>
        <w:rPr>
          <w:rFonts w:hint="eastAsia" w:ascii="Times New Roman" w:hAnsi="Times New Roman" w:cs="Times New Roman"/>
          <w:kern w:val="2"/>
          <w:sz w:val="24"/>
          <w:szCs w:val="24"/>
          <w:lang w:val="en-US" w:eastAsia="zh-CN" w:bidi="ar-SA"/>
        </w:rPr>
        <w:t>”</w:t>
      </w:r>
      <w:r>
        <w:rPr>
          <w:rFonts w:hint="default" w:ascii="Times New Roman" w:hAnsi="Times New Roman" w:eastAsia="宋体" w:cs="Times New Roman"/>
          <w:kern w:val="2"/>
          <w:sz w:val="24"/>
          <w:szCs w:val="24"/>
          <w:lang w:val="en-US" w:eastAsia="zh-CN" w:bidi="ar-SA"/>
        </w:rPr>
        <w:t>等项目的成功经验，规范中医药养生市集的建设、运营与服务，形成可复制、可推广的标准化体系，推动中医药服务从医疗机构向社区生活场景延伸，助力</w:t>
      </w:r>
      <w:r>
        <w:rPr>
          <w:rFonts w:hint="eastAsia" w:ascii="Times New Roman" w:hAnsi="Times New Roman" w:cs="Times New Roman"/>
          <w:kern w:val="2"/>
          <w:sz w:val="24"/>
          <w:szCs w:val="24"/>
          <w:lang w:val="en-US" w:eastAsia="zh-CN" w:bidi="ar-SA"/>
        </w:rPr>
        <w:t>“</w:t>
      </w:r>
      <w:r>
        <w:rPr>
          <w:rFonts w:hint="default" w:ascii="Times New Roman" w:hAnsi="Times New Roman" w:eastAsia="宋体" w:cs="Times New Roman"/>
          <w:kern w:val="2"/>
          <w:sz w:val="24"/>
          <w:szCs w:val="24"/>
          <w:lang w:val="en-US" w:eastAsia="zh-CN" w:bidi="ar-SA"/>
        </w:rPr>
        <w:t>健康中国</w:t>
      </w:r>
      <w:r>
        <w:rPr>
          <w:rFonts w:hint="eastAsia" w:ascii="Times New Roman" w:hAnsi="Times New Roman" w:cs="Times New Roman"/>
          <w:kern w:val="2"/>
          <w:sz w:val="24"/>
          <w:szCs w:val="24"/>
          <w:lang w:val="en-US" w:eastAsia="zh-CN" w:bidi="ar-SA"/>
        </w:rPr>
        <w:t>”</w:t>
      </w:r>
      <w:r>
        <w:rPr>
          <w:rFonts w:hint="default" w:ascii="Times New Roman" w:hAnsi="Times New Roman" w:eastAsia="宋体" w:cs="Times New Roman"/>
          <w:kern w:val="2"/>
          <w:sz w:val="24"/>
          <w:szCs w:val="24"/>
          <w:lang w:val="en-US" w:eastAsia="zh-CN" w:bidi="ar-SA"/>
        </w:rPr>
        <w:t>建设。</w:t>
      </w:r>
    </w:p>
    <w:p w14:paraId="4758EE04">
      <w:pPr>
        <w:spacing w:line="36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3、工作过程</w:t>
      </w:r>
    </w:p>
    <w:p w14:paraId="1F5A6713">
      <w:pPr>
        <w:spacing w:line="360" w:lineRule="auto"/>
        <w:ind w:firstLine="480" w:firstLineChars="200"/>
        <w:rPr>
          <w:rFonts w:hint="default" w:ascii="Times New Roman" w:hAnsi="Times New Roman"/>
          <w:sz w:val="24"/>
          <w:szCs w:val="24"/>
          <w:lang w:val="en-US" w:eastAsia="zh-CN"/>
        </w:rPr>
      </w:pPr>
      <w:r>
        <w:rPr>
          <w:rFonts w:hint="eastAsia" w:ascii="Times New Roman" w:hAnsi="Times New Roman"/>
          <w:sz w:val="24"/>
          <w:szCs w:val="24"/>
          <w:lang w:val="en-US" w:eastAsia="zh-CN"/>
        </w:rPr>
        <w:t>（1）需求调研</w:t>
      </w:r>
    </w:p>
    <w:p w14:paraId="2F5DCC1B">
      <w:pPr>
        <w:spacing w:line="360" w:lineRule="auto"/>
        <w:ind w:firstLine="480" w:firstLineChars="200"/>
        <w:rPr>
          <w:rFonts w:hint="default" w:ascii="Times New Roman" w:hAnsi="Times New Roman"/>
          <w:sz w:val="24"/>
          <w:szCs w:val="24"/>
          <w:lang w:val="en-US" w:eastAsia="zh-CN"/>
        </w:rPr>
      </w:pPr>
      <w:r>
        <w:rPr>
          <w:rFonts w:hint="default" w:ascii="Times New Roman" w:hAnsi="Times New Roman"/>
          <w:sz w:val="24"/>
          <w:szCs w:val="24"/>
          <w:lang w:val="en-US" w:eastAsia="zh-CN"/>
        </w:rPr>
        <w:t>标准起草组对台州市中医专科联盟</w:t>
      </w:r>
      <w:r>
        <w:rPr>
          <w:rFonts w:hint="eastAsia" w:ascii="Times New Roman" w:hAnsi="Times New Roman"/>
          <w:sz w:val="24"/>
          <w:szCs w:val="24"/>
          <w:lang w:val="en-US" w:eastAsia="zh-CN"/>
        </w:rPr>
        <w:t>“</w:t>
      </w:r>
      <w:r>
        <w:rPr>
          <w:rFonts w:hint="default" w:ascii="Times New Roman" w:hAnsi="Times New Roman"/>
          <w:sz w:val="24"/>
          <w:szCs w:val="24"/>
          <w:lang w:val="en-US" w:eastAsia="zh-CN"/>
        </w:rPr>
        <w:t>杏林联盟·夜市惠民</w:t>
      </w:r>
      <w:r>
        <w:rPr>
          <w:rFonts w:hint="eastAsia" w:ascii="Times New Roman" w:hAnsi="Times New Roman"/>
          <w:sz w:val="24"/>
          <w:szCs w:val="24"/>
          <w:lang w:val="en-US" w:eastAsia="zh-CN"/>
        </w:rPr>
        <w:t>”</w:t>
      </w:r>
      <w:r>
        <w:rPr>
          <w:rFonts w:hint="default" w:ascii="Times New Roman" w:hAnsi="Times New Roman"/>
          <w:sz w:val="24"/>
          <w:szCs w:val="24"/>
          <w:lang w:val="en-US" w:eastAsia="zh-CN"/>
        </w:rPr>
        <w:t>项目进行了深入调研，实地考察了多场市集活动，与活动组织者、医务人员、参与者进行了广泛交流，掌握了中医药养生市集的建设运营现状和服务需求。调研发现，中医药养生市集在服务内容、人员配置、安全管理等方面存在差异，亟需统一规范。</w:t>
      </w:r>
    </w:p>
    <w:p w14:paraId="7743AB3B">
      <w:pPr>
        <w:spacing w:line="360" w:lineRule="auto"/>
        <w:ind w:firstLine="480" w:firstLineChars="200"/>
        <w:rPr>
          <w:rFonts w:hint="eastAsia" w:ascii="Times New Roman" w:hAnsi="Times New Roman"/>
          <w:sz w:val="24"/>
          <w:szCs w:val="24"/>
          <w:lang w:val="en-US" w:eastAsia="zh-CN"/>
        </w:rPr>
      </w:pPr>
      <w:r>
        <w:rPr>
          <w:rFonts w:hint="eastAsia" w:ascii="Times New Roman" w:hAnsi="Times New Roman"/>
          <w:sz w:val="24"/>
          <w:szCs w:val="24"/>
          <w:lang w:val="en-US" w:eastAsia="zh-CN"/>
        </w:rPr>
        <w:t>（2）制定标准研制计划</w:t>
      </w:r>
    </w:p>
    <w:p w14:paraId="2CD124A4">
      <w:pPr>
        <w:spacing w:line="360" w:lineRule="auto"/>
        <w:ind w:firstLine="480" w:firstLineChars="200"/>
        <w:rPr>
          <w:rFonts w:hint="eastAsia" w:ascii="Times New Roman" w:hAnsi="Times New Roman"/>
          <w:sz w:val="24"/>
          <w:szCs w:val="24"/>
          <w:lang w:val="en-US" w:eastAsia="zh-CN"/>
        </w:rPr>
      </w:pPr>
      <w:r>
        <w:rPr>
          <w:rFonts w:hint="default" w:ascii="Times New Roman" w:hAnsi="Times New Roman"/>
          <w:sz w:val="24"/>
          <w:szCs w:val="24"/>
          <w:lang w:val="en-US" w:eastAsia="zh-CN"/>
        </w:rPr>
        <w:t>调研结束后，标准研制小组召开团体标准启动会，讨论标准框架，设计工作总体思路，分配具体任务。标准研制小组由台州市中医院、相关医疗机构及标准化研究机构的专业人员组成，涵盖中医药服务、活动策划、标准化研究等专业领域</w:t>
      </w:r>
      <w:r>
        <w:rPr>
          <w:rFonts w:hint="eastAsia" w:ascii="Times New Roman" w:hAnsi="Times New Roman"/>
          <w:sz w:val="24"/>
          <w:szCs w:val="24"/>
          <w:lang w:val="en-US" w:eastAsia="zh-CN"/>
        </w:rPr>
        <w:t>。</w:t>
      </w:r>
    </w:p>
    <w:p w14:paraId="0D4C9E2D">
      <w:pPr>
        <w:spacing w:line="360" w:lineRule="auto"/>
        <w:ind w:firstLine="480" w:firstLineChars="200"/>
        <w:rPr>
          <w:rFonts w:hint="eastAsia" w:ascii="Times New Roman" w:hAnsi="Times New Roman"/>
          <w:sz w:val="24"/>
          <w:szCs w:val="24"/>
          <w:lang w:val="en-US" w:eastAsia="zh-CN"/>
        </w:rPr>
      </w:pPr>
      <w:r>
        <w:rPr>
          <w:rFonts w:hint="eastAsia" w:ascii="Times New Roman" w:hAnsi="Times New Roman"/>
          <w:sz w:val="24"/>
          <w:szCs w:val="24"/>
          <w:lang w:val="en-US" w:eastAsia="zh-CN"/>
        </w:rPr>
        <w:t>（3）资料收集与起草</w:t>
      </w:r>
    </w:p>
    <w:p w14:paraId="474505E3">
      <w:pPr>
        <w:spacing w:line="360" w:lineRule="auto"/>
        <w:ind w:firstLine="480" w:firstLineChars="200"/>
        <w:rPr>
          <w:rFonts w:hint="default" w:ascii="Times New Roman" w:hAnsi="Times New Roman"/>
          <w:sz w:val="24"/>
          <w:szCs w:val="24"/>
          <w:lang w:val="en-US" w:eastAsia="zh-CN"/>
        </w:rPr>
      </w:pPr>
      <w:r>
        <w:rPr>
          <w:rFonts w:hint="default" w:ascii="Times New Roman" w:hAnsi="Times New Roman"/>
          <w:sz w:val="24"/>
          <w:szCs w:val="24"/>
          <w:lang w:val="en-US" w:eastAsia="zh-CN"/>
        </w:rPr>
        <w:t>在调研基础上，标准研制小组系统收集整理了与中医药服务、健康市集相关的法规、标准及政策文件，重点参考了《中华人民共和国中医药法》《中共中央 国务院关于促进中医药传承创新发展的意见》《国家中医药管理局关于印发中医养生保健服务规范（试行）的通知》《中医医院治未病科建设与管理指南（2025年修订版）》以及“杏林联盟·夜市惠民”项目活动总结等资料。2026年，标准研制小组起草形成《中医药养生市集建设与服务规范》标准草案初稿。</w:t>
      </w:r>
    </w:p>
    <w:p w14:paraId="75FC0964">
      <w:pPr>
        <w:spacing w:line="360" w:lineRule="auto"/>
        <w:ind w:firstLine="480" w:firstLineChars="200"/>
        <w:rPr>
          <w:rFonts w:hint="eastAsia" w:ascii="Times New Roman" w:hAnsi="Times New Roman"/>
          <w:sz w:val="24"/>
          <w:szCs w:val="24"/>
          <w:lang w:val="en-US" w:eastAsia="zh-CN"/>
        </w:rPr>
      </w:pPr>
      <w:r>
        <w:rPr>
          <w:rFonts w:hint="eastAsia" w:ascii="Times New Roman" w:hAnsi="Times New Roman"/>
          <w:sz w:val="24"/>
          <w:szCs w:val="24"/>
          <w:lang w:val="en-US" w:eastAsia="zh-CN"/>
        </w:rPr>
        <w:t>（4）标准立项</w:t>
      </w:r>
    </w:p>
    <w:p w14:paraId="46906D15">
      <w:pPr>
        <w:spacing w:line="360" w:lineRule="auto"/>
        <w:ind w:firstLine="480" w:firstLineChars="200"/>
        <w:rPr>
          <w:rFonts w:hint="eastAsia" w:ascii="Times New Roman" w:hAnsi="Times New Roman"/>
          <w:sz w:val="24"/>
          <w:szCs w:val="24"/>
          <w:lang w:val="en-US" w:eastAsia="zh-CN"/>
        </w:rPr>
      </w:pPr>
      <w:r>
        <w:rPr>
          <w:rFonts w:hint="default" w:ascii="Times New Roman" w:hAnsi="Times New Roman"/>
          <w:sz w:val="24"/>
          <w:szCs w:val="24"/>
          <w:lang w:val="en-US" w:eastAsia="zh-CN"/>
        </w:rPr>
        <w:t>2026年，中国中医药研究促进会组织专家对《中医药养生市集建设与服务规范》团体标准进行立项评审。经专家评议、研究论证，认为该标准符合立项条件，批准立项。</w:t>
      </w:r>
    </w:p>
    <w:p w14:paraId="27773F44">
      <w:pPr>
        <w:spacing w:line="360" w:lineRule="auto"/>
        <w:ind w:firstLine="480" w:firstLineChars="200"/>
        <w:rPr>
          <w:rFonts w:hint="eastAsia" w:ascii="Times New Roman" w:hAnsi="Times New Roman"/>
          <w:sz w:val="24"/>
          <w:szCs w:val="24"/>
          <w:lang w:val="en-US" w:eastAsia="zh-CN"/>
        </w:rPr>
      </w:pPr>
      <w:r>
        <w:rPr>
          <w:rFonts w:hint="eastAsia" w:ascii="Times New Roman" w:hAnsi="Times New Roman"/>
          <w:sz w:val="24"/>
          <w:szCs w:val="24"/>
          <w:lang w:val="en-US" w:eastAsia="zh-CN"/>
        </w:rPr>
        <w:t>（5）征求意见阶段</w:t>
      </w:r>
    </w:p>
    <w:p w14:paraId="0FDC6214">
      <w:pPr>
        <w:spacing w:line="360" w:lineRule="auto"/>
        <w:ind w:firstLine="480" w:firstLineChars="200"/>
        <w:rPr>
          <w:rFonts w:hint="default" w:ascii="Times New Roman" w:hAnsi="Times New Roman"/>
          <w:sz w:val="24"/>
          <w:szCs w:val="24"/>
          <w:lang w:val="en-US" w:eastAsia="zh-CN"/>
        </w:rPr>
      </w:pPr>
      <w:r>
        <w:rPr>
          <w:rFonts w:hint="default" w:ascii="Times New Roman" w:hAnsi="Times New Roman"/>
          <w:sz w:val="24"/>
          <w:szCs w:val="24"/>
          <w:lang w:val="en-US" w:eastAsia="zh-CN"/>
        </w:rPr>
        <w:t>根据立项评审会专家提出的建议反馈，标准研制小组对标准草案进行了修改完善，重点对总体原则、服务内容、安全管理等进行了优化调整。2026年，标准研制小组形成标准征求意见稿及编制说明等附件，拟通过中国中医药研究促进会网站向社会公开征求意见。</w:t>
      </w:r>
    </w:p>
    <w:p w14:paraId="4BAA5636">
      <w:pPr>
        <w:spacing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4、主要起草单位及起草人所做的工作</w:t>
      </w:r>
    </w:p>
    <w:p w14:paraId="3248804F">
      <w:pPr>
        <w:spacing w:line="360" w:lineRule="auto"/>
        <w:ind w:firstLine="480" w:firstLineChars="200"/>
        <w:rPr>
          <w:rFonts w:hint="default" w:ascii="Times New Roman" w:hAnsi="Times New Roman"/>
          <w:sz w:val="24"/>
          <w:szCs w:val="24"/>
          <w:lang w:val="en-US" w:eastAsia="zh-CN"/>
        </w:rPr>
      </w:pPr>
      <w:r>
        <w:rPr>
          <w:rFonts w:hint="default" w:ascii="Times New Roman" w:hAnsi="Times New Roman"/>
          <w:sz w:val="24"/>
          <w:szCs w:val="24"/>
          <w:lang w:val="en-US" w:eastAsia="zh-CN"/>
        </w:rPr>
        <w:t>台州市中医院</w:t>
      </w:r>
      <w:r>
        <w:rPr>
          <w:rFonts w:hint="eastAsia" w:ascii="Times New Roman" w:hAnsi="Times New Roman"/>
          <w:sz w:val="24"/>
          <w:szCs w:val="24"/>
          <w:lang w:val="en-US" w:eastAsia="zh-CN"/>
        </w:rPr>
        <w:t>李海军、王秀蓉</w:t>
      </w:r>
      <w:r>
        <w:rPr>
          <w:rFonts w:hint="default" w:ascii="Times New Roman" w:hAnsi="Times New Roman"/>
          <w:sz w:val="24"/>
          <w:szCs w:val="24"/>
          <w:lang w:val="en-US" w:eastAsia="zh-CN"/>
        </w:rPr>
        <w:t>负责组织协调调研工作，总结</w:t>
      </w:r>
      <w:r>
        <w:rPr>
          <w:rFonts w:hint="eastAsia" w:ascii="Times New Roman" w:hAnsi="Times New Roman"/>
          <w:sz w:val="24"/>
          <w:szCs w:val="24"/>
          <w:lang w:val="en-US" w:eastAsia="zh-CN"/>
        </w:rPr>
        <w:t>“</w:t>
      </w:r>
      <w:r>
        <w:rPr>
          <w:rFonts w:hint="default" w:ascii="Times New Roman" w:hAnsi="Times New Roman"/>
          <w:sz w:val="24"/>
          <w:szCs w:val="24"/>
          <w:lang w:val="en-US" w:eastAsia="zh-CN"/>
        </w:rPr>
        <w:t>杏林联盟·夜市惠民</w:t>
      </w:r>
      <w:r>
        <w:rPr>
          <w:rFonts w:hint="eastAsia" w:ascii="Times New Roman" w:hAnsi="Times New Roman"/>
          <w:sz w:val="24"/>
          <w:szCs w:val="24"/>
          <w:lang w:val="en-US" w:eastAsia="zh-CN"/>
        </w:rPr>
        <w:t>”</w:t>
      </w:r>
      <w:r>
        <w:rPr>
          <w:rFonts w:hint="default" w:ascii="Times New Roman" w:hAnsi="Times New Roman"/>
          <w:sz w:val="24"/>
          <w:szCs w:val="24"/>
          <w:lang w:val="en-US" w:eastAsia="zh-CN"/>
        </w:rPr>
        <w:t>项目的成功经验，梳理中医药养生市集的建设运营模式和服务内容，为标准制定提供了实践基础。</w:t>
      </w:r>
    </w:p>
    <w:p w14:paraId="172CDDA6">
      <w:pPr>
        <w:spacing w:line="360" w:lineRule="auto"/>
        <w:ind w:firstLine="480" w:firstLineChars="200"/>
        <w:rPr>
          <w:rFonts w:ascii="黑体" w:hAnsi="黑体" w:eastAsia="黑体"/>
          <w:sz w:val="24"/>
          <w:szCs w:val="24"/>
        </w:rPr>
      </w:pPr>
      <w:r>
        <w:rPr>
          <w:rFonts w:hint="default" w:ascii="Times New Roman" w:hAnsi="Times New Roman"/>
          <w:sz w:val="24"/>
          <w:szCs w:val="24"/>
          <w:lang w:val="en-US" w:eastAsia="zh-CN"/>
        </w:rPr>
        <w:t>中国标准化研究院</w:t>
      </w:r>
      <w:r>
        <w:rPr>
          <w:rFonts w:hint="eastAsia" w:ascii="Times New Roman" w:hAnsi="Times New Roman"/>
          <w:sz w:val="24"/>
          <w:szCs w:val="24"/>
          <w:lang w:val="en-US" w:eastAsia="zh-CN"/>
        </w:rPr>
        <w:t>陈萌</w:t>
      </w:r>
      <w:r>
        <w:rPr>
          <w:rFonts w:hint="default" w:ascii="Times New Roman" w:hAnsi="Times New Roman"/>
          <w:sz w:val="24"/>
          <w:szCs w:val="24"/>
          <w:lang w:val="en-US" w:eastAsia="zh-CN"/>
        </w:rPr>
        <w:t>负责负责标准</w:t>
      </w:r>
      <w:r>
        <w:rPr>
          <w:rFonts w:hint="eastAsia" w:ascii="Times New Roman" w:hAnsi="Times New Roman"/>
          <w:sz w:val="24"/>
          <w:szCs w:val="24"/>
          <w:lang w:val="en-US" w:eastAsia="zh-CN"/>
        </w:rPr>
        <w:t>草案</w:t>
      </w:r>
      <w:r>
        <w:rPr>
          <w:rFonts w:hint="default" w:ascii="Times New Roman" w:hAnsi="Times New Roman"/>
          <w:sz w:val="24"/>
          <w:szCs w:val="24"/>
          <w:lang w:val="en-US" w:eastAsia="zh-CN"/>
        </w:rPr>
        <w:t>和编制说明的</w:t>
      </w:r>
      <w:r>
        <w:rPr>
          <w:rFonts w:hint="eastAsia" w:ascii="Times New Roman" w:hAnsi="Times New Roman"/>
          <w:sz w:val="24"/>
          <w:szCs w:val="24"/>
          <w:lang w:val="en-US" w:eastAsia="zh-CN"/>
        </w:rPr>
        <w:t>完善</w:t>
      </w:r>
      <w:r>
        <w:rPr>
          <w:rFonts w:hint="default" w:ascii="Times New Roman" w:hAnsi="Times New Roman"/>
          <w:sz w:val="24"/>
          <w:szCs w:val="24"/>
          <w:lang w:val="en-US" w:eastAsia="zh-CN"/>
        </w:rPr>
        <w:t>。</w:t>
      </w:r>
    </w:p>
    <w:p w14:paraId="5BBCD5AD">
      <w:pPr>
        <w:spacing w:line="360" w:lineRule="auto"/>
        <w:rPr>
          <w:rFonts w:ascii="黑体" w:hAnsi="黑体" w:eastAsia="黑体"/>
          <w:sz w:val="24"/>
          <w:szCs w:val="24"/>
        </w:rPr>
      </w:pPr>
      <w:r>
        <w:rPr>
          <w:rFonts w:ascii="黑体" w:hAnsi="黑体" w:eastAsia="黑体"/>
          <w:sz w:val="24"/>
          <w:szCs w:val="24"/>
        </w:rPr>
        <w:t>二、标准编制原则</w:t>
      </w:r>
      <w:r>
        <w:rPr>
          <w:rFonts w:hint="eastAsia" w:ascii="黑体" w:hAnsi="黑体" w:eastAsia="黑体"/>
          <w:sz w:val="24"/>
          <w:szCs w:val="24"/>
        </w:rPr>
        <w:t>和主要内容</w:t>
      </w:r>
    </w:p>
    <w:p w14:paraId="42299078">
      <w:pPr>
        <w:spacing w:line="360" w:lineRule="auto"/>
      </w:pPr>
      <w:r>
        <w:rPr>
          <w:rFonts w:hint="eastAsia" w:ascii="黑体" w:hAnsi="黑体" w:eastAsia="黑体"/>
          <w:sz w:val="24"/>
          <w:szCs w:val="24"/>
        </w:rPr>
        <w:t>1、标准制定原则</w:t>
      </w:r>
    </w:p>
    <w:p w14:paraId="7C6C01F7">
      <w:pPr>
        <w:pStyle w:val="12"/>
        <w:keepNext w:val="0"/>
        <w:keepLines w:val="0"/>
        <w:widowControl/>
        <w:suppressLineNumbers w:val="0"/>
        <w:shd w:val="clear" w:fill="FFFFFF"/>
        <w:spacing w:before="80" w:beforeAutospacing="0" w:after="80" w:afterAutospacing="0" w:line="360" w:lineRule="auto"/>
        <w:ind w:left="0" w:right="0" w:firstLine="0"/>
        <w:rPr>
          <w:rFonts w:hint="default" w:ascii="Times New Roman" w:hAnsi="Times New Roman" w:eastAsia="宋体" w:cs="Times New Roman"/>
          <w:kern w:val="2"/>
          <w:sz w:val="24"/>
          <w:szCs w:val="24"/>
          <w:lang w:val="en-US" w:eastAsia="zh-CN" w:bidi="ar-SA"/>
        </w:rPr>
      </w:pPr>
      <w:r>
        <w:rPr>
          <w:rFonts w:hint="default" w:ascii="Times New Roman" w:hAnsi="Times New Roman" w:eastAsia="宋体" w:cs="Times New Roman"/>
          <w:kern w:val="2"/>
          <w:sz w:val="24"/>
          <w:szCs w:val="24"/>
          <w:lang w:val="en-US" w:eastAsia="zh-CN" w:bidi="ar-SA"/>
        </w:rPr>
        <w:t>本标准的编写制定以科学性、实用性和可操作性为总原则，严格遵循国家有关方针、政策、法规和规章。在标准制定过程中力求做到：技术内容的叙述正确无误；文字表达准确、简明、易懂；标准的构成严谨合理；内容编排、层次划分等符合逻辑与规定。</w:t>
      </w:r>
    </w:p>
    <w:p w14:paraId="201B8FD4">
      <w:pPr>
        <w:pStyle w:val="12"/>
        <w:keepNext w:val="0"/>
        <w:keepLines w:val="0"/>
        <w:widowControl/>
        <w:suppressLineNumbers w:val="0"/>
        <w:shd w:val="clear" w:fill="FFFFFF"/>
        <w:spacing w:before="80" w:beforeAutospacing="0" w:after="80" w:afterAutospacing="0" w:line="360" w:lineRule="auto"/>
        <w:ind w:left="0" w:right="0" w:firstLine="0"/>
        <w:rPr>
          <w:rFonts w:hint="default" w:ascii="Times New Roman" w:hAnsi="Times New Roman" w:eastAsia="宋体" w:cs="Times New Roman"/>
          <w:kern w:val="2"/>
          <w:sz w:val="24"/>
          <w:szCs w:val="24"/>
          <w:lang w:val="en-US" w:eastAsia="zh-CN" w:bidi="ar-SA"/>
        </w:rPr>
      </w:pPr>
      <w:r>
        <w:rPr>
          <w:rFonts w:hint="default" w:ascii="Times New Roman" w:hAnsi="Times New Roman" w:eastAsia="宋体" w:cs="Times New Roman"/>
          <w:kern w:val="2"/>
          <w:sz w:val="24"/>
          <w:szCs w:val="24"/>
          <w:lang w:val="en-US" w:eastAsia="zh-CN" w:bidi="ar-SA"/>
        </w:rPr>
        <w:t>具体制定原则如下：</w:t>
      </w:r>
    </w:p>
    <w:p w14:paraId="397DBB8D">
      <w:pPr>
        <w:pStyle w:val="12"/>
        <w:keepNext w:val="0"/>
        <w:keepLines w:val="0"/>
        <w:widowControl/>
        <w:suppressLineNumbers w:val="0"/>
        <w:shd w:val="clear" w:fill="FFFFFF"/>
        <w:spacing w:before="80" w:beforeAutospacing="0" w:after="80" w:afterAutospacing="0" w:line="360" w:lineRule="auto"/>
        <w:ind w:left="0" w:right="0" w:firstLine="0"/>
        <w:rPr>
          <w:rFonts w:hint="default" w:ascii="Times New Roman" w:hAnsi="Times New Roman" w:eastAsia="宋体" w:cs="Times New Roman"/>
          <w:kern w:val="2"/>
          <w:sz w:val="24"/>
          <w:szCs w:val="24"/>
          <w:lang w:val="en-US" w:eastAsia="zh-CN" w:bidi="ar-SA"/>
        </w:rPr>
      </w:pPr>
      <w:r>
        <w:rPr>
          <w:rFonts w:hint="default" w:ascii="Times New Roman" w:hAnsi="Times New Roman" w:eastAsia="宋体" w:cs="Times New Roman"/>
          <w:kern w:val="2"/>
          <w:sz w:val="24"/>
          <w:szCs w:val="24"/>
          <w:lang w:val="en-US" w:eastAsia="zh-CN" w:bidi="ar-SA"/>
        </w:rPr>
        <w:t>一是坚持公益导向原则。本标准明确</w:t>
      </w:r>
      <w:r>
        <w:rPr>
          <w:rFonts w:hint="eastAsia" w:ascii="Times New Roman" w:hAnsi="Times New Roman" w:cs="Times New Roman"/>
          <w:kern w:val="2"/>
          <w:sz w:val="24"/>
          <w:szCs w:val="24"/>
          <w:lang w:val="en-US" w:eastAsia="zh-CN" w:bidi="ar-SA"/>
        </w:rPr>
        <w:t>“</w:t>
      </w:r>
      <w:r>
        <w:rPr>
          <w:rFonts w:hint="default" w:ascii="Times New Roman" w:hAnsi="Times New Roman" w:eastAsia="宋体" w:cs="Times New Roman"/>
          <w:kern w:val="2"/>
          <w:sz w:val="24"/>
          <w:szCs w:val="24"/>
          <w:lang w:val="en-US" w:eastAsia="zh-CN" w:bidi="ar-SA"/>
        </w:rPr>
        <w:t>公益为本，应时便民</w:t>
      </w:r>
      <w:r>
        <w:rPr>
          <w:rFonts w:hint="eastAsia" w:ascii="Times New Roman" w:hAnsi="Times New Roman" w:cs="Times New Roman"/>
          <w:kern w:val="2"/>
          <w:sz w:val="24"/>
          <w:szCs w:val="24"/>
          <w:lang w:val="en-US" w:eastAsia="zh-CN" w:bidi="ar-SA"/>
        </w:rPr>
        <w:t>”</w:t>
      </w:r>
      <w:r>
        <w:rPr>
          <w:rFonts w:hint="default" w:ascii="Times New Roman" w:hAnsi="Times New Roman" w:eastAsia="宋体" w:cs="Times New Roman"/>
          <w:kern w:val="2"/>
          <w:sz w:val="24"/>
          <w:szCs w:val="24"/>
          <w:lang w:val="en-US" w:eastAsia="zh-CN" w:bidi="ar-SA"/>
        </w:rPr>
        <w:t>的首要原则，强调中医药养生市集应聚焦于提供符合养生规律的健康服务与产品，切实便利居民参与，满足其季节性的健康需求。</w:t>
      </w:r>
    </w:p>
    <w:p w14:paraId="28D544B8">
      <w:pPr>
        <w:pStyle w:val="12"/>
        <w:keepNext w:val="0"/>
        <w:keepLines w:val="0"/>
        <w:widowControl/>
        <w:suppressLineNumbers w:val="0"/>
        <w:shd w:val="clear" w:fill="FFFFFF"/>
        <w:spacing w:before="80" w:beforeAutospacing="0" w:after="80" w:afterAutospacing="0" w:line="360" w:lineRule="auto"/>
        <w:ind w:left="0" w:right="0" w:firstLine="0"/>
        <w:rPr>
          <w:rFonts w:hint="default" w:ascii="Times New Roman" w:hAnsi="Times New Roman" w:eastAsia="宋体" w:cs="Times New Roman"/>
          <w:kern w:val="2"/>
          <w:sz w:val="24"/>
          <w:szCs w:val="24"/>
          <w:lang w:val="en-US" w:eastAsia="zh-CN" w:bidi="ar-SA"/>
        </w:rPr>
      </w:pPr>
      <w:r>
        <w:rPr>
          <w:rFonts w:hint="default" w:ascii="Times New Roman" w:hAnsi="Times New Roman" w:eastAsia="宋体" w:cs="Times New Roman"/>
          <w:kern w:val="2"/>
          <w:sz w:val="24"/>
          <w:szCs w:val="24"/>
          <w:lang w:val="en-US" w:eastAsia="zh-CN" w:bidi="ar-SA"/>
        </w:rPr>
        <w:t>二是坚持传承创新原则。本标准深入挖掘传统养生智慧与中医适宜技术，并借助现代设计、科技与市场手段，对其进行创造性转化与创新性发展，实现内容与形式的生动呈现。</w:t>
      </w:r>
    </w:p>
    <w:p w14:paraId="1649065D">
      <w:pPr>
        <w:pStyle w:val="12"/>
        <w:keepNext w:val="0"/>
        <w:keepLines w:val="0"/>
        <w:widowControl/>
        <w:suppressLineNumbers w:val="0"/>
        <w:shd w:val="clear" w:fill="FFFFFF"/>
        <w:spacing w:before="80" w:beforeAutospacing="0" w:after="80" w:afterAutospacing="0" w:line="360" w:lineRule="auto"/>
        <w:ind w:left="0" w:right="0" w:firstLine="0"/>
        <w:rPr>
          <w:rFonts w:hint="default" w:ascii="Times New Roman" w:hAnsi="Times New Roman" w:eastAsia="宋体" w:cs="Times New Roman"/>
          <w:kern w:val="2"/>
          <w:sz w:val="24"/>
          <w:szCs w:val="24"/>
          <w:lang w:val="en-US" w:eastAsia="zh-CN" w:bidi="ar-SA"/>
        </w:rPr>
      </w:pPr>
      <w:r>
        <w:rPr>
          <w:rFonts w:hint="default" w:ascii="Times New Roman" w:hAnsi="Times New Roman" w:eastAsia="宋体" w:cs="Times New Roman"/>
          <w:kern w:val="2"/>
          <w:sz w:val="24"/>
          <w:szCs w:val="24"/>
          <w:lang w:val="en-US" w:eastAsia="zh-CN" w:bidi="ar-SA"/>
        </w:rPr>
        <w:t>三是坚持因地制宜原则。本标准强调紧密依托本地中医药资源、地域文化及群众生活习惯，进行特色化策划，形成</w:t>
      </w:r>
      <w:r>
        <w:rPr>
          <w:rFonts w:hint="eastAsia" w:ascii="Times New Roman" w:hAnsi="Times New Roman" w:cs="Times New Roman"/>
          <w:kern w:val="2"/>
          <w:sz w:val="24"/>
          <w:szCs w:val="24"/>
          <w:lang w:val="en-US" w:eastAsia="zh-CN" w:bidi="ar-SA"/>
        </w:rPr>
        <w:t>“</w:t>
      </w:r>
      <w:r>
        <w:rPr>
          <w:rFonts w:hint="default" w:ascii="Times New Roman" w:hAnsi="Times New Roman" w:eastAsia="宋体" w:cs="Times New Roman"/>
          <w:kern w:val="2"/>
          <w:sz w:val="24"/>
          <w:szCs w:val="24"/>
          <w:lang w:val="en-US" w:eastAsia="zh-CN" w:bidi="ar-SA"/>
        </w:rPr>
        <w:t>期期有主题，场场有特色</w:t>
      </w:r>
      <w:r>
        <w:rPr>
          <w:rFonts w:hint="eastAsia" w:ascii="Times New Roman" w:hAnsi="Times New Roman" w:cs="Times New Roman"/>
          <w:kern w:val="2"/>
          <w:sz w:val="24"/>
          <w:szCs w:val="24"/>
          <w:lang w:val="en-US" w:eastAsia="zh-CN" w:bidi="ar-SA"/>
        </w:rPr>
        <w:t>”</w:t>
      </w:r>
      <w:r>
        <w:rPr>
          <w:rFonts w:hint="default" w:ascii="Times New Roman" w:hAnsi="Times New Roman" w:eastAsia="宋体" w:cs="Times New Roman"/>
          <w:kern w:val="2"/>
          <w:sz w:val="24"/>
          <w:szCs w:val="24"/>
          <w:lang w:val="en-US" w:eastAsia="zh-CN" w:bidi="ar-SA"/>
        </w:rPr>
        <w:t>的持续吸引力。</w:t>
      </w:r>
    </w:p>
    <w:p w14:paraId="74BDFDF4">
      <w:pPr>
        <w:pStyle w:val="12"/>
        <w:keepNext w:val="0"/>
        <w:keepLines w:val="0"/>
        <w:widowControl/>
        <w:suppressLineNumbers w:val="0"/>
        <w:shd w:val="clear" w:fill="FFFFFF"/>
        <w:spacing w:before="80" w:beforeAutospacing="0" w:after="80" w:afterAutospacing="0" w:line="360" w:lineRule="auto"/>
        <w:ind w:left="0" w:right="0" w:firstLine="0"/>
        <w:rPr>
          <w:rFonts w:hint="default" w:ascii="Times New Roman" w:hAnsi="Times New Roman" w:eastAsia="宋体" w:cs="Times New Roman"/>
          <w:kern w:val="2"/>
          <w:sz w:val="24"/>
          <w:szCs w:val="24"/>
          <w:lang w:val="en-US" w:eastAsia="zh-CN" w:bidi="ar-SA"/>
        </w:rPr>
      </w:pPr>
      <w:r>
        <w:rPr>
          <w:rFonts w:hint="default" w:ascii="Times New Roman" w:hAnsi="Times New Roman" w:eastAsia="宋体" w:cs="Times New Roman"/>
          <w:kern w:val="2"/>
          <w:sz w:val="24"/>
          <w:szCs w:val="24"/>
          <w:lang w:val="en-US" w:eastAsia="zh-CN" w:bidi="ar-SA"/>
        </w:rPr>
        <w:t>四是坚持多方联动原则。本标准倡导构建由医疗机构、社区、企业、媒体等多方参与的协同机制，整合资源，优势互补，共同推动中医药文化、健康服务与相关产业在多元化场景中的深度融合发展。</w:t>
      </w:r>
    </w:p>
    <w:p w14:paraId="7F6F2259">
      <w:pPr>
        <w:spacing w:line="360" w:lineRule="auto"/>
        <w:rPr>
          <w:rFonts w:ascii="黑体" w:hAnsi="黑体" w:eastAsia="黑体"/>
          <w:sz w:val="24"/>
          <w:szCs w:val="24"/>
        </w:rPr>
      </w:pPr>
      <w:r>
        <w:rPr>
          <w:rFonts w:hint="eastAsia" w:ascii="黑体" w:hAnsi="黑体" w:eastAsia="黑体"/>
          <w:sz w:val="24"/>
          <w:szCs w:val="24"/>
        </w:rPr>
        <w:t>2、标准主要技术内容</w:t>
      </w:r>
    </w:p>
    <w:p w14:paraId="018569E7">
      <w:pPr>
        <w:pStyle w:val="12"/>
        <w:keepNext w:val="0"/>
        <w:keepLines w:val="0"/>
        <w:widowControl/>
        <w:suppressLineNumbers w:val="0"/>
        <w:shd w:val="clear" w:fill="FFFFFF"/>
        <w:spacing w:before="80" w:beforeAutospacing="0" w:after="80" w:afterAutospacing="0" w:line="360" w:lineRule="auto"/>
        <w:ind w:left="0" w:right="0" w:firstLine="0"/>
        <w:rPr>
          <w:rFonts w:hint="default" w:ascii="Times New Roman" w:hAnsi="Times New Roman" w:eastAsia="宋体" w:cs="Times New Roman"/>
          <w:kern w:val="2"/>
          <w:sz w:val="24"/>
          <w:szCs w:val="24"/>
          <w:lang w:val="en-US" w:eastAsia="zh-CN" w:bidi="ar-SA"/>
        </w:rPr>
      </w:pPr>
      <w:r>
        <w:rPr>
          <w:rFonts w:hint="default" w:ascii="Times New Roman" w:hAnsi="Times New Roman" w:eastAsia="宋体" w:cs="Times New Roman"/>
          <w:kern w:val="2"/>
          <w:sz w:val="24"/>
          <w:szCs w:val="24"/>
          <w:lang w:val="en-US" w:eastAsia="zh-CN" w:bidi="ar-SA"/>
        </w:rPr>
        <w:t>本标准规定了中医药养生市集建设与养生服务的总体原则、建设要求、服务内容与要求、服务管理要求以及评价与改进，适用于医疗机构策划与实施中医药文化市集活动。</w:t>
      </w:r>
    </w:p>
    <w:p w14:paraId="68E71AF2">
      <w:pPr>
        <w:pStyle w:val="12"/>
        <w:keepNext w:val="0"/>
        <w:keepLines w:val="0"/>
        <w:widowControl/>
        <w:suppressLineNumbers w:val="0"/>
        <w:shd w:val="clear" w:fill="FFFFFF"/>
        <w:spacing w:before="80" w:beforeAutospacing="0" w:after="80" w:afterAutospacing="0" w:line="360" w:lineRule="auto"/>
        <w:ind w:left="0" w:right="0" w:firstLine="0"/>
        <w:rPr>
          <w:rFonts w:hint="default" w:ascii="Times New Roman" w:hAnsi="Times New Roman" w:eastAsia="宋体" w:cs="Times New Roman"/>
          <w:kern w:val="2"/>
          <w:sz w:val="24"/>
          <w:szCs w:val="24"/>
          <w:lang w:val="en-US" w:eastAsia="zh-CN" w:bidi="ar-SA"/>
        </w:rPr>
      </w:pPr>
      <w:r>
        <w:rPr>
          <w:rFonts w:hint="default" w:ascii="Times New Roman" w:hAnsi="Times New Roman" w:eastAsia="宋体" w:cs="Times New Roman"/>
          <w:kern w:val="2"/>
          <w:sz w:val="24"/>
          <w:szCs w:val="24"/>
          <w:lang w:val="en-US" w:eastAsia="zh-CN" w:bidi="ar-SA"/>
        </w:rPr>
        <w:t>（1）术语和定义：界定了中医药养生市集、中医适宜技术、夜门诊、治未病等核心术语的定义。</w:t>
      </w:r>
    </w:p>
    <w:p w14:paraId="03C9640D">
      <w:pPr>
        <w:pStyle w:val="12"/>
        <w:keepNext w:val="0"/>
        <w:keepLines w:val="0"/>
        <w:widowControl/>
        <w:suppressLineNumbers w:val="0"/>
        <w:shd w:val="clear" w:fill="FFFFFF"/>
        <w:spacing w:before="80" w:beforeAutospacing="0" w:after="80" w:afterAutospacing="0" w:line="360" w:lineRule="auto"/>
        <w:ind w:left="0" w:right="0" w:firstLine="0"/>
        <w:rPr>
          <w:rFonts w:hint="default" w:ascii="Times New Roman" w:hAnsi="Times New Roman" w:eastAsia="宋体" w:cs="Times New Roman"/>
          <w:kern w:val="2"/>
          <w:sz w:val="24"/>
          <w:szCs w:val="24"/>
          <w:lang w:val="en-US" w:eastAsia="zh-CN" w:bidi="ar-SA"/>
        </w:rPr>
      </w:pPr>
      <w:r>
        <w:rPr>
          <w:rFonts w:hint="default" w:ascii="Times New Roman" w:hAnsi="Times New Roman" w:eastAsia="宋体" w:cs="Times New Roman"/>
          <w:kern w:val="2"/>
          <w:sz w:val="24"/>
          <w:szCs w:val="24"/>
          <w:lang w:val="en-US" w:eastAsia="zh-CN" w:bidi="ar-SA"/>
        </w:rPr>
        <w:t>（2）总体原则：明确了公益为本、应时便民，传承精华、守正创新，因地制宜、动态策划，多方联动、融合发展四项基本原则。</w:t>
      </w:r>
    </w:p>
    <w:p w14:paraId="53B4D498">
      <w:pPr>
        <w:pStyle w:val="12"/>
        <w:keepNext w:val="0"/>
        <w:keepLines w:val="0"/>
        <w:widowControl/>
        <w:suppressLineNumbers w:val="0"/>
        <w:shd w:val="clear" w:fill="FFFFFF"/>
        <w:spacing w:before="80" w:beforeAutospacing="0" w:after="80" w:afterAutospacing="0" w:line="360" w:lineRule="auto"/>
        <w:ind w:left="0" w:right="0" w:firstLine="0"/>
        <w:rPr>
          <w:rFonts w:hint="default" w:ascii="Times New Roman" w:hAnsi="Times New Roman" w:eastAsia="宋体" w:cs="Times New Roman"/>
          <w:kern w:val="2"/>
          <w:sz w:val="24"/>
          <w:szCs w:val="24"/>
          <w:lang w:val="en-US" w:eastAsia="zh-CN" w:bidi="ar-SA"/>
        </w:rPr>
      </w:pPr>
      <w:r>
        <w:rPr>
          <w:rFonts w:hint="default" w:ascii="Times New Roman" w:hAnsi="Times New Roman" w:eastAsia="宋体" w:cs="Times New Roman"/>
          <w:kern w:val="2"/>
          <w:sz w:val="24"/>
          <w:szCs w:val="24"/>
          <w:lang w:val="en-US" w:eastAsia="zh-CN" w:bidi="ar-SA"/>
        </w:rPr>
        <w:t>（3）基本要求：规定了主办或承办市集的医疗机构应依法取得执业许可证，并按要求办理相关备案或审批手续。</w:t>
      </w:r>
    </w:p>
    <w:p w14:paraId="46549648">
      <w:pPr>
        <w:pStyle w:val="12"/>
        <w:keepNext w:val="0"/>
        <w:keepLines w:val="0"/>
        <w:widowControl/>
        <w:suppressLineNumbers w:val="0"/>
        <w:shd w:val="clear" w:fill="FFFFFF"/>
        <w:spacing w:before="80" w:beforeAutospacing="0" w:after="80" w:afterAutospacing="0" w:line="360" w:lineRule="auto"/>
        <w:ind w:left="0" w:right="0" w:firstLine="0"/>
        <w:rPr>
          <w:rFonts w:hint="default" w:ascii="Times New Roman" w:hAnsi="Times New Roman" w:eastAsia="宋体" w:cs="Times New Roman"/>
          <w:kern w:val="2"/>
          <w:sz w:val="24"/>
          <w:szCs w:val="24"/>
          <w:lang w:val="en-US" w:eastAsia="zh-CN" w:bidi="ar-SA"/>
        </w:rPr>
      </w:pPr>
      <w:r>
        <w:rPr>
          <w:rFonts w:hint="default" w:ascii="Times New Roman" w:hAnsi="Times New Roman" w:eastAsia="宋体" w:cs="Times New Roman"/>
          <w:kern w:val="2"/>
          <w:sz w:val="24"/>
          <w:szCs w:val="24"/>
          <w:lang w:val="en-US" w:eastAsia="zh-CN" w:bidi="ar-SA"/>
        </w:rPr>
        <w:t>（4）建设要求：规定了选址条件（交通便利、环境开阔、市政配套完善）、功能布局（健康服务区、文化体验区、产业互动区、后勤保障区）、设施设备（基础服务设施、专业设备、安全应急设施）等要求。</w:t>
      </w:r>
    </w:p>
    <w:p w14:paraId="092A5B04">
      <w:pPr>
        <w:pStyle w:val="12"/>
        <w:keepNext w:val="0"/>
        <w:keepLines w:val="0"/>
        <w:widowControl/>
        <w:suppressLineNumbers w:val="0"/>
        <w:shd w:val="clear" w:fill="FFFFFF"/>
        <w:spacing w:before="80" w:beforeAutospacing="0" w:after="80" w:afterAutospacing="0" w:line="360" w:lineRule="auto"/>
        <w:ind w:left="0" w:right="0" w:firstLine="0"/>
        <w:rPr>
          <w:rFonts w:hint="default" w:ascii="Times New Roman" w:hAnsi="Times New Roman" w:eastAsia="宋体" w:cs="Times New Roman"/>
          <w:kern w:val="2"/>
          <w:sz w:val="24"/>
          <w:szCs w:val="24"/>
          <w:lang w:val="en-US" w:eastAsia="zh-CN" w:bidi="ar-SA"/>
        </w:rPr>
      </w:pPr>
      <w:r>
        <w:rPr>
          <w:rFonts w:hint="default" w:ascii="Times New Roman" w:hAnsi="Times New Roman" w:eastAsia="宋体" w:cs="Times New Roman"/>
          <w:kern w:val="2"/>
          <w:sz w:val="24"/>
          <w:szCs w:val="24"/>
          <w:lang w:val="en-US" w:eastAsia="zh-CN" w:bidi="ar-SA"/>
        </w:rPr>
        <w:t>（5）服务内容与要求：规定了健康服务（治未病服务、中医适宜技术体验、体质辨识、夜门诊等）、文化体验服务（科普活动、养生功法教学、文化展览等）、产业互动服务（药膳品鉴、产品展示、体验式消费等）的具体内容和要求。</w:t>
      </w:r>
    </w:p>
    <w:p w14:paraId="12083C7E">
      <w:pPr>
        <w:pStyle w:val="12"/>
        <w:keepNext w:val="0"/>
        <w:keepLines w:val="0"/>
        <w:widowControl/>
        <w:suppressLineNumbers w:val="0"/>
        <w:shd w:val="clear" w:fill="FFFFFF"/>
        <w:spacing w:before="80" w:beforeAutospacing="0" w:after="80" w:afterAutospacing="0" w:line="360" w:lineRule="auto"/>
        <w:ind w:left="0" w:right="0" w:firstLine="0"/>
        <w:rPr>
          <w:rFonts w:hint="default" w:ascii="Times New Roman" w:hAnsi="Times New Roman" w:eastAsia="宋体" w:cs="Times New Roman"/>
          <w:kern w:val="2"/>
          <w:sz w:val="24"/>
          <w:szCs w:val="24"/>
          <w:lang w:val="en-US" w:eastAsia="zh-CN" w:bidi="ar-SA"/>
        </w:rPr>
      </w:pPr>
      <w:r>
        <w:rPr>
          <w:rFonts w:hint="default" w:ascii="Times New Roman" w:hAnsi="Times New Roman" w:eastAsia="宋体" w:cs="Times New Roman"/>
          <w:kern w:val="2"/>
          <w:sz w:val="24"/>
          <w:szCs w:val="24"/>
          <w:lang w:val="en-US" w:eastAsia="zh-CN" w:bidi="ar-SA"/>
        </w:rPr>
        <w:t>（6）服务管理：规定了人员管理（资质要求、岗前培训、志愿者配备）、服务流程和策划（活动主题设计、方案制定、流程标准化）、日常运营管理、安全管理（应急预案、安全培训、消毒规范）等要求。</w:t>
      </w:r>
    </w:p>
    <w:p w14:paraId="4C98C0E2">
      <w:pPr>
        <w:pStyle w:val="12"/>
        <w:keepNext w:val="0"/>
        <w:keepLines w:val="0"/>
        <w:widowControl/>
        <w:suppressLineNumbers w:val="0"/>
        <w:shd w:val="clear" w:fill="FFFFFF"/>
        <w:spacing w:before="80" w:beforeAutospacing="0" w:after="80" w:afterAutospacing="0" w:line="360" w:lineRule="auto"/>
        <w:ind w:left="0" w:right="0" w:firstLine="0"/>
        <w:rPr>
          <w:rFonts w:hint="default" w:ascii="Times New Roman" w:hAnsi="Times New Roman" w:eastAsia="宋体" w:cs="Times New Roman"/>
          <w:kern w:val="2"/>
          <w:sz w:val="24"/>
          <w:szCs w:val="24"/>
          <w:lang w:val="en-US" w:eastAsia="zh-CN" w:bidi="ar-SA"/>
        </w:rPr>
      </w:pPr>
      <w:r>
        <w:rPr>
          <w:rFonts w:hint="default" w:ascii="Times New Roman" w:hAnsi="Times New Roman" w:eastAsia="宋体" w:cs="Times New Roman"/>
          <w:kern w:val="2"/>
          <w:sz w:val="24"/>
          <w:szCs w:val="24"/>
          <w:lang w:val="en-US" w:eastAsia="zh-CN" w:bidi="ar-SA"/>
        </w:rPr>
        <w:t>（7）评价与改进：规定了服务评价的机制、渠道和指标体系，以及服务改进的措施和成果转化要求。</w:t>
      </w:r>
    </w:p>
    <w:p w14:paraId="64FD4AF1">
      <w:pPr>
        <w:pStyle w:val="12"/>
        <w:keepNext w:val="0"/>
        <w:keepLines w:val="0"/>
        <w:widowControl/>
        <w:suppressLineNumbers w:val="0"/>
        <w:shd w:val="clear" w:fill="FFFFFF"/>
        <w:spacing w:before="80" w:beforeAutospacing="0" w:after="80" w:afterAutospacing="0" w:line="360" w:lineRule="auto"/>
        <w:ind w:left="0" w:right="0" w:firstLine="0"/>
        <w:rPr>
          <w:rFonts w:hint="default" w:ascii="Times New Roman" w:hAnsi="Times New Roman" w:eastAsia="宋体" w:cs="Times New Roman"/>
          <w:kern w:val="2"/>
          <w:sz w:val="24"/>
          <w:szCs w:val="24"/>
          <w:lang w:val="en-US" w:eastAsia="zh-CN" w:bidi="ar-SA"/>
        </w:rPr>
      </w:pPr>
      <w:r>
        <w:rPr>
          <w:rFonts w:hint="default" w:ascii="Times New Roman" w:hAnsi="Times New Roman" w:eastAsia="宋体" w:cs="Times New Roman"/>
          <w:kern w:val="2"/>
          <w:sz w:val="24"/>
          <w:szCs w:val="24"/>
          <w:lang w:val="en-US" w:eastAsia="zh-CN" w:bidi="ar-SA"/>
        </w:rPr>
        <w:t>（8）附录：提供了四季养生主题、重点人群养生主题、常见健康问题调理主题的参考示例。</w:t>
      </w:r>
    </w:p>
    <w:p w14:paraId="2FB31BF5">
      <w:pPr>
        <w:spacing w:line="360" w:lineRule="auto"/>
        <w:rPr>
          <w:rFonts w:ascii="黑体" w:hAnsi="黑体" w:eastAsia="黑体"/>
          <w:sz w:val="24"/>
          <w:szCs w:val="24"/>
        </w:rPr>
      </w:pPr>
      <w:r>
        <w:rPr>
          <w:rFonts w:hint="eastAsia" w:ascii="黑体" w:hAnsi="黑体" w:eastAsia="黑体"/>
          <w:sz w:val="24"/>
          <w:szCs w:val="24"/>
        </w:rPr>
        <w:t>三</w:t>
      </w:r>
      <w:r>
        <w:rPr>
          <w:rFonts w:ascii="黑体" w:hAnsi="黑体" w:eastAsia="黑体"/>
          <w:sz w:val="24"/>
          <w:szCs w:val="24"/>
        </w:rPr>
        <w:t>、</w:t>
      </w:r>
      <w:r>
        <w:rPr>
          <w:rFonts w:hint="eastAsia" w:ascii="黑体" w:hAnsi="黑体" w:eastAsia="黑体"/>
          <w:sz w:val="24"/>
          <w:szCs w:val="24"/>
        </w:rPr>
        <w:t>主要试验（或验证）情况分析</w:t>
      </w:r>
    </w:p>
    <w:p w14:paraId="60A087CE">
      <w:pPr>
        <w:spacing w:line="360" w:lineRule="auto"/>
        <w:ind w:firstLine="480" w:firstLineChars="200"/>
        <w:rPr>
          <w:rFonts w:hint="eastAsia" w:ascii="Times New Roman" w:hAnsi="Times New Roman"/>
          <w:sz w:val="24"/>
          <w:szCs w:val="24"/>
          <w:lang w:val="en-US" w:eastAsia="zh-CN"/>
        </w:rPr>
      </w:pPr>
      <w:r>
        <w:rPr>
          <w:rFonts w:hint="eastAsia" w:ascii="Times New Roman" w:hAnsi="Times New Roman"/>
          <w:sz w:val="24"/>
          <w:szCs w:val="24"/>
          <w:lang w:val="en-US" w:eastAsia="zh-CN"/>
        </w:rPr>
        <w:t>无</w:t>
      </w:r>
    </w:p>
    <w:p w14:paraId="73D457CB">
      <w:pPr>
        <w:spacing w:line="360" w:lineRule="auto"/>
        <w:rPr>
          <w:rFonts w:ascii="黑体" w:hAnsi="黑体" w:eastAsia="黑体"/>
          <w:sz w:val="24"/>
          <w:szCs w:val="24"/>
        </w:rPr>
      </w:pPr>
      <w:r>
        <w:rPr>
          <w:rFonts w:hint="eastAsia" w:ascii="黑体" w:hAnsi="黑体" w:eastAsia="黑体"/>
          <w:sz w:val="24"/>
          <w:szCs w:val="24"/>
        </w:rPr>
        <w:t>四、标准中涉及专利的情况</w:t>
      </w:r>
    </w:p>
    <w:p w14:paraId="6E728D66">
      <w:pPr>
        <w:spacing w:line="360" w:lineRule="auto"/>
        <w:ind w:firstLine="465"/>
        <w:rPr>
          <w:rFonts w:ascii="Times New Roman" w:hAnsi="Times New Roman"/>
          <w:sz w:val="24"/>
          <w:szCs w:val="24"/>
        </w:rPr>
      </w:pPr>
      <w:r>
        <w:rPr>
          <w:rFonts w:hint="eastAsia" w:ascii="Times New Roman" w:hAnsi="Times New Roman"/>
          <w:sz w:val="24"/>
          <w:szCs w:val="24"/>
        </w:rPr>
        <w:t>本标准中没有涉及专利的情况。</w:t>
      </w:r>
    </w:p>
    <w:p w14:paraId="2A22321A">
      <w:pPr>
        <w:spacing w:line="360" w:lineRule="auto"/>
        <w:rPr>
          <w:rFonts w:ascii="黑体" w:hAnsi="黑体" w:eastAsia="黑体"/>
          <w:sz w:val="24"/>
          <w:szCs w:val="24"/>
        </w:rPr>
      </w:pPr>
      <w:r>
        <w:rPr>
          <w:rFonts w:hint="eastAsia" w:ascii="黑体" w:hAnsi="黑体" w:eastAsia="黑体"/>
          <w:sz w:val="24"/>
          <w:szCs w:val="24"/>
        </w:rPr>
        <w:t>五</w:t>
      </w:r>
      <w:r>
        <w:rPr>
          <w:rFonts w:ascii="黑体" w:hAnsi="黑体" w:eastAsia="黑体"/>
          <w:sz w:val="24"/>
          <w:szCs w:val="24"/>
        </w:rPr>
        <w:t>、预期达到的社会效益、对产业发展的作用的情况</w:t>
      </w:r>
    </w:p>
    <w:p w14:paraId="0303EFE4">
      <w:pPr>
        <w:pStyle w:val="12"/>
        <w:keepNext w:val="0"/>
        <w:keepLines w:val="0"/>
        <w:widowControl/>
        <w:suppressLineNumbers w:val="0"/>
        <w:shd w:val="clear" w:fill="FFFFFF"/>
        <w:spacing w:before="80" w:beforeAutospacing="0" w:after="80" w:afterAutospacing="0" w:line="360" w:lineRule="auto"/>
        <w:ind w:left="0" w:right="0" w:firstLine="0"/>
        <w:rPr>
          <w:rFonts w:hint="eastAsia" w:ascii="Times New Roman" w:hAnsi="Times New Roman" w:eastAsia="宋体" w:cs="Times New Roman"/>
          <w:kern w:val="2"/>
          <w:sz w:val="24"/>
          <w:szCs w:val="24"/>
          <w:lang w:val="en-US" w:eastAsia="zh-CN" w:bidi="ar-SA"/>
        </w:rPr>
      </w:pPr>
      <w:r>
        <w:rPr>
          <w:rFonts w:hint="default" w:ascii="Times New Roman" w:hAnsi="Times New Roman" w:eastAsia="宋体" w:cs="Times New Roman"/>
          <w:kern w:val="2"/>
          <w:sz w:val="24"/>
          <w:szCs w:val="24"/>
          <w:lang w:val="en-US" w:eastAsia="zh-CN" w:bidi="ar-SA"/>
        </w:rPr>
        <w:t>本标准的研制和实施，具有以下重要作用：</w:t>
      </w:r>
    </w:p>
    <w:p w14:paraId="2F89E70B">
      <w:pPr>
        <w:pStyle w:val="12"/>
        <w:keepNext w:val="0"/>
        <w:keepLines w:val="0"/>
        <w:widowControl/>
        <w:suppressLineNumbers w:val="0"/>
        <w:shd w:val="clear" w:fill="FFFFFF"/>
        <w:spacing w:before="80" w:beforeAutospacing="0" w:after="80" w:afterAutospacing="0" w:line="360" w:lineRule="auto"/>
        <w:ind w:left="0" w:right="0" w:firstLine="0"/>
        <w:rPr>
          <w:rFonts w:hint="default" w:ascii="Times New Roman" w:hAnsi="Times New Roman" w:eastAsia="宋体" w:cs="Times New Roman"/>
          <w:kern w:val="2"/>
          <w:sz w:val="24"/>
          <w:szCs w:val="24"/>
          <w:lang w:val="en-US" w:eastAsia="zh-CN" w:bidi="ar-SA"/>
        </w:rPr>
      </w:pPr>
      <w:r>
        <w:rPr>
          <w:rFonts w:hint="default" w:ascii="Times New Roman" w:hAnsi="Times New Roman" w:eastAsia="宋体" w:cs="Times New Roman"/>
          <w:kern w:val="2"/>
          <w:sz w:val="24"/>
          <w:szCs w:val="24"/>
          <w:lang w:val="en-US" w:eastAsia="zh-CN" w:bidi="ar-SA"/>
        </w:rPr>
        <w:t>一是填补标准空白。本标准系统总结了</w:t>
      </w:r>
      <w:r>
        <w:rPr>
          <w:rFonts w:hint="eastAsia" w:ascii="Times New Roman" w:hAnsi="Times New Roman" w:cs="Times New Roman"/>
          <w:kern w:val="2"/>
          <w:sz w:val="24"/>
          <w:szCs w:val="24"/>
          <w:lang w:val="en-US" w:eastAsia="zh-CN" w:bidi="ar-SA"/>
        </w:rPr>
        <w:t>“</w:t>
      </w:r>
      <w:r>
        <w:rPr>
          <w:rFonts w:hint="default" w:ascii="Times New Roman" w:hAnsi="Times New Roman" w:eastAsia="宋体" w:cs="Times New Roman"/>
          <w:kern w:val="2"/>
          <w:sz w:val="24"/>
          <w:szCs w:val="24"/>
          <w:lang w:val="en-US" w:eastAsia="zh-CN" w:bidi="ar-SA"/>
        </w:rPr>
        <w:t>杏林联盟·夜市惠民</w:t>
      </w:r>
      <w:r>
        <w:rPr>
          <w:rFonts w:hint="eastAsia" w:ascii="Times New Roman" w:hAnsi="Times New Roman" w:cs="Times New Roman"/>
          <w:kern w:val="2"/>
          <w:sz w:val="24"/>
          <w:szCs w:val="24"/>
          <w:lang w:val="en-US" w:eastAsia="zh-CN" w:bidi="ar-SA"/>
        </w:rPr>
        <w:t>”</w:t>
      </w:r>
      <w:r>
        <w:rPr>
          <w:rFonts w:hint="default" w:ascii="Times New Roman" w:hAnsi="Times New Roman" w:eastAsia="宋体" w:cs="Times New Roman"/>
          <w:kern w:val="2"/>
          <w:sz w:val="24"/>
          <w:szCs w:val="24"/>
          <w:lang w:val="en-US" w:eastAsia="zh-CN" w:bidi="ar-SA"/>
        </w:rPr>
        <w:t>等项目的成功经验，将中医药养生市集的建设、运营与服务要求形成标准化规范，填补了该领域的标准空白。</w:t>
      </w:r>
    </w:p>
    <w:p w14:paraId="5C1B630C">
      <w:pPr>
        <w:pStyle w:val="12"/>
        <w:keepNext w:val="0"/>
        <w:keepLines w:val="0"/>
        <w:widowControl/>
        <w:suppressLineNumbers w:val="0"/>
        <w:shd w:val="clear" w:fill="FFFFFF"/>
        <w:spacing w:before="80" w:beforeAutospacing="0" w:after="80" w:afterAutospacing="0" w:line="360" w:lineRule="auto"/>
        <w:ind w:left="0" w:right="0" w:firstLine="0"/>
        <w:rPr>
          <w:rFonts w:hint="default" w:ascii="Times New Roman" w:hAnsi="Times New Roman" w:eastAsia="宋体" w:cs="Times New Roman"/>
          <w:kern w:val="2"/>
          <w:sz w:val="24"/>
          <w:szCs w:val="24"/>
          <w:lang w:val="en-US" w:eastAsia="zh-CN" w:bidi="ar-SA"/>
        </w:rPr>
      </w:pPr>
      <w:r>
        <w:rPr>
          <w:rFonts w:hint="default" w:ascii="Times New Roman" w:hAnsi="Times New Roman" w:eastAsia="宋体" w:cs="Times New Roman"/>
          <w:kern w:val="2"/>
          <w:sz w:val="24"/>
          <w:szCs w:val="24"/>
          <w:lang w:val="en-US" w:eastAsia="zh-CN" w:bidi="ar-SA"/>
        </w:rPr>
        <w:t>二是推动中医药文化传播。本标准规范了中医药养生市集的文化体验服务内容，通过互动性强、体验感佳的科普活动、养生功法教学、文化展览等形式，推动中医药文化创造性转化与创新性发展。</w:t>
      </w:r>
    </w:p>
    <w:p w14:paraId="7645A5D1">
      <w:pPr>
        <w:pStyle w:val="12"/>
        <w:keepNext w:val="0"/>
        <w:keepLines w:val="0"/>
        <w:widowControl/>
        <w:suppressLineNumbers w:val="0"/>
        <w:shd w:val="clear" w:fill="FFFFFF"/>
        <w:spacing w:before="80" w:beforeAutospacing="0" w:after="80" w:afterAutospacing="0" w:line="360" w:lineRule="auto"/>
        <w:ind w:left="0" w:right="0" w:firstLine="0"/>
        <w:rPr>
          <w:rFonts w:hint="default" w:ascii="Times New Roman" w:hAnsi="Times New Roman" w:eastAsia="宋体" w:cs="Times New Roman"/>
          <w:kern w:val="2"/>
          <w:sz w:val="24"/>
          <w:szCs w:val="24"/>
          <w:lang w:val="en-US" w:eastAsia="zh-CN" w:bidi="ar-SA"/>
        </w:rPr>
      </w:pPr>
      <w:r>
        <w:rPr>
          <w:rFonts w:hint="default" w:ascii="Times New Roman" w:hAnsi="Times New Roman" w:eastAsia="宋体" w:cs="Times New Roman"/>
          <w:kern w:val="2"/>
          <w:sz w:val="24"/>
          <w:szCs w:val="24"/>
          <w:lang w:val="en-US" w:eastAsia="zh-CN" w:bidi="ar-SA"/>
        </w:rPr>
        <w:t>三是促进中医药服务延伸。本标准推动中医药服务从医疗机构向社区生活场景延伸，通过</w:t>
      </w:r>
      <w:r>
        <w:rPr>
          <w:rFonts w:hint="eastAsia" w:ascii="Times New Roman" w:hAnsi="Times New Roman" w:cs="Times New Roman"/>
          <w:kern w:val="2"/>
          <w:sz w:val="24"/>
          <w:szCs w:val="24"/>
          <w:lang w:val="en-US" w:eastAsia="zh-CN" w:bidi="ar-SA"/>
        </w:rPr>
        <w:t>“</w:t>
      </w:r>
      <w:r>
        <w:rPr>
          <w:rFonts w:hint="default" w:ascii="Times New Roman" w:hAnsi="Times New Roman" w:eastAsia="宋体" w:cs="Times New Roman"/>
          <w:kern w:val="2"/>
          <w:sz w:val="24"/>
          <w:szCs w:val="24"/>
          <w:lang w:val="en-US" w:eastAsia="zh-CN" w:bidi="ar-SA"/>
        </w:rPr>
        <w:t>因需而设</w:t>
      </w:r>
      <w:r>
        <w:rPr>
          <w:rFonts w:hint="eastAsia" w:ascii="Times New Roman" w:hAnsi="Times New Roman" w:cs="Times New Roman"/>
          <w:kern w:val="2"/>
          <w:sz w:val="24"/>
          <w:szCs w:val="24"/>
          <w:lang w:val="en-US" w:eastAsia="zh-CN" w:bidi="ar-SA"/>
        </w:rPr>
        <w:t>”</w:t>
      </w:r>
      <w:r>
        <w:rPr>
          <w:rFonts w:hint="default" w:ascii="Times New Roman" w:hAnsi="Times New Roman" w:eastAsia="宋体" w:cs="Times New Roman"/>
          <w:kern w:val="2"/>
          <w:sz w:val="24"/>
          <w:szCs w:val="24"/>
          <w:lang w:val="en-US" w:eastAsia="zh-CN" w:bidi="ar-SA"/>
        </w:rPr>
        <w:t>的方式，切实便利居民参与，满足群众多样化的中医药健康需求，助力</w:t>
      </w:r>
      <w:r>
        <w:rPr>
          <w:rFonts w:hint="eastAsia" w:ascii="Times New Roman" w:hAnsi="Times New Roman" w:cs="Times New Roman"/>
          <w:kern w:val="2"/>
          <w:sz w:val="24"/>
          <w:szCs w:val="24"/>
          <w:lang w:val="en-US" w:eastAsia="zh-CN" w:bidi="ar-SA"/>
        </w:rPr>
        <w:t>“</w:t>
      </w:r>
      <w:r>
        <w:rPr>
          <w:rFonts w:hint="default" w:ascii="Times New Roman" w:hAnsi="Times New Roman" w:eastAsia="宋体" w:cs="Times New Roman"/>
          <w:kern w:val="2"/>
          <w:sz w:val="24"/>
          <w:szCs w:val="24"/>
          <w:lang w:val="en-US" w:eastAsia="zh-CN" w:bidi="ar-SA"/>
        </w:rPr>
        <w:t>健康中国</w:t>
      </w:r>
      <w:r>
        <w:rPr>
          <w:rFonts w:hint="eastAsia" w:ascii="Times New Roman" w:hAnsi="Times New Roman" w:cs="Times New Roman"/>
          <w:kern w:val="2"/>
          <w:sz w:val="24"/>
          <w:szCs w:val="24"/>
          <w:lang w:val="en-US" w:eastAsia="zh-CN" w:bidi="ar-SA"/>
        </w:rPr>
        <w:t>”</w:t>
      </w:r>
      <w:r>
        <w:rPr>
          <w:rFonts w:hint="default" w:ascii="Times New Roman" w:hAnsi="Times New Roman" w:eastAsia="宋体" w:cs="Times New Roman"/>
          <w:kern w:val="2"/>
          <w:sz w:val="24"/>
          <w:szCs w:val="24"/>
          <w:lang w:val="en-US" w:eastAsia="zh-CN" w:bidi="ar-SA"/>
        </w:rPr>
        <w:t>建设。</w:t>
      </w:r>
    </w:p>
    <w:p w14:paraId="53DC8235">
      <w:pPr>
        <w:pStyle w:val="12"/>
        <w:keepNext w:val="0"/>
        <w:keepLines w:val="0"/>
        <w:widowControl/>
        <w:suppressLineNumbers w:val="0"/>
        <w:shd w:val="clear" w:fill="FFFFFF"/>
        <w:spacing w:before="80" w:beforeAutospacing="0" w:after="80" w:afterAutospacing="0" w:line="360" w:lineRule="auto"/>
        <w:ind w:left="0" w:right="0" w:firstLine="0"/>
        <w:rPr>
          <w:rFonts w:hint="default" w:ascii="Times New Roman" w:hAnsi="Times New Roman" w:eastAsia="宋体" w:cs="Times New Roman"/>
          <w:kern w:val="2"/>
          <w:sz w:val="24"/>
          <w:szCs w:val="24"/>
          <w:lang w:val="en-US" w:eastAsia="zh-CN" w:bidi="ar-SA"/>
        </w:rPr>
      </w:pPr>
      <w:r>
        <w:rPr>
          <w:rFonts w:hint="default" w:ascii="Times New Roman" w:hAnsi="Times New Roman" w:eastAsia="宋体" w:cs="Times New Roman"/>
          <w:kern w:val="2"/>
          <w:sz w:val="24"/>
          <w:szCs w:val="24"/>
          <w:lang w:val="en-US" w:eastAsia="zh-CN" w:bidi="ar-SA"/>
        </w:rPr>
        <w:t>四是形成可复制推广模式。本标准为各地开展中医药养生市集活动提供了标准化指南，有利于形成可复制、可推广的经验模式，推动中医药事业高质量发展。</w:t>
      </w:r>
    </w:p>
    <w:p w14:paraId="5408827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157" w:beforeLines="50" w:line="360" w:lineRule="auto"/>
        <w:textAlignment w:val="auto"/>
        <w:rPr>
          <w:rFonts w:ascii="黑体" w:hAnsi="黑体" w:eastAsia="黑体"/>
          <w:sz w:val="24"/>
          <w:szCs w:val="24"/>
        </w:rPr>
      </w:pPr>
      <w:r>
        <w:rPr>
          <w:rFonts w:hint="eastAsia" w:ascii="黑体" w:hAnsi="黑体" w:eastAsia="黑体"/>
          <w:sz w:val="24"/>
          <w:szCs w:val="24"/>
        </w:rPr>
        <w:t>六</w:t>
      </w:r>
      <w:r>
        <w:rPr>
          <w:rFonts w:ascii="黑体" w:hAnsi="黑体" w:eastAsia="黑体"/>
          <w:sz w:val="24"/>
          <w:szCs w:val="24"/>
        </w:rPr>
        <w:t>、</w:t>
      </w:r>
      <w:r>
        <w:rPr>
          <w:rFonts w:hint="eastAsia" w:ascii="黑体" w:hAnsi="黑体" w:eastAsia="黑体"/>
          <w:sz w:val="24"/>
          <w:szCs w:val="24"/>
        </w:rPr>
        <w:t>采用国际标准和国外先进标准情况，与国际、国外同类标准水平的对比情况，国内外关键指标对比分析或与测试的国外样品、样机的相关数据对比情况</w:t>
      </w:r>
    </w:p>
    <w:p w14:paraId="56681590">
      <w:pPr>
        <w:spacing w:line="360" w:lineRule="auto"/>
        <w:ind w:firstLine="480" w:firstLineChars="200"/>
        <w:jc w:val="left"/>
        <w:rPr>
          <w:rFonts w:ascii="Times New Roman" w:hAnsi="Times New Roman"/>
          <w:b/>
          <w:sz w:val="24"/>
          <w:szCs w:val="24"/>
        </w:rPr>
      </w:pPr>
      <w:r>
        <w:rPr>
          <w:rFonts w:hint="eastAsia" w:ascii="Times New Roman" w:hAnsi="Times New Roman"/>
          <w:sz w:val="24"/>
          <w:szCs w:val="24"/>
          <w:lang w:val="en-US" w:eastAsia="zh-CN"/>
        </w:rPr>
        <w:t>本标准的制定未采用国际标准</w:t>
      </w:r>
    </w:p>
    <w:p w14:paraId="61071F9F">
      <w:pPr>
        <w:spacing w:line="360" w:lineRule="auto"/>
        <w:rPr>
          <w:rFonts w:ascii="黑体" w:hAnsi="黑体" w:eastAsia="黑体"/>
          <w:sz w:val="24"/>
          <w:szCs w:val="24"/>
        </w:rPr>
      </w:pPr>
      <w:r>
        <w:rPr>
          <w:rFonts w:hint="eastAsia" w:ascii="黑体" w:hAnsi="黑体" w:eastAsia="黑体"/>
          <w:sz w:val="24"/>
          <w:szCs w:val="24"/>
        </w:rPr>
        <w:t>七</w:t>
      </w:r>
      <w:r>
        <w:rPr>
          <w:rFonts w:ascii="黑体" w:hAnsi="黑体" w:eastAsia="黑体"/>
          <w:sz w:val="24"/>
          <w:szCs w:val="24"/>
        </w:rPr>
        <w:t>、在标准体系中的位置，与现行相关法律、法规、规章及相关标准，特别是强制性标准的协调性</w:t>
      </w:r>
    </w:p>
    <w:p w14:paraId="48F34410">
      <w:pPr>
        <w:spacing w:line="360" w:lineRule="auto"/>
        <w:ind w:firstLine="480" w:firstLineChars="20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本标准属于团体标准，与现行法律、法规、规章和政策以及有关基础和相关标准不矛盾。</w:t>
      </w:r>
    </w:p>
    <w:p w14:paraId="0F2BE574">
      <w:pPr>
        <w:spacing w:line="360" w:lineRule="auto"/>
        <w:rPr>
          <w:rFonts w:ascii="黑体" w:hAnsi="黑体" w:eastAsia="黑体"/>
          <w:sz w:val="24"/>
          <w:szCs w:val="24"/>
        </w:rPr>
      </w:pPr>
      <w:r>
        <w:rPr>
          <w:rFonts w:hint="eastAsia" w:ascii="黑体" w:hAnsi="黑体" w:eastAsia="黑体"/>
          <w:sz w:val="24"/>
          <w:szCs w:val="24"/>
        </w:rPr>
        <w:t>八</w:t>
      </w:r>
      <w:r>
        <w:rPr>
          <w:rFonts w:ascii="黑体" w:hAnsi="黑体" w:eastAsia="黑体"/>
          <w:sz w:val="24"/>
          <w:szCs w:val="24"/>
        </w:rPr>
        <w:t>、重大分歧意见的处理经过和依据</w:t>
      </w:r>
    </w:p>
    <w:p w14:paraId="31098F1F">
      <w:pPr>
        <w:spacing w:line="360" w:lineRule="auto"/>
        <w:ind w:firstLine="480" w:firstLineChars="20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本标准未产生重大分歧意见</w:t>
      </w:r>
      <w:r>
        <w:rPr>
          <w:rFonts w:hint="eastAsia" w:ascii="Times New Roman" w:hAnsi="Times New Roman"/>
          <w:sz w:val="24"/>
          <w:szCs w:val="24"/>
        </w:rPr>
        <w:t>。</w:t>
      </w:r>
    </w:p>
    <w:p w14:paraId="4C1B385F">
      <w:pPr>
        <w:spacing w:line="360" w:lineRule="auto"/>
        <w:rPr>
          <w:rFonts w:ascii="黑体" w:hAnsi="黑体" w:eastAsia="黑体"/>
          <w:sz w:val="24"/>
          <w:szCs w:val="24"/>
        </w:rPr>
      </w:pPr>
      <w:r>
        <w:rPr>
          <w:rFonts w:hint="eastAsia" w:ascii="黑体" w:hAnsi="黑体" w:eastAsia="黑体"/>
          <w:sz w:val="24"/>
          <w:szCs w:val="24"/>
        </w:rPr>
        <w:t>九</w:t>
      </w:r>
      <w:r>
        <w:rPr>
          <w:rFonts w:ascii="黑体" w:hAnsi="黑体" w:eastAsia="黑体"/>
          <w:sz w:val="24"/>
          <w:szCs w:val="24"/>
        </w:rPr>
        <w:t>、标准性质的建议说明</w:t>
      </w:r>
    </w:p>
    <w:p w14:paraId="51F3ED73">
      <w:pPr>
        <w:spacing w:line="360" w:lineRule="auto"/>
        <w:ind w:firstLine="435"/>
        <w:rPr>
          <w:rFonts w:ascii="Times New Roman" w:hAnsi="Times New Roman"/>
          <w:sz w:val="24"/>
          <w:szCs w:val="24"/>
        </w:rPr>
      </w:pPr>
      <w:r>
        <w:rPr>
          <w:rFonts w:hint="eastAsia" w:ascii="Times New Roman" w:hAnsi="Times New Roman"/>
          <w:sz w:val="24"/>
          <w:szCs w:val="24"/>
        </w:rPr>
        <w:t>本标准为</w:t>
      </w:r>
      <w:r>
        <w:rPr>
          <w:rFonts w:hint="eastAsia" w:ascii="Times New Roman" w:hAnsi="Times New Roman"/>
          <w:sz w:val="24"/>
          <w:szCs w:val="24"/>
          <w:lang w:val="en-US" w:eastAsia="zh-CN"/>
        </w:rPr>
        <w:t>中国中医药研究促进会团体</w:t>
      </w:r>
      <w:r>
        <w:rPr>
          <w:rFonts w:hint="eastAsia" w:ascii="Times New Roman" w:hAnsi="Times New Roman"/>
          <w:sz w:val="24"/>
          <w:szCs w:val="24"/>
        </w:rPr>
        <w:t>标准，属于团体标准,供协会会员和社会自愿使用。</w:t>
      </w:r>
    </w:p>
    <w:p w14:paraId="30107A08">
      <w:pPr>
        <w:spacing w:line="360" w:lineRule="auto"/>
        <w:rPr>
          <w:rFonts w:ascii="黑体" w:hAnsi="黑体" w:eastAsia="黑体"/>
          <w:sz w:val="24"/>
          <w:szCs w:val="24"/>
        </w:rPr>
      </w:pPr>
      <w:r>
        <w:rPr>
          <w:rFonts w:hint="eastAsia" w:ascii="黑体" w:hAnsi="黑体" w:eastAsia="黑体"/>
          <w:sz w:val="24"/>
          <w:szCs w:val="24"/>
        </w:rPr>
        <w:t>十、贯彻标准的要求和措施建议</w:t>
      </w:r>
    </w:p>
    <w:p w14:paraId="074EFE80">
      <w:pPr>
        <w:spacing w:line="360" w:lineRule="auto"/>
        <w:ind w:firstLine="480" w:firstLineChars="20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本标准为首次发布。</w:t>
      </w:r>
    </w:p>
    <w:p w14:paraId="248E3410">
      <w:pPr>
        <w:spacing w:line="360" w:lineRule="auto"/>
        <w:rPr>
          <w:rFonts w:ascii="黑体" w:hAnsi="黑体" w:eastAsia="黑体"/>
          <w:sz w:val="24"/>
          <w:szCs w:val="24"/>
        </w:rPr>
      </w:pPr>
      <w:r>
        <w:rPr>
          <w:rFonts w:ascii="黑体" w:hAnsi="黑体" w:eastAsia="黑体"/>
          <w:sz w:val="24"/>
          <w:szCs w:val="24"/>
        </w:rPr>
        <w:t>十</w:t>
      </w:r>
      <w:r>
        <w:rPr>
          <w:rFonts w:hint="eastAsia" w:ascii="黑体" w:hAnsi="黑体" w:eastAsia="黑体"/>
          <w:sz w:val="24"/>
          <w:szCs w:val="24"/>
        </w:rPr>
        <w:t>一</w:t>
      </w:r>
      <w:r>
        <w:rPr>
          <w:rFonts w:ascii="黑体" w:hAnsi="黑体" w:eastAsia="黑体"/>
          <w:sz w:val="24"/>
          <w:szCs w:val="24"/>
        </w:rPr>
        <w:t>、废止现行相关标准的建议</w:t>
      </w:r>
    </w:p>
    <w:p w14:paraId="1200D699">
      <w:pPr>
        <w:spacing w:line="360" w:lineRule="auto"/>
        <w:ind w:firstLine="480" w:firstLineChars="200"/>
        <w:rPr>
          <w:rFonts w:ascii="Times New Roman" w:hAnsi="Times New Roman"/>
          <w:sz w:val="24"/>
          <w:szCs w:val="24"/>
        </w:rPr>
      </w:pPr>
      <w:r>
        <w:rPr>
          <w:rFonts w:hint="eastAsia" w:ascii="Times New Roman" w:hAnsi="Times New Roman"/>
          <w:sz w:val="24"/>
          <w:szCs w:val="24"/>
        </w:rPr>
        <w:t>本标准为新起草的团体标准，无废止现行标准。</w:t>
      </w:r>
    </w:p>
    <w:p w14:paraId="537C7C82">
      <w:pPr>
        <w:spacing w:line="360" w:lineRule="auto"/>
        <w:rPr>
          <w:rFonts w:ascii="黑体" w:hAnsi="黑体" w:eastAsia="黑体"/>
          <w:sz w:val="24"/>
          <w:szCs w:val="24"/>
        </w:rPr>
      </w:pPr>
      <w:r>
        <w:rPr>
          <w:rFonts w:ascii="黑体" w:hAnsi="黑体" w:eastAsia="黑体"/>
          <w:sz w:val="24"/>
          <w:szCs w:val="24"/>
        </w:rPr>
        <w:t>十</w:t>
      </w:r>
      <w:r>
        <w:rPr>
          <w:rFonts w:hint="eastAsia" w:ascii="黑体" w:hAnsi="黑体" w:eastAsia="黑体"/>
          <w:sz w:val="24"/>
          <w:szCs w:val="24"/>
        </w:rPr>
        <w:t>二</w:t>
      </w:r>
      <w:r>
        <w:rPr>
          <w:rFonts w:ascii="黑体" w:hAnsi="黑体" w:eastAsia="黑体"/>
          <w:sz w:val="24"/>
          <w:szCs w:val="24"/>
        </w:rPr>
        <w:t>、其他应予说明的事项</w:t>
      </w:r>
    </w:p>
    <w:p w14:paraId="0D772E6F">
      <w:pPr>
        <w:spacing w:line="360" w:lineRule="auto"/>
        <w:ind w:firstLine="480" w:firstLineChars="200"/>
        <w:rPr>
          <w:rFonts w:ascii="Times New Roman" w:hAnsi="Times New Roman"/>
          <w:sz w:val="24"/>
          <w:szCs w:val="24"/>
        </w:rPr>
      </w:pPr>
      <w:r>
        <w:rPr>
          <w:rFonts w:hint="eastAsia" w:ascii="Times New Roman" w:hAnsi="Times New Roman"/>
          <w:sz w:val="24"/>
          <w:szCs w:val="24"/>
        </w:rPr>
        <w:t>无</w:t>
      </w:r>
    </w:p>
    <w:p w14:paraId="4D81F688">
      <w:pPr>
        <w:rPr>
          <w:rFonts w:ascii="Times New Roman" w:hAnsi="Times New Roman"/>
          <w:b/>
          <w:sz w:val="24"/>
          <w:szCs w:val="24"/>
        </w:rPr>
      </w:pPr>
    </w:p>
    <w:p w14:paraId="01C4914B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Calibri Light">
    <w:panose1 w:val="020F0302020204030204"/>
    <w:charset w:val="00"/>
    <w:family w:val="swiss"/>
    <w:pitch w:val="default"/>
    <w:sig w:usb0="E4002EFF" w:usb1="C200247B" w:usb2="00000009" w:usb3="00000000" w:csb0="200001F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Verdana">
    <w:panose1 w:val="020B0604030504040204"/>
    <w:charset w:val="00"/>
    <w:family w:val="swiss"/>
    <w:pitch w:val="default"/>
    <w:sig w:usb0="A00006FF" w:usb1="4000205B" w:usb2="00000010" w:usb3="00000000" w:csb0="2000019F" w:csb1="00000000"/>
  </w:font>
  <w:font w:name="国潮黑体">
    <w:altName w:val="黑体"/>
    <w:panose1 w:val="02000503000000000000"/>
    <w:charset w:val="86"/>
    <w:family w:val="auto"/>
    <w:pitch w:val="default"/>
    <w:sig w:usb0="00000000" w:usb1="00000000" w:usb2="00000012" w:usb3="00000000" w:csb0="00040001" w:csb1="00000000"/>
  </w:font>
  <w:font w:name="Segoe UI">
    <w:panose1 w:val="020B0502040204020203"/>
    <w:charset w:val="00"/>
    <w:family w:val="auto"/>
    <w:pitch w:val="default"/>
    <w:sig w:usb0="E4002EFF" w:usb1="C000E47F" w:usb2="00000009" w:usb3="00000000" w:csb0="200001FF" w:csb1="00000000"/>
  </w:font>
  <w:font w:name="书宋-简">
    <w:altName w:val="宋体"/>
    <w:panose1 w:val="02010600030101010101"/>
    <w:charset w:val="86"/>
    <w:family w:val="auto"/>
    <w:pitch w:val="default"/>
    <w:sig w:usb0="00000000" w:usb1="00000000" w:usb2="00000016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3226AFF"/>
    <w:multiLevelType w:val="multilevel"/>
    <w:tmpl w:val="03226AFF"/>
    <w:lvl w:ilvl="0" w:tentative="0">
      <w:start w:val="1"/>
      <w:numFmt w:val="decimal"/>
      <w:pStyle w:val="56"/>
      <w:suff w:val="space"/>
      <w:lvlText w:val="[%1]"/>
      <w:lvlJc w:val="left"/>
      <w:pPr>
        <w:ind w:left="0" w:firstLine="0"/>
      </w:pPr>
      <w:rPr>
        <w:rFonts w:hint="eastAsia"/>
      </w:rPr>
    </w:lvl>
    <w:lvl w:ilvl="1" w:tentative="0">
      <w:start w:val="1"/>
      <w:numFmt w:val="lowerLetter"/>
      <w:lvlText w:val="%2)"/>
      <w:lvlJc w:val="left"/>
      <w:pPr>
        <w:tabs>
          <w:tab w:val="left" w:pos="840"/>
        </w:tabs>
        <w:ind w:left="840" w:hanging="420"/>
      </w:pPr>
    </w:lvl>
    <w:lvl w:ilvl="2" w:tentative="0">
      <w:start w:val="1"/>
      <w:numFmt w:val="lowerRoman"/>
      <w:lvlText w:val="%3."/>
      <w:lvlJc w:val="right"/>
      <w:pPr>
        <w:tabs>
          <w:tab w:val="left" w:pos="1260"/>
        </w:tabs>
        <w:ind w:left="1260" w:hanging="420"/>
      </w:pPr>
    </w:lvl>
    <w:lvl w:ilvl="3" w:tentative="0">
      <w:start w:val="1"/>
      <w:numFmt w:val="decimal"/>
      <w:lvlText w:val="%4."/>
      <w:lvlJc w:val="left"/>
      <w:pPr>
        <w:tabs>
          <w:tab w:val="left" w:pos="1680"/>
        </w:tabs>
        <w:ind w:left="1680" w:hanging="420"/>
      </w:pPr>
    </w:lvl>
    <w:lvl w:ilvl="4" w:tentative="0">
      <w:start w:val="1"/>
      <w:numFmt w:val="lowerLetter"/>
      <w:lvlText w:val="%5)"/>
      <w:lvlJc w:val="left"/>
      <w:pPr>
        <w:tabs>
          <w:tab w:val="left" w:pos="2100"/>
        </w:tabs>
        <w:ind w:left="2100" w:hanging="420"/>
      </w:pPr>
    </w:lvl>
    <w:lvl w:ilvl="5" w:tentative="0">
      <w:start w:val="1"/>
      <w:numFmt w:val="lowerRoman"/>
      <w:lvlText w:val="%6."/>
      <w:lvlJc w:val="right"/>
      <w:pPr>
        <w:tabs>
          <w:tab w:val="left" w:pos="2520"/>
        </w:tabs>
        <w:ind w:left="2520" w:hanging="420"/>
      </w:pPr>
    </w:lvl>
    <w:lvl w:ilvl="6" w:tentative="0">
      <w:start w:val="1"/>
      <w:numFmt w:val="decimal"/>
      <w:lvlText w:val="%7."/>
      <w:lvlJc w:val="left"/>
      <w:pPr>
        <w:tabs>
          <w:tab w:val="left" w:pos="2940"/>
        </w:tabs>
        <w:ind w:left="2940" w:hanging="420"/>
      </w:pPr>
    </w:lvl>
    <w:lvl w:ilvl="7" w:tentative="0">
      <w:start w:val="1"/>
      <w:numFmt w:val="lowerLetter"/>
      <w:lvlText w:val="%8)"/>
      <w:lvlJc w:val="left"/>
      <w:pPr>
        <w:tabs>
          <w:tab w:val="left" w:pos="3360"/>
        </w:tabs>
        <w:ind w:left="3360" w:hanging="420"/>
      </w:pPr>
    </w:lvl>
    <w:lvl w:ilvl="8" w:tentative="0">
      <w:start w:val="1"/>
      <w:numFmt w:val="lowerRoman"/>
      <w:lvlText w:val="%9."/>
      <w:lvlJc w:val="right"/>
      <w:pPr>
        <w:tabs>
          <w:tab w:val="left" w:pos="3780"/>
        </w:tabs>
        <w:ind w:left="3780" w:hanging="420"/>
      </w:pPr>
    </w:lvl>
  </w:abstractNum>
  <w:abstractNum w:abstractNumId="1">
    <w:nsid w:val="115E081A"/>
    <w:multiLevelType w:val="multilevel"/>
    <w:tmpl w:val="115E081A"/>
    <w:lvl w:ilvl="0" w:tentative="0">
      <w:start w:val="1"/>
      <w:numFmt w:val="decimal"/>
      <w:pStyle w:val="59"/>
      <w:suff w:val="nothing"/>
      <w:lvlText w:val="%1  "/>
      <w:lvlJc w:val="left"/>
      <w:pPr>
        <w:ind w:left="283" w:firstLine="0"/>
      </w:pPr>
      <w:rPr>
        <w:rFonts w:hint="eastAsia" w:ascii="黑体" w:eastAsia="黑体"/>
        <w:b w:val="0"/>
        <w:i w:val="0"/>
        <w:caps w:val="0"/>
        <w:smallCaps w:val="0"/>
        <w:strike w:val="0"/>
        <w:dstrike w:val="0"/>
        <w:vanish w:val="0"/>
        <w:color w:val="auto"/>
        <w:spacing w:val="0"/>
        <w:w w:val="100"/>
        <w:kern w:val="21"/>
        <w:position w:val="0"/>
        <w:sz w:val="21"/>
        <w:u w:val="none"/>
        <w:vertAlign w:val="baseline"/>
      </w:rPr>
    </w:lvl>
    <w:lvl w:ilvl="1" w:tentative="0">
      <w:start w:val="1"/>
      <w:numFmt w:val="decimal"/>
      <w:pStyle w:val="60"/>
      <w:suff w:val="nothing"/>
      <w:lvlText w:val="%1.%2  "/>
      <w:lvlJc w:val="left"/>
      <w:pPr>
        <w:ind w:left="1702" w:firstLine="0"/>
      </w:pPr>
      <w:rPr>
        <w:rFonts w:hint="eastAsia" w:ascii="黑体" w:hAnsi="黑体" w:eastAsia="黑体"/>
        <w:b w:val="0"/>
        <w:i w:val="0"/>
        <w:caps w:val="0"/>
        <w:smallCaps w:val="0"/>
        <w:strike w:val="0"/>
        <w:dstrike w:val="0"/>
        <w:vanish w:val="0"/>
        <w:color w:val="auto"/>
        <w:spacing w:val="0"/>
        <w:w w:val="100"/>
        <w:kern w:val="21"/>
        <w:position w:val="0"/>
        <w:sz w:val="21"/>
        <w:u w:val="none"/>
        <w:vertAlign w:val="baseline"/>
      </w:rPr>
    </w:lvl>
    <w:lvl w:ilvl="2" w:tentative="0">
      <w:start w:val="1"/>
      <w:numFmt w:val="decimal"/>
      <w:pStyle w:val="61"/>
      <w:suff w:val="nothing"/>
      <w:lvlText w:val="%1.%2.%3  "/>
      <w:lvlJc w:val="left"/>
      <w:pPr>
        <w:ind w:left="710" w:firstLine="0"/>
      </w:pPr>
      <w:rPr>
        <w:rFonts w:hint="eastAsia" w:ascii="黑体" w:eastAsia="黑体"/>
        <w:b w:val="0"/>
        <w:i w:val="0"/>
        <w:caps w:val="0"/>
        <w:smallCaps w:val="0"/>
        <w:strike w:val="0"/>
        <w:dstrike w:val="0"/>
        <w:vanish w:val="0"/>
        <w:color w:val="auto"/>
        <w:spacing w:val="0"/>
        <w:w w:val="100"/>
        <w:kern w:val="21"/>
        <w:position w:val="0"/>
        <w:sz w:val="21"/>
        <w:u w:val="none"/>
        <w:vertAlign w:val="baseline"/>
      </w:rPr>
    </w:lvl>
    <w:lvl w:ilvl="3" w:tentative="0">
      <w:start w:val="1"/>
      <w:numFmt w:val="decimal"/>
      <w:pStyle w:val="62"/>
      <w:suff w:val="nothing"/>
      <w:lvlText w:val="%1.%2.%3.%4  "/>
      <w:lvlJc w:val="left"/>
      <w:pPr>
        <w:ind w:left="0" w:firstLine="0"/>
      </w:pPr>
      <w:rPr>
        <w:rFonts w:hint="eastAsia" w:ascii="黑体" w:eastAsia="黑体"/>
        <w:b w:val="0"/>
        <w:i w:val="0"/>
        <w:caps w:val="0"/>
        <w:smallCaps w:val="0"/>
        <w:strike w:val="0"/>
        <w:dstrike w:val="0"/>
        <w:vanish w:val="0"/>
        <w:color w:val="auto"/>
        <w:spacing w:val="0"/>
        <w:w w:val="100"/>
        <w:kern w:val="21"/>
        <w:position w:val="0"/>
        <w:sz w:val="21"/>
        <w:u w:val="none"/>
        <w:vertAlign w:val="baseline"/>
      </w:rPr>
    </w:lvl>
    <w:lvl w:ilvl="4" w:tentative="0">
      <w:start w:val="1"/>
      <w:numFmt w:val="decimal"/>
      <w:pStyle w:val="63"/>
      <w:suff w:val="nothing"/>
      <w:lvlText w:val="%1.%2.%3.%4.%5  "/>
      <w:lvlJc w:val="left"/>
      <w:pPr>
        <w:ind w:left="0" w:firstLine="0"/>
      </w:pPr>
      <w:rPr>
        <w:rFonts w:hint="eastAsia" w:ascii="黑体" w:eastAsia="黑体"/>
        <w:b w:val="0"/>
        <w:i w:val="0"/>
        <w:caps w:val="0"/>
        <w:smallCaps w:val="0"/>
        <w:strike w:val="0"/>
        <w:dstrike w:val="0"/>
        <w:vanish w:val="0"/>
        <w:color w:val="auto"/>
        <w:spacing w:val="0"/>
        <w:w w:val="100"/>
        <w:kern w:val="21"/>
        <w:position w:val="0"/>
        <w:sz w:val="21"/>
        <w:u w:val="none"/>
        <w:vertAlign w:val="baseline"/>
      </w:rPr>
    </w:lvl>
    <w:lvl w:ilvl="5" w:tentative="0">
      <w:start w:val="1"/>
      <w:numFmt w:val="decimal"/>
      <w:pStyle w:val="64"/>
      <w:suff w:val="nothing"/>
      <w:lvlText w:val="%1.%2.%3.%4.%5.%6  "/>
      <w:lvlJc w:val="left"/>
      <w:pPr>
        <w:ind w:left="0" w:firstLine="0"/>
      </w:pPr>
      <w:rPr>
        <w:rFonts w:hint="eastAsia" w:ascii="黑体" w:eastAsia="黑体"/>
        <w:b w:val="0"/>
        <w:i w:val="0"/>
        <w:caps w:val="0"/>
        <w:smallCaps w:val="0"/>
        <w:strike w:val="0"/>
        <w:dstrike w:val="0"/>
        <w:vanish w:val="0"/>
        <w:color w:val="auto"/>
        <w:spacing w:val="0"/>
        <w:w w:val="100"/>
        <w:kern w:val="21"/>
        <w:position w:val="0"/>
        <w:sz w:val="21"/>
        <w:u w:val="none"/>
        <w:vertAlign w:val="baseline"/>
      </w:rPr>
    </w:lvl>
    <w:lvl w:ilvl="6" w:tentative="0">
      <w:start w:val="1"/>
      <w:numFmt w:val="lowerRoman"/>
      <w:lvlText w:val="(%7)"/>
      <w:lvlJc w:val="left"/>
      <w:pPr>
        <w:tabs>
          <w:tab w:val="left" w:pos="5528"/>
        </w:tabs>
        <w:ind w:left="5102" w:firstLine="0"/>
      </w:pPr>
    </w:lvl>
    <w:lvl w:ilvl="7" w:tentative="0">
      <w:start w:val="1"/>
      <w:numFmt w:val="lowerLetter"/>
      <w:lvlText w:val="(%8)"/>
      <w:lvlJc w:val="left"/>
      <w:pPr>
        <w:tabs>
          <w:tab w:val="left" w:pos="6378"/>
        </w:tabs>
        <w:ind w:left="5953" w:firstLine="0"/>
      </w:pPr>
    </w:lvl>
    <w:lvl w:ilvl="8" w:tentative="0">
      <w:start w:val="1"/>
      <w:numFmt w:val="lowerRoman"/>
      <w:lvlText w:val="(%9)"/>
      <w:lvlJc w:val="left"/>
      <w:pPr>
        <w:tabs>
          <w:tab w:val="left" w:pos="7228"/>
        </w:tabs>
        <w:ind w:left="6803" w:firstLine="0"/>
      </w:pPr>
    </w:lvl>
  </w:abstractNum>
  <w:abstractNum w:abstractNumId="2">
    <w:nsid w:val="6CEA2025"/>
    <w:multiLevelType w:val="multilevel"/>
    <w:tmpl w:val="6CEA2025"/>
    <w:lvl w:ilvl="0" w:tentative="0">
      <w:start w:val="1"/>
      <w:numFmt w:val="none"/>
      <w:pStyle w:val="28"/>
      <w:suff w:val="nothing"/>
      <w:lvlText w:val="%1"/>
      <w:lvlJc w:val="left"/>
      <w:pPr>
        <w:ind w:left="0" w:firstLine="0"/>
      </w:pPr>
      <w:rPr>
        <w:rFonts w:hint="default" w:ascii="Times New Roman" w:hAnsi="Times New Roman"/>
        <w:b/>
        <w:i w:val="0"/>
        <w:sz w:val="21"/>
      </w:rPr>
    </w:lvl>
    <w:lvl w:ilvl="1" w:tentative="0">
      <w:start w:val="1"/>
      <w:numFmt w:val="decimal"/>
      <w:pStyle w:val="29"/>
      <w:suff w:val="nothing"/>
      <w:lvlText w:val="%1%2　"/>
      <w:lvlJc w:val="left"/>
      <w:pPr>
        <w:ind w:left="0" w:firstLine="0"/>
      </w:pPr>
      <w:rPr>
        <w:rFonts w:hint="eastAsia" w:ascii="黑体" w:hAnsi="Times New Roman" w:eastAsia="黑体"/>
        <w:b w:val="0"/>
        <w:i w:val="0"/>
        <w:sz w:val="21"/>
      </w:rPr>
    </w:lvl>
    <w:lvl w:ilvl="2" w:tentative="0">
      <w:start w:val="1"/>
      <w:numFmt w:val="decimal"/>
      <w:pStyle w:val="30"/>
      <w:suff w:val="nothing"/>
      <w:lvlText w:val="%1%2.%3　"/>
      <w:lvlJc w:val="left"/>
      <w:pPr>
        <w:ind w:left="0" w:firstLine="0"/>
      </w:pPr>
      <w:rPr>
        <w:rFonts w:hint="eastAsia" w:ascii="黑体" w:hAnsi="Times New Roman" w:eastAsia="黑体"/>
        <w:b w:val="0"/>
        <w:i w:val="0"/>
        <w:sz w:val="21"/>
      </w:rPr>
    </w:lvl>
    <w:lvl w:ilvl="3" w:tentative="0">
      <w:start w:val="1"/>
      <w:numFmt w:val="decimal"/>
      <w:pStyle w:val="31"/>
      <w:suff w:val="nothing"/>
      <w:lvlText w:val="%1%2.%3.%4　"/>
      <w:lvlJc w:val="left"/>
      <w:pPr>
        <w:ind w:left="0" w:firstLine="0"/>
      </w:pPr>
      <w:rPr>
        <w:rFonts w:hint="eastAsia" w:ascii="黑体" w:hAnsi="Times New Roman" w:eastAsia="黑体"/>
        <w:b w:val="0"/>
        <w:i w:val="0"/>
        <w:sz w:val="21"/>
      </w:rPr>
    </w:lvl>
    <w:lvl w:ilvl="4" w:tentative="0">
      <w:start w:val="1"/>
      <w:numFmt w:val="decimal"/>
      <w:pStyle w:val="32"/>
      <w:suff w:val="nothing"/>
      <w:lvlText w:val="%1%2.%3.%4.%5　"/>
      <w:lvlJc w:val="left"/>
      <w:pPr>
        <w:ind w:left="0" w:firstLine="0"/>
      </w:pPr>
      <w:rPr>
        <w:rFonts w:hint="eastAsia" w:ascii="黑体" w:hAnsi="Times New Roman" w:eastAsia="黑体"/>
        <w:b w:val="0"/>
        <w:i w:val="0"/>
        <w:sz w:val="21"/>
      </w:rPr>
    </w:lvl>
    <w:lvl w:ilvl="5" w:tentative="0">
      <w:start w:val="1"/>
      <w:numFmt w:val="decimal"/>
      <w:pStyle w:val="33"/>
      <w:suff w:val="nothing"/>
      <w:lvlText w:val="%1%2.%3.%4.%5.%6　"/>
      <w:lvlJc w:val="left"/>
      <w:pPr>
        <w:ind w:left="0" w:firstLine="0"/>
      </w:pPr>
      <w:rPr>
        <w:rFonts w:hint="eastAsia" w:ascii="黑体" w:hAnsi="Times New Roman" w:eastAsia="黑体"/>
        <w:b w:val="0"/>
        <w:i w:val="0"/>
        <w:sz w:val="21"/>
      </w:rPr>
    </w:lvl>
    <w:lvl w:ilvl="6" w:tentative="0">
      <w:start w:val="1"/>
      <w:numFmt w:val="decimal"/>
      <w:pStyle w:val="34"/>
      <w:suff w:val="nothing"/>
      <w:lvlText w:val="%1%2.%3.%4.%5.%6.%7　"/>
      <w:lvlJc w:val="left"/>
      <w:pPr>
        <w:ind w:left="0" w:firstLine="0"/>
      </w:pPr>
      <w:rPr>
        <w:rFonts w:hint="eastAsia" w:ascii="黑体" w:hAnsi="Times New Roman" w:eastAsia="黑体"/>
        <w:b w:val="0"/>
        <w:i w:val="0"/>
        <w:sz w:val="21"/>
      </w:rPr>
    </w:lvl>
    <w:lvl w:ilvl="7" w:tentative="0">
      <w:start w:val="1"/>
      <w:numFmt w:val="decimal"/>
      <w:lvlText w:val="%1.%2.%3.%4.%5.%6.%7.%8"/>
      <w:lvlJc w:val="left"/>
      <w:pPr>
        <w:tabs>
          <w:tab w:val="left" w:pos="4351"/>
        </w:tabs>
        <w:ind w:left="3969" w:hanging="1418"/>
      </w:pPr>
      <w:rPr>
        <w:rFonts w:hint="eastAsia"/>
      </w:rPr>
    </w:lvl>
    <w:lvl w:ilvl="8" w:tentative="0">
      <w:start w:val="1"/>
      <w:numFmt w:val="decimal"/>
      <w:lvlText w:val="%1.%2.%3.%4.%5.%6.%7.%8.%9"/>
      <w:lvlJc w:val="left"/>
      <w:pPr>
        <w:tabs>
          <w:tab w:val="left" w:pos="4777"/>
        </w:tabs>
        <w:ind w:left="4677" w:hanging="1700"/>
      </w:pPr>
      <w:rPr>
        <w:rFonts w:hint="eastAsia"/>
      </w:rPr>
    </w:lvl>
  </w:abstractNum>
  <w:num w:numId="1">
    <w:abstractNumId w:val="2"/>
  </w:num>
  <w:num w:numId="2">
    <w:abstractNumId w:val="0"/>
  </w:num>
  <w:num w:numId="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YzMzMWNmZTI0YWY1NzIxNmQxNDliNzZhM2NhYTk3ZTQifQ=="/>
  </w:docVars>
  <w:rsids>
    <w:rsidRoot w:val="00980DE8"/>
    <w:rsid w:val="00002A8C"/>
    <w:rsid w:val="0001533F"/>
    <w:rsid w:val="000232C7"/>
    <w:rsid w:val="000234B8"/>
    <w:rsid w:val="00040645"/>
    <w:rsid w:val="00047293"/>
    <w:rsid w:val="000474A7"/>
    <w:rsid w:val="00072C62"/>
    <w:rsid w:val="0007461A"/>
    <w:rsid w:val="00080860"/>
    <w:rsid w:val="000A5EB9"/>
    <w:rsid w:val="000B04E5"/>
    <w:rsid w:val="000C0E42"/>
    <w:rsid w:val="000C7A00"/>
    <w:rsid w:val="000D1774"/>
    <w:rsid w:val="000D277A"/>
    <w:rsid w:val="000D3C3F"/>
    <w:rsid w:val="000F3471"/>
    <w:rsid w:val="000F448A"/>
    <w:rsid w:val="00101D6F"/>
    <w:rsid w:val="00112955"/>
    <w:rsid w:val="00130C9A"/>
    <w:rsid w:val="0013381A"/>
    <w:rsid w:val="001360D5"/>
    <w:rsid w:val="00136E2C"/>
    <w:rsid w:val="0014011D"/>
    <w:rsid w:val="00154678"/>
    <w:rsid w:val="0016207D"/>
    <w:rsid w:val="001979E3"/>
    <w:rsid w:val="001A4B07"/>
    <w:rsid w:val="001B0724"/>
    <w:rsid w:val="001C6E94"/>
    <w:rsid w:val="001E2458"/>
    <w:rsid w:val="001F7ADF"/>
    <w:rsid w:val="00217B8A"/>
    <w:rsid w:val="00237387"/>
    <w:rsid w:val="002518CA"/>
    <w:rsid w:val="00276CC6"/>
    <w:rsid w:val="00280530"/>
    <w:rsid w:val="00282346"/>
    <w:rsid w:val="00282AF0"/>
    <w:rsid w:val="00282DAC"/>
    <w:rsid w:val="002937B7"/>
    <w:rsid w:val="002A1F79"/>
    <w:rsid w:val="002A6A08"/>
    <w:rsid w:val="002B09EB"/>
    <w:rsid w:val="002B22EC"/>
    <w:rsid w:val="002C514B"/>
    <w:rsid w:val="002E03F0"/>
    <w:rsid w:val="00304077"/>
    <w:rsid w:val="00305A6B"/>
    <w:rsid w:val="0031323C"/>
    <w:rsid w:val="00320BE4"/>
    <w:rsid w:val="00334D84"/>
    <w:rsid w:val="00357E6E"/>
    <w:rsid w:val="0036387C"/>
    <w:rsid w:val="00363E3C"/>
    <w:rsid w:val="003807C8"/>
    <w:rsid w:val="00382DD7"/>
    <w:rsid w:val="003A6502"/>
    <w:rsid w:val="003C7102"/>
    <w:rsid w:val="003D4598"/>
    <w:rsid w:val="003F19FE"/>
    <w:rsid w:val="003F5E81"/>
    <w:rsid w:val="004054FE"/>
    <w:rsid w:val="00417A6D"/>
    <w:rsid w:val="004237C8"/>
    <w:rsid w:val="00423A87"/>
    <w:rsid w:val="00443A1A"/>
    <w:rsid w:val="00444B24"/>
    <w:rsid w:val="00446974"/>
    <w:rsid w:val="00447D4C"/>
    <w:rsid w:val="004526B4"/>
    <w:rsid w:val="00470222"/>
    <w:rsid w:val="00497BC3"/>
    <w:rsid w:val="00497DDC"/>
    <w:rsid w:val="004A6B1E"/>
    <w:rsid w:val="004B60C4"/>
    <w:rsid w:val="004B69D9"/>
    <w:rsid w:val="004C3ADE"/>
    <w:rsid w:val="004C79A4"/>
    <w:rsid w:val="004D2F78"/>
    <w:rsid w:val="004E3619"/>
    <w:rsid w:val="004E480B"/>
    <w:rsid w:val="004F1277"/>
    <w:rsid w:val="00525DE7"/>
    <w:rsid w:val="00532029"/>
    <w:rsid w:val="005349C8"/>
    <w:rsid w:val="00555CA5"/>
    <w:rsid w:val="005578A9"/>
    <w:rsid w:val="005921AD"/>
    <w:rsid w:val="005B446F"/>
    <w:rsid w:val="005D39DB"/>
    <w:rsid w:val="005D54E2"/>
    <w:rsid w:val="005F4C95"/>
    <w:rsid w:val="005F4E5F"/>
    <w:rsid w:val="00606BC0"/>
    <w:rsid w:val="00614A5A"/>
    <w:rsid w:val="00617EBE"/>
    <w:rsid w:val="00624B33"/>
    <w:rsid w:val="00654A51"/>
    <w:rsid w:val="00655DC9"/>
    <w:rsid w:val="00656311"/>
    <w:rsid w:val="006622DF"/>
    <w:rsid w:val="00664917"/>
    <w:rsid w:val="0066615C"/>
    <w:rsid w:val="00666B12"/>
    <w:rsid w:val="00685AA9"/>
    <w:rsid w:val="0068778D"/>
    <w:rsid w:val="006934D4"/>
    <w:rsid w:val="00694662"/>
    <w:rsid w:val="00694C70"/>
    <w:rsid w:val="00697002"/>
    <w:rsid w:val="006A2A9F"/>
    <w:rsid w:val="006A5E3D"/>
    <w:rsid w:val="006C0BF6"/>
    <w:rsid w:val="006C74D7"/>
    <w:rsid w:val="006D22A5"/>
    <w:rsid w:val="006E431E"/>
    <w:rsid w:val="006F2F68"/>
    <w:rsid w:val="007035B8"/>
    <w:rsid w:val="0071049D"/>
    <w:rsid w:val="00710A60"/>
    <w:rsid w:val="00713699"/>
    <w:rsid w:val="00717CE5"/>
    <w:rsid w:val="00724639"/>
    <w:rsid w:val="00726DB1"/>
    <w:rsid w:val="00730266"/>
    <w:rsid w:val="00730E84"/>
    <w:rsid w:val="00741A72"/>
    <w:rsid w:val="007736FE"/>
    <w:rsid w:val="00776359"/>
    <w:rsid w:val="00782B77"/>
    <w:rsid w:val="007912D5"/>
    <w:rsid w:val="007A286B"/>
    <w:rsid w:val="007A4E22"/>
    <w:rsid w:val="007C010F"/>
    <w:rsid w:val="007C51DA"/>
    <w:rsid w:val="007D513F"/>
    <w:rsid w:val="007D5BE0"/>
    <w:rsid w:val="007E1CDC"/>
    <w:rsid w:val="007F07D8"/>
    <w:rsid w:val="007F39E2"/>
    <w:rsid w:val="0080069B"/>
    <w:rsid w:val="008140C3"/>
    <w:rsid w:val="00820C5F"/>
    <w:rsid w:val="00824536"/>
    <w:rsid w:val="00843EBA"/>
    <w:rsid w:val="008453C3"/>
    <w:rsid w:val="00851FAE"/>
    <w:rsid w:val="008568E5"/>
    <w:rsid w:val="008654B3"/>
    <w:rsid w:val="008725C8"/>
    <w:rsid w:val="0089034E"/>
    <w:rsid w:val="008C5C3B"/>
    <w:rsid w:val="008D1A40"/>
    <w:rsid w:val="008D2F9D"/>
    <w:rsid w:val="008D4257"/>
    <w:rsid w:val="008D54AB"/>
    <w:rsid w:val="008D6D67"/>
    <w:rsid w:val="008E30AC"/>
    <w:rsid w:val="008E5F67"/>
    <w:rsid w:val="008F5F63"/>
    <w:rsid w:val="00905000"/>
    <w:rsid w:val="00905033"/>
    <w:rsid w:val="00945991"/>
    <w:rsid w:val="00955B8A"/>
    <w:rsid w:val="009621F3"/>
    <w:rsid w:val="00966D95"/>
    <w:rsid w:val="00970C83"/>
    <w:rsid w:val="00974D1B"/>
    <w:rsid w:val="009772EA"/>
    <w:rsid w:val="00980DE8"/>
    <w:rsid w:val="009847B7"/>
    <w:rsid w:val="00984B67"/>
    <w:rsid w:val="00987C70"/>
    <w:rsid w:val="009A0A88"/>
    <w:rsid w:val="009A4348"/>
    <w:rsid w:val="009C6B81"/>
    <w:rsid w:val="009D3804"/>
    <w:rsid w:val="009E30E9"/>
    <w:rsid w:val="00A03774"/>
    <w:rsid w:val="00A05EB7"/>
    <w:rsid w:val="00A14A55"/>
    <w:rsid w:val="00A175D3"/>
    <w:rsid w:val="00A266B4"/>
    <w:rsid w:val="00A2774C"/>
    <w:rsid w:val="00A41EC3"/>
    <w:rsid w:val="00A421DB"/>
    <w:rsid w:val="00A524CE"/>
    <w:rsid w:val="00A60EC5"/>
    <w:rsid w:val="00A803C1"/>
    <w:rsid w:val="00A826C4"/>
    <w:rsid w:val="00A903A2"/>
    <w:rsid w:val="00A97C1F"/>
    <w:rsid w:val="00AB5687"/>
    <w:rsid w:val="00AB7BC0"/>
    <w:rsid w:val="00AC6B6C"/>
    <w:rsid w:val="00AD08D5"/>
    <w:rsid w:val="00AE2098"/>
    <w:rsid w:val="00AF086F"/>
    <w:rsid w:val="00AF58A6"/>
    <w:rsid w:val="00AF724F"/>
    <w:rsid w:val="00B12AE3"/>
    <w:rsid w:val="00B12D67"/>
    <w:rsid w:val="00B41130"/>
    <w:rsid w:val="00B61C7A"/>
    <w:rsid w:val="00B61FEA"/>
    <w:rsid w:val="00B803C0"/>
    <w:rsid w:val="00B87005"/>
    <w:rsid w:val="00BB1D8F"/>
    <w:rsid w:val="00BB5D67"/>
    <w:rsid w:val="00BC0D67"/>
    <w:rsid w:val="00BC20BD"/>
    <w:rsid w:val="00BC6329"/>
    <w:rsid w:val="00BD0162"/>
    <w:rsid w:val="00BE3131"/>
    <w:rsid w:val="00BE5915"/>
    <w:rsid w:val="00BF143F"/>
    <w:rsid w:val="00BF4FE8"/>
    <w:rsid w:val="00C05B1A"/>
    <w:rsid w:val="00C15118"/>
    <w:rsid w:val="00C17B26"/>
    <w:rsid w:val="00C22BD2"/>
    <w:rsid w:val="00C26EA8"/>
    <w:rsid w:val="00C46DB9"/>
    <w:rsid w:val="00C556F3"/>
    <w:rsid w:val="00C80518"/>
    <w:rsid w:val="00C82ACD"/>
    <w:rsid w:val="00C90B0C"/>
    <w:rsid w:val="00CA48F6"/>
    <w:rsid w:val="00CC5414"/>
    <w:rsid w:val="00CF6365"/>
    <w:rsid w:val="00CF6C79"/>
    <w:rsid w:val="00D00456"/>
    <w:rsid w:val="00D10CBC"/>
    <w:rsid w:val="00D17FC5"/>
    <w:rsid w:val="00D51ABB"/>
    <w:rsid w:val="00D74325"/>
    <w:rsid w:val="00D75CEA"/>
    <w:rsid w:val="00D80A2E"/>
    <w:rsid w:val="00D81017"/>
    <w:rsid w:val="00D82497"/>
    <w:rsid w:val="00D93A2E"/>
    <w:rsid w:val="00DA6508"/>
    <w:rsid w:val="00DD4AC0"/>
    <w:rsid w:val="00DE1227"/>
    <w:rsid w:val="00DF78F8"/>
    <w:rsid w:val="00E0224D"/>
    <w:rsid w:val="00E12251"/>
    <w:rsid w:val="00E12CE5"/>
    <w:rsid w:val="00E1684B"/>
    <w:rsid w:val="00E16C8C"/>
    <w:rsid w:val="00E20B3B"/>
    <w:rsid w:val="00E26BA3"/>
    <w:rsid w:val="00E31CCB"/>
    <w:rsid w:val="00E374DE"/>
    <w:rsid w:val="00E500FD"/>
    <w:rsid w:val="00E50C7D"/>
    <w:rsid w:val="00E52317"/>
    <w:rsid w:val="00E542F6"/>
    <w:rsid w:val="00E6569F"/>
    <w:rsid w:val="00E83CA7"/>
    <w:rsid w:val="00E879B7"/>
    <w:rsid w:val="00E9016A"/>
    <w:rsid w:val="00EA26DC"/>
    <w:rsid w:val="00EB4E14"/>
    <w:rsid w:val="00EC4001"/>
    <w:rsid w:val="00EF1E90"/>
    <w:rsid w:val="00F12281"/>
    <w:rsid w:val="00F25647"/>
    <w:rsid w:val="00F25A4F"/>
    <w:rsid w:val="00F31DD3"/>
    <w:rsid w:val="00F34531"/>
    <w:rsid w:val="00F431CB"/>
    <w:rsid w:val="00F500D2"/>
    <w:rsid w:val="00F53181"/>
    <w:rsid w:val="00F57D4D"/>
    <w:rsid w:val="00F74128"/>
    <w:rsid w:val="00F831EA"/>
    <w:rsid w:val="00F83CB5"/>
    <w:rsid w:val="00F9268C"/>
    <w:rsid w:val="00FB0C7A"/>
    <w:rsid w:val="00FB7B74"/>
    <w:rsid w:val="00FC1356"/>
    <w:rsid w:val="00FD0F03"/>
    <w:rsid w:val="00FD2C97"/>
    <w:rsid w:val="00FD4842"/>
    <w:rsid w:val="00FD76AC"/>
    <w:rsid w:val="00FF7FF9"/>
    <w:rsid w:val="082A2CBF"/>
    <w:rsid w:val="0DB37F58"/>
    <w:rsid w:val="19372CB2"/>
    <w:rsid w:val="2BE45BBB"/>
    <w:rsid w:val="31F1788D"/>
    <w:rsid w:val="3B8B388A"/>
    <w:rsid w:val="467001B9"/>
    <w:rsid w:val="549A6095"/>
    <w:rsid w:val="57A22332"/>
    <w:rsid w:val="6C892F39"/>
    <w:rsid w:val="719C601D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semiHidden="0" w:name="heading 2"/>
    <w:lsdException w:qFormat="1" w:unhideWhenUsed="0" w:uiPriority="9" w:semiHidden="0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qFormat="1" w:uiPriority="99" w:semiHidden="0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qFormat="1" w:uiPriority="99" w:semiHidden="0" w:name="annotation reference"/>
    <w:lsdException w:uiPriority="99" w:name="line number"/>
    <w:lsdException w:qFormat="1" w:unhideWhenUsed="0" w:uiPriority="0" w:semiHidden="0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qFormat="1" w:uiPriority="99" w:semiHidden="0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qFormat="1" w:unhideWhenUsed="0" w:uiPriority="0" w:name="Document Map"/>
    <w:lsdException w:uiPriority="99" w:name="Plain Text"/>
    <w:lsdException w:uiPriority="99" w:name="E-mail Signature"/>
    <w:lsdException w:qFormat="1"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qFormat="1" w:uiPriority="99" w:semiHidden="0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nhideWhenUsed="0" w:uiPriority="99" w:name="Balloon Text"/>
    <w:lsdException w:qFormat="1" w:unhideWhenUsed="0" w:uiPriority="59" w:semiHidden="0" w:name="Table Grid"/>
    <w:lsdException w:uiPriority="99" w:name="Table Theme"/>
    <w:lsdException w:qFormat="1" w:unhideWhenUsed="0" w:uiPriority="99" w:name="Placeholder Text"/>
    <w:lsdException w:qFormat="1" w:unhideWhenUsed="0" w:uiPriority="1" w:semiHidden="0" w:name="No Spacing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paragraph" w:styleId="2">
    <w:name w:val="heading 1"/>
    <w:basedOn w:val="1"/>
    <w:next w:val="1"/>
    <w:link w:val="25"/>
    <w:qFormat/>
    <w:uiPriority w:val="9"/>
    <w:pPr>
      <w:keepNext/>
      <w:keepLines/>
      <w:spacing w:before="340" w:after="330" w:line="578" w:lineRule="auto"/>
      <w:ind w:firstLine="200" w:firstLineChars="200"/>
      <w:outlineLvl w:val="0"/>
    </w:pPr>
    <w:rPr>
      <w:rFonts w:ascii="Times New Roman" w:hAnsi="Times New Roman"/>
      <w:b/>
      <w:bCs/>
      <w:kern w:val="44"/>
      <w:sz w:val="44"/>
      <w:szCs w:val="44"/>
    </w:rPr>
  </w:style>
  <w:style w:type="paragraph" w:styleId="3">
    <w:name w:val="heading 2"/>
    <w:basedOn w:val="1"/>
    <w:next w:val="1"/>
    <w:link w:val="26"/>
    <w:unhideWhenUsed/>
    <w:qFormat/>
    <w:uiPriority w:val="9"/>
    <w:pPr>
      <w:keepNext/>
      <w:keepLines/>
      <w:snapToGrid w:val="0"/>
      <w:spacing w:before="260" w:after="260" w:line="416" w:lineRule="auto"/>
      <w:ind w:firstLine="200" w:firstLineChars="200"/>
      <w:outlineLvl w:val="1"/>
    </w:pPr>
    <w:rPr>
      <w:rFonts w:ascii="Calibri Light" w:hAnsi="Calibri Light"/>
      <w:b/>
      <w:bCs/>
      <w:sz w:val="32"/>
      <w:szCs w:val="32"/>
    </w:rPr>
  </w:style>
  <w:style w:type="paragraph" w:styleId="4">
    <w:name w:val="heading 3"/>
    <w:basedOn w:val="1"/>
    <w:next w:val="1"/>
    <w:link w:val="22"/>
    <w:qFormat/>
    <w:uiPriority w:val="9"/>
    <w:pPr>
      <w:keepNext/>
      <w:keepLines/>
      <w:spacing w:before="260" w:after="260" w:line="416" w:lineRule="auto"/>
      <w:outlineLvl w:val="2"/>
    </w:pPr>
    <w:rPr>
      <w:b/>
      <w:bCs/>
      <w:sz w:val="32"/>
      <w:szCs w:val="32"/>
    </w:rPr>
  </w:style>
  <w:style w:type="character" w:default="1" w:styleId="17">
    <w:name w:val="Default Paragraph Font"/>
    <w:semiHidden/>
    <w:unhideWhenUsed/>
    <w:qFormat/>
    <w:uiPriority w:val="1"/>
  </w:style>
  <w:style w:type="table" w:default="1" w:styleId="1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5">
    <w:name w:val="Document Map"/>
    <w:basedOn w:val="1"/>
    <w:link w:val="36"/>
    <w:semiHidden/>
    <w:qFormat/>
    <w:uiPriority w:val="0"/>
    <w:pPr>
      <w:shd w:val="clear" w:color="auto" w:fill="000080"/>
      <w:ind w:firstLine="200" w:firstLineChars="200"/>
    </w:pPr>
    <w:rPr>
      <w:rFonts w:ascii="Times New Roman" w:hAnsi="Times New Roman"/>
      <w:szCs w:val="24"/>
    </w:rPr>
  </w:style>
  <w:style w:type="paragraph" w:styleId="6">
    <w:name w:val="annotation text"/>
    <w:basedOn w:val="1"/>
    <w:link w:val="43"/>
    <w:unhideWhenUsed/>
    <w:qFormat/>
    <w:uiPriority w:val="99"/>
    <w:pPr>
      <w:snapToGrid w:val="0"/>
      <w:spacing w:line="360" w:lineRule="auto"/>
      <w:ind w:firstLine="200" w:firstLineChars="200"/>
      <w:jc w:val="left"/>
    </w:pPr>
    <w:rPr>
      <w:rFonts w:ascii="Times New Roman" w:hAnsi="Times New Roman"/>
    </w:rPr>
  </w:style>
  <w:style w:type="paragraph" w:styleId="7">
    <w:name w:val="Date"/>
    <w:basedOn w:val="1"/>
    <w:next w:val="1"/>
    <w:link w:val="52"/>
    <w:unhideWhenUsed/>
    <w:qFormat/>
    <w:uiPriority w:val="99"/>
    <w:pPr>
      <w:snapToGrid w:val="0"/>
      <w:spacing w:line="360" w:lineRule="auto"/>
      <w:ind w:left="100" w:leftChars="2500" w:firstLine="200" w:firstLineChars="200"/>
    </w:pPr>
    <w:rPr>
      <w:rFonts w:ascii="Times New Roman" w:hAnsi="Times New Roman"/>
    </w:rPr>
  </w:style>
  <w:style w:type="paragraph" w:styleId="8">
    <w:name w:val="Balloon Text"/>
    <w:basedOn w:val="1"/>
    <w:link w:val="41"/>
    <w:semiHidden/>
    <w:qFormat/>
    <w:uiPriority w:val="99"/>
    <w:pPr>
      <w:ind w:firstLine="200" w:firstLineChars="200"/>
    </w:pPr>
    <w:rPr>
      <w:rFonts w:ascii="Times New Roman" w:hAnsi="Times New Roman"/>
      <w:sz w:val="18"/>
      <w:szCs w:val="18"/>
    </w:rPr>
  </w:style>
  <w:style w:type="paragraph" w:styleId="9">
    <w:name w:val="footer"/>
    <w:basedOn w:val="1"/>
    <w:link w:val="24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10">
    <w:name w:val="header"/>
    <w:basedOn w:val="1"/>
    <w:link w:val="23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11">
    <w:name w:val="Subtitle"/>
    <w:basedOn w:val="1"/>
    <w:next w:val="1"/>
    <w:link w:val="45"/>
    <w:qFormat/>
    <w:uiPriority w:val="11"/>
    <w:pPr>
      <w:snapToGrid w:val="0"/>
      <w:jc w:val="center"/>
      <w:outlineLvl w:val="1"/>
    </w:pPr>
    <w:rPr>
      <w:rFonts w:ascii="Times New Roman" w:hAnsi="Times New Roman"/>
      <w:b/>
      <w:bCs/>
      <w:kern w:val="28"/>
      <w:sz w:val="44"/>
      <w:szCs w:val="32"/>
    </w:rPr>
  </w:style>
  <w:style w:type="paragraph" w:styleId="12">
    <w:name w:val="Normal (Web)"/>
    <w:basedOn w:val="1"/>
    <w:unhideWhenUsed/>
    <w:qFormat/>
    <w:uiPriority w:val="99"/>
    <w:pPr>
      <w:widowControl/>
      <w:spacing w:before="100" w:beforeAutospacing="1" w:after="100" w:afterAutospacing="1"/>
      <w:ind w:firstLine="200" w:firstLineChars="200"/>
      <w:jc w:val="left"/>
    </w:pPr>
    <w:rPr>
      <w:rFonts w:ascii="宋体" w:hAnsi="宋体" w:cs="宋体"/>
      <w:kern w:val="0"/>
      <w:sz w:val="24"/>
      <w:szCs w:val="24"/>
    </w:rPr>
  </w:style>
  <w:style w:type="paragraph" w:styleId="13">
    <w:name w:val="Title"/>
    <w:basedOn w:val="1"/>
    <w:next w:val="1"/>
    <w:link w:val="42"/>
    <w:qFormat/>
    <w:uiPriority w:val="10"/>
    <w:pPr>
      <w:snapToGrid w:val="0"/>
      <w:spacing w:before="240" w:after="60" w:line="360" w:lineRule="auto"/>
      <w:jc w:val="left"/>
      <w:outlineLvl w:val="0"/>
    </w:pPr>
    <w:rPr>
      <w:rFonts w:ascii="Times New Roman" w:hAnsi="Times New Roman"/>
      <w:b/>
      <w:bCs/>
      <w:sz w:val="32"/>
      <w:szCs w:val="32"/>
    </w:rPr>
  </w:style>
  <w:style w:type="paragraph" w:styleId="14">
    <w:name w:val="annotation subject"/>
    <w:basedOn w:val="6"/>
    <w:next w:val="6"/>
    <w:link w:val="49"/>
    <w:unhideWhenUsed/>
    <w:qFormat/>
    <w:uiPriority w:val="99"/>
    <w:rPr>
      <w:b/>
      <w:bCs/>
    </w:rPr>
  </w:style>
  <w:style w:type="table" w:styleId="16">
    <w:name w:val="Table Grid"/>
    <w:basedOn w:val="15"/>
    <w:qFormat/>
    <w:uiPriority w:val="5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18">
    <w:name w:val="page number"/>
    <w:basedOn w:val="17"/>
    <w:qFormat/>
    <w:uiPriority w:val="0"/>
  </w:style>
  <w:style w:type="character" w:styleId="19">
    <w:name w:val="Emphasis"/>
    <w:basedOn w:val="17"/>
    <w:qFormat/>
    <w:uiPriority w:val="20"/>
    <w:rPr>
      <w:i/>
      <w:iCs/>
    </w:rPr>
  </w:style>
  <w:style w:type="character" w:styleId="20">
    <w:name w:val="Hyperlink"/>
    <w:basedOn w:val="17"/>
    <w:semiHidden/>
    <w:unhideWhenUsed/>
    <w:qFormat/>
    <w:uiPriority w:val="99"/>
    <w:rPr>
      <w:color w:val="0000FF"/>
      <w:u w:val="single"/>
    </w:rPr>
  </w:style>
  <w:style w:type="character" w:styleId="21">
    <w:name w:val="annotation reference"/>
    <w:unhideWhenUsed/>
    <w:qFormat/>
    <w:uiPriority w:val="99"/>
    <w:rPr>
      <w:sz w:val="21"/>
      <w:szCs w:val="21"/>
    </w:rPr>
  </w:style>
  <w:style w:type="character" w:customStyle="1" w:styleId="22">
    <w:name w:val="标题 3 字符"/>
    <w:basedOn w:val="17"/>
    <w:link w:val="4"/>
    <w:qFormat/>
    <w:uiPriority w:val="9"/>
    <w:rPr>
      <w:rFonts w:ascii="Calibri" w:hAnsi="Calibri" w:eastAsia="宋体" w:cs="Times New Roman"/>
      <w:b/>
      <w:bCs/>
      <w:sz w:val="32"/>
      <w:szCs w:val="32"/>
    </w:rPr>
  </w:style>
  <w:style w:type="character" w:customStyle="1" w:styleId="23">
    <w:name w:val="页眉 字符"/>
    <w:basedOn w:val="17"/>
    <w:link w:val="10"/>
    <w:qFormat/>
    <w:uiPriority w:val="99"/>
    <w:rPr>
      <w:rFonts w:ascii="Calibri" w:hAnsi="Calibri" w:eastAsia="宋体" w:cs="Times New Roman"/>
      <w:sz w:val="18"/>
      <w:szCs w:val="18"/>
    </w:rPr>
  </w:style>
  <w:style w:type="character" w:customStyle="1" w:styleId="24">
    <w:name w:val="页脚 字符"/>
    <w:basedOn w:val="17"/>
    <w:link w:val="9"/>
    <w:qFormat/>
    <w:uiPriority w:val="99"/>
    <w:rPr>
      <w:rFonts w:ascii="Calibri" w:hAnsi="Calibri" w:eastAsia="宋体" w:cs="Times New Roman"/>
      <w:sz w:val="18"/>
      <w:szCs w:val="18"/>
    </w:rPr>
  </w:style>
  <w:style w:type="character" w:customStyle="1" w:styleId="25">
    <w:name w:val="标题 1 字符"/>
    <w:basedOn w:val="17"/>
    <w:link w:val="2"/>
    <w:qFormat/>
    <w:uiPriority w:val="9"/>
    <w:rPr>
      <w:rFonts w:ascii="Times New Roman" w:hAnsi="Times New Roman" w:eastAsia="宋体" w:cs="Times New Roman"/>
      <w:b/>
      <w:bCs/>
      <w:kern w:val="44"/>
      <w:sz w:val="44"/>
      <w:szCs w:val="44"/>
    </w:rPr>
  </w:style>
  <w:style w:type="character" w:customStyle="1" w:styleId="26">
    <w:name w:val="标题 2 字符"/>
    <w:basedOn w:val="17"/>
    <w:link w:val="3"/>
    <w:qFormat/>
    <w:uiPriority w:val="9"/>
    <w:rPr>
      <w:rFonts w:ascii="Calibri Light" w:hAnsi="Calibri Light" w:eastAsia="宋体" w:cs="Times New Roman"/>
      <w:b/>
      <w:bCs/>
      <w:sz w:val="32"/>
      <w:szCs w:val="32"/>
    </w:rPr>
  </w:style>
  <w:style w:type="paragraph" w:customStyle="1" w:styleId="27">
    <w:name w:val="段"/>
    <w:link w:val="46"/>
    <w:qFormat/>
    <w:uiPriority w:val="0"/>
    <w:pPr>
      <w:autoSpaceDE w:val="0"/>
      <w:autoSpaceDN w:val="0"/>
      <w:ind w:firstLine="200" w:firstLineChars="200"/>
      <w:jc w:val="both"/>
    </w:pPr>
    <w:rPr>
      <w:rFonts w:ascii="宋体" w:hAnsi="Times New Roman" w:eastAsia="宋体" w:cs="Times New Roman"/>
      <w:kern w:val="0"/>
      <w:sz w:val="21"/>
      <w:szCs w:val="20"/>
      <w:lang w:val="en-US" w:eastAsia="zh-CN" w:bidi="ar-SA"/>
    </w:rPr>
  </w:style>
  <w:style w:type="paragraph" w:customStyle="1" w:styleId="28">
    <w:name w:val="前言、引言标题"/>
    <w:next w:val="1"/>
    <w:qFormat/>
    <w:uiPriority w:val="0"/>
    <w:pPr>
      <w:numPr>
        <w:ilvl w:val="0"/>
        <w:numId w:val="1"/>
      </w:numPr>
      <w:shd w:val="clear" w:color="FFFFFF" w:fill="FFFFFF"/>
      <w:spacing w:before="640" w:after="560"/>
      <w:jc w:val="center"/>
      <w:outlineLvl w:val="0"/>
    </w:pPr>
    <w:rPr>
      <w:rFonts w:ascii="黑体" w:hAnsi="Times New Roman" w:eastAsia="黑体" w:cs="Times New Roman"/>
      <w:kern w:val="0"/>
      <w:sz w:val="32"/>
      <w:szCs w:val="20"/>
      <w:lang w:val="en-US" w:eastAsia="zh-CN" w:bidi="ar-SA"/>
    </w:rPr>
  </w:style>
  <w:style w:type="paragraph" w:customStyle="1" w:styleId="29">
    <w:name w:val="章标题"/>
    <w:next w:val="27"/>
    <w:qFormat/>
    <w:uiPriority w:val="0"/>
    <w:pPr>
      <w:numPr>
        <w:ilvl w:val="1"/>
        <w:numId w:val="1"/>
      </w:numPr>
      <w:spacing w:beforeLines="50" w:afterLines="50"/>
      <w:jc w:val="both"/>
      <w:outlineLvl w:val="1"/>
    </w:pPr>
    <w:rPr>
      <w:rFonts w:ascii="黑体" w:hAnsi="Times New Roman" w:eastAsia="黑体" w:cs="Times New Roman"/>
      <w:kern w:val="0"/>
      <w:sz w:val="21"/>
      <w:szCs w:val="20"/>
      <w:lang w:val="en-US" w:eastAsia="zh-CN" w:bidi="ar-SA"/>
    </w:rPr>
  </w:style>
  <w:style w:type="paragraph" w:customStyle="1" w:styleId="30">
    <w:name w:val="一级条标题"/>
    <w:basedOn w:val="29"/>
    <w:next w:val="27"/>
    <w:qFormat/>
    <w:uiPriority w:val="0"/>
    <w:pPr>
      <w:numPr>
        <w:ilvl w:val="2"/>
      </w:numPr>
      <w:spacing w:beforeLines="0" w:afterLines="0"/>
      <w:outlineLvl w:val="2"/>
    </w:pPr>
  </w:style>
  <w:style w:type="paragraph" w:customStyle="1" w:styleId="31">
    <w:name w:val="二级条标题"/>
    <w:basedOn w:val="30"/>
    <w:next w:val="27"/>
    <w:qFormat/>
    <w:uiPriority w:val="0"/>
    <w:pPr>
      <w:numPr>
        <w:ilvl w:val="3"/>
      </w:numPr>
      <w:outlineLvl w:val="3"/>
    </w:pPr>
  </w:style>
  <w:style w:type="paragraph" w:customStyle="1" w:styleId="32">
    <w:name w:val="三级条标题"/>
    <w:basedOn w:val="31"/>
    <w:next w:val="27"/>
    <w:qFormat/>
    <w:uiPriority w:val="0"/>
    <w:pPr>
      <w:numPr>
        <w:ilvl w:val="4"/>
      </w:numPr>
      <w:outlineLvl w:val="4"/>
    </w:pPr>
  </w:style>
  <w:style w:type="paragraph" w:customStyle="1" w:styleId="33">
    <w:name w:val="四级条标题"/>
    <w:basedOn w:val="32"/>
    <w:next w:val="27"/>
    <w:qFormat/>
    <w:uiPriority w:val="0"/>
    <w:pPr>
      <w:numPr>
        <w:ilvl w:val="5"/>
      </w:numPr>
      <w:outlineLvl w:val="5"/>
    </w:pPr>
  </w:style>
  <w:style w:type="paragraph" w:customStyle="1" w:styleId="34">
    <w:name w:val="五级条标题"/>
    <w:basedOn w:val="33"/>
    <w:next w:val="27"/>
    <w:qFormat/>
    <w:uiPriority w:val="0"/>
    <w:pPr>
      <w:numPr>
        <w:ilvl w:val="6"/>
      </w:numPr>
      <w:outlineLvl w:val="6"/>
    </w:pPr>
  </w:style>
  <w:style w:type="paragraph" w:customStyle="1" w:styleId="35">
    <w:name w:val="Char Char Char Char Char Char Char Char Char"/>
    <w:basedOn w:val="5"/>
    <w:qFormat/>
    <w:uiPriority w:val="0"/>
    <w:pPr>
      <w:adjustRightInd w:val="0"/>
      <w:spacing w:line="436" w:lineRule="exact"/>
      <w:ind w:left="357"/>
      <w:jc w:val="left"/>
      <w:outlineLvl w:val="3"/>
    </w:pPr>
    <w:rPr>
      <w:rFonts w:ascii="Tahoma" w:hAnsi="Tahoma"/>
      <w:b/>
      <w:sz w:val="24"/>
    </w:rPr>
  </w:style>
  <w:style w:type="character" w:customStyle="1" w:styleId="36">
    <w:name w:val="文档结构图 字符"/>
    <w:basedOn w:val="17"/>
    <w:link w:val="5"/>
    <w:semiHidden/>
    <w:qFormat/>
    <w:uiPriority w:val="0"/>
    <w:rPr>
      <w:rFonts w:ascii="Times New Roman" w:hAnsi="Times New Roman" w:eastAsia="宋体" w:cs="Times New Roman"/>
      <w:szCs w:val="24"/>
      <w:shd w:val="clear" w:color="auto" w:fill="000080"/>
    </w:rPr>
  </w:style>
  <w:style w:type="paragraph" w:customStyle="1" w:styleId="37">
    <w:name w:val="封面标准文稿编辑信息"/>
    <w:qFormat/>
    <w:uiPriority w:val="0"/>
    <w:pPr>
      <w:spacing w:before="180" w:line="180" w:lineRule="exact"/>
      <w:jc w:val="center"/>
    </w:pPr>
    <w:rPr>
      <w:rFonts w:ascii="宋体" w:hAnsi="Times New Roman" w:eastAsia="宋体" w:cs="Times New Roman"/>
      <w:kern w:val="0"/>
      <w:sz w:val="21"/>
      <w:szCs w:val="20"/>
      <w:lang w:val="en-US" w:eastAsia="zh-CN" w:bidi="ar-SA"/>
    </w:rPr>
  </w:style>
  <w:style w:type="paragraph" w:customStyle="1" w:styleId="38">
    <w:name w:val="Char Char Char Char"/>
    <w:basedOn w:val="1"/>
    <w:qFormat/>
    <w:uiPriority w:val="0"/>
    <w:pPr>
      <w:widowControl/>
      <w:spacing w:after="160" w:line="240" w:lineRule="exact"/>
      <w:ind w:firstLine="200" w:firstLineChars="200"/>
      <w:jc w:val="left"/>
    </w:pPr>
    <w:rPr>
      <w:rFonts w:ascii="Times New Roman" w:hAnsi="Times New Roman"/>
      <w:szCs w:val="20"/>
    </w:rPr>
  </w:style>
  <w:style w:type="paragraph" w:customStyle="1" w:styleId="39">
    <w:name w:val="Char"/>
    <w:basedOn w:val="1"/>
    <w:qFormat/>
    <w:uiPriority w:val="0"/>
    <w:pPr>
      <w:widowControl/>
      <w:spacing w:after="160" w:line="240" w:lineRule="exact"/>
      <w:ind w:firstLine="200" w:firstLineChars="200"/>
      <w:jc w:val="left"/>
    </w:pPr>
    <w:rPr>
      <w:rFonts w:ascii="Times New Roman" w:hAnsi="Times New Roman"/>
      <w:szCs w:val="20"/>
    </w:rPr>
  </w:style>
  <w:style w:type="paragraph" w:customStyle="1" w:styleId="40">
    <w:name w:val="Char Char Char Char Char Char Char"/>
    <w:basedOn w:val="1"/>
    <w:qFormat/>
    <w:uiPriority w:val="0"/>
    <w:pPr>
      <w:widowControl/>
      <w:spacing w:after="160" w:line="240" w:lineRule="exact"/>
      <w:ind w:firstLine="200" w:firstLineChars="200"/>
      <w:jc w:val="left"/>
    </w:pPr>
    <w:rPr>
      <w:rFonts w:ascii="Arial" w:hAnsi="Arial" w:eastAsia="Times New Roman" w:cs="Verdana"/>
      <w:b/>
      <w:kern w:val="0"/>
      <w:sz w:val="24"/>
      <w:szCs w:val="24"/>
      <w:lang w:eastAsia="en-US"/>
    </w:rPr>
  </w:style>
  <w:style w:type="character" w:customStyle="1" w:styleId="41">
    <w:name w:val="批注框文本 字符"/>
    <w:basedOn w:val="17"/>
    <w:link w:val="8"/>
    <w:semiHidden/>
    <w:qFormat/>
    <w:uiPriority w:val="99"/>
    <w:rPr>
      <w:rFonts w:ascii="Times New Roman" w:hAnsi="Times New Roman" w:eastAsia="宋体" w:cs="Times New Roman"/>
      <w:sz w:val="18"/>
      <w:szCs w:val="18"/>
    </w:rPr>
  </w:style>
  <w:style w:type="character" w:customStyle="1" w:styleId="42">
    <w:name w:val="标题 字符"/>
    <w:basedOn w:val="17"/>
    <w:link w:val="13"/>
    <w:qFormat/>
    <w:uiPriority w:val="10"/>
    <w:rPr>
      <w:rFonts w:ascii="Times New Roman" w:hAnsi="Times New Roman" w:eastAsia="宋体" w:cs="Times New Roman"/>
      <w:b/>
      <w:bCs/>
      <w:sz w:val="32"/>
      <w:szCs w:val="32"/>
    </w:rPr>
  </w:style>
  <w:style w:type="character" w:customStyle="1" w:styleId="43">
    <w:name w:val="批注文字 字符"/>
    <w:basedOn w:val="17"/>
    <w:link w:val="6"/>
    <w:qFormat/>
    <w:uiPriority w:val="99"/>
    <w:rPr>
      <w:rFonts w:ascii="Times New Roman" w:hAnsi="Times New Roman" w:eastAsia="宋体" w:cs="Times New Roman"/>
    </w:rPr>
  </w:style>
  <w:style w:type="paragraph" w:styleId="44">
    <w:name w:val="No Spacing"/>
    <w:qFormat/>
    <w:uiPriority w:val="1"/>
    <w:pPr>
      <w:widowControl w:val="0"/>
      <w:ind w:firstLine="200" w:firstLineChars="200"/>
      <w:jc w:val="both"/>
    </w:pPr>
    <w:rPr>
      <w:rFonts w:ascii="Times New Roman" w:hAnsi="Times New Roman" w:eastAsia="宋体" w:cs="Times New Roman"/>
      <w:kern w:val="2"/>
      <w:sz w:val="21"/>
      <w:szCs w:val="22"/>
      <w:lang w:val="en-US" w:eastAsia="zh-CN" w:bidi="ar-SA"/>
    </w:rPr>
  </w:style>
  <w:style w:type="character" w:customStyle="1" w:styleId="45">
    <w:name w:val="副标题 字符"/>
    <w:basedOn w:val="17"/>
    <w:link w:val="11"/>
    <w:qFormat/>
    <w:uiPriority w:val="11"/>
    <w:rPr>
      <w:rFonts w:ascii="Times New Roman" w:hAnsi="Times New Roman" w:eastAsia="宋体" w:cs="Times New Roman"/>
      <w:b/>
      <w:bCs/>
      <w:kern w:val="28"/>
      <w:sz w:val="44"/>
      <w:szCs w:val="32"/>
    </w:rPr>
  </w:style>
  <w:style w:type="character" w:customStyle="1" w:styleId="46">
    <w:name w:val="段 Char"/>
    <w:link w:val="27"/>
    <w:qFormat/>
    <w:locked/>
    <w:uiPriority w:val="0"/>
    <w:rPr>
      <w:rFonts w:ascii="宋体" w:hAnsi="Times New Roman" w:eastAsia="宋体" w:cs="Times New Roman"/>
      <w:kern w:val="0"/>
      <w:szCs w:val="20"/>
    </w:rPr>
  </w:style>
  <w:style w:type="paragraph" w:customStyle="1" w:styleId="47">
    <w:name w:val="样式1"/>
    <w:basedOn w:val="1"/>
    <w:link w:val="48"/>
    <w:qFormat/>
    <w:uiPriority w:val="0"/>
    <w:pPr>
      <w:snapToGrid w:val="0"/>
      <w:jc w:val="center"/>
    </w:pPr>
    <w:rPr>
      <w:rFonts w:ascii="Times New Roman" w:hAnsi="Times New Roman"/>
    </w:rPr>
  </w:style>
  <w:style w:type="character" w:customStyle="1" w:styleId="48">
    <w:name w:val="样式1 Char"/>
    <w:link w:val="47"/>
    <w:qFormat/>
    <w:uiPriority w:val="0"/>
    <w:rPr>
      <w:rFonts w:ascii="Times New Roman" w:hAnsi="Times New Roman" w:eastAsia="宋体" w:cs="Times New Roman"/>
    </w:rPr>
  </w:style>
  <w:style w:type="character" w:customStyle="1" w:styleId="49">
    <w:name w:val="批注主题 字符"/>
    <w:basedOn w:val="43"/>
    <w:link w:val="14"/>
    <w:qFormat/>
    <w:uiPriority w:val="99"/>
    <w:rPr>
      <w:rFonts w:ascii="Times New Roman" w:hAnsi="Times New Roman" w:eastAsia="宋体" w:cs="Times New Roman"/>
      <w:b/>
      <w:bCs/>
    </w:rPr>
  </w:style>
  <w:style w:type="paragraph" w:customStyle="1" w:styleId="50">
    <w:name w:val="论文正文"/>
    <w:basedOn w:val="1"/>
    <w:link w:val="51"/>
    <w:qFormat/>
    <w:uiPriority w:val="0"/>
    <w:pPr>
      <w:adjustRightInd w:val="0"/>
      <w:snapToGrid w:val="0"/>
      <w:spacing w:line="400" w:lineRule="exact"/>
      <w:ind w:firstLine="480" w:firstLineChars="200"/>
      <w:textAlignment w:val="baseline"/>
    </w:pPr>
    <w:rPr>
      <w:rFonts w:ascii="Times New Roman" w:hAnsi="Times New Roman"/>
      <w:kern w:val="0"/>
      <w:sz w:val="24"/>
      <w:szCs w:val="20"/>
    </w:rPr>
  </w:style>
  <w:style w:type="character" w:customStyle="1" w:styleId="51">
    <w:name w:val="论文正文 Char"/>
    <w:link w:val="50"/>
    <w:qFormat/>
    <w:uiPriority w:val="0"/>
    <w:rPr>
      <w:rFonts w:ascii="Times New Roman" w:hAnsi="Times New Roman" w:eastAsia="宋体" w:cs="Times New Roman"/>
      <w:kern w:val="0"/>
      <w:sz w:val="24"/>
      <w:szCs w:val="20"/>
    </w:rPr>
  </w:style>
  <w:style w:type="character" w:customStyle="1" w:styleId="52">
    <w:name w:val="日期 字符"/>
    <w:basedOn w:val="17"/>
    <w:link w:val="7"/>
    <w:qFormat/>
    <w:uiPriority w:val="99"/>
    <w:rPr>
      <w:rFonts w:ascii="Times New Roman" w:hAnsi="Times New Roman" w:eastAsia="宋体" w:cs="Times New Roman"/>
    </w:rPr>
  </w:style>
  <w:style w:type="character" w:styleId="53">
    <w:name w:val="Placeholder Text"/>
    <w:semiHidden/>
    <w:qFormat/>
    <w:uiPriority w:val="99"/>
    <w:rPr>
      <w:color w:val="808080"/>
    </w:rPr>
  </w:style>
  <w:style w:type="character" w:customStyle="1" w:styleId="54">
    <w:name w:val="MTEquationSection"/>
    <w:qFormat/>
    <w:uiPriority w:val="0"/>
    <w:rPr>
      <w:vanish/>
      <w:color w:val="FF0000"/>
    </w:rPr>
  </w:style>
  <w:style w:type="paragraph" w:styleId="55">
    <w:name w:val="List Paragraph"/>
    <w:basedOn w:val="1"/>
    <w:qFormat/>
    <w:uiPriority w:val="34"/>
    <w:pPr>
      <w:snapToGrid w:val="0"/>
      <w:spacing w:line="360" w:lineRule="auto"/>
      <w:ind w:firstLine="420" w:firstLineChars="200"/>
    </w:pPr>
    <w:rPr>
      <w:rFonts w:ascii="Times New Roman" w:hAnsi="Times New Roman"/>
    </w:rPr>
  </w:style>
  <w:style w:type="paragraph" w:customStyle="1" w:styleId="56">
    <w:name w:val="参考文献"/>
    <w:basedOn w:val="1"/>
    <w:link w:val="57"/>
    <w:qFormat/>
    <w:uiPriority w:val="0"/>
    <w:pPr>
      <w:numPr>
        <w:ilvl w:val="0"/>
        <w:numId w:val="2"/>
      </w:numPr>
      <w:spacing w:before="60" w:line="320" w:lineRule="exact"/>
    </w:pPr>
    <w:rPr>
      <w:rFonts w:ascii="Times New Roman" w:hAnsi="宋体"/>
      <w:kern w:val="0"/>
      <w:szCs w:val="21"/>
    </w:rPr>
  </w:style>
  <w:style w:type="character" w:customStyle="1" w:styleId="57">
    <w:name w:val="参考文献 Char"/>
    <w:link w:val="56"/>
    <w:qFormat/>
    <w:uiPriority w:val="0"/>
    <w:rPr>
      <w:rFonts w:ascii="Times New Roman" w:hAnsi="宋体" w:eastAsia="宋体" w:cs="Times New Roman"/>
      <w:kern w:val="0"/>
      <w:szCs w:val="21"/>
    </w:rPr>
  </w:style>
  <w:style w:type="paragraph" w:customStyle="1" w:styleId="58">
    <w:name w:val="封面标准英文名称"/>
    <w:qFormat/>
    <w:uiPriority w:val="0"/>
    <w:pPr>
      <w:widowControl w:val="0"/>
      <w:spacing w:before="370" w:line="400" w:lineRule="exact"/>
      <w:jc w:val="center"/>
    </w:pPr>
    <w:rPr>
      <w:rFonts w:ascii="Times New Roman" w:hAnsi="Times New Roman" w:eastAsia="宋体" w:cs="Times New Roman"/>
      <w:kern w:val="0"/>
      <w:sz w:val="28"/>
      <w:szCs w:val="20"/>
      <w:lang w:val="en-US" w:eastAsia="zh-CN" w:bidi="ar-SA"/>
    </w:rPr>
  </w:style>
  <w:style w:type="paragraph" w:customStyle="1" w:styleId="59">
    <w:name w:val="章"/>
    <w:basedOn w:val="1"/>
    <w:next w:val="27"/>
    <w:qFormat/>
    <w:uiPriority w:val="0"/>
    <w:pPr>
      <w:numPr>
        <w:ilvl w:val="0"/>
        <w:numId w:val="3"/>
      </w:numPr>
      <w:adjustRightInd w:val="0"/>
      <w:spacing w:before="160" w:after="160"/>
      <w:outlineLvl w:val="0"/>
    </w:pPr>
    <w:rPr>
      <w:rFonts w:hint="eastAsia" w:ascii="黑体" w:hAnsi="Times New Roman" w:eastAsia="黑体"/>
      <w:kern w:val="21"/>
      <w:szCs w:val="20"/>
    </w:rPr>
  </w:style>
  <w:style w:type="paragraph" w:customStyle="1" w:styleId="60">
    <w:name w:val="条1"/>
    <w:basedOn w:val="1"/>
    <w:next w:val="27"/>
    <w:qFormat/>
    <w:uiPriority w:val="0"/>
    <w:pPr>
      <w:numPr>
        <w:ilvl w:val="1"/>
        <w:numId w:val="3"/>
      </w:numPr>
      <w:ind w:left="0"/>
      <w:outlineLvl w:val="1"/>
    </w:pPr>
    <w:rPr>
      <w:rFonts w:hint="eastAsia" w:ascii="黑体" w:hAnsi="Times New Roman" w:eastAsia="黑体"/>
      <w:kern w:val="21"/>
      <w:szCs w:val="20"/>
    </w:rPr>
  </w:style>
  <w:style w:type="paragraph" w:customStyle="1" w:styleId="61">
    <w:name w:val="条2"/>
    <w:basedOn w:val="1"/>
    <w:next w:val="27"/>
    <w:qFormat/>
    <w:uiPriority w:val="0"/>
    <w:pPr>
      <w:numPr>
        <w:ilvl w:val="2"/>
        <w:numId w:val="3"/>
      </w:numPr>
      <w:outlineLvl w:val="1"/>
    </w:pPr>
    <w:rPr>
      <w:rFonts w:hint="eastAsia" w:ascii="黑体" w:hAnsi="Times New Roman" w:eastAsia="黑体"/>
      <w:kern w:val="21"/>
      <w:szCs w:val="20"/>
    </w:rPr>
  </w:style>
  <w:style w:type="paragraph" w:customStyle="1" w:styleId="62">
    <w:name w:val="条3"/>
    <w:basedOn w:val="1"/>
    <w:next w:val="27"/>
    <w:qFormat/>
    <w:uiPriority w:val="0"/>
    <w:pPr>
      <w:numPr>
        <w:ilvl w:val="3"/>
        <w:numId w:val="3"/>
      </w:numPr>
      <w:outlineLvl w:val="1"/>
    </w:pPr>
    <w:rPr>
      <w:rFonts w:hint="eastAsia" w:ascii="黑体" w:hAnsi="Times New Roman" w:eastAsia="黑体"/>
      <w:kern w:val="21"/>
      <w:szCs w:val="20"/>
    </w:rPr>
  </w:style>
  <w:style w:type="paragraph" w:customStyle="1" w:styleId="63">
    <w:name w:val="无题条5"/>
    <w:basedOn w:val="1"/>
    <w:next w:val="27"/>
    <w:qFormat/>
    <w:uiPriority w:val="0"/>
    <w:pPr>
      <w:numPr>
        <w:ilvl w:val="4"/>
        <w:numId w:val="3"/>
      </w:numPr>
      <w:outlineLvl w:val="1"/>
    </w:pPr>
    <w:rPr>
      <w:rFonts w:hint="eastAsia" w:ascii="宋体" w:hAnsi="Times New Roman"/>
      <w:kern w:val="21"/>
      <w:szCs w:val="20"/>
    </w:rPr>
  </w:style>
  <w:style w:type="paragraph" w:customStyle="1" w:styleId="64">
    <w:name w:val="附录标题"/>
    <w:basedOn w:val="1"/>
    <w:next w:val="27"/>
    <w:qFormat/>
    <w:uiPriority w:val="0"/>
    <w:pPr>
      <w:widowControl/>
      <w:numPr>
        <w:ilvl w:val="5"/>
        <w:numId w:val="3"/>
      </w:numPr>
      <w:spacing w:before="560" w:after="160"/>
      <w:jc w:val="center"/>
      <w:outlineLvl w:val="0"/>
    </w:pPr>
    <w:rPr>
      <w:rFonts w:hint="eastAsia" w:ascii="黑体" w:hAnsi="Times New Roman" w:eastAsia="黑体"/>
      <w:kern w:val="0"/>
      <w:szCs w:val="20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Microsoft</Company>
  <Pages>5</Pages>
  <Words>3899</Words>
  <Characters>3994</Characters>
  <Lines>5</Lines>
  <Paragraphs>1</Paragraphs>
  <TotalTime>4</TotalTime>
  <ScaleCrop>false</ScaleCrop>
  <LinksUpToDate>false</LinksUpToDate>
  <CharactersWithSpaces>3999</CharactersWithSpaces>
  <Application>WPS Office_12.1.0.25865_F1E327BC-269C-435d-A152-05C5408002CA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2019-06-20T06:55:00Z</dcterms:created>
  <dc:creator>zhengyanfeng</dc:creator>
  <cp:lastModifiedBy>陈萌</cp:lastModifiedBy>
  <dcterms:modified xsi:type="dcterms:W3CDTF">2026-05-07T07:30:40Z</dcterms:modified>
  <cp:revision>10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2052-12.1.0.25865</vt:lpwstr>
  </property>
  <property fmtid="{D5CDD505-2E9C-101B-9397-08002B2CF9AE}" pid="3" name="ICV">
    <vt:lpwstr>818F7467666C4704AC440DFB064940E7_13</vt:lpwstr>
  </property>
  <property fmtid="{D5CDD505-2E9C-101B-9397-08002B2CF9AE}" pid="4" name="KSOTemplateDocerSaveRecord">
    <vt:lpwstr>eyJoZGlkIjoiOTNhYzk2NjdkNzE3ZjM0MDllNTZkZTZlMGYzZGI1YjEiLCJ1c2VySWQiOiI0MTg0NTA0MDAifQ==</vt:lpwstr>
  </property>
</Properties>
</file>