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E0CB8">
      <w:pPr>
        <w:kinsoku w:val="0"/>
        <w:autoSpaceDE w:val="0"/>
        <w:autoSpaceDN w:val="0"/>
        <w:adjustRightInd w:val="0"/>
        <w:snapToGrid w:val="0"/>
        <w:spacing w:line="244" w:lineRule="auto"/>
        <w:ind w:firstLine="420" w:firstLineChars="200"/>
        <w:jc w:val="left"/>
        <w:textAlignment w:val="baseline"/>
        <w:rPr>
          <w:rFonts w:hint="eastAsia" w:ascii="Times New Roman" w:hAnsi="Times New Roman" w:eastAsia="宋体" w:cs="Arial"/>
          <w:snapToGrid w:val="0"/>
          <w:color w:val="000000"/>
          <w:kern w:val="0"/>
          <w:sz w:val="21"/>
          <w:szCs w:val="21"/>
          <w:lang w:val="en-US" w:eastAsia="zh-CN" w:bidi="ar-SA"/>
        </w:rPr>
      </w:pPr>
    </w:p>
    <w:p w14:paraId="3FF13818">
      <w:pPr>
        <w:kinsoku w:val="0"/>
        <w:autoSpaceDE w:val="0"/>
        <w:autoSpaceDN w:val="0"/>
        <w:adjustRightInd w:val="0"/>
        <w:snapToGrid w:val="0"/>
        <w:spacing w:line="244" w:lineRule="auto"/>
        <w:ind w:firstLine="420" w:firstLineChars="200"/>
        <w:jc w:val="left"/>
        <w:textAlignment w:val="baseline"/>
        <w:rPr>
          <w:rFonts w:hint="eastAsia" w:ascii="Times New Roman" w:hAnsi="Times New Roman" w:eastAsia="宋体" w:cs="Arial"/>
          <w:snapToGrid w:val="0"/>
          <w:color w:val="000000"/>
          <w:kern w:val="0"/>
          <w:sz w:val="21"/>
          <w:szCs w:val="21"/>
          <w:lang w:val="en-US" w:eastAsia="zh-CN" w:bidi="ar-SA"/>
        </w:rPr>
      </w:pPr>
    </w:p>
    <w:p w14:paraId="6B84CD3A">
      <w:pPr>
        <w:kinsoku w:val="0"/>
        <w:autoSpaceDE w:val="0"/>
        <w:autoSpaceDN w:val="0"/>
        <w:adjustRightInd w:val="0"/>
        <w:snapToGrid w:val="0"/>
        <w:spacing w:line="244" w:lineRule="auto"/>
        <w:ind w:firstLine="420" w:firstLineChars="200"/>
        <w:jc w:val="left"/>
        <w:textAlignment w:val="baseline"/>
        <w:rPr>
          <w:rFonts w:hint="eastAsia" w:ascii="Times New Roman" w:hAnsi="Times New Roman" w:eastAsia="宋体" w:cs="Arial"/>
          <w:snapToGrid w:val="0"/>
          <w:color w:val="000000"/>
          <w:kern w:val="0"/>
          <w:sz w:val="21"/>
          <w:szCs w:val="21"/>
          <w:lang w:val="en-US" w:eastAsia="zh-CN" w:bidi="ar-SA"/>
        </w:rPr>
      </w:pPr>
    </w:p>
    <w:p w14:paraId="076CD93C">
      <w:pPr>
        <w:kinsoku w:val="0"/>
        <w:autoSpaceDE w:val="0"/>
        <w:autoSpaceDN w:val="0"/>
        <w:adjustRightInd w:val="0"/>
        <w:snapToGrid w:val="0"/>
        <w:spacing w:line="244" w:lineRule="auto"/>
        <w:ind w:firstLine="420" w:firstLineChars="200"/>
        <w:jc w:val="left"/>
        <w:textAlignment w:val="baseline"/>
        <w:rPr>
          <w:rFonts w:hint="eastAsia" w:ascii="Times New Roman" w:hAnsi="Times New Roman" w:eastAsia="宋体" w:cs="Arial"/>
          <w:snapToGrid w:val="0"/>
          <w:color w:val="000000"/>
          <w:kern w:val="0"/>
          <w:sz w:val="21"/>
          <w:szCs w:val="21"/>
          <w:lang w:val="en-US" w:eastAsia="zh-CN" w:bidi="ar-SA"/>
        </w:rPr>
      </w:pPr>
    </w:p>
    <w:p w14:paraId="443E3087">
      <w:pPr>
        <w:kinsoku w:val="0"/>
        <w:autoSpaceDE w:val="0"/>
        <w:autoSpaceDN w:val="0"/>
        <w:adjustRightInd w:val="0"/>
        <w:snapToGrid w:val="0"/>
        <w:spacing w:line="244" w:lineRule="auto"/>
        <w:ind w:firstLine="420" w:firstLineChars="200"/>
        <w:jc w:val="left"/>
        <w:textAlignment w:val="baseline"/>
        <w:rPr>
          <w:rFonts w:hint="eastAsia" w:ascii="Times New Roman" w:hAnsi="Times New Roman" w:eastAsia="宋体" w:cs="Arial"/>
          <w:snapToGrid w:val="0"/>
          <w:color w:val="000000"/>
          <w:kern w:val="0"/>
          <w:sz w:val="21"/>
          <w:szCs w:val="21"/>
          <w:lang w:val="en-US" w:eastAsia="zh-CN" w:bidi="ar-SA"/>
        </w:rPr>
      </w:pPr>
    </w:p>
    <w:p w14:paraId="66636E1E">
      <w:pPr>
        <w:kinsoku w:val="0"/>
        <w:autoSpaceDE w:val="0"/>
        <w:autoSpaceDN w:val="0"/>
        <w:adjustRightInd w:val="0"/>
        <w:snapToGrid w:val="0"/>
        <w:spacing w:line="244" w:lineRule="auto"/>
        <w:ind w:firstLine="420" w:firstLineChars="200"/>
        <w:jc w:val="left"/>
        <w:textAlignment w:val="baseline"/>
        <w:rPr>
          <w:rFonts w:hint="eastAsia" w:ascii="Times New Roman" w:hAnsi="Times New Roman" w:eastAsia="宋体" w:cs="Arial"/>
          <w:snapToGrid w:val="0"/>
          <w:color w:val="000000"/>
          <w:kern w:val="0"/>
          <w:sz w:val="21"/>
          <w:szCs w:val="21"/>
          <w:lang w:val="en-US" w:eastAsia="zh-CN" w:bidi="ar-SA"/>
        </w:rPr>
      </w:pPr>
    </w:p>
    <w:p w14:paraId="0B4D5D1E">
      <w:pPr>
        <w:kinsoku w:val="0"/>
        <w:autoSpaceDE w:val="0"/>
        <w:autoSpaceDN w:val="0"/>
        <w:adjustRightInd w:val="0"/>
        <w:snapToGrid w:val="0"/>
        <w:spacing w:line="244" w:lineRule="auto"/>
        <w:ind w:firstLine="420" w:firstLineChars="200"/>
        <w:jc w:val="left"/>
        <w:textAlignment w:val="baseline"/>
        <w:rPr>
          <w:rFonts w:hint="eastAsia" w:ascii="Times New Roman" w:hAnsi="Times New Roman" w:eastAsia="宋体" w:cs="Arial"/>
          <w:snapToGrid w:val="0"/>
          <w:color w:val="000000"/>
          <w:kern w:val="0"/>
          <w:sz w:val="21"/>
          <w:szCs w:val="21"/>
          <w:lang w:val="en-US" w:eastAsia="zh-CN" w:bidi="ar-SA"/>
        </w:rPr>
      </w:pPr>
    </w:p>
    <w:p w14:paraId="66ACFEDE">
      <w:pPr>
        <w:widowControl/>
        <w:kinsoku w:val="0"/>
        <w:autoSpaceDE w:val="0"/>
        <w:autoSpaceDN w:val="0"/>
        <w:adjustRightInd w:val="0"/>
        <w:snapToGrid w:val="0"/>
        <w:spacing w:before="166" w:line="239" w:lineRule="auto"/>
        <w:ind w:left="0" w:leftChars="0" w:hanging="8" w:firstLineChars="0"/>
        <w:jc w:val="center"/>
        <w:textAlignment w:val="baseline"/>
        <w:rPr>
          <w:rFonts w:ascii="Times New Roman" w:hAnsi="Times New Roman" w:eastAsia="微软雅黑" w:cs="微软雅黑"/>
          <w:b/>
          <w:bCs/>
          <w:snapToGrid w:val="0"/>
          <w:color w:val="000000"/>
          <w:spacing w:val="12"/>
          <w:kern w:val="0"/>
          <w:sz w:val="48"/>
          <w:szCs w:val="48"/>
          <w:lang w:eastAsia="en-US"/>
        </w:rPr>
      </w:pPr>
      <w:r>
        <w:rPr>
          <w:rFonts w:ascii="Times New Roman" w:hAnsi="Times New Roman" w:eastAsia="微软雅黑" w:cs="微软雅黑"/>
          <w:b/>
          <w:bCs/>
          <w:snapToGrid w:val="0"/>
          <w:color w:val="000000"/>
          <w:spacing w:val="12"/>
          <w:kern w:val="0"/>
          <w:sz w:val="48"/>
          <w:szCs w:val="48"/>
          <w:lang w:eastAsia="en-US"/>
        </w:rPr>
        <w:t>《</w:t>
      </w:r>
      <w:r>
        <w:rPr>
          <w:rFonts w:hint="eastAsia" w:ascii="Times New Roman" w:hAnsi="Times New Roman" w:eastAsia="微软雅黑" w:cs="微软雅黑"/>
          <w:b/>
          <w:bCs/>
          <w:snapToGrid w:val="0"/>
          <w:color w:val="000000"/>
          <w:spacing w:val="12"/>
          <w:kern w:val="0"/>
          <w:sz w:val="48"/>
          <w:szCs w:val="48"/>
          <w:lang w:eastAsia="en-US"/>
        </w:rPr>
        <w:t>“潞党参”品牌建设管理规范</w:t>
      </w:r>
      <w:r>
        <w:rPr>
          <w:rFonts w:ascii="Times New Roman" w:hAnsi="Times New Roman" w:eastAsia="微软雅黑" w:cs="微软雅黑"/>
          <w:b/>
          <w:bCs/>
          <w:snapToGrid w:val="0"/>
          <w:color w:val="000000"/>
          <w:spacing w:val="12"/>
          <w:kern w:val="0"/>
          <w:sz w:val="48"/>
          <w:szCs w:val="48"/>
          <w:lang w:eastAsia="en-US"/>
        </w:rPr>
        <w:t>》</w:t>
      </w:r>
    </w:p>
    <w:p w14:paraId="01967D4C">
      <w:pPr>
        <w:kinsoku w:val="0"/>
        <w:autoSpaceDE w:val="0"/>
        <w:autoSpaceDN w:val="0"/>
        <w:adjustRightInd w:val="0"/>
        <w:snapToGrid w:val="0"/>
        <w:spacing w:line="259" w:lineRule="auto"/>
        <w:ind w:left="0" w:leftChars="0" w:firstLine="0" w:firstLineChars="0"/>
        <w:jc w:val="center"/>
        <w:textAlignment w:val="baseline"/>
        <w:rPr>
          <w:rFonts w:hint="eastAsia" w:ascii="Times New Roman" w:hAnsi="Times New Roman" w:eastAsia="微软雅黑" w:cs="微软雅黑"/>
          <w:b/>
          <w:bCs/>
          <w:snapToGrid w:val="0"/>
          <w:color w:val="000000"/>
          <w:spacing w:val="12"/>
          <w:kern w:val="0"/>
          <w:sz w:val="48"/>
          <w:szCs w:val="48"/>
          <w:lang w:val="en-US" w:eastAsia="zh-CN"/>
        </w:rPr>
      </w:pPr>
      <w:r>
        <w:rPr>
          <w:rFonts w:hint="eastAsia" w:ascii="Times New Roman" w:hAnsi="Times New Roman" w:eastAsia="微软雅黑" w:cs="微软雅黑"/>
          <w:b/>
          <w:bCs/>
          <w:snapToGrid w:val="0"/>
          <w:color w:val="000000"/>
          <w:spacing w:val="12"/>
          <w:kern w:val="0"/>
          <w:sz w:val="48"/>
          <w:szCs w:val="48"/>
          <w:lang w:val="en-US" w:eastAsia="zh-CN"/>
        </w:rPr>
        <w:t>团体标准</w:t>
      </w:r>
    </w:p>
    <w:p w14:paraId="5989FBE6">
      <w:pPr>
        <w:kinsoku w:val="0"/>
        <w:autoSpaceDE w:val="0"/>
        <w:autoSpaceDN w:val="0"/>
        <w:adjustRightInd w:val="0"/>
        <w:snapToGrid w:val="0"/>
        <w:spacing w:line="259" w:lineRule="auto"/>
        <w:ind w:firstLine="1008" w:firstLineChars="200"/>
        <w:jc w:val="left"/>
        <w:textAlignment w:val="baseline"/>
        <w:rPr>
          <w:rFonts w:hint="eastAsia" w:ascii="Times New Roman" w:hAnsi="Times New Roman" w:eastAsia="微软雅黑" w:cs="微软雅黑"/>
          <w:b/>
          <w:bCs/>
          <w:snapToGrid w:val="0"/>
          <w:color w:val="000000"/>
          <w:spacing w:val="12"/>
          <w:kern w:val="0"/>
          <w:sz w:val="48"/>
          <w:szCs w:val="48"/>
          <w:lang w:val="en-US" w:eastAsia="zh-CN"/>
        </w:rPr>
      </w:pPr>
    </w:p>
    <w:p w14:paraId="0C7A35A0">
      <w:pPr>
        <w:kinsoku w:val="0"/>
        <w:autoSpaceDE w:val="0"/>
        <w:autoSpaceDN w:val="0"/>
        <w:adjustRightInd w:val="0"/>
        <w:snapToGrid w:val="0"/>
        <w:spacing w:line="259" w:lineRule="auto"/>
        <w:ind w:firstLine="420" w:firstLineChars="200"/>
        <w:jc w:val="left"/>
        <w:textAlignment w:val="baseline"/>
        <w:rPr>
          <w:rFonts w:hint="eastAsia" w:ascii="Times New Roman" w:hAnsi="Times New Roman" w:eastAsia="宋体" w:cs="Arial"/>
          <w:snapToGrid w:val="0"/>
          <w:color w:val="000000"/>
          <w:kern w:val="0"/>
          <w:sz w:val="21"/>
          <w:szCs w:val="21"/>
          <w:lang w:val="en-US" w:eastAsia="zh-CN" w:bidi="ar-SA"/>
        </w:rPr>
      </w:pPr>
    </w:p>
    <w:p w14:paraId="36FA68A3">
      <w:pPr>
        <w:kinsoku w:val="0"/>
        <w:autoSpaceDE w:val="0"/>
        <w:autoSpaceDN w:val="0"/>
        <w:adjustRightInd w:val="0"/>
        <w:snapToGrid w:val="0"/>
        <w:spacing w:line="259" w:lineRule="auto"/>
        <w:ind w:firstLine="420" w:firstLineChars="200"/>
        <w:jc w:val="left"/>
        <w:textAlignment w:val="baseline"/>
        <w:rPr>
          <w:rFonts w:hint="eastAsia" w:ascii="Times New Roman" w:hAnsi="Times New Roman" w:eastAsia="宋体" w:cs="Arial"/>
          <w:snapToGrid w:val="0"/>
          <w:color w:val="000000"/>
          <w:kern w:val="0"/>
          <w:sz w:val="21"/>
          <w:szCs w:val="21"/>
          <w:lang w:val="en-US" w:eastAsia="zh-CN" w:bidi="ar-SA"/>
        </w:rPr>
      </w:pPr>
    </w:p>
    <w:p w14:paraId="64FF6F63">
      <w:pPr>
        <w:widowControl/>
        <w:kinsoku w:val="0"/>
        <w:autoSpaceDE w:val="0"/>
        <w:autoSpaceDN w:val="0"/>
        <w:adjustRightInd w:val="0"/>
        <w:snapToGrid w:val="0"/>
        <w:spacing w:before="102" w:line="220" w:lineRule="auto"/>
        <w:ind w:left="3523" w:leftChars="0" w:hanging="3523" w:hangingChars="734"/>
        <w:jc w:val="center"/>
        <w:textAlignment w:val="baseline"/>
        <w:rPr>
          <w:rFonts w:hint="eastAsia" w:ascii="Times New Roman" w:hAnsi="Times New Roman" w:eastAsia="微软雅黑" w:cs="微软雅黑"/>
          <w:snapToGrid w:val="0"/>
          <w:color w:val="000000"/>
          <w:kern w:val="0"/>
          <w:sz w:val="48"/>
          <w:szCs w:val="48"/>
          <w:lang w:eastAsia="zh-CN"/>
        </w:rPr>
      </w:pPr>
      <w:r>
        <w:rPr>
          <w:rFonts w:hint="eastAsia" w:ascii="Times New Roman" w:hAnsi="Times New Roman" w:eastAsia="微软雅黑" w:cs="微软雅黑"/>
          <w:snapToGrid w:val="0"/>
          <w:color w:val="000000"/>
          <w:kern w:val="0"/>
          <w:sz w:val="48"/>
          <w:szCs w:val="48"/>
          <w:lang w:eastAsia="en-US"/>
        </w:rPr>
        <w:t>编  制  说  明</w:t>
      </w:r>
    </w:p>
    <w:p w14:paraId="3A0F24D5">
      <w:pPr>
        <w:widowControl/>
        <w:kinsoku w:val="0"/>
        <w:autoSpaceDE w:val="0"/>
        <w:autoSpaceDN w:val="0"/>
        <w:adjustRightInd w:val="0"/>
        <w:snapToGrid w:val="0"/>
        <w:spacing w:before="102" w:line="220" w:lineRule="auto"/>
        <w:ind w:left="3523" w:leftChars="0" w:hanging="3523" w:hangingChars="734"/>
        <w:jc w:val="center"/>
        <w:textAlignment w:val="baseline"/>
        <w:rPr>
          <w:rFonts w:hint="eastAsia" w:ascii="Times New Roman" w:hAnsi="Times New Roman" w:eastAsia="微软雅黑" w:cs="微软雅黑"/>
          <w:snapToGrid w:val="0"/>
          <w:color w:val="000000"/>
          <w:kern w:val="0"/>
          <w:sz w:val="48"/>
          <w:szCs w:val="48"/>
          <w:lang w:eastAsia="zh-CN"/>
        </w:rPr>
      </w:pPr>
    </w:p>
    <w:p w14:paraId="5141A2A2">
      <w:pPr>
        <w:widowControl/>
        <w:kinsoku w:val="0"/>
        <w:autoSpaceDE w:val="0"/>
        <w:autoSpaceDN w:val="0"/>
        <w:adjustRightInd w:val="0"/>
        <w:snapToGrid w:val="0"/>
        <w:spacing w:before="102" w:line="220" w:lineRule="auto"/>
        <w:ind w:left="2759" w:leftChars="0" w:hanging="2759" w:hangingChars="734"/>
        <w:jc w:val="center"/>
        <w:textAlignment w:val="baseline"/>
        <w:rPr>
          <w:rFonts w:hint="eastAsia" w:ascii="Times New Roman" w:hAnsi="Times New Roman" w:eastAsia="KaiTi_GB2312" w:cs="KaiTi_GB2312"/>
          <w:snapToGrid w:val="0"/>
          <w:color w:val="000000"/>
          <w:spacing w:val="8"/>
          <w:kern w:val="0"/>
          <w:sz w:val="36"/>
          <w:szCs w:val="36"/>
          <w:lang w:eastAsia="zh-CN"/>
        </w:rPr>
      </w:pPr>
    </w:p>
    <w:p w14:paraId="5B3C513B">
      <w:pPr>
        <w:widowControl/>
        <w:kinsoku w:val="0"/>
        <w:autoSpaceDE w:val="0"/>
        <w:autoSpaceDN w:val="0"/>
        <w:adjustRightInd w:val="0"/>
        <w:snapToGrid w:val="0"/>
        <w:spacing w:before="102" w:line="220" w:lineRule="auto"/>
        <w:ind w:left="2759" w:leftChars="0" w:hanging="2759" w:hangingChars="734"/>
        <w:jc w:val="center"/>
        <w:textAlignment w:val="baseline"/>
        <w:rPr>
          <w:rFonts w:hint="eastAsia" w:ascii="Times New Roman" w:hAnsi="Times New Roman" w:eastAsia="KaiTi_GB2312" w:cs="KaiTi_GB2312"/>
          <w:snapToGrid w:val="0"/>
          <w:color w:val="000000"/>
          <w:spacing w:val="8"/>
          <w:kern w:val="0"/>
          <w:sz w:val="36"/>
          <w:szCs w:val="36"/>
          <w:lang w:eastAsia="zh-CN"/>
        </w:rPr>
      </w:pPr>
    </w:p>
    <w:p w14:paraId="6EACA5DB">
      <w:pPr>
        <w:widowControl/>
        <w:kinsoku w:val="0"/>
        <w:autoSpaceDE w:val="0"/>
        <w:autoSpaceDN w:val="0"/>
        <w:adjustRightInd w:val="0"/>
        <w:snapToGrid w:val="0"/>
        <w:spacing w:before="102" w:line="220" w:lineRule="auto"/>
        <w:ind w:left="2759" w:leftChars="0" w:hanging="2759" w:hangingChars="734"/>
        <w:jc w:val="center"/>
        <w:textAlignment w:val="baseline"/>
        <w:rPr>
          <w:rFonts w:hint="eastAsia" w:ascii="Times New Roman" w:hAnsi="Times New Roman" w:eastAsia="KaiTi_GB2312" w:cs="KaiTi_GB2312"/>
          <w:snapToGrid w:val="0"/>
          <w:color w:val="000000"/>
          <w:spacing w:val="8"/>
          <w:kern w:val="0"/>
          <w:sz w:val="36"/>
          <w:szCs w:val="36"/>
          <w:lang w:eastAsia="zh-CN"/>
        </w:rPr>
      </w:pPr>
    </w:p>
    <w:p w14:paraId="40B015B6">
      <w:pPr>
        <w:widowControl/>
        <w:kinsoku w:val="0"/>
        <w:autoSpaceDE w:val="0"/>
        <w:autoSpaceDN w:val="0"/>
        <w:adjustRightInd w:val="0"/>
        <w:snapToGrid w:val="0"/>
        <w:spacing w:before="102" w:line="220" w:lineRule="auto"/>
        <w:ind w:left="2759" w:leftChars="0" w:hanging="2759" w:hangingChars="734"/>
        <w:jc w:val="center"/>
        <w:textAlignment w:val="baseline"/>
        <w:rPr>
          <w:rFonts w:hint="eastAsia" w:ascii="Times New Roman" w:hAnsi="Times New Roman" w:eastAsia="KaiTi_GB2312" w:cs="KaiTi_GB2312"/>
          <w:snapToGrid w:val="0"/>
          <w:color w:val="000000"/>
          <w:spacing w:val="8"/>
          <w:kern w:val="0"/>
          <w:sz w:val="36"/>
          <w:szCs w:val="36"/>
          <w:lang w:eastAsia="zh-CN"/>
        </w:rPr>
      </w:pPr>
    </w:p>
    <w:p w14:paraId="3EF9D3E1">
      <w:pPr>
        <w:widowControl/>
        <w:kinsoku w:val="0"/>
        <w:autoSpaceDE w:val="0"/>
        <w:autoSpaceDN w:val="0"/>
        <w:adjustRightInd w:val="0"/>
        <w:snapToGrid w:val="0"/>
        <w:spacing w:before="102" w:line="220" w:lineRule="auto"/>
        <w:ind w:left="2759" w:leftChars="0" w:hanging="2759" w:hangingChars="734"/>
        <w:jc w:val="center"/>
        <w:textAlignment w:val="baseline"/>
        <w:rPr>
          <w:rFonts w:hint="eastAsia" w:ascii="Times New Roman" w:hAnsi="Times New Roman" w:eastAsia="KaiTi_GB2312" w:cs="KaiTi_GB2312"/>
          <w:snapToGrid w:val="0"/>
          <w:color w:val="000000"/>
          <w:spacing w:val="8"/>
          <w:kern w:val="0"/>
          <w:sz w:val="36"/>
          <w:szCs w:val="36"/>
          <w:lang w:eastAsia="zh-CN"/>
        </w:rPr>
      </w:pPr>
    </w:p>
    <w:p w14:paraId="10610165">
      <w:pPr>
        <w:widowControl/>
        <w:kinsoku w:val="0"/>
        <w:autoSpaceDE w:val="0"/>
        <w:autoSpaceDN w:val="0"/>
        <w:adjustRightInd w:val="0"/>
        <w:snapToGrid w:val="0"/>
        <w:spacing w:before="102" w:line="220" w:lineRule="auto"/>
        <w:ind w:left="2759" w:leftChars="0" w:hanging="2759" w:hangingChars="734"/>
        <w:jc w:val="center"/>
        <w:textAlignment w:val="baseline"/>
        <w:rPr>
          <w:rFonts w:hint="eastAsia" w:ascii="Times New Roman" w:hAnsi="Times New Roman" w:eastAsia="KaiTi_GB2312" w:cs="KaiTi_GB2312"/>
          <w:snapToGrid w:val="0"/>
          <w:color w:val="000000"/>
          <w:spacing w:val="8"/>
          <w:kern w:val="0"/>
          <w:sz w:val="36"/>
          <w:szCs w:val="36"/>
          <w:lang w:eastAsia="zh-CN"/>
        </w:rPr>
      </w:pPr>
    </w:p>
    <w:p w14:paraId="24D8B93D">
      <w:pPr>
        <w:widowControl/>
        <w:kinsoku w:val="0"/>
        <w:autoSpaceDE w:val="0"/>
        <w:autoSpaceDN w:val="0"/>
        <w:adjustRightInd w:val="0"/>
        <w:snapToGrid w:val="0"/>
        <w:spacing w:before="102" w:line="220" w:lineRule="auto"/>
        <w:ind w:left="2759" w:leftChars="0" w:hanging="2759" w:hangingChars="734"/>
        <w:jc w:val="center"/>
        <w:textAlignment w:val="baseline"/>
        <w:rPr>
          <w:rFonts w:hint="eastAsia" w:ascii="Times New Roman" w:hAnsi="Times New Roman" w:eastAsia="KaiTi_GB2312" w:cs="KaiTi_GB2312"/>
          <w:snapToGrid w:val="0"/>
          <w:color w:val="000000"/>
          <w:spacing w:val="8"/>
          <w:kern w:val="0"/>
          <w:sz w:val="36"/>
          <w:szCs w:val="36"/>
          <w:lang w:eastAsia="zh-CN"/>
        </w:rPr>
      </w:pPr>
    </w:p>
    <w:p w14:paraId="10E6FEE0">
      <w:pPr>
        <w:widowControl/>
        <w:kinsoku w:val="0"/>
        <w:autoSpaceDE w:val="0"/>
        <w:autoSpaceDN w:val="0"/>
        <w:adjustRightInd w:val="0"/>
        <w:snapToGrid w:val="0"/>
        <w:spacing w:before="102" w:line="220" w:lineRule="auto"/>
        <w:ind w:left="2759" w:leftChars="0" w:hanging="2759" w:hangingChars="734"/>
        <w:jc w:val="center"/>
        <w:textAlignment w:val="baseline"/>
        <w:rPr>
          <w:rFonts w:hint="eastAsia" w:ascii="Times New Roman" w:hAnsi="Times New Roman" w:eastAsia="KaiTi_GB2312" w:cs="KaiTi_GB2312"/>
          <w:snapToGrid w:val="0"/>
          <w:color w:val="000000"/>
          <w:spacing w:val="8"/>
          <w:kern w:val="0"/>
          <w:sz w:val="36"/>
          <w:szCs w:val="36"/>
          <w:lang w:eastAsia="zh-CN"/>
        </w:rPr>
      </w:pPr>
    </w:p>
    <w:p w14:paraId="715096E5">
      <w:pPr>
        <w:widowControl/>
        <w:kinsoku w:val="0"/>
        <w:autoSpaceDE w:val="0"/>
        <w:autoSpaceDN w:val="0"/>
        <w:adjustRightInd w:val="0"/>
        <w:snapToGrid w:val="0"/>
        <w:spacing w:before="102" w:line="220" w:lineRule="auto"/>
        <w:ind w:left="2759" w:leftChars="0" w:hanging="2759" w:hangingChars="734"/>
        <w:jc w:val="center"/>
        <w:textAlignment w:val="baseline"/>
        <w:rPr>
          <w:rFonts w:ascii="Times New Roman" w:hAnsi="Times New Roman" w:eastAsia="KaiTi_GB2312" w:cs="KaiTi_GB2312"/>
          <w:snapToGrid w:val="0"/>
          <w:color w:val="000000"/>
          <w:kern w:val="0"/>
          <w:sz w:val="36"/>
          <w:szCs w:val="36"/>
          <w:lang w:eastAsia="en-US"/>
        </w:rPr>
      </w:pPr>
      <w:r>
        <w:rPr>
          <w:rFonts w:ascii="Times New Roman" w:hAnsi="Times New Roman" w:eastAsia="KaiTi_GB2312" w:cs="KaiTi_GB2312"/>
          <w:snapToGrid w:val="0"/>
          <w:color w:val="000000"/>
          <w:spacing w:val="8"/>
          <w:kern w:val="0"/>
          <w:sz w:val="36"/>
          <w:szCs w:val="36"/>
          <w:lang w:eastAsia="en-US"/>
        </w:rPr>
        <w:t>标准起草工作组</w:t>
      </w:r>
    </w:p>
    <w:p w14:paraId="56B05CC1">
      <w:pPr>
        <w:widowControl/>
        <w:kinsoku w:val="0"/>
        <w:autoSpaceDE w:val="0"/>
        <w:autoSpaceDN w:val="0"/>
        <w:adjustRightInd w:val="0"/>
        <w:snapToGrid w:val="0"/>
        <w:spacing w:before="245" w:line="220" w:lineRule="auto"/>
        <w:ind w:left="2759" w:leftChars="0" w:hanging="2759" w:hangingChars="734"/>
        <w:jc w:val="center"/>
        <w:textAlignment w:val="baseline"/>
        <w:rPr>
          <w:rFonts w:ascii="Times New Roman" w:hAnsi="Times New Roman" w:eastAsia="KaiTi_GB2312" w:cs="KaiTi_GB2312"/>
          <w:snapToGrid w:val="0"/>
          <w:color w:val="000000"/>
          <w:kern w:val="0"/>
          <w:sz w:val="36"/>
          <w:szCs w:val="36"/>
          <w:lang w:eastAsia="en-US"/>
        </w:rPr>
      </w:pPr>
      <w:r>
        <w:rPr>
          <w:rFonts w:ascii="Times New Roman" w:hAnsi="Times New Roman" w:eastAsia="KaiTi_GB2312" w:cs="KaiTi_GB2312"/>
          <w:snapToGrid w:val="0"/>
          <w:color w:val="000000"/>
          <w:spacing w:val="8"/>
          <w:kern w:val="0"/>
          <w:sz w:val="36"/>
          <w:szCs w:val="36"/>
          <w:lang w:eastAsia="en-US"/>
        </w:rPr>
        <w:t>二</w:t>
      </w:r>
      <w:r>
        <w:rPr>
          <w:rFonts w:ascii="Times New Roman" w:hAnsi="Times New Roman" w:eastAsia="黑体" w:cs="黑体"/>
          <w:snapToGrid w:val="0"/>
          <w:color w:val="000000"/>
          <w:spacing w:val="8"/>
          <w:kern w:val="0"/>
          <w:sz w:val="36"/>
          <w:szCs w:val="36"/>
          <w:lang w:eastAsia="en-US"/>
        </w:rPr>
        <w:t>〇</w:t>
      </w:r>
      <w:r>
        <w:rPr>
          <w:rFonts w:ascii="Times New Roman" w:hAnsi="Times New Roman" w:eastAsia="KaiTi_GB2312" w:cs="KaiTi_GB2312"/>
          <w:snapToGrid w:val="0"/>
          <w:color w:val="000000"/>
          <w:spacing w:val="8"/>
          <w:kern w:val="0"/>
          <w:sz w:val="36"/>
          <w:szCs w:val="36"/>
          <w:lang w:eastAsia="en-US"/>
        </w:rPr>
        <w:t>二</w:t>
      </w:r>
      <w:r>
        <w:rPr>
          <w:rFonts w:hint="eastAsia" w:ascii="Times New Roman" w:hAnsi="Times New Roman" w:eastAsia="KaiTi_GB2312" w:cs="KaiTi_GB2312"/>
          <w:snapToGrid w:val="0"/>
          <w:color w:val="000000"/>
          <w:spacing w:val="8"/>
          <w:kern w:val="0"/>
          <w:sz w:val="36"/>
          <w:szCs w:val="36"/>
          <w:lang w:val="en-US" w:eastAsia="zh-CN"/>
        </w:rPr>
        <w:t>六</w:t>
      </w:r>
      <w:r>
        <w:rPr>
          <w:rFonts w:ascii="Times New Roman" w:hAnsi="Times New Roman" w:eastAsia="KaiTi_GB2312" w:cs="KaiTi_GB2312"/>
          <w:snapToGrid w:val="0"/>
          <w:color w:val="000000"/>
          <w:spacing w:val="8"/>
          <w:kern w:val="0"/>
          <w:sz w:val="36"/>
          <w:szCs w:val="36"/>
          <w:lang w:eastAsia="en-US"/>
        </w:rPr>
        <w:t>年</w:t>
      </w:r>
      <w:r>
        <w:rPr>
          <w:rFonts w:hint="eastAsia" w:ascii="Times New Roman" w:hAnsi="Times New Roman" w:eastAsia="KaiTi_GB2312" w:cs="KaiTi_GB2312"/>
          <w:snapToGrid w:val="0"/>
          <w:color w:val="000000"/>
          <w:spacing w:val="8"/>
          <w:kern w:val="0"/>
          <w:sz w:val="36"/>
          <w:szCs w:val="36"/>
          <w:lang w:val="en-US" w:eastAsia="zh-CN"/>
        </w:rPr>
        <w:t>五</w:t>
      </w:r>
      <w:r>
        <w:rPr>
          <w:rFonts w:ascii="Times New Roman" w:hAnsi="Times New Roman" w:eastAsia="KaiTi_GB2312" w:cs="KaiTi_GB2312"/>
          <w:snapToGrid w:val="0"/>
          <w:color w:val="000000"/>
          <w:spacing w:val="8"/>
          <w:kern w:val="0"/>
          <w:sz w:val="36"/>
          <w:szCs w:val="36"/>
          <w:lang w:eastAsia="en-US"/>
        </w:rPr>
        <w:t>月</w:t>
      </w:r>
    </w:p>
    <w:p w14:paraId="436E4520">
      <w:pPr>
        <w:widowControl/>
        <w:kinsoku w:val="0"/>
        <w:autoSpaceDE w:val="0"/>
        <w:autoSpaceDN w:val="0"/>
        <w:adjustRightInd w:val="0"/>
        <w:snapToGrid w:val="0"/>
        <w:spacing w:line="240" w:lineRule="auto"/>
        <w:ind w:firstLine="480" w:firstLineChars="200"/>
        <w:jc w:val="left"/>
        <w:textAlignment w:val="baseline"/>
        <w:rPr>
          <w:rFonts w:ascii="Times New Roman" w:hAnsi="Times New Roman" w:eastAsia="仿宋_GB2312" w:cs="Arial"/>
          <w:snapToGrid w:val="0"/>
          <w:color w:val="000000"/>
          <w:kern w:val="0"/>
          <w:sz w:val="24"/>
          <w:szCs w:val="21"/>
          <w:lang w:eastAsia="en-US"/>
        </w:rPr>
      </w:pPr>
      <w:r>
        <w:rPr>
          <w:rFonts w:ascii="Times New Roman" w:hAnsi="Times New Roman" w:eastAsia="仿宋_GB2312" w:cs="Arial"/>
          <w:snapToGrid w:val="0"/>
          <w:color w:val="000000"/>
          <w:kern w:val="0"/>
          <w:sz w:val="24"/>
          <w:szCs w:val="21"/>
          <w:lang w:eastAsia="en-US"/>
        </w:rPr>
        <w:br w:type="page"/>
      </w:r>
    </w:p>
    <w:p w14:paraId="7499E329">
      <w:pPr>
        <w:keepNext/>
        <w:keepLines/>
        <w:kinsoku w:val="0"/>
        <w:autoSpaceDE w:val="0"/>
        <w:autoSpaceDN w:val="0"/>
        <w:bidi w:val="0"/>
        <w:adjustRightInd w:val="0"/>
        <w:snapToGrid w:val="0"/>
        <w:spacing w:before="340" w:beforeLines="0" w:beforeAutospacing="0" w:after="330" w:afterLines="0" w:afterAutospacing="0" w:line="240" w:lineRule="auto"/>
        <w:ind w:firstLine="602" w:firstLineChars="200"/>
        <w:jc w:val="left"/>
        <w:textAlignment w:val="baseline"/>
        <w:outlineLvl w:val="0"/>
        <w:rPr>
          <w:rFonts w:ascii="Times New Roman" w:hAnsi="Times New Roman" w:eastAsia="黑体" w:cs="Arial"/>
          <w:b/>
          <w:snapToGrid w:val="0"/>
          <w:color w:val="000000"/>
          <w:kern w:val="44"/>
          <w:sz w:val="30"/>
          <w:szCs w:val="21"/>
          <w:lang w:val="en-US" w:eastAsia="en-US" w:bidi="ar-SA"/>
        </w:rPr>
      </w:pPr>
      <w:bookmarkStart w:id="0" w:name="_Toc21223"/>
      <w:r>
        <w:rPr>
          <w:rFonts w:ascii="Times New Roman" w:hAnsi="Times New Roman" w:eastAsia="黑体" w:cs="Arial"/>
          <w:b/>
          <w:snapToGrid w:val="0"/>
          <w:color w:val="000000"/>
          <w:kern w:val="44"/>
          <w:sz w:val="30"/>
          <w:szCs w:val="21"/>
          <w:lang w:val="en-US" w:eastAsia="en-US" w:bidi="ar-SA"/>
        </w:rPr>
        <w:t>一、工作简况</w:t>
      </w:r>
      <w:bookmarkEnd w:id="0"/>
    </w:p>
    <w:p w14:paraId="29EEF906">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snapToGrid w:val="0"/>
          <w:color w:val="000000"/>
          <w:kern w:val="0"/>
          <w:sz w:val="28"/>
          <w:szCs w:val="21"/>
          <w:lang w:val="en-US" w:eastAsia="en-US" w:bidi="ar-SA"/>
        </w:rPr>
      </w:pPr>
      <w:bookmarkStart w:id="1" w:name="_Toc15554"/>
      <w:r>
        <w:rPr>
          <w:rFonts w:ascii="Times New Roman" w:hAnsi="Times New Roman" w:eastAsia="黑体" w:cs="Arial"/>
          <w:snapToGrid w:val="0"/>
          <w:color w:val="000000"/>
          <w:kern w:val="0"/>
          <w:sz w:val="28"/>
          <w:szCs w:val="21"/>
          <w:lang w:val="en-US" w:eastAsia="en-US" w:bidi="ar-SA"/>
        </w:rPr>
        <w:t>（一）任务来源</w:t>
      </w:r>
      <w:bookmarkEnd w:id="1"/>
    </w:p>
    <w:p w14:paraId="2BF8812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本标准制定任务来源于中国中医药研究促进会。“潞党参”作为山西省长治市的道地药材品种，已形成一定产业规模和区域影响力。然而，在品牌化发展进程中，存在品牌定位模糊、管理主体缺位、授权机制不健全、使用不规范、保护力度不足等问题，制约了产业从“产量经济”向“品牌经济”的转型升级。为建立统一、规范的“潞党参”品牌管理体系，提升品牌核心竞争力，中国中医药研究促进会经充分调研和论证，于2026年正式组织制定本团体标准《“潞党参”品牌建设管理规范》。本标准由中国中医药研究促进会提出并归口。</w:t>
      </w:r>
    </w:p>
    <w:p w14:paraId="087695B3">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b w:val="0"/>
          <w:snapToGrid w:val="0"/>
          <w:color w:val="000000"/>
          <w:kern w:val="0"/>
          <w:sz w:val="28"/>
          <w:szCs w:val="21"/>
          <w:lang w:val="en-US" w:eastAsia="en-US" w:bidi="ar-SA"/>
        </w:rPr>
      </w:pPr>
      <w:bookmarkStart w:id="2" w:name="_Toc26913"/>
      <w:r>
        <w:rPr>
          <w:rFonts w:ascii="Times New Roman" w:hAnsi="Times New Roman" w:eastAsia="黑体" w:cs="Arial"/>
          <w:b w:val="0"/>
          <w:snapToGrid w:val="0"/>
          <w:color w:val="000000"/>
          <w:kern w:val="0"/>
          <w:sz w:val="28"/>
          <w:szCs w:val="21"/>
          <w:lang w:val="en-US" w:eastAsia="en-US" w:bidi="ar-SA"/>
        </w:rPr>
        <w:t>（二）主要起草单位和工作组成员</w:t>
      </w:r>
      <w:bookmarkEnd w:id="2"/>
    </w:p>
    <w:p w14:paraId="53F65D8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eastAsia="en-US"/>
        </w:rPr>
      </w:pPr>
      <w:r>
        <w:rPr>
          <w:rFonts w:hint="eastAsia" w:ascii="Times New Roman" w:hAnsi="Times New Roman" w:eastAsia="FangSong_GB2312" w:cs="FangSong_GB2312"/>
          <w:snapToGrid w:val="0"/>
          <w:color w:val="000000"/>
          <w:spacing w:val="5"/>
          <w:kern w:val="0"/>
          <w:sz w:val="31"/>
          <w:szCs w:val="31"/>
          <w:lang w:eastAsia="en-US"/>
        </w:rPr>
        <w:t>主要起草单位：长治市中药材产业发展中心、中国标准化研究院等。</w:t>
      </w:r>
    </w:p>
    <w:p w14:paraId="1A24589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eastAsia="en-US"/>
        </w:rPr>
        <w:t>主要起草人：武东、王军霞、王伟、燕艳华、初侨、陈萌</w:t>
      </w:r>
      <w:r>
        <w:rPr>
          <w:rFonts w:hint="eastAsia" w:ascii="Times New Roman" w:hAnsi="Times New Roman" w:eastAsia="FangSong_GB2312" w:cs="FangSong_GB2312"/>
          <w:snapToGrid w:val="0"/>
          <w:color w:val="000000"/>
          <w:spacing w:val="5"/>
          <w:kern w:val="0"/>
          <w:sz w:val="31"/>
          <w:szCs w:val="31"/>
          <w:lang w:val="en-US" w:eastAsia="zh-CN"/>
        </w:rPr>
        <w:t>。</w:t>
      </w:r>
      <w:bookmarkStart w:id="3" w:name="_Toc2430"/>
    </w:p>
    <w:p w14:paraId="1AB461C4">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hint="default" w:ascii="Times New Roman" w:hAnsi="Times New Roman" w:eastAsia="黑体" w:cs="Arial"/>
          <w:snapToGrid w:val="0"/>
          <w:color w:val="000000"/>
          <w:kern w:val="0"/>
          <w:sz w:val="28"/>
          <w:szCs w:val="21"/>
          <w:lang w:val="en-US" w:eastAsia="en-US" w:bidi="ar-SA"/>
        </w:rPr>
      </w:pPr>
      <w:r>
        <w:rPr>
          <w:rFonts w:hint="default" w:ascii="Times New Roman" w:hAnsi="Times New Roman" w:eastAsia="黑体" w:cs="Arial"/>
          <w:snapToGrid w:val="0"/>
          <w:color w:val="000000"/>
          <w:kern w:val="0"/>
          <w:sz w:val="28"/>
          <w:szCs w:val="21"/>
          <w:lang w:val="en-US" w:eastAsia="en-US" w:bidi="ar-SA"/>
        </w:rPr>
        <w:t>（三）</w:t>
      </w:r>
      <w:r>
        <w:rPr>
          <w:rFonts w:hint="eastAsia" w:ascii="Times New Roman" w:hAnsi="Times New Roman" w:eastAsia="黑体" w:cs="Arial"/>
          <w:snapToGrid w:val="0"/>
          <w:color w:val="000000"/>
          <w:kern w:val="0"/>
          <w:sz w:val="28"/>
          <w:szCs w:val="21"/>
          <w:lang w:val="en-US" w:eastAsia="zh-CN" w:bidi="ar-SA"/>
        </w:rPr>
        <w:t>编制</w:t>
      </w:r>
      <w:r>
        <w:rPr>
          <w:rFonts w:hint="default" w:ascii="Times New Roman" w:hAnsi="Times New Roman" w:eastAsia="黑体" w:cs="Arial"/>
          <w:snapToGrid w:val="0"/>
          <w:color w:val="000000"/>
          <w:kern w:val="0"/>
          <w:sz w:val="28"/>
          <w:szCs w:val="21"/>
          <w:lang w:val="en-US" w:eastAsia="en-US" w:bidi="ar-SA"/>
        </w:rPr>
        <w:t>背景</w:t>
      </w:r>
    </w:p>
    <w:p w14:paraId="7D5D68CB">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en-US"/>
        </w:rPr>
      </w:pPr>
      <w:r>
        <w:rPr>
          <w:rFonts w:hint="default" w:ascii="Times New Roman" w:hAnsi="Times New Roman" w:eastAsia="FangSong_GB2312" w:cs="FangSong_GB2312"/>
          <w:snapToGrid w:val="0"/>
          <w:color w:val="000000"/>
          <w:spacing w:val="5"/>
          <w:kern w:val="0"/>
          <w:sz w:val="31"/>
          <w:szCs w:val="31"/>
          <w:lang w:val="en-US" w:eastAsia="en-US"/>
        </w:rPr>
        <w:t>本标准的制定立足于我国农业品牌化战略深入推进与中药材产业高质量发展的时代背景。近年来，《国家标准化发展纲要》明确提出“实施品牌战略，培育具有国际影响力的产品品牌、企业品牌和区域品牌”；《“十四五”中医药发展规划》强调“加强道地药材地理标志保护和品牌建设”；农业农村部持续推进农业品牌精品培育计划，将品牌建设作为农业供给侧结构性改革的重要抓手。在此背景下，区域公用品牌作为整合产业资源、提升产品溢价、增强市场竞争力的有效载体，日益受到地方政府和产业界的重视。</w:t>
      </w:r>
    </w:p>
    <w:p w14:paraId="7B742EE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en-US"/>
        </w:rPr>
      </w:pPr>
      <w:r>
        <w:rPr>
          <w:rFonts w:hint="default" w:ascii="Times New Roman" w:hAnsi="Times New Roman" w:eastAsia="FangSong_GB2312" w:cs="FangSong_GB2312"/>
          <w:snapToGrid w:val="0"/>
          <w:color w:val="000000"/>
          <w:spacing w:val="5"/>
          <w:kern w:val="0"/>
          <w:sz w:val="31"/>
          <w:szCs w:val="31"/>
          <w:lang w:val="en-US" w:eastAsia="en-US"/>
        </w:rPr>
        <w:t>“潞党参”作为“十大晋药”的代表性品种，承载着长治市深厚的中医药文化底蕴和产业富民使命。然而，调研发现，该品牌在建设管理中面临多重困境：一是品牌权属不够清晰，缺乏统一的管理主体和运行机制；二是准入标准不明，使用主体水平参差不齐，优质不优价；三是品牌使用不规范，标识系统缺乏统一设计和管理，市场认知度偏低；四是监督退出机制缺失，“李鬼”难以清除，品牌信誉面临侵蚀风险；五是宣传推广力量分散，尚未形成品牌传播合力。</w:t>
      </w:r>
    </w:p>
    <w:p w14:paraId="609749C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en-US"/>
        </w:rPr>
      </w:pPr>
      <w:r>
        <w:rPr>
          <w:rFonts w:hint="default" w:ascii="Times New Roman" w:hAnsi="Times New Roman" w:eastAsia="FangSong_GB2312" w:cs="FangSong_GB2312"/>
          <w:snapToGrid w:val="0"/>
          <w:color w:val="000000"/>
          <w:spacing w:val="5"/>
          <w:kern w:val="0"/>
          <w:sz w:val="31"/>
          <w:szCs w:val="31"/>
          <w:lang w:val="en-US" w:eastAsia="en-US"/>
        </w:rPr>
        <w:t>本标准创新性地构建了“统一标准、动态管理、准入与退出结合”的品牌管理框架，系统覆盖品牌申请使用与退出、质量保障与追溯、宣传推广与保护、监督评估与改进等品牌建设管理全链条。其核心设计理念在于：以政府引导、市场运作为基础，以标准规范和全程可追溯为支撑，以授权使用和强制退出为管理手段，以统一标识和宣传推广为传播载体，形成闭环式、可操作的品牌管理体系。本标准与同期编制的《潞党参标准化基地建设要求》形成配套关系——基地标准解决“怎么种好”，品牌标准解决“怎么卖好”，二者协同推动潞党参产业全链条标准化发展。</w:t>
      </w:r>
    </w:p>
    <w:p w14:paraId="3BF27DC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eastAsia="en-US"/>
        </w:rPr>
      </w:pPr>
      <w:r>
        <w:rPr>
          <w:rFonts w:hint="default" w:ascii="Times New Roman" w:hAnsi="Times New Roman" w:eastAsia="FangSong_GB2312" w:cs="FangSong_GB2312"/>
          <w:snapToGrid w:val="0"/>
          <w:color w:val="000000"/>
          <w:spacing w:val="5"/>
          <w:kern w:val="0"/>
          <w:sz w:val="31"/>
          <w:szCs w:val="31"/>
          <w:lang w:val="en-US" w:eastAsia="en-US"/>
        </w:rPr>
        <w:t>本标准的研制具有坚实的法律法规、政策导向与产业需求三重依据。首先，在法律层面，《中华人民共和国商标法》对集体商标、证明商标的保护和管理提供了基本法律框架，为本标准中品牌标识管理和知识产权保护提供了法律依据；《中华人民共和国农产品质量安全法》强调农产品质量安全追溯和标准化生产，支撑了标准中质量保障与追溯章节的设置。其次，在政策层面，《国家知识产权强国建设纲要（2021</w:t>
      </w:r>
      <w:r>
        <w:rPr>
          <w:rFonts w:hint="eastAsia" w:ascii="Times New Roman" w:hAnsi="Times New Roman" w:eastAsia="FangSong_GB2312" w:cs="FangSong_GB2312"/>
          <w:snapToGrid w:val="0"/>
          <w:color w:val="000000"/>
          <w:spacing w:val="5"/>
          <w:kern w:val="0"/>
          <w:sz w:val="31"/>
          <w:szCs w:val="31"/>
          <w:lang w:val="en-US" w:eastAsia="zh-CN"/>
        </w:rPr>
        <w:t>—</w:t>
      </w:r>
      <w:r>
        <w:rPr>
          <w:rFonts w:hint="default" w:ascii="Times New Roman" w:hAnsi="Times New Roman" w:eastAsia="FangSong_GB2312" w:cs="FangSong_GB2312"/>
          <w:snapToGrid w:val="0"/>
          <w:color w:val="000000"/>
          <w:spacing w:val="5"/>
          <w:kern w:val="0"/>
          <w:sz w:val="31"/>
          <w:szCs w:val="31"/>
          <w:lang w:val="en-US" w:eastAsia="en-US"/>
        </w:rPr>
        <w:t>2035年）》提出“推进商标品牌建设”；《关于促进乡村产业振兴的指导意见》要求“培育提升农业品牌”；《中药材生产质量管理规范》对中药材全链条质量管理提出系统要求。本标准正是响应上述政策，在道地药材区域品牌建设管理领域的标准实践。再者，从产业需求看，广大潞党参种植经营主体迫切需要借助统一的品牌平台开拓市场、提升产品附加值；下游药企和消费者则需要可信赖的品牌信号降低甄别成本。建立规范化的品牌管理体系，是破解“小生产”与“大市场”矛盾、实现优质优价的关键制度供给。</w:t>
      </w:r>
    </w:p>
    <w:p w14:paraId="424D7AE3">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hint="default" w:ascii="Times New Roman" w:hAnsi="Times New Roman" w:eastAsia="黑体" w:cs="Arial"/>
          <w:snapToGrid w:val="0"/>
          <w:color w:val="000000"/>
          <w:kern w:val="0"/>
          <w:sz w:val="28"/>
          <w:szCs w:val="21"/>
          <w:lang w:val="en-US" w:eastAsia="en-US" w:bidi="ar-SA"/>
        </w:rPr>
      </w:pPr>
      <w:bookmarkStart w:id="4" w:name="_Toc27311"/>
      <w:r>
        <w:rPr>
          <w:rFonts w:hint="default" w:ascii="Times New Roman" w:hAnsi="Times New Roman" w:eastAsia="黑体" w:cs="Arial"/>
          <w:snapToGrid w:val="0"/>
          <w:color w:val="000000"/>
          <w:kern w:val="0"/>
          <w:sz w:val="28"/>
          <w:szCs w:val="21"/>
          <w:lang w:val="en-US" w:eastAsia="en-US" w:bidi="ar-SA"/>
        </w:rPr>
        <w:t>（</w:t>
      </w:r>
      <w:r>
        <w:rPr>
          <w:rFonts w:hint="eastAsia" w:ascii="Times New Roman" w:hAnsi="Times New Roman" w:eastAsia="黑体" w:cs="Arial"/>
          <w:snapToGrid w:val="0"/>
          <w:color w:val="000000"/>
          <w:kern w:val="0"/>
          <w:sz w:val="28"/>
          <w:szCs w:val="21"/>
          <w:lang w:val="en-US" w:eastAsia="zh-CN" w:bidi="ar-SA"/>
        </w:rPr>
        <w:t>四</w:t>
      </w:r>
      <w:r>
        <w:rPr>
          <w:rFonts w:hint="default" w:ascii="Times New Roman" w:hAnsi="Times New Roman" w:eastAsia="黑体" w:cs="Arial"/>
          <w:snapToGrid w:val="0"/>
          <w:color w:val="000000"/>
          <w:kern w:val="0"/>
          <w:sz w:val="28"/>
          <w:szCs w:val="21"/>
          <w:lang w:val="en-US" w:eastAsia="en-US" w:bidi="ar-SA"/>
        </w:rPr>
        <w:t>）编制原则</w:t>
      </w:r>
      <w:bookmarkEnd w:id="4"/>
    </w:p>
    <w:p w14:paraId="18B3B3A5">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本标准的编制严格遵循了系统性、科学性、可操作性、协调性与适度超前五项核心原则。</w:t>
      </w:r>
    </w:p>
    <w:p w14:paraId="229B5808">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系统性体现在构建了覆盖品牌战略定位、组织管理架构、申请授权流程、标识使用规范、质量保障机制、追溯体系建设、宣传推广策略、品牌维权保护、监督评价改进的全过程品牌管理体系，确保品牌建设管理无盲区、无断点。</w:t>
      </w:r>
    </w:p>
    <w:p w14:paraId="0A74DBD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科学性通过引入“动态管理、准入退出结合”的闭环机制实现。编制组综合运用公共品牌管理理论、集体商标管理实践经验和产业调研数据，设计了包含申请条件、评审程序、授权期限、行为规范、强制退出情形在内的完整管理流程，使品牌授权有据可依、退出有章可循，避免“只进不出”的管理失效。</w:t>
      </w:r>
    </w:p>
    <w:p w14:paraId="5C2F7F3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可操作性贯穿始终。标准逐条规定了申请材料清单、评审程序步骤、授权期限（3年）、监督抽检比例（不低于30%）、投诉处理时限（5个工作日）等具体参数，使品牌管理方和使用主体均能清晰把握各自职责和操作流程，便于标准的落地执行。</w:t>
      </w:r>
    </w:p>
    <w:p w14:paraId="73FA6135">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协调性表现为本标准主动与国家现行法律法规和管理标准相衔接</w:t>
      </w:r>
      <w:r>
        <w:rPr>
          <w:rFonts w:hint="eastAsia" w:ascii="Times New Roman" w:hAnsi="Times New Roman" w:eastAsia="FangSong_GB2312" w:cs="FangSong_GB2312"/>
          <w:snapToGrid w:val="0"/>
          <w:color w:val="000000"/>
          <w:spacing w:val="5"/>
          <w:kern w:val="0"/>
          <w:sz w:val="31"/>
          <w:szCs w:val="31"/>
          <w:lang w:val="en-US" w:eastAsia="zh-CN"/>
        </w:rPr>
        <w:t>，</w:t>
      </w:r>
      <w:r>
        <w:rPr>
          <w:rFonts w:hint="eastAsia" w:ascii="Times New Roman" w:hAnsi="Times New Roman" w:eastAsia="FangSong_GB2312" w:cs="FangSong_GB2312"/>
          <w:snapToGrid w:val="0"/>
          <w:color w:val="000000"/>
          <w:spacing w:val="5"/>
          <w:kern w:val="0"/>
          <w:sz w:val="31"/>
          <w:szCs w:val="31"/>
          <w:lang w:val="en-US" w:eastAsia="en-US"/>
        </w:rPr>
        <w:t>在品牌管理方面，引用GB/T 39906-2021《品牌管理要求》作为品牌管理体系建设的方法论指导；在品牌评价方面，引用GB/T 39654-2020《品牌评价 原则与基础》为品牌价值评估提供技术支撑；在标签标识方面，引用GB 7718《食品安全国家标准 预包装食品标签通则》确保品牌标识在产品包装上的规范应用。同时，本标准与同期编制的《潞党参标准化基地建设要求》形成联动——将“基础级及以上标准化基地优先推荐”写入申请条件，将标准化基地的追溯要求作为品牌质量保障的基础支撑。</w:t>
      </w:r>
    </w:p>
    <w:p w14:paraId="3DCB93A5">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适度</w:t>
      </w:r>
      <w:r>
        <w:rPr>
          <w:rFonts w:hint="eastAsia" w:ascii="Times New Roman" w:hAnsi="Times New Roman" w:eastAsia="FangSong_GB2312" w:cs="FangSong_GB2312"/>
          <w:snapToGrid w:val="0"/>
          <w:color w:val="000000"/>
          <w:spacing w:val="5"/>
          <w:kern w:val="0"/>
          <w:sz w:val="31"/>
          <w:szCs w:val="31"/>
          <w:lang w:val="en-US" w:eastAsia="zh-CN"/>
        </w:rPr>
        <w:t>超前。</w:t>
      </w:r>
      <w:r>
        <w:rPr>
          <w:rFonts w:hint="eastAsia" w:ascii="Times New Roman" w:hAnsi="Times New Roman" w:eastAsia="FangSong_GB2312" w:cs="FangSong_GB2312"/>
          <w:snapToGrid w:val="0"/>
          <w:color w:val="000000"/>
          <w:spacing w:val="5"/>
          <w:kern w:val="0"/>
          <w:sz w:val="31"/>
          <w:szCs w:val="31"/>
          <w:lang w:val="en-US" w:eastAsia="en-US"/>
        </w:rPr>
        <w:t>本标准充分预见了品牌发展的长远需求，设置了品牌价值评估与持续改进机制。通过建立涵盖产品质量、市场表现、品牌传播、社会效益、联农带农等维度的评价指标体系，为品牌的动态优化和战略升级提供数据支撑和方法指引。</w:t>
      </w:r>
    </w:p>
    <w:p w14:paraId="260418A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en-US"/>
        </w:rPr>
        <w:t>上述原则与技术内容的设计，其核心依据</w:t>
      </w:r>
      <w:r>
        <w:rPr>
          <w:rFonts w:hint="eastAsia" w:ascii="Times New Roman" w:hAnsi="Times New Roman" w:eastAsia="FangSong_GB2312" w:cs="FangSong_GB2312"/>
          <w:snapToGrid w:val="0"/>
          <w:color w:val="000000"/>
          <w:spacing w:val="5"/>
          <w:kern w:val="0"/>
          <w:sz w:val="31"/>
          <w:szCs w:val="31"/>
          <w:lang w:val="en-US" w:eastAsia="zh-CN"/>
        </w:rPr>
        <w:t>来自四个</w:t>
      </w:r>
      <w:r>
        <w:rPr>
          <w:rFonts w:hint="eastAsia" w:ascii="Times New Roman" w:hAnsi="Times New Roman" w:eastAsia="FangSong_GB2312" w:cs="FangSong_GB2312"/>
          <w:snapToGrid w:val="0"/>
          <w:color w:val="000000"/>
          <w:spacing w:val="5"/>
          <w:kern w:val="0"/>
          <w:sz w:val="31"/>
          <w:szCs w:val="31"/>
          <w:lang w:val="en-US" w:eastAsia="en-US"/>
        </w:rPr>
        <w:t>方面：一是公共品牌治理理论，为“政府引导、市场运作”的总体原则和授权管理模式提供了理论支撑；二是对山西小米、大同黄花、隰县玉露香梨等省内较为成熟的区域公用品牌管理实践的对标分析和经验借鉴；三是对长治市潞党参产业经营主体的广泛调研，识别了品牌管理中的共性痛点和迫切需求；四</w:t>
      </w:r>
      <w:r>
        <w:rPr>
          <w:rFonts w:hint="eastAsia" w:ascii="Times New Roman" w:hAnsi="Times New Roman" w:eastAsia="FangSong_GB2312" w:cs="FangSong_GB2312"/>
          <w:snapToGrid w:val="0"/>
          <w:color w:val="000000"/>
          <w:spacing w:val="5"/>
          <w:kern w:val="0"/>
          <w:sz w:val="31"/>
          <w:szCs w:val="31"/>
          <w:lang w:val="en-US" w:eastAsia="zh-CN"/>
        </w:rPr>
        <w:t>是对</w:t>
      </w:r>
      <w:r>
        <w:rPr>
          <w:rFonts w:hint="eastAsia" w:ascii="Times New Roman" w:hAnsi="Times New Roman" w:eastAsia="FangSong_GB2312" w:cs="FangSong_GB2312"/>
          <w:snapToGrid w:val="0"/>
          <w:color w:val="000000"/>
          <w:spacing w:val="5"/>
          <w:kern w:val="0"/>
          <w:sz w:val="31"/>
          <w:szCs w:val="31"/>
          <w:lang w:val="en-US" w:eastAsia="en-US"/>
        </w:rPr>
        <w:t>现行国家标准的规范性引用和衔接设计，确保标准合法合规、技术有据。</w:t>
      </w:r>
    </w:p>
    <w:p w14:paraId="4EB1EB25">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b w:val="0"/>
          <w:snapToGrid w:val="0"/>
          <w:color w:val="000000"/>
          <w:kern w:val="0"/>
          <w:sz w:val="28"/>
          <w:szCs w:val="21"/>
          <w:lang w:val="en-US" w:eastAsia="en-US" w:bidi="ar-SA"/>
        </w:rPr>
      </w:pPr>
      <w:r>
        <w:rPr>
          <w:rFonts w:ascii="Times New Roman" w:hAnsi="Times New Roman" w:eastAsia="黑体" w:cs="Arial"/>
          <w:b w:val="0"/>
          <w:snapToGrid w:val="0"/>
          <w:color w:val="000000"/>
          <w:kern w:val="0"/>
          <w:sz w:val="28"/>
          <w:szCs w:val="21"/>
          <w:lang w:val="en-US" w:eastAsia="en-US" w:bidi="ar-SA"/>
        </w:rPr>
        <w:t>（</w:t>
      </w:r>
      <w:r>
        <w:rPr>
          <w:rFonts w:hint="eastAsia" w:ascii="Times New Roman" w:hAnsi="Times New Roman" w:eastAsia="黑体" w:cs="Arial"/>
          <w:b w:val="0"/>
          <w:snapToGrid w:val="0"/>
          <w:color w:val="000000"/>
          <w:kern w:val="0"/>
          <w:sz w:val="28"/>
          <w:szCs w:val="21"/>
          <w:lang w:val="en-US" w:eastAsia="zh-CN" w:bidi="ar-SA"/>
        </w:rPr>
        <w:t>五</w:t>
      </w:r>
      <w:r>
        <w:rPr>
          <w:rFonts w:ascii="Times New Roman" w:hAnsi="Times New Roman" w:eastAsia="黑体" w:cs="Arial"/>
          <w:b w:val="0"/>
          <w:snapToGrid w:val="0"/>
          <w:color w:val="000000"/>
          <w:kern w:val="0"/>
          <w:sz w:val="28"/>
          <w:szCs w:val="21"/>
          <w:lang w:val="en-US" w:eastAsia="en-US" w:bidi="ar-SA"/>
        </w:rPr>
        <w:t>）主要编制过程</w:t>
      </w:r>
      <w:bookmarkEnd w:id="3"/>
    </w:p>
    <w:p w14:paraId="671E575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《“潞党参”品牌建设管理规范》团体标准的研制工作严格遵循《团体标准管理规定》及GB/T 1.1-2020的要求，紧密结合国家关于品牌建设、中医药发展与乡村振兴的政策精神，在中国中医药研究促进会的统一组织下，系统开展了前期研究、框架设计、草案起草、意见征集和修改完善等工作。编制过程主要如下：</w:t>
      </w:r>
    </w:p>
    <w:p w14:paraId="2F26BFD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1. 组织团队，启动研制</w:t>
      </w:r>
    </w:p>
    <w:p w14:paraId="23F72C2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2026年，经中国中医药研究促进会审议批准立项，协会牵头组建了标准起草工作组。工作组汇聚了来自长治市中药材产业发展中心、中国标准化研究院以及品牌管理、知识产权、质量检测、中药材种植加工等领域的专家。工作组召开了项目启动会，明确了标准定位为一项旨在规范“潞党参”区域公用品牌建设、使用、管理和评价的管理类规范，并确定了标准的核心框架应涵盖品牌战略、组织管理、授权使用、质量保障、宣传推广、监督评估等关键板块，与同期编制的基地建设标准形成配套。</w:t>
      </w:r>
    </w:p>
    <w:p w14:paraId="7697922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 开展调研，优化框架</w:t>
      </w:r>
    </w:p>
    <w:p w14:paraId="3F54A92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为确保标准内容紧贴产区实际和市场需求，起草工作组深入长治市平顺县、武乡县、沁源县等主产区，以及市内主要中药材交易市场、品牌运营企业开展了广泛调研。调研采用实地走访、座谈交流与案例分析相结合的方式，覆盖了种植大户、农民专业合作社、农业龙头企业、中药材经销商等不同环节的经营主体，并重点考察了“山西小米”“大同黄花”等省内成熟区域公用品牌的运营管理模式。通过调研，工作组深入了解了各类主体对于“潞党参”品牌认知、使用意愿、管理诉求和现存问题，掌握了第一手的品牌管理实践经验和行业共性问题。</w:t>
      </w:r>
    </w:p>
    <w:p w14:paraId="0DBC767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基于调研反馈，工作组对标准框架进行了多轮优化，重点明确了以下设计方向：一是确定“区域公用品牌”的定位，采取“统一授权、统一标识、统一标准”的管理模式；二是设计分层分级的申请条件，既保证准入门槛的严肃性，又兼顾中小主体的参与机会；三是建立强制退出机制，列出六类强制退出情形，确保品牌管理的刚性约束；四是突出联农带农的社会效益要求，体现品牌的富民属性；五是设置专章规范品牌保护与维权，回应调研中广泛反映的“怕假冒、维权难”关切。</w:t>
      </w:r>
    </w:p>
    <w:p w14:paraId="4D67B22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3. 完善文本，形成标准征求意见稿</w:t>
      </w:r>
    </w:p>
    <w:p w14:paraId="1AD69D1A">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2026年4月至5月，起草工作组召开了专家研讨会，邀请品牌管理、知识产权法学、农业经济、标准化等领域的专家学者，以及部分代表性种植企业和合作社的负责人参加。会议重点围绕品牌定位与权属安排、申请条件的宽严尺度、强制退出情形的全面性与合理性、品牌标识使用规范的精细度、与基地建设标准的衔接方式等核心问题进行了深入讨论。</w:t>
      </w:r>
    </w:p>
    <w:p w14:paraId="2FC38E7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根据研讨会意见，工作组对标准文本进行了逐条修改完善，主要包括：增加了“政府引导、市场运作”的总体原则以明确管理方与市场的关系；细化了申请材料清单和评审程序使流程更加公开透明；补充了品牌体验与互动、品牌风险管理等内容使体系更加完善；强化了联农带农机制要求以凸显品牌的社会价值。</w:t>
      </w:r>
    </w:p>
    <w:p w14:paraId="61C631E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此后，起草工作组将修改后的标准讨论稿定向发送给长治市及相关县区农业农村部门、中药材行业协会、科研院所及部分种植经营主体征求意见，共收到各类修改建议数十条。工作组对反馈意见进行了逐条分析和处理，针对反馈中集中关注的评审程序时限、监督抽检比例、强制退出后的库存处理等问题，对相应条款进行了调整优化。在此基础上，起草工作组整合所有合理意见，最终编制完成了《“潞党参”品牌建设管理规范（征求意见稿）》，并按规定程序准备面向全社会公开征求意见。</w:t>
      </w:r>
    </w:p>
    <w:p w14:paraId="7904C0AA">
      <w:pPr>
        <w:keepNext/>
        <w:keepLines/>
        <w:kinsoku w:val="0"/>
        <w:autoSpaceDE w:val="0"/>
        <w:autoSpaceDN w:val="0"/>
        <w:bidi w:val="0"/>
        <w:adjustRightInd w:val="0"/>
        <w:snapToGrid w:val="0"/>
        <w:spacing w:before="340" w:beforeLines="0" w:beforeAutospacing="0" w:after="330" w:afterLines="0" w:afterAutospacing="0" w:line="240" w:lineRule="auto"/>
        <w:ind w:firstLine="602" w:firstLineChars="200"/>
        <w:jc w:val="left"/>
        <w:textAlignment w:val="baseline"/>
        <w:outlineLvl w:val="0"/>
        <w:rPr>
          <w:rFonts w:ascii="Times New Roman" w:hAnsi="Times New Roman" w:eastAsia="黑体" w:cs="Arial"/>
          <w:b/>
          <w:snapToGrid w:val="0"/>
          <w:color w:val="000000"/>
          <w:kern w:val="44"/>
          <w:sz w:val="30"/>
          <w:szCs w:val="21"/>
          <w:lang w:val="en-US" w:eastAsia="en-US" w:bidi="ar-SA"/>
        </w:rPr>
      </w:pPr>
      <w:bookmarkStart w:id="5" w:name="_Toc17761"/>
      <w:r>
        <w:rPr>
          <w:rFonts w:ascii="Times New Roman" w:hAnsi="Times New Roman" w:eastAsia="黑体" w:cs="Arial"/>
          <w:b/>
          <w:snapToGrid w:val="0"/>
          <w:color w:val="000000"/>
          <w:kern w:val="44"/>
          <w:sz w:val="30"/>
          <w:szCs w:val="21"/>
          <w:lang w:val="en-US" w:eastAsia="en-US" w:bidi="ar-SA"/>
        </w:rPr>
        <w:t>二、主要内容及其确定依据</w:t>
      </w:r>
      <w:bookmarkEnd w:id="5"/>
    </w:p>
    <w:p w14:paraId="7E6F13EA">
      <w:pPr>
        <w:keepNext/>
        <w:keepLines/>
        <w:pageBreakBefore w:val="0"/>
        <w:widowControl/>
        <w:kinsoku w:val="0"/>
        <w:wordWrap/>
        <w:overflowPunct/>
        <w:topLinePunct w:val="0"/>
        <w:autoSpaceDE w:val="0"/>
        <w:autoSpaceDN w:val="0"/>
        <w:bidi w:val="0"/>
        <w:adjustRightInd w:val="0"/>
        <w:snapToGrid w:val="0"/>
        <w:spacing w:beforeLines="0" w:beforeAutospacing="0" w:after="0" w:afterLines="0" w:afterAutospacing="0" w:line="360" w:lineRule="auto"/>
        <w:ind w:firstLine="700" w:firstLineChars="250"/>
        <w:jc w:val="left"/>
        <w:textAlignment w:val="baseline"/>
        <w:outlineLvl w:val="2"/>
        <w:rPr>
          <w:rFonts w:hint="default" w:ascii="Times New Roman" w:hAnsi="Times New Roman" w:eastAsia="黑体" w:cs="Arial"/>
          <w:snapToGrid w:val="0"/>
          <w:color w:val="000000"/>
          <w:kern w:val="0"/>
          <w:sz w:val="28"/>
          <w:szCs w:val="21"/>
          <w:lang w:val="en-US" w:eastAsia="zh-CN" w:bidi="ar-SA"/>
        </w:rPr>
      </w:pPr>
      <w:bookmarkStart w:id="6" w:name="_Toc3995"/>
      <w:r>
        <w:rPr>
          <w:rFonts w:hint="eastAsia" w:ascii="Times New Roman" w:hAnsi="Times New Roman" w:eastAsia="黑体" w:cs="Arial"/>
          <w:snapToGrid w:val="0"/>
          <w:color w:val="000000"/>
          <w:kern w:val="0"/>
          <w:sz w:val="28"/>
          <w:szCs w:val="21"/>
          <w:lang w:val="en-US" w:eastAsia="zh-CN" w:bidi="ar-SA"/>
        </w:rPr>
        <w:t>1.主要依据与来源</w:t>
      </w:r>
      <w:bookmarkEnd w:id="6"/>
    </w:p>
    <w:p w14:paraId="68C8C5A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bookmarkStart w:id="7" w:name="_Toc25502"/>
      <w:r>
        <w:rPr>
          <w:rFonts w:hint="eastAsia" w:ascii="Times New Roman" w:hAnsi="Times New Roman" w:eastAsia="FangSong_GB2312" w:cs="FangSong_GB2312"/>
          <w:snapToGrid w:val="0"/>
          <w:color w:val="000000"/>
          <w:spacing w:val="5"/>
          <w:kern w:val="0"/>
          <w:sz w:val="31"/>
          <w:szCs w:val="31"/>
          <w:lang w:val="en-US" w:eastAsia="zh-CN"/>
        </w:rPr>
        <w:t>政策依据。以国家推动品牌强国建设、促进中医药振兴发展、实施乡村振兴战略的系列部署为依据。《国家标准化发展纲要》提出“实施品牌战略，培育具有国际影响力的品牌”；《知识产权强国建设纲要（2021—2035年）》明确“推进商标品牌建设”；《“十四五”中医药发展规划》要求“加强道地药材地理标志保护和品牌建设”；《关于促进乡村产业振兴的指导意见》提出“培育提升农业品牌”。上述政策文件共同构成本标准制定的顶层政策基础。</w:t>
      </w:r>
    </w:p>
    <w:p w14:paraId="2F4565B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实践依据。总结提炼了长治市潞党参产区多年来的品牌运营实践经验，重点对标分析了“山西小米”“大同黄花”等省内较为成熟的区域公用品牌管理模式，吸收了其在授权管理、标识统一、宣传推广、维权打假等方面的成功做法。同时，充分考虑了潞党参产业在经营主体规模偏小、品牌基础较弱、产区相对分散等方面的现实条件，确保标准“既瞄准高标准，又接地气”。</w:t>
      </w:r>
    </w:p>
    <w:p w14:paraId="32AD223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技术依据。广泛参考和引用了现行国家标准。其中，品牌管理方面依据GB/T 39906-2021《品牌管理要求》，该标准为组织开展品牌管理活动提供了通用框架，强调了品牌策划、实施、监测与改进的动态管理循环；品牌评价方面依据GB/T 39654-2020《品牌评价 原则与基础》，该标准提供了包含有形要素、质量要素、创新要素、服务要素和无形要素在内的五维度评价框架；在产品标签方面依据GB 7718《食品安全国家标准 预包装食品标签通则》，确保品牌标识在产品包装上的使用规范合规。此外，本标准与同期编制的《潞党参标准化基地建设要求》形成紧密衔接，将基地标准中的分级建设和追溯管理要求作为品牌授权的前置条件和质量保障的技术支撑。</w:t>
      </w:r>
    </w:p>
    <w:p w14:paraId="3348D46F">
      <w:pPr>
        <w:keepNext/>
        <w:keepLines/>
        <w:pageBreakBefore w:val="0"/>
        <w:widowControl/>
        <w:kinsoku w:val="0"/>
        <w:wordWrap/>
        <w:overflowPunct/>
        <w:topLinePunct w:val="0"/>
        <w:autoSpaceDE w:val="0"/>
        <w:autoSpaceDN w:val="0"/>
        <w:bidi w:val="0"/>
        <w:adjustRightInd w:val="0"/>
        <w:snapToGrid w:val="0"/>
        <w:spacing w:beforeLines="0" w:beforeAutospacing="0" w:after="0" w:afterLines="0" w:afterAutospacing="0" w:line="360" w:lineRule="auto"/>
        <w:ind w:firstLine="700" w:firstLineChars="250"/>
        <w:jc w:val="left"/>
        <w:textAlignment w:val="baseline"/>
        <w:outlineLvl w:val="2"/>
        <w:rPr>
          <w:rFonts w:hint="default" w:ascii="Times New Roman" w:hAnsi="Times New Roman" w:eastAsia="黑体" w:cs="Arial"/>
          <w:snapToGrid w:val="0"/>
          <w:color w:val="000000"/>
          <w:kern w:val="0"/>
          <w:sz w:val="28"/>
          <w:szCs w:val="21"/>
          <w:lang w:val="en-US" w:eastAsia="zh-CN" w:bidi="ar-SA"/>
        </w:rPr>
      </w:pPr>
      <w:r>
        <w:rPr>
          <w:rFonts w:hint="eastAsia" w:ascii="Times New Roman" w:hAnsi="Times New Roman" w:eastAsia="黑体" w:cs="Arial"/>
          <w:snapToGrid w:val="0"/>
          <w:color w:val="000000"/>
          <w:kern w:val="0"/>
          <w:sz w:val="28"/>
          <w:szCs w:val="21"/>
          <w:lang w:val="en-US" w:eastAsia="zh-CN" w:bidi="ar-SA"/>
        </w:rPr>
        <w:t>2.主要技术内容</w:t>
      </w:r>
      <w:bookmarkEnd w:id="7"/>
    </w:p>
    <w:p w14:paraId="411461A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（1）范围</w:t>
      </w:r>
    </w:p>
    <w:p w14:paraId="4847839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文件规定了“潞党参”品牌建设的术语和定义、总体原则、品牌申请使用与退出、品牌质量保障与追溯、品牌宣传推广与保护、品牌监督评估与改进等要求。适用于长治市行政区域内申请使用“潞党参”品牌的各类生产经营主体，包括农业企业、农民专业合作社、家庭农场、种植大户等。</w:t>
      </w:r>
    </w:p>
    <w:p w14:paraId="3F30C1AA">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范围的确定依据为：一是限定在长治市行政区域内，与“潞党参”的道地产地属性一致；二是涵盖各类生产经营主体，体现了品牌使用的开放性；三是聚焦于品牌“建设管理”活动，与基地建设标准形成功能区分。</w:t>
      </w:r>
    </w:p>
    <w:p w14:paraId="7411CA6B">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（2）总体原则</w:t>
      </w:r>
    </w:p>
    <w:p w14:paraId="1E761D3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本章确立了指导品牌建设管理的四项基本原则：政府引导、市场运作；统一标准、分级认定；质量为本、信誉至上；动态管理、准入退出结合。</w:t>
      </w:r>
    </w:p>
    <w:p w14:paraId="6059CA3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其中，“动态管理、准入退出结合”是本标准的核心创新原则。该原则的设计依据来源于区域公用品牌管理中的“公地悲剧”理论——若缺乏有效的准入把关和退出惩戒机制，个别使用者的机会主义行为将损害整个品牌的集体声誉。因此，标准明确了年度审核与动态抽查相结合的监督机制以及强制退出的六种情形，确保品牌管理形成闭环。</w:t>
      </w:r>
    </w:p>
    <w:p w14:paraId="724AA40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（3）品牌申请使用与退出</w:t>
      </w:r>
    </w:p>
    <w:p w14:paraId="7DA878D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本章是标准的核心管理环节，分为三部分：</w:t>
      </w:r>
    </w:p>
    <w:p w14:paraId="6F0EFDDA">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品牌申请：从申请条件、申请材料、评审程序、授权期限与续期四方面作出规定。申请条件设置七款要求，其中将“基础级及以上的潞党参标准化基地优先推荐”写入，体现了与基地标准的衔接；要求“产品产自长治市行政区域内”并“符合适宜种植区域要求”，确保了品牌的地域真实性。评审程序设计为“形式审查→实地考察→综合评审→社会公示→授权批准”五步流程，参考了集体商标使用的审核惯例。授权有效期设为3年，既保证使用主体的相对稳定，又通过续期审核保持管理压力。</w:t>
      </w:r>
    </w:p>
    <w:p w14:paraId="04897E9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品牌使用：规定了品牌标识系统的构成（图形标识、标准字体、宣传口号、色彩体系）和标识使用的六款规范，以及市场行为规范的四款要求。其中，明确“品牌标识应当与企业自有商标合理组合使用，不得单独使用品牌标识替代企业商标”，既有助于培育企业子品牌、形成母子品牌矩阵效应，又便于区分不同使用主体的产品责任。该设计依据来源于集体商标管理实践——区域公用品牌标识用于证明产地和品质，企业商标用于区分生产者，二者各司其职、相辅相成。</w:t>
      </w:r>
    </w:p>
    <w:p w14:paraId="5F317E55">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品牌退出：分为主动退出和强制退出两种情形。强制退出情形列举了七种触发条件，包括提供虚假材料骗取授权、产品连续两次抽检不合格或发生重大质量安全事故、擅自改变品牌标识或超范围使用等。该条款的设计参考了《集体商标、证明商标注册和管理办法》关于使用管理规则的规定，以及《中华人民共和国农产品质量安全法》对违规行为的处理要求。</w:t>
      </w:r>
    </w:p>
    <w:p w14:paraId="314A569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（4）品牌质量保障与追溯</w:t>
      </w:r>
    </w:p>
    <w:p w14:paraId="4F5AC65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从质量标准化、质量检测、质量追溯三方面建立品牌的质量保障体系。其中，“年度监督抽检比例不低于使用主体总数的30%”的参数设定，参考了农产品质量安全监督抽查的通行做法，在保证监督力度的同时兼顾可操作性。质量追溯要求与《潞党参标准化基地建设要求》中的档案记录和追溯要求保持一致，确保两个标准的技术衔接无缝隙。</w:t>
      </w:r>
    </w:p>
    <w:p w14:paraId="0C050DA5">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（5）品牌宣传推广与保护</w:t>
      </w:r>
    </w:p>
    <w:p w14:paraId="3BB6FDD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分为宣传推广体系和品牌保护维权两部分。宣传推广方面，规定了品牌管理方统一制订计划、建设新媒体矩阵、组织参加行业展会的职责，以及使用主体积极配合统一推广的义务；鼓励建设品牌体验店和展示中心，挖掘潞党参历史文化内涵。保护维权方面，从知识产权保护、打击侵权假冒、品牌风险管理三个层面作出规定，要求依法办理品牌标识著作权登记和商标注册，建立品牌日常监测和侵权报告机制，建立舆情监测和应急处置机制。该章的设计依据来源于省内成熟区域品牌在遭遇假冒侵权时的实践教训，前置化地设置了防范和应对措施。</w:t>
      </w:r>
    </w:p>
    <w:p w14:paraId="4D1952B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（6）品牌监督评估与改进</w:t>
      </w:r>
    </w:p>
    <w:p w14:paraId="11C292B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构建了“监督—评价—投诉处理—改进”的管理闭环。监督机制规定了年度审核和动态抽查（不预先通知方式）的“双随机”监管模式；评价体系规定建立涵盖产品质量、市场表现、品牌传播、社会效益、联农带农五维度的评价指标，依据GB/T 39906和GB/T 39654的方法论实</w:t>
      </w:r>
      <w:bookmarkStart w:id="14" w:name="_GoBack"/>
      <w:bookmarkEnd w:id="14"/>
      <w:r>
        <w:rPr>
          <w:rFonts w:hint="eastAsia" w:ascii="Times New Roman" w:hAnsi="Times New Roman" w:eastAsia="FangSong_GB2312" w:cs="FangSong_GB2312"/>
          <w:snapToGrid w:val="0"/>
          <w:color w:val="000000"/>
          <w:spacing w:val="5"/>
          <w:kern w:val="0"/>
          <w:sz w:val="31"/>
          <w:szCs w:val="31"/>
          <w:lang w:val="en-US" w:eastAsia="zh-CN"/>
        </w:rPr>
        <w:t>施管理评价和品牌价值评估；投诉处理规定了设立举报渠道和5个工作日内启动调查的时限要求；持续改进部分提出制定品牌培育提升计划、支持申报国家级品牌荣誉，并特别强调鼓励使用主体建立联农带农机制，带动农户共享品牌增值收益。联农带农要求的设计初衷，在于使“潞党参”品牌不仅成为市场竞争的商业符号，更成为带动产区农民增收致富的公共平台，体现区域公用品牌的公共属性和社会责任。</w:t>
      </w:r>
    </w:p>
    <w:p w14:paraId="3BF93AF4">
      <w:pPr>
        <w:keepNext/>
        <w:keepLines/>
        <w:kinsoku w:val="0"/>
        <w:autoSpaceDE w:val="0"/>
        <w:autoSpaceDN w:val="0"/>
        <w:bidi w:val="0"/>
        <w:adjustRightInd w:val="0"/>
        <w:snapToGrid w:val="0"/>
        <w:spacing w:before="340" w:beforeLines="0" w:beforeAutospacing="0" w:after="330" w:afterLines="0" w:afterAutospacing="0" w:line="240" w:lineRule="auto"/>
        <w:ind w:firstLine="63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8" w:name="_Toc5788"/>
      <w:r>
        <w:rPr>
          <w:rFonts w:ascii="Times New Roman" w:hAnsi="Times New Roman" w:eastAsia="黑体" w:cs="黑体"/>
          <w:b/>
          <w:snapToGrid w:val="0"/>
          <w:color w:val="000000"/>
          <w:spacing w:val="4"/>
          <w:kern w:val="44"/>
          <w:sz w:val="31"/>
          <w:szCs w:val="31"/>
          <w:lang w:val="en-US" w:eastAsia="en-US" w:bidi="ar-SA"/>
        </w:rPr>
        <w:t>三、标准试验验证情况分析，预期的经济效益、社会效益和生态效益</w:t>
      </w:r>
      <w:bookmarkEnd w:id="8"/>
    </w:p>
    <w:p w14:paraId="0E4E8A9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对产业而言，可为“潞党参”品牌建设管理提供系统规范，改变以往品牌定位模糊、管理主体缺位、使用各行其是的局面，推动潞党参产业从分散的“产品经营”向统一的“品牌经营”转型</w:t>
      </w:r>
      <w:r>
        <w:rPr>
          <w:rFonts w:hint="eastAsia" w:ascii="Times New Roman" w:hAnsi="Times New Roman" w:eastAsia="FangSong_GB2312" w:cs="FangSong_GB2312"/>
          <w:snapToGrid w:val="0"/>
          <w:color w:val="000000"/>
          <w:spacing w:val="5"/>
          <w:kern w:val="0"/>
          <w:sz w:val="31"/>
          <w:szCs w:val="31"/>
          <w:lang w:val="en-US" w:eastAsia="en-US"/>
        </w:rPr>
        <w:t>升级</w:t>
      </w:r>
      <w:r>
        <w:rPr>
          <w:rFonts w:hint="eastAsia" w:ascii="Times New Roman" w:hAnsi="Times New Roman" w:eastAsia="FangSong_GB2312" w:cs="FangSong_GB2312"/>
          <w:snapToGrid w:val="0"/>
          <w:color w:val="000000"/>
          <w:spacing w:val="6"/>
          <w:kern w:val="0"/>
          <w:sz w:val="31"/>
          <w:szCs w:val="31"/>
          <w:lang w:eastAsia="en-US"/>
        </w:rPr>
        <w:t>，提升“潞党参”在道地药材市场中的辨识度、公信力和溢价能力。</w:t>
      </w:r>
    </w:p>
    <w:p w14:paraId="1C44C54B">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对经营主体而言，可为其提供清晰的品牌使用规则和申请通道。符合条件的主体通过规范程序获得品牌授权，可借助统一的品牌标识和推广平台降低营销成本、扩大市场影响。“基础级及以上标准化基地优先推荐”的条款，将对标准化基地建设形成正向激励，引导产区主体沿着“先建基地、后申品牌”的路径实现品质升级与品牌增值的良性循环。</w:t>
      </w:r>
    </w:p>
    <w:p w14:paraId="6D62448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对下游药企和消费者而言，通过规范化的品牌管理、质量检测和追溯要求，可有效降低采购选择成本和品质甄别风险。品牌作为品质信号的功能得以强化，消费者和采购商可通过识别“潞党参”品牌标识获得可信赖的品质承诺。</w:t>
      </w:r>
    </w:p>
    <w:p w14:paraId="5D5B6AD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对行政监管而言，可作为农业农村、市场监管等部门开展品牌授权管理、市场秩序维护和产业政策制定的技术参考，形成“标准引领品牌、品牌倒逼生产、生产依托基地”的产业发展良性循环，助力长治市中医药强市建设和乡村全面振兴。</w:t>
      </w:r>
    </w:p>
    <w:p w14:paraId="626A5549">
      <w:pPr>
        <w:keepNext/>
        <w:keepLines/>
        <w:kinsoku w:val="0"/>
        <w:autoSpaceDE w:val="0"/>
        <w:autoSpaceDN w:val="0"/>
        <w:bidi w:val="0"/>
        <w:adjustRightInd w:val="0"/>
        <w:snapToGrid w:val="0"/>
        <w:spacing w:before="340" w:beforeLines="0" w:beforeAutospacing="0" w:after="330" w:afterLines="0" w:afterAutospacing="0" w:line="240" w:lineRule="auto"/>
        <w:ind w:firstLine="63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9" w:name="_Toc6811"/>
      <w:r>
        <w:rPr>
          <w:rFonts w:ascii="Times New Roman" w:hAnsi="Times New Roman" w:eastAsia="黑体" w:cs="黑体"/>
          <w:b/>
          <w:snapToGrid w:val="0"/>
          <w:color w:val="000000"/>
          <w:spacing w:val="4"/>
          <w:kern w:val="44"/>
          <w:sz w:val="31"/>
          <w:szCs w:val="31"/>
          <w:lang w:val="en-US" w:eastAsia="en-US" w:bidi="ar-SA"/>
        </w:rPr>
        <w:t>四、与国际、国外同类标准技术内容的对比情况，采用</w:t>
      </w:r>
      <w:r>
        <w:rPr>
          <w:rFonts w:ascii="Times New Roman" w:hAnsi="Times New Roman" w:eastAsia="黑体" w:cs="黑体"/>
          <w:b/>
          <w:snapToGrid w:val="0"/>
          <w:color w:val="000000"/>
          <w:spacing w:val="3"/>
          <w:kern w:val="44"/>
          <w:sz w:val="31"/>
          <w:szCs w:val="31"/>
          <w:lang w:val="en-US" w:eastAsia="en-US" w:bidi="ar-SA"/>
        </w:rPr>
        <w:t>国际</w:t>
      </w:r>
      <w:r>
        <w:rPr>
          <w:rFonts w:ascii="Times New Roman" w:hAnsi="Times New Roman" w:eastAsia="黑体" w:cs="黑体"/>
          <w:b/>
          <w:snapToGrid w:val="0"/>
          <w:color w:val="000000"/>
          <w:spacing w:val="9"/>
          <w:kern w:val="44"/>
          <w:sz w:val="31"/>
          <w:szCs w:val="31"/>
          <w:lang w:val="en-US" w:eastAsia="en-US" w:bidi="ar-SA"/>
        </w:rPr>
        <w:t>标准和国外先进标准情况</w:t>
      </w:r>
      <w:bookmarkEnd w:id="9"/>
    </w:p>
    <w:p w14:paraId="7204805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52"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8"/>
          <w:kern w:val="0"/>
          <w:sz w:val="31"/>
          <w:szCs w:val="31"/>
          <w:lang w:eastAsia="en-US"/>
        </w:rPr>
        <w:t>未发现与本文件同类的国际、国外标准。“潞党参”为我国特定道地</w:t>
      </w:r>
      <w:r>
        <w:rPr>
          <w:rFonts w:hint="eastAsia" w:ascii="Times New Roman" w:hAnsi="Times New Roman" w:eastAsia="FangSong_GB2312" w:cs="FangSong_GB2312"/>
          <w:snapToGrid w:val="0"/>
          <w:color w:val="000000"/>
          <w:spacing w:val="5"/>
          <w:kern w:val="0"/>
          <w:sz w:val="31"/>
          <w:szCs w:val="31"/>
          <w:lang w:val="en-US" w:eastAsia="en-US"/>
        </w:rPr>
        <w:t>产区</w:t>
      </w:r>
      <w:r>
        <w:rPr>
          <w:rFonts w:hint="eastAsia" w:ascii="Times New Roman" w:hAnsi="Times New Roman" w:eastAsia="FangSong_GB2312" w:cs="FangSong_GB2312"/>
          <w:snapToGrid w:val="0"/>
          <w:color w:val="000000"/>
          <w:spacing w:val="8"/>
          <w:kern w:val="0"/>
          <w:sz w:val="31"/>
          <w:szCs w:val="31"/>
          <w:lang w:eastAsia="en-US"/>
        </w:rPr>
        <w:t>的地方特色品种，其区域公用品牌建设管理规范具有显著的地域针对性和品种专属性。在品牌管理通用方法论层面，本标准引用了GB/T 39906-2021和GB/T 39654-2020两项国家标准，这两项标准吸收和融入了国际品牌管理标准（如ISO 20671系列）的理念和方法。</w:t>
      </w:r>
    </w:p>
    <w:p w14:paraId="1B13E855">
      <w:pPr>
        <w:keepNext/>
        <w:keepLines/>
        <w:kinsoku w:val="0"/>
        <w:autoSpaceDE w:val="0"/>
        <w:autoSpaceDN w:val="0"/>
        <w:bidi w:val="0"/>
        <w:adjustRightInd w:val="0"/>
        <w:snapToGrid w:val="0"/>
        <w:spacing w:before="340" w:beforeLines="0" w:beforeAutospacing="0" w:after="330" w:afterLines="0" w:afterAutospacing="0" w:line="240" w:lineRule="auto"/>
        <w:ind w:firstLine="65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10" w:name="_Toc25900"/>
      <w:r>
        <w:rPr>
          <w:rFonts w:ascii="Times New Roman" w:hAnsi="Times New Roman" w:eastAsia="黑体" w:cs="黑体"/>
          <w:b/>
          <w:snapToGrid w:val="0"/>
          <w:color w:val="000000"/>
          <w:spacing w:val="9"/>
          <w:kern w:val="44"/>
          <w:position w:val="1"/>
          <w:sz w:val="31"/>
          <w:szCs w:val="31"/>
          <w:lang w:val="en-US" w:eastAsia="en-US" w:bidi="ar-SA"/>
        </w:rPr>
        <w:t>五、与</w:t>
      </w:r>
      <w:r>
        <w:rPr>
          <w:rFonts w:ascii="Times New Roman" w:hAnsi="Times New Roman" w:eastAsia="黑体" w:cs="Arial"/>
          <w:b/>
          <w:snapToGrid w:val="0"/>
          <w:color w:val="000000"/>
          <w:kern w:val="44"/>
          <w:sz w:val="30"/>
          <w:szCs w:val="21"/>
          <w:lang w:val="en-US" w:eastAsia="en-US" w:bidi="ar-SA"/>
        </w:rPr>
        <w:t>有关</w:t>
      </w:r>
      <w:r>
        <w:rPr>
          <w:rFonts w:ascii="Times New Roman" w:hAnsi="Times New Roman" w:eastAsia="黑体" w:cs="黑体"/>
          <w:b/>
          <w:snapToGrid w:val="0"/>
          <w:color w:val="000000"/>
          <w:spacing w:val="9"/>
          <w:kern w:val="44"/>
          <w:position w:val="1"/>
          <w:sz w:val="31"/>
          <w:szCs w:val="31"/>
          <w:lang w:val="en-US" w:eastAsia="en-US" w:bidi="ar-SA"/>
        </w:rPr>
        <w:t>法律、行政法规及相关标准的关系</w:t>
      </w:r>
      <w:bookmarkEnd w:id="10"/>
    </w:p>
    <w:p w14:paraId="5908A49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hint="eastAsia" w:ascii="Times New Roman" w:hAnsi="Times New Roman" w:eastAsia="FangSong_GB2312" w:cs="FangSong_GB2312"/>
          <w:snapToGrid w:val="0"/>
          <w:color w:val="000000"/>
          <w:spacing w:val="17"/>
          <w:kern w:val="0"/>
          <w:sz w:val="31"/>
          <w:szCs w:val="31"/>
          <w:lang w:eastAsia="zh-CN"/>
        </w:rPr>
      </w:pPr>
      <w:r>
        <w:rPr>
          <w:rFonts w:hint="eastAsia" w:ascii="Times New Roman" w:hAnsi="Times New Roman" w:eastAsia="FangSong_GB2312" w:cs="FangSong_GB2312"/>
          <w:snapToGrid w:val="0"/>
          <w:color w:val="000000"/>
          <w:spacing w:val="17"/>
          <w:kern w:val="0"/>
          <w:sz w:val="31"/>
          <w:szCs w:val="31"/>
          <w:lang w:eastAsia="en-US"/>
        </w:rPr>
        <w:t>本标准严格遵循《中华人民共和国标准化法》《中华人民共和国</w:t>
      </w:r>
      <w:r>
        <w:rPr>
          <w:rFonts w:hint="eastAsia" w:ascii="Times New Roman" w:hAnsi="Times New Roman" w:eastAsia="FangSong_GB2312" w:cs="FangSong_GB2312"/>
          <w:snapToGrid w:val="0"/>
          <w:color w:val="000000"/>
          <w:spacing w:val="5"/>
          <w:kern w:val="0"/>
          <w:sz w:val="31"/>
          <w:szCs w:val="31"/>
          <w:lang w:val="en-US" w:eastAsia="en-US"/>
        </w:rPr>
        <w:t>商标法</w:t>
      </w:r>
      <w:r>
        <w:rPr>
          <w:rFonts w:hint="eastAsia" w:ascii="Times New Roman" w:hAnsi="Times New Roman" w:eastAsia="FangSong_GB2312" w:cs="FangSong_GB2312"/>
          <w:snapToGrid w:val="0"/>
          <w:color w:val="000000"/>
          <w:spacing w:val="17"/>
          <w:kern w:val="0"/>
          <w:sz w:val="31"/>
          <w:szCs w:val="31"/>
          <w:lang w:eastAsia="en-US"/>
        </w:rPr>
        <w:t>》《中华人民共和国农产品质量安全法》《中华人民共和国产品质量法》《中华人民共和国反不正当竞争法》等国家法律法规的要求。</w:t>
      </w:r>
    </w:p>
    <w:p w14:paraId="3290ED6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hint="eastAsia" w:ascii="Times New Roman" w:hAnsi="Times New Roman" w:eastAsia="FangSong_GB2312" w:cs="FangSong_GB2312"/>
          <w:snapToGrid w:val="0"/>
          <w:color w:val="000000"/>
          <w:spacing w:val="17"/>
          <w:kern w:val="0"/>
          <w:sz w:val="31"/>
          <w:szCs w:val="31"/>
          <w:lang w:eastAsia="zh-CN"/>
        </w:rPr>
      </w:pPr>
      <w:r>
        <w:rPr>
          <w:rFonts w:hint="eastAsia" w:ascii="Times New Roman" w:hAnsi="Times New Roman" w:eastAsia="FangSong_GB2312" w:cs="FangSong_GB2312"/>
          <w:snapToGrid w:val="0"/>
          <w:color w:val="000000"/>
          <w:spacing w:val="17"/>
          <w:kern w:val="0"/>
          <w:sz w:val="31"/>
          <w:szCs w:val="31"/>
          <w:lang w:eastAsia="en-US"/>
        </w:rPr>
        <w:t>本标准与《中华人民共和国商标法》及《集体商标、证明商标注册和管理办法》是衔接和应用的关系。若“潞党参”品牌标识申请注册为集体商标或证明商标，则本标准中的品牌使用管理规则可作为商标使用管理规则的标准化表达。</w:t>
      </w:r>
    </w:p>
    <w:p w14:paraId="034DFC1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hint="eastAsia" w:ascii="Times New Roman" w:hAnsi="Times New Roman" w:eastAsia="FangSong_GB2312" w:cs="FangSong_GB2312"/>
          <w:snapToGrid w:val="0"/>
          <w:color w:val="000000"/>
          <w:spacing w:val="17"/>
          <w:kern w:val="0"/>
          <w:sz w:val="31"/>
          <w:szCs w:val="31"/>
          <w:lang w:eastAsia="zh-CN"/>
        </w:rPr>
      </w:pPr>
      <w:r>
        <w:rPr>
          <w:rFonts w:hint="eastAsia" w:ascii="Times New Roman" w:hAnsi="Times New Roman" w:eastAsia="FangSong_GB2312" w:cs="FangSong_GB2312"/>
          <w:snapToGrid w:val="0"/>
          <w:color w:val="000000"/>
          <w:spacing w:val="17"/>
          <w:kern w:val="0"/>
          <w:sz w:val="31"/>
          <w:szCs w:val="31"/>
          <w:lang w:eastAsia="en-US"/>
        </w:rPr>
        <w:t>本标准与强制性国家标准（如GB 7718）是遵循和细化的关系。品牌标识在产品包装上的使用须符合预包装食品标签通则的要求。</w:t>
      </w:r>
    </w:p>
    <w:p w14:paraId="4043B7B8">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hint="eastAsia" w:ascii="Times New Roman" w:hAnsi="Times New Roman" w:eastAsia="FangSong_GB2312" w:cs="FangSong_GB2312"/>
          <w:snapToGrid w:val="0"/>
          <w:color w:val="000000"/>
          <w:spacing w:val="17"/>
          <w:kern w:val="0"/>
          <w:sz w:val="31"/>
          <w:szCs w:val="31"/>
          <w:lang w:eastAsia="zh-CN"/>
        </w:rPr>
      </w:pPr>
      <w:r>
        <w:rPr>
          <w:rFonts w:hint="eastAsia" w:ascii="Times New Roman" w:hAnsi="Times New Roman" w:eastAsia="FangSong_GB2312" w:cs="FangSong_GB2312"/>
          <w:snapToGrid w:val="0"/>
          <w:color w:val="000000"/>
          <w:spacing w:val="17"/>
          <w:kern w:val="0"/>
          <w:sz w:val="31"/>
          <w:szCs w:val="31"/>
          <w:lang w:eastAsia="en-US"/>
        </w:rPr>
        <w:t>本标准与</w:t>
      </w:r>
      <w:r>
        <w:rPr>
          <w:rFonts w:hint="eastAsia" w:ascii="Times New Roman" w:hAnsi="Times New Roman" w:eastAsia="FangSong_GB2312" w:cs="FangSong_GB2312"/>
          <w:snapToGrid w:val="0"/>
          <w:color w:val="000000"/>
          <w:spacing w:val="5"/>
          <w:kern w:val="0"/>
          <w:sz w:val="31"/>
          <w:szCs w:val="31"/>
          <w:lang w:val="en-US" w:eastAsia="en-US"/>
        </w:rPr>
        <w:t>推荐</w:t>
      </w:r>
      <w:r>
        <w:rPr>
          <w:rFonts w:hint="eastAsia" w:ascii="Times New Roman" w:hAnsi="Times New Roman" w:eastAsia="FangSong_GB2312" w:cs="FangSong_GB2312"/>
          <w:snapToGrid w:val="0"/>
          <w:color w:val="000000"/>
          <w:spacing w:val="17"/>
          <w:kern w:val="0"/>
          <w:sz w:val="31"/>
          <w:szCs w:val="31"/>
          <w:lang w:eastAsia="en-US"/>
        </w:rPr>
        <w:t>性国家标准GB/T 39906和GB/T 39654是应用和具体化的关系，将品牌管理和品牌评价的通用方法论应用于潞党参区域公用品牌的具体场景。</w:t>
      </w:r>
    </w:p>
    <w:p w14:paraId="5028DE9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ascii="Times New Roman" w:hAnsi="Times New Roman" w:eastAsia="FangSong_GB2312" w:cs="FangSong_GB2312"/>
          <w:snapToGrid w:val="0"/>
          <w:color w:val="000000"/>
          <w:spacing w:val="17"/>
          <w:kern w:val="0"/>
          <w:sz w:val="31"/>
          <w:szCs w:val="31"/>
          <w:lang w:eastAsia="en-US"/>
        </w:rPr>
      </w:pPr>
      <w:r>
        <w:rPr>
          <w:rFonts w:hint="eastAsia" w:ascii="Times New Roman" w:hAnsi="Times New Roman" w:eastAsia="FangSong_GB2312" w:cs="FangSong_GB2312"/>
          <w:snapToGrid w:val="0"/>
          <w:color w:val="000000"/>
          <w:spacing w:val="17"/>
          <w:kern w:val="0"/>
          <w:sz w:val="31"/>
          <w:szCs w:val="31"/>
          <w:lang w:eastAsia="en-US"/>
        </w:rPr>
        <w:t>本标准与同期编制的《潞党参标准化基地建设要求》是配套协同关系。基地标准规定“怎么种好”，品牌标准规定“怎么卖好”，二者分别从生产端和市场端构建潞党参产业</w:t>
      </w:r>
      <w:r>
        <w:rPr>
          <w:rFonts w:hint="eastAsia" w:ascii="Times New Roman" w:hAnsi="Times New Roman" w:eastAsia="FangSong_GB2312" w:cs="FangSong_GB2312"/>
          <w:snapToGrid w:val="0"/>
          <w:color w:val="000000"/>
          <w:spacing w:val="5"/>
          <w:kern w:val="0"/>
          <w:sz w:val="31"/>
          <w:szCs w:val="31"/>
          <w:lang w:val="en-US" w:eastAsia="en-US"/>
        </w:rPr>
        <w:t>标准化</w:t>
      </w:r>
      <w:r>
        <w:rPr>
          <w:rFonts w:hint="eastAsia" w:ascii="Times New Roman" w:hAnsi="Times New Roman" w:eastAsia="FangSong_GB2312" w:cs="FangSong_GB2312"/>
          <w:snapToGrid w:val="0"/>
          <w:color w:val="000000"/>
          <w:spacing w:val="17"/>
          <w:kern w:val="0"/>
          <w:sz w:val="31"/>
          <w:szCs w:val="31"/>
          <w:lang w:eastAsia="en-US"/>
        </w:rPr>
        <w:t>体系，共同支撑“潞党参”从田间到市场的全链条品质管理。</w:t>
      </w:r>
    </w:p>
    <w:p w14:paraId="0B6F1ADD">
      <w:pPr>
        <w:keepNext/>
        <w:keepLines/>
        <w:numPr>
          <w:ilvl w:val="0"/>
          <w:numId w:val="1"/>
        </w:numPr>
        <w:kinsoku w:val="0"/>
        <w:autoSpaceDE w:val="0"/>
        <w:autoSpaceDN w:val="0"/>
        <w:bidi w:val="0"/>
        <w:adjustRightInd w:val="0"/>
        <w:snapToGrid w:val="0"/>
        <w:spacing w:before="340" w:beforeLines="0" w:beforeAutospacing="0" w:after="330" w:afterLines="0" w:afterAutospacing="0" w:line="240" w:lineRule="auto"/>
        <w:ind w:firstLine="654" w:firstLineChars="200"/>
        <w:jc w:val="left"/>
        <w:textAlignment w:val="baseline"/>
        <w:outlineLvl w:val="0"/>
        <w:rPr>
          <w:rFonts w:ascii="Times New Roman" w:hAnsi="Times New Roman" w:eastAsia="黑体" w:cs="黑体"/>
          <w:b/>
          <w:snapToGrid w:val="0"/>
          <w:color w:val="000000"/>
          <w:spacing w:val="8"/>
          <w:kern w:val="44"/>
          <w:sz w:val="31"/>
          <w:szCs w:val="31"/>
          <w:lang w:val="en-US" w:eastAsia="en-US" w:bidi="ar-SA"/>
        </w:rPr>
      </w:pPr>
      <w:bookmarkStart w:id="11" w:name="_Toc27835"/>
      <w:r>
        <w:rPr>
          <w:rFonts w:ascii="Times New Roman" w:hAnsi="Times New Roman" w:eastAsia="黑体" w:cs="黑体"/>
          <w:b/>
          <w:snapToGrid w:val="0"/>
          <w:color w:val="000000"/>
          <w:spacing w:val="8"/>
          <w:kern w:val="44"/>
          <w:sz w:val="31"/>
          <w:szCs w:val="31"/>
          <w:lang w:val="en-US" w:eastAsia="en-US" w:bidi="ar-SA"/>
        </w:rPr>
        <w:t>重大分歧意见处的处理经过和依据</w:t>
      </w:r>
      <w:bookmarkEnd w:id="11"/>
    </w:p>
    <w:p w14:paraId="428E3C3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ascii="Times New Roman" w:hAnsi="Times New Roman" w:eastAsia="FangSong_GB2312" w:cs="FangSong_GB2312"/>
          <w:snapToGrid w:val="0"/>
          <w:color w:val="000000"/>
          <w:spacing w:val="5"/>
          <w:kern w:val="0"/>
          <w:sz w:val="31"/>
          <w:szCs w:val="31"/>
          <w:lang w:eastAsia="en-US"/>
        </w:rPr>
      </w:pPr>
      <w:r>
        <w:rPr>
          <w:rFonts w:ascii="Times New Roman" w:hAnsi="Times New Roman" w:eastAsia="FangSong_GB2312" w:cs="FangSong_GB2312"/>
          <w:snapToGrid w:val="0"/>
          <w:color w:val="000000"/>
          <w:spacing w:val="5"/>
          <w:kern w:val="0"/>
          <w:sz w:val="31"/>
          <w:szCs w:val="31"/>
          <w:lang w:eastAsia="en-US"/>
        </w:rPr>
        <w:t>无重大</w:t>
      </w:r>
      <w:r>
        <w:rPr>
          <w:rFonts w:hint="eastAsia" w:ascii="Times New Roman" w:hAnsi="Times New Roman" w:eastAsia="FangSong_GB2312" w:cs="FangSong_GB2312"/>
          <w:snapToGrid w:val="0"/>
          <w:color w:val="000000"/>
          <w:spacing w:val="5"/>
          <w:kern w:val="0"/>
          <w:sz w:val="31"/>
          <w:szCs w:val="31"/>
          <w:lang w:val="en-US" w:eastAsia="en-US"/>
        </w:rPr>
        <w:t>分歧</w:t>
      </w:r>
      <w:r>
        <w:rPr>
          <w:rFonts w:ascii="Times New Roman" w:hAnsi="Times New Roman" w:eastAsia="FangSong_GB2312" w:cs="FangSong_GB2312"/>
          <w:snapToGrid w:val="0"/>
          <w:color w:val="000000"/>
          <w:spacing w:val="5"/>
          <w:kern w:val="0"/>
          <w:sz w:val="31"/>
          <w:szCs w:val="31"/>
          <w:lang w:eastAsia="en-US"/>
        </w:rPr>
        <w:t>意见。</w:t>
      </w:r>
    </w:p>
    <w:p w14:paraId="2C589656">
      <w:pPr>
        <w:keepNext/>
        <w:keepLines/>
        <w:kinsoku w:val="0"/>
        <w:autoSpaceDE w:val="0"/>
        <w:autoSpaceDN w:val="0"/>
        <w:bidi w:val="0"/>
        <w:adjustRightInd w:val="0"/>
        <w:snapToGrid w:val="0"/>
        <w:spacing w:before="340" w:beforeLines="0" w:beforeAutospacing="0" w:after="330" w:afterLines="0" w:afterAutospacing="0" w:line="240" w:lineRule="auto"/>
        <w:ind w:firstLine="654" w:firstLineChars="200"/>
        <w:jc w:val="left"/>
        <w:textAlignment w:val="baseline"/>
        <w:outlineLvl w:val="0"/>
        <w:rPr>
          <w:rFonts w:ascii="Times New Roman" w:hAnsi="Times New Roman" w:eastAsia="黑体" w:cs="黑体"/>
          <w:b/>
          <w:snapToGrid w:val="0"/>
          <w:color w:val="000000"/>
          <w:spacing w:val="8"/>
          <w:kern w:val="44"/>
          <w:sz w:val="31"/>
          <w:szCs w:val="31"/>
          <w:lang w:val="en-US" w:eastAsia="en-US" w:bidi="ar-SA"/>
        </w:rPr>
      </w:pPr>
      <w:bookmarkStart w:id="12" w:name="_Toc22975"/>
      <w:r>
        <w:rPr>
          <w:rFonts w:ascii="Times New Roman" w:hAnsi="Times New Roman" w:eastAsia="黑体" w:cs="黑体"/>
          <w:b/>
          <w:snapToGrid w:val="0"/>
          <w:color w:val="000000"/>
          <w:spacing w:val="8"/>
          <w:kern w:val="44"/>
          <w:sz w:val="31"/>
          <w:szCs w:val="31"/>
          <w:lang w:val="en-US" w:eastAsia="en-US" w:bidi="ar-SA"/>
        </w:rPr>
        <w:t>七、</w:t>
      </w:r>
      <w:r>
        <w:rPr>
          <w:rFonts w:ascii="Times New Roman" w:hAnsi="Times New Roman" w:eastAsia="黑体" w:cs="Arial"/>
          <w:b/>
          <w:snapToGrid w:val="0"/>
          <w:color w:val="000000"/>
          <w:kern w:val="44"/>
          <w:sz w:val="30"/>
          <w:szCs w:val="21"/>
          <w:lang w:val="en-US" w:eastAsia="en-US" w:bidi="ar-SA"/>
        </w:rPr>
        <w:t>涉及</w:t>
      </w:r>
      <w:r>
        <w:rPr>
          <w:rFonts w:ascii="Times New Roman" w:hAnsi="Times New Roman" w:eastAsia="黑体" w:cs="黑体"/>
          <w:b/>
          <w:snapToGrid w:val="0"/>
          <w:color w:val="000000"/>
          <w:spacing w:val="8"/>
          <w:kern w:val="44"/>
          <w:sz w:val="31"/>
          <w:szCs w:val="31"/>
          <w:lang w:val="en-US" w:eastAsia="en-US" w:bidi="ar-SA"/>
        </w:rPr>
        <w:t>专利的有关说明</w:t>
      </w:r>
      <w:bookmarkEnd w:id="12"/>
    </w:p>
    <w:p w14:paraId="04A3689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ascii="Times New Roman" w:hAnsi="Times New Roman" w:eastAsia="FangSong_GB2312" w:cs="FangSong_GB2312"/>
          <w:snapToGrid w:val="0"/>
          <w:color w:val="000000"/>
          <w:spacing w:val="5"/>
          <w:kern w:val="0"/>
          <w:sz w:val="31"/>
          <w:szCs w:val="31"/>
          <w:lang w:eastAsia="en-US"/>
        </w:rPr>
      </w:pPr>
      <w:r>
        <w:rPr>
          <w:rFonts w:ascii="Times New Roman" w:hAnsi="Times New Roman" w:eastAsia="FangSong_GB2312" w:cs="FangSong_GB2312"/>
          <w:snapToGrid w:val="0"/>
          <w:color w:val="000000"/>
          <w:spacing w:val="5"/>
          <w:kern w:val="0"/>
          <w:sz w:val="31"/>
          <w:szCs w:val="31"/>
          <w:lang w:eastAsia="en-US"/>
        </w:rPr>
        <w:t>本文件不</w:t>
      </w:r>
      <w:r>
        <w:rPr>
          <w:rFonts w:hint="eastAsia" w:ascii="Times New Roman" w:hAnsi="Times New Roman" w:eastAsia="FangSong_GB2312" w:cs="FangSong_GB2312"/>
          <w:snapToGrid w:val="0"/>
          <w:color w:val="000000"/>
          <w:spacing w:val="5"/>
          <w:kern w:val="0"/>
          <w:sz w:val="31"/>
          <w:szCs w:val="31"/>
          <w:lang w:val="en-US" w:eastAsia="en-US"/>
        </w:rPr>
        <w:t>涉及</w:t>
      </w:r>
      <w:r>
        <w:rPr>
          <w:rFonts w:ascii="Times New Roman" w:hAnsi="Times New Roman" w:eastAsia="FangSong_GB2312" w:cs="FangSong_GB2312"/>
          <w:snapToGrid w:val="0"/>
          <w:color w:val="000000"/>
          <w:spacing w:val="5"/>
          <w:kern w:val="0"/>
          <w:sz w:val="31"/>
          <w:szCs w:val="31"/>
          <w:lang w:eastAsia="en-US"/>
        </w:rPr>
        <w:t>专利问题。</w:t>
      </w:r>
    </w:p>
    <w:p w14:paraId="62937001">
      <w:pPr>
        <w:widowControl/>
        <w:kinsoku w:val="0"/>
        <w:autoSpaceDE w:val="0"/>
        <w:autoSpaceDN w:val="0"/>
        <w:adjustRightInd w:val="0"/>
        <w:snapToGrid w:val="0"/>
        <w:spacing w:before="189" w:line="349" w:lineRule="auto"/>
        <w:ind w:left="2" w:firstLine="642" w:firstLineChars="200"/>
        <w:jc w:val="left"/>
        <w:textAlignment w:val="baseline"/>
        <w:rPr>
          <w:rFonts w:ascii="Times New Roman" w:hAnsi="Times New Roman" w:eastAsia="黑体" w:cs="黑体"/>
          <w:b/>
          <w:snapToGrid w:val="0"/>
          <w:color w:val="000000"/>
          <w:kern w:val="44"/>
          <w:sz w:val="31"/>
          <w:szCs w:val="31"/>
          <w:lang w:val="en-US" w:eastAsia="en-US" w:bidi="ar-SA"/>
        </w:rPr>
      </w:pPr>
      <w:r>
        <w:rPr>
          <w:rFonts w:ascii="Times New Roman" w:hAnsi="Times New Roman" w:eastAsia="黑体" w:cs="黑体"/>
          <w:b/>
          <w:snapToGrid w:val="0"/>
          <w:color w:val="000000"/>
          <w:spacing w:val="5"/>
          <w:kern w:val="44"/>
          <w:sz w:val="31"/>
          <w:szCs w:val="31"/>
          <w:lang w:val="en-US" w:eastAsia="en-US" w:bidi="ar-SA"/>
        </w:rPr>
        <w:t>八、实施</w:t>
      </w:r>
      <w:r>
        <w:rPr>
          <w:rFonts w:ascii="Times New Roman" w:hAnsi="Times New Roman" w:eastAsia="黑体" w:cs="Arial"/>
          <w:b/>
          <w:snapToGrid w:val="0"/>
          <w:color w:val="000000"/>
          <w:kern w:val="44"/>
          <w:sz w:val="30"/>
          <w:szCs w:val="21"/>
          <w:lang w:val="en-US" w:eastAsia="en-US" w:bidi="ar-SA"/>
        </w:rPr>
        <w:t>国家标准</w:t>
      </w:r>
      <w:r>
        <w:rPr>
          <w:rFonts w:ascii="Times New Roman" w:hAnsi="Times New Roman" w:eastAsia="黑体" w:cs="黑体"/>
          <w:b/>
          <w:snapToGrid w:val="0"/>
          <w:color w:val="000000"/>
          <w:spacing w:val="5"/>
          <w:kern w:val="44"/>
          <w:sz w:val="31"/>
          <w:szCs w:val="31"/>
          <w:lang w:val="en-US" w:eastAsia="en-US" w:bidi="ar-SA"/>
        </w:rPr>
        <w:t>的要求，以及组织措施、技术措施、过渡</w:t>
      </w:r>
      <w:r>
        <w:rPr>
          <w:rFonts w:ascii="Times New Roman" w:hAnsi="Times New Roman" w:eastAsia="黑体" w:cs="黑体"/>
          <w:b/>
          <w:snapToGrid w:val="0"/>
          <w:color w:val="000000"/>
          <w:spacing w:val="8"/>
          <w:kern w:val="44"/>
          <w:sz w:val="31"/>
          <w:szCs w:val="31"/>
          <w:lang w:val="en-US" w:eastAsia="en-US" w:bidi="ar-SA"/>
        </w:rPr>
        <w:t>期和实施日期的建议等措施建议</w:t>
      </w:r>
    </w:p>
    <w:p w14:paraId="19620C1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5"/>
          <w:kern w:val="0"/>
          <w:sz w:val="31"/>
          <w:szCs w:val="31"/>
          <w:lang w:eastAsia="en-US"/>
        </w:rPr>
        <w:t>建议标准发布后尽快实施。一是加强宣传推广：中国中医药研究促进会应通过官网、行业会议、产区培训会等多种渠道，向长治市及相关地区的潞党参生产经营主体广泛宣传本标准，提高品牌认知度和申报积极性。二是建立管理组织：依托长治市中药材产业发展中心等机构，建立或明确“潞党参”品牌管理方，负责标准的组织实施、品牌授权的受理评审和日常监督管理，并尽快完成品牌标识系统的统一设计、著作权登记和商标注册工作。三是开展授权认定：按照本标准规定的申请条件和评审程序，启动首批品牌使用主体的征集和评审工作，向社会公布授权名单，树立品牌公信力。四是推动政策衔接：积极推动产区农业主管部门将品牌使用认定结果纳入项目扶持、资金补贴等政策支持体系，形成“以品牌促升级”的激励机制。五是建立动态更新机制：归口单位应定期收集标准实施过程中的反馈意见，结合品牌运营实践和市场环境变化，适时对标准进行修订完善。</w:t>
      </w:r>
    </w:p>
    <w:p w14:paraId="4F666570">
      <w:pPr>
        <w:keepNext/>
        <w:keepLines/>
        <w:kinsoku w:val="0"/>
        <w:autoSpaceDE w:val="0"/>
        <w:autoSpaceDN w:val="0"/>
        <w:bidi w:val="0"/>
        <w:adjustRightInd w:val="0"/>
        <w:snapToGrid w:val="0"/>
        <w:spacing w:before="340" w:beforeLines="0" w:beforeAutospacing="0" w:after="330" w:afterLines="0" w:afterAutospacing="0" w:line="240" w:lineRule="auto"/>
        <w:ind w:firstLine="650"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13" w:name="_Toc6991"/>
      <w:r>
        <w:rPr>
          <w:rFonts w:ascii="Times New Roman" w:hAnsi="Times New Roman" w:eastAsia="黑体" w:cs="黑体"/>
          <w:b/>
          <w:snapToGrid w:val="0"/>
          <w:color w:val="000000"/>
          <w:spacing w:val="7"/>
          <w:kern w:val="44"/>
          <w:position w:val="1"/>
          <w:sz w:val="31"/>
          <w:szCs w:val="31"/>
          <w:lang w:val="en-US" w:eastAsia="en-US" w:bidi="ar-SA"/>
        </w:rPr>
        <w:t>九、其他说明</w:t>
      </w:r>
      <w:bookmarkEnd w:id="13"/>
    </w:p>
    <w:p w14:paraId="5FF25681">
      <w:pPr>
        <w:widowControl/>
        <w:kinsoku w:val="0"/>
        <w:autoSpaceDE w:val="0"/>
        <w:autoSpaceDN w:val="0"/>
        <w:adjustRightInd w:val="0"/>
        <w:snapToGrid w:val="0"/>
        <w:spacing w:before="189" w:line="349" w:lineRule="auto"/>
        <w:ind w:left="2"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FangSong_GB2312" w:cs="FangSong_GB2312"/>
          <w:snapToGrid w:val="0"/>
          <w:color w:val="000000"/>
          <w:spacing w:val="6"/>
          <w:kern w:val="0"/>
          <w:sz w:val="31"/>
          <w:szCs w:val="31"/>
          <w:lang w:eastAsia="en-US"/>
        </w:rPr>
        <w:t>无其他</w:t>
      </w:r>
      <w:r>
        <w:rPr>
          <w:rFonts w:ascii="Times New Roman" w:hAnsi="Times New Roman" w:eastAsia="FangSong_GB2312" w:cs="FangSong_GB2312"/>
          <w:snapToGrid w:val="0"/>
          <w:color w:val="000000"/>
          <w:spacing w:val="5"/>
          <w:kern w:val="0"/>
          <w:sz w:val="31"/>
          <w:szCs w:val="31"/>
          <w:lang w:eastAsia="en-US"/>
        </w:rPr>
        <w:t>需要</w:t>
      </w:r>
      <w:r>
        <w:rPr>
          <w:rFonts w:ascii="Times New Roman" w:hAnsi="Times New Roman" w:eastAsia="FangSong_GB2312" w:cs="FangSong_GB2312"/>
          <w:snapToGrid w:val="0"/>
          <w:color w:val="000000"/>
          <w:spacing w:val="6"/>
          <w:kern w:val="0"/>
          <w:sz w:val="31"/>
          <w:szCs w:val="31"/>
          <w:lang w:eastAsia="en-US"/>
        </w:rPr>
        <w:t>说明的事项。</w:t>
      </w:r>
    </w:p>
    <w:p w14:paraId="1EF4EC8E">
      <w:pPr>
        <w:widowControl/>
        <w:kinsoku w:val="0"/>
        <w:autoSpaceDE w:val="0"/>
        <w:autoSpaceDN w:val="0"/>
        <w:adjustRightInd w:val="0"/>
        <w:snapToGrid w:val="0"/>
        <w:spacing w:before="101" w:line="221" w:lineRule="auto"/>
        <w:ind w:left="97" w:leftChars="0" w:hanging="97" w:hangingChars="30"/>
        <w:jc w:val="righ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FangSong_GB2312" w:cs="FangSong_GB2312"/>
          <w:snapToGrid w:val="0"/>
          <w:color w:val="000000"/>
          <w:spacing w:val="8"/>
          <w:kern w:val="0"/>
          <w:sz w:val="31"/>
          <w:szCs w:val="31"/>
          <w:lang w:eastAsia="en-US"/>
        </w:rPr>
        <w:t>标准起草工作组</w:t>
      </w:r>
    </w:p>
    <w:p w14:paraId="7316B6A4">
      <w:pPr>
        <w:widowControl/>
        <w:kinsoku w:val="0"/>
        <w:autoSpaceDE w:val="0"/>
        <w:autoSpaceDN w:val="0"/>
        <w:adjustRightInd w:val="0"/>
        <w:snapToGrid w:val="0"/>
        <w:spacing w:before="174" w:line="419" w:lineRule="exact"/>
        <w:ind w:left="0" w:leftChars="0" w:firstLine="0" w:firstLineChars="0"/>
        <w:jc w:val="right"/>
        <w:textAlignment w:val="baseline"/>
        <w:rPr>
          <w:rFonts w:hint="eastAsia" w:ascii="Times New Roman" w:hAnsi="Times New Roman" w:eastAsia="FangSong_GB2312" w:cs="FangSong_GB2312"/>
          <w:snapToGrid w:val="0"/>
          <w:color w:val="000000"/>
          <w:spacing w:val="-2"/>
          <w:kern w:val="0"/>
          <w:position w:val="1"/>
          <w:sz w:val="31"/>
          <w:szCs w:val="31"/>
          <w:lang w:eastAsia="zh-CN"/>
        </w:rPr>
      </w:pPr>
      <w:r>
        <w:rPr>
          <w:rFonts w:ascii="Times New Roman" w:hAnsi="Times New Roman" w:eastAsia="Times New Roman" w:cs="Times New Roman"/>
          <w:snapToGrid w:val="0"/>
          <w:color w:val="000000"/>
          <w:spacing w:val="-2"/>
          <w:kern w:val="0"/>
          <w:position w:val="1"/>
          <w:sz w:val="31"/>
          <w:szCs w:val="31"/>
          <w:lang w:eastAsia="en-US"/>
        </w:rPr>
        <w:t>202</w:t>
      </w:r>
      <w:r>
        <w:rPr>
          <w:rFonts w:hint="eastAsia" w:ascii="Times New Roman" w:hAnsi="Times New Roman" w:eastAsia="宋体" w:cs="Times New Roman"/>
          <w:snapToGrid w:val="0"/>
          <w:color w:val="000000"/>
          <w:spacing w:val="-2"/>
          <w:kern w:val="0"/>
          <w:position w:val="1"/>
          <w:sz w:val="31"/>
          <w:szCs w:val="31"/>
          <w:lang w:val="en-US" w:eastAsia="zh-CN"/>
        </w:rPr>
        <w:t>6</w:t>
      </w:r>
      <w:r>
        <w:rPr>
          <w:rFonts w:ascii="Times New Roman" w:hAnsi="Times New Roman" w:eastAsia="Times New Roman" w:cs="Times New Roman"/>
          <w:snapToGrid w:val="0"/>
          <w:color w:val="000000"/>
          <w:spacing w:val="19"/>
          <w:kern w:val="0"/>
          <w:position w:val="1"/>
          <w:sz w:val="31"/>
          <w:szCs w:val="31"/>
          <w:lang w:eastAsia="en-US"/>
        </w:rPr>
        <w:t xml:space="preserve"> </w:t>
      </w:r>
      <w:r>
        <w:rPr>
          <w:rFonts w:ascii="Times New Roman" w:hAnsi="Times New Roman" w:eastAsia="FangSong_GB2312" w:cs="FangSong_GB2312"/>
          <w:snapToGrid w:val="0"/>
          <w:color w:val="000000"/>
          <w:spacing w:val="-2"/>
          <w:kern w:val="0"/>
          <w:position w:val="1"/>
          <w:sz w:val="31"/>
          <w:szCs w:val="31"/>
          <w:lang w:eastAsia="en-US"/>
        </w:rPr>
        <w:t>年</w:t>
      </w:r>
      <w:r>
        <w:rPr>
          <w:rFonts w:ascii="Times New Roman" w:hAnsi="Times New Roman" w:eastAsia="FangSong_GB2312" w:cs="FangSong_GB2312"/>
          <w:snapToGrid w:val="0"/>
          <w:color w:val="000000"/>
          <w:spacing w:val="-60"/>
          <w:kern w:val="0"/>
          <w:position w:val="1"/>
          <w:sz w:val="31"/>
          <w:szCs w:val="31"/>
          <w:lang w:eastAsia="en-US"/>
        </w:rPr>
        <w:t xml:space="preserve"> </w:t>
      </w:r>
      <w:r>
        <w:rPr>
          <w:rFonts w:hint="eastAsia" w:ascii="Times New Roman" w:hAnsi="Times New Roman" w:eastAsia="FangSong_GB2312" w:cs="FangSong_GB2312"/>
          <w:snapToGrid w:val="0"/>
          <w:color w:val="000000"/>
          <w:spacing w:val="-60"/>
          <w:kern w:val="0"/>
          <w:position w:val="1"/>
          <w:sz w:val="31"/>
          <w:szCs w:val="31"/>
          <w:lang w:val="en-US" w:eastAsia="zh-CN"/>
        </w:rPr>
        <w:t xml:space="preserve">  </w:t>
      </w:r>
      <w:r>
        <w:rPr>
          <w:rFonts w:hint="eastAsia" w:ascii="Times New Roman" w:hAnsi="Times New Roman" w:eastAsia="宋体" w:cs="Times New Roman"/>
          <w:snapToGrid w:val="0"/>
          <w:color w:val="000000"/>
          <w:spacing w:val="-2"/>
          <w:kern w:val="0"/>
          <w:position w:val="1"/>
          <w:sz w:val="31"/>
          <w:szCs w:val="31"/>
          <w:lang w:val="en-US" w:eastAsia="zh-CN"/>
        </w:rPr>
        <w:t xml:space="preserve">5 </w:t>
      </w:r>
      <w:r>
        <w:rPr>
          <w:rFonts w:ascii="Times New Roman" w:hAnsi="Times New Roman" w:eastAsia="FangSong_GB2312" w:cs="FangSong_GB2312"/>
          <w:snapToGrid w:val="0"/>
          <w:color w:val="000000"/>
          <w:spacing w:val="-2"/>
          <w:kern w:val="0"/>
          <w:position w:val="1"/>
          <w:sz w:val="31"/>
          <w:szCs w:val="31"/>
          <w:lang w:eastAsia="en-US"/>
        </w:rPr>
        <w:t>月</w:t>
      </w:r>
      <w:r>
        <w:rPr>
          <w:rFonts w:hint="eastAsia" w:ascii="Times New Roman" w:hAnsi="Times New Roman" w:eastAsia="FangSong_GB2312" w:cs="FangSong_GB2312"/>
          <w:snapToGrid w:val="0"/>
          <w:color w:val="000000"/>
          <w:spacing w:val="-2"/>
          <w:kern w:val="0"/>
          <w:position w:val="1"/>
          <w:sz w:val="31"/>
          <w:szCs w:val="31"/>
          <w:lang w:val="en-US" w:eastAsia="zh-CN"/>
        </w:rPr>
        <w:t xml:space="preserve"> </w:t>
      </w:r>
      <w:r>
        <w:rPr>
          <w:rFonts w:hint="eastAsia" w:ascii="Times New Roman" w:hAnsi="Times New Roman" w:eastAsia="FangSong_GB2312" w:cs="FangSong_GB2312"/>
          <w:snapToGrid w:val="0"/>
          <w:color w:val="000000"/>
          <w:spacing w:val="-66"/>
          <w:kern w:val="0"/>
          <w:position w:val="1"/>
          <w:sz w:val="31"/>
          <w:szCs w:val="31"/>
          <w:lang w:val="en-US" w:eastAsia="zh-CN"/>
        </w:rPr>
        <w:t xml:space="preserve">8       </w:t>
      </w:r>
      <w:r>
        <w:rPr>
          <w:rFonts w:ascii="Times New Roman" w:hAnsi="Times New Roman" w:eastAsia="FangSong_GB2312" w:cs="FangSong_GB2312"/>
          <w:snapToGrid w:val="0"/>
          <w:color w:val="000000"/>
          <w:spacing w:val="-2"/>
          <w:kern w:val="0"/>
          <w:position w:val="1"/>
          <w:sz w:val="31"/>
          <w:szCs w:val="31"/>
          <w:lang w:eastAsia="en-US"/>
        </w:rPr>
        <w:t>日</w:t>
      </w:r>
    </w:p>
    <w:p w14:paraId="6869650A">
      <w:pPr>
        <w:widowControl/>
        <w:kinsoku w:val="0"/>
        <w:autoSpaceDE w:val="0"/>
        <w:autoSpaceDN w:val="0"/>
        <w:adjustRightInd w:val="0"/>
        <w:snapToGrid w:val="0"/>
        <w:spacing w:before="174" w:line="419" w:lineRule="exact"/>
        <w:ind w:left="0" w:leftChars="0" w:firstLine="0" w:firstLineChars="0"/>
        <w:jc w:val="right"/>
        <w:textAlignment w:val="baseline"/>
        <w:rPr>
          <w:rFonts w:hint="eastAsia" w:ascii="Times New Roman" w:hAnsi="Times New Roman" w:eastAsia="FangSong_GB2312" w:cs="FangSong_GB2312"/>
          <w:snapToGrid w:val="0"/>
          <w:color w:val="000000"/>
          <w:spacing w:val="-2"/>
          <w:kern w:val="0"/>
          <w:position w:val="1"/>
          <w:sz w:val="31"/>
          <w:szCs w:val="31"/>
          <w:lang w:eastAsia="zh-CN"/>
        </w:rPr>
      </w:pPr>
    </w:p>
    <w:sectPr>
      <w:footerReference r:id="rId3" w:type="default"/>
      <w:pgSz w:w="11906" w:h="16839"/>
      <w:pgMar w:top="1440" w:right="1800" w:bottom="1440" w:left="1800" w:header="0" w:footer="1077" w:gutter="0"/>
      <w:pgNumType w:fmt="decimal"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KaiTi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FangSong_GB2312">
    <w:altName w:val="仿宋_GB2312"/>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6AC0D">
    <w:pPr>
      <w:tabs>
        <w:tab w:val="center" w:pos="4153"/>
        <w:tab w:val="right" w:pos="8306"/>
      </w:tabs>
      <w:kinsoku w:val="0"/>
      <w:autoSpaceDE w:val="0"/>
      <w:autoSpaceDN w:val="0"/>
      <w:adjustRightInd w:val="0"/>
      <w:snapToGrid w:val="0"/>
      <w:spacing w:line="240" w:lineRule="auto"/>
      <w:jc w:val="left"/>
      <w:textAlignment w:val="baseline"/>
      <w:rPr>
        <w:rFonts w:ascii="Arial" w:hAnsi="Arial" w:eastAsia="仿宋_GB2312" w:cs="Arial"/>
        <w:snapToGrid w:val="0"/>
        <w:color w:val="000000"/>
        <w:kern w:val="0"/>
        <w:sz w:val="18"/>
        <w:szCs w:val="21"/>
        <w:lang w:val="en-US" w:eastAsia="en-US" w:bidi="ar-S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5DF1C5">
                          <w:pPr>
                            <w:pStyle w:val="5"/>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25DF1C5">
                    <w:pPr>
                      <w:pStyle w:val="5"/>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5D2E88"/>
    <w:multiLevelType w:val="singleLevel"/>
    <w:tmpl w:val="A35D2E8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E32690"/>
    <w:rsid w:val="03074E87"/>
    <w:rsid w:val="045751B3"/>
    <w:rsid w:val="045779B0"/>
    <w:rsid w:val="06FD3CD7"/>
    <w:rsid w:val="072D4EC7"/>
    <w:rsid w:val="07693041"/>
    <w:rsid w:val="0BB44AB0"/>
    <w:rsid w:val="0E565511"/>
    <w:rsid w:val="246C3DEF"/>
    <w:rsid w:val="28A37210"/>
    <w:rsid w:val="2C9A64DA"/>
    <w:rsid w:val="322363C4"/>
    <w:rsid w:val="36C12D54"/>
    <w:rsid w:val="3A422AA2"/>
    <w:rsid w:val="44DB304B"/>
    <w:rsid w:val="52E32690"/>
    <w:rsid w:val="641D18AF"/>
    <w:rsid w:val="64621404"/>
    <w:rsid w:val="6EAA3DE4"/>
    <w:rsid w:val="70EC0CB9"/>
    <w:rsid w:val="7408564B"/>
    <w:rsid w:val="79463EEA"/>
    <w:rsid w:val="79A60A20"/>
    <w:rsid w:val="7CD119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3">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toc 3"/>
    <w:basedOn w:val="1"/>
    <w:next w:val="1"/>
    <w:qFormat/>
    <w:uiPriority w:val="0"/>
    <w:pPr>
      <w:ind w:left="840" w:leftChars="4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qFormat/>
    <w:uiPriority w:val="0"/>
  </w:style>
  <w:style w:type="paragraph" w:styleId="8">
    <w:name w:val="toc 2"/>
    <w:basedOn w:val="1"/>
    <w:next w:val="1"/>
    <w:qFormat/>
    <w:uiPriority w:val="0"/>
    <w:pPr>
      <w:ind w:left="420" w:leftChars="200"/>
    </w:pPr>
  </w:style>
  <w:style w:type="paragraph" w:styleId="9">
    <w:name w:val="Normal (Web)"/>
    <w:basedOn w:val="1"/>
    <w:qFormat/>
    <w:uiPriority w:val="0"/>
    <w:rPr>
      <w:sz w:val="24"/>
    </w:rPr>
  </w:style>
  <w:style w:type="table" w:styleId="11">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478a3dcd-2bf5-4601-9bcf-f54b784bc971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3BF27DC7</paraID>
      <start>184</start>
      <end>185</end>
      <status>modified</status>
      <modifiedWord>—</modifiedWord>
      <trackRevisions>false</trackRevisions>
    </reviewItem>
    <reviewItem>
      <errorID>67654599-cf4f-417d-bddd-16e8b45902d0</errorID>
      <errorWord>。</errorWord>
      <group>L1_Punc</group>
      <groupName>标点问题</groupName>
      <ability>L2_Punc</ability>
      <abilityName>标点符号检查</abilityName>
      <candidateList>
        <item>，</item>
      </candidateList>
      <explain/>
      <paraID>73FA6135</paraID>
      <start>28</start>
      <end>29</end>
      <status>modified</status>
      <modifiedWord>，</modifiedWord>
      <trackRevisions>false</trackRevisions>
    </reviewItem>
    <reviewItem>
      <errorID>b5284bec-b26a-43d4-ac7f-dcb6ab37d440</errorID>
      <errorWord>超前提现在</errorWord>
      <group>L1_Grammar</group>
      <groupName>语法问题</groupName>
      <ability>L2_Grammar</ability>
      <abilityName>语法错误</abilityName>
      <candidateList>
        <item>超前。</item>
      </candidateList>
      <explain/>
      <paraID>3DCB93A5</paraID>
      <start>2</start>
      <end>5</end>
      <status>modified</status>
      <modifiedWord>超前。</modifiedWord>
      <trackRevisions>false</trackRevisions>
    </reviewItem>
    <reviewItem>
      <errorID>70989b11-e3a5-4022-b7a2-010b3a06777b</errorID>
      <errorWord>来源于</errorWord>
      <group>L1_Word</group>
      <groupName>字词问题</groupName>
      <ability>L2_Typo</ability>
      <abilityName>字词错误</abilityName>
      <candidateList>
        <item>来自</item>
      </candidateList>
      <explain/>
      <paraID>260418A2</paraID>
      <start>18</start>
      <end>20</end>
      <status>modified</status>
      <modifiedWord>来自</modifiedWord>
      <trackRevisions>false</trackRevisions>
    </reviewItem>
    <reviewItem>
      <errorID>e2f5fc3d-71f0-42e0-ab0d-9fb3f6ee1140</errorID>
      <errorWord>四</errorWord>
      <group>L1_Word</group>
      <groupName>字词问题</groupName>
      <ability>L2_Typo</ability>
      <abilityName>字词错误</abilityName>
      <candidateList>
        <item>四个</item>
      </candidateList>
      <explain/>
      <paraID>260418A2</paraID>
      <start>20</start>
      <end>22</end>
      <status>modified</status>
      <modifiedWord>四个</modifiedWord>
      <trackRevisions>false</trackRevisions>
    </reviewItem>
    <reviewItem>
      <errorID>eb6e04ce-4c7a-4ac1-ae16-9316b9290dae</errorID>
      <errorWord>是</errorWord>
      <group>L1_Word</group>
      <groupName>字词问题</groupName>
      <ability>L2_Typo</ability>
      <abilityName>字词错误</abilityName>
      <candidateList>
        <item>是对</item>
      </candidateList>
      <explain/>
      <paraID>260418A2</paraID>
      <start>157</start>
      <end>159</end>
      <status>modified</status>
      <modifiedWord>是对</modifiedWord>
      <trackRevisions>false</trackRevisions>
    </reviewItem>
    <reviewItem>
      <errorID>0b50bafa-2a0c-40c7-ac7f-e2a3a7d972e5</errorID>
      <errorWord>立项后</errorWord>
      <group>L1_Word</group>
      <groupName>字词问题</groupName>
      <ability>L2_Typo</ability>
      <abilityName>字词错误</abilityName>
      <candidateList>
        <item>立项</item>
      </candidateList>
      <explain/>
      <paraID>23F72C20</paraID>
      <start>21</start>
      <end>23</end>
      <status>modified</status>
      <modifiedWord>立项</modifiedWord>
      <trackRevisions>false</trackRevisions>
    </reviewItem>
    <reviewItem>
      <errorID>2f10ab22-0ff8-4094-9e6a-b76af3a6dd22</errorID>
      <errorWord>负责人</errorWord>
      <group>L1_Word</group>
      <groupName>字词问题</groupName>
      <ability>L2_Typo</ability>
      <abilityName>字词错误</abilityName>
      <candidateList>
        <item>的负责人</item>
      </candidateList>
      <explain/>
      <paraID>1AD69D1A</paraID>
      <start>71</start>
      <end>75</end>
      <status>modified</status>
      <modifiedWord>的负责人</modifiedWord>
      <trackRevisions>false</trackRevisions>
    </reviewItem>
    <reviewItem>
      <errorID>e46e2a19-2157-4834-9939-76364d74ae78</errorID>
      <errorWord>《“潞党参”品牌建设管理规范》（征求意见稿）</errorWord>
      <group>L1_Knowledge</group>
      <groupName>知识性问题</groupName>
      <ability>L2_Knowledge</ability>
      <abilityName>其他知识</abilityName>
      <candidateList>
        <item>《“潞党参”品牌建设管理规范（征求意见稿）》</item>
      </candidateList>
      <explain>疑似政策文件、法律法规名称等书写不规范，请注意检查。</explain>
      <paraID>61C631E9</paraID>
      <start>174</start>
      <end>196</end>
      <status>modified</status>
      <modifiedWord>《“潞党参”品牌建设管理规范（征求意见稿）》</modifiedWord>
      <trackRevisions>false</trackRevisions>
    </reviewItem>
    <reviewItem>
      <errorID>3f70cb55-2bde-477b-9c46-de1b1fc886b5</errorID>
      <errorWord>，</errorWord>
      <group>L1_Word</group>
      <groupName>字词问题</groupName>
      <ability>L2_Typo</ability>
      <abilityName>字词错误</abilityName>
      <candidateList>
        <item>，并</item>
      </candidateList>
      <explain/>
      <paraID>61C631E9</paraID>
      <start>196</start>
      <end>198</end>
      <status>modified</status>
      <modifiedWord>，并</modifiedWord>
      <trackRevisions>false</trackRevisions>
    </reviewItem>
    <reviewItem>
      <errorID>814389cd-fb77-4055-a7a9-a4d64d7a9163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68C8C5A0</paraID>
      <start>95</start>
      <end>96</end>
      <status>modified</status>
      <modifiedWord>—</modifiedWord>
      <trackRevisions>false</trackRevisions>
    </reviewItem>
    <reviewItem>
      <errorID>b2e8c5ff-d0ef-4cfc-b97b-3fcfe495b6d5</errorID>
      <errorWord>；</errorWord>
      <group>L1_Word</group>
      <groupName>字词问题</groupName>
      <ability>L2_Typo</ability>
      <abilityName>字词错误</abilityName>
      <candidateList>
        <item>；在</item>
      </candidateList>
      <explain/>
      <paraID>32AD2239</paraID>
      <start>179</start>
      <end>181</end>
      <status>modified</status>
      <modifiedWord>；在</modifiedWord>
      <trackRevisions>false</trackRevisions>
    </reviewItem>
    <reviewItem>
      <errorID>745eeb58-1ad2-4dd3-9c0f-2445c8c8d1ad</errorID>
      <errorWord>管理办法》中</errorWord>
      <group>L1_Word</group>
      <groupName>字词问题</groupName>
      <ability>L2_Typo</ability>
      <abilityName>字词错误</abilityName>
      <candidateList>
        <item>管理办法》</item>
      </candidateList>
      <explain/>
      <paraID>5F317E55</paraID>
      <start>111</start>
      <end>116</end>
      <status>modified</status>
      <modifiedWord>管理办法》</modifiedWord>
      <trackRevisions>false</trackRevisions>
    </reviewItem>
    <reviewItem>
      <errorID>71db107f-90f7-4188-9616-fc1e9d7de64c</errorID>
      <errorWord>农产品质量安全法</errorWord>
      <group>L1_Knowledge</group>
      <groupName>知识性问题</groupName>
      <ability>L2_Knowledge</ability>
      <abilityName>其他知识</abilityName>
      <candidateList>
        <item>中华人民共和国农产品质量安全法</item>
      </candidateList>
      <explain>当前法律法规名称使用简称，请注意是否应当使用全称。</explain>
      <paraID>5F317E55</paraID>
      <start>131</start>
      <end>146</end>
      <status>modified</status>
      <modifiedWord>中华人民共和国农产品质量安全法</modifiedWord>
      <trackRevisions>false</trackRevisions>
    </reviewItem>
    <reviewItem>
      <errorID>9e13b5ff-04ce-408b-a565-1b039d43a2b9</errorID>
      <errorWord>制定计划</errorWord>
      <group>L1_Word</group>
      <groupName>字词问题</groupName>
      <ability>L2_Typo</ability>
      <abilityName>字词错误</abilityName>
      <candidateList>
        <item>制订计划</item>
      </candidateList>
      <explain/>
      <paraID>3BB6FDD9</paraID>
      <start>38</start>
      <end>42</end>
      <status>modified</status>
      <modifiedWord>制订计划</modifiedWord>
      <trackRevisions>false</trackRevisions>
    </reviewItem>
    <reviewItem>
      <errorID>cf7aa1bb-7f3b-4363-ae8b-394e4c6a1c7d</errorID>
      <errorWord>。。</errorWord>
      <group>L1_Punc</group>
      <groupName>标点问题</groupName>
      <ability>L2_Punc</ability>
      <abilityName>标点符号检查</abilityName>
      <candidateList>
        <item>。</item>
      </candidateList>
      <explain/>
      <paraID>11C292BC</paraID>
      <start>313</start>
      <end>314</end>
      <status>modified</status>
      <modifiedWord>。</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e58754-af08-4dc4-8fb5-82a8f2982ebf}">
  <ds:schemaRefs/>
</ds:datastoreItem>
</file>

<file path=docProps/app.xml><?xml version="1.0" encoding="utf-8"?>
<Properties xmlns="http://schemas.openxmlformats.org/officeDocument/2006/extended-properties" xmlns:vt="http://schemas.openxmlformats.org/officeDocument/2006/docPropsVTypes">
  <Template>Normal.dotm</Template>
  <Pages>17</Pages>
  <Words>7787</Words>
  <Characters>7953</Characters>
  <Lines>0</Lines>
  <Paragraphs>0</Paragraphs>
  <TotalTime>116</TotalTime>
  <ScaleCrop>false</ScaleCrop>
  <LinksUpToDate>false</LinksUpToDate>
  <CharactersWithSpaces>7994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2025-08-18T06:53:00Z</dcterms:created>
  <dc:creator>燕艳华</dc:creator>
  <cp:lastModifiedBy>燕艳华</cp:lastModifiedBy>
  <dcterms:modified xsi:type="dcterms:W3CDTF">2026-05-08T01:31:53Z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3D085D351C5243AFB15FE146858183B6_13</vt:lpwstr>
  </property>
  <property fmtid="{D5CDD505-2E9C-101B-9397-08002B2CF9AE}" pid="4" name="KSOTemplateDocerSaveRecord">
    <vt:lpwstr>eyJoZGlkIjoiNDg3MDdmM2U0ZDBlZTExNzZhZjYwYWRjYmIwODkxMGEiLCJ1c2VySWQiOiIyNjY5MTc3MTIifQ==</vt:lpwstr>
  </property>
</Properties>
</file>