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F73A54">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96BC72">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3158BEC">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B011D7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4DD0C9CB">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66C611D">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C24AAA7">
      <w:pPr>
        <w:kinsoku w:val="0"/>
        <w:autoSpaceDE w:val="0"/>
        <w:autoSpaceDN w:val="0"/>
        <w:adjustRightInd w:val="0"/>
        <w:snapToGrid w:val="0"/>
        <w:spacing w:line="243"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5E2E4B1">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F7EF1A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9FEAE8E">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181C304">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9EA115F">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5E0CB8">
      <w:pPr>
        <w:kinsoku w:val="0"/>
        <w:autoSpaceDE w:val="0"/>
        <w:autoSpaceDN w:val="0"/>
        <w:adjustRightInd w:val="0"/>
        <w:snapToGrid w:val="0"/>
        <w:spacing w:line="244"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ACFEDE">
      <w:pPr>
        <w:widowControl/>
        <w:kinsoku w:val="0"/>
        <w:autoSpaceDE w:val="0"/>
        <w:autoSpaceDN w:val="0"/>
        <w:adjustRightInd w:val="0"/>
        <w:snapToGrid w:val="0"/>
        <w:spacing w:before="166" w:line="239" w:lineRule="auto"/>
        <w:ind w:left="0" w:leftChars="0" w:hanging="8" w:firstLineChars="0"/>
        <w:jc w:val="center"/>
        <w:textAlignment w:val="baseline"/>
        <w:rPr>
          <w:rFonts w:ascii="Times New Roman" w:hAnsi="Times New Roman" w:eastAsia="微软雅黑" w:cs="微软雅黑"/>
          <w:b/>
          <w:bCs/>
          <w:snapToGrid w:val="0"/>
          <w:color w:val="000000"/>
          <w:spacing w:val="12"/>
          <w:kern w:val="0"/>
          <w:sz w:val="48"/>
          <w:szCs w:val="48"/>
          <w:lang w:eastAsia="en-US"/>
        </w:rPr>
      </w:pPr>
      <w:r>
        <w:rPr>
          <w:rFonts w:ascii="Times New Roman" w:hAnsi="Times New Roman" w:eastAsia="微软雅黑" w:cs="微软雅黑"/>
          <w:b/>
          <w:bCs/>
          <w:snapToGrid w:val="0"/>
          <w:color w:val="000000"/>
          <w:spacing w:val="12"/>
          <w:kern w:val="0"/>
          <w:sz w:val="48"/>
          <w:szCs w:val="48"/>
          <w:lang w:eastAsia="en-US"/>
        </w:rPr>
        <w:t>《</w:t>
      </w:r>
      <w:r>
        <w:rPr>
          <w:rFonts w:hint="eastAsia" w:ascii="Times New Roman" w:hAnsi="Times New Roman" w:eastAsia="微软雅黑" w:cs="微软雅黑"/>
          <w:b/>
          <w:bCs/>
          <w:snapToGrid w:val="0"/>
          <w:color w:val="000000"/>
          <w:spacing w:val="12"/>
          <w:kern w:val="0"/>
          <w:sz w:val="48"/>
          <w:szCs w:val="48"/>
          <w:lang w:eastAsia="en-US"/>
        </w:rPr>
        <w:t>潞党参标准化基地建设要求</w:t>
      </w:r>
      <w:r>
        <w:rPr>
          <w:rFonts w:ascii="Times New Roman" w:hAnsi="Times New Roman" w:eastAsia="微软雅黑" w:cs="微软雅黑"/>
          <w:b/>
          <w:bCs/>
          <w:snapToGrid w:val="0"/>
          <w:color w:val="000000"/>
          <w:spacing w:val="12"/>
          <w:kern w:val="0"/>
          <w:sz w:val="48"/>
          <w:szCs w:val="48"/>
          <w:lang w:eastAsia="en-US"/>
        </w:rPr>
        <w:t>》</w:t>
      </w:r>
    </w:p>
    <w:p w14:paraId="07CED1E0">
      <w:pPr>
        <w:widowControl/>
        <w:kinsoku w:val="0"/>
        <w:autoSpaceDE w:val="0"/>
        <w:autoSpaceDN w:val="0"/>
        <w:adjustRightInd w:val="0"/>
        <w:snapToGrid w:val="0"/>
        <w:spacing w:before="166" w:line="239" w:lineRule="auto"/>
        <w:ind w:left="0" w:leftChars="0" w:hanging="8" w:firstLineChars="0"/>
        <w:jc w:val="center"/>
        <w:textAlignment w:val="baseline"/>
        <w:rPr>
          <w:rFonts w:hint="default" w:ascii="Times New Roman" w:hAnsi="Times New Roman" w:eastAsia="微软雅黑" w:cs="微软雅黑"/>
          <w:b/>
          <w:bCs/>
          <w:snapToGrid w:val="0"/>
          <w:color w:val="000000"/>
          <w:spacing w:val="12"/>
          <w:kern w:val="0"/>
          <w:sz w:val="48"/>
          <w:szCs w:val="48"/>
          <w:lang w:val="en-US" w:eastAsia="zh-CN"/>
        </w:rPr>
      </w:pPr>
      <w:r>
        <w:rPr>
          <w:rFonts w:hint="eastAsia" w:ascii="Times New Roman" w:hAnsi="Times New Roman" w:eastAsia="微软雅黑" w:cs="微软雅黑"/>
          <w:b/>
          <w:bCs/>
          <w:snapToGrid w:val="0"/>
          <w:color w:val="000000"/>
          <w:spacing w:val="12"/>
          <w:kern w:val="0"/>
          <w:sz w:val="48"/>
          <w:szCs w:val="48"/>
          <w:lang w:val="en-US" w:eastAsia="zh-CN"/>
        </w:rPr>
        <w:t>团体标准</w:t>
      </w:r>
    </w:p>
    <w:p w14:paraId="1E0D5FCF">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7BBF328">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AD5B5C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87D4C9B">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1CD846D5">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67D4C">
      <w:pPr>
        <w:kinsoku w:val="0"/>
        <w:autoSpaceDE w:val="0"/>
        <w:autoSpaceDN w:val="0"/>
        <w:adjustRightInd w:val="0"/>
        <w:snapToGrid w:val="0"/>
        <w:spacing w:line="259"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5259DCAD">
      <w:pPr>
        <w:widowControl/>
        <w:kinsoku w:val="0"/>
        <w:autoSpaceDE w:val="0"/>
        <w:autoSpaceDN w:val="0"/>
        <w:bidi w:val="0"/>
        <w:adjustRightInd w:val="0"/>
        <w:snapToGrid w:val="0"/>
        <w:spacing w:line="240" w:lineRule="auto"/>
        <w:ind w:left="0" w:leftChars="0" w:firstLine="0" w:firstLineChars="0"/>
        <w:jc w:val="center"/>
        <w:textAlignment w:val="baseline"/>
        <w:rPr>
          <w:rFonts w:hint="eastAsia" w:ascii="Times New Roman" w:hAnsi="Times New Roman" w:eastAsia="微软雅黑" w:cs="微软雅黑"/>
          <w:snapToGrid w:val="0"/>
          <w:color w:val="000000"/>
          <w:kern w:val="0"/>
          <w:sz w:val="48"/>
          <w:szCs w:val="48"/>
          <w:lang w:eastAsia="en-US"/>
        </w:rPr>
      </w:pPr>
      <w:r>
        <w:rPr>
          <w:rFonts w:hint="eastAsia" w:ascii="Times New Roman" w:hAnsi="Times New Roman" w:eastAsia="微软雅黑" w:cs="微软雅黑"/>
          <w:snapToGrid w:val="0"/>
          <w:color w:val="000000"/>
          <w:kern w:val="0"/>
          <w:sz w:val="48"/>
          <w:szCs w:val="48"/>
          <w:lang w:eastAsia="en-US"/>
        </w:rPr>
        <w:t>编  制  说  明</w:t>
      </w:r>
    </w:p>
    <w:p w14:paraId="18D5FA6E">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19E9A7C">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A50CEA">
      <w:pPr>
        <w:kinsoku w:val="0"/>
        <w:autoSpaceDE w:val="0"/>
        <w:autoSpaceDN w:val="0"/>
        <w:adjustRightInd w:val="0"/>
        <w:snapToGrid w:val="0"/>
        <w:spacing w:line="260"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84EC7D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040337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722CF61">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D522D43">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E1A3EA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EBFC6D">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38E6436">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378661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671E4BC">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04B0060">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0BF3937F">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283478C7">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9F42DF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60023775">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336C60D4">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FD46E9">
      <w:pPr>
        <w:kinsoku w:val="0"/>
        <w:autoSpaceDE w:val="0"/>
        <w:autoSpaceDN w:val="0"/>
        <w:adjustRightInd w:val="0"/>
        <w:snapToGrid w:val="0"/>
        <w:spacing w:line="261" w:lineRule="auto"/>
        <w:ind w:firstLine="420" w:firstLineChars="200"/>
        <w:jc w:val="left"/>
        <w:textAlignment w:val="baseline"/>
        <w:rPr>
          <w:rFonts w:ascii="Times New Roman" w:hAnsi="Times New Roman" w:eastAsia="Arial" w:cs="Arial"/>
          <w:snapToGrid w:val="0"/>
          <w:color w:val="000000"/>
          <w:kern w:val="0"/>
          <w:sz w:val="21"/>
          <w:szCs w:val="21"/>
          <w:lang w:val="en-US" w:eastAsia="en-US" w:bidi="ar-SA"/>
        </w:rPr>
      </w:pPr>
    </w:p>
    <w:p w14:paraId="715096E5">
      <w:pPr>
        <w:widowControl/>
        <w:kinsoku w:val="0"/>
        <w:autoSpaceDE w:val="0"/>
        <w:autoSpaceDN w:val="0"/>
        <w:adjustRightInd w:val="0"/>
        <w:snapToGrid w:val="0"/>
        <w:spacing w:before="102"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标准起草工作组</w:t>
      </w:r>
    </w:p>
    <w:p w14:paraId="56B05CC1">
      <w:pPr>
        <w:widowControl/>
        <w:kinsoku w:val="0"/>
        <w:autoSpaceDE w:val="0"/>
        <w:autoSpaceDN w:val="0"/>
        <w:adjustRightInd w:val="0"/>
        <w:snapToGrid w:val="0"/>
        <w:spacing w:before="245" w:line="220" w:lineRule="auto"/>
        <w:ind w:left="2759" w:leftChars="0" w:hanging="2759" w:hangingChars="734"/>
        <w:jc w:val="center"/>
        <w:textAlignment w:val="baseline"/>
        <w:rPr>
          <w:rFonts w:ascii="Times New Roman" w:hAnsi="Times New Roman" w:eastAsia="KaiTi_GB2312" w:cs="KaiTi_GB2312"/>
          <w:snapToGrid w:val="0"/>
          <w:color w:val="000000"/>
          <w:kern w:val="0"/>
          <w:sz w:val="36"/>
          <w:szCs w:val="36"/>
          <w:lang w:eastAsia="en-US"/>
        </w:rPr>
      </w:pPr>
      <w:r>
        <w:rPr>
          <w:rFonts w:ascii="Times New Roman" w:hAnsi="Times New Roman" w:eastAsia="KaiTi_GB2312" w:cs="KaiTi_GB2312"/>
          <w:snapToGrid w:val="0"/>
          <w:color w:val="000000"/>
          <w:spacing w:val="8"/>
          <w:kern w:val="0"/>
          <w:sz w:val="36"/>
          <w:szCs w:val="36"/>
          <w:lang w:eastAsia="en-US"/>
        </w:rPr>
        <w:t>二</w:t>
      </w:r>
      <w:r>
        <w:rPr>
          <w:rFonts w:ascii="Times New Roman" w:hAnsi="Times New Roman" w:eastAsia="黑体" w:cs="黑体"/>
          <w:snapToGrid w:val="0"/>
          <w:color w:val="000000"/>
          <w:spacing w:val="8"/>
          <w:kern w:val="0"/>
          <w:sz w:val="36"/>
          <w:szCs w:val="36"/>
          <w:lang w:eastAsia="en-US"/>
        </w:rPr>
        <w:t>〇</w:t>
      </w:r>
      <w:r>
        <w:rPr>
          <w:rFonts w:ascii="Times New Roman" w:hAnsi="Times New Roman" w:eastAsia="KaiTi_GB2312" w:cs="KaiTi_GB2312"/>
          <w:snapToGrid w:val="0"/>
          <w:color w:val="000000"/>
          <w:spacing w:val="8"/>
          <w:kern w:val="0"/>
          <w:sz w:val="36"/>
          <w:szCs w:val="36"/>
          <w:lang w:eastAsia="en-US"/>
        </w:rPr>
        <w:t>二</w:t>
      </w:r>
      <w:r>
        <w:rPr>
          <w:rFonts w:hint="eastAsia" w:ascii="Times New Roman" w:hAnsi="Times New Roman" w:eastAsia="KaiTi_GB2312" w:cs="KaiTi_GB2312"/>
          <w:snapToGrid w:val="0"/>
          <w:color w:val="000000"/>
          <w:spacing w:val="8"/>
          <w:kern w:val="0"/>
          <w:sz w:val="36"/>
          <w:szCs w:val="36"/>
          <w:lang w:val="en-US" w:eastAsia="zh-CN"/>
        </w:rPr>
        <w:t>六</w:t>
      </w:r>
      <w:r>
        <w:rPr>
          <w:rFonts w:ascii="Times New Roman" w:hAnsi="Times New Roman" w:eastAsia="KaiTi_GB2312" w:cs="KaiTi_GB2312"/>
          <w:snapToGrid w:val="0"/>
          <w:color w:val="000000"/>
          <w:spacing w:val="8"/>
          <w:kern w:val="0"/>
          <w:sz w:val="36"/>
          <w:szCs w:val="36"/>
          <w:lang w:eastAsia="en-US"/>
        </w:rPr>
        <w:t>年</w:t>
      </w:r>
      <w:r>
        <w:rPr>
          <w:rFonts w:hint="eastAsia" w:ascii="Times New Roman" w:hAnsi="Times New Roman" w:eastAsia="KaiTi_GB2312" w:cs="KaiTi_GB2312"/>
          <w:snapToGrid w:val="0"/>
          <w:color w:val="000000"/>
          <w:spacing w:val="8"/>
          <w:kern w:val="0"/>
          <w:sz w:val="36"/>
          <w:szCs w:val="36"/>
          <w:lang w:val="en-US" w:eastAsia="zh-CN"/>
        </w:rPr>
        <w:t>五</w:t>
      </w:r>
      <w:r>
        <w:rPr>
          <w:rFonts w:ascii="Times New Roman" w:hAnsi="Times New Roman" w:eastAsia="KaiTi_GB2312" w:cs="KaiTi_GB2312"/>
          <w:snapToGrid w:val="0"/>
          <w:color w:val="000000"/>
          <w:spacing w:val="8"/>
          <w:kern w:val="0"/>
          <w:sz w:val="36"/>
          <w:szCs w:val="36"/>
          <w:lang w:eastAsia="en-US"/>
        </w:rPr>
        <w:t>月</w:t>
      </w:r>
    </w:p>
    <w:p w14:paraId="436E4520">
      <w:pPr>
        <w:widowControl/>
        <w:kinsoku w:val="0"/>
        <w:autoSpaceDE w:val="0"/>
        <w:autoSpaceDN w:val="0"/>
        <w:adjustRightInd w:val="0"/>
        <w:snapToGrid w:val="0"/>
        <w:spacing w:line="240" w:lineRule="auto"/>
        <w:ind w:firstLine="480" w:firstLineChars="200"/>
        <w:jc w:val="left"/>
        <w:textAlignment w:val="baseline"/>
        <w:rPr>
          <w:rFonts w:ascii="Times New Roman" w:hAnsi="Times New Roman" w:eastAsia="仿宋_GB2312" w:cs="Arial"/>
          <w:snapToGrid w:val="0"/>
          <w:color w:val="000000"/>
          <w:kern w:val="0"/>
          <w:sz w:val="24"/>
          <w:szCs w:val="21"/>
          <w:lang w:eastAsia="en-US"/>
        </w:rPr>
      </w:pPr>
      <w:r>
        <w:rPr>
          <w:rFonts w:ascii="Times New Roman" w:hAnsi="Times New Roman" w:eastAsia="仿宋_GB2312" w:cs="Arial"/>
          <w:snapToGrid w:val="0"/>
          <w:color w:val="000000"/>
          <w:kern w:val="0"/>
          <w:sz w:val="24"/>
          <w:szCs w:val="21"/>
          <w:lang w:eastAsia="en-US"/>
        </w:rPr>
        <w:br w:type="page"/>
      </w:r>
    </w:p>
    <w:p w14:paraId="7499E329">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0" w:name="_Toc21223"/>
      <w:r>
        <w:rPr>
          <w:rFonts w:ascii="Times New Roman" w:hAnsi="Times New Roman" w:eastAsia="黑体" w:cs="Arial"/>
          <w:b/>
          <w:snapToGrid w:val="0"/>
          <w:color w:val="000000"/>
          <w:kern w:val="44"/>
          <w:sz w:val="30"/>
          <w:szCs w:val="21"/>
          <w:lang w:val="en-US" w:eastAsia="en-US" w:bidi="ar-SA"/>
        </w:rPr>
        <w:t>一、工作简况</w:t>
      </w:r>
      <w:bookmarkEnd w:id="0"/>
    </w:p>
    <w:p w14:paraId="29EEF906">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snapToGrid w:val="0"/>
          <w:color w:val="000000"/>
          <w:kern w:val="0"/>
          <w:sz w:val="28"/>
          <w:szCs w:val="21"/>
          <w:lang w:val="en-US" w:eastAsia="en-US" w:bidi="ar-SA"/>
        </w:rPr>
      </w:pPr>
      <w:bookmarkStart w:id="1" w:name="_Toc15554"/>
      <w:r>
        <w:rPr>
          <w:rFonts w:ascii="Times New Roman" w:hAnsi="Times New Roman" w:eastAsia="黑体" w:cs="Arial"/>
          <w:snapToGrid w:val="0"/>
          <w:color w:val="000000"/>
          <w:kern w:val="0"/>
          <w:sz w:val="28"/>
          <w:szCs w:val="21"/>
          <w:lang w:val="en-US" w:eastAsia="en-US" w:bidi="ar-SA"/>
        </w:rPr>
        <w:t>（一）任务来源</w:t>
      </w:r>
      <w:bookmarkEnd w:id="1"/>
    </w:p>
    <w:p w14:paraId="2BF881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本标准制定任务来源于中国中医药研究促进会。潞党参作为山西省长治市的道地药材，是当地农业特色产业和乡村振兴的重要支柱。为推动潞党参产业从分散粗放向标准化、规模化、绿色化方向转型，解决基地建设水平参差不齐、缺乏系统分级指导等现实问题，中国中医药研究促进会经充分</w:t>
      </w:r>
      <w:r>
        <w:rPr>
          <w:rFonts w:hint="eastAsia" w:ascii="Times New Roman" w:hAnsi="Times New Roman" w:eastAsia="FangSong_GB2312" w:cs="FangSong_GB2312"/>
          <w:snapToGrid w:val="0"/>
          <w:color w:val="000000"/>
          <w:spacing w:val="5"/>
          <w:kern w:val="0"/>
          <w:sz w:val="31"/>
          <w:szCs w:val="31"/>
          <w:lang w:val="en-US" w:eastAsia="en-US"/>
        </w:rPr>
        <w:t>调研</w:t>
      </w:r>
      <w:r>
        <w:rPr>
          <w:rFonts w:hint="eastAsia" w:ascii="Times New Roman" w:hAnsi="Times New Roman" w:eastAsia="FangSong_GB2312" w:cs="FangSong_GB2312"/>
          <w:snapToGrid w:val="0"/>
          <w:color w:val="000000"/>
          <w:spacing w:val="6"/>
          <w:kern w:val="0"/>
          <w:sz w:val="31"/>
          <w:szCs w:val="31"/>
          <w:lang w:eastAsia="en-US"/>
        </w:rPr>
        <w:t>和论证，于202</w:t>
      </w:r>
      <w:r>
        <w:rPr>
          <w:rFonts w:hint="eastAsia" w:ascii="Times New Roman" w:hAnsi="Times New Roman" w:eastAsia="FangSong_GB2312" w:cs="FangSong_GB2312"/>
          <w:snapToGrid w:val="0"/>
          <w:color w:val="000000"/>
          <w:spacing w:val="6"/>
          <w:kern w:val="0"/>
          <w:sz w:val="31"/>
          <w:szCs w:val="31"/>
          <w:lang w:val="en-US" w:eastAsia="zh-CN"/>
        </w:rPr>
        <w:t>6</w:t>
      </w:r>
      <w:r>
        <w:rPr>
          <w:rFonts w:hint="eastAsia" w:ascii="Times New Roman" w:hAnsi="Times New Roman" w:eastAsia="FangSong_GB2312" w:cs="FangSong_GB2312"/>
          <w:snapToGrid w:val="0"/>
          <w:color w:val="000000"/>
          <w:spacing w:val="6"/>
          <w:kern w:val="0"/>
          <w:sz w:val="31"/>
          <w:szCs w:val="31"/>
          <w:lang w:eastAsia="en-US"/>
        </w:rPr>
        <w:t>年正式组织制定本团体标准《潞党参标准化基地建设要求》。本标准由中国中医药研究促进会</w:t>
      </w:r>
      <w:r>
        <w:rPr>
          <w:rFonts w:hint="eastAsia" w:ascii="Times New Roman" w:hAnsi="Times New Roman" w:eastAsia="FangSong_GB2312" w:cs="FangSong_GB2312"/>
          <w:snapToGrid w:val="0"/>
          <w:color w:val="000000"/>
          <w:spacing w:val="6"/>
          <w:kern w:val="0"/>
          <w:sz w:val="31"/>
          <w:szCs w:val="31"/>
          <w:lang w:val="en-US" w:eastAsia="zh-CN"/>
        </w:rPr>
        <w:t>提出并</w:t>
      </w:r>
      <w:r>
        <w:rPr>
          <w:rFonts w:hint="eastAsia" w:ascii="Times New Roman" w:hAnsi="Times New Roman" w:eastAsia="FangSong_GB2312" w:cs="FangSong_GB2312"/>
          <w:snapToGrid w:val="0"/>
          <w:color w:val="000000"/>
          <w:spacing w:val="6"/>
          <w:kern w:val="0"/>
          <w:sz w:val="31"/>
          <w:szCs w:val="31"/>
          <w:lang w:eastAsia="en-US"/>
        </w:rPr>
        <w:t>归口。</w:t>
      </w:r>
    </w:p>
    <w:p w14:paraId="087695B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bookmarkStart w:id="2" w:name="_Toc26913"/>
      <w:r>
        <w:rPr>
          <w:rFonts w:ascii="Times New Roman" w:hAnsi="Times New Roman" w:eastAsia="黑体" w:cs="Arial"/>
          <w:b w:val="0"/>
          <w:snapToGrid w:val="0"/>
          <w:color w:val="000000"/>
          <w:kern w:val="0"/>
          <w:sz w:val="28"/>
          <w:szCs w:val="21"/>
          <w:lang w:val="en-US" w:eastAsia="en-US" w:bidi="ar-SA"/>
        </w:rPr>
        <w:t>（二）主要起草单位和工作组成员</w:t>
      </w:r>
      <w:bookmarkEnd w:id="2"/>
    </w:p>
    <w:p w14:paraId="53F65D8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主要起草单位：长治市中药材产业发展中心、中国标准化研究院等。</w:t>
      </w:r>
    </w:p>
    <w:p w14:paraId="1A2458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eastAsia="en-US"/>
        </w:rPr>
        <w:t>主要</w:t>
      </w:r>
      <w:r>
        <w:rPr>
          <w:rFonts w:hint="eastAsia" w:ascii="Times New Roman" w:hAnsi="Times New Roman" w:eastAsia="FangSong_GB2312" w:cs="FangSong_GB2312"/>
          <w:snapToGrid w:val="0"/>
          <w:color w:val="000000"/>
          <w:spacing w:val="5"/>
          <w:kern w:val="0"/>
          <w:sz w:val="31"/>
          <w:szCs w:val="31"/>
          <w:lang w:val="en-US" w:eastAsia="en-US"/>
        </w:rPr>
        <w:t>起草人</w:t>
      </w:r>
      <w:r>
        <w:rPr>
          <w:rFonts w:hint="eastAsia" w:ascii="Times New Roman" w:hAnsi="Times New Roman" w:eastAsia="FangSong_GB2312" w:cs="FangSong_GB2312"/>
          <w:snapToGrid w:val="0"/>
          <w:color w:val="000000"/>
          <w:spacing w:val="5"/>
          <w:kern w:val="0"/>
          <w:sz w:val="31"/>
          <w:szCs w:val="31"/>
          <w:lang w:eastAsia="en-US"/>
        </w:rPr>
        <w:t>：武东、王军霞、王伟、燕艳华、初侨、陈萌</w:t>
      </w:r>
      <w:r>
        <w:rPr>
          <w:rFonts w:hint="eastAsia" w:ascii="Times New Roman" w:hAnsi="Times New Roman" w:eastAsia="FangSong_GB2312" w:cs="FangSong_GB2312"/>
          <w:snapToGrid w:val="0"/>
          <w:color w:val="000000"/>
          <w:spacing w:val="5"/>
          <w:kern w:val="0"/>
          <w:sz w:val="31"/>
          <w:szCs w:val="31"/>
          <w:lang w:val="en-US" w:eastAsia="zh-CN"/>
        </w:rPr>
        <w:t>。</w:t>
      </w:r>
      <w:bookmarkStart w:id="3" w:name="_Toc2430"/>
    </w:p>
    <w:p w14:paraId="1AB461C4">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r>
        <w:rPr>
          <w:rFonts w:hint="default" w:ascii="Times New Roman" w:hAnsi="Times New Roman" w:eastAsia="黑体" w:cs="Arial"/>
          <w:snapToGrid w:val="0"/>
          <w:color w:val="000000"/>
          <w:kern w:val="0"/>
          <w:sz w:val="28"/>
          <w:szCs w:val="21"/>
          <w:lang w:val="en-US" w:eastAsia="en-US" w:bidi="ar-SA"/>
        </w:rPr>
        <w:t>（三）</w:t>
      </w:r>
      <w:r>
        <w:rPr>
          <w:rFonts w:hint="eastAsia" w:ascii="Times New Roman" w:hAnsi="Times New Roman" w:eastAsia="黑体" w:cs="Arial"/>
          <w:snapToGrid w:val="0"/>
          <w:color w:val="000000"/>
          <w:kern w:val="0"/>
          <w:sz w:val="28"/>
          <w:szCs w:val="21"/>
          <w:lang w:val="en-US" w:eastAsia="zh-CN" w:bidi="ar-SA"/>
        </w:rPr>
        <w:t>编制</w:t>
      </w:r>
      <w:r>
        <w:rPr>
          <w:rFonts w:hint="default" w:ascii="Times New Roman" w:hAnsi="Times New Roman" w:eastAsia="黑体" w:cs="Arial"/>
          <w:snapToGrid w:val="0"/>
          <w:color w:val="000000"/>
          <w:kern w:val="0"/>
          <w:sz w:val="28"/>
          <w:szCs w:val="21"/>
          <w:lang w:val="en-US" w:eastAsia="en-US" w:bidi="ar-SA"/>
        </w:rPr>
        <w:t>背景</w:t>
      </w:r>
    </w:p>
    <w:p w14:paraId="3227FE2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本标准的制定立足于我国中医药事业振兴发展与农业供给侧结构性改革的时代背景。随着《中医药发展战略规划纲要（2016</w:t>
      </w:r>
      <w:r>
        <w:rPr>
          <w:rFonts w:hint="eastAsia" w:ascii="Times New Roman" w:hAnsi="Times New Roman" w:eastAsia="FangSong_GB2312" w:cs="FangSong_GB2312"/>
          <w:snapToGrid w:val="0"/>
          <w:color w:val="000000"/>
          <w:spacing w:val="5"/>
          <w:kern w:val="0"/>
          <w:sz w:val="31"/>
          <w:szCs w:val="31"/>
          <w:lang w:val="en-US" w:eastAsia="zh-CN"/>
        </w:rPr>
        <w:t>—</w:t>
      </w:r>
      <w:r>
        <w:rPr>
          <w:rFonts w:hint="default" w:ascii="Times New Roman" w:hAnsi="Times New Roman" w:eastAsia="FangSong_GB2312" w:cs="FangSong_GB2312"/>
          <w:snapToGrid w:val="0"/>
          <w:color w:val="000000"/>
          <w:spacing w:val="5"/>
          <w:kern w:val="0"/>
          <w:sz w:val="31"/>
          <w:szCs w:val="31"/>
          <w:lang w:val="en-US" w:eastAsia="en-US"/>
        </w:rPr>
        <w:t>2030年）》《“十四五”中医药发展规划》等政策相继出台，道地药材的标准化、规范化生产被提升至国家战略高度。潞党参作为“十大晋药”之一，具有悠久的种植历史和独特品质，但长期以来，产区基地建设水平参差不齐，存在选址不科学、基础设施薄弱、管理粗放、质量追溯体系缺失等问题，制约了产业的提质增效和品牌塑造。</w:t>
      </w:r>
    </w:p>
    <w:p w14:paraId="1F9564A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en-US"/>
        </w:rPr>
      </w:pPr>
      <w:r>
        <w:rPr>
          <w:rFonts w:hint="default" w:ascii="Times New Roman" w:hAnsi="Times New Roman" w:eastAsia="FangSong_GB2312" w:cs="FangSong_GB2312"/>
          <w:snapToGrid w:val="0"/>
          <w:color w:val="000000"/>
          <w:spacing w:val="5"/>
          <w:kern w:val="0"/>
          <w:sz w:val="31"/>
          <w:szCs w:val="31"/>
          <w:lang w:val="en-US" w:eastAsia="en-US"/>
        </w:rPr>
        <w:t>本标准创新性地构建了“分级建设、分步实施”的技术框架，将潞党参标准化基地划分为基础级、提升级、示范级三个等级。这一设计的核心在于直面产区现实——不同经营主体在经济实力、技术水平、生产规模等方面存在显著差异，用“一把尺子”衡量既不现实，也不利于广泛调动积极性。通过设置阶梯式要求，允许多元主体从各自起点出发，沿着清晰路径逐步升级，既守住了基本生产规范的底线，又为追求卓越的龙头企业和产业园区树立了标杆。</w:t>
      </w:r>
    </w:p>
    <w:p w14:paraId="3BF27DC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eastAsia="en-US"/>
        </w:rPr>
      </w:pPr>
      <w:r>
        <w:rPr>
          <w:rFonts w:hint="default" w:ascii="Times New Roman" w:hAnsi="Times New Roman" w:eastAsia="FangSong_GB2312" w:cs="FangSong_GB2312"/>
          <w:snapToGrid w:val="0"/>
          <w:color w:val="000000"/>
          <w:spacing w:val="5"/>
          <w:kern w:val="0"/>
          <w:sz w:val="31"/>
          <w:szCs w:val="31"/>
          <w:lang w:val="en-US" w:eastAsia="en-US"/>
        </w:rPr>
        <w:t>本标准的研制具有坚实的法律法规、政策导向与产业需求三重依据。首先，在法律层面，《中华人民共和国中医药法》明确提出“鼓励发展中药材规范化种植养殖，推动中药材质量提高”；《中华人民共和国农产品质量安全法》强调了农产品标准化生产和可追溯管理。其次，在政策层面，《中药材生产质量管理规范》（GAP）对规范化种植提出了系统要求，本标准在基地建设层面予以承接和细化；《国家标准化发展纲要》要求加快构建推动高质量发展的标准体系，本标准正是响应这一号召，在道地药材基地建设领域的实践。再者，从产业需求看，下游药企和消费者对药材品质和可追溯性的要求日益提高，建立分级、统一、可评价的基地建设标准，是提升潞党参市场竞争力、实现优质优价的迫切需求，是贯通品质供给与价值实现的桥梁。</w:t>
      </w:r>
    </w:p>
    <w:p w14:paraId="424D7AE3">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hint="default" w:ascii="Times New Roman" w:hAnsi="Times New Roman" w:eastAsia="黑体" w:cs="Arial"/>
          <w:snapToGrid w:val="0"/>
          <w:color w:val="000000"/>
          <w:kern w:val="0"/>
          <w:sz w:val="28"/>
          <w:szCs w:val="21"/>
          <w:lang w:val="en-US" w:eastAsia="en-US" w:bidi="ar-SA"/>
        </w:rPr>
      </w:pPr>
      <w:bookmarkStart w:id="4" w:name="_Toc27311"/>
      <w:r>
        <w:rPr>
          <w:rFonts w:hint="default" w:ascii="Times New Roman" w:hAnsi="Times New Roman" w:eastAsia="黑体" w:cs="Arial"/>
          <w:snapToGrid w:val="0"/>
          <w:color w:val="000000"/>
          <w:kern w:val="0"/>
          <w:sz w:val="28"/>
          <w:szCs w:val="21"/>
          <w:lang w:val="en-US" w:eastAsia="en-US" w:bidi="ar-SA"/>
        </w:rPr>
        <w:t>（</w:t>
      </w:r>
      <w:r>
        <w:rPr>
          <w:rFonts w:hint="eastAsia" w:ascii="Times New Roman" w:hAnsi="Times New Roman" w:eastAsia="黑体" w:cs="Arial"/>
          <w:snapToGrid w:val="0"/>
          <w:color w:val="000000"/>
          <w:kern w:val="0"/>
          <w:sz w:val="28"/>
          <w:szCs w:val="21"/>
          <w:lang w:val="en-US" w:eastAsia="zh-CN" w:bidi="ar-SA"/>
        </w:rPr>
        <w:t>四</w:t>
      </w:r>
      <w:r>
        <w:rPr>
          <w:rFonts w:hint="default" w:ascii="Times New Roman" w:hAnsi="Times New Roman" w:eastAsia="黑体" w:cs="Arial"/>
          <w:snapToGrid w:val="0"/>
          <w:color w:val="000000"/>
          <w:kern w:val="0"/>
          <w:sz w:val="28"/>
          <w:szCs w:val="21"/>
          <w:lang w:val="en-US" w:eastAsia="en-US" w:bidi="ar-SA"/>
        </w:rPr>
        <w:t>）编制原则</w:t>
      </w:r>
      <w:bookmarkEnd w:id="4"/>
    </w:p>
    <w:p w14:paraId="1BB0B76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本标准的编制严格遵循了系统性、科学性、可操作性、协调性与适用性五大核心原则。</w:t>
      </w:r>
    </w:p>
    <w:p w14:paraId="597212C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系统性体现在构建了覆盖育苗基地、种植基地选址、基础设施、投入品管理、组织管理、生产技术、档案追溯、绿色生态、安全生产、数字化管理等全过程的建设要求，确保对基地的评价</w:t>
      </w:r>
      <w:r>
        <w:rPr>
          <w:rFonts w:hint="eastAsia" w:ascii="Times New Roman" w:hAnsi="Times New Roman" w:eastAsia="FangSong_GB2312" w:cs="FangSong_GB2312"/>
          <w:snapToGrid w:val="0"/>
          <w:color w:val="000000"/>
          <w:spacing w:val="5"/>
          <w:kern w:val="0"/>
          <w:sz w:val="31"/>
          <w:szCs w:val="31"/>
          <w:lang w:val="en-US" w:eastAsia="zh-CN"/>
        </w:rPr>
        <w:t>覆盖</w:t>
      </w:r>
      <w:r>
        <w:rPr>
          <w:rFonts w:hint="eastAsia" w:ascii="Times New Roman" w:hAnsi="Times New Roman" w:eastAsia="FangSong_GB2312" w:cs="FangSong_GB2312"/>
          <w:snapToGrid w:val="0"/>
          <w:color w:val="000000"/>
          <w:spacing w:val="5"/>
          <w:kern w:val="0"/>
          <w:sz w:val="31"/>
          <w:szCs w:val="31"/>
          <w:lang w:val="en-US" w:eastAsia="en-US"/>
        </w:rPr>
        <w:t>产前、产中、产后各环节。</w:t>
      </w:r>
    </w:p>
    <w:p w14:paraId="78AE8259">
      <w:pPr>
        <w:keepNext w:val="0"/>
        <w:keepLines w:val="0"/>
        <w:pageBreakBefore w:val="0"/>
        <w:widowControl/>
        <w:tabs>
          <w:tab w:val="left" w:pos="1488"/>
        </w:tabs>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科学性通过引入“分级建设”理念实现。编制组综合运用实地调研、专家咨询与产业发展数据分析，将基地科学划分为三个等级，并为各级设定了差异化的技术指标（如有机肥占比从“鼓励使用”到“≥50%”再到“≥70%”），使建设要求与主体能力相匹配，既不过度超前造成浪费，也不滞后于发展需求。</w:t>
      </w:r>
    </w:p>
    <w:p w14:paraId="3F03F00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可操作性贯穿始终。各级具体要求采用“应”“宜”等标准化用语区分强制与推荐程度，同时通过附录A以表格形式将15项核心建设内容在三级之间的要求并列对照，使建设主体可“对表自查”，便于主管部门开展认定和监管。</w:t>
      </w:r>
    </w:p>
    <w:p w14:paraId="4BFA742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协调性表现为本标准主动引用或衔接超过10项现行国家标准（GB）、行业标准（NY/T）及山西省地方标准（DB14/T）。在选址环境方面衔接GB 3095、GB 5084、GB 15618；在种植技术方面对接DB14/T 2425《潞党参栽培技术规程》、DB14/T 2424《潞党参施肥技术规程》、DB14/T 2903《党参主要病虫害综合防治技术规程》；在农药肥料使用方面引用NY/T 393、NY/T 394、GB/T 8321等。本标准不重复规定具体栽培技术参数，而是聚焦基地建设条件与管理体系要求，与现有标准体系形成互补。</w:t>
      </w:r>
    </w:p>
    <w:p w14:paraId="1AE258C2">
      <w:pPr>
        <w:keepNext w:val="0"/>
        <w:keepLines w:val="0"/>
        <w:pageBreakBefore w:val="0"/>
        <w:widowControl/>
        <w:tabs>
          <w:tab w:val="left" w:pos="2805"/>
        </w:tabs>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en-US"/>
        </w:rPr>
      </w:pPr>
      <w:r>
        <w:rPr>
          <w:rFonts w:hint="eastAsia" w:ascii="Times New Roman" w:hAnsi="Times New Roman" w:eastAsia="FangSong_GB2312" w:cs="FangSong_GB2312"/>
          <w:snapToGrid w:val="0"/>
          <w:color w:val="000000"/>
          <w:spacing w:val="5"/>
          <w:kern w:val="0"/>
          <w:sz w:val="31"/>
          <w:szCs w:val="31"/>
          <w:lang w:val="en-US" w:eastAsia="en-US"/>
        </w:rPr>
        <w:t>适用性体现在标准起草过程中充分考虑了长治市不同区县的自然条件差异。通过附录B给出各区县适宜种植区域的参考信息，并明确“适宜区域与海拔范围”，使标准既</w:t>
      </w:r>
      <w:r>
        <w:rPr>
          <w:rFonts w:hint="eastAsia" w:ascii="Times New Roman" w:hAnsi="Times New Roman" w:eastAsia="FangSong_GB2312" w:cs="FangSong_GB2312"/>
          <w:snapToGrid w:val="0"/>
          <w:color w:val="000000"/>
          <w:spacing w:val="5"/>
          <w:kern w:val="0"/>
          <w:sz w:val="31"/>
          <w:szCs w:val="31"/>
          <w:lang w:val="en-US" w:eastAsia="zh-CN"/>
        </w:rPr>
        <w:t>具有</w:t>
      </w:r>
      <w:r>
        <w:rPr>
          <w:rFonts w:hint="eastAsia" w:ascii="Times New Roman" w:hAnsi="Times New Roman" w:eastAsia="FangSong_GB2312" w:cs="FangSong_GB2312"/>
          <w:snapToGrid w:val="0"/>
          <w:color w:val="000000"/>
          <w:spacing w:val="5"/>
          <w:kern w:val="0"/>
          <w:sz w:val="31"/>
          <w:szCs w:val="31"/>
          <w:lang w:val="en-US" w:eastAsia="en-US"/>
        </w:rPr>
        <w:t>统一规范性，又为不同产区保留了因地制宜的空间。</w:t>
      </w:r>
    </w:p>
    <w:p w14:paraId="260418A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en-US"/>
        </w:rPr>
        <w:t>上述原则与技术内容的设计，其核心依据来源于三方面：一是长期产业调研数据，编制组对长治市各主要产区的土壤类型、海拔分布、经营主体构成等进行了系统摸底；二是国内相关标准化文件的方法论指导，尤其是GB/T 1.1</w:t>
      </w:r>
      <w:r>
        <w:rPr>
          <w:rFonts w:hint="eastAsia" w:ascii="Times New Roman" w:hAnsi="Times New Roman" w:eastAsia="FangSong_GB2312" w:cs="FangSong_GB2312"/>
          <w:snapToGrid w:val="0"/>
          <w:color w:val="000000"/>
          <w:spacing w:val="5"/>
          <w:kern w:val="0"/>
          <w:sz w:val="31"/>
          <w:szCs w:val="31"/>
          <w:lang w:val="en-US" w:eastAsia="zh-CN"/>
        </w:rPr>
        <w:t>—</w:t>
      </w:r>
      <w:r>
        <w:rPr>
          <w:rFonts w:hint="eastAsia" w:ascii="Times New Roman" w:hAnsi="Times New Roman" w:eastAsia="FangSong_GB2312" w:cs="FangSong_GB2312"/>
          <w:snapToGrid w:val="0"/>
          <w:color w:val="000000"/>
          <w:spacing w:val="5"/>
          <w:kern w:val="0"/>
          <w:sz w:val="31"/>
          <w:szCs w:val="31"/>
          <w:lang w:val="en-US" w:eastAsia="en-US"/>
        </w:rPr>
        <w:t>2020对标准结构、表述方式的规范要求；三是对山西省级地方标准体系中已发布的多项潞党参技术规程的系统梳理与衔接设计，确保本标准“建管并重”，与“技术规程”形成配套。</w:t>
      </w:r>
    </w:p>
    <w:p w14:paraId="4EB1EB25">
      <w:pPr>
        <w:keepNext/>
        <w:keepLines/>
        <w:kinsoku w:val="0"/>
        <w:autoSpaceDE w:val="0"/>
        <w:autoSpaceDN w:val="0"/>
        <w:bidi w:val="0"/>
        <w:adjustRightInd w:val="0"/>
        <w:snapToGrid w:val="0"/>
        <w:spacing w:before="260" w:beforeLines="0" w:beforeAutospacing="0" w:after="260" w:afterLines="0" w:afterAutospacing="0" w:line="240" w:lineRule="auto"/>
        <w:ind w:firstLine="560" w:firstLineChars="200"/>
        <w:jc w:val="left"/>
        <w:textAlignment w:val="baseline"/>
        <w:outlineLvl w:val="1"/>
        <w:rPr>
          <w:rFonts w:ascii="Times New Roman" w:hAnsi="Times New Roman" w:eastAsia="黑体" w:cs="Arial"/>
          <w:b w:val="0"/>
          <w:snapToGrid w:val="0"/>
          <w:color w:val="000000"/>
          <w:kern w:val="0"/>
          <w:sz w:val="28"/>
          <w:szCs w:val="21"/>
          <w:lang w:val="en-US" w:eastAsia="en-US" w:bidi="ar-SA"/>
        </w:rPr>
      </w:pPr>
      <w:r>
        <w:rPr>
          <w:rFonts w:ascii="Times New Roman" w:hAnsi="Times New Roman" w:eastAsia="黑体" w:cs="Arial"/>
          <w:b w:val="0"/>
          <w:snapToGrid w:val="0"/>
          <w:color w:val="000000"/>
          <w:kern w:val="0"/>
          <w:sz w:val="28"/>
          <w:szCs w:val="21"/>
          <w:lang w:val="en-US" w:eastAsia="en-US" w:bidi="ar-SA"/>
        </w:rPr>
        <w:t>（</w:t>
      </w:r>
      <w:r>
        <w:rPr>
          <w:rFonts w:hint="eastAsia" w:ascii="Times New Roman" w:hAnsi="Times New Roman" w:eastAsia="黑体" w:cs="Arial"/>
          <w:b w:val="0"/>
          <w:snapToGrid w:val="0"/>
          <w:color w:val="000000"/>
          <w:kern w:val="0"/>
          <w:sz w:val="28"/>
          <w:szCs w:val="21"/>
          <w:lang w:val="en-US" w:eastAsia="zh-CN" w:bidi="ar-SA"/>
        </w:rPr>
        <w:t>五</w:t>
      </w:r>
      <w:r>
        <w:rPr>
          <w:rFonts w:ascii="Times New Roman" w:hAnsi="Times New Roman" w:eastAsia="黑体" w:cs="Arial"/>
          <w:b w:val="0"/>
          <w:snapToGrid w:val="0"/>
          <w:color w:val="000000"/>
          <w:kern w:val="0"/>
          <w:sz w:val="28"/>
          <w:szCs w:val="21"/>
          <w:lang w:val="en-US" w:eastAsia="en-US" w:bidi="ar-SA"/>
        </w:rPr>
        <w:t>）主要编制过程</w:t>
      </w:r>
      <w:bookmarkEnd w:id="3"/>
    </w:p>
    <w:p w14:paraId="24C3E74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《潞党参标准化基地建设要求》团体标准的研制工作严格遵循《团体标准管理规定》及GB/T 1.1-2020的要求，紧密结合国家关于中医药发展、乡村振兴与农业标准化的政策精神，在中国中医药研究促进会的统一组织下，系统开展了前期研究、框架设计、草案起草、意见征集和修改完善等工作。编制过程主要如下：</w:t>
      </w:r>
    </w:p>
    <w:p w14:paraId="71B6D51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p>
    <w:p w14:paraId="4378C90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1、组织团队，启动研制</w:t>
      </w:r>
    </w:p>
    <w:p w14:paraId="3AC564E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经中国中医药研究促进会审议批准立项后，协会牵头组建了标准起草工作组。工作组汇聚了来自长治市中药材产业发展中心、中国标准化研究院以及产区农业技术推广部门、代表性种植企业等单位的专家。工作组召开了项目启动会，明确了标准定位为一项旨在指导和规范潞党参标准化基地规划、建设、认定与管理的建设类规范，并确定了标准的核心框架应涵盖育苗基地、种植基地选址、基础设施、基地管理、绿色生态与数字化等关键板块。</w:t>
      </w:r>
    </w:p>
    <w:p w14:paraId="2221464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2、开展调研，优化框架</w:t>
      </w:r>
    </w:p>
    <w:p w14:paraId="584DBFD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为确保标准内容紧贴产区实际，起草工作组深入长治市平顺县、武乡县、沁源县等主产区开展了广泛调研。调研采用实地走访、座谈交流相结合的方式，覆盖了家庭农场、中小型合作社、龙头企业等不同规模经营主体。通过调研，工作组深入了解了各类主体在基地选址、灌溉设施、投入品使用、技术力量、档案管理等方面的现状、困难与需求。基于调研反馈，工作组对标准框架进行了多轮优化，重点确立了“基础级—提升级—示范级”三级划分体系，并针对调研中发现的“重种植轻育苗”问题，决定增设独立的“育苗基地”章节，使标准链条更加完整。</w:t>
      </w:r>
    </w:p>
    <w:p w14:paraId="23FA309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2、完善文本，形成标准征求意见稿</w:t>
      </w:r>
    </w:p>
    <w:p w14:paraId="61C631E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2026年5月，起草工作组召开了专家研讨会，邀请中药材种植、标准化、质量管理等领域的专家学者参加。会议重点围绕分级依据的科学性、指标设置的合理性、与现行地方标准的衔接性等核心问题进行了深入讨论。根据研讨会意见，工作组对标准文本进行了逐条修改完善。此后，起草工作组将修改后的标准讨论稿定向发送给科研院所、行业协会及部分种植主体征求意见，并对反馈意见进行了逐条分析和处理。针对反馈中集中关注的指标可行性和标准普适性问题，工作组对基础设施建设的具体参数、投入品管理的要求表述等进行了调整和优化。在此基础上，起草工作组整合所有合理意见，最终编制完成了《潞党参标准化基地建设要求（征求意见稿）》，并按规定程序准备面向全社会公开征求意见。</w:t>
      </w:r>
    </w:p>
    <w:p w14:paraId="7904C0AA">
      <w:pPr>
        <w:keepNext/>
        <w:keepLines/>
        <w:kinsoku w:val="0"/>
        <w:autoSpaceDE w:val="0"/>
        <w:autoSpaceDN w:val="0"/>
        <w:bidi w:val="0"/>
        <w:adjustRightInd w:val="0"/>
        <w:snapToGrid w:val="0"/>
        <w:spacing w:before="340" w:beforeLines="0" w:beforeAutospacing="0" w:after="330" w:afterLines="0" w:afterAutospacing="0" w:line="240" w:lineRule="auto"/>
        <w:ind w:firstLine="602" w:firstLineChars="200"/>
        <w:jc w:val="left"/>
        <w:textAlignment w:val="baseline"/>
        <w:outlineLvl w:val="0"/>
        <w:rPr>
          <w:rFonts w:ascii="Times New Roman" w:hAnsi="Times New Roman" w:eastAsia="黑体" w:cs="Arial"/>
          <w:b/>
          <w:snapToGrid w:val="0"/>
          <w:color w:val="000000"/>
          <w:kern w:val="44"/>
          <w:sz w:val="30"/>
          <w:szCs w:val="21"/>
          <w:lang w:val="en-US" w:eastAsia="en-US" w:bidi="ar-SA"/>
        </w:rPr>
      </w:pPr>
      <w:bookmarkStart w:id="5" w:name="_Toc17761"/>
      <w:r>
        <w:rPr>
          <w:rFonts w:ascii="Times New Roman" w:hAnsi="Times New Roman" w:eastAsia="黑体" w:cs="Arial"/>
          <w:b/>
          <w:snapToGrid w:val="0"/>
          <w:color w:val="000000"/>
          <w:kern w:val="44"/>
          <w:sz w:val="30"/>
          <w:szCs w:val="21"/>
          <w:lang w:val="en-US" w:eastAsia="en-US" w:bidi="ar-SA"/>
        </w:rPr>
        <w:t>二、主要内容及其确定依据</w:t>
      </w:r>
      <w:bookmarkEnd w:id="5"/>
    </w:p>
    <w:p w14:paraId="7E6F13EA">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bookmarkStart w:id="6" w:name="_Toc3995"/>
      <w:r>
        <w:rPr>
          <w:rFonts w:hint="eastAsia" w:ascii="Times New Roman" w:hAnsi="Times New Roman" w:eastAsia="黑体" w:cs="Arial"/>
          <w:snapToGrid w:val="0"/>
          <w:color w:val="000000"/>
          <w:kern w:val="0"/>
          <w:sz w:val="28"/>
          <w:szCs w:val="21"/>
          <w:lang w:val="en-US" w:eastAsia="zh-CN" w:bidi="ar-SA"/>
        </w:rPr>
        <w:t>1.主要依据与来源</w:t>
      </w:r>
      <w:bookmarkEnd w:id="6"/>
    </w:p>
    <w:p w14:paraId="5777BB2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bookmarkStart w:id="7" w:name="_Toc25502"/>
      <w:r>
        <w:rPr>
          <w:rFonts w:hint="eastAsia" w:ascii="Times New Roman" w:hAnsi="Times New Roman" w:eastAsia="FangSong_GB2312" w:cs="FangSong_GB2312"/>
          <w:snapToGrid w:val="0"/>
          <w:color w:val="000000"/>
          <w:spacing w:val="5"/>
          <w:kern w:val="0"/>
          <w:sz w:val="31"/>
          <w:szCs w:val="31"/>
          <w:lang w:val="en-US" w:eastAsia="zh-CN"/>
        </w:rPr>
        <w:t>政策依据。以国家推动中医药振兴发展、保障中药材质量安全、促进农业绿色发展的战略部署为依据。《中医药发展战略规划纲要（2016—2030年）》明确要求“推进中药材规范化种植养殖”；《中药材生产质量管理规范》对基地选址、种源、栽培、采收等提出系统要求；《“十四五”推进农业农村现代化规划》强调推进农业标准化生产。这些政策文件共同构成本标准制定的顶层政策基础。</w:t>
      </w:r>
    </w:p>
    <w:p w14:paraId="6A87618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实践依据。总结提炼了长治市潞党参主产区多年来的种植实践经验，既吸收了龙头企业在规范化种植、追溯体系建设等方面的先进做法，也充分考虑了广大中小种植户的现实条件和升级需求。通过对平顺、壶关、沁源等不同产区、不同海拔区域的调研，确保标准内容贴合产区实际，具有针对性和可操作性。</w:t>
      </w:r>
    </w:p>
    <w:p w14:paraId="32AD223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技术依据。广泛参考和引用了现行国家标准、行业标准及山西省地方标准。其中，产地环境方面依据GB 3095、GB 5084、GB 15618、NY/T 391等标准；栽培技术方面依据DB14/T 2425《潞党参栽培技术规程》；施肥管理方面依据DB14/T 2424《潞党参施肥技术规程》；病虫害防控方面依据DB14/T 2903《党参主要病虫害综合防治技术规程》；农药使用方面依据GB/T 8321和NY/T 393；肥料使用方面依据NY/T 394。本标准在已有技术规程的基础上，从“基地建设条件”和“管理体系要求”的角度进行补充和提升，与技术规程形成配套关系。</w:t>
      </w:r>
    </w:p>
    <w:p w14:paraId="3348D46F">
      <w:pPr>
        <w:keepNext/>
        <w:keepLines/>
        <w:pageBreakBefore w:val="0"/>
        <w:widowControl/>
        <w:kinsoku w:val="0"/>
        <w:wordWrap/>
        <w:overflowPunct/>
        <w:topLinePunct w:val="0"/>
        <w:autoSpaceDE w:val="0"/>
        <w:autoSpaceDN w:val="0"/>
        <w:bidi w:val="0"/>
        <w:adjustRightInd w:val="0"/>
        <w:snapToGrid w:val="0"/>
        <w:spacing w:beforeLines="0" w:beforeAutospacing="0" w:after="0" w:afterLines="0" w:afterAutospacing="0" w:line="360" w:lineRule="auto"/>
        <w:ind w:firstLine="700" w:firstLineChars="250"/>
        <w:jc w:val="left"/>
        <w:textAlignment w:val="baseline"/>
        <w:outlineLvl w:val="2"/>
        <w:rPr>
          <w:rFonts w:hint="default" w:ascii="Times New Roman" w:hAnsi="Times New Roman" w:eastAsia="黑体" w:cs="Arial"/>
          <w:snapToGrid w:val="0"/>
          <w:color w:val="000000"/>
          <w:kern w:val="0"/>
          <w:sz w:val="28"/>
          <w:szCs w:val="21"/>
          <w:lang w:val="en-US" w:eastAsia="zh-CN" w:bidi="ar-SA"/>
        </w:rPr>
      </w:pPr>
      <w:r>
        <w:rPr>
          <w:rFonts w:hint="eastAsia" w:ascii="Times New Roman" w:hAnsi="Times New Roman" w:eastAsia="黑体" w:cs="Arial"/>
          <w:snapToGrid w:val="0"/>
          <w:color w:val="000000"/>
          <w:kern w:val="0"/>
          <w:sz w:val="28"/>
          <w:szCs w:val="21"/>
          <w:lang w:val="en-US" w:eastAsia="zh-CN" w:bidi="ar-SA"/>
        </w:rPr>
        <w:t>2.主要技术内容</w:t>
      </w:r>
      <w:bookmarkEnd w:id="7"/>
    </w:p>
    <w:p w14:paraId="4693966A">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（1）范围</w:t>
      </w:r>
    </w:p>
    <w:p w14:paraId="27A745B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本文件规定了潞党参标准化基地的术语和定义、建设原则、育苗基地、种植基地、基地管理。适用于长治市行政区域内潞党参标准化种植基地的规划、建设、认定与管理，其他地区可参照执行。</w:t>
      </w:r>
    </w:p>
    <w:p w14:paraId="6267E84D">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（2）术语和定义</w:t>
      </w:r>
    </w:p>
    <w:p w14:paraId="5F8A055F">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界定了“潞党参标准化基地”“基础级基地”“提升级基地”“示范级基地”4个核心术语。其中，潞党参标准化基地定义为“以种植潞党参为主，按照本文件规定的选址、建设、管理和技术要求，具备稳定生产能力、良好组织管理和质量追溯体系的种植基地”，明确了评价对象的核心特征。三级基地的递进式定义则清晰地区分了不同等级的建设内涵和适用主体，为后续条款的分级规定奠定基础。</w:t>
      </w:r>
    </w:p>
    <w:p w14:paraId="0B1A22BA">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（3）总体原则</w:t>
      </w:r>
    </w:p>
    <w:p w14:paraId="342A580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确立了指导基地建设的四项基本原则：因地制宜、经济适用；分级建设、分步实施；生态优先、绿色发展；质量追溯、全程可控。其中，“分级建设、分步实施”是本标准的核心创新原则，鼓励基地按照基础级→提升级→示范级的路径分阶段建设，避免脱离实际的一步到位。</w:t>
      </w:r>
    </w:p>
    <w:p w14:paraId="7BAC057D">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（4）育苗基地</w:t>
      </w:r>
    </w:p>
    <w:p w14:paraId="2D6F2F6E">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为本标准新增的独立章节，与种植基地形成区分。规定了育苗基地在选址（地势高燥、地下水位低、远离易感病作物区）、土壤与基质（疏松壤土或标准化育苗基质）、育苗设施（简易棚至连栋温室分级要求）、灌溉与排水、种苗处理与暂存区、种子来源与处理、播种与苗期管理、病虫草害防控、种苗出圃标准、组织管理与质量追溯等方面的要求。该章的设置依据一是调研中发现的“重种植轻育苗”短板，二是从产业链角度看，种苗质量是药材品质的源头，育苗环节的设施化和标准化应作为基地建设的前置条件予以独立规定。</w:t>
      </w:r>
    </w:p>
    <w:p w14:paraId="384BD112">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（5）种植基地</w:t>
      </w:r>
    </w:p>
    <w:p w14:paraId="36C6D0DB">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本章为标准的重点内容，包含：</w:t>
      </w:r>
    </w:p>
    <w:p w14:paraId="3FC1823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基地等级划分（表1）：以表格形式明确基础级、提升级、示范级分别适用于家庭农场/小型合作社（5—30亩）、中型合作社/农业企业（30—200亩）、龙头企业/产业园区/GAP基地（200亩以上），并对应不同的建设目标。该划分依据来源于对长治市潞党参经营主体的摸底调研数据，确保划分标准与产区现实匹配。</w:t>
      </w:r>
    </w:p>
    <w:p w14:paraId="362699D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基地选址与条件：从选址原则（地势、污染源距离、交通便利性）、土壤（土层厚度≥50cm、有机质含量≥1.0%、pH值6.5-7.5、符合GB 15618）、灌溉水（符合GB 5084）、大气环境（符合GB 3095二级标准）、适宜区域与海拔（结合附录B）五个维度提出要求，并在部分指标上体现分级差异。</w:t>
      </w:r>
    </w:p>
    <w:p w14:paraId="6C4C7ED6">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基础设施：对道路、灌溉与排水设施、电力与照明、防护与隔离设施、简易气象观测设施、初加工与暂存场所六类设施分别提出三级要求。例如，道路方面从“简易路满足农用车通行”到“全硬化路网+回车场”；灌溉方面从“基本浇灌能力”到“滴灌/水肥一体化”；晾晒场地面积从“≥50m²”到“≥200m²+烘干设备”。这些指标的依据包括对产区现有设施水平的调查数据以及对标GAP规范的要求。</w:t>
      </w:r>
    </w:p>
    <w:p w14:paraId="6FA664CE">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（6）基地管理</w:t>
      </w:r>
    </w:p>
    <w:p w14:paraId="31C0EC3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本章从全流程管理角度提出要求：</w:t>
      </w:r>
    </w:p>
    <w:p w14:paraId="7406EF4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投入品管理：对种苗、肥料、农药、地膜等投入品的采购、使用和存储分别规定。其中，种苗质量指标（发芽率≥70%、净度≥90%、水分≤12%、根长≥10cm、根粗≥3mm）来源于产区种苗质量调查和实践总结；肥料管理明确了有机肥占比的分级要求（鼓励使用→≥50%→≥70%），依据是绿色食品和有机产品标准中对肥料使用的导向；农药管理强调减量化和安全间隔期。</w:t>
      </w:r>
    </w:p>
    <w:p w14:paraId="1BBA025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组织管理与人员要求：从组织架构、技术负责人资质、生产人员培训频次、委托作业管理四方面设定分级要求。技术负责人要求从“有技术骨干”到“中专/3年经验”再到“大专/农艺师”，依据是各等级基地的管理复杂度和技术需求差异。</w:t>
      </w:r>
    </w:p>
    <w:p w14:paraId="299947F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生产技术管理：要求栽培遵循DB14/T 2425，病虫害防控遵循DB14/T 2903，产地初加工遵循相关标准，并规定了轮作制度（不少于3年间隔）。这些要求衔接了已有技术标准，避免内容重复。</w:t>
      </w:r>
    </w:p>
    <w:p w14:paraId="391D63F3">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档案记录与追溯体系建设：规定了档案记录内容（涵盖产地环境、种苗来源、农事操作、投入品使用、采收加工、销售流向、质量检测七大类）、保存期限（3—5年）、追溯信息采集上报要求及追溯码使用。该部分依据《中药材生产质量管理规范》关于“生产记录与追溯”的</w:t>
      </w:r>
      <w:bookmarkStart w:id="14" w:name="_GoBack"/>
      <w:bookmarkEnd w:id="14"/>
      <w:r>
        <w:rPr>
          <w:rFonts w:hint="eastAsia" w:ascii="Times New Roman" w:hAnsi="Times New Roman" w:eastAsia="FangSong_GB2312" w:cs="FangSong_GB2312"/>
          <w:snapToGrid w:val="0"/>
          <w:color w:val="000000"/>
          <w:spacing w:val="5"/>
          <w:kern w:val="0"/>
          <w:sz w:val="31"/>
          <w:szCs w:val="31"/>
          <w:lang w:val="en-US" w:eastAsia="zh-CN"/>
        </w:rPr>
        <w:t>要求，以及国家关于农产品质量安全追溯体系建设的总体部署。</w:t>
      </w:r>
    </w:p>
    <w:p w14:paraId="73E67F14">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绿色生态与可持续发展、安全生产与应急管理、数字化与智能化管理三章分别从生态保护、安全底线、技术赋能三个维度补充了基地建设的配套要求。</w:t>
      </w:r>
    </w:p>
    <w:p w14:paraId="06B5C3BA">
      <w:pPr>
        <w:widowControl/>
        <w:kinsoku w:val="0"/>
        <w:autoSpaceDE w:val="0"/>
        <w:autoSpaceDN w:val="0"/>
        <w:adjustRightInd w:val="0"/>
        <w:snapToGrid w:val="0"/>
        <w:spacing w:before="207" w:line="350" w:lineRule="auto"/>
        <w:ind w:firstLine="642" w:firstLineChars="200"/>
        <w:jc w:val="left"/>
        <w:textAlignment w:val="baseline"/>
        <w:rPr>
          <w:rFonts w:hint="eastAsia" w:ascii="Times New Roman" w:hAnsi="Times New Roman" w:eastAsia="FangSong_GB2312" w:cs="FangSong_GB2312"/>
          <w:b/>
          <w:bCs/>
          <w:snapToGrid w:val="0"/>
          <w:color w:val="000000"/>
          <w:spacing w:val="5"/>
          <w:kern w:val="0"/>
          <w:sz w:val="31"/>
          <w:szCs w:val="31"/>
          <w:lang w:val="en-US" w:eastAsia="zh-CN"/>
        </w:rPr>
      </w:pPr>
      <w:r>
        <w:rPr>
          <w:rFonts w:hint="eastAsia" w:ascii="Times New Roman" w:hAnsi="Times New Roman" w:eastAsia="FangSong_GB2312" w:cs="FangSong_GB2312"/>
          <w:b/>
          <w:bCs/>
          <w:snapToGrid w:val="0"/>
          <w:color w:val="000000"/>
          <w:spacing w:val="5"/>
          <w:kern w:val="0"/>
          <w:sz w:val="31"/>
          <w:szCs w:val="31"/>
          <w:lang w:val="en-US" w:eastAsia="zh-CN"/>
        </w:rPr>
        <w:t>（7）附录</w:t>
      </w:r>
    </w:p>
    <w:p w14:paraId="11C292B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hint="default" w:ascii="Times New Roman" w:hAnsi="Times New Roman" w:eastAsia="FangSong_GB2312" w:cs="FangSong_GB2312"/>
          <w:snapToGrid w:val="0"/>
          <w:color w:val="000000"/>
          <w:spacing w:val="5"/>
          <w:kern w:val="0"/>
          <w:sz w:val="31"/>
          <w:szCs w:val="31"/>
          <w:lang w:val="en-US" w:eastAsia="zh-CN"/>
        </w:rPr>
      </w:pPr>
      <w:r>
        <w:rPr>
          <w:rFonts w:hint="eastAsia" w:ascii="Times New Roman" w:hAnsi="Times New Roman" w:eastAsia="FangSong_GB2312" w:cs="FangSong_GB2312"/>
          <w:snapToGrid w:val="0"/>
          <w:color w:val="000000"/>
          <w:spacing w:val="5"/>
          <w:kern w:val="0"/>
          <w:sz w:val="31"/>
          <w:szCs w:val="31"/>
          <w:lang w:val="en-US" w:eastAsia="zh-CN"/>
        </w:rPr>
        <w:t>附录A（资料性）以表格形式汇总了15项核心建设内容在三级之间的对照要求，便于使用者快速查阅和比对。附录B（资料性）提供了长治市11个区县的适宜种植区域参考表，包含推荐海拔、土壤类型、适宜性等级和注意事项，为该市不同区县因地制宜发展潞党参产业提供了参考信息。</w:t>
      </w:r>
    </w:p>
    <w:p w14:paraId="3BF93AF4">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8" w:name="_Toc5788"/>
      <w:r>
        <w:rPr>
          <w:rFonts w:ascii="Times New Roman" w:hAnsi="Times New Roman" w:eastAsia="黑体" w:cs="黑体"/>
          <w:b/>
          <w:snapToGrid w:val="0"/>
          <w:color w:val="000000"/>
          <w:spacing w:val="4"/>
          <w:kern w:val="44"/>
          <w:sz w:val="31"/>
          <w:szCs w:val="31"/>
          <w:lang w:val="en-US" w:eastAsia="en-US" w:bidi="ar-SA"/>
        </w:rPr>
        <w:t>三、标准试验验证情况分析，预期的经济效益、社会效益和生态效益</w:t>
      </w:r>
      <w:bookmarkEnd w:id="8"/>
    </w:p>
    <w:p w14:paraId="31A6FE0A">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对产业而言，可为潞党参标准化基地建设提供统一规范，改变过去无标可依、建设水平参差不齐的局面，推动产业从分散粗放向标准化、</w:t>
      </w:r>
      <w:r>
        <w:rPr>
          <w:rFonts w:hint="eastAsia" w:ascii="Times New Roman" w:hAnsi="Times New Roman" w:eastAsia="FangSong_GB2312" w:cs="FangSong_GB2312"/>
          <w:snapToGrid w:val="0"/>
          <w:color w:val="000000"/>
          <w:spacing w:val="5"/>
          <w:kern w:val="0"/>
          <w:sz w:val="31"/>
          <w:szCs w:val="31"/>
          <w:lang w:val="en-US" w:eastAsia="en-US"/>
        </w:rPr>
        <w:t>规模化</w:t>
      </w:r>
      <w:r>
        <w:rPr>
          <w:rFonts w:hint="eastAsia" w:ascii="Times New Roman" w:hAnsi="Times New Roman" w:eastAsia="FangSong_GB2312" w:cs="FangSong_GB2312"/>
          <w:snapToGrid w:val="0"/>
          <w:color w:val="000000"/>
          <w:spacing w:val="6"/>
          <w:kern w:val="0"/>
          <w:sz w:val="31"/>
          <w:szCs w:val="31"/>
          <w:lang w:eastAsia="en-US"/>
        </w:rPr>
        <w:t>、集约化方向转型升级，提升“潞党参”区域品牌的市场认知度和竞争力。</w:t>
      </w:r>
    </w:p>
    <w:p w14:paraId="4F4BFB12">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对经营主体</w:t>
      </w:r>
      <w:r>
        <w:rPr>
          <w:rFonts w:hint="eastAsia" w:ascii="Times New Roman" w:hAnsi="Times New Roman" w:eastAsia="FangSong_GB2312" w:cs="FangSong_GB2312"/>
          <w:snapToGrid w:val="0"/>
          <w:color w:val="000000"/>
          <w:spacing w:val="5"/>
          <w:kern w:val="0"/>
          <w:sz w:val="31"/>
          <w:szCs w:val="31"/>
          <w:lang w:eastAsia="en-US"/>
        </w:rPr>
        <w:t>而言</w:t>
      </w:r>
      <w:r>
        <w:rPr>
          <w:rFonts w:hint="eastAsia" w:ascii="Times New Roman" w:hAnsi="Times New Roman" w:eastAsia="FangSong_GB2312" w:cs="FangSong_GB2312"/>
          <w:snapToGrid w:val="0"/>
          <w:color w:val="000000"/>
          <w:spacing w:val="6"/>
          <w:kern w:val="0"/>
          <w:sz w:val="31"/>
          <w:szCs w:val="31"/>
          <w:lang w:eastAsia="en-US"/>
        </w:rPr>
        <w:t>，可提供清晰的建设指引和升级路径。基础级让中小种植户有可达标的入门要求；提升级和示范级为有志于扩大规模、提升品质的主体树立了进阶目标。分级建设、分步实施的思路可减轻投入压力，实现循序渐进发展。</w:t>
      </w:r>
    </w:p>
    <w:p w14:paraId="5C48F6A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hint="eastAsia" w:ascii="Times New Roman" w:hAnsi="Times New Roman" w:eastAsia="FangSong_GB2312" w:cs="FangSong_GB2312"/>
          <w:snapToGrid w:val="0"/>
          <w:color w:val="000000"/>
          <w:spacing w:val="6"/>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对下游用户和</w:t>
      </w:r>
      <w:r>
        <w:rPr>
          <w:rFonts w:hint="eastAsia" w:ascii="Times New Roman" w:hAnsi="Times New Roman" w:eastAsia="FangSong_GB2312" w:cs="FangSong_GB2312"/>
          <w:snapToGrid w:val="0"/>
          <w:color w:val="000000"/>
          <w:spacing w:val="5"/>
          <w:kern w:val="0"/>
          <w:sz w:val="31"/>
          <w:szCs w:val="31"/>
          <w:lang w:val="en-US" w:eastAsia="en-US"/>
        </w:rPr>
        <w:t>消费者</w:t>
      </w:r>
      <w:r>
        <w:rPr>
          <w:rFonts w:hint="eastAsia" w:ascii="Times New Roman" w:hAnsi="Times New Roman" w:eastAsia="FangSong_GB2312" w:cs="FangSong_GB2312"/>
          <w:snapToGrid w:val="0"/>
          <w:color w:val="000000"/>
          <w:spacing w:val="6"/>
          <w:kern w:val="0"/>
          <w:sz w:val="31"/>
          <w:szCs w:val="31"/>
          <w:lang w:eastAsia="en-US"/>
        </w:rPr>
        <w:t>而言，通过规范的档案记录和追溯体系建设，可增强对潞党参品质的信任度。尤其是示范级基地产品的追溯二维码，可实现“来源可查、去向可追”，满足药企对原料可追溯性的要求，保障消费者用药安全。</w:t>
      </w:r>
    </w:p>
    <w:p w14:paraId="5D5B6AD0">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6"/>
          <w:kern w:val="0"/>
          <w:sz w:val="31"/>
          <w:szCs w:val="31"/>
          <w:lang w:eastAsia="en-US"/>
        </w:rPr>
        <w:t>对行政监管而言，可作为农业农村部门开展基地认定、项目扶持和行业管理的技术依据，形成“标准引领、企业主体、政府推动、社会参与”的共治格局，助力乡村振兴和中医药产业高质量发展。</w:t>
      </w:r>
    </w:p>
    <w:p w14:paraId="626A5549">
      <w:pPr>
        <w:keepNext/>
        <w:keepLines/>
        <w:kinsoku w:val="0"/>
        <w:autoSpaceDE w:val="0"/>
        <w:autoSpaceDN w:val="0"/>
        <w:bidi w:val="0"/>
        <w:adjustRightInd w:val="0"/>
        <w:snapToGrid w:val="0"/>
        <w:spacing w:before="340" w:beforeLines="0" w:beforeAutospacing="0" w:after="330" w:afterLines="0" w:afterAutospacing="0" w:line="240" w:lineRule="auto"/>
        <w:ind w:firstLine="63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9" w:name="_Toc6811"/>
      <w:r>
        <w:rPr>
          <w:rFonts w:ascii="Times New Roman" w:hAnsi="Times New Roman" w:eastAsia="黑体" w:cs="黑体"/>
          <w:b/>
          <w:snapToGrid w:val="0"/>
          <w:color w:val="000000"/>
          <w:spacing w:val="4"/>
          <w:kern w:val="44"/>
          <w:sz w:val="31"/>
          <w:szCs w:val="31"/>
          <w:lang w:val="en-US" w:eastAsia="en-US" w:bidi="ar-SA"/>
        </w:rPr>
        <w:t>四、与国际、国外同类标准技术内容的对比情况，采用</w:t>
      </w:r>
      <w:r>
        <w:rPr>
          <w:rFonts w:ascii="Times New Roman" w:hAnsi="Times New Roman" w:eastAsia="黑体" w:cs="黑体"/>
          <w:b/>
          <w:snapToGrid w:val="0"/>
          <w:color w:val="000000"/>
          <w:spacing w:val="3"/>
          <w:kern w:val="44"/>
          <w:sz w:val="31"/>
          <w:szCs w:val="31"/>
          <w:lang w:val="en-US" w:eastAsia="en-US" w:bidi="ar-SA"/>
        </w:rPr>
        <w:t>国际</w:t>
      </w:r>
      <w:r>
        <w:rPr>
          <w:rFonts w:ascii="Times New Roman" w:hAnsi="Times New Roman" w:eastAsia="黑体" w:cs="黑体"/>
          <w:b/>
          <w:snapToGrid w:val="0"/>
          <w:color w:val="000000"/>
          <w:spacing w:val="9"/>
          <w:kern w:val="44"/>
          <w:sz w:val="31"/>
          <w:szCs w:val="31"/>
          <w:lang w:val="en-US" w:eastAsia="en-US" w:bidi="ar-SA"/>
        </w:rPr>
        <w:t>标准和国外先进标准情况</w:t>
      </w:r>
      <w:bookmarkEnd w:id="9"/>
    </w:p>
    <w:p w14:paraId="7204805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52"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8"/>
          <w:kern w:val="0"/>
          <w:sz w:val="31"/>
          <w:szCs w:val="31"/>
          <w:lang w:eastAsia="en-US"/>
        </w:rPr>
        <w:t>未发现与本文件同类的国际、国外标准。潞党参为我国特定道地产区的</w:t>
      </w:r>
      <w:r>
        <w:rPr>
          <w:rFonts w:hint="eastAsia" w:ascii="Times New Roman" w:hAnsi="Times New Roman" w:eastAsia="FangSong_GB2312" w:cs="FangSong_GB2312"/>
          <w:snapToGrid w:val="0"/>
          <w:color w:val="000000"/>
          <w:spacing w:val="5"/>
          <w:kern w:val="0"/>
          <w:sz w:val="31"/>
          <w:szCs w:val="31"/>
          <w:lang w:val="en-US" w:eastAsia="en-US"/>
        </w:rPr>
        <w:t>地方</w:t>
      </w:r>
      <w:r>
        <w:rPr>
          <w:rFonts w:hint="eastAsia" w:ascii="Times New Roman" w:hAnsi="Times New Roman" w:eastAsia="FangSong_GB2312" w:cs="FangSong_GB2312"/>
          <w:snapToGrid w:val="0"/>
          <w:color w:val="000000"/>
          <w:spacing w:val="8"/>
          <w:kern w:val="0"/>
          <w:sz w:val="31"/>
          <w:szCs w:val="31"/>
          <w:lang w:eastAsia="en-US"/>
        </w:rPr>
        <w:t>特色品种，其标准化基地建设要求具有显著的地域针对性和品种专属性。</w:t>
      </w:r>
    </w:p>
    <w:p w14:paraId="1B13E855">
      <w:pPr>
        <w:keepNext/>
        <w:keepLines/>
        <w:kinsoku w:val="0"/>
        <w:autoSpaceDE w:val="0"/>
        <w:autoSpaceDN w:val="0"/>
        <w:bidi w:val="0"/>
        <w:adjustRightInd w:val="0"/>
        <w:snapToGrid w:val="0"/>
        <w:spacing w:before="340" w:beforeLines="0" w:beforeAutospacing="0" w:after="330" w:afterLines="0" w:afterAutospacing="0" w:line="240" w:lineRule="auto"/>
        <w:ind w:firstLine="658"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0" w:name="_Toc25900"/>
      <w:r>
        <w:rPr>
          <w:rFonts w:ascii="Times New Roman" w:hAnsi="Times New Roman" w:eastAsia="黑体" w:cs="黑体"/>
          <w:b/>
          <w:snapToGrid w:val="0"/>
          <w:color w:val="000000"/>
          <w:spacing w:val="9"/>
          <w:kern w:val="44"/>
          <w:position w:val="1"/>
          <w:sz w:val="31"/>
          <w:szCs w:val="31"/>
          <w:lang w:val="en-US" w:eastAsia="en-US" w:bidi="ar-SA"/>
        </w:rPr>
        <w:t>五、与</w:t>
      </w:r>
      <w:r>
        <w:rPr>
          <w:rFonts w:ascii="Times New Roman" w:hAnsi="Times New Roman" w:eastAsia="黑体" w:cs="Arial"/>
          <w:b/>
          <w:snapToGrid w:val="0"/>
          <w:color w:val="000000"/>
          <w:kern w:val="44"/>
          <w:sz w:val="30"/>
          <w:szCs w:val="21"/>
          <w:lang w:val="en-US" w:eastAsia="en-US" w:bidi="ar-SA"/>
        </w:rPr>
        <w:t>有关</w:t>
      </w:r>
      <w:r>
        <w:rPr>
          <w:rFonts w:ascii="Times New Roman" w:hAnsi="Times New Roman" w:eastAsia="黑体" w:cs="黑体"/>
          <w:b/>
          <w:snapToGrid w:val="0"/>
          <w:color w:val="000000"/>
          <w:spacing w:val="9"/>
          <w:kern w:val="44"/>
          <w:position w:val="1"/>
          <w:sz w:val="31"/>
          <w:szCs w:val="31"/>
          <w:lang w:val="en-US" w:eastAsia="en-US" w:bidi="ar-SA"/>
        </w:rPr>
        <w:t>法律、行政法规及相关标准的关系</w:t>
      </w:r>
      <w:bookmarkEnd w:id="10"/>
    </w:p>
    <w:p w14:paraId="5317346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本标准严格遵循《中华人民共和国标准化法》《中华人民共和国</w:t>
      </w:r>
      <w:r>
        <w:rPr>
          <w:rFonts w:hint="eastAsia" w:ascii="Times New Roman" w:hAnsi="Times New Roman" w:eastAsia="FangSong_GB2312" w:cs="FangSong_GB2312"/>
          <w:snapToGrid w:val="0"/>
          <w:color w:val="000000"/>
          <w:spacing w:val="5"/>
          <w:kern w:val="0"/>
          <w:sz w:val="31"/>
          <w:szCs w:val="31"/>
          <w:lang w:val="en-US" w:eastAsia="en-US"/>
        </w:rPr>
        <w:t>中医药</w:t>
      </w:r>
      <w:r>
        <w:rPr>
          <w:rFonts w:hint="eastAsia" w:ascii="Times New Roman" w:hAnsi="Times New Roman" w:eastAsia="FangSong_GB2312" w:cs="FangSong_GB2312"/>
          <w:snapToGrid w:val="0"/>
          <w:color w:val="000000"/>
          <w:spacing w:val="17"/>
          <w:kern w:val="0"/>
          <w:sz w:val="31"/>
          <w:szCs w:val="31"/>
          <w:lang w:eastAsia="en-US"/>
        </w:rPr>
        <w:t>法》《中华人民共和国农产品质量安全法》《</w:t>
      </w:r>
      <w:r>
        <w:rPr>
          <w:rFonts w:hint="eastAsia" w:ascii="Times New Roman" w:hAnsi="Times New Roman" w:eastAsia="FangSong_GB2312" w:cs="FangSong_GB2312"/>
          <w:snapToGrid w:val="0"/>
          <w:color w:val="000000"/>
          <w:spacing w:val="5"/>
          <w:kern w:val="0"/>
          <w:sz w:val="31"/>
          <w:szCs w:val="31"/>
          <w:lang w:val="en-US" w:eastAsia="en-US"/>
        </w:rPr>
        <w:t>中华人民共和国</w:t>
      </w:r>
      <w:r>
        <w:rPr>
          <w:rFonts w:hint="eastAsia" w:ascii="Times New Roman" w:hAnsi="Times New Roman" w:eastAsia="FangSong_GB2312" w:cs="FangSong_GB2312"/>
          <w:snapToGrid w:val="0"/>
          <w:color w:val="000000"/>
          <w:spacing w:val="17"/>
          <w:kern w:val="0"/>
          <w:sz w:val="31"/>
          <w:szCs w:val="31"/>
          <w:lang w:eastAsia="en-US"/>
        </w:rPr>
        <w:t>环境保护法》等国家法律法规的要求。</w:t>
      </w:r>
    </w:p>
    <w:p w14:paraId="413BAE97">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本标准与强制性国家标准（如GB 3095、GB 5084、GB 15618等）是协调和细化的关系。强制性标准是底线要求，本标准是在满足强制性要求的基础上，对基地建设提出的更高层次、更具系统性的规范要求。</w:t>
      </w:r>
    </w:p>
    <w:p w14:paraId="75963518">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hint="eastAsia"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本标准与推荐性国家标准（GB/T 8321、GB/T 20014.1等）和行业标准（NY/T 391、NY/T 393、NY/T 394等）是衔接和应用的关系，将这些标准中的相关要求整合应用到潞党参基地建设的具体场景中。</w:t>
      </w:r>
    </w:p>
    <w:p w14:paraId="5028DE9C">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88" w:firstLineChars="200"/>
        <w:jc w:val="left"/>
        <w:textAlignment w:val="baseline"/>
        <w:rPr>
          <w:rFonts w:ascii="Times New Roman" w:hAnsi="Times New Roman" w:eastAsia="FangSong_GB2312" w:cs="FangSong_GB2312"/>
          <w:snapToGrid w:val="0"/>
          <w:color w:val="000000"/>
          <w:spacing w:val="17"/>
          <w:kern w:val="0"/>
          <w:sz w:val="31"/>
          <w:szCs w:val="31"/>
          <w:lang w:eastAsia="en-US"/>
        </w:rPr>
      </w:pPr>
      <w:r>
        <w:rPr>
          <w:rFonts w:hint="eastAsia" w:ascii="Times New Roman" w:hAnsi="Times New Roman" w:eastAsia="FangSong_GB2312" w:cs="FangSong_GB2312"/>
          <w:snapToGrid w:val="0"/>
          <w:color w:val="000000"/>
          <w:spacing w:val="17"/>
          <w:kern w:val="0"/>
          <w:sz w:val="31"/>
          <w:szCs w:val="31"/>
          <w:lang w:eastAsia="en-US"/>
        </w:rPr>
        <w:t>本标准与山西省地方标准（DB14/T 2425、DB14/T 2424、DB14/T 2903等）是互补配套的关系。地方标准侧重具体栽培、施肥、植保技术，本标准侧重基地建设条件和综合管理体系，两者共同构成潞党参标准化生产的技术支撑体系。</w:t>
      </w:r>
    </w:p>
    <w:p w14:paraId="0B6F1ADD">
      <w:pPr>
        <w:keepNext/>
        <w:keepLines/>
        <w:numPr>
          <w:ilvl w:val="0"/>
          <w:numId w:val="1"/>
        </w:numPr>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1" w:name="_Toc27835"/>
      <w:r>
        <w:rPr>
          <w:rFonts w:ascii="Times New Roman" w:hAnsi="Times New Roman" w:eastAsia="黑体" w:cs="黑体"/>
          <w:b/>
          <w:snapToGrid w:val="0"/>
          <w:color w:val="000000"/>
          <w:spacing w:val="8"/>
          <w:kern w:val="44"/>
          <w:sz w:val="31"/>
          <w:szCs w:val="31"/>
          <w:lang w:val="en-US" w:eastAsia="en-US" w:bidi="ar-SA"/>
        </w:rPr>
        <w:t>重大分歧意见处的处理经过和依据</w:t>
      </w:r>
      <w:bookmarkEnd w:id="11"/>
    </w:p>
    <w:p w14:paraId="428E3C37">
      <w:pPr>
        <w:widowControl/>
        <w:kinsoku w:val="0"/>
        <w:autoSpaceDE w:val="0"/>
        <w:autoSpaceDN w:val="0"/>
        <w:adjustRightInd w:val="0"/>
        <w:snapToGrid w:val="0"/>
        <w:spacing w:before="189" w:line="349" w:lineRule="auto"/>
        <w:ind w:left="2"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无重大分歧意见。</w:t>
      </w:r>
    </w:p>
    <w:p w14:paraId="2C589656">
      <w:pPr>
        <w:keepNext/>
        <w:keepLines/>
        <w:kinsoku w:val="0"/>
        <w:autoSpaceDE w:val="0"/>
        <w:autoSpaceDN w:val="0"/>
        <w:bidi w:val="0"/>
        <w:adjustRightInd w:val="0"/>
        <w:snapToGrid w:val="0"/>
        <w:spacing w:before="340" w:beforeLines="0" w:beforeAutospacing="0" w:after="330" w:afterLines="0" w:afterAutospacing="0" w:line="240" w:lineRule="auto"/>
        <w:ind w:firstLine="654" w:firstLineChars="200"/>
        <w:jc w:val="left"/>
        <w:textAlignment w:val="baseline"/>
        <w:outlineLvl w:val="0"/>
        <w:rPr>
          <w:rFonts w:ascii="Times New Roman" w:hAnsi="Times New Roman" w:eastAsia="黑体" w:cs="黑体"/>
          <w:b/>
          <w:snapToGrid w:val="0"/>
          <w:color w:val="000000"/>
          <w:spacing w:val="8"/>
          <w:kern w:val="44"/>
          <w:sz w:val="31"/>
          <w:szCs w:val="31"/>
          <w:lang w:val="en-US" w:eastAsia="en-US" w:bidi="ar-SA"/>
        </w:rPr>
      </w:pPr>
      <w:bookmarkStart w:id="12" w:name="_Toc22975"/>
      <w:r>
        <w:rPr>
          <w:rFonts w:ascii="Times New Roman" w:hAnsi="Times New Roman" w:eastAsia="黑体" w:cs="黑体"/>
          <w:b/>
          <w:snapToGrid w:val="0"/>
          <w:color w:val="000000"/>
          <w:spacing w:val="8"/>
          <w:kern w:val="44"/>
          <w:sz w:val="31"/>
          <w:szCs w:val="31"/>
          <w:lang w:val="en-US" w:eastAsia="en-US" w:bidi="ar-SA"/>
        </w:rPr>
        <w:t>七、</w:t>
      </w:r>
      <w:r>
        <w:rPr>
          <w:rFonts w:ascii="Times New Roman" w:hAnsi="Times New Roman" w:eastAsia="黑体" w:cs="Arial"/>
          <w:b/>
          <w:snapToGrid w:val="0"/>
          <w:color w:val="000000"/>
          <w:kern w:val="44"/>
          <w:sz w:val="30"/>
          <w:szCs w:val="21"/>
          <w:lang w:val="en-US" w:eastAsia="en-US" w:bidi="ar-SA"/>
        </w:rPr>
        <w:t>涉及</w:t>
      </w:r>
      <w:r>
        <w:rPr>
          <w:rFonts w:ascii="Times New Roman" w:hAnsi="Times New Roman" w:eastAsia="黑体" w:cs="黑体"/>
          <w:b/>
          <w:snapToGrid w:val="0"/>
          <w:color w:val="000000"/>
          <w:spacing w:val="8"/>
          <w:kern w:val="44"/>
          <w:sz w:val="31"/>
          <w:szCs w:val="31"/>
          <w:lang w:val="en-US" w:eastAsia="en-US" w:bidi="ar-SA"/>
        </w:rPr>
        <w:t>专利的有关说明</w:t>
      </w:r>
      <w:bookmarkEnd w:id="12"/>
    </w:p>
    <w:p w14:paraId="04A36899">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spacing w:val="5"/>
          <w:kern w:val="0"/>
          <w:sz w:val="31"/>
          <w:szCs w:val="31"/>
          <w:lang w:eastAsia="en-US"/>
        </w:rPr>
      </w:pPr>
      <w:r>
        <w:rPr>
          <w:rFonts w:ascii="Times New Roman" w:hAnsi="Times New Roman" w:eastAsia="FangSong_GB2312" w:cs="FangSong_GB2312"/>
          <w:snapToGrid w:val="0"/>
          <w:color w:val="000000"/>
          <w:spacing w:val="5"/>
          <w:kern w:val="0"/>
          <w:sz w:val="31"/>
          <w:szCs w:val="31"/>
          <w:lang w:eastAsia="en-US"/>
        </w:rPr>
        <w:t>本文件不涉及专利问题。</w:t>
      </w:r>
    </w:p>
    <w:p w14:paraId="62937001">
      <w:pPr>
        <w:widowControl/>
        <w:kinsoku w:val="0"/>
        <w:autoSpaceDE w:val="0"/>
        <w:autoSpaceDN w:val="0"/>
        <w:adjustRightInd w:val="0"/>
        <w:snapToGrid w:val="0"/>
        <w:spacing w:before="189" w:line="349" w:lineRule="auto"/>
        <w:ind w:left="2" w:firstLine="642" w:firstLineChars="200"/>
        <w:jc w:val="left"/>
        <w:textAlignment w:val="baseline"/>
        <w:rPr>
          <w:rFonts w:ascii="Times New Roman" w:hAnsi="Times New Roman" w:eastAsia="黑体" w:cs="黑体"/>
          <w:b/>
          <w:snapToGrid w:val="0"/>
          <w:color w:val="000000"/>
          <w:kern w:val="44"/>
          <w:sz w:val="31"/>
          <w:szCs w:val="31"/>
          <w:lang w:val="en-US" w:eastAsia="en-US" w:bidi="ar-SA"/>
        </w:rPr>
      </w:pPr>
      <w:r>
        <w:rPr>
          <w:rFonts w:ascii="Times New Roman" w:hAnsi="Times New Roman" w:eastAsia="黑体" w:cs="黑体"/>
          <w:b/>
          <w:snapToGrid w:val="0"/>
          <w:color w:val="000000"/>
          <w:spacing w:val="5"/>
          <w:kern w:val="44"/>
          <w:sz w:val="31"/>
          <w:szCs w:val="31"/>
          <w:lang w:val="en-US" w:eastAsia="en-US" w:bidi="ar-SA"/>
        </w:rPr>
        <w:t>八、实施</w:t>
      </w:r>
      <w:r>
        <w:rPr>
          <w:rFonts w:ascii="Times New Roman" w:hAnsi="Times New Roman" w:eastAsia="黑体" w:cs="Arial"/>
          <w:b/>
          <w:snapToGrid w:val="0"/>
          <w:color w:val="000000"/>
          <w:kern w:val="44"/>
          <w:sz w:val="30"/>
          <w:szCs w:val="21"/>
          <w:lang w:val="en-US" w:eastAsia="en-US" w:bidi="ar-SA"/>
        </w:rPr>
        <w:t>国家标准</w:t>
      </w:r>
      <w:r>
        <w:rPr>
          <w:rFonts w:ascii="Times New Roman" w:hAnsi="Times New Roman" w:eastAsia="黑体" w:cs="黑体"/>
          <w:b/>
          <w:snapToGrid w:val="0"/>
          <w:color w:val="000000"/>
          <w:spacing w:val="5"/>
          <w:kern w:val="44"/>
          <w:sz w:val="31"/>
          <w:szCs w:val="31"/>
          <w:lang w:val="en-US" w:eastAsia="en-US" w:bidi="ar-SA"/>
        </w:rPr>
        <w:t>的要求，以及组织措施、技术措施、过渡</w:t>
      </w:r>
      <w:r>
        <w:rPr>
          <w:rFonts w:ascii="Times New Roman" w:hAnsi="Times New Roman" w:eastAsia="黑体" w:cs="黑体"/>
          <w:b/>
          <w:snapToGrid w:val="0"/>
          <w:color w:val="000000"/>
          <w:spacing w:val="8"/>
          <w:kern w:val="44"/>
          <w:sz w:val="31"/>
          <w:szCs w:val="31"/>
          <w:lang w:val="en-US" w:eastAsia="en-US" w:bidi="ar-SA"/>
        </w:rPr>
        <w:t>期和实施日期的建议等措施建议</w:t>
      </w:r>
    </w:p>
    <w:p w14:paraId="19620C1D">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0"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hint="eastAsia" w:ascii="Times New Roman" w:hAnsi="Times New Roman" w:eastAsia="FangSong_GB2312" w:cs="FangSong_GB2312"/>
          <w:snapToGrid w:val="0"/>
          <w:color w:val="000000"/>
          <w:spacing w:val="5"/>
          <w:kern w:val="0"/>
          <w:sz w:val="31"/>
          <w:szCs w:val="31"/>
          <w:lang w:eastAsia="en-US"/>
        </w:rPr>
        <w:t>建议标准发布后</w:t>
      </w:r>
      <w:r>
        <w:rPr>
          <w:rFonts w:hint="eastAsia" w:ascii="Times New Roman" w:hAnsi="Times New Roman" w:eastAsia="FangSong_GB2312" w:cs="FangSong_GB2312"/>
          <w:snapToGrid w:val="0"/>
          <w:color w:val="000000"/>
          <w:spacing w:val="5"/>
          <w:kern w:val="0"/>
          <w:sz w:val="31"/>
          <w:szCs w:val="31"/>
          <w:lang w:val="en-US" w:eastAsia="en-US"/>
        </w:rPr>
        <w:t>尽快</w:t>
      </w:r>
      <w:r>
        <w:rPr>
          <w:rFonts w:hint="eastAsia" w:ascii="Times New Roman" w:hAnsi="Times New Roman" w:eastAsia="FangSong_GB2312" w:cs="FangSong_GB2312"/>
          <w:snapToGrid w:val="0"/>
          <w:color w:val="000000"/>
          <w:spacing w:val="5"/>
          <w:kern w:val="0"/>
          <w:sz w:val="31"/>
          <w:szCs w:val="31"/>
          <w:lang w:eastAsia="en-US"/>
        </w:rPr>
        <w:t>实施。一是加强宣传推广：中国中医药研究促进会应通过官网、行业会议、产区培训会等多种渠道，向长治市及</w:t>
      </w:r>
      <w:r>
        <w:rPr>
          <w:rFonts w:hint="eastAsia" w:ascii="Times New Roman" w:hAnsi="Times New Roman" w:eastAsia="FangSong_GB2312" w:cs="FangSong_GB2312"/>
          <w:snapToGrid w:val="0"/>
          <w:color w:val="000000"/>
          <w:spacing w:val="5"/>
          <w:kern w:val="0"/>
          <w:sz w:val="31"/>
          <w:szCs w:val="31"/>
          <w:lang w:val="en-US" w:eastAsia="en-US"/>
        </w:rPr>
        <w:t>相关</w:t>
      </w:r>
      <w:r>
        <w:rPr>
          <w:rFonts w:hint="eastAsia" w:ascii="Times New Roman" w:hAnsi="Times New Roman" w:eastAsia="FangSong_GB2312" w:cs="FangSong_GB2312"/>
          <w:snapToGrid w:val="0"/>
          <w:color w:val="000000"/>
          <w:spacing w:val="5"/>
          <w:kern w:val="0"/>
          <w:sz w:val="31"/>
          <w:szCs w:val="31"/>
          <w:lang w:eastAsia="en-US"/>
        </w:rPr>
        <w:t>地区广泛宣传本标准，提高标准的知晓率和采用率。二是开展分级认定：依托长治市中药材产业发展中心等机构，建立和完善基于本标准的基地分级认定机制，组织符合标准的基地申报相应等级，并颁发标牌和证书。三是推动政策衔接：积极推动产区农业主管部门在项目扶持、资金补贴、品牌推介等工作中采信本评价结果，形成“以标准化促升级”的政策激励机制。四是建立动态更新机制：归口单位应定期收集标准实施过程中的反馈意见，结合产业技术发展和市场需求变化，适时对标准进行修订和完善，确保其持续先进性和适用性。</w:t>
      </w:r>
    </w:p>
    <w:p w14:paraId="4F666570">
      <w:pPr>
        <w:keepNext/>
        <w:keepLines/>
        <w:kinsoku w:val="0"/>
        <w:autoSpaceDE w:val="0"/>
        <w:autoSpaceDN w:val="0"/>
        <w:bidi w:val="0"/>
        <w:adjustRightInd w:val="0"/>
        <w:snapToGrid w:val="0"/>
        <w:spacing w:before="340" w:beforeLines="0" w:beforeAutospacing="0" w:after="330" w:afterLines="0" w:afterAutospacing="0" w:line="240" w:lineRule="auto"/>
        <w:ind w:firstLine="650" w:firstLineChars="200"/>
        <w:jc w:val="left"/>
        <w:textAlignment w:val="baseline"/>
        <w:outlineLvl w:val="0"/>
        <w:rPr>
          <w:rFonts w:ascii="Times New Roman" w:hAnsi="Times New Roman" w:eastAsia="黑体" w:cs="黑体"/>
          <w:b/>
          <w:snapToGrid w:val="0"/>
          <w:color w:val="000000"/>
          <w:kern w:val="44"/>
          <w:sz w:val="31"/>
          <w:szCs w:val="31"/>
          <w:lang w:val="en-US" w:eastAsia="en-US" w:bidi="ar-SA"/>
        </w:rPr>
      </w:pPr>
      <w:bookmarkStart w:id="13" w:name="_Toc6991"/>
      <w:r>
        <w:rPr>
          <w:rFonts w:ascii="Times New Roman" w:hAnsi="Times New Roman" w:eastAsia="黑体" w:cs="黑体"/>
          <w:b/>
          <w:snapToGrid w:val="0"/>
          <w:color w:val="000000"/>
          <w:spacing w:val="7"/>
          <w:kern w:val="44"/>
          <w:position w:val="1"/>
          <w:sz w:val="31"/>
          <w:szCs w:val="31"/>
          <w:lang w:val="en-US" w:eastAsia="en-US" w:bidi="ar-SA"/>
        </w:rPr>
        <w:t>九、其他说明</w:t>
      </w:r>
      <w:bookmarkEnd w:id="13"/>
    </w:p>
    <w:p w14:paraId="5FF25681">
      <w:pPr>
        <w:keepNext w:val="0"/>
        <w:keepLines w:val="0"/>
        <w:pageBreakBefore w:val="0"/>
        <w:widowControl/>
        <w:kinsoku w:val="0"/>
        <w:wordWrap/>
        <w:overflowPunct/>
        <w:topLinePunct w:val="0"/>
        <w:autoSpaceDE w:val="0"/>
        <w:autoSpaceDN w:val="0"/>
        <w:bidi w:val="0"/>
        <w:adjustRightInd w:val="0"/>
        <w:snapToGrid w:val="0"/>
        <w:spacing w:line="360" w:lineRule="auto"/>
        <w:ind w:right="113" w:firstLine="644" w:firstLineChars="200"/>
        <w:jc w:val="lef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6"/>
          <w:kern w:val="0"/>
          <w:sz w:val="31"/>
          <w:szCs w:val="31"/>
          <w:lang w:eastAsia="en-US"/>
        </w:rPr>
        <w:t>无其他</w:t>
      </w:r>
      <w:r>
        <w:rPr>
          <w:rFonts w:hint="eastAsia" w:ascii="Times New Roman" w:hAnsi="Times New Roman" w:eastAsia="FangSong_GB2312" w:cs="FangSong_GB2312"/>
          <w:snapToGrid w:val="0"/>
          <w:color w:val="000000"/>
          <w:spacing w:val="5"/>
          <w:kern w:val="0"/>
          <w:sz w:val="31"/>
          <w:szCs w:val="31"/>
          <w:lang w:eastAsia="en-US"/>
        </w:rPr>
        <w:t>需要</w:t>
      </w:r>
      <w:r>
        <w:rPr>
          <w:rFonts w:ascii="Times New Roman" w:hAnsi="Times New Roman" w:eastAsia="FangSong_GB2312" w:cs="FangSong_GB2312"/>
          <w:snapToGrid w:val="0"/>
          <w:color w:val="000000"/>
          <w:spacing w:val="6"/>
          <w:kern w:val="0"/>
          <w:sz w:val="31"/>
          <w:szCs w:val="31"/>
          <w:lang w:eastAsia="en-US"/>
        </w:rPr>
        <w:t>说明的事项。</w:t>
      </w:r>
    </w:p>
    <w:p w14:paraId="1EF4EC8E">
      <w:pPr>
        <w:widowControl/>
        <w:kinsoku w:val="0"/>
        <w:autoSpaceDE w:val="0"/>
        <w:autoSpaceDN w:val="0"/>
        <w:adjustRightInd w:val="0"/>
        <w:snapToGrid w:val="0"/>
        <w:spacing w:before="101" w:line="221" w:lineRule="auto"/>
        <w:ind w:left="97" w:leftChars="0" w:hanging="97" w:hangingChars="3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FangSong_GB2312" w:cs="FangSong_GB2312"/>
          <w:snapToGrid w:val="0"/>
          <w:color w:val="000000"/>
          <w:spacing w:val="8"/>
          <w:kern w:val="0"/>
          <w:sz w:val="31"/>
          <w:szCs w:val="31"/>
          <w:lang w:eastAsia="en-US"/>
        </w:rPr>
        <w:t>标准起草工作组</w:t>
      </w:r>
    </w:p>
    <w:p w14:paraId="4CDCB630">
      <w:pPr>
        <w:widowControl/>
        <w:kinsoku w:val="0"/>
        <w:autoSpaceDE w:val="0"/>
        <w:autoSpaceDN w:val="0"/>
        <w:adjustRightInd w:val="0"/>
        <w:snapToGrid w:val="0"/>
        <w:spacing w:before="174" w:line="419" w:lineRule="exact"/>
        <w:ind w:left="0" w:leftChars="0" w:firstLine="0" w:firstLineChars="0"/>
        <w:jc w:val="right"/>
        <w:textAlignment w:val="baseline"/>
        <w:rPr>
          <w:rFonts w:ascii="Times New Roman" w:hAnsi="Times New Roman" w:eastAsia="FangSong_GB2312" w:cs="FangSong_GB2312"/>
          <w:snapToGrid w:val="0"/>
          <w:color w:val="000000"/>
          <w:kern w:val="0"/>
          <w:sz w:val="31"/>
          <w:szCs w:val="31"/>
          <w:lang w:eastAsia="en-US"/>
        </w:rPr>
      </w:pPr>
      <w:r>
        <w:rPr>
          <w:rFonts w:ascii="Times New Roman" w:hAnsi="Times New Roman" w:eastAsia="Times New Roman" w:cs="Times New Roman"/>
          <w:snapToGrid w:val="0"/>
          <w:color w:val="000000"/>
          <w:spacing w:val="-2"/>
          <w:kern w:val="0"/>
          <w:position w:val="1"/>
          <w:sz w:val="31"/>
          <w:szCs w:val="31"/>
          <w:lang w:eastAsia="en-US"/>
        </w:rPr>
        <w:t>202</w:t>
      </w:r>
      <w:r>
        <w:rPr>
          <w:rFonts w:hint="eastAsia" w:ascii="Times New Roman" w:hAnsi="Times New Roman" w:eastAsia="宋体" w:cs="Times New Roman"/>
          <w:snapToGrid w:val="0"/>
          <w:color w:val="000000"/>
          <w:spacing w:val="-2"/>
          <w:kern w:val="0"/>
          <w:position w:val="1"/>
          <w:sz w:val="31"/>
          <w:szCs w:val="31"/>
          <w:lang w:val="en-US" w:eastAsia="zh-CN"/>
        </w:rPr>
        <w:t>6</w:t>
      </w:r>
      <w:r>
        <w:rPr>
          <w:rFonts w:ascii="Times New Roman" w:hAnsi="Times New Roman" w:eastAsia="Times New Roman" w:cs="Times New Roman"/>
          <w:snapToGrid w:val="0"/>
          <w:color w:val="000000"/>
          <w:spacing w:val="19"/>
          <w:kern w:val="0"/>
          <w:position w:val="1"/>
          <w:sz w:val="31"/>
          <w:szCs w:val="31"/>
          <w:lang w:eastAsia="en-US"/>
        </w:rPr>
        <w:t xml:space="preserve"> </w:t>
      </w:r>
      <w:r>
        <w:rPr>
          <w:rFonts w:ascii="Times New Roman" w:hAnsi="Times New Roman" w:eastAsia="FangSong_GB2312" w:cs="FangSong_GB2312"/>
          <w:snapToGrid w:val="0"/>
          <w:color w:val="000000"/>
          <w:spacing w:val="-2"/>
          <w:kern w:val="0"/>
          <w:position w:val="1"/>
          <w:sz w:val="31"/>
          <w:szCs w:val="31"/>
          <w:lang w:eastAsia="en-US"/>
        </w:rPr>
        <w:t>年</w:t>
      </w:r>
      <w:r>
        <w:rPr>
          <w:rFonts w:ascii="Times New Roman" w:hAnsi="Times New Roman" w:eastAsia="FangSong_GB2312" w:cs="FangSong_GB2312"/>
          <w:snapToGrid w:val="0"/>
          <w:color w:val="000000"/>
          <w:spacing w:val="-60"/>
          <w:kern w:val="0"/>
          <w:position w:val="1"/>
          <w:sz w:val="31"/>
          <w:szCs w:val="31"/>
          <w:lang w:eastAsia="en-US"/>
        </w:rPr>
        <w:t xml:space="preserve"> </w:t>
      </w:r>
      <w:r>
        <w:rPr>
          <w:rFonts w:hint="eastAsia" w:ascii="Times New Roman" w:hAnsi="Times New Roman" w:eastAsia="FangSong_GB2312" w:cs="FangSong_GB2312"/>
          <w:snapToGrid w:val="0"/>
          <w:color w:val="000000"/>
          <w:spacing w:val="-60"/>
          <w:kern w:val="0"/>
          <w:position w:val="1"/>
          <w:sz w:val="31"/>
          <w:szCs w:val="31"/>
          <w:lang w:val="en-US" w:eastAsia="zh-CN"/>
        </w:rPr>
        <w:t xml:space="preserve">  </w:t>
      </w:r>
      <w:r>
        <w:rPr>
          <w:rFonts w:hint="eastAsia" w:ascii="Times New Roman" w:hAnsi="Times New Roman" w:eastAsia="宋体" w:cs="Times New Roman"/>
          <w:snapToGrid w:val="0"/>
          <w:color w:val="000000"/>
          <w:spacing w:val="-2"/>
          <w:kern w:val="0"/>
          <w:position w:val="1"/>
          <w:sz w:val="31"/>
          <w:szCs w:val="31"/>
          <w:lang w:val="en-US" w:eastAsia="zh-CN"/>
        </w:rPr>
        <w:t xml:space="preserve">5 </w:t>
      </w:r>
      <w:r>
        <w:rPr>
          <w:rFonts w:ascii="Times New Roman" w:hAnsi="Times New Roman" w:eastAsia="FangSong_GB2312" w:cs="FangSong_GB2312"/>
          <w:snapToGrid w:val="0"/>
          <w:color w:val="000000"/>
          <w:spacing w:val="-2"/>
          <w:kern w:val="0"/>
          <w:position w:val="1"/>
          <w:sz w:val="31"/>
          <w:szCs w:val="31"/>
          <w:lang w:eastAsia="en-US"/>
        </w:rPr>
        <w:t>月</w:t>
      </w:r>
      <w:r>
        <w:rPr>
          <w:rFonts w:hint="eastAsia" w:ascii="Times New Roman" w:hAnsi="Times New Roman" w:eastAsia="FangSong_GB2312" w:cs="FangSong_GB2312"/>
          <w:snapToGrid w:val="0"/>
          <w:color w:val="000000"/>
          <w:spacing w:val="-2"/>
          <w:kern w:val="0"/>
          <w:position w:val="1"/>
          <w:sz w:val="31"/>
          <w:szCs w:val="31"/>
          <w:lang w:val="en-US" w:eastAsia="zh-CN"/>
        </w:rPr>
        <w:t xml:space="preserve"> </w:t>
      </w:r>
      <w:r>
        <w:rPr>
          <w:rFonts w:hint="eastAsia" w:ascii="Times New Roman" w:hAnsi="Times New Roman" w:eastAsia="FangSong_GB2312" w:cs="FangSong_GB2312"/>
          <w:snapToGrid w:val="0"/>
          <w:color w:val="000000"/>
          <w:spacing w:val="-66"/>
          <w:kern w:val="0"/>
          <w:position w:val="1"/>
          <w:sz w:val="31"/>
          <w:szCs w:val="31"/>
          <w:lang w:val="en-US" w:eastAsia="zh-CN"/>
        </w:rPr>
        <w:t xml:space="preserve">8       </w:t>
      </w:r>
      <w:r>
        <w:rPr>
          <w:rFonts w:ascii="Times New Roman" w:hAnsi="Times New Roman" w:eastAsia="FangSong_GB2312" w:cs="FangSong_GB2312"/>
          <w:snapToGrid w:val="0"/>
          <w:color w:val="000000"/>
          <w:spacing w:val="-2"/>
          <w:kern w:val="0"/>
          <w:position w:val="1"/>
          <w:sz w:val="31"/>
          <w:szCs w:val="31"/>
          <w:lang w:eastAsia="en-US"/>
        </w:rPr>
        <w:t>日</w:t>
      </w:r>
    </w:p>
    <w:p w14:paraId="7316B6A4">
      <w:pPr>
        <w:rPr>
          <w:rFonts w:ascii="Times New Roman" w:hAnsi="Times New Roman"/>
        </w:rPr>
      </w:pPr>
    </w:p>
    <w:sectPr>
      <w:footerReference r:id="rId3" w:type="default"/>
      <w:pgSz w:w="11906" w:h="16839"/>
      <w:pgMar w:top="1440" w:right="1800" w:bottom="1440" w:left="1800" w:header="0" w:footer="1077"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KaiTi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FangSong_GB2312">
    <w:altName w:val="仿宋_GB2312"/>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6AC0D">
    <w:pPr>
      <w:tabs>
        <w:tab w:val="center" w:pos="4153"/>
        <w:tab w:val="right" w:pos="8306"/>
      </w:tabs>
      <w:kinsoku w:val="0"/>
      <w:autoSpaceDE w:val="0"/>
      <w:autoSpaceDN w:val="0"/>
      <w:adjustRightInd w:val="0"/>
      <w:snapToGrid w:val="0"/>
      <w:spacing w:line="240" w:lineRule="auto"/>
      <w:jc w:val="left"/>
      <w:textAlignment w:val="baseline"/>
      <w:rPr>
        <w:rFonts w:ascii="Arial" w:hAnsi="Arial" w:eastAsia="仿宋_GB2312" w:cs="Arial"/>
        <w:snapToGrid w:val="0"/>
        <w:color w:val="000000"/>
        <w:kern w:val="0"/>
        <w:sz w:val="18"/>
        <w:szCs w:val="21"/>
        <w:lang w:val="en-US" w:eastAsia="en-US"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5DF1C5">
                          <w:pPr>
                            <w:pStyle w:val="5"/>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525DF1C5">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D2E88"/>
    <w:multiLevelType w:val="singleLevel"/>
    <w:tmpl w:val="A35D2E8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E32690"/>
    <w:rsid w:val="045751B3"/>
    <w:rsid w:val="045779B0"/>
    <w:rsid w:val="06FD3CD7"/>
    <w:rsid w:val="072D4EC7"/>
    <w:rsid w:val="07693041"/>
    <w:rsid w:val="0BB44AB0"/>
    <w:rsid w:val="1F0259AE"/>
    <w:rsid w:val="20C33298"/>
    <w:rsid w:val="246C3DEF"/>
    <w:rsid w:val="28A37210"/>
    <w:rsid w:val="2C9A64DA"/>
    <w:rsid w:val="322363C4"/>
    <w:rsid w:val="36C12D54"/>
    <w:rsid w:val="3A422AA2"/>
    <w:rsid w:val="44DB304B"/>
    <w:rsid w:val="52E32690"/>
    <w:rsid w:val="641D18AF"/>
    <w:rsid w:val="64621404"/>
    <w:rsid w:val="6EAA3DE4"/>
    <w:rsid w:val="7408564B"/>
    <w:rsid w:val="79463EEA"/>
    <w:rsid w:val="79A60A20"/>
    <w:rsid w:val="7CD119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toc 3"/>
    <w:basedOn w:val="1"/>
    <w:next w:val="1"/>
    <w:qFormat/>
    <w:uiPriority w:val="0"/>
    <w:pPr>
      <w:ind w:left="840" w:leftChars="40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0"/>
  </w:style>
  <w:style w:type="paragraph" w:styleId="8">
    <w:name w:val="toc 2"/>
    <w:basedOn w:val="1"/>
    <w:next w:val="1"/>
    <w:qFormat/>
    <w:uiPriority w:val="0"/>
    <w:pPr>
      <w:ind w:left="420" w:leftChars="200"/>
    </w:pPr>
  </w:style>
  <w:style w:type="paragraph" w:styleId="9">
    <w:name w:val="Normal (Web)"/>
    <w:basedOn w:val="1"/>
    <w:qFormat/>
    <w:uiPriority w:val="0"/>
    <w:rPr>
      <w:sz w:val="24"/>
    </w:rPr>
  </w:style>
  <w:style w:type="table" w:styleId="11">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a3543d86-ac61-44ad-8db1-0042e30e3698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3227FE2E</paraID>
      <start>56</start>
      <end>57</end>
      <status>modified</status>
      <modifiedWord>—</modifiedWord>
      <trackRevisions>false</trackRevisions>
    </reviewItem>
    <reviewItem>
      <errorID>eaa681d7-97e0-408f-a2bd-7d28d1ae7192</errorID>
      <errorWord>视察横跨</errorWord>
      <group>L1_Grammar</group>
      <groupName>语法问题</groupName>
      <ability>L2_Grammar</ability>
      <abilityName>语法错误</abilityName>
      <candidateList>
        <item>覆盖</item>
      </candidateList>
      <explain/>
      <paraID>597212C4</paraID>
      <start>82</start>
      <end>84</end>
      <status>modified</status>
      <modifiedWord>覆盖</modifiedWord>
      <trackRevisions>false</trackRevisions>
    </reviewItem>
    <reviewItem>
      <errorID>6adf49a9-f1ad-4dd4-902a-21069a88b93b</errorID>
      <errorWord>具</errorWord>
      <group>L1_Word</group>
      <groupName>字词问题</groupName>
      <ability>L2_Typo</ability>
      <abilityName>字词错误</abilityName>
      <candidateList>
        <item>具有</item>
      </candidateList>
      <explain>〈动〉有（多用于抽象事物）：～信心｜～伟大的意义。</explain>
      <paraID>1AE258C2</paraID>
      <start>74</start>
      <end>76</end>
      <status>modified</status>
      <modifiedWord>具有</modifiedWord>
      <trackRevisions>false</trackRevisions>
    </reviewItem>
    <reviewItem>
      <errorID>8af3f1f3-7fdd-458c-8a8e-e62bde78f378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260418A2</paraID>
      <start>103</start>
      <end>104</end>
      <status>modified</status>
      <modifiedWord>—</modifiedWord>
      <trackRevisions>false</trackRevisions>
    </reviewItem>
    <reviewItem>
      <errorID>5532aab7-a069-40cb-99e3-3ba876d8a021</errorID>
      <errorWord>整</errorWord>
      <group>L1_Word</group>
      <groupName>字词问题</groupName>
      <ability>L2_Typo</ability>
      <abilityName>字词错误</abilityName>
      <candidateList>
        <item>整和</item>
      </candidateList>
      <explain/>
      <paraID>61C631E9</paraID>
      <start>239</start>
      <end>241</end>
      <status>modified</status>
      <modifiedWord>整和</modifiedWord>
      <trackRevisions>false</trackRevisions>
    </reviewItem>
    <reviewItem>
      <errorID>4f222e6e-b805-486a-8520-4fbfb0cdcadd</errorID>
      <errorWord>《潞党参标准化基地建设要求》（征求意见稿）</errorWord>
      <group>L1_Knowledge</group>
      <groupName>知识性问题</groupName>
      <ability>L2_Knowledge</ability>
      <abilityName>其他知识</abilityName>
      <candidateList>
        <item>《潞党参标准化基地建设要求（征求意见稿）》</item>
      </candidateList>
      <explain>疑似政策文件、法律法规名称等书写不规范，请注意检查。</explain>
      <paraID>61C631E9</paraID>
      <start>271</start>
      <end>292</end>
      <status>modified</status>
      <modifiedWord>《潞党参标准化基地建设要求（征求意见稿）》</modifiedWord>
      <trackRevisions>false</trackRevisions>
    </reviewItem>
    <reviewItem>
      <errorID>86ea62dd-26a8-4194-9512-c98f5311322a</errorID>
      <errorWord>，</errorWord>
      <group>L1_Word</group>
      <groupName>字词问题</groupName>
      <ability>L2_Typo</ability>
      <abilityName>字词错误</abilityName>
      <candidateList>
        <item>，并</item>
      </candidateList>
      <explain/>
      <paraID>61C631E9</paraID>
      <start>292</start>
      <end>294</end>
      <status>modified</status>
      <modifiedWord>，并</modifiedWord>
      <trackRevisions>false</trackRevisions>
    </reviewItem>
    <reviewItem>
      <errorID>f89b1fb2-9697-4672-8fb8-f20885900071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5777BB24</paraID>
      <start>62</start>
      <end>63</end>
      <status>modified</status>
      <modifiedWord>—</modifiedWord>
      <trackRevisions>false</trackRevisions>
    </reviewItem>
    <reviewItem>
      <errorID>f684a387-e4bb-4aa9-a365-843ae7ab53e5</errorID>
      <errorWord>晰</errorWord>
      <group>L1_Word</group>
      <groupName>字词问题</groupName>
      <ability>L2_Typo</ability>
      <abilityName>字词错误</abilityName>
      <candidateList>
        <item>晰地</item>
      </candidateList>
      <explain/>
      <paraID>5F8A055F</paraID>
      <start>143</start>
      <end>145</end>
      <status>modified</status>
      <modifiedWord>晰地</modifiedWord>
      <trackRevisions>false</trackRevisions>
    </reviewItem>
    <reviewItem>
      <errorID>74d1c011-8de9-4279-b160-a13766c8444e</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46</start>
      <end>47</end>
      <status>modified</status>
      <modifiedWord>—</modifiedWord>
      <trackRevisions>false</trackRevisions>
    </reviewItem>
    <reviewItem>
      <errorID>11cbca27-9ce5-40ed-a6b4-115a1e1fd268</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3FC1823A</paraID>
      <start>65</start>
      <end>66</end>
      <status>modified</status>
      <modifiedWord>—</modifiedWord>
      <trackRevisions>false</trackRevisions>
    </reviewItem>
    <reviewItem>
      <errorID>aaa719f8-245f-4ca1-af14-4887222a9121</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391D63F3</paraID>
      <start>70</start>
      <end>71</end>
      <status>modified</status>
      <modifiedWord>—</modifiedWord>
      <trackRevisions>false</trackRevisions>
    </reviewItem>
    <reviewItem>
      <errorID>a7e49670-f622-405d-ad78-6ca4b81c116b</errorID>
      <errorWord>章则</errorWord>
      <group>L1_Word</group>
      <groupName>字词问题</groupName>
      <ability>L2_Typo</ability>
      <abilityName>字词错误</abilityName>
      <candidateList>
        <item>章</item>
      </candidateList>
      <explain/>
      <paraID>73E67F14</paraID>
      <start>31</start>
      <end>32</end>
      <status>modified</status>
      <modifiedWord>章</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4d1093f-c463-4fa7-98c6-124c31b8d68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6442</Words>
  <Characters>6773</Characters>
  <Lines>0</Lines>
  <Paragraphs>0</Paragraphs>
  <TotalTime>110</TotalTime>
  <ScaleCrop>false</ScaleCrop>
  <LinksUpToDate>false</LinksUpToDate>
  <CharactersWithSpaces>6829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2025-08-18T06:53:00Z</dcterms:created>
  <dc:creator>燕艳华</dc:creator>
  <cp:lastModifiedBy>燕艳华</cp:lastModifiedBy>
  <dcterms:modified xsi:type="dcterms:W3CDTF">2026-05-08T01:30:02Z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FCF988B65ACE4612A8273BC0034F1028_13</vt:lpwstr>
  </property>
  <property fmtid="{D5CDD505-2E9C-101B-9397-08002B2CF9AE}" pid="4" name="KSOTemplateDocerSaveRecord">
    <vt:lpwstr>eyJoZGlkIjoiNDg3MDdmM2U0ZDBlZTExNzZhZjYwYWRjYmIwODkxMGEiLCJ1c2VySWQiOiIyNjY5MTc3MTIifQ==</vt:lpwstr>
  </property>
</Properties>
</file>