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F1137D">
      <w:pPr>
        <w:jc w:val="center"/>
        <w:rPr>
          <w:rFonts w:ascii="黑体" w:hAnsi="黑体" w:eastAsia="黑体"/>
          <w:sz w:val="32"/>
          <w:szCs w:val="32"/>
        </w:rPr>
      </w:pPr>
      <w:r>
        <w:rPr>
          <w:rFonts w:hint="eastAsia" w:ascii="黑体" w:hAnsi="黑体" w:eastAsia="黑体"/>
          <w:sz w:val="32"/>
          <w:szCs w:val="32"/>
          <w:lang w:val="en-US" w:eastAsia="zh-CN"/>
        </w:rPr>
        <w:t>中国中医药研究促进会</w:t>
      </w:r>
      <w:r>
        <w:rPr>
          <w:rFonts w:hint="eastAsia" w:ascii="黑体" w:hAnsi="黑体" w:eastAsia="黑体"/>
          <w:sz w:val="32"/>
          <w:szCs w:val="32"/>
        </w:rPr>
        <w:t>标准</w:t>
      </w:r>
      <w:r>
        <w:rPr>
          <w:rFonts w:ascii="黑体" w:hAnsi="黑体" w:eastAsia="黑体"/>
          <w:sz w:val="32"/>
          <w:szCs w:val="32"/>
        </w:rPr>
        <w:br w:type="textWrapping"/>
      </w:r>
      <w:r>
        <w:rPr>
          <w:rFonts w:hint="eastAsia" w:ascii="黑体" w:hAnsi="黑体" w:eastAsia="黑体"/>
          <w:sz w:val="32"/>
          <w:szCs w:val="32"/>
        </w:rPr>
        <w:t>《</w:t>
      </w:r>
      <w:r>
        <w:rPr>
          <w:rFonts w:hint="eastAsia" w:ascii="黑体" w:hAnsi="黑体" w:eastAsia="黑体"/>
          <w:sz w:val="32"/>
          <w:szCs w:val="32"/>
          <w:lang w:val="en-US" w:eastAsia="zh-CN"/>
        </w:rPr>
        <w:t>潞党参土壤改良技术规程》</w:t>
      </w:r>
      <w:r>
        <w:rPr>
          <w:rFonts w:hint="eastAsia" w:ascii="黑体" w:hAnsi="黑体" w:eastAsia="黑体"/>
          <w:sz w:val="32"/>
          <w:szCs w:val="32"/>
          <w:lang w:eastAsia="zh-CN"/>
        </w:rPr>
        <w:t>（</w:t>
      </w:r>
      <w:bookmarkStart w:id="0" w:name="_GoBack"/>
      <w:bookmarkEnd w:id="0"/>
      <w:r>
        <w:rPr>
          <w:rFonts w:hint="eastAsia" w:ascii="黑体" w:hAnsi="黑体" w:eastAsia="黑体"/>
          <w:sz w:val="32"/>
          <w:szCs w:val="32"/>
          <w:lang w:val="en-US" w:eastAsia="zh-CN"/>
        </w:rPr>
        <w:t>征求意见稿</w:t>
      </w:r>
      <w:r>
        <w:rPr>
          <w:rFonts w:hint="eastAsia" w:ascii="黑体" w:hAnsi="黑体" w:eastAsia="黑体"/>
          <w:sz w:val="32"/>
          <w:szCs w:val="32"/>
          <w:lang w:eastAsia="zh-CN"/>
        </w:rPr>
        <w:t>）</w:t>
      </w:r>
      <w:r>
        <w:rPr>
          <w:rFonts w:hint="eastAsia" w:ascii="黑体" w:hAnsi="黑体" w:eastAsia="黑体"/>
          <w:sz w:val="32"/>
          <w:szCs w:val="32"/>
        </w:rPr>
        <w:t>编制说明</w:t>
      </w:r>
    </w:p>
    <w:p w14:paraId="298D70B1">
      <w:pPr>
        <w:jc w:val="center"/>
        <w:rPr>
          <w:rFonts w:ascii="宋体" w:hAnsi="宋体"/>
          <w:szCs w:val="21"/>
        </w:rPr>
      </w:pPr>
    </w:p>
    <w:p w14:paraId="17E47D9C">
      <w:pPr>
        <w:spacing w:line="360" w:lineRule="auto"/>
        <w:rPr>
          <w:rFonts w:ascii="Times New Roman" w:hAnsi="Times New Roman"/>
          <w:sz w:val="24"/>
          <w:szCs w:val="24"/>
        </w:rPr>
      </w:pPr>
      <w:r>
        <w:rPr>
          <w:rFonts w:ascii="Times New Roman" w:hAnsi="Times New Roman"/>
          <w:sz w:val="24"/>
          <w:szCs w:val="24"/>
        </w:rPr>
        <w:t>一、</w:t>
      </w:r>
      <w:r>
        <w:rPr>
          <w:rFonts w:ascii="Times New Roman" w:hAnsi="Times New Roman"/>
          <w:b/>
          <w:sz w:val="24"/>
          <w:szCs w:val="24"/>
        </w:rPr>
        <w:t>工作简况</w:t>
      </w:r>
    </w:p>
    <w:p w14:paraId="38AA3538">
      <w:pPr>
        <w:spacing w:line="360" w:lineRule="auto"/>
        <w:rPr>
          <w:rFonts w:ascii="Times New Roman" w:hAnsi="Times New Roman"/>
          <w:b/>
          <w:sz w:val="24"/>
          <w:szCs w:val="24"/>
        </w:rPr>
      </w:pPr>
      <w:r>
        <w:rPr>
          <w:rFonts w:ascii="Times New Roman" w:hAnsi="Times New Roman"/>
          <w:b/>
          <w:sz w:val="24"/>
          <w:szCs w:val="24"/>
        </w:rPr>
        <w:t>1、任务来源</w:t>
      </w:r>
    </w:p>
    <w:p w14:paraId="37D600C3">
      <w:pPr>
        <w:spacing w:line="360" w:lineRule="auto"/>
        <w:ind w:firstLine="480" w:firstLineChars="200"/>
        <w:rPr>
          <w:rFonts w:hint="default" w:ascii="Times New Roman" w:hAnsi="Times New Roman"/>
          <w:sz w:val="24"/>
          <w:szCs w:val="24"/>
          <w:lang w:val="en-US"/>
        </w:rPr>
      </w:pPr>
      <w:r>
        <w:rPr>
          <w:rFonts w:hint="eastAsia" w:ascii="Times New Roman" w:hAnsi="Times New Roman"/>
          <w:sz w:val="24"/>
          <w:szCs w:val="24"/>
          <w:lang w:val="en-US" w:eastAsia="zh-CN"/>
        </w:rPr>
        <w:t>《潞党参土壤改良技术规程》是由中国中医药研究促进会于2026年4月30日批准立项的团体标准项目。根据中国中医药研究促进会《关于〈潞党参仓储流通技术规范〉等八个团体标准立项公告》，该标准由长治市中药材产业发展中心提出，中国中医药研究促进会归口，长治市中药材产业发展中心、中国标准化研究院等单位负责起草。</w:t>
      </w:r>
    </w:p>
    <w:p w14:paraId="482E41E0">
      <w:pPr>
        <w:spacing w:line="360" w:lineRule="auto"/>
        <w:rPr>
          <w:rFonts w:ascii="Times New Roman" w:hAnsi="Times New Roman"/>
          <w:b/>
          <w:sz w:val="24"/>
          <w:szCs w:val="24"/>
        </w:rPr>
      </w:pPr>
      <w:r>
        <w:rPr>
          <w:rFonts w:hint="eastAsia" w:ascii="Times New Roman" w:hAnsi="Times New Roman"/>
          <w:b/>
          <w:sz w:val="24"/>
          <w:szCs w:val="24"/>
        </w:rPr>
        <w:t>2、编制背景及目标</w:t>
      </w:r>
    </w:p>
    <w:p w14:paraId="51192E36">
      <w:pPr>
        <w:pStyle w:val="12"/>
        <w:keepNext w:val="0"/>
        <w:keepLines w:val="0"/>
        <w:widowControl/>
        <w:suppressLineNumbers w:val="0"/>
        <w:shd w:val="clear" w:fill="FFFFFF"/>
        <w:spacing w:before="80" w:beforeAutospacing="0" w:after="80" w:afterAutospacing="0" w:line="360" w:lineRule="auto"/>
        <w:ind w:left="0" w:right="0" w:firstLine="0"/>
        <w:rPr>
          <w:rFonts w:hint="eastAsia"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潞党参是著名的道地药材，因产于山西古潞州（今长治市一带）而得名，素有</w:t>
      </w:r>
      <w:r>
        <w:rPr>
          <w:rFonts w:hint="eastAsia" w:ascii="Times New Roman" w:hAnsi="Times New Roman"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党参之王</w:t>
      </w:r>
      <w:r>
        <w:rPr>
          <w:rFonts w:hint="eastAsia" w:ascii="Times New Roman" w:hAnsi="Times New Roman" w:cs="Times New Roman"/>
          <w:kern w:val="2"/>
          <w:sz w:val="24"/>
          <w:szCs w:val="24"/>
          <w:lang w:val="en-US" w:eastAsia="zh-CN" w:bidi="ar-SA"/>
        </w:rPr>
        <w:t>”</w:t>
      </w:r>
      <w:r>
        <w:rPr>
          <w:rFonts w:hint="default" w:ascii="Times New Roman" w:hAnsi="Times New Roman" w:eastAsia="宋体" w:cs="Times New Roman"/>
          <w:kern w:val="2"/>
          <w:sz w:val="24"/>
          <w:szCs w:val="24"/>
          <w:lang w:val="en-US" w:eastAsia="zh-CN" w:bidi="ar-SA"/>
        </w:rPr>
        <w:t>的美誉。随着种植年限增加和连作面积扩大，潞党参种植区土壤障碍问题日益突出。研究表明，长期连作会导致土壤板结、养分失衡、自毒物质积累及根腐病高发等多重问题，严重制约潞党参的产量和品质。当土壤pH低于5.5时，潞党参产量急剧下降；连作导致根腐病发病率高达20%～70%，潜在致病真菌显著富集，死苗率超过30%。土壤板结导致党参肉质根发育受阻，化肥过量施用同时造成土壤质量下降和党参品质降低。</w:t>
      </w:r>
    </w:p>
    <w:p w14:paraId="500F597B">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目前，潞党参相关标准（如T/CACM 1020.51-2019《道地药材 第51部分：潞党参》、DB14/T 2286-2021《潞党参产地加工技术规程》）主要集中于产地加工和质量要求，种植环节尤其是土壤改良领域尚属空白。2026年4月，长治市中药材产业发展中心与中国标准化研究院正式启动潞党参全产业链标准体系建设工作，将土壤改良列为核心环节。</w:t>
      </w:r>
    </w:p>
    <w:p w14:paraId="32E964B4">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因此，本项目旨在通过制定《潞党参土壤改良技术规程》团体标准，针对土壤板结、养分失衡、连作障碍、自毒物质积累等主要土壤障碍类型，提出系统的诊断方法和改良技术方案，从源头改善土壤健康，保障潞党参产业可持续发展。</w:t>
      </w:r>
    </w:p>
    <w:p w14:paraId="4758EE04">
      <w:pPr>
        <w:spacing w:line="360" w:lineRule="auto"/>
        <w:rPr>
          <w:rFonts w:ascii="Times New Roman" w:hAnsi="Times New Roman"/>
          <w:b/>
          <w:sz w:val="24"/>
          <w:szCs w:val="24"/>
        </w:rPr>
      </w:pPr>
      <w:r>
        <w:rPr>
          <w:rFonts w:ascii="Times New Roman" w:hAnsi="Times New Roman"/>
          <w:b/>
          <w:sz w:val="24"/>
          <w:szCs w:val="24"/>
        </w:rPr>
        <w:t>3、工作过程</w:t>
      </w:r>
    </w:p>
    <w:p w14:paraId="1F5A6713">
      <w:pPr>
        <w:spacing w:line="360" w:lineRule="auto"/>
        <w:ind w:firstLine="480" w:firstLineChars="200"/>
        <w:rPr>
          <w:rFonts w:hint="default" w:ascii="Times New Roman" w:hAnsi="Times New Roman"/>
          <w:sz w:val="24"/>
          <w:szCs w:val="24"/>
          <w:lang w:val="en-US" w:eastAsia="zh-CN"/>
        </w:rPr>
      </w:pPr>
      <w:r>
        <w:rPr>
          <w:rFonts w:hint="eastAsia" w:ascii="Times New Roman" w:hAnsi="Times New Roman"/>
          <w:sz w:val="24"/>
          <w:szCs w:val="24"/>
          <w:lang w:val="en-US" w:eastAsia="zh-CN"/>
        </w:rPr>
        <w:t>（1）需求调研</w:t>
      </w:r>
    </w:p>
    <w:p w14:paraId="6A31101A">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2026年3月，长治市中药材产业发展中心与中国标准化研究院组成调研组，深入平顺县、沁源县、武乡县3个潞党参主产区乡镇（开发区），实地走访了振东等13家相关企业，查看了潞党参育苗基地、生产基地、加工车间和药材仓库，组织召开了3场座谈会，通过与企业负责人、合作社、种植大户、技术人员座谈及田间交流，对潞党参标准化水平进行了全面摸底。调研发现，当前潞党参种植区土壤障碍问题突出，种植户对土壤板结、酸化、连作障碍等问题缺乏科学诊断方法和系统改良技术。通过调研，标准研制小组明确了标准制定的重点方向和技术需求。</w:t>
      </w:r>
    </w:p>
    <w:p w14:paraId="7743AB3B">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（2）制定标准研制计划</w:t>
      </w:r>
    </w:p>
    <w:p w14:paraId="2CD124A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调研结束后，标准研制小组召开团体标准启动会，讨论标准框架，设计工作总体思路，分配具体任务。标准研制小组由长治市中药材产业发展中心、中国标准化研究院等单位的技术骨干组成，涵盖农学、土壤学、标准化研究等专业领域</w:t>
      </w:r>
      <w:r>
        <w:rPr>
          <w:rFonts w:hint="eastAsia" w:ascii="Times New Roman" w:hAnsi="Times New Roman"/>
          <w:sz w:val="24"/>
          <w:szCs w:val="24"/>
          <w:lang w:val="en-US" w:eastAsia="zh-CN"/>
        </w:rPr>
        <w:t>。</w:t>
      </w:r>
    </w:p>
    <w:p w14:paraId="0D4C9E2D">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（3）资料收集与起草</w:t>
      </w:r>
    </w:p>
    <w:p w14:paraId="57F11179">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在调研基础上，标准研制小组系统收集整理了与土壤改良相关的法规、标准及科研文献资料</w:t>
      </w:r>
      <w:r>
        <w:rPr>
          <w:rFonts w:hint="eastAsia" w:ascii="Times New Roman" w:hAnsi="Times New Roman"/>
          <w:sz w:val="24"/>
          <w:szCs w:val="24"/>
          <w:lang w:val="en-US" w:eastAsia="zh-CN"/>
        </w:rPr>
        <w:t>。2026年4月，标准研制小组在需求调研和资料整理基础上，起草形成《潞党参土壤改良技术规程》标准草案初稿及相关立项材料。标准草案确定了土壤障碍诊断方法、土壤板结改良、养分失衡改良、连作障碍改良、自毒物质积累消减等技术内容。</w:t>
      </w:r>
    </w:p>
    <w:p w14:paraId="75FC096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（4）标准立项</w:t>
      </w:r>
    </w:p>
    <w:p w14:paraId="46906D15">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2026年4月，中国中医药研究促进会组织专家对《潞党参土壤改良技术规程》等团体标准进行立项评审。经专家评议、研究论证，认为该标准符合立项条件，批准立项。同月，中国中医药研究促进会发布《关于〈潞党参仓储流通技术规范〉等八个团体标准立项公告》，将本标准列入编制计划。</w:t>
      </w:r>
    </w:p>
    <w:p w14:paraId="27773F44">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（5）征求意见阶段</w:t>
      </w:r>
    </w:p>
    <w:p w14:paraId="05D2B559">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根据立项评审会专家提出的建议反馈，标准研制小组对标准草案进行了修改完善，重点对土壤障碍诊断方法、各类改良技术方案的操作要求等进行了优化调整</w:t>
      </w:r>
      <w:r>
        <w:rPr>
          <w:rFonts w:hint="eastAsia" w:ascii="Times New Roman" w:hAnsi="Times New Roman"/>
          <w:sz w:val="24"/>
          <w:szCs w:val="24"/>
          <w:lang w:val="en-US" w:eastAsia="zh-CN"/>
        </w:rPr>
        <w:t>，2026年5月，标准研制小组形成标准征求意见稿及编制说明等附件，拟通过中国中医药研究促进会网站向社会公开征求意见。</w:t>
      </w:r>
    </w:p>
    <w:p w14:paraId="4BAA5636">
      <w:pPr>
        <w:spacing w:line="360" w:lineRule="auto"/>
        <w:rPr>
          <w:rFonts w:ascii="Times New Roman" w:hAnsi="Times New Roman"/>
          <w:sz w:val="24"/>
          <w:szCs w:val="24"/>
        </w:rPr>
      </w:pPr>
      <w:r>
        <w:rPr>
          <w:rFonts w:ascii="Times New Roman" w:hAnsi="Times New Roman"/>
          <w:b/>
          <w:sz w:val="24"/>
          <w:szCs w:val="24"/>
        </w:rPr>
        <w:t>4、主要起草单位及起草人所做的工作</w:t>
      </w:r>
    </w:p>
    <w:p w14:paraId="3C2E4A43">
      <w:pPr>
        <w:spacing w:line="360" w:lineRule="auto"/>
        <w:ind w:firstLine="480" w:firstLineChars="200"/>
        <w:rPr>
          <w:rFonts w:hint="eastAsia" w:ascii="Times New Roman" w:hAnsi="Times New Roman"/>
          <w:sz w:val="24"/>
          <w:szCs w:val="24"/>
          <w:lang w:val="en-US" w:eastAsia="zh-CN"/>
        </w:rPr>
      </w:pPr>
      <w:r>
        <w:rPr>
          <w:rFonts w:hint="default" w:ascii="Times New Roman" w:hAnsi="Times New Roman"/>
          <w:sz w:val="24"/>
          <w:szCs w:val="24"/>
          <w:lang w:val="en-US" w:eastAsia="zh-CN"/>
        </w:rPr>
        <w:t>长治市中药材产业发展中心武东、王伟负责组织协调实地调研工作，对接</w:t>
      </w:r>
      <w:r>
        <w:rPr>
          <w:rFonts w:hint="eastAsia" w:ascii="Times New Roman" w:hAnsi="Times New Roman"/>
          <w:sz w:val="24"/>
          <w:szCs w:val="24"/>
          <w:lang w:val="en-US" w:eastAsia="zh-CN"/>
        </w:rPr>
        <w:t>长治市管理部门、企业、科研机构</w:t>
      </w:r>
      <w:r>
        <w:rPr>
          <w:rFonts w:hint="default" w:ascii="Times New Roman" w:hAnsi="Times New Roman"/>
          <w:sz w:val="24"/>
          <w:szCs w:val="24"/>
          <w:lang w:val="en-US" w:eastAsia="zh-CN"/>
        </w:rPr>
        <w:t>，组织召开了</w:t>
      </w:r>
      <w:r>
        <w:rPr>
          <w:rFonts w:hint="eastAsia" w:ascii="Times New Roman" w:hAnsi="Times New Roman"/>
          <w:sz w:val="24"/>
          <w:szCs w:val="24"/>
          <w:lang w:val="en-US" w:eastAsia="zh-CN"/>
        </w:rPr>
        <w:t>多</w:t>
      </w:r>
      <w:r>
        <w:rPr>
          <w:rFonts w:hint="default" w:ascii="Times New Roman" w:hAnsi="Times New Roman"/>
          <w:sz w:val="24"/>
          <w:szCs w:val="24"/>
          <w:lang w:val="en-US" w:eastAsia="zh-CN"/>
        </w:rPr>
        <w:t>座谈会，收集了潞党参产业一线的质量等级现状和实际需求，为标准制定提供了产业实践基础。</w:t>
      </w:r>
    </w:p>
    <w:p w14:paraId="172CDDA6">
      <w:pPr>
        <w:spacing w:line="360" w:lineRule="auto"/>
        <w:ind w:firstLine="480" w:firstLineChars="200"/>
        <w:rPr>
          <w:rFonts w:ascii="黑体" w:hAnsi="黑体" w:eastAsia="黑体"/>
          <w:sz w:val="24"/>
          <w:szCs w:val="24"/>
        </w:rPr>
      </w:pPr>
      <w:r>
        <w:rPr>
          <w:rFonts w:hint="default" w:ascii="Times New Roman" w:hAnsi="Times New Roman"/>
          <w:sz w:val="24"/>
          <w:szCs w:val="24"/>
          <w:lang w:val="en-US" w:eastAsia="zh-CN"/>
        </w:rPr>
        <w:t>中国标准化研究院（初侨、燕艳华）参与实地调研工作，负责调研方案设计和产业需求分析，梳理了潞党参标准化现状及存在的问题；陈萌负责国内外相关标准及科研文献的系统梳理、标准草案的起草和编制说明的撰写。</w:t>
      </w:r>
    </w:p>
    <w:p w14:paraId="5BBCD5AD">
      <w:pPr>
        <w:spacing w:line="360" w:lineRule="auto"/>
        <w:rPr>
          <w:rFonts w:ascii="黑体" w:hAnsi="黑体" w:eastAsia="黑体"/>
          <w:sz w:val="24"/>
          <w:szCs w:val="24"/>
        </w:rPr>
      </w:pPr>
      <w:r>
        <w:rPr>
          <w:rFonts w:ascii="黑体" w:hAnsi="黑体" w:eastAsia="黑体"/>
          <w:sz w:val="24"/>
          <w:szCs w:val="24"/>
        </w:rPr>
        <w:t>二、标准编制原则</w:t>
      </w:r>
      <w:r>
        <w:rPr>
          <w:rFonts w:hint="eastAsia" w:ascii="黑体" w:hAnsi="黑体" w:eastAsia="黑体"/>
          <w:sz w:val="24"/>
          <w:szCs w:val="24"/>
        </w:rPr>
        <w:t>和主要内容</w:t>
      </w:r>
    </w:p>
    <w:p w14:paraId="42299078">
      <w:pPr>
        <w:spacing w:line="360" w:lineRule="auto"/>
      </w:pPr>
      <w:r>
        <w:rPr>
          <w:rFonts w:hint="eastAsia" w:ascii="黑体" w:hAnsi="黑体" w:eastAsia="黑体"/>
          <w:sz w:val="24"/>
          <w:szCs w:val="24"/>
        </w:rPr>
        <w:t>1、标准制定原则</w:t>
      </w:r>
    </w:p>
    <w:p w14:paraId="70B4FF7A">
      <w:pPr>
        <w:pStyle w:val="12"/>
        <w:keepNext w:val="0"/>
        <w:keepLines w:val="0"/>
        <w:widowControl/>
        <w:suppressLineNumbers w:val="0"/>
        <w:shd w:val="clear" w:fill="FFFFFF"/>
        <w:spacing w:before="80" w:beforeAutospacing="0" w:after="80" w:afterAutospacing="0" w:line="360" w:lineRule="auto"/>
        <w:ind w:left="0" w:right="0" w:firstLine="0"/>
        <w:rPr>
          <w:rFonts w:hint="eastAsia"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的编写制定以科学性、实用性和可操作性为总原则，严格遵循国家有关方针、政策、法规和规章。在标准制定过程中力求做到：技术内容的叙述正确无误；文字表达准确、简明、易懂；标准的构成严谨合理；内容编排、层次划分等符合逻辑与规定。</w:t>
      </w:r>
    </w:p>
    <w:p w14:paraId="09C386E0">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具体制定原则如下：</w:t>
      </w:r>
    </w:p>
    <w:p w14:paraId="101CB1F8">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一是坚持科学性原则。本标准中土壤障碍诊断方法、改良技术方案等技术参数的确定，以公开发表的学术论文和研究成果为依据。连作障碍分级依据连作年限和根腐病发病率分为轻、中、重三级，有机肥、生物炭、微生物菌剂等施用量均基于文献数据支撑。</w:t>
      </w:r>
    </w:p>
    <w:p w14:paraId="3D3CC8AF">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二是突出实用性原则。本标准针对土壤板结、养分失衡、连作障碍、自毒物质积累等不同障碍类型，分别给出“准备工作—操作要求—后续管理”的完整技术方案，便于种植户对照操作。诊断方法采用外观判断、手感判断等简易方法，无需专业检测设备，降低了使用门槛。</w:t>
      </w:r>
    </w:p>
    <w:p w14:paraId="0889CF8A">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三是注重生态安全原则。本标准在连作障碍改良中推荐轮作、增施有机肥、微生物菌剂等绿色措施，石灰氮消毒仅推荐用于重度连作障碍地块，避免过度依赖化学投入品。</w:t>
      </w:r>
    </w:p>
    <w:p w14:paraId="477FD582">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四是保持协调一致性。本标准的术语定义与T/CACM 1020.51-2019《道地药材 第51部分：潞党参》保持一致，轮作部分与《潞党参轮作技术指南》相互衔接，共同构成潞党参全产业链标准体系。</w:t>
      </w:r>
    </w:p>
    <w:p w14:paraId="572A43C9">
      <w:pPr>
        <w:pStyle w:val="1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Times New Roman" w:hAnsi="Times New Roman" w:eastAsia="宋体" w:cs="Times New Roman"/>
          <w:kern w:val="2"/>
          <w:sz w:val="24"/>
          <w:szCs w:val="24"/>
          <w:lang w:val="en-US" w:eastAsia="zh-CN" w:bidi="ar-SA"/>
        </w:rPr>
      </w:pPr>
    </w:p>
    <w:p w14:paraId="7F6F2259">
      <w:pPr>
        <w:spacing w:line="360" w:lineRule="auto"/>
        <w:rPr>
          <w:rFonts w:ascii="黑体" w:hAnsi="黑体" w:eastAsia="黑体"/>
          <w:sz w:val="24"/>
          <w:szCs w:val="24"/>
        </w:rPr>
      </w:pPr>
      <w:r>
        <w:rPr>
          <w:rFonts w:hint="eastAsia" w:ascii="黑体" w:hAnsi="黑体" w:eastAsia="黑体"/>
          <w:sz w:val="24"/>
          <w:szCs w:val="24"/>
        </w:rPr>
        <w:t>2、标准主要技术内容</w:t>
      </w:r>
    </w:p>
    <w:p w14:paraId="16EE926C">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本标准规定了潞党参种植区土壤障碍诊断、土壤改良技术方案等方面的技术要求，适用于山西省长治市及其周边生态环境相似地域的潞党参种植区土壤改良。</w:t>
      </w:r>
    </w:p>
    <w:p w14:paraId="36A39DE4">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（1）术语和定义：界定了土壤障碍、连作障碍等核心术语的定义。</w:t>
      </w:r>
    </w:p>
    <w:p w14:paraId="27074604">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（2）土壤障碍诊断：规定了土壤板结的外观判断、手感判断和简易测定方法；养分失衡的长势观察和送样检测方法；连作障碍根据连作年限和根腐病发病率分为轻、中、重三级。</w:t>
      </w:r>
    </w:p>
    <w:p w14:paraId="4700C8FA">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（3）土壤板结改良：规定了准备工作（清除残留、准备有机肥和设备、检查墒情）、操作要求（增施有机肥、秸秆还田、种植绿肥、深耕松土）和后续管理要求。</w:t>
      </w:r>
    </w:p>
    <w:p w14:paraId="39ED52ED">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（4）养分失衡改良：规定了准备工作（长势观察、土壤送检、确定施肥方案）、操作要求（增施有机肥、测土配方施肥、化肥减量增效、豆科绿肥固氮、微生物菌剂施用）和后续管理要求。</w:t>
      </w:r>
    </w:p>
    <w:p w14:paraId="7B4A06DE">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（5）连作障碍改良：规定了准备工作（确定障碍等级、准备物料）、操作要求（轮作、增施有机肥、微生物菌剂、生物炭、土壤消毒）和后续管理要求。</w:t>
      </w:r>
    </w:p>
    <w:p w14:paraId="59AEFC00">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（6）自毒物质积累消减：规定了准备工作（确认连作年限、观察自毒症状、准备物料）、操作要求（间作大蒜、轮作、功能性微生物菌剂、生物炭、清除病残体）和后续管理要求。</w:t>
      </w:r>
    </w:p>
    <w:p w14:paraId="2FB31BF5">
      <w:pPr>
        <w:spacing w:line="360" w:lineRule="auto"/>
        <w:rPr>
          <w:rFonts w:ascii="黑体" w:hAnsi="黑体" w:eastAsia="黑体"/>
          <w:sz w:val="24"/>
          <w:szCs w:val="24"/>
        </w:rPr>
      </w:pPr>
      <w:r>
        <w:rPr>
          <w:rFonts w:hint="eastAsia" w:ascii="黑体" w:hAnsi="黑体" w:eastAsia="黑体"/>
          <w:sz w:val="24"/>
          <w:szCs w:val="24"/>
        </w:rPr>
        <w:t>三</w:t>
      </w:r>
      <w:r>
        <w:rPr>
          <w:rFonts w:ascii="黑体" w:hAnsi="黑体" w:eastAsia="黑体"/>
          <w:sz w:val="24"/>
          <w:szCs w:val="24"/>
        </w:rPr>
        <w:t>、</w:t>
      </w:r>
      <w:r>
        <w:rPr>
          <w:rFonts w:hint="eastAsia" w:ascii="黑体" w:hAnsi="黑体" w:eastAsia="黑体"/>
          <w:sz w:val="24"/>
          <w:szCs w:val="24"/>
        </w:rPr>
        <w:t>主要试验（或验证）情况分析</w:t>
      </w:r>
    </w:p>
    <w:p w14:paraId="60A087CE">
      <w:pPr>
        <w:spacing w:line="360" w:lineRule="auto"/>
        <w:ind w:firstLine="480" w:firstLineChars="200"/>
        <w:rPr>
          <w:rFonts w:hint="eastAsia" w:ascii="Times New Roman" w:hAnsi="Times New Roman"/>
          <w:sz w:val="24"/>
          <w:szCs w:val="24"/>
          <w:lang w:val="en-US" w:eastAsia="zh-CN"/>
        </w:rPr>
      </w:pPr>
      <w:r>
        <w:rPr>
          <w:rFonts w:hint="eastAsia" w:ascii="Times New Roman" w:hAnsi="Times New Roman"/>
          <w:sz w:val="24"/>
          <w:szCs w:val="24"/>
          <w:lang w:val="en-US" w:eastAsia="zh-CN"/>
        </w:rPr>
        <w:t>无</w:t>
      </w:r>
    </w:p>
    <w:p w14:paraId="73D457CB">
      <w:pPr>
        <w:spacing w:line="360" w:lineRule="auto"/>
        <w:rPr>
          <w:rFonts w:ascii="黑体" w:hAnsi="黑体" w:eastAsia="黑体"/>
          <w:sz w:val="24"/>
          <w:szCs w:val="24"/>
        </w:rPr>
      </w:pPr>
      <w:r>
        <w:rPr>
          <w:rFonts w:hint="eastAsia" w:ascii="黑体" w:hAnsi="黑体" w:eastAsia="黑体"/>
          <w:sz w:val="24"/>
          <w:szCs w:val="24"/>
        </w:rPr>
        <w:t>四、标准中涉及专利的情况</w:t>
      </w:r>
    </w:p>
    <w:p w14:paraId="6E728D66">
      <w:pPr>
        <w:spacing w:line="360" w:lineRule="auto"/>
        <w:ind w:firstLine="465"/>
        <w:rPr>
          <w:rFonts w:ascii="Times New Roman" w:hAnsi="Times New Roman"/>
          <w:sz w:val="24"/>
          <w:szCs w:val="24"/>
        </w:rPr>
      </w:pPr>
      <w:r>
        <w:rPr>
          <w:rFonts w:hint="eastAsia" w:ascii="Times New Roman" w:hAnsi="Times New Roman"/>
          <w:sz w:val="24"/>
          <w:szCs w:val="24"/>
        </w:rPr>
        <w:t>本标准中没有涉及专利的情况。</w:t>
      </w:r>
    </w:p>
    <w:p w14:paraId="2A22321A">
      <w:pPr>
        <w:spacing w:line="360" w:lineRule="auto"/>
        <w:rPr>
          <w:rFonts w:ascii="黑体" w:hAnsi="黑体" w:eastAsia="黑体"/>
          <w:sz w:val="24"/>
          <w:szCs w:val="24"/>
        </w:rPr>
      </w:pPr>
      <w:r>
        <w:rPr>
          <w:rFonts w:hint="eastAsia" w:ascii="黑体" w:hAnsi="黑体" w:eastAsia="黑体"/>
          <w:sz w:val="24"/>
          <w:szCs w:val="24"/>
        </w:rPr>
        <w:t>五</w:t>
      </w:r>
      <w:r>
        <w:rPr>
          <w:rFonts w:ascii="黑体" w:hAnsi="黑体" w:eastAsia="黑体"/>
          <w:sz w:val="24"/>
          <w:szCs w:val="24"/>
        </w:rPr>
        <w:t>、预期达到的社会效益、对产业发展的作用的情况</w:t>
      </w:r>
    </w:p>
    <w:p w14:paraId="14D5AB06">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本标准的研制和实施，具有以下重要作用：</w:t>
      </w:r>
    </w:p>
    <w:p w14:paraId="3AD18E39">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一是填补技术标准空白。本标准将填补潞党参土壤改良技术领域的标准空白，与现有标准共同构成涵盖种植、加工、质量评价的潞党参全产业链标准体系，为产区种植户提供系统、规范的土壤改良技术指导。</w:t>
      </w:r>
    </w:p>
    <w:p w14:paraId="0D5C91C7">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二是支撑产业提质增效。通过科学土壤改良，可有效缓解土壤板结、养分失衡、连作障碍等问题，提高潞党参产量和品质。研究表明，“有机肥+微生物菌剂+缓控释肥”组合模式可减少化肥施用量20%～30%，经济效益和生态效益显著。</w:t>
      </w:r>
    </w:p>
    <w:p w14:paraId="331CF6A7">
      <w:pPr>
        <w:pStyle w:val="12"/>
        <w:keepNext w:val="0"/>
        <w:keepLines w:val="0"/>
        <w:widowControl/>
        <w:suppressLineNumbers w:val="0"/>
        <w:shd w:val="clear" w:fill="FFFFFF"/>
        <w:spacing w:before="80" w:beforeAutospacing="0" w:after="80" w:afterAutospacing="0" w:line="360" w:lineRule="auto"/>
        <w:ind w:left="0" w:right="0" w:firstLine="0"/>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kern w:val="2"/>
          <w:sz w:val="24"/>
          <w:szCs w:val="24"/>
          <w:lang w:val="en-US" w:eastAsia="zh-CN" w:bidi="ar-SA"/>
        </w:rPr>
        <w:t>三是服务绿色可持续发展。本标准推荐轮作、增施有机肥、微生物菌剂等绿色改良措施，减少对化学投入品的依赖，推动潞党参种植向绿色、生态、可持续方向发展。</w:t>
      </w:r>
    </w:p>
    <w:p w14:paraId="5408827D">
      <w:pPr>
        <w:keepNext w:val="0"/>
        <w:keepLines w:val="0"/>
        <w:pageBreakBefore w:val="0"/>
        <w:widowControl w:val="0"/>
        <w:kinsoku/>
        <w:wordWrap/>
        <w:overflowPunct/>
        <w:topLinePunct w:val="0"/>
        <w:autoSpaceDE/>
        <w:autoSpaceDN/>
        <w:bidi w:val="0"/>
        <w:adjustRightInd/>
        <w:snapToGrid/>
        <w:spacing w:before="157" w:beforeLines="50" w:line="360" w:lineRule="auto"/>
        <w:textAlignment w:val="auto"/>
        <w:rPr>
          <w:rFonts w:ascii="黑体" w:hAnsi="黑体" w:eastAsia="黑体"/>
          <w:sz w:val="24"/>
          <w:szCs w:val="24"/>
        </w:rPr>
      </w:pPr>
      <w:r>
        <w:rPr>
          <w:rFonts w:hint="eastAsia" w:ascii="黑体" w:hAnsi="黑体" w:eastAsia="黑体"/>
          <w:sz w:val="24"/>
          <w:szCs w:val="24"/>
        </w:rPr>
        <w:t>六</w:t>
      </w:r>
      <w:r>
        <w:rPr>
          <w:rFonts w:ascii="黑体" w:hAnsi="黑体" w:eastAsia="黑体"/>
          <w:sz w:val="24"/>
          <w:szCs w:val="24"/>
        </w:rPr>
        <w:t>、</w:t>
      </w:r>
      <w:r>
        <w:rPr>
          <w:rFonts w:hint="eastAsia" w:ascii="黑体" w:hAnsi="黑体" w:eastAsia="黑体"/>
          <w:sz w:val="24"/>
          <w:szCs w:val="24"/>
        </w:rPr>
        <w:t>采用国际标准和国外先进标准情况，与国际、国外同类标准水平的对比情况，国内外关键指标对比分析或与测试的国外样品、样机的相关数据对比情况</w:t>
      </w:r>
    </w:p>
    <w:p w14:paraId="56681590">
      <w:pPr>
        <w:spacing w:line="360" w:lineRule="auto"/>
        <w:ind w:firstLine="480" w:firstLineChars="200"/>
        <w:jc w:val="left"/>
        <w:rPr>
          <w:rFonts w:ascii="Times New Roman" w:hAnsi="Times New Roman"/>
          <w:b/>
          <w:sz w:val="24"/>
          <w:szCs w:val="24"/>
        </w:rPr>
      </w:pPr>
      <w:r>
        <w:rPr>
          <w:rFonts w:hint="eastAsia" w:ascii="Times New Roman" w:hAnsi="Times New Roman"/>
          <w:sz w:val="24"/>
          <w:szCs w:val="24"/>
          <w:lang w:val="en-US" w:eastAsia="zh-CN"/>
        </w:rPr>
        <w:t>本标准的制定未采用国际标准</w:t>
      </w:r>
    </w:p>
    <w:p w14:paraId="61071F9F">
      <w:pPr>
        <w:spacing w:line="360" w:lineRule="auto"/>
        <w:rPr>
          <w:rFonts w:ascii="黑体" w:hAnsi="黑体" w:eastAsia="黑体"/>
          <w:sz w:val="24"/>
          <w:szCs w:val="24"/>
        </w:rPr>
      </w:pPr>
      <w:r>
        <w:rPr>
          <w:rFonts w:hint="eastAsia" w:ascii="黑体" w:hAnsi="黑体" w:eastAsia="黑体"/>
          <w:sz w:val="24"/>
          <w:szCs w:val="24"/>
        </w:rPr>
        <w:t>七</w:t>
      </w:r>
      <w:r>
        <w:rPr>
          <w:rFonts w:ascii="黑体" w:hAnsi="黑体" w:eastAsia="黑体"/>
          <w:sz w:val="24"/>
          <w:szCs w:val="24"/>
        </w:rPr>
        <w:t>、在标准体系中的位置，与现行相关法律、法规、规章及相关标准，特别是强制性标准的协调性</w:t>
      </w:r>
    </w:p>
    <w:p w14:paraId="48F34410">
      <w:pPr>
        <w:spacing w:line="360" w:lineRule="auto"/>
        <w:ind w:firstLine="480" w:firstLineChars="200"/>
        <w:rPr>
          <w:rFonts w:ascii="Times New Roman" w:hAnsi="Times New Roman"/>
          <w:sz w:val="24"/>
          <w:szCs w:val="24"/>
        </w:rPr>
      </w:pPr>
      <w:r>
        <w:rPr>
          <w:rFonts w:ascii="Times New Roman" w:hAnsi="Times New Roman"/>
          <w:sz w:val="24"/>
          <w:szCs w:val="24"/>
        </w:rPr>
        <w:t>本标准属于团体标准，与现行法律、法规、规章和政策以及有关基础和相关标准不矛盾。</w:t>
      </w:r>
    </w:p>
    <w:p w14:paraId="0F2BE574">
      <w:pPr>
        <w:spacing w:line="360" w:lineRule="auto"/>
        <w:rPr>
          <w:rFonts w:ascii="黑体" w:hAnsi="黑体" w:eastAsia="黑体"/>
          <w:sz w:val="24"/>
          <w:szCs w:val="24"/>
        </w:rPr>
      </w:pPr>
      <w:r>
        <w:rPr>
          <w:rFonts w:hint="eastAsia" w:ascii="黑体" w:hAnsi="黑体" w:eastAsia="黑体"/>
          <w:sz w:val="24"/>
          <w:szCs w:val="24"/>
        </w:rPr>
        <w:t>八</w:t>
      </w:r>
      <w:r>
        <w:rPr>
          <w:rFonts w:ascii="黑体" w:hAnsi="黑体" w:eastAsia="黑体"/>
          <w:sz w:val="24"/>
          <w:szCs w:val="24"/>
        </w:rPr>
        <w:t>、重大分歧意见的处理经过和依据</w:t>
      </w:r>
    </w:p>
    <w:p w14:paraId="31098F1F">
      <w:pPr>
        <w:spacing w:line="360" w:lineRule="auto"/>
        <w:ind w:firstLine="480" w:firstLineChars="200"/>
        <w:rPr>
          <w:rFonts w:ascii="Times New Roman" w:hAnsi="Times New Roman"/>
          <w:sz w:val="24"/>
          <w:szCs w:val="24"/>
        </w:rPr>
      </w:pPr>
      <w:r>
        <w:rPr>
          <w:rFonts w:ascii="Times New Roman" w:hAnsi="Times New Roman"/>
          <w:sz w:val="24"/>
          <w:szCs w:val="24"/>
        </w:rPr>
        <w:t>本标准未产生重大分歧意见</w:t>
      </w:r>
      <w:r>
        <w:rPr>
          <w:rFonts w:hint="eastAsia" w:ascii="Times New Roman" w:hAnsi="Times New Roman"/>
          <w:sz w:val="24"/>
          <w:szCs w:val="24"/>
        </w:rPr>
        <w:t>。</w:t>
      </w:r>
    </w:p>
    <w:p w14:paraId="4C1B385F">
      <w:pPr>
        <w:spacing w:line="360" w:lineRule="auto"/>
        <w:rPr>
          <w:rFonts w:ascii="黑体" w:hAnsi="黑体" w:eastAsia="黑体"/>
          <w:sz w:val="24"/>
          <w:szCs w:val="24"/>
        </w:rPr>
      </w:pPr>
      <w:r>
        <w:rPr>
          <w:rFonts w:hint="eastAsia" w:ascii="黑体" w:hAnsi="黑体" w:eastAsia="黑体"/>
          <w:sz w:val="24"/>
          <w:szCs w:val="24"/>
        </w:rPr>
        <w:t>九</w:t>
      </w:r>
      <w:r>
        <w:rPr>
          <w:rFonts w:ascii="黑体" w:hAnsi="黑体" w:eastAsia="黑体"/>
          <w:sz w:val="24"/>
          <w:szCs w:val="24"/>
        </w:rPr>
        <w:t>、标准性质的建议说明</w:t>
      </w:r>
    </w:p>
    <w:p w14:paraId="51F3ED73">
      <w:pPr>
        <w:spacing w:line="360" w:lineRule="auto"/>
        <w:ind w:firstLine="435"/>
        <w:rPr>
          <w:rFonts w:ascii="Times New Roman" w:hAnsi="Times New Roman"/>
          <w:sz w:val="24"/>
          <w:szCs w:val="24"/>
        </w:rPr>
      </w:pPr>
      <w:r>
        <w:rPr>
          <w:rFonts w:hint="eastAsia" w:ascii="Times New Roman" w:hAnsi="Times New Roman"/>
          <w:sz w:val="24"/>
          <w:szCs w:val="24"/>
        </w:rPr>
        <w:t>本标准为</w:t>
      </w:r>
      <w:r>
        <w:rPr>
          <w:rFonts w:hint="eastAsia" w:ascii="Times New Roman" w:hAnsi="Times New Roman"/>
          <w:sz w:val="24"/>
          <w:szCs w:val="24"/>
          <w:lang w:val="en-US" w:eastAsia="zh-CN"/>
        </w:rPr>
        <w:t>中国中医药研究促进会团体</w:t>
      </w:r>
      <w:r>
        <w:rPr>
          <w:rFonts w:hint="eastAsia" w:ascii="Times New Roman" w:hAnsi="Times New Roman"/>
          <w:sz w:val="24"/>
          <w:szCs w:val="24"/>
        </w:rPr>
        <w:t>标准，属于团体标准,供协会会员和社会自愿使用。</w:t>
      </w:r>
    </w:p>
    <w:p w14:paraId="30107A08">
      <w:pPr>
        <w:spacing w:line="360" w:lineRule="auto"/>
        <w:rPr>
          <w:rFonts w:ascii="黑体" w:hAnsi="黑体" w:eastAsia="黑体"/>
          <w:sz w:val="24"/>
          <w:szCs w:val="24"/>
        </w:rPr>
      </w:pPr>
      <w:r>
        <w:rPr>
          <w:rFonts w:hint="eastAsia" w:ascii="黑体" w:hAnsi="黑体" w:eastAsia="黑体"/>
          <w:sz w:val="24"/>
          <w:szCs w:val="24"/>
        </w:rPr>
        <w:t>十、贯彻标准的要求和措施建议</w:t>
      </w:r>
    </w:p>
    <w:p w14:paraId="074EFE80">
      <w:pPr>
        <w:spacing w:line="360" w:lineRule="auto"/>
        <w:ind w:firstLine="480" w:firstLineChars="200"/>
        <w:rPr>
          <w:rFonts w:ascii="Times New Roman" w:hAnsi="Times New Roman"/>
          <w:sz w:val="24"/>
          <w:szCs w:val="24"/>
        </w:rPr>
      </w:pPr>
      <w:r>
        <w:rPr>
          <w:rFonts w:ascii="Times New Roman" w:hAnsi="Times New Roman"/>
          <w:sz w:val="24"/>
          <w:szCs w:val="24"/>
        </w:rPr>
        <w:t>本标准为首次发布。</w:t>
      </w:r>
    </w:p>
    <w:p w14:paraId="248E3410">
      <w:pPr>
        <w:spacing w:line="360" w:lineRule="auto"/>
        <w:rPr>
          <w:rFonts w:ascii="黑体" w:hAnsi="黑体" w:eastAsia="黑体"/>
          <w:sz w:val="24"/>
          <w:szCs w:val="24"/>
        </w:rPr>
      </w:pPr>
      <w:r>
        <w:rPr>
          <w:rFonts w:ascii="黑体" w:hAnsi="黑体" w:eastAsia="黑体"/>
          <w:sz w:val="24"/>
          <w:szCs w:val="24"/>
        </w:rPr>
        <w:t>十</w:t>
      </w:r>
      <w:r>
        <w:rPr>
          <w:rFonts w:hint="eastAsia" w:ascii="黑体" w:hAnsi="黑体" w:eastAsia="黑体"/>
          <w:sz w:val="24"/>
          <w:szCs w:val="24"/>
        </w:rPr>
        <w:t>一</w:t>
      </w:r>
      <w:r>
        <w:rPr>
          <w:rFonts w:ascii="黑体" w:hAnsi="黑体" w:eastAsia="黑体"/>
          <w:sz w:val="24"/>
          <w:szCs w:val="24"/>
        </w:rPr>
        <w:t>、废止现行相关标准的建议</w:t>
      </w:r>
    </w:p>
    <w:p w14:paraId="1200D699">
      <w:pPr>
        <w:spacing w:line="360" w:lineRule="auto"/>
        <w:ind w:firstLine="480" w:firstLineChars="200"/>
        <w:rPr>
          <w:rFonts w:ascii="Times New Roman" w:hAnsi="Times New Roman"/>
          <w:sz w:val="24"/>
          <w:szCs w:val="24"/>
        </w:rPr>
      </w:pPr>
      <w:r>
        <w:rPr>
          <w:rFonts w:hint="eastAsia" w:ascii="Times New Roman" w:hAnsi="Times New Roman"/>
          <w:sz w:val="24"/>
          <w:szCs w:val="24"/>
        </w:rPr>
        <w:t>本标准为新起草的团体标准，无废止现行标准。</w:t>
      </w:r>
    </w:p>
    <w:p w14:paraId="537C7C82">
      <w:pPr>
        <w:spacing w:line="360" w:lineRule="auto"/>
        <w:rPr>
          <w:rFonts w:ascii="黑体" w:hAnsi="黑体" w:eastAsia="黑体"/>
          <w:sz w:val="24"/>
          <w:szCs w:val="24"/>
        </w:rPr>
      </w:pPr>
      <w:r>
        <w:rPr>
          <w:rFonts w:ascii="黑体" w:hAnsi="黑体" w:eastAsia="黑体"/>
          <w:sz w:val="24"/>
          <w:szCs w:val="24"/>
        </w:rPr>
        <w:t>十</w:t>
      </w:r>
      <w:r>
        <w:rPr>
          <w:rFonts w:hint="eastAsia" w:ascii="黑体" w:hAnsi="黑体" w:eastAsia="黑体"/>
          <w:sz w:val="24"/>
          <w:szCs w:val="24"/>
        </w:rPr>
        <w:t>二</w:t>
      </w:r>
      <w:r>
        <w:rPr>
          <w:rFonts w:ascii="黑体" w:hAnsi="黑体" w:eastAsia="黑体"/>
          <w:sz w:val="24"/>
          <w:szCs w:val="24"/>
        </w:rPr>
        <w:t>、其他应予说明的事项</w:t>
      </w:r>
    </w:p>
    <w:p w14:paraId="0D772E6F">
      <w:pPr>
        <w:spacing w:line="360" w:lineRule="auto"/>
        <w:ind w:firstLine="480" w:firstLineChars="200"/>
        <w:rPr>
          <w:rFonts w:ascii="Times New Roman" w:hAnsi="Times New Roman"/>
          <w:sz w:val="24"/>
          <w:szCs w:val="24"/>
        </w:rPr>
      </w:pPr>
      <w:r>
        <w:rPr>
          <w:rFonts w:hint="eastAsia" w:ascii="Times New Roman" w:hAnsi="Times New Roman"/>
          <w:sz w:val="24"/>
          <w:szCs w:val="24"/>
        </w:rPr>
        <w:t>无</w:t>
      </w:r>
    </w:p>
    <w:p w14:paraId="4D81F688">
      <w:pPr>
        <w:rPr>
          <w:rFonts w:ascii="Times New Roman" w:hAnsi="Times New Roman"/>
          <w:b/>
          <w:sz w:val="24"/>
          <w:szCs w:val="24"/>
        </w:rPr>
      </w:pPr>
    </w:p>
    <w:p w14:paraId="01C4914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226AFF"/>
    <w:multiLevelType w:val="multilevel"/>
    <w:tmpl w:val="03226AFF"/>
    <w:lvl w:ilvl="0" w:tentative="0">
      <w:start w:val="1"/>
      <w:numFmt w:val="decimal"/>
      <w:pStyle w:val="56"/>
      <w:suff w:val="space"/>
      <w:lvlText w:val="[%1]"/>
      <w:lvlJc w:val="left"/>
      <w:pPr>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115E081A"/>
    <w:multiLevelType w:val="multilevel"/>
    <w:tmpl w:val="115E081A"/>
    <w:lvl w:ilvl="0" w:tentative="0">
      <w:start w:val="1"/>
      <w:numFmt w:val="decimal"/>
      <w:pStyle w:val="59"/>
      <w:suff w:val="nothing"/>
      <w:lvlText w:val="%1  "/>
      <w:lvlJc w:val="left"/>
      <w:pPr>
        <w:ind w:left="283"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1" w:tentative="0">
      <w:start w:val="1"/>
      <w:numFmt w:val="decimal"/>
      <w:pStyle w:val="60"/>
      <w:suff w:val="nothing"/>
      <w:lvlText w:val="%1.%2  "/>
      <w:lvlJc w:val="left"/>
      <w:pPr>
        <w:ind w:left="1702" w:firstLine="0"/>
      </w:pPr>
      <w:rPr>
        <w:rFonts w:hint="eastAsia" w:ascii="黑体" w:hAnsi="黑体" w:eastAsia="黑体"/>
        <w:b w:val="0"/>
        <w:i w:val="0"/>
        <w:caps w:val="0"/>
        <w:smallCaps w:val="0"/>
        <w:strike w:val="0"/>
        <w:dstrike w:val="0"/>
        <w:vanish w:val="0"/>
        <w:color w:val="auto"/>
        <w:spacing w:val="0"/>
        <w:w w:val="100"/>
        <w:kern w:val="21"/>
        <w:position w:val="0"/>
        <w:sz w:val="21"/>
        <w:u w:val="none"/>
        <w:vertAlign w:val="baseline"/>
      </w:rPr>
    </w:lvl>
    <w:lvl w:ilvl="2" w:tentative="0">
      <w:start w:val="1"/>
      <w:numFmt w:val="decimal"/>
      <w:pStyle w:val="61"/>
      <w:suff w:val="nothing"/>
      <w:lvlText w:val="%1.%2.%3  "/>
      <w:lvlJc w:val="left"/>
      <w:pPr>
        <w:ind w:left="71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3" w:tentative="0">
      <w:start w:val="1"/>
      <w:numFmt w:val="decimal"/>
      <w:pStyle w:val="62"/>
      <w:suff w:val="nothing"/>
      <w:lvlText w:val="%1.%2.%3.%4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4" w:tentative="0">
      <w:start w:val="1"/>
      <w:numFmt w:val="decimal"/>
      <w:pStyle w:val="63"/>
      <w:suff w:val="nothing"/>
      <w:lvlText w:val="%1.%2.%3.%4.%5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5" w:tentative="0">
      <w:start w:val="1"/>
      <w:numFmt w:val="decimal"/>
      <w:pStyle w:val="64"/>
      <w:suff w:val="nothing"/>
      <w:lvlText w:val="%1.%2.%3.%4.%5.%6  "/>
      <w:lvlJc w:val="left"/>
      <w:pPr>
        <w:ind w:left="0" w:firstLine="0"/>
      </w:pPr>
      <w:rPr>
        <w:rFonts w:hint="eastAsia" w:ascii="黑体" w:eastAsia="黑体"/>
        <w:b w:val="0"/>
        <w:i w:val="0"/>
        <w:caps w:val="0"/>
        <w:smallCaps w:val="0"/>
        <w:strike w:val="0"/>
        <w:dstrike w:val="0"/>
        <w:vanish w:val="0"/>
        <w:color w:val="auto"/>
        <w:spacing w:val="0"/>
        <w:w w:val="100"/>
        <w:kern w:val="21"/>
        <w:position w:val="0"/>
        <w:sz w:val="21"/>
        <w:u w:val="none"/>
        <w:vertAlign w:val="baseline"/>
      </w:rPr>
    </w:lvl>
    <w:lvl w:ilvl="6" w:tentative="0">
      <w:start w:val="1"/>
      <w:numFmt w:val="lowerRoman"/>
      <w:lvlText w:val="(%7)"/>
      <w:lvlJc w:val="left"/>
      <w:pPr>
        <w:tabs>
          <w:tab w:val="left" w:pos="5528"/>
        </w:tabs>
        <w:ind w:left="5102" w:firstLine="0"/>
      </w:pPr>
    </w:lvl>
    <w:lvl w:ilvl="7" w:tentative="0">
      <w:start w:val="1"/>
      <w:numFmt w:val="lowerLetter"/>
      <w:lvlText w:val="(%8)"/>
      <w:lvlJc w:val="left"/>
      <w:pPr>
        <w:tabs>
          <w:tab w:val="left" w:pos="6378"/>
        </w:tabs>
        <w:ind w:left="5953" w:firstLine="0"/>
      </w:pPr>
    </w:lvl>
    <w:lvl w:ilvl="8" w:tentative="0">
      <w:start w:val="1"/>
      <w:numFmt w:val="lowerRoman"/>
      <w:lvlText w:val="(%9)"/>
      <w:lvlJc w:val="left"/>
      <w:pPr>
        <w:tabs>
          <w:tab w:val="left" w:pos="7228"/>
        </w:tabs>
        <w:ind w:left="6803" w:firstLine="0"/>
      </w:pPr>
    </w:lvl>
  </w:abstractNum>
  <w:abstractNum w:abstractNumId="2">
    <w:nsid w:val="6CEA2025"/>
    <w:multiLevelType w:val="multilevel"/>
    <w:tmpl w:val="6CEA2025"/>
    <w:lvl w:ilvl="0" w:tentative="0">
      <w:start w:val="1"/>
      <w:numFmt w:val="none"/>
      <w:pStyle w:val="28"/>
      <w:suff w:val="nothing"/>
      <w:lvlText w:val="%1"/>
      <w:lvlJc w:val="left"/>
      <w:pPr>
        <w:ind w:left="0" w:firstLine="0"/>
      </w:pPr>
      <w:rPr>
        <w:rFonts w:hint="default" w:ascii="Times New Roman" w:hAnsi="Times New Roman"/>
        <w:b/>
        <w:i w:val="0"/>
        <w:sz w:val="21"/>
      </w:rPr>
    </w:lvl>
    <w:lvl w:ilvl="1" w:tentative="0">
      <w:start w:val="1"/>
      <w:numFmt w:val="decimal"/>
      <w:pStyle w:val="29"/>
      <w:suff w:val="nothing"/>
      <w:lvlText w:val="%1%2　"/>
      <w:lvlJc w:val="left"/>
      <w:pPr>
        <w:ind w:left="0" w:firstLine="0"/>
      </w:pPr>
      <w:rPr>
        <w:rFonts w:hint="eastAsia" w:ascii="黑体" w:hAnsi="Times New Roman" w:eastAsia="黑体"/>
        <w:b w:val="0"/>
        <w:i w:val="0"/>
        <w:sz w:val="21"/>
      </w:rPr>
    </w:lvl>
    <w:lvl w:ilvl="2" w:tentative="0">
      <w:start w:val="1"/>
      <w:numFmt w:val="decimal"/>
      <w:pStyle w:val="30"/>
      <w:suff w:val="nothing"/>
      <w:lvlText w:val="%1%2.%3　"/>
      <w:lvlJc w:val="left"/>
      <w:pPr>
        <w:ind w:left="0" w:firstLine="0"/>
      </w:pPr>
      <w:rPr>
        <w:rFonts w:hint="eastAsia" w:ascii="黑体" w:hAnsi="Times New Roman" w:eastAsia="黑体"/>
        <w:b w:val="0"/>
        <w:i w:val="0"/>
        <w:sz w:val="21"/>
      </w:rPr>
    </w:lvl>
    <w:lvl w:ilvl="3" w:tentative="0">
      <w:start w:val="1"/>
      <w:numFmt w:val="decimal"/>
      <w:pStyle w:val="31"/>
      <w:suff w:val="nothing"/>
      <w:lvlText w:val="%1%2.%3.%4　"/>
      <w:lvlJc w:val="left"/>
      <w:pPr>
        <w:ind w:left="0" w:firstLine="0"/>
      </w:pPr>
      <w:rPr>
        <w:rFonts w:hint="eastAsia" w:ascii="黑体" w:hAnsi="Times New Roman" w:eastAsia="黑体"/>
        <w:b w:val="0"/>
        <w:i w:val="0"/>
        <w:sz w:val="21"/>
      </w:rPr>
    </w:lvl>
    <w:lvl w:ilvl="4" w:tentative="0">
      <w:start w:val="1"/>
      <w:numFmt w:val="decimal"/>
      <w:pStyle w:val="32"/>
      <w:suff w:val="nothing"/>
      <w:lvlText w:val="%1%2.%3.%4.%5　"/>
      <w:lvlJc w:val="left"/>
      <w:pPr>
        <w:ind w:left="0" w:firstLine="0"/>
      </w:pPr>
      <w:rPr>
        <w:rFonts w:hint="eastAsia" w:ascii="黑体" w:hAnsi="Times New Roman" w:eastAsia="黑体"/>
        <w:b w:val="0"/>
        <w:i w:val="0"/>
        <w:sz w:val="21"/>
      </w:rPr>
    </w:lvl>
    <w:lvl w:ilvl="5" w:tentative="0">
      <w:start w:val="1"/>
      <w:numFmt w:val="decimal"/>
      <w:pStyle w:val="33"/>
      <w:suff w:val="nothing"/>
      <w:lvlText w:val="%1%2.%3.%4.%5.%6　"/>
      <w:lvlJc w:val="left"/>
      <w:pPr>
        <w:ind w:left="0" w:firstLine="0"/>
      </w:pPr>
      <w:rPr>
        <w:rFonts w:hint="eastAsia" w:ascii="黑体" w:hAnsi="Times New Roman" w:eastAsia="黑体"/>
        <w:b w:val="0"/>
        <w:i w:val="0"/>
        <w:sz w:val="21"/>
      </w:rPr>
    </w:lvl>
    <w:lvl w:ilvl="6" w:tentative="0">
      <w:start w:val="1"/>
      <w:numFmt w:val="decimal"/>
      <w:pStyle w:val="3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MzMWNmZTI0YWY1NzIxNmQxNDliNzZhM2NhYTk3ZTQifQ=="/>
  </w:docVars>
  <w:rsids>
    <w:rsidRoot w:val="00980DE8"/>
    <w:rsid w:val="00002A8C"/>
    <w:rsid w:val="0001533F"/>
    <w:rsid w:val="000232C7"/>
    <w:rsid w:val="000234B8"/>
    <w:rsid w:val="00040645"/>
    <w:rsid w:val="00047293"/>
    <w:rsid w:val="000474A7"/>
    <w:rsid w:val="00072C62"/>
    <w:rsid w:val="0007461A"/>
    <w:rsid w:val="00080860"/>
    <w:rsid w:val="000A5EB9"/>
    <w:rsid w:val="000B04E5"/>
    <w:rsid w:val="000C0E42"/>
    <w:rsid w:val="000C7A00"/>
    <w:rsid w:val="000D1774"/>
    <w:rsid w:val="000D277A"/>
    <w:rsid w:val="000D3C3F"/>
    <w:rsid w:val="000F3471"/>
    <w:rsid w:val="000F448A"/>
    <w:rsid w:val="00101D6F"/>
    <w:rsid w:val="00112955"/>
    <w:rsid w:val="00130C9A"/>
    <w:rsid w:val="0013381A"/>
    <w:rsid w:val="001360D5"/>
    <w:rsid w:val="00136E2C"/>
    <w:rsid w:val="0014011D"/>
    <w:rsid w:val="00154678"/>
    <w:rsid w:val="0016207D"/>
    <w:rsid w:val="001979E3"/>
    <w:rsid w:val="001A4B07"/>
    <w:rsid w:val="001B0724"/>
    <w:rsid w:val="001C6E94"/>
    <w:rsid w:val="001E2458"/>
    <w:rsid w:val="001F7ADF"/>
    <w:rsid w:val="00217B8A"/>
    <w:rsid w:val="00237387"/>
    <w:rsid w:val="002518CA"/>
    <w:rsid w:val="00276CC6"/>
    <w:rsid w:val="00280530"/>
    <w:rsid w:val="00282346"/>
    <w:rsid w:val="00282AF0"/>
    <w:rsid w:val="00282DAC"/>
    <w:rsid w:val="002937B7"/>
    <w:rsid w:val="002A1F79"/>
    <w:rsid w:val="002A6A08"/>
    <w:rsid w:val="002B09EB"/>
    <w:rsid w:val="002B22EC"/>
    <w:rsid w:val="002C514B"/>
    <w:rsid w:val="002E03F0"/>
    <w:rsid w:val="00304077"/>
    <w:rsid w:val="00305A6B"/>
    <w:rsid w:val="0031323C"/>
    <w:rsid w:val="00320BE4"/>
    <w:rsid w:val="00334D84"/>
    <w:rsid w:val="00357E6E"/>
    <w:rsid w:val="0036387C"/>
    <w:rsid w:val="00363E3C"/>
    <w:rsid w:val="003807C8"/>
    <w:rsid w:val="00382DD7"/>
    <w:rsid w:val="003A6502"/>
    <w:rsid w:val="003C7102"/>
    <w:rsid w:val="003D4598"/>
    <w:rsid w:val="003F19FE"/>
    <w:rsid w:val="003F5E81"/>
    <w:rsid w:val="004054FE"/>
    <w:rsid w:val="00417A6D"/>
    <w:rsid w:val="004237C8"/>
    <w:rsid w:val="00423A87"/>
    <w:rsid w:val="00443A1A"/>
    <w:rsid w:val="00444B24"/>
    <w:rsid w:val="00446974"/>
    <w:rsid w:val="00447D4C"/>
    <w:rsid w:val="004526B4"/>
    <w:rsid w:val="00470222"/>
    <w:rsid w:val="00497BC3"/>
    <w:rsid w:val="00497DDC"/>
    <w:rsid w:val="004A6B1E"/>
    <w:rsid w:val="004B60C4"/>
    <w:rsid w:val="004B69D9"/>
    <w:rsid w:val="004C3ADE"/>
    <w:rsid w:val="004C79A4"/>
    <w:rsid w:val="004D2F78"/>
    <w:rsid w:val="004E3619"/>
    <w:rsid w:val="004E480B"/>
    <w:rsid w:val="004F1277"/>
    <w:rsid w:val="00525DE7"/>
    <w:rsid w:val="00532029"/>
    <w:rsid w:val="005349C8"/>
    <w:rsid w:val="00555CA5"/>
    <w:rsid w:val="005578A9"/>
    <w:rsid w:val="005921AD"/>
    <w:rsid w:val="005B446F"/>
    <w:rsid w:val="005D39DB"/>
    <w:rsid w:val="005D54E2"/>
    <w:rsid w:val="005F4C95"/>
    <w:rsid w:val="005F4E5F"/>
    <w:rsid w:val="00606BC0"/>
    <w:rsid w:val="00614A5A"/>
    <w:rsid w:val="00617EBE"/>
    <w:rsid w:val="00624B33"/>
    <w:rsid w:val="00654A51"/>
    <w:rsid w:val="00655DC9"/>
    <w:rsid w:val="00656311"/>
    <w:rsid w:val="006622DF"/>
    <w:rsid w:val="00664917"/>
    <w:rsid w:val="0066615C"/>
    <w:rsid w:val="00666B12"/>
    <w:rsid w:val="00685AA9"/>
    <w:rsid w:val="0068778D"/>
    <w:rsid w:val="006934D4"/>
    <w:rsid w:val="00694662"/>
    <w:rsid w:val="00694C70"/>
    <w:rsid w:val="00697002"/>
    <w:rsid w:val="006A2A9F"/>
    <w:rsid w:val="006A5E3D"/>
    <w:rsid w:val="006C0BF6"/>
    <w:rsid w:val="006C74D7"/>
    <w:rsid w:val="006D22A5"/>
    <w:rsid w:val="006E431E"/>
    <w:rsid w:val="006F2F68"/>
    <w:rsid w:val="007035B8"/>
    <w:rsid w:val="0071049D"/>
    <w:rsid w:val="00710A60"/>
    <w:rsid w:val="00713699"/>
    <w:rsid w:val="00717CE5"/>
    <w:rsid w:val="00724639"/>
    <w:rsid w:val="00726DB1"/>
    <w:rsid w:val="00730266"/>
    <w:rsid w:val="00730E84"/>
    <w:rsid w:val="00741A72"/>
    <w:rsid w:val="007736FE"/>
    <w:rsid w:val="00776359"/>
    <w:rsid w:val="00782B77"/>
    <w:rsid w:val="007912D5"/>
    <w:rsid w:val="007A286B"/>
    <w:rsid w:val="007A4E22"/>
    <w:rsid w:val="007C010F"/>
    <w:rsid w:val="007C51DA"/>
    <w:rsid w:val="007D513F"/>
    <w:rsid w:val="007D5BE0"/>
    <w:rsid w:val="007E1CDC"/>
    <w:rsid w:val="007F07D8"/>
    <w:rsid w:val="007F39E2"/>
    <w:rsid w:val="0080069B"/>
    <w:rsid w:val="008140C3"/>
    <w:rsid w:val="00820C5F"/>
    <w:rsid w:val="00824536"/>
    <w:rsid w:val="00843EBA"/>
    <w:rsid w:val="008453C3"/>
    <w:rsid w:val="00851FAE"/>
    <w:rsid w:val="008568E5"/>
    <w:rsid w:val="008654B3"/>
    <w:rsid w:val="008725C8"/>
    <w:rsid w:val="0089034E"/>
    <w:rsid w:val="008C5C3B"/>
    <w:rsid w:val="008D1A40"/>
    <w:rsid w:val="008D2F9D"/>
    <w:rsid w:val="008D4257"/>
    <w:rsid w:val="008D54AB"/>
    <w:rsid w:val="008D6D67"/>
    <w:rsid w:val="008E30AC"/>
    <w:rsid w:val="008E5F67"/>
    <w:rsid w:val="008F5F63"/>
    <w:rsid w:val="00905000"/>
    <w:rsid w:val="00905033"/>
    <w:rsid w:val="00945991"/>
    <w:rsid w:val="00955B8A"/>
    <w:rsid w:val="009621F3"/>
    <w:rsid w:val="00966D95"/>
    <w:rsid w:val="00970C83"/>
    <w:rsid w:val="00974D1B"/>
    <w:rsid w:val="009772EA"/>
    <w:rsid w:val="00980DE8"/>
    <w:rsid w:val="009847B7"/>
    <w:rsid w:val="00984B67"/>
    <w:rsid w:val="00987C70"/>
    <w:rsid w:val="009A0A88"/>
    <w:rsid w:val="009A4348"/>
    <w:rsid w:val="009C6B81"/>
    <w:rsid w:val="009D3804"/>
    <w:rsid w:val="009E30E9"/>
    <w:rsid w:val="00A03774"/>
    <w:rsid w:val="00A05EB7"/>
    <w:rsid w:val="00A14A55"/>
    <w:rsid w:val="00A175D3"/>
    <w:rsid w:val="00A266B4"/>
    <w:rsid w:val="00A2774C"/>
    <w:rsid w:val="00A41EC3"/>
    <w:rsid w:val="00A421DB"/>
    <w:rsid w:val="00A524CE"/>
    <w:rsid w:val="00A60EC5"/>
    <w:rsid w:val="00A803C1"/>
    <w:rsid w:val="00A826C4"/>
    <w:rsid w:val="00A903A2"/>
    <w:rsid w:val="00A97C1F"/>
    <w:rsid w:val="00AB5687"/>
    <w:rsid w:val="00AB7BC0"/>
    <w:rsid w:val="00AC6B6C"/>
    <w:rsid w:val="00AD08D5"/>
    <w:rsid w:val="00AE2098"/>
    <w:rsid w:val="00AF086F"/>
    <w:rsid w:val="00AF58A6"/>
    <w:rsid w:val="00AF724F"/>
    <w:rsid w:val="00B12AE3"/>
    <w:rsid w:val="00B12D67"/>
    <w:rsid w:val="00B41130"/>
    <w:rsid w:val="00B61C7A"/>
    <w:rsid w:val="00B61FEA"/>
    <w:rsid w:val="00B803C0"/>
    <w:rsid w:val="00B87005"/>
    <w:rsid w:val="00BB1D8F"/>
    <w:rsid w:val="00BB5D67"/>
    <w:rsid w:val="00BC0D67"/>
    <w:rsid w:val="00BC20BD"/>
    <w:rsid w:val="00BC6329"/>
    <w:rsid w:val="00BD0162"/>
    <w:rsid w:val="00BE3131"/>
    <w:rsid w:val="00BE5915"/>
    <w:rsid w:val="00BF143F"/>
    <w:rsid w:val="00BF4FE8"/>
    <w:rsid w:val="00C05B1A"/>
    <w:rsid w:val="00C15118"/>
    <w:rsid w:val="00C17B26"/>
    <w:rsid w:val="00C22BD2"/>
    <w:rsid w:val="00C26EA8"/>
    <w:rsid w:val="00C46DB9"/>
    <w:rsid w:val="00C556F3"/>
    <w:rsid w:val="00C80518"/>
    <w:rsid w:val="00C82ACD"/>
    <w:rsid w:val="00C90B0C"/>
    <w:rsid w:val="00CA48F6"/>
    <w:rsid w:val="00CC5414"/>
    <w:rsid w:val="00CF6365"/>
    <w:rsid w:val="00CF6C79"/>
    <w:rsid w:val="00D00456"/>
    <w:rsid w:val="00D10CBC"/>
    <w:rsid w:val="00D17FC5"/>
    <w:rsid w:val="00D51ABB"/>
    <w:rsid w:val="00D74325"/>
    <w:rsid w:val="00D75CEA"/>
    <w:rsid w:val="00D80A2E"/>
    <w:rsid w:val="00D81017"/>
    <w:rsid w:val="00D82497"/>
    <w:rsid w:val="00D93A2E"/>
    <w:rsid w:val="00DA6508"/>
    <w:rsid w:val="00DD4AC0"/>
    <w:rsid w:val="00DE1227"/>
    <w:rsid w:val="00DF78F8"/>
    <w:rsid w:val="00E0224D"/>
    <w:rsid w:val="00E12251"/>
    <w:rsid w:val="00E12CE5"/>
    <w:rsid w:val="00E1684B"/>
    <w:rsid w:val="00E16C8C"/>
    <w:rsid w:val="00E20B3B"/>
    <w:rsid w:val="00E26BA3"/>
    <w:rsid w:val="00E31CCB"/>
    <w:rsid w:val="00E374DE"/>
    <w:rsid w:val="00E500FD"/>
    <w:rsid w:val="00E50C7D"/>
    <w:rsid w:val="00E52317"/>
    <w:rsid w:val="00E542F6"/>
    <w:rsid w:val="00E6569F"/>
    <w:rsid w:val="00E83CA7"/>
    <w:rsid w:val="00E879B7"/>
    <w:rsid w:val="00E9016A"/>
    <w:rsid w:val="00EA26DC"/>
    <w:rsid w:val="00EB4E14"/>
    <w:rsid w:val="00EC4001"/>
    <w:rsid w:val="00EF1E90"/>
    <w:rsid w:val="00F12281"/>
    <w:rsid w:val="00F25647"/>
    <w:rsid w:val="00F25A4F"/>
    <w:rsid w:val="00F31DD3"/>
    <w:rsid w:val="00F34531"/>
    <w:rsid w:val="00F431CB"/>
    <w:rsid w:val="00F500D2"/>
    <w:rsid w:val="00F53181"/>
    <w:rsid w:val="00F57D4D"/>
    <w:rsid w:val="00F74128"/>
    <w:rsid w:val="00F831EA"/>
    <w:rsid w:val="00F83CB5"/>
    <w:rsid w:val="00F9268C"/>
    <w:rsid w:val="00FB0C7A"/>
    <w:rsid w:val="00FB7B74"/>
    <w:rsid w:val="00FC1356"/>
    <w:rsid w:val="00FD0F03"/>
    <w:rsid w:val="00FD2C97"/>
    <w:rsid w:val="00FD4842"/>
    <w:rsid w:val="00FD76AC"/>
    <w:rsid w:val="00FF7FF9"/>
    <w:rsid w:val="082A2CBF"/>
    <w:rsid w:val="0DB37F58"/>
    <w:rsid w:val="19372CB2"/>
    <w:rsid w:val="2BE45BBB"/>
    <w:rsid w:val="31F1788D"/>
    <w:rsid w:val="3B8B388A"/>
    <w:rsid w:val="467001B9"/>
    <w:rsid w:val="53EE16AE"/>
    <w:rsid w:val="549A6095"/>
    <w:rsid w:val="6C892F39"/>
    <w:rsid w:val="719C601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ind w:firstLine="200" w:firstLineChars="200"/>
      <w:outlineLvl w:val="0"/>
    </w:pPr>
    <w:rPr>
      <w:rFonts w:ascii="Times New Roman" w:hAnsi="Times New Roman"/>
      <w:b/>
      <w:bCs/>
      <w:kern w:val="44"/>
      <w:sz w:val="44"/>
      <w:szCs w:val="44"/>
    </w:rPr>
  </w:style>
  <w:style w:type="paragraph" w:styleId="3">
    <w:name w:val="heading 2"/>
    <w:basedOn w:val="1"/>
    <w:next w:val="1"/>
    <w:link w:val="26"/>
    <w:unhideWhenUsed/>
    <w:qFormat/>
    <w:uiPriority w:val="9"/>
    <w:pPr>
      <w:keepNext/>
      <w:keepLines/>
      <w:snapToGrid w:val="0"/>
      <w:spacing w:before="260" w:after="260" w:line="416" w:lineRule="auto"/>
      <w:ind w:firstLine="200" w:firstLineChars="200"/>
      <w:outlineLvl w:val="1"/>
    </w:pPr>
    <w:rPr>
      <w:rFonts w:ascii="Calibri Light" w:hAnsi="Calibri Light"/>
      <w:b/>
      <w:bCs/>
      <w:sz w:val="32"/>
      <w:szCs w:val="32"/>
    </w:rPr>
  </w:style>
  <w:style w:type="paragraph" w:styleId="4">
    <w:name w:val="heading 3"/>
    <w:basedOn w:val="1"/>
    <w:next w:val="1"/>
    <w:link w:val="22"/>
    <w:qFormat/>
    <w:uiPriority w:val="9"/>
    <w:pPr>
      <w:keepNext/>
      <w:keepLines/>
      <w:spacing w:before="260" w:after="260" w:line="416" w:lineRule="auto"/>
      <w:outlineLvl w:val="2"/>
    </w:pPr>
    <w:rPr>
      <w:b/>
      <w:bCs/>
      <w:sz w:val="32"/>
      <w:szCs w:val="32"/>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Document Map"/>
    <w:basedOn w:val="1"/>
    <w:link w:val="36"/>
    <w:semiHidden/>
    <w:qFormat/>
    <w:uiPriority w:val="0"/>
    <w:pPr>
      <w:shd w:val="clear" w:color="auto" w:fill="000080"/>
      <w:ind w:firstLine="200" w:firstLineChars="200"/>
    </w:pPr>
    <w:rPr>
      <w:rFonts w:ascii="Times New Roman" w:hAnsi="Times New Roman"/>
      <w:szCs w:val="24"/>
    </w:rPr>
  </w:style>
  <w:style w:type="paragraph" w:styleId="6">
    <w:name w:val="annotation text"/>
    <w:basedOn w:val="1"/>
    <w:link w:val="43"/>
    <w:unhideWhenUsed/>
    <w:qFormat/>
    <w:uiPriority w:val="99"/>
    <w:pPr>
      <w:snapToGrid w:val="0"/>
      <w:spacing w:line="360" w:lineRule="auto"/>
      <w:ind w:firstLine="200" w:firstLineChars="200"/>
      <w:jc w:val="left"/>
    </w:pPr>
    <w:rPr>
      <w:rFonts w:ascii="Times New Roman" w:hAnsi="Times New Roman"/>
    </w:rPr>
  </w:style>
  <w:style w:type="paragraph" w:styleId="7">
    <w:name w:val="Date"/>
    <w:basedOn w:val="1"/>
    <w:next w:val="1"/>
    <w:link w:val="52"/>
    <w:unhideWhenUsed/>
    <w:qFormat/>
    <w:uiPriority w:val="99"/>
    <w:pPr>
      <w:snapToGrid w:val="0"/>
      <w:spacing w:line="360" w:lineRule="auto"/>
      <w:ind w:left="100" w:leftChars="2500" w:firstLine="200" w:firstLineChars="200"/>
    </w:pPr>
    <w:rPr>
      <w:rFonts w:ascii="Times New Roman" w:hAnsi="Times New Roman"/>
    </w:rPr>
  </w:style>
  <w:style w:type="paragraph" w:styleId="8">
    <w:name w:val="Balloon Text"/>
    <w:basedOn w:val="1"/>
    <w:link w:val="41"/>
    <w:semiHidden/>
    <w:qFormat/>
    <w:uiPriority w:val="99"/>
    <w:pPr>
      <w:ind w:firstLine="200" w:firstLineChars="200"/>
    </w:pPr>
    <w:rPr>
      <w:rFonts w:ascii="Times New Roman" w:hAnsi="Times New Roman"/>
      <w:sz w:val="18"/>
      <w:szCs w:val="18"/>
    </w:rPr>
  </w:style>
  <w:style w:type="paragraph" w:styleId="9">
    <w:name w:val="footer"/>
    <w:basedOn w:val="1"/>
    <w:link w:val="24"/>
    <w:unhideWhenUsed/>
    <w:qFormat/>
    <w:uiPriority w:val="99"/>
    <w:pPr>
      <w:tabs>
        <w:tab w:val="center" w:pos="4153"/>
        <w:tab w:val="right" w:pos="8306"/>
      </w:tabs>
      <w:snapToGrid w:val="0"/>
      <w:jc w:val="left"/>
    </w:pPr>
    <w:rPr>
      <w:sz w:val="18"/>
      <w:szCs w:val="18"/>
    </w:rPr>
  </w:style>
  <w:style w:type="paragraph" w:styleId="10">
    <w:name w:val="header"/>
    <w:basedOn w:val="1"/>
    <w:link w:val="23"/>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Subtitle"/>
    <w:basedOn w:val="1"/>
    <w:next w:val="1"/>
    <w:link w:val="45"/>
    <w:qFormat/>
    <w:uiPriority w:val="11"/>
    <w:pPr>
      <w:snapToGrid w:val="0"/>
      <w:jc w:val="center"/>
      <w:outlineLvl w:val="1"/>
    </w:pPr>
    <w:rPr>
      <w:rFonts w:ascii="Times New Roman" w:hAnsi="Times New Roman"/>
      <w:b/>
      <w:bCs/>
      <w:kern w:val="28"/>
      <w:sz w:val="44"/>
      <w:szCs w:val="32"/>
    </w:rPr>
  </w:style>
  <w:style w:type="paragraph" w:styleId="12">
    <w:name w:val="Normal (Web)"/>
    <w:basedOn w:val="1"/>
    <w:unhideWhenUsed/>
    <w:qFormat/>
    <w:uiPriority w:val="99"/>
    <w:pPr>
      <w:widowControl/>
      <w:spacing w:before="100" w:beforeAutospacing="1" w:after="100" w:afterAutospacing="1"/>
      <w:ind w:firstLine="200" w:firstLineChars="200"/>
      <w:jc w:val="left"/>
    </w:pPr>
    <w:rPr>
      <w:rFonts w:ascii="宋体" w:hAnsi="宋体" w:cs="宋体"/>
      <w:kern w:val="0"/>
      <w:sz w:val="24"/>
      <w:szCs w:val="24"/>
    </w:rPr>
  </w:style>
  <w:style w:type="paragraph" w:styleId="13">
    <w:name w:val="Title"/>
    <w:basedOn w:val="1"/>
    <w:next w:val="1"/>
    <w:link w:val="42"/>
    <w:qFormat/>
    <w:uiPriority w:val="10"/>
    <w:pPr>
      <w:snapToGrid w:val="0"/>
      <w:spacing w:before="240" w:after="60" w:line="360" w:lineRule="auto"/>
      <w:jc w:val="left"/>
      <w:outlineLvl w:val="0"/>
    </w:pPr>
    <w:rPr>
      <w:rFonts w:ascii="Times New Roman" w:hAnsi="Times New Roman"/>
      <w:b/>
      <w:bCs/>
      <w:sz w:val="32"/>
      <w:szCs w:val="32"/>
    </w:rPr>
  </w:style>
  <w:style w:type="paragraph" w:styleId="14">
    <w:name w:val="annotation subject"/>
    <w:basedOn w:val="6"/>
    <w:next w:val="6"/>
    <w:link w:val="49"/>
    <w:unhideWhenUsed/>
    <w:qFormat/>
    <w:uiPriority w:val="99"/>
    <w:rPr>
      <w:b/>
      <w:bCs/>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page number"/>
    <w:basedOn w:val="17"/>
    <w:qFormat/>
    <w:uiPriority w:val="0"/>
  </w:style>
  <w:style w:type="character" w:styleId="19">
    <w:name w:val="Emphasis"/>
    <w:basedOn w:val="17"/>
    <w:qFormat/>
    <w:uiPriority w:val="20"/>
    <w:rPr>
      <w:i/>
      <w:iCs/>
    </w:rPr>
  </w:style>
  <w:style w:type="character" w:styleId="20">
    <w:name w:val="Hyperlink"/>
    <w:basedOn w:val="17"/>
    <w:semiHidden/>
    <w:unhideWhenUsed/>
    <w:qFormat/>
    <w:uiPriority w:val="99"/>
    <w:rPr>
      <w:color w:val="0000FF"/>
      <w:u w:val="single"/>
    </w:rPr>
  </w:style>
  <w:style w:type="character" w:styleId="21">
    <w:name w:val="annotation reference"/>
    <w:unhideWhenUsed/>
    <w:qFormat/>
    <w:uiPriority w:val="99"/>
    <w:rPr>
      <w:sz w:val="21"/>
      <w:szCs w:val="21"/>
    </w:rPr>
  </w:style>
  <w:style w:type="character" w:customStyle="1" w:styleId="22">
    <w:name w:val="标题 3 字符"/>
    <w:basedOn w:val="17"/>
    <w:link w:val="4"/>
    <w:qFormat/>
    <w:uiPriority w:val="9"/>
    <w:rPr>
      <w:rFonts w:ascii="Calibri" w:hAnsi="Calibri" w:eastAsia="宋体" w:cs="Times New Roman"/>
      <w:b/>
      <w:bCs/>
      <w:sz w:val="32"/>
      <w:szCs w:val="32"/>
    </w:rPr>
  </w:style>
  <w:style w:type="character" w:customStyle="1" w:styleId="23">
    <w:name w:val="页眉 字符"/>
    <w:basedOn w:val="17"/>
    <w:link w:val="10"/>
    <w:qFormat/>
    <w:uiPriority w:val="99"/>
    <w:rPr>
      <w:rFonts w:ascii="Calibri" w:hAnsi="Calibri" w:eastAsia="宋体" w:cs="Times New Roman"/>
      <w:sz w:val="18"/>
      <w:szCs w:val="18"/>
    </w:rPr>
  </w:style>
  <w:style w:type="character" w:customStyle="1" w:styleId="24">
    <w:name w:val="页脚 字符"/>
    <w:basedOn w:val="17"/>
    <w:link w:val="9"/>
    <w:qFormat/>
    <w:uiPriority w:val="99"/>
    <w:rPr>
      <w:rFonts w:ascii="Calibri" w:hAnsi="Calibri" w:eastAsia="宋体" w:cs="Times New Roman"/>
      <w:sz w:val="18"/>
      <w:szCs w:val="18"/>
    </w:rPr>
  </w:style>
  <w:style w:type="character" w:customStyle="1" w:styleId="25">
    <w:name w:val="标题 1 字符"/>
    <w:basedOn w:val="17"/>
    <w:link w:val="2"/>
    <w:qFormat/>
    <w:uiPriority w:val="9"/>
    <w:rPr>
      <w:rFonts w:ascii="Times New Roman" w:hAnsi="Times New Roman" w:eastAsia="宋体" w:cs="Times New Roman"/>
      <w:b/>
      <w:bCs/>
      <w:kern w:val="44"/>
      <w:sz w:val="44"/>
      <w:szCs w:val="44"/>
    </w:rPr>
  </w:style>
  <w:style w:type="character" w:customStyle="1" w:styleId="26">
    <w:name w:val="标题 2 字符"/>
    <w:basedOn w:val="17"/>
    <w:link w:val="3"/>
    <w:qFormat/>
    <w:uiPriority w:val="9"/>
    <w:rPr>
      <w:rFonts w:ascii="Calibri Light" w:hAnsi="Calibri Light" w:eastAsia="宋体" w:cs="Times New Roman"/>
      <w:b/>
      <w:bCs/>
      <w:sz w:val="32"/>
      <w:szCs w:val="32"/>
    </w:rPr>
  </w:style>
  <w:style w:type="paragraph" w:customStyle="1" w:styleId="27">
    <w:name w:val="段"/>
    <w:link w:val="46"/>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28">
    <w:name w:val="前言、引言标题"/>
    <w:next w:val="1"/>
    <w:qFormat/>
    <w:uiPriority w:val="0"/>
    <w:pPr>
      <w:numPr>
        <w:ilvl w:val="0"/>
        <w:numId w:val="1"/>
      </w:numPr>
      <w:shd w:val="clear" w:color="FFFFFF" w:fill="FFFFFF"/>
      <w:spacing w:before="640" w:after="560"/>
      <w:jc w:val="center"/>
      <w:outlineLvl w:val="0"/>
    </w:pPr>
    <w:rPr>
      <w:rFonts w:ascii="黑体" w:hAnsi="Times New Roman" w:eastAsia="黑体" w:cs="Times New Roman"/>
      <w:kern w:val="0"/>
      <w:sz w:val="32"/>
      <w:szCs w:val="20"/>
      <w:lang w:val="en-US" w:eastAsia="zh-CN" w:bidi="ar-SA"/>
    </w:rPr>
  </w:style>
  <w:style w:type="paragraph" w:customStyle="1" w:styleId="29">
    <w:name w:val="章标题"/>
    <w:next w:val="27"/>
    <w:qFormat/>
    <w:uiPriority w:val="0"/>
    <w:pPr>
      <w:numPr>
        <w:ilvl w:val="1"/>
        <w:numId w:val="1"/>
      </w:numPr>
      <w:spacing w:beforeLines="50" w:afterLines="50"/>
      <w:jc w:val="both"/>
      <w:outlineLvl w:val="1"/>
    </w:pPr>
    <w:rPr>
      <w:rFonts w:ascii="黑体" w:hAnsi="Times New Roman" w:eastAsia="黑体" w:cs="Times New Roman"/>
      <w:kern w:val="0"/>
      <w:sz w:val="21"/>
      <w:szCs w:val="20"/>
      <w:lang w:val="en-US" w:eastAsia="zh-CN" w:bidi="ar-SA"/>
    </w:rPr>
  </w:style>
  <w:style w:type="paragraph" w:customStyle="1" w:styleId="30">
    <w:name w:val="一级条标题"/>
    <w:basedOn w:val="29"/>
    <w:next w:val="27"/>
    <w:qFormat/>
    <w:uiPriority w:val="0"/>
    <w:pPr>
      <w:numPr>
        <w:ilvl w:val="2"/>
      </w:numPr>
      <w:spacing w:beforeLines="0" w:afterLines="0"/>
      <w:outlineLvl w:val="2"/>
    </w:pPr>
  </w:style>
  <w:style w:type="paragraph" w:customStyle="1" w:styleId="31">
    <w:name w:val="二级条标题"/>
    <w:basedOn w:val="30"/>
    <w:next w:val="27"/>
    <w:qFormat/>
    <w:uiPriority w:val="0"/>
    <w:pPr>
      <w:numPr>
        <w:ilvl w:val="3"/>
      </w:numPr>
      <w:outlineLvl w:val="3"/>
    </w:pPr>
  </w:style>
  <w:style w:type="paragraph" w:customStyle="1" w:styleId="32">
    <w:name w:val="三级条标题"/>
    <w:basedOn w:val="31"/>
    <w:next w:val="27"/>
    <w:qFormat/>
    <w:uiPriority w:val="0"/>
    <w:pPr>
      <w:numPr>
        <w:ilvl w:val="4"/>
      </w:numPr>
      <w:outlineLvl w:val="4"/>
    </w:pPr>
  </w:style>
  <w:style w:type="paragraph" w:customStyle="1" w:styleId="33">
    <w:name w:val="四级条标题"/>
    <w:basedOn w:val="32"/>
    <w:next w:val="27"/>
    <w:qFormat/>
    <w:uiPriority w:val="0"/>
    <w:pPr>
      <w:numPr>
        <w:ilvl w:val="5"/>
      </w:numPr>
      <w:outlineLvl w:val="5"/>
    </w:pPr>
  </w:style>
  <w:style w:type="paragraph" w:customStyle="1" w:styleId="34">
    <w:name w:val="五级条标题"/>
    <w:basedOn w:val="33"/>
    <w:next w:val="27"/>
    <w:qFormat/>
    <w:uiPriority w:val="0"/>
    <w:pPr>
      <w:numPr>
        <w:ilvl w:val="6"/>
      </w:numPr>
      <w:outlineLvl w:val="6"/>
    </w:pPr>
  </w:style>
  <w:style w:type="paragraph" w:customStyle="1" w:styleId="35">
    <w:name w:val="Char Char Char Char Char Char Char Char Char"/>
    <w:basedOn w:val="5"/>
    <w:qFormat/>
    <w:uiPriority w:val="0"/>
    <w:pPr>
      <w:adjustRightInd w:val="0"/>
      <w:spacing w:line="436" w:lineRule="exact"/>
      <w:ind w:left="357"/>
      <w:jc w:val="left"/>
      <w:outlineLvl w:val="3"/>
    </w:pPr>
    <w:rPr>
      <w:rFonts w:ascii="Tahoma" w:hAnsi="Tahoma"/>
      <w:b/>
      <w:sz w:val="24"/>
    </w:rPr>
  </w:style>
  <w:style w:type="character" w:customStyle="1" w:styleId="36">
    <w:name w:val="文档结构图 字符"/>
    <w:basedOn w:val="17"/>
    <w:link w:val="5"/>
    <w:semiHidden/>
    <w:qFormat/>
    <w:uiPriority w:val="0"/>
    <w:rPr>
      <w:rFonts w:ascii="Times New Roman" w:hAnsi="Times New Roman" w:eastAsia="宋体" w:cs="Times New Roman"/>
      <w:szCs w:val="24"/>
      <w:shd w:val="clear" w:color="auto" w:fill="000080"/>
    </w:rPr>
  </w:style>
  <w:style w:type="paragraph" w:customStyle="1" w:styleId="37">
    <w:name w:val="封面标准文稿编辑信息"/>
    <w:qFormat/>
    <w:uiPriority w:val="0"/>
    <w:pPr>
      <w:spacing w:before="180" w:line="180" w:lineRule="exact"/>
      <w:jc w:val="center"/>
    </w:pPr>
    <w:rPr>
      <w:rFonts w:ascii="宋体" w:hAnsi="Times New Roman" w:eastAsia="宋体" w:cs="Times New Roman"/>
      <w:kern w:val="0"/>
      <w:sz w:val="21"/>
      <w:szCs w:val="20"/>
      <w:lang w:val="en-US" w:eastAsia="zh-CN" w:bidi="ar-SA"/>
    </w:rPr>
  </w:style>
  <w:style w:type="paragraph" w:customStyle="1" w:styleId="38">
    <w:name w:val="Char Char Char Char"/>
    <w:basedOn w:val="1"/>
    <w:qFormat/>
    <w:uiPriority w:val="0"/>
    <w:pPr>
      <w:widowControl/>
      <w:spacing w:after="160" w:line="240" w:lineRule="exact"/>
      <w:ind w:firstLine="200" w:firstLineChars="200"/>
      <w:jc w:val="left"/>
    </w:pPr>
    <w:rPr>
      <w:rFonts w:ascii="Times New Roman" w:hAnsi="Times New Roman"/>
      <w:szCs w:val="20"/>
    </w:rPr>
  </w:style>
  <w:style w:type="paragraph" w:customStyle="1" w:styleId="39">
    <w:name w:val="Char"/>
    <w:basedOn w:val="1"/>
    <w:qFormat/>
    <w:uiPriority w:val="0"/>
    <w:pPr>
      <w:widowControl/>
      <w:spacing w:after="160" w:line="240" w:lineRule="exact"/>
      <w:ind w:firstLine="200" w:firstLineChars="200"/>
      <w:jc w:val="left"/>
    </w:pPr>
    <w:rPr>
      <w:rFonts w:ascii="Times New Roman" w:hAnsi="Times New Roman"/>
      <w:szCs w:val="20"/>
    </w:rPr>
  </w:style>
  <w:style w:type="paragraph" w:customStyle="1" w:styleId="40">
    <w:name w:val="Char Char Char Char Char Char Char"/>
    <w:basedOn w:val="1"/>
    <w:qFormat/>
    <w:uiPriority w:val="0"/>
    <w:pPr>
      <w:widowControl/>
      <w:spacing w:after="160" w:line="240" w:lineRule="exact"/>
      <w:ind w:firstLine="200" w:firstLineChars="200"/>
      <w:jc w:val="left"/>
    </w:pPr>
    <w:rPr>
      <w:rFonts w:ascii="Arial" w:hAnsi="Arial" w:eastAsia="Times New Roman" w:cs="Verdana"/>
      <w:b/>
      <w:kern w:val="0"/>
      <w:sz w:val="24"/>
      <w:szCs w:val="24"/>
      <w:lang w:eastAsia="en-US"/>
    </w:rPr>
  </w:style>
  <w:style w:type="character" w:customStyle="1" w:styleId="41">
    <w:name w:val="批注框文本 字符"/>
    <w:basedOn w:val="17"/>
    <w:link w:val="8"/>
    <w:semiHidden/>
    <w:qFormat/>
    <w:uiPriority w:val="99"/>
    <w:rPr>
      <w:rFonts w:ascii="Times New Roman" w:hAnsi="Times New Roman" w:eastAsia="宋体" w:cs="Times New Roman"/>
      <w:sz w:val="18"/>
      <w:szCs w:val="18"/>
    </w:rPr>
  </w:style>
  <w:style w:type="character" w:customStyle="1" w:styleId="42">
    <w:name w:val="标题 字符"/>
    <w:basedOn w:val="17"/>
    <w:link w:val="13"/>
    <w:qFormat/>
    <w:uiPriority w:val="10"/>
    <w:rPr>
      <w:rFonts w:ascii="Times New Roman" w:hAnsi="Times New Roman" w:eastAsia="宋体" w:cs="Times New Roman"/>
      <w:b/>
      <w:bCs/>
      <w:sz w:val="32"/>
      <w:szCs w:val="32"/>
    </w:rPr>
  </w:style>
  <w:style w:type="character" w:customStyle="1" w:styleId="43">
    <w:name w:val="批注文字 字符"/>
    <w:basedOn w:val="17"/>
    <w:link w:val="6"/>
    <w:qFormat/>
    <w:uiPriority w:val="99"/>
    <w:rPr>
      <w:rFonts w:ascii="Times New Roman" w:hAnsi="Times New Roman" w:eastAsia="宋体" w:cs="Times New Roman"/>
    </w:rPr>
  </w:style>
  <w:style w:type="paragraph" w:styleId="44">
    <w:name w:val="No Spacing"/>
    <w:qFormat/>
    <w:uiPriority w:val="1"/>
    <w:pPr>
      <w:widowControl w:val="0"/>
      <w:ind w:firstLine="200" w:firstLineChars="200"/>
      <w:jc w:val="both"/>
    </w:pPr>
    <w:rPr>
      <w:rFonts w:ascii="Times New Roman" w:hAnsi="Times New Roman" w:eastAsia="宋体" w:cs="Times New Roman"/>
      <w:kern w:val="2"/>
      <w:sz w:val="21"/>
      <w:szCs w:val="22"/>
      <w:lang w:val="en-US" w:eastAsia="zh-CN" w:bidi="ar-SA"/>
    </w:rPr>
  </w:style>
  <w:style w:type="character" w:customStyle="1" w:styleId="45">
    <w:name w:val="副标题 字符"/>
    <w:basedOn w:val="17"/>
    <w:link w:val="11"/>
    <w:qFormat/>
    <w:uiPriority w:val="11"/>
    <w:rPr>
      <w:rFonts w:ascii="Times New Roman" w:hAnsi="Times New Roman" w:eastAsia="宋体" w:cs="Times New Roman"/>
      <w:b/>
      <w:bCs/>
      <w:kern w:val="28"/>
      <w:sz w:val="44"/>
      <w:szCs w:val="32"/>
    </w:rPr>
  </w:style>
  <w:style w:type="character" w:customStyle="1" w:styleId="46">
    <w:name w:val="段 Char"/>
    <w:link w:val="27"/>
    <w:qFormat/>
    <w:locked/>
    <w:uiPriority w:val="0"/>
    <w:rPr>
      <w:rFonts w:ascii="宋体" w:hAnsi="Times New Roman" w:eastAsia="宋体" w:cs="Times New Roman"/>
      <w:kern w:val="0"/>
      <w:szCs w:val="20"/>
    </w:rPr>
  </w:style>
  <w:style w:type="paragraph" w:customStyle="1" w:styleId="47">
    <w:name w:val="样式1"/>
    <w:basedOn w:val="1"/>
    <w:link w:val="48"/>
    <w:qFormat/>
    <w:uiPriority w:val="0"/>
    <w:pPr>
      <w:snapToGrid w:val="0"/>
      <w:jc w:val="center"/>
    </w:pPr>
    <w:rPr>
      <w:rFonts w:ascii="Times New Roman" w:hAnsi="Times New Roman"/>
    </w:rPr>
  </w:style>
  <w:style w:type="character" w:customStyle="1" w:styleId="48">
    <w:name w:val="样式1 Char"/>
    <w:link w:val="47"/>
    <w:qFormat/>
    <w:uiPriority w:val="0"/>
    <w:rPr>
      <w:rFonts w:ascii="Times New Roman" w:hAnsi="Times New Roman" w:eastAsia="宋体" w:cs="Times New Roman"/>
    </w:rPr>
  </w:style>
  <w:style w:type="character" w:customStyle="1" w:styleId="49">
    <w:name w:val="批注主题 字符"/>
    <w:basedOn w:val="43"/>
    <w:link w:val="14"/>
    <w:qFormat/>
    <w:uiPriority w:val="99"/>
    <w:rPr>
      <w:rFonts w:ascii="Times New Roman" w:hAnsi="Times New Roman" w:eastAsia="宋体" w:cs="Times New Roman"/>
      <w:b/>
      <w:bCs/>
    </w:rPr>
  </w:style>
  <w:style w:type="paragraph" w:customStyle="1" w:styleId="50">
    <w:name w:val="论文正文"/>
    <w:basedOn w:val="1"/>
    <w:link w:val="51"/>
    <w:qFormat/>
    <w:uiPriority w:val="0"/>
    <w:pPr>
      <w:adjustRightInd w:val="0"/>
      <w:snapToGrid w:val="0"/>
      <w:spacing w:line="400" w:lineRule="exact"/>
      <w:ind w:firstLine="480" w:firstLineChars="200"/>
      <w:textAlignment w:val="baseline"/>
    </w:pPr>
    <w:rPr>
      <w:rFonts w:ascii="Times New Roman" w:hAnsi="Times New Roman"/>
      <w:kern w:val="0"/>
      <w:sz w:val="24"/>
      <w:szCs w:val="20"/>
    </w:rPr>
  </w:style>
  <w:style w:type="character" w:customStyle="1" w:styleId="51">
    <w:name w:val="论文正文 Char"/>
    <w:link w:val="50"/>
    <w:qFormat/>
    <w:uiPriority w:val="0"/>
    <w:rPr>
      <w:rFonts w:ascii="Times New Roman" w:hAnsi="Times New Roman" w:eastAsia="宋体" w:cs="Times New Roman"/>
      <w:kern w:val="0"/>
      <w:sz w:val="24"/>
      <w:szCs w:val="20"/>
    </w:rPr>
  </w:style>
  <w:style w:type="character" w:customStyle="1" w:styleId="52">
    <w:name w:val="日期 字符"/>
    <w:basedOn w:val="17"/>
    <w:link w:val="7"/>
    <w:qFormat/>
    <w:uiPriority w:val="99"/>
    <w:rPr>
      <w:rFonts w:ascii="Times New Roman" w:hAnsi="Times New Roman" w:eastAsia="宋体" w:cs="Times New Roman"/>
    </w:rPr>
  </w:style>
  <w:style w:type="character" w:styleId="53">
    <w:name w:val="Placeholder Text"/>
    <w:semiHidden/>
    <w:qFormat/>
    <w:uiPriority w:val="99"/>
    <w:rPr>
      <w:color w:val="808080"/>
    </w:rPr>
  </w:style>
  <w:style w:type="character" w:customStyle="1" w:styleId="54">
    <w:name w:val="MTEquationSection"/>
    <w:qFormat/>
    <w:uiPriority w:val="0"/>
    <w:rPr>
      <w:vanish/>
      <w:color w:val="FF0000"/>
    </w:rPr>
  </w:style>
  <w:style w:type="paragraph" w:styleId="55">
    <w:name w:val="List Paragraph"/>
    <w:basedOn w:val="1"/>
    <w:qFormat/>
    <w:uiPriority w:val="34"/>
    <w:pPr>
      <w:snapToGrid w:val="0"/>
      <w:spacing w:line="360" w:lineRule="auto"/>
      <w:ind w:firstLine="420" w:firstLineChars="200"/>
    </w:pPr>
    <w:rPr>
      <w:rFonts w:ascii="Times New Roman" w:hAnsi="Times New Roman"/>
    </w:rPr>
  </w:style>
  <w:style w:type="paragraph" w:customStyle="1" w:styleId="56">
    <w:name w:val="参考文献"/>
    <w:basedOn w:val="1"/>
    <w:link w:val="57"/>
    <w:qFormat/>
    <w:uiPriority w:val="0"/>
    <w:pPr>
      <w:numPr>
        <w:ilvl w:val="0"/>
        <w:numId w:val="2"/>
      </w:numPr>
      <w:spacing w:before="60" w:line="320" w:lineRule="exact"/>
    </w:pPr>
    <w:rPr>
      <w:rFonts w:ascii="Times New Roman" w:hAnsi="宋体"/>
      <w:kern w:val="0"/>
      <w:szCs w:val="21"/>
    </w:rPr>
  </w:style>
  <w:style w:type="character" w:customStyle="1" w:styleId="57">
    <w:name w:val="参考文献 Char"/>
    <w:link w:val="56"/>
    <w:qFormat/>
    <w:uiPriority w:val="0"/>
    <w:rPr>
      <w:rFonts w:ascii="Times New Roman" w:hAnsi="宋体" w:eastAsia="宋体" w:cs="Times New Roman"/>
      <w:kern w:val="0"/>
      <w:szCs w:val="21"/>
    </w:rPr>
  </w:style>
  <w:style w:type="paragraph" w:customStyle="1" w:styleId="58">
    <w:name w:val="封面标准英文名称"/>
    <w:qFormat/>
    <w:uiPriority w:val="0"/>
    <w:pPr>
      <w:widowControl w:val="0"/>
      <w:spacing w:before="370" w:line="400" w:lineRule="exact"/>
      <w:jc w:val="center"/>
    </w:pPr>
    <w:rPr>
      <w:rFonts w:ascii="Times New Roman" w:hAnsi="Times New Roman" w:eastAsia="宋体" w:cs="Times New Roman"/>
      <w:kern w:val="0"/>
      <w:sz w:val="28"/>
      <w:szCs w:val="20"/>
      <w:lang w:val="en-US" w:eastAsia="zh-CN" w:bidi="ar-SA"/>
    </w:rPr>
  </w:style>
  <w:style w:type="paragraph" w:customStyle="1" w:styleId="59">
    <w:name w:val="章"/>
    <w:basedOn w:val="1"/>
    <w:next w:val="27"/>
    <w:qFormat/>
    <w:uiPriority w:val="0"/>
    <w:pPr>
      <w:numPr>
        <w:ilvl w:val="0"/>
        <w:numId w:val="3"/>
      </w:numPr>
      <w:adjustRightInd w:val="0"/>
      <w:spacing w:before="160" w:after="160"/>
      <w:outlineLvl w:val="0"/>
    </w:pPr>
    <w:rPr>
      <w:rFonts w:hint="eastAsia" w:ascii="黑体" w:hAnsi="Times New Roman" w:eastAsia="黑体"/>
      <w:kern w:val="21"/>
      <w:szCs w:val="20"/>
    </w:rPr>
  </w:style>
  <w:style w:type="paragraph" w:customStyle="1" w:styleId="60">
    <w:name w:val="条1"/>
    <w:basedOn w:val="1"/>
    <w:next w:val="27"/>
    <w:qFormat/>
    <w:uiPriority w:val="0"/>
    <w:pPr>
      <w:numPr>
        <w:ilvl w:val="1"/>
        <w:numId w:val="3"/>
      </w:numPr>
      <w:ind w:left="0"/>
      <w:outlineLvl w:val="1"/>
    </w:pPr>
    <w:rPr>
      <w:rFonts w:hint="eastAsia" w:ascii="黑体" w:hAnsi="Times New Roman" w:eastAsia="黑体"/>
      <w:kern w:val="21"/>
      <w:szCs w:val="20"/>
    </w:rPr>
  </w:style>
  <w:style w:type="paragraph" w:customStyle="1" w:styleId="61">
    <w:name w:val="条2"/>
    <w:basedOn w:val="1"/>
    <w:next w:val="27"/>
    <w:qFormat/>
    <w:uiPriority w:val="0"/>
    <w:pPr>
      <w:numPr>
        <w:ilvl w:val="2"/>
        <w:numId w:val="3"/>
      </w:numPr>
      <w:outlineLvl w:val="1"/>
    </w:pPr>
    <w:rPr>
      <w:rFonts w:hint="eastAsia" w:ascii="黑体" w:hAnsi="Times New Roman" w:eastAsia="黑体"/>
      <w:kern w:val="21"/>
      <w:szCs w:val="20"/>
    </w:rPr>
  </w:style>
  <w:style w:type="paragraph" w:customStyle="1" w:styleId="62">
    <w:name w:val="条3"/>
    <w:basedOn w:val="1"/>
    <w:next w:val="27"/>
    <w:qFormat/>
    <w:uiPriority w:val="0"/>
    <w:pPr>
      <w:numPr>
        <w:ilvl w:val="3"/>
        <w:numId w:val="3"/>
      </w:numPr>
      <w:outlineLvl w:val="1"/>
    </w:pPr>
    <w:rPr>
      <w:rFonts w:hint="eastAsia" w:ascii="黑体" w:hAnsi="Times New Roman" w:eastAsia="黑体"/>
      <w:kern w:val="21"/>
      <w:szCs w:val="20"/>
    </w:rPr>
  </w:style>
  <w:style w:type="paragraph" w:customStyle="1" w:styleId="63">
    <w:name w:val="无题条5"/>
    <w:basedOn w:val="1"/>
    <w:next w:val="27"/>
    <w:qFormat/>
    <w:uiPriority w:val="0"/>
    <w:pPr>
      <w:numPr>
        <w:ilvl w:val="4"/>
        <w:numId w:val="3"/>
      </w:numPr>
      <w:outlineLvl w:val="1"/>
    </w:pPr>
    <w:rPr>
      <w:rFonts w:hint="eastAsia" w:ascii="宋体" w:hAnsi="Times New Roman"/>
      <w:kern w:val="21"/>
      <w:szCs w:val="20"/>
    </w:rPr>
  </w:style>
  <w:style w:type="paragraph" w:customStyle="1" w:styleId="64">
    <w:name w:val="附录标题"/>
    <w:basedOn w:val="1"/>
    <w:next w:val="27"/>
    <w:qFormat/>
    <w:uiPriority w:val="0"/>
    <w:pPr>
      <w:widowControl/>
      <w:numPr>
        <w:ilvl w:val="5"/>
        <w:numId w:val="3"/>
      </w:numPr>
      <w:spacing w:before="560" w:after="160"/>
      <w:jc w:val="center"/>
      <w:outlineLvl w:val="0"/>
    </w:pPr>
    <w:rPr>
      <w:rFonts w:hint="eastAsia" w:ascii="黑体" w:hAnsi="Times New Roman" w:eastAsia="黑体"/>
      <w:kern w:val="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5</Pages>
  <Words>3899</Words>
  <Characters>3994</Characters>
  <Lines>5</Lines>
  <Paragraphs>1</Paragraphs>
  <TotalTime>3</TotalTime>
  <ScaleCrop>false</ScaleCrop>
  <LinksUpToDate>false</LinksUpToDate>
  <CharactersWithSpaces>3999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2019-06-20T06:55:00Z</dcterms:created>
  <dc:creator>zhengyanfeng</dc:creator>
  <cp:lastModifiedBy>陈萌</cp:lastModifiedBy>
  <dcterms:modified xsi:type="dcterms:W3CDTF">2026-05-07T07:00:52Z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818F7467666C4704AC440DFB064940E7_13</vt:lpwstr>
  </property>
  <property fmtid="{D5CDD505-2E9C-101B-9397-08002B2CF9AE}" pid="4" name="KSOTemplateDocerSaveRecord">
    <vt:lpwstr>eyJoZGlkIjoiOTNhYzk2NjdkNzE3ZjM0MDllNTZkZTZlMGYzZGI1YjEiLCJ1c2VySWQiOiI0MTg0NTA0MDAifQ==</vt:lpwstr>
  </property>
</Properties>
</file>