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03.080.99</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59C41F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A20</w:t>
            </w:r>
            <w:r>
              <w:rPr>
                <w:rFonts w:ascii="黑体" w:hAnsi="黑体" w:eastAsia="黑体"/>
                <w:sz w:val="21"/>
                <w:szCs w:val="21"/>
              </w:rPr>
              <w:fldChar w:fldCharType="end"/>
            </w:r>
            <w:bookmarkEnd w:id="2"/>
          </w:p>
        </w:tc>
      </w:tr>
    </w:tbl>
    <w:p w14:paraId="3CD15C9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1"/>
        <w:framePr w:w="9639" w:h="6976" w:hRule="exact" w:hSpace="0" w:vSpace="0" w:wrap="around" w:hAnchor="page" w:y="6408"/>
        <w:jc w:val="center"/>
        <w:rPr>
          <w:rFonts w:ascii="黑体" w:hAnsi="黑体" w:eastAsia="黑体"/>
          <w:b w:val="0"/>
          <w:bCs w:val="0"/>
          <w:w w:val="100"/>
        </w:rPr>
      </w:pPr>
    </w:p>
    <w:p w14:paraId="78AC8BF5">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潞党参轮作技术指南</w:t>
      </w:r>
      <w:r>
        <w:fldChar w:fldCharType="end"/>
      </w:r>
      <w:bookmarkEnd w:id="9"/>
    </w:p>
    <w:p w14:paraId="508635D4">
      <w:pPr>
        <w:framePr w:w="9639" w:h="6974" w:hRule="exact" w:wrap="around" w:vAnchor="page" w:hAnchor="page" w:x="1419" w:y="6408" w:anchorLock="1"/>
        <w:ind w:left="-1418"/>
      </w:pPr>
    </w:p>
    <w:p w14:paraId="14C9465E">
      <w:pPr>
        <w:pStyle w:val="126"/>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Guide for Codonopsis Radix（Lu Dangshen）</w:t>
      </w:r>
    </w:p>
    <w:p w14:paraId="278376D5">
      <w:pPr>
        <w:pStyle w:val="126"/>
        <w:framePr w:w="9639" w:h="6974" w:hRule="exact" w:wrap="around" w:vAnchor="page" w:hAnchor="page" w:x="1419" w:y="6408" w:anchorLock="1"/>
        <w:textAlignment w:val="bottom"/>
        <w:rPr>
          <w:rFonts w:hint="eastAsia" w:eastAsia="黑体"/>
          <w:szCs w:val="28"/>
        </w:rPr>
      </w:pPr>
    </w:p>
    <w:p w14:paraId="0B0FD945">
      <w:pPr>
        <w:pStyle w:val="126"/>
        <w:framePr w:w="9639" w:h="6974" w:hRule="exact" w:wrap="around" w:vAnchor="page" w:hAnchor="page" w:x="1419" w:y="6408" w:anchorLock="1"/>
        <w:textAlignment w:val="bottom"/>
        <w:rPr>
          <w:rFonts w:hint="eastAsia" w:eastAsia="黑体"/>
          <w:szCs w:val="28"/>
        </w:rPr>
      </w:pPr>
    </w:p>
    <w:p w14:paraId="68984876">
      <w:pPr>
        <w:pStyle w:val="126"/>
        <w:framePr w:w="9639" w:h="6974" w:hRule="exact" w:wrap="around" w:vAnchor="page" w:hAnchor="page" w:x="1419" w:y="6408" w:anchorLock="1"/>
        <w:textAlignment w:val="bottom"/>
        <w:rPr>
          <w:rFonts w:eastAsia="黑体"/>
          <w:szCs w:val="28"/>
        </w:rPr>
      </w:pPr>
      <w:r>
        <w:rPr>
          <w:rFonts w:hint="eastAsia" w:eastAsia="黑体"/>
          <w:szCs w:val="28"/>
          <w:lang w:eastAsia="zh-CN"/>
        </w:rPr>
        <w:t>（征求意见稿）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6"/>
        <w:framePr w:w="9639" w:h="6974" w:hRule="exact" w:wrap="around" w:vAnchor="page" w:hAnchor="page" w:x="1419" w:y="6408" w:anchorLock="1"/>
        <w:textAlignment w:val="bottom"/>
        <w:rPr>
          <w:rFonts w:eastAsia="黑体"/>
          <w:szCs w:val="28"/>
        </w:rPr>
      </w:pPr>
    </w:p>
    <w:p w14:paraId="1A0DA96B">
      <w:pPr>
        <w:pStyle w:val="126"/>
        <w:framePr w:w="9639" w:h="6974" w:hRule="exact" w:wrap="around" w:vAnchor="page" w:hAnchor="page" w:x="1419" w:y="6408" w:anchorLock="1"/>
        <w:spacing w:before="440" w:after="160"/>
        <w:textAlignment w:val="bottom"/>
        <w:rPr>
          <w:sz w:val="24"/>
          <w:szCs w:val="28"/>
        </w:rPr>
      </w:pPr>
    </w:p>
    <w:p w14:paraId="18BBDAAC">
      <w:pPr>
        <w:pStyle w:val="194"/>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5"/>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73BF">
      <w:pPr>
        <w:pStyle w:val="90"/>
        <w:spacing w:after="360"/>
      </w:pPr>
      <w:bookmarkStart w:id="18" w:name="_Toc27272"/>
      <w:bookmarkStart w:id="19" w:name="BookMark2"/>
      <w:r>
        <w:rPr>
          <w:spacing w:val="320"/>
        </w:rPr>
        <w:t>前</w:t>
      </w:r>
      <w:r>
        <w:t>言</w:t>
      </w:r>
      <w:bookmarkEnd w:id="18"/>
    </w:p>
    <w:p w14:paraId="7E89CE78">
      <w:pPr>
        <w:pStyle w:val="57"/>
        <w:ind w:firstLine="420"/>
      </w:pPr>
      <w:r>
        <w:rPr>
          <w:rFonts w:hint="eastAsia"/>
        </w:rPr>
        <w:t>本文件按照GB/T 1.1-2020《标准化工作导则  第1部分：标准化文件的结构和起草规则》的规定起草。</w:t>
      </w:r>
    </w:p>
    <w:p w14:paraId="00A497ED">
      <w:pPr>
        <w:pStyle w:val="57"/>
        <w:ind w:firstLine="420"/>
        <w:rPr>
          <w:rFonts w:hint="eastAsia"/>
        </w:rPr>
      </w:pPr>
      <w:r>
        <w:rPr>
          <w:rFonts w:hint="eastAsia"/>
        </w:rPr>
        <w:t>请注意本文件的某些内容可能涉及专利。本文件的发布机构不承担识别专利的责任。本文件由</w:t>
      </w:r>
      <w:r>
        <w:rPr>
          <w:rFonts w:hint="default"/>
          <w:lang w:val="en-US" w:eastAsia="zh-CN"/>
        </w:rPr>
        <w:t>长治市中药材产业发展中心</w:t>
      </w:r>
      <w:r>
        <w:rPr>
          <w:rFonts w:hint="eastAsia"/>
        </w:rPr>
        <w:t>提出。</w:t>
      </w:r>
    </w:p>
    <w:p w14:paraId="1640DE90">
      <w:pPr>
        <w:pStyle w:val="57"/>
        <w:ind w:firstLine="420"/>
        <w:rPr>
          <w:rFonts w:hint="eastAsia"/>
        </w:rPr>
      </w:pPr>
      <w:r>
        <w:rPr>
          <w:rFonts w:hint="eastAsia"/>
        </w:rPr>
        <w:t>本文件由中国中医药研究促进会归口。</w:t>
      </w:r>
    </w:p>
    <w:p w14:paraId="08ADD694">
      <w:pPr>
        <w:pStyle w:val="57"/>
        <w:ind w:firstLine="420"/>
        <w:rPr>
          <w:rFonts w:hint="default"/>
          <w:lang w:val="en-US" w:eastAsia="zh-CN"/>
        </w:rPr>
      </w:pPr>
      <w:r>
        <w:rPr>
          <w:rFonts w:hint="eastAsia"/>
        </w:rPr>
        <w:t>本文件起草单位：长治市中药材产业发展中心、中国标准化研究院</w:t>
      </w:r>
      <w:r>
        <w:rPr>
          <w:rFonts w:hint="eastAsia"/>
          <w:lang w:val="en-US" w:eastAsia="zh-CN"/>
        </w:rPr>
        <w:t>等</w:t>
      </w:r>
    </w:p>
    <w:p w14:paraId="32D78306">
      <w:pPr>
        <w:pStyle w:val="57"/>
        <w:ind w:firstLine="420"/>
        <w:rPr>
          <w:rFonts w:hint="eastAsia"/>
          <w:lang w:val="en-US" w:eastAsia="zh-CN"/>
        </w:rPr>
      </w:pPr>
      <w:r>
        <w:rPr>
          <w:rFonts w:hint="eastAsia"/>
        </w:rPr>
        <w:t>本文件主要起草人：</w:t>
      </w:r>
      <w:r>
        <w:rPr>
          <w:rFonts w:hint="eastAsia"/>
          <w:lang w:val="en-US" w:eastAsia="zh-CN"/>
        </w:rPr>
        <w:t>暂略</w:t>
      </w:r>
    </w:p>
    <w:p w14:paraId="3233E5A8">
      <w:pPr>
        <w:pStyle w:val="57"/>
        <w:ind w:firstLine="420"/>
        <w:rPr>
          <w:rFonts w:hint="default" w:hAnsi="Times New Roman" w:cs="Times New Roman"/>
          <w:lang w:eastAsia="zh-CN"/>
        </w:rPr>
      </w:pPr>
    </w:p>
    <w:p w14:paraId="3C8F5278">
      <w:pPr>
        <w:rPr>
          <w:rFonts w:hint="eastAsia" w:hAnsi="Times New Roman" w:cs="Times New Roman"/>
          <w:lang w:eastAsia="zh-CN"/>
        </w:rPr>
      </w:pPr>
      <w:r>
        <w:rPr>
          <w:rFonts w:hint="eastAsia" w:hAnsi="Times New Roman" w:cs="Times New Roman"/>
          <w:lang w:eastAsia="zh-CN"/>
        </w:rPr>
        <w:br w:type="page"/>
      </w:r>
    </w:p>
    <w:bookmarkEnd w:id="19"/>
    <w:p w14:paraId="7DF50EB9">
      <w:pPr>
        <w:spacing w:line="20" w:lineRule="exact"/>
        <w:jc w:val="center"/>
        <w:rPr>
          <w:rFonts w:ascii="黑体" w:hAnsi="黑体" w:eastAsia="黑体"/>
          <w:sz w:val="32"/>
          <w:szCs w:val="32"/>
        </w:rPr>
      </w:pPr>
      <w:bookmarkStart w:id="20" w:name="BookMark4"/>
    </w:p>
    <w:sdt>
      <w:sdtPr>
        <w:tag w:val="NEW_STAND_NAME"/>
        <w:id w:val="595910757"/>
        <w:lock w:val="sdtLocked"/>
        <w:placeholder>
          <w:docPart w:val="A276024014E749F195FC61D7865681B4"/>
        </w:placeholder>
      </w:sdtPr>
      <w:sdtContent>
        <w:p w14:paraId="0885E84A">
          <w:pPr>
            <w:jc w:val="center"/>
          </w:pPr>
          <w:bookmarkStart w:id="21" w:name="NEW_STAND_NAME"/>
          <w:r>
            <w:rPr>
              <w:rFonts w:hint="eastAsia" w:ascii="黑体" w:hAnsi="黑体" w:eastAsia="黑体" w:cs="黑体"/>
              <w:snapToGrid w:val="0"/>
              <w:color w:val="000000"/>
              <w:spacing w:val="7"/>
              <w:kern w:val="0"/>
              <w:sz w:val="31"/>
              <w:szCs w:val="31"/>
              <w:lang w:val="en-US" w:eastAsia="zh-CN" w:bidi="ar-SA"/>
            </w:rPr>
            <w:t>潞党参轮作技术指南</w:t>
          </w:r>
        </w:p>
      </w:sdtContent>
    </w:sdt>
    <w:bookmarkEnd w:id="21"/>
    <w:p w14:paraId="23A36214">
      <w:pPr>
        <w:pStyle w:val="105"/>
        <w:spacing w:before="240" w:after="240"/>
      </w:pPr>
      <w:bookmarkStart w:id="22" w:name="_Toc26986771"/>
      <w:bookmarkStart w:id="23" w:name="_Toc24884211"/>
      <w:bookmarkStart w:id="24" w:name="_Toc26986530"/>
      <w:bookmarkStart w:id="25" w:name="_Toc17233325"/>
      <w:bookmarkStart w:id="26" w:name="_Toc26648465"/>
      <w:bookmarkStart w:id="27" w:name="_Toc21305"/>
      <w:bookmarkStart w:id="28" w:name="_Toc17233333"/>
      <w:bookmarkStart w:id="29" w:name="_Toc26718930"/>
      <w:bookmarkStart w:id="30" w:name="_Toc24884218"/>
      <w:r>
        <w:rPr>
          <w:rFonts w:hint="eastAsia"/>
        </w:rPr>
        <w:t>范围</w:t>
      </w:r>
      <w:bookmarkEnd w:id="22"/>
      <w:bookmarkEnd w:id="23"/>
      <w:bookmarkEnd w:id="24"/>
      <w:bookmarkEnd w:id="25"/>
      <w:bookmarkEnd w:id="26"/>
      <w:bookmarkEnd w:id="27"/>
      <w:bookmarkEnd w:id="28"/>
      <w:bookmarkEnd w:id="29"/>
      <w:bookmarkEnd w:id="30"/>
    </w:p>
    <w:p w14:paraId="1C664E9C">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ascii="宋体" w:hAnsi="Times New Roman" w:cs="Times New Roman"/>
          <w:kern w:val="0"/>
          <w:sz w:val="21"/>
          <w:szCs w:val="20"/>
          <w:lang w:val="en-US" w:eastAsia="zh-CN" w:bidi="ar-SA"/>
        </w:rPr>
      </w:pPr>
      <w:bookmarkStart w:id="31" w:name="_Toc24884219"/>
      <w:bookmarkStart w:id="32" w:name="_Toc26648466"/>
      <w:bookmarkStart w:id="33" w:name="_Toc17233334"/>
      <w:bookmarkStart w:id="34" w:name="_Toc17233326"/>
      <w:bookmarkStart w:id="35" w:name="_Toc24884212"/>
      <w:r>
        <w:rPr>
          <w:rFonts w:hint="eastAsia" w:ascii="宋体" w:hAnsi="Times New Roman" w:eastAsia="宋体" w:cs="Times New Roman"/>
          <w:kern w:val="0"/>
          <w:sz w:val="21"/>
          <w:szCs w:val="20"/>
          <w:lang w:val="en-US" w:eastAsia="en-US" w:bidi="ar-SA"/>
        </w:rPr>
        <w:t>本标准</w:t>
      </w:r>
      <w:r>
        <w:rPr>
          <w:rFonts w:hint="eastAsia" w:ascii="宋体" w:hAnsi="Times New Roman" w:cs="Times New Roman"/>
          <w:kern w:val="0"/>
          <w:sz w:val="21"/>
          <w:szCs w:val="20"/>
          <w:lang w:val="en-US" w:eastAsia="zh-CN" w:bidi="ar-SA"/>
        </w:rPr>
        <w:t>文件提供</w:t>
      </w:r>
      <w:r>
        <w:rPr>
          <w:rFonts w:hint="eastAsia" w:ascii="宋体" w:hAnsi="Times New Roman" w:eastAsia="宋体" w:cs="Times New Roman"/>
          <w:kern w:val="0"/>
          <w:sz w:val="21"/>
          <w:szCs w:val="20"/>
          <w:lang w:val="en-US" w:eastAsia="en-US" w:bidi="ar-SA"/>
        </w:rPr>
        <w:t>了</w:t>
      </w:r>
      <w:r>
        <w:rPr>
          <w:rFonts w:hint="eastAsia" w:ascii="宋体" w:hAnsi="Times New Roman" w:cs="Times New Roman"/>
          <w:kern w:val="0"/>
          <w:sz w:val="21"/>
          <w:szCs w:val="20"/>
          <w:lang w:val="en-US" w:eastAsia="zh-CN" w:bidi="ar-SA"/>
        </w:rPr>
        <w:t>潞党参轮作的基本原则、轮作周期、前茬作物选择、茬口衔接、土地处理等方面的技术指导。</w:t>
      </w:r>
    </w:p>
    <w:p w14:paraId="3EF38FC0">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en-US" w:bidi="ar-SA"/>
        </w:rPr>
        <w:t>本标准适用于</w:t>
      </w:r>
      <w:r>
        <w:rPr>
          <w:rFonts w:hint="eastAsia" w:ascii="宋体" w:hAnsi="Times New Roman" w:cs="Times New Roman"/>
          <w:kern w:val="0"/>
          <w:sz w:val="21"/>
          <w:szCs w:val="20"/>
          <w:lang w:val="en-US" w:eastAsia="zh-CN" w:bidi="ar-SA"/>
        </w:rPr>
        <w:t>山西省长治市及其周边生态环境相似地域的潞党参轮作生产</w:t>
      </w:r>
      <w:r>
        <w:rPr>
          <w:rFonts w:hint="eastAsia" w:ascii="宋体" w:hAnsi="Times New Roman" w:cs="Times New Roman"/>
          <w:kern w:val="0"/>
          <w:sz w:val="21"/>
          <w:szCs w:val="20"/>
          <w:lang w:val="en-US" w:eastAsia="en-US" w:bidi="ar-SA"/>
        </w:rPr>
        <w:t>。</w:t>
      </w:r>
    </w:p>
    <w:p w14:paraId="5D42895D">
      <w:pPr>
        <w:pStyle w:val="105"/>
        <w:spacing w:before="240" w:after="240"/>
      </w:pPr>
      <w:bookmarkStart w:id="36" w:name="_Toc26986772"/>
      <w:bookmarkStart w:id="37" w:name="_Toc26718931"/>
      <w:bookmarkStart w:id="38" w:name="_Toc26986531"/>
      <w:bookmarkStart w:id="39" w:name="_Toc2711"/>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17E3DFB">
          <w:pPr>
            <w:pStyle w:val="57"/>
            <w:spacing w:line="240" w:lineRule="auto"/>
            <w:ind w:firstLine="420"/>
            <w:rPr>
              <w:rFonts w:hint="default"/>
              <w:lang w:val="en-US" w:eastAsia="zh-CN"/>
            </w:rPr>
          </w:pPr>
          <w:r>
            <w:rPr>
              <w:rFonts w:hint="eastAsia" w:ascii="宋体" w:hAnsi="Times New Roman" w:eastAsia="宋体" w:cs="Times New Roman"/>
              <w:sz w:val="21"/>
              <w:lang w:val="en-US" w:eastAsia="zh-CN" w:bidi="ar-SA"/>
            </w:rPr>
            <w:t>本文件没有规范性引用文件。</w:t>
          </w:r>
          <w:bookmarkStart w:id="40" w:name="_Toc19886"/>
        </w:p>
      </w:sdtContent>
    </w:sdt>
    <w:p w14:paraId="22E57D42">
      <w:pPr>
        <w:pStyle w:val="105"/>
        <w:spacing w:before="240" w:after="240" w:line="360" w:lineRule="auto"/>
      </w:pPr>
      <w:r>
        <w:rPr>
          <w:rFonts w:hint="eastAsia"/>
          <w:szCs w:val="21"/>
        </w:rPr>
        <w:t>术语和定义</w:t>
      </w:r>
      <w:bookmarkEnd w:id="40"/>
    </w:p>
    <w:sdt>
      <w:sdt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9EB1DD2">
          <w:pPr>
            <w:pStyle w:val="57"/>
            <w:spacing w:line="360" w:lineRule="auto"/>
            <w:ind w:firstLine="420"/>
          </w:pPr>
          <w:bookmarkStart w:id="41" w:name="_Toc26986532"/>
          <w:bookmarkEnd w:id="41"/>
          <w:r>
            <w:rPr>
              <w:rFonts w:ascii="宋体" w:hAnsi="Times New Roman" w:eastAsia="宋体" w:cs="Times New Roman"/>
              <w:sz w:val="21"/>
              <w:lang w:val="en-US" w:eastAsia="zh-CN" w:bidi="ar-SA"/>
            </w:rPr>
            <w:t>下列术语和定义适用于本文件。</w:t>
          </w:r>
        </w:p>
      </w:sdtContent>
    </w:sdt>
    <w:p w14:paraId="398809DC">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2" w:name="_Toc1608"/>
      <w:bookmarkEnd w:id="42"/>
      <w:bookmarkStart w:id="43" w:name="_Toc28104"/>
      <w:bookmarkStart w:id="44" w:name="_Toc6700"/>
      <w:bookmarkStart w:id="45" w:name="_Toc92982884"/>
    </w:p>
    <w:p w14:paraId="301A7EDC">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bookmarkStart w:id="46" w:name="_Toc24207"/>
      <w:r>
        <w:rPr>
          <w:rFonts w:hint="eastAsia"/>
          <w:lang w:val="en-US" w:eastAsia="zh-CN"/>
        </w:rPr>
        <w:t>潞党参</w:t>
      </w:r>
      <w:r>
        <w:t>　</w:t>
      </w:r>
      <w:bookmarkEnd w:id="43"/>
      <w:bookmarkEnd w:id="44"/>
      <w:bookmarkEnd w:id="46"/>
      <w:r>
        <w:rPr>
          <w:rFonts w:hint="eastAsia"/>
          <w:lang w:val="en-US" w:eastAsia="zh-CN"/>
        </w:rPr>
        <w:t>lu dang shen</w:t>
      </w:r>
    </w:p>
    <w:p w14:paraId="23B7C3FF">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en-US"/>
        </w:rPr>
      </w:pPr>
      <w:r>
        <w:rPr>
          <w:rFonts w:hint="eastAsia" w:cs="Times New Roman"/>
          <w:lang w:val="en-US" w:eastAsia="zh-CN"/>
        </w:rPr>
        <w:t>产于山西省长治市及其周边生</w:t>
      </w:r>
      <w:r>
        <w:rPr>
          <w:rFonts w:hint="default" w:ascii="Times New Roman" w:hAnsi="Times New Roman" w:eastAsia="宋体" w:cs="Times New Roman"/>
          <w:lang w:val="en-US" w:eastAsia="zh-CN"/>
        </w:rPr>
        <w:t>态环境相似地域（北纬 35°49′—37°07′，东经 111°59′—113°44′）的1年及1年以上的野生或栽</w:t>
      </w:r>
      <w:r>
        <w:rPr>
          <w:rFonts w:hint="eastAsia" w:cs="Times New Roman"/>
          <w:lang w:val="en-US" w:eastAsia="zh-CN"/>
        </w:rPr>
        <w:t>培党参（</w:t>
      </w:r>
      <w:r>
        <w:rPr>
          <w:rFonts w:hint="default" w:ascii="Times New Roman" w:hAnsi="Times New Roman" w:cs="Times New Roman"/>
          <w:i/>
          <w:iCs/>
          <w:lang w:val="en-US" w:eastAsia="zh-CN"/>
        </w:rPr>
        <w:t>Codonopsis pilosula</w:t>
      </w:r>
      <w:r>
        <w:rPr>
          <w:rFonts w:hint="default" w:ascii="Times New Roman" w:hAnsi="Times New Roman" w:cs="Times New Roman"/>
          <w:lang w:val="en-US" w:eastAsia="zh-CN"/>
        </w:rPr>
        <w:t>（Franch.）Nannf.</w:t>
      </w:r>
      <w:r>
        <w:rPr>
          <w:rFonts w:hint="eastAsia" w:cs="Times New Roman"/>
          <w:lang w:val="en-US" w:eastAsia="zh-CN"/>
        </w:rPr>
        <w:t>）的干燥根</w:t>
      </w:r>
      <w:r>
        <w:rPr>
          <w:rFonts w:hint="eastAsia" w:cs="Times New Roman"/>
          <w:lang w:val="en-US" w:eastAsia="en-US"/>
        </w:rPr>
        <w:t>。</w:t>
      </w:r>
    </w:p>
    <w:p w14:paraId="09527409">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p>
    <w:p w14:paraId="5F0C7FA1">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r>
        <w:rPr>
          <w:rFonts w:hint="eastAsia"/>
          <w:lang w:val="en-US" w:eastAsia="zh-CN"/>
        </w:rPr>
        <w:t>轮作</w:t>
      </w:r>
      <w:r>
        <w:t>　</w:t>
      </w:r>
      <w:r>
        <w:rPr>
          <w:rFonts w:hint="eastAsia"/>
          <w:lang w:val="en-US" w:eastAsia="zh-CN"/>
        </w:rPr>
        <w:t>crop rotation</w:t>
      </w:r>
      <w:bookmarkStart w:id="48" w:name="_GoBack"/>
      <w:bookmarkEnd w:id="48"/>
    </w:p>
    <w:p w14:paraId="164BEC9B">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在同一块田地上，以潞党参为中心作物，与其他作物按照一定的顺序轮换种植的种植制度。</w:t>
      </w:r>
    </w:p>
    <w:p w14:paraId="5070DA01">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p>
    <w:p w14:paraId="6BD89674">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r>
        <w:rPr>
          <w:rFonts w:hint="eastAsia"/>
          <w:lang w:val="en-US" w:eastAsia="zh-CN"/>
        </w:rPr>
        <w:t>轮作周期</w:t>
      </w:r>
      <w:r>
        <w:t>　</w:t>
      </w:r>
      <w:r>
        <w:rPr>
          <w:rFonts w:hint="eastAsia"/>
          <w:lang w:val="en-US" w:eastAsia="zh-CN"/>
        </w:rPr>
        <w:t>rotation cycle</w:t>
      </w:r>
    </w:p>
    <w:p w14:paraId="2E78B2AE">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在同一块田地上，从潞党参开始种植到再次种植潞党参所经历的完整年数。</w:t>
      </w:r>
    </w:p>
    <w:p w14:paraId="6DECE79A">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p>
    <w:p w14:paraId="60071571">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r>
        <w:rPr>
          <w:rFonts w:hint="eastAsia"/>
          <w:lang w:val="en-US" w:eastAsia="zh-CN"/>
        </w:rPr>
        <w:t>前茬作物</w:t>
      </w:r>
      <w:r>
        <w:t>　</w:t>
      </w:r>
      <w:r>
        <w:rPr>
          <w:rFonts w:hint="eastAsia"/>
          <w:lang w:val="en-US" w:eastAsia="zh-CN"/>
        </w:rPr>
        <w:t>previous crop</w:t>
      </w:r>
    </w:p>
    <w:p w14:paraId="7044A697">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在轮作顺序中，位于潞党参之前种植的作物。</w:t>
      </w:r>
    </w:p>
    <w:p w14:paraId="281E1346">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p>
    <w:p w14:paraId="4563E6D3">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eastAsia" w:ascii="Arial" w:hAnsi="Arial" w:eastAsia="黑体" w:cs="Arial"/>
          <w:lang w:val="en-US" w:eastAsia="zh-CN"/>
        </w:rPr>
      </w:pPr>
      <w:r>
        <w:rPr>
          <w:rFonts w:hint="eastAsia"/>
          <w:lang w:val="en-US" w:eastAsia="zh-CN"/>
        </w:rPr>
        <w:t>间作</w:t>
      </w:r>
      <w:r>
        <w:t>　</w:t>
      </w:r>
      <w:r>
        <w:rPr>
          <w:rFonts w:hint="eastAsia"/>
          <w:lang w:val="en-US" w:eastAsia="zh-CN"/>
        </w:rPr>
        <w:t>intercropping</w:t>
      </w:r>
    </w:p>
    <w:p w14:paraId="58AA8967">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在同一块田地上，同一生长季节内，分行或分带相间种植两种或以上作物的种植方式。</w:t>
      </w:r>
    </w:p>
    <w:p w14:paraId="5B0B3A23">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p>
    <w:p w14:paraId="430B2964">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20" w:firstLineChars="200"/>
        <w:textAlignment w:val="auto"/>
        <w:rPr>
          <w:rFonts w:hint="default" w:ascii="Arial" w:hAnsi="Arial" w:eastAsia="黑体" w:cs="Arial"/>
          <w:lang w:val="en-US" w:eastAsia="zh-CN"/>
        </w:rPr>
      </w:pPr>
      <w:r>
        <w:rPr>
          <w:rFonts w:hint="eastAsia"/>
          <w:lang w:val="en-US" w:eastAsia="zh-CN"/>
        </w:rPr>
        <w:t>休耕期</w:t>
      </w:r>
      <w:r>
        <w:t>　</w:t>
      </w:r>
      <w:r>
        <w:rPr>
          <w:rFonts w:hint="eastAsia"/>
          <w:lang w:val="en-US" w:eastAsia="zh-CN"/>
        </w:rPr>
        <w:t>fallow period</w:t>
      </w:r>
    </w:p>
    <w:p w14:paraId="563399B9">
      <w:pPr>
        <w:widowControl/>
        <w:kinsoku w:val="0"/>
        <w:autoSpaceDE w:val="0"/>
        <w:autoSpaceDN w:val="0"/>
        <w:adjustRightInd w:val="0"/>
        <w:snapToGrid w:val="0"/>
        <w:spacing w:before="214" w:line="240" w:lineRule="auto"/>
        <w:ind w:right="67" w:firstLine="422"/>
        <w:jc w:val="left"/>
        <w:textAlignment w:val="baseline"/>
        <w:rPr>
          <w:rFonts w:hint="eastAsia" w:cs="Times New Roman"/>
          <w:lang w:val="en-US" w:eastAsia="zh-CN"/>
        </w:rPr>
      </w:pPr>
      <w:r>
        <w:rPr>
          <w:rFonts w:hint="eastAsia" w:cs="Times New Roman"/>
          <w:lang w:val="en-US" w:eastAsia="zh-CN"/>
        </w:rPr>
        <w:t>在轮作周期中，停止种植经济作物，通过土地翻晒、种植绿肥或施用有机肥等方式恢复土壤地力的时间段。</w:t>
      </w:r>
    </w:p>
    <w:bookmarkEnd w:id="45"/>
    <w:p w14:paraId="55EF36A5">
      <w:pPr>
        <w:pStyle w:val="105"/>
        <w:spacing w:before="240" w:after="240"/>
        <w:rPr>
          <w:rFonts w:hint="eastAsia" w:ascii="Calibri" w:hAnsi="Calibri" w:eastAsia="宋体" w:cs="Times New Roman"/>
          <w:kern w:val="2"/>
          <w:sz w:val="21"/>
          <w:szCs w:val="21"/>
          <w:lang w:val="en-US" w:eastAsia="zh-CN" w:bidi="ar-SA"/>
        </w:rPr>
      </w:pPr>
      <w:bookmarkStart w:id="47" w:name="_Toc30825"/>
      <w:bookmarkEnd w:id="47"/>
      <w:r>
        <w:rPr>
          <w:rFonts w:hint="eastAsia"/>
          <w:lang w:val="en-US" w:eastAsia="zh-CN"/>
        </w:rPr>
        <w:t>基本原则</w:t>
      </w:r>
    </w:p>
    <w:p w14:paraId="2AD518D3">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snapToGrid w:val="0"/>
          <w:color w:val="000000"/>
          <w:spacing w:val="10"/>
          <w:kern w:val="0"/>
          <w:sz w:val="21"/>
          <w:szCs w:val="21"/>
        </w:rPr>
      </w:pPr>
      <w:r>
        <w:rPr>
          <w:rFonts w:hint="eastAsia" w:hAnsi="黑体" w:cs="黑体"/>
          <w:b w:val="0"/>
          <w:bCs w:val="0"/>
          <w:snapToGrid w:val="0"/>
          <w:color w:val="000000"/>
          <w:spacing w:val="10"/>
          <w:kern w:val="0"/>
          <w:sz w:val="21"/>
          <w:szCs w:val="21"/>
          <w:lang w:val="en-US" w:eastAsia="zh-CN"/>
        </w:rPr>
        <w:t>预防为主</w:t>
      </w:r>
    </w:p>
    <w:p w14:paraId="0D66E8F3">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420"/>
        <w:textAlignment w:val="auto"/>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轮作是预防潞党参连作障碍最根本、最有效的农业措施，优先采用轮作制度，对于减轻土传病害、保持土壤健康是至关重要的。</w:t>
      </w:r>
    </w:p>
    <w:p w14:paraId="5D36AE33">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Times New Roman" w:hAnsi="Times New Roman" w:eastAsia="宋体" w:cs="Times New Roman"/>
          <w:sz w:val="21"/>
          <w:lang w:val="en-US" w:eastAsia="zh-CN" w:bidi="ar-SA"/>
        </w:rPr>
      </w:pPr>
      <w:r>
        <w:rPr>
          <w:rFonts w:hint="eastAsia" w:hAnsi="黑体" w:cs="黑体"/>
          <w:b w:val="0"/>
          <w:bCs w:val="0"/>
          <w:snapToGrid w:val="0"/>
          <w:color w:val="000000"/>
          <w:spacing w:val="10"/>
          <w:kern w:val="0"/>
          <w:sz w:val="21"/>
          <w:szCs w:val="21"/>
          <w:lang w:val="en-US" w:eastAsia="zh-CN"/>
        </w:rPr>
        <w:t>用养结合</w:t>
      </w:r>
    </w:p>
    <w:p w14:paraId="5B582B30">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42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sz w:val="21"/>
          <w:lang w:val="en-US" w:eastAsia="zh-CN" w:bidi="ar-SA"/>
        </w:rPr>
        <w:t>在轮作安排中，兼顾土地的经济产出与地力恢复是选择轮作作物时需要重点考虑的因素。宜避免连年种植耗地力较大的作物。</w:t>
      </w:r>
    </w:p>
    <w:p w14:paraId="7804033D">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生态适应</w:t>
      </w:r>
    </w:p>
    <w:p w14:paraId="3F40D48F">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42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sz w:val="21"/>
          <w:lang w:val="en-US" w:eastAsia="zh-CN" w:bidi="ar-SA"/>
        </w:rPr>
        <w:t>轮作模式的选择应充分考虑当地的气候条件、土壤类型和灌溉能力。因地制宜地安排轮作作物，是保证轮作效果的重要前提。</w:t>
      </w:r>
    </w:p>
    <w:p w14:paraId="7A4C654D">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效益优先</w:t>
      </w:r>
    </w:p>
    <w:p w14:paraId="7C4C0CE6">
      <w:pPr>
        <w:pStyle w:val="57"/>
        <w:keepNext w:val="0"/>
        <w:keepLines w:val="0"/>
        <w:pageBreakBefore w:val="0"/>
        <w:widowControl/>
        <w:kinsoku/>
        <w:wordWrap/>
        <w:overflowPunct/>
        <w:topLinePunct w:val="0"/>
        <w:autoSpaceDE w:val="0"/>
        <w:autoSpaceDN w:val="0"/>
        <w:bidi w:val="0"/>
        <w:adjustRightInd w:val="0"/>
        <w:snapToGrid w:val="0"/>
        <w:spacing w:line="240" w:lineRule="auto"/>
        <w:ind w:firstLine="420"/>
        <w:textAlignment w:val="auto"/>
        <w:rPr>
          <w:rFonts w:hint="default" w:ascii="Times New Roman" w:hAnsi="Times New Roman" w:eastAsia="宋体" w:cs="Times New Roman"/>
          <w:sz w:val="21"/>
          <w:lang w:val="en-US" w:eastAsia="zh-CN" w:bidi="ar-SA"/>
        </w:rPr>
      </w:pPr>
      <w:r>
        <w:rPr>
          <w:rFonts w:hint="default" w:ascii="Times New Roman" w:hAnsi="Times New Roman" w:eastAsia="宋体" w:cs="Times New Roman"/>
          <w:sz w:val="21"/>
          <w:lang w:val="en-US" w:eastAsia="zh-CN" w:bidi="ar-SA"/>
        </w:rPr>
        <w:t>在保证轮作效果的前提下，宜优先选择市场需求稳定、经济效益较好的轮作作物，同时兼顾土壤改良的长期效益</w:t>
      </w:r>
      <w:r>
        <w:rPr>
          <w:rFonts w:hint="eastAsia" w:ascii="Times New Roman" w:hAnsi="Times New Roman" w:eastAsia="宋体" w:cs="Times New Roman"/>
          <w:sz w:val="21"/>
          <w:lang w:val="en-US" w:eastAsia="zh-CN" w:bidi="ar-SA"/>
        </w:rPr>
        <w:t>。</w:t>
      </w:r>
    </w:p>
    <w:p w14:paraId="772DB354">
      <w:pPr>
        <w:pStyle w:val="105"/>
        <w:spacing w:before="240" w:after="240"/>
        <w:rPr>
          <w:rFonts w:hint="eastAsia" w:ascii="Calibri" w:hAnsi="Calibri" w:eastAsia="宋体" w:cs="Times New Roman"/>
          <w:kern w:val="2"/>
          <w:sz w:val="21"/>
          <w:szCs w:val="21"/>
          <w:lang w:val="en-US" w:eastAsia="zh-CN" w:bidi="ar-SA"/>
        </w:rPr>
      </w:pPr>
      <w:r>
        <w:rPr>
          <w:rFonts w:hint="eastAsia"/>
          <w:lang w:val="en-US" w:eastAsia="zh-CN"/>
        </w:rPr>
        <w:t>轮作周期</w:t>
      </w:r>
    </w:p>
    <w:p w14:paraId="3C9EA81D">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概述</w:t>
      </w:r>
    </w:p>
    <w:p w14:paraId="633F3FF3">
      <w:pPr>
        <w:pStyle w:val="57"/>
        <w:ind w:left="0" w:leftChars="0" w:firstLine="420" w:firstLineChars="200"/>
        <w:rPr>
          <w:rFonts w:hint="eastAsia" w:ascii="Times New Roman" w:cs="Times New Roman"/>
          <w:sz w:val="21"/>
          <w:szCs w:val="21"/>
          <w:lang w:val="en-US" w:eastAsia="zh-CN" w:bidi="ar-SA"/>
        </w:rPr>
      </w:pPr>
      <w:r>
        <w:rPr>
          <w:rFonts w:hint="default" w:ascii="Times New Roman" w:hAnsi="Times New Roman" w:eastAsia="宋体" w:cs="Times New Roman"/>
          <w:sz w:val="21"/>
          <w:szCs w:val="21"/>
          <w:lang w:val="en-US" w:eastAsia="zh-CN" w:bidi="ar-SA"/>
        </w:rPr>
        <w:t>合理的轮作周期是减轻连作障碍的核心。周期过短，土壤中的病原菌和自毒物质难以有效降解；周期过长，则土地利用率下降。因此，</w:t>
      </w:r>
      <w:r>
        <w:rPr>
          <w:rFonts w:hint="eastAsia" w:ascii="Times New Roman" w:cs="Times New Roman"/>
          <w:sz w:val="21"/>
          <w:szCs w:val="21"/>
          <w:lang w:val="en-US" w:eastAsia="zh-CN" w:bidi="ar-SA"/>
        </w:rPr>
        <w:t>宜</w:t>
      </w:r>
      <w:r>
        <w:rPr>
          <w:rFonts w:hint="default" w:ascii="Times New Roman" w:hAnsi="Times New Roman" w:eastAsia="宋体" w:cs="Times New Roman"/>
          <w:sz w:val="21"/>
          <w:szCs w:val="21"/>
          <w:lang w:val="en-US" w:eastAsia="zh-CN" w:bidi="ar-SA"/>
        </w:rPr>
        <w:t>根据连作年限和土壤状况确定适宜的轮作周期</w:t>
      </w:r>
      <w:r>
        <w:rPr>
          <w:rFonts w:hint="eastAsia" w:ascii="Times New Roman" w:cs="Times New Roman"/>
          <w:sz w:val="21"/>
          <w:szCs w:val="21"/>
          <w:lang w:val="en-US" w:eastAsia="zh-CN" w:bidi="ar-SA"/>
        </w:rPr>
        <w:t>。</w:t>
      </w:r>
    </w:p>
    <w:p w14:paraId="422A595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建议</w:t>
      </w:r>
    </w:p>
    <w:p w14:paraId="1C0B28E9">
      <w:pPr>
        <w:pStyle w:val="25"/>
        <w:keepNext w:val="0"/>
        <w:keepLines w:val="0"/>
        <w:pageBreakBefore w:val="0"/>
        <w:widowControl/>
        <w:suppressLineNumbers w:val="0"/>
        <w:kinsoku/>
        <w:wordWrap/>
        <w:overflowPunct/>
        <w:topLinePunct w:val="0"/>
        <w:bidi w:val="0"/>
        <w:adjustRightInd w:val="0"/>
        <w:snapToGrid w:val="0"/>
        <w:spacing w:before="0" w:beforeAutospacing="0" w:after="0" w:afterAutospacing="0" w:line="240" w:lineRule="auto"/>
        <w:ind w:left="0" w:right="0"/>
        <w:textAlignment w:val="auto"/>
        <w:rPr>
          <w:rFonts w:hint="eastAsia"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rPr>
        <w:t xml:space="preserve">5.2.1 </w:t>
      </w:r>
      <w:r>
        <w:rPr>
          <w:rFonts w:hint="eastAsia" w:ascii="Times New Roman" w:hAnsi="Times New Roman" w:eastAsia="宋体" w:cs="Times New Roman"/>
          <w:sz w:val="21"/>
          <w:szCs w:val="21"/>
          <w:lang w:val="en-US" w:eastAsia="zh-CN" w:bidi="ar-SA"/>
        </w:rPr>
        <w:t>潞党参收获后</w:t>
      </w:r>
      <w:r>
        <w:rPr>
          <w:rFonts w:hint="default" w:ascii="Times New Roman" w:hAnsi="Times New Roman" w:eastAsia="宋体" w:cs="Times New Roman"/>
          <w:sz w:val="21"/>
          <w:szCs w:val="21"/>
          <w:lang w:val="en-US" w:eastAsia="zh-CN" w:bidi="ar-SA"/>
        </w:rPr>
        <w:t>，同一地块再次种植潞党参的间隔时间不</w:t>
      </w:r>
      <w:r>
        <w:rPr>
          <w:rFonts w:hint="eastAsia" w:ascii="Times New Roman" w:hAnsi="Times New Roman" w:eastAsia="宋体" w:cs="Times New Roman"/>
          <w:sz w:val="21"/>
          <w:szCs w:val="21"/>
          <w:lang w:val="en-US" w:eastAsia="zh-CN" w:bidi="ar-SA"/>
        </w:rPr>
        <w:t>宜</w:t>
      </w:r>
      <w:r>
        <w:rPr>
          <w:rFonts w:hint="default" w:ascii="Times New Roman" w:hAnsi="Times New Roman" w:eastAsia="宋体" w:cs="Times New Roman"/>
          <w:sz w:val="21"/>
          <w:szCs w:val="21"/>
          <w:lang w:val="en-US" w:eastAsia="zh-CN" w:bidi="ar-SA"/>
        </w:rPr>
        <w:t>少于3年</w:t>
      </w:r>
      <w:r>
        <w:rPr>
          <w:rFonts w:hint="eastAsia" w:ascii="Times New Roman" w:hAnsi="Times New Roman" w:eastAsia="宋体" w:cs="Times New Roman"/>
          <w:sz w:val="21"/>
          <w:szCs w:val="21"/>
          <w:lang w:val="en-US" w:eastAsia="zh-CN" w:bidi="ar-SA"/>
        </w:rPr>
        <w:t>。在以下情况下，轮作年限应延长至4—5年。</w:t>
      </w:r>
    </w:p>
    <w:p w14:paraId="13CC164F">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hAnsi="Times New Roman" w:eastAsia="宋体" w:cs="Times New Roman"/>
          <w:sz w:val="21"/>
          <w:szCs w:val="21"/>
          <w:lang w:val="en-US" w:eastAsia="zh-CN" w:bidi="ar-SA"/>
        </w:rPr>
      </w:pPr>
      <w:r>
        <w:rPr>
          <w:rFonts w:hint="eastAsia" w:ascii="Times New Roman" w:hAnsi="Times New Roman" w:eastAsia="宋体" w:cs="Times New Roman"/>
          <w:sz w:val="21"/>
          <w:szCs w:val="21"/>
          <w:lang w:val="en-US" w:eastAsia="zh-CN" w:bidi="ar-SA"/>
        </w:rPr>
        <w:t>——前茬潞党参</w:t>
      </w:r>
      <w:r>
        <w:rPr>
          <w:rFonts w:hint="eastAsia" w:ascii="Times New Roman" w:cs="Times New Roman"/>
          <w:sz w:val="21"/>
          <w:szCs w:val="21"/>
          <w:lang w:val="en-US" w:eastAsia="zh-CN" w:bidi="ar-SA"/>
        </w:rPr>
        <w:t>病虫害</w:t>
      </w:r>
      <w:r>
        <w:rPr>
          <w:rFonts w:hint="eastAsia" w:ascii="Times New Roman" w:hAnsi="Times New Roman" w:eastAsia="宋体" w:cs="Times New Roman"/>
          <w:sz w:val="21"/>
          <w:szCs w:val="21"/>
          <w:lang w:val="en-US" w:eastAsia="zh-CN" w:bidi="ar-SA"/>
        </w:rPr>
        <w:t>发病率超过15%；</w:t>
      </w:r>
    </w:p>
    <w:p w14:paraId="37F88B36">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default" w:ascii="Times New Roman" w:hAnsi="Times New Roman" w:eastAsia="宋体" w:cs="Times New Roman"/>
          <w:sz w:val="21"/>
          <w:szCs w:val="21"/>
          <w:lang w:val="en-US" w:eastAsia="zh-CN" w:bidi="ar-SA"/>
        </w:rPr>
      </w:pPr>
      <w:r>
        <w:rPr>
          <w:rFonts w:hint="eastAsia" w:ascii="Times New Roman" w:cs="Times New Roman"/>
          <w:sz w:val="21"/>
          <w:szCs w:val="21"/>
          <w:lang w:val="en-US" w:eastAsia="zh-CN" w:bidi="ar-SA"/>
        </w:rPr>
        <w:t>注：包括根腐病、锈病等。</w:t>
      </w:r>
    </w:p>
    <w:p w14:paraId="52741BD8">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hAnsi="Times New Roman" w:eastAsia="宋体" w:cs="Times New Roman"/>
          <w:sz w:val="21"/>
          <w:szCs w:val="21"/>
          <w:lang w:val="en-US" w:eastAsia="zh-CN" w:bidi="ar-SA"/>
        </w:rPr>
      </w:pPr>
      <w:r>
        <w:rPr>
          <w:rFonts w:hint="eastAsia" w:ascii="Times New Roman" w:hAnsi="Times New Roman" w:eastAsia="宋体" w:cs="Times New Roman"/>
          <w:sz w:val="21"/>
          <w:szCs w:val="21"/>
          <w:lang w:val="en-US" w:eastAsia="zh-CN" w:bidi="ar-SA"/>
        </w:rPr>
        <w:t>——土壤有机质含量低于10g/kg；</w:t>
      </w:r>
    </w:p>
    <w:p w14:paraId="1915503D">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hAnsi="Times New Roman" w:eastAsia="宋体" w:cs="Times New Roman"/>
          <w:sz w:val="21"/>
          <w:szCs w:val="21"/>
          <w:lang w:val="en-US" w:eastAsia="zh-CN" w:bidi="ar-SA"/>
        </w:rPr>
      </w:pPr>
      <w:r>
        <w:rPr>
          <w:rFonts w:hint="eastAsia" w:ascii="Times New Roman" w:hAnsi="Times New Roman" w:eastAsia="宋体" w:cs="Times New Roman"/>
          <w:sz w:val="21"/>
          <w:szCs w:val="21"/>
          <w:lang w:val="en-US" w:eastAsia="zh-CN" w:bidi="ar-SA"/>
        </w:rPr>
        <w:t>——连续种植潞党参3年以上。</w:t>
      </w:r>
    </w:p>
    <w:p w14:paraId="122F3E18">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sz w:val="21"/>
          <w:szCs w:val="21"/>
          <w:lang w:val="en-US" w:eastAsia="zh-CN"/>
        </w:rPr>
      </w:pPr>
      <w:r>
        <w:rPr>
          <w:rFonts w:hint="eastAsia" w:ascii="黑体" w:hAnsi="黑体" w:eastAsia="黑体" w:cs="黑体"/>
          <w:sz w:val="21"/>
          <w:szCs w:val="21"/>
          <w:lang w:val="en-US" w:eastAsia="zh-CN"/>
        </w:rPr>
        <w:t>5.2.2</w:t>
      </w:r>
      <w:r>
        <w:rPr>
          <w:rFonts w:hint="eastAsia"/>
          <w:sz w:val="21"/>
          <w:szCs w:val="21"/>
          <w:lang w:val="en-US" w:eastAsia="zh-CN"/>
        </w:rPr>
        <w:t xml:space="preserve"> 前茬潞党参的轮作年限是确定轮作周期的重要依据，不同连作年限的土地宜按以下建议确定轮作周期：</w:t>
      </w:r>
    </w:p>
    <w:p w14:paraId="18EF91E3">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宋体" w:hAnsi="Times New Roman" w:eastAsia="宋体" w:cs="Times New Roman"/>
          <w:kern w:val="0"/>
          <w:sz w:val="21"/>
          <w:szCs w:val="21"/>
          <w:lang w:val="en-US" w:eastAsia="zh-CN" w:bidi="ar-SA"/>
        </w:rPr>
      </w:pPr>
      <w:r>
        <w:rPr>
          <w:rFonts w:hint="eastAsia"/>
          <w:sz w:val="21"/>
          <w:szCs w:val="21"/>
          <w:lang w:val="en-US" w:eastAsia="zh-CN"/>
        </w:rPr>
        <w:t>——</w:t>
      </w:r>
      <w:r>
        <w:rPr>
          <w:rFonts w:hint="eastAsia" w:ascii="宋体" w:hAnsi="Times New Roman" w:eastAsia="宋体" w:cs="Times New Roman"/>
          <w:kern w:val="0"/>
          <w:sz w:val="21"/>
          <w:szCs w:val="21"/>
          <w:lang w:val="en-US" w:eastAsia="zh-CN" w:bidi="ar-SA"/>
        </w:rPr>
        <w:t>连作1～2年的地块，轮作周期</w:t>
      </w:r>
      <w:r>
        <w:rPr>
          <w:rFonts w:hint="default" w:ascii="宋体" w:hAnsi="Times New Roman" w:eastAsia="宋体" w:cs="Times New Roman"/>
          <w:kern w:val="0"/>
          <w:sz w:val="21"/>
          <w:szCs w:val="21"/>
          <w:lang w:val="en-US" w:eastAsia="zh-CN" w:bidi="ar-SA"/>
        </w:rPr>
        <w:t>宜为3年；</w:t>
      </w:r>
    </w:p>
    <w:p w14:paraId="6FC8262A">
      <w:pPr>
        <w:pStyle w:val="25"/>
        <w:keepNext w:val="0"/>
        <w:keepLines w:val="0"/>
        <w:pageBreakBefore w:val="0"/>
        <w:widowControl/>
        <w:suppressLineNumbers w:val="0"/>
        <w:kinsoku/>
        <w:wordWrap/>
        <w:overflowPunct/>
        <w:topLinePunct w:val="0"/>
        <w:bidi w:val="0"/>
        <w:adjustRightInd w:val="0"/>
        <w:snapToGrid w:val="0"/>
        <w:spacing w:before="0" w:beforeAutospacing="0" w:after="0" w:afterAutospacing="0" w:line="240" w:lineRule="auto"/>
        <w:ind w:left="0" w:right="0" w:firstLine="420" w:firstLineChars="200"/>
        <w:textAlignment w:val="auto"/>
        <w:rPr>
          <w:rFonts w:hint="eastAsia" w:ascii="宋体" w:hAnsi="Times New Roman" w:eastAsia="宋体" w:cs="Times New Roman"/>
          <w:kern w:val="0"/>
          <w:sz w:val="21"/>
          <w:szCs w:val="21"/>
          <w:lang w:val="en-US" w:eastAsia="zh-CN" w:bidi="ar-SA"/>
        </w:rPr>
      </w:pPr>
      <w:r>
        <w:rPr>
          <w:rFonts w:hint="eastAsia" w:ascii="宋体" w:hAnsi="Times New Roman" w:cs="Times New Roman"/>
          <w:kern w:val="0"/>
          <w:sz w:val="21"/>
          <w:szCs w:val="21"/>
          <w:lang w:val="en-US" w:eastAsia="zh-CN" w:bidi="ar-SA"/>
        </w:rPr>
        <w:t>——</w:t>
      </w:r>
      <w:r>
        <w:rPr>
          <w:rFonts w:hint="default" w:ascii="宋体" w:hAnsi="Times New Roman" w:eastAsia="宋体" w:cs="Times New Roman"/>
          <w:kern w:val="0"/>
          <w:sz w:val="21"/>
          <w:szCs w:val="21"/>
          <w:lang w:val="en-US" w:eastAsia="zh-CN" w:bidi="ar-SA"/>
        </w:rPr>
        <w:t>连作3～4年的地块，轮作周期宜为4年；</w:t>
      </w:r>
    </w:p>
    <w:p w14:paraId="257B3655">
      <w:pPr>
        <w:pStyle w:val="25"/>
        <w:keepNext w:val="0"/>
        <w:keepLines w:val="0"/>
        <w:pageBreakBefore w:val="0"/>
        <w:widowControl/>
        <w:suppressLineNumbers w:val="0"/>
        <w:kinsoku/>
        <w:wordWrap/>
        <w:overflowPunct/>
        <w:topLinePunct w:val="0"/>
        <w:bidi w:val="0"/>
        <w:adjustRightInd w:val="0"/>
        <w:snapToGrid w:val="0"/>
        <w:spacing w:before="0" w:beforeAutospacing="0" w:after="0" w:afterAutospacing="0" w:line="240" w:lineRule="auto"/>
        <w:ind w:left="0" w:right="0" w:firstLine="420" w:firstLineChars="200"/>
        <w:textAlignment w:val="auto"/>
        <w:rPr>
          <w:rFonts w:hint="default" w:ascii="宋体" w:hAnsi="Times New Roman" w:eastAsia="宋体" w:cs="Times New Roman"/>
          <w:kern w:val="0"/>
          <w:sz w:val="21"/>
          <w:szCs w:val="21"/>
          <w:lang w:val="en-US" w:eastAsia="zh-CN" w:bidi="ar-SA"/>
        </w:rPr>
      </w:pPr>
      <w:r>
        <w:rPr>
          <w:rFonts w:hint="eastAsia" w:ascii="宋体" w:hAnsi="Times New Roman" w:cs="Times New Roman"/>
          <w:kern w:val="0"/>
          <w:sz w:val="21"/>
          <w:szCs w:val="21"/>
          <w:lang w:val="en-US" w:eastAsia="zh-CN" w:bidi="ar-SA"/>
        </w:rPr>
        <w:t>——</w:t>
      </w:r>
      <w:r>
        <w:rPr>
          <w:rFonts w:hint="default" w:ascii="宋体" w:hAnsi="Times New Roman" w:eastAsia="宋体" w:cs="Times New Roman"/>
          <w:kern w:val="0"/>
          <w:sz w:val="21"/>
          <w:szCs w:val="21"/>
          <w:lang w:val="en-US" w:eastAsia="zh-CN" w:bidi="ar-SA"/>
        </w:rPr>
        <w:t>连作5年及以上的地块，轮作周期宜为5年，并配合土壤改良措施。</w:t>
      </w:r>
    </w:p>
    <w:p w14:paraId="460081F2">
      <w:pPr>
        <w:pStyle w:val="105"/>
        <w:spacing w:before="240" w:after="240"/>
        <w:rPr>
          <w:rFonts w:hint="eastAsia" w:ascii="Calibri" w:hAnsi="Calibri" w:eastAsia="宋体" w:cs="Times New Roman"/>
          <w:kern w:val="2"/>
          <w:sz w:val="21"/>
          <w:szCs w:val="21"/>
          <w:lang w:val="en-US" w:eastAsia="zh-CN" w:bidi="ar-SA"/>
        </w:rPr>
      </w:pPr>
      <w:r>
        <w:rPr>
          <w:rFonts w:hint="eastAsia"/>
          <w:lang w:val="en-US" w:eastAsia="zh-CN"/>
        </w:rPr>
        <w:t>前茬作物选择</w:t>
      </w:r>
    </w:p>
    <w:p w14:paraId="6DA60A46">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概述</w:t>
      </w:r>
    </w:p>
    <w:p w14:paraId="24C29CCF">
      <w:pPr>
        <w:pStyle w:val="57"/>
        <w:ind w:left="0" w:leftChars="0" w:firstLine="420" w:firstLineChars="200"/>
        <w:rPr>
          <w:rFonts w:hint="eastAsia" w:ascii="Times New Roman" w:cs="Times New Roman"/>
          <w:sz w:val="21"/>
          <w:szCs w:val="21"/>
          <w:lang w:val="en-US" w:eastAsia="zh-CN" w:bidi="ar-SA"/>
        </w:rPr>
      </w:pPr>
      <w:r>
        <w:rPr>
          <w:rFonts w:hint="default" w:ascii="Times New Roman" w:hAnsi="Times New Roman" w:eastAsia="宋体" w:cs="Times New Roman"/>
          <w:sz w:val="21"/>
          <w:szCs w:val="21"/>
          <w:lang w:val="en-US" w:eastAsia="zh-CN" w:bidi="ar-SA"/>
        </w:rPr>
        <w:t>前茬作物的类型直接影响轮作效果。选择适宜的前茬作物，对于改善土壤结构、抑制病原菌、提高后茬潞党参的产量和品质是至关重要的。不同作物的轮作效应存在差异，这是选择前茬时需要考虑的重要因素</w:t>
      </w:r>
      <w:r>
        <w:rPr>
          <w:rFonts w:hint="eastAsia" w:ascii="Times New Roman" w:cs="Times New Roman"/>
          <w:sz w:val="21"/>
          <w:szCs w:val="21"/>
          <w:lang w:val="en-US" w:eastAsia="zh-CN" w:bidi="ar-SA"/>
        </w:rPr>
        <w:t>。</w:t>
      </w:r>
    </w:p>
    <w:p w14:paraId="45616D57">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建议</w:t>
      </w:r>
    </w:p>
    <w:p w14:paraId="03214399">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rPr>
        <w:t>6.2.1</w:t>
      </w:r>
      <w:r>
        <w:rPr>
          <w:rFonts w:hint="eastAsia"/>
          <w:sz w:val="21"/>
          <w:szCs w:val="21"/>
          <w:lang w:val="en-US" w:eastAsia="zh-CN"/>
        </w:rPr>
        <w:t xml:space="preserve"> </w:t>
      </w:r>
      <w:r>
        <w:rPr>
          <w:rFonts w:hint="default" w:ascii="Times New Roman" w:hAnsi="Times New Roman" w:eastAsia="宋体" w:cs="Times New Roman"/>
          <w:sz w:val="21"/>
          <w:szCs w:val="21"/>
          <w:lang w:val="en-US" w:eastAsia="zh-CN" w:bidi="ar-SA"/>
        </w:rPr>
        <w:t>以下作物类型适宜作为潞党参的前茬：</w:t>
      </w:r>
    </w:p>
    <w:p w14:paraId="1859385A">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cs="Times New Roman"/>
          <w:sz w:val="21"/>
          <w:szCs w:val="21"/>
          <w:lang w:val="en-US" w:eastAsia="zh-CN" w:bidi="ar-SA"/>
        </w:rPr>
      </w:pPr>
      <w:r>
        <w:rPr>
          <w:rFonts w:hint="eastAsia" w:ascii="Times New Roman" w:cs="Times New Roman"/>
          <w:sz w:val="21"/>
          <w:szCs w:val="21"/>
          <w:lang w:val="en-US" w:eastAsia="zh-CN" w:bidi="ar-SA"/>
        </w:rPr>
        <w:t>——禾本科作物；</w:t>
      </w:r>
    </w:p>
    <w:p w14:paraId="0B2F74C9">
      <w:pPr>
        <w:pStyle w:val="57"/>
        <w:keepNext w:val="0"/>
        <w:keepLines w:val="0"/>
        <w:pageBreakBefore w:val="0"/>
        <w:widowControl/>
        <w:kinsoku/>
        <w:wordWrap/>
        <w:overflowPunct/>
        <w:topLinePunct w:val="0"/>
        <w:bidi w:val="0"/>
        <w:adjustRightInd w:val="0"/>
        <w:snapToGrid w:val="0"/>
        <w:spacing w:line="240" w:lineRule="auto"/>
        <w:ind w:left="0" w:leftChars="0" w:firstLine="360" w:firstLineChars="200"/>
        <w:textAlignment w:val="auto"/>
        <w:rPr>
          <w:rFonts w:hint="eastAsia" w:ascii="Times New Roman" w:cs="Times New Roman"/>
          <w:sz w:val="18"/>
          <w:szCs w:val="18"/>
          <w:lang w:val="en-US" w:eastAsia="zh-CN" w:bidi="ar-SA"/>
        </w:rPr>
      </w:pPr>
      <w:r>
        <w:rPr>
          <w:rFonts w:hint="eastAsia" w:ascii="黑体" w:hAnsi="黑体" w:eastAsia="黑体" w:cs="黑体"/>
          <w:sz w:val="18"/>
          <w:szCs w:val="18"/>
          <w:lang w:val="en-US" w:eastAsia="zh-CN" w:bidi="ar-SA"/>
        </w:rPr>
        <w:t>示例：</w:t>
      </w:r>
      <w:r>
        <w:rPr>
          <w:rFonts w:hint="eastAsia" w:ascii="Times New Roman" w:cs="Times New Roman"/>
          <w:sz w:val="18"/>
          <w:szCs w:val="18"/>
          <w:lang w:val="en-US" w:eastAsia="zh-CN" w:bidi="ar-SA"/>
        </w:rPr>
        <w:t>玉米、小麦、谷子等。</w:t>
      </w:r>
    </w:p>
    <w:p w14:paraId="56705C1B">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cs="Times New Roman"/>
          <w:sz w:val="21"/>
          <w:szCs w:val="21"/>
          <w:lang w:val="en-US" w:eastAsia="zh-CN" w:bidi="ar-SA"/>
        </w:rPr>
      </w:pPr>
      <w:r>
        <w:rPr>
          <w:rFonts w:hint="eastAsia" w:ascii="Times New Roman" w:cs="Times New Roman"/>
          <w:sz w:val="21"/>
          <w:szCs w:val="21"/>
          <w:lang w:val="en-US" w:eastAsia="zh-CN" w:bidi="ar-SA"/>
        </w:rPr>
        <w:t>——豆科作物；</w:t>
      </w:r>
    </w:p>
    <w:p w14:paraId="58A8B7DB">
      <w:pPr>
        <w:pStyle w:val="57"/>
        <w:keepNext w:val="0"/>
        <w:keepLines w:val="0"/>
        <w:pageBreakBefore w:val="0"/>
        <w:widowControl/>
        <w:kinsoku/>
        <w:wordWrap/>
        <w:overflowPunct/>
        <w:topLinePunct w:val="0"/>
        <w:bidi w:val="0"/>
        <w:adjustRightInd w:val="0"/>
        <w:snapToGrid w:val="0"/>
        <w:spacing w:line="240" w:lineRule="auto"/>
        <w:ind w:left="0" w:leftChars="0" w:firstLine="360" w:firstLineChars="200"/>
        <w:textAlignment w:val="auto"/>
        <w:rPr>
          <w:rFonts w:hint="eastAsia" w:ascii="Times New Roman" w:cs="Times New Roman"/>
          <w:sz w:val="18"/>
          <w:szCs w:val="18"/>
          <w:lang w:val="en-US" w:eastAsia="zh-CN" w:bidi="ar-SA"/>
        </w:rPr>
      </w:pPr>
      <w:r>
        <w:rPr>
          <w:rFonts w:hint="eastAsia" w:ascii="黑体" w:hAnsi="黑体" w:eastAsia="黑体" w:cs="黑体"/>
          <w:sz w:val="18"/>
          <w:szCs w:val="18"/>
          <w:lang w:val="en-US" w:eastAsia="zh-CN" w:bidi="ar-SA"/>
        </w:rPr>
        <w:t>示例：</w:t>
      </w:r>
      <w:r>
        <w:rPr>
          <w:rFonts w:hint="eastAsia" w:ascii="Times New Roman" w:cs="Times New Roman"/>
          <w:sz w:val="18"/>
          <w:szCs w:val="18"/>
          <w:lang w:val="en-US" w:eastAsia="zh-CN" w:bidi="ar-SA"/>
        </w:rPr>
        <w:t>蚕豆、黄豆等。</w:t>
      </w:r>
    </w:p>
    <w:p w14:paraId="46F9421A">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cs="Times New Roman"/>
          <w:sz w:val="21"/>
          <w:szCs w:val="21"/>
          <w:lang w:val="en-US" w:eastAsia="zh-CN" w:bidi="ar-SA"/>
        </w:rPr>
      </w:pPr>
      <w:r>
        <w:rPr>
          <w:rFonts w:hint="eastAsia" w:ascii="Times New Roman" w:cs="Times New Roman"/>
          <w:sz w:val="21"/>
          <w:szCs w:val="21"/>
          <w:lang w:val="en-US" w:eastAsia="zh-CN" w:bidi="ar-SA"/>
        </w:rPr>
        <w:t>——石蒜科作物；</w:t>
      </w:r>
    </w:p>
    <w:p w14:paraId="6EB2777F">
      <w:pPr>
        <w:pStyle w:val="57"/>
        <w:keepNext w:val="0"/>
        <w:keepLines w:val="0"/>
        <w:pageBreakBefore w:val="0"/>
        <w:widowControl/>
        <w:kinsoku/>
        <w:wordWrap/>
        <w:overflowPunct/>
        <w:topLinePunct w:val="0"/>
        <w:bidi w:val="0"/>
        <w:adjustRightInd w:val="0"/>
        <w:snapToGrid w:val="0"/>
        <w:spacing w:line="240" w:lineRule="auto"/>
        <w:ind w:left="0" w:leftChars="0" w:firstLine="360" w:firstLineChars="200"/>
        <w:textAlignment w:val="auto"/>
        <w:rPr>
          <w:rFonts w:hint="default" w:ascii="Times New Roman" w:cs="Times New Roman"/>
          <w:sz w:val="18"/>
          <w:szCs w:val="18"/>
          <w:lang w:val="en-US" w:eastAsia="zh-CN" w:bidi="ar-SA"/>
        </w:rPr>
      </w:pPr>
      <w:r>
        <w:rPr>
          <w:rFonts w:hint="eastAsia" w:ascii="黑体" w:hAnsi="黑体" w:eastAsia="黑体" w:cs="黑体"/>
          <w:sz w:val="18"/>
          <w:szCs w:val="18"/>
          <w:lang w:val="en-US" w:eastAsia="zh-CN" w:bidi="ar-SA"/>
        </w:rPr>
        <w:t>示例：</w:t>
      </w:r>
      <w:r>
        <w:rPr>
          <w:rFonts w:hint="eastAsia" w:ascii="Times New Roman" w:cs="Times New Roman"/>
          <w:sz w:val="18"/>
          <w:szCs w:val="18"/>
          <w:lang w:val="en-US" w:eastAsia="zh-CN" w:bidi="ar-SA"/>
        </w:rPr>
        <w:t>大蒜等。</w:t>
      </w:r>
    </w:p>
    <w:p w14:paraId="3C81AE42">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18"/>
          <w:szCs w:val="18"/>
          <w:lang w:val="en-US" w:eastAsia="zh-CN" w:bidi="ar-SA"/>
        </w:rPr>
      </w:pPr>
      <w:r>
        <w:rPr>
          <w:rFonts w:hint="eastAsia" w:ascii="黑体" w:hAnsi="黑体" w:eastAsia="黑体" w:cs="黑体"/>
          <w:sz w:val="21"/>
          <w:szCs w:val="21"/>
          <w:lang w:val="en-US" w:eastAsia="zh-CN"/>
        </w:rPr>
        <w:t>6.2.2</w:t>
      </w:r>
      <w:r>
        <w:rPr>
          <w:rFonts w:hint="eastAsia"/>
          <w:sz w:val="21"/>
          <w:szCs w:val="21"/>
          <w:lang w:val="en-US" w:eastAsia="zh-CN"/>
        </w:rPr>
        <w:t xml:space="preserve"> 前茬</w:t>
      </w:r>
      <w:r>
        <w:rPr>
          <w:rFonts w:hint="eastAsia" w:ascii="Times New Roman" w:cs="Times New Roman"/>
          <w:sz w:val="21"/>
          <w:szCs w:val="21"/>
          <w:lang w:val="en-US" w:eastAsia="zh-CN" w:bidi="ar-SA"/>
        </w:rPr>
        <w:t>不</w:t>
      </w:r>
      <w:r>
        <w:rPr>
          <w:rFonts w:hint="default" w:ascii="Times New Roman" w:hAnsi="Times New Roman" w:eastAsia="宋体" w:cs="Times New Roman"/>
          <w:sz w:val="21"/>
          <w:szCs w:val="21"/>
          <w:lang w:val="en-US" w:eastAsia="zh-CN" w:bidi="ar-SA"/>
        </w:rPr>
        <w:t>适宜</w:t>
      </w:r>
      <w:r>
        <w:rPr>
          <w:rFonts w:hint="eastAsia" w:ascii="Times New Roman" w:cs="Times New Roman"/>
          <w:sz w:val="21"/>
          <w:szCs w:val="21"/>
          <w:lang w:val="en-US" w:eastAsia="zh-CN" w:bidi="ar-SA"/>
        </w:rPr>
        <w:t>种植的作物见附录A。</w:t>
      </w:r>
    </w:p>
    <w:p w14:paraId="5D42E40E">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rPr>
        <w:t>6.2.3</w:t>
      </w:r>
      <w:r>
        <w:rPr>
          <w:rFonts w:hint="eastAsia" w:ascii="Times New Roman" w:hAnsi="Times New Roman" w:eastAsia="宋体"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不同前茬作物的轮作效应存在差异，种植者宜根据以下特点进行选择：</w:t>
      </w:r>
    </w:p>
    <w:p w14:paraId="6BCF3ACC">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hAnsi="Times New Roman" w:eastAsia="宋体" w:cs="Times New Roman"/>
          <w:kern w:val="0"/>
          <w:sz w:val="21"/>
          <w:szCs w:val="21"/>
          <w:lang w:val="en-US" w:eastAsia="zh-CN" w:bidi="ar-SA"/>
        </w:rPr>
      </w:pPr>
      <w:r>
        <w:rPr>
          <w:rFonts w:hint="eastAsia" w:ascii="Times New Roman" w:hAnsi="Times New Roman" w:eastAsia="宋体" w:cs="Times New Roman"/>
          <w:kern w:val="0"/>
          <w:sz w:val="21"/>
          <w:szCs w:val="21"/>
          <w:lang w:val="en-US" w:eastAsia="zh-CN" w:bidi="ar-SA"/>
        </w:rPr>
        <w:t>——禾本科作物秸秆量大，还田后有助于增加土壤有机质；</w:t>
      </w:r>
    </w:p>
    <w:p w14:paraId="2F8C3FF7">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default" w:ascii="Times New Roman" w:hAnsi="Times New Roman" w:eastAsia="宋体" w:cs="Times New Roman"/>
          <w:kern w:val="0"/>
          <w:sz w:val="21"/>
          <w:szCs w:val="21"/>
          <w:lang w:val="en-US" w:eastAsia="zh-CN" w:bidi="ar-SA"/>
        </w:rPr>
      </w:pPr>
      <w:r>
        <w:rPr>
          <w:rFonts w:hint="eastAsia" w:ascii="Times New Roman" w:hAnsi="Times New Roman" w:cs="Times New Roman"/>
          <w:kern w:val="0"/>
          <w:sz w:val="21"/>
          <w:szCs w:val="21"/>
          <w:lang w:val="en-US" w:eastAsia="zh-CN" w:bidi="ar-SA"/>
        </w:rPr>
        <w:t>——</w:t>
      </w:r>
      <w:r>
        <w:rPr>
          <w:rFonts w:hint="default" w:ascii="Times New Roman" w:hAnsi="Times New Roman" w:eastAsia="宋体" w:cs="Times New Roman"/>
          <w:kern w:val="0"/>
          <w:sz w:val="21"/>
          <w:szCs w:val="21"/>
          <w:lang w:val="en-US" w:eastAsia="zh-CN" w:bidi="ar-SA"/>
        </w:rPr>
        <w:t>豆科作物能够固定空气中的氮素，提高土壤氮含量，</w:t>
      </w:r>
      <w:r>
        <w:rPr>
          <w:rFonts w:hint="eastAsia" w:ascii="Times New Roman" w:cs="Times New Roman"/>
          <w:kern w:val="0"/>
          <w:sz w:val="21"/>
          <w:szCs w:val="21"/>
          <w:lang w:val="en-US" w:eastAsia="zh-CN" w:bidi="ar-SA"/>
        </w:rPr>
        <w:t>减少</w:t>
      </w:r>
      <w:r>
        <w:rPr>
          <w:rFonts w:hint="default" w:ascii="Times New Roman" w:hAnsi="Times New Roman" w:eastAsia="宋体" w:cs="Times New Roman"/>
          <w:kern w:val="0"/>
          <w:sz w:val="21"/>
          <w:szCs w:val="21"/>
          <w:lang w:val="en-US" w:eastAsia="zh-CN" w:bidi="ar-SA"/>
        </w:rPr>
        <w:t>后茬氮肥施用量；</w:t>
      </w:r>
    </w:p>
    <w:p w14:paraId="699F5BCE">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hAnsi="Times New Roman" w:eastAsia="宋体" w:cs="Times New Roman"/>
          <w:kern w:val="0"/>
          <w:sz w:val="21"/>
          <w:szCs w:val="21"/>
          <w:lang w:val="en-US" w:eastAsia="zh-CN" w:bidi="ar-SA"/>
        </w:rPr>
      </w:pPr>
      <w:r>
        <w:rPr>
          <w:rFonts w:hint="eastAsia" w:ascii="Times New Roman" w:hAnsi="Times New Roman" w:cs="Times New Roman"/>
          <w:kern w:val="0"/>
          <w:sz w:val="21"/>
          <w:szCs w:val="21"/>
          <w:lang w:val="en-US" w:eastAsia="zh-CN" w:bidi="ar-SA"/>
        </w:rPr>
        <w:t>——</w:t>
      </w:r>
      <w:r>
        <w:rPr>
          <w:rFonts w:hint="eastAsia" w:ascii="Times New Roman" w:cs="Times New Roman"/>
          <w:kern w:val="0"/>
          <w:sz w:val="21"/>
          <w:szCs w:val="21"/>
          <w:lang w:val="en-US" w:eastAsia="zh-CN" w:bidi="ar-SA"/>
        </w:rPr>
        <w:t>石蒜科</w:t>
      </w:r>
      <w:r>
        <w:rPr>
          <w:rFonts w:hint="default" w:ascii="Times New Roman" w:hAnsi="Times New Roman" w:eastAsia="宋体" w:cs="Times New Roman"/>
          <w:kern w:val="0"/>
          <w:sz w:val="21"/>
          <w:szCs w:val="21"/>
          <w:lang w:val="en-US" w:eastAsia="zh-CN" w:bidi="ar-SA"/>
        </w:rPr>
        <w:t>作物的根系分泌物具有一定抑菌作用</w:t>
      </w:r>
      <w:r>
        <w:rPr>
          <w:rFonts w:hint="eastAsia" w:ascii="Times New Roman" w:cs="Times New Roman"/>
          <w:kern w:val="0"/>
          <w:sz w:val="21"/>
          <w:szCs w:val="21"/>
          <w:lang w:val="en-US" w:eastAsia="zh-CN" w:bidi="ar-SA"/>
        </w:rPr>
        <w:t>。</w:t>
      </w:r>
    </w:p>
    <w:p w14:paraId="668F8BFC">
      <w:pPr>
        <w:pStyle w:val="105"/>
        <w:spacing w:before="240" w:after="240"/>
        <w:rPr>
          <w:rFonts w:hint="eastAsia" w:ascii="Calibri" w:hAnsi="Calibri" w:eastAsia="宋体" w:cs="Times New Roman"/>
          <w:kern w:val="2"/>
          <w:sz w:val="21"/>
          <w:szCs w:val="21"/>
          <w:lang w:val="en-US" w:eastAsia="zh-CN" w:bidi="ar-SA"/>
        </w:rPr>
      </w:pPr>
      <w:r>
        <w:rPr>
          <w:rFonts w:hint="eastAsia"/>
          <w:lang w:val="en-US" w:eastAsia="zh-CN"/>
        </w:rPr>
        <w:t>茬口衔接</w:t>
      </w:r>
    </w:p>
    <w:p w14:paraId="60186290">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概述</w:t>
      </w:r>
    </w:p>
    <w:p w14:paraId="177B0CEA">
      <w:pPr>
        <w:pStyle w:val="57"/>
        <w:ind w:left="0" w:leftChars="0" w:firstLine="420" w:firstLineChars="200"/>
        <w:rPr>
          <w:rFonts w:hint="default" w:ascii="Times New Roman" w:cs="Times New Roman"/>
          <w:sz w:val="21"/>
          <w:szCs w:val="21"/>
          <w:lang w:val="en-US" w:eastAsia="zh-CN" w:bidi="ar-SA"/>
        </w:rPr>
      </w:pPr>
      <w:r>
        <w:rPr>
          <w:rFonts w:hint="default" w:ascii="Times New Roman" w:hAnsi="Times New Roman" w:eastAsia="宋体" w:cs="Times New Roman"/>
          <w:sz w:val="21"/>
          <w:szCs w:val="21"/>
          <w:lang w:val="en-US" w:eastAsia="zh-CN" w:bidi="ar-SA"/>
        </w:rPr>
        <w:t>前茬作物收获后至潞党参移栽前，保留充足的休耕期对于土壤恢复和病原菌消减是至关重要的。同时，前后作物之间的时间衔接是否顺畅，是轮作方案能否落地的重要条件。</w:t>
      </w:r>
    </w:p>
    <w:p w14:paraId="3D6BC18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建议</w:t>
      </w:r>
    </w:p>
    <w:p w14:paraId="708DDEBF">
      <w:pPr>
        <w:pStyle w:val="57"/>
        <w:ind w:left="0" w:leftChars="0" w:firstLine="0" w:firstLineChars="0"/>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7.2.1</w:t>
      </w:r>
      <w:r>
        <w:rPr>
          <w:rFonts w:hint="eastAsia" w:ascii="Times New Roman" w:hAnsi="Times New Roman" w:eastAsia="宋体"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一般情况下，前茬作物收获后至潞党参移栽前的休耕期宜不少于60天</w:t>
      </w:r>
      <w:r>
        <w:rPr>
          <w:rFonts w:hint="eastAsia" w:ascii="Times New Roman" w:cs="Times New Roman"/>
          <w:sz w:val="21"/>
          <w:szCs w:val="21"/>
          <w:lang w:val="en-US" w:eastAsia="zh-CN" w:bidi="ar-SA"/>
        </w:rPr>
        <w:t>。</w:t>
      </w:r>
    </w:p>
    <w:p w14:paraId="2461AD62">
      <w:pPr>
        <w:pStyle w:val="57"/>
        <w:ind w:left="0" w:leftChars="0" w:firstLine="0" w:firstLineChars="0"/>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7.2.2</w:t>
      </w:r>
      <w:r>
        <w:rPr>
          <w:rFonts w:hint="default" w:ascii="Times New Roman" w:hAnsi="Times New Roman" w:eastAsia="宋体" w:cs="Times New Roman"/>
          <w:sz w:val="21"/>
          <w:szCs w:val="21"/>
          <w:lang w:val="en-US" w:eastAsia="zh-CN" w:bidi="ar-SA"/>
        </w:rPr>
        <w:t xml:space="preserve"> 不同前茬作物的休耕期宜根据以下建议确定：</w:t>
      </w:r>
    </w:p>
    <w:p w14:paraId="1C3DD8DA">
      <w:pPr>
        <w:pStyle w:val="57"/>
        <w:ind w:left="0" w:leftChars="0" w:firstLine="420" w:firstLineChars="200"/>
        <w:rPr>
          <w:rFonts w:hint="default" w:ascii="Times New Roman" w:hAnsi="Times New Roman" w:eastAsia="宋体" w:cs="Times New Roman"/>
          <w:sz w:val="21"/>
          <w:szCs w:val="21"/>
          <w:lang w:val="en-US" w:eastAsia="zh-CN" w:bidi="ar-SA"/>
        </w:rPr>
      </w:pPr>
      <w:r>
        <w:rPr>
          <w:rFonts w:hint="eastAsia" w:ascii="Times New Roman" w:cs="Times New Roman"/>
          <w:sz w:val="21"/>
          <w:szCs w:val="21"/>
          <w:lang w:val="en-US" w:eastAsia="zh-CN" w:bidi="ar-SA"/>
        </w:rPr>
        <w:t>——</w:t>
      </w:r>
      <w:r>
        <w:rPr>
          <w:rFonts w:hint="default" w:ascii="Times New Roman" w:hAnsi="Times New Roman" w:eastAsia="宋体" w:cs="Times New Roman"/>
          <w:sz w:val="21"/>
          <w:szCs w:val="21"/>
          <w:lang w:val="en-US" w:eastAsia="zh-CN" w:bidi="ar-SA"/>
        </w:rPr>
        <w:t>前茬为玉米、小麦、谷子时，休耕期宜不少于60天；</w:t>
      </w:r>
    </w:p>
    <w:p w14:paraId="7B8B0D18">
      <w:pPr>
        <w:pStyle w:val="57"/>
        <w:ind w:left="0" w:leftChars="0" w:firstLine="420" w:firstLineChars="200"/>
        <w:rPr>
          <w:rFonts w:hint="default" w:ascii="Times New Roman" w:hAnsi="Times New Roman" w:eastAsia="宋体" w:cs="Times New Roman"/>
          <w:sz w:val="21"/>
          <w:szCs w:val="21"/>
          <w:lang w:val="en-US" w:eastAsia="zh-CN" w:bidi="ar-SA"/>
        </w:rPr>
      </w:pPr>
      <w:r>
        <w:rPr>
          <w:rFonts w:hint="eastAsia" w:ascii="Times New Roman" w:cs="Times New Roman"/>
          <w:sz w:val="21"/>
          <w:szCs w:val="21"/>
          <w:lang w:val="en-US" w:eastAsia="zh-CN" w:bidi="ar-SA"/>
        </w:rPr>
        <w:t>——</w:t>
      </w:r>
      <w:r>
        <w:rPr>
          <w:rFonts w:hint="default" w:ascii="Times New Roman" w:hAnsi="Times New Roman" w:eastAsia="宋体" w:cs="Times New Roman"/>
          <w:sz w:val="21"/>
          <w:szCs w:val="21"/>
          <w:lang w:val="en-US" w:eastAsia="zh-CN" w:bidi="ar-SA"/>
        </w:rPr>
        <w:t>前茬为大豆、蚕豆时，休耕期宜不少于50天；</w:t>
      </w:r>
    </w:p>
    <w:p w14:paraId="571C8F3D">
      <w:pPr>
        <w:pStyle w:val="57"/>
        <w:ind w:left="0" w:leftChars="0" w:firstLine="420" w:firstLineChars="200"/>
        <w:rPr>
          <w:rFonts w:hint="default" w:ascii="Times New Roman" w:hAnsi="Times New Roman" w:eastAsia="宋体" w:cs="Times New Roman"/>
          <w:sz w:val="21"/>
          <w:szCs w:val="21"/>
          <w:lang w:val="en-US" w:eastAsia="zh-CN" w:bidi="ar-SA"/>
        </w:rPr>
      </w:pPr>
      <w:r>
        <w:rPr>
          <w:rFonts w:hint="eastAsia" w:ascii="Times New Roman" w:cs="Times New Roman"/>
          <w:sz w:val="21"/>
          <w:szCs w:val="21"/>
          <w:lang w:val="en-US" w:eastAsia="zh-CN" w:bidi="ar-SA"/>
        </w:rPr>
        <w:t>——</w:t>
      </w:r>
      <w:r>
        <w:rPr>
          <w:rFonts w:hint="default" w:ascii="Times New Roman" w:hAnsi="Times New Roman" w:eastAsia="宋体" w:cs="Times New Roman"/>
          <w:sz w:val="21"/>
          <w:szCs w:val="21"/>
          <w:lang w:val="en-US" w:eastAsia="zh-CN" w:bidi="ar-SA"/>
        </w:rPr>
        <w:t>前茬为油菜时，休耕期宜不少于70天；</w:t>
      </w:r>
    </w:p>
    <w:p w14:paraId="4EEA20C7">
      <w:pPr>
        <w:pStyle w:val="57"/>
        <w:ind w:left="0" w:leftChars="0" w:firstLine="0" w:firstLineChars="0"/>
        <w:rPr>
          <w:rFonts w:hint="eastAsia" w:ascii="Times New Roman" w:cs="Times New Roman"/>
          <w:sz w:val="21"/>
          <w:szCs w:val="21"/>
          <w:lang w:val="en-US" w:eastAsia="zh-CN" w:bidi="ar-SA"/>
        </w:rPr>
      </w:pPr>
      <w:r>
        <w:rPr>
          <w:rFonts w:hint="eastAsia" w:ascii="黑体" w:hAnsi="黑体" w:eastAsia="黑体" w:cs="黑体"/>
          <w:sz w:val="21"/>
          <w:szCs w:val="21"/>
          <w:lang w:val="en-US" w:eastAsia="zh-CN" w:bidi="ar-SA"/>
        </w:rPr>
        <w:t>7.2.3</w:t>
      </w:r>
      <w:r>
        <w:rPr>
          <w:rFonts w:hint="eastAsia" w:asci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休耕期内宜进行土壤调理，包括土壤翻晒、施用有机肥或种植绿肥后翻压，这些措施对于改善土壤理化性质和微生物群落结构具有重要意义</w:t>
      </w:r>
      <w:r>
        <w:rPr>
          <w:rFonts w:hint="eastAsia" w:ascii="Times New Roman" w:cs="Times New Roman"/>
          <w:sz w:val="21"/>
          <w:szCs w:val="21"/>
          <w:lang w:val="en-US" w:eastAsia="zh-CN" w:bidi="ar-SA"/>
        </w:rPr>
        <w:t>。</w:t>
      </w:r>
    </w:p>
    <w:p w14:paraId="4B24D9E4">
      <w:pPr>
        <w:pStyle w:val="105"/>
        <w:spacing w:before="240" w:after="240"/>
        <w:rPr>
          <w:rFonts w:hint="eastAsia" w:ascii="Calibri" w:hAnsi="Calibri" w:eastAsia="宋体" w:cs="Times New Roman"/>
          <w:kern w:val="2"/>
          <w:sz w:val="21"/>
          <w:szCs w:val="21"/>
          <w:lang w:val="en-US" w:eastAsia="zh-CN" w:bidi="ar-SA"/>
        </w:rPr>
      </w:pPr>
      <w:r>
        <w:rPr>
          <w:rFonts w:hint="eastAsia"/>
          <w:lang w:val="en-US" w:eastAsia="zh-CN"/>
        </w:rPr>
        <w:t>土地处理</w:t>
      </w:r>
    </w:p>
    <w:p w14:paraId="1F33050F">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概述</w:t>
      </w:r>
    </w:p>
    <w:p w14:paraId="349D75AE">
      <w:pPr>
        <w:pStyle w:val="57"/>
        <w:ind w:left="0" w:leftChars="0" w:firstLine="420" w:firstLineChars="200"/>
        <w:rPr>
          <w:rFonts w:hint="eastAsia" w:ascii="Times New Roman" w:hAnsi="Times New Roman" w:eastAsia="宋体" w:cs="Times New Roman"/>
          <w:sz w:val="21"/>
          <w:szCs w:val="21"/>
          <w:lang w:val="en-US" w:eastAsia="zh-CN" w:bidi="ar-SA"/>
        </w:rPr>
      </w:pPr>
      <w:r>
        <w:rPr>
          <w:rFonts w:hint="default" w:ascii="Times New Roman" w:hAnsi="Times New Roman" w:eastAsia="宋体" w:cs="Times New Roman"/>
          <w:sz w:val="21"/>
          <w:szCs w:val="21"/>
          <w:lang w:val="en-US" w:eastAsia="zh-CN" w:bidi="ar-SA"/>
        </w:rPr>
        <w:t>轮作期间的土地处理措施，包括秸秆还田、有机质补充和土壤耕作，直接影响轮作效果。合理的土地处理有助于改善土壤结构、增加有机质、减少病原菌数量。</w:t>
      </w:r>
    </w:p>
    <w:p w14:paraId="7F6048A2">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hAnsi="黑体" w:cs="黑体"/>
          <w:b w:val="0"/>
          <w:bCs w:val="0"/>
          <w:snapToGrid w:val="0"/>
          <w:color w:val="000000"/>
          <w:spacing w:val="10"/>
          <w:kern w:val="0"/>
          <w:sz w:val="21"/>
          <w:szCs w:val="21"/>
          <w:lang w:val="en-US" w:eastAsia="zh-CN"/>
        </w:rPr>
      </w:pPr>
      <w:r>
        <w:rPr>
          <w:rFonts w:hint="eastAsia" w:hAnsi="黑体" w:cs="黑体"/>
          <w:b w:val="0"/>
          <w:bCs w:val="0"/>
          <w:snapToGrid w:val="0"/>
          <w:color w:val="000000"/>
          <w:spacing w:val="10"/>
          <w:kern w:val="0"/>
          <w:sz w:val="21"/>
          <w:szCs w:val="21"/>
          <w:lang w:val="en-US" w:eastAsia="zh-CN"/>
        </w:rPr>
        <w:t>建议</w:t>
      </w:r>
    </w:p>
    <w:p w14:paraId="005DBAE1">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8.2.1</w:t>
      </w:r>
      <w:r>
        <w:rPr>
          <w:rFonts w:hint="eastAsia" w:ascii="Times New Roman" w:hAns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前茬作物收获后，宜在10日内将秸秆粉碎至长度不超过10cm，均匀抛撒于地表，随即深耕25cm～30cm。</w:t>
      </w:r>
    </w:p>
    <w:p w14:paraId="775A96A1">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8.2.2</w:t>
      </w:r>
      <w:r>
        <w:rPr>
          <w:rFonts w:hint="eastAsia" w:ascii="Times New Roman" w:hAns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禾本科秸秆还田时碳氮比较高，宜适量补充氮肥以促进腐解，每100kg秸秆可加尿素1kg～2kg。</w:t>
      </w:r>
    </w:p>
    <w:p w14:paraId="2CCD4609">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8.2.3</w:t>
      </w:r>
      <w:r>
        <w:rPr>
          <w:rFonts w:hint="eastAsia" w:ascii="Times New Roman" w:hAns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带有病虫害的秸秆不宜直接还田，建议经高温堆肥处理后再使用。</w:t>
      </w:r>
    </w:p>
    <w:p w14:paraId="014E5150">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8.2.4</w:t>
      </w:r>
      <w:r>
        <w:rPr>
          <w:rFonts w:hint="eastAsia" w:ascii="Times New Roman" w:hAns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休耕期内宜施用腐熟农家肥每亩2000kg～3000kg，或商品有机肥每亩500kg～800kg。</w:t>
      </w:r>
    </w:p>
    <w:p w14:paraId="6D826628">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8.2.5</w:t>
      </w:r>
      <w:r>
        <w:rPr>
          <w:rFonts w:hint="eastAsia" w:ascii="Times New Roman" w:hAns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有条件的地块，宜种植一季绿肥，并于盛花期翻压入土，翻压量不少于每亩1500kg（鲜重）。绿肥翻压对于快速提升土壤有机质含量是有效的措施。</w:t>
      </w:r>
    </w:p>
    <w:p w14:paraId="389AF6BF">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Times New Roman" w:hAnsi="Times New Roman" w:cs="Times New Roman"/>
          <w:sz w:val="21"/>
          <w:szCs w:val="21"/>
          <w:lang w:val="en-US" w:eastAsia="zh-CN" w:bidi="ar-SA"/>
        </w:rPr>
        <w:t>示例：绿肥包括</w:t>
      </w:r>
      <w:r>
        <w:rPr>
          <w:rFonts w:hint="default" w:ascii="Times New Roman" w:hAnsi="Times New Roman" w:eastAsia="宋体" w:cs="Times New Roman"/>
          <w:sz w:val="21"/>
          <w:szCs w:val="21"/>
          <w:lang w:val="en-US" w:eastAsia="zh-CN" w:bidi="ar-SA"/>
        </w:rPr>
        <w:t>苜蓿、箭筈豌豆</w:t>
      </w:r>
      <w:r>
        <w:rPr>
          <w:rFonts w:hint="eastAsia" w:ascii="Times New Roman" w:hAnsi="Times New Roman" w:cs="Times New Roman"/>
          <w:sz w:val="21"/>
          <w:szCs w:val="21"/>
          <w:lang w:val="en-US" w:eastAsia="zh-CN" w:bidi="ar-SA"/>
        </w:rPr>
        <w:t>等。</w:t>
      </w:r>
    </w:p>
    <w:p w14:paraId="362218E5">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8.2.6</w:t>
      </w:r>
      <w:r>
        <w:rPr>
          <w:rFonts w:hint="eastAsia" w:ascii="Times New Roman" w:hAns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休耕期内宜至少进行两次土壤耕作：第一次在前茬收获后深耕25cm～30cm；第二次在移栽潞党参前15天～20天旋耕15cm～20cm，耙细整平。深耕和旋耕相结合，有助于改善土壤通透性、减少病原菌数量。</w:t>
      </w:r>
    </w:p>
    <w:p w14:paraId="429054D9">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eastAsia="宋体" w:cs="Times New Roman"/>
          <w:sz w:val="21"/>
          <w:szCs w:val="21"/>
          <w:lang w:val="en-US" w:eastAsia="zh-CN" w:bidi="ar-SA"/>
        </w:rPr>
      </w:pPr>
      <w:r>
        <w:rPr>
          <w:rFonts w:hint="eastAsia" w:ascii="黑体" w:hAnsi="黑体" w:eastAsia="黑体" w:cs="黑体"/>
          <w:sz w:val="21"/>
          <w:szCs w:val="21"/>
          <w:lang w:val="en-US" w:eastAsia="zh-CN" w:bidi="ar-SA"/>
        </w:rPr>
        <w:t>8.2.7</w:t>
      </w:r>
      <w:r>
        <w:rPr>
          <w:rFonts w:hint="eastAsia" w:ascii="Times New Roman" w:hAnsi="Times New Roman" w:cs="Times New Roman"/>
          <w:sz w:val="21"/>
          <w:szCs w:val="21"/>
          <w:lang w:val="en-US" w:eastAsia="zh-CN" w:bidi="ar-SA"/>
        </w:rPr>
        <w:t xml:space="preserve"> </w:t>
      </w:r>
      <w:r>
        <w:rPr>
          <w:rFonts w:hint="default" w:ascii="Times New Roman" w:hAnsi="Times New Roman" w:eastAsia="宋体" w:cs="Times New Roman"/>
          <w:sz w:val="21"/>
          <w:szCs w:val="21"/>
          <w:lang w:val="en-US" w:eastAsia="zh-CN" w:bidi="ar-SA"/>
        </w:rPr>
        <w:t>在休耕期施用微生物菌剂，对于加速秸秆腐解、抑制土壤病原菌是有益的。每亩宜用量2kg～3kg，兑水稀释后喷施或随滴灌施用。</w:t>
      </w:r>
    </w:p>
    <w:p w14:paraId="3F7A6656">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eastAsia"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示例：</w:t>
      </w:r>
      <w:r>
        <w:rPr>
          <w:rFonts w:hint="default" w:ascii="Times New Roman" w:hAnsi="Times New Roman" w:eastAsia="宋体" w:cs="Times New Roman"/>
          <w:sz w:val="21"/>
          <w:szCs w:val="21"/>
          <w:lang w:val="en-US" w:eastAsia="zh-CN" w:bidi="ar-SA"/>
        </w:rPr>
        <w:t>微生物菌剂</w:t>
      </w:r>
      <w:r>
        <w:rPr>
          <w:rFonts w:hint="eastAsia" w:ascii="Times New Roman" w:hAnsi="Times New Roman" w:cs="Times New Roman"/>
          <w:sz w:val="21"/>
          <w:szCs w:val="21"/>
          <w:lang w:val="en-US" w:eastAsia="zh-CN" w:bidi="ar-SA"/>
        </w:rPr>
        <w:t>包括</w:t>
      </w:r>
      <w:r>
        <w:rPr>
          <w:rFonts w:hint="default" w:ascii="Times New Roman" w:hAnsi="Times New Roman" w:eastAsia="宋体" w:cs="Times New Roman"/>
          <w:sz w:val="21"/>
          <w:szCs w:val="21"/>
          <w:lang w:val="en-US" w:eastAsia="zh-CN" w:bidi="ar-SA"/>
        </w:rPr>
        <w:t>枯草芽孢杆菌、解淀粉芽孢杆菌等</w:t>
      </w:r>
      <w:r>
        <w:rPr>
          <w:rFonts w:hint="eastAsia" w:ascii="Times New Roman" w:hAnsi="Times New Roman" w:cs="Times New Roman"/>
          <w:sz w:val="21"/>
          <w:szCs w:val="21"/>
          <w:lang w:val="en-US" w:eastAsia="zh-CN" w:bidi="ar-SA"/>
        </w:rPr>
        <w:t>。</w:t>
      </w:r>
    </w:p>
    <w:p w14:paraId="2AEF3BA1">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p>
    <w:p w14:paraId="2592D365">
      <w:pPr>
        <w:pStyle w:val="57"/>
        <w:ind w:left="0" w:leftChars="0" w:firstLine="0" w:firstLineChars="0"/>
        <w:rPr>
          <w:rFonts w:hint="eastAsia" w:ascii="Times New Roman" w:hAnsi="Times New Roman" w:eastAsia="宋体" w:cs="Times New Roman"/>
          <w:sz w:val="21"/>
          <w:szCs w:val="21"/>
          <w:lang w:val="en-US" w:eastAsia="zh-CN" w:bidi="ar-SA"/>
        </w:rPr>
      </w:pPr>
    </w:p>
    <w:bookmarkEnd w:id="20"/>
    <w:p w14:paraId="663EF7AA">
      <w:pPr>
        <w:jc w:val="center"/>
        <w:rPr>
          <w:rFonts w:hint="eastAsia" w:ascii="黑体" w:hAnsi="黑体" w:eastAsia="黑体"/>
          <w:lang w:val="en-US" w:eastAsia="zh-CN"/>
        </w:rPr>
      </w:pPr>
      <w:r>
        <w:rPr>
          <w:rFonts w:hint="eastAsia" w:ascii="黑体" w:hAnsi="黑体" w:eastAsia="黑体"/>
          <w:lang w:val="en-US" w:eastAsia="zh-CN"/>
        </w:rPr>
        <w:t>附录A</w:t>
      </w:r>
    </w:p>
    <w:p w14:paraId="201E9328">
      <w:pPr>
        <w:jc w:val="center"/>
        <w:rPr>
          <w:rFonts w:hint="eastAsia" w:ascii="黑体" w:hAnsi="黑体" w:eastAsia="黑体"/>
          <w:lang w:val="en-US" w:eastAsia="zh-CN"/>
        </w:rPr>
      </w:pPr>
      <w:r>
        <w:rPr>
          <w:rFonts w:hint="eastAsia" w:ascii="黑体" w:hAnsi="黑体" w:eastAsia="黑体"/>
          <w:lang w:val="en-US" w:eastAsia="zh-CN"/>
        </w:rPr>
        <w:t>（资料性）</w:t>
      </w:r>
    </w:p>
    <w:p w14:paraId="5F66E420">
      <w:pPr>
        <w:jc w:val="center"/>
        <w:rPr>
          <w:rFonts w:hint="eastAsia" w:ascii="黑体" w:hAnsi="黑体" w:eastAsia="黑体"/>
          <w:lang w:val="en-US" w:eastAsia="zh-CN"/>
        </w:rPr>
      </w:pPr>
      <w:r>
        <w:rPr>
          <w:rFonts w:hint="eastAsia"/>
          <w:sz w:val="21"/>
          <w:szCs w:val="21"/>
          <w:lang w:val="en-US" w:eastAsia="zh-CN"/>
        </w:rPr>
        <w:t>前茬</w:t>
      </w:r>
      <w:r>
        <w:rPr>
          <w:rFonts w:hint="eastAsia" w:ascii="Times New Roman" w:cs="Times New Roman"/>
          <w:sz w:val="21"/>
          <w:szCs w:val="21"/>
          <w:lang w:val="en-US" w:eastAsia="zh-CN" w:bidi="ar-SA"/>
        </w:rPr>
        <w:t>不</w:t>
      </w:r>
      <w:r>
        <w:rPr>
          <w:rFonts w:hint="default" w:ascii="Times New Roman" w:hAnsi="Times New Roman" w:eastAsia="宋体" w:cs="Times New Roman"/>
          <w:sz w:val="21"/>
          <w:szCs w:val="21"/>
          <w:lang w:val="en-US" w:eastAsia="zh-CN" w:bidi="ar-SA"/>
        </w:rPr>
        <w:t>适宜</w:t>
      </w:r>
      <w:r>
        <w:rPr>
          <w:rFonts w:hint="eastAsia" w:ascii="Times New Roman" w:cs="Times New Roman"/>
          <w:sz w:val="21"/>
          <w:szCs w:val="21"/>
          <w:lang w:val="en-US" w:eastAsia="zh-CN" w:bidi="ar-SA"/>
        </w:rPr>
        <w:t>种植的作物</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92"/>
        <w:gridCol w:w="3192"/>
        <w:gridCol w:w="4219"/>
      </w:tblGrid>
      <w:tr w14:paraId="1DF15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2" w:type="dxa"/>
          </w:tcPr>
          <w:p w14:paraId="41C47607">
            <w:pPr>
              <w:pStyle w:val="57"/>
              <w:keepNext w:val="0"/>
              <w:keepLines w:val="0"/>
              <w:pageBreakBefore w:val="0"/>
              <w:widowControl/>
              <w:kinsoku/>
              <w:wordWrap/>
              <w:overflowPunct/>
              <w:topLinePunct w:val="0"/>
              <w:bidi w:val="0"/>
              <w:adjustRightInd w:val="0"/>
              <w:snapToGrid w:val="0"/>
              <w:spacing w:line="240" w:lineRule="auto"/>
              <w:textAlignment w:val="auto"/>
              <w:rPr>
                <w:rFonts w:hint="default"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科属</w:t>
            </w:r>
          </w:p>
        </w:tc>
        <w:tc>
          <w:tcPr>
            <w:tcW w:w="3192" w:type="dxa"/>
          </w:tcPr>
          <w:p w14:paraId="311651A7">
            <w:pPr>
              <w:pStyle w:val="57"/>
              <w:keepNext w:val="0"/>
              <w:keepLines w:val="0"/>
              <w:pageBreakBefore w:val="0"/>
              <w:widowControl/>
              <w:kinsoku/>
              <w:wordWrap/>
              <w:overflowPunct/>
              <w:topLinePunct w:val="0"/>
              <w:bidi w:val="0"/>
              <w:adjustRightInd w:val="0"/>
              <w:snapToGrid w:val="0"/>
              <w:spacing w:line="240" w:lineRule="auto"/>
              <w:textAlignment w:val="auto"/>
              <w:rPr>
                <w:rFonts w:hint="default"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不适宜作物</w:t>
            </w:r>
          </w:p>
        </w:tc>
        <w:tc>
          <w:tcPr>
            <w:tcW w:w="4219" w:type="dxa"/>
          </w:tcPr>
          <w:p w14:paraId="4D42744B">
            <w:pPr>
              <w:pStyle w:val="57"/>
              <w:keepNext w:val="0"/>
              <w:keepLines w:val="0"/>
              <w:pageBreakBefore w:val="0"/>
              <w:widowControl/>
              <w:kinsoku/>
              <w:wordWrap/>
              <w:overflowPunct/>
              <w:topLinePunct w:val="0"/>
              <w:bidi w:val="0"/>
              <w:adjustRightInd w:val="0"/>
              <w:snapToGrid w:val="0"/>
              <w:spacing w:line="240" w:lineRule="auto"/>
              <w:textAlignment w:val="auto"/>
              <w:rPr>
                <w:rFonts w:hint="default"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不适宜原因</w:t>
            </w:r>
          </w:p>
        </w:tc>
      </w:tr>
      <w:tr w14:paraId="04AD7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2" w:type="dxa"/>
          </w:tcPr>
          <w:p w14:paraId="29233B01">
            <w:pPr>
              <w:pStyle w:val="57"/>
              <w:keepNext w:val="0"/>
              <w:keepLines w:val="0"/>
              <w:pageBreakBefore w:val="0"/>
              <w:widowControl/>
              <w:kinsoku/>
              <w:wordWrap/>
              <w:overflowPunct/>
              <w:topLinePunct w:val="0"/>
              <w:bidi w:val="0"/>
              <w:adjustRightInd w:val="0"/>
              <w:snapToGrid w:val="0"/>
              <w:spacing w:line="240" w:lineRule="auto"/>
              <w:textAlignment w:val="auto"/>
              <w:rPr>
                <w:rFonts w:hint="default"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茄科</w:t>
            </w:r>
          </w:p>
        </w:tc>
        <w:tc>
          <w:tcPr>
            <w:tcW w:w="3192" w:type="dxa"/>
          </w:tcPr>
          <w:p w14:paraId="067E5EDA">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番茄、辣椒、茄子、烟草、马铃薯</w:t>
            </w:r>
          </w:p>
        </w:tc>
        <w:tc>
          <w:tcPr>
            <w:tcW w:w="4219" w:type="dxa"/>
          </w:tcPr>
          <w:p w14:paraId="5CAAFCF7">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与党参有共同的土传病害（如疫病、青枯病、根腐病），病原菌在土壤中积累，危害潞党参生长</w:t>
            </w:r>
          </w:p>
        </w:tc>
      </w:tr>
      <w:tr w14:paraId="2C82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2" w:type="dxa"/>
          </w:tcPr>
          <w:p w14:paraId="3BAE3BC0">
            <w:pPr>
              <w:pStyle w:val="57"/>
              <w:keepNext w:val="0"/>
              <w:keepLines w:val="0"/>
              <w:pageBreakBefore w:val="0"/>
              <w:widowControl/>
              <w:kinsoku/>
              <w:wordWrap/>
              <w:overflowPunct/>
              <w:topLinePunct w:val="0"/>
              <w:bidi w:val="0"/>
              <w:adjustRightInd w:val="0"/>
              <w:snapToGrid w:val="0"/>
              <w:spacing w:line="240" w:lineRule="auto"/>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葫芦科</w:t>
            </w:r>
          </w:p>
        </w:tc>
        <w:tc>
          <w:tcPr>
            <w:tcW w:w="3192" w:type="dxa"/>
          </w:tcPr>
          <w:p w14:paraId="75CCB2C8">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黄瓜、南瓜、西瓜、甜瓜、冬瓜</w:t>
            </w:r>
          </w:p>
        </w:tc>
        <w:tc>
          <w:tcPr>
            <w:tcW w:w="4219" w:type="dxa"/>
          </w:tcPr>
          <w:p w14:paraId="4D71C396">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连作后土壤中病原菌（如枯萎病菌、疫病菌）积累，易导致党参根腐病加重</w:t>
            </w:r>
          </w:p>
        </w:tc>
      </w:tr>
      <w:tr w14:paraId="0ACCE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2" w:type="dxa"/>
          </w:tcPr>
          <w:p w14:paraId="753CE3F4">
            <w:pPr>
              <w:pStyle w:val="57"/>
              <w:keepNext w:val="0"/>
              <w:keepLines w:val="0"/>
              <w:pageBreakBefore w:val="0"/>
              <w:widowControl/>
              <w:kinsoku/>
              <w:wordWrap/>
              <w:overflowPunct/>
              <w:topLinePunct w:val="0"/>
              <w:bidi w:val="0"/>
              <w:adjustRightInd w:val="0"/>
              <w:snapToGrid w:val="0"/>
              <w:spacing w:line="240" w:lineRule="auto"/>
              <w:textAlignment w:val="auto"/>
              <w:rPr>
                <w:rFonts w:hint="default"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十字花科</w:t>
            </w:r>
          </w:p>
        </w:tc>
        <w:tc>
          <w:tcPr>
            <w:tcW w:w="3192" w:type="dxa"/>
          </w:tcPr>
          <w:p w14:paraId="7DFDF37B">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油菜、白菜、萝卜等</w:t>
            </w:r>
          </w:p>
        </w:tc>
        <w:tc>
          <w:tcPr>
            <w:tcW w:w="4219" w:type="dxa"/>
          </w:tcPr>
          <w:p w14:paraId="01F9C7AA">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十字花科根肿病病菌可侵染多种作物，对党参根系发育产生不良影响</w:t>
            </w:r>
          </w:p>
        </w:tc>
      </w:tr>
      <w:tr w14:paraId="3896B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92" w:type="dxa"/>
          </w:tcPr>
          <w:p w14:paraId="01EC9655">
            <w:pPr>
              <w:pStyle w:val="57"/>
              <w:keepNext w:val="0"/>
              <w:keepLines w:val="0"/>
              <w:pageBreakBefore w:val="0"/>
              <w:widowControl/>
              <w:kinsoku/>
              <w:wordWrap/>
              <w:overflowPunct/>
              <w:topLinePunct w:val="0"/>
              <w:bidi w:val="0"/>
              <w:adjustRightInd w:val="0"/>
              <w:snapToGrid w:val="0"/>
              <w:spacing w:line="240" w:lineRule="auto"/>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桔梗科</w:t>
            </w:r>
          </w:p>
        </w:tc>
        <w:tc>
          <w:tcPr>
            <w:tcW w:w="3192" w:type="dxa"/>
          </w:tcPr>
          <w:p w14:paraId="58F90157">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桔梗、沙参、轮叶党参</w:t>
            </w:r>
          </w:p>
        </w:tc>
        <w:tc>
          <w:tcPr>
            <w:tcW w:w="4219" w:type="dxa"/>
          </w:tcPr>
          <w:p w14:paraId="37B88F25">
            <w:pPr>
              <w:pStyle w:val="57"/>
              <w:keepNext w:val="0"/>
              <w:keepLines w:val="0"/>
              <w:pageBreakBefore w:val="0"/>
              <w:widowControl/>
              <w:kinsoku/>
              <w:wordWrap/>
              <w:overflowPunct/>
              <w:topLinePunct w:val="0"/>
              <w:bidi w:val="0"/>
              <w:adjustRightInd w:val="0"/>
              <w:snapToGrid w:val="0"/>
              <w:spacing w:line="240" w:lineRule="auto"/>
              <w:ind w:left="0" w:leftChars="0" w:firstLine="0" w:firstLineChars="0"/>
              <w:textAlignment w:val="auto"/>
              <w:rPr>
                <w:rFonts w:hint="eastAsia" w:ascii="Times New Roman" w:cs="Times New Roman"/>
                <w:sz w:val="21"/>
                <w:szCs w:val="21"/>
                <w:vertAlign w:val="baseline"/>
                <w:lang w:val="en-US" w:eastAsia="zh-CN" w:bidi="ar-SA"/>
              </w:rPr>
            </w:pPr>
            <w:r>
              <w:rPr>
                <w:rFonts w:hint="eastAsia" w:ascii="Times New Roman" w:cs="Times New Roman"/>
                <w:sz w:val="21"/>
                <w:szCs w:val="21"/>
                <w:vertAlign w:val="baseline"/>
                <w:lang w:val="en-US" w:eastAsia="zh-CN" w:bidi="ar-SA"/>
              </w:rPr>
              <w:t>同属桔梗科，具有相似的病虫害发生规律和自毒物质积累问题，连作导致连作障碍加重</w:t>
            </w:r>
          </w:p>
        </w:tc>
      </w:tr>
    </w:tbl>
    <w:p w14:paraId="34188D15">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cs="Times New Roman"/>
          <w:sz w:val="21"/>
          <w:szCs w:val="21"/>
          <w:lang w:val="en-US" w:eastAsia="zh-CN" w:bidi="ar-SA"/>
        </w:rPr>
      </w:pPr>
    </w:p>
    <w:p w14:paraId="7F1E3DBA">
      <w:pPr>
        <w:pStyle w:val="57"/>
        <w:keepNext w:val="0"/>
        <w:keepLines w:val="0"/>
        <w:pageBreakBefore w:val="0"/>
        <w:widowControl/>
        <w:kinsoku/>
        <w:wordWrap/>
        <w:overflowPunct/>
        <w:topLinePunct w:val="0"/>
        <w:bidi w:val="0"/>
        <w:adjustRightInd w:val="0"/>
        <w:snapToGrid w:val="0"/>
        <w:spacing w:line="240" w:lineRule="auto"/>
        <w:ind w:left="0" w:leftChars="0" w:firstLine="420" w:firstLineChars="200"/>
        <w:textAlignment w:val="auto"/>
        <w:rPr>
          <w:rFonts w:hint="eastAsia" w:ascii="Times New Roman" w:cs="Times New Roman"/>
          <w:sz w:val="21"/>
          <w:szCs w:val="21"/>
          <w:lang w:val="en-US" w:eastAsia="zh-CN" w:bidi="ar-SA"/>
        </w:rPr>
      </w:pPr>
    </w:p>
    <w:p w14:paraId="088F215F">
      <w:pPr>
        <w:jc w:val="center"/>
        <w:rPr>
          <w:rFonts w:hint="eastAsia" w:ascii="黑体" w:hAnsi="黑体" w:eastAsia="黑体"/>
        </w:rPr>
        <w:sectPr>
          <w:headerReference r:id="rId9" w:type="default"/>
          <w:footerReference r:id="rId10" w:type="default"/>
          <w:pgSz w:w="11906" w:h="16838"/>
          <w:pgMar w:top="2410" w:right="1134" w:bottom="1134" w:left="1134" w:header="1418" w:footer="1134" w:gutter="284"/>
          <w:cols w:space="425" w:num="1"/>
          <w:formProt w:val="0"/>
          <w:docGrid w:linePitch="312" w:charSpace="0"/>
        </w:sectPr>
      </w:pPr>
    </w:p>
    <w:p w14:paraId="68A36A52">
      <w:pPr>
        <w:jc w:val="center"/>
        <w:rPr>
          <w:rFonts w:ascii="黑体" w:hAnsi="黑体" w:eastAsia="黑体"/>
        </w:rPr>
      </w:pPr>
      <w:r>
        <w:rPr>
          <w:rFonts w:hint="eastAsia" w:ascii="黑体" w:hAnsi="黑体" w:eastAsia="黑体"/>
        </w:rPr>
        <w:t>参考文献</w:t>
      </w:r>
    </w:p>
    <w:p w14:paraId="754B805A">
      <w:pPr>
        <w:pStyle w:val="57"/>
        <w:ind w:firstLine="0" w:firstLineChars="0"/>
        <w:jc w:val="center"/>
        <w:rPr>
          <w:rFonts w:ascii="黑体" w:hAnsi="黑体" w:eastAsia="黑体"/>
        </w:rPr>
      </w:pPr>
    </w:p>
    <w:p w14:paraId="2D94EB25">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eastAsia"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[1]曹占凤,武延安,张玉云.不同间作模式对党参商品性及产量的效应研究[J].甘肃科技,2016,32(07):41-43.</w:t>
      </w:r>
    </w:p>
    <w:p w14:paraId="55EF1CA6">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[2]尚虎山,陈向东,陈爱昌,等.党参与产地主栽作物间作对党参高效生产的影响[J].寒旱农业科学,2026,5(01):50-55.</w:t>
      </w:r>
    </w:p>
    <w:p w14:paraId="450B81F2">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[3]赵亚兰.冬春播种及间作对党参产量和品质的影响[D].甘肃农业大学,2015.</w:t>
      </w:r>
    </w:p>
    <w:p w14:paraId="2F5B397F">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[4]杨秀梅,延翠琴,许毅戈.高寒山区小麦党参玉米兼作套种技术[J].农民科技培训,2010,(11):32.</w:t>
      </w:r>
    </w:p>
    <w:p w14:paraId="1A1FEE2D">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[5]黄高鉴,孙晋鑫,郭军玲,等.间作不同作物对潞党参生长发育及有效成分的影响[J].中药材,2022,45(07):1545-1550.DOI:10.13863/j.issn1001-4454.2022.07.003.</w:t>
      </w:r>
    </w:p>
    <w:p w14:paraId="5745EF10">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[6]程泽京.间作蚕豆对不同施氮水平下潞党参生长及品质的影响[D].山西农业大学,2023.DOI:10.27285/d.cnki.gsxnu.2023.000382.</w:t>
      </w:r>
    </w:p>
    <w:p w14:paraId="215D26C8">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[7]杜毛笑,邱黛玉,任凤英,等.间作植物和茬口对连作党参生长和品质产量的影响[J].西北植物学报,2021,41(11):1884-1892.</w:t>
      </w:r>
    </w:p>
    <w:p w14:paraId="6BD07AF8">
      <w:pPr>
        <w:pStyle w:val="25"/>
        <w:keepNext w:val="0"/>
        <w:keepLines w:val="0"/>
        <w:pageBreakBefore w:val="0"/>
        <w:widowControl/>
        <w:suppressLineNumbers w:val="0"/>
        <w:shd w:val="clear" w:fill="FFFFFF"/>
        <w:kinsoku/>
        <w:wordWrap/>
        <w:overflowPunct/>
        <w:topLinePunct w:val="0"/>
        <w:autoSpaceDE/>
        <w:autoSpaceDN/>
        <w:bidi w:val="0"/>
        <w:adjustRightInd w:val="0"/>
        <w:snapToGrid/>
        <w:spacing w:beforeAutospacing="0" w:afterAutospacing="0" w:line="240" w:lineRule="auto"/>
        <w:ind w:left="0" w:right="0" w:firstLine="0"/>
        <w:textAlignment w:val="auto"/>
        <w:rPr>
          <w:rFonts w:hint="default" w:ascii="Times New Roman" w:hAnsi="Times New Roman" w:cs="Times New Roman"/>
          <w:sz w:val="21"/>
          <w:szCs w:val="21"/>
          <w:lang w:val="en-US" w:eastAsia="zh-CN" w:bidi="ar-SA"/>
        </w:rPr>
      </w:pPr>
      <w:r>
        <w:rPr>
          <w:rFonts w:hint="eastAsia" w:ascii="Times New Roman" w:hAnsi="Times New Roman" w:cs="Times New Roman"/>
          <w:sz w:val="21"/>
          <w:szCs w:val="21"/>
          <w:lang w:val="en-US" w:eastAsia="zh-CN" w:bidi="ar-SA"/>
        </w:rPr>
        <w:t>[8]金宏荣,陈红,姚彦斌.连作和倒茬对党参根腐病的影响研究[J].中兽医医药杂志,2022,41(03):40-42.DOI:10.13823/j.cnki.jtcvm.2022.03.009.</w:t>
      </w:r>
    </w:p>
    <w:p w14:paraId="7B8BBE71">
      <w:pPr>
        <w:pStyle w:val="57"/>
        <w:spacing w:line="300" w:lineRule="auto"/>
        <w:ind w:firstLine="420"/>
        <w:jc w:val="left"/>
        <w:rPr>
          <w:rFonts w:hint="eastAsia" w:hAnsi="宋体"/>
        </w:rPr>
      </w:pPr>
    </w:p>
    <w:sectPr>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3"/>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2"/>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B80"/>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90B72F2"/>
    <w:rsid w:val="10063813"/>
    <w:rsid w:val="10B93AD7"/>
    <w:rsid w:val="12411FD6"/>
    <w:rsid w:val="13644ECD"/>
    <w:rsid w:val="150211C4"/>
    <w:rsid w:val="16F77107"/>
    <w:rsid w:val="18B76B4E"/>
    <w:rsid w:val="1969524F"/>
    <w:rsid w:val="1AAB6751"/>
    <w:rsid w:val="1F49071C"/>
    <w:rsid w:val="242E0F1E"/>
    <w:rsid w:val="261A7284"/>
    <w:rsid w:val="265E2CFF"/>
    <w:rsid w:val="269B7732"/>
    <w:rsid w:val="2960467D"/>
    <w:rsid w:val="2EC1207D"/>
    <w:rsid w:val="2F61560E"/>
    <w:rsid w:val="2FFE33BB"/>
    <w:rsid w:val="31187057"/>
    <w:rsid w:val="33024D35"/>
    <w:rsid w:val="33BE302F"/>
    <w:rsid w:val="3D670613"/>
    <w:rsid w:val="3ED100BA"/>
    <w:rsid w:val="4DC22AD5"/>
    <w:rsid w:val="4E1A37F5"/>
    <w:rsid w:val="5164091A"/>
    <w:rsid w:val="52727703"/>
    <w:rsid w:val="544337DB"/>
    <w:rsid w:val="57261BCD"/>
    <w:rsid w:val="57435475"/>
    <w:rsid w:val="596404E6"/>
    <w:rsid w:val="5A82491F"/>
    <w:rsid w:val="5A963B0E"/>
    <w:rsid w:val="5D6D5C42"/>
    <w:rsid w:val="5E03641E"/>
    <w:rsid w:val="60E530F9"/>
    <w:rsid w:val="63D3141F"/>
    <w:rsid w:val="65442AE4"/>
    <w:rsid w:val="658633A0"/>
    <w:rsid w:val="6897167A"/>
    <w:rsid w:val="6E4229EA"/>
    <w:rsid w:val="74AA4FF9"/>
    <w:rsid w:val="74EE65C9"/>
    <w:rsid w:val="76E969F9"/>
    <w:rsid w:val="79D143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rFonts w:ascii="Times New Roman" w:hAnsi="Times New Roman" w:eastAsia="宋体" w:cs="Times New Roman"/>
      <w:b/>
      <w:bCs/>
      <w:kern w:val="44"/>
      <w:sz w:val="44"/>
      <w:szCs w:val="44"/>
    </w:rPr>
  </w:style>
  <w:style w:type="character" w:customStyle="1" w:styleId="36">
    <w:name w:val="标题 2 字符"/>
    <w:link w:val="3"/>
    <w:qFormat/>
    <w:uiPriority w:val="0"/>
    <w:rPr>
      <w:rFonts w:ascii="Arial" w:hAnsi="Arial" w:eastAsia="黑体" w:cs="Times New Roman"/>
      <w:b/>
      <w:bCs/>
      <w:sz w:val="32"/>
      <w:szCs w:val="32"/>
    </w:rPr>
  </w:style>
  <w:style w:type="character" w:customStyle="1" w:styleId="37">
    <w:name w:val="标题 3 字符"/>
    <w:link w:val="4"/>
    <w:qFormat/>
    <w:uiPriority w:val="0"/>
    <w:rPr>
      <w:rFonts w:ascii="Times New Roman" w:hAnsi="Times New Roman" w:eastAsia="宋体" w:cs="Times New Roman"/>
      <w:b/>
      <w:bCs/>
      <w:sz w:val="32"/>
      <w:szCs w:val="32"/>
    </w:rPr>
  </w:style>
  <w:style w:type="character" w:customStyle="1" w:styleId="38">
    <w:name w:val="标题 4 字符"/>
    <w:link w:val="5"/>
    <w:qFormat/>
    <w:uiPriority w:val="0"/>
    <w:rPr>
      <w:rFonts w:ascii="Arial" w:hAnsi="Arial" w:eastAsia="黑体" w:cs="Times New Roman"/>
      <w:b/>
      <w:bCs/>
      <w:sz w:val="28"/>
      <w:szCs w:val="28"/>
    </w:rPr>
  </w:style>
  <w:style w:type="character" w:customStyle="1" w:styleId="39">
    <w:name w:val="标题 5 字符"/>
    <w:link w:val="6"/>
    <w:qFormat/>
    <w:uiPriority w:val="0"/>
    <w:rPr>
      <w:rFonts w:ascii="Times New Roman" w:hAnsi="Times New Roman" w:eastAsia="宋体" w:cs="Times New Roman"/>
      <w:b/>
      <w:bCs/>
      <w:sz w:val="28"/>
      <w:szCs w:val="28"/>
    </w:rPr>
  </w:style>
  <w:style w:type="character" w:customStyle="1" w:styleId="40">
    <w:name w:val="标题 6 字符"/>
    <w:link w:val="7"/>
    <w:qFormat/>
    <w:uiPriority w:val="0"/>
    <w:rPr>
      <w:rFonts w:ascii="Arial" w:hAnsi="Arial" w:eastAsia="黑体" w:cs="Times New Roman"/>
      <w:b/>
      <w:bCs/>
      <w:sz w:val="24"/>
      <w:szCs w:val="24"/>
    </w:rPr>
  </w:style>
  <w:style w:type="character" w:customStyle="1" w:styleId="41">
    <w:name w:val="标题 7 字符"/>
    <w:link w:val="8"/>
    <w:qFormat/>
    <w:uiPriority w:val="0"/>
    <w:rPr>
      <w:rFonts w:ascii="Times New Roman" w:hAnsi="Times New Roman" w:eastAsia="宋体" w:cs="Times New Roman"/>
      <w:b/>
      <w:bCs/>
      <w:sz w:val="24"/>
      <w:szCs w:val="24"/>
    </w:rPr>
  </w:style>
  <w:style w:type="character" w:customStyle="1" w:styleId="42">
    <w:name w:val="标题 8 字符"/>
    <w:link w:val="9"/>
    <w:qFormat/>
    <w:uiPriority w:val="0"/>
    <w:rPr>
      <w:rFonts w:ascii="Arial" w:hAnsi="Arial" w:eastAsia="黑体" w:cs="Times New Roman"/>
      <w:sz w:val="24"/>
      <w:szCs w:val="24"/>
    </w:rPr>
  </w:style>
  <w:style w:type="character" w:customStyle="1" w:styleId="43">
    <w:name w:val="标题 9 字符"/>
    <w:link w:val="10"/>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ind w:left="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high-light-bg4"/>
    <w:basedOn w:val="29"/>
    <w:qFormat/>
    <w:uiPriority w:val="0"/>
  </w:style>
  <w:style w:type="paragraph" w:styleId="2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7</Pages>
  <Words>2328</Words>
  <Characters>2645</Characters>
  <Lines>61</Lines>
  <Paragraphs>17</Paragraphs>
  <TotalTime>8</TotalTime>
  <ScaleCrop>false</ScaleCrop>
  <LinksUpToDate>false</LinksUpToDate>
  <CharactersWithSpaces>2697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2023-11-10T07:45:00Z</dcterms:created>
  <dc:creator>微软用户;wen</dc:creator>
  <dc:description>&lt;config cover="true" show_menu="true" version="1.0.0" doctype="SDKXY"&gt;_x000d_
&lt;/config&gt;</dc:description>
  <cp:lastModifiedBy>陈萌</cp:lastModifiedBy>
  <cp:lastPrinted>2021-11-28T03:39:00Z</cp:lastPrinted>
  <dcterms:modified xsi:type="dcterms:W3CDTF">2026-05-07T02:21:12Z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E4643E565F4D4DFBB6785DB29DECA62B_13</vt:lpwstr>
  </property>
  <property fmtid="{D5CDD505-2E9C-101B-9397-08002B2CF9AE}" pid="16" name="KSOTemplateDocerSaveRecord">
    <vt:lpwstr>eyJoZGlkIjoiOTNhYzk2NjdkNzE3ZjM0MDllNTZkZTZlMGYzZGI1YjEiLCJ1c2VySWQiOiI0MTg0NTA0MDAifQ==</vt:lpwstr>
  </property>
</Properties>
</file>