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03.080.99</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A20</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潞党参质量等级</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Grading quality standards for Codonopsis Radix（Lu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rPr>
      </w:pPr>
      <w:r>
        <w:rPr>
          <w:rFonts w:hint="eastAsia"/>
        </w:rPr>
        <w:t>请注意本文件的某些内容可能涉及专利。本文件的发布机构不承担识别专利的责任。本文件由</w:t>
      </w:r>
      <w:r>
        <w:rPr>
          <w:rFonts w:hint="default"/>
          <w:lang w:val="en-US" w:eastAsia="zh-CN"/>
        </w:rPr>
        <w:t>长治市中药材产业发展中心</w:t>
      </w:r>
      <w:r>
        <w:rPr>
          <w:rFonts w:hint="eastAsia"/>
        </w:rPr>
        <w:t>提出。</w:t>
      </w:r>
    </w:p>
    <w:p w14:paraId="1640DE90">
      <w:pPr>
        <w:pStyle w:val="57"/>
        <w:ind w:firstLine="420"/>
        <w:rPr>
          <w:rFonts w:hint="eastAsia"/>
        </w:rPr>
      </w:pPr>
      <w:r>
        <w:rPr>
          <w:rFonts w:hint="eastAsia"/>
        </w:rPr>
        <w:t>本文件由中国中医药研究促进会归口。</w:t>
      </w:r>
    </w:p>
    <w:p w14:paraId="08ADD694">
      <w:pPr>
        <w:pStyle w:val="57"/>
        <w:ind w:firstLine="420"/>
        <w:rPr>
          <w:rFonts w:hint="default"/>
          <w:lang w:val="en-US" w:eastAsia="zh-CN"/>
        </w:rPr>
      </w:pPr>
      <w:r>
        <w:rPr>
          <w:rFonts w:hint="eastAsia"/>
        </w:rPr>
        <w:t>本文件起草单位：长治市中药材产业发展中心、中国标准化研究院</w:t>
      </w:r>
      <w:r>
        <w:rPr>
          <w:rFonts w:hint="eastAsia"/>
          <w:lang w:val="en-US" w:eastAsia="zh-CN"/>
        </w:rPr>
        <w:t>等</w:t>
      </w:r>
    </w:p>
    <w:p w14:paraId="32D78306">
      <w:pPr>
        <w:pStyle w:val="57"/>
        <w:ind w:firstLine="420"/>
        <w:rPr>
          <w:rFonts w:hint="eastAsia"/>
          <w:lang w:val="en-US" w:eastAsia="zh-CN"/>
        </w:rPr>
      </w:pPr>
      <w:r>
        <w:rPr>
          <w:rFonts w:hint="eastAsia"/>
        </w:rPr>
        <w:t>本文件主要起草人：</w:t>
      </w:r>
      <w:r>
        <w:rPr>
          <w:rFonts w:hint="eastAsia"/>
          <w:lang w:val="en-US" w:eastAsia="zh-CN"/>
        </w:rPr>
        <w:t>暂略</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bookmarkEnd w:id="19"/>
    <w:p w14:paraId="7DF50EB9">
      <w:pPr>
        <w:spacing w:line="20" w:lineRule="exact"/>
        <w:jc w:val="center"/>
        <w:rPr>
          <w:rFonts w:ascii="黑体" w:hAnsi="黑体" w:eastAsia="黑体"/>
          <w:sz w:val="32"/>
          <w:szCs w:val="32"/>
        </w:rPr>
      </w:pPr>
      <w:bookmarkStart w:id="20" w:name="BookMark4"/>
    </w:p>
    <w:sdt>
      <w:sdtPr>
        <w:tag w:val="NEW_STAND_NAME"/>
        <w:id w:val="595910757"/>
        <w:lock w:val="sdtLocked"/>
        <w:placeholder>
          <w:docPart w:val="A276024014E749F195FC61D7865681B4"/>
        </w:placeholder>
      </w:sdtPr>
      <w:sdtContent>
        <w:p w14:paraId="0885E84A">
          <w:pPr>
            <w:jc w:val="center"/>
          </w:pPr>
          <w:bookmarkStart w:id="21" w:name="NEW_STAND_NAME"/>
          <w:r>
            <w:rPr>
              <w:rFonts w:hint="eastAsia" w:ascii="黑体" w:hAnsi="黑体" w:eastAsia="黑体" w:cs="黑体"/>
              <w:snapToGrid w:val="0"/>
              <w:color w:val="000000"/>
              <w:spacing w:val="7"/>
              <w:kern w:val="0"/>
              <w:sz w:val="31"/>
              <w:szCs w:val="31"/>
              <w:lang w:val="en-US" w:eastAsia="zh-CN" w:bidi="ar-SA"/>
            </w:rPr>
            <w:t>潞党参质量等级</w:t>
          </w:r>
        </w:p>
      </w:sdtContent>
    </w:sdt>
    <w:bookmarkEnd w:id="21"/>
    <w:p w14:paraId="23A36214">
      <w:pPr>
        <w:pStyle w:val="105"/>
        <w:spacing w:before="240" w:after="240"/>
      </w:pPr>
      <w:bookmarkStart w:id="22" w:name="_Toc24884218"/>
      <w:bookmarkStart w:id="23" w:name="_Toc17233333"/>
      <w:bookmarkStart w:id="24" w:name="_Toc24884211"/>
      <w:bookmarkStart w:id="25" w:name="_Toc26718930"/>
      <w:bookmarkStart w:id="26" w:name="_Toc26986771"/>
      <w:bookmarkStart w:id="27" w:name="_Toc26986530"/>
      <w:bookmarkStart w:id="28" w:name="_Toc26648465"/>
      <w:bookmarkStart w:id="29" w:name="_Toc17233325"/>
      <w:bookmarkStart w:id="30" w:name="_Toc21305"/>
      <w:r>
        <w:rPr>
          <w:rFonts w:hint="eastAsia"/>
        </w:rPr>
        <w:t>范围</w:t>
      </w:r>
      <w:bookmarkEnd w:id="22"/>
      <w:bookmarkEnd w:id="23"/>
      <w:bookmarkEnd w:id="24"/>
      <w:bookmarkEnd w:id="25"/>
      <w:bookmarkEnd w:id="26"/>
      <w:bookmarkEnd w:id="27"/>
      <w:bookmarkEnd w:id="28"/>
      <w:bookmarkEnd w:id="29"/>
      <w:bookmarkEnd w:id="30"/>
    </w:p>
    <w:p w14:paraId="1C664E9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cs="Times New Roman"/>
          <w:kern w:val="0"/>
          <w:sz w:val="21"/>
          <w:szCs w:val="20"/>
          <w:lang w:val="en-US" w:eastAsia="zh-CN" w:bidi="ar-SA"/>
        </w:rPr>
      </w:pPr>
      <w:bookmarkStart w:id="31" w:name="_Toc24884219"/>
      <w:bookmarkStart w:id="32" w:name="_Toc17233334"/>
      <w:bookmarkStart w:id="33" w:name="_Toc24884212"/>
      <w:bookmarkStart w:id="34" w:name="_Toc17233326"/>
      <w:bookmarkStart w:id="35" w:name="_Toc26648466"/>
      <w:r>
        <w:rPr>
          <w:rFonts w:hint="eastAsia" w:ascii="宋体" w:hAnsi="Times New Roman" w:eastAsia="宋体" w:cs="Times New Roman"/>
          <w:kern w:val="0"/>
          <w:sz w:val="21"/>
          <w:szCs w:val="20"/>
          <w:lang w:val="en-US" w:eastAsia="en-US" w:bidi="ar-SA"/>
        </w:rPr>
        <w:t>本标准</w:t>
      </w:r>
      <w:r>
        <w:rPr>
          <w:rFonts w:hint="eastAsia" w:ascii="宋体" w:hAnsi="Times New Roman" w:cs="Times New Roman"/>
          <w:kern w:val="0"/>
          <w:sz w:val="21"/>
          <w:szCs w:val="20"/>
          <w:lang w:val="en-US" w:eastAsia="zh-CN" w:bidi="ar-SA"/>
        </w:rPr>
        <w:t>文件</w:t>
      </w:r>
      <w:r>
        <w:rPr>
          <w:rFonts w:hint="eastAsia" w:ascii="宋体" w:hAnsi="Times New Roman" w:eastAsia="宋体" w:cs="Times New Roman"/>
          <w:kern w:val="0"/>
          <w:sz w:val="21"/>
          <w:szCs w:val="20"/>
          <w:lang w:val="en-US" w:eastAsia="en-US" w:bidi="ar-SA"/>
        </w:rPr>
        <w:t>规定了</w:t>
      </w:r>
      <w:r>
        <w:rPr>
          <w:rFonts w:hint="eastAsia" w:ascii="宋体" w:hAnsi="Times New Roman" w:cs="Times New Roman"/>
          <w:kern w:val="0"/>
          <w:sz w:val="21"/>
          <w:szCs w:val="20"/>
          <w:lang w:val="en-US" w:eastAsia="zh-CN" w:bidi="ar-SA"/>
        </w:rPr>
        <w:t>潞党参的性状、鉴别、检查、含量、规格等级、检验方法等方面的要求。</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本标准适用于</w:t>
      </w:r>
      <w:r>
        <w:rPr>
          <w:rFonts w:hint="eastAsia" w:ascii="宋体" w:hAnsi="Times New Roman" w:cs="Times New Roman"/>
          <w:kern w:val="0"/>
          <w:sz w:val="21"/>
          <w:szCs w:val="20"/>
          <w:lang w:val="en-US" w:eastAsia="zh-CN" w:bidi="ar-SA"/>
        </w:rPr>
        <w:t>大田、林下、野生潞党参药材的生产、流通以及使用过程的质量评价</w:t>
      </w:r>
      <w:r>
        <w:rPr>
          <w:rFonts w:hint="eastAsia" w:ascii="宋体" w:hAnsi="Times New Roman" w:eastAsia="宋体" w:cs="Times New Roman"/>
          <w:kern w:val="0"/>
          <w:sz w:val="21"/>
          <w:szCs w:val="20"/>
          <w:lang w:val="en-US" w:eastAsia="en-US" w:bidi="ar-SA"/>
        </w:rPr>
        <w:t>。</w:t>
      </w:r>
    </w:p>
    <w:p w14:paraId="5D42895D">
      <w:pPr>
        <w:pStyle w:val="105"/>
        <w:spacing w:before="240" w:after="240"/>
      </w:pPr>
      <w:bookmarkStart w:id="36" w:name="_Toc26986772"/>
      <w:bookmarkStart w:id="37" w:name="_Toc26986531"/>
      <w:bookmarkStart w:id="38" w:name="_Toc2711"/>
      <w:bookmarkStart w:id="39" w:name="_Toc26718931"/>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8537741">
      <w:pPr>
        <w:pStyle w:val="105"/>
        <w:keepNext w:val="0"/>
        <w:keepLines w:val="0"/>
        <w:pageBreakBefore w:val="0"/>
        <w:widowControl/>
        <w:numPr>
          <w:ilvl w:val="1"/>
          <w:numId w:val="0"/>
        </w:numPr>
        <w:kinsoku/>
        <w:wordWrap/>
        <w:overflowPunct/>
        <w:topLinePunct w:val="0"/>
        <w:bidi w:val="0"/>
        <w:adjustRightInd/>
        <w:snapToGrid/>
        <w:spacing w:before="0" w:beforeLines="0" w:after="0" w:afterLines="0" w:line="240" w:lineRule="auto"/>
        <w:ind w:leftChars="0" w:firstLine="420" w:firstLineChars="200"/>
        <w:textAlignment w:val="auto"/>
        <w:rPr>
          <w:rFonts w:hint="eastAsia" w:ascii="宋体" w:hAnsi="Times New Roman" w:eastAsia="宋体" w:cs="Times New Roman"/>
          <w:kern w:val="0"/>
          <w:sz w:val="21"/>
          <w:szCs w:val="20"/>
          <w:lang w:val="en-US" w:eastAsia="zh-CN" w:bidi="ar-SA"/>
        </w:rPr>
      </w:pPr>
      <w:bookmarkStart w:id="40" w:name="_Toc19886"/>
      <w:r>
        <w:rPr>
          <w:rFonts w:hint="eastAsia" w:ascii="宋体" w:hAnsi="Times New Roman" w:eastAsia="宋体" w:cs="Times New Roman"/>
          <w:kern w:val="0"/>
          <w:sz w:val="21"/>
          <w:szCs w:val="20"/>
          <w:lang w:val="en-US" w:eastAsia="zh-CN" w:bidi="ar-SA"/>
        </w:rPr>
        <w:t>《中华人民共和国药典》（2025年版）一部</w:t>
      </w:r>
    </w:p>
    <w:p w14:paraId="317E3DFB">
      <w:pPr>
        <w:pStyle w:val="57"/>
        <w:keepNext w:val="0"/>
        <w:keepLines w:val="0"/>
        <w:pageBreakBefore w:val="0"/>
        <w:widowControl/>
        <w:kinsoku/>
        <w:wordWrap/>
        <w:overflowPunct/>
        <w:topLinePunct w:val="0"/>
        <w:bidi w:val="0"/>
        <w:adjustRightInd/>
        <w:snapToGrid/>
        <w:spacing w:line="240" w:lineRule="auto"/>
        <w:ind w:firstLine="420" w:firstLineChars="200"/>
        <w:textAlignment w:val="auto"/>
        <w:rPr>
          <w:rFonts w:hint="default"/>
          <w:lang w:val="en-US" w:eastAsia="zh-CN"/>
        </w:rPr>
      </w:pPr>
      <w:r>
        <w:rPr>
          <w:rFonts w:hint="eastAsia" w:ascii="宋体" w:hAnsi="Times New Roman" w:eastAsia="宋体" w:cs="Times New Roman"/>
          <w:kern w:val="0"/>
          <w:sz w:val="21"/>
          <w:szCs w:val="20"/>
          <w:lang w:val="en-US" w:eastAsia="zh-CN" w:bidi="ar-SA"/>
        </w:rPr>
        <w:t>《中华人民共和国药典》（2025年版）</w:t>
      </w:r>
      <w:r>
        <w:rPr>
          <w:rFonts w:hint="eastAsia" w:cs="Times New Roman"/>
          <w:kern w:val="0"/>
          <w:sz w:val="21"/>
          <w:szCs w:val="20"/>
          <w:lang w:val="en-US" w:eastAsia="zh-CN" w:bidi="ar-SA"/>
        </w:rPr>
        <w:t>四</w:t>
      </w:r>
      <w:r>
        <w:rPr>
          <w:rFonts w:hint="eastAsia" w:ascii="宋体" w:hAnsi="Times New Roman" w:eastAsia="宋体" w:cs="Times New Roman"/>
          <w:kern w:val="0"/>
          <w:sz w:val="21"/>
          <w:szCs w:val="20"/>
          <w:lang w:val="en-US" w:eastAsia="zh-CN" w:bidi="ar-SA"/>
        </w:rPr>
        <w:t>部</w:t>
      </w:r>
    </w:p>
    <w:p w14:paraId="22E57D42">
      <w:pPr>
        <w:pStyle w:val="105"/>
        <w:spacing w:before="240" w:after="240" w:line="360" w:lineRule="auto"/>
      </w:pPr>
      <w:r>
        <w:rPr>
          <w:rFonts w:hint="eastAsia"/>
          <w:szCs w:val="21"/>
        </w:rPr>
        <w:t>术语和定义</w:t>
      </w:r>
      <w:bookmarkEnd w:id="40"/>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1" w:name="_Toc26986532"/>
          <w:bookmarkEnd w:id="41"/>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2" w:name="_Toc1608"/>
      <w:bookmarkEnd w:id="42"/>
      <w:bookmarkStart w:id="43" w:name="_Toc6700"/>
      <w:bookmarkStart w:id="44" w:name="_Toc28104"/>
      <w:bookmarkStart w:id="45" w:name="_Toc92982884"/>
    </w:p>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bookmarkStart w:id="46" w:name="_Toc24207"/>
      <w:r>
        <w:rPr>
          <w:rFonts w:hint="eastAsia"/>
          <w:lang w:val="en-US" w:eastAsia="zh-CN"/>
        </w:rPr>
        <w:t>潞党参</w:t>
      </w:r>
      <w:r>
        <w:t>　</w:t>
      </w:r>
      <w:bookmarkEnd w:id="43"/>
      <w:bookmarkEnd w:id="44"/>
      <w:bookmarkEnd w:id="46"/>
      <w:r>
        <w:rPr>
          <w:rFonts w:hint="eastAsia"/>
          <w:lang w:val="en-US" w:eastAsia="zh-CN"/>
        </w:rPr>
        <w:t>lu dang shen</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en-US"/>
        </w:rPr>
      </w:pPr>
      <w:r>
        <w:rPr>
          <w:rFonts w:hint="default" w:ascii="Times New Roman" w:hAnsi="Times New Roman" w:eastAsia="宋体" w:cs="Times New Roman"/>
          <w:lang w:val="en-US" w:eastAsia="zh-CN"/>
        </w:rPr>
        <w:t>产于山西省长治市及其周边生态环境相似地域（北纬 35°49′—37°07′，东经 111°59′—113°44′）的1年及1年以上的野生或</w:t>
      </w:r>
      <w:r>
        <w:rPr>
          <w:rFonts w:hint="eastAsia" w:cs="Times New Roman"/>
          <w:lang w:val="en-US" w:eastAsia="zh-CN"/>
        </w:rPr>
        <w:t>栽培党参（</w:t>
      </w:r>
      <w:r>
        <w:rPr>
          <w:rFonts w:hint="default" w:ascii="Times New Roman" w:hAnsi="Times New Roman" w:cs="Times New Roman"/>
          <w:i/>
          <w:iCs/>
          <w:lang w:val="en-US" w:eastAsia="zh-CN"/>
        </w:rPr>
        <w:t>Codonopsis pilosula</w:t>
      </w:r>
      <w:r>
        <w:rPr>
          <w:rFonts w:hint="default" w:ascii="Times New Roman" w:hAnsi="Times New Roman" w:cs="Times New Roman"/>
          <w:lang w:val="en-US" w:eastAsia="zh-CN"/>
        </w:rPr>
        <w:t>（Franch.）Nannf.</w:t>
      </w:r>
      <w:r>
        <w:rPr>
          <w:rFonts w:hint="eastAsia" w:cs="Times New Roman"/>
          <w:lang w:val="en-US" w:eastAsia="zh-CN"/>
        </w:rPr>
        <w:t>）的干燥根</w:t>
      </w:r>
      <w:r>
        <w:rPr>
          <w:rFonts w:hint="eastAsia" w:cs="Times New Roman"/>
          <w:lang w:val="en-US" w:eastAsia="en-US"/>
        </w:rPr>
        <w:t>。</w:t>
      </w:r>
    </w:p>
    <w:p w14:paraId="6D7DE8B8">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3F53A302">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油条</w:t>
      </w:r>
      <w:r>
        <w:t>　</w:t>
      </w:r>
      <w:r>
        <w:rPr>
          <w:rFonts w:hint="eastAsia"/>
          <w:lang w:val="en-US" w:eastAsia="zh-CN"/>
        </w:rPr>
        <w:t>hollow and spongy root</w:t>
      </w:r>
    </w:p>
    <w:p w14:paraId="4E611E2D">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因生长或加工不当而形成的肉质疏松、中空、质地泡软、比重减轻的劣质品</w:t>
      </w:r>
      <w:r>
        <w:rPr>
          <w:rFonts w:hint="eastAsia" w:cs="Times New Roman"/>
          <w:lang w:val="en-US" w:eastAsia="en-US"/>
        </w:rPr>
        <w:t>。</w:t>
      </w:r>
    </w:p>
    <w:bookmarkEnd w:id="45"/>
    <w:p w14:paraId="55EF36A5">
      <w:pPr>
        <w:pStyle w:val="105"/>
        <w:spacing w:before="240" w:after="240"/>
      </w:pPr>
      <w:bookmarkStart w:id="47" w:name="_Toc30825"/>
      <w:bookmarkEnd w:id="47"/>
      <w:r>
        <w:rPr>
          <w:rFonts w:hint="eastAsia"/>
          <w:lang w:val="en-US" w:eastAsia="zh-CN"/>
        </w:rPr>
        <w:t>性状</w:t>
      </w:r>
      <w:bookmarkStart w:id="51" w:name="_GoBack"/>
      <w:bookmarkEnd w:id="51"/>
    </w:p>
    <w:p w14:paraId="2F85B65A">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潞党参呈长圆柱形，稍弯曲，长10</w:t>
      </w:r>
      <w:r>
        <w:rPr>
          <w:rFonts w:hint="eastAsia" w:ascii="Times New Roman" w:hAnsi="Times New Roman" w:cs="Times New Roman"/>
          <w:lang w:val="en-US" w:eastAsia="zh-CN"/>
        </w:rPr>
        <w:t xml:space="preserve"> </w:t>
      </w:r>
      <w:r>
        <w:rPr>
          <w:rFonts w:hint="default" w:ascii="Times New Roman" w:hAnsi="Times New Roman" w:eastAsia="宋体" w:cs="Times New Roman"/>
          <w:lang w:val="en-US" w:eastAsia="zh-CN"/>
        </w:rPr>
        <w:t>cm</w:t>
      </w:r>
      <w:r>
        <w:rPr>
          <w:rFonts w:hint="eastAsia" w:ascii="Times New Roman" w:cs="Times New Roman"/>
          <w:lang w:val="en-US" w:eastAsia="zh-CN"/>
        </w:rPr>
        <w:t>以上（通常最大为</w:t>
      </w:r>
      <w:r>
        <w:rPr>
          <w:rFonts w:hint="default" w:ascii="Times New Roman" w:hAnsi="Times New Roman" w:eastAsia="宋体" w:cs="Times New Roman"/>
          <w:lang w:val="en-US" w:eastAsia="zh-CN"/>
        </w:rPr>
        <w:t>35</w:t>
      </w:r>
      <w:r>
        <w:rPr>
          <w:rFonts w:hint="eastAsia" w:ascii="Times New Roman" w:hAnsi="Times New Roman" w:cs="Times New Roman"/>
          <w:lang w:val="en-US" w:eastAsia="zh-CN"/>
        </w:rPr>
        <w:t xml:space="preserve"> </w:t>
      </w:r>
      <w:r>
        <w:rPr>
          <w:rFonts w:hint="default" w:ascii="Times New Roman" w:hAnsi="Times New Roman" w:eastAsia="宋体" w:cs="Times New Roman"/>
          <w:lang w:val="en-US" w:eastAsia="zh-CN"/>
        </w:rPr>
        <w:t>cm</w:t>
      </w:r>
      <w:r>
        <w:rPr>
          <w:rFonts w:hint="eastAsia" w:ascii="Times New Roman" w:cs="Times New Roman"/>
          <w:lang w:val="en-US" w:eastAsia="zh-CN"/>
        </w:rPr>
        <w:t>左右）</w:t>
      </w:r>
      <w:r>
        <w:rPr>
          <w:rFonts w:hint="default" w:ascii="Times New Roman" w:hAnsi="Times New Roman" w:eastAsia="宋体" w:cs="Times New Roman"/>
          <w:lang w:val="en-US" w:eastAsia="zh-CN"/>
        </w:rPr>
        <w:t>，直径0.4</w:t>
      </w:r>
      <w:r>
        <w:rPr>
          <w:rFonts w:hint="eastAsia" w:ascii="Times New Roman" w:hAnsi="Times New Roman" w:cs="Times New Roman"/>
          <w:lang w:val="en-US" w:eastAsia="zh-CN"/>
        </w:rPr>
        <w:t xml:space="preserve"> </w:t>
      </w:r>
      <w:r>
        <w:rPr>
          <w:rFonts w:hint="default" w:ascii="Times New Roman" w:hAnsi="Times New Roman" w:eastAsia="宋体" w:cs="Times New Roman"/>
          <w:lang w:val="en-US" w:eastAsia="zh-CN"/>
        </w:rPr>
        <w:t>cm</w:t>
      </w:r>
      <w:r>
        <w:rPr>
          <w:rFonts w:hint="eastAsia" w:cs="Times New Roman"/>
          <w:kern w:val="0"/>
          <w:sz w:val="21"/>
          <w:szCs w:val="20"/>
          <w:lang w:val="en-US" w:eastAsia="zh-CN" w:bidi="ar-SA"/>
        </w:rPr>
        <w:t>以上（通常最大为2cm左右）</w:t>
      </w:r>
      <w:r>
        <w:rPr>
          <w:rFonts w:hint="default" w:ascii="Times New Roman" w:hAnsi="Times New Roman" w:eastAsia="宋体" w:cs="Times New Roman"/>
          <w:lang w:val="en-US" w:eastAsia="zh-CN"/>
        </w:rPr>
        <w:t>。表面黄棕色至灰棕色，根头部有</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狮子盘头</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野生潞党参根头下有致密的环状横纹，向下渐稀疏，栽培品环状横纹少或无；近根头处无绳孔；纵皱纹不明显，散在的皮孔样突起不明显，支根断落处常有黑褐色胶状物。质紧实而柔润，断面稍平坦，有放射状纹理，皮部黄棕色，木部淡黄色。有特殊香气，嚼之无渣且味较其他产地党参香甜。以狮子盘头较大、横纹多、条粗壮、肉紧实、质柔润、味香甜、嚼之无渣者为佳。</w:t>
      </w:r>
    </w:p>
    <w:p w14:paraId="58144B19">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潞党参与其他市场主流商品党参性状鉴别要点见表1。</w:t>
      </w:r>
    </w:p>
    <w:p w14:paraId="1FD2313C">
      <w:pPr>
        <w:pStyle w:val="57"/>
        <w:spacing w:line="240" w:lineRule="auto"/>
        <w:ind w:firstLine="420"/>
        <w:rPr>
          <w:rFonts w:hint="default" w:hAnsi="Times New Roman" w:cs="Times New Roman"/>
          <w:lang w:val="en-US" w:eastAsia="zh-CN"/>
        </w:rPr>
      </w:pPr>
    </w:p>
    <w:p w14:paraId="0E9E6861">
      <w:pPr>
        <w:pStyle w:val="57"/>
        <w:spacing w:line="240" w:lineRule="auto"/>
        <w:ind w:firstLine="420"/>
        <w:jc w:val="center"/>
        <w:rPr>
          <w:rFonts w:hint="default" w:hAnsi="Times New Roman" w:cs="Times New Roman"/>
          <w:lang w:val="en-US" w:eastAsia="zh-CN"/>
        </w:rPr>
      </w:pPr>
      <w:r>
        <w:rPr>
          <w:rFonts w:hint="eastAsia" w:cs="Times New Roman"/>
          <w:lang w:val="en-US" w:eastAsia="zh-CN"/>
        </w:rPr>
        <w:t>表1 潞党参与</w:t>
      </w:r>
      <w:r>
        <w:rPr>
          <w:rFonts w:hint="default" w:hAnsi="Times New Roman" w:cs="Times New Roman"/>
          <w:lang w:val="en-US" w:eastAsia="zh-CN"/>
        </w:rPr>
        <w:t>其他市场主流商品党参性状鉴别要点</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1"/>
        <w:gridCol w:w="2357"/>
        <w:gridCol w:w="1914"/>
        <w:gridCol w:w="1914"/>
        <w:gridCol w:w="1914"/>
      </w:tblGrid>
      <w:tr w14:paraId="444AA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3C1EABF2">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比较项目</w:t>
            </w:r>
          </w:p>
        </w:tc>
        <w:tc>
          <w:tcPr>
            <w:tcW w:w="2357" w:type="dxa"/>
            <w:vAlign w:val="center"/>
          </w:tcPr>
          <w:p w14:paraId="5622C299">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潞党参</w:t>
            </w:r>
          </w:p>
        </w:tc>
        <w:tc>
          <w:tcPr>
            <w:tcW w:w="1914" w:type="dxa"/>
            <w:vAlign w:val="center"/>
          </w:tcPr>
          <w:p w14:paraId="1017E116">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白条党</w:t>
            </w:r>
          </w:p>
        </w:tc>
        <w:tc>
          <w:tcPr>
            <w:tcW w:w="1914" w:type="dxa"/>
            <w:vAlign w:val="center"/>
          </w:tcPr>
          <w:p w14:paraId="238088C6">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纹党</w:t>
            </w:r>
          </w:p>
        </w:tc>
        <w:tc>
          <w:tcPr>
            <w:tcW w:w="1914" w:type="dxa"/>
            <w:vAlign w:val="center"/>
          </w:tcPr>
          <w:p w14:paraId="475835D9">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板桥党</w:t>
            </w:r>
          </w:p>
        </w:tc>
      </w:tr>
      <w:tr w14:paraId="18E6C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0613CB57">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颜色</w:t>
            </w:r>
          </w:p>
        </w:tc>
        <w:tc>
          <w:tcPr>
            <w:tcW w:w="2357" w:type="dxa"/>
            <w:vAlign w:val="center"/>
          </w:tcPr>
          <w:p w14:paraId="7701C108">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黄棕色至灰棕色</w:t>
            </w:r>
          </w:p>
        </w:tc>
        <w:tc>
          <w:tcPr>
            <w:tcW w:w="1914" w:type="dxa"/>
            <w:vAlign w:val="center"/>
          </w:tcPr>
          <w:p w14:paraId="42B6D9A8">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黄白色</w:t>
            </w:r>
          </w:p>
        </w:tc>
        <w:tc>
          <w:tcPr>
            <w:tcW w:w="1914" w:type="dxa"/>
            <w:vAlign w:val="center"/>
          </w:tcPr>
          <w:p w14:paraId="6B6B9643">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eastAsia" w:cs="Times New Roman"/>
                <w:vertAlign w:val="baseline"/>
                <w:lang w:val="en-US" w:eastAsia="zh-CN"/>
              </w:rPr>
            </w:pPr>
            <w:r>
              <w:rPr>
                <w:rFonts w:hint="eastAsia" w:cs="Times New Roman"/>
                <w:vertAlign w:val="baseline"/>
                <w:lang w:val="en-US" w:eastAsia="zh-CN"/>
              </w:rPr>
              <w:t>黄棕色至灰棕色</w:t>
            </w:r>
          </w:p>
        </w:tc>
        <w:tc>
          <w:tcPr>
            <w:tcW w:w="1914" w:type="dxa"/>
            <w:vAlign w:val="center"/>
          </w:tcPr>
          <w:p w14:paraId="7EEB7729">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eastAsia" w:cs="Times New Roman"/>
                <w:vertAlign w:val="baseline"/>
                <w:lang w:val="en-US" w:eastAsia="zh-CN"/>
              </w:rPr>
            </w:pPr>
            <w:r>
              <w:rPr>
                <w:rFonts w:hint="eastAsia" w:cs="Times New Roman"/>
                <w:vertAlign w:val="baseline"/>
                <w:lang w:val="en-US" w:eastAsia="zh-CN"/>
              </w:rPr>
              <w:t>黄棕色至灰棕色</w:t>
            </w:r>
          </w:p>
        </w:tc>
      </w:tr>
      <w:tr w14:paraId="71F3D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3AD288BC">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环状横纹</w:t>
            </w:r>
          </w:p>
        </w:tc>
        <w:tc>
          <w:tcPr>
            <w:tcW w:w="2357" w:type="dxa"/>
            <w:vAlign w:val="center"/>
          </w:tcPr>
          <w:p w14:paraId="682DE91B">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default" w:hAnsi="Times New Roman" w:cs="Times New Roman"/>
                <w:vertAlign w:val="baseline"/>
                <w:lang w:val="en-US" w:eastAsia="zh-CN"/>
              </w:rPr>
              <w:t>根头下有致密的环状横纹，向下渐稀疏，有的达全长的一半，栽培品环状横纹少或无</w:t>
            </w:r>
          </w:p>
        </w:tc>
        <w:tc>
          <w:tcPr>
            <w:tcW w:w="1914" w:type="dxa"/>
            <w:vAlign w:val="center"/>
          </w:tcPr>
          <w:p w14:paraId="23744A9A">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栽培品环装横纹少或无，近根处有绳孔</w:t>
            </w:r>
          </w:p>
        </w:tc>
        <w:tc>
          <w:tcPr>
            <w:tcW w:w="1914" w:type="dxa"/>
            <w:vAlign w:val="center"/>
          </w:tcPr>
          <w:p w14:paraId="4DFBDED6">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根头下致密的环状横纹达全长的一半以上</w:t>
            </w:r>
          </w:p>
        </w:tc>
        <w:tc>
          <w:tcPr>
            <w:tcW w:w="1914" w:type="dxa"/>
            <w:vAlign w:val="center"/>
          </w:tcPr>
          <w:p w14:paraId="6379B2E8">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根头下稀有横纹或无</w:t>
            </w:r>
          </w:p>
        </w:tc>
      </w:tr>
      <w:tr w14:paraId="262EA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285E99D3">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皮孔</w:t>
            </w:r>
          </w:p>
        </w:tc>
        <w:tc>
          <w:tcPr>
            <w:tcW w:w="2357" w:type="dxa"/>
            <w:vAlign w:val="center"/>
          </w:tcPr>
          <w:p w14:paraId="6D339D87">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皮孔散在，不明显</w:t>
            </w:r>
          </w:p>
        </w:tc>
        <w:tc>
          <w:tcPr>
            <w:tcW w:w="1914" w:type="dxa"/>
            <w:vAlign w:val="center"/>
          </w:tcPr>
          <w:p w14:paraId="697607DE">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皮孔散在，不明显</w:t>
            </w:r>
          </w:p>
        </w:tc>
        <w:tc>
          <w:tcPr>
            <w:tcW w:w="1914" w:type="dxa"/>
            <w:vAlign w:val="center"/>
          </w:tcPr>
          <w:p w14:paraId="49E419E5">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皮孔散在，不明显</w:t>
            </w:r>
          </w:p>
        </w:tc>
        <w:tc>
          <w:tcPr>
            <w:tcW w:w="1914" w:type="dxa"/>
            <w:vAlign w:val="center"/>
          </w:tcPr>
          <w:p w14:paraId="6E88CA24">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皮孔散在，突起明显</w:t>
            </w:r>
          </w:p>
        </w:tc>
      </w:tr>
      <w:tr w14:paraId="40E8C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4B4FA2CB">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纹沟</w:t>
            </w:r>
          </w:p>
        </w:tc>
        <w:tc>
          <w:tcPr>
            <w:tcW w:w="2357" w:type="dxa"/>
            <w:vAlign w:val="center"/>
          </w:tcPr>
          <w:p w14:paraId="46CC4073">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不明显</w:t>
            </w:r>
          </w:p>
        </w:tc>
        <w:tc>
          <w:tcPr>
            <w:tcW w:w="1914" w:type="dxa"/>
            <w:vAlign w:val="center"/>
          </w:tcPr>
          <w:p w14:paraId="6254AFA3">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不明显</w:t>
            </w:r>
          </w:p>
        </w:tc>
        <w:tc>
          <w:tcPr>
            <w:tcW w:w="1914" w:type="dxa"/>
            <w:vAlign w:val="center"/>
          </w:tcPr>
          <w:p w14:paraId="1826BF01">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不明显</w:t>
            </w:r>
          </w:p>
        </w:tc>
        <w:tc>
          <w:tcPr>
            <w:tcW w:w="1914" w:type="dxa"/>
            <w:vAlign w:val="center"/>
          </w:tcPr>
          <w:p w14:paraId="77E26ED5">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hAnsi="Times New Roman" w:cs="Times New Roman"/>
                <w:vertAlign w:val="baseline"/>
                <w:lang w:val="en-US" w:eastAsia="zh-CN"/>
              </w:rPr>
            </w:pPr>
            <w:r>
              <w:rPr>
                <w:rFonts w:hint="eastAsia" w:cs="Times New Roman"/>
                <w:vertAlign w:val="baseline"/>
                <w:lang w:val="en-US" w:eastAsia="zh-CN"/>
              </w:rPr>
              <w:t>有明显不规则的纵沟</w:t>
            </w:r>
          </w:p>
        </w:tc>
      </w:tr>
      <w:tr w14:paraId="1F9E8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vAlign w:val="center"/>
          </w:tcPr>
          <w:p w14:paraId="096FAE40">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气味</w:t>
            </w:r>
          </w:p>
        </w:tc>
        <w:tc>
          <w:tcPr>
            <w:tcW w:w="2357" w:type="dxa"/>
            <w:vAlign w:val="center"/>
          </w:tcPr>
          <w:p w14:paraId="444FEAE9">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有特殊香气，味微甜</w:t>
            </w:r>
          </w:p>
        </w:tc>
        <w:tc>
          <w:tcPr>
            <w:tcW w:w="1914" w:type="dxa"/>
            <w:vAlign w:val="center"/>
          </w:tcPr>
          <w:p w14:paraId="58816F81">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气微香，味微甜</w:t>
            </w:r>
          </w:p>
        </w:tc>
        <w:tc>
          <w:tcPr>
            <w:tcW w:w="1914" w:type="dxa"/>
            <w:vAlign w:val="center"/>
          </w:tcPr>
          <w:p w14:paraId="6F6D842D">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vertAlign w:val="baseline"/>
                <w:lang w:val="en-US" w:eastAsia="zh-CN"/>
              </w:rPr>
            </w:pPr>
            <w:r>
              <w:rPr>
                <w:rFonts w:hint="eastAsia" w:cs="Times New Roman"/>
                <w:vertAlign w:val="baseline"/>
                <w:lang w:val="en-US" w:eastAsia="zh-CN"/>
              </w:rPr>
              <w:t>气香，味甜</w:t>
            </w:r>
          </w:p>
        </w:tc>
        <w:tc>
          <w:tcPr>
            <w:tcW w:w="1914" w:type="dxa"/>
            <w:vAlign w:val="center"/>
          </w:tcPr>
          <w:p w14:paraId="0AB6282D">
            <w:pPr>
              <w:pStyle w:val="57"/>
              <w:keepNext w:val="0"/>
              <w:keepLines w:val="0"/>
              <w:pageBreakBefore w:val="0"/>
              <w:widowControl/>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eastAsia" w:cs="Times New Roman"/>
                <w:vertAlign w:val="baseline"/>
                <w:lang w:val="en-US" w:eastAsia="zh-CN"/>
              </w:rPr>
            </w:pPr>
            <w:r>
              <w:rPr>
                <w:rFonts w:hint="eastAsia" w:cs="Times New Roman"/>
                <w:vertAlign w:val="baseline"/>
                <w:lang w:val="en-US" w:eastAsia="zh-CN"/>
              </w:rPr>
              <w:t>气微香，味微甜</w:t>
            </w:r>
          </w:p>
        </w:tc>
      </w:tr>
    </w:tbl>
    <w:p w14:paraId="4B6794C0">
      <w:pPr>
        <w:pStyle w:val="105"/>
        <w:spacing w:before="240" w:after="240"/>
      </w:pPr>
      <w:r>
        <w:rPr>
          <w:rFonts w:hint="eastAsia"/>
          <w:lang w:val="en-US" w:eastAsia="zh-CN"/>
        </w:rPr>
        <w:t>鉴别</w:t>
      </w:r>
    </w:p>
    <w:p w14:paraId="3D954D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ascii="黑体" w:hAnsi="黑体" w:eastAsia="黑体" w:cs="黑体"/>
          <w:b w:val="0"/>
          <w:bCs w:val="0"/>
          <w:snapToGrid w:val="0"/>
          <w:color w:val="000000"/>
          <w:spacing w:val="10"/>
          <w:kern w:val="0"/>
          <w:sz w:val="21"/>
          <w:szCs w:val="21"/>
          <w:lang w:val="en-US" w:eastAsia="zh-CN"/>
        </w:rPr>
        <w:t>显微鉴别</w:t>
      </w:r>
    </w:p>
    <w:p w14:paraId="20F55707">
      <w:pPr>
        <w:keepNext w:val="0"/>
        <w:keepLines w:val="0"/>
        <w:pageBreakBefore w:val="0"/>
        <w:widowControl/>
        <w:suppressLineNumbers w:val="0"/>
        <w:kinsoku/>
        <w:wordWrap/>
        <w:overflowPunct/>
        <w:topLinePunct w:val="0"/>
        <w:autoSpaceDE/>
        <w:autoSpaceDN/>
        <w:bidi w:val="0"/>
        <w:adjustRightInd w:val="0"/>
        <w:snapToGrid/>
        <w:spacing w:line="240" w:lineRule="auto"/>
        <w:ind w:firstLine="420" w:firstLineChars="200"/>
        <w:jc w:val="left"/>
        <w:textAlignment w:val="auto"/>
        <w:rPr>
          <w:rFonts w:hint="default"/>
        </w:rPr>
      </w:pPr>
      <w:r>
        <w:rPr>
          <w:rFonts w:hint="default" w:ascii="宋体" w:hAnsi="Times New Roman" w:eastAsia="宋体" w:cs="Times New Roman"/>
          <w:kern w:val="0"/>
          <w:sz w:val="21"/>
          <w:szCs w:val="20"/>
          <w:lang w:val="en-US" w:eastAsia="zh-CN" w:bidi="ar-SA"/>
        </w:rPr>
        <w:t>木栓细胞数列至十数列，外侧有单个散在或成群的石细胞。皮层窄。韧皮部宽广，常有裂隙</w:t>
      </w:r>
      <w:r>
        <w:rPr>
          <w:rFonts w:hint="eastAsia" w:ascii="宋体" w:hAnsi="Times New Roman" w:cs="Times New Roman"/>
          <w:kern w:val="0"/>
          <w:sz w:val="21"/>
          <w:szCs w:val="20"/>
          <w:lang w:val="en-US" w:eastAsia="zh-CN" w:bidi="ar-SA"/>
        </w:rPr>
        <w:t>；</w:t>
      </w:r>
      <w:r>
        <w:rPr>
          <w:rFonts w:hint="default" w:ascii="宋体" w:hAnsi="Times New Roman" w:eastAsia="宋体" w:cs="Times New Roman"/>
          <w:kern w:val="0"/>
          <w:sz w:val="21"/>
          <w:szCs w:val="20"/>
          <w:lang w:val="en-US" w:eastAsia="zh-CN" w:bidi="ar-SA"/>
        </w:rPr>
        <w:t>乳管群常与筛管群相伴径向排列，且常与周围环绕的薄壁细胞形成团状( 以下简称</w:t>
      </w:r>
      <w:r>
        <w:rPr>
          <w:rFonts w:hint="eastAsia" w:ascii="宋体" w:hAnsi="Times New Roman" w:cs="Times New Roman"/>
          <w:kern w:val="0"/>
          <w:sz w:val="21"/>
          <w:szCs w:val="20"/>
          <w:lang w:val="en-US" w:eastAsia="zh-CN" w:bidi="ar-SA"/>
        </w:rPr>
        <w:t>“</w:t>
      </w:r>
      <w:r>
        <w:rPr>
          <w:rFonts w:hint="default" w:ascii="宋体" w:hAnsi="Times New Roman" w:eastAsia="宋体" w:cs="Times New Roman"/>
          <w:kern w:val="0"/>
          <w:sz w:val="21"/>
          <w:szCs w:val="20"/>
          <w:lang w:val="en-US" w:eastAsia="zh-CN" w:bidi="ar-SA"/>
        </w:rPr>
        <w:t>团状乳管–筛管群</w:t>
      </w:r>
      <w:r>
        <w:rPr>
          <w:rFonts w:hint="eastAsia" w:ascii="宋体" w:hAnsi="Times New Roman" w:cs="Times New Roman"/>
          <w:kern w:val="0"/>
          <w:sz w:val="21"/>
          <w:szCs w:val="20"/>
          <w:lang w:val="en-US" w:eastAsia="zh-CN" w:bidi="ar-SA"/>
        </w:rPr>
        <w:t>”</w:t>
      </w:r>
      <w:r>
        <w:rPr>
          <w:rFonts w:hint="default" w:ascii="宋体" w:hAnsi="Times New Roman" w:eastAsia="宋体" w:cs="Times New Roman"/>
          <w:kern w:val="0"/>
          <w:sz w:val="21"/>
          <w:szCs w:val="20"/>
          <w:lang w:val="en-US" w:eastAsia="zh-CN" w:bidi="ar-SA"/>
        </w:rPr>
        <w:t xml:space="preserve">) 在韧皮部外层分布，约占韧皮部 </w:t>
      </w:r>
      <w:r>
        <w:rPr>
          <w:rFonts w:hint="eastAsia" w:ascii="宋体" w:hAnsi="Times New Roman" w:cs="Times New Roman"/>
          <w:kern w:val="0"/>
          <w:sz w:val="21"/>
          <w:szCs w:val="20"/>
          <w:lang w:val="en-US" w:eastAsia="zh-CN" w:bidi="ar-SA"/>
        </w:rPr>
        <w:t>1/2</w:t>
      </w:r>
      <w:r>
        <w:rPr>
          <w:rFonts w:hint="default" w:ascii="宋体" w:hAnsi="Times New Roman" w:eastAsia="宋体" w:cs="Times New Roman"/>
          <w:kern w:val="0"/>
          <w:sz w:val="21"/>
          <w:szCs w:val="20"/>
          <w:lang w:val="en-US" w:eastAsia="zh-CN" w:bidi="ar-SA"/>
        </w:rPr>
        <w:t>。形成层明显，成环。木质部导管单个散在或数个相聚，呈放射状排列，木质部比例约占根的</w:t>
      </w:r>
      <w:r>
        <w:rPr>
          <w:rFonts w:hint="eastAsia" w:ascii="宋体" w:hAnsi="Times New Roman" w:cs="Times New Roman"/>
          <w:kern w:val="0"/>
          <w:sz w:val="21"/>
          <w:szCs w:val="20"/>
          <w:lang w:val="en-US" w:eastAsia="zh-CN" w:bidi="ar-SA"/>
        </w:rPr>
        <w:t>1/3</w:t>
      </w:r>
      <w:r>
        <w:rPr>
          <w:rFonts w:hint="default" w:ascii="宋体" w:hAnsi="Times New Roman" w:eastAsia="宋体" w:cs="Times New Roman"/>
          <w:kern w:val="0"/>
          <w:sz w:val="21"/>
          <w:szCs w:val="20"/>
          <w:lang w:val="en-US" w:eastAsia="zh-CN" w:bidi="ar-SA"/>
        </w:rPr>
        <w:t>～2/3，射线由木质部向外延伸至韧皮部1/2 处。薄壁细胞含菊糖。</w:t>
      </w:r>
    </w:p>
    <w:p w14:paraId="4C89745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薄层</w:t>
      </w:r>
      <w:r>
        <w:rPr>
          <w:rFonts w:hint="eastAsia" w:ascii="黑体" w:hAnsi="黑体" w:eastAsia="黑体" w:cs="黑体"/>
          <w:b w:val="0"/>
          <w:bCs w:val="0"/>
          <w:snapToGrid w:val="0"/>
          <w:color w:val="000000"/>
          <w:spacing w:val="10"/>
          <w:kern w:val="0"/>
          <w:sz w:val="21"/>
          <w:szCs w:val="21"/>
          <w:lang w:val="en-US" w:eastAsia="zh-CN"/>
        </w:rPr>
        <w:t>鉴别</w:t>
      </w:r>
    </w:p>
    <w:p w14:paraId="5A99F6F7">
      <w:pPr>
        <w:pStyle w:val="57"/>
        <w:rPr>
          <w:rFonts w:hint="default"/>
          <w:lang w:val="en-US" w:eastAsia="zh-CN"/>
        </w:rPr>
      </w:pPr>
      <w:r>
        <w:rPr>
          <w:rFonts w:hint="eastAsia"/>
          <w:lang w:val="en-US" w:eastAsia="zh-CN"/>
        </w:rPr>
        <w:t>应符合《中华人民共和国药典》一部（2025年版）党参薄层鉴别相关要求。</w:t>
      </w:r>
    </w:p>
    <w:p w14:paraId="3E659E6C">
      <w:pPr>
        <w:pStyle w:val="105"/>
        <w:spacing w:before="240" w:after="240"/>
      </w:pPr>
      <w:r>
        <w:rPr>
          <w:rFonts w:hint="eastAsia"/>
          <w:lang w:val="en-US" w:eastAsia="zh-CN"/>
        </w:rPr>
        <w:t>检查</w:t>
      </w:r>
    </w:p>
    <w:p w14:paraId="33C2339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水分</w:t>
      </w:r>
    </w:p>
    <w:p w14:paraId="2C30E4E6">
      <w:pPr>
        <w:pStyle w:val="57"/>
        <w:rPr>
          <w:rFonts w:hint="eastAsia"/>
          <w:lang w:val="en-US" w:eastAsia="zh-CN"/>
        </w:rPr>
      </w:pPr>
      <w:r>
        <w:rPr>
          <w:rFonts w:hint="eastAsia"/>
          <w:lang w:val="en-US" w:eastAsia="zh-CN"/>
        </w:rPr>
        <w:t>不得过12.0%。</w:t>
      </w:r>
    </w:p>
    <w:p w14:paraId="5886112E">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总灰分</w:t>
      </w:r>
    </w:p>
    <w:p w14:paraId="46BDA05E">
      <w:pPr>
        <w:pStyle w:val="57"/>
        <w:rPr>
          <w:rFonts w:hint="eastAsia"/>
          <w:lang w:val="en-US" w:eastAsia="zh-CN"/>
        </w:rPr>
      </w:pPr>
      <w:r>
        <w:rPr>
          <w:rFonts w:hint="eastAsia"/>
          <w:lang w:val="en-US" w:eastAsia="zh-CN"/>
        </w:rPr>
        <w:t>不得过5.0%。</w:t>
      </w:r>
    </w:p>
    <w:p w14:paraId="27FAED13">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二氧化硫残留量</w:t>
      </w:r>
    </w:p>
    <w:p w14:paraId="5E430C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75" w:lineRule="atLeast"/>
        <w:ind w:left="0" w:right="0" w:firstLine="420" w:firstLineChars="200"/>
        <w:jc w:val="both"/>
        <w:textAlignment w:val="center"/>
        <w:rPr>
          <w:rFonts w:hint="default" w:ascii="宋体" w:hAnsi="Times New Roman" w:eastAsia="宋体" w:cs="Times New Roman"/>
          <w:b w:val="0"/>
          <w:bCs w:val="0"/>
          <w:kern w:val="0"/>
          <w:sz w:val="21"/>
          <w:szCs w:val="20"/>
          <w:lang w:val="en-US" w:eastAsia="zh-CN" w:bidi="ar-SA"/>
        </w:rPr>
      </w:pPr>
      <w:r>
        <w:rPr>
          <w:rFonts w:hint="eastAsia" w:ascii="宋体" w:hAnsi="Times New Roman" w:eastAsia="宋体" w:cs="Times New Roman"/>
          <w:b w:val="0"/>
          <w:bCs w:val="0"/>
          <w:kern w:val="0"/>
          <w:sz w:val="21"/>
          <w:szCs w:val="20"/>
          <w:lang w:val="en-US" w:eastAsia="zh-CN" w:bidi="ar-SA"/>
        </w:rPr>
        <w:t>不得过300mg/kg。</w:t>
      </w:r>
    </w:p>
    <w:p w14:paraId="14E55F2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浸出物</w:t>
      </w:r>
    </w:p>
    <w:p w14:paraId="1993E911">
      <w:pPr>
        <w:pStyle w:val="57"/>
        <w:rPr>
          <w:rFonts w:hint="eastAsia"/>
          <w:lang w:val="en-US" w:eastAsia="zh-CN"/>
        </w:rPr>
      </w:pPr>
      <w:r>
        <w:rPr>
          <w:rFonts w:hint="eastAsia"/>
          <w:lang w:val="en-US" w:eastAsia="zh-CN"/>
        </w:rPr>
        <w:t>不得少于55.0%。</w:t>
      </w:r>
    </w:p>
    <w:p w14:paraId="19D198E9">
      <w:pPr>
        <w:pStyle w:val="105"/>
        <w:spacing w:before="240" w:after="240"/>
      </w:pPr>
      <w:r>
        <w:rPr>
          <w:rFonts w:hint="eastAsia"/>
          <w:lang w:val="en-US" w:eastAsia="zh-CN"/>
        </w:rPr>
        <w:t>含量</w:t>
      </w:r>
    </w:p>
    <w:p w14:paraId="73ED70B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多糖</w:t>
      </w:r>
    </w:p>
    <w:p w14:paraId="239BE17A">
      <w:pPr>
        <w:pStyle w:val="57"/>
        <w:rPr>
          <w:rFonts w:hint="eastAsia"/>
          <w:lang w:val="en-US" w:eastAsia="zh-CN"/>
        </w:rPr>
      </w:pPr>
      <w:r>
        <w:rPr>
          <w:rFonts w:hint="default"/>
          <w:lang w:val="en-US" w:eastAsia="zh-CN"/>
        </w:rPr>
        <w:t>按干燥品计算，含</w:t>
      </w:r>
      <w:r>
        <w:rPr>
          <w:rFonts w:hint="eastAsia"/>
          <w:lang w:val="en-US" w:eastAsia="zh-CN"/>
        </w:rPr>
        <w:t>党参</w:t>
      </w:r>
      <w:r>
        <w:rPr>
          <w:rFonts w:hint="default"/>
          <w:lang w:val="en-US" w:eastAsia="zh-CN"/>
        </w:rPr>
        <w:t>多糖以无水葡萄糖（C</w:t>
      </w:r>
      <w:r>
        <w:rPr>
          <w:rFonts w:hint="default"/>
          <w:vertAlign w:val="subscript"/>
          <w:lang w:val="en-US" w:eastAsia="zh-CN"/>
        </w:rPr>
        <w:t>6</w:t>
      </w:r>
      <w:r>
        <w:rPr>
          <w:rFonts w:hint="default"/>
          <w:lang w:val="en-US" w:eastAsia="zh-CN"/>
        </w:rPr>
        <w:t>H</w:t>
      </w:r>
      <w:r>
        <w:rPr>
          <w:rFonts w:hint="default"/>
          <w:vertAlign w:val="subscript"/>
          <w:lang w:val="en-US" w:eastAsia="zh-CN"/>
        </w:rPr>
        <w:t>12</w:t>
      </w:r>
      <w:r>
        <w:rPr>
          <w:rFonts w:hint="default"/>
          <w:lang w:val="en-US" w:eastAsia="zh-CN"/>
        </w:rPr>
        <w:t>O</w:t>
      </w:r>
      <w:r>
        <w:rPr>
          <w:rFonts w:hint="default"/>
          <w:vertAlign w:val="subscript"/>
          <w:lang w:val="en-US" w:eastAsia="zh-CN"/>
        </w:rPr>
        <w:t>6</w:t>
      </w:r>
      <w:r>
        <w:rPr>
          <w:rFonts w:hint="default"/>
          <w:lang w:val="en-US" w:eastAsia="zh-CN"/>
        </w:rPr>
        <w:t>）计，不得少于</w:t>
      </w:r>
      <w:r>
        <w:rPr>
          <w:rFonts w:hint="eastAsia"/>
          <w:lang w:val="en-US" w:eastAsia="zh-CN"/>
        </w:rPr>
        <w:t>10.</w:t>
      </w:r>
      <w:r>
        <w:rPr>
          <w:rFonts w:hint="default"/>
          <w:lang w:val="en-US" w:eastAsia="zh-CN"/>
        </w:rPr>
        <w:t>0%。</w:t>
      </w:r>
    </w:p>
    <w:p w14:paraId="2A99F5D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党参炔苷</w:t>
      </w:r>
    </w:p>
    <w:p w14:paraId="7A01492C">
      <w:pPr>
        <w:pStyle w:val="57"/>
        <w:rPr>
          <w:rFonts w:hint="default"/>
          <w:lang w:val="en-US" w:eastAsia="zh-CN"/>
        </w:rPr>
      </w:pPr>
      <w:r>
        <w:rPr>
          <w:rFonts w:hint="default"/>
          <w:lang w:val="en-US" w:eastAsia="zh-CN"/>
        </w:rPr>
        <w:t>按干燥品计算，含</w:t>
      </w:r>
      <w:r>
        <w:rPr>
          <w:rFonts w:hint="eastAsia"/>
          <w:lang w:val="en-US" w:eastAsia="zh-CN"/>
        </w:rPr>
        <w:t>党参炔苷</w:t>
      </w:r>
      <w:r>
        <w:rPr>
          <w:rFonts w:hint="default"/>
          <w:lang w:val="en-US" w:eastAsia="zh-CN"/>
        </w:rPr>
        <w:t>不得少于0.</w:t>
      </w:r>
      <w:r>
        <w:rPr>
          <w:rFonts w:hint="eastAsia"/>
          <w:lang w:val="en-US" w:eastAsia="zh-CN"/>
        </w:rPr>
        <w:t>025</w:t>
      </w:r>
      <w:r>
        <w:rPr>
          <w:rFonts w:hint="default"/>
          <w:lang w:val="en-US" w:eastAsia="zh-CN"/>
        </w:rPr>
        <w:t>%。</w:t>
      </w:r>
    </w:p>
    <w:p w14:paraId="6E7B53B1">
      <w:pPr>
        <w:pStyle w:val="105"/>
        <w:spacing w:before="240" w:after="240"/>
      </w:pPr>
      <w:r>
        <w:rPr>
          <w:rFonts w:hint="eastAsia"/>
          <w:lang w:val="en-US" w:eastAsia="zh-CN"/>
        </w:rPr>
        <w:t>商品规格等级</w:t>
      </w:r>
    </w:p>
    <w:p w14:paraId="5338C9A5">
      <w:pPr>
        <w:pStyle w:val="57"/>
        <w:ind w:left="0" w:leftChars="0" w:firstLine="0" w:firstLineChars="0"/>
        <w:rPr>
          <w:rFonts w:hint="eastAsia"/>
          <w:lang w:val="en-US" w:eastAsia="zh-CN"/>
        </w:rPr>
      </w:pPr>
      <w:r>
        <w:rPr>
          <w:rFonts w:hint="eastAsia"/>
          <w:lang w:val="en-US" w:eastAsia="zh-CN"/>
        </w:rPr>
        <w:t>8.1 潞党参应符合以下要求：</w:t>
      </w:r>
    </w:p>
    <w:p w14:paraId="74BA8AAF">
      <w:pPr>
        <w:pStyle w:val="57"/>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——油条不超过10%；</w:t>
      </w:r>
    </w:p>
    <w:p w14:paraId="45E67393">
      <w:pPr>
        <w:pStyle w:val="57"/>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——无虫蛀；</w:t>
      </w:r>
    </w:p>
    <w:p w14:paraId="6B17F8E5">
      <w:pPr>
        <w:pStyle w:val="57"/>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——无霉变；</w:t>
      </w:r>
    </w:p>
    <w:p w14:paraId="603E9D74">
      <w:pPr>
        <w:pStyle w:val="57"/>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——无杂质。</w:t>
      </w:r>
    </w:p>
    <w:p w14:paraId="2BDD1070">
      <w:pPr>
        <w:pStyle w:val="57"/>
        <w:ind w:left="0" w:leftChars="0" w:firstLine="0" w:firstLineChars="0"/>
        <w:rPr>
          <w:rFonts w:hint="eastAsia"/>
          <w:lang w:val="en-US" w:eastAsia="zh-CN"/>
        </w:rPr>
      </w:pPr>
      <w:r>
        <w:rPr>
          <w:rFonts w:hint="eastAsia"/>
          <w:lang w:val="en-US" w:eastAsia="zh-CN"/>
        </w:rPr>
        <w:t>8.2 根据是否进行规格等级划分，应将潞党参分为“选货”和“统货”。</w:t>
      </w:r>
    </w:p>
    <w:p w14:paraId="2E8DCBC4">
      <w:pPr>
        <w:pStyle w:val="57"/>
        <w:ind w:left="0" w:leftChars="0" w:firstLine="0" w:firstLineChars="0"/>
        <w:rPr>
          <w:rFonts w:hint="eastAsia"/>
          <w:lang w:val="en-US" w:eastAsia="zh-CN"/>
        </w:rPr>
      </w:pPr>
      <w:r>
        <w:rPr>
          <w:rFonts w:hint="eastAsia"/>
          <w:lang w:val="en-US" w:eastAsia="zh-CN"/>
        </w:rPr>
        <w:t>8.3 根据潞党参芦下直径、长度应将“选货”分为“一等品”“二等品”“三等品”。</w:t>
      </w:r>
    </w:p>
    <w:p w14:paraId="00201B07">
      <w:pPr>
        <w:pStyle w:val="57"/>
        <w:ind w:left="0" w:leftChars="0" w:firstLine="0" w:firstLineChars="0"/>
        <w:rPr>
          <w:rFonts w:hint="eastAsia"/>
          <w:lang w:val="en-US" w:eastAsia="zh-CN"/>
        </w:rPr>
      </w:pPr>
      <w:r>
        <w:rPr>
          <w:rFonts w:hint="eastAsia"/>
          <w:lang w:val="en-US" w:eastAsia="zh-CN"/>
        </w:rPr>
        <w:t>8.4 潞党参各规格等级应符合表2要求：</w:t>
      </w:r>
    </w:p>
    <w:p w14:paraId="47539B58">
      <w:pPr>
        <w:pStyle w:val="57"/>
        <w:ind w:left="0" w:leftChars="0" w:firstLine="0" w:firstLineChars="0"/>
        <w:jc w:val="center"/>
        <w:rPr>
          <w:rFonts w:hint="eastAsia"/>
          <w:lang w:val="en-US" w:eastAsia="zh-CN"/>
        </w:rPr>
      </w:pPr>
      <w:r>
        <w:rPr>
          <w:rFonts w:hint="eastAsia"/>
          <w:lang w:val="en-US" w:eastAsia="zh-CN"/>
        </w:rPr>
        <w:t>表2 潞党参药材规格等级划分</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2"/>
        <w:gridCol w:w="2392"/>
        <w:gridCol w:w="2392"/>
        <w:gridCol w:w="2392"/>
      </w:tblGrid>
      <w:tr w14:paraId="5792B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tcPr>
          <w:p w14:paraId="21CBFBE3">
            <w:pPr>
              <w:pStyle w:val="57"/>
              <w:rPr>
                <w:rFonts w:hint="eastAsia"/>
                <w:vertAlign w:val="baseline"/>
                <w:lang w:val="en-US" w:eastAsia="zh-CN"/>
              </w:rPr>
            </w:pPr>
          </w:p>
        </w:tc>
        <w:tc>
          <w:tcPr>
            <w:tcW w:w="2392" w:type="dxa"/>
          </w:tcPr>
          <w:p w14:paraId="244BB294">
            <w:pPr>
              <w:pStyle w:val="57"/>
              <w:rPr>
                <w:rFonts w:hint="default"/>
                <w:vertAlign w:val="baseline"/>
                <w:lang w:val="en-US" w:eastAsia="zh-CN"/>
              </w:rPr>
            </w:pPr>
            <w:r>
              <w:rPr>
                <w:rFonts w:hint="eastAsia"/>
                <w:vertAlign w:val="baseline"/>
                <w:lang w:val="en-US" w:eastAsia="zh-CN"/>
              </w:rPr>
              <w:t>等级</w:t>
            </w:r>
          </w:p>
        </w:tc>
        <w:tc>
          <w:tcPr>
            <w:tcW w:w="2392" w:type="dxa"/>
          </w:tcPr>
          <w:p w14:paraId="676D3B39">
            <w:pPr>
              <w:pStyle w:val="57"/>
              <w:rPr>
                <w:rFonts w:hint="default"/>
                <w:vertAlign w:val="baseline"/>
                <w:lang w:val="en-US" w:eastAsia="zh-CN"/>
              </w:rPr>
            </w:pPr>
            <w:r>
              <w:rPr>
                <w:rFonts w:hint="eastAsia"/>
                <w:vertAlign w:val="baseline"/>
                <w:lang w:val="en-US" w:eastAsia="zh-CN"/>
              </w:rPr>
              <w:t>芦下直径/cm</w:t>
            </w:r>
          </w:p>
        </w:tc>
        <w:tc>
          <w:tcPr>
            <w:tcW w:w="2392" w:type="dxa"/>
          </w:tcPr>
          <w:p w14:paraId="2ECDBA73">
            <w:pPr>
              <w:pStyle w:val="57"/>
              <w:rPr>
                <w:rFonts w:hint="default"/>
                <w:vertAlign w:val="baseline"/>
                <w:lang w:val="en-US" w:eastAsia="zh-CN"/>
              </w:rPr>
            </w:pPr>
            <w:r>
              <w:rPr>
                <w:rFonts w:hint="eastAsia"/>
                <w:vertAlign w:val="baseline"/>
                <w:lang w:val="en-US" w:eastAsia="zh-CN"/>
              </w:rPr>
              <w:t>长度/cm</w:t>
            </w:r>
          </w:p>
        </w:tc>
      </w:tr>
      <w:tr w14:paraId="34661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vMerge w:val="restart"/>
          </w:tcPr>
          <w:p w14:paraId="1C6C226D">
            <w:pPr>
              <w:pStyle w:val="57"/>
              <w:rPr>
                <w:rFonts w:hint="default"/>
                <w:vertAlign w:val="baseline"/>
                <w:lang w:val="en-US" w:eastAsia="zh-CN"/>
              </w:rPr>
            </w:pPr>
            <w:r>
              <w:rPr>
                <w:rFonts w:hint="eastAsia"/>
                <w:vertAlign w:val="baseline"/>
                <w:lang w:val="en-US" w:eastAsia="zh-CN"/>
              </w:rPr>
              <w:t>选货</w:t>
            </w:r>
          </w:p>
        </w:tc>
        <w:tc>
          <w:tcPr>
            <w:tcW w:w="2392" w:type="dxa"/>
          </w:tcPr>
          <w:p w14:paraId="293542FC">
            <w:pPr>
              <w:pStyle w:val="57"/>
              <w:rPr>
                <w:rFonts w:hint="default"/>
                <w:vertAlign w:val="baseline"/>
                <w:lang w:val="en-US" w:eastAsia="zh-CN"/>
              </w:rPr>
            </w:pPr>
            <w:r>
              <w:rPr>
                <w:rFonts w:hint="eastAsia"/>
                <w:vertAlign w:val="baseline"/>
                <w:lang w:val="en-US" w:eastAsia="zh-CN"/>
              </w:rPr>
              <w:t>一等品</w:t>
            </w:r>
          </w:p>
        </w:tc>
        <w:tc>
          <w:tcPr>
            <w:tcW w:w="2392" w:type="dxa"/>
          </w:tcPr>
          <w:p w14:paraId="057D3ABC">
            <w:pPr>
              <w:pStyle w:val="57"/>
              <w:rPr>
                <w:rFonts w:hint="default"/>
                <w:vertAlign w:val="baseline"/>
                <w:lang w:val="en-US" w:eastAsia="zh-CN"/>
              </w:rPr>
            </w:pPr>
            <w:r>
              <w:rPr>
                <w:rFonts w:hint="eastAsia"/>
                <w:vertAlign w:val="baseline"/>
                <w:lang w:val="en-US" w:eastAsia="zh-CN"/>
              </w:rPr>
              <w:t>≥0.8</w:t>
            </w:r>
          </w:p>
        </w:tc>
        <w:tc>
          <w:tcPr>
            <w:tcW w:w="2392" w:type="dxa"/>
          </w:tcPr>
          <w:p w14:paraId="14955277">
            <w:pPr>
              <w:pStyle w:val="57"/>
              <w:rPr>
                <w:rFonts w:hint="default"/>
                <w:vertAlign w:val="baseline"/>
                <w:lang w:val="en-US" w:eastAsia="zh-CN"/>
              </w:rPr>
            </w:pPr>
            <w:r>
              <w:rPr>
                <w:rFonts w:hint="eastAsia"/>
                <w:vertAlign w:val="baseline"/>
                <w:lang w:val="en-US" w:eastAsia="zh-CN"/>
              </w:rPr>
              <w:t>≥23</w:t>
            </w:r>
          </w:p>
        </w:tc>
      </w:tr>
      <w:tr w14:paraId="60BF7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vMerge w:val="continue"/>
          </w:tcPr>
          <w:p w14:paraId="1A145616">
            <w:pPr>
              <w:pStyle w:val="57"/>
              <w:rPr>
                <w:rFonts w:hint="eastAsia"/>
                <w:vertAlign w:val="baseline"/>
                <w:lang w:val="en-US" w:eastAsia="zh-CN"/>
              </w:rPr>
            </w:pPr>
          </w:p>
        </w:tc>
        <w:tc>
          <w:tcPr>
            <w:tcW w:w="2392" w:type="dxa"/>
          </w:tcPr>
          <w:p w14:paraId="6C7586A7">
            <w:pPr>
              <w:pStyle w:val="57"/>
              <w:rPr>
                <w:rFonts w:hint="default"/>
                <w:vertAlign w:val="baseline"/>
                <w:lang w:val="en-US" w:eastAsia="zh-CN"/>
              </w:rPr>
            </w:pPr>
            <w:r>
              <w:rPr>
                <w:rFonts w:hint="eastAsia"/>
                <w:vertAlign w:val="baseline"/>
                <w:lang w:val="en-US" w:eastAsia="zh-CN"/>
              </w:rPr>
              <w:t>二等品</w:t>
            </w:r>
          </w:p>
        </w:tc>
        <w:tc>
          <w:tcPr>
            <w:tcW w:w="2392" w:type="dxa"/>
          </w:tcPr>
          <w:p w14:paraId="149B6265">
            <w:pPr>
              <w:pStyle w:val="57"/>
              <w:rPr>
                <w:rFonts w:hint="eastAsia"/>
                <w:vertAlign w:val="baseline"/>
                <w:lang w:val="en-US" w:eastAsia="zh-CN"/>
              </w:rPr>
            </w:pPr>
            <w:r>
              <w:rPr>
                <w:rFonts w:hint="eastAsia"/>
                <w:vertAlign w:val="baseline"/>
                <w:lang w:val="en-US" w:eastAsia="zh-CN"/>
              </w:rPr>
              <w:t>≥0.6</w:t>
            </w:r>
          </w:p>
        </w:tc>
        <w:tc>
          <w:tcPr>
            <w:tcW w:w="2392" w:type="dxa"/>
          </w:tcPr>
          <w:p w14:paraId="64108767">
            <w:pPr>
              <w:pStyle w:val="57"/>
              <w:rPr>
                <w:rFonts w:hint="default"/>
                <w:vertAlign w:val="baseline"/>
                <w:lang w:val="en-US" w:eastAsia="zh-CN"/>
              </w:rPr>
            </w:pPr>
            <w:r>
              <w:rPr>
                <w:rFonts w:hint="eastAsia"/>
                <w:vertAlign w:val="baseline"/>
                <w:lang w:val="en-US" w:eastAsia="zh-CN"/>
              </w:rPr>
              <w:t>≥19</w:t>
            </w:r>
          </w:p>
        </w:tc>
      </w:tr>
      <w:tr w14:paraId="4561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vMerge w:val="continue"/>
          </w:tcPr>
          <w:p w14:paraId="02DDCA89">
            <w:pPr>
              <w:pStyle w:val="57"/>
              <w:rPr>
                <w:rFonts w:hint="eastAsia"/>
                <w:vertAlign w:val="baseline"/>
                <w:lang w:val="en-US" w:eastAsia="zh-CN"/>
              </w:rPr>
            </w:pPr>
          </w:p>
        </w:tc>
        <w:tc>
          <w:tcPr>
            <w:tcW w:w="2392" w:type="dxa"/>
          </w:tcPr>
          <w:p w14:paraId="072599F4">
            <w:pPr>
              <w:pStyle w:val="57"/>
              <w:rPr>
                <w:rFonts w:hint="default"/>
                <w:vertAlign w:val="baseline"/>
                <w:lang w:val="en-US" w:eastAsia="zh-CN"/>
              </w:rPr>
            </w:pPr>
            <w:r>
              <w:rPr>
                <w:rFonts w:hint="eastAsia"/>
                <w:vertAlign w:val="baseline"/>
                <w:lang w:val="en-US" w:eastAsia="zh-CN"/>
              </w:rPr>
              <w:t>三等品</w:t>
            </w:r>
          </w:p>
        </w:tc>
        <w:tc>
          <w:tcPr>
            <w:tcW w:w="2392" w:type="dxa"/>
          </w:tcPr>
          <w:p w14:paraId="230187D5">
            <w:pPr>
              <w:pStyle w:val="57"/>
              <w:rPr>
                <w:rFonts w:hint="eastAsia"/>
                <w:vertAlign w:val="baseline"/>
                <w:lang w:val="en-US" w:eastAsia="zh-CN"/>
              </w:rPr>
            </w:pPr>
            <w:r>
              <w:rPr>
                <w:rFonts w:hint="eastAsia"/>
                <w:vertAlign w:val="baseline"/>
                <w:lang w:val="en-US" w:eastAsia="zh-CN"/>
              </w:rPr>
              <w:t>≥0.5</w:t>
            </w:r>
          </w:p>
        </w:tc>
        <w:tc>
          <w:tcPr>
            <w:tcW w:w="2392" w:type="dxa"/>
          </w:tcPr>
          <w:p w14:paraId="478FEBA7">
            <w:pPr>
              <w:pStyle w:val="57"/>
              <w:rPr>
                <w:rFonts w:hint="default"/>
                <w:vertAlign w:val="baseline"/>
                <w:lang w:val="en-US" w:eastAsia="zh-CN"/>
              </w:rPr>
            </w:pPr>
            <w:r>
              <w:rPr>
                <w:rFonts w:hint="eastAsia"/>
                <w:vertAlign w:val="baseline"/>
                <w:lang w:val="en-US" w:eastAsia="zh-CN"/>
              </w:rPr>
              <w:t>≥18</w:t>
            </w:r>
          </w:p>
        </w:tc>
      </w:tr>
      <w:tr w14:paraId="2DE0E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tcPr>
          <w:p w14:paraId="3B135188">
            <w:pPr>
              <w:pStyle w:val="57"/>
              <w:rPr>
                <w:rFonts w:hint="default"/>
                <w:vertAlign w:val="baseline"/>
                <w:lang w:val="en-US" w:eastAsia="zh-CN"/>
              </w:rPr>
            </w:pPr>
            <w:r>
              <w:rPr>
                <w:rFonts w:hint="eastAsia"/>
                <w:vertAlign w:val="baseline"/>
                <w:lang w:val="en-US" w:eastAsia="zh-CN"/>
              </w:rPr>
              <w:t>统货</w:t>
            </w:r>
          </w:p>
        </w:tc>
        <w:tc>
          <w:tcPr>
            <w:tcW w:w="2392" w:type="dxa"/>
          </w:tcPr>
          <w:p w14:paraId="5153A9F8">
            <w:pPr>
              <w:pStyle w:val="57"/>
              <w:rPr>
                <w:rFonts w:hint="eastAsia"/>
                <w:vertAlign w:val="baseline"/>
                <w:lang w:val="en-US" w:eastAsia="zh-CN"/>
              </w:rPr>
            </w:pPr>
            <w:r>
              <w:rPr>
                <w:rFonts w:hint="eastAsia"/>
                <w:vertAlign w:val="baseline"/>
                <w:lang w:val="en-US" w:eastAsia="zh-CN"/>
              </w:rPr>
              <w:t>统货</w:t>
            </w:r>
          </w:p>
        </w:tc>
        <w:tc>
          <w:tcPr>
            <w:tcW w:w="2392" w:type="dxa"/>
          </w:tcPr>
          <w:p w14:paraId="4EB20D6F">
            <w:pPr>
              <w:pStyle w:val="57"/>
              <w:rPr>
                <w:rFonts w:hint="eastAsia"/>
                <w:vertAlign w:val="baseline"/>
                <w:lang w:val="en-US" w:eastAsia="zh-CN"/>
              </w:rPr>
            </w:pPr>
            <w:r>
              <w:rPr>
                <w:rFonts w:hint="eastAsia"/>
                <w:vertAlign w:val="baseline"/>
                <w:lang w:val="en-US" w:eastAsia="zh-CN"/>
              </w:rPr>
              <w:t>≥0.4</w:t>
            </w:r>
          </w:p>
        </w:tc>
        <w:tc>
          <w:tcPr>
            <w:tcW w:w="2392" w:type="dxa"/>
          </w:tcPr>
          <w:p w14:paraId="6EE51F52">
            <w:pPr>
              <w:pStyle w:val="57"/>
              <w:rPr>
                <w:rFonts w:hint="default"/>
                <w:vertAlign w:val="baseline"/>
                <w:lang w:val="en-US" w:eastAsia="zh-CN"/>
              </w:rPr>
            </w:pPr>
            <w:r>
              <w:rPr>
                <w:rFonts w:hint="eastAsia"/>
                <w:vertAlign w:val="baseline"/>
                <w:lang w:val="en-US" w:eastAsia="zh-CN"/>
              </w:rPr>
              <w:t>≥10</w:t>
            </w:r>
          </w:p>
        </w:tc>
      </w:tr>
    </w:tbl>
    <w:p w14:paraId="4A6D0916">
      <w:pPr>
        <w:pStyle w:val="105"/>
        <w:spacing w:before="240" w:after="240"/>
      </w:pPr>
      <w:r>
        <w:rPr>
          <w:rFonts w:hint="eastAsia"/>
          <w:lang w:val="en-US" w:eastAsia="zh-CN"/>
        </w:rPr>
        <w:t>检测方法</w:t>
      </w:r>
    </w:p>
    <w:p w14:paraId="325266D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取样</w:t>
      </w:r>
    </w:p>
    <w:p w14:paraId="659C0ECB">
      <w:pPr>
        <w:pStyle w:val="57"/>
        <w:rPr>
          <w:rFonts w:hint="eastAsia"/>
          <w:lang w:val="en-US" w:eastAsia="zh-CN"/>
        </w:rPr>
      </w:pPr>
      <w:r>
        <w:rPr>
          <w:rFonts w:hint="eastAsia"/>
          <w:lang w:val="en-US" w:eastAsia="zh-CN"/>
        </w:rPr>
        <w:t>按《中华人民共和国药典》四部（2025年版）药材和饮片取样法（通则0211）项下的要求执行。</w:t>
      </w:r>
    </w:p>
    <w:p w14:paraId="1742F36B">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感官指标测定</w:t>
      </w:r>
    </w:p>
    <w:p w14:paraId="37D36AB8">
      <w:pPr>
        <w:pStyle w:val="57"/>
        <w:rPr>
          <w:rFonts w:hint="eastAsia"/>
          <w:lang w:val="en-US" w:eastAsia="zh-CN"/>
        </w:rPr>
      </w:pPr>
      <w:r>
        <w:rPr>
          <w:rFonts w:hint="eastAsia"/>
          <w:lang w:val="en-US" w:eastAsia="zh-CN"/>
        </w:rPr>
        <w:t>按《中华人民共和国药典》四部（2025年版）药材和饮片检定通则（通则0212）项下的要求执行。</w:t>
      </w:r>
    </w:p>
    <w:p w14:paraId="5A7BF9F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显微鉴别</w:t>
      </w:r>
    </w:p>
    <w:p w14:paraId="58DCAC1B">
      <w:pPr>
        <w:pStyle w:val="57"/>
        <w:rPr>
          <w:rFonts w:hint="eastAsia"/>
          <w:lang w:val="en-US" w:eastAsia="zh-CN"/>
        </w:rPr>
      </w:pPr>
      <w:r>
        <w:rPr>
          <w:rFonts w:hint="eastAsia"/>
          <w:lang w:val="en-US" w:eastAsia="zh-CN"/>
        </w:rPr>
        <w:t>按《中华人民共和国药典》四部（2025年版）显微鉴别（通则2001）项下的要求执行。</w:t>
      </w:r>
    </w:p>
    <w:p w14:paraId="3A254AC3">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薄层鉴别</w:t>
      </w:r>
    </w:p>
    <w:p w14:paraId="474B10F6">
      <w:pPr>
        <w:pStyle w:val="57"/>
        <w:rPr>
          <w:rFonts w:hint="eastAsia"/>
          <w:lang w:val="en-US" w:eastAsia="zh-CN"/>
        </w:rPr>
      </w:pPr>
      <w:r>
        <w:rPr>
          <w:rFonts w:hint="eastAsia"/>
          <w:lang w:val="en-US" w:eastAsia="zh-CN"/>
        </w:rPr>
        <w:t>按《中华人民共和国药典》四部（2025年版）薄层色谱法（通则502）项下的要求执行。</w:t>
      </w:r>
    </w:p>
    <w:p w14:paraId="0145D0A2">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水分</w:t>
      </w:r>
    </w:p>
    <w:p w14:paraId="7A4558BA">
      <w:pPr>
        <w:pStyle w:val="57"/>
        <w:rPr>
          <w:rFonts w:hint="eastAsia"/>
          <w:lang w:val="en-US" w:eastAsia="zh-CN"/>
        </w:rPr>
      </w:pPr>
      <w:r>
        <w:rPr>
          <w:rFonts w:hint="eastAsia"/>
          <w:lang w:val="en-US" w:eastAsia="zh-CN"/>
        </w:rPr>
        <w:t>按《中华人民共和国药典》四部（2025年版）水分测定法（通则0832）第二法要求执行。</w:t>
      </w:r>
    </w:p>
    <w:p w14:paraId="02838F2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总灰分</w:t>
      </w:r>
    </w:p>
    <w:p w14:paraId="6572160A">
      <w:pPr>
        <w:pStyle w:val="57"/>
        <w:rPr>
          <w:rFonts w:hint="eastAsia"/>
          <w:lang w:val="en-US" w:eastAsia="zh-CN"/>
        </w:rPr>
      </w:pPr>
      <w:r>
        <w:rPr>
          <w:rFonts w:hint="eastAsia"/>
          <w:lang w:val="en-US" w:eastAsia="zh-CN"/>
        </w:rPr>
        <w:t>按《中华人民共和国药典》四部（2025年版）灰分测定法（通则2302）要求执行。</w:t>
      </w:r>
    </w:p>
    <w:p w14:paraId="7BA4613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二氧化硫残留</w:t>
      </w:r>
    </w:p>
    <w:p w14:paraId="100C688B">
      <w:pPr>
        <w:pStyle w:val="57"/>
        <w:rPr>
          <w:rFonts w:hint="eastAsia"/>
          <w:lang w:val="en-US" w:eastAsia="zh-CN"/>
        </w:rPr>
      </w:pPr>
      <w:r>
        <w:rPr>
          <w:rFonts w:hint="eastAsia"/>
          <w:lang w:val="en-US" w:eastAsia="zh-CN"/>
        </w:rPr>
        <w:t>按《中华人民共和国药典》四部（2025年版）二氧化硫残留测定法（通则2331）要求执行。</w:t>
      </w:r>
    </w:p>
    <w:p w14:paraId="718BBA1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浸出物</w:t>
      </w:r>
    </w:p>
    <w:p w14:paraId="539FDBDB">
      <w:pPr>
        <w:pStyle w:val="57"/>
        <w:rPr>
          <w:rFonts w:hint="eastAsia"/>
          <w:lang w:val="en-US" w:eastAsia="zh-CN"/>
        </w:rPr>
      </w:pPr>
      <w:r>
        <w:rPr>
          <w:rFonts w:hint="eastAsia"/>
          <w:lang w:val="en-US" w:eastAsia="zh-CN"/>
        </w:rPr>
        <w:t>按《中华人民共和国药典》四部（2025年版）醇溶性浸出物测定法（通则2201）</w:t>
      </w:r>
      <w:r>
        <w:rPr>
          <w:rFonts w:hint="default"/>
          <w:lang w:val="en-US" w:eastAsia="zh-CN"/>
        </w:rPr>
        <w:t>项下的热浸法</w:t>
      </w:r>
      <w:r>
        <w:rPr>
          <w:rFonts w:hint="eastAsia"/>
          <w:lang w:val="en-US" w:eastAsia="zh-CN"/>
        </w:rPr>
        <w:t>要求执行，</w:t>
      </w:r>
      <w:r>
        <w:rPr>
          <w:rFonts w:hint="default"/>
          <w:lang w:val="en-US" w:eastAsia="zh-CN"/>
        </w:rPr>
        <w:t>用45%乙醇作溶剂</w:t>
      </w:r>
      <w:r>
        <w:rPr>
          <w:rFonts w:hint="eastAsia"/>
          <w:lang w:val="en-US" w:eastAsia="zh-CN"/>
        </w:rPr>
        <w:t>。</w:t>
      </w:r>
    </w:p>
    <w:p w14:paraId="00C7236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多糖含量</w:t>
      </w:r>
    </w:p>
    <w:p w14:paraId="34B01E6E">
      <w:pPr>
        <w:pStyle w:val="57"/>
        <w:rPr>
          <w:rFonts w:hint="eastAsia"/>
          <w:lang w:val="en-US" w:eastAsia="zh-CN"/>
        </w:rPr>
      </w:pPr>
      <w:r>
        <w:rPr>
          <w:rFonts w:hint="eastAsia"/>
          <w:lang w:val="en-US" w:eastAsia="zh-CN"/>
        </w:rPr>
        <w:t>按照附录A中规定的方法进行测定。</w:t>
      </w:r>
    </w:p>
    <w:p w14:paraId="44243CD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党参炔苷含量</w:t>
      </w:r>
    </w:p>
    <w:p w14:paraId="5B3E2F84">
      <w:pPr>
        <w:pStyle w:val="57"/>
        <w:rPr>
          <w:rFonts w:hint="eastAsia"/>
          <w:lang w:val="en-US" w:eastAsia="zh-CN"/>
        </w:rPr>
      </w:pPr>
      <w:r>
        <w:rPr>
          <w:rFonts w:hint="eastAsia"/>
          <w:lang w:val="en-US" w:eastAsia="zh-CN"/>
        </w:rPr>
        <w:t>按照附录B中规定的方法进行测定。</w:t>
      </w:r>
    </w:p>
    <w:p w14:paraId="4E81602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vertAlign w:val="baseline"/>
          <w:lang w:val="en-US" w:eastAsia="zh-CN"/>
        </w:rPr>
        <w:t>芦下直径</w:t>
      </w:r>
    </w:p>
    <w:p w14:paraId="4313B8E0">
      <w:pPr>
        <w:pStyle w:val="57"/>
        <w:rPr>
          <w:rFonts w:hint="eastAsia"/>
          <w:lang w:val="en-US" w:eastAsia="zh-CN"/>
        </w:rPr>
      </w:pPr>
      <w:r>
        <w:rPr>
          <w:rFonts w:hint="eastAsia"/>
          <w:lang w:val="en-US" w:eastAsia="zh-CN"/>
        </w:rPr>
        <w:t>用游标卡尺测定芦头底部横径，精确到0.1cm。</w:t>
      </w:r>
    </w:p>
    <w:p w14:paraId="692E379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长度</w:t>
      </w:r>
    </w:p>
    <w:p w14:paraId="5EC8A277">
      <w:pPr>
        <w:pStyle w:val="57"/>
        <w:rPr>
          <w:rFonts w:hint="eastAsia"/>
          <w:lang w:val="en-US" w:eastAsia="zh-CN"/>
        </w:rPr>
      </w:pPr>
      <w:r>
        <w:rPr>
          <w:rFonts w:hint="eastAsia"/>
          <w:lang w:val="en-US" w:eastAsia="zh-CN"/>
        </w:rPr>
        <w:t>用精度味0.1cm的卷尺或刻度尺测定芦头至根尖的长度。</w:t>
      </w:r>
    </w:p>
    <w:p w14:paraId="79B6B9DB">
      <w:pPr>
        <w:rPr>
          <w:rFonts w:hint="eastAsia"/>
          <w:lang w:val="en-US" w:eastAsia="zh-CN"/>
        </w:rPr>
      </w:pPr>
      <w:r>
        <w:rPr>
          <w:rFonts w:hint="eastAsia"/>
          <w:lang w:val="en-US" w:eastAsia="zh-CN"/>
        </w:rPr>
        <w:br w:type="page"/>
      </w:r>
    </w:p>
    <w:p w14:paraId="30A6D42E">
      <w:pPr>
        <w:pStyle w:val="64"/>
        <w:adjustRightInd w:val="0"/>
        <w:snapToGrid w:val="0"/>
        <w:spacing w:before="0" w:beforeLines="0" w:after="0" w:afterLines="0" w:line="240" w:lineRule="auto"/>
        <w:rPr>
          <w:bCs/>
        </w:rPr>
      </w:pPr>
      <w:bookmarkStart w:id="48" w:name="_Toc19316"/>
      <w:r>
        <w:rPr>
          <w:rFonts w:hint="eastAsia"/>
          <w:bCs/>
        </w:rPr>
        <w:t>附录A</w:t>
      </w:r>
      <w:bookmarkEnd w:id="48"/>
    </w:p>
    <w:p w14:paraId="067A7CE3">
      <w:pPr>
        <w:pStyle w:val="64"/>
        <w:adjustRightInd w:val="0"/>
        <w:snapToGrid w:val="0"/>
        <w:spacing w:before="0" w:beforeLines="0" w:after="0" w:afterLines="0" w:line="240" w:lineRule="auto"/>
        <w:rPr>
          <w:bCs/>
        </w:rPr>
      </w:pPr>
      <w:bookmarkStart w:id="49" w:name="_Toc18085"/>
      <w:r>
        <w:rPr>
          <w:rFonts w:hint="eastAsia"/>
          <w:bCs/>
        </w:rPr>
        <w:t>（</w:t>
      </w:r>
      <w:r>
        <w:rPr>
          <w:rFonts w:hint="eastAsia"/>
          <w:bCs/>
          <w:lang w:val="en-US" w:eastAsia="zh-CN"/>
        </w:rPr>
        <w:t>规范</w:t>
      </w:r>
      <w:r>
        <w:rPr>
          <w:rFonts w:hint="eastAsia"/>
          <w:bCs/>
        </w:rPr>
        <w:t>性）</w:t>
      </w:r>
      <w:bookmarkEnd w:id="49"/>
    </w:p>
    <w:p w14:paraId="7E7B3F29">
      <w:pPr>
        <w:pStyle w:val="13"/>
        <w:widowControl/>
        <w:kinsoku w:val="0"/>
        <w:autoSpaceDE w:val="0"/>
        <w:autoSpaceDN w:val="0"/>
        <w:adjustRightInd w:val="0"/>
        <w:snapToGrid w:val="0"/>
        <w:spacing w:before="65" w:line="240" w:lineRule="auto"/>
        <w:ind w:left="20"/>
        <w:jc w:val="center"/>
        <w:textAlignment w:val="baseline"/>
        <w:outlineLvl w:val="0"/>
        <w:rPr>
          <w:rFonts w:hint="default" w:ascii="Arial" w:hAnsi="Arial" w:eastAsia="宋体" w:cs="Arial"/>
          <w:snapToGrid w:val="0"/>
          <w:color w:val="000000"/>
          <w:spacing w:val="1"/>
          <w:kern w:val="0"/>
          <w:sz w:val="20"/>
          <w:szCs w:val="20"/>
          <w:lang w:val="en-US" w:eastAsia="zh-CN"/>
        </w:rPr>
      </w:pPr>
      <w:r>
        <w:rPr>
          <w:rFonts w:hint="eastAsia" w:ascii="Arial" w:hAnsi="Arial" w:cs="Arial"/>
          <w:snapToGrid w:val="0"/>
          <w:color w:val="000000"/>
          <w:spacing w:val="1"/>
          <w:kern w:val="0"/>
          <w:sz w:val="20"/>
          <w:szCs w:val="20"/>
          <w:lang w:val="en-US" w:eastAsia="zh-CN"/>
        </w:rPr>
        <w:t>潞党参多糖含量测定方法</w:t>
      </w:r>
    </w:p>
    <w:bookmarkEnd w:id="20"/>
    <w:p w14:paraId="4382CE21">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bookmarkStart w:id="50" w:name="BookMark6"/>
      <w:r>
        <w:rPr>
          <w:rFonts w:hint="eastAsia" w:hAnsi="黑体" w:cs="黑体"/>
          <w:b w:val="0"/>
          <w:bCs w:val="0"/>
          <w:snapToGrid w:val="0"/>
          <w:color w:val="000000"/>
          <w:spacing w:val="10"/>
          <w:kern w:val="0"/>
          <w:sz w:val="21"/>
          <w:szCs w:val="21"/>
          <w:lang w:val="en-US" w:eastAsia="zh-CN"/>
        </w:rPr>
        <w:t>A.1仪器</w:t>
      </w:r>
    </w:p>
    <w:p w14:paraId="1C7A0C56">
      <w:pPr>
        <w:pStyle w:val="64"/>
        <w:spacing w:before="96" w:after="120"/>
        <w:ind w:firstLine="420" w:firstLineChars="200"/>
        <w:jc w:val="both"/>
        <w:rPr>
          <w:rFonts w:hint="eastAsia" w:ascii="宋体" w:hAnsi="Times New Roman" w:eastAsia="宋体" w:cs="Times New Roman"/>
          <w:kern w:val="0"/>
          <w:sz w:val="21"/>
          <w:lang w:val="en-US" w:eastAsia="zh-CN" w:bidi="ar-SA"/>
        </w:rPr>
      </w:pPr>
      <w:r>
        <w:rPr>
          <w:rFonts w:hint="eastAsia" w:ascii="宋体" w:hAnsi="Times New Roman" w:eastAsia="宋体" w:cs="Times New Roman"/>
          <w:kern w:val="0"/>
          <w:sz w:val="21"/>
          <w:lang w:val="en-US" w:eastAsia="zh-CN" w:bidi="ar-SA"/>
        </w:rPr>
        <w:t>紫外可见光分光光度计，具1cm比色皿；分析天平；电热恒温水浴锅；旋转蒸发仪。</w:t>
      </w:r>
    </w:p>
    <w:p w14:paraId="32F9B999">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A.2试剂</w:t>
      </w:r>
    </w:p>
    <w:p w14:paraId="582B1F28">
      <w:pPr>
        <w:pStyle w:val="64"/>
        <w:spacing w:before="96" w:after="120"/>
        <w:ind w:firstLine="420" w:firstLineChars="200"/>
        <w:jc w:val="both"/>
        <w:rPr>
          <w:rFonts w:hint="eastAsia" w:ascii="宋体" w:hAnsi="Times New Roman" w:eastAsia="宋体" w:cs="Times New Roman"/>
          <w:kern w:val="0"/>
          <w:sz w:val="21"/>
          <w:lang w:val="en-US" w:eastAsia="zh-CN" w:bidi="ar-SA"/>
        </w:rPr>
      </w:pPr>
      <w:r>
        <w:rPr>
          <w:rFonts w:hint="eastAsia" w:ascii="宋体" w:hAnsi="Times New Roman" w:eastAsia="宋体" w:cs="Times New Roman"/>
          <w:kern w:val="0"/>
          <w:sz w:val="21"/>
          <w:lang w:val="en-US" w:eastAsia="zh-CN" w:bidi="ar-SA"/>
        </w:rPr>
        <w:t>D（+）-无水葡萄糖标准品（纯度≥98%）；5%苯酚溶液；硫酸、乙醇等试剂俊文分析纯。</w:t>
      </w:r>
    </w:p>
    <w:p w14:paraId="5ECFCE11">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A.3分析步骤</w:t>
      </w:r>
    </w:p>
    <w:p w14:paraId="018236D8">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A.3.1试样处理</w:t>
      </w:r>
    </w:p>
    <w:p w14:paraId="7E0FD92E">
      <w:pPr>
        <w:pStyle w:val="57"/>
        <w:rPr>
          <w:rFonts w:hint="default"/>
          <w:lang w:val="en-US" w:eastAsia="zh-CN"/>
        </w:rPr>
      </w:pPr>
      <w:r>
        <w:rPr>
          <w:rFonts w:hint="default"/>
          <w:lang w:val="en-US" w:eastAsia="zh-CN"/>
        </w:rPr>
        <w:t>取本品粉末</w:t>
      </w:r>
      <w:r>
        <w:rPr>
          <w:rFonts w:hint="eastAsia"/>
          <w:lang w:val="en-US" w:eastAsia="zh-CN"/>
        </w:rPr>
        <w:t>（</w:t>
      </w:r>
      <w:r>
        <w:rPr>
          <w:rFonts w:hint="default"/>
          <w:lang w:val="en-US" w:eastAsia="zh-CN"/>
        </w:rPr>
        <w:t>过4号筛</w:t>
      </w:r>
      <w:r>
        <w:rPr>
          <w:rFonts w:hint="eastAsia"/>
          <w:lang w:val="en-US" w:eastAsia="zh-CN"/>
        </w:rPr>
        <w:t>）</w:t>
      </w:r>
      <w:r>
        <w:rPr>
          <w:rFonts w:hint="default"/>
          <w:lang w:val="en-US" w:eastAsia="zh-CN"/>
        </w:rPr>
        <w:t>0.2g，精密称定，置于100ml圆底烧瓶中，加入80%乙醇50m</w:t>
      </w:r>
      <w:r>
        <w:rPr>
          <w:rFonts w:hint="eastAsia"/>
          <w:lang w:val="en-US" w:eastAsia="zh-CN"/>
        </w:rPr>
        <w:t>l</w:t>
      </w:r>
      <w:r>
        <w:rPr>
          <w:rFonts w:hint="default"/>
          <w:lang w:val="en-US" w:eastAsia="zh-CN"/>
        </w:rPr>
        <w:t>，水浴回流提取2h，滤过，残渣用 80%的热醇洗涤，放置室温后用30</w:t>
      </w:r>
      <w:r>
        <w:rPr>
          <w:rFonts w:hint="eastAsia"/>
          <w:lang w:val="en-US" w:eastAsia="zh-CN"/>
        </w:rPr>
        <w:t>ml</w:t>
      </w:r>
      <w:r>
        <w:rPr>
          <w:rFonts w:hint="default"/>
          <w:lang w:val="en-US" w:eastAsia="zh-CN"/>
        </w:rPr>
        <w:t>蒸馏水洗涤残渣，残渣连同滤纸置烧瓶中，分别加入60</w:t>
      </w:r>
      <w:r>
        <w:rPr>
          <w:rFonts w:hint="eastAsia"/>
          <w:lang w:val="en-US" w:eastAsia="zh-CN"/>
        </w:rPr>
        <w:t xml:space="preserve"> </w:t>
      </w:r>
      <w:r>
        <w:rPr>
          <w:rFonts w:hint="default"/>
          <w:lang w:val="en-US" w:eastAsia="zh-CN"/>
        </w:rPr>
        <w:t>m</w:t>
      </w:r>
      <w:r>
        <w:rPr>
          <w:rFonts w:hint="eastAsia"/>
          <w:lang w:val="en-US" w:eastAsia="zh-CN"/>
        </w:rPr>
        <w:t>l</w:t>
      </w:r>
      <w:r>
        <w:rPr>
          <w:rFonts w:hint="default"/>
          <w:lang w:val="en-US" w:eastAsia="zh-CN"/>
        </w:rPr>
        <w:t>沸水90°C水浴回流提取120min，趁热过滤，残渣及烧瓶用热水洗涤，洗液并入滤液，上述步骤重复提取3次，放冷后旋蒸，将滤液移入100m容量瓶中，用蒸馏水定容至100 m</w:t>
      </w:r>
      <w:r>
        <w:rPr>
          <w:rFonts w:hint="eastAsia"/>
          <w:lang w:val="en-US" w:eastAsia="zh-CN"/>
        </w:rPr>
        <w:t>l</w:t>
      </w:r>
      <w:r>
        <w:rPr>
          <w:rFonts w:hint="default"/>
          <w:lang w:val="en-US" w:eastAsia="zh-CN"/>
        </w:rPr>
        <w:t>。</w:t>
      </w:r>
    </w:p>
    <w:p w14:paraId="54A899F8">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A.3.2标准曲线的绘制</w:t>
      </w:r>
    </w:p>
    <w:p w14:paraId="70760686">
      <w:pPr>
        <w:pStyle w:val="57"/>
        <w:rPr>
          <w:rFonts w:hint="default"/>
          <w:lang w:val="en-US" w:eastAsia="zh-CN"/>
        </w:rPr>
      </w:pPr>
      <w:r>
        <w:rPr>
          <w:rFonts w:hint="default"/>
          <w:lang w:val="en-US" w:eastAsia="zh-CN"/>
        </w:rPr>
        <w:t>取105°C 干燥至恒重的D(十)一无水葡萄糖对照品适量，精密称定，加水制成每1</w:t>
      </w:r>
      <w:r>
        <w:rPr>
          <w:rFonts w:hint="eastAsia"/>
          <w:lang w:val="en-US" w:eastAsia="zh-CN"/>
        </w:rPr>
        <w:t xml:space="preserve"> ml</w:t>
      </w:r>
      <w:r>
        <w:rPr>
          <w:rFonts w:hint="default"/>
          <w:lang w:val="en-US" w:eastAsia="zh-CN"/>
        </w:rPr>
        <w:t>含0.1mg葡萄糖的溶液。精密量取标准溶液0、0.1ml、0.2mL、0.4ml、0.6</w:t>
      </w:r>
      <w:r>
        <w:rPr>
          <w:rFonts w:hint="eastAsia"/>
          <w:lang w:val="en-US" w:eastAsia="zh-CN"/>
        </w:rPr>
        <w:t>m</w:t>
      </w:r>
      <w:r>
        <w:rPr>
          <w:rFonts w:hint="default"/>
          <w:lang w:val="en-US" w:eastAsia="zh-CN"/>
        </w:rPr>
        <w:t>l、0.8ml、1.0</w:t>
      </w:r>
      <w:r>
        <w:rPr>
          <w:rFonts w:hint="eastAsia"/>
          <w:lang w:val="en-US" w:eastAsia="zh-CN"/>
        </w:rPr>
        <w:t>m</w:t>
      </w:r>
      <w:r>
        <w:rPr>
          <w:rFonts w:hint="default"/>
          <w:lang w:val="en-US" w:eastAsia="zh-CN"/>
        </w:rPr>
        <w:t>l，分别置于具塞试管中，分别补足蒸馏水至2.0ml，各精密加入5%苯酚溶液1m</w:t>
      </w:r>
      <w:r>
        <w:rPr>
          <w:rFonts w:hint="eastAsia"/>
          <w:lang w:val="en-US" w:eastAsia="zh-CN"/>
        </w:rPr>
        <w:t>l</w:t>
      </w:r>
      <w:r>
        <w:rPr>
          <w:rFonts w:hint="default"/>
          <w:lang w:val="en-US" w:eastAsia="zh-CN"/>
        </w:rPr>
        <w:t>，快速摇匀，迅速精密加入硫酸5</w:t>
      </w:r>
      <w:r>
        <w:rPr>
          <w:rFonts w:hint="eastAsia"/>
          <w:lang w:val="en-US" w:eastAsia="zh-CN"/>
        </w:rPr>
        <w:t>ml</w:t>
      </w:r>
      <w:r>
        <w:rPr>
          <w:rFonts w:hint="default"/>
          <w:lang w:val="en-US" w:eastAsia="zh-CN"/>
        </w:rPr>
        <w:t>，摇匀，待全部加完后，将全部试管同时放入100°C恒温水浴锅中，当温度重新升至100°C开始计时，准确保温15</w:t>
      </w:r>
      <w:r>
        <w:rPr>
          <w:rFonts w:hint="eastAsia"/>
          <w:lang w:val="en-US" w:eastAsia="zh-CN"/>
        </w:rPr>
        <w:t xml:space="preserve"> </w:t>
      </w:r>
      <w:r>
        <w:rPr>
          <w:rFonts w:hint="default"/>
          <w:lang w:val="en-US" w:eastAsia="zh-CN"/>
        </w:rPr>
        <w:t>min，取出，然后冷却至室温，以相应的试剂为空白，在490nm波长下测定吸光度A。以吸光度值为纵坐标，浓度为横坐标，绘制标准曲线。</w:t>
      </w:r>
    </w:p>
    <w:p w14:paraId="6B863A04">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A.3.3测定</w:t>
      </w:r>
    </w:p>
    <w:p w14:paraId="7CC119F7">
      <w:pPr>
        <w:keepNext w:val="0"/>
        <w:keepLines w:val="0"/>
        <w:pageBreakBefore w:val="0"/>
        <w:widowControl w:val="0"/>
        <w:kinsoku/>
        <w:wordWrap/>
        <w:overflowPunct/>
        <w:topLinePunct w:val="0"/>
        <w:autoSpaceDE/>
        <w:autoSpaceDN/>
        <w:bidi w:val="0"/>
        <w:adjustRightInd w:val="0"/>
        <w:snapToGrid/>
        <w:spacing w:line="240" w:lineRule="auto"/>
        <w:ind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吸取供试品溶液0.2m</w:t>
      </w:r>
      <w:r>
        <w:rPr>
          <w:rFonts w:hint="eastAsia" w:ascii="宋体" w:hAnsi="Times New Roman" w:cs="Times New Roman"/>
          <w:kern w:val="0"/>
          <w:sz w:val="21"/>
          <w:szCs w:val="20"/>
          <w:lang w:val="en-US" w:eastAsia="zh-CN" w:bidi="ar-SA"/>
        </w:rPr>
        <w:t>l</w:t>
      </w:r>
      <w:r>
        <w:rPr>
          <w:rFonts w:hint="default" w:ascii="宋体" w:hAnsi="Times New Roman" w:eastAsia="宋体" w:cs="Times New Roman"/>
          <w:kern w:val="0"/>
          <w:sz w:val="21"/>
          <w:szCs w:val="20"/>
          <w:lang w:val="en-US" w:eastAsia="zh-CN" w:bidi="ar-SA"/>
        </w:rPr>
        <w:t>，加蒸馏水补足至2.0ml，按A.3.2方法进行测定，依次测定吸光度值，与标准曲线比较定量。</w:t>
      </w:r>
    </w:p>
    <w:p w14:paraId="481C24A6">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A.3.4结果计算</w:t>
      </w:r>
    </w:p>
    <w:p w14:paraId="2F9463A9">
      <w:pPr>
        <w:spacing w:line="480" w:lineRule="auto"/>
        <w:ind w:firstLine="420" w:firstLineChars="200"/>
        <w:rPr>
          <w:rFonts w:hint="default" w:ascii="宋体" w:hAnsi="Times New Roman" w:eastAsia="宋体" w:cs="Times New Roman"/>
          <w:kern w:val="0"/>
          <w:sz w:val="21"/>
          <w:szCs w:val="20"/>
          <w:lang w:val="en-US" w:eastAsia="zh-CN" w:bidi="ar-SA"/>
        </w:rPr>
      </w:pPr>
      <m:oMathPara>
        <m:oMath>
          <m:r>
            <m:rPr/>
            <w:rPr>
              <w:rFonts w:hint="default" w:ascii="Cambria Math" w:hAnsi="Cambria Math"/>
              <w:sz w:val="21"/>
            </w:rPr>
            <m:t>X=</m:t>
          </m:r>
          <m:f>
            <m:fPr>
              <m:ctrlPr>
                <w:rPr>
                  <w:rFonts w:hint="default" w:ascii="Cambria Math" w:hAnsi="Cambria Math"/>
                  <w:i/>
                  <w:sz w:val="21"/>
                </w:rPr>
              </m:ctrlPr>
            </m:fPr>
            <m:num>
              <m:r>
                <m:rPr/>
                <w:rPr>
                  <w:rFonts w:hint="default" w:ascii="Cambria Math" w:hAnsi="Cambria Math"/>
                  <w:sz w:val="21"/>
                </w:rPr>
                <m:t>C1</m:t>
              </m:r>
              <m:r>
                <m:rPr>
                  <m:sty m:val="p"/>
                </m:rPr>
                <w:rPr>
                  <w:rFonts w:hint="default" w:ascii="Cambria Math" w:hAnsi="Cambria Math"/>
                  <w:sz w:val="21"/>
                </w:rPr>
                <m:t>×</m:t>
              </m:r>
              <m:r>
                <m:rPr/>
                <w:rPr>
                  <w:rFonts w:hint="default" w:ascii="Cambria Math" w:hAnsi="Cambria Math"/>
                  <w:sz w:val="21"/>
                </w:rPr>
                <m:t>f</m:t>
              </m:r>
              <m:r>
                <m:rPr>
                  <m:sty m:val="p"/>
                </m:rPr>
                <w:rPr>
                  <w:rFonts w:hint="default" w:ascii="Cambria Math" w:hAnsi="Cambria Math"/>
                  <w:sz w:val="21"/>
                </w:rPr>
                <m:t>×</m:t>
              </m:r>
              <m:r>
                <m:rPr/>
                <w:rPr>
                  <w:rFonts w:hint="default" w:ascii="Cambria Math" w:hAnsi="Cambria Math"/>
                  <w:sz w:val="21"/>
                </w:rPr>
                <m:t>V1</m:t>
              </m:r>
              <m:r>
                <m:rPr>
                  <m:sty m:val="p"/>
                </m:rPr>
                <w:rPr>
                  <w:rFonts w:hint="default" w:ascii="Cambria Math" w:hAnsi="Cambria Math"/>
                  <w:sz w:val="21"/>
                </w:rPr>
                <m:t>×</m:t>
              </m:r>
              <m:r>
                <m:rPr/>
                <w:rPr>
                  <w:rFonts w:hint="default" w:ascii="Cambria Math" w:hAnsi="Cambria Math"/>
                  <w:sz w:val="21"/>
                </w:rPr>
                <m:t>100</m:t>
              </m:r>
              <m:ctrlPr>
                <w:rPr>
                  <w:rFonts w:ascii="Cambria Math" w:hAnsi="Cambria Math"/>
                  <w:sz w:val="21"/>
                </w:rPr>
              </m:ctrlPr>
            </m:num>
            <m:den>
              <m:r>
                <m:rPr/>
                <w:rPr>
                  <w:rFonts w:hint="default" w:ascii="Cambria Math" w:hAnsi="Cambria Math"/>
                  <w:sz w:val="21"/>
                </w:rPr>
                <m:t>m</m:t>
              </m:r>
              <m:r>
                <m:rPr>
                  <m:sty m:val="p"/>
                </m:rPr>
                <w:rPr>
                  <w:rFonts w:hint="default" w:ascii="Cambria Math" w:hAnsi="Cambria Math"/>
                  <w:sz w:val="21"/>
                </w:rPr>
                <m:t>×</m:t>
              </m:r>
              <m:r>
                <m:rPr/>
                <w:rPr>
                  <w:rFonts w:hint="default" w:ascii="Cambria Math" w:hAnsi="Cambria Math"/>
                  <w:sz w:val="21"/>
                </w:rPr>
                <m:t>1000</m:t>
              </m:r>
              <m:ctrlPr>
                <w:rPr>
                  <w:rFonts w:ascii="Cambria Math" w:hAnsi="Cambria Math"/>
                  <w:sz w:val="21"/>
                </w:rPr>
              </m:ctrlPr>
            </m:den>
          </m:f>
        </m:oMath>
      </m:oMathPara>
    </w:p>
    <w:p w14:paraId="29A6EF99">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式中：</w:t>
      </w:r>
    </w:p>
    <w:p w14:paraId="50894EAC">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X——党参多糖的百分含量，单位为（%）</w:t>
      </w:r>
    </w:p>
    <w:p w14:paraId="0F0DFB6A">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C1——根据标准曲线回归方程计算出党参多糖的含量，单位为毫克每毫升mg/ml。</w:t>
      </w:r>
    </w:p>
    <w:p w14:paraId="2CBC45AF">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f——溶液的稀释倍数；</w:t>
      </w:r>
    </w:p>
    <w:p w14:paraId="16976C8C">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V——溶液的定容体积，单位为毫升ml;</w:t>
      </w:r>
    </w:p>
    <w:p w14:paraId="3876A8CF">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m——样品的取样量，质量为克g。</w:t>
      </w:r>
    </w:p>
    <w:p w14:paraId="25718A8B">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计算结果精确到小数点后两位。</w:t>
      </w:r>
    </w:p>
    <w:p w14:paraId="57016C16">
      <w:pPr>
        <w:rPr>
          <w:rFonts w:hint="default" w:ascii="宋体" w:hAnsi="Times New Roman" w:cs="Times New Roman"/>
          <w:kern w:val="0"/>
          <w:sz w:val="21"/>
          <w:szCs w:val="20"/>
          <w:lang w:val="en-US" w:eastAsia="zh-CN" w:bidi="ar-SA"/>
        </w:rPr>
      </w:pPr>
      <w:r>
        <w:rPr>
          <w:rFonts w:hint="default" w:ascii="宋体" w:hAnsi="Times New Roman" w:cs="Times New Roman"/>
          <w:kern w:val="0"/>
          <w:sz w:val="21"/>
          <w:szCs w:val="20"/>
          <w:lang w:val="en-US" w:eastAsia="zh-CN" w:bidi="ar-SA"/>
        </w:rPr>
        <w:br w:type="page"/>
      </w:r>
    </w:p>
    <w:p w14:paraId="0EEF6DF9">
      <w:pPr>
        <w:rPr>
          <w:rFonts w:hint="default" w:ascii="宋体" w:hAnsi="Times New Roman" w:cs="Times New Roman"/>
          <w:kern w:val="0"/>
          <w:sz w:val="21"/>
          <w:szCs w:val="20"/>
          <w:lang w:val="en-US" w:eastAsia="zh-CN" w:bidi="ar-SA"/>
        </w:rPr>
        <w:sectPr>
          <w:headerReference r:id="rId9" w:type="default"/>
          <w:footerReference r:id="rId10" w:type="default"/>
          <w:pgSz w:w="11906" w:h="16838"/>
          <w:pgMar w:top="2410" w:right="1134" w:bottom="1134" w:left="1134" w:header="1418" w:footer="1134" w:gutter="284"/>
          <w:cols w:space="425" w:num="1"/>
          <w:formProt w:val="0"/>
          <w:docGrid w:linePitch="312" w:charSpace="0"/>
        </w:sectPr>
      </w:pPr>
    </w:p>
    <w:p w14:paraId="07EE4495">
      <w:pPr>
        <w:pStyle w:val="64"/>
        <w:adjustRightInd w:val="0"/>
        <w:snapToGrid w:val="0"/>
        <w:spacing w:before="0" w:beforeLines="0" w:after="0" w:afterLines="0" w:line="240" w:lineRule="auto"/>
        <w:rPr>
          <w:rFonts w:hint="eastAsia" w:eastAsia="黑体"/>
          <w:bCs/>
          <w:lang w:eastAsia="zh-CN"/>
        </w:rPr>
      </w:pPr>
      <w:r>
        <w:rPr>
          <w:rFonts w:hint="eastAsia"/>
          <w:bCs/>
        </w:rPr>
        <w:t>附录</w:t>
      </w:r>
      <w:r>
        <w:rPr>
          <w:rFonts w:hint="eastAsia"/>
          <w:bCs/>
          <w:lang w:val="en-US" w:eastAsia="zh-CN"/>
        </w:rPr>
        <w:t>B</w:t>
      </w:r>
    </w:p>
    <w:p w14:paraId="28590A9A">
      <w:pPr>
        <w:pStyle w:val="64"/>
        <w:adjustRightInd w:val="0"/>
        <w:snapToGrid w:val="0"/>
        <w:spacing w:before="0" w:beforeLines="0" w:after="0" w:afterLines="0" w:line="240" w:lineRule="auto"/>
        <w:rPr>
          <w:bCs/>
        </w:rPr>
      </w:pPr>
      <w:r>
        <w:rPr>
          <w:rFonts w:hint="eastAsia"/>
          <w:bCs/>
        </w:rPr>
        <w:t>（</w:t>
      </w:r>
      <w:r>
        <w:rPr>
          <w:rFonts w:hint="eastAsia"/>
          <w:bCs/>
          <w:lang w:val="en-US" w:eastAsia="zh-CN"/>
        </w:rPr>
        <w:t>规范</w:t>
      </w:r>
      <w:r>
        <w:rPr>
          <w:rFonts w:hint="eastAsia"/>
          <w:bCs/>
        </w:rPr>
        <w:t>性）</w:t>
      </w:r>
    </w:p>
    <w:p w14:paraId="361BD45D">
      <w:pPr>
        <w:jc w:val="center"/>
        <w:rPr>
          <w:rFonts w:hint="default" w:ascii="宋体" w:hAnsi="Times New Roman" w:cs="Times New Roman"/>
          <w:kern w:val="0"/>
          <w:sz w:val="21"/>
          <w:szCs w:val="20"/>
          <w:lang w:val="en-US" w:eastAsia="zh-CN" w:bidi="ar-SA"/>
        </w:rPr>
      </w:pPr>
      <w:r>
        <w:rPr>
          <w:rFonts w:hint="eastAsia" w:ascii="Arial" w:hAnsi="Arial" w:cs="Arial"/>
          <w:snapToGrid w:val="0"/>
          <w:color w:val="000000"/>
          <w:spacing w:val="1"/>
          <w:kern w:val="0"/>
          <w:sz w:val="20"/>
          <w:szCs w:val="20"/>
          <w:lang w:val="en-US" w:eastAsia="zh-CN"/>
        </w:rPr>
        <w:t>党参炔苷含量测定方法</w:t>
      </w:r>
    </w:p>
    <w:p w14:paraId="6B2DA136">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B.1仪器</w:t>
      </w:r>
    </w:p>
    <w:p w14:paraId="5FEE1B18">
      <w:pPr>
        <w:pStyle w:val="57"/>
        <w:spacing w:line="360" w:lineRule="auto"/>
        <w:ind w:firstLine="420" w:firstLineChars="200"/>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高效液相色谱仪，具紫外检测器（或二极管阵列检测器）；分析天平；超声波清洗器；离心机。</w:t>
      </w:r>
    </w:p>
    <w:p w14:paraId="5BF18313">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B.2试剂</w:t>
      </w:r>
    </w:p>
    <w:p w14:paraId="1169967A">
      <w:pPr>
        <w:pStyle w:val="64"/>
        <w:spacing w:before="96" w:after="120"/>
        <w:ind w:firstLine="420" w:firstLineChars="200"/>
        <w:jc w:val="both"/>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党参炔苷对照品（纯度≥98%）；甲醇（色谱纯）；乙腈（色谱纯）；水</w:t>
      </w:r>
      <w:r>
        <w:rPr>
          <w:rFonts w:hint="eastAsia" w:ascii="宋体" w:hAnsi="Times New Roman" w:eastAsia="宋体" w:cs="Times New Roman"/>
          <w:kern w:val="0"/>
          <w:sz w:val="21"/>
          <w:szCs w:val="20"/>
          <w:lang w:val="en-US" w:eastAsia="zh-CN" w:bidi="ar-SA"/>
        </w:rPr>
        <w:t>。</w:t>
      </w:r>
    </w:p>
    <w:p w14:paraId="14E899A6">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B.3色谱条件</w:t>
      </w:r>
    </w:p>
    <w:p w14:paraId="7FBBAF3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色谱柱：以十八烷基硅烷键合硅胶为填充剂（柱长250mm，内径4.6mm，粒径5μm）。</w:t>
      </w:r>
    </w:p>
    <w:p w14:paraId="7942133C">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流动相：乙腈-水（25:75）。</w:t>
      </w:r>
    </w:p>
    <w:p w14:paraId="43371314">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检测波长：268nm。</w:t>
      </w:r>
    </w:p>
    <w:p w14:paraId="6E08A099">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流速：1.0mL/min。</w:t>
      </w:r>
    </w:p>
    <w:p w14:paraId="515508F3">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柱温：30℃。</w:t>
      </w:r>
    </w:p>
    <w:p w14:paraId="4E396E6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进样量：10μL。</w:t>
      </w:r>
    </w:p>
    <w:p w14:paraId="08F8B643">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理论板数按党参炔苷峰计算应不低于3000。</w:t>
      </w:r>
    </w:p>
    <w:p w14:paraId="13402B41">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B.4对照品溶液的制备</w:t>
      </w:r>
    </w:p>
    <w:p w14:paraId="6D2E6111">
      <w:pPr>
        <w:pStyle w:val="57"/>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取党参炔苷对照品适量，精密称定，加甲醇制成每1mL含党参炔苷0.1mg的溶液，即得</w:t>
      </w:r>
    </w:p>
    <w:p w14:paraId="61A29721">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B.5供试品溶液的制备</w:t>
      </w:r>
    </w:p>
    <w:p w14:paraId="4924128C">
      <w:pPr>
        <w:pStyle w:val="64"/>
        <w:spacing w:before="96" w:after="120"/>
        <w:ind w:firstLine="420" w:firstLineChars="200"/>
        <w:jc w:val="both"/>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取本品粉末（过4号筛）约0.5g，精密称定，置具塞锥形瓶中，精密加入甲醇25mL，密塞，称定重量，超声处理30min，放冷，再称定重量，用甲醇补足减失的重量，摇匀，滤过，取续滤液，即得</w:t>
      </w:r>
      <w:r>
        <w:rPr>
          <w:rFonts w:hint="eastAsia" w:ascii="宋体" w:hAnsi="Times New Roman" w:eastAsia="宋体" w:cs="Times New Roman"/>
          <w:kern w:val="0"/>
          <w:sz w:val="21"/>
          <w:szCs w:val="20"/>
          <w:lang w:val="en-US" w:eastAsia="zh-CN" w:bidi="ar-SA"/>
        </w:rPr>
        <w:t>。</w:t>
      </w:r>
    </w:p>
    <w:p w14:paraId="5D6B20A7">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default"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B.6测定</w:t>
      </w:r>
    </w:p>
    <w:p w14:paraId="6001783A">
      <w:pPr>
        <w:pStyle w:val="64"/>
        <w:shd w:val="clear" w:color="FFFFFF" w:fill="FFFFFF"/>
        <w:spacing w:before="96" w:after="120"/>
        <w:ind w:firstLine="420" w:firstLineChars="200"/>
        <w:jc w:val="both"/>
        <w:rPr>
          <w:rFonts w:hint="eastAsia"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分别精密吸取对照品溶液与供试品溶液各10μL，注入液相色谱仪，测定，即得</w:t>
      </w:r>
      <w:r>
        <w:rPr>
          <w:rFonts w:hint="eastAsia" w:ascii="宋体" w:hAnsi="Times New Roman" w:eastAsia="宋体" w:cs="Times New Roman"/>
          <w:kern w:val="0"/>
          <w:sz w:val="21"/>
          <w:szCs w:val="20"/>
          <w:lang w:val="en-US" w:eastAsia="zh-CN" w:bidi="ar-SA"/>
        </w:rPr>
        <w:t>。</w:t>
      </w:r>
    </w:p>
    <w:p w14:paraId="5790494B">
      <w:pPr>
        <w:pStyle w:val="106"/>
        <w:keepNext w:val="0"/>
        <w:keepLines w:val="0"/>
        <w:pageBreakBefore w:val="0"/>
        <w:widowControl/>
        <w:numPr>
          <w:ilvl w:val="2"/>
          <w:numId w:val="0"/>
        </w:numPr>
        <w:kinsoku/>
        <w:wordWrap/>
        <w:overflowPunct/>
        <w:topLinePunct w:val="0"/>
        <w:autoSpaceDE/>
        <w:autoSpaceDN/>
        <w:bidi w:val="0"/>
        <w:adjustRightInd/>
        <w:snapToGrid/>
        <w:spacing w:before="157" w:beforeLines="50" w:after="157" w:afterLines="50" w:line="240" w:lineRule="auto"/>
        <w:ind w:leftChars="0"/>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B.7结果计算</w:t>
      </w:r>
    </w:p>
    <w:p w14:paraId="79798831">
      <w:pPr>
        <w:pStyle w:val="57"/>
        <w:keepNext w:val="0"/>
        <w:keepLines w:val="0"/>
        <w:pageBreakBefore w:val="0"/>
        <w:kinsoku/>
        <w:wordWrap/>
        <w:overflowPunct/>
        <w:topLinePunct w:val="0"/>
        <w:bidi w:val="0"/>
        <w:snapToGrid/>
        <w:spacing w:line="240" w:lineRule="auto"/>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按干燥品计算，含党参炔苷（C₂₀H₂₈O₈）的百分含量，按下式计算：</w:t>
      </w:r>
    </w:p>
    <w:p w14:paraId="4C725886">
      <w:pPr>
        <w:keepNext w:val="0"/>
        <w:keepLines w:val="0"/>
        <w:pageBreakBefore w:val="0"/>
        <w:kinsoku/>
        <w:wordWrap/>
        <w:overflowPunct/>
        <w:topLinePunct w:val="0"/>
        <w:bidi w:val="0"/>
        <w:snapToGrid/>
        <w:spacing w:line="240" w:lineRule="auto"/>
        <w:textAlignment w:val="auto"/>
        <w:rPr>
          <w:rFonts w:hint="default"/>
          <w:lang w:val="en-US" w:eastAsia="zh-CN"/>
        </w:rPr>
      </w:pPr>
      <m:oMathPara>
        <m:oMath>
          <m:r>
            <m:rPr/>
            <w:rPr>
              <w:rFonts w:hint="default" w:ascii="Cambria Math" w:hAnsi="Cambria Math"/>
              <w:sz w:val="21"/>
            </w:rPr>
            <m:t>X=</m:t>
          </m:r>
          <m:f>
            <m:fPr>
              <m:ctrlPr>
                <w:rPr>
                  <w:rFonts w:hint="default" w:ascii="Cambria Math" w:hAnsi="Cambria Math"/>
                  <w:i/>
                  <w:sz w:val="21"/>
                </w:rPr>
              </m:ctrlPr>
            </m:fPr>
            <m:num>
              <m:sSub>
                <m:sSubPr>
                  <m:ctrlPr>
                    <w:rPr>
                      <w:rFonts w:hint="default" w:ascii="Cambria Math" w:hAnsi="Cambria Math"/>
                      <w:sz w:val="21"/>
                    </w:rPr>
                  </m:ctrlPr>
                </m:sSubPr>
                <m:e>
                  <m:r>
                    <m:rPr/>
                    <w:rPr>
                      <w:rFonts w:hint="default" w:ascii="Cambria Math" w:hAnsi="Cambria Math"/>
                      <w:sz w:val="21"/>
                    </w:rPr>
                    <m:t>A</m:t>
                  </m:r>
                  <m:ctrlPr>
                    <w:rPr>
                      <w:rFonts w:ascii="Cambria Math" w:hAnsi="Cambria Math"/>
                      <w:sz w:val="21"/>
                    </w:rPr>
                  </m:ctrlPr>
                </m:e>
                <m:sub>
                  <m:r>
                    <m:rPr/>
                    <w:rPr>
                      <w:rFonts w:hint="default" w:ascii="Cambria Math" w:hAnsi="Cambria Math"/>
                      <w:sz w:val="21"/>
                    </w:rPr>
                    <m:t>x</m:t>
                  </m:r>
                  <m:ctrlPr>
                    <w:rPr>
                      <w:rFonts w:ascii="Cambria Math" w:hAnsi="Cambria Math"/>
                      <w:sz w:val="21"/>
                    </w:rPr>
                  </m:ctrlPr>
                </m:sub>
              </m:sSub>
              <m:r>
                <m:rPr>
                  <m:sty m:val="p"/>
                </m:rPr>
                <w:rPr>
                  <w:rFonts w:hint="default" w:ascii="Cambria Math" w:hAnsi="Cambria Math"/>
                  <w:sz w:val="21"/>
                </w:rPr>
                <m:t>×</m:t>
              </m:r>
              <m:sSub>
                <m:sSubPr>
                  <m:ctrlPr>
                    <w:rPr>
                      <w:rFonts w:hint="default" w:ascii="Cambria Math" w:hAnsi="Cambria Math"/>
                      <w:sz w:val="21"/>
                    </w:rPr>
                  </m:ctrlPr>
                </m:sSubPr>
                <m:e>
                  <m:r>
                    <m:rPr/>
                    <w:rPr>
                      <w:rFonts w:hint="default" w:ascii="Cambria Math" w:hAnsi="Cambria Math"/>
                      <w:sz w:val="21"/>
                    </w:rPr>
                    <m:t>C</m:t>
                  </m:r>
                  <m:ctrlPr>
                    <w:rPr>
                      <w:rFonts w:ascii="Cambria Math" w:hAnsi="Cambria Math"/>
                      <w:sz w:val="21"/>
                    </w:rPr>
                  </m:ctrlPr>
                </m:e>
                <m:sub>
                  <m:r>
                    <m:rPr/>
                    <w:rPr>
                      <w:rFonts w:hint="default" w:ascii="Cambria Math" w:hAnsi="Cambria Math"/>
                      <w:sz w:val="21"/>
                    </w:rPr>
                    <m:t>s</m:t>
                  </m:r>
                  <m:ctrlPr>
                    <w:rPr>
                      <w:rFonts w:ascii="Cambria Math" w:hAnsi="Cambria Math"/>
                      <w:sz w:val="21"/>
                    </w:rPr>
                  </m:ctrlPr>
                </m:sub>
              </m:sSub>
              <m:r>
                <m:rPr>
                  <m:sty m:val="p"/>
                </m:rPr>
                <w:rPr>
                  <w:rFonts w:hint="default" w:ascii="Cambria Math" w:hAnsi="Cambria Math"/>
                  <w:sz w:val="21"/>
                </w:rPr>
                <m:t>×</m:t>
              </m:r>
              <m:r>
                <m:rPr/>
                <w:rPr>
                  <w:rFonts w:hint="default" w:ascii="Cambria Math" w:hAnsi="Cambria Math"/>
                  <w:sz w:val="21"/>
                </w:rPr>
                <m:t>V</m:t>
              </m:r>
              <m:ctrlPr>
                <w:rPr>
                  <w:rFonts w:hint="default" w:ascii="Cambria Math" w:hAnsi="Cambria Math"/>
                  <w:sz w:val="21"/>
                </w:rPr>
              </m:ctrlPr>
            </m:num>
            <m:den>
              <m:sSub>
                <m:sSubPr>
                  <m:ctrlPr>
                    <w:rPr>
                      <w:rFonts w:hint="default" w:ascii="Cambria Math" w:hAnsi="Cambria Math"/>
                      <w:sz w:val="21"/>
                    </w:rPr>
                  </m:ctrlPr>
                </m:sSubPr>
                <m:e>
                  <m:r>
                    <m:rPr/>
                    <w:rPr>
                      <w:rFonts w:hint="default" w:ascii="Cambria Math" w:hAnsi="Cambria Math"/>
                      <w:sz w:val="21"/>
                    </w:rPr>
                    <m:t>A</m:t>
                  </m:r>
                  <m:ctrlPr>
                    <w:rPr>
                      <w:rFonts w:ascii="Cambria Math" w:hAnsi="Cambria Math"/>
                      <w:sz w:val="21"/>
                    </w:rPr>
                  </m:ctrlPr>
                </m:e>
                <m:sub>
                  <m:r>
                    <m:rPr/>
                    <w:rPr>
                      <w:rFonts w:hint="default" w:ascii="Cambria Math" w:hAnsi="Cambria Math"/>
                      <w:sz w:val="21"/>
                    </w:rPr>
                    <m:t>s</m:t>
                  </m:r>
                  <m:ctrlPr>
                    <w:rPr>
                      <w:rFonts w:ascii="Cambria Math" w:hAnsi="Cambria Math"/>
                      <w:sz w:val="21"/>
                    </w:rPr>
                  </m:ctrlPr>
                </m:sub>
              </m:sSub>
              <m:r>
                <m:rPr>
                  <m:sty m:val="p"/>
                </m:rPr>
                <w:rPr>
                  <w:rFonts w:hint="default" w:ascii="Cambria Math" w:hAnsi="Cambria Math"/>
                  <w:sz w:val="21"/>
                </w:rPr>
                <m:t>×</m:t>
              </m:r>
              <m:r>
                <m:rPr/>
                <w:rPr>
                  <w:rFonts w:hint="default" w:ascii="Cambria Math" w:hAnsi="Cambria Math"/>
                  <w:sz w:val="21"/>
                </w:rPr>
                <m:t>m</m:t>
              </m:r>
              <m:r>
                <m:rPr>
                  <m:sty m:val="p"/>
                </m:rPr>
                <w:rPr>
                  <w:rFonts w:hint="default" w:ascii="Cambria Math" w:hAnsi="Cambria Math"/>
                  <w:sz w:val="21"/>
                </w:rPr>
                <m:t>×</m:t>
              </m:r>
              <m:r>
                <m:rPr/>
                <w:rPr>
                  <w:rFonts w:hint="default" w:ascii="Cambria Math" w:hAnsi="Cambria Math"/>
                  <w:sz w:val="21"/>
                </w:rPr>
                <m:t>1000</m:t>
              </m:r>
              <m:ctrlPr>
                <w:rPr>
                  <w:rFonts w:hint="default" w:ascii="Cambria Math" w:hAnsi="Cambria Math"/>
                  <w:sz w:val="21"/>
                </w:rPr>
              </m:ctrlPr>
            </m:den>
          </m:f>
          <m:r>
            <m:rPr>
              <m:sty m:val="p"/>
            </m:rPr>
            <w:rPr>
              <w:rFonts w:hint="default" w:ascii="Cambria Math" w:hAnsi="Cambria Math"/>
              <w:sz w:val="21"/>
            </w:rPr>
            <m:t>×</m:t>
          </m:r>
          <m:r>
            <m:rPr/>
            <w:rPr>
              <w:rFonts w:hint="default" w:ascii="Cambria Math" w:hAnsi="Cambria Math"/>
              <w:sz w:val="21"/>
            </w:rPr>
            <m:t>100%</m:t>
          </m:r>
        </m:oMath>
      </m:oMathPara>
    </w:p>
    <w:p w14:paraId="4F3AE780">
      <w:pPr>
        <w:pStyle w:val="64"/>
        <w:keepNext w:val="0"/>
        <w:keepLines w:val="0"/>
        <w:pageBreakBefore w:val="0"/>
        <w:widowControl/>
        <w:kinsoku/>
        <w:wordWrap/>
        <w:overflowPunct/>
        <w:topLinePunct w:val="0"/>
        <w:autoSpaceDE/>
        <w:autoSpaceDN/>
        <w:bidi w:val="0"/>
        <w:snapToGrid/>
        <w:spacing w:before="96" w:after="120" w:line="240" w:lineRule="auto"/>
        <w:ind w:firstLine="420" w:firstLineChars="200"/>
        <w:jc w:val="both"/>
        <w:textAlignment w:val="auto"/>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zh-CN" w:bidi="ar-SA"/>
        </w:rPr>
        <w:t>式中：</w:t>
      </w:r>
    </w:p>
    <w:p w14:paraId="307A2189">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X——党参炔苷的百分含量，单位为百分号（%）；</w:t>
      </w:r>
    </w:p>
    <w:p w14:paraId="5C331137">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Ax——供试品溶液中党参炔苷的峰面积；</w:t>
      </w:r>
    </w:p>
    <w:p w14:paraId="3B87733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As——对照品溶液中党参炔苷的峰面积；</w:t>
      </w:r>
    </w:p>
    <w:p w14:paraId="7648727C">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Cs——对照品溶液的浓度，单位为毫克每毫升（mg/mL）；</w:t>
      </w:r>
    </w:p>
    <w:p w14:paraId="257F5D2F">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V——供试品溶液的定容体积，单位为毫升（mL）；</w:t>
      </w:r>
    </w:p>
    <w:p w14:paraId="73DD259B">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m——样品的取样量，单位为克（g）。</w:t>
      </w:r>
    </w:p>
    <w:p w14:paraId="74F8BB8F">
      <w:pPr>
        <w:pStyle w:val="64"/>
        <w:spacing w:before="96" w:after="120"/>
        <w:rPr>
          <w:spacing w:val="105"/>
        </w:rPr>
      </w:pPr>
    </w:p>
    <w:p w14:paraId="68A36A52">
      <w:pPr>
        <w:jc w:val="center"/>
        <w:rPr>
          <w:rFonts w:ascii="黑体" w:hAnsi="黑体" w:eastAsia="黑体"/>
        </w:rPr>
      </w:pPr>
      <w:r>
        <w:rPr>
          <w:rFonts w:hint="eastAsia"/>
        </w:rPr>
        <w:br w:type="page"/>
      </w:r>
      <w:bookmarkEnd w:id="50"/>
      <w:r>
        <w:rPr>
          <w:rFonts w:hint="eastAsia" w:ascii="黑体" w:hAnsi="黑体" w:eastAsia="黑体"/>
        </w:rPr>
        <w:t>参考文献</w:t>
      </w:r>
    </w:p>
    <w:p w14:paraId="754B805A">
      <w:pPr>
        <w:pStyle w:val="57"/>
        <w:ind w:firstLine="0" w:firstLineChars="0"/>
        <w:jc w:val="center"/>
        <w:rPr>
          <w:rFonts w:ascii="黑体" w:hAnsi="黑体" w:eastAsia="黑体"/>
        </w:rPr>
      </w:pPr>
    </w:p>
    <w:p w14:paraId="3A5BA98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[1] 国家医药管理局, 卫生部. 七十六种药材商品规格标准[S]. 北京, 1984.</w:t>
      </w:r>
    </w:p>
    <w:p w14:paraId="44E73DA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[2] 中华中医药学会. 道地药材 第51部分：潞党参: T/CACM 1020.51-2019[S]. 北京, 2019.</w:t>
      </w:r>
    </w:p>
    <w:p w14:paraId="0E62141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3</w:t>
      </w:r>
      <w:r>
        <w:rPr>
          <w:rFonts w:hint="default" w:ascii="宋体" w:hAnsi="Times New Roman" w:eastAsia="宋体" w:cs="Times New Roman"/>
          <w:kern w:val="0"/>
          <w:sz w:val="21"/>
          <w:szCs w:val="20"/>
          <w:lang w:val="en-US" w:eastAsia="zh-CN" w:bidi="ar-SA"/>
        </w:rPr>
        <w:t>]赵江燕,王东,高建平.道地药材“潞党参”与常用商品党参鉴别研究[J].中华中医药学刊,2015,33(01):76-79+7.DOI:10.13193/j.issn.1673-7717.2015.01.024.</w:t>
      </w:r>
    </w:p>
    <w:p w14:paraId="53FB033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4</w:t>
      </w:r>
      <w:r>
        <w:rPr>
          <w:rFonts w:hint="default" w:ascii="宋体" w:hAnsi="Times New Roman" w:eastAsia="宋体" w:cs="Times New Roman"/>
          <w:kern w:val="0"/>
          <w:sz w:val="21"/>
          <w:szCs w:val="20"/>
          <w:lang w:val="en-US" w:eastAsia="zh-CN" w:bidi="ar-SA"/>
        </w:rPr>
        <w:t>]张沙沙.潞党参药材商品等级及质量标准研究[D].山西医科大学,2019.</w:t>
      </w:r>
    </w:p>
    <w:p w14:paraId="1B1E9B04">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5</w:t>
      </w:r>
      <w:r>
        <w:rPr>
          <w:rFonts w:hint="default" w:ascii="宋体" w:hAnsi="Times New Roman" w:eastAsia="宋体" w:cs="Times New Roman"/>
          <w:kern w:val="0"/>
          <w:sz w:val="21"/>
          <w:szCs w:val="20"/>
          <w:lang w:val="en-US" w:eastAsia="zh-CN" w:bidi="ar-SA"/>
        </w:rPr>
        <w:t>]赵江燕.潞党参与常用商品党参质量比较研究及潞党参质量标准制订[D].山西医科大学,2014.</w:t>
      </w:r>
    </w:p>
    <w:p w14:paraId="2D94EB2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80" w:beforeAutospacing="0" w:after="80" w:afterAutospacing="0" w:line="240" w:lineRule="auto"/>
        <w:ind w:left="0" w:right="0" w:firstLine="420" w:firstLineChars="200"/>
        <w:textAlignment w:val="auto"/>
        <w:rPr>
          <w:rFonts w:hint="default" w:ascii="宋体" w:hAnsi="Times New Roman" w:eastAsia="宋体" w:cs="Times New Roman"/>
          <w:kern w:val="0"/>
          <w:sz w:val="21"/>
          <w:szCs w:val="20"/>
          <w:lang w:val="en-US" w:eastAsia="zh-CN" w:bidi="ar-SA"/>
        </w:rPr>
      </w:pPr>
      <w:r>
        <w:rPr>
          <w:rFonts w:hint="default" w:ascii="宋体" w:hAnsi="Times New Roman" w:eastAsia="宋体" w:cs="Times New Roman"/>
          <w:kern w:val="0"/>
          <w:sz w:val="21"/>
          <w:szCs w:val="20"/>
          <w:lang w:val="en-US" w:eastAsia="zh-CN" w:bidi="ar-SA"/>
        </w:rPr>
        <w:t>[</w:t>
      </w:r>
      <w:r>
        <w:rPr>
          <w:rFonts w:hint="eastAsia" w:ascii="宋体" w:hAnsi="Times New Roman" w:cs="Times New Roman"/>
          <w:kern w:val="0"/>
          <w:sz w:val="21"/>
          <w:szCs w:val="20"/>
          <w:lang w:val="en-US" w:eastAsia="zh-CN" w:bidi="ar-SA"/>
        </w:rPr>
        <w:t>6</w:t>
      </w:r>
      <w:r>
        <w:rPr>
          <w:rFonts w:hint="default" w:ascii="宋体" w:hAnsi="Times New Roman" w:eastAsia="宋体" w:cs="Times New Roman"/>
          <w:kern w:val="0"/>
          <w:sz w:val="21"/>
          <w:szCs w:val="20"/>
          <w:lang w:val="en-US" w:eastAsia="zh-CN" w:bidi="ar-SA"/>
        </w:rPr>
        <w:t>]针娴.潞党参质量标准的研究[D].山西医科大学,2013.</w:t>
      </w:r>
    </w:p>
    <w:p w14:paraId="7B8BBE71">
      <w:pPr>
        <w:pStyle w:val="57"/>
        <w:spacing w:line="300" w:lineRule="auto"/>
        <w:ind w:firstLine="420"/>
        <w:jc w:val="left"/>
        <w:rPr>
          <w:rFonts w:hint="eastAsia" w:hAnsi="宋体"/>
        </w:rPr>
      </w:pPr>
    </w:p>
    <w:sectPr>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B80"/>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8B332D8"/>
    <w:rsid w:val="090B72F2"/>
    <w:rsid w:val="10063813"/>
    <w:rsid w:val="10B93AD7"/>
    <w:rsid w:val="12411FD6"/>
    <w:rsid w:val="13644ECD"/>
    <w:rsid w:val="150211C4"/>
    <w:rsid w:val="16F77107"/>
    <w:rsid w:val="18335F1D"/>
    <w:rsid w:val="18B76B4E"/>
    <w:rsid w:val="1AAB6751"/>
    <w:rsid w:val="1F49071C"/>
    <w:rsid w:val="242E0F1E"/>
    <w:rsid w:val="261A7284"/>
    <w:rsid w:val="265E2CFF"/>
    <w:rsid w:val="269B7732"/>
    <w:rsid w:val="2960467D"/>
    <w:rsid w:val="2E524076"/>
    <w:rsid w:val="2EC1207D"/>
    <w:rsid w:val="2F61560E"/>
    <w:rsid w:val="2FAE4637"/>
    <w:rsid w:val="2FFE33BB"/>
    <w:rsid w:val="31187057"/>
    <w:rsid w:val="33BE302F"/>
    <w:rsid w:val="3D670613"/>
    <w:rsid w:val="3ED100BA"/>
    <w:rsid w:val="4DC22AD5"/>
    <w:rsid w:val="4E1A37F5"/>
    <w:rsid w:val="5164091A"/>
    <w:rsid w:val="52727703"/>
    <w:rsid w:val="544337DB"/>
    <w:rsid w:val="57261BCD"/>
    <w:rsid w:val="57435475"/>
    <w:rsid w:val="596404E6"/>
    <w:rsid w:val="5A82491F"/>
    <w:rsid w:val="5A963B0E"/>
    <w:rsid w:val="5D6D5C42"/>
    <w:rsid w:val="5E03641E"/>
    <w:rsid w:val="60CF38D6"/>
    <w:rsid w:val="60E530F9"/>
    <w:rsid w:val="63D3141F"/>
    <w:rsid w:val="65442AE4"/>
    <w:rsid w:val="658633A0"/>
    <w:rsid w:val="6897167A"/>
    <w:rsid w:val="6E4229EA"/>
    <w:rsid w:val="74EE65C9"/>
    <w:rsid w:val="76E969F9"/>
    <w:rsid w:val="79D14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8</Pages>
  <Words>1553</Words>
  <Characters>1786</Characters>
  <Lines>61</Lines>
  <Paragraphs>17</Paragraphs>
  <TotalTime>5</TotalTime>
  <ScaleCrop>false</ScaleCrop>
  <LinksUpToDate>false</LinksUpToDate>
  <CharactersWithSpaces>1832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陈萌</cp:lastModifiedBy>
  <cp:lastPrinted>2021-11-28T03:39:00Z</cp:lastPrinted>
  <dcterms:modified xsi:type="dcterms:W3CDTF">2026-05-07T02:22:16Z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E4643E565F4D4DFBB6785DB29DECA62B_13</vt:lpwstr>
  </property>
  <property fmtid="{D5CDD505-2E9C-101B-9397-08002B2CF9AE}" pid="16" name="KSOTemplateDocerSaveRecord">
    <vt:lpwstr>eyJoZGlkIjoiOTNhYzk2NjdkNzE3ZjM0MDllNTZkZTZlMGYzZGI1YjEiLCJ1c2VySWQiOiI0MTg0NTA0MDAifQ==</vt:lpwstr>
  </property>
</Properties>
</file>