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F1137D">
      <w:pPr>
        <w:jc w:val="center"/>
        <w:rPr>
          <w:rFonts w:ascii="黑体" w:hAnsi="黑体" w:eastAsia="黑体"/>
          <w:sz w:val="32"/>
          <w:szCs w:val="32"/>
        </w:rPr>
      </w:pPr>
      <w:bookmarkStart w:id="0" w:name="_GoBack"/>
      <w:bookmarkEnd w:id="0"/>
      <w:r>
        <w:rPr>
          <w:rFonts w:hint="eastAsia" w:ascii="黑体" w:hAnsi="黑体" w:eastAsia="黑体"/>
          <w:sz w:val="32"/>
          <w:szCs w:val="32"/>
          <w:lang w:val="en-US" w:eastAsia="zh-CN"/>
        </w:rPr>
        <w:t>中国中医药研究促进会</w:t>
      </w:r>
      <w:r>
        <w:rPr>
          <w:rFonts w:hint="eastAsia" w:ascii="黑体" w:hAnsi="黑体" w:eastAsia="黑体"/>
          <w:sz w:val="32"/>
          <w:szCs w:val="32"/>
        </w:rPr>
        <w:t>标准</w:t>
      </w:r>
      <w:r>
        <w:rPr>
          <w:rFonts w:ascii="黑体" w:hAnsi="黑体" w:eastAsia="黑体"/>
          <w:sz w:val="32"/>
          <w:szCs w:val="32"/>
        </w:rPr>
        <w:br w:type="textWrapping"/>
      </w:r>
      <w:r>
        <w:rPr>
          <w:rFonts w:hint="eastAsia" w:ascii="黑体" w:hAnsi="黑体" w:eastAsia="黑体"/>
          <w:sz w:val="32"/>
          <w:szCs w:val="32"/>
        </w:rPr>
        <w:t>《</w:t>
      </w:r>
      <w:r>
        <w:rPr>
          <w:rFonts w:hint="eastAsia" w:ascii="黑体" w:hAnsi="黑体" w:eastAsia="黑体"/>
          <w:sz w:val="32"/>
          <w:szCs w:val="32"/>
          <w:lang w:val="en-US" w:eastAsia="zh-CN"/>
        </w:rPr>
        <w:t>潞党参质量等级》</w:t>
      </w:r>
      <w:r>
        <w:rPr>
          <w:rFonts w:hint="eastAsia" w:ascii="黑体" w:hAnsi="黑体" w:eastAsia="黑体"/>
          <w:sz w:val="32"/>
          <w:szCs w:val="32"/>
          <w:lang w:eastAsia="zh-CN"/>
        </w:rPr>
        <w:t>（</w:t>
      </w:r>
      <w:r>
        <w:rPr>
          <w:rFonts w:hint="eastAsia" w:ascii="黑体" w:hAnsi="黑体" w:eastAsia="黑体"/>
          <w:sz w:val="32"/>
          <w:szCs w:val="32"/>
          <w:lang w:val="en-US" w:eastAsia="zh-CN"/>
        </w:rPr>
        <w:t>征求意见稿</w:t>
      </w:r>
      <w:r>
        <w:rPr>
          <w:rFonts w:hint="eastAsia" w:ascii="黑体" w:hAnsi="黑体" w:eastAsia="黑体"/>
          <w:sz w:val="32"/>
          <w:szCs w:val="32"/>
          <w:lang w:eastAsia="zh-CN"/>
        </w:rPr>
        <w:t>）</w:t>
      </w:r>
      <w:r>
        <w:rPr>
          <w:rFonts w:hint="eastAsia" w:ascii="黑体" w:hAnsi="黑体" w:eastAsia="黑体"/>
          <w:sz w:val="32"/>
          <w:szCs w:val="32"/>
        </w:rPr>
        <w:t>编制说明</w:t>
      </w:r>
    </w:p>
    <w:p w14:paraId="298D70B1">
      <w:pPr>
        <w:jc w:val="center"/>
        <w:rPr>
          <w:rFonts w:ascii="宋体" w:hAnsi="宋体"/>
          <w:szCs w:val="21"/>
        </w:rPr>
      </w:pPr>
    </w:p>
    <w:p w14:paraId="17E47D9C">
      <w:pPr>
        <w:spacing w:line="360" w:lineRule="auto"/>
        <w:rPr>
          <w:rFonts w:ascii="Times New Roman" w:hAnsi="Times New Roman"/>
          <w:sz w:val="24"/>
          <w:szCs w:val="24"/>
        </w:rPr>
      </w:pPr>
      <w:r>
        <w:rPr>
          <w:rFonts w:ascii="Times New Roman" w:hAnsi="Times New Roman"/>
          <w:sz w:val="24"/>
          <w:szCs w:val="24"/>
        </w:rPr>
        <w:t>一、</w:t>
      </w:r>
      <w:r>
        <w:rPr>
          <w:rFonts w:ascii="Times New Roman" w:hAnsi="Times New Roman"/>
          <w:b/>
          <w:sz w:val="24"/>
          <w:szCs w:val="24"/>
        </w:rPr>
        <w:t>工作简况</w:t>
      </w:r>
    </w:p>
    <w:p w14:paraId="38AA3538">
      <w:pPr>
        <w:spacing w:line="360" w:lineRule="auto"/>
        <w:rPr>
          <w:rFonts w:ascii="Times New Roman" w:hAnsi="Times New Roman"/>
          <w:b/>
          <w:sz w:val="24"/>
          <w:szCs w:val="24"/>
        </w:rPr>
      </w:pPr>
      <w:r>
        <w:rPr>
          <w:rFonts w:ascii="Times New Roman" w:hAnsi="Times New Roman"/>
          <w:b/>
          <w:sz w:val="24"/>
          <w:szCs w:val="24"/>
        </w:rPr>
        <w:t>1、任务来源</w:t>
      </w:r>
    </w:p>
    <w:p w14:paraId="37D600C3">
      <w:pPr>
        <w:spacing w:line="360" w:lineRule="auto"/>
        <w:ind w:firstLine="480" w:firstLineChars="200"/>
        <w:rPr>
          <w:rFonts w:hint="default" w:ascii="Times New Roman" w:hAnsi="Times New Roman"/>
          <w:sz w:val="24"/>
          <w:szCs w:val="24"/>
          <w:lang w:val="en-US"/>
        </w:rPr>
      </w:pPr>
      <w:r>
        <w:rPr>
          <w:rFonts w:hint="eastAsia" w:ascii="Times New Roman" w:hAnsi="Times New Roman"/>
          <w:sz w:val="24"/>
          <w:szCs w:val="24"/>
          <w:lang w:val="en-US" w:eastAsia="zh-CN"/>
        </w:rPr>
        <w:t>《潞党参质量等级》是由中国中医药研究促进会于2026年4月30日批准立项的团体标准项目。根据中国中医药研究促进会《关于〈潞党参仓储流通技术规范〉等八个团体标准立项公告》，该标准由长治市中药材产业发展中心提出，中国中医药研究促进会归口，长治市中药材产业发展中心、中国标准化研究院等单位负责起草。</w:t>
      </w:r>
    </w:p>
    <w:p w14:paraId="482E41E0">
      <w:pPr>
        <w:spacing w:line="360" w:lineRule="auto"/>
        <w:rPr>
          <w:rFonts w:ascii="Times New Roman" w:hAnsi="Times New Roman"/>
          <w:b/>
          <w:sz w:val="24"/>
          <w:szCs w:val="24"/>
        </w:rPr>
      </w:pPr>
      <w:r>
        <w:rPr>
          <w:rFonts w:hint="eastAsia" w:ascii="Times New Roman" w:hAnsi="Times New Roman"/>
          <w:b/>
          <w:sz w:val="24"/>
          <w:szCs w:val="24"/>
        </w:rPr>
        <w:t>2、编制背景及目标</w:t>
      </w:r>
    </w:p>
    <w:p w14:paraId="48B5AD2C">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潞党参是著名的道地药材，因产于山西古潞州（今长治市一带）而得名，素有“党参之王”的美誉。其道地性特征表现为“狮子盘头大、横纹多、肉质紧实、嚼之无渣”，是山西省最具代表性的道地中药材之一。</w:t>
      </w:r>
    </w:p>
    <w:p w14:paraId="2A48D8B3">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近年来，国家高度重视中药材质量提升和标准化工作。《中华人民共和国中医药法》明确提出“建立道地中药材评价体系，支持道地中药材品种选育、生产基地建设和技术标准制定”。近年来，山西省及长治市将潞党参产业列为重点发展的特色农业产业，出台了一系列扶持政策。2025年山西省人民政府办公厅印发《山西省提升中药质量促进中医药产业高质量发展若干措施》（晋政办发〔2025〕19号），明确提出“聚焦黄芪、党参等晋产药食同源物质”“推动正北芪、潞党参等‘十大晋药’品牌化、标准化发展”。长治市人民政府办公室印发《长治市潞党参产业振兴行动方案（2025-2027年）》（长政办发〔2025〕6号），提出“完善标准体系，推进潞党参生产加工、质量等级等标准制订”。2026年4月，长治市中药材产业发展中心与中国标准化研究院正式启动潞党参全产业链标准体系建设工作，覆盖种植、加工、质量检测、仓储流通等全链条，为潞党参产业高质量发展提供了有力支撑。</w:t>
      </w:r>
    </w:p>
    <w:p w14:paraId="1905CFD8">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目前，长治市潞党参种植面积达6.8万亩，主产区涵盖平顺县、壶关县、沁源县等区域，形成了以龙头企业为引领、合作社和种植大户为主体的产业格局。潞党参品牌影响力不断提升，产品远销国内外市场，在药品、保健品、药食同源产品等多个领域得到广泛应用。</w:t>
      </w:r>
    </w:p>
    <w:p w14:paraId="24BAD17D">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然而，潞党参质量等级划分仍存在突出问题：一是《中国药典》通用标准难以突出潞党参的道地品质优势，其二等品与三等品在直径和长度上虽有差异，但未规定含量指标；二是现行商品等级标准沿用1984年发布的《七十六种药材商品规格标准》，仅以芦下直径、油条比例作为分级依据，未纳入多糖、党参炔苷等内在质量指标，潞党参与其他商品党参的差异无法体现。因此，本项目旨在通过制定《潞党参质量等级》团体标准，构建“外观性状+内在质量”的综合评价体系，为潞党参提供科学、统一、可操作的质量等级划分依据，系统提升其质量评价水平。</w:t>
      </w:r>
    </w:p>
    <w:p w14:paraId="4758EE04">
      <w:pPr>
        <w:spacing w:line="360" w:lineRule="auto"/>
        <w:rPr>
          <w:rFonts w:ascii="Times New Roman" w:hAnsi="Times New Roman"/>
          <w:b/>
          <w:sz w:val="24"/>
          <w:szCs w:val="24"/>
        </w:rPr>
      </w:pPr>
      <w:r>
        <w:rPr>
          <w:rFonts w:ascii="Times New Roman" w:hAnsi="Times New Roman"/>
          <w:b/>
          <w:sz w:val="24"/>
          <w:szCs w:val="24"/>
        </w:rPr>
        <w:t>3、工作过程</w:t>
      </w:r>
    </w:p>
    <w:p w14:paraId="1F5A6713">
      <w:pPr>
        <w:spacing w:line="360" w:lineRule="auto"/>
        <w:ind w:firstLine="480" w:firstLineChars="200"/>
        <w:rPr>
          <w:rFonts w:hint="default" w:ascii="Times New Roman" w:hAnsi="Times New Roman"/>
          <w:sz w:val="24"/>
          <w:szCs w:val="24"/>
          <w:lang w:val="en-US" w:eastAsia="zh-CN"/>
        </w:rPr>
      </w:pPr>
      <w:r>
        <w:rPr>
          <w:rFonts w:hint="eastAsia" w:ascii="Times New Roman" w:hAnsi="Times New Roman"/>
          <w:sz w:val="24"/>
          <w:szCs w:val="24"/>
          <w:lang w:val="en-US" w:eastAsia="zh-CN"/>
        </w:rPr>
        <w:t>（1）需求调研</w:t>
      </w:r>
    </w:p>
    <w:p w14:paraId="6A31101A">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2026年3月，长治市中药材产业发展中心与中国标准化研究院组成调研组，深入平顺县、沁源县、武乡县3个潞党参主产区乡镇（开发区），实地走访了振东等13家相关企业，查看了潞党参育苗基地、生产基地、加工车间和药材仓库，组织召开了3场座谈会，通过与企业负责人、合作社、种植大户、技术人员座谈及田间交流，对潞党参标准化水平进行了全面摸底。通过调研，标准研制小组明确了标准制定的重点方向和技术需求。</w:t>
      </w:r>
    </w:p>
    <w:p w14:paraId="7743AB3B">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（2）制定标准研制计划</w:t>
      </w:r>
    </w:p>
    <w:p w14:paraId="2CD124A4">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调研结束后，标准研制小组召开团体标准启动会，讨论标准框架，设计工作总体思路，分配具体任务。标准研制小组由长治市中药材产业发展中心、中国标准化研究院等单位的技术骨干组成，涵盖中药材质量评价、标准化研究、检验检测等专业领域。</w:t>
      </w:r>
    </w:p>
    <w:p w14:paraId="0D4C9E2D">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（3）资料收集与起草</w:t>
      </w:r>
    </w:p>
    <w:p w14:paraId="57F11179">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在调研基础上，标准研制小组系统收集整理了与党参质量评价及等级划分相关的法规、标准及科研文献资料。2026年4月，标准研制小组在需求调研和资料整理基础上，梳理潞党参质量等级现状及存在问题，结合调研中收集的企业实际需求和科研成果，起草形成《潞党参质量等级》标准草案初稿及相关立项材料。标准草案确定了潞党参的术语定义、性状特征、鉴别方法、检查项目（水分、总灰分、二氧化硫）、含量指标（多糖、党参炔苷）、商品规格等级划分及检验方法等主要内容。</w:t>
      </w:r>
    </w:p>
    <w:p w14:paraId="75FC0964">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（4）标准立项</w:t>
      </w:r>
    </w:p>
    <w:p w14:paraId="46906D15">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2026年4月，中国中医药研究促进会组织专家对《潞党参质量等级》等团体标准进行立项评审。经专家评议、研究论证，认为该标准符合立项条件，批准立项。同月，中国中医药研究促进会发布《关于〈潞党参仓储流通技术规范〉等八个团体标准立项公告》，将本标准列入编制计划。</w:t>
      </w:r>
    </w:p>
    <w:p w14:paraId="27773F44">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（5）征求意见阶段</w:t>
      </w:r>
    </w:p>
    <w:p w14:paraId="05D2B559">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根据立项评审会专家提出的建议反馈，标准研制小组对标准草案进行了修改完善，重点对规格等级划分指标值、含量测定方法等进行了优化调整，2026年5月，标准研制小组形成标准征求意见稿及编制说明等附件，拟通过中国中医药研究促进会网站向社会公开征求意见。</w:t>
      </w:r>
    </w:p>
    <w:p w14:paraId="4BAA5636">
      <w:pPr>
        <w:spacing w:line="360" w:lineRule="auto"/>
        <w:rPr>
          <w:rFonts w:ascii="Times New Roman" w:hAnsi="Times New Roman"/>
          <w:sz w:val="24"/>
          <w:szCs w:val="24"/>
        </w:rPr>
      </w:pPr>
      <w:r>
        <w:rPr>
          <w:rFonts w:ascii="Times New Roman" w:hAnsi="Times New Roman"/>
          <w:b/>
          <w:sz w:val="24"/>
          <w:szCs w:val="24"/>
        </w:rPr>
        <w:t>4、主要起草单位及起草人所做的工作</w:t>
      </w:r>
    </w:p>
    <w:p w14:paraId="3C2E4A43">
      <w:pPr>
        <w:spacing w:line="360" w:lineRule="auto"/>
        <w:ind w:firstLine="480" w:firstLineChars="200"/>
        <w:rPr>
          <w:rFonts w:hint="eastAsia" w:ascii="Times New Roman" w:hAnsi="Times New Roman"/>
          <w:sz w:val="24"/>
          <w:szCs w:val="24"/>
          <w:lang w:val="en-US" w:eastAsia="zh-CN"/>
        </w:rPr>
      </w:pPr>
      <w:r>
        <w:rPr>
          <w:rFonts w:hint="default" w:ascii="Times New Roman" w:hAnsi="Times New Roman"/>
          <w:sz w:val="24"/>
          <w:szCs w:val="24"/>
          <w:lang w:val="en-US" w:eastAsia="zh-CN"/>
        </w:rPr>
        <w:t>长治市中药材产业发展中心武东、王伟负责组织协调实地调研工作，对接</w:t>
      </w:r>
      <w:r>
        <w:rPr>
          <w:rFonts w:hint="eastAsia" w:ascii="Times New Roman" w:hAnsi="Times New Roman"/>
          <w:sz w:val="24"/>
          <w:szCs w:val="24"/>
          <w:lang w:val="en-US" w:eastAsia="zh-CN"/>
        </w:rPr>
        <w:t>长治市管理部门、企业、科研机构</w:t>
      </w:r>
      <w:r>
        <w:rPr>
          <w:rFonts w:hint="default" w:ascii="Times New Roman" w:hAnsi="Times New Roman"/>
          <w:sz w:val="24"/>
          <w:szCs w:val="24"/>
          <w:lang w:val="en-US" w:eastAsia="zh-CN"/>
        </w:rPr>
        <w:t>，组织召开了</w:t>
      </w:r>
      <w:r>
        <w:rPr>
          <w:rFonts w:hint="eastAsia" w:ascii="Times New Roman" w:hAnsi="Times New Roman"/>
          <w:sz w:val="24"/>
          <w:szCs w:val="24"/>
          <w:lang w:val="en-US" w:eastAsia="zh-CN"/>
        </w:rPr>
        <w:t>多</w:t>
      </w:r>
      <w:r>
        <w:rPr>
          <w:rFonts w:hint="default" w:ascii="Times New Roman" w:hAnsi="Times New Roman"/>
          <w:sz w:val="24"/>
          <w:szCs w:val="24"/>
          <w:lang w:val="en-US" w:eastAsia="zh-CN"/>
        </w:rPr>
        <w:t>座谈会，收集了潞党参产业一线的质量等级现状和实际需求，为标准制定提供了产业实践基础。</w:t>
      </w:r>
    </w:p>
    <w:p w14:paraId="172CDDA6">
      <w:pPr>
        <w:spacing w:line="360" w:lineRule="auto"/>
        <w:ind w:firstLine="480" w:firstLineChars="200"/>
        <w:rPr>
          <w:rFonts w:ascii="黑体" w:hAnsi="黑体" w:eastAsia="黑体"/>
          <w:sz w:val="24"/>
          <w:szCs w:val="24"/>
        </w:rPr>
      </w:pPr>
      <w:r>
        <w:rPr>
          <w:rFonts w:hint="default" w:ascii="Times New Roman" w:hAnsi="Times New Roman"/>
          <w:sz w:val="24"/>
          <w:szCs w:val="24"/>
          <w:lang w:val="en-US" w:eastAsia="zh-CN"/>
        </w:rPr>
        <w:t>中国标准化研究院（初侨、燕艳华）参与实地调研工作，负责调研方案设计和产业需求分析，梳理了潞党参标准化现状及存在的问题；陈萌负责国内外相关标准及科研文献的系统梳理、标准草案的起草和编制说明的撰写。</w:t>
      </w:r>
    </w:p>
    <w:p w14:paraId="5BBCD5AD">
      <w:pPr>
        <w:spacing w:line="360" w:lineRule="auto"/>
        <w:rPr>
          <w:rFonts w:ascii="黑体" w:hAnsi="黑体" w:eastAsia="黑体"/>
          <w:sz w:val="24"/>
          <w:szCs w:val="24"/>
        </w:rPr>
      </w:pPr>
      <w:r>
        <w:rPr>
          <w:rFonts w:ascii="黑体" w:hAnsi="黑体" w:eastAsia="黑体"/>
          <w:sz w:val="24"/>
          <w:szCs w:val="24"/>
        </w:rPr>
        <w:t>二、标准编制原则</w:t>
      </w:r>
      <w:r>
        <w:rPr>
          <w:rFonts w:hint="eastAsia" w:ascii="黑体" w:hAnsi="黑体" w:eastAsia="黑体"/>
          <w:sz w:val="24"/>
          <w:szCs w:val="24"/>
        </w:rPr>
        <w:t>和主要内容</w:t>
      </w:r>
    </w:p>
    <w:p w14:paraId="42299078">
      <w:pPr>
        <w:spacing w:line="360" w:lineRule="auto"/>
      </w:pPr>
      <w:r>
        <w:rPr>
          <w:rFonts w:hint="eastAsia" w:ascii="黑体" w:hAnsi="黑体" w:eastAsia="黑体"/>
          <w:sz w:val="24"/>
          <w:szCs w:val="24"/>
        </w:rPr>
        <w:t>1、标准制定原则</w:t>
      </w:r>
    </w:p>
    <w:p w14:paraId="33BC37E3">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本标准的编写制定以与现行药典标准协调统一、突出潞党参道地品质特征为总原则，严格遵循国家有关方针、政策、法规和规章。在标准制定过程中力求做到：技术内容的叙述正确无误；文字表达准确、简明、易懂；标准的构成严谨合理；内容编排、层次划分等符合逻辑与规定。</w:t>
      </w:r>
    </w:p>
    <w:p w14:paraId="422A17C4">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具体制定原则如下：</w:t>
      </w:r>
    </w:p>
    <w:p w14:paraId="325B50D7">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一是与《中国药典》保持协调统一。本标准在性状、鉴别、检查、含量测定等基本框架上与《中国药典》2025年版保持一致，检查项（水分、总灰分、二氧化硫残留量）的限度要求参照药典标准执行，确保本标准与国家强制性标准不冲突、不重复。</w:t>
      </w:r>
    </w:p>
    <w:p w14:paraId="00F08ADF">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二是基于文献研究确定技术指标。本标准中浸出物、多糖、党参炔苷等含量指标及规格等级划分的阈值，均以山西医科大学张沙沙《潞党参药材商品等级及质量标准研究》、赵江燕《潞党参与常用商品党参质量比较研究及潞党参质量标准制订》、针娴《潞党参质量标准的研究》等公开发表的学术论文为依据，确保技术指标的科学性和合理性。</w:t>
      </w:r>
    </w:p>
    <w:p w14:paraId="47114C9B">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三是体现潞党参道地品质优势。在符合《中国药典》通用要求的基础上，本标准针对潞党参的道地品质特征，增加了多糖含量</w:t>
      </w:r>
      <w:r>
        <w:rPr>
          <w:rFonts w:hint="eastAsia" w:ascii="Times New Roman" w:hAnsi="Times New Roman" w:eastAsia="宋体"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参炔苷测定指标，提高了浸出物限度要求（由55.0%提升至65.0%），使标准能够充分体现潞党参与其他产地党参的内在质量差异。</w:t>
      </w:r>
    </w:p>
    <w:p w14:paraId="572A43C9">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四是突出实用性和可操作性。标准的编写规则及表述按照GB/T 1.1-2020《标准化工作导则 第1部分：标准化文件的结构和起草规则》的要求编写，检验方法引用《中国药典》四部通则，附录提供了具体的含量测定操作步骤，便于检测机构和生产企业使用。</w:t>
      </w:r>
    </w:p>
    <w:p w14:paraId="7F6F2259">
      <w:pPr>
        <w:spacing w:line="360" w:lineRule="auto"/>
        <w:rPr>
          <w:rFonts w:ascii="黑体" w:hAnsi="黑体" w:eastAsia="黑体"/>
          <w:sz w:val="24"/>
          <w:szCs w:val="24"/>
        </w:rPr>
      </w:pPr>
      <w:r>
        <w:rPr>
          <w:rFonts w:hint="eastAsia" w:ascii="黑体" w:hAnsi="黑体" w:eastAsia="黑体"/>
          <w:sz w:val="24"/>
          <w:szCs w:val="24"/>
        </w:rPr>
        <w:t>2、标准主要技术内容</w:t>
      </w:r>
    </w:p>
    <w:p w14:paraId="75CB861D">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eastAsia"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本标准规定了潞党参的性状、鉴别、检查、含量、规格等级、检验方法等方面的要求，适用于潞党参药材的生产、流通以及使用过程的质量评价。</w:t>
      </w:r>
    </w:p>
    <w:p w14:paraId="298AEF7B">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（1）术语和定义：界定了潞党参的定义，明确其产地范围为山西省长治市及其周边生态环境相似地域，来源为桔梗科植物党参（Codonopsis pilosula (Franch.) Nannf.）的干燥根，生长年限为1年及以上。</w:t>
      </w:r>
    </w:p>
    <w:p w14:paraId="5546303F">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2）性状：规定了潞党参的外观性状特征，包括形状、大小、表面特征（狮子盘头、环状横纹）、质地、断面特征、气味等，突出潞党参的道地品质特征。同时以表格形式列出潞党参与白条党、纹党、板桥党等其他商品党参的性状鉴别要点。</w:t>
      </w:r>
    </w:p>
    <w:p w14:paraId="3221C755">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（3）鉴别：规定了潞党参的显微鉴别特征（木栓细胞、石细胞、乳管群、导管、菊糖等）和薄层色谱鉴别方法。</w:t>
      </w:r>
    </w:p>
    <w:p w14:paraId="48326C8F">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（4）检查：规定了水分、总灰分、二氧化硫残留量的限度要求。</w:t>
      </w:r>
    </w:p>
    <w:p w14:paraId="1BFAC560">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（5）含量：规定了多糖和党参炔苷的含量限度及测定方法。</w:t>
      </w:r>
    </w:p>
    <w:p w14:paraId="06D8282C">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（6）商品规格等级：规定了潞党参的基本要求（油条不超过10%，无虫蛀、无霉变、无杂质），将潞党参分为“选货”和“统货”，选货根据芦下直径、长度分为一等品、二等品、三等品。</w:t>
      </w:r>
    </w:p>
    <w:p w14:paraId="3A533ACB">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sz w:val="24"/>
          <w:szCs w:val="24"/>
          <w:lang w:val="en-US" w:eastAsia="zh-CN"/>
        </w:rPr>
      </w:pPr>
      <w:r>
        <w:rPr>
          <w:rFonts w:hint="default" w:ascii="Times New Roman" w:hAnsi="Times New Roman" w:eastAsia="宋体" w:cs="Times New Roman"/>
          <w:kern w:val="2"/>
          <w:sz w:val="24"/>
          <w:szCs w:val="24"/>
          <w:lang w:val="en-US" w:eastAsia="zh-CN" w:bidi="ar-SA"/>
        </w:rPr>
        <w:t>（7）检验方法：规定了取样、感官指标测定、显微鉴别、薄层鉴别、水分、总灰分、二氧化硫残留、浸出物、多糖含量、党参炔苷含量、芦下直径、长度的检验方法。</w:t>
      </w:r>
    </w:p>
    <w:p w14:paraId="2FB31BF5">
      <w:pPr>
        <w:spacing w:line="360" w:lineRule="auto"/>
        <w:rPr>
          <w:rFonts w:ascii="黑体" w:hAnsi="黑体" w:eastAsia="黑体"/>
          <w:sz w:val="24"/>
          <w:szCs w:val="24"/>
        </w:rPr>
      </w:pPr>
      <w:r>
        <w:rPr>
          <w:rFonts w:hint="eastAsia" w:ascii="黑体" w:hAnsi="黑体" w:eastAsia="黑体"/>
          <w:sz w:val="24"/>
          <w:szCs w:val="24"/>
        </w:rPr>
        <w:t>三</w:t>
      </w:r>
      <w:r>
        <w:rPr>
          <w:rFonts w:ascii="黑体" w:hAnsi="黑体" w:eastAsia="黑体"/>
          <w:sz w:val="24"/>
          <w:szCs w:val="24"/>
        </w:rPr>
        <w:t>、</w:t>
      </w:r>
      <w:r>
        <w:rPr>
          <w:rFonts w:hint="eastAsia" w:ascii="黑体" w:hAnsi="黑体" w:eastAsia="黑体"/>
          <w:sz w:val="24"/>
          <w:szCs w:val="24"/>
        </w:rPr>
        <w:t>主要试验（或验证）情况分析</w:t>
      </w:r>
    </w:p>
    <w:p w14:paraId="60A087CE">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无</w:t>
      </w:r>
    </w:p>
    <w:p w14:paraId="73D457CB">
      <w:pPr>
        <w:spacing w:line="360" w:lineRule="auto"/>
        <w:rPr>
          <w:rFonts w:ascii="黑体" w:hAnsi="黑体" w:eastAsia="黑体"/>
          <w:sz w:val="24"/>
          <w:szCs w:val="24"/>
        </w:rPr>
      </w:pPr>
      <w:r>
        <w:rPr>
          <w:rFonts w:hint="eastAsia" w:ascii="黑体" w:hAnsi="黑体" w:eastAsia="黑体"/>
          <w:sz w:val="24"/>
          <w:szCs w:val="24"/>
        </w:rPr>
        <w:t>四、标准中涉及专利的情况</w:t>
      </w:r>
    </w:p>
    <w:p w14:paraId="6E728D66">
      <w:pPr>
        <w:spacing w:line="360" w:lineRule="auto"/>
        <w:ind w:firstLine="465"/>
        <w:rPr>
          <w:rFonts w:ascii="Times New Roman" w:hAnsi="Times New Roman"/>
          <w:sz w:val="24"/>
          <w:szCs w:val="24"/>
        </w:rPr>
      </w:pPr>
      <w:r>
        <w:rPr>
          <w:rFonts w:hint="eastAsia" w:ascii="Times New Roman" w:hAnsi="Times New Roman"/>
          <w:sz w:val="24"/>
          <w:szCs w:val="24"/>
        </w:rPr>
        <w:t>本标准中没有涉及专利的情况。</w:t>
      </w:r>
    </w:p>
    <w:p w14:paraId="2A22321A">
      <w:pPr>
        <w:spacing w:line="360" w:lineRule="auto"/>
        <w:rPr>
          <w:rFonts w:ascii="黑体" w:hAnsi="黑体" w:eastAsia="黑体"/>
          <w:sz w:val="24"/>
          <w:szCs w:val="24"/>
        </w:rPr>
      </w:pPr>
      <w:r>
        <w:rPr>
          <w:rFonts w:hint="eastAsia" w:ascii="黑体" w:hAnsi="黑体" w:eastAsia="黑体"/>
          <w:sz w:val="24"/>
          <w:szCs w:val="24"/>
        </w:rPr>
        <w:t>五</w:t>
      </w:r>
      <w:r>
        <w:rPr>
          <w:rFonts w:ascii="黑体" w:hAnsi="黑体" w:eastAsia="黑体"/>
          <w:sz w:val="24"/>
          <w:szCs w:val="24"/>
        </w:rPr>
        <w:t>、预期达到的社会效益、对产业发展的作用的情况</w:t>
      </w:r>
    </w:p>
    <w:p w14:paraId="6884B185">
      <w:pPr>
        <w:spacing w:line="360" w:lineRule="auto"/>
        <w:ind w:firstLine="480" w:firstLineChars="200"/>
        <w:jc w:val="left"/>
        <w:rPr>
          <w:rFonts w:hint="eastAsia"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本标准的研制和实施，具有以下重要作用：</w:t>
      </w:r>
    </w:p>
    <w:p w14:paraId="776FC33D">
      <w:pPr>
        <w:pStyle w:val="12"/>
        <w:keepNext w:val="0"/>
        <w:keepLines w:val="0"/>
        <w:widowControl/>
        <w:suppressLineNumbers w:val="0"/>
        <w:shd w:val="clear" w:fill="FFFFFF"/>
        <w:spacing w:before="80" w:beforeAutospacing="0" w:after="80" w:afterAutospacing="0" w:line="360" w:lineRule="auto"/>
        <w:ind w:left="0" w:right="0" w:firstLine="480" w:firstLineChars="20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一是填补标准空白。本标准将潞党参质量等级划分从单纯依赖外观性状升级为</w:t>
      </w:r>
      <w:r>
        <w:rPr>
          <w:rFonts w:hint="eastAsia" w:ascii="Times New Roman" w:hAnsi="Times New Roman" w:eastAsia="宋体"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外观性状+内在质量</w:t>
      </w:r>
      <w:r>
        <w:rPr>
          <w:rFonts w:hint="eastAsia" w:ascii="Times New Roman" w:hAnsi="Times New Roman" w:eastAsia="宋体"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的综合评价，填补了潞党参质量等级专项标准的空白。标准将多糖、党参炔苷等反映内在品质的指标纳入等级划分体系，与《中国药典》协调互补，使潞党参的品质优势得到科学评价和体现。</w:t>
      </w:r>
    </w:p>
    <w:p w14:paraId="2E94D97F">
      <w:pPr>
        <w:pStyle w:val="12"/>
        <w:keepNext w:val="0"/>
        <w:keepLines w:val="0"/>
        <w:widowControl/>
        <w:suppressLineNumbers w:val="0"/>
        <w:shd w:val="clear" w:fill="FFFFFF"/>
        <w:spacing w:before="80" w:beforeAutospacing="0" w:after="80" w:afterAutospacing="0" w:line="360" w:lineRule="auto"/>
        <w:ind w:left="0" w:right="0" w:firstLine="480" w:firstLineChars="20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二是支撑优质优价。统一的等级标准有助于规范市场交易行为，减少优质产品被混级压价现象。本标准将为优质潞党参获得应有价格溢价提供科学依据，提升种植户和加工企业经济效益。</w:t>
      </w:r>
    </w:p>
    <w:p w14:paraId="34B59EE8">
      <w:pPr>
        <w:pStyle w:val="12"/>
        <w:keepNext w:val="0"/>
        <w:keepLines w:val="0"/>
        <w:widowControl/>
        <w:suppressLineNumbers w:val="0"/>
        <w:shd w:val="clear" w:fill="FFFFFF"/>
        <w:spacing w:before="80" w:beforeAutospacing="0" w:after="80" w:afterAutospacing="0" w:line="360" w:lineRule="auto"/>
        <w:ind w:left="0" w:right="0" w:firstLine="480" w:firstLineChars="20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三是助力品牌建设。本标准为</w:t>
      </w:r>
      <w:r>
        <w:rPr>
          <w:rFonts w:hint="eastAsia" w:ascii="Times New Roman" w:hAnsi="Times New Roman" w:eastAsia="宋体"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潞党参</w:t>
      </w:r>
      <w:r>
        <w:rPr>
          <w:rFonts w:hint="eastAsia" w:ascii="Times New Roman" w:hAnsi="Times New Roman" w:eastAsia="宋体"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证明商标和地理标志产品保护提供技术支撑，增强潞党参地理标志产品的辨识度与公信力，推动潞党参从</w:t>
      </w:r>
      <w:r>
        <w:rPr>
          <w:rFonts w:hint="eastAsia" w:ascii="Times New Roman" w:hAnsi="Times New Roman" w:eastAsia="宋体"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卖原料</w:t>
      </w:r>
      <w:r>
        <w:rPr>
          <w:rFonts w:hint="eastAsia" w:ascii="Times New Roman" w:hAnsi="Times New Roman" w:eastAsia="宋体"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向</w:t>
      </w:r>
      <w:r>
        <w:rPr>
          <w:rFonts w:hint="eastAsia" w:ascii="Times New Roman" w:hAnsi="Times New Roman" w:eastAsia="宋体"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卖品牌</w:t>
      </w:r>
      <w:r>
        <w:rPr>
          <w:rFonts w:hint="eastAsia" w:ascii="Times New Roman" w:hAnsi="Times New Roman" w:eastAsia="宋体"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转型，提升市场竞争力。</w:t>
      </w:r>
    </w:p>
    <w:p w14:paraId="5408827D">
      <w:pPr>
        <w:keepNext w:val="0"/>
        <w:keepLines w:val="0"/>
        <w:pageBreakBefore w:val="0"/>
        <w:widowControl w:val="0"/>
        <w:kinsoku/>
        <w:wordWrap/>
        <w:overflowPunct/>
        <w:topLinePunct w:val="0"/>
        <w:autoSpaceDE/>
        <w:autoSpaceDN/>
        <w:bidi w:val="0"/>
        <w:adjustRightInd/>
        <w:snapToGrid/>
        <w:spacing w:before="157" w:beforeLines="50" w:line="360" w:lineRule="auto"/>
        <w:textAlignment w:val="auto"/>
        <w:rPr>
          <w:rFonts w:ascii="黑体" w:hAnsi="黑体" w:eastAsia="黑体"/>
          <w:sz w:val="24"/>
          <w:szCs w:val="24"/>
        </w:rPr>
      </w:pPr>
      <w:r>
        <w:rPr>
          <w:rFonts w:hint="eastAsia" w:ascii="黑体" w:hAnsi="黑体" w:eastAsia="黑体"/>
          <w:sz w:val="24"/>
          <w:szCs w:val="24"/>
        </w:rPr>
        <w:t>六</w:t>
      </w:r>
      <w:r>
        <w:rPr>
          <w:rFonts w:ascii="黑体" w:hAnsi="黑体" w:eastAsia="黑体"/>
          <w:sz w:val="24"/>
          <w:szCs w:val="24"/>
        </w:rPr>
        <w:t>、</w:t>
      </w:r>
      <w:r>
        <w:rPr>
          <w:rFonts w:hint="eastAsia" w:ascii="黑体" w:hAnsi="黑体" w:eastAsia="黑体"/>
          <w:sz w:val="24"/>
          <w:szCs w:val="24"/>
        </w:rPr>
        <w:t>采用国际标准和国外先进标准情况，与国际、国外同类标准水平的对比情况，国内外关键指标对比分析或与测试的国外样品、样机的相关数据对比情况</w:t>
      </w:r>
    </w:p>
    <w:p w14:paraId="56681590">
      <w:pPr>
        <w:spacing w:line="360" w:lineRule="auto"/>
        <w:ind w:firstLine="480" w:firstLineChars="200"/>
        <w:jc w:val="left"/>
        <w:rPr>
          <w:rFonts w:ascii="Times New Roman" w:hAnsi="Times New Roman"/>
          <w:b/>
          <w:sz w:val="24"/>
          <w:szCs w:val="24"/>
        </w:rPr>
      </w:pPr>
      <w:r>
        <w:rPr>
          <w:rFonts w:hint="eastAsia" w:ascii="Times New Roman" w:hAnsi="Times New Roman"/>
          <w:sz w:val="24"/>
          <w:szCs w:val="24"/>
          <w:lang w:val="en-US" w:eastAsia="zh-CN"/>
        </w:rPr>
        <w:t>本标准的制定未采用国际标准</w:t>
      </w:r>
    </w:p>
    <w:p w14:paraId="61071F9F">
      <w:pPr>
        <w:spacing w:line="360" w:lineRule="auto"/>
        <w:rPr>
          <w:rFonts w:ascii="黑体" w:hAnsi="黑体" w:eastAsia="黑体"/>
          <w:sz w:val="24"/>
          <w:szCs w:val="24"/>
        </w:rPr>
      </w:pPr>
      <w:r>
        <w:rPr>
          <w:rFonts w:hint="eastAsia" w:ascii="黑体" w:hAnsi="黑体" w:eastAsia="黑体"/>
          <w:sz w:val="24"/>
          <w:szCs w:val="24"/>
        </w:rPr>
        <w:t>七</w:t>
      </w:r>
      <w:r>
        <w:rPr>
          <w:rFonts w:ascii="黑体" w:hAnsi="黑体" w:eastAsia="黑体"/>
          <w:sz w:val="24"/>
          <w:szCs w:val="24"/>
        </w:rPr>
        <w:t>、在标准体系中的位置，与现行相关法律、法规、规章及相关标准，特别是强制性标准的协调性</w:t>
      </w:r>
    </w:p>
    <w:p w14:paraId="48F34410">
      <w:pPr>
        <w:spacing w:line="360" w:lineRule="auto"/>
        <w:ind w:firstLine="480" w:firstLineChars="200"/>
        <w:rPr>
          <w:rFonts w:ascii="Times New Roman" w:hAnsi="Times New Roman"/>
          <w:sz w:val="24"/>
          <w:szCs w:val="24"/>
        </w:rPr>
      </w:pPr>
      <w:r>
        <w:rPr>
          <w:rFonts w:ascii="Times New Roman" w:hAnsi="Times New Roman"/>
          <w:sz w:val="24"/>
          <w:szCs w:val="24"/>
        </w:rPr>
        <w:t>本标准属于团体标准，与现行法律、法规、规章和政策以及有关基础和相关标准不矛盾。</w:t>
      </w:r>
    </w:p>
    <w:p w14:paraId="0F2BE574">
      <w:pPr>
        <w:spacing w:line="360" w:lineRule="auto"/>
        <w:rPr>
          <w:rFonts w:ascii="黑体" w:hAnsi="黑体" w:eastAsia="黑体"/>
          <w:sz w:val="24"/>
          <w:szCs w:val="24"/>
        </w:rPr>
      </w:pPr>
      <w:r>
        <w:rPr>
          <w:rFonts w:hint="eastAsia" w:ascii="黑体" w:hAnsi="黑体" w:eastAsia="黑体"/>
          <w:sz w:val="24"/>
          <w:szCs w:val="24"/>
        </w:rPr>
        <w:t>八</w:t>
      </w:r>
      <w:r>
        <w:rPr>
          <w:rFonts w:ascii="黑体" w:hAnsi="黑体" w:eastAsia="黑体"/>
          <w:sz w:val="24"/>
          <w:szCs w:val="24"/>
        </w:rPr>
        <w:t>、重大分歧意见的处理经过和依据</w:t>
      </w:r>
    </w:p>
    <w:p w14:paraId="31098F1F">
      <w:pPr>
        <w:spacing w:line="360" w:lineRule="auto"/>
        <w:ind w:firstLine="480" w:firstLineChars="200"/>
        <w:rPr>
          <w:rFonts w:ascii="Times New Roman" w:hAnsi="Times New Roman"/>
          <w:sz w:val="24"/>
          <w:szCs w:val="24"/>
        </w:rPr>
      </w:pPr>
      <w:r>
        <w:rPr>
          <w:rFonts w:ascii="Times New Roman" w:hAnsi="Times New Roman"/>
          <w:sz w:val="24"/>
          <w:szCs w:val="24"/>
        </w:rPr>
        <w:t>本标准未产生重大分歧意见</w:t>
      </w:r>
      <w:r>
        <w:rPr>
          <w:rFonts w:hint="eastAsia" w:ascii="Times New Roman" w:hAnsi="Times New Roman"/>
          <w:sz w:val="24"/>
          <w:szCs w:val="24"/>
        </w:rPr>
        <w:t>。</w:t>
      </w:r>
    </w:p>
    <w:p w14:paraId="4C1B385F">
      <w:pPr>
        <w:spacing w:line="360" w:lineRule="auto"/>
        <w:rPr>
          <w:rFonts w:ascii="黑体" w:hAnsi="黑体" w:eastAsia="黑体"/>
          <w:sz w:val="24"/>
          <w:szCs w:val="24"/>
        </w:rPr>
      </w:pPr>
      <w:r>
        <w:rPr>
          <w:rFonts w:hint="eastAsia" w:ascii="黑体" w:hAnsi="黑体" w:eastAsia="黑体"/>
          <w:sz w:val="24"/>
          <w:szCs w:val="24"/>
        </w:rPr>
        <w:t>九</w:t>
      </w:r>
      <w:r>
        <w:rPr>
          <w:rFonts w:ascii="黑体" w:hAnsi="黑体" w:eastAsia="黑体"/>
          <w:sz w:val="24"/>
          <w:szCs w:val="24"/>
        </w:rPr>
        <w:t>、标准性质的建议说明</w:t>
      </w:r>
    </w:p>
    <w:p w14:paraId="51F3ED73">
      <w:pPr>
        <w:spacing w:line="360" w:lineRule="auto"/>
        <w:ind w:firstLine="435"/>
        <w:rPr>
          <w:rFonts w:ascii="Times New Roman" w:hAnsi="Times New Roman"/>
          <w:sz w:val="24"/>
          <w:szCs w:val="24"/>
        </w:rPr>
      </w:pPr>
      <w:r>
        <w:rPr>
          <w:rFonts w:hint="eastAsia" w:ascii="Times New Roman" w:hAnsi="Times New Roman"/>
          <w:sz w:val="24"/>
          <w:szCs w:val="24"/>
        </w:rPr>
        <w:t>本标准为</w:t>
      </w:r>
      <w:r>
        <w:rPr>
          <w:rFonts w:hint="eastAsia" w:ascii="Times New Roman" w:hAnsi="Times New Roman"/>
          <w:sz w:val="24"/>
          <w:szCs w:val="24"/>
          <w:lang w:val="en-US" w:eastAsia="zh-CN"/>
        </w:rPr>
        <w:t>中国中医药研究促进会团体</w:t>
      </w:r>
      <w:r>
        <w:rPr>
          <w:rFonts w:hint="eastAsia" w:ascii="Times New Roman" w:hAnsi="Times New Roman"/>
          <w:sz w:val="24"/>
          <w:szCs w:val="24"/>
        </w:rPr>
        <w:t>标准，属于团体标准,供协会会员和社会自愿使用。</w:t>
      </w:r>
    </w:p>
    <w:p w14:paraId="30107A08">
      <w:pPr>
        <w:spacing w:line="360" w:lineRule="auto"/>
        <w:rPr>
          <w:rFonts w:ascii="黑体" w:hAnsi="黑体" w:eastAsia="黑体"/>
          <w:sz w:val="24"/>
          <w:szCs w:val="24"/>
        </w:rPr>
      </w:pPr>
      <w:r>
        <w:rPr>
          <w:rFonts w:hint="eastAsia" w:ascii="黑体" w:hAnsi="黑体" w:eastAsia="黑体"/>
          <w:sz w:val="24"/>
          <w:szCs w:val="24"/>
        </w:rPr>
        <w:t>十、贯彻标准的要求和措施建议</w:t>
      </w:r>
    </w:p>
    <w:p w14:paraId="074EFE80">
      <w:pPr>
        <w:spacing w:line="360" w:lineRule="auto"/>
        <w:ind w:firstLine="480" w:firstLineChars="200"/>
        <w:rPr>
          <w:rFonts w:ascii="Times New Roman" w:hAnsi="Times New Roman"/>
          <w:sz w:val="24"/>
          <w:szCs w:val="24"/>
        </w:rPr>
      </w:pPr>
      <w:r>
        <w:rPr>
          <w:rFonts w:ascii="Times New Roman" w:hAnsi="Times New Roman"/>
          <w:sz w:val="24"/>
          <w:szCs w:val="24"/>
        </w:rPr>
        <w:t>本标准为首次发布。</w:t>
      </w:r>
    </w:p>
    <w:p w14:paraId="248E3410">
      <w:pPr>
        <w:spacing w:line="360" w:lineRule="auto"/>
        <w:rPr>
          <w:rFonts w:ascii="黑体" w:hAnsi="黑体" w:eastAsia="黑体"/>
          <w:sz w:val="24"/>
          <w:szCs w:val="24"/>
        </w:rPr>
      </w:pPr>
      <w:r>
        <w:rPr>
          <w:rFonts w:ascii="黑体" w:hAnsi="黑体" w:eastAsia="黑体"/>
          <w:sz w:val="24"/>
          <w:szCs w:val="24"/>
        </w:rPr>
        <w:t>十</w:t>
      </w:r>
      <w:r>
        <w:rPr>
          <w:rFonts w:hint="eastAsia" w:ascii="黑体" w:hAnsi="黑体" w:eastAsia="黑体"/>
          <w:sz w:val="24"/>
          <w:szCs w:val="24"/>
        </w:rPr>
        <w:t>一</w:t>
      </w:r>
      <w:r>
        <w:rPr>
          <w:rFonts w:ascii="黑体" w:hAnsi="黑体" w:eastAsia="黑体"/>
          <w:sz w:val="24"/>
          <w:szCs w:val="24"/>
        </w:rPr>
        <w:t>、废止现行相关标准的建议</w:t>
      </w:r>
    </w:p>
    <w:p w14:paraId="1200D699">
      <w:pPr>
        <w:spacing w:line="360" w:lineRule="auto"/>
        <w:ind w:firstLine="480" w:firstLineChars="200"/>
        <w:rPr>
          <w:rFonts w:ascii="Times New Roman" w:hAnsi="Times New Roman"/>
          <w:sz w:val="24"/>
          <w:szCs w:val="24"/>
        </w:rPr>
      </w:pPr>
      <w:r>
        <w:rPr>
          <w:rFonts w:hint="eastAsia" w:ascii="Times New Roman" w:hAnsi="Times New Roman"/>
          <w:sz w:val="24"/>
          <w:szCs w:val="24"/>
        </w:rPr>
        <w:t>本标准为新起草的团体标准，无废止现行标准。</w:t>
      </w:r>
    </w:p>
    <w:p w14:paraId="537C7C82">
      <w:pPr>
        <w:spacing w:line="360" w:lineRule="auto"/>
        <w:rPr>
          <w:rFonts w:ascii="黑体" w:hAnsi="黑体" w:eastAsia="黑体"/>
          <w:sz w:val="24"/>
          <w:szCs w:val="24"/>
        </w:rPr>
      </w:pPr>
      <w:r>
        <w:rPr>
          <w:rFonts w:ascii="黑体" w:hAnsi="黑体" w:eastAsia="黑体"/>
          <w:sz w:val="24"/>
          <w:szCs w:val="24"/>
        </w:rPr>
        <w:t>十</w:t>
      </w:r>
      <w:r>
        <w:rPr>
          <w:rFonts w:hint="eastAsia" w:ascii="黑体" w:hAnsi="黑体" w:eastAsia="黑体"/>
          <w:sz w:val="24"/>
          <w:szCs w:val="24"/>
        </w:rPr>
        <w:t>二</w:t>
      </w:r>
      <w:r>
        <w:rPr>
          <w:rFonts w:ascii="黑体" w:hAnsi="黑体" w:eastAsia="黑体"/>
          <w:sz w:val="24"/>
          <w:szCs w:val="24"/>
        </w:rPr>
        <w:t>、其他应予说明的事项</w:t>
      </w:r>
    </w:p>
    <w:p w14:paraId="0D772E6F">
      <w:pPr>
        <w:spacing w:line="360" w:lineRule="auto"/>
        <w:ind w:firstLine="480" w:firstLineChars="200"/>
        <w:rPr>
          <w:rFonts w:ascii="Times New Roman" w:hAnsi="Times New Roman"/>
          <w:sz w:val="24"/>
          <w:szCs w:val="24"/>
        </w:rPr>
      </w:pPr>
      <w:r>
        <w:rPr>
          <w:rFonts w:hint="eastAsia" w:ascii="Times New Roman" w:hAnsi="Times New Roman"/>
          <w:sz w:val="24"/>
          <w:szCs w:val="24"/>
        </w:rPr>
        <w:t>无</w:t>
      </w:r>
    </w:p>
    <w:p w14:paraId="4D81F688">
      <w:pPr>
        <w:rPr>
          <w:rFonts w:ascii="Times New Roman" w:hAnsi="Times New Roman"/>
          <w:b/>
          <w:sz w:val="24"/>
          <w:szCs w:val="24"/>
        </w:rPr>
      </w:pPr>
    </w:p>
    <w:p w14:paraId="01C4914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226AFF"/>
    <w:multiLevelType w:val="multilevel"/>
    <w:tmpl w:val="03226AFF"/>
    <w:lvl w:ilvl="0" w:tentative="0">
      <w:start w:val="1"/>
      <w:numFmt w:val="decimal"/>
      <w:pStyle w:val="56"/>
      <w:suff w:val="space"/>
      <w:lvlText w:val="[%1]"/>
      <w:lvlJc w:val="left"/>
      <w:pPr>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115E081A"/>
    <w:multiLevelType w:val="multilevel"/>
    <w:tmpl w:val="115E081A"/>
    <w:lvl w:ilvl="0" w:tentative="0">
      <w:start w:val="1"/>
      <w:numFmt w:val="decimal"/>
      <w:pStyle w:val="59"/>
      <w:suff w:val="nothing"/>
      <w:lvlText w:val="%1  "/>
      <w:lvlJc w:val="left"/>
      <w:pPr>
        <w:ind w:left="283"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1" w:tentative="0">
      <w:start w:val="1"/>
      <w:numFmt w:val="decimal"/>
      <w:pStyle w:val="60"/>
      <w:suff w:val="nothing"/>
      <w:lvlText w:val="%1.%2  "/>
      <w:lvlJc w:val="left"/>
      <w:pPr>
        <w:ind w:left="1702" w:firstLine="0"/>
      </w:pPr>
      <w:rPr>
        <w:rFonts w:hint="eastAsia" w:ascii="黑体" w:hAnsi="黑体" w:eastAsia="黑体"/>
        <w:b w:val="0"/>
        <w:i w:val="0"/>
        <w:caps w:val="0"/>
        <w:smallCaps w:val="0"/>
        <w:strike w:val="0"/>
        <w:dstrike w:val="0"/>
        <w:vanish w:val="0"/>
        <w:color w:val="auto"/>
        <w:spacing w:val="0"/>
        <w:w w:val="100"/>
        <w:kern w:val="21"/>
        <w:position w:val="0"/>
        <w:sz w:val="21"/>
        <w:u w:val="none"/>
        <w:vertAlign w:val="baseline"/>
      </w:rPr>
    </w:lvl>
    <w:lvl w:ilvl="2" w:tentative="0">
      <w:start w:val="1"/>
      <w:numFmt w:val="decimal"/>
      <w:pStyle w:val="61"/>
      <w:suff w:val="nothing"/>
      <w:lvlText w:val="%1.%2.%3  "/>
      <w:lvlJc w:val="left"/>
      <w:pPr>
        <w:ind w:left="71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3" w:tentative="0">
      <w:start w:val="1"/>
      <w:numFmt w:val="decimal"/>
      <w:pStyle w:val="62"/>
      <w:suff w:val="nothing"/>
      <w:lvlText w:val="%1.%2.%3.%4  "/>
      <w:lvlJc w:val="left"/>
      <w:pPr>
        <w:ind w:left="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4" w:tentative="0">
      <w:start w:val="1"/>
      <w:numFmt w:val="decimal"/>
      <w:pStyle w:val="63"/>
      <w:suff w:val="nothing"/>
      <w:lvlText w:val="%1.%2.%3.%4.%5  "/>
      <w:lvlJc w:val="left"/>
      <w:pPr>
        <w:ind w:left="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5" w:tentative="0">
      <w:start w:val="1"/>
      <w:numFmt w:val="decimal"/>
      <w:pStyle w:val="64"/>
      <w:suff w:val="nothing"/>
      <w:lvlText w:val="%1.%2.%3.%4.%5.%6  "/>
      <w:lvlJc w:val="left"/>
      <w:pPr>
        <w:ind w:left="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6" w:tentative="0">
      <w:start w:val="1"/>
      <w:numFmt w:val="lowerRoman"/>
      <w:lvlText w:val="(%7)"/>
      <w:lvlJc w:val="left"/>
      <w:pPr>
        <w:tabs>
          <w:tab w:val="left" w:pos="5528"/>
        </w:tabs>
        <w:ind w:left="5102" w:firstLine="0"/>
      </w:pPr>
    </w:lvl>
    <w:lvl w:ilvl="7" w:tentative="0">
      <w:start w:val="1"/>
      <w:numFmt w:val="lowerLetter"/>
      <w:lvlText w:val="(%8)"/>
      <w:lvlJc w:val="left"/>
      <w:pPr>
        <w:tabs>
          <w:tab w:val="left" w:pos="6378"/>
        </w:tabs>
        <w:ind w:left="5953" w:firstLine="0"/>
      </w:pPr>
    </w:lvl>
    <w:lvl w:ilvl="8" w:tentative="0">
      <w:start w:val="1"/>
      <w:numFmt w:val="lowerRoman"/>
      <w:lvlText w:val="(%9)"/>
      <w:lvlJc w:val="left"/>
      <w:pPr>
        <w:tabs>
          <w:tab w:val="left" w:pos="7228"/>
        </w:tabs>
        <w:ind w:left="6803" w:firstLine="0"/>
      </w:pPr>
    </w:lvl>
  </w:abstractNum>
  <w:abstractNum w:abstractNumId="2">
    <w:nsid w:val="6CEA2025"/>
    <w:multiLevelType w:val="multilevel"/>
    <w:tmpl w:val="6CEA2025"/>
    <w:lvl w:ilvl="0" w:tentative="0">
      <w:start w:val="1"/>
      <w:numFmt w:val="none"/>
      <w:pStyle w:val="28"/>
      <w:suff w:val="nothing"/>
      <w:lvlText w:val="%1"/>
      <w:lvlJc w:val="left"/>
      <w:pPr>
        <w:ind w:left="0" w:firstLine="0"/>
      </w:pPr>
      <w:rPr>
        <w:rFonts w:hint="default" w:ascii="Times New Roman" w:hAnsi="Times New Roman"/>
        <w:b/>
        <w:i w:val="0"/>
        <w:sz w:val="21"/>
      </w:rPr>
    </w:lvl>
    <w:lvl w:ilvl="1" w:tentative="0">
      <w:start w:val="1"/>
      <w:numFmt w:val="decimal"/>
      <w:pStyle w:val="29"/>
      <w:suff w:val="nothing"/>
      <w:lvlText w:val="%1%2　"/>
      <w:lvlJc w:val="left"/>
      <w:pPr>
        <w:ind w:left="0" w:firstLine="0"/>
      </w:pPr>
      <w:rPr>
        <w:rFonts w:hint="eastAsia" w:ascii="黑体" w:hAnsi="Times New Roman" w:eastAsia="黑体"/>
        <w:b w:val="0"/>
        <w:i w:val="0"/>
        <w:sz w:val="21"/>
      </w:rPr>
    </w:lvl>
    <w:lvl w:ilvl="2" w:tentative="0">
      <w:start w:val="1"/>
      <w:numFmt w:val="decimal"/>
      <w:pStyle w:val="30"/>
      <w:suff w:val="nothing"/>
      <w:lvlText w:val="%1%2.%3　"/>
      <w:lvlJc w:val="left"/>
      <w:pPr>
        <w:ind w:left="0" w:firstLine="0"/>
      </w:pPr>
      <w:rPr>
        <w:rFonts w:hint="eastAsia" w:ascii="黑体" w:hAnsi="Times New Roman" w:eastAsia="黑体"/>
        <w:b w:val="0"/>
        <w:i w:val="0"/>
        <w:sz w:val="21"/>
      </w:rPr>
    </w:lvl>
    <w:lvl w:ilvl="3" w:tentative="0">
      <w:start w:val="1"/>
      <w:numFmt w:val="decimal"/>
      <w:pStyle w:val="31"/>
      <w:suff w:val="nothing"/>
      <w:lvlText w:val="%1%2.%3.%4　"/>
      <w:lvlJc w:val="left"/>
      <w:pPr>
        <w:ind w:left="0" w:firstLine="0"/>
      </w:pPr>
      <w:rPr>
        <w:rFonts w:hint="eastAsia" w:ascii="黑体" w:hAnsi="Times New Roman" w:eastAsia="黑体"/>
        <w:b w:val="0"/>
        <w:i w:val="0"/>
        <w:sz w:val="21"/>
      </w:rPr>
    </w:lvl>
    <w:lvl w:ilvl="4" w:tentative="0">
      <w:start w:val="1"/>
      <w:numFmt w:val="decimal"/>
      <w:pStyle w:val="32"/>
      <w:suff w:val="nothing"/>
      <w:lvlText w:val="%1%2.%3.%4.%5　"/>
      <w:lvlJc w:val="left"/>
      <w:pPr>
        <w:ind w:left="0" w:firstLine="0"/>
      </w:pPr>
      <w:rPr>
        <w:rFonts w:hint="eastAsia" w:ascii="黑体" w:hAnsi="Times New Roman" w:eastAsia="黑体"/>
        <w:b w:val="0"/>
        <w:i w:val="0"/>
        <w:sz w:val="21"/>
      </w:rPr>
    </w:lvl>
    <w:lvl w:ilvl="5" w:tentative="0">
      <w:start w:val="1"/>
      <w:numFmt w:val="decimal"/>
      <w:pStyle w:val="33"/>
      <w:suff w:val="nothing"/>
      <w:lvlText w:val="%1%2.%3.%4.%5.%6　"/>
      <w:lvlJc w:val="left"/>
      <w:pPr>
        <w:ind w:left="0" w:firstLine="0"/>
      </w:pPr>
      <w:rPr>
        <w:rFonts w:hint="eastAsia" w:ascii="黑体" w:hAnsi="Times New Roman" w:eastAsia="黑体"/>
        <w:b w:val="0"/>
        <w:i w:val="0"/>
        <w:sz w:val="21"/>
      </w:rPr>
    </w:lvl>
    <w:lvl w:ilvl="6" w:tentative="0">
      <w:start w:val="1"/>
      <w:numFmt w:val="decimal"/>
      <w:pStyle w:val="34"/>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2"/>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MzMWNmZTI0YWY1NzIxNmQxNDliNzZhM2NhYTk3ZTQifQ=="/>
  </w:docVars>
  <w:rsids>
    <w:rsidRoot w:val="00980DE8"/>
    <w:rsid w:val="00002A8C"/>
    <w:rsid w:val="0001533F"/>
    <w:rsid w:val="000232C7"/>
    <w:rsid w:val="000234B8"/>
    <w:rsid w:val="00040645"/>
    <w:rsid w:val="00047293"/>
    <w:rsid w:val="000474A7"/>
    <w:rsid w:val="00072C62"/>
    <w:rsid w:val="0007461A"/>
    <w:rsid w:val="00080860"/>
    <w:rsid w:val="000A5EB9"/>
    <w:rsid w:val="000B04E5"/>
    <w:rsid w:val="000C0E42"/>
    <w:rsid w:val="000C7A00"/>
    <w:rsid w:val="000D1774"/>
    <w:rsid w:val="000D277A"/>
    <w:rsid w:val="000D3C3F"/>
    <w:rsid w:val="000F3471"/>
    <w:rsid w:val="000F448A"/>
    <w:rsid w:val="00101D6F"/>
    <w:rsid w:val="00112955"/>
    <w:rsid w:val="00130C9A"/>
    <w:rsid w:val="0013381A"/>
    <w:rsid w:val="001360D5"/>
    <w:rsid w:val="00136E2C"/>
    <w:rsid w:val="0014011D"/>
    <w:rsid w:val="00154678"/>
    <w:rsid w:val="0016207D"/>
    <w:rsid w:val="001979E3"/>
    <w:rsid w:val="001A4B07"/>
    <w:rsid w:val="001B0724"/>
    <w:rsid w:val="001C6E94"/>
    <w:rsid w:val="001E2458"/>
    <w:rsid w:val="001F7ADF"/>
    <w:rsid w:val="00217B8A"/>
    <w:rsid w:val="00237387"/>
    <w:rsid w:val="002518CA"/>
    <w:rsid w:val="00276CC6"/>
    <w:rsid w:val="00280530"/>
    <w:rsid w:val="00282346"/>
    <w:rsid w:val="00282AF0"/>
    <w:rsid w:val="00282DAC"/>
    <w:rsid w:val="002937B7"/>
    <w:rsid w:val="002A1F79"/>
    <w:rsid w:val="002A6A08"/>
    <w:rsid w:val="002B09EB"/>
    <w:rsid w:val="002B22EC"/>
    <w:rsid w:val="002C514B"/>
    <w:rsid w:val="002E03F0"/>
    <w:rsid w:val="00304077"/>
    <w:rsid w:val="00305A6B"/>
    <w:rsid w:val="0031323C"/>
    <w:rsid w:val="00320BE4"/>
    <w:rsid w:val="00334D84"/>
    <w:rsid w:val="00357E6E"/>
    <w:rsid w:val="0036387C"/>
    <w:rsid w:val="00363E3C"/>
    <w:rsid w:val="003807C8"/>
    <w:rsid w:val="00382DD7"/>
    <w:rsid w:val="003A6502"/>
    <w:rsid w:val="003C7102"/>
    <w:rsid w:val="003D4598"/>
    <w:rsid w:val="003F19FE"/>
    <w:rsid w:val="003F5E81"/>
    <w:rsid w:val="004054FE"/>
    <w:rsid w:val="00417A6D"/>
    <w:rsid w:val="004237C8"/>
    <w:rsid w:val="00423A87"/>
    <w:rsid w:val="00443A1A"/>
    <w:rsid w:val="00444B24"/>
    <w:rsid w:val="00446974"/>
    <w:rsid w:val="00447D4C"/>
    <w:rsid w:val="004526B4"/>
    <w:rsid w:val="00470222"/>
    <w:rsid w:val="00497BC3"/>
    <w:rsid w:val="00497DDC"/>
    <w:rsid w:val="004A6B1E"/>
    <w:rsid w:val="004B60C4"/>
    <w:rsid w:val="004B69D9"/>
    <w:rsid w:val="004C3ADE"/>
    <w:rsid w:val="004C79A4"/>
    <w:rsid w:val="004D2F78"/>
    <w:rsid w:val="004E3619"/>
    <w:rsid w:val="004E480B"/>
    <w:rsid w:val="004F1277"/>
    <w:rsid w:val="00525DE7"/>
    <w:rsid w:val="00532029"/>
    <w:rsid w:val="005349C8"/>
    <w:rsid w:val="00555CA5"/>
    <w:rsid w:val="005578A9"/>
    <w:rsid w:val="005921AD"/>
    <w:rsid w:val="005B446F"/>
    <w:rsid w:val="005D39DB"/>
    <w:rsid w:val="005D54E2"/>
    <w:rsid w:val="005F4C95"/>
    <w:rsid w:val="005F4E5F"/>
    <w:rsid w:val="00606BC0"/>
    <w:rsid w:val="00614A5A"/>
    <w:rsid w:val="00617EBE"/>
    <w:rsid w:val="00624B33"/>
    <w:rsid w:val="00654A51"/>
    <w:rsid w:val="00655DC9"/>
    <w:rsid w:val="00656311"/>
    <w:rsid w:val="006622DF"/>
    <w:rsid w:val="00664917"/>
    <w:rsid w:val="0066615C"/>
    <w:rsid w:val="00666B12"/>
    <w:rsid w:val="00685AA9"/>
    <w:rsid w:val="0068778D"/>
    <w:rsid w:val="006934D4"/>
    <w:rsid w:val="00694662"/>
    <w:rsid w:val="00694C70"/>
    <w:rsid w:val="00697002"/>
    <w:rsid w:val="006A2A9F"/>
    <w:rsid w:val="006A5E3D"/>
    <w:rsid w:val="006C0BF6"/>
    <w:rsid w:val="006C74D7"/>
    <w:rsid w:val="006D22A5"/>
    <w:rsid w:val="006E431E"/>
    <w:rsid w:val="006F2F68"/>
    <w:rsid w:val="007035B8"/>
    <w:rsid w:val="0071049D"/>
    <w:rsid w:val="00710A60"/>
    <w:rsid w:val="00713699"/>
    <w:rsid w:val="00717CE5"/>
    <w:rsid w:val="00724639"/>
    <w:rsid w:val="00726DB1"/>
    <w:rsid w:val="00730266"/>
    <w:rsid w:val="00730E84"/>
    <w:rsid w:val="00741A72"/>
    <w:rsid w:val="007736FE"/>
    <w:rsid w:val="00776359"/>
    <w:rsid w:val="00782B77"/>
    <w:rsid w:val="007912D5"/>
    <w:rsid w:val="007A286B"/>
    <w:rsid w:val="007A4E22"/>
    <w:rsid w:val="007C010F"/>
    <w:rsid w:val="007C51DA"/>
    <w:rsid w:val="007D513F"/>
    <w:rsid w:val="007D5BE0"/>
    <w:rsid w:val="007E1CDC"/>
    <w:rsid w:val="007F07D8"/>
    <w:rsid w:val="007F39E2"/>
    <w:rsid w:val="0080069B"/>
    <w:rsid w:val="008140C3"/>
    <w:rsid w:val="00820C5F"/>
    <w:rsid w:val="00824536"/>
    <w:rsid w:val="00843EBA"/>
    <w:rsid w:val="008453C3"/>
    <w:rsid w:val="00851FAE"/>
    <w:rsid w:val="008568E5"/>
    <w:rsid w:val="008654B3"/>
    <w:rsid w:val="008725C8"/>
    <w:rsid w:val="0089034E"/>
    <w:rsid w:val="008C5C3B"/>
    <w:rsid w:val="008D1A40"/>
    <w:rsid w:val="008D2F9D"/>
    <w:rsid w:val="008D4257"/>
    <w:rsid w:val="008D54AB"/>
    <w:rsid w:val="008D6D67"/>
    <w:rsid w:val="008E30AC"/>
    <w:rsid w:val="008E5F67"/>
    <w:rsid w:val="008F5F63"/>
    <w:rsid w:val="00905000"/>
    <w:rsid w:val="00905033"/>
    <w:rsid w:val="00945991"/>
    <w:rsid w:val="00955B8A"/>
    <w:rsid w:val="009621F3"/>
    <w:rsid w:val="00966D95"/>
    <w:rsid w:val="00970C83"/>
    <w:rsid w:val="00974D1B"/>
    <w:rsid w:val="009772EA"/>
    <w:rsid w:val="00980DE8"/>
    <w:rsid w:val="009847B7"/>
    <w:rsid w:val="00984B67"/>
    <w:rsid w:val="00987C70"/>
    <w:rsid w:val="009A0A88"/>
    <w:rsid w:val="009A4348"/>
    <w:rsid w:val="009C6B81"/>
    <w:rsid w:val="009D3804"/>
    <w:rsid w:val="009E30E9"/>
    <w:rsid w:val="00A03774"/>
    <w:rsid w:val="00A05EB7"/>
    <w:rsid w:val="00A14A55"/>
    <w:rsid w:val="00A175D3"/>
    <w:rsid w:val="00A266B4"/>
    <w:rsid w:val="00A2774C"/>
    <w:rsid w:val="00A41EC3"/>
    <w:rsid w:val="00A421DB"/>
    <w:rsid w:val="00A524CE"/>
    <w:rsid w:val="00A60EC5"/>
    <w:rsid w:val="00A803C1"/>
    <w:rsid w:val="00A826C4"/>
    <w:rsid w:val="00A903A2"/>
    <w:rsid w:val="00A97C1F"/>
    <w:rsid w:val="00AB5687"/>
    <w:rsid w:val="00AB7BC0"/>
    <w:rsid w:val="00AC6B6C"/>
    <w:rsid w:val="00AD08D5"/>
    <w:rsid w:val="00AE2098"/>
    <w:rsid w:val="00AF086F"/>
    <w:rsid w:val="00AF58A6"/>
    <w:rsid w:val="00AF724F"/>
    <w:rsid w:val="00B12AE3"/>
    <w:rsid w:val="00B12D67"/>
    <w:rsid w:val="00B41130"/>
    <w:rsid w:val="00B61C7A"/>
    <w:rsid w:val="00B61FEA"/>
    <w:rsid w:val="00B803C0"/>
    <w:rsid w:val="00B87005"/>
    <w:rsid w:val="00BB1D8F"/>
    <w:rsid w:val="00BB5D67"/>
    <w:rsid w:val="00BC0D67"/>
    <w:rsid w:val="00BC20BD"/>
    <w:rsid w:val="00BC6329"/>
    <w:rsid w:val="00BD0162"/>
    <w:rsid w:val="00BE3131"/>
    <w:rsid w:val="00BE5915"/>
    <w:rsid w:val="00BF143F"/>
    <w:rsid w:val="00BF4FE8"/>
    <w:rsid w:val="00C05B1A"/>
    <w:rsid w:val="00C15118"/>
    <w:rsid w:val="00C17B26"/>
    <w:rsid w:val="00C22BD2"/>
    <w:rsid w:val="00C26EA8"/>
    <w:rsid w:val="00C46DB9"/>
    <w:rsid w:val="00C556F3"/>
    <w:rsid w:val="00C80518"/>
    <w:rsid w:val="00C82ACD"/>
    <w:rsid w:val="00C90B0C"/>
    <w:rsid w:val="00CA48F6"/>
    <w:rsid w:val="00CC5414"/>
    <w:rsid w:val="00CF6365"/>
    <w:rsid w:val="00CF6C79"/>
    <w:rsid w:val="00D00456"/>
    <w:rsid w:val="00D10CBC"/>
    <w:rsid w:val="00D17FC5"/>
    <w:rsid w:val="00D51ABB"/>
    <w:rsid w:val="00D74325"/>
    <w:rsid w:val="00D75CEA"/>
    <w:rsid w:val="00D80A2E"/>
    <w:rsid w:val="00D81017"/>
    <w:rsid w:val="00D82497"/>
    <w:rsid w:val="00D93A2E"/>
    <w:rsid w:val="00DA6508"/>
    <w:rsid w:val="00DD4AC0"/>
    <w:rsid w:val="00DE1227"/>
    <w:rsid w:val="00DF78F8"/>
    <w:rsid w:val="00E0224D"/>
    <w:rsid w:val="00E12251"/>
    <w:rsid w:val="00E12CE5"/>
    <w:rsid w:val="00E1684B"/>
    <w:rsid w:val="00E16C8C"/>
    <w:rsid w:val="00E20B3B"/>
    <w:rsid w:val="00E26BA3"/>
    <w:rsid w:val="00E31CCB"/>
    <w:rsid w:val="00E374DE"/>
    <w:rsid w:val="00E500FD"/>
    <w:rsid w:val="00E50C7D"/>
    <w:rsid w:val="00E52317"/>
    <w:rsid w:val="00E542F6"/>
    <w:rsid w:val="00E6569F"/>
    <w:rsid w:val="00E83CA7"/>
    <w:rsid w:val="00E879B7"/>
    <w:rsid w:val="00E9016A"/>
    <w:rsid w:val="00EA26DC"/>
    <w:rsid w:val="00EB4E14"/>
    <w:rsid w:val="00EC4001"/>
    <w:rsid w:val="00EF1E90"/>
    <w:rsid w:val="00F12281"/>
    <w:rsid w:val="00F25647"/>
    <w:rsid w:val="00F25A4F"/>
    <w:rsid w:val="00F31DD3"/>
    <w:rsid w:val="00F34531"/>
    <w:rsid w:val="00F431CB"/>
    <w:rsid w:val="00F500D2"/>
    <w:rsid w:val="00F53181"/>
    <w:rsid w:val="00F57D4D"/>
    <w:rsid w:val="00F74128"/>
    <w:rsid w:val="00F831EA"/>
    <w:rsid w:val="00F83CB5"/>
    <w:rsid w:val="00F9268C"/>
    <w:rsid w:val="00FB0C7A"/>
    <w:rsid w:val="00FB7B74"/>
    <w:rsid w:val="00FC1356"/>
    <w:rsid w:val="00FD0F03"/>
    <w:rsid w:val="00FD2C97"/>
    <w:rsid w:val="00FD4842"/>
    <w:rsid w:val="00FD76AC"/>
    <w:rsid w:val="00FF7FF9"/>
    <w:rsid w:val="082A2CBF"/>
    <w:rsid w:val="0DB37F58"/>
    <w:rsid w:val="19372CB2"/>
    <w:rsid w:val="2BE45BBB"/>
    <w:rsid w:val="31F1788D"/>
    <w:rsid w:val="3B8B388A"/>
    <w:rsid w:val="467001B9"/>
    <w:rsid w:val="549A6095"/>
    <w:rsid w:val="6C892F39"/>
    <w:rsid w:val="719C601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ind w:firstLine="200" w:firstLineChars="200"/>
      <w:outlineLvl w:val="0"/>
    </w:pPr>
    <w:rPr>
      <w:rFonts w:ascii="Times New Roman" w:hAnsi="Times New Roman"/>
      <w:b/>
      <w:bCs/>
      <w:kern w:val="44"/>
      <w:sz w:val="44"/>
      <w:szCs w:val="44"/>
    </w:rPr>
  </w:style>
  <w:style w:type="paragraph" w:styleId="3">
    <w:name w:val="heading 2"/>
    <w:basedOn w:val="1"/>
    <w:next w:val="1"/>
    <w:link w:val="26"/>
    <w:unhideWhenUsed/>
    <w:qFormat/>
    <w:uiPriority w:val="9"/>
    <w:pPr>
      <w:keepNext/>
      <w:keepLines/>
      <w:snapToGrid w:val="0"/>
      <w:spacing w:before="260" w:after="260" w:line="416" w:lineRule="auto"/>
      <w:ind w:firstLine="200" w:firstLineChars="200"/>
      <w:outlineLvl w:val="1"/>
    </w:pPr>
    <w:rPr>
      <w:rFonts w:ascii="Calibri Light" w:hAnsi="Calibri Light"/>
      <w:b/>
      <w:bCs/>
      <w:sz w:val="32"/>
      <w:szCs w:val="32"/>
    </w:rPr>
  </w:style>
  <w:style w:type="paragraph" w:styleId="4">
    <w:name w:val="heading 3"/>
    <w:basedOn w:val="1"/>
    <w:next w:val="1"/>
    <w:link w:val="22"/>
    <w:qFormat/>
    <w:uiPriority w:val="9"/>
    <w:pPr>
      <w:keepNext/>
      <w:keepLines/>
      <w:spacing w:before="260" w:after="260" w:line="416" w:lineRule="auto"/>
      <w:outlineLvl w:val="2"/>
    </w:pPr>
    <w:rPr>
      <w:b/>
      <w:bCs/>
      <w:sz w:val="32"/>
      <w:szCs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Document Map"/>
    <w:basedOn w:val="1"/>
    <w:link w:val="36"/>
    <w:semiHidden/>
    <w:qFormat/>
    <w:uiPriority w:val="0"/>
    <w:pPr>
      <w:shd w:val="clear" w:color="auto" w:fill="000080"/>
      <w:ind w:firstLine="200" w:firstLineChars="200"/>
    </w:pPr>
    <w:rPr>
      <w:rFonts w:ascii="Times New Roman" w:hAnsi="Times New Roman"/>
      <w:szCs w:val="24"/>
    </w:rPr>
  </w:style>
  <w:style w:type="paragraph" w:styleId="6">
    <w:name w:val="annotation text"/>
    <w:basedOn w:val="1"/>
    <w:link w:val="43"/>
    <w:unhideWhenUsed/>
    <w:qFormat/>
    <w:uiPriority w:val="99"/>
    <w:pPr>
      <w:snapToGrid w:val="0"/>
      <w:spacing w:line="360" w:lineRule="auto"/>
      <w:ind w:firstLine="200" w:firstLineChars="200"/>
      <w:jc w:val="left"/>
    </w:pPr>
    <w:rPr>
      <w:rFonts w:ascii="Times New Roman" w:hAnsi="Times New Roman"/>
    </w:rPr>
  </w:style>
  <w:style w:type="paragraph" w:styleId="7">
    <w:name w:val="Date"/>
    <w:basedOn w:val="1"/>
    <w:next w:val="1"/>
    <w:link w:val="52"/>
    <w:unhideWhenUsed/>
    <w:qFormat/>
    <w:uiPriority w:val="99"/>
    <w:pPr>
      <w:snapToGrid w:val="0"/>
      <w:spacing w:line="360" w:lineRule="auto"/>
      <w:ind w:left="100" w:leftChars="2500" w:firstLine="200" w:firstLineChars="200"/>
    </w:pPr>
    <w:rPr>
      <w:rFonts w:ascii="Times New Roman" w:hAnsi="Times New Roman"/>
    </w:rPr>
  </w:style>
  <w:style w:type="paragraph" w:styleId="8">
    <w:name w:val="Balloon Text"/>
    <w:basedOn w:val="1"/>
    <w:link w:val="41"/>
    <w:semiHidden/>
    <w:qFormat/>
    <w:uiPriority w:val="99"/>
    <w:pPr>
      <w:ind w:firstLine="200" w:firstLineChars="200"/>
    </w:pPr>
    <w:rPr>
      <w:rFonts w:ascii="Times New Roman" w:hAnsi="Times New Roman"/>
      <w:sz w:val="18"/>
      <w:szCs w:val="18"/>
    </w:rPr>
  </w:style>
  <w:style w:type="paragraph" w:styleId="9">
    <w:name w:val="footer"/>
    <w:basedOn w:val="1"/>
    <w:link w:val="24"/>
    <w:unhideWhenUsed/>
    <w:qFormat/>
    <w:uiPriority w:val="99"/>
    <w:pPr>
      <w:tabs>
        <w:tab w:val="center" w:pos="4153"/>
        <w:tab w:val="right" w:pos="8306"/>
      </w:tabs>
      <w:snapToGrid w:val="0"/>
      <w:jc w:val="left"/>
    </w:pPr>
    <w:rPr>
      <w:sz w:val="18"/>
      <w:szCs w:val="18"/>
    </w:rPr>
  </w:style>
  <w:style w:type="paragraph" w:styleId="10">
    <w:name w:val="header"/>
    <w:basedOn w:val="1"/>
    <w:link w:val="23"/>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Subtitle"/>
    <w:basedOn w:val="1"/>
    <w:next w:val="1"/>
    <w:link w:val="45"/>
    <w:qFormat/>
    <w:uiPriority w:val="11"/>
    <w:pPr>
      <w:snapToGrid w:val="0"/>
      <w:jc w:val="center"/>
      <w:outlineLvl w:val="1"/>
    </w:pPr>
    <w:rPr>
      <w:rFonts w:ascii="Times New Roman" w:hAnsi="Times New Roman"/>
      <w:b/>
      <w:bCs/>
      <w:kern w:val="28"/>
      <w:sz w:val="44"/>
      <w:szCs w:val="32"/>
    </w:rPr>
  </w:style>
  <w:style w:type="paragraph" w:styleId="12">
    <w:name w:val="Normal (Web)"/>
    <w:basedOn w:val="1"/>
    <w:unhideWhenUsed/>
    <w:qFormat/>
    <w:uiPriority w:val="99"/>
    <w:pPr>
      <w:widowControl/>
      <w:spacing w:before="100" w:beforeAutospacing="1" w:after="100" w:afterAutospacing="1"/>
      <w:ind w:firstLine="200" w:firstLineChars="200"/>
      <w:jc w:val="left"/>
    </w:pPr>
    <w:rPr>
      <w:rFonts w:ascii="宋体" w:hAnsi="宋体" w:cs="宋体"/>
      <w:kern w:val="0"/>
      <w:sz w:val="24"/>
      <w:szCs w:val="24"/>
    </w:rPr>
  </w:style>
  <w:style w:type="paragraph" w:styleId="13">
    <w:name w:val="Title"/>
    <w:basedOn w:val="1"/>
    <w:next w:val="1"/>
    <w:link w:val="42"/>
    <w:qFormat/>
    <w:uiPriority w:val="10"/>
    <w:pPr>
      <w:snapToGrid w:val="0"/>
      <w:spacing w:before="240" w:after="60" w:line="360" w:lineRule="auto"/>
      <w:jc w:val="left"/>
      <w:outlineLvl w:val="0"/>
    </w:pPr>
    <w:rPr>
      <w:rFonts w:ascii="Times New Roman" w:hAnsi="Times New Roman"/>
      <w:b/>
      <w:bCs/>
      <w:sz w:val="32"/>
      <w:szCs w:val="32"/>
    </w:rPr>
  </w:style>
  <w:style w:type="paragraph" w:styleId="14">
    <w:name w:val="annotation subject"/>
    <w:basedOn w:val="6"/>
    <w:next w:val="6"/>
    <w:link w:val="49"/>
    <w:unhideWhenUsed/>
    <w:qFormat/>
    <w:uiPriority w:val="99"/>
    <w:rPr>
      <w:b/>
      <w:bCs/>
    </w:rPr>
  </w:style>
  <w:style w:type="table" w:styleId="16">
    <w:name w:val="Table Grid"/>
    <w:basedOn w:val="1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page number"/>
    <w:basedOn w:val="17"/>
    <w:qFormat/>
    <w:uiPriority w:val="0"/>
  </w:style>
  <w:style w:type="character" w:styleId="19">
    <w:name w:val="Emphasis"/>
    <w:basedOn w:val="17"/>
    <w:qFormat/>
    <w:uiPriority w:val="20"/>
    <w:rPr>
      <w:i/>
      <w:iCs/>
    </w:rPr>
  </w:style>
  <w:style w:type="character" w:styleId="20">
    <w:name w:val="Hyperlink"/>
    <w:basedOn w:val="17"/>
    <w:semiHidden/>
    <w:unhideWhenUsed/>
    <w:qFormat/>
    <w:uiPriority w:val="99"/>
    <w:rPr>
      <w:color w:val="0000FF"/>
      <w:u w:val="single"/>
    </w:rPr>
  </w:style>
  <w:style w:type="character" w:styleId="21">
    <w:name w:val="annotation reference"/>
    <w:unhideWhenUsed/>
    <w:qFormat/>
    <w:uiPriority w:val="99"/>
    <w:rPr>
      <w:sz w:val="21"/>
      <w:szCs w:val="21"/>
    </w:rPr>
  </w:style>
  <w:style w:type="character" w:customStyle="1" w:styleId="22">
    <w:name w:val="标题 3 字符"/>
    <w:basedOn w:val="17"/>
    <w:link w:val="4"/>
    <w:qFormat/>
    <w:uiPriority w:val="9"/>
    <w:rPr>
      <w:rFonts w:ascii="Calibri" w:hAnsi="Calibri" w:eastAsia="宋体" w:cs="Times New Roman"/>
      <w:b/>
      <w:bCs/>
      <w:sz w:val="32"/>
      <w:szCs w:val="32"/>
    </w:rPr>
  </w:style>
  <w:style w:type="character" w:customStyle="1" w:styleId="23">
    <w:name w:val="页眉 字符"/>
    <w:basedOn w:val="17"/>
    <w:link w:val="10"/>
    <w:qFormat/>
    <w:uiPriority w:val="99"/>
    <w:rPr>
      <w:rFonts w:ascii="Calibri" w:hAnsi="Calibri" w:eastAsia="宋体" w:cs="Times New Roman"/>
      <w:sz w:val="18"/>
      <w:szCs w:val="18"/>
    </w:rPr>
  </w:style>
  <w:style w:type="character" w:customStyle="1" w:styleId="24">
    <w:name w:val="页脚 字符"/>
    <w:basedOn w:val="17"/>
    <w:link w:val="9"/>
    <w:qFormat/>
    <w:uiPriority w:val="99"/>
    <w:rPr>
      <w:rFonts w:ascii="Calibri" w:hAnsi="Calibri" w:eastAsia="宋体" w:cs="Times New Roman"/>
      <w:sz w:val="18"/>
      <w:szCs w:val="18"/>
    </w:rPr>
  </w:style>
  <w:style w:type="character" w:customStyle="1" w:styleId="25">
    <w:name w:val="标题 1 字符"/>
    <w:basedOn w:val="17"/>
    <w:link w:val="2"/>
    <w:qFormat/>
    <w:uiPriority w:val="9"/>
    <w:rPr>
      <w:rFonts w:ascii="Times New Roman" w:hAnsi="Times New Roman" w:eastAsia="宋体" w:cs="Times New Roman"/>
      <w:b/>
      <w:bCs/>
      <w:kern w:val="44"/>
      <w:sz w:val="44"/>
      <w:szCs w:val="44"/>
    </w:rPr>
  </w:style>
  <w:style w:type="character" w:customStyle="1" w:styleId="26">
    <w:name w:val="标题 2 字符"/>
    <w:basedOn w:val="17"/>
    <w:link w:val="3"/>
    <w:qFormat/>
    <w:uiPriority w:val="9"/>
    <w:rPr>
      <w:rFonts w:ascii="Calibri Light" w:hAnsi="Calibri Light" w:eastAsia="宋体" w:cs="Times New Roman"/>
      <w:b/>
      <w:bCs/>
      <w:sz w:val="32"/>
      <w:szCs w:val="32"/>
    </w:rPr>
  </w:style>
  <w:style w:type="paragraph" w:customStyle="1" w:styleId="27">
    <w:name w:val="段"/>
    <w:link w:val="46"/>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28">
    <w:name w:val="前言、引言标题"/>
    <w:next w:val="1"/>
    <w:qFormat/>
    <w:uiPriority w:val="0"/>
    <w:pPr>
      <w:numPr>
        <w:ilvl w:val="0"/>
        <w:numId w:val="1"/>
      </w:numPr>
      <w:shd w:val="clear" w:color="FFFFFF" w:fill="FFFFFF"/>
      <w:spacing w:before="640" w:after="560"/>
      <w:jc w:val="center"/>
      <w:outlineLvl w:val="0"/>
    </w:pPr>
    <w:rPr>
      <w:rFonts w:ascii="黑体" w:hAnsi="Times New Roman" w:eastAsia="黑体" w:cs="Times New Roman"/>
      <w:kern w:val="0"/>
      <w:sz w:val="32"/>
      <w:szCs w:val="20"/>
      <w:lang w:val="en-US" w:eastAsia="zh-CN" w:bidi="ar-SA"/>
    </w:rPr>
  </w:style>
  <w:style w:type="paragraph" w:customStyle="1" w:styleId="29">
    <w:name w:val="章标题"/>
    <w:next w:val="27"/>
    <w:qFormat/>
    <w:uiPriority w:val="0"/>
    <w:pPr>
      <w:numPr>
        <w:ilvl w:val="1"/>
        <w:numId w:val="1"/>
      </w:numPr>
      <w:spacing w:beforeLines="50" w:afterLines="50"/>
      <w:jc w:val="both"/>
      <w:outlineLvl w:val="1"/>
    </w:pPr>
    <w:rPr>
      <w:rFonts w:ascii="黑体" w:hAnsi="Times New Roman" w:eastAsia="黑体" w:cs="Times New Roman"/>
      <w:kern w:val="0"/>
      <w:sz w:val="21"/>
      <w:szCs w:val="20"/>
      <w:lang w:val="en-US" w:eastAsia="zh-CN" w:bidi="ar-SA"/>
    </w:rPr>
  </w:style>
  <w:style w:type="paragraph" w:customStyle="1" w:styleId="30">
    <w:name w:val="一级条标题"/>
    <w:basedOn w:val="29"/>
    <w:next w:val="27"/>
    <w:qFormat/>
    <w:uiPriority w:val="0"/>
    <w:pPr>
      <w:numPr>
        <w:ilvl w:val="2"/>
      </w:numPr>
      <w:spacing w:beforeLines="0" w:afterLines="0"/>
      <w:outlineLvl w:val="2"/>
    </w:pPr>
  </w:style>
  <w:style w:type="paragraph" w:customStyle="1" w:styleId="31">
    <w:name w:val="二级条标题"/>
    <w:basedOn w:val="30"/>
    <w:next w:val="27"/>
    <w:qFormat/>
    <w:uiPriority w:val="0"/>
    <w:pPr>
      <w:numPr>
        <w:ilvl w:val="3"/>
      </w:numPr>
      <w:outlineLvl w:val="3"/>
    </w:pPr>
  </w:style>
  <w:style w:type="paragraph" w:customStyle="1" w:styleId="32">
    <w:name w:val="三级条标题"/>
    <w:basedOn w:val="31"/>
    <w:next w:val="27"/>
    <w:qFormat/>
    <w:uiPriority w:val="0"/>
    <w:pPr>
      <w:numPr>
        <w:ilvl w:val="4"/>
      </w:numPr>
      <w:outlineLvl w:val="4"/>
    </w:pPr>
  </w:style>
  <w:style w:type="paragraph" w:customStyle="1" w:styleId="33">
    <w:name w:val="四级条标题"/>
    <w:basedOn w:val="32"/>
    <w:next w:val="27"/>
    <w:qFormat/>
    <w:uiPriority w:val="0"/>
    <w:pPr>
      <w:numPr>
        <w:ilvl w:val="5"/>
      </w:numPr>
      <w:outlineLvl w:val="5"/>
    </w:pPr>
  </w:style>
  <w:style w:type="paragraph" w:customStyle="1" w:styleId="34">
    <w:name w:val="五级条标题"/>
    <w:basedOn w:val="33"/>
    <w:next w:val="27"/>
    <w:qFormat/>
    <w:uiPriority w:val="0"/>
    <w:pPr>
      <w:numPr>
        <w:ilvl w:val="6"/>
      </w:numPr>
      <w:outlineLvl w:val="6"/>
    </w:pPr>
  </w:style>
  <w:style w:type="paragraph" w:customStyle="1" w:styleId="35">
    <w:name w:val="Char Char Char Char Char Char Char Char Char"/>
    <w:basedOn w:val="5"/>
    <w:qFormat/>
    <w:uiPriority w:val="0"/>
    <w:pPr>
      <w:adjustRightInd w:val="0"/>
      <w:spacing w:line="436" w:lineRule="exact"/>
      <w:ind w:left="357"/>
      <w:jc w:val="left"/>
      <w:outlineLvl w:val="3"/>
    </w:pPr>
    <w:rPr>
      <w:rFonts w:ascii="Tahoma" w:hAnsi="Tahoma"/>
      <w:b/>
      <w:sz w:val="24"/>
    </w:rPr>
  </w:style>
  <w:style w:type="character" w:customStyle="1" w:styleId="36">
    <w:name w:val="文档结构图 字符"/>
    <w:basedOn w:val="17"/>
    <w:link w:val="5"/>
    <w:semiHidden/>
    <w:qFormat/>
    <w:uiPriority w:val="0"/>
    <w:rPr>
      <w:rFonts w:ascii="Times New Roman" w:hAnsi="Times New Roman" w:eastAsia="宋体" w:cs="Times New Roman"/>
      <w:szCs w:val="24"/>
      <w:shd w:val="clear" w:color="auto" w:fill="000080"/>
    </w:rPr>
  </w:style>
  <w:style w:type="paragraph" w:customStyle="1" w:styleId="37">
    <w:name w:val="封面标准文稿编辑信息"/>
    <w:qFormat/>
    <w:uiPriority w:val="0"/>
    <w:pPr>
      <w:spacing w:before="180" w:line="180" w:lineRule="exact"/>
      <w:jc w:val="center"/>
    </w:pPr>
    <w:rPr>
      <w:rFonts w:ascii="宋体" w:hAnsi="Times New Roman" w:eastAsia="宋体" w:cs="Times New Roman"/>
      <w:kern w:val="0"/>
      <w:sz w:val="21"/>
      <w:szCs w:val="20"/>
      <w:lang w:val="en-US" w:eastAsia="zh-CN" w:bidi="ar-SA"/>
    </w:rPr>
  </w:style>
  <w:style w:type="paragraph" w:customStyle="1" w:styleId="38">
    <w:name w:val="Char Char Char Char"/>
    <w:basedOn w:val="1"/>
    <w:qFormat/>
    <w:uiPriority w:val="0"/>
    <w:pPr>
      <w:widowControl/>
      <w:spacing w:after="160" w:line="240" w:lineRule="exact"/>
      <w:ind w:firstLine="200" w:firstLineChars="200"/>
      <w:jc w:val="left"/>
    </w:pPr>
    <w:rPr>
      <w:rFonts w:ascii="Times New Roman" w:hAnsi="Times New Roman"/>
      <w:szCs w:val="20"/>
    </w:rPr>
  </w:style>
  <w:style w:type="paragraph" w:customStyle="1" w:styleId="39">
    <w:name w:val="Char"/>
    <w:basedOn w:val="1"/>
    <w:qFormat/>
    <w:uiPriority w:val="0"/>
    <w:pPr>
      <w:widowControl/>
      <w:spacing w:after="160" w:line="240" w:lineRule="exact"/>
      <w:ind w:firstLine="200" w:firstLineChars="200"/>
      <w:jc w:val="left"/>
    </w:pPr>
    <w:rPr>
      <w:rFonts w:ascii="Times New Roman" w:hAnsi="Times New Roman"/>
      <w:szCs w:val="20"/>
    </w:rPr>
  </w:style>
  <w:style w:type="paragraph" w:customStyle="1" w:styleId="40">
    <w:name w:val="Char Char Char Char Char Char Char"/>
    <w:basedOn w:val="1"/>
    <w:qFormat/>
    <w:uiPriority w:val="0"/>
    <w:pPr>
      <w:widowControl/>
      <w:spacing w:after="160" w:line="240" w:lineRule="exact"/>
      <w:ind w:firstLine="200" w:firstLineChars="200"/>
      <w:jc w:val="left"/>
    </w:pPr>
    <w:rPr>
      <w:rFonts w:ascii="Arial" w:hAnsi="Arial" w:eastAsia="Times New Roman" w:cs="Verdana"/>
      <w:b/>
      <w:kern w:val="0"/>
      <w:sz w:val="24"/>
      <w:szCs w:val="24"/>
      <w:lang w:eastAsia="en-US"/>
    </w:rPr>
  </w:style>
  <w:style w:type="character" w:customStyle="1" w:styleId="41">
    <w:name w:val="批注框文本 字符"/>
    <w:basedOn w:val="17"/>
    <w:link w:val="8"/>
    <w:semiHidden/>
    <w:qFormat/>
    <w:uiPriority w:val="99"/>
    <w:rPr>
      <w:rFonts w:ascii="Times New Roman" w:hAnsi="Times New Roman" w:eastAsia="宋体" w:cs="Times New Roman"/>
      <w:sz w:val="18"/>
      <w:szCs w:val="18"/>
    </w:rPr>
  </w:style>
  <w:style w:type="character" w:customStyle="1" w:styleId="42">
    <w:name w:val="标题 字符"/>
    <w:basedOn w:val="17"/>
    <w:link w:val="13"/>
    <w:qFormat/>
    <w:uiPriority w:val="10"/>
    <w:rPr>
      <w:rFonts w:ascii="Times New Roman" w:hAnsi="Times New Roman" w:eastAsia="宋体" w:cs="Times New Roman"/>
      <w:b/>
      <w:bCs/>
      <w:sz w:val="32"/>
      <w:szCs w:val="32"/>
    </w:rPr>
  </w:style>
  <w:style w:type="character" w:customStyle="1" w:styleId="43">
    <w:name w:val="批注文字 字符"/>
    <w:basedOn w:val="17"/>
    <w:link w:val="6"/>
    <w:qFormat/>
    <w:uiPriority w:val="99"/>
    <w:rPr>
      <w:rFonts w:ascii="Times New Roman" w:hAnsi="Times New Roman" w:eastAsia="宋体" w:cs="Times New Roman"/>
    </w:rPr>
  </w:style>
  <w:style w:type="paragraph" w:styleId="44">
    <w:name w:val="No Spacing"/>
    <w:qFormat/>
    <w:uiPriority w:val="1"/>
    <w:pPr>
      <w:widowControl w:val="0"/>
      <w:ind w:firstLine="200" w:firstLineChars="200"/>
      <w:jc w:val="both"/>
    </w:pPr>
    <w:rPr>
      <w:rFonts w:ascii="Times New Roman" w:hAnsi="Times New Roman" w:eastAsia="宋体" w:cs="Times New Roman"/>
      <w:kern w:val="2"/>
      <w:sz w:val="21"/>
      <w:szCs w:val="22"/>
      <w:lang w:val="en-US" w:eastAsia="zh-CN" w:bidi="ar-SA"/>
    </w:rPr>
  </w:style>
  <w:style w:type="character" w:customStyle="1" w:styleId="45">
    <w:name w:val="副标题 字符"/>
    <w:basedOn w:val="17"/>
    <w:link w:val="11"/>
    <w:qFormat/>
    <w:uiPriority w:val="11"/>
    <w:rPr>
      <w:rFonts w:ascii="Times New Roman" w:hAnsi="Times New Roman" w:eastAsia="宋体" w:cs="Times New Roman"/>
      <w:b/>
      <w:bCs/>
      <w:kern w:val="28"/>
      <w:sz w:val="44"/>
      <w:szCs w:val="32"/>
    </w:rPr>
  </w:style>
  <w:style w:type="character" w:customStyle="1" w:styleId="46">
    <w:name w:val="段 Char"/>
    <w:link w:val="27"/>
    <w:qFormat/>
    <w:locked/>
    <w:uiPriority w:val="0"/>
    <w:rPr>
      <w:rFonts w:ascii="宋体" w:hAnsi="Times New Roman" w:eastAsia="宋体" w:cs="Times New Roman"/>
      <w:kern w:val="0"/>
      <w:szCs w:val="20"/>
    </w:rPr>
  </w:style>
  <w:style w:type="paragraph" w:customStyle="1" w:styleId="47">
    <w:name w:val="样式1"/>
    <w:basedOn w:val="1"/>
    <w:link w:val="48"/>
    <w:qFormat/>
    <w:uiPriority w:val="0"/>
    <w:pPr>
      <w:snapToGrid w:val="0"/>
      <w:jc w:val="center"/>
    </w:pPr>
    <w:rPr>
      <w:rFonts w:ascii="Times New Roman" w:hAnsi="Times New Roman"/>
    </w:rPr>
  </w:style>
  <w:style w:type="character" w:customStyle="1" w:styleId="48">
    <w:name w:val="样式1 Char"/>
    <w:link w:val="47"/>
    <w:qFormat/>
    <w:uiPriority w:val="0"/>
    <w:rPr>
      <w:rFonts w:ascii="Times New Roman" w:hAnsi="Times New Roman" w:eastAsia="宋体" w:cs="Times New Roman"/>
    </w:rPr>
  </w:style>
  <w:style w:type="character" w:customStyle="1" w:styleId="49">
    <w:name w:val="批注主题 字符"/>
    <w:basedOn w:val="43"/>
    <w:link w:val="14"/>
    <w:qFormat/>
    <w:uiPriority w:val="99"/>
    <w:rPr>
      <w:rFonts w:ascii="Times New Roman" w:hAnsi="Times New Roman" w:eastAsia="宋体" w:cs="Times New Roman"/>
      <w:b/>
      <w:bCs/>
    </w:rPr>
  </w:style>
  <w:style w:type="paragraph" w:customStyle="1" w:styleId="50">
    <w:name w:val="论文正文"/>
    <w:basedOn w:val="1"/>
    <w:link w:val="51"/>
    <w:qFormat/>
    <w:uiPriority w:val="0"/>
    <w:pPr>
      <w:adjustRightInd w:val="0"/>
      <w:snapToGrid w:val="0"/>
      <w:spacing w:line="400" w:lineRule="exact"/>
      <w:ind w:firstLine="480" w:firstLineChars="200"/>
      <w:textAlignment w:val="baseline"/>
    </w:pPr>
    <w:rPr>
      <w:rFonts w:ascii="Times New Roman" w:hAnsi="Times New Roman"/>
      <w:kern w:val="0"/>
      <w:sz w:val="24"/>
      <w:szCs w:val="20"/>
    </w:rPr>
  </w:style>
  <w:style w:type="character" w:customStyle="1" w:styleId="51">
    <w:name w:val="论文正文 Char"/>
    <w:link w:val="50"/>
    <w:qFormat/>
    <w:uiPriority w:val="0"/>
    <w:rPr>
      <w:rFonts w:ascii="Times New Roman" w:hAnsi="Times New Roman" w:eastAsia="宋体" w:cs="Times New Roman"/>
      <w:kern w:val="0"/>
      <w:sz w:val="24"/>
      <w:szCs w:val="20"/>
    </w:rPr>
  </w:style>
  <w:style w:type="character" w:customStyle="1" w:styleId="52">
    <w:name w:val="日期 字符"/>
    <w:basedOn w:val="17"/>
    <w:link w:val="7"/>
    <w:qFormat/>
    <w:uiPriority w:val="99"/>
    <w:rPr>
      <w:rFonts w:ascii="Times New Roman" w:hAnsi="Times New Roman" w:eastAsia="宋体" w:cs="Times New Roman"/>
    </w:rPr>
  </w:style>
  <w:style w:type="character" w:styleId="53">
    <w:name w:val="Placeholder Text"/>
    <w:semiHidden/>
    <w:qFormat/>
    <w:uiPriority w:val="99"/>
    <w:rPr>
      <w:color w:val="808080"/>
    </w:rPr>
  </w:style>
  <w:style w:type="character" w:customStyle="1" w:styleId="54">
    <w:name w:val="MTEquationSection"/>
    <w:qFormat/>
    <w:uiPriority w:val="0"/>
    <w:rPr>
      <w:vanish/>
      <w:color w:val="FF0000"/>
    </w:rPr>
  </w:style>
  <w:style w:type="paragraph" w:styleId="55">
    <w:name w:val="List Paragraph"/>
    <w:basedOn w:val="1"/>
    <w:qFormat/>
    <w:uiPriority w:val="34"/>
    <w:pPr>
      <w:snapToGrid w:val="0"/>
      <w:spacing w:line="360" w:lineRule="auto"/>
      <w:ind w:firstLine="420" w:firstLineChars="200"/>
    </w:pPr>
    <w:rPr>
      <w:rFonts w:ascii="Times New Roman" w:hAnsi="Times New Roman"/>
    </w:rPr>
  </w:style>
  <w:style w:type="paragraph" w:customStyle="1" w:styleId="56">
    <w:name w:val="参考文献"/>
    <w:basedOn w:val="1"/>
    <w:link w:val="57"/>
    <w:qFormat/>
    <w:uiPriority w:val="0"/>
    <w:pPr>
      <w:numPr>
        <w:ilvl w:val="0"/>
        <w:numId w:val="2"/>
      </w:numPr>
      <w:spacing w:before="60" w:line="320" w:lineRule="exact"/>
    </w:pPr>
    <w:rPr>
      <w:rFonts w:ascii="Times New Roman" w:hAnsi="宋体"/>
      <w:kern w:val="0"/>
      <w:szCs w:val="21"/>
    </w:rPr>
  </w:style>
  <w:style w:type="character" w:customStyle="1" w:styleId="57">
    <w:name w:val="参考文献 Char"/>
    <w:link w:val="56"/>
    <w:qFormat/>
    <w:uiPriority w:val="0"/>
    <w:rPr>
      <w:rFonts w:ascii="Times New Roman" w:hAnsi="宋体" w:eastAsia="宋体" w:cs="Times New Roman"/>
      <w:kern w:val="0"/>
      <w:szCs w:val="21"/>
    </w:rPr>
  </w:style>
  <w:style w:type="paragraph" w:customStyle="1" w:styleId="58">
    <w:name w:val="封面标准英文名称"/>
    <w:qFormat/>
    <w:uiPriority w:val="0"/>
    <w:pPr>
      <w:widowControl w:val="0"/>
      <w:spacing w:before="370" w:line="400" w:lineRule="exact"/>
      <w:jc w:val="center"/>
    </w:pPr>
    <w:rPr>
      <w:rFonts w:ascii="Times New Roman" w:hAnsi="Times New Roman" w:eastAsia="宋体" w:cs="Times New Roman"/>
      <w:kern w:val="0"/>
      <w:sz w:val="28"/>
      <w:szCs w:val="20"/>
      <w:lang w:val="en-US" w:eastAsia="zh-CN" w:bidi="ar-SA"/>
    </w:rPr>
  </w:style>
  <w:style w:type="paragraph" w:customStyle="1" w:styleId="59">
    <w:name w:val="章"/>
    <w:basedOn w:val="1"/>
    <w:next w:val="27"/>
    <w:qFormat/>
    <w:uiPriority w:val="0"/>
    <w:pPr>
      <w:numPr>
        <w:ilvl w:val="0"/>
        <w:numId w:val="3"/>
      </w:numPr>
      <w:adjustRightInd w:val="0"/>
      <w:spacing w:before="160" w:after="160"/>
      <w:outlineLvl w:val="0"/>
    </w:pPr>
    <w:rPr>
      <w:rFonts w:hint="eastAsia" w:ascii="黑体" w:hAnsi="Times New Roman" w:eastAsia="黑体"/>
      <w:kern w:val="21"/>
      <w:szCs w:val="20"/>
    </w:rPr>
  </w:style>
  <w:style w:type="paragraph" w:customStyle="1" w:styleId="60">
    <w:name w:val="条1"/>
    <w:basedOn w:val="1"/>
    <w:next w:val="27"/>
    <w:qFormat/>
    <w:uiPriority w:val="0"/>
    <w:pPr>
      <w:numPr>
        <w:ilvl w:val="1"/>
        <w:numId w:val="3"/>
      </w:numPr>
      <w:ind w:left="0"/>
      <w:outlineLvl w:val="1"/>
    </w:pPr>
    <w:rPr>
      <w:rFonts w:hint="eastAsia" w:ascii="黑体" w:hAnsi="Times New Roman" w:eastAsia="黑体"/>
      <w:kern w:val="21"/>
      <w:szCs w:val="20"/>
    </w:rPr>
  </w:style>
  <w:style w:type="paragraph" w:customStyle="1" w:styleId="61">
    <w:name w:val="条2"/>
    <w:basedOn w:val="1"/>
    <w:next w:val="27"/>
    <w:qFormat/>
    <w:uiPriority w:val="0"/>
    <w:pPr>
      <w:numPr>
        <w:ilvl w:val="2"/>
        <w:numId w:val="3"/>
      </w:numPr>
      <w:outlineLvl w:val="1"/>
    </w:pPr>
    <w:rPr>
      <w:rFonts w:hint="eastAsia" w:ascii="黑体" w:hAnsi="Times New Roman" w:eastAsia="黑体"/>
      <w:kern w:val="21"/>
      <w:szCs w:val="20"/>
    </w:rPr>
  </w:style>
  <w:style w:type="paragraph" w:customStyle="1" w:styleId="62">
    <w:name w:val="条3"/>
    <w:basedOn w:val="1"/>
    <w:next w:val="27"/>
    <w:qFormat/>
    <w:uiPriority w:val="0"/>
    <w:pPr>
      <w:numPr>
        <w:ilvl w:val="3"/>
        <w:numId w:val="3"/>
      </w:numPr>
      <w:outlineLvl w:val="1"/>
    </w:pPr>
    <w:rPr>
      <w:rFonts w:hint="eastAsia" w:ascii="黑体" w:hAnsi="Times New Roman" w:eastAsia="黑体"/>
      <w:kern w:val="21"/>
      <w:szCs w:val="20"/>
    </w:rPr>
  </w:style>
  <w:style w:type="paragraph" w:customStyle="1" w:styleId="63">
    <w:name w:val="无题条5"/>
    <w:basedOn w:val="1"/>
    <w:next w:val="27"/>
    <w:qFormat/>
    <w:uiPriority w:val="0"/>
    <w:pPr>
      <w:numPr>
        <w:ilvl w:val="4"/>
        <w:numId w:val="3"/>
      </w:numPr>
      <w:outlineLvl w:val="1"/>
    </w:pPr>
    <w:rPr>
      <w:rFonts w:hint="eastAsia" w:ascii="宋体" w:hAnsi="Times New Roman"/>
      <w:kern w:val="21"/>
      <w:szCs w:val="20"/>
    </w:rPr>
  </w:style>
  <w:style w:type="paragraph" w:customStyle="1" w:styleId="64">
    <w:name w:val="附录标题"/>
    <w:basedOn w:val="1"/>
    <w:next w:val="27"/>
    <w:qFormat/>
    <w:uiPriority w:val="0"/>
    <w:pPr>
      <w:widowControl/>
      <w:numPr>
        <w:ilvl w:val="5"/>
        <w:numId w:val="3"/>
      </w:numPr>
      <w:spacing w:before="560" w:after="160"/>
      <w:jc w:val="center"/>
      <w:outlineLvl w:val="0"/>
    </w:pPr>
    <w:rPr>
      <w:rFonts w:hint="eastAsia" w:ascii="黑体" w:hAnsi="Times New Roman" w:eastAsia="黑体"/>
      <w:kern w:val="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6</Pages>
  <Words>3899</Words>
  <Characters>3994</Characters>
  <Lines>5</Lines>
  <Paragraphs>1</Paragraphs>
  <TotalTime>1</TotalTime>
  <ScaleCrop>false</ScaleCrop>
  <LinksUpToDate>false</LinksUpToDate>
  <CharactersWithSpaces>3999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2019-06-20T06:55:00Z</dcterms:created>
  <dc:creator>zhengyanfeng</dc:creator>
  <cp:lastModifiedBy>陈萌</cp:lastModifiedBy>
  <dcterms:modified xsi:type="dcterms:W3CDTF">2026-05-07T06:39:05Z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818F7467666C4704AC440DFB064940E7_13</vt:lpwstr>
  </property>
  <property fmtid="{D5CDD505-2E9C-101B-9397-08002B2CF9AE}" pid="4" name="KSOTemplateDocerSaveRecord">
    <vt:lpwstr>eyJoZGlkIjoiOTNhYzk2NjdkNzE3ZjM0MDllNTZkZTZlMGYzZGI1YjEiLCJ1c2VySWQiOiI0MTg0NTA0MDAifQ==</vt:lpwstr>
  </property>
</Properties>
</file>