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CE3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831E41">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E9B909">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0"/>
          </w:p>
        </w:tc>
      </w:tr>
      <w:tr w14:paraId="09183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5ECEE14">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C3F65F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59C41F5">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CRACM</w:t>
                  </w:r>
                  <w:r>
                    <w:fldChar w:fldCharType="end"/>
                  </w:r>
                  <w:bookmarkEnd w:id="1"/>
                </w:p>
              </w:tc>
            </w:tr>
          </w:tbl>
          <w:p w14:paraId="7FABBD83">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2"/>
          </w:p>
        </w:tc>
      </w:tr>
    </w:tbl>
    <w:p w14:paraId="3CD15C96">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中国中医药</w:t>
      </w:r>
      <w:r>
        <w:rPr>
          <w:rFonts w:ascii="黑体" w:eastAsia="黑体"/>
          <w:b w:val="0"/>
          <w:w w:val="100"/>
          <w:sz w:val="48"/>
        </w:rPr>
        <w:t>研究促进会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251857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CRACM</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rPr>
          <w:rFonts w:hint="eastAsia"/>
          <w:lang w:val="en-US" w:eastAsia="zh-CN"/>
        </w:rPr>
        <w:t>***</w:t>
      </w:r>
      <w:r>
        <w:rPr>
          <w:rFonts w:hint="eastAsia"/>
        </w:rPr>
        <w:t>*</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w:t>
      </w:r>
      <w:r>
        <w:rPr>
          <w:rFonts w:hint="eastAsia"/>
          <w:lang w:val="en-US" w:eastAsia="zh-CN"/>
        </w:rPr>
        <w:t>***</w:t>
      </w:r>
      <w:r>
        <w:fldChar w:fldCharType="end"/>
      </w:r>
      <w:bookmarkEnd w:id="7"/>
    </w:p>
    <w:p w14:paraId="16BD2916">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8F8A9D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1746E5F">
      <w:pPr>
        <w:pStyle w:val="51"/>
        <w:framePr w:w="9639" w:h="6976" w:hRule="exact" w:hSpace="0" w:vSpace="0" w:wrap="around" w:hAnchor="page" w:y="6408"/>
        <w:jc w:val="center"/>
        <w:rPr>
          <w:rFonts w:ascii="黑体" w:hAnsi="黑体" w:eastAsia="黑体"/>
          <w:b w:val="0"/>
          <w:bCs w:val="0"/>
          <w:w w:val="100"/>
        </w:rPr>
      </w:pPr>
    </w:p>
    <w:p w14:paraId="78AC8BF5">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潞党参种苗采后处理技术规范</w:t>
      </w:r>
      <w:r>
        <w:fldChar w:fldCharType="end"/>
      </w:r>
      <w:bookmarkEnd w:id="9"/>
    </w:p>
    <w:p w14:paraId="508635D4">
      <w:pPr>
        <w:framePr w:w="9639" w:h="6974" w:hRule="exact" w:wrap="around" w:vAnchor="page" w:hAnchor="page" w:x="1419" w:y="6408" w:anchorLock="1"/>
        <w:ind w:left="-1418"/>
      </w:pPr>
    </w:p>
    <w:p w14:paraId="14C9465E">
      <w:pPr>
        <w:pStyle w:val="126"/>
        <w:framePr w:w="9639" w:h="6974" w:hRule="exact" w:wrap="around" w:vAnchor="page" w:hAnchor="page" w:x="1419" w:y="6408" w:anchorLock="1"/>
        <w:textAlignment w:val="bottom"/>
        <w:rPr>
          <w:rFonts w:hint="eastAsia" w:eastAsia="黑体"/>
          <w:szCs w:val="28"/>
          <w:lang w:val="en-US" w:eastAsia="zh-CN"/>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Technical Specification for Postharvest Treatment of Lu Dangshen</w:t>
      </w:r>
      <w:r>
        <w:rPr>
          <w:rFonts w:hint="eastAsia" w:eastAsia="黑体"/>
          <w:szCs w:val="28"/>
          <w:lang w:val="en-US" w:eastAsia="zh-CN"/>
        </w:rPr>
        <w:t xml:space="preserve"> Seedlings</w:t>
      </w:r>
    </w:p>
    <w:p w14:paraId="278376D5">
      <w:pPr>
        <w:pStyle w:val="126"/>
        <w:framePr w:w="9639" w:h="6974" w:hRule="exact" w:wrap="around" w:vAnchor="page" w:hAnchor="page" w:x="1419" w:y="6408" w:anchorLock="1"/>
        <w:textAlignment w:val="bottom"/>
        <w:rPr>
          <w:rFonts w:hint="eastAsia" w:eastAsia="黑体"/>
          <w:szCs w:val="28"/>
        </w:rPr>
      </w:pPr>
    </w:p>
    <w:p w14:paraId="0B0FD945">
      <w:pPr>
        <w:pStyle w:val="126"/>
        <w:framePr w:w="9639" w:h="6974" w:hRule="exact" w:wrap="around" w:vAnchor="page" w:hAnchor="page" w:x="1419" w:y="6408" w:anchorLock="1"/>
        <w:textAlignment w:val="bottom"/>
        <w:rPr>
          <w:rFonts w:hint="eastAsia" w:eastAsia="黑体"/>
          <w:szCs w:val="28"/>
        </w:rPr>
      </w:pPr>
    </w:p>
    <w:p w14:paraId="68984876">
      <w:pPr>
        <w:pStyle w:val="126"/>
        <w:framePr w:w="9639" w:h="6974" w:hRule="exact" w:wrap="around" w:vAnchor="page" w:hAnchor="page" w:x="1419" w:y="6408" w:anchorLock="1"/>
        <w:textAlignment w:val="bottom"/>
        <w:rPr>
          <w:rFonts w:eastAsia="黑体"/>
          <w:szCs w:val="28"/>
        </w:rPr>
      </w:pPr>
      <w:r>
        <w:rPr>
          <w:rFonts w:hint="eastAsia" w:eastAsia="黑体"/>
          <w:szCs w:val="28"/>
          <w:lang w:eastAsia="zh-CN"/>
        </w:rPr>
        <w:t>（标准征求意见稿）</w:t>
      </w:r>
      <w:r>
        <w:rPr>
          <w:rFonts w:eastAsia="黑体"/>
          <w:szCs w:val="28"/>
        </w:rPr>
        <w:fldChar w:fldCharType="end"/>
      </w:r>
      <w:bookmarkEnd w:id="10"/>
    </w:p>
    <w:p w14:paraId="412C17EE">
      <w:pPr>
        <w:framePr w:w="9639" w:h="6974" w:hRule="exact" w:wrap="around" w:vAnchor="page" w:hAnchor="page" w:x="1419" w:y="6408" w:anchorLock="1"/>
        <w:spacing w:line="760" w:lineRule="exact"/>
        <w:ind w:left="-1418"/>
      </w:pPr>
    </w:p>
    <w:p w14:paraId="0F56F1F6">
      <w:pPr>
        <w:pStyle w:val="126"/>
        <w:framePr w:w="9639" w:h="6974" w:hRule="exact" w:wrap="around" w:vAnchor="page" w:hAnchor="page" w:x="1419" w:y="6408" w:anchorLock="1"/>
        <w:textAlignment w:val="bottom"/>
        <w:rPr>
          <w:rFonts w:eastAsia="黑体"/>
          <w:szCs w:val="28"/>
        </w:rPr>
      </w:pPr>
    </w:p>
    <w:p w14:paraId="1A0DA96B">
      <w:pPr>
        <w:pStyle w:val="126"/>
        <w:framePr w:w="9639" w:h="6974" w:hRule="exact" w:wrap="around" w:vAnchor="page" w:hAnchor="page" w:x="1419" w:y="6408" w:anchorLock="1"/>
        <w:spacing w:before="440" w:after="160"/>
        <w:textAlignment w:val="bottom"/>
        <w:rPr>
          <w:sz w:val="24"/>
          <w:szCs w:val="28"/>
        </w:rPr>
      </w:pPr>
    </w:p>
    <w:p w14:paraId="18BBDAAC">
      <w:pPr>
        <w:pStyle w:val="194"/>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3"/>
      <w:r>
        <w:rPr>
          <w:rFonts w:hint="eastAsia"/>
        </w:rPr>
        <w:t>发布</w:t>
      </w:r>
    </w:p>
    <w:p w14:paraId="534C1FFE">
      <w:pPr>
        <w:pStyle w:val="195"/>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6"/>
      <w:r>
        <w:rPr>
          <w:rFonts w:hint="eastAsia"/>
        </w:rPr>
        <w:t>实施</w:t>
      </w:r>
    </w:p>
    <w:p w14:paraId="6F3FA8D6">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中国</w:t>
      </w:r>
      <w:r>
        <w:rPr>
          <w:rFonts w:hAnsi="黑体"/>
          <w:w w:val="100"/>
          <w:sz w:val="28"/>
        </w:rPr>
        <w:t>中医药</w:t>
      </w:r>
      <w:r>
        <w:rPr>
          <w:rFonts w:hint="eastAsia" w:hAnsi="黑体"/>
          <w:w w:val="100"/>
          <w:sz w:val="28"/>
        </w:rPr>
        <w:t>研究</w:t>
      </w:r>
      <w:r>
        <w:rPr>
          <w:rFonts w:hAnsi="黑体"/>
          <w:w w:val="100"/>
          <w:sz w:val="28"/>
        </w:rPr>
        <w:t>促进会</w:t>
      </w:r>
      <w:r>
        <w:rPr>
          <w:rFonts w:hAnsi="黑体"/>
          <w:w w:val="100"/>
          <w:sz w:val="28"/>
        </w:rPr>
        <w:fldChar w:fldCharType="end"/>
      </w:r>
      <w:bookmarkEnd w:id="17"/>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6C2EF6C">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A5973BF">
      <w:pPr>
        <w:pStyle w:val="90"/>
        <w:spacing w:after="360"/>
      </w:pPr>
      <w:bookmarkStart w:id="18" w:name="_Toc27272"/>
      <w:bookmarkStart w:id="19" w:name="BookMark2"/>
      <w:r>
        <w:rPr>
          <w:spacing w:val="320"/>
        </w:rPr>
        <w:t>前</w:t>
      </w:r>
      <w:r>
        <w:t>言</w:t>
      </w:r>
      <w:bookmarkEnd w:id="18"/>
    </w:p>
    <w:p w14:paraId="7E89CE78">
      <w:pPr>
        <w:pStyle w:val="57"/>
        <w:ind w:firstLine="420"/>
      </w:pPr>
      <w:r>
        <w:rPr>
          <w:rFonts w:hint="eastAsia"/>
        </w:rPr>
        <w:t>本文件按照GB/T 1.1-2020《标准化工作导则  第1部分：标准化文件的结构和起草规则》的规定起草。</w:t>
      </w:r>
    </w:p>
    <w:p w14:paraId="00A497ED">
      <w:pPr>
        <w:pStyle w:val="57"/>
        <w:ind w:firstLine="420"/>
        <w:rPr>
          <w:rFonts w:hint="eastAsia" w:hAnsi="Times New Roman" w:cs="Times New Roman"/>
        </w:rPr>
      </w:pPr>
      <w:r>
        <w:rPr>
          <w:rFonts w:hint="eastAsia"/>
        </w:rPr>
        <w:t>请注意本文件的某些内容可能涉及专利。本文件的发布机构不承担识别专利的责任</w:t>
      </w:r>
      <w:r>
        <w:rPr>
          <w:rFonts w:hint="eastAsia" w:hAnsi="Times New Roman" w:cs="Times New Roman"/>
        </w:rPr>
        <w:t>。本文件由</w:t>
      </w:r>
      <w:r>
        <w:rPr>
          <w:rFonts w:hint="eastAsia" w:hAnsi="Times New Roman" w:cs="Times New Roman"/>
          <w:lang w:eastAsia="en-US"/>
        </w:rPr>
        <w:t>台州市中医</w:t>
      </w:r>
      <w:r>
        <w:rPr>
          <w:rFonts w:hint="default" w:hAnsi="Times New Roman" w:cs="Times New Roman"/>
          <w:lang w:eastAsia="en-US"/>
        </w:rPr>
        <w:t>院</w:t>
      </w:r>
      <w:r>
        <w:rPr>
          <w:rFonts w:hint="eastAsia" w:hAnsi="Times New Roman" w:cs="Times New Roman"/>
        </w:rPr>
        <w:t>提出。</w:t>
      </w:r>
    </w:p>
    <w:p w14:paraId="1640DE90">
      <w:pPr>
        <w:pStyle w:val="57"/>
        <w:ind w:firstLine="420"/>
      </w:pPr>
      <w:r>
        <w:rPr>
          <w:rFonts w:hint="eastAsia"/>
        </w:rPr>
        <w:t>本文件由中国中医药研究促进会归口。</w:t>
      </w:r>
    </w:p>
    <w:p w14:paraId="08ADD694">
      <w:pPr>
        <w:pStyle w:val="57"/>
        <w:ind w:firstLine="420"/>
        <w:rPr>
          <w:rFonts w:hint="default" w:hAnsi="Times New Roman" w:eastAsia="宋体" w:cs="Times New Roman"/>
          <w:highlight w:val="yellow"/>
          <w:lang w:val="en-US" w:eastAsia="zh-CN"/>
        </w:rPr>
      </w:pPr>
      <w:r>
        <w:rPr>
          <w:rFonts w:hint="eastAsia"/>
        </w:rPr>
        <w:t>本文件起草单位：长治市中药材产业发展中心</w:t>
      </w:r>
      <w:r>
        <w:rPr>
          <w:rFonts w:hint="default" w:hAnsi="Times New Roman" w:cs="Times New Roman"/>
          <w:lang w:eastAsia="en-US"/>
        </w:rPr>
        <w:t>、</w:t>
      </w:r>
      <w:r>
        <w:rPr>
          <w:rFonts w:hint="eastAsia" w:cs="Times New Roman"/>
          <w:highlight w:val="none"/>
          <w:lang w:val="en-US" w:eastAsia="zh-CN"/>
        </w:rPr>
        <w:t>中国标准化研究院</w:t>
      </w:r>
    </w:p>
    <w:p w14:paraId="32D78306">
      <w:pPr>
        <w:pStyle w:val="57"/>
        <w:ind w:firstLine="420"/>
        <w:rPr>
          <w:rFonts w:hint="default" w:hAnsi="Times New Roman" w:eastAsia="宋体" w:cs="Times New Roman"/>
          <w:lang w:val="en-US" w:eastAsia="zh-CN"/>
        </w:rPr>
      </w:pPr>
      <w:r>
        <w:rPr>
          <w:rFonts w:hint="eastAsia" w:hAnsi="Times New Roman" w:cs="Times New Roman"/>
        </w:rPr>
        <w:t>本文件主要起草人：</w:t>
      </w:r>
      <w:r>
        <w:rPr>
          <w:rFonts w:hint="eastAsia" w:cs="Times New Roman"/>
          <w:lang w:val="en-US" w:eastAsia="zh-CN"/>
        </w:rPr>
        <w:t>武东 王军霞 王伟 初侨 燕艳华 陈萌</w:t>
      </w:r>
    </w:p>
    <w:p w14:paraId="3233E5A8">
      <w:pPr>
        <w:pStyle w:val="57"/>
        <w:ind w:firstLine="420"/>
        <w:rPr>
          <w:rFonts w:hint="default" w:hAnsi="Times New Roman" w:cs="Times New Roman"/>
          <w:lang w:eastAsia="zh-CN"/>
        </w:rPr>
      </w:pPr>
    </w:p>
    <w:p w14:paraId="3C8F5278">
      <w:pPr>
        <w:rPr>
          <w:rFonts w:hint="eastAsia" w:hAnsi="Times New Roman" w:cs="Times New Roman"/>
          <w:lang w:eastAsia="zh-CN"/>
        </w:rPr>
      </w:pPr>
      <w:r>
        <w:rPr>
          <w:rFonts w:hint="eastAsia" w:hAnsi="Times New Roman" w:cs="Times New Roman"/>
          <w:lang w:eastAsia="zh-CN"/>
        </w:rPr>
        <w:br w:type="page"/>
      </w:r>
    </w:p>
    <w:p w14:paraId="5422A81D">
      <w:pPr>
        <w:pStyle w:val="90"/>
        <w:spacing w:after="360"/>
      </w:pPr>
      <w:bookmarkStart w:id="20" w:name="_Toc8366"/>
      <w:r>
        <w:rPr>
          <w:rFonts w:hint="eastAsia"/>
          <w:spacing w:val="320"/>
          <w:lang w:val="en-US" w:eastAsia="zh-CN"/>
        </w:rPr>
        <w:t>引</w:t>
      </w:r>
      <w:r>
        <w:t>言</w:t>
      </w:r>
      <w:bookmarkEnd w:id="20"/>
    </w:p>
    <w:p w14:paraId="11CBC1FA">
      <w:pPr>
        <w:widowControl/>
        <w:kinsoku w:val="0"/>
        <w:autoSpaceDE w:val="0"/>
        <w:autoSpaceDN w:val="0"/>
        <w:adjustRightInd w:val="0"/>
        <w:snapToGrid w:val="0"/>
        <w:spacing w:before="86" w:line="360" w:lineRule="auto"/>
        <w:ind w:right="71" w:firstLine="420"/>
        <w:jc w:val="left"/>
        <w:textAlignment w:val="baseline"/>
        <w:rPr>
          <w:rFonts w:hint="eastAsia" w:ascii="宋体" w:hAnsi="Times New Roman" w:eastAsia="宋体" w:cs="Times New Roman"/>
          <w:kern w:val="0"/>
          <w:sz w:val="21"/>
          <w:szCs w:val="20"/>
          <w:lang w:val="en-US" w:eastAsia="en-US" w:bidi="ar-SA"/>
        </w:rPr>
      </w:pPr>
      <w:r>
        <w:rPr>
          <w:rFonts w:hint="eastAsia" w:ascii="宋体" w:hAnsi="Times New Roman" w:eastAsia="宋体" w:cs="Times New Roman"/>
          <w:kern w:val="0"/>
          <w:sz w:val="21"/>
          <w:szCs w:val="20"/>
          <w:lang w:val="en-US" w:eastAsia="en-US" w:bidi="ar-SA"/>
        </w:rPr>
        <w:t>作为道地中药材的杰出代表，潞党参凭借悠久的药用历史与独特的品质功效，在中医药领域占据着不可替代的地位。为规范潞党参种苗采后处理技术流程，保障种苗质量稳定，提升移栽成活率，依据《中华人民共和国药典》《中药材生产质量管理规范》等相关要求，结合潞党参种苗生理特性及产区实际生产经验，制定本规程。本规程明确了潞党参种苗采挖、分拣、修剪、晾晒、包装、运输及贮藏等关键环节的技术要求，旨在为潞党参种植者提供科学、统一的操作指南，推动潞党参产业高质量发展，助力乡村振兴。</w:t>
      </w:r>
    </w:p>
    <w:p w14:paraId="4F0D7D6C">
      <w:pPr>
        <w:spacing w:line="20" w:lineRule="exact"/>
        <w:jc w:val="center"/>
        <w:rPr>
          <w:rFonts w:ascii="黑体" w:hAnsi="黑体" w:eastAsia="黑体"/>
          <w:sz w:val="32"/>
          <w:szCs w:val="32"/>
        </w:rPr>
      </w:pPr>
      <w:r>
        <w:rPr>
          <w:rFonts w:hint="eastAsia" w:hAnsi="Times New Roman" w:cs="Times New Roman"/>
          <w:lang w:eastAsia="zh-CN"/>
        </w:rPr>
        <w:br w:type="page"/>
      </w:r>
      <w:bookmarkEnd w:id="19"/>
      <w:bookmarkStart w:id="21" w:name="BookMark4"/>
    </w:p>
    <w:p w14:paraId="7DF50EB9">
      <w:pPr>
        <w:spacing w:line="20" w:lineRule="exact"/>
        <w:jc w:val="center"/>
        <w:rPr>
          <w:rFonts w:ascii="黑体" w:hAnsi="黑体" w:eastAsia="黑体"/>
          <w:sz w:val="32"/>
          <w:szCs w:val="32"/>
        </w:rPr>
      </w:pPr>
    </w:p>
    <w:sdt>
      <w:sdtPr>
        <w:tag w:val="NEW_STAND_NAME"/>
        <w:id w:val="595910757"/>
        <w:lock w:val="sdtLocked"/>
        <w:placeholder>
          <w:docPart w:val="A276024014E749F195FC61D7865681B4"/>
        </w:placeholder>
      </w:sdtPr>
      <w:sdtContent>
        <w:p w14:paraId="0885E84A">
          <w:pPr>
            <w:jc w:val="center"/>
          </w:pPr>
          <w:bookmarkStart w:id="22" w:name="NEW_STAND_NAME"/>
          <w:r>
            <w:rPr>
              <w:rFonts w:hint="eastAsia" w:ascii="黑体" w:hAnsi="黑体" w:eastAsia="黑体" w:cs="黑体"/>
              <w:snapToGrid w:val="0"/>
              <w:color w:val="000000"/>
              <w:spacing w:val="7"/>
              <w:kern w:val="0"/>
              <w:sz w:val="31"/>
              <w:szCs w:val="31"/>
              <w:lang w:val="en-US" w:eastAsia="zh-CN" w:bidi="ar-SA"/>
            </w:rPr>
            <w:t>潞党参种苗采后处理技术规范</w:t>
          </w:r>
        </w:p>
      </w:sdtContent>
    </w:sdt>
    <w:bookmarkEnd w:id="22"/>
    <w:p w14:paraId="23A36214">
      <w:pPr>
        <w:pStyle w:val="105"/>
        <w:spacing w:before="240" w:after="240"/>
      </w:pPr>
      <w:bookmarkStart w:id="23" w:name="_Toc24884211"/>
      <w:bookmarkStart w:id="24" w:name="_Toc17233325"/>
      <w:bookmarkStart w:id="25" w:name="_Toc26648465"/>
      <w:bookmarkStart w:id="26" w:name="_Toc26986530"/>
      <w:bookmarkStart w:id="27" w:name="_Toc26986771"/>
      <w:bookmarkStart w:id="28" w:name="_Toc24884218"/>
      <w:bookmarkStart w:id="29" w:name="_Toc17233333"/>
      <w:bookmarkStart w:id="30" w:name="_Toc26718930"/>
      <w:bookmarkStart w:id="31" w:name="_Toc21305"/>
      <w:r>
        <w:rPr>
          <w:rFonts w:hint="eastAsia"/>
        </w:rPr>
        <w:t>范围</w:t>
      </w:r>
      <w:bookmarkEnd w:id="23"/>
      <w:bookmarkEnd w:id="24"/>
      <w:bookmarkEnd w:id="25"/>
      <w:bookmarkEnd w:id="26"/>
      <w:bookmarkEnd w:id="27"/>
      <w:bookmarkEnd w:id="28"/>
      <w:bookmarkEnd w:id="29"/>
      <w:bookmarkEnd w:id="30"/>
      <w:bookmarkEnd w:id="31"/>
    </w:p>
    <w:p w14:paraId="1A2DFDBC">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en-US" w:bidi="ar-SA"/>
        </w:rPr>
      </w:pPr>
      <w:bookmarkStart w:id="32" w:name="_Toc24884219"/>
      <w:bookmarkStart w:id="33" w:name="_Toc17233334"/>
      <w:bookmarkStart w:id="34" w:name="_Toc17233326"/>
      <w:bookmarkStart w:id="35" w:name="_Toc24884212"/>
      <w:bookmarkStart w:id="36" w:name="_Toc26648466"/>
      <w:r>
        <w:rPr>
          <w:rFonts w:hint="eastAsia" w:ascii="宋体" w:hAnsi="Times New Roman" w:eastAsia="宋体" w:cs="Times New Roman"/>
          <w:kern w:val="0"/>
          <w:sz w:val="21"/>
          <w:szCs w:val="20"/>
          <w:lang w:val="en-US" w:eastAsia="en-US" w:bidi="ar-SA"/>
        </w:rPr>
        <w:t>本</w:t>
      </w:r>
      <w:r>
        <w:rPr>
          <w:rFonts w:hint="eastAsia" w:ascii="宋体" w:hAnsi="Times New Roman" w:cs="Times New Roman"/>
          <w:kern w:val="0"/>
          <w:sz w:val="21"/>
          <w:szCs w:val="20"/>
          <w:lang w:val="en-US" w:eastAsia="zh-CN" w:bidi="ar-SA"/>
        </w:rPr>
        <w:t>文件</w:t>
      </w:r>
      <w:r>
        <w:rPr>
          <w:rFonts w:hint="eastAsia" w:ascii="宋体" w:hAnsi="Times New Roman" w:eastAsia="宋体" w:cs="Times New Roman"/>
          <w:kern w:val="0"/>
          <w:sz w:val="21"/>
          <w:szCs w:val="20"/>
          <w:lang w:val="en-US" w:eastAsia="en-US" w:bidi="ar-SA"/>
        </w:rPr>
        <w:t>规定了潞党参种苗采后处理的术语和定义、基本要求、采后处理流程、质量判定、包装、标识、运输及贮藏等内容。</w:t>
      </w:r>
    </w:p>
    <w:p w14:paraId="3EF38FC0">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zh-CN" w:bidi="ar-SA"/>
        </w:rPr>
      </w:pPr>
      <w:r>
        <w:rPr>
          <w:rFonts w:hint="eastAsia" w:ascii="宋体" w:hAnsi="Times New Roman" w:eastAsia="宋体" w:cs="Times New Roman"/>
          <w:kern w:val="0"/>
          <w:sz w:val="21"/>
          <w:szCs w:val="20"/>
          <w:lang w:val="en-US" w:eastAsia="en-US" w:bidi="ar-SA"/>
        </w:rPr>
        <w:t>本</w:t>
      </w:r>
      <w:r>
        <w:rPr>
          <w:rFonts w:hint="eastAsia" w:ascii="宋体" w:hAnsi="Times New Roman" w:cs="Times New Roman"/>
          <w:kern w:val="0"/>
          <w:sz w:val="21"/>
          <w:szCs w:val="20"/>
          <w:lang w:val="en-US" w:eastAsia="zh-CN" w:bidi="ar-SA"/>
        </w:rPr>
        <w:t>文件适用于潞党参种苗采挖后的全程处理与管理。</w:t>
      </w:r>
    </w:p>
    <w:p w14:paraId="5D42895D">
      <w:pPr>
        <w:pStyle w:val="105"/>
        <w:spacing w:before="240" w:after="240"/>
      </w:pPr>
      <w:bookmarkStart w:id="37" w:name="_Toc26986531"/>
      <w:bookmarkStart w:id="38" w:name="_Toc2711"/>
      <w:bookmarkStart w:id="39" w:name="_Toc26718931"/>
      <w:bookmarkStart w:id="40" w:name="_Toc26986772"/>
      <w:r>
        <w:rPr>
          <w:rFonts w:hint="eastAsia"/>
        </w:rPr>
        <w:t>规范性引用文件</w:t>
      </w:r>
      <w:bookmarkEnd w:id="32"/>
      <w:bookmarkEnd w:id="33"/>
      <w:bookmarkEnd w:id="34"/>
      <w:bookmarkEnd w:id="35"/>
      <w:bookmarkEnd w:id="36"/>
      <w:bookmarkEnd w:id="37"/>
      <w:bookmarkEnd w:id="38"/>
      <w:bookmarkEnd w:id="39"/>
      <w:bookmarkEnd w:id="40"/>
    </w:p>
    <w:sdt>
      <w:sdtPr>
        <w:rPr>
          <w:rFonts w:hint="eastAsia"/>
        </w:rPr>
        <w:id w:val="715848253"/>
        <w:placeholder>
          <w:docPart w:val="06919CD3F62A421B8D32E5DFCB13C24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052F18C">
          <w:pPr>
            <w:pStyle w:val="57"/>
            <w:spacing w:line="240" w:lineRule="auto"/>
            <w:ind w:firstLine="420"/>
          </w:pPr>
          <w:r>
            <w:rPr>
              <w:rFonts w:hint="eastAsia" w:ascii="宋体" w:hAnsi="Times New Roman" w:eastAsia="宋体" w:cs="Times New Roman"/>
              <w:sz w:val="21"/>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535DA15">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cs="Times New Roman"/>
          <w:kern w:val="0"/>
          <w:sz w:val="21"/>
          <w:szCs w:val="20"/>
          <w:lang w:val="en-US" w:eastAsia="zh-CN" w:bidi="ar-SA"/>
        </w:rPr>
      </w:pPr>
      <w:bookmarkStart w:id="41" w:name="_Toc19886"/>
      <w:r>
        <w:rPr>
          <w:rFonts w:hint="eastAsia" w:ascii="宋体" w:hAnsi="Times New Roman" w:cs="Times New Roman"/>
          <w:kern w:val="0"/>
          <w:sz w:val="21"/>
          <w:szCs w:val="20"/>
          <w:lang w:val="en-US" w:eastAsia="zh-CN" w:bidi="ar-SA"/>
        </w:rPr>
        <w:t>DB14/T 2425 潞党参栽培技术规程</w:t>
      </w:r>
    </w:p>
    <w:p w14:paraId="32862224">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cs="Times New Roman"/>
          <w:kern w:val="0"/>
          <w:sz w:val="21"/>
          <w:szCs w:val="20"/>
          <w:lang w:val="en-US" w:eastAsia="zh-CN" w:bidi="ar-SA"/>
        </w:rPr>
      </w:pPr>
      <w:r>
        <w:rPr>
          <w:rFonts w:hint="eastAsia" w:ascii="宋体" w:hAnsi="Times New Roman" w:cs="Times New Roman"/>
          <w:kern w:val="0"/>
          <w:sz w:val="21"/>
          <w:szCs w:val="20"/>
          <w:lang w:val="en-US" w:eastAsia="zh-CN" w:bidi="ar-SA"/>
        </w:rPr>
        <w:t>《中药材生产质量管理规范》（GAP）</w:t>
      </w:r>
    </w:p>
    <w:p w14:paraId="6667A7F2">
      <w:pPr>
        <w:pStyle w:val="105"/>
        <w:spacing w:before="240" w:after="240" w:line="360" w:lineRule="auto"/>
      </w:pPr>
      <w:r>
        <w:rPr>
          <w:rFonts w:hint="eastAsia"/>
          <w:szCs w:val="21"/>
        </w:rPr>
        <w:t>术语和定义</w:t>
      </w:r>
      <w:bookmarkEnd w:id="41"/>
    </w:p>
    <w:sdt>
      <w:sdtPr>
        <w:id w:val="-1909835108"/>
        <w:placeholder>
          <w:docPart w:val="A566404057834F1AB5CC2FB6A9C4A1D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9EB1DD2">
          <w:pPr>
            <w:pStyle w:val="57"/>
            <w:spacing w:line="360" w:lineRule="auto"/>
            <w:ind w:firstLine="420"/>
          </w:pPr>
          <w:bookmarkStart w:id="42" w:name="_Toc26986532"/>
          <w:bookmarkEnd w:id="42"/>
          <w:r>
            <w:rPr>
              <w:rFonts w:ascii="宋体" w:hAnsi="Times New Roman" w:eastAsia="宋体" w:cs="Times New Roman"/>
              <w:sz w:val="21"/>
              <w:lang w:val="en-US" w:eastAsia="zh-CN" w:bidi="ar-SA"/>
            </w:rPr>
            <w:t>下列术语和定义适用于本文件。</w:t>
          </w:r>
        </w:p>
      </w:sdtContent>
    </w:sdt>
    <w:p w14:paraId="398809DC">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43" w:name="_Toc1608"/>
      <w:bookmarkEnd w:id="43"/>
      <w:bookmarkStart w:id="44" w:name="_Toc28104"/>
      <w:bookmarkStart w:id="45" w:name="_Toc6700"/>
      <w:bookmarkStart w:id="46" w:name="_Toc92982884"/>
    </w:p>
    <w:bookmarkEnd w:id="44"/>
    <w:bookmarkEnd w:id="45"/>
    <w:p w14:paraId="301A7EDC">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cs="Arial"/>
          <w:lang w:val="en-US" w:eastAsia="zh-CN"/>
        </w:rPr>
      </w:pPr>
      <w:r>
        <w:rPr>
          <w:rFonts w:hint="default" w:ascii="Arial" w:hAnsi="Arial" w:cs="Arial"/>
          <w:lang w:val="en-US" w:eastAsia="zh-CN"/>
        </w:rPr>
        <w:t>潞党参种苗</w:t>
      </w:r>
    </w:p>
    <w:p w14:paraId="23B7C3FF">
      <w:pPr>
        <w:widowControl/>
        <w:kinsoku w:val="0"/>
        <w:autoSpaceDE w:val="0"/>
        <w:autoSpaceDN w:val="0"/>
        <w:adjustRightInd w:val="0"/>
        <w:snapToGrid w:val="0"/>
        <w:spacing w:before="214" w:line="240" w:lineRule="auto"/>
        <w:ind w:right="67" w:firstLine="422"/>
        <w:jc w:val="left"/>
        <w:textAlignment w:val="baseline"/>
        <w:rPr>
          <w:rFonts w:hint="eastAsia" w:cs="Times New Roman"/>
        </w:rPr>
      </w:pPr>
      <w:r>
        <w:rPr>
          <w:rFonts w:hint="eastAsia" w:cs="Times New Roman"/>
        </w:rPr>
        <w:t>指在潞党参核心产区（以山西长治为核心）培育完成，达到移栽标准的潞党参幼苗，包括根、茎、叶等完整植株。</w:t>
      </w:r>
    </w:p>
    <w:p w14:paraId="2C5E2B56">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47" w:name="_Toc30825"/>
      <w:bookmarkEnd w:id="47"/>
      <w:bookmarkStart w:id="48" w:name="_Toc26411"/>
      <w:bookmarkStart w:id="49" w:name="_Toc29742"/>
    </w:p>
    <w:bookmarkEnd w:id="48"/>
    <w:bookmarkEnd w:id="49"/>
    <w:p w14:paraId="6C0A6617">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ascii="Arial" w:hAnsi="Arial" w:cs="Arial"/>
        </w:rPr>
      </w:pPr>
      <w:r>
        <w:rPr>
          <w:rFonts w:hint="eastAsia" w:ascii="Arial" w:hAnsi="Arial" w:cs="Arial"/>
        </w:rPr>
        <w:t>采后处理</w:t>
      </w:r>
    </w:p>
    <w:p w14:paraId="4AE98F67">
      <w:pPr>
        <w:widowControl/>
        <w:kinsoku w:val="0"/>
        <w:autoSpaceDE w:val="0"/>
        <w:autoSpaceDN w:val="0"/>
        <w:adjustRightInd w:val="0"/>
        <w:snapToGrid w:val="0"/>
        <w:spacing w:before="214" w:line="240" w:lineRule="auto"/>
        <w:ind w:right="67" w:firstLine="422"/>
        <w:jc w:val="left"/>
        <w:textAlignment w:val="baseline"/>
        <w:rPr>
          <w:rFonts w:hint="eastAsia" w:ascii="Arial" w:hAnsi="Arial" w:eastAsia="Arial" w:cs="Arial"/>
          <w:snapToGrid w:val="0"/>
          <w:color w:val="000000"/>
          <w:spacing w:val="1"/>
          <w:kern w:val="0"/>
          <w:sz w:val="20"/>
          <w:szCs w:val="20"/>
        </w:rPr>
      </w:pPr>
      <w:r>
        <w:rPr>
          <w:rFonts w:hint="eastAsia" w:ascii="Arial" w:hAnsi="Arial" w:eastAsia="Arial" w:cs="Arial"/>
          <w:snapToGrid w:val="0"/>
          <w:color w:val="000000"/>
          <w:spacing w:val="1"/>
          <w:kern w:val="0"/>
          <w:sz w:val="20"/>
          <w:szCs w:val="20"/>
        </w:rPr>
        <w:t>指潞党参种苗从采挖到进入贮藏或移栽环节前，所进行的一系列旨在保持种苗活力、提升种苗质量的操作。</w:t>
      </w:r>
    </w:p>
    <w:bookmarkEnd w:id="46"/>
    <w:p w14:paraId="55EF36A5">
      <w:pPr>
        <w:pStyle w:val="105"/>
        <w:spacing w:before="240" w:after="240"/>
      </w:pPr>
      <w:bookmarkStart w:id="50" w:name="_Toc12883"/>
      <w:bookmarkEnd w:id="50"/>
      <w:r>
        <w:rPr>
          <w:rFonts w:hint="eastAsia"/>
          <w:lang w:val="en-US" w:eastAsia="zh-CN"/>
        </w:rPr>
        <w:t>基本要求</w:t>
      </w:r>
    </w:p>
    <w:p w14:paraId="7E162F4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rPr>
      </w:pPr>
      <w:r>
        <w:rPr>
          <w:rFonts w:hint="eastAsia" w:hAnsi="黑体" w:cs="黑体"/>
          <w:lang w:val="en-US" w:eastAsia="zh-CN"/>
        </w:rPr>
        <w:t>人员要求</w:t>
      </w:r>
    </w:p>
    <w:p w14:paraId="3C5A80A6">
      <w:pPr>
        <w:pStyle w:val="57"/>
        <w:spacing w:line="240" w:lineRule="auto"/>
        <w:ind w:firstLine="420"/>
        <w:rPr>
          <w:rFonts w:hint="eastAsia" w:hAnsi="Times New Roman" w:eastAsia="宋体" w:cs="Times New Roman"/>
          <w:lang w:val="en-US" w:eastAsia="zh-CN"/>
        </w:rPr>
      </w:pPr>
      <w:r>
        <w:rPr>
          <w:rFonts w:hint="eastAsia" w:hAnsi="Times New Roman" w:eastAsia="宋体" w:cs="Times New Roman"/>
          <w:lang w:val="en-US" w:eastAsia="zh-CN"/>
        </w:rPr>
        <w:t>参与采后处理的人员应经过专业培训，熟悉潞党参种苗特性及采后处理技术要点，具备识别种苗优劣、判断处理环节是否合规的能力。</w:t>
      </w:r>
    </w:p>
    <w:p w14:paraId="0C8EB5FD">
      <w:pPr>
        <w:pStyle w:val="57"/>
        <w:spacing w:line="240" w:lineRule="auto"/>
        <w:ind w:firstLine="420"/>
        <w:rPr>
          <w:rFonts w:hint="eastAsia" w:hAnsi="Times New Roman" w:eastAsia="宋体" w:cs="Times New Roman"/>
          <w:lang w:val="en-US" w:eastAsia="zh-CN"/>
        </w:rPr>
      </w:pPr>
    </w:p>
    <w:p w14:paraId="47FD128C">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rPr>
      </w:pPr>
      <w:r>
        <w:rPr>
          <w:rFonts w:hint="eastAsia" w:hAnsi="黑体" w:cs="黑体"/>
          <w:lang w:val="en-US" w:eastAsia="zh-CN"/>
        </w:rPr>
        <w:t>场地与设备要求</w:t>
      </w:r>
    </w:p>
    <w:p w14:paraId="6CA0ECCE">
      <w:pPr>
        <w:pStyle w:val="57"/>
        <w:spacing w:line="240" w:lineRule="auto"/>
        <w:ind w:firstLine="420"/>
        <w:rPr>
          <w:rFonts w:hint="eastAsia" w:eastAsia="宋体"/>
          <w:lang w:eastAsia="zh-CN"/>
        </w:rPr>
      </w:pPr>
      <w:r>
        <w:rPr>
          <w:rFonts w:hint="eastAsia" w:eastAsia="宋体"/>
          <w:lang w:eastAsia="zh-CN"/>
        </w:rPr>
        <w:t>采后处理场地应选择地势平坦、通风良好、远离污染源的区域，配备清洗池、分拣台、晾晒架、包装工具等必要设备，且设备应定期清洁、消毒，避免种苗受到污染。</w:t>
      </w:r>
    </w:p>
    <w:p w14:paraId="122D9FEC">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rPr>
      </w:pPr>
      <w:r>
        <w:rPr>
          <w:rFonts w:hint="eastAsia" w:hAnsi="黑体" w:cs="黑体"/>
          <w:lang w:val="en-US" w:eastAsia="zh-CN"/>
        </w:rPr>
        <w:t>环境要求</w:t>
      </w:r>
    </w:p>
    <w:p w14:paraId="66439A39">
      <w:pPr>
        <w:pStyle w:val="57"/>
        <w:spacing w:line="240" w:lineRule="auto"/>
        <w:ind w:firstLine="420"/>
        <w:rPr>
          <w:rFonts w:hint="eastAsia" w:hAnsi="Times New Roman" w:cs="Times New Roman"/>
        </w:rPr>
      </w:pPr>
      <w:r>
        <w:rPr>
          <w:rFonts w:hint="eastAsia" w:hAnsi="Times New Roman" w:cs="Times New Roman"/>
        </w:rPr>
        <w:t>处理过程中应避免阳光直射、雨水冲刷，环境温度宜控制在10℃</w:t>
      </w:r>
      <w:r>
        <w:rPr>
          <w:rFonts w:hint="eastAsia" w:cs="Times New Roman"/>
          <w:lang w:val="en-US" w:eastAsia="zh-CN"/>
        </w:rPr>
        <w:t>~</w:t>
      </w:r>
      <w:r>
        <w:rPr>
          <w:rFonts w:hint="eastAsia" w:hAnsi="Times New Roman" w:cs="Times New Roman"/>
        </w:rPr>
        <w:t>20℃，相对湿度保持在60%</w:t>
      </w:r>
      <w:r>
        <w:rPr>
          <w:rFonts w:hint="eastAsia" w:cs="Times New Roman"/>
          <w:lang w:val="en-US" w:eastAsia="zh-CN"/>
        </w:rPr>
        <w:t>~</w:t>
      </w:r>
      <w:r>
        <w:rPr>
          <w:rFonts w:hint="eastAsia" w:hAnsi="Times New Roman" w:cs="Times New Roman"/>
        </w:rPr>
        <w:t>70%，防止种苗失水过快或受潮霉变。</w:t>
      </w:r>
    </w:p>
    <w:p w14:paraId="4B6794C0">
      <w:pPr>
        <w:pStyle w:val="105"/>
        <w:spacing w:before="240" w:after="240"/>
      </w:pPr>
      <w:r>
        <w:rPr>
          <w:rFonts w:hint="eastAsia"/>
          <w:lang w:val="en-US" w:eastAsia="zh-CN"/>
        </w:rPr>
        <w:t>采后处理流程</w:t>
      </w:r>
    </w:p>
    <w:p w14:paraId="7719F22C">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eastAsia" w:hAnsi="黑体" w:cs="黑体"/>
          <w:lang w:val="en-US" w:eastAsia="zh-CN"/>
        </w:rPr>
        <w:t>分拣</w:t>
      </w:r>
    </w:p>
    <w:p w14:paraId="73D73F76">
      <w:pPr>
        <w:pStyle w:val="57"/>
        <w:spacing w:line="240" w:lineRule="auto"/>
        <w:ind w:firstLine="420"/>
        <w:rPr>
          <w:rFonts w:hint="eastAsia" w:hAnsi="Times New Roman" w:cs="Times New Roman"/>
          <w:lang w:eastAsia="zh-CN"/>
        </w:rPr>
      </w:pPr>
      <w:r>
        <w:rPr>
          <w:rFonts w:hint="eastAsia" w:hAnsi="Times New Roman" w:cs="Times New Roman"/>
          <w:lang w:eastAsia="zh-CN"/>
        </w:rPr>
        <w:t>将采挖的种苗搬运至分拣台，进行人工分拣。去除带有病虫害、机械损伤严重、根系腐烂的种苗，挑选出根系完整、芽头饱满、无病虫害的优质种苗。分拣过程中，轻拿轻放，避免对种苗造成二次伤害。</w:t>
      </w:r>
    </w:p>
    <w:p w14:paraId="2016471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eastAsia" w:hAnsi="黑体" w:cs="黑体"/>
          <w:lang w:val="en-US" w:eastAsia="zh-CN"/>
        </w:rPr>
        <w:t>修剪</w:t>
      </w:r>
    </w:p>
    <w:p w14:paraId="596023C1">
      <w:pPr>
        <w:pStyle w:val="57"/>
        <w:rPr>
          <w:rFonts w:hint="default"/>
          <w:lang w:val="en-US" w:eastAsia="zh-CN"/>
        </w:rPr>
      </w:pPr>
      <w:r>
        <w:rPr>
          <w:rFonts w:hint="default"/>
          <w:lang w:val="en-US" w:eastAsia="zh-CN"/>
        </w:rPr>
        <w:t>使用经过消毒的剪刀，对种苗进行适当修剪。剪去种苗上枯黄、受损的叶片，以及过长、纤细的须根，保留主根及健壮的侧根，主根长度保留在15-20</w:t>
      </w:r>
      <w:r>
        <w:rPr>
          <w:rFonts w:hint="eastAsia"/>
          <w:lang w:val="en-US" w:eastAsia="zh-CN"/>
        </w:rPr>
        <w:t>cm</w:t>
      </w:r>
      <w:r>
        <w:rPr>
          <w:rFonts w:hint="default"/>
          <w:lang w:val="en-US" w:eastAsia="zh-CN"/>
        </w:rPr>
        <w:t>为宜。修剪后，将种苗按照大小进行分级。</w:t>
      </w:r>
    </w:p>
    <w:p w14:paraId="6119CC76">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eastAsia" w:hAnsi="黑体" w:cs="黑体"/>
          <w:lang w:val="en-US" w:eastAsia="zh-CN"/>
        </w:rPr>
        <w:t>晾晒</w:t>
      </w:r>
    </w:p>
    <w:p w14:paraId="596D2FBF">
      <w:pPr>
        <w:pStyle w:val="57"/>
        <w:rPr>
          <w:rFonts w:hint="default"/>
          <w:lang w:val="en-US" w:eastAsia="zh-CN"/>
        </w:rPr>
      </w:pPr>
      <w:r>
        <w:rPr>
          <w:rFonts w:hint="default"/>
          <w:lang w:val="en-US" w:eastAsia="zh-CN"/>
        </w:rPr>
        <w:t>将消毒后的种苗均匀摆放在晾晒架上，放置在通风良好、无阳光直射的环境中进行晾晒。晾晒过程中，定期翻动种苗，确保晾晒均匀。当种苗根系表面干燥、手感略硬时，停止晾晒，此时种苗含水量宜控制在60%-65%。</w:t>
      </w:r>
    </w:p>
    <w:p w14:paraId="5FF74467">
      <w:pPr>
        <w:pStyle w:val="105"/>
        <w:spacing w:before="240" w:after="240"/>
        <w:rPr>
          <w:color w:val="auto"/>
          <w:highlight w:val="none"/>
        </w:rPr>
      </w:pPr>
      <w:r>
        <w:rPr>
          <w:rFonts w:hint="eastAsia"/>
          <w:color w:val="auto"/>
          <w:highlight w:val="none"/>
          <w:lang w:val="en-US" w:eastAsia="zh-CN"/>
        </w:rPr>
        <w:t>质量判定</w:t>
      </w:r>
    </w:p>
    <w:p w14:paraId="2A41D30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eastAsia" w:hAnsi="黑体" w:cs="黑体"/>
          <w:lang w:val="en-US" w:eastAsia="zh-CN"/>
        </w:rPr>
        <w:t>优质种苗</w:t>
      </w:r>
    </w:p>
    <w:p w14:paraId="52F76945">
      <w:pPr>
        <w:pStyle w:val="57"/>
        <w:rPr>
          <w:rFonts w:hint="default"/>
          <w:lang w:val="en-US" w:eastAsia="zh-CN"/>
        </w:rPr>
      </w:pPr>
      <w:r>
        <w:rPr>
          <w:rFonts w:hint="default"/>
          <w:lang w:val="en-US" w:eastAsia="zh-CN"/>
        </w:rPr>
        <w:t>根系完整，主根粗壮，芽头饱满，苗长</w:t>
      </w:r>
      <w:r>
        <w:rPr>
          <w:rFonts w:hint="eastAsia"/>
          <w:lang w:val="en-US" w:eastAsia="zh-CN"/>
        </w:rPr>
        <w:t>≥20cm，苗粗≥5mm，单株鲜重≥2g，</w:t>
      </w:r>
      <w:r>
        <w:rPr>
          <w:rFonts w:hint="default"/>
          <w:lang w:val="en-US" w:eastAsia="zh-CN"/>
        </w:rPr>
        <w:t>无病虫害、机械损伤，经过采后处理后，种苗活力强。</w:t>
      </w:r>
    </w:p>
    <w:p w14:paraId="0635EBF8">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eastAsia" w:hAnsi="黑体" w:cs="黑体"/>
          <w:lang w:val="en-US" w:eastAsia="zh-CN"/>
        </w:rPr>
        <w:t>合格种苗</w:t>
      </w:r>
    </w:p>
    <w:p w14:paraId="4A9ADC33">
      <w:pPr>
        <w:pStyle w:val="57"/>
        <w:rPr>
          <w:rFonts w:hint="default"/>
          <w:lang w:val="en-US" w:eastAsia="zh-CN"/>
        </w:rPr>
      </w:pPr>
      <w:r>
        <w:rPr>
          <w:rFonts w:hint="default"/>
          <w:lang w:val="en-US" w:eastAsia="zh-CN"/>
        </w:rPr>
        <w:t>根系基本完整，存在少量须根损伤，芽头较为饱满，苗长</w:t>
      </w:r>
      <w:r>
        <w:rPr>
          <w:rFonts w:hint="eastAsia"/>
          <w:lang w:val="en-US" w:eastAsia="zh-CN"/>
        </w:rPr>
        <w:t>≥15cm，苗粗≥4mm，单株鲜重≥1.5g，</w:t>
      </w:r>
      <w:r>
        <w:rPr>
          <w:rFonts w:hint="default"/>
          <w:lang w:val="en-US" w:eastAsia="zh-CN"/>
        </w:rPr>
        <w:t>无明显病虫害。</w:t>
      </w:r>
    </w:p>
    <w:p w14:paraId="5923C746">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不合格种苗</w:t>
      </w:r>
    </w:p>
    <w:p w14:paraId="3204DA41">
      <w:pPr>
        <w:pStyle w:val="57"/>
        <w:rPr>
          <w:rFonts w:hint="default"/>
          <w:lang w:val="en-US" w:eastAsia="zh-CN"/>
        </w:rPr>
      </w:pPr>
      <w:r>
        <w:rPr>
          <w:rFonts w:hint="default"/>
          <w:lang w:val="en-US" w:eastAsia="zh-CN"/>
        </w:rPr>
        <w:t>根系腐烂、断裂严重，芽头干瘪，带有病虫害或机械损伤严重，此类种苗应予以淘汰。</w:t>
      </w:r>
    </w:p>
    <w:p w14:paraId="33799707">
      <w:pPr>
        <w:pStyle w:val="105"/>
        <w:spacing w:before="240" w:after="240"/>
      </w:pPr>
      <w:r>
        <w:rPr>
          <w:rFonts w:hint="eastAsia"/>
          <w:lang w:val="en-US" w:eastAsia="zh-CN"/>
        </w:rPr>
        <w:t>包装</w:t>
      </w:r>
    </w:p>
    <w:p w14:paraId="62139C59">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r>
        <w:rPr>
          <w:rFonts w:hint="eastAsia" w:hAnsi="黑体" w:cs="黑体"/>
          <w:b w:val="0"/>
          <w:bCs w:val="0"/>
          <w:i w:val="0"/>
          <w:iCs w:val="0"/>
          <w:caps w:val="0"/>
          <w:color w:val="0F1115"/>
          <w:spacing w:val="0"/>
          <w:sz w:val="21"/>
          <w:szCs w:val="21"/>
          <w:shd w:val="clear" w:fill="FFFFFF"/>
          <w:lang w:val="en-US" w:eastAsia="zh-CN"/>
        </w:rPr>
        <w:t>包装材料</w:t>
      </w:r>
    </w:p>
    <w:p w14:paraId="4A179858">
      <w:pPr>
        <w:pStyle w:val="57"/>
        <w:rPr>
          <w:rFonts w:hint="eastAsia"/>
          <w:lang w:val="en-US" w:eastAsia="zh-CN"/>
        </w:rPr>
      </w:pPr>
      <w:r>
        <w:rPr>
          <w:rFonts w:hint="eastAsia"/>
          <w:lang w:val="en-US" w:eastAsia="zh-CN"/>
        </w:rPr>
        <w:t>选用透气性好、无污染的包装材料，如无纺布、编织袋等，避免使用密封性过强的塑料袋，防止种苗缺氧腐烂。</w:t>
      </w:r>
    </w:p>
    <w:p w14:paraId="67CBEC94">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Style w:val="30"/>
          <w:rFonts w:hint="default" w:ascii="Times New Roman" w:hAnsi="Times New Roman" w:eastAsia="宋体" w:cs="Times New Roman"/>
          <w:b w:val="0"/>
          <w:bCs w:val="0"/>
          <w:i w:val="0"/>
          <w:iCs w:val="0"/>
          <w:caps w:val="0"/>
          <w:color w:val="0F1115"/>
          <w:spacing w:val="0"/>
          <w:sz w:val="21"/>
          <w:szCs w:val="21"/>
          <w:shd w:val="clear" w:fill="FFFFFF"/>
          <w:lang w:eastAsia="zh-CN"/>
        </w:rPr>
      </w:pPr>
      <w:r>
        <w:rPr>
          <w:rFonts w:hint="eastAsia" w:hAnsi="黑体" w:cs="黑体"/>
          <w:b w:val="0"/>
          <w:bCs w:val="0"/>
          <w:i w:val="0"/>
          <w:iCs w:val="0"/>
          <w:caps w:val="0"/>
          <w:color w:val="0F1115"/>
          <w:spacing w:val="0"/>
          <w:sz w:val="21"/>
          <w:szCs w:val="21"/>
          <w:shd w:val="clear" w:fill="FFFFFF"/>
          <w:lang w:val="en-US" w:eastAsia="zh-CN"/>
        </w:rPr>
        <w:t>包装方法</w:t>
      </w:r>
    </w:p>
    <w:p w14:paraId="2D6640E9">
      <w:pPr>
        <w:pStyle w:val="57"/>
        <w:rPr>
          <w:rFonts w:hint="default"/>
          <w:lang w:eastAsia="zh-CN"/>
        </w:rPr>
      </w:pPr>
      <w:r>
        <w:rPr>
          <w:rFonts w:hint="default"/>
          <w:lang w:eastAsia="zh-CN"/>
        </w:rPr>
        <w:t>将经过质量判定的合格种苗按照分级标准进行包装，每包重量控制在5</w:t>
      </w:r>
      <w:r>
        <w:rPr>
          <w:rFonts w:hint="eastAsia"/>
          <w:lang w:val="en-US" w:eastAsia="zh-CN"/>
        </w:rPr>
        <w:t>~</w:t>
      </w:r>
      <w:r>
        <w:rPr>
          <w:rFonts w:hint="default"/>
          <w:lang w:eastAsia="zh-CN"/>
        </w:rPr>
        <w:t>10</w:t>
      </w:r>
      <w:r>
        <w:rPr>
          <w:rFonts w:hint="eastAsia"/>
          <w:lang w:val="en-US" w:eastAsia="zh-CN"/>
        </w:rPr>
        <w:t>kg</w:t>
      </w:r>
      <w:r>
        <w:rPr>
          <w:rFonts w:hint="default"/>
          <w:lang w:eastAsia="zh-CN"/>
        </w:rPr>
        <w:t>。包装时，在种苗中间放置适量湿润的苔藓或锯末，保持种苗湿度。包装完成后，将包装袋口扎紧，但需保留一定的透气空间。</w:t>
      </w:r>
    </w:p>
    <w:p w14:paraId="781E1212">
      <w:pPr>
        <w:pStyle w:val="105"/>
        <w:spacing w:before="240" w:after="240"/>
      </w:pPr>
      <w:r>
        <w:rPr>
          <w:rFonts w:hint="eastAsia"/>
          <w:lang w:val="en-US" w:eastAsia="zh-CN"/>
        </w:rPr>
        <w:t>标识</w:t>
      </w:r>
    </w:p>
    <w:p w14:paraId="75C00942">
      <w:pPr>
        <w:pStyle w:val="57"/>
      </w:pPr>
      <w:r>
        <w:rPr>
          <w:rFonts w:hint="eastAsia"/>
        </w:rPr>
        <w:t>每个包装上应粘贴清晰的标识，标识内容包括：种苗名称（潞党参种苗）、等级、数量、采挖日期、处理日期、生产单位、联系电话等信息。标识应牢固、清晰，不易脱落。</w:t>
      </w:r>
    </w:p>
    <w:bookmarkEnd w:id="21"/>
    <w:p w14:paraId="0A987674">
      <w:pPr>
        <w:pStyle w:val="105"/>
        <w:spacing w:before="240" w:after="240"/>
      </w:pPr>
      <w:r>
        <w:rPr>
          <w:rFonts w:hint="eastAsia"/>
          <w:lang w:val="en-US" w:eastAsia="zh-CN"/>
        </w:rPr>
        <w:t>运输</w:t>
      </w:r>
    </w:p>
    <w:p w14:paraId="7C4275F3">
      <w:pPr>
        <w:pStyle w:val="57"/>
      </w:pPr>
      <w:r>
        <w:rPr>
          <w:rFonts w:hint="eastAsia"/>
        </w:rPr>
        <w:t>运输工具应保持清洁、干燥、通风良好，避免与有毒、有害、有异味的物品混装。运输过程中，应采取防震、防晒、防雨措施，防止种苗受到挤压、碰撞或受潮。运输时间尽量缩短，从处理完成到运输至目的地的时间不宜超过24</w:t>
      </w:r>
      <w:r>
        <w:rPr>
          <w:rFonts w:hint="eastAsia"/>
          <w:lang w:val="en-US" w:eastAsia="zh-CN"/>
        </w:rPr>
        <w:t>h</w:t>
      </w:r>
      <w:r>
        <w:rPr>
          <w:rFonts w:hint="eastAsia"/>
        </w:rPr>
        <w:t>。</w:t>
      </w:r>
    </w:p>
    <w:p w14:paraId="536DE58F">
      <w:pPr>
        <w:pStyle w:val="105"/>
        <w:spacing w:before="240" w:after="240"/>
      </w:pPr>
      <w:r>
        <w:rPr>
          <w:rFonts w:hint="eastAsia"/>
          <w:lang w:val="en-US" w:eastAsia="zh-CN"/>
        </w:rPr>
        <w:t>储藏</w:t>
      </w:r>
    </w:p>
    <w:p w14:paraId="11EE3634">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Style w:val="30"/>
          <w:rFonts w:hint="default" w:ascii="Times New Roman" w:hAnsi="Times New Roman" w:eastAsia="宋体" w:cs="Times New Roman"/>
          <w:b w:val="0"/>
          <w:bCs w:val="0"/>
          <w:i w:val="0"/>
          <w:iCs w:val="0"/>
          <w:caps w:val="0"/>
          <w:color w:val="0F1115"/>
          <w:spacing w:val="0"/>
          <w:sz w:val="21"/>
          <w:szCs w:val="21"/>
          <w:shd w:val="clear" w:fill="FFFFFF"/>
          <w:lang w:eastAsia="zh-CN"/>
        </w:rPr>
      </w:pPr>
      <w:r>
        <w:rPr>
          <w:rFonts w:hint="eastAsia" w:hAnsi="黑体" w:cs="黑体"/>
          <w:b w:val="0"/>
          <w:bCs w:val="0"/>
          <w:i w:val="0"/>
          <w:iCs w:val="0"/>
          <w:caps w:val="0"/>
          <w:color w:val="0F1115"/>
          <w:spacing w:val="0"/>
          <w:sz w:val="21"/>
          <w:szCs w:val="21"/>
          <w:shd w:val="clear" w:fill="FFFFFF"/>
          <w:lang w:val="en-US" w:eastAsia="zh-CN"/>
        </w:rPr>
        <w:t>短期储藏</w:t>
      </w:r>
    </w:p>
    <w:p w14:paraId="4027EFBC">
      <w:pPr>
        <w:pStyle w:val="57"/>
      </w:pPr>
      <w:r>
        <w:rPr>
          <w:rFonts w:hint="eastAsia"/>
        </w:rPr>
        <w:t>若种苗需在1</w:t>
      </w:r>
      <w:r>
        <w:rPr>
          <w:rFonts w:hint="eastAsia"/>
          <w:lang w:val="en-US" w:eastAsia="zh-CN"/>
        </w:rPr>
        <w:t>~</w:t>
      </w:r>
      <w:r>
        <w:rPr>
          <w:rFonts w:hint="eastAsia"/>
        </w:rPr>
        <w:t>7</w:t>
      </w:r>
      <w:r>
        <w:rPr>
          <w:rFonts w:hint="eastAsia"/>
          <w:lang w:val="en-US" w:eastAsia="zh-CN"/>
        </w:rPr>
        <w:t>d</w:t>
      </w:r>
      <w:r>
        <w:rPr>
          <w:rFonts w:hint="eastAsia"/>
        </w:rPr>
        <w:t>内进行移栽，可将包装好的种苗放置在温度为0℃</w:t>
      </w:r>
      <w:r>
        <w:rPr>
          <w:rFonts w:hint="eastAsia"/>
          <w:lang w:val="en-US" w:eastAsia="zh-CN"/>
        </w:rPr>
        <w:t>~</w:t>
      </w:r>
      <w:r>
        <w:rPr>
          <w:rFonts w:hint="eastAsia"/>
        </w:rPr>
        <w:t>5℃、相对湿度为70%</w:t>
      </w:r>
      <w:r>
        <w:rPr>
          <w:rFonts w:hint="eastAsia"/>
          <w:lang w:val="en-US" w:eastAsia="zh-CN"/>
        </w:rPr>
        <w:t>~</w:t>
      </w:r>
      <w:r>
        <w:rPr>
          <w:rFonts w:hint="eastAsia"/>
        </w:rPr>
        <w:t>80%的阴凉、通风仓库中贮藏。贮藏期间，定期检查种苗状态，及时剔除变质种苗。</w:t>
      </w:r>
    </w:p>
    <w:p w14:paraId="73BC8D25">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b w:val="0"/>
          <w:bCs w:val="0"/>
          <w:i w:val="0"/>
          <w:iCs w:val="0"/>
          <w:caps w:val="0"/>
          <w:color w:val="0F1115"/>
          <w:spacing w:val="0"/>
          <w:sz w:val="21"/>
          <w:szCs w:val="21"/>
          <w:shd w:val="clear" w:fill="FFFFFF"/>
          <w:lang w:val="en-US" w:eastAsia="zh-CN"/>
        </w:rPr>
      </w:pPr>
      <w:r>
        <w:rPr>
          <w:rFonts w:hint="default" w:hAnsi="黑体" w:cs="黑体"/>
          <w:b w:val="0"/>
          <w:bCs w:val="0"/>
          <w:i w:val="0"/>
          <w:iCs w:val="0"/>
          <w:caps w:val="0"/>
          <w:color w:val="0F1115"/>
          <w:spacing w:val="0"/>
          <w:sz w:val="21"/>
          <w:szCs w:val="21"/>
          <w:shd w:val="clear" w:fill="FFFFFF"/>
          <w:lang w:val="en-US" w:eastAsia="zh-CN"/>
        </w:rPr>
        <w:t>中期贮藏</w:t>
      </w:r>
    </w:p>
    <w:p w14:paraId="5C83E279">
      <w:pPr>
        <w:pStyle w:val="57"/>
        <w:rPr>
          <w:rFonts w:hint="default"/>
          <w:lang w:eastAsia="zh-CN"/>
        </w:rPr>
      </w:pPr>
      <w:r>
        <w:rPr>
          <w:rFonts w:hint="default"/>
          <w:lang w:eastAsia="zh-CN"/>
        </w:rPr>
        <w:t>若种苗需贮藏8</w:t>
      </w:r>
      <w:r>
        <w:rPr>
          <w:rFonts w:hint="eastAsia"/>
          <w:lang w:val="en-US" w:eastAsia="zh-CN"/>
        </w:rPr>
        <w:t>~</w:t>
      </w:r>
      <w:r>
        <w:rPr>
          <w:rFonts w:hint="default"/>
          <w:lang w:eastAsia="zh-CN"/>
        </w:rPr>
        <w:t>30</w:t>
      </w:r>
      <w:r>
        <w:rPr>
          <w:rFonts w:hint="eastAsia"/>
          <w:lang w:val="en-US" w:eastAsia="zh-CN"/>
        </w:rPr>
        <w:t>d</w:t>
      </w:r>
      <w:r>
        <w:rPr>
          <w:rFonts w:hint="default"/>
          <w:lang w:eastAsia="zh-CN"/>
        </w:rPr>
        <w:t>，可采用冷藏法。将包装好的种苗放入冷藏库，库内温度控制在2℃</w:t>
      </w:r>
      <w:r>
        <w:rPr>
          <w:rFonts w:hint="eastAsia"/>
          <w:lang w:val="en-US" w:eastAsia="zh-CN"/>
        </w:rPr>
        <w:t>~</w:t>
      </w:r>
      <w:r>
        <w:rPr>
          <w:rFonts w:hint="default"/>
          <w:lang w:eastAsia="zh-CN"/>
        </w:rPr>
        <w:t>4℃，相对湿度保持在75%</w:t>
      </w:r>
      <w:r>
        <w:rPr>
          <w:rFonts w:hint="eastAsia"/>
          <w:lang w:val="en-US" w:eastAsia="zh-CN"/>
        </w:rPr>
        <w:t>~</w:t>
      </w:r>
      <w:r>
        <w:rPr>
          <w:rFonts w:hint="default"/>
          <w:lang w:eastAsia="zh-CN"/>
        </w:rPr>
        <w:t>80%。冷藏库需具备良好的通风系统，定期通风换气，避免库内二氧化碳积聚。贮藏期间，每5</w:t>
      </w:r>
      <w:r>
        <w:rPr>
          <w:rFonts w:hint="eastAsia"/>
          <w:lang w:val="en-US" w:eastAsia="zh-CN"/>
        </w:rPr>
        <w:t>~</w:t>
      </w:r>
      <w:r>
        <w:rPr>
          <w:rFonts w:hint="default"/>
          <w:lang w:eastAsia="zh-CN"/>
        </w:rPr>
        <w:t>7</w:t>
      </w:r>
      <w:r>
        <w:rPr>
          <w:rFonts w:hint="eastAsia"/>
          <w:lang w:val="en-US" w:eastAsia="zh-CN"/>
        </w:rPr>
        <w:t>d</w:t>
      </w:r>
      <w:bookmarkStart w:id="51" w:name="_GoBack"/>
      <w:bookmarkEnd w:id="51"/>
      <w:r>
        <w:rPr>
          <w:rFonts w:hint="default"/>
          <w:lang w:eastAsia="zh-CN"/>
        </w:rPr>
        <w:t>检查一次种苗状态，观察是否有腐烂、发芽迹象，若发现问题及时处理。为进一步抑制发芽，可在包装内放置适量的乙烯吸收剂，如高锰酸钾氧化铝颗粒，按1:100的比例与种苗分层放置。</w:t>
      </w:r>
    </w:p>
    <w:p w14:paraId="570170A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b w:val="0"/>
          <w:bCs w:val="0"/>
          <w:i w:val="0"/>
          <w:iCs w:val="0"/>
          <w:caps w:val="0"/>
          <w:color w:val="0F1115"/>
          <w:spacing w:val="0"/>
          <w:sz w:val="21"/>
          <w:szCs w:val="21"/>
          <w:shd w:val="clear" w:fill="FFFFFF"/>
          <w:lang w:val="en-US" w:eastAsia="zh-CN"/>
        </w:rPr>
      </w:pPr>
      <w:r>
        <w:rPr>
          <w:rFonts w:hint="default" w:hAnsi="黑体" w:cs="黑体"/>
          <w:b w:val="0"/>
          <w:bCs w:val="0"/>
          <w:i w:val="0"/>
          <w:iCs w:val="0"/>
          <w:caps w:val="0"/>
          <w:color w:val="0F1115"/>
          <w:spacing w:val="0"/>
          <w:sz w:val="21"/>
          <w:szCs w:val="21"/>
          <w:shd w:val="clear" w:fill="FFFFFF"/>
          <w:lang w:val="en-US" w:eastAsia="zh-CN"/>
        </w:rPr>
        <w:t>长期贮藏</w:t>
      </w:r>
    </w:p>
    <w:p w14:paraId="5316A22E">
      <w:pPr>
        <w:pStyle w:val="57"/>
        <w:rPr>
          <w:rFonts w:hint="default"/>
          <w:lang w:val="en-US" w:eastAsia="zh-CN"/>
        </w:rPr>
      </w:pPr>
      <w:r>
        <w:rPr>
          <w:rFonts w:hint="default"/>
          <w:lang w:val="en-US" w:eastAsia="zh-CN"/>
        </w:rPr>
        <w:t>若种苗需贮藏超过30</w:t>
      </w:r>
      <w:r>
        <w:rPr>
          <w:rFonts w:hint="eastAsia"/>
          <w:lang w:val="en-US" w:eastAsia="zh-CN"/>
        </w:rPr>
        <w:t>d</w:t>
      </w:r>
      <w:r>
        <w:rPr>
          <w:rFonts w:hint="default"/>
          <w:lang w:val="en-US" w:eastAsia="zh-CN"/>
        </w:rPr>
        <w:t>，可采用沙藏法。选择地势高燥、排水良好的场地，挖深50</w:t>
      </w:r>
      <w:r>
        <w:rPr>
          <w:rFonts w:hint="eastAsia"/>
          <w:lang w:val="en-US" w:eastAsia="zh-CN"/>
        </w:rPr>
        <w:t>~</w:t>
      </w:r>
      <w:r>
        <w:rPr>
          <w:rFonts w:hint="default"/>
          <w:lang w:val="en-US" w:eastAsia="zh-CN"/>
        </w:rPr>
        <w:t>60</w:t>
      </w:r>
      <w:r>
        <w:rPr>
          <w:rFonts w:hint="eastAsia"/>
          <w:lang w:val="en-US" w:eastAsia="zh-CN"/>
        </w:rPr>
        <w:t>cm</w:t>
      </w:r>
      <w:r>
        <w:rPr>
          <w:rFonts w:hint="default"/>
          <w:lang w:val="en-US" w:eastAsia="zh-CN"/>
        </w:rPr>
        <w:t>、宽100</w:t>
      </w:r>
      <w:r>
        <w:rPr>
          <w:rFonts w:hint="eastAsia"/>
          <w:lang w:val="en-US" w:eastAsia="zh-CN"/>
        </w:rPr>
        <w:t>~</w:t>
      </w:r>
      <w:r>
        <w:rPr>
          <w:rFonts w:hint="default"/>
          <w:lang w:val="en-US" w:eastAsia="zh-CN"/>
        </w:rPr>
        <w:t>120</w:t>
      </w:r>
      <w:r>
        <w:rPr>
          <w:rFonts w:hint="eastAsia"/>
          <w:lang w:val="en-US" w:eastAsia="zh-CN"/>
        </w:rPr>
        <w:t>cm</w:t>
      </w:r>
      <w:r>
        <w:rPr>
          <w:rFonts w:hint="default"/>
          <w:lang w:val="en-US" w:eastAsia="zh-CN"/>
        </w:rPr>
        <w:t>的贮藏沟。在沟底铺一层厚度为10</w:t>
      </w:r>
      <w:r>
        <w:rPr>
          <w:rFonts w:hint="eastAsia"/>
          <w:lang w:val="en-US" w:eastAsia="zh-CN"/>
        </w:rPr>
        <w:t>~</w:t>
      </w:r>
      <w:r>
        <w:rPr>
          <w:rFonts w:hint="default"/>
          <w:lang w:val="en-US" w:eastAsia="zh-CN"/>
        </w:rPr>
        <w:t>15</w:t>
      </w:r>
      <w:r>
        <w:rPr>
          <w:rFonts w:hint="eastAsia"/>
          <w:lang w:val="en-US" w:eastAsia="zh-CN"/>
        </w:rPr>
        <w:t>cm</w:t>
      </w:r>
      <w:r>
        <w:rPr>
          <w:rFonts w:hint="default"/>
          <w:lang w:val="en-US" w:eastAsia="zh-CN"/>
        </w:rPr>
        <w:t>的湿润河沙，将种苗分层摆放，每层种苗之间覆盖5</w:t>
      </w:r>
      <w:r>
        <w:rPr>
          <w:rFonts w:hint="eastAsia"/>
          <w:lang w:val="en-US" w:eastAsia="zh-CN"/>
        </w:rPr>
        <w:t>~</w:t>
      </w:r>
      <w:r>
        <w:rPr>
          <w:rFonts w:hint="default"/>
          <w:lang w:val="en-US" w:eastAsia="zh-CN"/>
        </w:rPr>
        <w:t>10</w:t>
      </w:r>
      <w:r>
        <w:rPr>
          <w:rFonts w:hint="eastAsia"/>
          <w:lang w:val="en-US" w:eastAsia="zh-CN"/>
        </w:rPr>
        <w:t>cm</w:t>
      </w:r>
      <w:r>
        <w:rPr>
          <w:rFonts w:hint="default"/>
          <w:lang w:val="en-US" w:eastAsia="zh-CN"/>
        </w:rPr>
        <w:t>厚的湿润河沙，最上层覆盖20</w:t>
      </w:r>
      <w:r>
        <w:rPr>
          <w:rFonts w:hint="eastAsia"/>
          <w:lang w:val="en-US" w:eastAsia="zh-CN"/>
        </w:rPr>
        <w:t>~</w:t>
      </w:r>
      <w:r>
        <w:rPr>
          <w:rFonts w:hint="default"/>
          <w:lang w:val="en-US" w:eastAsia="zh-CN"/>
        </w:rPr>
        <w:t>30</w:t>
      </w:r>
      <w:r>
        <w:rPr>
          <w:rFonts w:hint="eastAsia"/>
          <w:lang w:val="en-US" w:eastAsia="zh-CN"/>
        </w:rPr>
        <w:t>cm</w:t>
      </w:r>
      <w:r>
        <w:rPr>
          <w:rFonts w:hint="default"/>
          <w:lang w:val="en-US" w:eastAsia="zh-CN"/>
        </w:rPr>
        <w:t>厚的河沙，并在沟的四周设置排水设施。贮藏期间，定期检查沙的湿度，保持沙层湿润，防止种苗失水或腐烂。</w:t>
      </w:r>
    </w:p>
    <w:p w14:paraId="2A0FF2EA">
      <w:pPr>
        <w:pStyle w:val="105"/>
        <w:spacing w:before="240" w:after="240"/>
      </w:pPr>
      <w:r>
        <w:rPr>
          <w:rFonts w:hint="eastAsia"/>
          <w:lang w:val="en-US" w:eastAsia="zh-CN"/>
        </w:rPr>
        <w:t>档案管理</w:t>
      </w:r>
    </w:p>
    <w:p w14:paraId="67C99899">
      <w:pPr>
        <w:pStyle w:val="57"/>
      </w:pPr>
      <w:r>
        <w:rPr>
          <w:rFonts w:hint="eastAsia"/>
        </w:rPr>
        <w:t>建立潞党参种苗采后处理档案，详细记录采挖日期、处理流程、质量判定结果、包装信息、运输情况、贮藏情况等内容。档案保存期限不少于3年，以便追溯和查询。</w:t>
      </w:r>
    </w:p>
    <w:p w14:paraId="250B48C4">
      <w:pPr>
        <w:keepNext w:val="0"/>
        <w:keepLines w:val="0"/>
        <w:pageBreakBefore w:val="0"/>
        <w:wordWrap/>
        <w:overflowPunct/>
        <w:topLinePunct w:val="0"/>
        <w:bidi w:val="0"/>
        <w:adjustRightInd w:val="0"/>
        <w:snapToGrid w:val="0"/>
        <w:spacing w:line="240" w:lineRule="auto"/>
        <w:ind w:left="0"/>
        <w:jc w:val="both"/>
        <w:outlineLvl w:val="9"/>
        <w:rPr>
          <w:rFonts w:hint="eastAsia" w:hAnsi="宋体"/>
        </w:rPr>
      </w:pPr>
    </w:p>
    <w:sectPr>
      <w:headerReference r:id="rId9" w:type="default"/>
      <w:footerReference r:id="rId10" w:type="default"/>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F55C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49CB">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C4FC9">
    <w:pPr>
      <w:pStyle w:val="53"/>
    </w:pPr>
    <w:r>
      <w:fldChar w:fldCharType="begin"/>
    </w:r>
    <w:r>
      <w:instrText xml:space="preserve">PAGE   \* MERGEFORMAT</w:instrText>
    </w:r>
    <w:r>
      <w:fldChar w:fldCharType="separate"/>
    </w:r>
    <w:r>
      <w:rPr>
        <w:lang w:val="zh-CN"/>
      </w:rPr>
      <w:t>14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DD885">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1588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B32B3">
    <w:pPr>
      <w:pStyle w:val="62"/>
    </w:pPr>
    <w:r>
      <w:fldChar w:fldCharType="begin"/>
    </w:r>
    <w:r>
      <w:instrText xml:space="preserve"> STYLEREF  标准文件_文件编号  \* MERGEFORMAT </w:instrText>
    </w:r>
    <w:r>
      <w:fldChar w:fldCharType="separate"/>
    </w:r>
    <w:r>
      <w:t>T/CRACM ****—****</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787"/>
        </w:tabs>
        <w:ind w:left="1787" w:hanging="648"/>
      </w:pPr>
    </w:lvl>
    <w:lvl w:ilvl="1" w:tentative="0">
      <w:start w:val="1"/>
      <w:numFmt w:val="lowerLetter"/>
      <w:lvlText w:val="%2)"/>
      <w:lvlJc w:val="left"/>
      <w:pPr>
        <w:tabs>
          <w:tab w:val="left" w:pos="1979"/>
        </w:tabs>
        <w:ind w:left="1979" w:hanging="420"/>
      </w:pPr>
    </w:lvl>
    <w:lvl w:ilvl="2" w:tentative="0">
      <w:start w:val="1"/>
      <w:numFmt w:val="lowerRoman"/>
      <w:lvlText w:val="%3."/>
      <w:lvlJc w:val="right"/>
      <w:pPr>
        <w:tabs>
          <w:tab w:val="left" w:pos="2399"/>
        </w:tabs>
        <w:ind w:left="2399" w:hanging="420"/>
      </w:pPr>
    </w:lvl>
    <w:lvl w:ilvl="3" w:tentative="0">
      <w:start w:val="1"/>
      <w:numFmt w:val="decimal"/>
      <w:lvlText w:val="%4."/>
      <w:lvlJc w:val="left"/>
      <w:pPr>
        <w:tabs>
          <w:tab w:val="left" w:pos="2819"/>
        </w:tabs>
        <w:ind w:left="2819" w:hanging="420"/>
      </w:pPr>
    </w:lvl>
    <w:lvl w:ilvl="4" w:tentative="0">
      <w:start w:val="1"/>
      <w:numFmt w:val="lowerLetter"/>
      <w:lvlText w:val="%5)"/>
      <w:lvlJc w:val="left"/>
      <w:pPr>
        <w:tabs>
          <w:tab w:val="left" w:pos="3239"/>
        </w:tabs>
        <w:ind w:left="3239" w:hanging="420"/>
      </w:pPr>
    </w:lvl>
    <w:lvl w:ilvl="5" w:tentative="0">
      <w:start w:val="1"/>
      <w:numFmt w:val="lowerRoman"/>
      <w:lvlText w:val="%6."/>
      <w:lvlJc w:val="right"/>
      <w:pPr>
        <w:tabs>
          <w:tab w:val="left" w:pos="3659"/>
        </w:tabs>
        <w:ind w:left="3659" w:hanging="420"/>
      </w:pPr>
    </w:lvl>
    <w:lvl w:ilvl="6" w:tentative="0">
      <w:start w:val="1"/>
      <w:numFmt w:val="decimal"/>
      <w:lvlText w:val="%7."/>
      <w:lvlJc w:val="left"/>
      <w:pPr>
        <w:tabs>
          <w:tab w:val="left" w:pos="4079"/>
        </w:tabs>
        <w:ind w:left="4079" w:hanging="420"/>
      </w:pPr>
    </w:lvl>
    <w:lvl w:ilvl="7" w:tentative="0">
      <w:start w:val="1"/>
      <w:numFmt w:val="lowerLetter"/>
      <w:lvlText w:val="%8)"/>
      <w:lvlJc w:val="left"/>
      <w:pPr>
        <w:tabs>
          <w:tab w:val="left" w:pos="4499"/>
        </w:tabs>
        <w:ind w:left="4499" w:hanging="420"/>
      </w:pPr>
    </w:lvl>
    <w:lvl w:ilvl="8" w:tentative="0">
      <w:start w:val="1"/>
      <w:numFmt w:val="lowerRoman"/>
      <w:lvlText w:val="%9."/>
      <w:lvlJc w:val="right"/>
      <w:pPr>
        <w:tabs>
          <w:tab w:val="left" w:pos="4919"/>
        </w:tabs>
        <w:ind w:left="4919"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426"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doNotDisplayPageBoundaries w:val="1"/>
  <w:bordersDoNotSurroundHeader w:val="0"/>
  <w:bordersDoNotSurroundFooter w:val="0"/>
  <w:attachedTemplate r:id="rId1"/>
  <w:documentProtection w:edit="forms" w:enforcement="1" w:cryptProviderType="rsaAES" w:cryptAlgorithmClass="hash" w:cryptAlgorithmType="typeAny" w:cryptAlgorithmSid="14" w:cryptSpinCount="100000" w:hash="wTUT4pLQD11QDHETL0iuL3d4EmY/Xf3TO/QpClXZH1GuaWCATkR2YITNRIe82PyXGqBg5on6ikx5/ICvOKwH9w==" w:salt="Pu07rCnwk6oxxBGF8s+1X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hYzk2NjdkNzE3ZjM0MDllNTZkZTZlMGYzZGI1YjEifQ=="/>
  </w:docVars>
  <w:rsids>
    <w:rsidRoot w:val="00197300"/>
    <w:rsid w:val="000003B0"/>
    <w:rsid w:val="0000040A"/>
    <w:rsid w:val="0000051B"/>
    <w:rsid w:val="00000A94"/>
    <w:rsid w:val="00001972"/>
    <w:rsid w:val="00001D9A"/>
    <w:rsid w:val="00007B3A"/>
    <w:rsid w:val="000107E0"/>
    <w:rsid w:val="00011DB1"/>
    <w:rsid w:val="00011FDE"/>
    <w:rsid w:val="0001286E"/>
    <w:rsid w:val="00012FFD"/>
    <w:rsid w:val="00014162"/>
    <w:rsid w:val="00014340"/>
    <w:rsid w:val="00016A9C"/>
    <w:rsid w:val="00022184"/>
    <w:rsid w:val="00022762"/>
    <w:rsid w:val="000238E0"/>
    <w:rsid w:val="00023BF3"/>
    <w:rsid w:val="000249D0"/>
    <w:rsid w:val="000249DB"/>
    <w:rsid w:val="000255DF"/>
    <w:rsid w:val="0002595E"/>
    <w:rsid w:val="000266FB"/>
    <w:rsid w:val="000303C3"/>
    <w:rsid w:val="000331D3"/>
    <w:rsid w:val="000346A5"/>
    <w:rsid w:val="000359C3"/>
    <w:rsid w:val="00035A7D"/>
    <w:rsid w:val="000365ED"/>
    <w:rsid w:val="00037DA4"/>
    <w:rsid w:val="0004249A"/>
    <w:rsid w:val="00043282"/>
    <w:rsid w:val="00044286"/>
    <w:rsid w:val="00046F9A"/>
    <w:rsid w:val="00047F28"/>
    <w:rsid w:val="000503AA"/>
    <w:rsid w:val="000506A1"/>
    <w:rsid w:val="00051300"/>
    <w:rsid w:val="000515DD"/>
    <w:rsid w:val="0005265A"/>
    <w:rsid w:val="00053307"/>
    <w:rsid w:val="000539DD"/>
    <w:rsid w:val="00053BD3"/>
    <w:rsid w:val="000546E6"/>
    <w:rsid w:val="000556ED"/>
    <w:rsid w:val="00055FE2"/>
    <w:rsid w:val="0005616F"/>
    <w:rsid w:val="00057B7C"/>
    <w:rsid w:val="00057D81"/>
    <w:rsid w:val="00060C2E"/>
    <w:rsid w:val="00061033"/>
    <w:rsid w:val="000619E9"/>
    <w:rsid w:val="000622D4"/>
    <w:rsid w:val="00062CA5"/>
    <w:rsid w:val="0006357D"/>
    <w:rsid w:val="00067F1E"/>
    <w:rsid w:val="00071CC0"/>
    <w:rsid w:val="00071CFC"/>
    <w:rsid w:val="00073C8C"/>
    <w:rsid w:val="00073F97"/>
    <w:rsid w:val="00074391"/>
    <w:rsid w:val="00077B64"/>
    <w:rsid w:val="00080112"/>
    <w:rsid w:val="00080A1C"/>
    <w:rsid w:val="00080FF8"/>
    <w:rsid w:val="00082317"/>
    <w:rsid w:val="00083D2C"/>
    <w:rsid w:val="00086AA1"/>
    <w:rsid w:val="00087596"/>
    <w:rsid w:val="00087A77"/>
    <w:rsid w:val="00090CA6"/>
    <w:rsid w:val="00092B8A"/>
    <w:rsid w:val="00092FB0"/>
    <w:rsid w:val="000932D9"/>
    <w:rsid w:val="000934C5"/>
    <w:rsid w:val="0009351C"/>
    <w:rsid w:val="0009392C"/>
    <w:rsid w:val="00093D25"/>
    <w:rsid w:val="00093DAB"/>
    <w:rsid w:val="00094D73"/>
    <w:rsid w:val="00096594"/>
    <w:rsid w:val="00096D63"/>
    <w:rsid w:val="000975F3"/>
    <w:rsid w:val="000A0B60"/>
    <w:rsid w:val="000A0EB8"/>
    <w:rsid w:val="000A19FC"/>
    <w:rsid w:val="000A296B"/>
    <w:rsid w:val="000A7311"/>
    <w:rsid w:val="000B060F"/>
    <w:rsid w:val="000B0929"/>
    <w:rsid w:val="000B1592"/>
    <w:rsid w:val="000B1FF2"/>
    <w:rsid w:val="000B3CDA"/>
    <w:rsid w:val="000B468C"/>
    <w:rsid w:val="000B6A0B"/>
    <w:rsid w:val="000C0F04"/>
    <w:rsid w:val="000C0F6C"/>
    <w:rsid w:val="000C11DB"/>
    <w:rsid w:val="000C1492"/>
    <w:rsid w:val="000C2FBD"/>
    <w:rsid w:val="000C30BD"/>
    <w:rsid w:val="000C4B41"/>
    <w:rsid w:val="000C57D6"/>
    <w:rsid w:val="000C6362"/>
    <w:rsid w:val="000C7666"/>
    <w:rsid w:val="000D0A9C"/>
    <w:rsid w:val="000D1795"/>
    <w:rsid w:val="000D329A"/>
    <w:rsid w:val="000D340B"/>
    <w:rsid w:val="000D4B9C"/>
    <w:rsid w:val="000D4EB6"/>
    <w:rsid w:val="000D753B"/>
    <w:rsid w:val="000E4C9E"/>
    <w:rsid w:val="000E5271"/>
    <w:rsid w:val="000E6FD7"/>
    <w:rsid w:val="000F06E1"/>
    <w:rsid w:val="000F0E3C"/>
    <w:rsid w:val="000F19D5"/>
    <w:rsid w:val="000F4050"/>
    <w:rsid w:val="000F47A7"/>
    <w:rsid w:val="000F4AEA"/>
    <w:rsid w:val="000F67E9"/>
    <w:rsid w:val="000F72F3"/>
    <w:rsid w:val="00104926"/>
    <w:rsid w:val="00104BCB"/>
    <w:rsid w:val="001124EC"/>
    <w:rsid w:val="00113B1E"/>
    <w:rsid w:val="0011468A"/>
    <w:rsid w:val="001147B7"/>
    <w:rsid w:val="0011711C"/>
    <w:rsid w:val="00120CDA"/>
    <w:rsid w:val="00124E4F"/>
    <w:rsid w:val="001260B7"/>
    <w:rsid w:val="001265CB"/>
    <w:rsid w:val="001321C6"/>
    <w:rsid w:val="001325C4"/>
    <w:rsid w:val="0013269E"/>
    <w:rsid w:val="00133010"/>
    <w:rsid w:val="001338EE"/>
    <w:rsid w:val="00133A8B"/>
    <w:rsid w:val="00133AAE"/>
    <w:rsid w:val="00135323"/>
    <w:rsid w:val="001356C4"/>
    <w:rsid w:val="00137565"/>
    <w:rsid w:val="00141114"/>
    <w:rsid w:val="00142969"/>
    <w:rsid w:val="001446C2"/>
    <w:rsid w:val="00145711"/>
    <w:rsid w:val="001457E7"/>
    <w:rsid w:val="00145D9D"/>
    <w:rsid w:val="00146388"/>
    <w:rsid w:val="0014655F"/>
    <w:rsid w:val="00147F08"/>
    <w:rsid w:val="001505B1"/>
    <w:rsid w:val="001529E5"/>
    <w:rsid w:val="00152FB3"/>
    <w:rsid w:val="00153C7E"/>
    <w:rsid w:val="00156B25"/>
    <w:rsid w:val="00156E1A"/>
    <w:rsid w:val="00157894"/>
    <w:rsid w:val="00157B55"/>
    <w:rsid w:val="00162A77"/>
    <w:rsid w:val="001631FD"/>
    <w:rsid w:val="001642FA"/>
    <w:rsid w:val="001649EB"/>
    <w:rsid w:val="00164BAF"/>
    <w:rsid w:val="00164E30"/>
    <w:rsid w:val="00164FA8"/>
    <w:rsid w:val="00165065"/>
    <w:rsid w:val="00165434"/>
    <w:rsid w:val="0016580B"/>
    <w:rsid w:val="00165F49"/>
    <w:rsid w:val="00166B88"/>
    <w:rsid w:val="0016770A"/>
    <w:rsid w:val="00170804"/>
    <w:rsid w:val="001708E9"/>
    <w:rsid w:val="001714A5"/>
    <w:rsid w:val="0017340B"/>
    <w:rsid w:val="00173FB1"/>
    <w:rsid w:val="001740D3"/>
    <w:rsid w:val="00174418"/>
    <w:rsid w:val="00176DFD"/>
    <w:rsid w:val="00180045"/>
    <w:rsid w:val="00181897"/>
    <w:rsid w:val="00182720"/>
    <w:rsid w:val="001852C9"/>
    <w:rsid w:val="00187A0B"/>
    <w:rsid w:val="00190087"/>
    <w:rsid w:val="00190376"/>
    <w:rsid w:val="001913C4"/>
    <w:rsid w:val="00191DD0"/>
    <w:rsid w:val="0019348F"/>
    <w:rsid w:val="00193A07"/>
    <w:rsid w:val="00194C95"/>
    <w:rsid w:val="00195C34"/>
    <w:rsid w:val="00196EF5"/>
    <w:rsid w:val="00197300"/>
    <w:rsid w:val="001A1113"/>
    <w:rsid w:val="001A1A53"/>
    <w:rsid w:val="001A234A"/>
    <w:rsid w:val="001A4CF3"/>
    <w:rsid w:val="001A6313"/>
    <w:rsid w:val="001A6696"/>
    <w:rsid w:val="001B06E8"/>
    <w:rsid w:val="001B3145"/>
    <w:rsid w:val="001B3ABC"/>
    <w:rsid w:val="001B71D0"/>
    <w:rsid w:val="001B71EE"/>
    <w:rsid w:val="001C04A8"/>
    <w:rsid w:val="001C2C03"/>
    <w:rsid w:val="001C42F7"/>
    <w:rsid w:val="001C49E5"/>
    <w:rsid w:val="001C4DBE"/>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3B3"/>
    <w:rsid w:val="001F69B4"/>
    <w:rsid w:val="001F77C7"/>
    <w:rsid w:val="00200183"/>
    <w:rsid w:val="00200333"/>
    <w:rsid w:val="0020107D"/>
    <w:rsid w:val="00201AB4"/>
    <w:rsid w:val="00202AA4"/>
    <w:rsid w:val="002031F7"/>
    <w:rsid w:val="00203487"/>
    <w:rsid w:val="00203B9D"/>
    <w:rsid w:val="002040E6"/>
    <w:rsid w:val="0020527B"/>
    <w:rsid w:val="00205F2C"/>
    <w:rsid w:val="002075A8"/>
    <w:rsid w:val="00210B15"/>
    <w:rsid w:val="002142EA"/>
    <w:rsid w:val="00215ADD"/>
    <w:rsid w:val="002204BB"/>
    <w:rsid w:val="00221B79"/>
    <w:rsid w:val="00221C6B"/>
    <w:rsid w:val="002253A1"/>
    <w:rsid w:val="00225CF8"/>
    <w:rsid w:val="0022794E"/>
    <w:rsid w:val="00233D64"/>
    <w:rsid w:val="0023482A"/>
    <w:rsid w:val="002359CB"/>
    <w:rsid w:val="00235D43"/>
    <w:rsid w:val="00237B81"/>
    <w:rsid w:val="0024153B"/>
    <w:rsid w:val="00243540"/>
    <w:rsid w:val="0024497B"/>
    <w:rsid w:val="0024515B"/>
    <w:rsid w:val="00246021"/>
    <w:rsid w:val="0024666E"/>
    <w:rsid w:val="00247F52"/>
    <w:rsid w:val="00250B25"/>
    <w:rsid w:val="00250BBE"/>
    <w:rsid w:val="002515C2"/>
    <w:rsid w:val="0025194F"/>
    <w:rsid w:val="00255475"/>
    <w:rsid w:val="00256DBF"/>
    <w:rsid w:val="0026148A"/>
    <w:rsid w:val="00262696"/>
    <w:rsid w:val="00263D25"/>
    <w:rsid w:val="002643C3"/>
    <w:rsid w:val="00264A0C"/>
    <w:rsid w:val="00266EEB"/>
    <w:rsid w:val="00267EF4"/>
    <w:rsid w:val="00270CB8"/>
    <w:rsid w:val="00272B08"/>
    <w:rsid w:val="00277E84"/>
    <w:rsid w:val="00277F8E"/>
    <w:rsid w:val="00281BB8"/>
    <w:rsid w:val="00281DF8"/>
    <w:rsid w:val="00281E9E"/>
    <w:rsid w:val="00282405"/>
    <w:rsid w:val="00285170"/>
    <w:rsid w:val="00285361"/>
    <w:rsid w:val="00286EBC"/>
    <w:rsid w:val="00292D60"/>
    <w:rsid w:val="00293B30"/>
    <w:rsid w:val="00294D34"/>
    <w:rsid w:val="00294E3B"/>
    <w:rsid w:val="00296193"/>
    <w:rsid w:val="00296C66"/>
    <w:rsid w:val="00296EBE"/>
    <w:rsid w:val="002974E3"/>
    <w:rsid w:val="002A084B"/>
    <w:rsid w:val="002A1260"/>
    <w:rsid w:val="002A1589"/>
    <w:rsid w:val="002A1608"/>
    <w:rsid w:val="002A25DC"/>
    <w:rsid w:val="002A2664"/>
    <w:rsid w:val="002A39A6"/>
    <w:rsid w:val="002A3AAB"/>
    <w:rsid w:val="002A4CEA"/>
    <w:rsid w:val="002A5977"/>
    <w:rsid w:val="002A5A13"/>
    <w:rsid w:val="002A5AC1"/>
    <w:rsid w:val="002A757F"/>
    <w:rsid w:val="002A7F44"/>
    <w:rsid w:val="002B0C40"/>
    <w:rsid w:val="002B1966"/>
    <w:rsid w:val="002B1BA8"/>
    <w:rsid w:val="002B2802"/>
    <w:rsid w:val="002B4508"/>
    <w:rsid w:val="002B5779"/>
    <w:rsid w:val="002B7332"/>
    <w:rsid w:val="002B7F51"/>
    <w:rsid w:val="002C09E7"/>
    <w:rsid w:val="002C1666"/>
    <w:rsid w:val="002C1E06"/>
    <w:rsid w:val="002C3F07"/>
    <w:rsid w:val="002C47DA"/>
    <w:rsid w:val="002C5278"/>
    <w:rsid w:val="002C5DBF"/>
    <w:rsid w:val="002C7EBB"/>
    <w:rsid w:val="002D06C1"/>
    <w:rsid w:val="002D42B5"/>
    <w:rsid w:val="002D4F1A"/>
    <w:rsid w:val="002D5E1F"/>
    <w:rsid w:val="002D6EC6"/>
    <w:rsid w:val="002D79AC"/>
    <w:rsid w:val="002E039D"/>
    <w:rsid w:val="002E4D5A"/>
    <w:rsid w:val="002E6326"/>
    <w:rsid w:val="002E6A1E"/>
    <w:rsid w:val="002F30E0"/>
    <w:rsid w:val="002F35E4"/>
    <w:rsid w:val="002F3730"/>
    <w:rsid w:val="002F38E1"/>
    <w:rsid w:val="002F6BB5"/>
    <w:rsid w:val="002F6D93"/>
    <w:rsid w:val="002F6DE3"/>
    <w:rsid w:val="002F7AF6"/>
    <w:rsid w:val="00300E63"/>
    <w:rsid w:val="003028EA"/>
    <w:rsid w:val="00302F5F"/>
    <w:rsid w:val="0030441D"/>
    <w:rsid w:val="0030566B"/>
    <w:rsid w:val="00306063"/>
    <w:rsid w:val="00313B85"/>
    <w:rsid w:val="00317988"/>
    <w:rsid w:val="00317EDB"/>
    <w:rsid w:val="00320AE5"/>
    <w:rsid w:val="00321F19"/>
    <w:rsid w:val="003221B4"/>
    <w:rsid w:val="0032258D"/>
    <w:rsid w:val="00322E62"/>
    <w:rsid w:val="00324D13"/>
    <w:rsid w:val="00324EDD"/>
    <w:rsid w:val="00327063"/>
    <w:rsid w:val="003331E4"/>
    <w:rsid w:val="00336C64"/>
    <w:rsid w:val="00337162"/>
    <w:rsid w:val="003400FE"/>
    <w:rsid w:val="0034194F"/>
    <w:rsid w:val="00341DDF"/>
    <w:rsid w:val="00344605"/>
    <w:rsid w:val="003474AA"/>
    <w:rsid w:val="00350D1D"/>
    <w:rsid w:val="00352C83"/>
    <w:rsid w:val="00352F1A"/>
    <w:rsid w:val="0036107C"/>
    <w:rsid w:val="003615D2"/>
    <w:rsid w:val="00361F8D"/>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64AE"/>
    <w:rsid w:val="003872FC"/>
    <w:rsid w:val="00387ADC"/>
    <w:rsid w:val="00390020"/>
    <w:rsid w:val="003903D6"/>
    <w:rsid w:val="00390EE6"/>
    <w:rsid w:val="0039118F"/>
    <w:rsid w:val="00391B38"/>
    <w:rsid w:val="00392AD7"/>
    <w:rsid w:val="003938D9"/>
    <w:rsid w:val="00394153"/>
    <w:rsid w:val="00394376"/>
    <w:rsid w:val="003943FF"/>
    <w:rsid w:val="003966A7"/>
    <w:rsid w:val="003974EB"/>
    <w:rsid w:val="00397CC5"/>
    <w:rsid w:val="003A1582"/>
    <w:rsid w:val="003A2DA9"/>
    <w:rsid w:val="003A321E"/>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036"/>
    <w:rsid w:val="003E1C53"/>
    <w:rsid w:val="003E2A69"/>
    <w:rsid w:val="003E2D49"/>
    <w:rsid w:val="003E2FD4"/>
    <w:rsid w:val="003E35C3"/>
    <w:rsid w:val="003E35CA"/>
    <w:rsid w:val="003E35DA"/>
    <w:rsid w:val="003E49F6"/>
    <w:rsid w:val="003E660F"/>
    <w:rsid w:val="003F0841"/>
    <w:rsid w:val="003F1994"/>
    <w:rsid w:val="003F23D3"/>
    <w:rsid w:val="003F3F08"/>
    <w:rsid w:val="003F49F1"/>
    <w:rsid w:val="003F6272"/>
    <w:rsid w:val="003F78B0"/>
    <w:rsid w:val="00400E72"/>
    <w:rsid w:val="00401400"/>
    <w:rsid w:val="00404869"/>
    <w:rsid w:val="00405884"/>
    <w:rsid w:val="00407B50"/>
    <w:rsid w:val="00407D39"/>
    <w:rsid w:val="0041477A"/>
    <w:rsid w:val="0041519D"/>
    <w:rsid w:val="004167A3"/>
    <w:rsid w:val="00417FA8"/>
    <w:rsid w:val="00420B73"/>
    <w:rsid w:val="004253EA"/>
    <w:rsid w:val="00432DAA"/>
    <w:rsid w:val="00434305"/>
    <w:rsid w:val="00435DF7"/>
    <w:rsid w:val="00437E88"/>
    <w:rsid w:val="004406CB"/>
    <w:rsid w:val="0044083F"/>
    <w:rsid w:val="00441AE7"/>
    <w:rsid w:val="00444B39"/>
    <w:rsid w:val="00445574"/>
    <w:rsid w:val="004467FB"/>
    <w:rsid w:val="00452D6B"/>
    <w:rsid w:val="00454484"/>
    <w:rsid w:val="00454B4A"/>
    <w:rsid w:val="0045517B"/>
    <w:rsid w:val="0046098A"/>
    <w:rsid w:val="00463B77"/>
    <w:rsid w:val="00463C7B"/>
    <w:rsid w:val="004644A6"/>
    <w:rsid w:val="004659BD"/>
    <w:rsid w:val="00470775"/>
    <w:rsid w:val="004746B1"/>
    <w:rsid w:val="00474970"/>
    <w:rsid w:val="0047583F"/>
    <w:rsid w:val="00475DE8"/>
    <w:rsid w:val="004773E9"/>
    <w:rsid w:val="00481A03"/>
    <w:rsid w:val="00481C44"/>
    <w:rsid w:val="00484936"/>
    <w:rsid w:val="00485C89"/>
    <w:rsid w:val="00486BE3"/>
    <w:rsid w:val="004905E4"/>
    <w:rsid w:val="00490A89"/>
    <w:rsid w:val="00490AB4"/>
    <w:rsid w:val="00492F02"/>
    <w:rsid w:val="004939AE"/>
    <w:rsid w:val="004A0F72"/>
    <w:rsid w:val="004A12DF"/>
    <w:rsid w:val="004A1BA8"/>
    <w:rsid w:val="004A3BE1"/>
    <w:rsid w:val="004A4B57"/>
    <w:rsid w:val="004A63FA"/>
    <w:rsid w:val="004A6A3D"/>
    <w:rsid w:val="004B0272"/>
    <w:rsid w:val="004B2701"/>
    <w:rsid w:val="004B2E1B"/>
    <w:rsid w:val="004B3AA8"/>
    <w:rsid w:val="004B3E93"/>
    <w:rsid w:val="004C0CEC"/>
    <w:rsid w:val="004C1D26"/>
    <w:rsid w:val="004C1FBC"/>
    <w:rsid w:val="004C25A2"/>
    <w:rsid w:val="004C3D4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35F3"/>
    <w:rsid w:val="004E3F28"/>
    <w:rsid w:val="004E4AA5"/>
    <w:rsid w:val="004E4AEE"/>
    <w:rsid w:val="004E5761"/>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5FC1"/>
    <w:rsid w:val="0053127B"/>
    <w:rsid w:val="00533D04"/>
    <w:rsid w:val="00534804"/>
    <w:rsid w:val="00534BDF"/>
    <w:rsid w:val="005354EA"/>
    <w:rsid w:val="0053585F"/>
    <w:rsid w:val="00535EC4"/>
    <w:rsid w:val="00535ED9"/>
    <w:rsid w:val="0053692B"/>
    <w:rsid w:val="00541853"/>
    <w:rsid w:val="00543BDA"/>
    <w:rsid w:val="005441CC"/>
    <w:rsid w:val="00544E57"/>
    <w:rsid w:val="005458A9"/>
    <w:rsid w:val="005471DC"/>
    <w:rsid w:val="00547461"/>
    <w:rsid w:val="005479DA"/>
    <w:rsid w:val="00547BCC"/>
    <w:rsid w:val="0055013B"/>
    <w:rsid w:val="00551F6F"/>
    <w:rsid w:val="00555044"/>
    <w:rsid w:val="00561475"/>
    <w:rsid w:val="00562308"/>
    <w:rsid w:val="00563A1D"/>
    <w:rsid w:val="0056487B"/>
    <w:rsid w:val="00564FB9"/>
    <w:rsid w:val="00566940"/>
    <w:rsid w:val="00566F64"/>
    <w:rsid w:val="005733C5"/>
    <w:rsid w:val="00573D9E"/>
    <w:rsid w:val="005801E3"/>
    <w:rsid w:val="00581802"/>
    <w:rsid w:val="005836A8"/>
    <w:rsid w:val="0058409C"/>
    <w:rsid w:val="00584262"/>
    <w:rsid w:val="00586630"/>
    <w:rsid w:val="00587ADD"/>
    <w:rsid w:val="005915A6"/>
    <w:rsid w:val="00593A49"/>
    <w:rsid w:val="00593C15"/>
    <w:rsid w:val="00596160"/>
    <w:rsid w:val="005966E2"/>
    <w:rsid w:val="00597007"/>
    <w:rsid w:val="005A0966"/>
    <w:rsid w:val="005A11B7"/>
    <w:rsid w:val="005A1F8F"/>
    <w:rsid w:val="005A260B"/>
    <w:rsid w:val="005A29B9"/>
    <w:rsid w:val="005A2F20"/>
    <w:rsid w:val="005A4A1B"/>
    <w:rsid w:val="005A5F6F"/>
    <w:rsid w:val="005A7830"/>
    <w:rsid w:val="005A7FCE"/>
    <w:rsid w:val="005B0F3F"/>
    <w:rsid w:val="005B191C"/>
    <w:rsid w:val="005B4903"/>
    <w:rsid w:val="005B51CE"/>
    <w:rsid w:val="005B5885"/>
    <w:rsid w:val="005B5CD7"/>
    <w:rsid w:val="005B6CF6"/>
    <w:rsid w:val="005B7422"/>
    <w:rsid w:val="005C1155"/>
    <w:rsid w:val="005C164E"/>
    <w:rsid w:val="005C29B8"/>
    <w:rsid w:val="005C5F21"/>
    <w:rsid w:val="005C7156"/>
    <w:rsid w:val="005D0C75"/>
    <w:rsid w:val="005D4171"/>
    <w:rsid w:val="005D6A95"/>
    <w:rsid w:val="005D6B2C"/>
    <w:rsid w:val="005D6D9C"/>
    <w:rsid w:val="005E1413"/>
    <w:rsid w:val="005E2335"/>
    <w:rsid w:val="005E34CA"/>
    <w:rsid w:val="005E3C18"/>
    <w:rsid w:val="005E4250"/>
    <w:rsid w:val="005E55F3"/>
    <w:rsid w:val="005E5C29"/>
    <w:rsid w:val="005E5C39"/>
    <w:rsid w:val="005E6812"/>
    <w:rsid w:val="005E7881"/>
    <w:rsid w:val="005E78E0"/>
    <w:rsid w:val="005E7E02"/>
    <w:rsid w:val="005F0B8D"/>
    <w:rsid w:val="005F0D9C"/>
    <w:rsid w:val="005F284E"/>
    <w:rsid w:val="005F6ED6"/>
    <w:rsid w:val="006015CE"/>
    <w:rsid w:val="00604784"/>
    <w:rsid w:val="00606419"/>
    <w:rsid w:val="00607D29"/>
    <w:rsid w:val="00612952"/>
    <w:rsid w:val="00614CC1"/>
    <w:rsid w:val="00615A9D"/>
    <w:rsid w:val="00617387"/>
    <w:rsid w:val="006204C8"/>
    <w:rsid w:val="006205D6"/>
    <w:rsid w:val="00622480"/>
    <w:rsid w:val="00623CDC"/>
    <w:rsid w:val="006252D8"/>
    <w:rsid w:val="006259BC"/>
    <w:rsid w:val="0062636B"/>
    <w:rsid w:val="00626D53"/>
    <w:rsid w:val="00631123"/>
    <w:rsid w:val="00631304"/>
    <w:rsid w:val="006319F6"/>
    <w:rsid w:val="00632182"/>
    <w:rsid w:val="00632AE0"/>
    <w:rsid w:val="006332F5"/>
    <w:rsid w:val="00633C15"/>
    <w:rsid w:val="00633C17"/>
    <w:rsid w:val="00634D9E"/>
    <w:rsid w:val="0063698A"/>
    <w:rsid w:val="00636E3E"/>
    <w:rsid w:val="006379F7"/>
    <w:rsid w:val="00637E4D"/>
    <w:rsid w:val="00640620"/>
    <w:rsid w:val="00641008"/>
    <w:rsid w:val="00641A1F"/>
    <w:rsid w:val="00643327"/>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63D3"/>
    <w:rsid w:val="006770F4"/>
    <w:rsid w:val="00677A84"/>
    <w:rsid w:val="0068026D"/>
    <w:rsid w:val="00680A27"/>
    <w:rsid w:val="006816A4"/>
    <w:rsid w:val="006819B8"/>
    <w:rsid w:val="006840A6"/>
    <w:rsid w:val="006846EE"/>
    <w:rsid w:val="006850CD"/>
    <w:rsid w:val="00685AAB"/>
    <w:rsid w:val="006906B4"/>
    <w:rsid w:val="006A07AA"/>
    <w:rsid w:val="006A25E5"/>
    <w:rsid w:val="006A2B46"/>
    <w:rsid w:val="006A336D"/>
    <w:rsid w:val="006A37B9"/>
    <w:rsid w:val="006B047B"/>
    <w:rsid w:val="006B0EBD"/>
    <w:rsid w:val="006B2672"/>
    <w:rsid w:val="006B54BF"/>
    <w:rsid w:val="006B5F44"/>
    <w:rsid w:val="006B5F90"/>
    <w:rsid w:val="006B62E4"/>
    <w:rsid w:val="006C1634"/>
    <w:rsid w:val="006C1BBA"/>
    <w:rsid w:val="006C2079"/>
    <w:rsid w:val="006C5A62"/>
    <w:rsid w:val="006C5D68"/>
    <w:rsid w:val="006C6976"/>
    <w:rsid w:val="006C6DD0"/>
    <w:rsid w:val="006D04EA"/>
    <w:rsid w:val="006D16C4"/>
    <w:rsid w:val="006D3E96"/>
    <w:rsid w:val="006D4515"/>
    <w:rsid w:val="006D4BB1"/>
    <w:rsid w:val="006D6593"/>
    <w:rsid w:val="006D6911"/>
    <w:rsid w:val="006D7796"/>
    <w:rsid w:val="006D77CE"/>
    <w:rsid w:val="006F03A8"/>
    <w:rsid w:val="006F2ACA"/>
    <w:rsid w:val="006F2ADC"/>
    <w:rsid w:val="006F2BFE"/>
    <w:rsid w:val="006F31E9"/>
    <w:rsid w:val="006F4F78"/>
    <w:rsid w:val="006F6284"/>
    <w:rsid w:val="006F6F55"/>
    <w:rsid w:val="007002C5"/>
    <w:rsid w:val="007028FE"/>
    <w:rsid w:val="00703F0B"/>
    <w:rsid w:val="00704387"/>
    <w:rsid w:val="00707669"/>
    <w:rsid w:val="00707E66"/>
    <w:rsid w:val="00711CBA"/>
    <w:rsid w:val="00711FB5"/>
    <w:rsid w:val="0071254B"/>
    <w:rsid w:val="00712573"/>
    <w:rsid w:val="00712A01"/>
    <w:rsid w:val="00712BDA"/>
    <w:rsid w:val="00714F58"/>
    <w:rsid w:val="00715DA3"/>
    <w:rsid w:val="00722FBF"/>
    <w:rsid w:val="00722FC2"/>
    <w:rsid w:val="00724E1B"/>
    <w:rsid w:val="00725949"/>
    <w:rsid w:val="007260A1"/>
    <w:rsid w:val="00727FA2"/>
    <w:rsid w:val="00730196"/>
    <w:rsid w:val="00730568"/>
    <w:rsid w:val="007322D9"/>
    <w:rsid w:val="00732BC0"/>
    <w:rsid w:val="0073720F"/>
    <w:rsid w:val="00737796"/>
    <w:rsid w:val="0073789C"/>
    <w:rsid w:val="0074165C"/>
    <w:rsid w:val="0074285F"/>
    <w:rsid w:val="00742C35"/>
    <w:rsid w:val="007432CA"/>
    <w:rsid w:val="007439EB"/>
    <w:rsid w:val="00743ADA"/>
    <w:rsid w:val="00743CB4"/>
    <w:rsid w:val="00743F0A"/>
    <w:rsid w:val="007444E8"/>
    <w:rsid w:val="0074548E"/>
    <w:rsid w:val="00745739"/>
    <w:rsid w:val="00745773"/>
    <w:rsid w:val="00745B56"/>
    <w:rsid w:val="00746800"/>
    <w:rsid w:val="007470AF"/>
    <w:rsid w:val="007501A8"/>
    <w:rsid w:val="00750D61"/>
    <w:rsid w:val="00750EE1"/>
    <w:rsid w:val="00752B4D"/>
    <w:rsid w:val="00755402"/>
    <w:rsid w:val="007560F4"/>
    <w:rsid w:val="00756B26"/>
    <w:rsid w:val="00756EDF"/>
    <w:rsid w:val="007600E3"/>
    <w:rsid w:val="00765C43"/>
    <w:rsid w:val="00765EFB"/>
    <w:rsid w:val="0076625E"/>
    <w:rsid w:val="007671CA"/>
    <w:rsid w:val="00767C61"/>
    <w:rsid w:val="0077008A"/>
    <w:rsid w:val="00772BF7"/>
    <w:rsid w:val="00773C1F"/>
    <w:rsid w:val="00774DA4"/>
    <w:rsid w:val="00776599"/>
    <w:rsid w:val="00777E43"/>
    <w:rsid w:val="0078114B"/>
    <w:rsid w:val="00781DD2"/>
    <w:rsid w:val="00783ECF"/>
    <w:rsid w:val="0078413A"/>
    <w:rsid w:val="00791A7C"/>
    <w:rsid w:val="007959E8"/>
    <w:rsid w:val="00795E9C"/>
    <w:rsid w:val="007A0235"/>
    <w:rsid w:val="007A0521"/>
    <w:rsid w:val="007A2E12"/>
    <w:rsid w:val="007A3475"/>
    <w:rsid w:val="007A41C8"/>
    <w:rsid w:val="007A54CE"/>
    <w:rsid w:val="007A6416"/>
    <w:rsid w:val="007A6FD9"/>
    <w:rsid w:val="007A7FFA"/>
    <w:rsid w:val="007B04EB"/>
    <w:rsid w:val="007B0C77"/>
    <w:rsid w:val="007B0D4F"/>
    <w:rsid w:val="007B2D4E"/>
    <w:rsid w:val="007B39BD"/>
    <w:rsid w:val="007B475A"/>
    <w:rsid w:val="007B5A3D"/>
    <w:rsid w:val="007B5B95"/>
    <w:rsid w:val="007B6032"/>
    <w:rsid w:val="007B68EA"/>
    <w:rsid w:val="007B7453"/>
    <w:rsid w:val="007C0268"/>
    <w:rsid w:val="007C2D89"/>
    <w:rsid w:val="007C4593"/>
    <w:rsid w:val="007C5309"/>
    <w:rsid w:val="007C6069"/>
    <w:rsid w:val="007D06C4"/>
    <w:rsid w:val="007D1352"/>
    <w:rsid w:val="007D2508"/>
    <w:rsid w:val="007D346A"/>
    <w:rsid w:val="007D6518"/>
    <w:rsid w:val="007D76BD"/>
    <w:rsid w:val="007E0BF1"/>
    <w:rsid w:val="007E21B1"/>
    <w:rsid w:val="007E4F78"/>
    <w:rsid w:val="007E7037"/>
    <w:rsid w:val="007F0ED8"/>
    <w:rsid w:val="007F0F63"/>
    <w:rsid w:val="007F3384"/>
    <w:rsid w:val="007F6443"/>
    <w:rsid w:val="007F75CE"/>
    <w:rsid w:val="007F7EEB"/>
    <w:rsid w:val="008004C2"/>
    <w:rsid w:val="008013A4"/>
    <w:rsid w:val="008027CE"/>
    <w:rsid w:val="00802F42"/>
    <w:rsid w:val="00804383"/>
    <w:rsid w:val="00804BB7"/>
    <w:rsid w:val="00804D41"/>
    <w:rsid w:val="008055C2"/>
    <w:rsid w:val="00810257"/>
    <w:rsid w:val="008104F5"/>
    <w:rsid w:val="00811072"/>
    <w:rsid w:val="00811369"/>
    <w:rsid w:val="00813D15"/>
    <w:rsid w:val="00815419"/>
    <w:rsid w:val="008163C8"/>
    <w:rsid w:val="008164A1"/>
    <w:rsid w:val="00817325"/>
    <w:rsid w:val="0082032F"/>
    <w:rsid w:val="008209E6"/>
    <w:rsid w:val="00823303"/>
    <w:rsid w:val="008233B2"/>
    <w:rsid w:val="00823A9F"/>
    <w:rsid w:val="00823C85"/>
    <w:rsid w:val="00825138"/>
    <w:rsid w:val="00825255"/>
    <w:rsid w:val="008269DD"/>
    <w:rsid w:val="00826A6B"/>
    <w:rsid w:val="00826C9C"/>
    <w:rsid w:val="00830621"/>
    <w:rsid w:val="00831C7C"/>
    <w:rsid w:val="008324D7"/>
    <w:rsid w:val="00832DEC"/>
    <w:rsid w:val="0083348C"/>
    <w:rsid w:val="008373D3"/>
    <w:rsid w:val="00840617"/>
    <w:rsid w:val="00840F84"/>
    <w:rsid w:val="00841FBC"/>
    <w:rsid w:val="00842A47"/>
    <w:rsid w:val="00843C13"/>
    <w:rsid w:val="008444CD"/>
    <w:rsid w:val="008454F8"/>
    <w:rsid w:val="00846BA8"/>
    <w:rsid w:val="0085173A"/>
    <w:rsid w:val="00856243"/>
    <w:rsid w:val="008603CE"/>
    <w:rsid w:val="008620FC"/>
    <w:rsid w:val="008627A5"/>
    <w:rsid w:val="00863E05"/>
    <w:rsid w:val="00865ACA"/>
    <w:rsid w:val="00865D28"/>
    <w:rsid w:val="00865F85"/>
    <w:rsid w:val="00867C10"/>
    <w:rsid w:val="00870439"/>
    <w:rsid w:val="00870DA1"/>
    <w:rsid w:val="00873EFB"/>
    <w:rsid w:val="008772E2"/>
    <w:rsid w:val="00883A60"/>
    <w:rsid w:val="00883F93"/>
    <w:rsid w:val="00884DB3"/>
    <w:rsid w:val="00885A9D"/>
    <w:rsid w:val="008864F6"/>
    <w:rsid w:val="00886D06"/>
    <w:rsid w:val="0089049D"/>
    <w:rsid w:val="0089083C"/>
    <w:rsid w:val="008928C9"/>
    <w:rsid w:val="008930CB"/>
    <w:rsid w:val="008938DC"/>
    <w:rsid w:val="00893FD1"/>
    <w:rsid w:val="008941C6"/>
    <w:rsid w:val="00894836"/>
    <w:rsid w:val="00895172"/>
    <w:rsid w:val="00895680"/>
    <w:rsid w:val="00896DFF"/>
    <w:rsid w:val="0089762C"/>
    <w:rsid w:val="008A173B"/>
    <w:rsid w:val="008A1893"/>
    <w:rsid w:val="008A57E6"/>
    <w:rsid w:val="008A6130"/>
    <w:rsid w:val="008A6F81"/>
    <w:rsid w:val="008A769A"/>
    <w:rsid w:val="008A7828"/>
    <w:rsid w:val="008B0C9C"/>
    <w:rsid w:val="008B166D"/>
    <w:rsid w:val="008B17F4"/>
    <w:rsid w:val="008B3615"/>
    <w:rsid w:val="008B43B8"/>
    <w:rsid w:val="008B4AC4"/>
    <w:rsid w:val="008B50C8"/>
    <w:rsid w:val="008B5281"/>
    <w:rsid w:val="008B5FE6"/>
    <w:rsid w:val="008B69BC"/>
    <w:rsid w:val="008B7E05"/>
    <w:rsid w:val="008C1797"/>
    <w:rsid w:val="008C219C"/>
    <w:rsid w:val="008C475E"/>
    <w:rsid w:val="008C619A"/>
    <w:rsid w:val="008D0CE8"/>
    <w:rsid w:val="008D2D1D"/>
    <w:rsid w:val="008D43F9"/>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42A"/>
    <w:rsid w:val="008F0CDC"/>
    <w:rsid w:val="008F17A3"/>
    <w:rsid w:val="008F1ED3"/>
    <w:rsid w:val="008F4C29"/>
    <w:rsid w:val="008F5337"/>
    <w:rsid w:val="008F70BD"/>
    <w:rsid w:val="008F788F"/>
    <w:rsid w:val="008F7EA2"/>
    <w:rsid w:val="00902722"/>
    <w:rsid w:val="009027BC"/>
    <w:rsid w:val="009062E6"/>
    <w:rsid w:val="009104E0"/>
    <w:rsid w:val="00911BE5"/>
    <w:rsid w:val="00913CA9"/>
    <w:rsid w:val="009145AE"/>
    <w:rsid w:val="009146CE"/>
    <w:rsid w:val="00914CA7"/>
    <w:rsid w:val="00915C3E"/>
    <w:rsid w:val="009161A8"/>
    <w:rsid w:val="009216D2"/>
    <w:rsid w:val="009245AE"/>
    <w:rsid w:val="009245F5"/>
    <w:rsid w:val="009249EC"/>
    <w:rsid w:val="009273B3"/>
    <w:rsid w:val="00927743"/>
    <w:rsid w:val="009305B5"/>
    <w:rsid w:val="00932173"/>
    <w:rsid w:val="009378DD"/>
    <w:rsid w:val="009429D5"/>
    <w:rsid w:val="00942BF1"/>
    <w:rsid w:val="009437F2"/>
    <w:rsid w:val="0094434F"/>
    <w:rsid w:val="00945180"/>
    <w:rsid w:val="00945428"/>
    <w:rsid w:val="0094607B"/>
    <w:rsid w:val="00953604"/>
    <w:rsid w:val="009539AA"/>
    <w:rsid w:val="0095496B"/>
    <w:rsid w:val="00960F1E"/>
    <w:rsid w:val="009610DC"/>
    <w:rsid w:val="00961490"/>
    <w:rsid w:val="0096381A"/>
    <w:rsid w:val="00965E04"/>
    <w:rsid w:val="009674AD"/>
    <w:rsid w:val="009677F4"/>
    <w:rsid w:val="00970A74"/>
    <w:rsid w:val="00970CDC"/>
    <w:rsid w:val="009719D5"/>
    <w:rsid w:val="00975727"/>
    <w:rsid w:val="00977010"/>
    <w:rsid w:val="0097740B"/>
    <w:rsid w:val="00977D02"/>
    <w:rsid w:val="00977FF9"/>
    <w:rsid w:val="009809BB"/>
    <w:rsid w:val="009821C4"/>
    <w:rsid w:val="0098364B"/>
    <w:rsid w:val="00985977"/>
    <w:rsid w:val="009908A3"/>
    <w:rsid w:val="009911AF"/>
    <w:rsid w:val="009914CA"/>
    <w:rsid w:val="00991875"/>
    <w:rsid w:val="00991F92"/>
    <w:rsid w:val="00992985"/>
    <w:rsid w:val="00993889"/>
    <w:rsid w:val="0099551B"/>
    <w:rsid w:val="00996149"/>
    <w:rsid w:val="00996BD2"/>
    <w:rsid w:val="00997BF1"/>
    <w:rsid w:val="009A089C"/>
    <w:rsid w:val="009A118E"/>
    <w:rsid w:val="009A21CD"/>
    <w:rsid w:val="009A278C"/>
    <w:rsid w:val="009A2BC2"/>
    <w:rsid w:val="009A42C1"/>
    <w:rsid w:val="009A5429"/>
    <w:rsid w:val="009A72AD"/>
    <w:rsid w:val="009B09E0"/>
    <w:rsid w:val="009B0BC5"/>
    <w:rsid w:val="009B1247"/>
    <w:rsid w:val="009B2074"/>
    <w:rsid w:val="009B6029"/>
    <w:rsid w:val="009B60D4"/>
    <w:rsid w:val="009B6208"/>
    <w:rsid w:val="009B6971"/>
    <w:rsid w:val="009B7AE7"/>
    <w:rsid w:val="009C27F1"/>
    <w:rsid w:val="009C3152"/>
    <w:rsid w:val="009C3257"/>
    <w:rsid w:val="009C4CFA"/>
    <w:rsid w:val="009C5070"/>
    <w:rsid w:val="009D112C"/>
    <w:rsid w:val="009D1385"/>
    <w:rsid w:val="009D246F"/>
    <w:rsid w:val="009D47FA"/>
    <w:rsid w:val="009D4C5B"/>
    <w:rsid w:val="009D50D2"/>
    <w:rsid w:val="009D5711"/>
    <w:rsid w:val="009D64F5"/>
    <w:rsid w:val="009D6BCA"/>
    <w:rsid w:val="009E0F62"/>
    <w:rsid w:val="009E4A58"/>
    <w:rsid w:val="009E5A2D"/>
    <w:rsid w:val="009E5AB2"/>
    <w:rsid w:val="009E6219"/>
    <w:rsid w:val="009E6962"/>
    <w:rsid w:val="009F03B3"/>
    <w:rsid w:val="009F6ED6"/>
    <w:rsid w:val="00A0096C"/>
    <w:rsid w:val="00A00C49"/>
    <w:rsid w:val="00A01757"/>
    <w:rsid w:val="00A028C0"/>
    <w:rsid w:val="00A02BAE"/>
    <w:rsid w:val="00A06A6B"/>
    <w:rsid w:val="00A06EA2"/>
    <w:rsid w:val="00A07E47"/>
    <w:rsid w:val="00A129D0"/>
    <w:rsid w:val="00A12C33"/>
    <w:rsid w:val="00A138BA"/>
    <w:rsid w:val="00A14C8E"/>
    <w:rsid w:val="00A153D9"/>
    <w:rsid w:val="00A15F09"/>
    <w:rsid w:val="00A169B6"/>
    <w:rsid w:val="00A219E8"/>
    <w:rsid w:val="00A2271D"/>
    <w:rsid w:val="00A237D5"/>
    <w:rsid w:val="00A30EFC"/>
    <w:rsid w:val="00A31964"/>
    <w:rsid w:val="00A31984"/>
    <w:rsid w:val="00A31F82"/>
    <w:rsid w:val="00A32896"/>
    <w:rsid w:val="00A32D73"/>
    <w:rsid w:val="00A3367B"/>
    <w:rsid w:val="00A3597D"/>
    <w:rsid w:val="00A36617"/>
    <w:rsid w:val="00A36DD1"/>
    <w:rsid w:val="00A40017"/>
    <w:rsid w:val="00A4006C"/>
    <w:rsid w:val="00A40091"/>
    <w:rsid w:val="00A4030F"/>
    <w:rsid w:val="00A41C79"/>
    <w:rsid w:val="00A41CB5"/>
    <w:rsid w:val="00A42CDF"/>
    <w:rsid w:val="00A43574"/>
    <w:rsid w:val="00A4452E"/>
    <w:rsid w:val="00A4472C"/>
    <w:rsid w:val="00A44E69"/>
    <w:rsid w:val="00A4661E"/>
    <w:rsid w:val="00A55BD6"/>
    <w:rsid w:val="00A55D50"/>
    <w:rsid w:val="00A57142"/>
    <w:rsid w:val="00A61B02"/>
    <w:rsid w:val="00A648CD"/>
    <w:rsid w:val="00A6537A"/>
    <w:rsid w:val="00A67817"/>
    <w:rsid w:val="00A67866"/>
    <w:rsid w:val="00A67E2B"/>
    <w:rsid w:val="00A70B07"/>
    <w:rsid w:val="00A723F8"/>
    <w:rsid w:val="00A72E6D"/>
    <w:rsid w:val="00A73015"/>
    <w:rsid w:val="00A74DF1"/>
    <w:rsid w:val="00A77CCB"/>
    <w:rsid w:val="00A80375"/>
    <w:rsid w:val="00A83D8D"/>
    <w:rsid w:val="00A8446B"/>
    <w:rsid w:val="00A8473F"/>
    <w:rsid w:val="00A862D6"/>
    <w:rsid w:val="00A8715E"/>
    <w:rsid w:val="00A90495"/>
    <w:rsid w:val="00A91F73"/>
    <w:rsid w:val="00A92243"/>
    <w:rsid w:val="00A9295B"/>
    <w:rsid w:val="00A92D3D"/>
    <w:rsid w:val="00A93B09"/>
    <w:rsid w:val="00A952D7"/>
    <w:rsid w:val="00A959EF"/>
    <w:rsid w:val="00A963F7"/>
    <w:rsid w:val="00A96AD8"/>
    <w:rsid w:val="00AA052C"/>
    <w:rsid w:val="00AA1E45"/>
    <w:rsid w:val="00AA4123"/>
    <w:rsid w:val="00AA413D"/>
    <w:rsid w:val="00AA4286"/>
    <w:rsid w:val="00AA456B"/>
    <w:rsid w:val="00AA57F5"/>
    <w:rsid w:val="00AA672E"/>
    <w:rsid w:val="00AA6EC9"/>
    <w:rsid w:val="00AB60A6"/>
    <w:rsid w:val="00AB6309"/>
    <w:rsid w:val="00AB6803"/>
    <w:rsid w:val="00AB6C5F"/>
    <w:rsid w:val="00AB7129"/>
    <w:rsid w:val="00AC27A6"/>
    <w:rsid w:val="00AC30F7"/>
    <w:rsid w:val="00AC3A5A"/>
    <w:rsid w:val="00AC4D95"/>
    <w:rsid w:val="00AC558F"/>
    <w:rsid w:val="00AC5DF4"/>
    <w:rsid w:val="00AD0AEF"/>
    <w:rsid w:val="00AD11B7"/>
    <w:rsid w:val="00AD1A94"/>
    <w:rsid w:val="00AD1C05"/>
    <w:rsid w:val="00AD3385"/>
    <w:rsid w:val="00AD4126"/>
    <w:rsid w:val="00AD421C"/>
    <w:rsid w:val="00AD44FA"/>
    <w:rsid w:val="00AD6B77"/>
    <w:rsid w:val="00AE070A"/>
    <w:rsid w:val="00AE101C"/>
    <w:rsid w:val="00AE1906"/>
    <w:rsid w:val="00AE2A69"/>
    <w:rsid w:val="00AE37E5"/>
    <w:rsid w:val="00AE5EB4"/>
    <w:rsid w:val="00AE679C"/>
    <w:rsid w:val="00AF0C18"/>
    <w:rsid w:val="00AF47C5"/>
    <w:rsid w:val="00AF5398"/>
    <w:rsid w:val="00AF53F3"/>
    <w:rsid w:val="00AF6987"/>
    <w:rsid w:val="00B012A9"/>
    <w:rsid w:val="00B02DC9"/>
    <w:rsid w:val="00B049AF"/>
    <w:rsid w:val="00B07242"/>
    <w:rsid w:val="00B1026A"/>
    <w:rsid w:val="00B10534"/>
    <w:rsid w:val="00B113DB"/>
    <w:rsid w:val="00B11D8A"/>
    <w:rsid w:val="00B12981"/>
    <w:rsid w:val="00B147DD"/>
    <w:rsid w:val="00B156FD"/>
    <w:rsid w:val="00B16244"/>
    <w:rsid w:val="00B178E9"/>
    <w:rsid w:val="00B17AF0"/>
    <w:rsid w:val="00B21F61"/>
    <w:rsid w:val="00B261F1"/>
    <w:rsid w:val="00B265BC"/>
    <w:rsid w:val="00B31FB1"/>
    <w:rsid w:val="00B32F83"/>
    <w:rsid w:val="00B33952"/>
    <w:rsid w:val="00B33C5E"/>
    <w:rsid w:val="00B342F4"/>
    <w:rsid w:val="00B34369"/>
    <w:rsid w:val="00B34DC2"/>
    <w:rsid w:val="00B35355"/>
    <w:rsid w:val="00B378E5"/>
    <w:rsid w:val="00B3795A"/>
    <w:rsid w:val="00B42CA0"/>
    <w:rsid w:val="00B4346D"/>
    <w:rsid w:val="00B440F4"/>
    <w:rsid w:val="00B447A5"/>
    <w:rsid w:val="00B4654C"/>
    <w:rsid w:val="00B47293"/>
    <w:rsid w:val="00B50BE9"/>
    <w:rsid w:val="00B50E50"/>
    <w:rsid w:val="00B51F61"/>
    <w:rsid w:val="00B52120"/>
    <w:rsid w:val="00B53161"/>
    <w:rsid w:val="00B54ABC"/>
    <w:rsid w:val="00B565B6"/>
    <w:rsid w:val="00B568F1"/>
    <w:rsid w:val="00B56FBE"/>
    <w:rsid w:val="00B57508"/>
    <w:rsid w:val="00B60ACF"/>
    <w:rsid w:val="00B62B58"/>
    <w:rsid w:val="00B64151"/>
    <w:rsid w:val="00B65149"/>
    <w:rsid w:val="00B65DB1"/>
    <w:rsid w:val="00B66567"/>
    <w:rsid w:val="00B66F52"/>
    <w:rsid w:val="00B66FE5"/>
    <w:rsid w:val="00B72880"/>
    <w:rsid w:val="00B758BF"/>
    <w:rsid w:val="00B77EC8"/>
    <w:rsid w:val="00B827A6"/>
    <w:rsid w:val="00B831CE"/>
    <w:rsid w:val="00B86677"/>
    <w:rsid w:val="00B87131"/>
    <w:rsid w:val="00B939B1"/>
    <w:rsid w:val="00B96D40"/>
    <w:rsid w:val="00B9705B"/>
    <w:rsid w:val="00B97386"/>
    <w:rsid w:val="00BA263B"/>
    <w:rsid w:val="00BA41F2"/>
    <w:rsid w:val="00BA42B2"/>
    <w:rsid w:val="00BA58D4"/>
    <w:rsid w:val="00BA5B9E"/>
    <w:rsid w:val="00BA63B0"/>
    <w:rsid w:val="00BA6663"/>
    <w:rsid w:val="00BA7C9A"/>
    <w:rsid w:val="00BB5373"/>
    <w:rsid w:val="00BB5F8F"/>
    <w:rsid w:val="00BB657A"/>
    <w:rsid w:val="00BC1A4E"/>
    <w:rsid w:val="00BC463A"/>
    <w:rsid w:val="00BC4F71"/>
    <w:rsid w:val="00BC5DC7"/>
    <w:rsid w:val="00BC5E8A"/>
    <w:rsid w:val="00BC6B8B"/>
    <w:rsid w:val="00BC73D8"/>
    <w:rsid w:val="00BC7AF0"/>
    <w:rsid w:val="00BD1C20"/>
    <w:rsid w:val="00BD3C91"/>
    <w:rsid w:val="00BD52D7"/>
    <w:rsid w:val="00BD5AD2"/>
    <w:rsid w:val="00BD7166"/>
    <w:rsid w:val="00BE22BB"/>
    <w:rsid w:val="00BE22F3"/>
    <w:rsid w:val="00BE2D3F"/>
    <w:rsid w:val="00BE5B52"/>
    <w:rsid w:val="00BE7B8D"/>
    <w:rsid w:val="00BF0993"/>
    <w:rsid w:val="00BF0A5E"/>
    <w:rsid w:val="00BF10A9"/>
    <w:rsid w:val="00BF1703"/>
    <w:rsid w:val="00BF231C"/>
    <w:rsid w:val="00BF4FCB"/>
    <w:rsid w:val="00BF51E5"/>
    <w:rsid w:val="00BF74A6"/>
    <w:rsid w:val="00BF78D5"/>
    <w:rsid w:val="00C005DC"/>
    <w:rsid w:val="00C013AD"/>
    <w:rsid w:val="00C04904"/>
    <w:rsid w:val="00C056B3"/>
    <w:rsid w:val="00C103E5"/>
    <w:rsid w:val="00C10E3D"/>
    <w:rsid w:val="00C12FB4"/>
    <w:rsid w:val="00C13319"/>
    <w:rsid w:val="00C13EE9"/>
    <w:rsid w:val="00C149FE"/>
    <w:rsid w:val="00C16085"/>
    <w:rsid w:val="00C17187"/>
    <w:rsid w:val="00C20245"/>
    <w:rsid w:val="00C21540"/>
    <w:rsid w:val="00C21906"/>
    <w:rsid w:val="00C21BFA"/>
    <w:rsid w:val="00C2220A"/>
    <w:rsid w:val="00C24C8D"/>
    <w:rsid w:val="00C25E3E"/>
    <w:rsid w:val="00C25FE2"/>
    <w:rsid w:val="00C26B53"/>
    <w:rsid w:val="00C279B2"/>
    <w:rsid w:val="00C33E50"/>
    <w:rsid w:val="00C34C20"/>
    <w:rsid w:val="00C35A3E"/>
    <w:rsid w:val="00C35FC0"/>
    <w:rsid w:val="00C36E63"/>
    <w:rsid w:val="00C42130"/>
    <w:rsid w:val="00C423A4"/>
    <w:rsid w:val="00C423E3"/>
    <w:rsid w:val="00C44BF5"/>
    <w:rsid w:val="00C47C5D"/>
    <w:rsid w:val="00C521D6"/>
    <w:rsid w:val="00C52663"/>
    <w:rsid w:val="00C55232"/>
    <w:rsid w:val="00C553A4"/>
    <w:rsid w:val="00C55A06"/>
    <w:rsid w:val="00C55D03"/>
    <w:rsid w:val="00C601BC"/>
    <w:rsid w:val="00C606DA"/>
    <w:rsid w:val="00C6329F"/>
    <w:rsid w:val="00C63340"/>
    <w:rsid w:val="00C643F9"/>
    <w:rsid w:val="00C64E95"/>
    <w:rsid w:val="00C65877"/>
    <w:rsid w:val="00C71372"/>
    <w:rsid w:val="00C72410"/>
    <w:rsid w:val="00C7287F"/>
    <w:rsid w:val="00C75FAE"/>
    <w:rsid w:val="00C80CB8"/>
    <w:rsid w:val="00C819F8"/>
    <w:rsid w:val="00C8248C"/>
    <w:rsid w:val="00C83513"/>
    <w:rsid w:val="00C84E33"/>
    <w:rsid w:val="00C86D6F"/>
    <w:rsid w:val="00C87F84"/>
    <w:rsid w:val="00C904BA"/>
    <w:rsid w:val="00C905FC"/>
    <w:rsid w:val="00C92D03"/>
    <w:rsid w:val="00C9319C"/>
    <w:rsid w:val="00C941F0"/>
    <w:rsid w:val="00C9424E"/>
    <w:rsid w:val="00C9435D"/>
    <w:rsid w:val="00C94DF2"/>
    <w:rsid w:val="00C95202"/>
    <w:rsid w:val="00C96741"/>
    <w:rsid w:val="00CA2D1B"/>
    <w:rsid w:val="00CA35F6"/>
    <w:rsid w:val="00CA375D"/>
    <w:rsid w:val="00CA583C"/>
    <w:rsid w:val="00CA662A"/>
    <w:rsid w:val="00CA7AFD"/>
    <w:rsid w:val="00CA7C3C"/>
    <w:rsid w:val="00CB0189"/>
    <w:rsid w:val="00CB0BA2"/>
    <w:rsid w:val="00CB1A42"/>
    <w:rsid w:val="00CB1B0C"/>
    <w:rsid w:val="00CB1FA3"/>
    <w:rsid w:val="00CB2C0B"/>
    <w:rsid w:val="00CB517D"/>
    <w:rsid w:val="00CB55F2"/>
    <w:rsid w:val="00CC038D"/>
    <w:rsid w:val="00CC08DB"/>
    <w:rsid w:val="00CC39FF"/>
    <w:rsid w:val="00CC3C2F"/>
    <w:rsid w:val="00CC47BD"/>
    <w:rsid w:val="00CC4AC8"/>
    <w:rsid w:val="00CC5233"/>
    <w:rsid w:val="00CC5DE6"/>
    <w:rsid w:val="00CC6E4E"/>
    <w:rsid w:val="00CC6FE8"/>
    <w:rsid w:val="00CC7202"/>
    <w:rsid w:val="00CD2808"/>
    <w:rsid w:val="00CD28BF"/>
    <w:rsid w:val="00CD3B04"/>
    <w:rsid w:val="00CD4092"/>
    <w:rsid w:val="00CD4A20"/>
    <w:rsid w:val="00CD50A1"/>
    <w:rsid w:val="00CD519E"/>
    <w:rsid w:val="00CE0C4F"/>
    <w:rsid w:val="00CE30EA"/>
    <w:rsid w:val="00CF048A"/>
    <w:rsid w:val="00CF155A"/>
    <w:rsid w:val="00CF2720"/>
    <w:rsid w:val="00CF2947"/>
    <w:rsid w:val="00CF686F"/>
    <w:rsid w:val="00CF6E60"/>
    <w:rsid w:val="00CF7BCA"/>
    <w:rsid w:val="00D008FD"/>
    <w:rsid w:val="00D0321C"/>
    <w:rsid w:val="00D035EC"/>
    <w:rsid w:val="00D0408F"/>
    <w:rsid w:val="00D053AC"/>
    <w:rsid w:val="00D06AB1"/>
    <w:rsid w:val="00D06FC1"/>
    <w:rsid w:val="00D072ED"/>
    <w:rsid w:val="00D07A16"/>
    <w:rsid w:val="00D1067E"/>
    <w:rsid w:val="00D10F50"/>
    <w:rsid w:val="00D11272"/>
    <w:rsid w:val="00D126F5"/>
    <w:rsid w:val="00D13900"/>
    <w:rsid w:val="00D1489E"/>
    <w:rsid w:val="00D20737"/>
    <w:rsid w:val="00D20D96"/>
    <w:rsid w:val="00D21E81"/>
    <w:rsid w:val="00D223DE"/>
    <w:rsid w:val="00D25E37"/>
    <w:rsid w:val="00D2661A"/>
    <w:rsid w:val="00D27582"/>
    <w:rsid w:val="00D27EC4"/>
    <w:rsid w:val="00D32719"/>
    <w:rsid w:val="00D32C51"/>
    <w:rsid w:val="00D33333"/>
    <w:rsid w:val="00D352A2"/>
    <w:rsid w:val="00D3572A"/>
    <w:rsid w:val="00D4162B"/>
    <w:rsid w:val="00D449A3"/>
    <w:rsid w:val="00D4514F"/>
    <w:rsid w:val="00D451E2"/>
    <w:rsid w:val="00D45E89"/>
    <w:rsid w:val="00D45E8D"/>
    <w:rsid w:val="00D466AE"/>
    <w:rsid w:val="00D4734F"/>
    <w:rsid w:val="00D47656"/>
    <w:rsid w:val="00D51BF3"/>
    <w:rsid w:val="00D62C53"/>
    <w:rsid w:val="00D66511"/>
    <w:rsid w:val="00D66846"/>
    <w:rsid w:val="00D675FB"/>
    <w:rsid w:val="00D71F25"/>
    <w:rsid w:val="00D72A9C"/>
    <w:rsid w:val="00D75C16"/>
    <w:rsid w:val="00D764CE"/>
    <w:rsid w:val="00D77031"/>
    <w:rsid w:val="00D77ACA"/>
    <w:rsid w:val="00D829E9"/>
    <w:rsid w:val="00D84941"/>
    <w:rsid w:val="00D84FA1"/>
    <w:rsid w:val="00D851F0"/>
    <w:rsid w:val="00D864F8"/>
    <w:rsid w:val="00D86DB7"/>
    <w:rsid w:val="00D873B7"/>
    <w:rsid w:val="00D87BF5"/>
    <w:rsid w:val="00D90721"/>
    <w:rsid w:val="00D926D0"/>
    <w:rsid w:val="00D927FE"/>
    <w:rsid w:val="00D93030"/>
    <w:rsid w:val="00D950E1"/>
    <w:rsid w:val="00D952A6"/>
    <w:rsid w:val="00D97092"/>
    <w:rsid w:val="00D97F99"/>
    <w:rsid w:val="00DA1E08"/>
    <w:rsid w:val="00DA24F8"/>
    <w:rsid w:val="00DA28E8"/>
    <w:rsid w:val="00DA38D3"/>
    <w:rsid w:val="00DA3932"/>
    <w:rsid w:val="00DA3AFC"/>
    <w:rsid w:val="00DA446E"/>
    <w:rsid w:val="00DA64F8"/>
    <w:rsid w:val="00DA6C15"/>
    <w:rsid w:val="00DB0258"/>
    <w:rsid w:val="00DB38EE"/>
    <w:rsid w:val="00DB498B"/>
    <w:rsid w:val="00DB4A16"/>
    <w:rsid w:val="00DB66CA"/>
    <w:rsid w:val="00DB6BCA"/>
    <w:rsid w:val="00DB6F54"/>
    <w:rsid w:val="00DB73F7"/>
    <w:rsid w:val="00DC0321"/>
    <w:rsid w:val="00DC1CEE"/>
    <w:rsid w:val="00DC3067"/>
    <w:rsid w:val="00DC370B"/>
    <w:rsid w:val="00DC5B90"/>
    <w:rsid w:val="00DD00FF"/>
    <w:rsid w:val="00DD0619"/>
    <w:rsid w:val="00DD07FB"/>
    <w:rsid w:val="00DD25C6"/>
    <w:rsid w:val="00DD4FE5"/>
    <w:rsid w:val="00DD54B0"/>
    <w:rsid w:val="00DD57EE"/>
    <w:rsid w:val="00DD6BCC"/>
    <w:rsid w:val="00DE0681"/>
    <w:rsid w:val="00DE0A4B"/>
    <w:rsid w:val="00DE1964"/>
    <w:rsid w:val="00DE2410"/>
    <w:rsid w:val="00DE2939"/>
    <w:rsid w:val="00DE44FF"/>
    <w:rsid w:val="00DE4FA0"/>
    <w:rsid w:val="00DE5C5D"/>
    <w:rsid w:val="00DE6E81"/>
    <w:rsid w:val="00DE703F"/>
    <w:rsid w:val="00DE7595"/>
    <w:rsid w:val="00DF1961"/>
    <w:rsid w:val="00DF44DE"/>
    <w:rsid w:val="00E002BA"/>
    <w:rsid w:val="00E01138"/>
    <w:rsid w:val="00E02DFB"/>
    <w:rsid w:val="00E030F9"/>
    <w:rsid w:val="00E0311A"/>
    <w:rsid w:val="00E03138"/>
    <w:rsid w:val="00E06404"/>
    <w:rsid w:val="00E1044F"/>
    <w:rsid w:val="00E11A85"/>
    <w:rsid w:val="00E12495"/>
    <w:rsid w:val="00E15CCD"/>
    <w:rsid w:val="00E202EF"/>
    <w:rsid w:val="00E210B5"/>
    <w:rsid w:val="00E2552F"/>
    <w:rsid w:val="00E3137A"/>
    <w:rsid w:val="00E32CCF"/>
    <w:rsid w:val="00E34A98"/>
    <w:rsid w:val="00E35D1E"/>
    <w:rsid w:val="00E364F9"/>
    <w:rsid w:val="00E365FA"/>
    <w:rsid w:val="00E36789"/>
    <w:rsid w:val="00E42193"/>
    <w:rsid w:val="00E43280"/>
    <w:rsid w:val="00E44A83"/>
    <w:rsid w:val="00E45311"/>
    <w:rsid w:val="00E502C1"/>
    <w:rsid w:val="00E502DD"/>
    <w:rsid w:val="00E50D3A"/>
    <w:rsid w:val="00E51387"/>
    <w:rsid w:val="00E51E68"/>
    <w:rsid w:val="00E5219D"/>
    <w:rsid w:val="00E52EFD"/>
    <w:rsid w:val="00E534BF"/>
    <w:rsid w:val="00E5408A"/>
    <w:rsid w:val="00E56800"/>
    <w:rsid w:val="00E60C63"/>
    <w:rsid w:val="00E61037"/>
    <w:rsid w:val="00E62704"/>
    <w:rsid w:val="00E62FF9"/>
    <w:rsid w:val="00E635D6"/>
    <w:rsid w:val="00E639BC"/>
    <w:rsid w:val="00E664CC"/>
    <w:rsid w:val="00E70388"/>
    <w:rsid w:val="00E70F92"/>
    <w:rsid w:val="00E74313"/>
    <w:rsid w:val="00E74C54"/>
    <w:rsid w:val="00E77A03"/>
    <w:rsid w:val="00E822E8"/>
    <w:rsid w:val="00E82554"/>
    <w:rsid w:val="00E82606"/>
    <w:rsid w:val="00E831C1"/>
    <w:rsid w:val="00E8423A"/>
    <w:rsid w:val="00E846C8"/>
    <w:rsid w:val="00E84720"/>
    <w:rsid w:val="00E84957"/>
    <w:rsid w:val="00E84A55"/>
    <w:rsid w:val="00E85BFF"/>
    <w:rsid w:val="00E90391"/>
    <w:rsid w:val="00E906C2"/>
    <w:rsid w:val="00E91A62"/>
    <w:rsid w:val="00E9311F"/>
    <w:rsid w:val="00E934D1"/>
    <w:rsid w:val="00E94AF0"/>
    <w:rsid w:val="00E94D7A"/>
    <w:rsid w:val="00E955B5"/>
    <w:rsid w:val="00E95D13"/>
    <w:rsid w:val="00E95DD3"/>
    <w:rsid w:val="00E969D5"/>
    <w:rsid w:val="00EA4596"/>
    <w:rsid w:val="00EA58D1"/>
    <w:rsid w:val="00EA61BC"/>
    <w:rsid w:val="00EA681A"/>
    <w:rsid w:val="00EA735B"/>
    <w:rsid w:val="00EB0D39"/>
    <w:rsid w:val="00EB1D38"/>
    <w:rsid w:val="00EB1E69"/>
    <w:rsid w:val="00EB2086"/>
    <w:rsid w:val="00EB31ED"/>
    <w:rsid w:val="00EB35CE"/>
    <w:rsid w:val="00EB5EDF"/>
    <w:rsid w:val="00EB60FE"/>
    <w:rsid w:val="00EB74DB"/>
    <w:rsid w:val="00EC2376"/>
    <w:rsid w:val="00EC5359"/>
    <w:rsid w:val="00EC562A"/>
    <w:rsid w:val="00ED067A"/>
    <w:rsid w:val="00ED2B50"/>
    <w:rsid w:val="00ED3AB6"/>
    <w:rsid w:val="00ED7408"/>
    <w:rsid w:val="00EE0350"/>
    <w:rsid w:val="00EE0719"/>
    <w:rsid w:val="00EE0E80"/>
    <w:rsid w:val="00EE613F"/>
    <w:rsid w:val="00EE7295"/>
    <w:rsid w:val="00EE7869"/>
    <w:rsid w:val="00EF054A"/>
    <w:rsid w:val="00EF3235"/>
    <w:rsid w:val="00EF6D25"/>
    <w:rsid w:val="00EF7E72"/>
    <w:rsid w:val="00F00FF3"/>
    <w:rsid w:val="00F06D37"/>
    <w:rsid w:val="00F07B9D"/>
    <w:rsid w:val="00F10346"/>
    <w:rsid w:val="00F11586"/>
    <w:rsid w:val="00F1183B"/>
    <w:rsid w:val="00F11C9F"/>
    <w:rsid w:val="00F1206C"/>
    <w:rsid w:val="00F12263"/>
    <w:rsid w:val="00F1409D"/>
    <w:rsid w:val="00F14214"/>
    <w:rsid w:val="00F157A9"/>
    <w:rsid w:val="00F16F00"/>
    <w:rsid w:val="00F20837"/>
    <w:rsid w:val="00F25BB6"/>
    <w:rsid w:val="00F26B7E"/>
    <w:rsid w:val="00F27A3B"/>
    <w:rsid w:val="00F32D2E"/>
    <w:rsid w:val="00F33817"/>
    <w:rsid w:val="00F34469"/>
    <w:rsid w:val="00F34828"/>
    <w:rsid w:val="00F368DC"/>
    <w:rsid w:val="00F36DC5"/>
    <w:rsid w:val="00F420D5"/>
    <w:rsid w:val="00F42F6B"/>
    <w:rsid w:val="00F451EA"/>
    <w:rsid w:val="00F45447"/>
    <w:rsid w:val="00F456C6"/>
    <w:rsid w:val="00F4577B"/>
    <w:rsid w:val="00F46391"/>
    <w:rsid w:val="00F46496"/>
    <w:rsid w:val="00F474D0"/>
    <w:rsid w:val="00F50179"/>
    <w:rsid w:val="00F515EE"/>
    <w:rsid w:val="00F52516"/>
    <w:rsid w:val="00F52B89"/>
    <w:rsid w:val="00F542DF"/>
    <w:rsid w:val="00F54523"/>
    <w:rsid w:val="00F56511"/>
    <w:rsid w:val="00F570A6"/>
    <w:rsid w:val="00F6194E"/>
    <w:rsid w:val="00F623AC"/>
    <w:rsid w:val="00F6412A"/>
    <w:rsid w:val="00F65893"/>
    <w:rsid w:val="00F66A4A"/>
    <w:rsid w:val="00F70206"/>
    <w:rsid w:val="00F71E22"/>
    <w:rsid w:val="00F72142"/>
    <w:rsid w:val="00F72AE7"/>
    <w:rsid w:val="00F833BA"/>
    <w:rsid w:val="00F84FD0"/>
    <w:rsid w:val="00F859A8"/>
    <w:rsid w:val="00F86D87"/>
    <w:rsid w:val="00F9108B"/>
    <w:rsid w:val="00F91349"/>
    <w:rsid w:val="00F92E87"/>
    <w:rsid w:val="00F93A8A"/>
    <w:rsid w:val="00F95248"/>
    <w:rsid w:val="00F956A9"/>
    <w:rsid w:val="00F963ED"/>
    <w:rsid w:val="00F966CF"/>
    <w:rsid w:val="00F96CAE"/>
    <w:rsid w:val="00F97C99"/>
    <w:rsid w:val="00FA3FA9"/>
    <w:rsid w:val="00FA662D"/>
    <w:rsid w:val="00FA73B1"/>
    <w:rsid w:val="00FB0CB9"/>
    <w:rsid w:val="00FB231D"/>
    <w:rsid w:val="00FB24A8"/>
    <w:rsid w:val="00FB45F1"/>
    <w:rsid w:val="00FB4A72"/>
    <w:rsid w:val="00FB529B"/>
    <w:rsid w:val="00FB54E8"/>
    <w:rsid w:val="00FB7054"/>
    <w:rsid w:val="00FB7818"/>
    <w:rsid w:val="00FC10A6"/>
    <w:rsid w:val="00FC17B7"/>
    <w:rsid w:val="00FC218F"/>
    <w:rsid w:val="00FC2CB7"/>
    <w:rsid w:val="00FC4090"/>
    <w:rsid w:val="00FC4604"/>
    <w:rsid w:val="00FC55B4"/>
    <w:rsid w:val="00FD00E6"/>
    <w:rsid w:val="00FD0522"/>
    <w:rsid w:val="00FD09A1"/>
    <w:rsid w:val="00FD1C45"/>
    <w:rsid w:val="00FD2A7C"/>
    <w:rsid w:val="00FD59EB"/>
    <w:rsid w:val="00FD62D9"/>
    <w:rsid w:val="00FD7299"/>
    <w:rsid w:val="00FE19EB"/>
    <w:rsid w:val="00FE1FBE"/>
    <w:rsid w:val="00FE3901"/>
    <w:rsid w:val="00FE39D3"/>
    <w:rsid w:val="00FE4BCE"/>
    <w:rsid w:val="00FE54AE"/>
    <w:rsid w:val="00FE576A"/>
    <w:rsid w:val="00FE7E79"/>
    <w:rsid w:val="00FF0909"/>
    <w:rsid w:val="00FF0BA4"/>
    <w:rsid w:val="00FF3E7D"/>
    <w:rsid w:val="00FF5B99"/>
    <w:rsid w:val="00FF730C"/>
    <w:rsid w:val="00FF73F4"/>
    <w:rsid w:val="00FF7CE4"/>
    <w:rsid w:val="00FF7E39"/>
    <w:rsid w:val="01DB2C49"/>
    <w:rsid w:val="043169F1"/>
    <w:rsid w:val="08B448FA"/>
    <w:rsid w:val="090B72F2"/>
    <w:rsid w:val="10063813"/>
    <w:rsid w:val="100E76C7"/>
    <w:rsid w:val="10B93AD7"/>
    <w:rsid w:val="116A35BB"/>
    <w:rsid w:val="12411FD6"/>
    <w:rsid w:val="13644ECD"/>
    <w:rsid w:val="150211C4"/>
    <w:rsid w:val="16F77107"/>
    <w:rsid w:val="18B76B4E"/>
    <w:rsid w:val="193963E7"/>
    <w:rsid w:val="1A6D0AED"/>
    <w:rsid w:val="1AAB6751"/>
    <w:rsid w:val="1D0F6196"/>
    <w:rsid w:val="1F49071C"/>
    <w:rsid w:val="23B87F7A"/>
    <w:rsid w:val="242E0F1E"/>
    <w:rsid w:val="258A2B15"/>
    <w:rsid w:val="261A7284"/>
    <w:rsid w:val="265E2CFF"/>
    <w:rsid w:val="269B7732"/>
    <w:rsid w:val="27BE5AEA"/>
    <w:rsid w:val="2960467D"/>
    <w:rsid w:val="2BA074D5"/>
    <w:rsid w:val="2EC1207D"/>
    <w:rsid w:val="2F61560E"/>
    <w:rsid w:val="2FFE33BB"/>
    <w:rsid w:val="31187057"/>
    <w:rsid w:val="33BE302F"/>
    <w:rsid w:val="379123A3"/>
    <w:rsid w:val="3D670613"/>
    <w:rsid w:val="3ED100BA"/>
    <w:rsid w:val="415D1E3E"/>
    <w:rsid w:val="46606077"/>
    <w:rsid w:val="47FA2339"/>
    <w:rsid w:val="4DC22AD5"/>
    <w:rsid w:val="4E1A37F5"/>
    <w:rsid w:val="4EDF23F4"/>
    <w:rsid w:val="504373AD"/>
    <w:rsid w:val="5164091A"/>
    <w:rsid w:val="52727703"/>
    <w:rsid w:val="544337DB"/>
    <w:rsid w:val="5454111A"/>
    <w:rsid w:val="55480552"/>
    <w:rsid w:val="56985C18"/>
    <w:rsid w:val="57261BCD"/>
    <w:rsid w:val="57435475"/>
    <w:rsid w:val="58BC7769"/>
    <w:rsid w:val="596404E6"/>
    <w:rsid w:val="5A82491F"/>
    <w:rsid w:val="5A963B0E"/>
    <w:rsid w:val="5BAA2E44"/>
    <w:rsid w:val="5D6D5C42"/>
    <w:rsid w:val="5D985011"/>
    <w:rsid w:val="5E03641E"/>
    <w:rsid w:val="60E530F9"/>
    <w:rsid w:val="63D3141F"/>
    <w:rsid w:val="65442AE4"/>
    <w:rsid w:val="658633A0"/>
    <w:rsid w:val="67C21ADF"/>
    <w:rsid w:val="67DC14D2"/>
    <w:rsid w:val="6897167A"/>
    <w:rsid w:val="6B9017B4"/>
    <w:rsid w:val="6BA755B4"/>
    <w:rsid w:val="6C340BE6"/>
    <w:rsid w:val="6D4B778E"/>
    <w:rsid w:val="6E4229EA"/>
    <w:rsid w:val="6FE54EC4"/>
    <w:rsid w:val="70C525FF"/>
    <w:rsid w:val="71C45CD4"/>
    <w:rsid w:val="74EE65C9"/>
    <w:rsid w:val="76747485"/>
    <w:rsid w:val="76E969F9"/>
    <w:rsid w:val="77070D46"/>
    <w:rsid w:val="79D143EB"/>
    <w:rsid w:val="7ECB31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rFonts w:ascii="Times New Roman" w:hAnsi="Times New Roman" w:eastAsia="宋体" w:cs="Times New Roman"/>
      <w:b/>
      <w:bCs/>
      <w:kern w:val="44"/>
      <w:sz w:val="44"/>
      <w:szCs w:val="44"/>
    </w:rPr>
  </w:style>
  <w:style w:type="character" w:customStyle="1" w:styleId="36">
    <w:name w:val="标题 2 字符"/>
    <w:link w:val="3"/>
    <w:qFormat/>
    <w:uiPriority w:val="0"/>
    <w:rPr>
      <w:rFonts w:ascii="Arial" w:hAnsi="Arial" w:eastAsia="黑体" w:cs="Times New Roman"/>
      <w:b/>
      <w:bCs/>
      <w:sz w:val="32"/>
      <w:szCs w:val="32"/>
    </w:rPr>
  </w:style>
  <w:style w:type="character" w:customStyle="1" w:styleId="37">
    <w:name w:val="标题 3 字符"/>
    <w:link w:val="4"/>
    <w:qFormat/>
    <w:uiPriority w:val="0"/>
    <w:rPr>
      <w:rFonts w:ascii="Times New Roman" w:hAnsi="Times New Roman" w:eastAsia="宋体" w:cs="Times New Roman"/>
      <w:b/>
      <w:bCs/>
      <w:sz w:val="32"/>
      <w:szCs w:val="32"/>
    </w:rPr>
  </w:style>
  <w:style w:type="character" w:customStyle="1" w:styleId="38">
    <w:name w:val="标题 4 字符"/>
    <w:link w:val="5"/>
    <w:qFormat/>
    <w:uiPriority w:val="0"/>
    <w:rPr>
      <w:rFonts w:ascii="Arial" w:hAnsi="Arial" w:eastAsia="黑体" w:cs="Times New Roman"/>
      <w:b/>
      <w:bCs/>
      <w:sz w:val="28"/>
      <w:szCs w:val="28"/>
    </w:rPr>
  </w:style>
  <w:style w:type="character" w:customStyle="1" w:styleId="39">
    <w:name w:val="标题 5 字符"/>
    <w:link w:val="6"/>
    <w:qFormat/>
    <w:uiPriority w:val="0"/>
    <w:rPr>
      <w:rFonts w:ascii="Times New Roman" w:hAnsi="Times New Roman" w:eastAsia="宋体" w:cs="Times New Roman"/>
      <w:b/>
      <w:bCs/>
      <w:sz w:val="28"/>
      <w:szCs w:val="28"/>
    </w:rPr>
  </w:style>
  <w:style w:type="character" w:customStyle="1" w:styleId="40">
    <w:name w:val="标题 6 字符"/>
    <w:link w:val="7"/>
    <w:qFormat/>
    <w:uiPriority w:val="0"/>
    <w:rPr>
      <w:rFonts w:ascii="Arial" w:hAnsi="Arial" w:eastAsia="黑体" w:cs="Times New Roman"/>
      <w:b/>
      <w:bCs/>
      <w:sz w:val="24"/>
      <w:szCs w:val="24"/>
    </w:rPr>
  </w:style>
  <w:style w:type="character" w:customStyle="1" w:styleId="41">
    <w:name w:val="标题 7 字符"/>
    <w:link w:val="8"/>
    <w:qFormat/>
    <w:uiPriority w:val="0"/>
    <w:rPr>
      <w:rFonts w:ascii="Times New Roman" w:hAnsi="Times New Roman" w:eastAsia="宋体" w:cs="Times New Roman"/>
      <w:b/>
      <w:bCs/>
      <w:sz w:val="24"/>
      <w:szCs w:val="24"/>
    </w:rPr>
  </w:style>
  <w:style w:type="character" w:customStyle="1" w:styleId="42">
    <w:name w:val="标题 8 字符"/>
    <w:link w:val="9"/>
    <w:qFormat/>
    <w:uiPriority w:val="0"/>
    <w:rPr>
      <w:rFonts w:ascii="Arial" w:hAnsi="Arial" w:eastAsia="黑体" w:cs="Times New Roman"/>
      <w:sz w:val="24"/>
      <w:szCs w:val="24"/>
    </w:rPr>
  </w:style>
  <w:style w:type="character" w:customStyle="1" w:styleId="43">
    <w:name w:val="标题 9 字符"/>
    <w:link w:val="10"/>
    <w:qFormat/>
    <w:uiPriority w:val="0"/>
    <w:rPr>
      <w:rFonts w:ascii="Arial" w:hAnsi="Arial" w:eastAsia="黑体" w:cs="Times New Roman"/>
      <w:szCs w:val="21"/>
    </w:rPr>
  </w:style>
  <w:style w:type="character" w:customStyle="1" w:styleId="44">
    <w:name w:val="页眉 字符"/>
    <w:link w:val="18"/>
    <w:qFormat/>
    <w:uiPriority w:val="99"/>
    <w:rPr>
      <w:rFonts w:ascii="Times New Roman" w:hAnsi="Times New Roman" w:eastAsia="宋体" w:cs="Times New Roman"/>
      <w:sz w:val="18"/>
      <w:szCs w:val="18"/>
    </w:rPr>
  </w:style>
  <w:style w:type="character" w:customStyle="1" w:styleId="45">
    <w:name w:val="页脚 字符"/>
    <w:link w:val="17"/>
    <w:qFormat/>
    <w:uiPriority w:val="99"/>
    <w:rPr>
      <w:rFonts w:ascii="宋体" w:hAnsi="Times New Roman" w:eastAsia="宋体" w:cs="Times New Roman"/>
      <w:sz w:val="18"/>
      <w:szCs w:val="18"/>
    </w:rPr>
  </w:style>
  <w:style w:type="character" w:customStyle="1" w:styleId="46">
    <w:name w:val="批注框文本 字符"/>
    <w:link w:val="16"/>
    <w:semiHidden/>
    <w:qFormat/>
    <w:uiPriority w:val="99"/>
    <w:rPr>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rPr>
  </w:style>
  <w:style w:type="character" w:customStyle="1" w:styleId="49">
    <w:name w:val="标题 字符"/>
    <w:link w:val="26"/>
    <w:qFormat/>
    <w:uiPriority w:val="0"/>
    <w:rPr>
      <w:rFonts w:ascii="Arial" w:hAnsi="Arial" w:eastAsia="宋体" w:cs="Arial"/>
      <w:b/>
      <w:bCs/>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rFonts w:ascii="Times New Roman" w:hAnsi="Times New Roman" w:eastAsia="宋体" w:cs="Times New Roman"/>
      <w:szCs w:val="20"/>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pPr>
  </w:style>
  <w:style w:type="paragraph" w:customStyle="1" w:styleId="92">
    <w:name w:val="标准文件_目录标题"/>
    <w:basedOn w:val="1"/>
    <w:qFormat/>
    <w:uiPriority w:val="0"/>
    <w:pPr>
      <w:spacing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ind w:left="0" w:firstLine="200"/>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hAnsi="Times New Roman" w:eastAsia="宋体" w:cs="Times New Roman"/>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ind w:left="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semiHidden/>
    <w:qFormat/>
    <w:uiPriority w:val="0"/>
    <w:pPr>
      <w:adjustRightInd/>
      <w:spacing w:line="240" w:lineRule="auto"/>
      <w:jc w:val="left"/>
    </w:pPr>
    <w:rPr>
      <w:bCs/>
      <w:iCs/>
    </w:rPr>
  </w:style>
  <w:style w:type="paragraph" w:customStyle="1" w:styleId="144">
    <w:name w:val="目录 31"/>
    <w:basedOn w:val="1"/>
    <w:next w:val="1"/>
    <w:semiHidden/>
    <w:qFormat/>
    <w:uiPriority w:val="0"/>
    <w:pPr>
      <w:spacing w:line="240" w:lineRule="auto"/>
    </w:pPr>
    <w:rPr>
      <w:rFonts w:ascii="宋体" w:hAnsi="宋体"/>
      <w:iCs/>
    </w:rPr>
  </w:style>
  <w:style w:type="paragraph" w:customStyle="1" w:styleId="145">
    <w:name w:val="目录 41"/>
    <w:basedOn w:val="1"/>
    <w:next w:val="1"/>
    <w:semiHidden/>
    <w:qFormat/>
    <w:uiPriority w:val="0"/>
    <w:pPr>
      <w:adjustRightInd/>
      <w:spacing w:line="240" w:lineRule="auto"/>
      <w:jc w:val="left"/>
    </w:pPr>
  </w:style>
  <w:style w:type="paragraph" w:customStyle="1" w:styleId="146">
    <w:name w:val="目录 51"/>
    <w:basedOn w:val="1"/>
    <w:next w:val="1"/>
    <w:semiHidden/>
    <w:qFormat/>
    <w:uiPriority w:val="0"/>
    <w:pPr>
      <w:spacing w:line="240" w:lineRule="auto"/>
    </w:pPr>
    <w:rPr>
      <w:rFonts w:ascii="宋体" w:hAnsi="宋体"/>
    </w:rPr>
  </w:style>
  <w:style w:type="paragraph" w:customStyle="1" w:styleId="147">
    <w:name w:val="目录 61"/>
    <w:basedOn w:val="1"/>
    <w:next w:val="1"/>
    <w:semiHidden/>
    <w:qFormat/>
    <w:uiPriority w:val="0"/>
    <w:pPr>
      <w:adjustRightInd/>
      <w:spacing w:line="240" w:lineRule="auto"/>
      <w:jc w:val="left"/>
    </w:pPr>
  </w:style>
  <w:style w:type="paragraph" w:customStyle="1" w:styleId="148">
    <w:name w:val="目录 71"/>
    <w:basedOn w:val="147"/>
    <w:semiHidden/>
    <w:qFormat/>
    <w:uiPriority w:val="0"/>
    <w:pPr>
      <w:ind w:left="1260"/>
    </w:pPr>
  </w:style>
  <w:style w:type="paragraph" w:customStyle="1" w:styleId="149">
    <w:name w:val="目录 81"/>
    <w:basedOn w:val="148"/>
    <w:semiHidden/>
    <w:qFormat/>
    <w:uiPriority w:val="0"/>
    <w:pPr>
      <w:ind w:left="1470"/>
    </w:pPr>
  </w:style>
  <w:style w:type="paragraph" w:customStyle="1" w:styleId="150">
    <w:name w:val="目录 91"/>
    <w:basedOn w:val="149"/>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ind w:left="783"/>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left="1271" w:hanging="420" w:firstLineChars="0"/>
    </w:pPr>
  </w:style>
  <w:style w:type="paragraph" w:customStyle="1" w:styleId="189">
    <w:name w:val="标准文件_三级项2"/>
    <w:basedOn w:val="57"/>
    <w:qFormat/>
    <w:uiPriority w:val="0"/>
    <w:pPr>
      <w:numPr>
        <w:ilvl w:val="0"/>
        <w:numId w:val="30"/>
      </w:numPr>
      <w:spacing w:line="300" w:lineRule="exact"/>
      <w:ind w:left="1276" w:hanging="425" w:firstLineChars="0"/>
    </w:pPr>
    <w:rPr>
      <w:rFonts w:ascii="Times New Roman"/>
    </w:rPr>
  </w:style>
  <w:style w:type="paragraph" w:customStyle="1" w:styleId="190">
    <w:name w:val="标准文件_一级项2"/>
    <w:basedOn w:val="57"/>
    <w:qFormat/>
    <w:uiPriority w:val="0"/>
    <w:pPr>
      <w:numPr>
        <w:ilvl w:val="0"/>
        <w:numId w:val="31"/>
      </w:numPr>
      <w:spacing w:line="300" w:lineRule="exact"/>
      <w:ind w:left="1271" w:hanging="420"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next w:val="57"/>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character" w:customStyle="1" w:styleId="231">
    <w:name w:val="high-light-bg4"/>
    <w:basedOn w:val="29"/>
    <w:qFormat/>
    <w:uiPriority w:val="0"/>
  </w:style>
  <w:style w:type="paragraph" w:styleId="23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276024014E749F195FC61D7865681B4"/>
        <w:style w:val=""/>
        <w:category>
          <w:name w:val="常规"/>
          <w:gallery w:val="placeholder"/>
        </w:category>
        <w:types>
          <w:type w:val="bbPlcHdr"/>
        </w:types>
        <w:behaviors>
          <w:behavior w:val="content"/>
        </w:behaviors>
        <w:description w:val=""/>
        <w:guid w:val="{7CE24A39-8B66-498E-9920-4B181BC027D5}"/>
      </w:docPartPr>
      <w:docPartBody>
        <w:p w14:paraId="544E6C04">
          <w:pPr>
            <w:pStyle w:val="5"/>
          </w:pPr>
          <w:r>
            <w:rPr>
              <w:rStyle w:val="4"/>
              <w:rFonts w:hint="eastAsia"/>
            </w:rPr>
            <w:t>单击或点击此处输入文字。</w:t>
          </w:r>
        </w:p>
      </w:docPartBody>
    </w:docPart>
    <w:docPart>
      <w:docPartPr>
        <w:name w:val="06919CD3F62A421B8D32E5DFCB13C24A"/>
        <w:style w:val=""/>
        <w:category>
          <w:name w:val="常规"/>
          <w:gallery w:val="placeholder"/>
        </w:category>
        <w:types>
          <w:type w:val="bbPlcHdr"/>
        </w:types>
        <w:behaviors>
          <w:behavior w:val="content"/>
        </w:behaviors>
        <w:description w:val=""/>
        <w:guid w:val="{D1D58894-4F99-4BED-A765-D8FF2295234A}"/>
      </w:docPartPr>
      <w:docPartBody>
        <w:p w14:paraId="3F1DDEF1">
          <w:pPr>
            <w:pStyle w:val="6"/>
          </w:pPr>
          <w:r>
            <w:rPr>
              <w:rStyle w:val="4"/>
              <w:rFonts w:hint="eastAsia"/>
            </w:rPr>
            <w:t>选择一项。</w:t>
          </w:r>
        </w:p>
      </w:docPartBody>
    </w:docPart>
    <w:docPart>
      <w:docPartPr>
        <w:name w:val="A566404057834F1AB5CC2FB6A9C4A1D8"/>
        <w:style w:val=""/>
        <w:category>
          <w:name w:val="常规"/>
          <w:gallery w:val="placeholder"/>
        </w:category>
        <w:types>
          <w:type w:val="bbPlcHdr"/>
        </w:types>
        <w:behaviors>
          <w:behavior w:val="content"/>
        </w:behaviors>
        <w:description w:val=""/>
        <w:guid w:val="{C01C82DA-A4C9-45CA-96F7-7C1E5F109EFD}"/>
      </w:docPartPr>
      <w:docPartBody>
        <w:p w14:paraId="7B66556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1ED"/>
    <w:rsid w:val="00045A65"/>
    <w:rsid w:val="000510DF"/>
    <w:rsid w:val="000B761B"/>
    <w:rsid w:val="001E2A93"/>
    <w:rsid w:val="00282217"/>
    <w:rsid w:val="00283E68"/>
    <w:rsid w:val="002A2352"/>
    <w:rsid w:val="00305C43"/>
    <w:rsid w:val="003E3AA5"/>
    <w:rsid w:val="00441F51"/>
    <w:rsid w:val="004742A7"/>
    <w:rsid w:val="00487B1E"/>
    <w:rsid w:val="00645C81"/>
    <w:rsid w:val="00695D31"/>
    <w:rsid w:val="007517C5"/>
    <w:rsid w:val="007C77E1"/>
    <w:rsid w:val="007E5C3F"/>
    <w:rsid w:val="00953149"/>
    <w:rsid w:val="00A111ED"/>
    <w:rsid w:val="00A13EE1"/>
    <w:rsid w:val="00A2182F"/>
    <w:rsid w:val="00B213CC"/>
    <w:rsid w:val="00B35B10"/>
    <w:rsid w:val="00BA154C"/>
    <w:rsid w:val="00BD6067"/>
    <w:rsid w:val="00F20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06919CD3F62A421B8D32E5DFCB13C2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566404057834F1AB5CC2FB6A9C4A1D8"/>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66210-141B-45E3-9E82-ED962FBAD9F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6</Pages>
  <Words>2250</Words>
  <Characters>2473</Characters>
  <Lines>61</Lines>
  <Paragraphs>17</Paragraphs>
  <TotalTime>8</TotalTime>
  <ScaleCrop>false</ScaleCrop>
  <LinksUpToDate>false</LinksUpToDate>
  <CharactersWithSpaces>2505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2023-11-10T07:45:00Z</dcterms:created>
  <dc:creator>微软用户;wen</dc:creator>
  <dc:description>&lt;config cover="true" show_menu="true" version="1.0.0" doctype="SDKXY"&gt;_x000d_
&lt;/config&gt;</dc:description>
  <cp:lastModifiedBy>初侨</cp:lastModifiedBy>
  <cp:lastPrinted>2021-11-28T03:39:00Z</cp:lastPrinted>
  <dcterms:modified xsi:type="dcterms:W3CDTF">2026-05-08T07:11:22Z</dcterms:modified>
  <dc:title>团体标准</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931C34DE48CF4343B443AC26670130B7_13</vt:lpwstr>
  </property>
  <property fmtid="{D5CDD505-2E9C-101B-9397-08002B2CF9AE}" pid="16" name="KSOTemplateDocerSaveRecord">
    <vt:lpwstr>eyJoZGlkIjoiMjNiOTc1NDcxM2ZjNWZiYmFmMjM1MzU2NThlODZlMzQiLCJ1c2VySWQiOiI1NDg0NzI5MjcifQ==</vt:lpwstr>
  </property>
</Properties>
</file>