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73A54">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C96BC72">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3158BEC">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B011D77">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4DD0C9CB">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66C611D">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C24AAA7">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5E2E4B1">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F7EF1A4">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9FEAE8E">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181C304">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9EA115F">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65E0CB8">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6ACFEDE">
      <w:pPr>
        <w:widowControl/>
        <w:kinsoku w:val="0"/>
        <w:autoSpaceDE w:val="0"/>
        <w:autoSpaceDN w:val="0"/>
        <w:adjustRightInd w:val="0"/>
        <w:snapToGrid w:val="0"/>
        <w:spacing w:before="166" w:line="239" w:lineRule="auto"/>
        <w:ind w:left="0" w:leftChars="0" w:hanging="8" w:firstLineChars="0"/>
        <w:jc w:val="center"/>
        <w:textAlignment w:val="baseline"/>
        <w:rPr>
          <w:rFonts w:ascii="Times New Roman" w:hAnsi="Times New Roman" w:eastAsia="微软雅黑" w:cs="微软雅黑"/>
          <w:b/>
          <w:bCs/>
          <w:snapToGrid w:val="0"/>
          <w:color w:val="000000"/>
          <w:spacing w:val="12"/>
          <w:kern w:val="0"/>
          <w:sz w:val="48"/>
          <w:szCs w:val="48"/>
          <w:lang w:eastAsia="en-US"/>
        </w:rPr>
      </w:pPr>
      <w:r>
        <w:rPr>
          <w:rFonts w:ascii="Times New Roman" w:hAnsi="Times New Roman" w:eastAsia="微软雅黑" w:cs="微软雅黑"/>
          <w:b/>
          <w:bCs/>
          <w:snapToGrid w:val="0"/>
          <w:color w:val="000000"/>
          <w:spacing w:val="12"/>
          <w:kern w:val="0"/>
          <w:sz w:val="48"/>
          <w:szCs w:val="48"/>
          <w:lang w:eastAsia="en-US"/>
        </w:rPr>
        <w:t>《</w:t>
      </w:r>
      <w:r>
        <w:rPr>
          <w:rFonts w:hint="eastAsia" w:ascii="Times New Roman" w:hAnsi="Times New Roman" w:eastAsia="微软雅黑" w:cs="微软雅黑"/>
          <w:b/>
          <w:bCs/>
          <w:snapToGrid w:val="0"/>
          <w:color w:val="000000"/>
          <w:spacing w:val="12"/>
          <w:kern w:val="0"/>
          <w:sz w:val="48"/>
          <w:szCs w:val="48"/>
          <w:lang w:eastAsia="en-US"/>
        </w:rPr>
        <w:t>潞党参种苗采后处理技术规范</w:t>
      </w:r>
      <w:r>
        <w:rPr>
          <w:rFonts w:ascii="Times New Roman" w:hAnsi="Times New Roman" w:eastAsia="微软雅黑" w:cs="微软雅黑"/>
          <w:b/>
          <w:bCs/>
          <w:snapToGrid w:val="0"/>
          <w:color w:val="000000"/>
          <w:spacing w:val="12"/>
          <w:kern w:val="0"/>
          <w:sz w:val="48"/>
          <w:szCs w:val="48"/>
          <w:lang w:eastAsia="en-US"/>
        </w:rPr>
        <w:t>》</w:t>
      </w:r>
    </w:p>
    <w:p w14:paraId="07CED1E0">
      <w:pPr>
        <w:widowControl/>
        <w:kinsoku w:val="0"/>
        <w:autoSpaceDE w:val="0"/>
        <w:autoSpaceDN w:val="0"/>
        <w:adjustRightInd w:val="0"/>
        <w:snapToGrid w:val="0"/>
        <w:spacing w:before="166" w:line="239" w:lineRule="auto"/>
        <w:ind w:left="0" w:leftChars="0" w:hanging="8" w:firstLineChars="0"/>
        <w:jc w:val="center"/>
        <w:textAlignment w:val="baseline"/>
        <w:rPr>
          <w:rFonts w:hint="default" w:ascii="Times New Roman" w:hAnsi="Times New Roman" w:eastAsia="微软雅黑" w:cs="微软雅黑"/>
          <w:b/>
          <w:bCs/>
          <w:snapToGrid w:val="0"/>
          <w:color w:val="000000"/>
          <w:spacing w:val="12"/>
          <w:kern w:val="0"/>
          <w:sz w:val="48"/>
          <w:szCs w:val="48"/>
          <w:lang w:val="en-US" w:eastAsia="zh-CN"/>
        </w:rPr>
      </w:pPr>
      <w:r>
        <w:rPr>
          <w:rFonts w:hint="eastAsia" w:ascii="Times New Roman" w:hAnsi="Times New Roman" w:eastAsia="微软雅黑" w:cs="微软雅黑"/>
          <w:b/>
          <w:bCs/>
          <w:snapToGrid w:val="0"/>
          <w:color w:val="000000"/>
          <w:spacing w:val="12"/>
          <w:kern w:val="0"/>
          <w:sz w:val="48"/>
          <w:szCs w:val="48"/>
          <w:lang w:val="en-US" w:eastAsia="zh-CN"/>
        </w:rPr>
        <w:t>团体标准</w:t>
      </w:r>
    </w:p>
    <w:p w14:paraId="1E0D5FCF">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7BBF328">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AD5B5CB">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87D4C9B">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CD846D5">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1967D4C">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5259DCAD">
      <w:pPr>
        <w:widowControl/>
        <w:kinsoku w:val="0"/>
        <w:autoSpaceDE w:val="0"/>
        <w:autoSpaceDN w:val="0"/>
        <w:bidi w:val="0"/>
        <w:adjustRightInd w:val="0"/>
        <w:snapToGrid w:val="0"/>
        <w:spacing w:line="240" w:lineRule="auto"/>
        <w:ind w:left="0" w:leftChars="0" w:firstLine="0" w:firstLineChars="0"/>
        <w:jc w:val="center"/>
        <w:textAlignment w:val="baseline"/>
        <w:rPr>
          <w:rFonts w:hint="eastAsia" w:ascii="Times New Roman" w:hAnsi="Times New Roman" w:eastAsia="微软雅黑" w:cs="微软雅黑"/>
          <w:snapToGrid w:val="0"/>
          <w:color w:val="000000"/>
          <w:kern w:val="0"/>
          <w:sz w:val="48"/>
          <w:szCs w:val="48"/>
          <w:lang w:eastAsia="en-US"/>
        </w:rPr>
      </w:pPr>
      <w:r>
        <w:rPr>
          <w:rFonts w:hint="eastAsia" w:ascii="Times New Roman" w:hAnsi="Times New Roman" w:eastAsia="微软雅黑" w:cs="微软雅黑"/>
          <w:snapToGrid w:val="0"/>
          <w:color w:val="000000"/>
          <w:kern w:val="0"/>
          <w:sz w:val="48"/>
          <w:szCs w:val="48"/>
          <w:lang w:eastAsia="en-US"/>
        </w:rPr>
        <w:t>编  制  说  明</w:t>
      </w:r>
    </w:p>
    <w:p w14:paraId="18D5FA6E">
      <w:pPr>
        <w:kinsoku w:val="0"/>
        <w:autoSpaceDE w:val="0"/>
        <w:autoSpaceDN w:val="0"/>
        <w:adjustRightInd w:val="0"/>
        <w:snapToGrid w:val="0"/>
        <w:spacing w:line="260"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19E9A7C">
      <w:pPr>
        <w:kinsoku w:val="0"/>
        <w:autoSpaceDE w:val="0"/>
        <w:autoSpaceDN w:val="0"/>
        <w:adjustRightInd w:val="0"/>
        <w:snapToGrid w:val="0"/>
        <w:spacing w:line="260"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0A50CEA">
      <w:pPr>
        <w:kinsoku w:val="0"/>
        <w:autoSpaceDE w:val="0"/>
        <w:autoSpaceDN w:val="0"/>
        <w:adjustRightInd w:val="0"/>
        <w:snapToGrid w:val="0"/>
        <w:spacing w:line="260"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84EC7D9">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0403371">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722CF61">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D522D43">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E1A3EAD">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3EBFC6D">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38E6436">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3786615">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671E4BC">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04B0060">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BF3937F">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83478C7">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9F42DF5">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0023775">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36C60D4">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1FD46E9">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15096E5">
      <w:pPr>
        <w:widowControl/>
        <w:kinsoku w:val="0"/>
        <w:autoSpaceDE w:val="0"/>
        <w:autoSpaceDN w:val="0"/>
        <w:adjustRightInd w:val="0"/>
        <w:snapToGrid w:val="0"/>
        <w:spacing w:before="102" w:line="220" w:lineRule="auto"/>
        <w:ind w:left="2759" w:leftChars="0" w:hanging="2759" w:hangingChars="734"/>
        <w:jc w:val="center"/>
        <w:textAlignment w:val="baseline"/>
        <w:rPr>
          <w:rFonts w:ascii="Times New Roman" w:hAnsi="Times New Roman" w:eastAsia="KaiTi_GB2312" w:cs="KaiTi_GB2312"/>
          <w:snapToGrid w:val="0"/>
          <w:color w:val="000000"/>
          <w:kern w:val="0"/>
          <w:sz w:val="36"/>
          <w:szCs w:val="36"/>
          <w:lang w:eastAsia="en-US"/>
        </w:rPr>
      </w:pPr>
      <w:r>
        <w:rPr>
          <w:rFonts w:ascii="Times New Roman" w:hAnsi="Times New Roman" w:eastAsia="KaiTi_GB2312" w:cs="KaiTi_GB2312"/>
          <w:snapToGrid w:val="0"/>
          <w:color w:val="000000"/>
          <w:spacing w:val="8"/>
          <w:kern w:val="0"/>
          <w:sz w:val="36"/>
          <w:szCs w:val="36"/>
          <w:lang w:eastAsia="en-US"/>
        </w:rPr>
        <w:t>标准起草工作组</w:t>
      </w:r>
    </w:p>
    <w:p w14:paraId="56B05CC1">
      <w:pPr>
        <w:widowControl/>
        <w:kinsoku w:val="0"/>
        <w:autoSpaceDE w:val="0"/>
        <w:autoSpaceDN w:val="0"/>
        <w:adjustRightInd w:val="0"/>
        <w:snapToGrid w:val="0"/>
        <w:spacing w:before="245" w:line="220" w:lineRule="auto"/>
        <w:ind w:left="2759" w:leftChars="0" w:hanging="2759" w:hangingChars="734"/>
        <w:jc w:val="center"/>
        <w:textAlignment w:val="baseline"/>
        <w:rPr>
          <w:rFonts w:ascii="Times New Roman" w:hAnsi="Times New Roman" w:eastAsia="KaiTi_GB2312" w:cs="KaiTi_GB2312"/>
          <w:snapToGrid w:val="0"/>
          <w:color w:val="000000"/>
          <w:kern w:val="0"/>
          <w:sz w:val="36"/>
          <w:szCs w:val="36"/>
          <w:lang w:eastAsia="en-US"/>
        </w:rPr>
      </w:pPr>
      <w:r>
        <w:rPr>
          <w:rFonts w:ascii="Times New Roman" w:hAnsi="Times New Roman" w:eastAsia="KaiTi_GB2312" w:cs="KaiTi_GB2312"/>
          <w:snapToGrid w:val="0"/>
          <w:color w:val="000000"/>
          <w:spacing w:val="8"/>
          <w:kern w:val="0"/>
          <w:sz w:val="36"/>
          <w:szCs w:val="36"/>
          <w:lang w:eastAsia="en-US"/>
        </w:rPr>
        <w:t>二</w:t>
      </w:r>
      <w:r>
        <w:rPr>
          <w:rFonts w:ascii="Times New Roman" w:hAnsi="Times New Roman" w:eastAsia="黑体" w:cs="黑体"/>
          <w:snapToGrid w:val="0"/>
          <w:color w:val="000000"/>
          <w:spacing w:val="8"/>
          <w:kern w:val="0"/>
          <w:sz w:val="36"/>
          <w:szCs w:val="36"/>
          <w:lang w:eastAsia="en-US"/>
        </w:rPr>
        <w:t>〇</w:t>
      </w:r>
      <w:r>
        <w:rPr>
          <w:rFonts w:ascii="Times New Roman" w:hAnsi="Times New Roman" w:eastAsia="KaiTi_GB2312" w:cs="KaiTi_GB2312"/>
          <w:snapToGrid w:val="0"/>
          <w:color w:val="000000"/>
          <w:spacing w:val="8"/>
          <w:kern w:val="0"/>
          <w:sz w:val="36"/>
          <w:szCs w:val="36"/>
          <w:lang w:eastAsia="en-US"/>
        </w:rPr>
        <w:t>二</w:t>
      </w:r>
      <w:r>
        <w:rPr>
          <w:rFonts w:hint="eastAsia" w:ascii="Times New Roman" w:hAnsi="Times New Roman" w:eastAsia="KaiTi_GB2312" w:cs="KaiTi_GB2312"/>
          <w:snapToGrid w:val="0"/>
          <w:color w:val="000000"/>
          <w:spacing w:val="8"/>
          <w:kern w:val="0"/>
          <w:sz w:val="36"/>
          <w:szCs w:val="36"/>
          <w:lang w:val="en-US" w:eastAsia="zh-CN"/>
        </w:rPr>
        <w:t>六</w:t>
      </w:r>
      <w:r>
        <w:rPr>
          <w:rFonts w:ascii="Times New Roman" w:hAnsi="Times New Roman" w:eastAsia="KaiTi_GB2312" w:cs="KaiTi_GB2312"/>
          <w:snapToGrid w:val="0"/>
          <w:color w:val="000000"/>
          <w:spacing w:val="8"/>
          <w:kern w:val="0"/>
          <w:sz w:val="36"/>
          <w:szCs w:val="36"/>
          <w:lang w:eastAsia="en-US"/>
        </w:rPr>
        <w:t>年</w:t>
      </w:r>
      <w:r>
        <w:rPr>
          <w:rFonts w:hint="eastAsia" w:ascii="Times New Roman" w:hAnsi="Times New Roman" w:eastAsia="KaiTi_GB2312" w:cs="KaiTi_GB2312"/>
          <w:snapToGrid w:val="0"/>
          <w:color w:val="000000"/>
          <w:spacing w:val="8"/>
          <w:kern w:val="0"/>
          <w:sz w:val="36"/>
          <w:szCs w:val="36"/>
          <w:lang w:val="en-US" w:eastAsia="zh-CN"/>
        </w:rPr>
        <w:t>五</w:t>
      </w:r>
      <w:r>
        <w:rPr>
          <w:rFonts w:ascii="Times New Roman" w:hAnsi="Times New Roman" w:eastAsia="KaiTi_GB2312" w:cs="KaiTi_GB2312"/>
          <w:snapToGrid w:val="0"/>
          <w:color w:val="000000"/>
          <w:spacing w:val="8"/>
          <w:kern w:val="0"/>
          <w:sz w:val="36"/>
          <w:szCs w:val="36"/>
          <w:lang w:eastAsia="en-US"/>
        </w:rPr>
        <w:t>月</w:t>
      </w:r>
    </w:p>
    <w:p w14:paraId="436E4520">
      <w:pPr>
        <w:widowControl/>
        <w:kinsoku w:val="0"/>
        <w:autoSpaceDE w:val="0"/>
        <w:autoSpaceDN w:val="0"/>
        <w:adjustRightInd w:val="0"/>
        <w:snapToGrid w:val="0"/>
        <w:spacing w:line="240" w:lineRule="auto"/>
        <w:ind w:firstLine="480" w:firstLineChars="200"/>
        <w:jc w:val="left"/>
        <w:textAlignment w:val="baseline"/>
        <w:rPr>
          <w:rFonts w:ascii="Times New Roman" w:hAnsi="Times New Roman" w:eastAsia="仿宋_GB2312" w:cs="Arial"/>
          <w:snapToGrid w:val="0"/>
          <w:color w:val="000000"/>
          <w:kern w:val="0"/>
          <w:sz w:val="24"/>
          <w:szCs w:val="21"/>
          <w:lang w:eastAsia="en-US"/>
        </w:rPr>
      </w:pPr>
      <w:r>
        <w:rPr>
          <w:rFonts w:ascii="Times New Roman" w:hAnsi="Times New Roman" w:eastAsia="仿宋_GB2312" w:cs="Arial"/>
          <w:snapToGrid w:val="0"/>
          <w:color w:val="000000"/>
          <w:kern w:val="0"/>
          <w:sz w:val="24"/>
          <w:szCs w:val="21"/>
          <w:lang w:eastAsia="en-US"/>
        </w:rPr>
        <w:br w:type="page"/>
      </w:r>
    </w:p>
    <w:p w14:paraId="7499E329">
      <w:pPr>
        <w:keepNext/>
        <w:keepLines/>
        <w:kinsoku w:val="0"/>
        <w:autoSpaceDE w:val="0"/>
        <w:autoSpaceDN w:val="0"/>
        <w:bidi w:val="0"/>
        <w:adjustRightInd w:val="0"/>
        <w:snapToGrid w:val="0"/>
        <w:spacing w:before="340" w:beforeLines="0" w:beforeAutospacing="0" w:after="330" w:afterLines="0" w:afterAutospacing="0" w:line="240" w:lineRule="auto"/>
        <w:ind w:firstLine="602" w:firstLineChars="200"/>
        <w:jc w:val="left"/>
        <w:textAlignment w:val="baseline"/>
        <w:outlineLvl w:val="0"/>
        <w:rPr>
          <w:rFonts w:ascii="Times New Roman" w:hAnsi="Times New Roman" w:eastAsia="黑体" w:cs="Arial"/>
          <w:b/>
          <w:snapToGrid w:val="0"/>
          <w:color w:val="000000"/>
          <w:kern w:val="44"/>
          <w:sz w:val="30"/>
          <w:szCs w:val="21"/>
          <w:lang w:val="en-US" w:eastAsia="en-US" w:bidi="ar-SA"/>
        </w:rPr>
      </w:pPr>
      <w:bookmarkStart w:id="0" w:name="_Toc21223"/>
      <w:r>
        <w:rPr>
          <w:rFonts w:ascii="Times New Roman" w:hAnsi="Times New Roman" w:eastAsia="黑体" w:cs="Arial"/>
          <w:b/>
          <w:snapToGrid w:val="0"/>
          <w:color w:val="000000"/>
          <w:kern w:val="44"/>
          <w:sz w:val="30"/>
          <w:szCs w:val="21"/>
          <w:lang w:val="en-US" w:eastAsia="en-US" w:bidi="ar-SA"/>
        </w:rPr>
        <w:t>一、工作简况</w:t>
      </w:r>
      <w:bookmarkEnd w:id="0"/>
    </w:p>
    <w:p w14:paraId="29EEF906">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snapToGrid w:val="0"/>
          <w:color w:val="000000"/>
          <w:kern w:val="0"/>
          <w:sz w:val="28"/>
          <w:szCs w:val="21"/>
          <w:lang w:val="en-US" w:eastAsia="en-US" w:bidi="ar-SA"/>
        </w:rPr>
      </w:pPr>
      <w:bookmarkStart w:id="1" w:name="_Toc15554"/>
      <w:r>
        <w:rPr>
          <w:rFonts w:ascii="Times New Roman" w:hAnsi="Times New Roman" w:eastAsia="黑体" w:cs="Arial"/>
          <w:snapToGrid w:val="0"/>
          <w:color w:val="000000"/>
          <w:kern w:val="0"/>
          <w:sz w:val="28"/>
          <w:szCs w:val="21"/>
          <w:lang w:val="en-US" w:eastAsia="en-US" w:bidi="ar-SA"/>
        </w:rPr>
        <w:t>（一）任务来源</w:t>
      </w:r>
      <w:bookmarkEnd w:id="1"/>
    </w:p>
    <w:p w14:paraId="2BF8812E">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本标准制定任务来源于中国中医药研究促进会。潞党参作为山西省长治市的道地药材，是当地农业特色产业和乡村振兴的重要支柱。为推动潞党参产业从分散粗放向标准化、规模化、绿色化方向转型，保障种苗质量稳定，提升移栽成活率等现实问题，中国中医药研究促进会经充分</w:t>
      </w:r>
      <w:r>
        <w:rPr>
          <w:rFonts w:hint="eastAsia" w:ascii="Times New Roman" w:hAnsi="Times New Roman" w:eastAsia="FangSong_GB2312" w:cs="FangSong_GB2312"/>
          <w:snapToGrid w:val="0"/>
          <w:color w:val="000000"/>
          <w:spacing w:val="5"/>
          <w:kern w:val="0"/>
          <w:sz w:val="31"/>
          <w:szCs w:val="31"/>
          <w:lang w:val="en-US" w:eastAsia="en-US"/>
        </w:rPr>
        <w:t>调研</w:t>
      </w:r>
      <w:r>
        <w:rPr>
          <w:rFonts w:hint="eastAsia" w:ascii="Times New Roman" w:hAnsi="Times New Roman" w:eastAsia="FangSong_GB2312" w:cs="FangSong_GB2312"/>
          <w:snapToGrid w:val="0"/>
          <w:color w:val="000000"/>
          <w:spacing w:val="6"/>
          <w:kern w:val="0"/>
          <w:sz w:val="31"/>
          <w:szCs w:val="31"/>
          <w:lang w:eastAsia="en-US"/>
        </w:rPr>
        <w:t>和论证，于202</w:t>
      </w:r>
      <w:r>
        <w:rPr>
          <w:rFonts w:hint="eastAsia" w:ascii="Times New Roman" w:hAnsi="Times New Roman" w:eastAsia="FangSong_GB2312" w:cs="FangSong_GB2312"/>
          <w:snapToGrid w:val="0"/>
          <w:color w:val="000000"/>
          <w:spacing w:val="6"/>
          <w:kern w:val="0"/>
          <w:sz w:val="31"/>
          <w:szCs w:val="31"/>
          <w:lang w:val="en-US" w:eastAsia="zh-CN"/>
        </w:rPr>
        <w:t>6</w:t>
      </w:r>
      <w:r>
        <w:rPr>
          <w:rFonts w:hint="eastAsia" w:ascii="Times New Roman" w:hAnsi="Times New Roman" w:eastAsia="FangSong_GB2312" w:cs="FangSong_GB2312"/>
          <w:snapToGrid w:val="0"/>
          <w:color w:val="000000"/>
          <w:spacing w:val="6"/>
          <w:kern w:val="0"/>
          <w:sz w:val="31"/>
          <w:szCs w:val="31"/>
          <w:lang w:eastAsia="en-US"/>
        </w:rPr>
        <w:t>年正式组织制定本团体标准《潞党参种苗采后处理技术规范》。本标准由中国中医药研究促进会</w:t>
      </w:r>
      <w:r>
        <w:rPr>
          <w:rFonts w:hint="eastAsia" w:ascii="Times New Roman" w:hAnsi="Times New Roman" w:eastAsia="FangSong_GB2312" w:cs="FangSong_GB2312"/>
          <w:snapToGrid w:val="0"/>
          <w:color w:val="000000"/>
          <w:spacing w:val="6"/>
          <w:kern w:val="0"/>
          <w:sz w:val="31"/>
          <w:szCs w:val="31"/>
          <w:lang w:val="en-US" w:eastAsia="zh-CN"/>
        </w:rPr>
        <w:t>提出并</w:t>
      </w:r>
      <w:r>
        <w:rPr>
          <w:rFonts w:hint="eastAsia" w:ascii="Times New Roman" w:hAnsi="Times New Roman" w:eastAsia="FangSong_GB2312" w:cs="FangSong_GB2312"/>
          <w:snapToGrid w:val="0"/>
          <w:color w:val="000000"/>
          <w:spacing w:val="6"/>
          <w:kern w:val="0"/>
          <w:sz w:val="31"/>
          <w:szCs w:val="31"/>
          <w:lang w:eastAsia="en-US"/>
        </w:rPr>
        <w:t>归口。</w:t>
      </w:r>
    </w:p>
    <w:p w14:paraId="087695B3">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b w:val="0"/>
          <w:snapToGrid w:val="0"/>
          <w:color w:val="000000"/>
          <w:kern w:val="0"/>
          <w:sz w:val="28"/>
          <w:szCs w:val="21"/>
          <w:lang w:val="en-US" w:eastAsia="en-US" w:bidi="ar-SA"/>
        </w:rPr>
      </w:pPr>
      <w:bookmarkStart w:id="2" w:name="_Toc26913"/>
      <w:r>
        <w:rPr>
          <w:rFonts w:ascii="Times New Roman" w:hAnsi="Times New Roman" w:eastAsia="黑体" w:cs="Arial"/>
          <w:b w:val="0"/>
          <w:snapToGrid w:val="0"/>
          <w:color w:val="000000"/>
          <w:kern w:val="0"/>
          <w:sz w:val="28"/>
          <w:szCs w:val="21"/>
          <w:lang w:val="en-US" w:eastAsia="en-US" w:bidi="ar-SA"/>
        </w:rPr>
        <w:t>（二）主要起草单位和工作组成员</w:t>
      </w:r>
      <w:bookmarkEnd w:id="2"/>
    </w:p>
    <w:p w14:paraId="53F65D8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eastAsia="en-US"/>
        </w:rPr>
      </w:pPr>
      <w:r>
        <w:rPr>
          <w:rFonts w:hint="eastAsia" w:ascii="Times New Roman" w:hAnsi="Times New Roman" w:eastAsia="FangSong_GB2312" w:cs="FangSong_GB2312"/>
          <w:snapToGrid w:val="0"/>
          <w:color w:val="000000"/>
          <w:spacing w:val="5"/>
          <w:kern w:val="0"/>
          <w:sz w:val="31"/>
          <w:szCs w:val="31"/>
          <w:lang w:eastAsia="en-US"/>
        </w:rPr>
        <w:t>主要起草单位：长治市中药材产业发展中心、中国标准化研究院等。</w:t>
      </w:r>
    </w:p>
    <w:p w14:paraId="1A24589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eastAsia="en-US"/>
        </w:rPr>
        <w:t>主要</w:t>
      </w:r>
      <w:r>
        <w:rPr>
          <w:rFonts w:hint="eastAsia" w:ascii="Times New Roman" w:hAnsi="Times New Roman" w:eastAsia="FangSong_GB2312" w:cs="FangSong_GB2312"/>
          <w:snapToGrid w:val="0"/>
          <w:color w:val="000000"/>
          <w:spacing w:val="5"/>
          <w:kern w:val="0"/>
          <w:sz w:val="31"/>
          <w:szCs w:val="31"/>
          <w:lang w:val="en-US" w:eastAsia="en-US"/>
        </w:rPr>
        <w:t>起草人</w:t>
      </w:r>
      <w:r>
        <w:rPr>
          <w:rFonts w:hint="eastAsia" w:ascii="Times New Roman" w:hAnsi="Times New Roman" w:eastAsia="FangSong_GB2312" w:cs="FangSong_GB2312"/>
          <w:snapToGrid w:val="0"/>
          <w:color w:val="000000"/>
          <w:spacing w:val="5"/>
          <w:kern w:val="0"/>
          <w:sz w:val="31"/>
          <w:szCs w:val="31"/>
          <w:lang w:eastAsia="en-US"/>
        </w:rPr>
        <w:t>：武东、王军霞、王伟、燕艳华、初侨、陈萌</w:t>
      </w:r>
      <w:r>
        <w:rPr>
          <w:rFonts w:hint="eastAsia" w:ascii="Times New Roman" w:hAnsi="Times New Roman" w:eastAsia="FangSong_GB2312" w:cs="FangSong_GB2312"/>
          <w:snapToGrid w:val="0"/>
          <w:color w:val="000000"/>
          <w:spacing w:val="5"/>
          <w:kern w:val="0"/>
          <w:sz w:val="31"/>
          <w:szCs w:val="31"/>
          <w:lang w:val="en-US" w:eastAsia="zh-CN"/>
        </w:rPr>
        <w:t>。</w:t>
      </w:r>
      <w:bookmarkStart w:id="3" w:name="_Toc2430"/>
    </w:p>
    <w:p w14:paraId="1AB461C4">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hint="default" w:ascii="Times New Roman" w:hAnsi="Times New Roman" w:eastAsia="黑体" w:cs="Arial"/>
          <w:snapToGrid w:val="0"/>
          <w:color w:val="000000"/>
          <w:kern w:val="0"/>
          <w:sz w:val="28"/>
          <w:szCs w:val="21"/>
          <w:lang w:val="en-US" w:eastAsia="en-US" w:bidi="ar-SA"/>
        </w:rPr>
      </w:pPr>
      <w:r>
        <w:rPr>
          <w:rFonts w:hint="default" w:ascii="Times New Roman" w:hAnsi="Times New Roman" w:eastAsia="黑体" w:cs="Arial"/>
          <w:snapToGrid w:val="0"/>
          <w:color w:val="000000"/>
          <w:kern w:val="0"/>
          <w:sz w:val="28"/>
          <w:szCs w:val="21"/>
          <w:lang w:val="en-US" w:eastAsia="en-US" w:bidi="ar-SA"/>
        </w:rPr>
        <w:t>（三）</w:t>
      </w:r>
      <w:r>
        <w:rPr>
          <w:rFonts w:hint="eastAsia" w:ascii="Times New Roman" w:hAnsi="Times New Roman" w:eastAsia="黑体" w:cs="Arial"/>
          <w:snapToGrid w:val="0"/>
          <w:color w:val="000000"/>
          <w:kern w:val="0"/>
          <w:sz w:val="28"/>
          <w:szCs w:val="21"/>
          <w:lang w:val="en-US" w:eastAsia="zh-CN" w:bidi="ar-SA"/>
        </w:rPr>
        <w:t>编制</w:t>
      </w:r>
      <w:r>
        <w:rPr>
          <w:rFonts w:hint="default" w:ascii="Times New Roman" w:hAnsi="Times New Roman" w:eastAsia="黑体" w:cs="Arial"/>
          <w:snapToGrid w:val="0"/>
          <w:color w:val="000000"/>
          <w:kern w:val="0"/>
          <w:sz w:val="28"/>
          <w:szCs w:val="21"/>
          <w:lang w:val="en-US" w:eastAsia="en-US" w:bidi="ar-SA"/>
        </w:rPr>
        <w:t>背景</w:t>
      </w:r>
    </w:p>
    <w:p w14:paraId="7A56FFC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en-US"/>
        </w:rPr>
      </w:pPr>
      <w:r>
        <w:rPr>
          <w:rFonts w:hint="default" w:ascii="Times New Roman" w:hAnsi="Times New Roman" w:eastAsia="FangSong_GB2312" w:cs="FangSong_GB2312"/>
          <w:snapToGrid w:val="0"/>
          <w:color w:val="000000"/>
          <w:spacing w:val="5"/>
          <w:kern w:val="0"/>
          <w:sz w:val="31"/>
          <w:szCs w:val="31"/>
          <w:lang w:val="en-US" w:eastAsia="en-US"/>
        </w:rPr>
        <w:t>潞党参作为道地中药材的杰出代表，具有悠久药用历史和独特品质功效，在中医药领域占据重要地位。目前产业发展中存在种苗采后处理标准缺失、操作不统一、种苗质量与移栽成活率难以保障等问题，制约产业规模化、规范化发展。为促进潞党参种苗采后处理的科学化与标准化，提高种苗质量和生产效益，推动潞党参产业健康发展和乡村振兴，制定《潞党参种苗采后处理技术规范》尤为迫切。</w:t>
      </w:r>
    </w:p>
    <w:p w14:paraId="5327346A">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eastAsia="en-US"/>
        </w:rPr>
      </w:pPr>
      <w:r>
        <w:rPr>
          <w:rFonts w:hint="default" w:ascii="Times New Roman" w:hAnsi="Times New Roman" w:eastAsia="FangSong_GB2312" w:cs="FangSong_GB2312"/>
          <w:snapToGrid w:val="0"/>
          <w:color w:val="000000"/>
          <w:spacing w:val="5"/>
          <w:kern w:val="0"/>
          <w:sz w:val="31"/>
          <w:szCs w:val="31"/>
          <w:lang w:eastAsia="en-US"/>
        </w:rPr>
        <w:t>本标准制定目的在于通过优化采后处理工艺，如采用低温贮藏、机械损伤防护等技术，最大限度保留种苗活力；规范消毒处理流程，减少病菌携带，降低种植过程中的病虫害发生率，为后续高产稳产奠定基础。</w:t>
      </w:r>
    </w:p>
    <w:p w14:paraId="176960A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eastAsia="en-US"/>
        </w:rPr>
      </w:pPr>
      <w:r>
        <w:rPr>
          <w:rFonts w:hint="default" w:ascii="Times New Roman" w:hAnsi="Times New Roman" w:eastAsia="FangSong_GB2312" w:cs="FangSong_GB2312"/>
          <w:snapToGrid w:val="0"/>
          <w:color w:val="000000"/>
          <w:spacing w:val="5"/>
          <w:kern w:val="0"/>
          <w:sz w:val="31"/>
          <w:szCs w:val="31"/>
          <w:lang w:eastAsia="en-US"/>
        </w:rPr>
        <w:t>制定本标准的意义在于产业提质增效、增强市场竞争力、推动产业现代化转型。标准化采后处理可将种苗损耗率降低，种植成活率，直接降低种植成本；通过标准化采后处理保留种苗的遗传特性与活力，有助于保护潞党参的道地性，践行“传承精华、守正创新”的理念，为中医药产业的可持续发展提供源头支撑；标准化采后处理为潞党参产业引入现代化技术与管理模式，如智能分级系统、低温贮藏库等，提升产业机械化、智能化水平。</w:t>
      </w:r>
    </w:p>
    <w:bookmarkEnd w:id="3"/>
    <w:p w14:paraId="21B31EAF">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hint="default" w:ascii="Times New Roman" w:hAnsi="Times New Roman" w:eastAsia="黑体" w:cs="Arial"/>
          <w:snapToGrid w:val="0"/>
          <w:color w:val="000000"/>
          <w:kern w:val="0"/>
          <w:sz w:val="28"/>
          <w:szCs w:val="21"/>
          <w:lang w:val="en-US" w:eastAsia="en-US" w:bidi="ar-SA"/>
        </w:rPr>
      </w:pPr>
      <w:bookmarkStart w:id="4" w:name="_Toc27311"/>
      <w:r>
        <w:rPr>
          <w:rFonts w:hint="default" w:ascii="Times New Roman" w:hAnsi="Times New Roman" w:eastAsia="黑体" w:cs="Arial"/>
          <w:snapToGrid w:val="0"/>
          <w:color w:val="000000"/>
          <w:kern w:val="0"/>
          <w:sz w:val="28"/>
          <w:szCs w:val="21"/>
          <w:lang w:val="en-US" w:eastAsia="en-US" w:bidi="ar-SA"/>
        </w:rPr>
        <w:t>（</w:t>
      </w:r>
      <w:r>
        <w:rPr>
          <w:rFonts w:hint="eastAsia" w:ascii="Times New Roman" w:hAnsi="Times New Roman" w:eastAsia="黑体" w:cs="Arial"/>
          <w:snapToGrid w:val="0"/>
          <w:color w:val="000000"/>
          <w:kern w:val="0"/>
          <w:sz w:val="28"/>
          <w:szCs w:val="21"/>
          <w:lang w:val="en-US" w:eastAsia="zh-CN" w:bidi="ar-SA"/>
        </w:rPr>
        <w:t>四</w:t>
      </w:r>
      <w:r>
        <w:rPr>
          <w:rFonts w:hint="default" w:ascii="Times New Roman" w:hAnsi="Times New Roman" w:eastAsia="黑体" w:cs="Arial"/>
          <w:snapToGrid w:val="0"/>
          <w:color w:val="000000"/>
          <w:kern w:val="0"/>
          <w:sz w:val="28"/>
          <w:szCs w:val="21"/>
          <w:lang w:val="en-US" w:eastAsia="en-US" w:bidi="ar-SA"/>
        </w:rPr>
        <w:t>）编制原则</w:t>
      </w:r>
      <w:bookmarkEnd w:id="4"/>
    </w:p>
    <w:p w14:paraId="4F40750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本标准的编制严格遵循了科学性、</w:t>
      </w:r>
      <w:r>
        <w:rPr>
          <w:rFonts w:hint="eastAsia" w:ascii="Times New Roman" w:hAnsi="Times New Roman" w:eastAsia="FangSong_GB2312" w:cs="FangSong_GB2312"/>
          <w:snapToGrid w:val="0"/>
          <w:color w:val="000000"/>
          <w:spacing w:val="5"/>
          <w:kern w:val="0"/>
          <w:sz w:val="31"/>
          <w:szCs w:val="31"/>
          <w:lang w:val="en-US" w:eastAsia="zh-CN"/>
        </w:rPr>
        <w:t>实用</w:t>
      </w:r>
      <w:r>
        <w:rPr>
          <w:rFonts w:hint="eastAsia" w:ascii="Times New Roman" w:hAnsi="Times New Roman" w:eastAsia="FangSong_GB2312" w:cs="FangSong_GB2312"/>
          <w:snapToGrid w:val="0"/>
          <w:color w:val="000000"/>
          <w:spacing w:val="5"/>
          <w:kern w:val="0"/>
          <w:sz w:val="31"/>
          <w:szCs w:val="31"/>
          <w:lang w:val="en-US" w:eastAsia="en-US"/>
        </w:rPr>
        <w:t>性、</w:t>
      </w:r>
      <w:r>
        <w:rPr>
          <w:rFonts w:hint="eastAsia" w:ascii="Times New Roman" w:hAnsi="Times New Roman" w:eastAsia="FangSong_GB2312" w:cs="FangSong_GB2312"/>
          <w:snapToGrid w:val="0"/>
          <w:color w:val="000000"/>
          <w:spacing w:val="5"/>
          <w:kern w:val="0"/>
          <w:sz w:val="31"/>
          <w:szCs w:val="31"/>
          <w:lang w:val="en-US" w:eastAsia="zh-CN"/>
        </w:rPr>
        <w:t>规范</w:t>
      </w:r>
      <w:r>
        <w:rPr>
          <w:rFonts w:hint="eastAsia" w:ascii="Times New Roman" w:hAnsi="Times New Roman" w:eastAsia="FangSong_GB2312" w:cs="FangSong_GB2312"/>
          <w:snapToGrid w:val="0"/>
          <w:color w:val="000000"/>
          <w:spacing w:val="5"/>
          <w:kern w:val="0"/>
          <w:sz w:val="31"/>
          <w:szCs w:val="31"/>
          <w:lang w:val="en-US" w:eastAsia="en-US"/>
        </w:rPr>
        <w:t>性与</w:t>
      </w:r>
      <w:r>
        <w:rPr>
          <w:rFonts w:hint="eastAsia" w:ascii="Times New Roman" w:hAnsi="Times New Roman" w:eastAsia="FangSong_GB2312" w:cs="FangSong_GB2312"/>
          <w:snapToGrid w:val="0"/>
          <w:color w:val="000000"/>
          <w:spacing w:val="5"/>
          <w:kern w:val="0"/>
          <w:sz w:val="31"/>
          <w:szCs w:val="31"/>
          <w:lang w:val="en-US" w:eastAsia="zh-CN"/>
        </w:rPr>
        <w:t>前瞻</w:t>
      </w:r>
      <w:r>
        <w:rPr>
          <w:rFonts w:hint="eastAsia" w:ascii="Times New Roman" w:hAnsi="Times New Roman" w:eastAsia="FangSong_GB2312" w:cs="FangSong_GB2312"/>
          <w:snapToGrid w:val="0"/>
          <w:color w:val="000000"/>
          <w:spacing w:val="5"/>
          <w:kern w:val="0"/>
          <w:sz w:val="31"/>
          <w:szCs w:val="31"/>
          <w:lang w:val="en-US" w:eastAsia="en-US"/>
        </w:rPr>
        <w:t>性</w:t>
      </w:r>
      <w:r>
        <w:rPr>
          <w:rFonts w:hint="eastAsia" w:ascii="Times New Roman" w:hAnsi="Times New Roman" w:eastAsia="FangSong_GB2312" w:cs="FangSong_GB2312"/>
          <w:snapToGrid w:val="0"/>
          <w:color w:val="000000"/>
          <w:spacing w:val="5"/>
          <w:kern w:val="0"/>
          <w:sz w:val="31"/>
          <w:szCs w:val="31"/>
          <w:lang w:val="en-US" w:eastAsia="zh-CN"/>
        </w:rPr>
        <w:t>四</w:t>
      </w:r>
      <w:r>
        <w:rPr>
          <w:rFonts w:hint="eastAsia" w:ascii="Times New Roman" w:hAnsi="Times New Roman" w:eastAsia="FangSong_GB2312" w:cs="FangSong_GB2312"/>
          <w:snapToGrid w:val="0"/>
          <w:color w:val="000000"/>
          <w:spacing w:val="5"/>
          <w:kern w:val="0"/>
          <w:sz w:val="31"/>
          <w:szCs w:val="31"/>
          <w:lang w:val="en-US" w:eastAsia="en-US"/>
        </w:rPr>
        <w:t>大核心原则。</w:t>
      </w:r>
    </w:p>
    <w:p w14:paraId="6BB6340D">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科学性原则：本规范的制定严格以潞党参种苗生理特性和产区实际生产经验为基础，技术要求均有科学依据。例如晾晒后种苗含水量宜控制</w:t>
      </w:r>
      <w:r>
        <w:rPr>
          <w:rFonts w:hint="eastAsia" w:ascii="Times New Roman" w:hAnsi="Times New Roman" w:eastAsia="FangSong_GB2312" w:cs="FangSong_GB2312"/>
          <w:snapToGrid w:val="0"/>
          <w:color w:val="000000"/>
          <w:spacing w:val="5"/>
          <w:kern w:val="0"/>
          <w:sz w:val="31"/>
          <w:szCs w:val="31"/>
          <w:lang w:val="en-US" w:eastAsia="zh-CN"/>
        </w:rPr>
        <w:t>和</w:t>
      </w:r>
      <w:r>
        <w:rPr>
          <w:rFonts w:hint="eastAsia" w:ascii="Times New Roman" w:hAnsi="Times New Roman" w:eastAsia="FangSong_GB2312" w:cs="FangSong_GB2312"/>
          <w:snapToGrid w:val="0"/>
          <w:color w:val="000000"/>
          <w:spacing w:val="5"/>
          <w:kern w:val="0"/>
          <w:sz w:val="31"/>
          <w:szCs w:val="31"/>
          <w:lang w:val="en-US" w:eastAsia="en-US"/>
        </w:rPr>
        <w:t>环境相对湿度</w:t>
      </w:r>
      <w:r>
        <w:rPr>
          <w:rFonts w:hint="eastAsia" w:ascii="Times New Roman" w:hAnsi="Times New Roman" w:eastAsia="FangSong_GB2312" w:cs="FangSong_GB2312"/>
          <w:snapToGrid w:val="0"/>
          <w:color w:val="000000"/>
          <w:spacing w:val="5"/>
          <w:kern w:val="0"/>
          <w:sz w:val="31"/>
          <w:szCs w:val="31"/>
          <w:lang w:val="en-US" w:eastAsia="zh-CN"/>
        </w:rPr>
        <w:t>等要求</w:t>
      </w:r>
      <w:r>
        <w:rPr>
          <w:rFonts w:hint="eastAsia" w:ascii="Times New Roman" w:hAnsi="Times New Roman" w:eastAsia="FangSong_GB2312" w:cs="FangSong_GB2312"/>
          <w:snapToGrid w:val="0"/>
          <w:color w:val="000000"/>
          <w:spacing w:val="5"/>
          <w:kern w:val="0"/>
          <w:sz w:val="31"/>
          <w:szCs w:val="31"/>
          <w:lang w:val="en-US" w:eastAsia="en-US"/>
        </w:rPr>
        <w:t>，符合种苗保水、防霉变的生理需求，确保了技术内容的客观性与合理性。</w:t>
      </w:r>
    </w:p>
    <w:p w14:paraId="74464A4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实用性原则：本规范编制紧密贴合生产实际，以确保技术要点易于理解、便于操作为目标。例如</w:t>
      </w:r>
      <w:r>
        <w:rPr>
          <w:rFonts w:hint="eastAsia" w:ascii="Times New Roman" w:hAnsi="Times New Roman" w:eastAsia="FangSong_GB2312" w:cs="FangSong_GB2312"/>
          <w:snapToGrid w:val="0"/>
          <w:color w:val="000000"/>
          <w:spacing w:val="5"/>
          <w:kern w:val="0"/>
          <w:sz w:val="31"/>
          <w:szCs w:val="31"/>
          <w:lang w:val="en-US" w:eastAsia="zh-CN"/>
        </w:rPr>
        <w:t>在</w:t>
      </w:r>
      <w:r>
        <w:rPr>
          <w:rFonts w:hint="eastAsia" w:ascii="Times New Roman" w:hAnsi="Times New Roman" w:eastAsia="FangSong_GB2312" w:cs="FangSong_GB2312"/>
          <w:snapToGrid w:val="0"/>
          <w:color w:val="000000"/>
          <w:spacing w:val="5"/>
          <w:kern w:val="0"/>
          <w:sz w:val="31"/>
          <w:szCs w:val="31"/>
          <w:lang w:val="en-US" w:eastAsia="en-US"/>
        </w:rPr>
        <w:t>分拣中强调“‌轻拿轻放‌，避免对种苗造成二次伤害”，这些规定都直接源于操作实践中的痛点，旨在提升一线处理效率和种苗成活率，具有较强的可操作性。</w:t>
      </w:r>
    </w:p>
    <w:p w14:paraId="5AD6A3E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规范性原则：严格遵循国家和行业有关标准编制的规定，标准结构、格式、术语等符合规范要求，确保标准的规范性和严谨性。</w:t>
      </w:r>
    </w:p>
    <w:p w14:paraId="27070736">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en-US"/>
        </w:rPr>
        <w:t>前瞻性原则：在满足当前潞党参</w:t>
      </w:r>
      <w:r>
        <w:rPr>
          <w:rFonts w:hint="eastAsia" w:ascii="Times New Roman" w:hAnsi="Times New Roman" w:eastAsia="FangSong_GB2312" w:cs="FangSong_GB2312"/>
          <w:snapToGrid w:val="0"/>
          <w:color w:val="000000"/>
          <w:spacing w:val="5"/>
          <w:kern w:val="0"/>
          <w:sz w:val="31"/>
          <w:szCs w:val="31"/>
          <w:lang w:val="en-US" w:eastAsia="zh-CN"/>
        </w:rPr>
        <w:t>种苗储存</w:t>
      </w:r>
      <w:r>
        <w:rPr>
          <w:rFonts w:hint="eastAsia" w:ascii="Times New Roman" w:hAnsi="Times New Roman" w:eastAsia="FangSong_GB2312" w:cs="FangSong_GB2312"/>
          <w:snapToGrid w:val="0"/>
          <w:color w:val="000000"/>
          <w:spacing w:val="5"/>
          <w:kern w:val="0"/>
          <w:sz w:val="31"/>
          <w:szCs w:val="31"/>
          <w:lang w:val="en-US" w:eastAsia="en-US"/>
        </w:rPr>
        <w:t>需求的同时，兼顾</w:t>
      </w:r>
      <w:r>
        <w:rPr>
          <w:rFonts w:hint="eastAsia" w:ascii="Times New Roman" w:hAnsi="Times New Roman" w:eastAsia="FangSong_GB2312" w:cs="FangSong_GB2312"/>
          <w:snapToGrid w:val="0"/>
          <w:color w:val="000000"/>
          <w:spacing w:val="5"/>
          <w:kern w:val="0"/>
          <w:sz w:val="31"/>
          <w:szCs w:val="31"/>
          <w:lang w:val="en-US" w:eastAsia="zh-CN"/>
        </w:rPr>
        <w:t>不同短期、中期、长期储藏需求</w:t>
      </w:r>
      <w:r>
        <w:rPr>
          <w:rFonts w:hint="eastAsia" w:ascii="Times New Roman" w:hAnsi="Times New Roman" w:eastAsia="FangSong_GB2312" w:cs="FangSong_GB2312"/>
          <w:snapToGrid w:val="0"/>
          <w:color w:val="000000"/>
          <w:spacing w:val="5"/>
          <w:kern w:val="0"/>
          <w:sz w:val="31"/>
          <w:szCs w:val="31"/>
          <w:lang w:val="en-US" w:eastAsia="en-US"/>
        </w:rPr>
        <w:t>，</w:t>
      </w:r>
      <w:r>
        <w:rPr>
          <w:rFonts w:hint="eastAsia" w:ascii="Times New Roman" w:hAnsi="Times New Roman" w:eastAsia="FangSong_GB2312" w:cs="FangSong_GB2312"/>
          <w:snapToGrid w:val="0"/>
          <w:color w:val="000000"/>
          <w:spacing w:val="5"/>
          <w:kern w:val="0"/>
          <w:sz w:val="31"/>
          <w:szCs w:val="31"/>
          <w:lang w:val="en-US" w:eastAsia="zh-CN"/>
        </w:rPr>
        <w:t>加入了相应的技术要求及环境参数</w:t>
      </w:r>
      <w:r>
        <w:rPr>
          <w:rFonts w:hint="eastAsia" w:ascii="Times New Roman" w:hAnsi="Times New Roman" w:eastAsia="FangSong_GB2312" w:cs="FangSong_GB2312"/>
          <w:snapToGrid w:val="0"/>
          <w:color w:val="000000"/>
          <w:spacing w:val="5"/>
          <w:kern w:val="0"/>
          <w:sz w:val="31"/>
          <w:szCs w:val="31"/>
          <w:lang w:val="en-US" w:eastAsia="en-US"/>
        </w:rPr>
        <w:t>，体现了服务于产业长期健康发展的前瞻视野。</w:t>
      </w:r>
    </w:p>
    <w:p w14:paraId="64833950">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b w:val="0"/>
          <w:snapToGrid w:val="0"/>
          <w:color w:val="000000"/>
          <w:kern w:val="0"/>
          <w:sz w:val="28"/>
          <w:szCs w:val="21"/>
          <w:lang w:val="en-US" w:eastAsia="en-US" w:bidi="ar-SA"/>
        </w:rPr>
      </w:pPr>
      <w:r>
        <w:rPr>
          <w:rFonts w:ascii="Times New Roman" w:hAnsi="Times New Roman" w:eastAsia="黑体" w:cs="Arial"/>
          <w:b w:val="0"/>
          <w:snapToGrid w:val="0"/>
          <w:color w:val="000000"/>
          <w:kern w:val="0"/>
          <w:sz w:val="28"/>
          <w:szCs w:val="21"/>
          <w:lang w:val="en-US" w:eastAsia="en-US" w:bidi="ar-SA"/>
        </w:rPr>
        <w:t>（</w:t>
      </w:r>
      <w:r>
        <w:rPr>
          <w:rFonts w:hint="eastAsia" w:ascii="Times New Roman" w:hAnsi="Times New Roman" w:eastAsia="黑体" w:cs="Arial"/>
          <w:b w:val="0"/>
          <w:snapToGrid w:val="0"/>
          <w:color w:val="000000"/>
          <w:kern w:val="0"/>
          <w:sz w:val="28"/>
          <w:szCs w:val="21"/>
          <w:lang w:val="en-US" w:eastAsia="zh-CN" w:bidi="ar-SA"/>
        </w:rPr>
        <w:t>五</w:t>
      </w:r>
      <w:r>
        <w:rPr>
          <w:rFonts w:ascii="Times New Roman" w:hAnsi="Times New Roman" w:eastAsia="黑体" w:cs="Arial"/>
          <w:b w:val="0"/>
          <w:snapToGrid w:val="0"/>
          <w:color w:val="000000"/>
          <w:kern w:val="0"/>
          <w:sz w:val="28"/>
          <w:szCs w:val="21"/>
          <w:lang w:val="en-US" w:eastAsia="en-US" w:bidi="ar-SA"/>
        </w:rPr>
        <w:t>）主要编制过程</w:t>
      </w:r>
    </w:p>
    <w:p w14:paraId="757183A6">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 潞党参仓储流通技术规范》团体标准的研制工作严格遵循《团体标准管理规定》及GB/T 1.1-2020的要求，紧密结合国家关于中医药发展、乡村振兴与农业标准化的政策精神，在中国中医药研究促进会的统一组织下，系统开展了前期研究、框架设计、草案起草、意见征集和修改完善等工作。编制过程主要如下：</w:t>
      </w:r>
    </w:p>
    <w:p w14:paraId="5666129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1、组织团队，启动研制</w:t>
      </w:r>
    </w:p>
    <w:p w14:paraId="3D81052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2026年，经中国中医药研究促进会审议批准立项后，协会牵头组建了标准起草工作组。工作组汇聚了来自长治市中药材产业发展中心、中国标准化研究院以及产区农业技术推广部门、代表性种植企业等单位的专家。工作组召开了项目启动会，明确了标准定位为潞党参种苗采挖后的全程处理与管理，并确定了标准的核心框架应涵盖基本要求、采后处理流程、质量判定、包装、标识、运输及贮藏等等关键板块。</w:t>
      </w:r>
    </w:p>
    <w:p w14:paraId="5B193F96">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2、开展调研，优化框架</w:t>
      </w:r>
    </w:p>
    <w:p w14:paraId="49E1263E">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为确保标准内容紧贴产区实际，起草工作组深入长治市平顺县、武乡县、沁源县等主产区开展了广泛调研。调研采用实地走访、座谈交流相结合的方式，覆盖了家庭农场、中小型合作社、龙头企业等不同规模经营主体。通过调研，工作组深入了解了各类主体在潞党参种苗采后处理的现状、困难与需求。基于实地调研反馈，充分结合现行中药材种苗采后处理相关标准，工作组对标准框架进行了多轮优化，重点分析了潞党参种苗与其他中药材种苗的差异性问题，规划了针对潞党参种苗独有的采后处理流程、质量判定等章节，使标准更具有适用性。</w:t>
      </w:r>
    </w:p>
    <w:p w14:paraId="164A18F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2、完善文本，形成标准征求意见稿</w:t>
      </w:r>
    </w:p>
    <w:p w14:paraId="6D47335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2026年5月，起草工作组召开了专家研讨会，邀请中药材种植、标准化、质量管理等领域的专家学者参加。会议重点围绕标准的科学性、指标设置的合理性、与现行地方标准的衔接性等核心问题进行了深入讨论。根据研讨会意见，工作组对标准文本进行了逐条修改完善，编制完成了《</w:t>
      </w:r>
      <w:sdt>
        <w:sdtPr>
          <w:rPr>
            <w:rFonts w:hint="eastAsia" w:ascii="Times New Roman" w:hAnsi="Times New Roman" w:eastAsia="FangSong_GB2312" w:cs="FangSong_GB2312"/>
            <w:snapToGrid w:val="0"/>
            <w:color w:val="000000"/>
            <w:spacing w:val="5"/>
            <w:kern w:val="0"/>
            <w:sz w:val="31"/>
            <w:szCs w:val="31"/>
            <w:lang w:val="en-US" w:eastAsia="zh-CN"/>
          </w:rPr>
          <w:tag w:val="NEW_STAND_NAME"/>
          <w:id w:val="595910757"/>
          <w:lock w:val="sdtLocked"/>
          <w:placeholder>
            <w:docPart w:val="{98097a57-a260-41fa-8315-74f478940206}"/>
          </w:placeholder>
        </w:sdtPr>
        <w:sdtEndPr>
          <w:rPr>
            <w:rFonts w:hint="eastAsia" w:ascii="Times New Roman" w:hAnsi="Times New Roman" w:eastAsia="FangSong_GB2312" w:cs="FangSong_GB2312"/>
            <w:snapToGrid w:val="0"/>
            <w:color w:val="000000"/>
            <w:spacing w:val="5"/>
            <w:kern w:val="0"/>
            <w:sz w:val="31"/>
            <w:szCs w:val="31"/>
            <w:lang w:val="en-US" w:eastAsia="zh-CN"/>
          </w:rPr>
        </w:sdtEndPr>
        <w:sdtContent>
          <w:sdt>
            <w:sdtPr>
              <w:rPr>
                <w:rFonts w:hint="eastAsia" w:ascii="Times New Roman" w:hAnsi="Times New Roman" w:eastAsia="FangSong_GB2312" w:cs="FangSong_GB2312"/>
                <w:snapToGrid w:val="0"/>
                <w:color w:val="000000"/>
                <w:spacing w:val="5"/>
                <w:kern w:val="0"/>
                <w:sz w:val="31"/>
                <w:szCs w:val="31"/>
                <w:lang w:val="en-US" w:eastAsia="zh-CN"/>
              </w:rPr>
              <w:tag w:val="NEW_STAND_NAME"/>
              <w:id w:val="147464364"/>
              <w:lock w:val="sdtLocked"/>
              <w:placeholder>
                <w:docPart w:val="{580e114f-3421-4e44-93b6-2706ae7fb896}"/>
              </w:placeholder>
            </w:sdtPr>
            <w:sdtEndPr>
              <w:rPr>
                <w:rFonts w:hint="eastAsia" w:ascii="Times New Roman" w:hAnsi="Times New Roman" w:eastAsia="FangSong_GB2312" w:cs="FangSong_GB2312"/>
                <w:snapToGrid w:val="0"/>
                <w:color w:val="000000"/>
                <w:spacing w:val="5"/>
                <w:kern w:val="0"/>
                <w:sz w:val="31"/>
                <w:szCs w:val="31"/>
                <w:lang w:val="en-US" w:eastAsia="zh-CN"/>
              </w:rPr>
            </w:sdtEndPr>
            <w:sdtContent>
              <w:r>
                <w:rPr>
                  <w:rFonts w:hint="eastAsia" w:ascii="Times New Roman" w:hAnsi="Times New Roman" w:eastAsia="FangSong_GB2312" w:cs="FangSong_GB2312"/>
                  <w:snapToGrid w:val="0"/>
                  <w:color w:val="000000"/>
                  <w:spacing w:val="5"/>
                  <w:kern w:val="0"/>
                  <w:sz w:val="31"/>
                  <w:szCs w:val="31"/>
                  <w:lang w:val="en-US" w:eastAsia="zh-CN"/>
                </w:rPr>
                <w:t>潞党参种苗采后处理技术规范</w:t>
              </w:r>
            </w:sdtContent>
          </w:sdt>
        </w:sdtContent>
      </w:sdt>
      <w:r>
        <w:rPr>
          <w:rFonts w:hint="eastAsia" w:ascii="Times New Roman" w:hAnsi="Times New Roman" w:eastAsia="FangSong_GB2312" w:cs="FangSong_GB2312"/>
          <w:snapToGrid w:val="0"/>
          <w:color w:val="000000"/>
          <w:spacing w:val="5"/>
          <w:kern w:val="0"/>
          <w:sz w:val="31"/>
          <w:szCs w:val="31"/>
          <w:lang w:val="en-US" w:eastAsia="zh-CN"/>
        </w:rPr>
        <w:t>（征求意见稿）》，并按规定程序准备面向全社会公开征求意见。</w:t>
      </w:r>
      <w:bookmarkStart w:id="5" w:name="_Toc17761"/>
    </w:p>
    <w:p w14:paraId="7B4E4D5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02" w:firstLineChars="200"/>
        <w:jc w:val="left"/>
        <w:textAlignment w:val="baseline"/>
        <w:rPr>
          <w:rFonts w:ascii="Times New Roman" w:hAnsi="Times New Roman" w:eastAsia="黑体" w:cs="Arial"/>
          <w:b/>
          <w:snapToGrid w:val="0"/>
          <w:color w:val="000000"/>
          <w:kern w:val="44"/>
          <w:sz w:val="30"/>
          <w:szCs w:val="21"/>
          <w:lang w:val="en-US" w:eastAsia="en-US" w:bidi="ar-SA"/>
        </w:rPr>
      </w:pPr>
      <w:r>
        <w:rPr>
          <w:rFonts w:ascii="Times New Roman" w:hAnsi="Times New Roman" w:eastAsia="黑体" w:cs="Arial"/>
          <w:b/>
          <w:snapToGrid w:val="0"/>
          <w:color w:val="000000"/>
          <w:kern w:val="44"/>
          <w:sz w:val="30"/>
          <w:szCs w:val="21"/>
          <w:lang w:val="en-US" w:eastAsia="en-US" w:bidi="ar-SA"/>
        </w:rPr>
        <w:t>二、主要内容及其确定依据</w:t>
      </w:r>
      <w:bookmarkEnd w:id="5"/>
    </w:p>
    <w:p w14:paraId="02860081">
      <w:pPr>
        <w:keepNext/>
        <w:keepLines/>
        <w:pageBreakBefore w:val="0"/>
        <w:widowControl/>
        <w:kinsoku w:val="0"/>
        <w:wordWrap/>
        <w:overflowPunct/>
        <w:topLinePunct w:val="0"/>
        <w:autoSpaceDE w:val="0"/>
        <w:autoSpaceDN w:val="0"/>
        <w:bidi w:val="0"/>
        <w:adjustRightInd w:val="0"/>
        <w:snapToGrid w:val="0"/>
        <w:spacing w:beforeLines="0" w:beforeAutospacing="0" w:after="0" w:afterLines="0" w:afterAutospacing="0" w:line="360" w:lineRule="auto"/>
        <w:ind w:firstLine="700" w:firstLineChars="250"/>
        <w:jc w:val="left"/>
        <w:textAlignment w:val="baseline"/>
        <w:outlineLvl w:val="2"/>
        <w:rPr>
          <w:rFonts w:hint="default" w:ascii="Times New Roman" w:hAnsi="Times New Roman" w:eastAsia="黑体" w:cs="Arial"/>
          <w:snapToGrid w:val="0"/>
          <w:color w:val="000000"/>
          <w:kern w:val="0"/>
          <w:sz w:val="28"/>
          <w:szCs w:val="21"/>
          <w:lang w:val="en-US" w:eastAsia="zh-CN" w:bidi="ar-SA"/>
        </w:rPr>
      </w:pPr>
      <w:bookmarkStart w:id="6" w:name="_Toc3995"/>
      <w:r>
        <w:rPr>
          <w:rFonts w:hint="eastAsia" w:ascii="Times New Roman" w:hAnsi="Times New Roman" w:eastAsia="黑体" w:cs="Arial"/>
          <w:snapToGrid w:val="0"/>
          <w:color w:val="000000"/>
          <w:kern w:val="0"/>
          <w:sz w:val="28"/>
          <w:szCs w:val="21"/>
          <w:lang w:val="en-US" w:eastAsia="zh-CN" w:bidi="ar-SA"/>
        </w:rPr>
        <w:t>1.主要依据与来源</w:t>
      </w:r>
      <w:bookmarkEnd w:id="6"/>
    </w:p>
    <w:p w14:paraId="42AD1BB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bookmarkStart w:id="7" w:name="_Toc25502"/>
      <w:r>
        <w:rPr>
          <w:rFonts w:hint="eastAsia" w:ascii="Times New Roman" w:hAnsi="Times New Roman" w:eastAsia="FangSong_GB2312" w:cs="FangSong_GB2312"/>
          <w:snapToGrid w:val="0"/>
          <w:color w:val="000000"/>
          <w:spacing w:val="5"/>
          <w:kern w:val="0"/>
          <w:sz w:val="31"/>
          <w:szCs w:val="31"/>
          <w:lang w:val="en-US" w:eastAsia="zh-CN"/>
        </w:rPr>
        <w:t>政策依据。本规范的制定严格遵循国家中医药产业发展的相关政策与法规要求，以保障中药材质量安全和产业规范化发展。主要政策依据包括《‌中华人民共和国药典（一部）‌》中关于中药材采收、加工与质量控制的相关规定，以及《‌中药材生产质量管理规范‌（GAP）》对中药材全生命周期管理的技术指导。</w:t>
      </w:r>
    </w:p>
    <w:p w14:paraId="01F3B5F6">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实践依据。标准内容源于山西长治等潞党参主产区长期的生产实践经验，充分吸收一线种植户、合作社及企业在种苗采后处理中的操作流程与技术要点。</w:t>
      </w:r>
    </w:p>
    <w:p w14:paraId="3565133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技术依据。技术指标的设定基于潞党参种苗的生物学特性与生理需求，结合实验验证与行业研究成果。广泛参考和引用了DB14/T 2425 《潞党参栽培技术规程》、《中药材生产质量管理规范》（GAP）。本标准在已有技术规程的基础上，从潞党参种苗采后处理的角度进行补充，与技术规程形成配套关系。</w:t>
      </w:r>
    </w:p>
    <w:p w14:paraId="2A4B306E">
      <w:pPr>
        <w:keepNext/>
        <w:keepLines/>
        <w:pageBreakBefore w:val="0"/>
        <w:widowControl/>
        <w:kinsoku w:val="0"/>
        <w:wordWrap/>
        <w:overflowPunct/>
        <w:topLinePunct w:val="0"/>
        <w:autoSpaceDE w:val="0"/>
        <w:autoSpaceDN w:val="0"/>
        <w:bidi w:val="0"/>
        <w:adjustRightInd w:val="0"/>
        <w:snapToGrid w:val="0"/>
        <w:spacing w:beforeLines="0" w:beforeAutospacing="0" w:after="0" w:afterLines="0" w:afterAutospacing="0" w:line="360" w:lineRule="auto"/>
        <w:ind w:firstLine="700" w:firstLineChars="250"/>
        <w:jc w:val="left"/>
        <w:textAlignment w:val="baseline"/>
        <w:outlineLvl w:val="2"/>
        <w:rPr>
          <w:rFonts w:hint="default" w:ascii="Times New Roman" w:hAnsi="Times New Roman" w:eastAsia="黑体" w:cs="Arial"/>
          <w:snapToGrid w:val="0"/>
          <w:color w:val="000000"/>
          <w:kern w:val="0"/>
          <w:sz w:val="28"/>
          <w:szCs w:val="21"/>
          <w:lang w:val="en-US" w:eastAsia="zh-CN" w:bidi="ar-SA"/>
        </w:rPr>
      </w:pPr>
      <w:r>
        <w:rPr>
          <w:rFonts w:hint="eastAsia" w:ascii="Times New Roman" w:hAnsi="Times New Roman" w:eastAsia="黑体" w:cs="Arial"/>
          <w:snapToGrid w:val="0"/>
          <w:color w:val="000000"/>
          <w:kern w:val="0"/>
          <w:sz w:val="28"/>
          <w:szCs w:val="21"/>
          <w:lang w:val="en-US" w:eastAsia="zh-CN" w:bidi="ar-SA"/>
        </w:rPr>
        <w:t>2.主要技术内容</w:t>
      </w:r>
      <w:bookmarkEnd w:id="7"/>
    </w:p>
    <w:p w14:paraId="7146B8F7">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（1）范围</w:t>
      </w:r>
    </w:p>
    <w:p w14:paraId="5C7608CA">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本文件规定了潞党参种苗采后处理的术语和定义、基本要求、采后处理流程、质量判定、包装、标识、运输及贮藏等内容。本文件适用于潞党参种苗采挖后的全程处理与管理。</w:t>
      </w:r>
    </w:p>
    <w:p w14:paraId="45218B33">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（2）术语和定义</w:t>
      </w:r>
    </w:p>
    <w:p w14:paraId="3E3701E5">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本章界定了“潞党参种苗”“采后处理”2个核心术语。潞党参种苗定义是基于产业实际，明确种苗的产地要求。采后处理定义是参考农业领域类似标准中对“采后处理”的通用界定方式。</w:t>
      </w:r>
    </w:p>
    <w:p w14:paraId="0443180D">
      <w:pPr>
        <w:widowControl/>
        <w:kinsoku w:val="0"/>
        <w:autoSpaceDE w:val="0"/>
        <w:autoSpaceDN w:val="0"/>
        <w:adjustRightInd w:val="0"/>
        <w:snapToGrid w:val="0"/>
        <w:spacing w:before="207" w:line="350" w:lineRule="auto"/>
        <w:ind w:firstLine="642" w:firstLineChars="200"/>
        <w:jc w:val="left"/>
        <w:textAlignment w:val="baseline"/>
        <w:rPr>
          <w:rFonts w:hint="default"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（3）基本要求</w:t>
      </w:r>
    </w:p>
    <w:p w14:paraId="0EB80EE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规定执行后续具体操作前必须满足的前提条件，包括人员、硬件和环境三个方面。人员培训是质量保证的软基础；合适的场地和设备是操作的硬条件；控制温湿度环境则是基于植物生理学（防止失水或霉变），为后续处理流程创造最佳条件。</w:t>
      </w:r>
    </w:p>
    <w:p w14:paraId="417A839B">
      <w:pPr>
        <w:widowControl/>
        <w:kinsoku w:val="0"/>
        <w:autoSpaceDE w:val="0"/>
        <w:autoSpaceDN w:val="0"/>
        <w:adjustRightInd w:val="0"/>
        <w:snapToGrid w:val="0"/>
        <w:spacing w:before="207" w:line="350" w:lineRule="auto"/>
        <w:ind w:firstLine="642" w:firstLineChars="200"/>
        <w:jc w:val="left"/>
        <w:textAlignment w:val="baseline"/>
        <w:rPr>
          <w:rFonts w:hint="default"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（4）采后处理流程</w:t>
      </w:r>
    </w:p>
    <w:p w14:paraId="0A7AB7B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按时间顺序详细规定采后核心环节的操作步骤、方法、工具和量化指标。分拣依据常见病虫害、损伤等质量问题设定剔除标准，目标是筛选出健康种苗。修剪参数基于农艺实践，旨在平衡减少水分蒸腾、促进新根萌发与保留足够营养储备。晾晒含水量是关键，旨在去除表面水分抑制微生物活动，同时保持内部细胞活性，防止过度失水死亡。</w:t>
      </w:r>
    </w:p>
    <w:p w14:paraId="3165B806">
      <w:pPr>
        <w:widowControl/>
        <w:kinsoku w:val="0"/>
        <w:autoSpaceDE w:val="0"/>
        <w:autoSpaceDN w:val="0"/>
        <w:adjustRightInd w:val="0"/>
        <w:snapToGrid w:val="0"/>
        <w:spacing w:before="207" w:line="350" w:lineRule="auto"/>
        <w:ind w:firstLine="642" w:firstLineChars="200"/>
        <w:jc w:val="left"/>
        <w:textAlignment w:val="baseline"/>
        <w:rPr>
          <w:rFonts w:hint="default"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（5）质量判定</w:t>
      </w:r>
    </w:p>
    <w:p w14:paraId="08399C55">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的思路是建立可量化、可操作的分级标准，将感官判断转化为客观指标。将生产经验数据化。苗长、苗粗、鲜重指标来源于对高产健壮种苗的统计分析，分级管理便于实现优质优价，并明确淘汰标准，从源头控制移栽质量。</w:t>
      </w:r>
    </w:p>
    <w:p w14:paraId="72D3D541">
      <w:pPr>
        <w:widowControl/>
        <w:kinsoku w:val="0"/>
        <w:autoSpaceDE w:val="0"/>
        <w:autoSpaceDN w:val="0"/>
        <w:adjustRightInd w:val="0"/>
        <w:snapToGrid w:val="0"/>
        <w:spacing w:before="207" w:line="350" w:lineRule="auto"/>
        <w:ind w:firstLine="642" w:firstLineChars="200"/>
        <w:jc w:val="left"/>
        <w:textAlignment w:val="baseline"/>
        <w:rPr>
          <w:rFonts w:hint="default"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（6）贮藏</w:t>
      </w:r>
    </w:p>
    <w:p w14:paraId="068E7B1B">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的内容针对不同的贮藏时长需求，提供差异化的、具体的技术方案，包括环境参数和特殊措施。综合应用现代贮藏生理学与传统经验，‌短期冷藏采用低温延缓代谢，中期冷藏在低温基础上，利用乙烯抑制剂进一步延长保鲜期，长期沙藏借鉴并优化了传统的窖藏法，利用沙层维持稳定适中的温湿度环境，模拟地下休眠条件。</w:t>
      </w:r>
    </w:p>
    <w:p w14:paraId="1D13F46F">
      <w:pPr>
        <w:widowControl/>
        <w:kinsoku w:val="0"/>
        <w:autoSpaceDE w:val="0"/>
        <w:autoSpaceDN w:val="0"/>
        <w:adjustRightInd w:val="0"/>
        <w:snapToGrid w:val="0"/>
        <w:spacing w:before="207" w:line="350" w:lineRule="auto"/>
        <w:ind w:firstLine="642" w:firstLineChars="200"/>
        <w:jc w:val="left"/>
        <w:textAlignment w:val="baseline"/>
        <w:rPr>
          <w:rFonts w:hint="default"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（7）档案管理</w:t>
      </w:r>
    </w:p>
    <w:p w14:paraId="7D4F24F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zh-CN"/>
        </w:rPr>
      </w:pPr>
      <w:r>
        <w:rPr>
          <w:rFonts w:hint="default" w:ascii="Times New Roman" w:hAnsi="Times New Roman" w:eastAsia="FangSong_GB2312" w:cs="FangSong_GB2312"/>
          <w:snapToGrid w:val="0"/>
          <w:color w:val="000000"/>
          <w:spacing w:val="5"/>
          <w:kern w:val="0"/>
          <w:sz w:val="31"/>
          <w:szCs w:val="31"/>
          <w:lang w:val="en-US" w:eastAsia="zh-CN"/>
        </w:rPr>
        <w:t>本章是要求建立全过程记录，形成可追溯的文件链条。依据GAP对全过程记录的要求，档案确保了从种苗到产品的任何质量问题都可以反向追溯至处理环节，是质量责任界定和持续改进的基础。保存期限通常与一个生产周期或监管要求相匹配。</w:t>
      </w:r>
    </w:p>
    <w:p w14:paraId="7F3B5C2A">
      <w:pPr>
        <w:keepNext/>
        <w:keepLines/>
        <w:kinsoku w:val="0"/>
        <w:autoSpaceDE w:val="0"/>
        <w:autoSpaceDN w:val="0"/>
        <w:bidi w:val="0"/>
        <w:adjustRightInd w:val="0"/>
        <w:snapToGrid w:val="0"/>
        <w:spacing w:before="340" w:beforeLines="0" w:beforeAutospacing="0" w:after="330" w:afterLines="0" w:afterAutospacing="0" w:line="240" w:lineRule="auto"/>
        <w:ind w:firstLine="63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8" w:name="_Toc5788"/>
      <w:r>
        <w:rPr>
          <w:rFonts w:ascii="Times New Roman" w:hAnsi="Times New Roman" w:eastAsia="黑体" w:cs="黑体"/>
          <w:b/>
          <w:snapToGrid w:val="0"/>
          <w:color w:val="000000"/>
          <w:spacing w:val="4"/>
          <w:kern w:val="44"/>
          <w:sz w:val="31"/>
          <w:szCs w:val="31"/>
          <w:lang w:val="en-US" w:eastAsia="en-US" w:bidi="ar-SA"/>
        </w:rPr>
        <w:t>三、标准试验验证情况分析，预期的经济效益、社会效益和生态效益</w:t>
      </w:r>
      <w:bookmarkEnd w:id="8"/>
    </w:p>
    <w:p w14:paraId="5FD876D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val="en-US" w:eastAsia="zh-CN"/>
        </w:rPr>
      </w:pPr>
      <w:r>
        <w:rPr>
          <w:rFonts w:hint="eastAsia" w:ascii="Times New Roman" w:hAnsi="Times New Roman" w:eastAsia="FangSong_GB2312" w:cs="FangSong_GB2312"/>
          <w:snapToGrid w:val="0"/>
          <w:color w:val="000000"/>
          <w:spacing w:val="6"/>
          <w:kern w:val="0"/>
          <w:sz w:val="31"/>
          <w:szCs w:val="31"/>
          <w:lang w:val="en-US" w:eastAsia="zh-CN"/>
        </w:rPr>
        <w:t>1.经济效益</w:t>
      </w:r>
    </w:p>
    <w:p w14:paraId="645C2B4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val="en-US" w:eastAsia="zh-CN"/>
        </w:rPr>
      </w:pPr>
      <w:r>
        <w:rPr>
          <w:rFonts w:hint="eastAsia" w:ascii="Times New Roman" w:hAnsi="Times New Roman" w:eastAsia="FangSong_GB2312" w:cs="FangSong_GB2312"/>
          <w:snapToGrid w:val="0"/>
          <w:color w:val="000000"/>
          <w:spacing w:val="6"/>
          <w:kern w:val="0"/>
          <w:sz w:val="31"/>
          <w:szCs w:val="31"/>
          <w:lang w:val="en-US" w:eastAsia="zh-CN"/>
        </w:rPr>
        <w:t>标准的实施将有效降低因操作不当、霉烂、失水或病害导致的种苗损耗率。规范的短期、中期、长期‌贮藏技术能有效延长种苗贮藏期，打破移栽季节限制，实现错峰销售和稳定供应，避免因集中采挖、处理不当造成的短期市场过剩和价格下跌。预计实施该规范后，潞党参种苗的整体‌合格率提升‌，优质种苗比例显著增加；贮藏期延长带来的‌销售窗口拓宽‌，有助于稳定市场价格，避免“丰产不丰收”；产业链各环节效率提升，可降低综合生产成本‌。</w:t>
      </w:r>
    </w:p>
    <w:p w14:paraId="27EF106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val="en-US" w:eastAsia="zh-CN"/>
        </w:rPr>
      </w:pPr>
      <w:r>
        <w:rPr>
          <w:rFonts w:hint="eastAsia" w:ascii="Times New Roman" w:hAnsi="Times New Roman" w:eastAsia="FangSong_GB2312" w:cs="FangSong_GB2312"/>
          <w:snapToGrid w:val="0"/>
          <w:color w:val="000000"/>
          <w:spacing w:val="6"/>
          <w:kern w:val="0"/>
          <w:sz w:val="31"/>
          <w:szCs w:val="31"/>
          <w:lang w:val="en-US" w:eastAsia="zh-CN"/>
        </w:rPr>
        <w:t>2.社会效益</w:t>
      </w:r>
    </w:p>
    <w:p w14:paraId="4FE88E5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val="en-US" w:eastAsia="zh-CN"/>
        </w:rPr>
      </w:pPr>
      <w:r>
        <w:rPr>
          <w:rFonts w:hint="eastAsia" w:ascii="Times New Roman" w:hAnsi="Times New Roman" w:eastAsia="FangSong_GB2312" w:cs="FangSong_GB2312"/>
          <w:snapToGrid w:val="0"/>
          <w:color w:val="000000"/>
          <w:spacing w:val="6"/>
          <w:kern w:val="0"/>
          <w:sz w:val="31"/>
          <w:szCs w:val="31"/>
          <w:lang w:val="en-US" w:eastAsia="zh-CN"/>
        </w:rPr>
        <w:t>标准的实施将促进农民增收与就业，高质量的种苗是丰收的基础。规范的实施直接提高种植户的产量和收入。优质的种苗是生产优质药材的第一关。规范从源头把控种苗质量，为后续生产出符合《中华人民共和国药典》标准的潞党参药材奠定了坚实基础，最终惠及广大患者，保障中医药疗效和用药安全。</w:t>
      </w:r>
    </w:p>
    <w:p w14:paraId="619F6F9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val="en-US" w:eastAsia="zh-CN"/>
        </w:rPr>
      </w:pPr>
      <w:r>
        <w:rPr>
          <w:rFonts w:hint="eastAsia" w:ascii="Times New Roman" w:hAnsi="Times New Roman" w:eastAsia="FangSong_GB2312" w:cs="FangSong_GB2312"/>
          <w:snapToGrid w:val="0"/>
          <w:color w:val="000000"/>
          <w:spacing w:val="6"/>
          <w:kern w:val="0"/>
          <w:sz w:val="31"/>
          <w:szCs w:val="31"/>
          <w:lang w:val="en-US" w:eastAsia="zh-CN"/>
        </w:rPr>
        <w:t>3.生态效益</w:t>
      </w:r>
    </w:p>
    <w:p w14:paraId="528C082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20"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kern w:val="0"/>
          <w:sz w:val="31"/>
          <w:szCs w:val="31"/>
          <w:lang w:eastAsia="en-US"/>
        </w:rPr>
        <w:t>标准中分拣‌环节淘汰了病虫弱苗，避免了将带病源体引入田间，减少了田间病害传播风险，降低了对生态环境的潜在威胁。科学的‌晾晒‌方法（通风、避直射）比传统暴晒更节能，且能更好保持种苗生理活性。通过规范化种植和源头质量控制，推广优质潞党参种苗，有助于维持道地产区特定的生态环境和生物群落，避免因滥用农药、化肥导致的土壤微生物群落失衡和周边生物多样性下降。</w:t>
      </w:r>
    </w:p>
    <w:p w14:paraId="7DAC5FFC">
      <w:pPr>
        <w:keepNext/>
        <w:keepLines/>
        <w:kinsoku w:val="0"/>
        <w:autoSpaceDE w:val="0"/>
        <w:autoSpaceDN w:val="0"/>
        <w:bidi w:val="0"/>
        <w:adjustRightInd w:val="0"/>
        <w:snapToGrid w:val="0"/>
        <w:spacing w:before="340" w:beforeLines="0" w:beforeAutospacing="0" w:after="330" w:afterLines="0" w:afterAutospacing="0" w:line="240" w:lineRule="auto"/>
        <w:ind w:firstLine="63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9" w:name="_Toc6811"/>
      <w:r>
        <w:rPr>
          <w:rFonts w:ascii="Times New Roman" w:hAnsi="Times New Roman" w:eastAsia="黑体" w:cs="黑体"/>
          <w:b/>
          <w:snapToGrid w:val="0"/>
          <w:color w:val="000000"/>
          <w:spacing w:val="4"/>
          <w:kern w:val="44"/>
          <w:sz w:val="31"/>
          <w:szCs w:val="31"/>
          <w:lang w:val="en-US" w:eastAsia="en-US" w:bidi="ar-SA"/>
        </w:rPr>
        <w:t>四、与国际、国外同类标准技术内容的对比情况，采用</w:t>
      </w:r>
      <w:r>
        <w:rPr>
          <w:rFonts w:ascii="Times New Roman" w:hAnsi="Times New Roman" w:eastAsia="黑体" w:cs="黑体"/>
          <w:b/>
          <w:snapToGrid w:val="0"/>
          <w:color w:val="000000"/>
          <w:spacing w:val="3"/>
          <w:kern w:val="44"/>
          <w:sz w:val="31"/>
          <w:szCs w:val="31"/>
          <w:lang w:val="en-US" w:eastAsia="en-US" w:bidi="ar-SA"/>
        </w:rPr>
        <w:t>国际</w:t>
      </w:r>
      <w:r>
        <w:rPr>
          <w:rFonts w:ascii="Times New Roman" w:hAnsi="Times New Roman" w:eastAsia="黑体" w:cs="黑体"/>
          <w:b/>
          <w:snapToGrid w:val="0"/>
          <w:color w:val="000000"/>
          <w:spacing w:val="9"/>
          <w:kern w:val="44"/>
          <w:sz w:val="31"/>
          <w:szCs w:val="31"/>
          <w:lang w:val="en-US" w:eastAsia="en-US" w:bidi="ar-SA"/>
        </w:rPr>
        <w:t>标准和国外先进标准情况</w:t>
      </w:r>
      <w:bookmarkEnd w:id="9"/>
    </w:p>
    <w:p w14:paraId="7C7AF5D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52"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8"/>
          <w:kern w:val="0"/>
          <w:sz w:val="31"/>
          <w:szCs w:val="31"/>
          <w:lang w:eastAsia="en-US"/>
        </w:rPr>
        <w:t>未发现与本文件同类的国际、国外标准。潞党参为我国特定道地产区的</w:t>
      </w:r>
      <w:r>
        <w:rPr>
          <w:rFonts w:hint="eastAsia" w:ascii="Times New Roman" w:hAnsi="Times New Roman" w:eastAsia="FangSong_GB2312" w:cs="FangSong_GB2312"/>
          <w:snapToGrid w:val="0"/>
          <w:color w:val="000000"/>
          <w:spacing w:val="5"/>
          <w:kern w:val="0"/>
          <w:sz w:val="31"/>
          <w:szCs w:val="31"/>
          <w:lang w:val="en-US" w:eastAsia="en-US"/>
        </w:rPr>
        <w:t>地方</w:t>
      </w:r>
      <w:r>
        <w:rPr>
          <w:rFonts w:hint="eastAsia" w:ascii="Times New Roman" w:hAnsi="Times New Roman" w:eastAsia="FangSong_GB2312" w:cs="FangSong_GB2312"/>
          <w:snapToGrid w:val="0"/>
          <w:color w:val="000000"/>
          <w:spacing w:val="8"/>
          <w:kern w:val="0"/>
          <w:sz w:val="31"/>
          <w:szCs w:val="31"/>
          <w:lang w:eastAsia="en-US"/>
        </w:rPr>
        <w:t>特色品种，其</w:t>
      </w:r>
      <w:r>
        <w:rPr>
          <w:rFonts w:hint="eastAsia" w:ascii="Times New Roman" w:hAnsi="Times New Roman" w:eastAsia="FangSong_GB2312" w:cs="FangSong_GB2312"/>
          <w:snapToGrid w:val="0"/>
          <w:color w:val="000000"/>
          <w:spacing w:val="8"/>
          <w:kern w:val="0"/>
          <w:sz w:val="31"/>
          <w:szCs w:val="31"/>
          <w:lang w:val="en-US" w:eastAsia="zh-CN"/>
        </w:rPr>
        <w:t>种苗采后处理技术</w:t>
      </w:r>
      <w:r>
        <w:rPr>
          <w:rFonts w:hint="eastAsia" w:ascii="Times New Roman" w:hAnsi="Times New Roman" w:eastAsia="FangSong_GB2312" w:cs="FangSong_GB2312"/>
          <w:snapToGrid w:val="0"/>
          <w:color w:val="000000"/>
          <w:spacing w:val="8"/>
          <w:kern w:val="0"/>
          <w:sz w:val="31"/>
          <w:szCs w:val="31"/>
          <w:lang w:eastAsia="en-US"/>
        </w:rPr>
        <w:t>要求具有显著的地域针对性和品种专属性。</w:t>
      </w:r>
    </w:p>
    <w:p w14:paraId="47B8D63F">
      <w:pPr>
        <w:keepNext/>
        <w:keepLines/>
        <w:kinsoku w:val="0"/>
        <w:autoSpaceDE w:val="0"/>
        <w:autoSpaceDN w:val="0"/>
        <w:bidi w:val="0"/>
        <w:adjustRightInd w:val="0"/>
        <w:snapToGrid w:val="0"/>
        <w:spacing w:before="340" w:beforeLines="0" w:beforeAutospacing="0" w:after="330" w:afterLines="0" w:afterAutospacing="0" w:line="240" w:lineRule="auto"/>
        <w:ind w:firstLine="65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10" w:name="_Toc25900"/>
      <w:r>
        <w:rPr>
          <w:rFonts w:ascii="Times New Roman" w:hAnsi="Times New Roman" w:eastAsia="黑体" w:cs="黑体"/>
          <w:b/>
          <w:snapToGrid w:val="0"/>
          <w:color w:val="000000"/>
          <w:spacing w:val="9"/>
          <w:kern w:val="44"/>
          <w:position w:val="1"/>
          <w:sz w:val="31"/>
          <w:szCs w:val="31"/>
          <w:lang w:val="en-US" w:eastAsia="en-US" w:bidi="ar-SA"/>
        </w:rPr>
        <w:t>五、与</w:t>
      </w:r>
      <w:r>
        <w:rPr>
          <w:rFonts w:ascii="Times New Roman" w:hAnsi="Times New Roman" w:eastAsia="黑体" w:cs="Arial"/>
          <w:b/>
          <w:snapToGrid w:val="0"/>
          <w:color w:val="000000"/>
          <w:kern w:val="44"/>
          <w:sz w:val="30"/>
          <w:szCs w:val="21"/>
          <w:lang w:val="en-US" w:eastAsia="en-US" w:bidi="ar-SA"/>
        </w:rPr>
        <w:t>有关</w:t>
      </w:r>
      <w:r>
        <w:rPr>
          <w:rFonts w:ascii="Times New Roman" w:hAnsi="Times New Roman" w:eastAsia="黑体" w:cs="黑体"/>
          <w:b/>
          <w:snapToGrid w:val="0"/>
          <w:color w:val="000000"/>
          <w:spacing w:val="9"/>
          <w:kern w:val="44"/>
          <w:position w:val="1"/>
          <w:sz w:val="31"/>
          <w:szCs w:val="31"/>
          <w:lang w:val="en-US" w:eastAsia="en-US" w:bidi="ar-SA"/>
        </w:rPr>
        <w:t>法律、行政法规及相关标准的关系</w:t>
      </w:r>
      <w:bookmarkEnd w:id="10"/>
    </w:p>
    <w:p w14:paraId="1AFE9EFD">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hint="eastAsia" w:ascii="Times New Roman" w:hAnsi="Times New Roman" w:eastAsia="FangSong_GB2312" w:cs="FangSong_GB2312"/>
          <w:snapToGrid w:val="0"/>
          <w:color w:val="000000"/>
          <w:spacing w:val="17"/>
          <w:kern w:val="0"/>
          <w:sz w:val="31"/>
          <w:szCs w:val="31"/>
          <w:lang w:eastAsia="en-US"/>
        </w:rPr>
      </w:pPr>
      <w:r>
        <w:rPr>
          <w:rFonts w:hint="eastAsia" w:ascii="Times New Roman" w:hAnsi="Times New Roman" w:eastAsia="FangSong_GB2312" w:cs="FangSong_GB2312"/>
          <w:snapToGrid w:val="0"/>
          <w:color w:val="000000"/>
          <w:spacing w:val="17"/>
          <w:kern w:val="0"/>
          <w:sz w:val="31"/>
          <w:szCs w:val="31"/>
          <w:lang w:eastAsia="en-US"/>
        </w:rPr>
        <w:t xml:space="preserve">本标准在编制过程中，充分参考和引用了DB14/T 2425 </w:t>
      </w:r>
      <w:r>
        <w:rPr>
          <w:rFonts w:hint="eastAsia" w:ascii="Times New Roman" w:hAnsi="Times New Roman" w:eastAsia="FangSong_GB2312" w:cs="FangSong_GB2312"/>
          <w:snapToGrid w:val="0"/>
          <w:color w:val="000000"/>
          <w:spacing w:val="17"/>
          <w:kern w:val="0"/>
          <w:sz w:val="31"/>
          <w:szCs w:val="31"/>
          <w:lang w:eastAsia="zh-CN"/>
        </w:rPr>
        <w:t>《</w:t>
      </w:r>
      <w:r>
        <w:rPr>
          <w:rFonts w:hint="eastAsia" w:ascii="Times New Roman" w:hAnsi="Times New Roman" w:eastAsia="FangSong_GB2312" w:cs="FangSong_GB2312"/>
          <w:snapToGrid w:val="0"/>
          <w:color w:val="000000"/>
          <w:spacing w:val="17"/>
          <w:kern w:val="0"/>
          <w:sz w:val="31"/>
          <w:szCs w:val="31"/>
          <w:lang w:eastAsia="en-US"/>
        </w:rPr>
        <w:t>潞党参栽培技术规程</w:t>
      </w:r>
      <w:bookmarkStart w:id="14" w:name="_GoBack"/>
      <w:bookmarkEnd w:id="14"/>
      <w:r>
        <w:rPr>
          <w:rFonts w:hint="eastAsia" w:ascii="Times New Roman" w:hAnsi="Times New Roman" w:eastAsia="FangSong_GB2312" w:cs="FangSong_GB2312"/>
          <w:snapToGrid w:val="0"/>
          <w:color w:val="000000"/>
          <w:spacing w:val="17"/>
          <w:kern w:val="0"/>
          <w:sz w:val="31"/>
          <w:szCs w:val="31"/>
          <w:lang w:eastAsia="zh-CN"/>
        </w:rPr>
        <w:t>》，</w:t>
      </w:r>
      <w:r>
        <w:rPr>
          <w:rFonts w:hint="eastAsia" w:ascii="Times New Roman" w:hAnsi="Times New Roman" w:eastAsia="FangSong_GB2312" w:cs="FangSong_GB2312"/>
          <w:snapToGrid w:val="0"/>
          <w:color w:val="000000"/>
          <w:spacing w:val="17"/>
          <w:kern w:val="0"/>
          <w:sz w:val="31"/>
          <w:szCs w:val="31"/>
          <w:lang w:eastAsia="en-US"/>
        </w:rPr>
        <w:t>《中药材生产质量管理规范》（GAP）等内容。</w:t>
      </w:r>
    </w:p>
    <w:p w14:paraId="52D6BBE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ascii="Times New Roman" w:hAnsi="Times New Roman" w:eastAsia="FangSong_GB2312" w:cs="FangSong_GB2312"/>
          <w:snapToGrid w:val="0"/>
          <w:color w:val="000000"/>
          <w:spacing w:val="17"/>
          <w:kern w:val="0"/>
          <w:sz w:val="31"/>
          <w:szCs w:val="31"/>
          <w:lang w:eastAsia="en-US"/>
        </w:rPr>
      </w:pPr>
      <w:r>
        <w:rPr>
          <w:rFonts w:hint="eastAsia" w:ascii="Times New Roman" w:hAnsi="Times New Roman" w:eastAsia="FangSong_GB2312" w:cs="FangSong_GB2312"/>
          <w:snapToGrid w:val="0"/>
          <w:color w:val="000000"/>
          <w:spacing w:val="17"/>
          <w:kern w:val="0"/>
          <w:sz w:val="31"/>
          <w:szCs w:val="31"/>
          <w:lang w:eastAsia="en-US"/>
        </w:rPr>
        <w:t>本标准与上述标准及法律法规协调一致，是对国家、行业、地方标准的细化补充，不产生冲突。法律法规依据包括《中华人民共和国标准化法》《中华人民共和国中医药法》等。</w:t>
      </w:r>
    </w:p>
    <w:p w14:paraId="1F84FF23">
      <w:pPr>
        <w:keepNext/>
        <w:keepLines/>
        <w:numPr>
          <w:ilvl w:val="0"/>
          <w:numId w:val="1"/>
        </w:numPr>
        <w:kinsoku w:val="0"/>
        <w:autoSpaceDE w:val="0"/>
        <w:autoSpaceDN w:val="0"/>
        <w:bidi w:val="0"/>
        <w:adjustRightInd w:val="0"/>
        <w:snapToGrid w:val="0"/>
        <w:spacing w:before="340" w:beforeLines="0" w:beforeAutospacing="0" w:after="330" w:afterLines="0" w:afterAutospacing="0" w:line="240" w:lineRule="auto"/>
        <w:ind w:firstLine="654" w:firstLineChars="200"/>
        <w:jc w:val="left"/>
        <w:textAlignment w:val="baseline"/>
        <w:outlineLvl w:val="0"/>
        <w:rPr>
          <w:rFonts w:ascii="Times New Roman" w:hAnsi="Times New Roman" w:eastAsia="黑体" w:cs="黑体"/>
          <w:b/>
          <w:snapToGrid w:val="0"/>
          <w:color w:val="000000"/>
          <w:spacing w:val="8"/>
          <w:kern w:val="44"/>
          <w:sz w:val="31"/>
          <w:szCs w:val="31"/>
          <w:lang w:val="en-US" w:eastAsia="en-US" w:bidi="ar-SA"/>
        </w:rPr>
      </w:pPr>
      <w:bookmarkStart w:id="11" w:name="_Toc27835"/>
      <w:r>
        <w:rPr>
          <w:rFonts w:ascii="Times New Roman" w:hAnsi="Times New Roman" w:eastAsia="黑体" w:cs="黑体"/>
          <w:b/>
          <w:snapToGrid w:val="0"/>
          <w:color w:val="000000"/>
          <w:spacing w:val="8"/>
          <w:kern w:val="44"/>
          <w:sz w:val="31"/>
          <w:szCs w:val="31"/>
          <w:lang w:val="en-US" w:eastAsia="en-US" w:bidi="ar-SA"/>
        </w:rPr>
        <w:t>重大分歧意见处的处理经过和依据</w:t>
      </w:r>
      <w:bookmarkEnd w:id="11"/>
    </w:p>
    <w:p w14:paraId="6437DFF5">
      <w:pPr>
        <w:widowControl/>
        <w:kinsoku w:val="0"/>
        <w:autoSpaceDE w:val="0"/>
        <w:autoSpaceDN w:val="0"/>
        <w:adjustRightInd w:val="0"/>
        <w:snapToGrid w:val="0"/>
        <w:spacing w:before="189" w:line="349" w:lineRule="auto"/>
        <w:ind w:left="2" w:firstLine="640" w:firstLineChars="200"/>
        <w:jc w:val="left"/>
        <w:textAlignment w:val="baseline"/>
        <w:rPr>
          <w:rFonts w:ascii="Times New Roman" w:hAnsi="Times New Roman" w:eastAsia="FangSong_GB2312" w:cs="FangSong_GB2312"/>
          <w:snapToGrid w:val="0"/>
          <w:color w:val="000000"/>
          <w:spacing w:val="5"/>
          <w:kern w:val="0"/>
          <w:sz w:val="31"/>
          <w:szCs w:val="31"/>
          <w:lang w:eastAsia="en-US"/>
        </w:rPr>
      </w:pPr>
      <w:r>
        <w:rPr>
          <w:rFonts w:ascii="Times New Roman" w:hAnsi="Times New Roman" w:eastAsia="FangSong_GB2312" w:cs="FangSong_GB2312"/>
          <w:snapToGrid w:val="0"/>
          <w:color w:val="000000"/>
          <w:spacing w:val="5"/>
          <w:kern w:val="0"/>
          <w:sz w:val="31"/>
          <w:szCs w:val="31"/>
          <w:lang w:eastAsia="en-US"/>
        </w:rPr>
        <w:t>无重大分歧意见。</w:t>
      </w:r>
    </w:p>
    <w:p w14:paraId="570559FF">
      <w:pPr>
        <w:keepNext/>
        <w:keepLines/>
        <w:kinsoku w:val="0"/>
        <w:autoSpaceDE w:val="0"/>
        <w:autoSpaceDN w:val="0"/>
        <w:bidi w:val="0"/>
        <w:adjustRightInd w:val="0"/>
        <w:snapToGrid w:val="0"/>
        <w:spacing w:before="340" w:beforeLines="0" w:beforeAutospacing="0" w:after="330" w:afterLines="0" w:afterAutospacing="0" w:line="240" w:lineRule="auto"/>
        <w:ind w:firstLine="654" w:firstLineChars="200"/>
        <w:jc w:val="left"/>
        <w:textAlignment w:val="baseline"/>
        <w:outlineLvl w:val="0"/>
        <w:rPr>
          <w:rFonts w:ascii="Times New Roman" w:hAnsi="Times New Roman" w:eastAsia="黑体" w:cs="黑体"/>
          <w:b/>
          <w:snapToGrid w:val="0"/>
          <w:color w:val="000000"/>
          <w:spacing w:val="8"/>
          <w:kern w:val="44"/>
          <w:sz w:val="31"/>
          <w:szCs w:val="31"/>
          <w:lang w:val="en-US" w:eastAsia="en-US" w:bidi="ar-SA"/>
        </w:rPr>
      </w:pPr>
      <w:bookmarkStart w:id="12" w:name="_Toc22975"/>
      <w:r>
        <w:rPr>
          <w:rFonts w:ascii="Times New Roman" w:hAnsi="Times New Roman" w:eastAsia="黑体" w:cs="黑体"/>
          <w:b/>
          <w:snapToGrid w:val="0"/>
          <w:color w:val="000000"/>
          <w:spacing w:val="8"/>
          <w:kern w:val="44"/>
          <w:sz w:val="31"/>
          <w:szCs w:val="31"/>
          <w:lang w:val="en-US" w:eastAsia="en-US" w:bidi="ar-SA"/>
        </w:rPr>
        <w:t>七、</w:t>
      </w:r>
      <w:r>
        <w:rPr>
          <w:rFonts w:ascii="Times New Roman" w:hAnsi="Times New Roman" w:eastAsia="黑体" w:cs="Arial"/>
          <w:b/>
          <w:snapToGrid w:val="0"/>
          <w:color w:val="000000"/>
          <w:kern w:val="44"/>
          <w:sz w:val="30"/>
          <w:szCs w:val="21"/>
          <w:lang w:val="en-US" w:eastAsia="en-US" w:bidi="ar-SA"/>
        </w:rPr>
        <w:t>涉及</w:t>
      </w:r>
      <w:r>
        <w:rPr>
          <w:rFonts w:ascii="Times New Roman" w:hAnsi="Times New Roman" w:eastAsia="黑体" w:cs="黑体"/>
          <w:b/>
          <w:snapToGrid w:val="0"/>
          <w:color w:val="000000"/>
          <w:spacing w:val="8"/>
          <w:kern w:val="44"/>
          <w:sz w:val="31"/>
          <w:szCs w:val="31"/>
          <w:lang w:val="en-US" w:eastAsia="en-US" w:bidi="ar-SA"/>
        </w:rPr>
        <w:t>专利的有关说明</w:t>
      </w:r>
      <w:bookmarkEnd w:id="12"/>
    </w:p>
    <w:p w14:paraId="68F07045">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ascii="Times New Roman" w:hAnsi="Times New Roman" w:eastAsia="FangSong_GB2312" w:cs="FangSong_GB2312"/>
          <w:snapToGrid w:val="0"/>
          <w:color w:val="000000"/>
          <w:spacing w:val="5"/>
          <w:kern w:val="0"/>
          <w:sz w:val="31"/>
          <w:szCs w:val="31"/>
          <w:lang w:eastAsia="en-US"/>
        </w:rPr>
      </w:pPr>
      <w:r>
        <w:rPr>
          <w:rFonts w:ascii="Times New Roman" w:hAnsi="Times New Roman" w:eastAsia="FangSong_GB2312" w:cs="FangSong_GB2312"/>
          <w:snapToGrid w:val="0"/>
          <w:color w:val="000000"/>
          <w:spacing w:val="5"/>
          <w:kern w:val="0"/>
          <w:sz w:val="31"/>
          <w:szCs w:val="31"/>
          <w:lang w:eastAsia="en-US"/>
        </w:rPr>
        <w:t>本文件不涉及专利问题。</w:t>
      </w:r>
    </w:p>
    <w:p w14:paraId="1CE219AB">
      <w:pPr>
        <w:widowControl/>
        <w:kinsoku w:val="0"/>
        <w:autoSpaceDE w:val="0"/>
        <w:autoSpaceDN w:val="0"/>
        <w:adjustRightInd w:val="0"/>
        <w:snapToGrid w:val="0"/>
        <w:spacing w:before="189" w:line="349" w:lineRule="auto"/>
        <w:ind w:left="2" w:firstLine="642" w:firstLineChars="200"/>
        <w:jc w:val="left"/>
        <w:textAlignment w:val="baseline"/>
        <w:rPr>
          <w:rFonts w:ascii="Times New Roman" w:hAnsi="Times New Roman" w:eastAsia="黑体" w:cs="黑体"/>
          <w:b/>
          <w:snapToGrid w:val="0"/>
          <w:color w:val="000000"/>
          <w:kern w:val="44"/>
          <w:sz w:val="31"/>
          <w:szCs w:val="31"/>
          <w:lang w:val="en-US" w:eastAsia="en-US" w:bidi="ar-SA"/>
        </w:rPr>
      </w:pPr>
      <w:r>
        <w:rPr>
          <w:rFonts w:ascii="Times New Roman" w:hAnsi="Times New Roman" w:eastAsia="黑体" w:cs="黑体"/>
          <w:b/>
          <w:snapToGrid w:val="0"/>
          <w:color w:val="000000"/>
          <w:spacing w:val="5"/>
          <w:kern w:val="44"/>
          <w:sz w:val="31"/>
          <w:szCs w:val="31"/>
          <w:lang w:val="en-US" w:eastAsia="en-US" w:bidi="ar-SA"/>
        </w:rPr>
        <w:t>八、实施</w:t>
      </w:r>
      <w:r>
        <w:rPr>
          <w:rFonts w:ascii="Times New Roman" w:hAnsi="Times New Roman" w:eastAsia="黑体" w:cs="Arial"/>
          <w:b/>
          <w:snapToGrid w:val="0"/>
          <w:color w:val="000000"/>
          <w:kern w:val="44"/>
          <w:sz w:val="30"/>
          <w:szCs w:val="21"/>
          <w:lang w:val="en-US" w:eastAsia="en-US" w:bidi="ar-SA"/>
        </w:rPr>
        <w:t>国家标准</w:t>
      </w:r>
      <w:r>
        <w:rPr>
          <w:rFonts w:ascii="Times New Roman" w:hAnsi="Times New Roman" w:eastAsia="黑体" w:cs="黑体"/>
          <w:b/>
          <w:snapToGrid w:val="0"/>
          <w:color w:val="000000"/>
          <w:spacing w:val="5"/>
          <w:kern w:val="44"/>
          <w:sz w:val="31"/>
          <w:szCs w:val="31"/>
          <w:lang w:val="en-US" w:eastAsia="en-US" w:bidi="ar-SA"/>
        </w:rPr>
        <w:t>的要求，以及组织措施、技术措施、过渡</w:t>
      </w:r>
      <w:r>
        <w:rPr>
          <w:rFonts w:ascii="Times New Roman" w:hAnsi="Times New Roman" w:eastAsia="黑体" w:cs="黑体"/>
          <w:b/>
          <w:snapToGrid w:val="0"/>
          <w:color w:val="000000"/>
          <w:spacing w:val="8"/>
          <w:kern w:val="44"/>
          <w:sz w:val="31"/>
          <w:szCs w:val="31"/>
          <w:lang w:val="en-US" w:eastAsia="en-US" w:bidi="ar-SA"/>
        </w:rPr>
        <w:t>期和实施日期的建议等措施建议</w:t>
      </w:r>
    </w:p>
    <w:p w14:paraId="59A64D46">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5"/>
          <w:kern w:val="0"/>
          <w:sz w:val="31"/>
          <w:szCs w:val="31"/>
          <w:lang w:eastAsia="en-US"/>
        </w:rPr>
        <w:t>建议标准发布后</w:t>
      </w:r>
      <w:r>
        <w:rPr>
          <w:rFonts w:hint="eastAsia" w:ascii="Times New Roman" w:hAnsi="Times New Roman" w:eastAsia="FangSong_GB2312" w:cs="FangSong_GB2312"/>
          <w:snapToGrid w:val="0"/>
          <w:color w:val="000000"/>
          <w:spacing w:val="5"/>
          <w:kern w:val="0"/>
          <w:sz w:val="31"/>
          <w:szCs w:val="31"/>
          <w:lang w:val="en-US" w:eastAsia="en-US"/>
        </w:rPr>
        <w:t>尽快</w:t>
      </w:r>
      <w:r>
        <w:rPr>
          <w:rFonts w:hint="eastAsia" w:ascii="Times New Roman" w:hAnsi="Times New Roman" w:eastAsia="FangSong_GB2312" w:cs="FangSong_GB2312"/>
          <w:snapToGrid w:val="0"/>
          <w:color w:val="000000"/>
          <w:spacing w:val="5"/>
          <w:kern w:val="0"/>
          <w:sz w:val="31"/>
          <w:szCs w:val="31"/>
          <w:lang w:eastAsia="en-US"/>
        </w:rPr>
        <w:t>实施。一是加强宣传推广：中国中医药研究促进会应通过官网、行业会议、产区培训会等多种渠道，向长治市及</w:t>
      </w:r>
      <w:r>
        <w:rPr>
          <w:rFonts w:hint="eastAsia" w:ascii="Times New Roman" w:hAnsi="Times New Roman" w:eastAsia="FangSong_GB2312" w:cs="FangSong_GB2312"/>
          <w:snapToGrid w:val="0"/>
          <w:color w:val="000000"/>
          <w:spacing w:val="5"/>
          <w:kern w:val="0"/>
          <w:sz w:val="31"/>
          <w:szCs w:val="31"/>
          <w:lang w:val="en-US" w:eastAsia="en-US"/>
        </w:rPr>
        <w:t>相关</w:t>
      </w:r>
      <w:r>
        <w:rPr>
          <w:rFonts w:hint="eastAsia" w:ascii="Times New Roman" w:hAnsi="Times New Roman" w:eastAsia="FangSong_GB2312" w:cs="FangSong_GB2312"/>
          <w:snapToGrid w:val="0"/>
          <w:color w:val="000000"/>
          <w:spacing w:val="5"/>
          <w:kern w:val="0"/>
          <w:sz w:val="31"/>
          <w:szCs w:val="31"/>
          <w:lang w:eastAsia="en-US"/>
        </w:rPr>
        <w:t>地区广泛宣传本标准，提高标准的知晓率和采用率。</w:t>
      </w:r>
      <w:r>
        <w:rPr>
          <w:rFonts w:hint="eastAsia" w:ascii="Times New Roman" w:hAnsi="Times New Roman" w:eastAsia="FangSong_GB2312" w:cs="FangSong_GB2312"/>
          <w:snapToGrid w:val="0"/>
          <w:color w:val="000000"/>
          <w:spacing w:val="5"/>
          <w:kern w:val="0"/>
          <w:sz w:val="31"/>
          <w:szCs w:val="31"/>
          <w:lang w:val="en-US" w:eastAsia="zh-CN"/>
        </w:rPr>
        <w:t>二</w:t>
      </w:r>
      <w:r>
        <w:rPr>
          <w:rFonts w:hint="eastAsia" w:ascii="Times New Roman" w:hAnsi="Times New Roman" w:eastAsia="FangSong_GB2312" w:cs="FangSong_GB2312"/>
          <w:snapToGrid w:val="0"/>
          <w:color w:val="000000"/>
          <w:spacing w:val="5"/>
          <w:kern w:val="0"/>
          <w:sz w:val="31"/>
          <w:szCs w:val="31"/>
          <w:lang w:eastAsia="en-US"/>
        </w:rPr>
        <w:t>是推动政策衔接：积极推动产区农业主管部门在项目扶持、资金补贴、品牌推介等工作中采信本评价结果，形成“以标准化促升级”的政策激励机制。</w:t>
      </w:r>
      <w:r>
        <w:rPr>
          <w:rFonts w:hint="eastAsia" w:ascii="Times New Roman" w:hAnsi="Times New Roman" w:eastAsia="FangSong_GB2312" w:cs="FangSong_GB2312"/>
          <w:snapToGrid w:val="0"/>
          <w:color w:val="000000"/>
          <w:spacing w:val="5"/>
          <w:kern w:val="0"/>
          <w:sz w:val="31"/>
          <w:szCs w:val="31"/>
          <w:lang w:val="en-US" w:eastAsia="zh-CN"/>
        </w:rPr>
        <w:t>三</w:t>
      </w:r>
      <w:r>
        <w:rPr>
          <w:rFonts w:hint="eastAsia" w:ascii="Times New Roman" w:hAnsi="Times New Roman" w:eastAsia="FangSong_GB2312" w:cs="FangSong_GB2312"/>
          <w:snapToGrid w:val="0"/>
          <w:color w:val="000000"/>
          <w:spacing w:val="5"/>
          <w:kern w:val="0"/>
          <w:sz w:val="31"/>
          <w:szCs w:val="31"/>
          <w:lang w:eastAsia="en-US"/>
        </w:rPr>
        <w:t>是建立动态更新机制：归口单位应定期收集标准实施过程中的反馈意见，结合产业技术发展和市场需求变化，适时对标准进行修订和完善，确保其持续先进性和适用性。</w:t>
      </w:r>
    </w:p>
    <w:p w14:paraId="650A116D">
      <w:pPr>
        <w:keepNext/>
        <w:keepLines/>
        <w:kinsoku w:val="0"/>
        <w:autoSpaceDE w:val="0"/>
        <w:autoSpaceDN w:val="0"/>
        <w:bidi w:val="0"/>
        <w:adjustRightInd w:val="0"/>
        <w:snapToGrid w:val="0"/>
        <w:spacing w:before="340" w:beforeLines="0" w:beforeAutospacing="0" w:after="330" w:afterLines="0" w:afterAutospacing="0" w:line="240" w:lineRule="auto"/>
        <w:ind w:firstLine="650"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13" w:name="_Toc6991"/>
      <w:r>
        <w:rPr>
          <w:rFonts w:ascii="Times New Roman" w:hAnsi="Times New Roman" w:eastAsia="黑体" w:cs="黑体"/>
          <w:b/>
          <w:snapToGrid w:val="0"/>
          <w:color w:val="000000"/>
          <w:spacing w:val="7"/>
          <w:kern w:val="44"/>
          <w:position w:val="1"/>
          <w:sz w:val="31"/>
          <w:szCs w:val="31"/>
          <w:lang w:val="en-US" w:eastAsia="en-US" w:bidi="ar-SA"/>
        </w:rPr>
        <w:t>九、其他说明</w:t>
      </w:r>
      <w:bookmarkEnd w:id="13"/>
    </w:p>
    <w:p w14:paraId="38B73869">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ascii="Times New Roman" w:hAnsi="Times New Roman" w:eastAsia="FangSong_GB2312" w:cs="FangSong_GB2312"/>
          <w:snapToGrid w:val="0"/>
          <w:color w:val="000000"/>
          <w:spacing w:val="6"/>
          <w:kern w:val="0"/>
          <w:sz w:val="31"/>
          <w:szCs w:val="31"/>
          <w:lang w:eastAsia="en-US"/>
        </w:rPr>
        <w:t>无其他</w:t>
      </w:r>
      <w:r>
        <w:rPr>
          <w:rFonts w:hint="eastAsia" w:ascii="Times New Roman" w:hAnsi="Times New Roman" w:eastAsia="FangSong_GB2312" w:cs="FangSong_GB2312"/>
          <w:snapToGrid w:val="0"/>
          <w:color w:val="000000"/>
          <w:spacing w:val="5"/>
          <w:kern w:val="0"/>
          <w:sz w:val="31"/>
          <w:szCs w:val="31"/>
          <w:lang w:eastAsia="en-US"/>
        </w:rPr>
        <w:t>需要</w:t>
      </w:r>
      <w:r>
        <w:rPr>
          <w:rFonts w:ascii="Times New Roman" w:hAnsi="Times New Roman" w:eastAsia="FangSong_GB2312" w:cs="FangSong_GB2312"/>
          <w:snapToGrid w:val="0"/>
          <w:color w:val="000000"/>
          <w:spacing w:val="6"/>
          <w:kern w:val="0"/>
          <w:sz w:val="31"/>
          <w:szCs w:val="31"/>
          <w:lang w:eastAsia="en-US"/>
        </w:rPr>
        <w:t>说明的事项。</w:t>
      </w:r>
    </w:p>
    <w:p w14:paraId="39E0F2EE">
      <w:pPr>
        <w:widowControl/>
        <w:kinsoku w:val="0"/>
        <w:autoSpaceDE w:val="0"/>
        <w:autoSpaceDN w:val="0"/>
        <w:adjustRightInd w:val="0"/>
        <w:snapToGrid w:val="0"/>
        <w:spacing w:before="101" w:line="221" w:lineRule="auto"/>
        <w:ind w:left="97" w:leftChars="0" w:hanging="97" w:hangingChars="30"/>
        <w:jc w:val="right"/>
        <w:textAlignment w:val="baseline"/>
        <w:rPr>
          <w:rFonts w:ascii="Times New Roman" w:hAnsi="Times New Roman" w:eastAsia="FangSong_GB2312" w:cs="FangSong_GB2312"/>
          <w:snapToGrid w:val="0"/>
          <w:color w:val="000000"/>
          <w:kern w:val="0"/>
          <w:sz w:val="31"/>
          <w:szCs w:val="31"/>
          <w:lang w:eastAsia="en-US"/>
        </w:rPr>
      </w:pPr>
      <w:r>
        <w:rPr>
          <w:rFonts w:ascii="Times New Roman" w:hAnsi="Times New Roman" w:eastAsia="FangSong_GB2312" w:cs="FangSong_GB2312"/>
          <w:snapToGrid w:val="0"/>
          <w:color w:val="000000"/>
          <w:spacing w:val="8"/>
          <w:kern w:val="0"/>
          <w:sz w:val="31"/>
          <w:szCs w:val="31"/>
          <w:lang w:eastAsia="en-US"/>
        </w:rPr>
        <w:t>标准起草工作组</w:t>
      </w:r>
    </w:p>
    <w:p w14:paraId="760C32E6">
      <w:pPr>
        <w:widowControl/>
        <w:kinsoku w:val="0"/>
        <w:autoSpaceDE w:val="0"/>
        <w:autoSpaceDN w:val="0"/>
        <w:adjustRightInd w:val="0"/>
        <w:snapToGrid w:val="0"/>
        <w:spacing w:before="174" w:line="419" w:lineRule="exact"/>
        <w:ind w:left="0" w:leftChars="0" w:firstLine="0" w:firstLineChars="0"/>
        <w:jc w:val="right"/>
        <w:textAlignment w:val="baseline"/>
        <w:rPr>
          <w:rFonts w:ascii="Times New Roman" w:hAnsi="Times New Roman" w:eastAsia="FangSong_GB2312" w:cs="FangSong_GB2312"/>
          <w:snapToGrid w:val="0"/>
          <w:color w:val="000000"/>
          <w:kern w:val="0"/>
          <w:sz w:val="31"/>
          <w:szCs w:val="31"/>
          <w:lang w:eastAsia="en-US"/>
        </w:rPr>
      </w:pPr>
      <w:r>
        <w:rPr>
          <w:rFonts w:ascii="Times New Roman" w:hAnsi="Times New Roman" w:eastAsia="Times New Roman" w:cs="Times New Roman"/>
          <w:snapToGrid w:val="0"/>
          <w:color w:val="000000"/>
          <w:spacing w:val="-2"/>
          <w:kern w:val="0"/>
          <w:position w:val="1"/>
          <w:sz w:val="31"/>
          <w:szCs w:val="31"/>
          <w:lang w:eastAsia="en-US"/>
        </w:rPr>
        <w:t>202</w:t>
      </w:r>
      <w:r>
        <w:rPr>
          <w:rFonts w:hint="eastAsia" w:ascii="Times New Roman" w:hAnsi="Times New Roman" w:eastAsia="宋体" w:cs="Times New Roman"/>
          <w:snapToGrid w:val="0"/>
          <w:color w:val="000000"/>
          <w:spacing w:val="-2"/>
          <w:kern w:val="0"/>
          <w:position w:val="1"/>
          <w:sz w:val="31"/>
          <w:szCs w:val="31"/>
          <w:lang w:val="en-US" w:eastAsia="zh-CN"/>
        </w:rPr>
        <w:t>6</w:t>
      </w:r>
      <w:r>
        <w:rPr>
          <w:rFonts w:ascii="Times New Roman" w:hAnsi="Times New Roman" w:eastAsia="Times New Roman" w:cs="Times New Roman"/>
          <w:snapToGrid w:val="0"/>
          <w:color w:val="000000"/>
          <w:spacing w:val="19"/>
          <w:kern w:val="0"/>
          <w:position w:val="1"/>
          <w:sz w:val="31"/>
          <w:szCs w:val="31"/>
          <w:lang w:eastAsia="en-US"/>
        </w:rPr>
        <w:t xml:space="preserve"> </w:t>
      </w:r>
      <w:r>
        <w:rPr>
          <w:rFonts w:ascii="Times New Roman" w:hAnsi="Times New Roman" w:eastAsia="FangSong_GB2312" w:cs="FangSong_GB2312"/>
          <w:snapToGrid w:val="0"/>
          <w:color w:val="000000"/>
          <w:spacing w:val="-2"/>
          <w:kern w:val="0"/>
          <w:position w:val="1"/>
          <w:sz w:val="31"/>
          <w:szCs w:val="31"/>
          <w:lang w:eastAsia="en-US"/>
        </w:rPr>
        <w:t>年</w:t>
      </w:r>
      <w:r>
        <w:rPr>
          <w:rFonts w:ascii="Times New Roman" w:hAnsi="Times New Roman" w:eastAsia="FangSong_GB2312" w:cs="FangSong_GB2312"/>
          <w:snapToGrid w:val="0"/>
          <w:color w:val="000000"/>
          <w:spacing w:val="-60"/>
          <w:kern w:val="0"/>
          <w:position w:val="1"/>
          <w:sz w:val="31"/>
          <w:szCs w:val="31"/>
          <w:lang w:eastAsia="en-US"/>
        </w:rPr>
        <w:t xml:space="preserve"> </w:t>
      </w:r>
      <w:r>
        <w:rPr>
          <w:rFonts w:hint="eastAsia" w:ascii="Times New Roman" w:hAnsi="Times New Roman" w:eastAsia="FangSong_GB2312" w:cs="FangSong_GB2312"/>
          <w:snapToGrid w:val="0"/>
          <w:color w:val="000000"/>
          <w:spacing w:val="-60"/>
          <w:kern w:val="0"/>
          <w:position w:val="1"/>
          <w:sz w:val="31"/>
          <w:szCs w:val="31"/>
          <w:lang w:val="en-US" w:eastAsia="zh-CN"/>
        </w:rPr>
        <w:t xml:space="preserve">  </w:t>
      </w:r>
      <w:r>
        <w:rPr>
          <w:rFonts w:hint="eastAsia" w:ascii="Times New Roman" w:hAnsi="Times New Roman" w:eastAsia="宋体" w:cs="Times New Roman"/>
          <w:snapToGrid w:val="0"/>
          <w:color w:val="000000"/>
          <w:spacing w:val="-2"/>
          <w:kern w:val="0"/>
          <w:position w:val="1"/>
          <w:sz w:val="31"/>
          <w:szCs w:val="31"/>
          <w:lang w:val="en-US" w:eastAsia="zh-CN"/>
        </w:rPr>
        <w:t xml:space="preserve">5 </w:t>
      </w:r>
      <w:r>
        <w:rPr>
          <w:rFonts w:ascii="Times New Roman" w:hAnsi="Times New Roman" w:eastAsia="FangSong_GB2312" w:cs="FangSong_GB2312"/>
          <w:snapToGrid w:val="0"/>
          <w:color w:val="000000"/>
          <w:spacing w:val="-2"/>
          <w:kern w:val="0"/>
          <w:position w:val="1"/>
          <w:sz w:val="31"/>
          <w:szCs w:val="31"/>
          <w:lang w:eastAsia="en-US"/>
        </w:rPr>
        <w:t>月</w:t>
      </w:r>
      <w:r>
        <w:rPr>
          <w:rFonts w:hint="eastAsia" w:ascii="Times New Roman" w:hAnsi="Times New Roman" w:eastAsia="FangSong_GB2312" w:cs="FangSong_GB2312"/>
          <w:snapToGrid w:val="0"/>
          <w:color w:val="000000"/>
          <w:spacing w:val="-2"/>
          <w:kern w:val="0"/>
          <w:position w:val="1"/>
          <w:sz w:val="31"/>
          <w:szCs w:val="31"/>
          <w:lang w:val="en-US" w:eastAsia="zh-CN"/>
        </w:rPr>
        <w:t xml:space="preserve"> </w:t>
      </w:r>
      <w:r>
        <w:rPr>
          <w:rFonts w:hint="eastAsia" w:ascii="Times New Roman" w:hAnsi="Times New Roman" w:eastAsia="FangSong_GB2312" w:cs="FangSong_GB2312"/>
          <w:snapToGrid w:val="0"/>
          <w:color w:val="000000"/>
          <w:spacing w:val="-66"/>
          <w:kern w:val="0"/>
          <w:position w:val="1"/>
          <w:sz w:val="31"/>
          <w:szCs w:val="31"/>
          <w:lang w:val="en-US" w:eastAsia="zh-CN"/>
        </w:rPr>
        <w:t xml:space="preserve">8       </w:t>
      </w:r>
      <w:r>
        <w:rPr>
          <w:rFonts w:ascii="Times New Roman" w:hAnsi="Times New Roman" w:eastAsia="FangSong_GB2312" w:cs="FangSong_GB2312"/>
          <w:snapToGrid w:val="0"/>
          <w:color w:val="000000"/>
          <w:spacing w:val="-2"/>
          <w:kern w:val="0"/>
          <w:position w:val="1"/>
          <w:sz w:val="31"/>
          <w:szCs w:val="31"/>
          <w:lang w:eastAsia="en-US"/>
        </w:rPr>
        <w:t>日</w:t>
      </w:r>
    </w:p>
    <w:p w14:paraId="2539750E">
      <w:pPr>
        <w:rPr>
          <w:rFonts w:ascii="Times New Roman" w:hAnsi="Times New Roman"/>
        </w:rPr>
      </w:pPr>
    </w:p>
    <w:sectPr>
      <w:footerReference r:id="rId3" w:type="default"/>
      <w:pgSz w:w="11906" w:h="16839"/>
      <w:pgMar w:top="1440" w:right="1800" w:bottom="1440" w:left="1800" w:header="0" w:footer="1077" w:gutter="0"/>
      <w:pgNumType w:fmt="decimal"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KaiTi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FangSong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EFF" w:usb1="C000785B" w:usb2="00000009" w:usb3="00000000" w:csb0="400001FF" w:csb1="FFFF0000"/>
  </w:font>
  <w:font w:name="FangSong_GB2312">
    <w:altName w:val="仿宋"/>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6AC0D">
    <w:pPr>
      <w:tabs>
        <w:tab w:val="center" w:pos="4153"/>
        <w:tab w:val="right" w:pos="8306"/>
      </w:tabs>
      <w:kinsoku w:val="0"/>
      <w:autoSpaceDE w:val="0"/>
      <w:autoSpaceDN w:val="0"/>
      <w:adjustRightInd w:val="0"/>
      <w:snapToGrid w:val="0"/>
      <w:spacing w:line="240" w:lineRule="auto"/>
      <w:jc w:val="left"/>
      <w:textAlignment w:val="baseline"/>
      <w:rPr>
        <w:rFonts w:ascii="Arial" w:hAnsi="Arial" w:eastAsia="仿宋_GB2312" w:cs="Arial"/>
        <w:snapToGrid w:val="0"/>
        <w:color w:val="000000"/>
        <w:kern w:val="0"/>
        <w:sz w:val="18"/>
        <w:szCs w:val="21"/>
        <w:lang w:val="en-US" w:eastAsia="en-US" w:bidi="ar-S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5DF1C5">
                          <w:pPr>
                            <w:pStyle w:val="5"/>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25DF1C5">
                    <w:pPr>
                      <w:pStyle w:val="5"/>
                    </w:pPr>
                    <w:r>
                      <w:fldChar w:fldCharType="begin"/>
                    </w:r>
                    <w:r>
                      <w:instrText xml:space="preserve"> PAGE  \* MERGEFORMAT </w:instrText>
                    </w:r>
                    <w:r>
                      <w:fldChar w:fldCharType="separate"/>
                    </w:r>
                    <w:r>
                      <w:t>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5D2E88"/>
    <w:multiLevelType w:val="singleLevel"/>
    <w:tmpl w:val="A35D2E8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E32690"/>
    <w:rsid w:val="045751B3"/>
    <w:rsid w:val="045779B0"/>
    <w:rsid w:val="06FD3CD7"/>
    <w:rsid w:val="072D4EC7"/>
    <w:rsid w:val="07693041"/>
    <w:rsid w:val="0BB44AB0"/>
    <w:rsid w:val="189521E8"/>
    <w:rsid w:val="1F0259AE"/>
    <w:rsid w:val="20C33298"/>
    <w:rsid w:val="246C3DEF"/>
    <w:rsid w:val="268C7988"/>
    <w:rsid w:val="28A37210"/>
    <w:rsid w:val="2C9A64DA"/>
    <w:rsid w:val="322363C4"/>
    <w:rsid w:val="36C12D54"/>
    <w:rsid w:val="3A422AA2"/>
    <w:rsid w:val="3EEF0A66"/>
    <w:rsid w:val="44DB304B"/>
    <w:rsid w:val="4C206AA7"/>
    <w:rsid w:val="51762928"/>
    <w:rsid w:val="52E32690"/>
    <w:rsid w:val="561708F9"/>
    <w:rsid w:val="57622118"/>
    <w:rsid w:val="580B4E7B"/>
    <w:rsid w:val="641D18AF"/>
    <w:rsid w:val="64621404"/>
    <w:rsid w:val="67AA4E8D"/>
    <w:rsid w:val="6DEF7022"/>
    <w:rsid w:val="6EAA3DE4"/>
    <w:rsid w:val="7408564B"/>
    <w:rsid w:val="79463EEA"/>
    <w:rsid w:val="79A60A20"/>
    <w:rsid w:val="7CD119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3">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toc 3"/>
    <w:basedOn w:val="1"/>
    <w:next w:val="1"/>
    <w:qFormat/>
    <w:uiPriority w:val="0"/>
    <w:pPr>
      <w:ind w:left="840" w:leftChars="4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next w:val="1"/>
    <w:qFormat/>
    <w:uiPriority w:val="0"/>
  </w:style>
  <w:style w:type="paragraph" w:styleId="8">
    <w:name w:val="toc 2"/>
    <w:basedOn w:val="1"/>
    <w:next w:val="1"/>
    <w:qFormat/>
    <w:uiPriority w:val="0"/>
    <w:pPr>
      <w:ind w:left="420" w:leftChars="200"/>
    </w:pPr>
  </w:style>
  <w:style w:type="paragraph" w:styleId="9">
    <w:name w:val="Normal (Web)"/>
    <w:basedOn w:val="1"/>
    <w:qFormat/>
    <w:uiPriority w:val="0"/>
    <w:rPr>
      <w:sz w:val="24"/>
    </w:rPr>
  </w:style>
  <w:style w:type="table" w:styleId="11">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glossaryDocument" Target="glossary/document.xml"/><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8097a57-a260-41fa-8315-74f478940206}"/>
        <w:style w:val=""/>
        <w:category>
          <w:name w:val="常规"/>
          <w:gallery w:val="placeholder"/>
        </w:category>
        <w:types>
          <w:type w:val="bbPlcHdr"/>
        </w:types>
        <w:behaviors>
          <w:behavior w:val="content"/>
        </w:behaviors>
        <w:description w:val=""/>
        <w:guid w:val="{98097a57-a260-41fa-8315-74f478940206}"/>
      </w:docPartPr>
      <w:docPartBody>
        <w:p w14:paraId="544E6C04">
          <w:pPr>
            <w:pStyle w:val="2"/>
          </w:pPr>
          <w:r>
            <w:rPr>
              <w:rStyle w:val="3"/>
              <w:rFonts w:hint="eastAsia"/>
            </w:rPr>
            <w:t>单击或点击此处输入文字。</w:t>
          </w:r>
        </w:p>
      </w:docPartBody>
    </w:docPart>
    <w:docPart>
      <w:docPartPr>
        <w:name w:val="{580e114f-3421-4e44-93b6-2706ae7fb896}"/>
        <w:style w:val=""/>
        <w:category>
          <w:name w:val="常规"/>
          <w:gallery w:val="placeholder"/>
        </w:category>
        <w:types>
          <w:type w:val="bbPlcHdr"/>
        </w:types>
        <w:behaviors>
          <w:behavior w:val="content"/>
        </w:behaviors>
        <w:description w:val=""/>
        <w:guid w:val="{580e114f-3421-4e44-93b6-2706ae7fb896}"/>
      </w:docPartPr>
      <w:docPartBody>
        <w:p w14:paraId="00D5ED86">
          <w:pPr>
            <w:pStyle w:val="2"/>
          </w:pPr>
          <w:r>
            <w:rPr>
              <w:rStyle w:val="3"/>
              <w:rFonts w:hint="eastAsia"/>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1" w:name="Default Paragraph Font"/>
    <w:lsdException w:qFormat="1" w:unhideWhenUsed="0" w:uiPriority="99" w:name="Placeholder Text"/>
  </w:latentStyles>
  <w:style w:type="character" w:default="1" w:styleId="1">
    <w:name w:val="Default Paragraph Font"/>
    <w:semiHidden/>
    <w:unhideWhenUsed/>
    <w:qFormat/>
    <w:uiPriority w:val="1"/>
  </w:style>
  <w:style w:type="paragraph" w:customStyle="1" w:styleId="2">
    <w:name w:val="A276024014E749F195FC61D7865681B4"/>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styleId="3">
    <w:name w:val="Placeholder Text"/>
    <w:basedOn w:val="1"/>
    <w:semiHidden/>
    <w:qFormat/>
    <w:uiPriority w:val="99"/>
    <w:rPr>
      <w:color w:val="808080"/>
    </w:rPr>
  </w:style>
</w:style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a3543d86-ac61-44ad-8db1-0042e30e3698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3227FE2E</paraID>
      <start>56</start>
      <end>57</end>
      <status>modified</status>
      <modifiedWord>—</modifiedWord>
      <trackRevisions>false</trackRevisions>
    </reviewItem>
    <reviewItem>
      <errorID>eaa681d7-97e0-408f-a2bd-7d28d1ae7192</errorID>
      <errorWord>视察横跨</errorWord>
      <group>L1_Grammar</group>
      <groupName>语法问题</groupName>
      <ability>L2_Grammar</ability>
      <abilityName>语法错误</abilityName>
      <candidateList>
        <item>覆盖</item>
      </candidateList>
      <explain/>
      <paraID>597212C4</paraID>
      <start>82</start>
      <end>84</end>
      <status>modified</status>
      <modifiedWord>覆盖</modifiedWord>
      <trackRevisions>false</trackRevisions>
    </reviewItem>
    <reviewItem>
      <errorID>6adf49a9-f1ad-4dd4-902a-21069a88b93b</errorID>
      <errorWord>具</errorWord>
      <group>L1_Word</group>
      <groupName>字词问题</groupName>
      <ability>L2_Typo</ability>
      <abilityName>字词错误</abilityName>
      <candidateList>
        <item>具有</item>
      </candidateList>
      <explain>〈动〉有（多用于抽象事物）：～信心｜～伟大的意义。</explain>
      <paraID>1AE258C2</paraID>
      <start>74</start>
      <end>76</end>
      <status>modified</status>
      <modifiedWord>具有</modifiedWord>
      <trackRevisions>false</trackRevisions>
    </reviewItem>
    <reviewItem>
      <errorID>8af3f1f3-7fdd-458c-8a8e-e62bde78f378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260418A2</paraID>
      <start>103</start>
      <end>104</end>
      <status>modified</status>
      <modifiedWord>—</modifiedWord>
      <trackRevisions>false</trackRevisions>
    </reviewItem>
    <reviewItem>
      <errorID>5532aab7-a069-40cb-99e3-3ba876d8a021</errorID>
      <errorWord>整</errorWord>
      <group>L1_Word</group>
      <groupName>字词问题</groupName>
      <ability>L2_Typo</ability>
      <abilityName>字词错误</abilityName>
      <candidateList>
        <item>整和</item>
      </candidateList>
      <explain/>
      <paraID>61C631E9</paraID>
      <start>239</start>
      <end>241</end>
      <status>modified</status>
      <modifiedWord>整和</modifiedWord>
      <trackRevisions>false</trackRevisions>
    </reviewItem>
    <reviewItem>
      <errorID>4f222e6e-b805-486a-8520-4fbfb0cdcadd</errorID>
      <errorWord>《潞党参标准化基地建设要求》（征求意见稿）</errorWord>
      <group>L1_Knowledge</group>
      <groupName>知识性问题</groupName>
      <ability>L2_Knowledge</ability>
      <abilityName>其他知识</abilityName>
      <candidateList>
        <item>《潞党参标准化基地建设要求（征求意见稿）》</item>
      </candidateList>
      <explain>疑似政策文件、法律法规名称等书写不规范，请注意检查。</explain>
      <paraID>61C631E9</paraID>
      <start>271</start>
      <end>292</end>
      <status>modified</status>
      <modifiedWord>《潞党参标准化基地建设要求（征求意见稿）》</modifiedWord>
      <trackRevisions>false</trackRevisions>
    </reviewItem>
    <reviewItem>
      <errorID>86ea62dd-26a8-4194-9512-c98f5311322a</errorID>
      <errorWord>，</errorWord>
      <group>L1_Word</group>
      <groupName>字词问题</groupName>
      <ability>L2_Typo</ability>
      <abilityName>字词错误</abilityName>
      <candidateList>
        <item>，并</item>
      </candidateList>
      <explain/>
      <paraID>61C631E9</paraID>
      <start>292</start>
      <end>294</end>
      <status>modified</status>
      <modifiedWord>，并</modifiedWord>
      <trackRevisions>false</trackRevisions>
    </reviewItem>
    <reviewItem>
      <errorID>f89b1fb2-9697-4672-8fb8-f20885900071</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5777BB24</paraID>
      <start>62</start>
      <end>63</end>
      <status>modified</status>
      <modifiedWord>—</modifiedWord>
      <trackRevisions>false</trackRevisions>
    </reviewItem>
    <reviewItem>
      <errorID>f684a387-e4bb-4aa9-a365-843ae7ab53e5</errorID>
      <errorWord>晰</errorWord>
      <group>L1_Word</group>
      <groupName>字词问题</groupName>
      <ability>L2_Typo</ability>
      <abilityName>字词错误</abilityName>
      <candidateList>
        <item>晰地</item>
      </candidateList>
      <explain/>
      <paraID>5F8A055F</paraID>
      <start>143</start>
      <end>145</end>
      <status>modified</status>
      <modifiedWord>晰地</modifiedWord>
      <trackRevisions>false</trackRevisions>
    </reviewItem>
    <reviewItem>
      <errorID>74d1c011-8de9-4279-b160-a13766c8444e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3FC1823A</paraID>
      <start>46</start>
      <end>47</end>
      <status>modified</status>
      <modifiedWord>—</modifiedWord>
      <trackRevisions>false</trackRevisions>
    </reviewItem>
    <reviewItem>
      <errorID>11cbca27-9ce5-40ed-a6b4-115a1e1fd268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3FC1823A</paraID>
      <start>65</start>
      <end>66</end>
      <status>modified</status>
      <modifiedWord>—</modifiedWord>
      <trackRevisions>false</trackRevisions>
    </reviewItem>
    <reviewItem>
      <errorID>aaa719f8-245f-4ca1-af14-4887222a9121</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391D63F3</paraID>
      <start>70</start>
      <end>71</end>
      <status>modified</status>
      <modifiedWord>—</modifiedWord>
      <trackRevisions>false</trackRevisions>
    </reviewItem>
    <reviewItem>
      <errorID>a7e49670-f622-405d-ad78-6ca4b81c116b</errorID>
      <errorWord>章则</errorWord>
      <group>L1_Word</group>
      <groupName>字词问题</groupName>
      <ability>L2_Typo</ability>
      <abilityName>字词错误</abilityName>
      <candidateList>
        <item>章</item>
      </candidateList>
      <explain/>
      <paraID>73E67F14</paraID>
      <start>31</start>
      <end>32</end>
      <status>modified</status>
      <modifiedWord>章</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4d1093f-c463-4fa7-98c6-124c31b8d68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6450</Words>
  <Characters>6769</Characters>
  <Lines>0</Lines>
  <Paragraphs>0</Paragraphs>
  <TotalTime>0</TotalTime>
  <ScaleCrop>false</ScaleCrop>
  <LinksUpToDate>false</LinksUpToDate>
  <CharactersWithSpaces>6825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2025-08-18T06:53:00Z</dcterms:created>
  <dc:creator>燕艳华</dc:creator>
  <cp:lastModifiedBy>初侨</cp:lastModifiedBy>
  <dcterms:modified xsi:type="dcterms:W3CDTF">2026-05-08T10:38:45Z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FCF988B65ACE4612A8273BC0034F1028_13</vt:lpwstr>
  </property>
  <property fmtid="{D5CDD505-2E9C-101B-9397-08002B2CF9AE}" pid="4" name="KSOTemplateDocerSaveRecord">
    <vt:lpwstr>eyJoZGlkIjoiMjNiOTc1NDcxM2ZjNWZiYmFmMjM1MzU2NThlODZlMzQiLCJ1c2VySWQiOiI1NDg0NzI5MjcifQ==</vt:lpwstr>
  </property>
</Properties>
</file>