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73A54">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C96BC72">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3158BEC">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B011D77">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4DD0C9CB">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66C611D">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C24AAA7">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5E2E4B1">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F7EF1A4">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9FEAE8E">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181C304">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9EA115F">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5E0CB8">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ACFEDE">
      <w:pPr>
        <w:widowControl/>
        <w:kinsoku w:val="0"/>
        <w:autoSpaceDE w:val="0"/>
        <w:autoSpaceDN w:val="0"/>
        <w:adjustRightInd w:val="0"/>
        <w:snapToGrid w:val="0"/>
        <w:spacing w:before="166" w:line="239" w:lineRule="auto"/>
        <w:ind w:left="0" w:leftChars="0" w:hanging="8" w:firstLineChars="0"/>
        <w:jc w:val="center"/>
        <w:textAlignment w:val="baseline"/>
        <w:rPr>
          <w:rFonts w:ascii="Times New Roman" w:hAnsi="Times New Roman" w:eastAsia="微软雅黑" w:cs="微软雅黑"/>
          <w:b/>
          <w:bCs/>
          <w:snapToGrid w:val="0"/>
          <w:color w:val="000000"/>
          <w:spacing w:val="12"/>
          <w:kern w:val="0"/>
          <w:sz w:val="48"/>
          <w:szCs w:val="48"/>
          <w:lang w:eastAsia="en-US"/>
        </w:rPr>
      </w:pPr>
      <w:r>
        <w:rPr>
          <w:rFonts w:ascii="Times New Roman" w:hAnsi="Times New Roman" w:eastAsia="微软雅黑" w:cs="微软雅黑"/>
          <w:b/>
          <w:bCs/>
          <w:snapToGrid w:val="0"/>
          <w:color w:val="000000"/>
          <w:spacing w:val="12"/>
          <w:kern w:val="0"/>
          <w:sz w:val="48"/>
          <w:szCs w:val="48"/>
          <w:lang w:eastAsia="en-US"/>
        </w:rPr>
        <w:t>《</w:t>
      </w:r>
      <w:r>
        <w:rPr>
          <w:rFonts w:hint="eastAsia" w:ascii="Times New Roman" w:hAnsi="Times New Roman" w:eastAsia="微软雅黑" w:cs="微软雅黑"/>
          <w:b/>
          <w:bCs/>
          <w:snapToGrid w:val="0"/>
          <w:color w:val="000000"/>
          <w:spacing w:val="12"/>
          <w:kern w:val="0"/>
          <w:sz w:val="48"/>
          <w:szCs w:val="48"/>
          <w:lang w:eastAsia="en-US"/>
        </w:rPr>
        <w:t>潞党参仓储流通技术规范</w:t>
      </w:r>
      <w:r>
        <w:rPr>
          <w:rFonts w:ascii="Times New Roman" w:hAnsi="Times New Roman" w:eastAsia="微软雅黑" w:cs="微软雅黑"/>
          <w:b/>
          <w:bCs/>
          <w:snapToGrid w:val="0"/>
          <w:color w:val="000000"/>
          <w:spacing w:val="12"/>
          <w:kern w:val="0"/>
          <w:sz w:val="48"/>
          <w:szCs w:val="48"/>
          <w:lang w:eastAsia="en-US"/>
        </w:rPr>
        <w:t>》</w:t>
      </w:r>
    </w:p>
    <w:p w14:paraId="07CED1E0">
      <w:pPr>
        <w:widowControl/>
        <w:kinsoku w:val="0"/>
        <w:autoSpaceDE w:val="0"/>
        <w:autoSpaceDN w:val="0"/>
        <w:adjustRightInd w:val="0"/>
        <w:snapToGrid w:val="0"/>
        <w:spacing w:before="166" w:line="239" w:lineRule="auto"/>
        <w:ind w:left="0" w:leftChars="0" w:hanging="8" w:firstLineChars="0"/>
        <w:jc w:val="center"/>
        <w:textAlignment w:val="baseline"/>
        <w:rPr>
          <w:rFonts w:hint="default" w:ascii="Times New Roman" w:hAnsi="Times New Roman" w:eastAsia="微软雅黑" w:cs="微软雅黑"/>
          <w:b/>
          <w:bCs/>
          <w:snapToGrid w:val="0"/>
          <w:color w:val="000000"/>
          <w:spacing w:val="12"/>
          <w:kern w:val="0"/>
          <w:sz w:val="48"/>
          <w:szCs w:val="48"/>
          <w:lang w:val="en-US" w:eastAsia="zh-CN"/>
        </w:rPr>
      </w:pPr>
      <w:r>
        <w:rPr>
          <w:rFonts w:hint="eastAsia" w:ascii="Times New Roman" w:hAnsi="Times New Roman" w:eastAsia="微软雅黑" w:cs="微软雅黑"/>
          <w:b/>
          <w:bCs/>
          <w:snapToGrid w:val="0"/>
          <w:color w:val="000000"/>
          <w:spacing w:val="12"/>
          <w:kern w:val="0"/>
          <w:sz w:val="48"/>
          <w:szCs w:val="48"/>
          <w:lang w:val="en-US" w:eastAsia="zh-CN"/>
        </w:rPr>
        <w:t>团体标准</w:t>
      </w:r>
    </w:p>
    <w:p w14:paraId="1E0D5FCF">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7BBF328">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AD5B5CB">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87D4C9B">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CD846D5">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1967D4C">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5259DCAD">
      <w:pPr>
        <w:widowControl/>
        <w:kinsoku w:val="0"/>
        <w:autoSpaceDE w:val="0"/>
        <w:autoSpaceDN w:val="0"/>
        <w:bidi w:val="0"/>
        <w:adjustRightInd w:val="0"/>
        <w:snapToGrid w:val="0"/>
        <w:spacing w:line="240" w:lineRule="auto"/>
        <w:ind w:left="0" w:leftChars="0" w:firstLine="0" w:firstLineChars="0"/>
        <w:jc w:val="center"/>
        <w:textAlignment w:val="baseline"/>
        <w:rPr>
          <w:rFonts w:hint="eastAsia" w:ascii="Times New Roman" w:hAnsi="Times New Roman" w:eastAsia="微软雅黑" w:cs="微软雅黑"/>
          <w:snapToGrid w:val="0"/>
          <w:color w:val="000000"/>
          <w:kern w:val="0"/>
          <w:sz w:val="48"/>
          <w:szCs w:val="48"/>
          <w:lang w:eastAsia="en-US"/>
        </w:rPr>
      </w:pPr>
      <w:r>
        <w:rPr>
          <w:rFonts w:hint="eastAsia" w:ascii="Times New Roman" w:hAnsi="Times New Roman" w:eastAsia="微软雅黑" w:cs="微软雅黑"/>
          <w:snapToGrid w:val="0"/>
          <w:color w:val="000000"/>
          <w:kern w:val="0"/>
          <w:sz w:val="48"/>
          <w:szCs w:val="48"/>
          <w:lang w:eastAsia="en-US"/>
        </w:rPr>
        <w:t>编  制  说  明</w:t>
      </w:r>
    </w:p>
    <w:p w14:paraId="18D5FA6E">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19E9A7C">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0A50CEA">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84EC7D9">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0403371">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722CF61">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D522D43">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E1A3EAD">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3EBFC6D">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38E6436">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378661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71E4BC">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04B0060">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BF3937F">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83478C7">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9F42DF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002377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36C60D4">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1FD46E9">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15096E5">
      <w:pPr>
        <w:widowControl/>
        <w:kinsoku w:val="0"/>
        <w:autoSpaceDE w:val="0"/>
        <w:autoSpaceDN w:val="0"/>
        <w:adjustRightInd w:val="0"/>
        <w:snapToGrid w:val="0"/>
        <w:spacing w:before="102"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标准起草工作组</w:t>
      </w:r>
    </w:p>
    <w:p w14:paraId="56B05CC1">
      <w:pPr>
        <w:widowControl/>
        <w:kinsoku w:val="0"/>
        <w:autoSpaceDE w:val="0"/>
        <w:autoSpaceDN w:val="0"/>
        <w:adjustRightInd w:val="0"/>
        <w:snapToGrid w:val="0"/>
        <w:spacing w:before="245"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二</w:t>
      </w:r>
      <w:r>
        <w:rPr>
          <w:rFonts w:ascii="Times New Roman" w:hAnsi="Times New Roman" w:eastAsia="黑体" w:cs="黑体"/>
          <w:snapToGrid w:val="0"/>
          <w:color w:val="000000"/>
          <w:spacing w:val="8"/>
          <w:kern w:val="0"/>
          <w:sz w:val="36"/>
          <w:szCs w:val="36"/>
          <w:lang w:eastAsia="en-US"/>
        </w:rPr>
        <w:t>〇</w:t>
      </w:r>
      <w:r>
        <w:rPr>
          <w:rFonts w:ascii="Times New Roman" w:hAnsi="Times New Roman" w:eastAsia="KaiTi_GB2312" w:cs="KaiTi_GB2312"/>
          <w:snapToGrid w:val="0"/>
          <w:color w:val="000000"/>
          <w:spacing w:val="8"/>
          <w:kern w:val="0"/>
          <w:sz w:val="36"/>
          <w:szCs w:val="36"/>
          <w:lang w:eastAsia="en-US"/>
        </w:rPr>
        <w:t>二</w:t>
      </w:r>
      <w:r>
        <w:rPr>
          <w:rFonts w:hint="eastAsia" w:ascii="Times New Roman" w:hAnsi="Times New Roman" w:eastAsia="KaiTi_GB2312" w:cs="KaiTi_GB2312"/>
          <w:snapToGrid w:val="0"/>
          <w:color w:val="000000"/>
          <w:spacing w:val="8"/>
          <w:kern w:val="0"/>
          <w:sz w:val="36"/>
          <w:szCs w:val="36"/>
          <w:lang w:val="en-US" w:eastAsia="zh-CN"/>
        </w:rPr>
        <w:t>六</w:t>
      </w:r>
      <w:r>
        <w:rPr>
          <w:rFonts w:ascii="Times New Roman" w:hAnsi="Times New Roman" w:eastAsia="KaiTi_GB2312" w:cs="KaiTi_GB2312"/>
          <w:snapToGrid w:val="0"/>
          <w:color w:val="000000"/>
          <w:spacing w:val="8"/>
          <w:kern w:val="0"/>
          <w:sz w:val="36"/>
          <w:szCs w:val="36"/>
          <w:lang w:eastAsia="en-US"/>
        </w:rPr>
        <w:t>年</w:t>
      </w:r>
      <w:r>
        <w:rPr>
          <w:rFonts w:hint="eastAsia" w:ascii="Times New Roman" w:hAnsi="Times New Roman" w:eastAsia="KaiTi_GB2312" w:cs="KaiTi_GB2312"/>
          <w:snapToGrid w:val="0"/>
          <w:color w:val="000000"/>
          <w:spacing w:val="8"/>
          <w:kern w:val="0"/>
          <w:sz w:val="36"/>
          <w:szCs w:val="36"/>
          <w:lang w:val="en-US" w:eastAsia="zh-CN"/>
        </w:rPr>
        <w:t>五</w:t>
      </w:r>
      <w:r>
        <w:rPr>
          <w:rFonts w:ascii="Times New Roman" w:hAnsi="Times New Roman" w:eastAsia="KaiTi_GB2312" w:cs="KaiTi_GB2312"/>
          <w:snapToGrid w:val="0"/>
          <w:color w:val="000000"/>
          <w:spacing w:val="8"/>
          <w:kern w:val="0"/>
          <w:sz w:val="36"/>
          <w:szCs w:val="36"/>
          <w:lang w:eastAsia="en-US"/>
        </w:rPr>
        <w:t>月</w:t>
      </w:r>
    </w:p>
    <w:p w14:paraId="436E4520">
      <w:pPr>
        <w:widowControl/>
        <w:kinsoku w:val="0"/>
        <w:autoSpaceDE w:val="0"/>
        <w:autoSpaceDN w:val="0"/>
        <w:adjustRightInd w:val="0"/>
        <w:snapToGrid w:val="0"/>
        <w:spacing w:line="240" w:lineRule="auto"/>
        <w:ind w:firstLine="480" w:firstLineChars="200"/>
        <w:jc w:val="left"/>
        <w:textAlignment w:val="baseline"/>
        <w:rPr>
          <w:rFonts w:ascii="Times New Roman" w:hAnsi="Times New Roman" w:eastAsia="仿宋_GB2312" w:cs="Arial"/>
          <w:snapToGrid w:val="0"/>
          <w:color w:val="000000"/>
          <w:kern w:val="0"/>
          <w:sz w:val="24"/>
          <w:szCs w:val="21"/>
          <w:lang w:eastAsia="en-US"/>
        </w:rPr>
      </w:pPr>
      <w:r>
        <w:rPr>
          <w:rFonts w:ascii="Times New Roman" w:hAnsi="Times New Roman" w:eastAsia="仿宋_GB2312" w:cs="Arial"/>
          <w:snapToGrid w:val="0"/>
          <w:color w:val="000000"/>
          <w:kern w:val="0"/>
          <w:sz w:val="24"/>
          <w:szCs w:val="21"/>
          <w:lang w:eastAsia="en-US"/>
        </w:rPr>
        <w:br w:type="page"/>
      </w:r>
    </w:p>
    <w:p w14:paraId="7499E329">
      <w:pPr>
        <w:keepNext/>
        <w:keepLines/>
        <w:kinsoku w:val="0"/>
        <w:autoSpaceDE w:val="0"/>
        <w:autoSpaceDN w:val="0"/>
        <w:bidi w:val="0"/>
        <w:adjustRightInd w:val="0"/>
        <w:snapToGrid w:val="0"/>
        <w:spacing w:before="340" w:beforeLines="0" w:beforeAutospacing="0" w:after="330" w:afterLines="0" w:afterAutospacing="0" w:line="240" w:lineRule="auto"/>
        <w:ind w:firstLine="602" w:firstLineChars="200"/>
        <w:jc w:val="left"/>
        <w:textAlignment w:val="baseline"/>
        <w:outlineLvl w:val="0"/>
        <w:rPr>
          <w:rFonts w:ascii="Times New Roman" w:hAnsi="Times New Roman" w:eastAsia="黑体" w:cs="Arial"/>
          <w:b/>
          <w:snapToGrid w:val="0"/>
          <w:color w:val="000000"/>
          <w:kern w:val="44"/>
          <w:sz w:val="30"/>
          <w:szCs w:val="21"/>
          <w:lang w:val="en-US" w:eastAsia="en-US" w:bidi="ar-SA"/>
        </w:rPr>
      </w:pPr>
      <w:bookmarkStart w:id="0" w:name="_Toc21223"/>
      <w:r>
        <w:rPr>
          <w:rFonts w:ascii="Times New Roman" w:hAnsi="Times New Roman" w:eastAsia="黑体" w:cs="Arial"/>
          <w:b/>
          <w:snapToGrid w:val="0"/>
          <w:color w:val="000000"/>
          <w:kern w:val="44"/>
          <w:sz w:val="30"/>
          <w:szCs w:val="21"/>
          <w:lang w:val="en-US" w:eastAsia="en-US" w:bidi="ar-SA"/>
        </w:rPr>
        <w:t>一、工作简况</w:t>
      </w:r>
      <w:bookmarkEnd w:id="0"/>
    </w:p>
    <w:p w14:paraId="29EEF906">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snapToGrid w:val="0"/>
          <w:color w:val="000000"/>
          <w:kern w:val="0"/>
          <w:sz w:val="28"/>
          <w:szCs w:val="21"/>
          <w:lang w:val="en-US" w:eastAsia="en-US" w:bidi="ar-SA"/>
        </w:rPr>
      </w:pPr>
      <w:bookmarkStart w:id="1" w:name="_Toc15554"/>
      <w:r>
        <w:rPr>
          <w:rFonts w:ascii="Times New Roman" w:hAnsi="Times New Roman" w:eastAsia="黑体" w:cs="Arial"/>
          <w:snapToGrid w:val="0"/>
          <w:color w:val="000000"/>
          <w:kern w:val="0"/>
          <w:sz w:val="28"/>
          <w:szCs w:val="21"/>
          <w:lang w:val="en-US" w:eastAsia="en-US" w:bidi="ar-SA"/>
        </w:rPr>
        <w:t>（一）任务来源</w:t>
      </w:r>
      <w:bookmarkEnd w:id="1"/>
    </w:p>
    <w:p w14:paraId="2BF8812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本标准制定任务来源于中国中医药研究促进会。潞党参作为山西省长治市的道地药材，是当地农业特色产业和乡村振兴的重要支柱。为推动潞党参产业从分散粗放向标准化、规模化、绿色化方向转型，解决。不规范的温湿度控制、包装运输方式易导致霉变、有效成分流失等问题，中国中医药研究促进会经充分</w:t>
      </w:r>
      <w:r>
        <w:rPr>
          <w:rFonts w:hint="eastAsia" w:ascii="Times New Roman" w:hAnsi="Times New Roman" w:eastAsia="FangSong_GB2312" w:cs="FangSong_GB2312"/>
          <w:snapToGrid w:val="0"/>
          <w:color w:val="000000"/>
          <w:spacing w:val="5"/>
          <w:kern w:val="0"/>
          <w:sz w:val="31"/>
          <w:szCs w:val="31"/>
          <w:lang w:val="en-US" w:eastAsia="en-US"/>
        </w:rPr>
        <w:t>调研</w:t>
      </w:r>
      <w:r>
        <w:rPr>
          <w:rFonts w:hint="eastAsia" w:ascii="Times New Roman" w:hAnsi="Times New Roman" w:eastAsia="FangSong_GB2312" w:cs="FangSong_GB2312"/>
          <w:snapToGrid w:val="0"/>
          <w:color w:val="000000"/>
          <w:spacing w:val="6"/>
          <w:kern w:val="0"/>
          <w:sz w:val="31"/>
          <w:szCs w:val="31"/>
          <w:lang w:eastAsia="en-US"/>
        </w:rPr>
        <w:t>和论证，于202</w:t>
      </w:r>
      <w:r>
        <w:rPr>
          <w:rFonts w:hint="eastAsia" w:ascii="Times New Roman" w:hAnsi="Times New Roman" w:eastAsia="FangSong_GB2312" w:cs="FangSong_GB2312"/>
          <w:snapToGrid w:val="0"/>
          <w:color w:val="000000"/>
          <w:spacing w:val="6"/>
          <w:kern w:val="0"/>
          <w:sz w:val="31"/>
          <w:szCs w:val="31"/>
          <w:lang w:val="en-US" w:eastAsia="zh-CN"/>
        </w:rPr>
        <w:t>6</w:t>
      </w:r>
      <w:r>
        <w:rPr>
          <w:rFonts w:hint="eastAsia" w:ascii="Times New Roman" w:hAnsi="Times New Roman" w:eastAsia="FangSong_GB2312" w:cs="FangSong_GB2312"/>
          <w:snapToGrid w:val="0"/>
          <w:color w:val="000000"/>
          <w:spacing w:val="6"/>
          <w:kern w:val="0"/>
          <w:sz w:val="31"/>
          <w:szCs w:val="31"/>
          <w:lang w:eastAsia="en-US"/>
        </w:rPr>
        <w:t>年正式组织制定本团体标准《潞党参仓储流通技术规范》。本标准由中国中医药研究促进会</w:t>
      </w:r>
      <w:r>
        <w:rPr>
          <w:rFonts w:hint="eastAsia" w:ascii="Times New Roman" w:hAnsi="Times New Roman" w:eastAsia="FangSong_GB2312" w:cs="FangSong_GB2312"/>
          <w:snapToGrid w:val="0"/>
          <w:color w:val="000000"/>
          <w:spacing w:val="6"/>
          <w:kern w:val="0"/>
          <w:sz w:val="31"/>
          <w:szCs w:val="31"/>
          <w:lang w:val="en-US" w:eastAsia="zh-CN"/>
        </w:rPr>
        <w:t>提出并</w:t>
      </w:r>
      <w:r>
        <w:rPr>
          <w:rFonts w:hint="eastAsia" w:ascii="Times New Roman" w:hAnsi="Times New Roman" w:eastAsia="FangSong_GB2312" w:cs="FangSong_GB2312"/>
          <w:snapToGrid w:val="0"/>
          <w:color w:val="000000"/>
          <w:spacing w:val="6"/>
          <w:kern w:val="0"/>
          <w:sz w:val="31"/>
          <w:szCs w:val="31"/>
          <w:lang w:eastAsia="en-US"/>
        </w:rPr>
        <w:t>归口。</w:t>
      </w:r>
    </w:p>
    <w:p w14:paraId="087695B3">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bookmarkStart w:id="2" w:name="_Toc26913"/>
      <w:r>
        <w:rPr>
          <w:rFonts w:ascii="Times New Roman" w:hAnsi="Times New Roman" w:eastAsia="黑体" w:cs="Arial"/>
          <w:b w:val="0"/>
          <w:snapToGrid w:val="0"/>
          <w:color w:val="000000"/>
          <w:kern w:val="0"/>
          <w:sz w:val="28"/>
          <w:szCs w:val="21"/>
          <w:lang w:val="en-US" w:eastAsia="en-US" w:bidi="ar-SA"/>
        </w:rPr>
        <w:t>（二）主要起草单位和工作组成员</w:t>
      </w:r>
      <w:bookmarkEnd w:id="2"/>
    </w:p>
    <w:p w14:paraId="53F65D8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主要起草单位：长治市中药材产业发展中心、中国标准化研究院等。</w:t>
      </w:r>
    </w:p>
    <w:p w14:paraId="1A24589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eastAsia="en-US"/>
        </w:rPr>
        <w:t>主要</w:t>
      </w:r>
      <w:r>
        <w:rPr>
          <w:rFonts w:hint="eastAsia" w:ascii="Times New Roman" w:hAnsi="Times New Roman" w:eastAsia="FangSong_GB2312" w:cs="FangSong_GB2312"/>
          <w:snapToGrid w:val="0"/>
          <w:color w:val="000000"/>
          <w:spacing w:val="5"/>
          <w:kern w:val="0"/>
          <w:sz w:val="31"/>
          <w:szCs w:val="31"/>
          <w:lang w:val="en-US" w:eastAsia="en-US"/>
        </w:rPr>
        <w:t>起草人</w:t>
      </w:r>
      <w:r>
        <w:rPr>
          <w:rFonts w:hint="eastAsia" w:ascii="Times New Roman" w:hAnsi="Times New Roman" w:eastAsia="FangSong_GB2312" w:cs="FangSong_GB2312"/>
          <w:snapToGrid w:val="0"/>
          <w:color w:val="000000"/>
          <w:spacing w:val="5"/>
          <w:kern w:val="0"/>
          <w:sz w:val="31"/>
          <w:szCs w:val="31"/>
          <w:lang w:eastAsia="en-US"/>
        </w:rPr>
        <w:t>：武东、王军霞、王伟、初侨、燕艳华、陈萌</w:t>
      </w:r>
      <w:r>
        <w:rPr>
          <w:rFonts w:hint="eastAsia" w:ascii="Times New Roman" w:hAnsi="Times New Roman" w:eastAsia="FangSong_GB2312" w:cs="FangSong_GB2312"/>
          <w:snapToGrid w:val="0"/>
          <w:color w:val="000000"/>
          <w:spacing w:val="5"/>
          <w:kern w:val="0"/>
          <w:sz w:val="31"/>
          <w:szCs w:val="31"/>
          <w:lang w:val="en-US" w:eastAsia="zh-CN"/>
        </w:rPr>
        <w:t>。</w:t>
      </w:r>
      <w:bookmarkStart w:id="3" w:name="_Toc2430"/>
    </w:p>
    <w:p w14:paraId="1AB461C4">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r>
        <w:rPr>
          <w:rFonts w:hint="default" w:ascii="Times New Roman" w:hAnsi="Times New Roman" w:eastAsia="黑体" w:cs="Arial"/>
          <w:snapToGrid w:val="0"/>
          <w:color w:val="000000"/>
          <w:kern w:val="0"/>
          <w:sz w:val="28"/>
          <w:szCs w:val="21"/>
          <w:lang w:val="en-US" w:eastAsia="en-US" w:bidi="ar-SA"/>
        </w:rPr>
        <w:t>（三）</w:t>
      </w:r>
      <w:r>
        <w:rPr>
          <w:rFonts w:hint="eastAsia" w:ascii="Times New Roman" w:hAnsi="Times New Roman" w:eastAsia="黑体" w:cs="Arial"/>
          <w:snapToGrid w:val="0"/>
          <w:color w:val="000000"/>
          <w:kern w:val="0"/>
          <w:sz w:val="28"/>
          <w:szCs w:val="21"/>
          <w:lang w:val="en-US" w:eastAsia="zh-CN" w:bidi="ar-SA"/>
        </w:rPr>
        <w:t>编制</w:t>
      </w:r>
      <w:r>
        <w:rPr>
          <w:rFonts w:hint="default" w:ascii="Times New Roman" w:hAnsi="Times New Roman" w:eastAsia="黑体" w:cs="Arial"/>
          <w:snapToGrid w:val="0"/>
          <w:color w:val="000000"/>
          <w:kern w:val="0"/>
          <w:sz w:val="28"/>
          <w:szCs w:val="21"/>
          <w:lang w:val="en-US" w:eastAsia="en-US" w:bidi="ar-SA"/>
        </w:rPr>
        <w:t>背景</w:t>
      </w:r>
    </w:p>
    <w:p w14:paraId="3227FE2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本标准的制定立足于我国中医药事业振兴发展与农业供给侧结构性改革的时代背景。随着《中医药发展战略规划纲要（2016</w:t>
      </w:r>
      <w:r>
        <w:rPr>
          <w:rFonts w:hint="eastAsia" w:ascii="Times New Roman" w:hAnsi="Times New Roman" w:eastAsia="FangSong_GB2312" w:cs="FangSong_GB2312"/>
          <w:snapToGrid w:val="0"/>
          <w:color w:val="000000"/>
          <w:spacing w:val="5"/>
          <w:kern w:val="0"/>
          <w:sz w:val="31"/>
          <w:szCs w:val="31"/>
          <w:lang w:val="en-US" w:eastAsia="zh-CN"/>
        </w:rPr>
        <w:t>—</w:t>
      </w:r>
      <w:r>
        <w:rPr>
          <w:rFonts w:hint="default" w:ascii="Times New Roman" w:hAnsi="Times New Roman" w:eastAsia="FangSong_GB2312" w:cs="FangSong_GB2312"/>
          <w:snapToGrid w:val="0"/>
          <w:color w:val="000000"/>
          <w:spacing w:val="5"/>
          <w:kern w:val="0"/>
          <w:sz w:val="31"/>
          <w:szCs w:val="31"/>
          <w:lang w:val="en-US" w:eastAsia="en-US"/>
        </w:rPr>
        <w:t>2030年）》《“十四五”中医药发展规划》等政策相继出台，道地药材的标准化、规范化生产被提升至国家战略高度。潞党参作为道地药材，其药效与仓储流通条件密切相关。不规范的温湿度控制、包装运输方式易导致霉变、有效成分流失等问题，亟需统一技术规范。随着中药材市场监管趋严，具备标准化支撑的产品更易通过检验认证，当前潞党参产业在仓储与流通环节缺乏统一标准，企业操作随意性强，制约了规模化、品牌化发展。</w:t>
      </w:r>
    </w:p>
    <w:p w14:paraId="1F9564A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本标准制定目的在于明确潞党参在采收后处理、贮存环境（如温湿度、通风）、包装材料、运输条件等方面的技术参数。将仓储流通环节与种植、加工、质量检测等标准对接，形成闭环管理，提升整体标准化水平。</w:t>
      </w:r>
    </w:p>
    <w:p w14:paraId="3BF27DC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eastAsia="en-US"/>
        </w:rPr>
      </w:pPr>
      <w:r>
        <w:rPr>
          <w:rFonts w:hint="default" w:ascii="Times New Roman" w:hAnsi="Times New Roman" w:eastAsia="FangSong_GB2312" w:cs="FangSong_GB2312"/>
          <w:snapToGrid w:val="0"/>
          <w:color w:val="000000"/>
          <w:spacing w:val="5"/>
          <w:kern w:val="0"/>
          <w:sz w:val="31"/>
          <w:szCs w:val="31"/>
          <w:lang w:eastAsia="en-US"/>
        </w:rPr>
        <w:t>制定本标准的意义在于提升产品附加值、增强品牌影响力、促进产业融合。标准化仓储可显著延长保质期、保持药效稳定，增强市场议价能力；统一标准有助于打造“潞党参”区域公用品牌；为后续开展产地仓、智慧物流、溯源体系建设奠定基础，推动一二三产融合发展。</w:t>
      </w:r>
    </w:p>
    <w:p w14:paraId="424D7AE3">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bookmarkStart w:id="4" w:name="_Toc27311"/>
      <w:r>
        <w:rPr>
          <w:rFonts w:hint="default" w:ascii="Times New Roman" w:hAnsi="Times New Roman" w:eastAsia="黑体" w:cs="Arial"/>
          <w:snapToGrid w:val="0"/>
          <w:color w:val="000000"/>
          <w:kern w:val="0"/>
          <w:sz w:val="28"/>
          <w:szCs w:val="21"/>
          <w:lang w:val="en-US" w:eastAsia="en-US" w:bidi="ar-SA"/>
        </w:rPr>
        <w:t>（</w:t>
      </w:r>
      <w:r>
        <w:rPr>
          <w:rFonts w:hint="eastAsia" w:ascii="Times New Roman" w:hAnsi="Times New Roman" w:eastAsia="黑体" w:cs="Arial"/>
          <w:snapToGrid w:val="0"/>
          <w:color w:val="000000"/>
          <w:kern w:val="0"/>
          <w:sz w:val="28"/>
          <w:szCs w:val="21"/>
          <w:lang w:val="en-US" w:eastAsia="zh-CN" w:bidi="ar-SA"/>
        </w:rPr>
        <w:t>四</w:t>
      </w:r>
      <w:r>
        <w:rPr>
          <w:rFonts w:hint="default" w:ascii="Times New Roman" w:hAnsi="Times New Roman" w:eastAsia="黑体" w:cs="Arial"/>
          <w:snapToGrid w:val="0"/>
          <w:color w:val="000000"/>
          <w:kern w:val="0"/>
          <w:sz w:val="28"/>
          <w:szCs w:val="21"/>
          <w:lang w:val="en-US" w:eastAsia="en-US" w:bidi="ar-SA"/>
        </w:rPr>
        <w:t>）编制原则</w:t>
      </w:r>
      <w:bookmarkEnd w:id="4"/>
    </w:p>
    <w:p w14:paraId="1BB0B76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本标准的编制严格遵循了科学性、</w:t>
      </w:r>
      <w:r>
        <w:rPr>
          <w:rFonts w:hint="eastAsia" w:ascii="Times New Roman" w:hAnsi="Times New Roman" w:eastAsia="FangSong_GB2312" w:cs="FangSong_GB2312"/>
          <w:snapToGrid w:val="0"/>
          <w:color w:val="000000"/>
          <w:spacing w:val="5"/>
          <w:kern w:val="0"/>
          <w:sz w:val="31"/>
          <w:szCs w:val="31"/>
          <w:lang w:val="en-US" w:eastAsia="zh-CN"/>
        </w:rPr>
        <w:t>实用</w:t>
      </w:r>
      <w:r>
        <w:rPr>
          <w:rFonts w:hint="eastAsia" w:ascii="Times New Roman" w:hAnsi="Times New Roman" w:eastAsia="FangSong_GB2312" w:cs="FangSong_GB2312"/>
          <w:snapToGrid w:val="0"/>
          <w:color w:val="000000"/>
          <w:spacing w:val="5"/>
          <w:kern w:val="0"/>
          <w:sz w:val="31"/>
          <w:szCs w:val="31"/>
          <w:lang w:val="en-US" w:eastAsia="en-US"/>
        </w:rPr>
        <w:t>性、</w:t>
      </w:r>
      <w:r>
        <w:rPr>
          <w:rFonts w:hint="eastAsia" w:ascii="Times New Roman" w:hAnsi="Times New Roman" w:eastAsia="FangSong_GB2312" w:cs="FangSong_GB2312"/>
          <w:snapToGrid w:val="0"/>
          <w:color w:val="000000"/>
          <w:spacing w:val="5"/>
          <w:kern w:val="0"/>
          <w:sz w:val="31"/>
          <w:szCs w:val="31"/>
          <w:lang w:val="en-US" w:eastAsia="zh-CN"/>
        </w:rPr>
        <w:t>规范</w:t>
      </w:r>
      <w:r>
        <w:rPr>
          <w:rFonts w:hint="eastAsia" w:ascii="Times New Roman" w:hAnsi="Times New Roman" w:eastAsia="FangSong_GB2312" w:cs="FangSong_GB2312"/>
          <w:snapToGrid w:val="0"/>
          <w:color w:val="000000"/>
          <w:spacing w:val="5"/>
          <w:kern w:val="0"/>
          <w:sz w:val="31"/>
          <w:szCs w:val="31"/>
          <w:lang w:val="en-US" w:eastAsia="en-US"/>
        </w:rPr>
        <w:t>性与</w:t>
      </w:r>
      <w:r>
        <w:rPr>
          <w:rFonts w:hint="eastAsia" w:ascii="Times New Roman" w:hAnsi="Times New Roman" w:eastAsia="FangSong_GB2312" w:cs="FangSong_GB2312"/>
          <w:snapToGrid w:val="0"/>
          <w:color w:val="000000"/>
          <w:spacing w:val="5"/>
          <w:kern w:val="0"/>
          <w:sz w:val="31"/>
          <w:szCs w:val="31"/>
          <w:lang w:val="en-US" w:eastAsia="zh-CN"/>
        </w:rPr>
        <w:t>前瞻</w:t>
      </w:r>
      <w:r>
        <w:rPr>
          <w:rFonts w:hint="eastAsia" w:ascii="Times New Roman" w:hAnsi="Times New Roman" w:eastAsia="FangSong_GB2312" w:cs="FangSong_GB2312"/>
          <w:snapToGrid w:val="0"/>
          <w:color w:val="000000"/>
          <w:spacing w:val="5"/>
          <w:kern w:val="0"/>
          <w:sz w:val="31"/>
          <w:szCs w:val="31"/>
          <w:lang w:val="en-US" w:eastAsia="en-US"/>
        </w:rPr>
        <w:t>性</w:t>
      </w:r>
      <w:r>
        <w:rPr>
          <w:rFonts w:hint="eastAsia" w:ascii="Times New Roman" w:hAnsi="Times New Roman" w:eastAsia="FangSong_GB2312" w:cs="FangSong_GB2312"/>
          <w:snapToGrid w:val="0"/>
          <w:color w:val="000000"/>
          <w:spacing w:val="5"/>
          <w:kern w:val="0"/>
          <w:sz w:val="31"/>
          <w:szCs w:val="31"/>
          <w:lang w:val="en-US" w:eastAsia="zh-CN"/>
        </w:rPr>
        <w:t>四</w:t>
      </w:r>
      <w:r>
        <w:rPr>
          <w:rFonts w:hint="eastAsia" w:ascii="Times New Roman" w:hAnsi="Times New Roman" w:eastAsia="FangSong_GB2312" w:cs="FangSong_GB2312"/>
          <w:snapToGrid w:val="0"/>
          <w:color w:val="000000"/>
          <w:spacing w:val="5"/>
          <w:kern w:val="0"/>
          <w:sz w:val="31"/>
          <w:szCs w:val="31"/>
          <w:lang w:val="en-US" w:eastAsia="en-US"/>
        </w:rPr>
        <w:t>大核心原则。</w:t>
      </w:r>
    </w:p>
    <w:p w14:paraId="7629DC7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科学性原则：标准编制以潞党参的生物学特性、药用成分特点为基础，结合现代仓储流通技术，充分参考国内外相关中药材仓储流通标准，确保各项技术要求科学合理、符合实际。</w:t>
      </w:r>
    </w:p>
    <w:p w14:paraId="74464A4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实用性原则：立足潞党参产业发展现状，充分考虑仓储流通企业的实际运营情况，制定的技术规范具有较强的可操作性，便于企业理解和执行。</w:t>
      </w:r>
    </w:p>
    <w:p w14:paraId="5AD6A3E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规范性原则：严格遵循国家和行业有关标准编制的规定，标准结构、格式、术语等符合规范要求，确保标准的规范性和严谨性。</w:t>
      </w:r>
    </w:p>
    <w:p w14:paraId="260418A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en-US"/>
        </w:rPr>
        <w:t>前瞻性原则：在满足当前潞党参仓储流通需求的同时，兼顾产业未来发展趋势，适当引入先进的仓储流通理念和技术，为产业升级预留空间。</w:t>
      </w:r>
    </w:p>
    <w:p w14:paraId="4EB1EB25">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r>
        <w:rPr>
          <w:rFonts w:ascii="Times New Roman" w:hAnsi="Times New Roman" w:eastAsia="黑体" w:cs="Arial"/>
          <w:b w:val="0"/>
          <w:snapToGrid w:val="0"/>
          <w:color w:val="000000"/>
          <w:kern w:val="0"/>
          <w:sz w:val="28"/>
          <w:szCs w:val="21"/>
          <w:lang w:val="en-US" w:eastAsia="en-US" w:bidi="ar-SA"/>
        </w:rPr>
        <w:t>（</w:t>
      </w:r>
      <w:r>
        <w:rPr>
          <w:rFonts w:hint="eastAsia" w:ascii="Times New Roman" w:hAnsi="Times New Roman" w:eastAsia="黑体" w:cs="Arial"/>
          <w:b w:val="0"/>
          <w:snapToGrid w:val="0"/>
          <w:color w:val="000000"/>
          <w:kern w:val="0"/>
          <w:sz w:val="28"/>
          <w:szCs w:val="21"/>
          <w:lang w:val="en-US" w:eastAsia="zh-CN" w:bidi="ar-SA"/>
        </w:rPr>
        <w:t>五</w:t>
      </w:r>
      <w:r>
        <w:rPr>
          <w:rFonts w:ascii="Times New Roman" w:hAnsi="Times New Roman" w:eastAsia="黑体" w:cs="Arial"/>
          <w:b w:val="0"/>
          <w:snapToGrid w:val="0"/>
          <w:color w:val="000000"/>
          <w:kern w:val="0"/>
          <w:sz w:val="28"/>
          <w:szCs w:val="21"/>
          <w:lang w:val="en-US" w:eastAsia="en-US" w:bidi="ar-SA"/>
        </w:rPr>
        <w:t>）主要编制过程</w:t>
      </w:r>
      <w:bookmarkEnd w:id="3"/>
    </w:p>
    <w:p w14:paraId="24C3E748">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 潞党参仓储流通技术规范》团体标准的研制工作严格遵循《团体标准管理规定》及GB/T 1.1-2020的要求，紧密结合国家关于中医药发展、乡村振兴与农业标准化的政策精神，在中国中医药研究促进会的统一组织下，系统开展了前期研究、框架设计、草案起草、意见征集和修改完善等工作。编制过程主要如下：</w:t>
      </w:r>
    </w:p>
    <w:p w14:paraId="4378C90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1、组织团队，启动研制</w:t>
      </w:r>
    </w:p>
    <w:p w14:paraId="3AC564E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经中国中医药研究促进会审议批准立项后，协会牵头组建了标准起草工作组。工作组汇聚了来自长治市中药材产业发展中心、中国标准化研究院以及产区农业技术推广部门、代表性种植企业等单位的专家。工作组召开了项目启动会，明确了标准定位为潞党参从产地加工完成后至终端销售前的仓储与流通过程的技术规范，并确定了标准的核心框架应涵盖潞党参仓储环境控制、入库检验、贮藏养护、包装运输等全流程的技术要求等关键板块。</w:t>
      </w:r>
    </w:p>
    <w:p w14:paraId="2221464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2、开展调研，优化框架</w:t>
      </w:r>
    </w:p>
    <w:p w14:paraId="584DBFD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为确保标准内容紧贴产区实际，起草工作组深入长治市平顺县、武乡县、沁源县等主产区开展了广泛调研。调研采用实地走访、座谈交流相结合的方式，覆盖了家庭农场、中小型合作社、龙头企业等不同规模经营主体。通过调研，工作组深入了解了各类主体在潞党参仓储和流通方面的现状、困难与需求。基于实地调研反馈，充分结合现行中药材仓储流通标准，工作组对标准框架进行了多轮优化，重点分析了潞党参与其他中药材仓储流通的差异性问题，规划了针对潞党参独立的潞党参预存区、外观检验和质量</w:t>
      </w:r>
      <w:r>
        <w:rPr>
          <w:rFonts w:hint="eastAsia" w:ascii="Times New Roman" w:hAnsi="Times New Roman" w:eastAsia="FangSong_GB2312" w:cs="FangSong_GB2312"/>
          <w:snapToGrid w:val="0"/>
          <w:color w:val="000000"/>
          <w:spacing w:val="5"/>
          <w:kern w:val="0"/>
          <w:sz w:val="31"/>
          <w:szCs w:val="31"/>
          <w:lang w:val="en-US" w:eastAsia="zh-CN"/>
        </w:rPr>
        <w:t>检验</w:t>
      </w:r>
      <w:r>
        <w:rPr>
          <w:rFonts w:hint="eastAsia" w:ascii="Times New Roman" w:hAnsi="Times New Roman" w:eastAsia="FangSong_GB2312" w:cs="FangSong_GB2312"/>
          <w:snapToGrid w:val="0"/>
          <w:color w:val="000000"/>
          <w:spacing w:val="5"/>
          <w:kern w:val="0"/>
          <w:sz w:val="31"/>
          <w:szCs w:val="31"/>
          <w:lang w:val="en-US" w:eastAsia="zh-CN"/>
        </w:rPr>
        <w:t>指标等章节，使标准更具有适用性。</w:t>
      </w:r>
    </w:p>
    <w:p w14:paraId="23FA309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2、完善文本，形成标准征求意见稿</w:t>
      </w:r>
    </w:p>
    <w:p w14:paraId="6D47335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5月，起草工作组召开了专家研讨会，邀请中药材种植、标准化、质量管理等领域的专家学者参加。会议重点围绕标准的科学性、指标设置的合理性、与现行地方标准的衔接性等核心问题进行了深入讨论。根据研讨会意见，工作组对标准文本进行了逐条修改完善，编制完成了《</w:t>
      </w:r>
      <w:sdt>
        <w:sdtPr>
          <w:rPr>
            <w:rFonts w:hint="eastAsia" w:ascii="Times New Roman" w:hAnsi="Times New Roman" w:eastAsia="FangSong_GB2312" w:cs="FangSong_GB2312"/>
            <w:snapToGrid w:val="0"/>
            <w:color w:val="000000"/>
            <w:spacing w:val="5"/>
            <w:kern w:val="0"/>
            <w:sz w:val="31"/>
            <w:szCs w:val="31"/>
            <w:lang w:val="en-US" w:eastAsia="zh-CN"/>
          </w:rPr>
          <w:tag w:val="NEW_STAND_NAME"/>
          <w:id w:val="595910757"/>
          <w:lock w:val="sdtLocked"/>
          <w:placeholder>
            <w:docPart w:val="{277c295c-b4ef-426a-b930-dff665ee3748}"/>
          </w:placeholder>
        </w:sdtPr>
        <w:sdtEndPr>
          <w:rPr>
            <w:rFonts w:hint="eastAsia" w:ascii="Times New Roman" w:hAnsi="Times New Roman" w:eastAsia="FangSong_GB2312" w:cs="FangSong_GB2312"/>
            <w:snapToGrid w:val="0"/>
            <w:color w:val="000000"/>
            <w:spacing w:val="5"/>
            <w:kern w:val="0"/>
            <w:sz w:val="31"/>
            <w:szCs w:val="31"/>
            <w:lang w:val="en-US" w:eastAsia="zh-CN"/>
          </w:rPr>
        </w:sdtEndPr>
        <w:sdtContent>
          <w:sdt>
            <w:sdtPr>
              <w:rPr>
                <w:rFonts w:hint="eastAsia" w:ascii="Times New Roman" w:hAnsi="Times New Roman" w:eastAsia="FangSong_GB2312" w:cs="FangSong_GB2312"/>
                <w:snapToGrid w:val="0"/>
                <w:color w:val="000000"/>
                <w:spacing w:val="5"/>
                <w:kern w:val="0"/>
                <w:sz w:val="31"/>
                <w:szCs w:val="31"/>
                <w:lang w:val="en-US" w:eastAsia="zh-CN"/>
              </w:rPr>
              <w:tag w:val="NEW_STAND_NAME"/>
              <w:id w:val="147464364"/>
              <w:lock w:val="sdtLocked"/>
              <w:placeholder>
                <w:docPart w:val="{00054f65-6600-42ac-b90c-aa2ae0c1461e}"/>
              </w:placeholder>
            </w:sdtPr>
            <w:sdtContent>
              <w:r>
                <w:rPr>
                  <w:rFonts w:hint="eastAsia" w:ascii="Times New Roman" w:hAnsi="Times New Roman" w:eastAsia="FangSong_GB2312" w:cs="FangSong_GB2312"/>
                  <w:snapToGrid w:val="0"/>
                  <w:color w:val="000000"/>
                  <w:spacing w:val="5"/>
                  <w:kern w:val="0"/>
                  <w:sz w:val="31"/>
                  <w:szCs w:val="31"/>
                  <w:lang w:val="en-US" w:eastAsia="en-US"/>
                </w:rPr>
                <w:t>潞党参仓储流通技术规范</w:t>
              </w:r>
            </w:sdtContent>
          </w:sdt>
        </w:sdtContent>
      </w:sdt>
      <w:r>
        <w:rPr>
          <w:rFonts w:hint="eastAsia" w:ascii="Times New Roman" w:hAnsi="Times New Roman" w:eastAsia="FangSong_GB2312" w:cs="FangSong_GB2312"/>
          <w:snapToGrid w:val="0"/>
          <w:color w:val="000000"/>
          <w:spacing w:val="5"/>
          <w:kern w:val="0"/>
          <w:sz w:val="31"/>
          <w:szCs w:val="31"/>
          <w:lang w:val="en-US" w:eastAsia="zh-CN"/>
        </w:rPr>
        <w:t>（征求意见稿）》，并按规定程序准备面向全社会公开征求意见。</w:t>
      </w:r>
      <w:bookmarkStart w:id="5" w:name="_Toc17761"/>
    </w:p>
    <w:p w14:paraId="7904C0A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02" w:firstLineChars="200"/>
        <w:jc w:val="left"/>
        <w:textAlignment w:val="baseline"/>
        <w:rPr>
          <w:rFonts w:ascii="Times New Roman" w:hAnsi="Times New Roman" w:eastAsia="黑体" w:cs="Arial"/>
          <w:b/>
          <w:snapToGrid w:val="0"/>
          <w:color w:val="000000"/>
          <w:kern w:val="44"/>
          <w:sz w:val="30"/>
          <w:szCs w:val="21"/>
          <w:lang w:val="en-US" w:eastAsia="en-US" w:bidi="ar-SA"/>
        </w:rPr>
      </w:pPr>
      <w:r>
        <w:rPr>
          <w:rFonts w:ascii="Times New Roman" w:hAnsi="Times New Roman" w:eastAsia="黑体" w:cs="Arial"/>
          <w:b/>
          <w:snapToGrid w:val="0"/>
          <w:color w:val="000000"/>
          <w:kern w:val="44"/>
          <w:sz w:val="30"/>
          <w:szCs w:val="21"/>
          <w:lang w:val="en-US" w:eastAsia="en-US" w:bidi="ar-SA"/>
        </w:rPr>
        <w:t>二、主要内容及其确定依据</w:t>
      </w:r>
      <w:bookmarkEnd w:id="5"/>
    </w:p>
    <w:p w14:paraId="7E6F13EA">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bookmarkStart w:id="6" w:name="_Toc3995"/>
      <w:r>
        <w:rPr>
          <w:rFonts w:hint="eastAsia" w:ascii="Times New Roman" w:hAnsi="Times New Roman" w:eastAsia="黑体" w:cs="Arial"/>
          <w:snapToGrid w:val="0"/>
          <w:color w:val="000000"/>
          <w:kern w:val="0"/>
          <w:sz w:val="28"/>
          <w:szCs w:val="21"/>
          <w:lang w:val="en-US" w:eastAsia="zh-CN" w:bidi="ar-SA"/>
        </w:rPr>
        <w:t>1.主要依据与来源</w:t>
      </w:r>
      <w:bookmarkEnd w:id="6"/>
    </w:p>
    <w:p w14:paraId="5777BB2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bookmarkStart w:id="7" w:name="_Toc25502"/>
      <w:r>
        <w:rPr>
          <w:rFonts w:hint="eastAsia" w:ascii="Times New Roman" w:hAnsi="Times New Roman" w:eastAsia="FangSong_GB2312" w:cs="FangSong_GB2312"/>
          <w:snapToGrid w:val="0"/>
          <w:color w:val="000000"/>
          <w:spacing w:val="5"/>
          <w:kern w:val="0"/>
          <w:sz w:val="31"/>
          <w:szCs w:val="31"/>
          <w:lang w:val="en-US" w:eastAsia="zh-CN"/>
        </w:rPr>
        <w:t>政策依据。《中华人民共和国标准化法》：明确团体标准的法律地位，规定标准制定应以保障健康、安全、生态环境为基本要求。《中华人民共和国药品管理法》：强调中药材全链条质量管理责任，要求建立可追溯体系，确保来源可查、去向可追。《“十四五”中医药发展规划》：提出推动道地药材标准化、规范化发展，支持地方和团体制定关键环节技术标准，提升产业整体水平。</w:t>
      </w:r>
    </w:p>
    <w:p w14:paraId="6A87618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实践依据。通过对潞党参主产区仓储流通企业的广泛调研，充分了解企业在实际运营中的痛点和需求，使标准内容紧密贴合产业实际，具有较强的针对性和可操作性。</w:t>
      </w:r>
    </w:p>
    <w:p w14:paraId="32AD223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技术依据。广泛参考和引用了《中华人民共和国药典》、《中药材生产质量管理规范》（GAP）、《药品经营质量管理规范》（GSP）、SB/T 11094 《</w:t>
      </w:r>
      <w:r>
        <w:rPr>
          <w:rFonts w:hint="eastAsia" w:ascii="Times New Roman" w:hAnsi="Times New Roman" w:eastAsia="FangSong_GB2312" w:cs="FangSong_GB2312"/>
          <w:snapToGrid w:val="0"/>
          <w:color w:val="000000"/>
          <w:spacing w:val="5"/>
          <w:kern w:val="0"/>
          <w:sz w:val="31"/>
          <w:szCs w:val="31"/>
          <w:lang w:val="en-US" w:eastAsia="zh-CN"/>
        </w:rPr>
        <w:t>中药材仓储管理规范</w:t>
      </w:r>
      <w:r>
        <w:rPr>
          <w:rFonts w:hint="eastAsia" w:ascii="Times New Roman" w:hAnsi="Times New Roman" w:eastAsia="FangSong_GB2312" w:cs="FangSong_GB2312"/>
          <w:snapToGrid w:val="0"/>
          <w:color w:val="000000"/>
          <w:spacing w:val="5"/>
          <w:kern w:val="0"/>
          <w:sz w:val="31"/>
          <w:szCs w:val="31"/>
          <w:lang w:val="en-US" w:eastAsia="zh-CN"/>
        </w:rPr>
        <w:t>》、SB/T 11095 《</w:t>
      </w:r>
      <w:r>
        <w:rPr>
          <w:rFonts w:hint="eastAsia" w:ascii="Times New Roman" w:hAnsi="Times New Roman" w:eastAsia="FangSong_GB2312" w:cs="FangSong_GB2312"/>
          <w:snapToGrid w:val="0"/>
          <w:color w:val="000000"/>
          <w:spacing w:val="5"/>
          <w:kern w:val="0"/>
          <w:sz w:val="31"/>
          <w:szCs w:val="31"/>
          <w:lang w:val="en-US" w:eastAsia="zh-CN"/>
        </w:rPr>
        <w:t>中药材仓库技术规范</w:t>
      </w:r>
      <w:r>
        <w:rPr>
          <w:rFonts w:hint="eastAsia" w:ascii="Times New Roman" w:hAnsi="Times New Roman" w:eastAsia="FangSong_GB2312" w:cs="FangSong_GB2312"/>
          <w:snapToGrid w:val="0"/>
          <w:color w:val="000000"/>
          <w:spacing w:val="5"/>
          <w:kern w:val="0"/>
          <w:sz w:val="31"/>
          <w:szCs w:val="31"/>
          <w:lang w:val="en-US" w:eastAsia="zh-CN"/>
        </w:rPr>
        <w:t>》、SB/T 11182 《</w:t>
      </w:r>
      <w:r>
        <w:rPr>
          <w:rFonts w:hint="eastAsia" w:ascii="Times New Roman" w:hAnsi="Times New Roman" w:eastAsia="FangSong_GB2312" w:cs="FangSong_GB2312"/>
          <w:snapToGrid w:val="0"/>
          <w:color w:val="000000"/>
          <w:spacing w:val="5"/>
          <w:kern w:val="0"/>
          <w:sz w:val="31"/>
          <w:szCs w:val="31"/>
          <w:lang w:val="en-US" w:eastAsia="zh-CN"/>
        </w:rPr>
        <w:t>中药材包装技术规范</w:t>
      </w:r>
      <w:r>
        <w:rPr>
          <w:rFonts w:hint="eastAsia" w:ascii="Times New Roman" w:hAnsi="Times New Roman" w:eastAsia="FangSong_GB2312" w:cs="FangSong_GB2312"/>
          <w:snapToGrid w:val="0"/>
          <w:color w:val="000000"/>
          <w:spacing w:val="5"/>
          <w:kern w:val="0"/>
          <w:sz w:val="31"/>
          <w:szCs w:val="31"/>
          <w:lang w:val="en-US" w:eastAsia="zh-CN"/>
        </w:rPr>
        <w:t>》。本标准在已有技术规程的基础上，从“潞党参预存区”和“入库检验”的角度进行补充和提升，与技术规程形成配套关系。</w:t>
      </w:r>
    </w:p>
    <w:p w14:paraId="3348D46F">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r>
        <w:rPr>
          <w:rFonts w:hint="eastAsia" w:ascii="Times New Roman" w:hAnsi="Times New Roman" w:eastAsia="黑体" w:cs="Arial"/>
          <w:snapToGrid w:val="0"/>
          <w:color w:val="000000"/>
          <w:kern w:val="0"/>
          <w:sz w:val="28"/>
          <w:szCs w:val="21"/>
          <w:lang w:val="en-US" w:eastAsia="zh-CN" w:bidi="ar-SA"/>
        </w:rPr>
        <w:t>2.主要技术内容</w:t>
      </w:r>
      <w:bookmarkEnd w:id="7"/>
    </w:p>
    <w:p w14:paraId="4693966A">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（1）范围</w:t>
      </w:r>
    </w:p>
    <w:p w14:paraId="27A745BB">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本文件规定了潞党参仓储环境控制、入库检验、贮藏养护、包装运输等全流程的技术要求。本文件适用于潞党参从产地加工完成后至终端销售前的仓储与流通过程。</w:t>
      </w:r>
    </w:p>
    <w:p w14:paraId="6267E84D">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（2）术语和定义</w:t>
      </w:r>
    </w:p>
    <w:p w14:paraId="5F8A055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界定了“仓储流通”1个核心术语。此处定义旨在将其在本文件中的范围精确限定为“从产地加工完成后到交付终端用户的全过程”，明确了包括入库、贮藏、运输等关键子环节，为后续条款的展开奠定概念基础。</w:t>
      </w:r>
    </w:p>
    <w:p w14:paraId="0B1A22BA">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（3）仓储环境控制</w:t>
      </w:r>
    </w:p>
    <w:p w14:paraId="342A580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的编写依据和思路立足于为潞党参提供一个物理上安全、稳定、可控的贮藏环境。其主要依据源自《中药材仓库技术规范》等行业操作标准，并结合潞党参的物料特性（根茎类、易吸湿生虫、有效成分怕光热）。编写思路遵循风险管理原则，从源头、储存条件到日常维护进行全面控制：在‌选址与布局‌上，借鉴GAP对药材不受污染的源头控制理念；在‌温湿度控制‌上，参考中药材适宜贮藏环境的研究数据，并结合GSP关于温湿度监控的要求，设定科学区间并强调连续监测和自动记录，是实现质量可控的核心措施；在‌通风与照明‌上，则遵循仓库安全规范和药材保护的原则，防止因空气污浊或光照不当导致的药材变质。</w:t>
      </w:r>
    </w:p>
    <w:p w14:paraId="7BAC057D">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（4）入库检验</w:t>
      </w:r>
    </w:p>
    <w:p w14:paraId="2D6F2F6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编写依据首先是《中华人民共和国药典》，这是检验项目、方法和指标的法定基础。其制定思路旨在构建一个从人员准备到结果处理的闭环质量控制前端。在‌验收准备‌环节，依据“人机法环”质量控制要素，强调人员和设备的准备；在‌外观与标识检验‌环节，依据《药典》性状描述和《产品质量法》对可追溯性的要求；在‌质量指标检验‌环节，严格遵循《药典》规定的水分、杂质及党参炔苷的检测方法和限量指标，确保检验的科学性和法定效力；最后通过‌验收结果处理‌，将合格品与不合格品分流，确保不合格品被隔离，防止其流入后续环节，这借鉴了药品经营质量管理规范（GSP）对不合格品管理的控制要求。</w:t>
      </w:r>
    </w:p>
    <w:p w14:paraId="384BD112">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（5）储藏养护</w:t>
      </w:r>
    </w:p>
    <w:p w14:paraId="6C4C7ED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的思路是确保潞党参在仓储期间得到持续、有效的科学养护，以维持其质量稳定。其依据来源于《中药材仓储管理规范》等标准和中药材贮藏的实践经验。在‌堆码要求‌部分，依据现代仓储管理的分类、先进先出原则和消防安全规定，设定分区、垫板和通道要求，旨在实现管理有序、保障安全并利于通风。在‌养护措施‌部分，基于药材贮藏周期长、易生虫霉变的风险，结合传统经验与现代绿色养护技术，确定了定期检查、物理/化学防虫防霉、环境纠偏等措施，体现了主动预防与及时干预相结合的思想。在‌不合格品处理‌部分，延续了质量管理的“纠正与预防措施”思路，强调了从“隔离、标识”到“原因分析、纠正预防”的闭环管理过程，旨在不断提升仓储管理水平。</w:t>
      </w:r>
    </w:p>
    <w:p w14:paraId="6FA664CE">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（6）包装运输</w:t>
      </w:r>
    </w:p>
    <w:p w14:paraId="73E67F1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的编写依据潞党参脱离可控仓储环境后进入动态物流环节的特点。主要依据《中药材包装技术规范》以及药品流通和一般物流管理的要求。其思路是弥补环境变化的不可控性，通过可靠的包装和运输管理建立一道新的质量保障体系。‌包装要求‌中，强调包装材料的合规性、防护性能和标签信息完整性，旨在保护药材并确保基本追溯信息在流通中不丢失。‌运输要求‌则将贮藏期间的环境控制适当放宽至更符合实际物流条件的温湿度范围，并结合了防雨、防晒、防震动等具体措施，以及运输过程记录，以实现物流过程的追溯管理。‌装卸搬运‌则针对药材易破损的物理特性，要求“轻拿轻放”和人员培训，旨在防止最后一个操作环节造成的人为损耗。</w:t>
      </w:r>
    </w:p>
    <w:p w14:paraId="06B5C3BA">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（7）记录与追溯</w:t>
      </w:r>
    </w:p>
    <w:p w14:paraId="11C292B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default" w:ascii="Times New Roman" w:hAnsi="Times New Roman" w:eastAsia="FangSong_GB2312" w:cs="FangSong_GB2312"/>
          <w:snapToGrid w:val="0"/>
          <w:color w:val="000000"/>
          <w:spacing w:val="5"/>
          <w:kern w:val="0"/>
          <w:sz w:val="31"/>
          <w:szCs w:val="31"/>
          <w:lang w:val="en-US" w:eastAsia="zh-CN"/>
        </w:rPr>
        <w:t>本章是基于国家药品质量管理规范中“一切行为有记录，所有记录可追溯”的核心理念。依据《中华人民共和国药品管理法》及《关于加快推进重要产品追溯体系建设的意见》等法规政策对食品药品安全可追溯的强制性要求。构建一个贯穿仓储流通全过程的质量信息闭环，从执行与证明两个维度进行设计。‌记录管理‌部分要求对入库、养护、出库等所有关键操作留下书面或电子凭证，并规定保存期限（不少于3年），这既是对操作规范的执行记录，也是事后追溯、责任界定和质量分析的基础档案。‌追溯体系‌部分则是对记录的升华和应用，强调要利用信息化技术整合上游环节数据，实现从仓储流通节点向上游种植、加工和向下游流通的全程质量串联，旨在建立透明的质量链条，快速定位和处置潜在风险，从根本上保障潞党参的可靠性和品牌信誉。</w:t>
      </w:r>
    </w:p>
    <w:p w14:paraId="7893A989">
      <w:pPr>
        <w:widowControl/>
        <w:kinsoku w:val="0"/>
        <w:autoSpaceDE w:val="0"/>
        <w:autoSpaceDN w:val="0"/>
        <w:adjustRightInd w:val="0"/>
        <w:snapToGrid w:val="0"/>
        <w:spacing w:before="207" w:line="350" w:lineRule="auto"/>
        <w:ind w:firstLine="642" w:firstLineChars="200"/>
        <w:jc w:val="left"/>
        <w:textAlignment w:val="baseline"/>
        <w:rPr>
          <w:rFonts w:hint="default"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（8）监督与考核</w:t>
      </w:r>
    </w:p>
    <w:p w14:paraId="6BD40F08">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default" w:ascii="Times New Roman" w:hAnsi="Times New Roman" w:eastAsia="FangSong_GB2312" w:cs="FangSong_GB2312"/>
          <w:snapToGrid w:val="0"/>
          <w:color w:val="000000"/>
          <w:spacing w:val="5"/>
          <w:kern w:val="0"/>
          <w:sz w:val="31"/>
          <w:szCs w:val="31"/>
          <w:lang w:val="en-US" w:eastAsia="zh-CN"/>
        </w:rPr>
        <w:t>本章旨在建立标准有效实施的保障机制。其依据来源于《中华人民共和国标准化法》中对标准实施进行监督的要求，以及现代质量管理体系中“检查与改进”的持续循环原理。编写思路从两个层面构建监督网络：首先，通过‌内部监督‌条款，明确企业作为标准实施第一责任主体的职责，要求其建立自查、内审机制，形成自我驱动、持续改进的内部动力，这是标准能否落地生根的关键。其次，通过‌外部监督‌条款，呼应了行业监管和市场监督的现实要求，旨在与药品监督、质量技术监督等政府部门的法定监管职能相衔接，通过接受外部检查形成合规压力，共同推动标准的贯彻执行。本章的目标是形成一个内外结合、持续有效的监督与改进循环，确保本标准不仅是停留在纸面的文本，而能成为指导产业实践的活的规范。</w:t>
      </w:r>
    </w:p>
    <w:p w14:paraId="3BF93AF4">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8" w:name="_Toc5788"/>
      <w:r>
        <w:rPr>
          <w:rFonts w:ascii="Times New Roman" w:hAnsi="Times New Roman" w:eastAsia="黑体" w:cs="黑体"/>
          <w:b/>
          <w:snapToGrid w:val="0"/>
          <w:color w:val="000000"/>
          <w:spacing w:val="4"/>
          <w:kern w:val="44"/>
          <w:sz w:val="31"/>
          <w:szCs w:val="31"/>
          <w:lang w:val="en-US" w:eastAsia="en-US" w:bidi="ar-SA"/>
        </w:rPr>
        <w:t>三、标准试验验证情况分析，预期的经济效益、社会效益和生态效益</w:t>
      </w:r>
      <w:bookmarkEnd w:id="8"/>
    </w:p>
    <w:p w14:paraId="5FD876D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1.经济效益</w:t>
      </w:r>
    </w:p>
    <w:p w14:paraId="645C2B4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标准的实施将有效减少潞党参在仓储流通环节的损耗，规范的仓储流通管理能够保障潞党参品质稳定，提升产品市场竞争力，标准化的操作流程有助于企业优化仓储管理，减少人工成本和管理成本，提高运营效率，增强企业盈利能力。</w:t>
      </w:r>
    </w:p>
    <w:p w14:paraId="27EF106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2.社会效益</w:t>
      </w:r>
    </w:p>
    <w:p w14:paraId="4FE88E5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标准的实施将规范潞党参仓储流通全流程管理，有效防范质量安全风险，为消费者提供品质可靠的潞党参产品，保障公众用药安全。填补潞党参仓储流通领域标准空白，完善潞党参产业标准体系，引导产业向标准化、规范化方向发展，提升潞党参产业整体形象。潞党参品质提升和产业发展将带动种植户收入增加，助力乡村振兴，促进地方经济发展。</w:t>
      </w:r>
    </w:p>
    <w:p w14:paraId="619F6F9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val="en-US" w:eastAsia="zh-CN"/>
        </w:rPr>
      </w:pPr>
      <w:r>
        <w:rPr>
          <w:rFonts w:hint="eastAsia" w:ascii="Times New Roman" w:hAnsi="Times New Roman" w:eastAsia="FangSong_GB2312" w:cs="FangSong_GB2312"/>
          <w:snapToGrid w:val="0"/>
          <w:color w:val="000000"/>
          <w:spacing w:val="6"/>
          <w:kern w:val="0"/>
          <w:sz w:val="31"/>
          <w:szCs w:val="31"/>
          <w:lang w:val="en-US" w:eastAsia="zh-CN"/>
        </w:rPr>
        <w:t>3.生态效益</w:t>
      </w:r>
    </w:p>
    <w:p w14:paraId="5D5B6AD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20"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kern w:val="0"/>
          <w:sz w:val="31"/>
          <w:szCs w:val="31"/>
          <w:lang w:eastAsia="en-US"/>
        </w:rPr>
        <w:t>标准中倡导采用物理防治、生物防治等绿色防控技术进行虫害防治，减少化学药剂的使用量，降低对环境的污染。合理的仓储环境控制和运输管理要求，有助于减少能源消耗，提高资源利用效率，符合绿色发展理念。通过规范仓储流通管理，减少潞党参损耗，提高资源利用率，有利于保护潞党参道地药材资源，实现产业可持续发展。</w:t>
      </w:r>
    </w:p>
    <w:p w14:paraId="626A5549">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9" w:name="_Toc6811"/>
      <w:r>
        <w:rPr>
          <w:rFonts w:ascii="Times New Roman" w:hAnsi="Times New Roman" w:eastAsia="黑体" w:cs="黑体"/>
          <w:b/>
          <w:snapToGrid w:val="0"/>
          <w:color w:val="000000"/>
          <w:spacing w:val="4"/>
          <w:kern w:val="44"/>
          <w:sz w:val="31"/>
          <w:szCs w:val="31"/>
          <w:lang w:val="en-US" w:eastAsia="en-US" w:bidi="ar-SA"/>
        </w:rPr>
        <w:t>四、与国际、国外同类标准技术内容的对比情况，采用</w:t>
      </w:r>
      <w:r>
        <w:rPr>
          <w:rFonts w:ascii="Times New Roman" w:hAnsi="Times New Roman" w:eastAsia="黑体" w:cs="黑体"/>
          <w:b/>
          <w:snapToGrid w:val="0"/>
          <w:color w:val="000000"/>
          <w:spacing w:val="3"/>
          <w:kern w:val="44"/>
          <w:sz w:val="31"/>
          <w:szCs w:val="31"/>
          <w:lang w:val="en-US" w:eastAsia="en-US" w:bidi="ar-SA"/>
        </w:rPr>
        <w:t>国际</w:t>
      </w:r>
      <w:r>
        <w:rPr>
          <w:rFonts w:ascii="Times New Roman" w:hAnsi="Times New Roman" w:eastAsia="黑体" w:cs="黑体"/>
          <w:b/>
          <w:snapToGrid w:val="0"/>
          <w:color w:val="000000"/>
          <w:spacing w:val="9"/>
          <w:kern w:val="44"/>
          <w:sz w:val="31"/>
          <w:szCs w:val="31"/>
          <w:lang w:val="en-US" w:eastAsia="en-US" w:bidi="ar-SA"/>
        </w:rPr>
        <w:t>标准和国外先进标准情况</w:t>
      </w:r>
      <w:bookmarkEnd w:id="9"/>
    </w:p>
    <w:p w14:paraId="7204805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52"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8"/>
          <w:kern w:val="0"/>
          <w:sz w:val="31"/>
          <w:szCs w:val="31"/>
          <w:lang w:eastAsia="en-US"/>
        </w:rPr>
        <w:t>未发现与本文件同类的国际、国外标准。潞党参为我国特定道地产区的</w:t>
      </w:r>
      <w:r>
        <w:rPr>
          <w:rFonts w:hint="eastAsia" w:ascii="Times New Roman" w:hAnsi="Times New Roman" w:eastAsia="FangSong_GB2312" w:cs="FangSong_GB2312"/>
          <w:snapToGrid w:val="0"/>
          <w:color w:val="000000"/>
          <w:spacing w:val="5"/>
          <w:kern w:val="0"/>
          <w:sz w:val="31"/>
          <w:szCs w:val="31"/>
          <w:lang w:val="en-US" w:eastAsia="en-US"/>
        </w:rPr>
        <w:t>地方</w:t>
      </w:r>
      <w:r>
        <w:rPr>
          <w:rFonts w:hint="eastAsia" w:ascii="Times New Roman" w:hAnsi="Times New Roman" w:eastAsia="FangSong_GB2312" w:cs="FangSong_GB2312"/>
          <w:snapToGrid w:val="0"/>
          <w:color w:val="000000"/>
          <w:spacing w:val="8"/>
          <w:kern w:val="0"/>
          <w:sz w:val="31"/>
          <w:szCs w:val="31"/>
          <w:lang w:eastAsia="en-US"/>
        </w:rPr>
        <w:t>特色品种，其</w:t>
      </w:r>
      <w:r>
        <w:rPr>
          <w:rFonts w:hint="eastAsia" w:ascii="Times New Roman" w:hAnsi="Times New Roman" w:eastAsia="FangSong_GB2312" w:cs="FangSong_GB2312"/>
          <w:snapToGrid w:val="0"/>
          <w:color w:val="000000"/>
          <w:spacing w:val="8"/>
          <w:kern w:val="0"/>
          <w:sz w:val="31"/>
          <w:szCs w:val="31"/>
          <w:lang w:val="en-US" w:eastAsia="zh-CN"/>
        </w:rPr>
        <w:t>仓储流通技术</w:t>
      </w:r>
      <w:r>
        <w:rPr>
          <w:rFonts w:hint="eastAsia" w:ascii="Times New Roman" w:hAnsi="Times New Roman" w:eastAsia="FangSong_GB2312" w:cs="FangSong_GB2312"/>
          <w:snapToGrid w:val="0"/>
          <w:color w:val="000000"/>
          <w:spacing w:val="8"/>
          <w:kern w:val="0"/>
          <w:sz w:val="31"/>
          <w:szCs w:val="31"/>
          <w:lang w:eastAsia="en-US"/>
        </w:rPr>
        <w:t>要求具有显著的地域针对性和品种专属性。</w:t>
      </w:r>
    </w:p>
    <w:p w14:paraId="1B13E855">
      <w:pPr>
        <w:keepNext/>
        <w:keepLines/>
        <w:kinsoku w:val="0"/>
        <w:autoSpaceDE w:val="0"/>
        <w:autoSpaceDN w:val="0"/>
        <w:bidi w:val="0"/>
        <w:adjustRightInd w:val="0"/>
        <w:snapToGrid w:val="0"/>
        <w:spacing w:before="340" w:beforeLines="0" w:beforeAutospacing="0" w:after="330" w:afterLines="0" w:afterAutospacing="0" w:line="240" w:lineRule="auto"/>
        <w:ind w:firstLine="65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0" w:name="_Toc25900"/>
      <w:r>
        <w:rPr>
          <w:rFonts w:ascii="Times New Roman" w:hAnsi="Times New Roman" w:eastAsia="黑体" w:cs="黑体"/>
          <w:b/>
          <w:snapToGrid w:val="0"/>
          <w:color w:val="000000"/>
          <w:spacing w:val="9"/>
          <w:kern w:val="44"/>
          <w:position w:val="1"/>
          <w:sz w:val="31"/>
          <w:szCs w:val="31"/>
          <w:lang w:val="en-US" w:eastAsia="en-US" w:bidi="ar-SA"/>
        </w:rPr>
        <w:t>五、与</w:t>
      </w:r>
      <w:r>
        <w:rPr>
          <w:rFonts w:ascii="Times New Roman" w:hAnsi="Times New Roman" w:eastAsia="黑体" w:cs="Arial"/>
          <w:b/>
          <w:snapToGrid w:val="0"/>
          <w:color w:val="000000"/>
          <w:kern w:val="44"/>
          <w:sz w:val="30"/>
          <w:szCs w:val="21"/>
          <w:lang w:val="en-US" w:eastAsia="en-US" w:bidi="ar-SA"/>
        </w:rPr>
        <w:t>有关</w:t>
      </w:r>
      <w:r>
        <w:rPr>
          <w:rFonts w:ascii="Times New Roman" w:hAnsi="Times New Roman" w:eastAsia="黑体" w:cs="黑体"/>
          <w:b/>
          <w:snapToGrid w:val="0"/>
          <w:color w:val="000000"/>
          <w:spacing w:val="9"/>
          <w:kern w:val="44"/>
          <w:position w:val="1"/>
          <w:sz w:val="31"/>
          <w:szCs w:val="31"/>
          <w:lang w:val="en-US" w:eastAsia="en-US" w:bidi="ar-SA"/>
        </w:rPr>
        <w:t>法律、行政法规及相关标准的关系</w:t>
      </w:r>
      <w:bookmarkEnd w:id="10"/>
    </w:p>
    <w:p w14:paraId="1AFE9EF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本标准在编制过程中，充分参考和引用了《中华人民共和国药典》、《中药材生产质量管理规范》（GAP）、《药品经营质量管理规范》（GSP）、SB/T 11094 中药材仓储管理规范、SB/T 11182 中药材包装技术规范等内容。</w:t>
      </w:r>
    </w:p>
    <w:p w14:paraId="52D6BBE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本标准与上述标准及法律法规协调一致，是对国家、行业、地方标准的细化补充，不产生冲突。法律法规依据包括《中华人民共和国标准化法》《中华人民共和国中医药法》等。</w:t>
      </w:r>
    </w:p>
    <w:p w14:paraId="0B6F1ADD">
      <w:pPr>
        <w:keepNext/>
        <w:keepLines/>
        <w:numPr>
          <w:ilvl w:val="0"/>
          <w:numId w:val="1"/>
        </w:numPr>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1" w:name="_Toc27835"/>
      <w:r>
        <w:rPr>
          <w:rFonts w:ascii="Times New Roman" w:hAnsi="Times New Roman" w:eastAsia="黑体" w:cs="黑体"/>
          <w:b/>
          <w:snapToGrid w:val="0"/>
          <w:color w:val="000000"/>
          <w:spacing w:val="8"/>
          <w:kern w:val="44"/>
          <w:sz w:val="31"/>
          <w:szCs w:val="31"/>
          <w:lang w:val="en-US" w:eastAsia="en-US" w:bidi="ar-SA"/>
        </w:rPr>
        <w:t>重大分歧意见处的处理经过和依据</w:t>
      </w:r>
      <w:bookmarkEnd w:id="11"/>
    </w:p>
    <w:p w14:paraId="428E3C37">
      <w:pPr>
        <w:widowControl/>
        <w:kinsoku w:val="0"/>
        <w:autoSpaceDE w:val="0"/>
        <w:autoSpaceDN w:val="0"/>
        <w:adjustRightInd w:val="0"/>
        <w:snapToGrid w:val="0"/>
        <w:spacing w:before="189" w:line="349" w:lineRule="auto"/>
        <w:ind w:left="2"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无重大分歧意见。</w:t>
      </w:r>
    </w:p>
    <w:p w14:paraId="2C589656">
      <w:pPr>
        <w:keepNext/>
        <w:keepLines/>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2" w:name="_Toc22975"/>
      <w:r>
        <w:rPr>
          <w:rFonts w:ascii="Times New Roman" w:hAnsi="Times New Roman" w:eastAsia="黑体" w:cs="黑体"/>
          <w:b/>
          <w:snapToGrid w:val="0"/>
          <w:color w:val="000000"/>
          <w:spacing w:val="8"/>
          <w:kern w:val="44"/>
          <w:sz w:val="31"/>
          <w:szCs w:val="31"/>
          <w:lang w:val="en-US" w:eastAsia="en-US" w:bidi="ar-SA"/>
        </w:rPr>
        <w:t>七、</w:t>
      </w:r>
      <w:r>
        <w:rPr>
          <w:rFonts w:ascii="Times New Roman" w:hAnsi="Times New Roman" w:eastAsia="黑体" w:cs="Arial"/>
          <w:b/>
          <w:snapToGrid w:val="0"/>
          <w:color w:val="000000"/>
          <w:kern w:val="44"/>
          <w:sz w:val="30"/>
          <w:szCs w:val="21"/>
          <w:lang w:val="en-US" w:eastAsia="en-US" w:bidi="ar-SA"/>
        </w:rPr>
        <w:t>涉及</w:t>
      </w:r>
      <w:r>
        <w:rPr>
          <w:rFonts w:ascii="Times New Roman" w:hAnsi="Times New Roman" w:eastAsia="黑体" w:cs="黑体"/>
          <w:b/>
          <w:snapToGrid w:val="0"/>
          <w:color w:val="000000"/>
          <w:spacing w:val="8"/>
          <w:kern w:val="44"/>
          <w:sz w:val="31"/>
          <w:szCs w:val="31"/>
          <w:lang w:val="en-US" w:eastAsia="en-US" w:bidi="ar-SA"/>
        </w:rPr>
        <w:t>专利的有关说明</w:t>
      </w:r>
      <w:bookmarkEnd w:id="12"/>
    </w:p>
    <w:p w14:paraId="04A3689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本文件不涉及专利问题。</w:t>
      </w:r>
    </w:p>
    <w:p w14:paraId="62937001">
      <w:pPr>
        <w:widowControl/>
        <w:kinsoku w:val="0"/>
        <w:autoSpaceDE w:val="0"/>
        <w:autoSpaceDN w:val="0"/>
        <w:adjustRightInd w:val="0"/>
        <w:snapToGrid w:val="0"/>
        <w:spacing w:before="189" w:line="349" w:lineRule="auto"/>
        <w:ind w:left="2" w:firstLine="642" w:firstLineChars="200"/>
        <w:jc w:val="left"/>
        <w:textAlignment w:val="baseline"/>
        <w:rPr>
          <w:rFonts w:ascii="Times New Roman" w:hAnsi="Times New Roman" w:eastAsia="黑体" w:cs="黑体"/>
          <w:b/>
          <w:snapToGrid w:val="0"/>
          <w:color w:val="000000"/>
          <w:kern w:val="44"/>
          <w:sz w:val="31"/>
          <w:szCs w:val="31"/>
          <w:lang w:val="en-US" w:eastAsia="en-US" w:bidi="ar-SA"/>
        </w:rPr>
      </w:pPr>
      <w:r>
        <w:rPr>
          <w:rFonts w:ascii="Times New Roman" w:hAnsi="Times New Roman" w:eastAsia="黑体" w:cs="黑体"/>
          <w:b/>
          <w:snapToGrid w:val="0"/>
          <w:color w:val="000000"/>
          <w:spacing w:val="5"/>
          <w:kern w:val="44"/>
          <w:sz w:val="31"/>
          <w:szCs w:val="31"/>
          <w:lang w:val="en-US" w:eastAsia="en-US" w:bidi="ar-SA"/>
        </w:rPr>
        <w:t>八、实施</w:t>
      </w:r>
      <w:r>
        <w:rPr>
          <w:rFonts w:ascii="Times New Roman" w:hAnsi="Times New Roman" w:eastAsia="黑体" w:cs="Arial"/>
          <w:b/>
          <w:snapToGrid w:val="0"/>
          <w:color w:val="000000"/>
          <w:kern w:val="44"/>
          <w:sz w:val="30"/>
          <w:szCs w:val="21"/>
          <w:lang w:val="en-US" w:eastAsia="en-US" w:bidi="ar-SA"/>
        </w:rPr>
        <w:t>国家标准</w:t>
      </w:r>
      <w:r>
        <w:rPr>
          <w:rFonts w:ascii="Times New Roman" w:hAnsi="Times New Roman" w:eastAsia="黑体" w:cs="黑体"/>
          <w:b/>
          <w:snapToGrid w:val="0"/>
          <w:color w:val="000000"/>
          <w:spacing w:val="5"/>
          <w:kern w:val="44"/>
          <w:sz w:val="31"/>
          <w:szCs w:val="31"/>
          <w:lang w:val="en-US" w:eastAsia="en-US" w:bidi="ar-SA"/>
        </w:rPr>
        <w:t>的要求，以及组织措施、技术措施、过渡</w:t>
      </w:r>
      <w:r>
        <w:rPr>
          <w:rFonts w:ascii="Times New Roman" w:hAnsi="Times New Roman" w:eastAsia="黑体" w:cs="黑体"/>
          <w:b/>
          <w:snapToGrid w:val="0"/>
          <w:color w:val="000000"/>
          <w:spacing w:val="8"/>
          <w:kern w:val="44"/>
          <w:sz w:val="31"/>
          <w:szCs w:val="31"/>
          <w:lang w:val="en-US" w:eastAsia="en-US" w:bidi="ar-SA"/>
        </w:rPr>
        <w:t>期和实施日期的建议等措施建议</w:t>
      </w:r>
    </w:p>
    <w:p w14:paraId="19620C1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建议标准发布后</w:t>
      </w:r>
      <w:r>
        <w:rPr>
          <w:rFonts w:hint="eastAsia" w:ascii="Times New Roman" w:hAnsi="Times New Roman" w:eastAsia="FangSong_GB2312" w:cs="FangSong_GB2312"/>
          <w:snapToGrid w:val="0"/>
          <w:color w:val="000000"/>
          <w:spacing w:val="5"/>
          <w:kern w:val="0"/>
          <w:sz w:val="31"/>
          <w:szCs w:val="31"/>
          <w:lang w:val="en-US" w:eastAsia="en-US"/>
        </w:rPr>
        <w:t>尽快</w:t>
      </w:r>
      <w:r>
        <w:rPr>
          <w:rFonts w:hint="eastAsia" w:ascii="Times New Roman" w:hAnsi="Times New Roman" w:eastAsia="FangSong_GB2312" w:cs="FangSong_GB2312"/>
          <w:snapToGrid w:val="0"/>
          <w:color w:val="000000"/>
          <w:spacing w:val="5"/>
          <w:kern w:val="0"/>
          <w:sz w:val="31"/>
          <w:szCs w:val="31"/>
          <w:lang w:eastAsia="en-US"/>
        </w:rPr>
        <w:t>实施。一是加强宣传推广：中国中医药研究促进会应通过官网、行业会议、产区培训会等多种渠道，向长治市及</w:t>
      </w:r>
      <w:r>
        <w:rPr>
          <w:rFonts w:hint="eastAsia" w:ascii="Times New Roman" w:hAnsi="Times New Roman" w:eastAsia="FangSong_GB2312" w:cs="FangSong_GB2312"/>
          <w:snapToGrid w:val="0"/>
          <w:color w:val="000000"/>
          <w:spacing w:val="5"/>
          <w:kern w:val="0"/>
          <w:sz w:val="31"/>
          <w:szCs w:val="31"/>
          <w:lang w:val="en-US" w:eastAsia="en-US"/>
        </w:rPr>
        <w:t>相关</w:t>
      </w:r>
      <w:r>
        <w:rPr>
          <w:rFonts w:hint="eastAsia" w:ascii="Times New Roman" w:hAnsi="Times New Roman" w:eastAsia="FangSong_GB2312" w:cs="FangSong_GB2312"/>
          <w:snapToGrid w:val="0"/>
          <w:color w:val="000000"/>
          <w:spacing w:val="5"/>
          <w:kern w:val="0"/>
          <w:sz w:val="31"/>
          <w:szCs w:val="31"/>
          <w:lang w:eastAsia="en-US"/>
        </w:rPr>
        <w:t>地区广泛宣传本标准，提高标准的知晓率和采用率。</w:t>
      </w:r>
      <w:r>
        <w:rPr>
          <w:rFonts w:hint="eastAsia" w:ascii="Times New Roman" w:hAnsi="Times New Roman" w:eastAsia="FangSong_GB2312" w:cs="FangSong_GB2312"/>
          <w:snapToGrid w:val="0"/>
          <w:color w:val="000000"/>
          <w:spacing w:val="5"/>
          <w:kern w:val="0"/>
          <w:sz w:val="31"/>
          <w:szCs w:val="31"/>
          <w:lang w:val="en-US" w:eastAsia="zh-CN"/>
        </w:rPr>
        <w:t>二</w:t>
      </w:r>
      <w:r>
        <w:rPr>
          <w:rFonts w:hint="eastAsia" w:ascii="Times New Roman" w:hAnsi="Times New Roman" w:eastAsia="FangSong_GB2312" w:cs="FangSong_GB2312"/>
          <w:snapToGrid w:val="0"/>
          <w:color w:val="000000"/>
          <w:spacing w:val="5"/>
          <w:kern w:val="0"/>
          <w:sz w:val="31"/>
          <w:szCs w:val="31"/>
          <w:lang w:eastAsia="en-US"/>
        </w:rPr>
        <w:t>是推动政策衔接：积极推动产区农业主管部门在项目扶持、资金补贴、品牌推介等工作中采信本评价结果，形成“以标准化促升级”的政策激励机制。</w:t>
      </w:r>
      <w:r>
        <w:rPr>
          <w:rFonts w:hint="eastAsia" w:ascii="Times New Roman" w:hAnsi="Times New Roman" w:eastAsia="FangSong_GB2312" w:cs="FangSong_GB2312"/>
          <w:snapToGrid w:val="0"/>
          <w:color w:val="000000"/>
          <w:spacing w:val="5"/>
          <w:kern w:val="0"/>
          <w:sz w:val="31"/>
          <w:szCs w:val="31"/>
          <w:lang w:val="en-US" w:eastAsia="zh-CN"/>
        </w:rPr>
        <w:t>三</w:t>
      </w:r>
      <w:bookmarkStart w:id="14" w:name="_GoBack"/>
      <w:bookmarkEnd w:id="14"/>
      <w:r>
        <w:rPr>
          <w:rFonts w:hint="eastAsia" w:ascii="Times New Roman" w:hAnsi="Times New Roman" w:eastAsia="FangSong_GB2312" w:cs="FangSong_GB2312"/>
          <w:snapToGrid w:val="0"/>
          <w:color w:val="000000"/>
          <w:spacing w:val="5"/>
          <w:kern w:val="0"/>
          <w:sz w:val="31"/>
          <w:szCs w:val="31"/>
          <w:lang w:eastAsia="en-US"/>
        </w:rPr>
        <w:t>是建立动态更新机制：归口单位应定期收集标准实施过程中的反馈意见，结合产业技术发展和市场需求变化，适时对标准进行修订和完善，确保其持续先进性和适用性。</w:t>
      </w:r>
    </w:p>
    <w:p w14:paraId="4F666570">
      <w:pPr>
        <w:keepNext/>
        <w:keepLines/>
        <w:kinsoku w:val="0"/>
        <w:autoSpaceDE w:val="0"/>
        <w:autoSpaceDN w:val="0"/>
        <w:bidi w:val="0"/>
        <w:adjustRightInd w:val="0"/>
        <w:snapToGrid w:val="0"/>
        <w:spacing w:before="340" w:beforeLines="0" w:beforeAutospacing="0" w:after="330" w:afterLines="0" w:afterAutospacing="0" w:line="240" w:lineRule="auto"/>
        <w:ind w:firstLine="650"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3" w:name="_Toc6991"/>
      <w:r>
        <w:rPr>
          <w:rFonts w:ascii="Times New Roman" w:hAnsi="Times New Roman" w:eastAsia="黑体" w:cs="黑体"/>
          <w:b/>
          <w:snapToGrid w:val="0"/>
          <w:color w:val="000000"/>
          <w:spacing w:val="7"/>
          <w:kern w:val="44"/>
          <w:position w:val="1"/>
          <w:sz w:val="31"/>
          <w:szCs w:val="31"/>
          <w:lang w:val="en-US" w:eastAsia="en-US" w:bidi="ar-SA"/>
        </w:rPr>
        <w:t>九、其他说明</w:t>
      </w:r>
      <w:bookmarkEnd w:id="13"/>
    </w:p>
    <w:p w14:paraId="5FF2568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6"/>
          <w:kern w:val="0"/>
          <w:sz w:val="31"/>
          <w:szCs w:val="31"/>
          <w:lang w:eastAsia="en-US"/>
        </w:rPr>
        <w:t>无其他</w:t>
      </w:r>
      <w:r>
        <w:rPr>
          <w:rFonts w:hint="eastAsia" w:ascii="Times New Roman" w:hAnsi="Times New Roman" w:eastAsia="FangSong_GB2312" w:cs="FangSong_GB2312"/>
          <w:snapToGrid w:val="0"/>
          <w:color w:val="000000"/>
          <w:spacing w:val="5"/>
          <w:kern w:val="0"/>
          <w:sz w:val="31"/>
          <w:szCs w:val="31"/>
          <w:lang w:eastAsia="en-US"/>
        </w:rPr>
        <w:t>需要</w:t>
      </w:r>
      <w:r>
        <w:rPr>
          <w:rFonts w:ascii="Times New Roman" w:hAnsi="Times New Roman" w:eastAsia="FangSong_GB2312" w:cs="FangSong_GB2312"/>
          <w:snapToGrid w:val="0"/>
          <w:color w:val="000000"/>
          <w:spacing w:val="6"/>
          <w:kern w:val="0"/>
          <w:sz w:val="31"/>
          <w:szCs w:val="31"/>
          <w:lang w:eastAsia="en-US"/>
        </w:rPr>
        <w:t>说明的事项。</w:t>
      </w:r>
    </w:p>
    <w:p w14:paraId="1EF4EC8E">
      <w:pPr>
        <w:widowControl/>
        <w:kinsoku w:val="0"/>
        <w:autoSpaceDE w:val="0"/>
        <w:autoSpaceDN w:val="0"/>
        <w:adjustRightInd w:val="0"/>
        <w:snapToGrid w:val="0"/>
        <w:spacing w:before="101" w:line="221" w:lineRule="auto"/>
        <w:ind w:left="97" w:leftChars="0" w:hanging="97" w:hangingChars="30"/>
        <w:jc w:val="righ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8"/>
          <w:kern w:val="0"/>
          <w:sz w:val="31"/>
          <w:szCs w:val="31"/>
          <w:lang w:eastAsia="en-US"/>
        </w:rPr>
        <w:t>标准起草工作组</w:t>
      </w:r>
    </w:p>
    <w:p w14:paraId="4CDCB630">
      <w:pPr>
        <w:widowControl/>
        <w:kinsoku w:val="0"/>
        <w:autoSpaceDE w:val="0"/>
        <w:autoSpaceDN w:val="0"/>
        <w:adjustRightInd w:val="0"/>
        <w:snapToGrid w:val="0"/>
        <w:spacing w:before="174" w:line="419" w:lineRule="exact"/>
        <w:ind w:left="0" w:leftChars="0" w:firstLine="0" w:firstLineChars="0"/>
        <w:jc w:val="righ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Times New Roman" w:cs="Times New Roman"/>
          <w:snapToGrid w:val="0"/>
          <w:color w:val="000000"/>
          <w:spacing w:val="-2"/>
          <w:kern w:val="0"/>
          <w:position w:val="1"/>
          <w:sz w:val="31"/>
          <w:szCs w:val="31"/>
          <w:lang w:eastAsia="en-US"/>
        </w:rPr>
        <w:t>202</w:t>
      </w:r>
      <w:r>
        <w:rPr>
          <w:rFonts w:hint="eastAsia" w:ascii="Times New Roman" w:hAnsi="Times New Roman" w:eastAsia="宋体" w:cs="Times New Roman"/>
          <w:snapToGrid w:val="0"/>
          <w:color w:val="000000"/>
          <w:spacing w:val="-2"/>
          <w:kern w:val="0"/>
          <w:position w:val="1"/>
          <w:sz w:val="31"/>
          <w:szCs w:val="31"/>
          <w:lang w:val="en-US" w:eastAsia="zh-CN"/>
        </w:rPr>
        <w:t>6</w:t>
      </w:r>
      <w:r>
        <w:rPr>
          <w:rFonts w:ascii="Times New Roman" w:hAnsi="Times New Roman" w:eastAsia="Times New Roman" w:cs="Times New Roman"/>
          <w:snapToGrid w:val="0"/>
          <w:color w:val="000000"/>
          <w:spacing w:val="19"/>
          <w:kern w:val="0"/>
          <w:position w:val="1"/>
          <w:sz w:val="31"/>
          <w:szCs w:val="31"/>
          <w:lang w:eastAsia="en-US"/>
        </w:rPr>
        <w:t xml:space="preserve"> </w:t>
      </w:r>
      <w:r>
        <w:rPr>
          <w:rFonts w:ascii="Times New Roman" w:hAnsi="Times New Roman" w:eastAsia="FangSong_GB2312" w:cs="FangSong_GB2312"/>
          <w:snapToGrid w:val="0"/>
          <w:color w:val="000000"/>
          <w:spacing w:val="-2"/>
          <w:kern w:val="0"/>
          <w:position w:val="1"/>
          <w:sz w:val="31"/>
          <w:szCs w:val="31"/>
          <w:lang w:eastAsia="en-US"/>
        </w:rPr>
        <w:t>年</w:t>
      </w:r>
      <w:r>
        <w:rPr>
          <w:rFonts w:ascii="Times New Roman" w:hAnsi="Times New Roman" w:eastAsia="FangSong_GB2312" w:cs="FangSong_GB2312"/>
          <w:snapToGrid w:val="0"/>
          <w:color w:val="000000"/>
          <w:spacing w:val="-60"/>
          <w:kern w:val="0"/>
          <w:position w:val="1"/>
          <w:sz w:val="31"/>
          <w:szCs w:val="31"/>
          <w:lang w:eastAsia="en-US"/>
        </w:rPr>
        <w:t xml:space="preserve"> </w:t>
      </w:r>
      <w:r>
        <w:rPr>
          <w:rFonts w:hint="eastAsia" w:ascii="Times New Roman" w:hAnsi="Times New Roman" w:eastAsia="FangSong_GB2312" w:cs="FangSong_GB2312"/>
          <w:snapToGrid w:val="0"/>
          <w:color w:val="000000"/>
          <w:spacing w:val="-60"/>
          <w:kern w:val="0"/>
          <w:position w:val="1"/>
          <w:sz w:val="31"/>
          <w:szCs w:val="31"/>
          <w:lang w:val="en-US" w:eastAsia="zh-CN"/>
        </w:rPr>
        <w:t xml:space="preserve">  </w:t>
      </w:r>
      <w:r>
        <w:rPr>
          <w:rFonts w:hint="eastAsia" w:ascii="Times New Roman" w:hAnsi="Times New Roman" w:eastAsia="宋体" w:cs="Times New Roman"/>
          <w:snapToGrid w:val="0"/>
          <w:color w:val="000000"/>
          <w:spacing w:val="-2"/>
          <w:kern w:val="0"/>
          <w:position w:val="1"/>
          <w:sz w:val="31"/>
          <w:szCs w:val="31"/>
          <w:lang w:val="en-US" w:eastAsia="zh-CN"/>
        </w:rPr>
        <w:t xml:space="preserve">5 </w:t>
      </w:r>
      <w:r>
        <w:rPr>
          <w:rFonts w:ascii="Times New Roman" w:hAnsi="Times New Roman" w:eastAsia="FangSong_GB2312" w:cs="FangSong_GB2312"/>
          <w:snapToGrid w:val="0"/>
          <w:color w:val="000000"/>
          <w:spacing w:val="-2"/>
          <w:kern w:val="0"/>
          <w:position w:val="1"/>
          <w:sz w:val="31"/>
          <w:szCs w:val="31"/>
          <w:lang w:eastAsia="en-US"/>
        </w:rPr>
        <w:t>月</w:t>
      </w:r>
      <w:r>
        <w:rPr>
          <w:rFonts w:hint="eastAsia" w:ascii="Times New Roman" w:hAnsi="Times New Roman" w:eastAsia="FangSong_GB2312" w:cs="FangSong_GB2312"/>
          <w:snapToGrid w:val="0"/>
          <w:color w:val="000000"/>
          <w:spacing w:val="-2"/>
          <w:kern w:val="0"/>
          <w:position w:val="1"/>
          <w:sz w:val="31"/>
          <w:szCs w:val="31"/>
          <w:lang w:val="en-US" w:eastAsia="zh-CN"/>
        </w:rPr>
        <w:t xml:space="preserve"> </w:t>
      </w:r>
      <w:r>
        <w:rPr>
          <w:rFonts w:hint="eastAsia" w:ascii="Times New Roman" w:hAnsi="Times New Roman" w:eastAsia="FangSong_GB2312" w:cs="FangSong_GB2312"/>
          <w:snapToGrid w:val="0"/>
          <w:color w:val="000000"/>
          <w:spacing w:val="-66"/>
          <w:kern w:val="0"/>
          <w:position w:val="1"/>
          <w:sz w:val="31"/>
          <w:szCs w:val="31"/>
          <w:lang w:val="en-US" w:eastAsia="zh-CN"/>
        </w:rPr>
        <w:t xml:space="preserve">8       </w:t>
      </w:r>
      <w:r>
        <w:rPr>
          <w:rFonts w:ascii="Times New Roman" w:hAnsi="Times New Roman" w:eastAsia="FangSong_GB2312" w:cs="FangSong_GB2312"/>
          <w:snapToGrid w:val="0"/>
          <w:color w:val="000000"/>
          <w:spacing w:val="-2"/>
          <w:kern w:val="0"/>
          <w:position w:val="1"/>
          <w:sz w:val="31"/>
          <w:szCs w:val="31"/>
          <w:lang w:eastAsia="en-US"/>
        </w:rPr>
        <w:t>日</w:t>
      </w:r>
    </w:p>
    <w:p w14:paraId="7316B6A4">
      <w:pPr>
        <w:rPr>
          <w:rFonts w:ascii="Times New Roman" w:hAnsi="Times New Roman"/>
        </w:rPr>
      </w:pPr>
    </w:p>
    <w:sectPr>
      <w:footerReference r:id="rId3" w:type="default"/>
      <w:pgSz w:w="11906" w:h="16839"/>
      <w:pgMar w:top="1440" w:right="1800" w:bottom="1440" w:left="1800" w:header="0" w:footer="1077" w:gutter="0"/>
      <w:pgNumType w:fmt="decimal"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KaiTi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FangSong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PingFang SC">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FangSong_GB2312">
    <w:altName w:val="仿宋"/>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6AC0D">
    <w:pPr>
      <w:tabs>
        <w:tab w:val="center" w:pos="4153"/>
        <w:tab w:val="right" w:pos="8306"/>
      </w:tabs>
      <w:kinsoku w:val="0"/>
      <w:autoSpaceDE w:val="0"/>
      <w:autoSpaceDN w:val="0"/>
      <w:adjustRightInd w:val="0"/>
      <w:snapToGrid w:val="0"/>
      <w:spacing w:line="240" w:lineRule="auto"/>
      <w:jc w:val="left"/>
      <w:textAlignment w:val="baseline"/>
      <w:rPr>
        <w:rFonts w:ascii="Arial" w:hAnsi="Arial" w:eastAsia="仿宋_GB2312" w:cs="Arial"/>
        <w:snapToGrid w:val="0"/>
        <w:color w:val="000000"/>
        <w:kern w:val="0"/>
        <w:sz w:val="18"/>
        <w:szCs w:val="21"/>
        <w:lang w:val="en-US" w:eastAsia="en-US"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5DF1C5">
                          <w:pPr>
                            <w:pStyle w:val="5"/>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25DF1C5">
                    <w:pPr>
                      <w:pStyle w:val="5"/>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D2E88"/>
    <w:multiLevelType w:val="singleLevel"/>
    <w:tmpl w:val="A35D2E8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E32690"/>
    <w:rsid w:val="045751B3"/>
    <w:rsid w:val="045779B0"/>
    <w:rsid w:val="06FD3CD7"/>
    <w:rsid w:val="072D4EC7"/>
    <w:rsid w:val="07693041"/>
    <w:rsid w:val="08526117"/>
    <w:rsid w:val="0BB44AB0"/>
    <w:rsid w:val="12046FD4"/>
    <w:rsid w:val="12CA1FCB"/>
    <w:rsid w:val="14B52807"/>
    <w:rsid w:val="1BAC6712"/>
    <w:rsid w:val="1F0259AE"/>
    <w:rsid w:val="20C33298"/>
    <w:rsid w:val="21E17984"/>
    <w:rsid w:val="246C3DEF"/>
    <w:rsid w:val="26336919"/>
    <w:rsid w:val="271B5A08"/>
    <w:rsid w:val="28A37210"/>
    <w:rsid w:val="2C9A64DA"/>
    <w:rsid w:val="3068284B"/>
    <w:rsid w:val="31C854D0"/>
    <w:rsid w:val="322363C4"/>
    <w:rsid w:val="35A10512"/>
    <w:rsid w:val="36C12D54"/>
    <w:rsid w:val="36FB00F6"/>
    <w:rsid w:val="3A422AA2"/>
    <w:rsid w:val="3CF6239A"/>
    <w:rsid w:val="41107F4C"/>
    <w:rsid w:val="43436870"/>
    <w:rsid w:val="44AC50DD"/>
    <w:rsid w:val="44DB304B"/>
    <w:rsid w:val="52E32690"/>
    <w:rsid w:val="54852FEC"/>
    <w:rsid w:val="562B09F3"/>
    <w:rsid w:val="599A6E9E"/>
    <w:rsid w:val="5C741C2D"/>
    <w:rsid w:val="60EC26DA"/>
    <w:rsid w:val="60F670B5"/>
    <w:rsid w:val="641D18AF"/>
    <w:rsid w:val="64621404"/>
    <w:rsid w:val="6B4C6A29"/>
    <w:rsid w:val="6EAA3DE4"/>
    <w:rsid w:val="71743AD8"/>
    <w:rsid w:val="718D136F"/>
    <w:rsid w:val="720C498A"/>
    <w:rsid w:val="728409C4"/>
    <w:rsid w:val="7408564B"/>
    <w:rsid w:val="75AE08C3"/>
    <w:rsid w:val="7709593C"/>
    <w:rsid w:val="78564BB1"/>
    <w:rsid w:val="79463EEA"/>
    <w:rsid w:val="79A60A20"/>
    <w:rsid w:val="7CD119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3">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toc 3"/>
    <w:basedOn w:val="1"/>
    <w:next w:val="1"/>
    <w:qFormat/>
    <w:uiPriority w:val="0"/>
    <w:pPr>
      <w:ind w:left="840" w:leftChars="4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0"/>
  </w:style>
  <w:style w:type="paragraph" w:styleId="8">
    <w:name w:val="toc 2"/>
    <w:basedOn w:val="1"/>
    <w:next w:val="1"/>
    <w:qFormat/>
    <w:uiPriority w:val="0"/>
    <w:pPr>
      <w:ind w:left="420" w:leftChars="200"/>
    </w:p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character" w:styleId="14">
    <w:name w:val="Placeholder Text"/>
    <w:basedOn w:val="12"/>
    <w:semiHidden/>
    <w:qFormat/>
    <w:uiPriority w:val="99"/>
    <w:rPr>
      <w:color w:val="808080"/>
    </w:rPr>
  </w:style>
</w:styles>
</file>

<file path=word/_rels/document.xml.rels><?xml version="1.0" encoding="UTF-8" standalone="yes"?>
<Relationships xmlns="http://schemas.openxmlformats.org/package/2006/relationships"><Relationship Id="rId9" Type="http://schemas.openxmlformats.org/officeDocument/2006/relationships/glossaryDocument" Target="glossary/document.xml"/><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277c295c-b4ef-426a-b930-dff665ee3748}"/>
        <w:style w:val=""/>
        <w:category>
          <w:name w:val="常规"/>
          <w:gallery w:val="placeholder"/>
        </w:category>
        <w:types>
          <w:type w:val="bbPlcHdr"/>
        </w:types>
        <w:behaviors>
          <w:behavior w:val="content"/>
        </w:behaviors>
        <w:description w:val=""/>
        <w:guid w:val="{277c295c-b4ef-426a-b930-dff665ee3748}"/>
      </w:docPartPr>
      <w:docPartBody>
        <w:p w14:paraId="544E6C04">
          <w:pPr>
            <w:pStyle w:val="2"/>
          </w:pPr>
          <w:r>
            <w:rPr>
              <w:rStyle w:val="3"/>
              <w:rFonts w:hint="eastAsia"/>
            </w:rPr>
            <w:t>单击或点击此处输入文字。</w:t>
          </w:r>
        </w:p>
      </w:docPartBody>
    </w:docPart>
    <w:docPart>
      <w:docPartPr>
        <w:name w:val="{00054f65-6600-42ac-b90c-aa2ae0c1461e}"/>
        <w:style w:val=""/>
        <w:category>
          <w:name w:val="常规"/>
          <w:gallery w:val="placeholder"/>
        </w:category>
        <w:types>
          <w:type w:val="bbPlcHdr"/>
        </w:types>
        <w:behaviors>
          <w:behavior w:val="content"/>
        </w:behaviors>
        <w:description w:val=""/>
        <w:guid w:val="{00054f65-6600-42ac-b90c-aa2ae0c1461e}"/>
      </w:docPartPr>
      <w:docPartBody>
        <w:p w14:paraId="00D5ED86">
          <w:pPr>
            <w:pStyle w:val="2"/>
          </w:pPr>
          <w:r>
            <w:rPr>
              <w:rStyle w:val="3"/>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name="Default Paragraph Font"/>
    <w:lsdException w:qFormat="1" w:unhideWhenUsed="0" w:uiPriority="99" w:name="Placeholder Text"/>
  </w:latentStyles>
  <w:style w:type="character" w:default="1" w:styleId="1">
    <w:name w:val="Default Paragraph Font"/>
    <w:semiHidden/>
    <w:unhideWhenUsed/>
    <w:qFormat/>
    <w:uiPriority w:val="1"/>
  </w:style>
  <w:style w:type="paragraph" w:customStyle="1" w:styleId="2">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styleId="3">
    <w:name w:val="Placeholder Text"/>
    <w:basedOn w:val="1"/>
    <w:semiHidden/>
    <w:qFormat/>
    <w:uiPriority w:val="99"/>
    <w:rPr>
      <w:color w:val="808080"/>
    </w:rPr>
  </w:style>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a3543d86-ac61-44ad-8db1-0042e30e3698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3227FE2E</paraID>
      <start>56</start>
      <end>57</end>
      <status>modified</status>
      <modifiedWord>—</modifiedWord>
      <trackRevisions>false</trackRevisions>
    </reviewItem>
    <reviewItem>
      <errorID>eaa681d7-97e0-408f-a2bd-7d28d1ae7192</errorID>
      <errorWord>视察横跨</errorWord>
      <group>L1_Grammar</group>
      <groupName>语法问题</groupName>
      <ability>L2_Grammar</ability>
      <abilityName>语法错误</abilityName>
      <candidateList>
        <item>覆盖</item>
      </candidateList>
      <explain/>
      <paraID>597212C4</paraID>
      <start>82</start>
      <end>84</end>
      <status>modified</status>
      <modifiedWord>覆盖</modifiedWord>
      <trackRevisions>false</trackRevisions>
    </reviewItem>
    <reviewItem>
      <errorID>6adf49a9-f1ad-4dd4-902a-21069a88b93b</errorID>
      <errorWord>具</errorWord>
      <group>L1_Word</group>
      <groupName>字词问题</groupName>
      <ability>L2_Typo</ability>
      <abilityName>字词错误</abilityName>
      <candidateList>
        <item>具有</item>
      </candidateList>
      <explain>〈动〉有（多用于抽象事物）：～信心｜～伟大的意义。</explain>
      <paraID>1AE258C2</paraID>
      <start>74</start>
      <end>76</end>
      <status>modified</status>
      <modifiedWord>具有</modifiedWord>
      <trackRevisions>false</trackRevisions>
    </reviewItem>
    <reviewItem>
      <errorID>8af3f1f3-7fdd-458c-8a8e-e62bde78f378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260418A2</paraID>
      <start>103</start>
      <end>104</end>
      <status>modified</status>
      <modifiedWord>—</modifiedWord>
      <trackRevisions>false</trackRevisions>
    </reviewItem>
    <reviewItem>
      <errorID>5532aab7-a069-40cb-99e3-3ba876d8a021</errorID>
      <errorWord>整</errorWord>
      <group>L1_Word</group>
      <groupName>字词问题</groupName>
      <ability>L2_Typo</ability>
      <abilityName>字词错误</abilityName>
      <candidateList>
        <item>整和</item>
      </candidateList>
      <explain/>
      <paraID>61C631E9</paraID>
      <start>239</start>
      <end>241</end>
      <status>modified</status>
      <modifiedWord>整和</modifiedWord>
      <trackRevisions>false</trackRevisions>
    </reviewItem>
    <reviewItem>
      <errorID>4f222e6e-b805-486a-8520-4fbfb0cdcadd</errorID>
      <errorWord>《潞党参标准化基地建设要求》（征求意见稿）</errorWord>
      <group>L1_Knowledge</group>
      <groupName>知识性问题</groupName>
      <ability>L2_Knowledge</ability>
      <abilityName>其他知识</abilityName>
      <candidateList>
        <item>《潞党参标准化基地建设要求（征求意见稿）》</item>
      </candidateList>
      <explain>疑似政策文件、法律法规名称等书写不规范，请注意检查。</explain>
      <paraID>61C631E9</paraID>
      <start>271</start>
      <end>292</end>
      <status>modified</status>
      <modifiedWord>《潞党参标准化基地建设要求（征求意见稿）》</modifiedWord>
      <trackRevisions>false</trackRevisions>
    </reviewItem>
    <reviewItem>
      <errorID>86ea62dd-26a8-4194-9512-c98f5311322a</errorID>
      <errorWord>，</errorWord>
      <group>L1_Word</group>
      <groupName>字词问题</groupName>
      <ability>L2_Typo</ability>
      <abilityName>字词错误</abilityName>
      <candidateList>
        <item>，并</item>
      </candidateList>
      <explain/>
      <paraID>61C631E9</paraID>
      <start>292</start>
      <end>294</end>
      <status>modified</status>
      <modifiedWord>，并</modifiedWord>
      <trackRevisions>false</trackRevisions>
    </reviewItem>
    <reviewItem>
      <errorID>f89b1fb2-9697-4672-8fb8-f20885900071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5777BB24</paraID>
      <start>62</start>
      <end>63</end>
      <status>modified</status>
      <modifiedWord>—</modifiedWord>
      <trackRevisions>false</trackRevisions>
    </reviewItem>
    <reviewItem>
      <errorID>f684a387-e4bb-4aa9-a365-843ae7ab53e5</errorID>
      <errorWord>晰</errorWord>
      <group>L1_Word</group>
      <groupName>字词问题</groupName>
      <ability>L2_Typo</ability>
      <abilityName>字词错误</abilityName>
      <candidateList>
        <item>晰地</item>
      </candidateList>
      <explain/>
      <paraID>5F8A055F</paraID>
      <start>143</start>
      <end>145</end>
      <status>modified</status>
      <modifiedWord>晰地</modifiedWord>
      <trackRevisions>false</trackRevisions>
    </reviewItem>
    <reviewItem>
      <errorID>74d1c011-8de9-4279-b160-a13766c8444e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3FC1823A</paraID>
      <start>46</start>
      <end>47</end>
      <status>modified</status>
      <modifiedWord>—</modifiedWord>
      <trackRevisions>false</trackRevisions>
    </reviewItem>
    <reviewItem>
      <errorID>11cbca27-9ce5-40ed-a6b4-115a1e1fd268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3FC1823A</paraID>
      <start>65</start>
      <end>66</end>
      <status>modified</status>
      <modifiedWord>—</modifiedWord>
      <trackRevisions>false</trackRevisions>
    </reviewItem>
    <reviewItem>
      <errorID>aaa719f8-245f-4ca1-af14-4887222a9121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391D63F3</paraID>
      <start>70</start>
      <end>71</end>
      <status>modified</status>
      <modifiedWord>—</modifiedWord>
      <trackRevisions>false</trackRevisions>
    </reviewItem>
    <reviewItem>
      <errorID>a7e49670-f622-405d-ad78-6ca4b81c116b</errorID>
      <errorWord>章则</errorWord>
      <group>L1_Word</group>
      <groupName>字词问题</groupName>
      <ability>L2_Typo</ability>
      <abilityName>字词错误</abilityName>
      <candidateList>
        <item>章</item>
      </candidateList>
      <explain/>
      <paraID>73E67F14</paraID>
      <start>31</start>
      <end>32</end>
      <status>modified</status>
      <modifiedWord>章</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d1093f-c463-4fa7-98c6-124c31b8d68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6450</Words>
  <Characters>6769</Characters>
  <Lines>0</Lines>
  <Paragraphs>0</Paragraphs>
  <TotalTime>2</TotalTime>
  <ScaleCrop>false</ScaleCrop>
  <LinksUpToDate>false</LinksUpToDate>
  <CharactersWithSpaces>6825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2025-08-18T06:53:00Z</dcterms:created>
  <dc:creator>燕艳华</dc:creator>
  <cp:lastModifiedBy>初侨</cp:lastModifiedBy>
  <dcterms:modified xsi:type="dcterms:W3CDTF">2026-05-08T09:19:50Z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FCF988B65ACE4612A8273BC0034F1028_13</vt:lpwstr>
  </property>
  <property fmtid="{D5CDD505-2E9C-101B-9397-08002B2CF9AE}" pid="4" name="KSOTemplateDocerSaveRecord">
    <vt:lpwstr>eyJoZGlkIjoiMjNiOTc1NDcxM2ZjNWZiYmFmMjM1MzU2NThlODZlMzQiLCJ1c2VySWQiOiI1NDg0NzI5MjcifQ==</vt:lpwstr>
  </property>
</Properties>
</file>