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CE3B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5831E41">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E9B909">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0"/>
          </w:p>
        </w:tc>
      </w:tr>
      <w:tr w14:paraId="09183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5ECEE14">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C3F65FB">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59C41F5">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CRACM</w:t>
                  </w:r>
                  <w:r>
                    <w:fldChar w:fldCharType="end"/>
                  </w:r>
                  <w:bookmarkEnd w:id="1"/>
                </w:p>
              </w:tc>
            </w:tr>
          </w:tbl>
          <w:p w14:paraId="7FABBD83">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2"/>
          </w:p>
        </w:tc>
      </w:tr>
    </w:tbl>
    <w:p w14:paraId="3CD15C96">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中国中医药</w:t>
      </w:r>
      <w:r>
        <w:rPr>
          <w:rFonts w:ascii="黑体" w:eastAsia="黑体"/>
          <w:b w:val="0"/>
          <w:w w:val="100"/>
          <w:sz w:val="48"/>
        </w:rPr>
        <w:t>研究促进会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251857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CRACM</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rPr>
          <w:rFonts w:hint="eastAsia"/>
          <w:lang w:val="en-US" w:eastAsia="zh-CN"/>
        </w:rPr>
        <w:t>***</w:t>
      </w:r>
      <w:r>
        <w:rPr>
          <w:rFonts w:hint="eastAsia"/>
        </w:rPr>
        <w:t>*</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rPr>
          <w:rFonts w:hint="eastAsia"/>
          <w:lang w:eastAsia="zh-CN"/>
        </w:rPr>
        <w:t>*</w:t>
      </w:r>
      <w:r>
        <w:rPr>
          <w:rFonts w:hint="eastAsia"/>
          <w:lang w:val="en-US" w:eastAsia="zh-CN"/>
        </w:rPr>
        <w:t>***</w:t>
      </w:r>
      <w:r>
        <w:fldChar w:fldCharType="end"/>
      </w:r>
      <w:bookmarkEnd w:id="7"/>
    </w:p>
    <w:p w14:paraId="16BD2916">
      <w:pPr>
        <w:pStyle w:val="197"/>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8F8A9D0">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1746E5F">
      <w:pPr>
        <w:pStyle w:val="51"/>
        <w:framePr w:w="9639" w:h="6976" w:hRule="exact" w:hSpace="0" w:vSpace="0" w:wrap="around" w:hAnchor="page" w:y="6408"/>
        <w:jc w:val="center"/>
        <w:rPr>
          <w:rFonts w:ascii="黑体" w:hAnsi="黑体" w:eastAsia="黑体"/>
          <w:b w:val="0"/>
          <w:bCs w:val="0"/>
          <w:w w:val="100"/>
        </w:rPr>
      </w:pPr>
    </w:p>
    <w:p w14:paraId="78AC8BF5">
      <w:pPr>
        <w:pStyle w:val="198"/>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lang w:eastAsia="zh-CN"/>
        </w:rPr>
        <w:t>潞党参仓储流通技术规范</w:t>
      </w:r>
      <w:r>
        <w:fldChar w:fldCharType="end"/>
      </w:r>
      <w:bookmarkEnd w:id="9"/>
    </w:p>
    <w:p w14:paraId="508635D4">
      <w:pPr>
        <w:framePr w:w="9639" w:h="6974" w:hRule="exact" w:wrap="around" w:vAnchor="page" w:hAnchor="page" w:x="1419" w:y="6408" w:anchorLock="1"/>
        <w:ind w:left="-1418"/>
      </w:pPr>
    </w:p>
    <w:p w14:paraId="14C9465E">
      <w:pPr>
        <w:pStyle w:val="126"/>
        <w:framePr w:w="9639" w:h="6974" w:hRule="exact" w:wrap="around" w:vAnchor="page" w:hAnchor="page" w:x="1419" w:y="6408" w:anchorLock="1"/>
        <w:textAlignment w:val="bottom"/>
        <w:rPr>
          <w:rFonts w:hint="eastAsia"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hint="eastAsia" w:eastAsia="黑体"/>
          <w:szCs w:val="28"/>
        </w:rPr>
        <w:t>Technical Specification for Storage and Distribution of Lu Dangshen</w:t>
      </w:r>
    </w:p>
    <w:p w14:paraId="278376D5">
      <w:pPr>
        <w:pStyle w:val="126"/>
        <w:framePr w:w="9639" w:h="6974" w:hRule="exact" w:wrap="around" w:vAnchor="page" w:hAnchor="page" w:x="1419" w:y="6408" w:anchorLock="1"/>
        <w:textAlignment w:val="bottom"/>
        <w:rPr>
          <w:rFonts w:hint="eastAsia" w:eastAsia="黑体"/>
          <w:szCs w:val="28"/>
        </w:rPr>
      </w:pPr>
    </w:p>
    <w:p w14:paraId="0B0FD945">
      <w:pPr>
        <w:pStyle w:val="126"/>
        <w:framePr w:w="9639" w:h="6974" w:hRule="exact" w:wrap="around" w:vAnchor="page" w:hAnchor="page" w:x="1419" w:y="6408" w:anchorLock="1"/>
        <w:textAlignment w:val="bottom"/>
        <w:rPr>
          <w:rFonts w:hint="eastAsia" w:eastAsia="黑体"/>
          <w:szCs w:val="28"/>
        </w:rPr>
      </w:pPr>
    </w:p>
    <w:p w14:paraId="68984876">
      <w:pPr>
        <w:pStyle w:val="126"/>
        <w:framePr w:w="9639" w:h="6974" w:hRule="exact" w:wrap="around" w:vAnchor="page" w:hAnchor="page" w:x="1419" w:y="6408" w:anchorLock="1"/>
        <w:textAlignment w:val="bottom"/>
        <w:rPr>
          <w:rFonts w:eastAsia="黑体"/>
          <w:szCs w:val="28"/>
        </w:rPr>
      </w:pPr>
      <w:r>
        <w:rPr>
          <w:rFonts w:hint="eastAsia" w:eastAsia="黑体"/>
          <w:szCs w:val="28"/>
          <w:lang w:eastAsia="zh-CN"/>
        </w:rPr>
        <w:t>（标准征求意见稿）</w:t>
      </w:r>
      <w:r>
        <w:rPr>
          <w:rFonts w:eastAsia="黑体"/>
          <w:szCs w:val="28"/>
        </w:rPr>
        <w:fldChar w:fldCharType="end"/>
      </w:r>
      <w:bookmarkEnd w:id="10"/>
    </w:p>
    <w:p w14:paraId="412C17EE">
      <w:pPr>
        <w:framePr w:w="9639" w:h="6974" w:hRule="exact" w:wrap="around" w:vAnchor="page" w:hAnchor="page" w:x="1419" w:y="6408" w:anchorLock="1"/>
        <w:spacing w:line="760" w:lineRule="exact"/>
        <w:ind w:left="-1418"/>
      </w:pPr>
    </w:p>
    <w:p w14:paraId="0F56F1F6">
      <w:pPr>
        <w:pStyle w:val="126"/>
        <w:framePr w:w="9639" w:h="6974" w:hRule="exact" w:wrap="around" w:vAnchor="page" w:hAnchor="page" w:x="1419" w:y="6408" w:anchorLock="1"/>
        <w:textAlignment w:val="bottom"/>
        <w:rPr>
          <w:rFonts w:eastAsia="黑体"/>
          <w:szCs w:val="28"/>
        </w:rPr>
      </w:pPr>
    </w:p>
    <w:p w14:paraId="1A0DA96B">
      <w:pPr>
        <w:pStyle w:val="126"/>
        <w:framePr w:w="9639" w:h="6974" w:hRule="exact" w:wrap="around" w:vAnchor="page" w:hAnchor="page" w:x="1419" w:y="6408" w:anchorLock="1"/>
        <w:spacing w:before="440" w:after="160"/>
        <w:textAlignment w:val="bottom"/>
        <w:rPr>
          <w:sz w:val="24"/>
          <w:szCs w:val="28"/>
        </w:rPr>
      </w:pPr>
    </w:p>
    <w:p w14:paraId="18BBDAAC">
      <w:pPr>
        <w:pStyle w:val="194"/>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1"/>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2"/>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3"/>
      <w:r>
        <w:rPr>
          <w:rFonts w:hint="eastAsia"/>
        </w:rPr>
        <w:t>发布</w:t>
      </w:r>
    </w:p>
    <w:p w14:paraId="534C1FFE">
      <w:pPr>
        <w:pStyle w:val="195"/>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fldChar w:fldCharType="separate"/>
      </w:r>
      <w:r>
        <w:rPr>
          <w:rFonts w:ascii="黑体"/>
        </w:rPr>
        <w:t>202</w:t>
      </w:r>
      <w:r>
        <w:rPr>
          <w:rFonts w:hint="eastAsia" w:ascii="黑体"/>
          <w:lang w:val="en-US" w:eastAsia="zh-CN"/>
        </w:rPr>
        <w:t>*</w:t>
      </w:r>
      <w:r>
        <w:rPr>
          <w:rFonts w:ascii="黑体"/>
        </w:rPr>
        <w:fldChar w:fldCharType="end"/>
      </w:r>
      <w:bookmarkEnd w:id="14"/>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fldChar w:fldCharType="separate"/>
      </w:r>
      <w:r>
        <w:rPr>
          <w:rFonts w:hint="eastAsia" w:ascii="黑体"/>
        </w:rPr>
        <w:t>**</w:t>
      </w:r>
      <w:r>
        <w:rPr>
          <w:rFonts w:ascii="黑体"/>
        </w:rPr>
        <w:fldChar w:fldCharType="end"/>
      </w:r>
      <w:bookmarkEnd w:id="15"/>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fldChar w:fldCharType="separate"/>
      </w:r>
      <w:r>
        <w:rPr>
          <w:rFonts w:hint="eastAsia" w:ascii="黑体"/>
          <w:lang w:eastAsia="zh-CN"/>
        </w:rPr>
        <w:t>*</w:t>
      </w:r>
      <w:r>
        <w:rPr>
          <w:rFonts w:hint="eastAsia" w:ascii="黑体"/>
          <w:lang w:val="en-US" w:eastAsia="zh-CN"/>
        </w:rPr>
        <w:t>*</w:t>
      </w:r>
      <w:r>
        <w:rPr>
          <w:rFonts w:ascii="黑体"/>
        </w:rPr>
        <w:fldChar w:fldCharType="end"/>
      </w:r>
      <w:bookmarkEnd w:id="16"/>
      <w:r>
        <w:rPr>
          <w:rFonts w:hint="eastAsia"/>
        </w:rPr>
        <w:t>实施</w:t>
      </w:r>
    </w:p>
    <w:p w14:paraId="6F3FA8D6">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7"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中国</w:t>
      </w:r>
      <w:r>
        <w:rPr>
          <w:rFonts w:hAnsi="黑体"/>
          <w:w w:val="100"/>
          <w:sz w:val="28"/>
        </w:rPr>
        <w:t>中医药</w:t>
      </w:r>
      <w:r>
        <w:rPr>
          <w:rFonts w:hint="eastAsia" w:hAnsi="黑体"/>
          <w:w w:val="100"/>
          <w:sz w:val="28"/>
        </w:rPr>
        <w:t>研究</w:t>
      </w:r>
      <w:r>
        <w:rPr>
          <w:rFonts w:hAnsi="黑体"/>
          <w:w w:val="100"/>
          <w:sz w:val="28"/>
        </w:rPr>
        <w:t>促进会</w:t>
      </w:r>
      <w:r>
        <w:rPr>
          <w:rFonts w:hAnsi="黑体"/>
          <w:w w:val="100"/>
          <w:sz w:val="28"/>
        </w:rPr>
        <w:fldChar w:fldCharType="end"/>
      </w:r>
      <w:bookmarkEnd w:id="17"/>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26C2EF6C">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A5973BF">
      <w:pPr>
        <w:pStyle w:val="90"/>
        <w:spacing w:after="360"/>
      </w:pPr>
      <w:bookmarkStart w:id="18" w:name="_Toc27272"/>
      <w:bookmarkStart w:id="19" w:name="BookMark2"/>
      <w:r>
        <w:rPr>
          <w:spacing w:val="320"/>
        </w:rPr>
        <w:t>前</w:t>
      </w:r>
      <w:r>
        <w:t>言</w:t>
      </w:r>
      <w:bookmarkEnd w:id="18"/>
    </w:p>
    <w:p w14:paraId="7E89CE78">
      <w:pPr>
        <w:pStyle w:val="57"/>
        <w:ind w:firstLine="420"/>
      </w:pPr>
      <w:r>
        <w:rPr>
          <w:rFonts w:hint="eastAsia"/>
        </w:rPr>
        <w:t>本文件按照GB/T 1.1-2020《标准化工作导则  第1部分：标准化文件的结构和起草规则》的规定起草。</w:t>
      </w:r>
    </w:p>
    <w:p w14:paraId="00A497ED">
      <w:pPr>
        <w:pStyle w:val="57"/>
        <w:ind w:firstLine="420"/>
        <w:rPr>
          <w:rFonts w:hint="eastAsia" w:hAnsi="Times New Roman" w:cs="Times New Roman"/>
        </w:rPr>
      </w:pPr>
      <w:r>
        <w:rPr>
          <w:rFonts w:hint="eastAsia"/>
        </w:rPr>
        <w:t>请注意本文件的某些内容可能涉及专利。本文件的发布机构不承担识别专利的责任</w:t>
      </w:r>
      <w:r>
        <w:rPr>
          <w:rFonts w:hint="eastAsia" w:hAnsi="Times New Roman" w:cs="Times New Roman"/>
        </w:rPr>
        <w:t>。本文件由</w:t>
      </w:r>
      <w:r>
        <w:rPr>
          <w:rFonts w:hint="eastAsia" w:hAnsi="Times New Roman" w:cs="Times New Roman"/>
          <w:lang w:eastAsia="en-US"/>
        </w:rPr>
        <w:t>台州市中医</w:t>
      </w:r>
      <w:r>
        <w:rPr>
          <w:rFonts w:hint="default" w:hAnsi="Times New Roman" w:cs="Times New Roman"/>
          <w:lang w:eastAsia="en-US"/>
        </w:rPr>
        <w:t>院</w:t>
      </w:r>
      <w:r>
        <w:rPr>
          <w:rFonts w:hint="eastAsia" w:hAnsi="Times New Roman" w:cs="Times New Roman"/>
        </w:rPr>
        <w:t>提出。</w:t>
      </w:r>
    </w:p>
    <w:p w14:paraId="1640DE90">
      <w:pPr>
        <w:pStyle w:val="57"/>
        <w:ind w:firstLine="420"/>
      </w:pPr>
      <w:r>
        <w:rPr>
          <w:rFonts w:hint="eastAsia"/>
        </w:rPr>
        <w:t>本文件由中国中医药研究促进会归口。</w:t>
      </w:r>
    </w:p>
    <w:p w14:paraId="08ADD694">
      <w:pPr>
        <w:pStyle w:val="57"/>
        <w:ind w:firstLine="420"/>
        <w:rPr>
          <w:rFonts w:hint="default" w:hAnsi="Times New Roman" w:eastAsia="宋体" w:cs="Times New Roman"/>
          <w:highlight w:val="yellow"/>
          <w:lang w:val="en-US" w:eastAsia="zh-CN"/>
        </w:rPr>
      </w:pPr>
      <w:r>
        <w:rPr>
          <w:rFonts w:hint="eastAsia"/>
        </w:rPr>
        <w:t>本文件起草单位：长治市中药材产业发展中心</w:t>
      </w:r>
      <w:r>
        <w:rPr>
          <w:rFonts w:hint="default" w:hAnsi="Times New Roman" w:cs="Times New Roman"/>
          <w:lang w:eastAsia="en-US"/>
        </w:rPr>
        <w:t>、</w:t>
      </w:r>
      <w:r>
        <w:rPr>
          <w:rFonts w:hint="eastAsia" w:cs="Times New Roman"/>
          <w:highlight w:val="none"/>
          <w:lang w:val="en-US" w:eastAsia="zh-CN"/>
        </w:rPr>
        <w:t>中国标准化研究院</w:t>
      </w:r>
    </w:p>
    <w:p w14:paraId="32D78306">
      <w:pPr>
        <w:pStyle w:val="57"/>
        <w:ind w:firstLine="420"/>
        <w:rPr>
          <w:rFonts w:hint="default" w:hAnsi="Times New Roman" w:eastAsia="宋体" w:cs="Times New Roman"/>
          <w:lang w:val="en-US" w:eastAsia="zh-CN"/>
        </w:rPr>
      </w:pPr>
      <w:r>
        <w:rPr>
          <w:rFonts w:hint="eastAsia" w:hAnsi="Times New Roman" w:cs="Times New Roman"/>
        </w:rPr>
        <w:t>本文件主要起草人：</w:t>
      </w:r>
      <w:r>
        <w:rPr>
          <w:rFonts w:hint="eastAsia" w:cs="Times New Roman"/>
          <w:lang w:val="en-US" w:eastAsia="zh-CN"/>
        </w:rPr>
        <w:t>武东 王军霞 王伟 初侨 燕艳华 陈萌</w:t>
      </w:r>
    </w:p>
    <w:p w14:paraId="3233E5A8">
      <w:pPr>
        <w:pStyle w:val="57"/>
        <w:ind w:firstLine="420"/>
        <w:rPr>
          <w:rFonts w:hint="default" w:hAnsi="Times New Roman" w:cs="Times New Roman"/>
          <w:lang w:eastAsia="zh-CN"/>
        </w:rPr>
      </w:pPr>
    </w:p>
    <w:p w14:paraId="3C8F5278">
      <w:pPr>
        <w:rPr>
          <w:rFonts w:hint="eastAsia" w:hAnsi="Times New Roman" w:cs="Times New Roman"/>
          <w:lang w:eastAsia="zh-CN"/>
        </w:rPr>
      </w:pPr>
      <w:r>
        <w:rPr>
          <w:rFonts w:hint="eastAsia" w:hAnsi="Times New Roman" w:cs="Times New Roman"/>
          <w:lang w:eastAsia="zh-CN"/>
        </w:rPr>
        <w:br w:type="page"/>
      </w:r>
    </w:p>
    <w:p w14:paraId="5422A81D">
      <w:pPr>
        <w:pStyle w:val="90"/>
        <w:spacing w:after="360"/>
      </w:pPr>
      <w:bookmarkStart w:id="20" w:name="_Toc8366"/>
      <w:r>
        <w:rPr>
          <w:rFonts w:hint="eastAsia"/>
          <w:spacing w:val="320"/>
          <w:lang w:val="en-US" w:eastAsia="zh-CN"/>
        </w:rPr>
        <w:t>引</w:t>
      </w:r>
      <w:r>
        <w:t>言</w:t>
      </w:r>
      <w:bookmarkEnd w:id="20"/>
    </w:p>
    <w:p w14:paraId="11CBC1FA">
      <w:pPr>
        <w:widowControl/>
        <w:kinsoku w:val="0"/>
        <w:autoSpaceDE w:val="0"/>
        <w:autoSpaceDN w:val="0"/>
        <w:adjustRightInd w:val="0"/>
        <w:snapToGrid w:val="0"/>
        <w:spacing w:before="86" w:line="360" w:lineRule="auto"/>
        <w:ind w:right="71" w:firstLine="420"/>
        <w:jc w:val="left"/>
        <w:textAlignment w:val="baseline"/>
        <w:rPr>
          <w:rFonts w:hint="eastAsia" w:ascii="宋体" w:hAnsi="Times New Roman" w:eastAsia="宋体" w:cs="Times New Roman"/>
          <w:kern w:val="0"/>
          <w:sz w:val="21"/>
          <w:szCs w:val="20"/>
          <w:lang w:val="en-US" w:eastAsia="en-US" w:bidi="ar-SA"/>
        </w:rPr>
      </w:pPr>
      <w:r>
        <w:rPr>
          <w:rFonts w:hint="eastAsia" w:ascii="宋体" w:hAnsi="Times New Roman" w:eastAsia="宋体" w:cs="Times New Roman"/>
          <w:kern w:val="0"/>
          <w:sz w:val="21"/>
          <w:szCs w:val="20"/>
          <w:lang w:val="en-US" w:eastAsia="en-US" w:bidi="ar-SA"/>
        </w:rPr>
        <w:t>作为道地中药材的杰出代表，潞党参凭借悠久的药用历史与独特的品质功效，在中医药领域占据着不可替代的地位。为筑牢潞党参产业高质量发展的标准根基，保障药材品质从产地到终端的全程可控，依据《中华人民共和国药典》《中药材生产质量管理规范》等相关要求，结合潞党参主产区的实际生产情况与产业发展需求，特制定本</w:t>
      </w:r>
      <w:r>
        <w:rPr>
          <w:rFonts w:hint="eastAsia" w:ascii="宋体" w:hAnsi="Times New Roman" w:cs="Times New Roman"/>
          <w:kern w:val="0"/>
          <w:sz w:val="21"/>
          <w:szCs w:val="20"/>
          <w:lang w:val="en-US" w:eastAsia="zh-CN" w:bidi="ar-SA"/>
        </w:rPr>
        <w:t>标准</w:t>
      </w:r>
      <w:r>
        <w:rPr>
          <w:rFonts w:hint="eastAsia" w:ascii="宋体" w:hAnsi="Times New Roman" w:eastAsia="宋体" w:cs="Times New Roman"/>
          <w:kern w:val="0"/>
          <w:sz w:val="21"/>
          <w:szCs w:val="20"/>
          <w:lang w:val="en-US" w:eastAsia="en-US" w:bidi="ar-SA"/>
        </w:rPr>
        <w:t>。本</w:t>
      </w:r>
      <w:r>
        <w:rPr>
          <w:rFonts w:hint="eastAsia" w:ascii="宋体" w:hAnsi="Times New Roman" w:cs="Times New Roman"/>
          <w:kern w:val="0"/>
          <w:sz w:val="21"/>
          <w:szCs w:val="20"/>
          <w:lang w:val="en-US" w:eastAsia="zh-CN" w:bidi="ar-SA"/>
        </w:rPr>
        <w:t>标准</w:t>
      </w:r>
      <w:r>
        <w:rPr>
          <w:rFonts w:hint="eastAsia" w:ascii="宋体" w:hAnsi="Times New Roman" w:eastAsia="宋体" w:cs="Times New Roman"/>
          <w:kern w:val="0"/>
          <w:sz w:val="21"/>
          <w:szCs w:val="20"/>
          <w:lang w:val="en-US" w:eastAsia="en-US" w:bidi="ar-SA"/>
        </w:rPr>
        <w:t>涵盖潞党参仓储环境控制、入库检验、贮藏养护、包装运输等全流程关键环节，旨在通过标准化的技术要求与操作流程，指导生产经营主体科学开展仓储流通工作，减少质量损耗，提升潞党参的市场竞争力，推动道地中药材产业的规范化、可持续发展。</w:t>
      </w:r>
    </w:p>
    <w:p w14:paraId="4F0D7D6C">
      <w:pPr>
        <w:spacing w:line="20" w:lineRule="exact"/>
        <w:jc w:val="center"/>
        <w:rPr>
          <w:rFonts w:ascii="黑体" w:hAnsi="黑体" w:eastAsia="黑体"/>
          <w:sz w:val="32"/>
          <w:szCs w:val="32"/>
        </w:rPr>
      </w:pPr>
      <w:r>
        <w:rPr>
          <w:rFonts w:hint="eastAsia" w:hAnsi="Times New Roman" w:cs="Times New Roman"/>
          <w:lang w:eastAsia="zh-CN"/>
        </w:rPr>
        <w:br w:type="page"/>
      </w:r>
      <w:bookmarkEnd w:id="19"/>
      <w:bookmarkStart w:id="21" w:name="BookMark4"/>
    </w:p>
    <w:p w14:paraId="7DF50EB9">
      <w:pPr>
        <w:spacing w:line="20" w:lineRule="exact"/>
        <w:jc w:val="center"/>
        <w:rPr>
          <w:rFonts w:ascii="黑体" w:hAnsi="黑体" w:eastAsia="黑体"/>
          <w:sz w:val="32"/>
          <w:szCs w:val="32"/>
        </w:rPr>
      </w:pPr>
    </w:p>
    <w:sdt>
      <w:sdtPr>
        <w:tag w:val="NEW_STAND_NAME"/>
        <w:id w:val="595910757"/>
        <w:lock w:val="sdtLocked"/>
        <w:placeholder>
          <w:docPart w:val="A276024014E749F195FC61D7865681B4"/>
        </w:placeholder>
      </w:sdtPr>
      <w:sdtContent>
        <w:p w14:paraId="0885E84A">
          <w:pPr>
            <w:jc w:val="center"/>
          </w:pPr>
          <w:bookmarkStart w:id="22" w:name="NEW_STAND_NAME"/>
          <w:r>
            <w:rPr>
              <w:rFonts w:hint="eastAsia" w:ascii="黑体" w:hAnsi="黑体" w:eastAsia="黑体" w:cs="黑体"/>
              <w:snapToGrid w:val="0"/>
              <w:color w:val="000000"/>
              <w:spacing w:val="7"/>
              <w:kern w:val="0"/>
              <w:sz w:val="31"/>
              <w:szCs w:val="31"/>
              <w:lang w:val="en-US" w:eastAsia="en-US" w:bidi="ar-SA"/>
            </w:rPr>
            <w:t>潞党参仓储流通技术规范</w:t>
          </w:r>
        </w:p>
      </w:sdtContent>
    </w:sdt>
    <w:bookmarkEnd w:id="22"/>
    <w:p w14:paraId="23A36214">
      <w:pPr>
        <w:pStyle w:val="105"/>
        <w:spacing w:before="240" w:after="240"/>
      </w:pPr>
      <w:bookmarkStart w:id="23" w:name="_Toc17233325"/>
      <w:bookmarkStart w:id="24" w:name="_Toc26718930"/>
      <w:bookmarkStart w:id="25" w:name="_Toc26986771"/>
      <w:bookmarkStart w:id="26" w:name="_Toc26648465"/>
      <w:bookmarkStart w:id="27" w:name="_Toc21305"/>
      <w:bookmarkStart w:id="28" w:name="_Toc17233333"/>
      <w:bookmarkStart w:id="29" w:name="_Toc26986530"/>
      <w:bookmarkStart w:id="30" w:name="_Toc24884211"/>
      <w:bookmarkStart w:id="31" w:name="_Toc24884218"/>
      <w:r>
        <w:rPr>
          <w:rFonts w:hint="eastAsia"/>
        </w:rPr>
        <w:t>范围</w:t>
      </w:r>
      <w:bookmarkEnd w:id="23"/>
      <w:bookmarkEnd w:id="24"/>
      <w:bookmarkEnd w:id="25"/>
      <w:bookmarkEnd w:id="26"/>
      <w:bookmarkEnd w:id="27"/>
      <w:bookmarkEnd w:id="28"/>
      <w:bookmarkEnd w:id="29"/>
      <w:bookmarkEnd w:id="30"/>
      <w:bookmarkEnd w:id="31"/>
    </w:p>
    <w:p w14:paraId="1A2DFDBC">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en-US" w:bidi="ar-SA"/>
        </w:rPr>
      </w:pPr>
      <w:bookmarkStart w:id="32" w:name="_Toc17233326"/>
      <w:bookmarkStart w:id="33" w:name="_Toc26648466"/>
      <w:bookmarkStart w:id="34" w:name="_Toc24884219"/>
      <w:bookmarkStart w:id="35" w:name="_Toc17233334"/>
      <w:bookmarkStart w:id="36" w:name="_Toc24884212"/>
      <w:r>
        <w:rPr>
          <w:rFonts w:hint="eastAsia" w:ascii="宋体" w:hAnsi="Times New Roman" w:eastAsia="宋体" w:cs="Times New Roman"/>
          <w:kern w:val="0"/>
          <w:sz w:val="21"/>
          <w:szCs w:val="20"/>
          <w:lang w:val="en-US" w:eastAsia="en-US" w:bidi="ar-SA"/>
        </w:rPr>
        <w:t>本</w:t>
      </w:r>
      <w:r>
        <w:rPr>
          <w:rFonts w:hint="eastAsia" w:ascii="宋体" w:hAnsi="Times New Roman" w:cs="Times New Roman"/>
          <w:kern w:val="0"/>
          <w:sz w:val="21"/>
          <w:szCs w:val="20"/>
          <w:lang w:val="en-US" w:eastAsia="zh-CN" w:bidi="ar-SA"/>
        </w:rPr>
        <w:t>文件</w:t>
      </w:r>
      <w:r>
        <w:rPr>
          <w:rFonts w:hint="eastAsia" w:ascii="宋体" w:hAnsi="Times New Roman" w:eastAsia="宋体" w:cs="Times New Roman"/>
          <w:kern w:val="0"/>
          <w:sz w:val="21"/>
          <w:szCs w:val="20"/>
          <w:lang w:val="en-US" w:eastAsia="en-US" w:bidi="ar-SA"/>
        </w:rPr>
        <w:t>规定了潞党参仓储环境控制、入库检验、贮藏养护、包装运输等全流程的技术要求。</w:t>
      </w:r>
    </w:p>
    <w:p w14:paraId="3EF38FC0">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ascii="宋体" w:hAnsi="Times New Roman" w:eastAsia="宋体" w:cs="Times New Roman"/>
          <w:kern w:val="0"/>
          <w:sz w:val="21"/>
          <w:szCs w:val="20"/>
          <w:lang w:val="en-US" w:eastAsia="zh-CN" w:bidi="ar-SA"/>
        </w:rPr>
      </w:pPr>
      <w:r>
        <w:rPr>
          <w:rFonts w:hint="eastAsia" w:ascii="宋体" w:hAnsi="Times New Roman" w:eastAsia="宋体" w:cs="Times New Roman"/>
          <w:kern w:val="0"/>
          <w:sz w:val="21"/>
          <w:szCs w:val="20"/>
          <w:lang w:val="en-US" w:eastAsia="en-US" w:bidi="ar-SA"/>
        </w:rPr>
        <w:t>本</w:t>
      </w:r>
      <w:r>
        <w:rPr>
          <w:rFonts w:hint="eastAsia" w:ascii="宋体" w:hAnsi="Times New Roman" w:cs="Times New Roman"/>
          <w:kern w:val="0"/>
          <w:sz w:val="21"/>
          <w:szCs w:val="20"/>
          <w:lang w:val="en-US" w:eastAsia="zh-CN" w:bidi="ar-SA"/>
        </w:rPr>
        <w:t>文件适用于潞党参从产地加工完成后至终端销售前的仓储与流通过程</w:t>
      </w:r>
      <w:r>
        <w:rPr>
          <w:rFonts w:hint="eastAsia" w:ascii="宋体" w:hAnsi="Times New Roman" w:eastAsia="宋体" w:cs="Times New Roman"/>
          <w:kern w:val="0"/>
          <w:sz w:val="21"/>
          <w:szCs w:val="20"/>
          <w:lang w:val="en-US" w:eastAsia="en-US" w:bidi="ar-SA"/>
        </w:rPr>
        <w:t>。</w:t>
      </w:r>
    </w:p>
    <w:p w14:paraId="5D42895D">
      <w:pPr>
        <w:pStyle w:val="105"/>
        <w:spacing w:before="240" w:after="240"/>
      </w:pPr>
      <w:bookmarkStart w:id="37" w:name="_Toc26718931"/>
      <w:bookmarkStart w:id="38" w:name="_Toc26986772"/>
      <w:bookmarkStart w:id="39" w:name="_Toc2711"/>
      <w:bookmarkStart w:id="40" w:name="_Toc26986531"/>
      <w:r>
        <w:rPr>
          <w:rFonts w:hint="eastAsia"/>
        </w:rPr>
        <w:t>规范性引用文件</w:t>
      </w:r>
      <w:bookmarkEnd w:id="32"/>
      <w:bookmarkEnd w:id="33"/>
      <w:bookmarkEnd w:id="34"/>
      <w:bookmarkEnd w:id="35"/>
      <w:bookmarkEnd w:id="36"/>
      <w:bookmarkEnd w:id="37"/>
      <w:bookmarkEnd w:id="38"/>
      <w:bookmarkEnd w:id="39"/>
      <w:bookmarkEnd w:id="40"/>
    </w:p>
    <w:sdt>
      <w:sdtPr>
        <w:rPr>
          <w:rFonts w:hint="eastAsia"/>
        </w:rPr>
        <w:id w:val="715848253"/>
        <w:placeholder>
          <w:docPart w:val="06919CD3F62A421B8D32E5DFCB13C24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052F18C">
          <w:pPr>
            <w:pStyle w:val="57"/>
            <w:spacing w:line="240" w:lineRule="auto"/>
            <w:ind w:firstLine="420"/>
          </w:pPr>
          <w:r>
            <w:rPr>
              <w:rFonts w:hint="eastAsia" w:ascii="宋体" w:hAnsi="Times New Roman" w:eastAsia="宋体" w:cs="Times New Roman"/>
              <w:sz w:val="21"/>
              <w:lang w:val="en-US" w:eastAsia="zh-CN" w:bidi="ar-S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160F6208">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rPr>
      </w:pPr>
      <w:bookmarkStart w:id="41" w:name="_Toc19886"/>
      <w:r>
        <w:rPr>
          <w:rFonts w:hint="eastAsia"/>
        </w:rPr>
        <w:t>《中华人民共和国药典》</w:t>
      </w:r>
    </w:p>
    <w:p w14:paraId="10D57908">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rPr>
      </w:pPr>
      <w:r>
        <w:rPr>
          <w:rFonts w:hint="eastAsia"/>
        </w:rPr>
        <w:t>《中药材生产质量管理规范》（GAP）</w:t>
      </w:r>
    </w:p>
    <w:p w14:paraId="0B1714A6">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rPr>
      </w:pPr>
      <w:r>
        <w:rPr>
          <w:rFonts w:hint="eastAsia"/>
        </w:rPr>
        <w:t>《药品经营质量管理规范》（GSP）</w:t>
      </w:r>
    </w:p>
    <w:p w14:paraId="0FC6DCBB">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lang w:val="en-US" w:eastAsia="zh-CN"/>
        </w:rPr>
      </w:pPr>
      <w:r>
        <w:rPr>
          <w:rFonts w:hint="eastAsia"/>
          <w:lang w:val="en-US" w:eastAsia="zh-CN"/>
        </w:rPr>
        <w:t>SB/T 11094 中药材仓储管理规范</w:t>
      </w:r>
    </w:p>
    <w:p w14:paraId="1941B92A">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default"/>
          <w:lang w:val="en-US" w:eastAsia="zh-CN"/>
        </w:rPr>
      </w:pPr>
      <w:r>
        <w:rPr>
          <w:rFonts w:hint="eastAsia"/>
          <w:lang w:val="en-US" w:eastAsia="zh-CN"/>
        </w:rPr>
        <w:t>SB/T 11095 中药材仓库技术规范</w:t>
      </w:r>
    </w:p>
    <w:p w14:paraId="72CED496">
      <w:pPr>
        <w:keepNext w:val="0"/>
        <w:keepLines w:val="0"/>
        <w:pageBreakBefore w:val="0"/>
        <w:widowControl/>
        <w:kinsoku/>
        <w:wordWrap/>
        <w:overflowPunct/>
        <w:topLinePunct w:val="0"/>
        <w:autoSpaceDE w:val="0"/>
        <w:autoSpaceDN w:val="0"/>
        <w:bidi w:val="0"/>
        <w:adjustRightInd w:val="0"/>
        <w:snapToGrid w:val="0"/>
        <w:spacing w:line="240" w:lineRule="auto"/>
        <w:ind w:left="0" w:firstLine="420" w:firstLineChars="200"/>
        <w:jc w:val="both"/>
        <w:textAlignment w:val="baseline"/>
        <w:rPr>
          <w:rFonts w:hint="eastAsia"/>
        </w:rPr>
      </w:pPr>
      <w:r>
        <w:rPr>
          <w:rFonts w:hint="eastAsia"/>
        </w:rPr>
        <w:t>SB/T 11182 中药材包装技术规范</w:t>
      </w:r>
    </w:p>
    <w:p w14:paraId="22E57D42">
      <w:pPr>
        <w:pStyle w:val="105"/>
        <w:spacing w:before="240" w:after="240" w:line="360" w:lineRule="auto"/>
      </w:pPr>
      <w:r>
        <w:rPr>
          <w:rFonts w:hint="eastAsia"/>
          <w:szCs w:val="21"/>
        </w:rPr>
        <w:t>术语和定义</w:t>
      </w:r>
      <w:bookmarkEnd w:id="41"/>
    </w:p>
    <w:sdt>
      <w:sdtPr>
        <w:id w:val="-1909835108"/>
        <w:placeholder>
          <w:docPart w:val="A566404057834F1AB5CC2FB6A9C4A1D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9EB1DD2">
          <w:pPr>
            <w:pStyle w:val="57"/>
            <w:spacing w:line="360" w:lineRule="auto"/>
            <w:ind w:firstLine="420"/>
          </w:pPr>
          <w:bookmarkStart w:id="42" w:name="_Toc26986532"/>
          <w:bookmarkEnd w:id="42"/>
          <w:r>
            <w:rPr>
              <w:rFonts w:ascii="宋体" w:hAnsi="Times New Roman" w:eastAsia="宋体" w:cs="Times New Roman"/>
              <w:sz w:val="21"/>
              <w:lang w:val="en-US" w:eastAsia="zh-CN" w:bidi="ar-SA"/>
            </w:rPr>
            <w:t>下列术语和定义适用于本文件。</w:t>
          </w:r>
        </w:p>
      </w:sdtContent>
    </w:sdt>
    <w:p w14:paraId="398809DC">
      <w:pPr>
        <w:pStyle w:val="106"/>
        <w:keepNext w:val="0"/>
        <w:keepLines w:val="0"/>
        <w:pageBreakBefore w:val="0"/>
        <w:widowControl/>
        <w:kinsoku/>
        <w:wordWrap/>
        <w:overflowPunct/>
        <w:topLinePunct w:val="0"/>
        <w:autoSpaceDE/>
        <w:autoSpaceDN/>
        <w:bidi w:val="0"/>
        <w:adjustRightInd w:val="0"/>
        <w:snapToGrid w:val="0"/>
        <w:spacing w:before="120" w:after="120" w:line="240" w:lineRule="auto"/>
        <w:textAlignment w:val="auto"/>
        <w:rPr>
          <w:rFonts w:ascii="Arial" w:hAnsi="Arial" w:cs="Arial"/>
        </w:rPr>
      </w:pPr>
      <w:bookmarkStart w:id="43" w:name="_Toc1608"/>
      <w:bookmarkEnd w:id="43"/>
      <w:bookmarkStart w:id="44" w:name="_Toc6700"/>
      <w:bookmarkStart w:id="45" w:name="_Toc28104"/>
      <w:bookmarkStart w:id="46" w:name="_Toc92982884"/>
    </w:p>
    <w:bookmarkEnd w:id="44"/>
    <w:bookmarkEnd w:id="45"/>
    <w:p w14:paraId="301A7EDC">
      <w:pPr>
        <w:pStyle w:val="106"/>
        <w:keepNext w:val="0"/>
        <w:keepLines w:val="0"/>
        <w:pageBreakBefore w:val="0"/>
        <w:widowControl/>
        <w:numPr>
          <w:ilvl w:val="0"/>
          <w:numId w:val="0"/>
        </w:numPr>
        <w:kinsoku/>
        <w:wordWrap/>
        <w:overflowPunct/>
        <w:topLinePunct w:val="0"/>
        <w:autoSpaceDE/>
        <w:autoSpaceDN/>
        <w:bidi w:val="0"/>
        <w:adjustRightInd w:val="0"/>
        <w:snapToGrid w:val="0"/>
        <w:spacing w:before="120" w:after="120" w:line="240" w:lineRule="auto"/>
        <w:ind w:firstLine="440" w:firstLineChars="200"/>
        <w:textAlignment w:val="auto"/>
        <w:rPr>
          <w:rFonts w:hint="default"/>
          <w:snapToGrid w:val="0"/>
          <w:color w:val="000000"/>
          <w:spacing w:val="10"/>
          <w:kern w:val="0"/>
          <w:sz w:val="20"/>
          <w:szCs w:val="20"/>
          <w:lang w:val="en-US" w:eastAsia="zh-CN"/>
        </w:rPr>
      </w:pPr>
      <w:r>
        <w:rPr>
          <w:rFonts w:hint="default"/>
          <w:snapToGrid w:val="0"/>
          <w:color w:val="000000"/>
          <w:spacing w:val="10"/>
          <w:kern w:val="0"/>
          <w:sz w:val="20"/>
          <w:szCs w:val="20"/>
          <w:lang w:val="en-US" w:eastAsia="zh-CN"/>
        </w:rPr>
        <w:t>仓储流通</w:t>
      </w:r>
    </w:p>
    <w:p w14:paraId="23B7C3FF">
      <w:pPr>
        <w:widowControl/>
        <w:kinsoku w:val="0"/>
        <w:autoSpaceDE w:val="0"/>
        <w:autoSpaceDN w:val="0"/>
        <w:adjustRightInd w:val="0"/>
        <w:snapToGrid w:val="0"/>
        <w:spacing w:before="214" w:line="240" w:lineRule="auto"/>
        <w:ind w:right="67" w:firstLine="422"/>
        <w:jc w:val="left"/>
        <w:textAlignment w:val="baseline"/>
        <w:rPr>
          <w:rFonts w:hint="eastAsia" w:cs="Times New Roman"/>
        </w:rPr>
      </w:pPr>
      <w:r>
        <w:rPr>
          <w:rFonts w:hint="eastAsia" w:cs="Times New Roman"/>
          <w:lang w:val="en-US" w:eastAsia="en-US"/>
        </w:rPr>
        <w:t>指潞党参从产地加工完成后，经过入库、贮藏、运输等环节直至交付终端用户的全过程。</w:t>
      </w:r>
    </w:p>
    <w:bookmarkEnd w:id="46"/>
    <w:p w14:paraId="55EF36A5">
      <w:pPr>
        <w:pStyle w:val="105"/>
        <w:spacing w:before="240" w:after="240"/>
      </w:pPr>
      <w:bookmarkStart w:id="47" w:name="_Toc30825"/>
      <w:bookmarkEnd w:id="47"/>
      <w:r>
        <w:rPr>
          <w:rFonts w:hint="eastAsia"/>
        </w:rPr>
        <w:t>仓储环境控制</w:t>
      </w:r>
    </w:p>
    <w:p w14:paraId="5774964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rPr>
      </w:pPr>
      <w:r>
        <w:rPr>
          <w:rFonts w:hint="eastAsia" w:ascii="黑体" w:hAnsi="黑体" w:eastAsia="黑体" w:cs="黑体"/>
        </w:rPr>
        <w:t>仓库选址与布局</w:t>
      </w:r>
    </w:p>
    <w:p w14:paraId="2E4084FF">
      <w:pPr>
        <w:pStyle w:val="57"/>
        <w:spacing w:line="240" w:lineRule="auto"/>
        <w:ind w:firstLine="420"/>
        <w:rPr>
          <w:rFonts w:hint="eastAsia" w:hAnsi="Times New Roman" w:eastAsia="宋体" w:cs="Times New Roman"/>
          <w:lang w:val="en-US" w:eastAsia="zh-CN"/>
        </w:rPr>
      </w:pPr>
      <w:r>
        <w:rPr>
          <w:rFonts w:hint="eastAsia" w:hAnsi="Times New Roman" w:eastAsia="宋体" w:cs="Times New Roman"/>
          <w:lang w:val="en-US" w:eastAsia="zh-CN"/>
        </w:rPr>
        <w:t>4.1.1 仓库应选址在地势干燥、排水良好、远离污染源（如化工厂、垃圾处理场等）的区域，距离交通主干道不小于50</w:t>
      </w:r>
      <w:r>
        <w:rPr>
          <w:rFonts w:hint="eastAsia" w:cs="Times New Roman"/>
          <w:lang w:val="en-US" w:eastAsia="zh-CN"/>
        </w:rPr>
        <w:t>m</w:t>
      </w:r>
      <w:r>
        <w:rPr>
          <w:rFonts w:hint="eastAsia" w:hAnsi="Times New Roman" w:eastAsia="宋体" w:cs="Times New Roman"/>
          <w:lang w:val="en-US" w:eastAsia="zh-CN"/>
        </w:rPr>
        <w:t>。</w:t>
      </w:r>
    </w:p>
    <w:p w14:paraId="0832AB1B">
      <w:pPr>
        <w:pStyle w:val="57"/>
        <w:spacing w:line="240" w:lineRule="auto"/>
        <w:ind w:firstLine="420"/>
        <w:rPr>
          <w:rFonts w:hint="eastAsia" w:hAnsi="Times New Roman" w:eastAsia="宋体" w:cs="Times New Roman"/>
          <w:lang w:val="en-US" w:eastAsia="zh-CN"/>
        </w:rPr>
      </w:pPr>
      <w:r>
        <w:rPr>
          <w:rFonts w:hint="eastAsia" w:hAnsi="Times New Roman" w:eastAsia="宋体" w:cs="Times New Roman"/>
          <w:lang w:val="en-US" w:eastAsia="zh-CN"/>
        </w:rPr>
        <w:t>4.1.2 仓库内部应划分入库验收区、潞党参预存区</w:t>
      </w:r>
      <w:r>
        <w:rPr>
          <w:rFonts w:hint="eastAsia" w:cs="Times New Roman"/>
          <w:lang w:val="en-US" w:eastAsia="zh-CN"/>
        </w:rPr>
        <w:t>、</w:t>
      </w:r>
      <w:r>
        <w:rPr>
          <w:rFonts w:hint="eastAsia" w:hAnsi="Times New Roman" w:eastAsia="宋体" w:cs="Times New Roman"/>
          <w:lang w:val="en-US" w:eastAsia="zh-CN"/>
        </w:rPr>
        <w:t>合格品贮藏区、不合格品隔离区、包装区等功能区域，各区域应有明显标识。</w:t>
      </w:r>
    </w:p>
    <w:p w14:paraId="5A528E4D">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rPr>
      </w:pPr>
      <w:r>
        <w:rPr>
          <w:rFonts w:hint="eastAsia" w:ascii="黑体" w:hAnsi="黑体" w:eastAsia="黑体" w:cs="黑体"/>
        </w:rPr>
        <w:t>温湿度控制</w:t>
      </w:r>
    </w:p>
    <w:p w14:paraId="0468E83F">
      <w:pPr>
        <w:pStyle w:val="57"/>
        <w:spacing w:line="240" w:lineRule="auto"/>
        <w:ind w:firstLine="420"/>
        <w:rPr>
          <w:rFonts w:hint="eastAsia" w:eastAsia="宋体"/>
          <w:lang w:eastAsia="zh-CN"/>
        </w:rPr>
      </w:pPr>
      <w:r>
        <w:rPr>
          <w:rFonts w:hint="eastAsia" w:eastAsia="宋体"/>
          <w:lang w:eastAsia="zh-CN"/>
        </w:rPr>
        <w:t>4.2.1 贮藏期间，仓库温度应控制在10℃</w:t>
      </w:r>
      <w:r>
        <w:rPr>
          <w:rFonts w:hint="eastAsia"/>
          <w:lang w:val="en-US" w:eastAsia="zh-CN"/>
        </w:rPr>
        <w:t>~</w:t>
      </w:r>
      <w:r>
        <w:rPr>
          <w:rFonts w:hint="eastAsia" w:eastAsia="宋体"/>
          <w:lang w:eastAsia="zh-CN"/>
        </w:rPr>
        <w:t>20℃，相对湿度应控制在45%</w:t>
      </w:r>
      <w:r>
        <w:rPr>
          <w:rFonts w:hint="eastAsia"/>
          <w:lang w:val="en-US" w:eastAsia="zh-CN"/>
        </w:rPr>
        <w:t>~</w:t>
      </w:r>
      <w:r>
        <w:rPr>
          <w:rFonts w:hint="eastAsia" w:eastAsia="宋体"/>
          <w:lang w:eastAsia="zh-CN"/>
        </w:rPr>
        <w:t>65%。</w:t>
      </w:r>
    </w:p>
    <w:p w14:paraId="49886F05">
      <w:pPr>
        <w:pStyle w:val="57"/>
        <w:spacing w:line="240" w:lineRule="auto"/>
        <w:ind w:firstLine="420"/>
        <w:rPr>
          <w:rFonts w:hint="eastAsia" w:eastAsia="宋体"/>
          <w:lang w:eastAsia="zh-CN"/>
        </w:rPr>
      </w:pPr>
      <w:r>
        <w:rPr>
          <w:rFonts w:hint="eastAsia" w:eastAsia="宋体"/>
          <w:lang w:eastAsia="zh-CN"/>
        </w:rPr>
        <w:t>4.2.2 仓库内应配备温湿度自动监测系统，实时记录温湿度数据，监测点应均匀分布在仓库各个区域，每2</w:t>
      </w:r>
      <w:r>
        <w:rPr>
          <w:rFonts w:hint="eastAsia"/>
          <w:lang w:val="en-US" w:eastAsia="zh-CN"/>
        </w:rPr>
        <w:t>h</w:t>
      </w:r>
      <w:r>
        <w:rPr>
          <w:rFonts w:hint="eastAsia" w:eastAsia="宋体"/>
          <w:lang w:eastAsia="zh-CN"/>
        </w:rPr>
        <w:t>记录一次数据。</w:t>
      </w:r>
    </w:p>
    <w:p w14:paraId="3A886F8B">
      <w:pPr>
        <w:pStyle w:val="57"/>
        <w:spacing w:line="240" w:lineRule="auto"/>
        <w:ind w:firstLine="420"/>
        <w:rPr>
          <w:rFonts w:hint="eastAsia" w:eastAsia="宋体"/>
          <w:lang w:eastAsia="zh-CN"/>
        </w:rPr>
      </w:pPr>
      <w:r>
        <w:rPr>
          <w:rFonts w:hint="eastAsia" w:eastAsia="宋体"/>
          <w:lang w:eastAsia="zh-CN"/>
        </w:rPr>
        <w:t>4.2.3 当温湿度超出控制范围时，应及时采取通风、除湿、降温等措施，确保环境条件符合要求。</w:t>
      </w:r>
    </w:p>
    <w:p w14:paraId="03BE6402">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rPr>
      </w:pPr>
      <w:r>
        <w:rPr>
          <w:rFonts w:hint="eastAsia" w:ascii="黑体" w:hAnsi="黑体" w:eastAsia="黑体" w:cs="黑体"/>
        </w:rPr>
        <w:t>通风与照明</w:t>
      </w:r>
    </w:p>
    <w:p w14:paraId="236026EA">
      <w:pPr>
        <w:pStyle w:val="57"/>
        <w:spacing w:line="240" w:lineRule="auto"/>
        <w:ind w:firstLine="420"/>
        <w:rPr>
          <w:rFonts w:hint="eastAsia" w:hAnsi="Times New Roman" w:cs="Times New Roman"/>
        </w:rPr>
      </w:pPr>
      <w:r>
        <w:rPr>
          <w:rFonts w:hint="eastAsia" w:hAnsi="Times New Roman" w:cs="Times New Roman"/>
        </w:rPr>
        <w:t>4.3.1 仓库应具备良好的通风条件，可采用自然通风或机械通风方式，机械通风设备应定期检查维护，确保正常运行。</w:t>
      </w:r>
    </w:p>
    <w:p w14:paraId="0711A88A">
      <w:pPr>
        <w:pStyle w:val="57"/>
        <w:spacing w:line="240" w:lineRule="auto"/>
        <w:ind w:firstLine="420"/>
        <w:rPr>
          <w:rFonts w:hint="eastAsia" w:hAnsi="Times New Roman" w:cs="Times New Roman"/>
        </w:rPr>
      </w:pPr>
      <w:r>
        <w:rPr>
          <w:rFonts w:hint="eastAsia" w:hAnsi="Times New Roman" w:cs="Times New Roman"/>
        </w:rPr>
        <w:t>4.3.2 仓库照明应采用防爆、节能型灯具，照明强度应满足操作需求，避免强光直射药材。</w:t>
      </w:r>
    </w:p>
    <w:p w14:paraId="4B6794C0">
      <w:pPr>
        <w:pStyle w:val="105"/>
        <w:spacing w:before="240" w:after="240"/>
      </w:pPr>
      <w:r>
        <w:rPr>
          <w:rFonts w:hint="eastAsia"/>
          <w:lang w:val="en-US" w:eastAsia="zh-CN"/>
        </w:rPr>
        <w:t>入库检验</w:t>
      </w:r>
    </w:p>
    <w:p w14:paraId="3D954D4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Times New Roman" w:hAnsi="Times New Roman" w:eastAsia="宋体" w:cs="Times New Roman"/>
          <w:b w:val="0"/>
          <w:bCs w:val="0"/>
          <w:snapToGrid w:val="0"/>
          <w:color w:val="000000"/>
          <w:spacing w:val="10"/>
          <w:kern w:val="0"/>
          <w:sz w:val="21"/>
          <w:szCs w:val="21"/>
        </w:rPr>
      </w:pPr>
      <w:r>
        <w:rPr>
          <w:rFonts w:hint="eastAsia" w:hAnsi="黑体" w:cs="黑体"/>
          <w:lang w:val="en-US" w:eastAsia="zh-CN"/>
        </w:rPr>
        <w:t>验收准备</w:t>
      </w:r>
    </w:p>
    <w:p w14:paraId="776A5C28">
      <w:pPr>
        <w:pStyle w:val="57"/>
        <w:spacing w:line="240" w:lineRule="auto"/>
        <w:ind w:firstLine="420"/>
        <w:rPr>
          <w:rFonts w:hint="eastAsia" w:hAnsi="Times New Roman" w:cs="Times New Roman"/>
          <w:lang w:val="en-US" w:eastAsia="zh-CN"/>
        </w:rPr>
      </w:pPr>
      <w:bookmarkStart w:id="48" w:name="_Toc6339"/>
      <w:r>
        <w:rPr>
          <w:rFonts w:hint="eastAsia" w:hAnsi="Times New Roman" w:cs="Times New Roman"/>
          <w:lang w:val="en-US" w:eastAsia="zh-CN"/>
        </w:rPr>
        <w:t>5.1.1 验收人员应熟悉潞党参的质量标准和检验方法，具备相应的专业知识和技能。</w:t>
      </w:r>
    </w:p>
    <w:p w14:paraId="7719F22C">
      <w:pPr>
        <w:pStyle w:val="57"/>
        <w:spacing w:line="240" w:lineRule="auto"/>
        <w:ind w:firstLine="420"/>
        <w:rPr>
          <w:rFonts w:hint="default" w:hAnsi="Times New Roman" w:cs="Times New Roman"/>
          <w:lang w:val="en-US" w:eastAsia="zh-CN"/>
        </w:rPr>
      </w:pPr>
      <w:r>
        <w:rPr>
          <w:rFonts w:hint="eastAsia" w:hAnsi="Times New Roman" w:cs="Times New Roman"/>
          <w:lang w:val="en-US" w:eastAsia="zh-CN"/>
        </w:rPr>
        <w:t>5.1.2 验收前应准备好检验设备和工具，如电子秤、水分测定仪、显微镜等。</w:t>
      </w:r>
      <w:bookmarkEnd w:id="48"/>
    </w:p>
    <w:p w14:paraId="62DA5285">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外观与标识检验</w:t>
      </w:r>
    </w:p>
    <w:p w14:paraId="413D405A">
      <w:pPr>
        <w:pStyle w:val="57"/>
        <w:spacing w:line="240" w:lineRule="auto"/>
        <w:ind w:firstLine="420"/>
        <w:rPr>
          <w:rFonts w:hint="eastAsia" w:hAnsi="Times New Roman" w:cs="Times New Roman"/>
          <w:lang w:val="en-US" w:eastAsia="zh-CN"/>
        </w:rPr>
      </w:pPr>
      <w:r>
        <w:rPr>
          <w:rFonts w:hint="eastAsia" w:hAnsi="Times New Roman" w:cs="Times New Roman"/>
          <w:lang w:val="en-US" w:eastAsia="zh-CN"/>
        </w:rPr>
        <w:t>5.2.1 检查潞党参的外观性状，应符合《中华人民共和国药典》规定的特征，无虫蛀、霉变、走油、变色等异常现象。</w:t>
      </w:r>
    </w:p>
    <w:p w14:paraId="5C9FC35C">
      <w:pPr>
        <w:pStyle w:val="57"/>
        <w:spacing w:line="240" w:lineRule="auto"/>
        <w:ind w:firstLine="420"/>
        <w:rPr>
          <w:rFonts w:hint="eastAsia" w:hAnsi="Times New Roman" w:cs="Times New Roman"/>
          <w:lang w:val="en-US" w:eastAsia="zh-CN"/>
        </w:rPr>
      </w:pPr>
      <w:r>
        <w:rPr>
          <w:rFonts w:hint="eastAsia" w:hAnsi="Times New Roman" w:cs="Times New Roman"/>
          <w:lang w:val="en-US" w:eastAsia="zh-CN"/>
        </w:rPr>
        <w:t>5.2.2 检查包装标识，应标明品名、产地、规格、批号、生产日期、生产企业名称等信息，标识应清晰、完整。</w:t>
      </w:r>
    </w:p>
    <w:p w14:paraId="06F0BA19">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质量指标检验</w:t>
      </w:r>
    </w:p>
    <w:p w14:paraId="67B1ADDA">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5.3.1 水分测定：采用烘干法测定潞党参的水分含量，水分应不超过13.0%。</w:t>
      </w:r>
    </w:p>
    <w:p w14:paraId="5A47D07C">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5.3.2 杂质检查：检查潞党参中的杂质含量，杂质应不超过2.0%。</w:t>
      </w:r>
    </w:p>
    <w:p w14:paraId="70121205">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5.3.3 有效成分测定：采用高效液相色谱法测定党参炔苷的含量，党参炔苷含量应不低于0.0</w:t>
      </w:r>
      <w:r>
        <w:rPr>
          <w:rFonts w:hint="eastAsia" w:cs="Times New Roman"/>
          <w:lang w:val="en-US" w:eastAsia="zh-CN"/>
        </w:rPr>
        <w:t>3</w:t>
      </w:r>
      <w:r>
        <w:rPr>
          <w:rFonts w:hint="default" w:hAnsi="Times New Roman" w:cs="Times New Roman"/>
          <w:lang w:val="en-US" w:eastAsia="zh-CN"/>
        </w:rPr>
        <w:t>0%。</w:t>
      </w:r>
    </w:p>
    <w:p w14:paraId="49CE4FD0">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验收结果处理</w:t>
      </w:r>
    </w:p>
    <w:p w14:paraId="2B4E0E5D">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5.4.1 检验合格的潞党参，应及时办理入库手续，移入</w:t>
      </w:r>
      <w:r>
        <w:rPr>
          <w:rFonts w:hint="eastAsia" w:cs="Times New Roman"/>
          <w:lang w:val="en-US" w:eastAsia="zh-CN"/>
        </w:rPr>
        <w:t>预存区。</w:t>
      </w:r>
    </w:p>
    <w:p w14:paraId="4009A5B9">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5.4.2 检验不合格的潞党参，应移入不合格品隔离区，并及时通知相关部门处理，不合格品不得流入下一环节。</w:t>
      </w:r>
    </w:p>
    <w:p w14:paraId="39CC9FA5">
      <w:pPr>
        <w:pStyle w:val="57"/>
        <w:spacing w:line="240" w:lineRule="auto"/>
        <w:ind w:firstLine="420"/>
        <w:rPr>
          <w:rFonts w:hint="default" w:hAnsi="Times New Roman" w:cs="Times New Roman"/>
          <w:lang w:val="en-US" w:eastAsia="zh-CN"/>
        </w:rPr>
      </w:pPr>
      <w:r>
        <w:rPr>
          <w:rFonts w:hint="eastAsia" w:cs="Times New Roman"/>
          <w:lang w:val="en-US" w:eastAsia="zh-CN"/>
        </w:rPr>
        <w:t>4.1.3 预存区配备强制通风设备，用于潞党参入库前的短期摊晾，摊晾厚度不超过5cm，摊晾时间根据产地初加工情况控制在24-48h，确保潞党参水分均匀散发后再转入</w:t>
      </w:r>
      <w:r>
        <w:rPr>
          <w:rFonts w:hint="default" w:hAnsi="Times New Roman" w:cs="Times New Roman"/>
          <w:lang w:val="en-US" w:eastAsia="zh-CN"/>
        </w:rPr>
        <w:t>合格品贮藏区</w:t>
      </w:r>
      <w:r>
        <w:rPr>
          <w:rFonts w:hint="eastAsia" w:cs="Times New Roman"/>
          <w:lang w:val="en-US" w:eastAsia="zh-CN"/>
        </w:rPr>
        <w:t>。</w:t>
      </w:r>
    </w:p>
    <w:p w14:paraId="5FF74467">
      <w:pPr>
        <w:pStyle w:val="105"/>
        <w:spacing w:before="240" w:after="240"/>
        <w:rPr>
          <w:rFonts w:hint="eastAsia"/>
          <w:lang w:val="en-US" w:eastAsia="zh-CN"/>
        </w:rPr>
      </w:pPr>
      <w:r>
        <w:rPr>
          <w:rFonts w:hint="eastAsia"/>
          <w:lang w:val="en-US" w:eastAsia="zh-CN"/>
        </w:rPr>
        <w:t>贮藏养护</w:t>
      </w:r>
    </w:p>
    <w:p w14:paraId="2A41D30A">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堆码要求</w:t>
      </w:r>
    </w:p>
    <w:p w14:paraId="14816D39">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6.1.1 潞党参应按批号、规格分类堆码，应在托盘或垫板上进行堆码,垫板高度不低于10cm</w:t>
      </w:r>
      <w:r>
        <w:rPr>
          <w:rFonts w:hint="eastAsia" w:cs="Times New Roman"/>
          <w:lang w:val="en-US" w:eastAsia="zh-CN"/>
        </w:rPr>
        <w:t>，</w:t>
      </w:r>
      <w:r>
        <w:rPr>
          <w:rFonts w:hint="default" w:hAnsi="Times New Roman" w:cs="Times New Roman"/>
          <w:lang w:val="en-US" w:eastAsia="zh-CN"/>
        </w:rPr>
        <w:t>堆码高度应符合仓库设计要求，避免压坏药材。</w:t>
      </w:r>
    </w:p>
    <w:p w14:paraId="5592F5C6">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6.1.2 堆垛之间应留有足够的通道，便于人员操作和货物搬运，通道宽度应不小于1.5</w:t>
      </w:r>
      <w:r>
        <w:rPr>
          <w:rFonts w:hint="eastAsia" w:hAnsi="Times New Roman" w:cs="Times New Roman"/>
          <w:lang w:val="en-US" w:eastAsia="zh-CN"/>
        </w:rPr>
        <w:t>m</w:t>
      </w:r>
      <w:r>
        <w:rPr>
          <w:rFonts w:hint="default" w:hAnsi="Times New Roman" w:cs="Times New Roman"/>
          <w:lang w:val="en-US" w:eastAsia="zh-CN"/>
        </w:rPr>
        <w:t>。</w:t>
      </w:r>
    </w:p>
    <w:p w14:paraId="0635EBF8">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养护措施</w:t>
      </w:r>
    </w:p>
    <w:p w14:paraId="08A826DB">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6.2.1 定期检查：每月对贮藏的潞党参进行一次全面检查，检查内容包括外观性状、包装完整性、温湿度环境等，发现问题及时处理。</w:t>
      </w:r>
    </w:p>
    <w:p w14:paraId="1352E63C">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6.2.2 防虫防霉：可采用密封抽氧充氮（或二氧化碳）养护、磷化铝熏蒸等方法防虫防霉，熏蒸时应严格按照操作规程进行，确保安全。</w:t>
      </w:r>
    </w:p>
    <w:p w14:paraId="07BCAB01">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6.2.3 除湿降温：当仓库湿度超出控制范围时，应及时开启除湿设备；当温度过高时，可采用通风、降温等措施。</w:t>
      </w:r>
    </w:p>
    <w:p w14:paraId="5923C746">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hAnsi="黑体" w:cs="黑体"/>
          <w:lang w:val="en-US" w:eastAsia="zh-CN"/>
        </w:rPr>
      </w:pPr>
      <w:r>
        <w:rPr>
          <w:rFonts w:hint="default" w:hAnsi="黑体" w:cs="黑体"/>
          <w:lang w:val="en-US" w:eastAsia="zh-CN"/>
        </w:rPr>
        <w:t>不合格品处理</w:t>
      </w:r>
    </w:p>
    <w:p w14:paraId="48BBBA13">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6.3.1 发现不合格的潞党参，应立即隔离存放，并进行标识，防止与合格品混淆。</w:t>
      </w:r>
    </w:p>
    <w:p w14:paraId="49EF5561">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6.3.2 对不合格品应进行分析，查明原因，采取相应的纠正措施，避免类似问题再次发生。</w:t>
      </w:r>
    </w:p>
    <w:p w14:paraId="33799707">
      <w:pPr>
        <w:pStyle w:val="105"/>
        <w:spacing w:before="240" w:after="240"/>
      </w:pPr>
      <w:r>
        <w:rPr>
          <w:rFonts w:hint="eastAsia"/>
        </w:rPr>
        <w:t>包装运输</w:t>
      </w:r>
    </w:p>
    <w:p w14:paraId="62139C59">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r>
        <w:rPr>
          <w:rFonts w:hint="eastAsia" w:ascii="黑体" w:hAnsi="黑体" w:eastAsia="黑体" w:cs="黑体"/>
          <w:b w:val="0"/>
          <w:bCs w:val="0"/>
          <w:i w:val="0"/>
          <w:iCs w:val="0"/>
          <w:caps w:val="0"/>
          <w:color w:val="0F1115"/>
          <w:spacing w:val="0"/>
          <w:sz w:val="21"/>
          <w:szCs w:val="21"/>
          <w:shd w:val="clear" w:fill="FFFFFF"/>
          <w:lang w:val="en-US" w:eastAsia="zh-CN"/>
        </w:rPr>
        <w:t>包装要求</w:t>
      </w:r>
    </w:p>
    <w:p w14:paraId="73B60EC7">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7.1.1 包装材料应符合食品药品包装材料标准，无毒、无害、无污染，具有良好的防潮、防虫、防破损性能。</w:t>
      </w:r>
    </w:p>
    <w:p w14:paraId="0D6D1047">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7.1.2 包装应牢固、密封，防止药材在运输过程中受到损坏或污染。</w:t>
      </w:r>
    </w:p>
    <w:p w14:paraId="7A2066CC">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7.1.3 包装上应标明品名、规格、批号、生产日期、有效期、生产企业名称、地址、联系方式等信息，标识应清晰、易读。</w:t>
      </w:r>
    </w:p>
    <w:p w14:paraId="67CBEC94">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黑体" w:eastAsia="黑体" w:cs="黑体"/>
          <w:b w:val="0"/>
          <w:bCs w:val="0"/>
          <w:i w:val="0"/>
          <w:iCs w:val="0"/>
          <w:caps w:val="0"/>
          <w:color w:val="0F1115"/>
          <w:spacing w:val="0"/>
          <w:sz w:val="21"/>
          <w:szCs w:val="21"/>
          <w:shd w:val="clear" w:fill="FFFFFF"/>
          <w:lang w:val="en-US" w:eastAsia="zh-CN"/>
        </w:rPr>
      </w:pPr>
      <w:r>
        <w:rPr>
          <w:rFonts w:hint="default" w:ascii="黑体" w:hAnsi="黑体" w:eastAsia="黑体" w:cs="黑体"/>
          <w:b w:val="0"/>
          <w:bCs w:val="0"/>
          <w:i w:val="0"/>
          <w:iCs w:val="0"/>
          <w:caps w:val="0"/>
          <w:color w:val="0F1115"/>
          <w:spacing w:val="0"/>
          <w:sz w:val="21"/>
          <w:szCs w:val="21"/>
          <w:shd w:val="clear" w:fill="FFFFFF"/>
          <w:lang w:val="en-US" w:eastAsia="zh-CN"/>
        </w:rPr>
        <w:t>运输要求</w:t>
      </w:r>
    </w:p>
    <w:p w14:paraId="11958E9E">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7.2.1 运输车辆应清洁、干燥、无异味，具备防雨、防潮、防晒等设施。</w:t>
      </w:r>
    </w:p>
    <w:p w14:paraId="7573F342">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7.2.2 运输过程中应避免剧烈震动和碰撞，防止包装破损。</w:t>
      </w:r>
    </w:p>
    <w:p w14:paraId="6997664B">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7.2.3 运输温度应控制在10℃</w:t>
      </w:r>
      <w:r>
        <w:rPr>
          <w:rFonts w:hint="eastAsia" w:cs="Times New Roman"/>
          <w:lang w:val="en-US" w:eastAsia="zh-CN"/>
        </w:rPr>
        <w:t>~</w:t>
      </w:r>
      <w:r>
        <w:rPr>
          <w:rFonts w:hint="default" w:hAnsi="Times New Roman" w:cs="Times New Roman"/>
          <w:lang w:val="en-US" w:eastAsia="zh-CN"/>
        </w:rPr>
        <w:t>2</w:t>
      </w:r>
      <w:r>
        <w:rPr>
          <w:rFonts w:hint="eastAsia" w:cs="Times New Roman"/>
          <w:lang w:val="en-US" w:eastAsia="zh-CN"/>
        </w:rPr>
        <w:t>0</w:t>
      </w:r>
      <w:bookmarkStart w:id="49" w:name="_GoBack"/>
      <w:bookmarkEnd w:id="49"/>
      <w:r>
        <w:rPr>
          <w:rFonts w:hint="default" w:hAnsi="Times New Roman" w:cs="Times New Roman"/>
          <w:lang w:val="en-US" w:eastAsia="zh-CN"/>
        </w:rPr>
        <w:t>℃，相对湿度应控制在45%</w:t>
      </w:r>
      <w:r>
        <w:rPr>
          <w:rFonts w:hint="eastAsia" w:cs="Times New Roman"/>
          <w:lang w:val="en-US" w:eastAsia="zh-CN"/>
        </w:rPr>
        <w:t>~65</w:t>
      </w:r>
      <w:r>
        <w:rPr>
          <w:rFonts w:hint="default" w:hAnsi="Times New Roman" w:cs="Times New Roman"/>
          <w:lang w:val="en-US" w:eastAsia="zh-CN"/>
        </w:rPr>
        <w:t>%，避免在高温、高湿环境下运输。</w:t>
      </w:r>
    </w:p>
    <w:p w14:paraId="6A3B0357">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7.2.4 运输过程中应做好记录，包括运输车辆信息、运输路线、运输时间、温湿度数据等。</w:t>
      </w:r>
    </w:p>
    <w:p w14:paraId="675BDD68">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default" w:ascii="黑体" w:hAnsi="黑体" w:eastAsia="黑体" w:cs="黑体"/>
          <w:b w:val="0"/>
          <w:bCs w:val="0"/>
          <w:i w:val="0"/>
          <w:iCs w:val="0"/>
          <w:caps w:val="0"/>
          <w:color w:val="0F1115"/>
          <w:spacing w:val="0"/>
          <w:sz w:val="21"/>
          <w:szCs w:val="21"/>
          <w:shd w:val="clear" w:fill="FFFFFF"/>
          <w:lang w:val="en-US" w:eastAsia="zh-CN"/>
        </w:rPr>
      </w:pPr>
      <w:r>
        <w:rPr>
          <w:rFonts w:hint="default" w:ascii="黑体" w:hAnsi="黑体" w:eastAsia="黑体" w:cs="黑体"/>
          <w:b w:val="0"/>
          <w:bCs w:val="0"/>
          <w:i w:val="0"/>
          <w:iCs w:val="0"/>
          <w:caps w:val="0"/>
          <w:color w:val="0F1115"/>
          <w:spacing w:val="0"/>
          <w:sz w:val="21"/>
          <w:szCs w:val="21"/>
          <w:shd w:val="clear" w:fill="FFFFFF"/>
          <w:lang w:val="en-US" w:eastAsia="zh-CN"/>
        </w:rPr>
        <w:t>装卸搬运</w:t>
      </w:r>
    </w:p>
    <w:p w14:paraId="484848AE">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7.3.1 装卸搬运过程中应轻拿轻放，避免损坏包装和药材。</w:t>
      </w:r>
    </w:p>
    <w:p w14:paraId="491331B7">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7.3.2 装卸搬运人员应具备相应的专业知识和技能，严格按照操作规程进行操作。</w:t>
      </w:r>
    </w:p>
    <w:p w14:paraId="781E1212">
      <w:pPr>
        <w:pStyle w:val="105"/>
        <w:spacing w:before="240" w:after="240"/>
      </w:pPr>
      <w:r>
        <w:rPr>
          <w:rFonts w:hint="eastAsia"/>
        </w:rPr>
        <w:t>记录与追溯</w:t>
      </w:r>
    </w:p>
    <w:p w14:paraId="03DA3FD1">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r>
        <w:rPr>
          <w:rFonts w:hint="eastAsia" w:ascii="黑体" w:hAnsi="黑体" w:eastAsia="黑体" w:cs="黑体"/>
          <w:b w:val="0"/>
          <w:bCs w:val="0"/>
          <w:i w:val="0"/>
          <w:iCs w:val="0"/>
          <w:caps w:val="0"/>
          <w:color w:val="0F1115"/>
          <w:spacing w:val="0"/>
          <w:sz w:val="21"/>
          <w:szCs w:val="21"/>
          <w:shd w:val="clear" w:fill="FFFFFF"/>
          <w:lang w:val="en-US" w:eastAsia="zh-CN"/>
        </w:rPr>
        <w:t>记录管理</w:t>
      </w:r>
    </w:p>
    <w:p w14:paraId="55D0DC18">
      <w:pPr>
        <w:pStyle w:val="57"/>
        <w:spacing w:line="240" w:lineRule="auto"/>
        <w:ind w:firstLine="420"/>
        <w:rPr>
          <w:rFonts w:hint="eastAsia" w:hAnsi="Times New Roman" w:cs="Times New Roman"/>
          <w:lang w:val="en-US" w:eastAsia="zh-CN"/>
        </w:rPr>
      </w:pPr>
      <w:r>
        <w:rPr>
          <w:rFonts w:hint="eastAsia" w:hAnsi="Times New Roman" w:cs="Times New Roman"/>
          <w:lang w:val="en-US" w:eastAsia="zh-CN"/>
        </w:rPr>
        <w:t>8.1.1 仓储流通全过程应建立完整的记录，包括入库检验记录、温湿度监测记录、养护记录、出库记录、运输记录等。</w:t>
      </w:r>
    </w:p>
    <w:p w14:paraId="02398EE0">
      <w:pPr>
        <w:pStyle w:val="57"/>
        <w:spacing w:line="240" w:lineRule="auto"/>
        <w:ind w:firstLine="420"/>
        <w:rPr>
          <w:rFonts w:hint="eastAsia" w:hAnsi="Times New Roman" w:cs="Times New Roman"/>
          <w:lang w:val="en-US" w:eastAsia="zh-CN"/>
        </w:rPr>
      </w:pPr>
      <w:r>
        <w:rPr>
          <w:rFonts w:hint="eastAsia" w:hAnsi="Times New Roman" w:cs="Times New Roman"/>
          <w:lang w:val="en-US" w:eastAsia="zh-CN"/>
        </w:rPr>
        <w:t>8.1.2 记录应真实、准确、完整，字迹清晰，不得随意涂改，记录保存期限应不少于3年。</w:t>
      </w:r>
    </w:p>
    <w:p w14:paraId="670BB865">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r>
        <w:rPr>
          <w:rFonts w:hint="eastAsia" w:ascii="黑体" w:hAnsi="黑体" w:eastAsia="黑体" w:cs="黑体"/>
          <w:b w:val="0"/>
          <w:bCs w:val="0"/>
          <w:i w:val="0"/>
          <w:iCs w:val="0"/>
          <w:caps w:val="0"/>
          <w:color w:val="0F1115"/>
          <w:spacing w:val="0"/>
          <w:sz w:val="21"/>
          <w:szCs w:val="21"/>
          <w:shd w:val="clear" w:fill="FFFFFF"/>
          <w:lang w:val="en-US" w:eastAsia="zh-CN"/>
        </w:rPr>
        <w:t>追溯体系</w:t>
      </w:r>
    </w:p>
    <w:p w14:paraId="7AD9B190">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8.2.1 建立潞党参质量追溯体系，实现从产地到终端用户的全程追溯。</w:t>
      </w:r>
    </w:p>
    <w:p w14:paraId="7F81A963">
      <w:pPr>
        <w:pStyle w:val="57"/>
        <w:spacing w:line="240" w:lineRule="auto"/>
        <w:ind w:firstLine="420"/>
        <w:rPr>
          <w:rFonts w:hint="default" w:hAnsi="Times New Roman" w:cs="Times New Roman"/>
          <w:lang w:val="en-US" w:eastAsia="zh-CN"/>
        </w:rPr>
      </w:pPr>
      <w:r>
        <w:rPr>
          <w:rFonts w:hint="default" w:hAnsi="Times New Roman" w:cs="Times New Roman"/>
          <w:lang w:val="en-US" w:eastAsia="zh-CN"/>
        </w:rPr>
        <w:t>8.2.2 利用信息化技术，对潞党参的种植、加工、仓储、运输等环节进行数据采集和管理，确保产品质量可追溯。</w:t>
      </w:r>
    </w:p>
    <w:p w14:paraId="4DD49C2B">
      <w:pPr>
        <w:pStyle w:val="105"/>
        <w:spacing w:before="240" w:after="240"/>
      </w:pPr>
      <w:r>
        <w:rPr>
          <w:rFonts w:hint="eastAsia"/>
        </w:rPr>
        <w:t>监督与考核</w:t>
      </w:r>
    </w:p>
    <w:p w14:paraId="7FA9437C">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r>
        <w:rPr>
          <w:rFonts w:hint="eastAsia" w:ascii="黑体" w:hAnsi="黑体" w:eastAsia="黑体" w:cs="黑体"/>
          <w:b w:val="0"/>
          <w:bCs w:val="0"/>
          <w:i w:val="0"/>
          <w:iCs w:val="0"/>
          <w:caps w:val="0"/>
          <w:color w:val="0F1115"/>
          <w:spacing w:val="0"/>
          <w:sz w:val="21"/>
          <w:szCs w:val="21"/>
          <w:shd w:val="clear" w:fill="FFFFFF"/>
          <w:lang w:val="en-US" w:eastAsia="zh-CN"/>
        </w:rPr>
        <w:t>内部监督</w:t>
      </w:r>
    </w:p>
    <w:p w14:paraId="4158DECD">
      <w:pPr>
        <w:pStyle w:val="57"/>
        <w:rPr>
          <w:rFonts w:hint="eastAsia"/>
        </w:rPr>
      </w:pPr>
      <w:r>
        <w:rPr>
          <w:rFonts w:hint="eastAsia"/>
        </w:rPr>
        <w:t>企业应建立内部监督机制，定期对仓储流通环节进行检查和考核，确保各项制度和操作规程得到有效执行。</w:t>
      </w:r>
    </w:p>
    <w:p w14:paraId="1743AF39">
      <w:pPr>
        <w:pStyle w:val="106"/>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黑体" w:hAnsi="黑体" w:eastAsia="黑体" w:cs="黑体"/>
          <w:b w:val="0"/>
          <w:bCs w:val="0"/>
          <w:i w:val="0"/>
          <w:iCs w:val="0"/>
          <w:caps w:val="0"/>
          <w:color w:val="0F1115"/>
          <w:spacing w:val="0"/>
          <w:sz w:val="21"/>
          <w:szCs w:val="21"/>
          <w:shd w:val="clear" w:fill="FFFFFF"/>
          <w:lang w:val="en-US" w:eastAsia="zh-CN"/>
        </w:rPr>
      </w:pPr>
      <w:r>
        <w:rPr>
          <w:rFonts w:hint="eastAsia" w:ascii="黑体" w:hAnsi="黑体" w:eastAsia="黑体" w:cs="黑体"/>
          <w:b w:val="0"/>
          <w:bCs w:val="0"/>
          <w:i w:val="0"/>
          <w:iCs w:val="0"/>
          <w:caps w:val="0"/>
          <w:color w:val="0F1115"/>
          <w:spacing w:val="0"/>
          <w:sz w:val="21"/>
          <w:szCs w:val="21"/>
          <w:shd w:val="clear" w:fill="FFFFFF"/>
          <w:lang w:val="en-US" w:eastAsia="zh-CN"/>
        </w:rPr>
        <w:t>外部监督</w:t>
      </w:r>
    </w:p>
    <w:p w14:paraId="1FA4C42B">
      <w:pPr>
        <w:pStyle w:val="57"/>
      </w:pPr>
      <w:r>
        <w:rPr>
          <w:rFonts w:hint="eastAsia"/>
        </w:rPr>
        <w:t>接受药品监督管理部门、质量技术监督部门等相关部门的监督检查，积极配合开展各项工作。</w:t>
      </w:r>
    </w:p>
    <w:bookmarkEnd w:id="21"/>
    <w:p w14:paraId="0155739E">
      <w:pPr>
        <w:pStyle w:val="57"/>
        <w:spacing w:line="240" w:lineRule="auto"/>
        <w:ind w:left="0" w:leftChars="0" w:firstLine="0" w:firstLineChars="0"/>
        <w:rPr>
          <w:rFonts w:hint="eastAsia" w:hAnsi="宋体"/>
        </w:rPr>
      </w:pPr>
    </w:p>
    <w:sectPr>
      <w:headerReference r:id="rId9" w:type="default"/>
      <w:footerReference r:id="rId10" w:type="default"/>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F55C6">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49CB">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C4FC9">
    <w:pPr>
      <w:pStyle w:val="53"/>
    </w:pPr>
    <w:r>
      <w:fldChar w:fldCharType="begin"/>
    </w:r>
    <w:r>
      <w:instrText xml:space="preserve">PAGE   \* MERGEFORMAT</w:instrText>
    </w:r>
    <w:r>
      <w:fldChar w:fldCharType="separate"/>
    </w:r>
    <w:r>
      <w:rPr>
        <w:lang w:val="zh-CN"/>
      </w:rPr>
      <w:t>14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DD885">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1588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AB32B3">
    <w:pPr>
      <w:pStyle w:val="62"/>
    </w:pPr>
    <w:r>
      <w:fldChar w:fldCharType="begin"/>
    </w:r>
    <w:r>
      <w:instrText xml:space="preserve"> STYLEREF  标准文件_文件编号  \* MERGEFORMAT </w:instrText>
    </w:r>
    <w:r>
      <w:fldChar w:fldCharType="separate"/>
    </w:r>
    <w:r>
      <w:t>T/CRACM ****—****</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787"/>
        </w:tabs>
        <w:ind w:left="1787" w:hanging="648"/>
      </w:pPr>
    </w:lvl>
    <w:lvl w:ilvl="1" w:tentative="0">
      <w:start w:val="1"/>
      <w:numFmt w:val="lowerLetter"/>
      <w:lvlText w:val="%2)"/>
      <w:lvlJc w:val="left"/>
      <w:pPr>
        <w:tabs>
          <w:tab w:val="left" w:pos="1979"/>
        </w:tabs>
        <w:ind w:left="1979" w:hanging="420"/>
      </w:pPr>
    </w:lvl>
    <w:lvl w:ilvl="2" w:tentative="0">
      <w:start w:val="1"/>
      <w:numFmt w:val="lowerRoman"/>
      <w:lvlText w:val="%3."/>
      <w:lvlJc w:val="right"/>
      <w:pPr>
        <w:tabs>
          <w:tab w:val="left" w:pos="2399"/>
        </w:tabs>
        <w:ind w:left="2399" w:hanging="420"/>
      </w:pPr>
    </w:lvl>
    <w:lvl w:ilvl="3" w:tentative="0">
      <w:start w:val="1"/>
      <w:numFmt w:val="decimal"/>
      <w:lvlText w:val="%4."/>
      <w:lvlJc w:val="left"/>
      <w:pPr>
        <w:tabs>
          <w:tab w:val="left" w:pos="2819"/>
        </w:tabs>
        <w:ind w:left="2819" w:hanging="420"/>
      </w:pPr>
    </w:lvl>
    <w:lvl w:ilvl="4" w:tentative="0">
      <w:start w:val="1"/>
      <w:numFmt w:val="lowerLetter"/>
      <w:lvlText w:val="%5)"/>
      <w:lvlJc w:val="left"/>
      <w:pPr>
        <w:tabs>
          <w:tab w:val="left" w:pos="3239"/>
        </w:tabs>
        <w:ind w:left="3239" w:hanging="420"/>
      </w:pPr>
    </w:lvl>
    <w:lvl w:ilvl="5" w:tentative="0">
      <w:start w:val="1"/>
      <w:numFmt w:val="lowerRoman"/>
      <w:lvlText w:val="%6."/>
      <w:lvlJc w:val="right"/>
      <w:pPr>
        <w:tabs>
          <w:tab w:val="left" w:pos="3659"/>
        </w:tabs>
        <w:ind w:left="3659" w:hanging="420"/>
      </w:pPr>
    </w:lvl>
    <w:lvl w:ilvl="6" w:tentative="0">
      <w:start w:val="1"/>
      <w:numFmt w:val="decimal"/>
      <w:lvlText w:val="%7."/>
      <w:lvlJc w:val="left"/>
      <w:pPr>
        <w:tabs>
          <w:tab w:val="left" w:pos="4079"/>
        </w:tabs>
        <w:ind w:left="4079" w:hanging="420"/>
      </w:pPr>
    </w:lvl>
    <w:lvl w:ilvl="7" w:tentative="0">
      <w:start w:val="1"/>
      <w:numFmt w:val="lowerLetter"/>
      <w:lvlText w:val="%8)"/>
      <w:lvlJc w:val="left"/>
      <w:pPr>
        <w:tabs>
          <w:tab w:val="left" w:pos="4499"/>
        </w:tabs>
        <w:ind w:left="4499" w:hanging="420"/>
      </w:pPr>
    </w:lvl>
    <w:lvl w:ilvl="8" w:tentative="0">
      <w:start w:val="1"/>
      <w:numFmt w:val="lowerRoman"/>
      <w:lvlText w:val="%9."/>
      <w:lvlJc w:val="right"/>
      <w:pPr>
        <w:tabs>
          <w:tab w:val="left" w:pos="4919"/>
        </w:tabs>
        <w:ind w:left="4919"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426"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doNotDisplayPageBoundaries w:val="1"/>
  <w:bordersDoNotSurroundHeader w:val="0"/>
  <w:bordersDoNotSurroundFooter w:val="0"/>
  <w:attachedTemplate r:id="rId1"/>
  <w:documentProtection w:edit="forms" w:enforcement="1" w:cryptProviderType="rsaAES" w:cryptAlgorithmClass="hash" w:cryptAlgorithmType="typeAny" w:cryptAlgorithmSid="14" w:cryptSpinCount="100000" w:hash="wTUT4pLQD11QDHETL0iuL3d4EmY/Xf3TO/QpClXZH1GuaWCATkR2YITNRIe82PyXGqBg5on6ikx5/ICvOKwH9w==" w:salt="Pu07rCnwk6oxxBGF8s+1XQ=="/>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NhYzk2NjdkNzE3ZjM0MDllNTZkZTZlMGYzZGI1YjEifQ=="/>
  </w:docVars>
  <w:rsids>
    <w:rsidRoot w:val="00197300"/>
    <w:rsid w:val="000003B0"/>
    <w:rsid w:val="0000040A"/>
    <w:rsid w:val="0000051B"/>
    <w:rsid w:val="00000A94"/>
    <w:rsid w:val="00001972"/>
    <w:rsid w:val="00001D9A"/>
    <w:rsid w:val="00007B3A"/>
    <w:rsid w:val="000107E0"/>
    <w:rsid w:val="00011DB1"/>
    <w:rsid w:val="00011FDE"/>
    <w:rsid w:val="0001286E"/>
    <w:rsid w:val="00012FFD"/>
    <w:rsid w:val="00014162"/>
    <w:rsid w:val="00014340"/>
    <w:rsid w:val="00016A9C"/>
    <w:rsid w:val="00022184"/>
    <w:rsid w:val="00022762"/>
    <w:rsid w:val="000238E0"/>
    <w:rsid w:val="00023BF3"/>
    <w:rsid w:val="000249D0"/>
    <w:rsid w:val="000249DB"/>
    <w:rsid w:val="000255DF"/>
    <w:rsid w:val="0002595E"/>
    <w:rsid w:val="000266FB"/>
    <w:rsid w:val="000303C3"/>
    <w:rsid w:val="000331D3"/>
    <w:rsid w:val="000346A5"/>
    <w:rsid w:val="000359C3"/>
    <w:rsid w:val="00035A7D"/>
    <w:rsid w:val="000365ED"/>
    <w:rsid w:val="00037DA4"/>
    <w:rsid w:val="0004249A"/>
    <w:rsid w:val="00043282"/>
    <w:rsid w:val="00044286"/>
    <w:rsid w:val="00046F9A"/>
    <w:rsid w:val="00047F28"/>
    <w:rsid w:val="000503AA"/>
    <w:rsid w:val="000506A1"/>
    <w:rsid w:val="00051300"/>
    <w:rsid w:val="000515DD"/>
    <w:rsid w:val="0005265A"/>
    <w:rsid w:val="00053307"/>
    <w:rsid w:val="000539DD"/>
    <w:rsid w:val="00053BD3"/>
    <w:rsid w:val="000546E6"/>
    <w:rsid w:val="000556ED"/>
    <w:rsid w:val="00055FE2"/>
    <w:rsid w:val="0005616F"/>
    <w:rsid w:val="00057B7C"/>
    <w:rsid w:val="00057D81"/>
    <w:rsid w:val="00060C2E"/>
    <w:rsid w:val="00061033"/>
    <w:rsid w:val="000619E9"/>
    <w:rsid w:val="000622D4"/>
    <w:rsid w:val="00062CA5"/>
    <w:rsid w:val="0006357D"/>
    <w:rsid w:val="00067F1E"/>
    <w:rsid w:val="00071CC0"/>
    <w:rsid w:val="00071CFC"/>
    <w:rsid w:val="00073C8C"/>
    <w:rsid w:val="00073F97"/>
    <w:rsid w:val="00074391"/>
    <w:rsid w:val="00077B64"/>
    <w:rsid w:val="00080112"/>
    <w:rsid w:val="00080A1C"/>
    <w:rsid w:val="00080FF8"/>
    <w:rsid w:val="00082317"/>
    <w:rsid w:val="00083D2C"/>
    <w:rsid w:val="00086AA1"/>
    <w:rsid w:val="00087596"/>
    <w:rsid w:val="00087A77"/>
    <w:rsid w:val="00090CA6"/>
    <w:rsid w:val="00092B8A"/>
    <w:rsid w:val="00092FB0"/>
    <w:rsid w:val="000932D9"/>
    <w:rsid w:val="000934C5"/>
    <w:rsid w:val="0009351C"/>
    <w:rsid w:val="0009392C"/>
    <w:rsid w:val="00093D25"/>
    <w:rsid w:val="00093DAB"/>
    <w:rsid w:val="00094D73"/>
    <w:rsid w:val="00096594"/>
    <w:rsid w:val="00096D63"/>
    <w:rsid w:val="000975F3"/>
    <w:rsid w:val="000A0B60"/>
    <w:rsid w:val="000A0EB8"/>
    <w:rsid w:val="000A19FC"/>
    <w:rsid w:val="000A296B"/>
    <w:rsid w:val="000A7311"/>
    <w:rsid w:val="000B060F"/>
    <w:rsid w:val="000B0929"/>
    <w:rsid w:val="000B1592"/>
    <w:rsid w:val="000B1FF2"/>
    <w:rsid w:val="000B3CDA"/>
    <w:rsid w:val="000B468C"/>
    <w:rsid w:val="000B6A0B"/>
    <w:rsid w:val="000C0F04"/>
    <w:rsid w:val="000C0F6C"/>
    <w:rsid w:val="000C11DB"/>
    <w:rsid w:val="000C1492"/>
    <w:rsid w:val="000C2FBD"/>
    <w:rsid w:val="000C30BD"/>
    <w:rsid w:val="000C4B41"/>
    <w:rsid w:val="000C57D6"/>
    <w:rsid w:val="000C6362"/>
    <w:rsid w:val="000C7666"/>
    <w:rsid w:val="000D0A9C"/>
    <w:rsid w:val="000D1795"/>
    <w:rsid w:val="000D329A"/>
    <w:rsid w:val="000D340B"/>
    <w:rsid w:val="000D4B9C"/>
    <w:rsid w:val="000D4EB6"/>
    <w:rsid w:val="000D753B"/>
    <w:rsid w:val="000E4C9E"/>
    <w:rsid w:val="000E5271"/>
    <w:rsid w:val="000E6FD7"/>
    <w:rsid w:val="000F06E1"/>
    <w:rsid w:val="000F0E3C"/>
    <w:rsid w:val="000F19D5"/>
    <w:rsid w:val="000F4050"/>
    <w:rsid w:val="000F47A7"/>
    <w:rsid w:val="000F4AEA"/>
    <w:rsid w:val="000F67E9"/>
    <w:rsid w:val="000F72F3"/>
    <w:rsid w:val="00104926"/>
    <w:rsid w:val="00104BCB"/>
    <w:rsid w:val="001124EC"/>
    <w:rsid w:val="00113B1E"/>
    <w:rsid w:val="0011468A"/>
    <w:rsid w:val="001147B7"/>
    <w:rsid w:val="0011711C"/>
    <w:rsid w:val="00120CDA"/>
    <w:rsid w:val="00124E4F"/>
    <w:rsid w:val="001260B7"/>
    <w:rsid w:val="001265CB"/>
    <w:rsid w:val="001321C6"/>
    <w:rsid w:val="001325C4"/>
    <w:rsid w:val="0013269E"/>
    <w:rsid w:val="00133010"/>
    <w:rsid w:val="001338EE"/>
    <w:rsid w:val="00133A8B"/>
    <w:rsid w:val="00133AAE"/>
    <w:rsid w:val="00135323"/>
    <w:rsid w:val="001356C4"/>
    <w:rsid w:val="00137565"/>
    <w:rsid w:val="00141114"/>
    <w:rsid w:val="00142969"/>
    <w:rsid w:val="001446C2"/>
    <w:rsid w:val="00145711"/>
    <w:rsid w:val="001457E7"/>
    <w:rsid w:val="00145D9D"/>
    <w:rsid w:val="00146388"/>
    <w:rsid w:val="0014655F"/>
    <w:rsid w:val="00147F08"/>
    <w:rsid w:val="001505B1"/>
    <w:rsid w:val="001529E5"/>
    <w:rsid w:val="00152FB3"/>
    <w:rsid w:val="00153C7E"/>
    <w:rsid w:val="00156B25"/>
    <w:rsid w:val="00156E1A"/>
    <w:rsid w:val="00157894"/>
    <w:rsid w:val="00157B55"/>
    <w:rsid w:val="00162A77"/>
    <w:rsid w:val="001631FD"/>
    <w:rsid w:val="001642FA"/>
    <w:rsid w:val="001649EB"/>
    <w:rsid w:val="00164BAF"/>
    <w:rsid w:val="00164E30"/>
    <w:rsid w:val="00164FA8"/>
    <w:rsid w:val="00165065"/>
    <w:rsid w:val="00165434"/>
    <w:rsid w:val="0016580B"/>
    <w:rsid w:val="00165F49"/>
    <w:rsid w:val="00166B88"/>
    <w:rsid w:val="0016770A"/>
    <w:rsid w:val="00170804"/>
    <w:rsid w:val="001708E9"/>
    <w:rsid w:val="001714A5"/>
    <w:rsid w:val="0017340B"/>
    <w:rsid w:val="00173FB1"/>
    <w:rsid w:val="001740D3"/>
    <w:rsid w:val="00174418"/>
    <w:rsid w:val="00176DFD"/>
    <w:rsid w:val="00180045"/>
    <w:rsid w:val="00181897"/>
    <w:rsid w:val="00182720"/>
    <w:rsid w:val="001852C9"/>
    <w:rsid w:val="00187A0B"/>
    <w:rsid w:val="00190087"/>
    <w:rsid w:val="00190376"/>
    <w:rsid w:val="001913C4"/>
    <w:rsid w:val="00191DD0"/>
    <w:rsid w:val="0019348F"/>
    <w:rsid w:val="00193A07"/>
    <w:rsid w:val="00194C95"/>
    <w:rsid w:val="00195C34"/>
    <w:rsid w:val="00196EF5"/>
    <w:rsid w:val="00197300"/>
    <w:rsid w:val="001A1113"/>
    <w:rsid w:val="001A1A53"/>
    <w:rsid w:val="001A234A"/>
    <w:rsid w:val="001A4CF3"/>
    <w:rsid w:val="001A6313"/>
    <w:rsid w:val="001A6696"/>
    <w:rsid w:val="001B06E8"/>
    <w:rsid w:val="001B3145"/>
    <w:rsid w:val="001B3ABC"/>
    <w:rsid w:val="001B71D0"/>
    <w:rsid w:val="001B71EE"/>
    <w:rsid w:val="001C04A8"/>
    <w:rsid w:val="001C2C03"/>
    <w:rsid w:val="001C42F7"/>
    <w:rsid w:val="001C49E5"/>
    <w:rsid w:val="001C4DBE"/>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3B3"/>
    <w:rsid w:val="001F69B4"/>
    <w:rsid w:val="001F77C7"/>
    <w:rsid w:val="00200183"/>
    <w:rsid w:val="00200333"/>
    <w:rsid w:val="0020107D"/>
    <w:rsid w:val="00201AB4"/>
    <w:rsid w:val="00202AA4"/>
    <w:rsid w:val="002031F7"/>
    <w:rsid w:val="00203487"/>
    <w:rsid w:val="00203B9D"/>
    <w:rsid w:val="002040E6"/>
    <w:rsid w:val="0020527B"/>
    <w:rsid w:val="00205F2C"/>
    <w:rsid w:val="002075A8"/>
    <w:rsid w:val="00210B15"/>
    <w:rsid w:val="002142EA"/>
    <w:rsid w:val="00215ADD"/>
    <w:rsid w:val="002204BB"/>
    <w:rsid w:val="00221B79"/>
    <w:rsid w:val="00221C6B"/>
    <w:rsid w:val="002253A1"/>
    <w:rsid w:val="00225CF8"/>
    <w:rsid w:val="0022794E"/>
    <w:rsid w:val="00233D64"/>
    <w:rsid w:val="0023482A"/>
    <w:rsid w:val="002359CB"/>
    <w:rsid w:val="00235D43"/>
    <w:rsid w:val="00237B81"/>
    <w:rsid w:val="0024153B"/>
    <w:rsid w:val="00243540"/>
    <w:rsid w:val="0024497B"/>
    <w:rsid w:val="0024515B"/>
    <w:rsid w:val="00246021"/>
    <w:rsid w:val="0024666E"/>
    <w:rsid w:val="00247F52"/>
    <w:rsid w:val="00250B25"/>
    <w:rsid w:val="00250BBE"/>
    <w:rsid w:val="002515C2"/>
    <w:rsid w:val="0025194F"/>
    <w:rsid w:val="00255475"/>
    <w:rsid w:val="00256DBF"/>
    <w:rsid w:val="0026148A"/>
    <w:rsid w:val="00262696"/>
    <w:rsid w:val="00263D25"/>
    <w:rsid w:val="002643C3"/>
    <w:rsid w:val="00264A0C"/>
    <w:rsid w:val="00266EEB"/>
    <w:rsid w:val="00267EF4"/>
    <w:rsid w:val="00270CB8"/>
    <w:rsid w:val="00272B08"/>
    <w:rsid w:val="00277E84"/>
    <w:rsid w:val="00277F8E"/>
    <w:rsid w:val="00281BB8"/>
    <w:rsid w:val="00281DF8"/>
    <w:rsid w:val="00281E9E"/>
    <w:rsid w:val="00282405"/>
    <w:rsid w:val="00285170"/>
    <w:rsid w:val="00285361"/>
    <w:rsid w:val="00286EBC"/>
    <w:rsid w:val="00292D60"/>
    <w:rsid w:val="00293B30"/>
    <w:rsid w:val="00294D34"/>
    <w:rsid w:val="00294E3B"/>
    <w:rsid w:val="00296193"/>
    <w:rsid w:val="00296C66"/>
    <w:rsid w:val="00296EBE"/>
    <w:rsid w:val="002974E3"/>
    <w:rsid w:val="002A084B"/>
    <w:rsid w:val="002A1260"/>
    <w:rsid w:val="002A1589"/>
    <w:rsid w:val="002A1608"/>
    <w:rsid w:val="002A25DC"/>
    <w:rsid w:val="002A2664"/>
    <w:rsid w:val="002A39A6"/>
    <w:rsid w:val="002A3AAB"/>
    <w:rsid w:val="002A4CEA"/>
    <w:rsid w:val="002A5977"/>
    <w:rsid w:val="002A5A13"/>
    <w:rsid w:val="002A5AC1"/>
    <w:rsid w:val="002A757F"/>
    <w:rsid w:val="002A7F44"/>
    <w:rsid w:val="002B0C40"/>
    <w:rsid w:val="002B1966"/>
    <w:rsid w:val="002B1BA8"/>
    <w:rsid w:val="002B2802"/>
    <w:rsid w:val="002B4508"/>
    <w:rsid w:val="002B5779"/>
    <w:rsid w:val="002B7332"/>
    <w:rsid w:val="002B7F51"/>
    <w:rsid w:val="002C09E7"/>
    <w:rsid w:val="002C1666"/>
    <w:rsid w:val="002C1E06"/>
    <w:rsid w:val="002C3F07"/>
    <w:rsid w:val="002C47DA"/>
    <w:rsid w:val="002C5278"/>
    <w:rsid w:val="002C5DBF"/>
    <w:rsid w:val="002C7EBB"/>
    <w:rsid w:val="002D06C1"/>
    <w:rsid w:val="002D42B5"/>
    <w:rsid w:val="002D4F1A"/>
    <w:rsid w:val="002D5E1F"/>
    <w:rsid w:val="002D6EC6"/>
    <w:rsid w:val="002D79AC"/>
    <w:rsid w:val="002E039D"/>
    <w:rsid w:val="002E4D5A"/>
    <w:rsid w:val="002E6326"/>
    <w:rsid w:val="002E6A1E"/>
    <w:rsid w:val="002F30E0"/>
    <w:rsid w:val="002F35E4"/>
    <w:rsid w:val="002F3730"/>
    <w:rsid w:val="002F38E1"/>
    <w:rsid w:val="002F6BB5"/>
    <w:rsid w:val="002F6D93"/>
    <w:rsid w:val="002F6DE3"/>
    <w:rsid w:val="002F7AF6"/>
    <w:rsid w:val="00300E63"/>
    <w:rsid w:val="003028EA"/>
    <w:rsid w:val="00302F5F"/>
    <w:rsid w:val="0030441D"/>
    <w:rsid w:val="0030566B"/>
    <w:rsid w:val="00306063"/>
    <w:rsid w:val="00313B85"/>
    <w:rsid w:val="00317988"/>
    <w:rsid w:val="00317EDB"/>
    <w:rsid w:val="00320AE5"/>
    <w:rsid w:val="00321F19"/>
    <w:rsid w:val="003221B4"/>
    <w:rsid w:val="0032258D"/>
    <w:rsid w:val="00322E62"/>
    <w:rsid w:val="00324D13"/>
    <w:rsid w:val="00324EDD"/>
    <w:rsid w:val="00327063"/>
    <w:rsid w:val="003331E4"/>
    <w:rsid w:val="00336C64"/>
    <w:rsid w:val="00337162"/>
    <w:rsid w:val="003400FE"/>
    <w:rsid w:val="0034194F"/>
    <w:rsid w:val="00341DDF"/>
    <w:rsid w:val="00344605"/>
    <w:rsid w:val="003474AA"/>
    <w:rsid w:val="00350D1D"/>
    <w:rsid w:val="00352C83"/>
    <w:rsid w:val="00352F1A"/>
    <w:rsid w:val="0036107C"/>
    <w:rsid w:val="003615D2"/>
    <w:rsid w:val="00361F8D"/>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64AE"/>
    <w:rsid w:val="003872FC"/>
    <w:rsid w:val="00387ADC"/>
    <w:rsid w:val="00390020"/>
    <w:rsid w:val="003903D6"/>
    <w:rsid w:val="00390EE6"/>
    <w:rsid w:val="0039118F"/>
    <w:rsid w:val="00391B38"/>
    <w:rsid w:val="00392AD7"/>
    <w:rsid w:val="003938D9"/>
    <w:rsid w:val="00394153"/>
    <w:rsid w:val="00394376"/>
    <w:rsid w:val="003943FF"/>
    <w:rsid w:val="003966A7"/>
    <w:rsid w:val="003974EB"/>
    <w:rsid w:val="00397CC5"/>
    <w:rsid w:val="003A1582"/>
    <w:rsid w:val="003A2DA9"/>
    <w:rsid w:val="003A321E"/>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036"/>
    <w:rsid w:val="003E1C53"/>
    <w:rsid w:val="003E2A69"/>
    <w:rsid w:val="003E2D49"/>
    <w:rsid w:val="003E2FD4"/>
    <w:rsid w:val="003E35C3"/>
    <w:rsid w:val="003E35CA"/>
    <w:rsid w:val="003E35DA"/>
    <w:rsid w:val="003E49F6"/>
    <w:rsid w:val="003E660F"/>
    <w:rsid w:val="003F0841"/>
    <w:rsid w:val="003F1994"/>
    <w:rsid w:val="003F23D3"/>
    <w:rsid w:val="003F3F08"/>
    <w:rsid w:val="003F49F1"/>
    <w:rsid w:val="003F6272"/>
    <w:rsid w:val="003F78B0"/>
    <w:rsid w:val="00400E72"/>
    <w:rsid w:val="00401400"/>
    <w:rsid w:val="00404869"/>
    <w:rsid w:val="00405884"/>
    <w:rsid w:val="00407B50"/>
    <w:rsid w:val="00407D39"/>
    <w:rsid w:val="0041477A"/>
    <w:rsid w:val="0041519D"/>
    <w:rsid w:val="004167A3"/>
    <w:rsid w:val="00417FA8"/>
    <w:rsid w:val="00420B73"/>
    <w:rsid w:val="004253EA"/>
    <w:rsid w:val="00432DAA"/>
    <w:rsid w:val="00434305"/>
    <w:rsid w:val="00435DF7"/>
    <w:rsid w:val="00437E88"/>
    <w:rsid w:val="004406CB"/>
    <w:rsid w:val="0044083F"/>
    <w:rsid w:val="00441AE7"/>
    <w:rsid w:val="00444B39"/>
    <w:rsid w:val="00445574"/>
    <w:rsid w:val="004467FB"/>
    <w:rsid w:val="00452D6B"/>
    <w:rsid w:val="00454484"/>
    <w:rsid w:val="00454B4A"/>
    <w:rsid w:val="0045517B"/>
    <w:rsid w:val="0046098A"/>
    <w:rsid w:val="00463B77"/>
    <w:rsid w:val="00463C7B"/>
    <w:rsid w:val="004644A6"/>
    <w:rsid w:val="004659BD"/>
    <w:rsid w:val="00470775"/>
    <w:rsid w:val="004746B1"/>
    <w:rsid w:val="00474970"/>
    <w:rsid w:val="0047583F"/>
    <w:rsid w:val="00475DE8"/>
    <w:rsid w:val="004773E9"/>
    <w:rsid w:val="00481A03"/>
    <w:rsid w:val="00481C44"/>
    <w:rsid w:val="00484936"/>
    <w:rsid w:val="00485C89"/>
    <w:rsid w:val="00486BE3"/>
    <w:rsid w:val="004905E4"/>
    <w:rsid w:val="00490A89"/>
    <w:rsid w:val="00490AB4"/>
    <w:rsid w:val="00492F02"/>
    <w:rsid w:val="004939AE"/>
    <w:rsid w:val="004A0F72"/>
    <w:rsid w:val="004A12DF"/>
    <w:rsid w:val="004A1BA8"/>
    <w:rsid w:val="004A3BE1"/>
    <w:rsid w:val="004A4B57"/>
    <w:rsid w:val="004A63FA"/>
    <w:rsid w:val="004A6A3D"/>
    <w:rsid w:val="004B0272"/>
    <w:rsid w:val="004B2701"/>
    <w:rsid w:val="004B2E1B"/>
    <w:rsid w:val="004B3AA8"/>
    <w:rsid w:val="004B3E93"/>
    <w:rsid w:val="004C0CEC"/>
    <w:rsid w:val="004C1D26"/>
    <w:rsid w:val="004C1FBC"/>
    <w:rsid w:val="004C25A2"/>
    <w:rsid w:val="004C3D4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35F3"/>
    <w:rsid w:val="004E3F28"/>
    <w:rsid w:val="004E4AA5"/>
    <w:rsid w:val="004E4AEE"/>
    <w:rsid w:val="004E5761"/>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5FC1"/>
    <w:rsid w:val="0053127B"/>
    <w:rsid w:val="00533D04"/>
    <w:rsid w:val="00534804"/>
    <w:rsid w:val="00534BDF"/>
    <w:rsid w:val="005354EA"/>
    <w:rsid w:val="0053585F"/>
    <w:rsid w:val="00535EC4"/>
    <w:rsid w:val="00535ED9"/>
    <w:rsid w:val="0053692B"/>
    <w:rsid w:val="00541853"/>
    <w:rsid w:val="00543BDA"/>
    <w:rsid w:val="005441CC"/>
    <w:rsid w:val="00544E57"/>
    <w:rsid w:val="005458A9"/>
    <w:rsid w:val="005471DC"/>
    <w:rsid w:val="00547461"/>
    <w:rsid w:val="005479DA"/>
    <w:rsid w:val="00547BCC"/>
    <w:rsid w:val="0055013B"/>
    <w:rsid w:val="00551F6F"/>
    <w:rsid w:val="00555044"/>
    <w:rsid w:val="00561475"/>
    <w:rsid w:val="00562308"/>
    <w:rsid w:val="00563A1D"/>
    <w:rsid w:val="0056487B"/>
    <w:rsid w:val="00564FB9"/>
    <w:rsid w:val="00566940"/>
    <w:rsid w:val="00566F64"/>
    <w:rsid w:val="005733C5"/>
    <w:rsid w:val="00573D9E"/>
    <w:rsid w:val="005801E3"/>
    <w:rsid w:val="00581802"/>
    <w:rsid w:val="005836A8"/>
    <w:rsid w:val="0058409C"/>
    <w:rsid w:val="00584262"/>
    <w:rsid w:val="00586630"/>
    <w:rsid w:val="00587ADD"/>
    <w:rsid w:val="005915A6"/>
    <w:rsid w:val="00593A49"/>
    <w:rsid w:val="00593C15"/>
    <w:rsid w:val="00596160"/>
    <w:rsid w:val="005966E2"/>
    <w:rsid w:val="00597007"/>
    <w:rsid w:val="005A0966"/>
    <w:rsid w:val="005A11B7"/>
    <w:rsid w:val="005A1F8F"/>
    <w:rsid w:val="005A260B"/>
    <w:rsid w:val="005A29B9"/>
    <w:rsid w:val="005A2F20"/>
    <w:rsid w:val="005A4A1B"/>
    <w:rsid w:val="005A5F6F"/>
    <w:rsid w:val="005A7830"/>
    <w:rsid w:val="005A7FCE"/>
    <w:rsid w:val="005B0F3F"/>
    <w:rsid w:val="005B191C"/>
    <w:rsid w:val="005B4903"/>
    <w:rsid w:val="005B51CE"/>
    <w:rsid w:val="005B5885"/>
    <w:rsid w:val="005B5CD7"/>
    <w:rsid w:val="005B6CF6"/>
    <w:rsid w:val="005B7422"/>
    <w:rsid w:val="005C1155"/>
    <w:rsid w:val="005C164E"/>
    <w:rsid w:val="005C29B8"/>
    <w:rsid w:val="005C5F21"/>
    <w:rsid w:val="005C7156"/>
    <w:rsid w:val="005D0C75"/>
    <w:rsid w:val="005D4171"/>
    <w:rsid w:val="005D6A95"/>
    <w:rsid w:val="005D6B2C"/>
    <w:rsid w:val="005D6D9C"/>
    <w:rsid w:val="005E1413"/>
    <w:rsid w:val="005E2335"/>
    <w:rsid w:val="005E34CA"/>
    <w:rsid w:val="005E3C18"/>
    <w:rsid w:val="005E4250"/>
    <w:rsid w:val="005E55F3"/>
    <w:rsid w:val="005E5C29"/>
    <w:rsid w:val="005E5C39"/>
    <w:rsid w:val="005E6812"/>
    <w:rsid w:val="005E7881"/>
    <w:rsid w:val="005E78E0"/>
    <w:rsid w:val="005E7E02"/>
    <w:rsid w:val="005F0B8D"/>
    <w:rsid w:val="005F0D9C"/>
    <w:rsid w:val="005F284E"/>
    <w:rsid w:val="005F6ED6"/>
    <w:rsid w:val="006015CE"/>
    <w:rsid w:val="00604784"/>
    <w:rsid w:val="00606419"/>
    <w:rsid w:val="00607D29"/>
    <w:rsid w:val="00612952"/>
    <w:rsid w:val="00614CC1"/>
    <w:rsid w:val="00615A9D"/>
    <w:rsid w:val="00617387"/>
    <w:rsid w:val="006204C8"/>
    <w:rsid w:val="006205D6"/>
    <w:rsid w:val="00622480"/>
    <w:rsid w:val="00623CDC"/>
    <w:rsid w:val="006252D8"/>
    <w:rsid w:val="006259BC"/>
    <w:rsid w:val="0062636B"/>
    <w:rsid w:val="00626D53"/>
    <w:rsid w:val="00631123"/>
    <w:rsid w:val="00631304"/>
    <w:rsid w:val="006319F6"/>
    <w:rsid w:val="00632182"/>
    <w:rsid w:val="00632AE0"/>
    <w:rsid w:val="006332F5"/>
    <w:rsid w:val="00633C15"/>
    <w:rsid w:val="00633C17"/>
    <w:rsid w:val="00634D9E"/>
    <w:rsid w:val="0063698A"/>
    <w:rsid w:val="00636E3E"/>
    <w:rsid w:val="006379F7"/>
    <w:rsid w:val="00637E4D"/>
    <w:rsid w:val="00640620"/>
    <w:rsid w:val="00641008"/>
    <w:rsid w:val="00641A1F"/>
    <w:rsid w:val="00643327"/>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63D3"/>
    <w:rsid w:val="006770F4"/>
    <w:rsid w:val="00677A84"/>
    <w:rsid w:val="0068026D"/>
    <w:rsid w:val="00680A27"/>
    <w:rsid w:val="006816A4"/>
    <w:rsid w:val="006819B8"/>
    <w:rsid w:val="006840A6"/>
    <w:rsid w:val="006846EE"/>
    <w:rsid w:val="006850CD"/>
    <w:rsid w:val="00685AAB"/>
    <w:rsid w:val="006906B4"/>
    <w:rsid w:val="006A07AA"/>
    <w:rsid w:val="006A25E5"/>
    <w:rsid w:val="006A2B46"/>
    <w:rsid w:val="006A336D"/>
    <w:rsid w:val="006A37B9"/>
    <w:rsid w:val="006B047B"/>
    <w:rsid w:val="006B0EBD"/>
    <w:rsid w:val="006B2672"/>
    <w:rsid w:val="006B54BF"/>
    <w:rsid w:val="006B5F44"/>
    <w:rsid w:val="006B5F90"/>
    <w:rsid w:val="006B62E4"/>
    <w:rsid w:val="006C1634"/>
    <w:rsid w:val="006C1BBA"/>
    <w:rsid w:val="006C2079"/>
    <w:rsid w:val="006C5A62"/>
    <w:rsid w:val="006C5D68"/>
    <w:rsid w:val="006C6976"/>
    <w:rsid w:val="006C6DD0"/>
    <w:rsid w:val="006D04EA"/>
    <w:rsid w:val="006D16C4"/>
    <w:rsid w:val="006D3E96"/>
    <w:rsid w:val="006D4515"/>
    <w:rsid w:val="006D4BB1"/>
    <w:rsid w:val="006D6593"/>
    <w:rsid w:val="006D6911"/>
    <w:rsid w:val="006D7796"/>
    <w:rsid w:val="006D77CE"/>
    <w:rsid w:val="006F03A8"/>
    <w:rsid w:val="006F2ACA"/>
    <w:rsid w:val="006F2ADC"/>
    <w:rsid w:val="006F2BFE"/>
    <w:rsid w:val="006F31E9"/>
    <w:rsid w:val="006F4F78"/>
    <w:rsid w:val="006F6284"/>
    <w:rsid w:val="006F6F55"/>
    <w:rsid w:val="007002C5"/>
    <w:rsid w:val="007028FE"/>
    <w:rsid w:val="00703F0B"/>
    <w:rsid w:val="00704387"/>
    <w:rsid w:val="00707669"/>
    <w:rsid w:val="00707E66"/>
    <w:rsid w:val="00711CBA"/>
    <w:rsid w:val="00711FB5"/>
    <w:rsid w:val="0071254B"/>
    <w:rsid w:val="00712573"/>
    <w:rsid w:val="00712A01"/>
    <w:rsid w:val="00712BDA"/>
    <w:rsid w:val="00714F58"/>
    <w:rsid w:val="00715DA3"/>
    <w:rsid w:val="00722FBF"/>
    <w:rsid w:val="00722FC2"/>
    <w:rsid w:val="00724E1B"/>
    <w:rsid w:val="00725949"/>
    <w:rsid w:val="007260A1"/>
    <w:rsid w:val="00727FA2"/>
    <w:rsid w:val="00730196"/>
    <w:rsid w:val="00730568"/>
    <w:rsid w:val="007322D9"/>
    <w:rsid w:val="00732BC0"/>
    <w:rsid w:val="0073720F"/>
    <w:rsid w:val="00737796"/>
    <w:rsid w:val="0073789C"/>
    <w:rsid w:val="0074165C"/>
    <w:rsid w:val="0074285F"/>
    <w:rsid w:val="00742C35"/>
    <w:rsid w:val="007432CA"/>
    <w:rsid w:val="007439EB"/>
    <w:rsid w:val="00743ADA"/>
    <w:rsid w:val="00743CB4"/>
    <w:rsid w:val="00743F0A"/>
    <w:rsid w:val="007444E8"/>
    <w:rsid w:val="0074548E"/>
    <w:rsid w:val="00745739"/>
    <w:rsid w:val="00745773"/>
    <w:rsid w:val="00745B56"/>
    <w:rsid w:val="00746800"/>
    <w:rsid w:val="007470AF"/>
    <w:rsid w:val="007501A8"/>
    <w:rsid w:val="00750D61"/>
    <w:rsid w:val="00750EE1"/>
    <w:rsid w:val="00752B4D"/>
    <w:rsid w:val="00755402"/>
    <w:rsid w:val="007560F4"/>
    <w:rsid w:val="00756B26"/>
    <w:rsid w:val="00756EDF"/>
    <w:rsid w:val="007600E3"/>
    <w:rsid w:val="00765C43"/>
    <w:rsid w:val="00765EFB"/>
    <w:rsid w:val="0076625E"/>
    <w:rsid w:val="007671CA"/>
    <w:rsid w:val="00767C61"/>
    <w:rsid w:val="0077008A"/>
    <w:rsid w:val="00772BF7"/>
    <w:rsid w:val="00773C1F"/>
    <w:rsid w:val="00774DA4"/>
    <w:rsid w:val="00776599"/>
    <w:rsid w:val="00777E43"/>
    <w:rsid w:val="0078114B"/>
    <w:rsid w:val="00781DD2"/>
    <w:rsid w:val="00783ECF"/>
    <w:rsid w:val="0078413A"/>
    <w:rsid w:val="00791A7C"/>
    <w:rsid w:val="007959E8"/>
    <w:rsid w:val="00795E9C"/>
    <w:rsid w:val="007A0235"/>
    <w:rsid w:val="007A0521"/>
    <w:rsid w:val="007A2E12"/>
    <w:rsid w:val="007A3475"/>
    <w:rsid w:val="007A41C8"/>
    <w:rsid w:val="007A54CE"/>
    <w:rsid w:val="007A6416"/>
    <w:rsid w:val="007A6FD9"/>
    <w:rsid w:val="007A7FFA"/>
    <w:rsid w:val="007B04EB"/>
    <w:rsid w:val="007B0C77"/>
    <w:rsid w:val="007B0D4F"/>
    <w:rsid w:val="007B2D4E"/>
    <w:rsid w:val="007B39BD"/>
    <w:rsid w:val="007B475A"/>
    <w:rsid w:val="007B5A3D"/>
    <w:rsid w:val="007B5B95"/>
    <w:rsid w:val="007B6032"/>
    <w:rsid w:val="007B68EA"/>
    <w:rsid w:val="007B7453"/>
    <w:rsid w:val="007C0268"/>
    <w:rsid w:val="007C2D89"/>
    <w:rsid w:val="007C4593"/>
    <w:rsid w:val="007C5309"/>
    <w:rsid w:val="007C6069"/>
    <w:rsid w:val="007D06C4"/>
    <w:rsid w:val="007D1352"/>
    <w:rsid w:val="007D2508"/>
    <w:rsid w:val="007D346A"/>
    <w:rsid w:val="007D6518"/>
    <w:rsid w:val="007D76BD"/>
    <w:rsid w:val="007E0BF1"/>
    <w:rsid w:val="007E21B1"/>
    <w:rsid w:val="007E4F78"/>
    <w:rsid w:val="007E7037"/>
    <w:rsid w:val="007F0ED8"/>
    <w:rsid w:val="007F0F63"/>
    <w:rsid w:val="007F3384"/>
    <w:rsid w:val="007F6443"/>
    <w:rsid w:val="007F75CE"/>
    <w:rsid w:val="007F7EEB"/>
    <w:rsid w:val="008004C2"/>
    <w:rsid w:val="008013A4"/>
    <w:rsid w:val="008027CE"/>
    <w:rsid w:val="00802F42"/>
    <w:rsid w:val="00804383"/>
    <w:rsid w:val="00804BB7"/>
    <w:rsid w:val="00804D41"/>
    <w:rsid w:val="008055C2"/>
    <w:rsid w:val="00810257"/>
    <w:rsid w:val="008104F5"/>
    <w:rsid w:val="00811072"/>
    <w:rsid w:val="00811369"/>
    <w:rsid w:val="00813D15"/>
    <w:rsid w:val="00815419"/>
    <w:rsid w:val="008163C8"/>
    <w:rsid w:val="008164A1"/>
    <w:rsid w:val="00817325"/>
    <w:rsid w:val="0082032F"/>
    <w:rsid w:val="008209E6"/>
    <w:rsid w:val="00823303"/>
    <w:rsid w:val="008233B2"/>
    <w:rsid w:val="00823A9F"/>
    <w:rsid w:val="00823C85"/>
    <w:rsid w:val="00825138"/>
    <w:rsid w:val="00825255"/>
    <w:rsid w:val="008269DD"/>
    <w:rsid w:val="00826A6B"/>
    <w:rsid w:val="00826C9C"/>
    <w:rsid w:val="00830621"/>
    <w:rsid w:val="00831C7C"/>
    <w:rsid w:val="008324D7"/>
    <w:rsid w:val="00832DEC"/>
    <w:rsid w:val="0083348C"/>
    <w:rsid w:val="008373D3"/>
    <w:rsid w:val="00840617"/>
    <w:rsid w:val="00840F84"/>
    <w:rsid w:val="00841FBC"/>
    <w:rsid w:val="00842A47"/>
    <w:rsid w:val="00843C13"/>
    <w:rsid w:val="008444CD"/>
    <w:rsid w:val="008454F8"/>
    <w:rsid w:val="00846BA8"/>
    <w:rsid w:val="0085173A"/>
    <w:rsid w:val="00856243"/>
    <w:rsid w:val="008603CE"/>
    <w:rsid w:val="008620FC"/>
    <w:rsid w:val="008627A5"/>
    <w:rsid w:val="00863E05"/>
    <w:rsid w:val="00865ACA"/>
    <w:rsid w:val="00865D28"/>
    <w:rsid w:val="00865F85"/>
    <w:rsid w:val="00867C10"/>
    <w:rsid w:val="00870439"/>
    <w:rsid w:val="00870DA1"/>
    <w:rsid w:val="00873EFB"/>
    <w:rsid w:val="008772E2"/>
    <w:rsid w:val="00883A60"/>
    <w:rsid w:val="00883F93"/>
    <w:rsid w:val="00884DB3"/>
    <w:rsid w:val="00885A9D"/>
    <w:rsid w:val="008864F6"/>
    <w:rsid w:val="00886D06"/>
    <w:rsid w:val="0089049D"/>
    <w:rsid w:val="0089083C"/>
    <w:rsid w:val="008928C9"/>
    <w:rsid w:val="008930CB"/>
    <w:rsid w:val="008938DC"/>
    <w:rsid w:val="00893FD1"/>
    <w:rsid w:val="008941C6"/>
    <w:rsid w:val="00894836"/>
    <w:rsid w:val="00895172"/>
    <w:rsid w:val="00895680"/>
    <w:rsid w:val="00896DFF"/>
    <w:rsid w:val="0089762C"/>
    <w:rsid w:val="008A173B"/>
    <w:rsid w:val="008A1893"/>
    <w:rsid w:val="008A57E6"/>
    <w:rsid w:val="008A6130"/>
    <w:rsid w:val="008A6F81"/>
    <w:rsid w:val="008A769A"/>
    <w:rsid w:val="008A7828"/>
    <w:rsid w:val="008B0C9C"/>
    <w:rsid w:val="008B166D"/>
    <w:rsid w:val="008B17F4"/>
    <w:rsid w:val="008B3615"/>
    <w:rsid w:val="008B43B8"/>
    <w:rsid w:val="008B4AC4"/>
    <w:rsid w:val="008B50C8"/>
    <w:rsid w:val="008B5281"/>
    <w:rsid w:val="008B5FE6"/>
    <w:rsid w:val="008B69BC"/>
    <w:rsid w:val="008B7E05"/>
    <w:rsid w:val="008C1797"/>
    <w:rsid w:val="008C219C"/>
    <w:rsid w:val="008C475E"/>
    <w:rsid w:val="008C619A"/>
    <w:rsid w:val="008D0CE8"/>
    <w:rsid w:val="008D2D1D"/>
    <w:rsid w:val="008D43F9"/>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42A"/>
    <w:rsid w:val="008F0CDC"/>
    <w:rsid w:val="008F17A3"/>
    <w:rsid w:val="008F1ED3"/>
    <w:rsid w:val="008F4C29"/>
    <w:rsid w:val="008F5337"/>
    <w:rsid w:val="008F70BD"/>
    <w:rsid w:val="008F788F"/>
    <w:rsid w:val="008F7EA2"/>
    <w:rsid w:val="00902722"/>
    <w:rsid w:val="009027BC"/>
    <w:rsid w:val="009062E6"/>
    <w:rsid w:val="009104E0"/>
    <w:rsid w:val="00911BE5"/>
    <w:rsid w:val="00913CA9"/>
    <w:rsid w:val="009145AE"/>
    <w:rsid w:val="009146CE"/>
    <w:rsid w:val="00914CA7"/>
    <w:rsid w:val="00915C3E"/>
    <w:rsid w:val="009161A8"/>
    <w:rsid w:val="009216D2"/>
    <w:rsid w:val="009245AE"/>
    <w:rsid w:val="009245F5"/>
    <w:rsid w:val="009249EC"/>
    <w:rsid w:val="009273B3"/>
    <w:rsid w:val="00927743"/>
    <w:rsid w:val="009305B5"/>
    <w:rsid w:val="00932173"/>
    <w:rsid w:val="009378DD"/>
    <w:rsid w:val="009429D5"/>
    <w:rsid w:val="00942BF1"/>
    <w:rsid w:val="009437F2"/>
    <w:rsid w:val="0094434F"/>
    <w:rsid w:val="00945180"/>
    <w:rsid w:val="00945428"/>
    <w:rsid w:val="0094607B"/>
    <w:rsid w:val="00953604"/>
    <w:rsid w:val="009539AA"/>
    <w:rsid w:val="0095496B"/>
    <w:rsid w:val="00960F1E"/>
    <w:rsid w:val="009610DC"/>
    <w:rsid w:val="00961490"/>
    <w:rsid w:val="0096381A"/>
    <w:rsid w:val="00965E04"/>
    <w:rsid w:val="009674AD"/>
    <w:rsid w:val="009677F4"/>
    <w:rsid w:val="00970A74"/>
    <w:rsid w:val="00970CDC"/>
    <w:rsid w:val="009719D5"/>
    <w:rsid w:val="00975727"/>
    <w:rsid w:val="00977010"/>
    <w:rsid w:val="0097740B"/>
    <w:rsid w:val="00977D02"/>
    <w:rsid w:val="00977FF9"/>
    <w:rsid w:val="009809BB"/>
    <w:rsid w:val="009821C4"/>
    <w:rsid w:val="0098364B"/>
    <w:rsid w:val="00985977"/>
    <w:rsid w:val="009908A3"/>
    <w:rsid w:val="009911AF"/>
    <w:rsid w:val="009914CA"/>
    <w:rsid w:val="00991875"/>
    <w:rsid w:val="00991F92"/>
    <w:rsid w:val="00992985"/>
    <w:rsid w:val="00993889"/>
    <w:rsid w:val="0099551B"/>
    <w:rsid w:val="00996149"/>
    <w:rsid w:val="00996BD2"/>
    <w:rsid w:val="00997BF1"/>
    <w:rsid w:val="009A089C"/>
    <w:rsid w:val="009A118E"/>
    <w:rsid w:val="009A21CD"/>
    <w:rsid w:val="009A278C"/>
    <w:rsid w:val="009A2BC2"/>
    <w:rsid w:val="009A42C1"/>
    <w:rsid w:val="009A5429"/>
    <w:rsid w:val="009A72AD"/>
    <w:rsid w:val="009B09E0"/>
    <w:rsid w:val="009B0BC5"/>
    <w:rsid w:val="009B1247"/>
    <w:rsid w:val="009B2074"/>
    <w:rsid w:val="009B6029"/>
    <w:rsid w:val="009B60D4"/>
    <w:rsid w:val="009B6208"/>
    <w:rsid w:val="009B6971"/>
    <w:rsid w:val="009B7AE7"/>
    <w:rsid w:val="009C27F1"/>
    <w:rsid w:val="009C3152"/>
    <w:rsid w:val="009C3257"/>
    <w:rsid w:val="009C4CFA"/>
    <w:rsid w:val="009C5070"/>
    <w:rsid w:val="009D112C"/>
    <w:rsid w:val="009D1385"/>
    <w:rsid w:val="009D246F"/>
    <w:rsid w:val="009D47FA"/>
    <w:rsid w:val="009D4C5B"/>
    <w:rsid w:val="009D50D2"/>
    <w:rsid w:val="009D5711"/>
    <w:rsid w:val="009D64F5"/>
    <w:rsid w:val="009D6BCA"/>
    <w:rsid w:val="009E0F62"/>
    <w:rsid w:val="009E4A58"/>
    <w:rsid w:val="009E5A2D"/>
    <w:rsid w:val="009E5AB2"/>
    <w:rsid w:val="009E6219"/>
    <w:rsid w:val="009E6962"/>
    <w:rsid w:val="009F03B3"/>
    <w:rsid w:val="009F6ED6"/>
    <w:rsid w:val="00A0096C"/>
    <w:rsid w:val="00A00C49"/>
    <w:rsid w:val="00A01757"/>
    <w:rsid w:val="00A028C0"/>
    <w:rsid w:val="00A02BAE"/>
    <w:rsid w:val="00A06A6B"/>
    <w:rsid w:val="00A06EA2"/>
    <w:rsid w:val="00A07E47"/>
    <w:rsid w:val="00A129D0"/>
    <w:rsid w:val="00A12C33"/>
    <w:rsid w:val="00A138BA"/>
    <w:rsid w:val="00A14C8E"/>
    <w:rsid w:val="00A153D9"/>
    <w:rsid w:val="00A15F09"/>
    <w:rsid w:val="00A169B6"/>
    <w:rsid w:val="00A219E8"/>
    <w:rsid w:val="00A2271D"/>
    <w:rsid w:val="00A237D5"/>
    <w:rsid w:val="00A30EFC"/>
    <w:rsid w:val="00A31964"/>
    <w:rsid w:val="00A31984"/>
    <w:rsid w:val="00A31F82"/>
    <w:rsid w:val="00A32896"/>
    <w:rsid w:val="00A32D73"/>
    <w:rsid w:val="00A3367B"/>
    <w:rsid w:val="00A3597D"/>
    <w:rsid w:val="00A36617"/>
    <w:rsid w:val="00A36DD1"/>
    <w:rsid w:val="00A40017"/>
    <w:rsid w:val="00A4006C"/>
    <w:rsid w:val="00A40091"/>
    <w:rsid w:val="00A4030F"/>
    <w:rsid w:val="00A41C79"/>
    <w:rsid w:val="00A41CB5"/>
    <w:rsid w:val="00A42CDF"/>
    <w:rsid w:val="00A43574"/>
    <w:rsid w:val="00A4452E"/>
    <w:rsid w:val="00A4472C"/>
    <w:rsid w:val="00A44E69"/>
    <w:rsid w:val="00A4661E"/>
    <w:rsid w:val="00A55BD6"/>
    <w:rsid w:val="00A55D50"/>
    <w:rsid w:val="00A57142"/>
    <w:rsid w:val="00A61B02"/>
    <w:rsid w:val="00A648CD"/>
    <w:rsid w:val="00A6537A"/>
    <w:rsid w:val="00A67817"/>
    <w:rsid w:val="00A67866"/>
    <w:rsid w:val="00A67E2B"/>
    <w:rsid w:val="00A70B07"/>
    <w:rsid w:val="00A723F8"/>
    <w:rsid w:val="00A72E6D"/>
    <w:rsid w:val="00A73015"/>
    <w:rsid w:val="00A74DF1"/>
    <w:rsid w:val="00A77CCB"/>
    <w:rsid w:val="00A80375"/>
    <w:rsid w:val="00A83D8D"/>
    <w:rsid w:val="00A8446B"/>
    <w:rsid w:val="00A8473F"/>
    <w:rsid w:val="00A862D6"/>
    <w:rsid w:val="00A8715E"/>
    <w:rsid w:val="00A90495"/>
    <w:rsid w:val="00A91F73"/>
    <w:rsid w:val="00A92243"/>
    <w:rsid w:val="00A9295B"/>
    <w:rsid w:val="00A92D3D"/>
    <w:rsid w:val="00A93B09"/>
    <w:rsid w:val="00A952D7"/>
    <w:rsid w:val="00A959EF"/>
    <w:rsid w:val="00A963F7"/>
    <w:rsid w:val="00A96AD8"/>
    <w:rsid w:val="00AA052C"/>
    <w:rsid w:val="00AA1E45"/>
    <w:rsid w:val="00AA4123"/>
    <w:rsid w:val="00AA413D"/>
    <w:rsid w:val="00AA4286"/>
    <w:rsid w:val="00AA456B"/>
    <w:rsid w:val="00AA57F5"/>
    <w:rsid w:val="00AA672E"/>
    <w:rsid w:val="00AA6EC9"/>
    <w:rsid w:val="00AB60A6"/>
    <w:rsid w:val="00AB6309"/>
    <w:rsid w:val="00AB6803"/>
    <w:rsid w:val="00AB6C5F"/>
    <w:rsid w:val="00AB7129"/>
    <w:rsid w:val="00AC27A6"/>
    <w:rsid w:val="00AC30F7"/>
    <w:rsid w:val="00AC3A5A"/>
    <w:rsid w:val="00AC4D95"/>
    <w:rsid w:val="00AC558F"/>
    <w:rsid w:val="00AC5DF4"/>
    <w:rsid w:val="00AD0AEF"/>
    <w:rsid w:val="00AD11B7"/>
    <w:rsid w:val="00AD1A94"/>
    <w:rsid w:val="00AD1C05"/>
    <w:rsid w:val="00AD3385"/>
    <w:rsid w:val="00AD4126"/>
    <w:rsid w:val="00AD421C"/>
    <w:rsid w:val="00AD44FA"/>
    <w:rsid w:val="00AD6B77"/>
    <w:rsid w:val="00AE070A"/>
    <w:rsid w:val="00AE101C"/>
    <w:rsid w:val="00AE1906"/>
    <w:rsid w:val="00AE2A69"/>
    <w:rsid w:val="00AE37E5"/>
    <w:rsid w:val="00AE5EB4"/>
    <w:rsid w:val="00AE679C"/>
    <w:rsid w:val="00AF0C18"/>
    <w:rsid w:val="00AF47C5"/>
    <w:rsid w:val="00AF5398"/>
    <w:rsid w:val="00AF53F3"/>
    <w:rsid w:val="00AF6987"/>
    <w:rsid w:val="00B012A9"/>
    <w:rsid w:val="00B02DC9"/>
    <w:rsid w:val="00B049AF"/>
    <w:rsid w:val="00B07242"/>
    <w:rsid w:val="00B1026A"/>
    <w:rsid w:val="00B10534"/>
    <w:rsid w:val="00B113DB"/>
    <w:rsid w:val="00B11D8A"/>
    <w:rsid w:val="00B12981"/>
    <w:rsid w:val="00B147DD"/>
    <w:rsid w:val="00B156FD"/>
    <w:rsid w:val="00B16244"/>
    <w:rsid w:val="00B178E9"/>
    <w:rsid w:val="00B17AF0"/>
    <w:rsid w:val="00B21F61"/>
    <w:rsid w:val="00B261F1"/>
    <w:rsid w:val="00B265BC"/>
    <w:rsid w:val="00B31FB1"/>
    <w:rsid w:val="00B32F83"/>
    <w:rsid w:val="00B33952"/>
    <w:rsid w:val="00B33C5E"/>
    <w:rsid w:val="00B342F4"/>
    <w:rsid w:val="00B34369"/>
    <w:rsid w:val="00B34DC2"/>
    <w:rsid w:val="00B35355"/>
    <w:rsid w:val="00B378E5"/>
    <w:rsid w:val="00B3795A"/>
    <w:rsid w:val="00B42CA0"/>
    <w:rsid w:val="00B4346D"/>
    <w:rsid w:val="00B440F4"/>
    <w:rsid w:val="00B447A5"/>
    <w:rsid w:val="00B4654C"/>
    <w:rsid w:val="00B47293"/>
    <w:rsid w:val="00B50BE9"/>
    <w:rsid w:val="00B50E50"/>
    <w:rsid w:val="00B51F61"/>
    <w:rsid w:val="00B52120"/>
    <w:rsid w:val="00B53161"/>
    <w:rsid w:val="00B54ABC"/>
    <w:rsid w:val="00B565B6"/>
    <w:rsid w:val="00B568F1"/>
    <w:rsid w:val="00B56FBE"/>
    <w:rsid w:val="00B57508"/>
    <w:rsid w:val="00B60ACF"/>
    <w:rsid w:val="00B62B58"/>
    <w:rsid w:val="00B64151"/>
    <w:rsid w:val="00B65149"/>
    <w:rsid w:val="00B65DB1"/>
    <w:rsid w:val="00B66567"/>
    <w:rsid w:val="00B66F52"/>
    <w:rsid w:val="00B66FE5"/>
    <w:rsid w:val="00B72880"/>
    <w:rsid w:val="00B758BF"/>
    <w:rsid w:val="00B77EC8"/>
    <w:rsid w:val="00B827A6"/>
    <w:rsid w:val="00B831CE"/>
    <w:rsid w:val="00B86677"/>
    <w:rsid w:val="00B87131"/>
    <w:rsid w:val="00B939B1"/>
    <w:rsid w:val="00B96D40"/>
    <w:rsid w:val="00B9705B"/>
    <w:rsid w:val="00B97386"/>
    <w:rsid w:val="00BA263B"/>
    <w:rsid w:val="00BA41F2"/>
    <w:rsid w:val="00BA42B2"/>
    <w:rsid w:val="00BA58D4"/>
    <w:rsid w:val="00BA5B9E"/>
    <w:rsid w:val="00BA63B0"/>
    <w:rsid w:val="00BA6663"/>
    <w:rsid w:val="00BA7C9A"/>
    <w:rsid w:val="00BB5373"/>
    <w:rsid w:val="00BB5F8F"/>
    <w:rsid w:val="00BB657A"/>
    <w:rsid w:val="00BC1A4E"/>
    <w:rsid w:val="00BC463A"/>
    <w:rsid w:val="00BC4F71"/>
    <w:rsid w:val="00BC5DC7"/>
    <w:rsid w:val="00BC5E8A"/>
    <w:rsid w:val="00BC6B8B"/>
    <w:rsid w:val="00BC73D8"/>
    <w:rsid w:val="00BC7AF0"/>
    <w:rsid w:val="00BD1C20"/>
    <w:rsid w:val="00BD3C91"/>
    <w:rsid w:val="00BD52D7"/>
    <w:rsid w:val="00BD5AD2"/>
    <w:rsid w:val="00BD7166"/>
    <w:rsid w:val="00BE22BB"/>
    <w:rsid w:val="00BE22F3"/>
    <w:rsid w:val="00BE2D3F"/>
    <w:rsid w:val="00BE5B52"/>
    <w:rsid w:val="00BE7B8D"/>
    <w:rsid w:val="00BF0993"/>
    <w:rsid w:val="00BF0A5E"/>
    <w:rsid w:val="00BF10A9"/>
    <w:rsid w:val="00BF1703"/>
    <w:rsid w:val="00BF231C"/>
    <w:rsid w:val="00BF4FCB"/>
    <w:rsid w:val="00BF51E5"/>
    <w:rsid w:val="00BF74A6"/>
    <w:rsid w:val="00BF78D5"/>
    <w:rsid w:val="00C005DC"/>
    <w:rsid w:val="00C013AD"/>
    <w:rsid w:val="00C04904"/>
    <w:rsid w:val="00C056B3"/>
    <w:rsid w:val="00C103E5"/>
    <w:rsid w:val="00C10E3D"/>
    <w:rsid w:val="00C12FB4"/>
    <w:rsid w:val="00C13319"/>
    <w:rsid w:val="00C13EE9"/>
    <w:rsid w:val="00C149FE"/>
    <w:rsid w:val="00C16085"/>
    <w:rsid w:val="00C17187"/>
    <w:rsid w:val="00C20245"/>
    <w:rsid w:val="00C21540"/>
    <w:rsid w:val="00C21906"/>
    <w:rsid w:val="00C21BFA"/>
    <w:rsid w:val="00C2220A"/>
    <w:rsid w:val="00C24C8D"/>
    <w:rsid w:val="00C25E3E"/>
    <w:rsid w:val="00C25FE2"/>
    <w:rsid w:val="00C26B53"/>
    <w:rsid w:val="00C279B2"/>
    <w:rsid w:val="00C33E50"/>
    <w:rsid w:val="00C34C20"/>
    <w:rsid w:val="00C35A3E"/>
    <w:rsid w:val="00C35FC0"/>
    <w:rsid w:val="00C36E63"/>
    <w:rsid w:val="00C42130"/>
    <w:rsid w:val="00C423A4"/>
    <w:rsid w:val="00C423E3"/>
    <w:rsid w:val="00C44BF5"/>
    <w:rsid w:val="00C47C5D"/>
    <w:rsid w:val="00C521D6"/>
    <w:rsid w:val="00C52663"/>
    <w:rsid w:val="00C55232"/>
    <w:rsid w:val="00C553A4"/>
    <w:rsid w:val="00C55A06"/>
    <w:rsid w:val="00C55D03"/>
    <w:rsid w:val="00C601BC"/>
    <w:rsid w:val="00C606DA"/>
    <w:rsid w:val="00C6329F"/>
    <w:rsid w:val="00C63340"/>
    <w:rsid w:val="00C643F9"/>
    <w:rsid w:val="00C64E95"/>
    <w:rsid w:val="00C65877"/>
    <w:rsid w:val="00C71372"/>
    <w:rsid w:val="00C72410"/>
    <w:rsid w:val="00C7287F"/>
    <w:rsid w:val="00C75FAE"/>
    <w:rsid w:val="00C80CB8"/>
    <w:rsid w:val="00C819F8"/>
    <w:rsid w:val="00C8248C"/>
    <w:rsid w:val="00C83513"/>
    <w:rsid w:val="00C84E33"/>
    <w:rsid w:val="00C86D6F"/>
    <w:rsid w:val="00C87F84"/>
    <w:rsid w:val="00C904BA"/>
    <w:rsid w:val="00C905FC"/>
    <w:rsid w:val="00C92D03"/>
    <w:rsid w:val="00C9319C"/>
    <w:rsid w:val="00C941F0"/>
    <w:rsid w:val="00C9424E"/>
    <w:rsid w:val="00C9435D"/>
    <w:rsid w:val="00C94DF2"/>
    <w:rsid w:val="00C95202"/>
    <w:rsid w:val="00C96741"/>
    <w:rsid w:val="00CA2D1B"/>
    <w:rsid w:val="00CA35F6"/>
    <w:rsid w:val="00CA375D"/>
    <w:rsid w:val="00CA583C"/>
    <w:rsid w:val="00CA662A"/>
    <w:rsid w:val="00CA7AFD"/>
    <w:rsid w:val="00CA7C3C"/>
    <w:rsid w:val="00CB0189"/>
    <w:rsid w:val="00CB0BA2"/>
    <w:rsid w:val="00CB1A42"/>
    <w:rsid w:val="00CB1B0C"/>
    <w:rsid w:val="00CB1FA3"/>
    <w:rsid w:val="00CB2C0B"/>
    <w:rsid w:val="00CB517D"/>
    <w:rsid w:val="00CB55F2"/>
    <w:rsid w:val="00CC038D"/>
    <w:rsid w:val="00CC08DB"/>
    <w:rsid w:val="00CC39FF"/>
    <w:rsid w:val="00CC3C2F"/>
    <w:rsid w:val="00CC47BD"/>
    <w:rsid w:val="00CC4AC8"/>
    <w:rsid w:val="00CC5233"/>
    <w:rsid w:val="00CC5DE6"/>
    <w:rsid w:val="00CC6E4E"/>
    <w:rsid w:val="00CC6FE8"/>
    <w:rsid w:val="00CC7202"/>
    <w:rsid w:val="00CD2808"/>
    <w:rsid w:val="00CD28BF"/>
    <w:rsid w:val="00CD3B04"/>
    <w:rsid w:val="00CD4092"/>
    <w:rsid w:val="00CD4A20"/>
    <w:rsid w:val="00CD50A1"/>
    <w:rsid w:val="00CD519E"/>
    <w:rsid w:val="00CE0C4F"/>
    <w:rsid w:val="00CE30EA"/>
    <w:rsid w:val="00CF048A"/>
    <w:rsid w:val="00CF155A"/>
    <w:rsid w:val="00CF2720"/>
    <w:rsid w:val="00CF2947"/>
    <w:rsid w:val="00CF686F"/>
    <w:rsid w:val="00CF6E60"/>
    <w:rsid w:val="00CF7BCA"/>
    <w:rsid w:val="00D008FD"/>
    <w:rsid w:val="00D0321C"/>
    <w:rsid w:val="00D035EC"/>
    <w:rsid w:val="00D0408F"/>
    <w:rsid w:val="00D053AC"/>
    <w:rsid w:val="00D06AB1"/>
    <w:rsid w:val="00D06FC1"/>
    <w:rsid w:val="00D072ED"/>
    <w:rsid w:val="00D07A16"/>
    <w:rsid w:val="00D1067E"/>
    <w:rsid w:val="00D10F50"/>
    <w:rsid w:val="00D11272"/>
    <w:rsid w:val="00D126F5"/>
    <w:rsid w:val="00D13900"/>
    <w:rsid w:val="00D1489E"/>
    <w:rsid w:val="00D20737"/>
    <w:rsid w:val="00D20D96"/>
    <w:rsid w:val="00D21E81"/>
    <w:rsid w:val="00D223DE"/>
    <w:rsid w:val="00D25E37"/>
    <w:rsid w:val="00D2661A"/>
    <w:rsid w:val="00D27582"/>
    <w:rsid w:val="00D27EC4"/>
    <w:rsid w:val="00D32719"/>
    <w:rsid w:val="00D32C51"/>
    <w:rsid w:val="00D33333"/>
    <w:rsid w:val="00D352A2"/>
    <w:rsid w:val="00D3572A"/>
    <w:rsid w:val="00D4162B"/>
    <w:rsid w:val="00D449A3"/>
    <w:rsid w:val="00D4514F"/>
    <w:rsid w:val="00D451E2"/>
    <w:rsid w:val="00D45E89"/>
    <w:rsid w:val="00D45E8D"/>
    <w:rsid w:val="00D466AE"/>
    <w:rsid w:val="00D4734F"/>
    <w:rsid w:val="00D47656"/>
    <w:rsid w:val="00D51BF3"/>
    <w:rsid w:val="00D62C53"/>
    <w:rsid w:val="00D66511"/>
    <w:rsid w:val="00D66846"/>
    <w:rsid w:val="00D675FB"/>
    <w:rsid w:val="00D71F25"/>
    <w:rsid w:val="00D72A9C"/>
    <w:rsid w:val="00D75C16"/>
    <w:rsid w:val="00D764CE"/>
    <w:rsid w:val="00D77031"/>
    <w:rsid w:val="00D77ACA"/>
    <w:rsid w:val="00D829E9"/>
    <w:rsid w:val="00D84941"/>
    <w:rsid w:val="00D84FA1"/>
    <w:rsid w:val="00D851F0"/>
    <w:rsid w:val="00D864F8"/>
    <w:rsid w:val="00D86DB7"/>
    <w:rsid w:val="00D873B7"/>
    <w:rsid w:val="00D87BF5"/>
    <w:rsid w:val="00D90721"/>
    <w:rsid w:val="00D926D0"/>
    <w:rsid w:val="00D927FE"/>
    <w:rsid w:val="00D93030"/>
    <w:rsid w:val="00D950E1"/>
    <w:rsid w:val="00D952A6"/>
    <w:rsid w:val="00D97092"/>
    <w:rsid w:val="00D97F99"/>
    <w:rsid w:val="00DA1E08"/>
    <w:rsid w:val="00DA24F8"/>
    <w:rsid w:val="00DA28E8"/>
    <w:rsid w:val="00DA38D3"/>
    <w:rsid w:val="00DA3932"/>
    <w:rsid w:val="00DA3AFC"/>
    <w:rsid w:val="00DA446E"/>
    <w:rsid w:val="00DA64F8"/>
    <w:rsid w:val="00DA6C15"/>
    <w:rsid w:val="00DB0258"/>
    <w:rsid w:val="00DB38EE"/>
    <w:rsid w:val="00DB498B"/>
    <w:rsid w:val="00DB4A16"/>
    <w:rsid w:val="00DB66CA"/>
    <w:rsid w:val="00DB6BCA"/>
    <w:rsid w:val="00DB6F54"/>
    <w:rsid w:val="00DB73F7"/>
    <w:rsid w:val="00DC0321"/>
    <w:rsid w:val="00DC1CEE"/>
    <w:rsid w:val="00DC3067"/>
    <w:rsid w:val="00DC370B"/>
    <w:rsid w:val="00DC5B90"/>
    <w:rsid w:val="00DD00FF"/>
    <w:rsid w:val="00DD0619"/>
    <w:rsid w:val="00DD07FB"/>
    <w:rsid w:val="00DD25C6"/>
    <w:rsid w:val="00DD4FE5"/>
    <w:rsid w:val="00DD54B0"/>
    <w:rsid w:val="00DD57EE"/>
    <w:rsid w:val="00DD6BCC"/>
    <w:rsid w:val="00DE0681"/>
    <w:rsid w:val="00DE0A4B"/>
    <w:rsid w:val="00DE1964"/>
    <w:rsid w:val="00DE2410"/>
    <w:rsid w:val="00DE2939"/>
    <w:rsid w:val="00DE44FF"/>
    <w:rsid w:val="00DE4FA0"/>
    <w:rsid w:val="00DE5C5D"/>
    <w:rsid w:val="00DE6E81"/>
    <w:rsid w:val="00DE703F"/>
    <w:rsid w:val="00DE7595"/>
    <w:rsid w:val="00DF1961"/>
    <w:rsid w:val="00DF44DE"/>
    <w:rsid w:val="00E002BA"/>
    <w:rsid w:val="00E01138"/>
    <w:rsid w:val="00E02DFB"/>
    <w:rsid w:val="00E030F9"/>
    <w:rsid w:val="00E0311A"/>
    <w:rsid w:val="00E03138"/>
    <w:rsid w:val="00E06404"/>
    <w:rsid w:val="00E1044F"/>
    <w:rsid w:val="00E11A85"/>
    <w:rsid w:val="00E12495"/>
    <w:rsid w:val="00E15CCD"/>
    <w:rsid w:val="00E202EF"/>
    <w:rsid w:val="00E210B5"/>
    <w:rsid w:val="00E2552F"/>
    <w:rsid w:val="00E3137A"/>
    <w:rsid w:val="00E32CCF"/>
    <w:rsid w:val="00E34A98"/>
    <w:rsid w:val="00E35D1E"/>
    <w:rsid w:val="00E364F9"/>
    <w:rsid w:val="00E365FA"/>
    <w:rsid w:val="00E36789"/>
    <w:rsid w:val="00E42193"/>
    <w:rsid w:val="00E43280"/>
    <w:rsid w:val="00E44A83"/>
    <w:rsid w:val="00E45311"/>
    <w:rsid w:val="00E502C1"/>
    <w:rsid w:val="00E502DD"/>
    <w:rsid w:val="00E50D3A"/>
    <w:rsid w:val="00E51387"/>
    <w:rsid w:val="00E51E68"/>
    <w:rsid w:val="00E5219D"/>
    <w:rsid w:val="00E52EFD"/>
    <w:rsid w:val="00E534BF"/>
    <w:rsid w:val="00E5408A"/>
    <w:rsid w:val="00E56800"/>
    <w:rsid w:val="00E60C63"/>
    <w:rsid w:val="00E61037"/>
    <w:rsid w:val="00E62704"/>
    <w:rsid w:val="00E62FF9"/>
    <w:rsid w:val="00E635D6"/>
    <w:rsid w:val="00E639BC"/>
    <w:rsid w:val="00E664CC"/>
    <w:rsid w:val="00E70388"/>
    <w:rsid w:val="00E70F92"/>
    <w:rsid w:val="00E74313"/>
    <w:rsid w:val="00E74C54"/>
    <w:rsid w:val="00E77A03"/>
    <w:rsid w:val="00E822E8"/>
    <w:rsid w:val="00E82554"/>
    <w:rsid w:val="00E82606"/>
    <w:rsid w:val="00E831C1"/>
    <w:rsid w:val="00E8423A"/>
    <w:rsid w:val="00E846C8"/>
    <w:rsid w:val="00E84720"/>
    <w:rsid w:val="00E84957"/>
    <w:rsid w:val="00E84A55"/>
    <w:rsid w:val="00E85BFF"/>
    <w:rsid w:val="00E90391"/>
    <w:rsid w:val="00E906C2"/>
    <w:rsid w:val="00E91A62"/>
    <w:rsid w:val="00E9311F"/>
    <w:rsid w:val="00E934D1"/>
    <w:rsid w:val="00E94AF0"/>
    <w:rsid w:val="00E94D7A"/>
    <w:rsid w:val="00E955B5"/>
    <w:rsid w:val="00E95D13"/>
    <w:rsid w:val="00E95DD3"/>
    <w:rsid w:val="00E969D5"/>
    <w:rsid w:val="00EA4596"/>
    <w:rsid w:val="00EA58D1"/>
    <w:rsid w:val="00EA61BC"/>
    <w:rsid w:val="00EA681A"/>
    <w:rsid w:val="00EA735B"/>
    <w:rsid w:val="00EB0D39"/>
    <w:rsid w:val="00EB1D38"/>
    <w:rsid w:val="00EB1E69"/>
    <w:rsid w:val="00EB2086"/>
    <w:rsid w:val="00EB31ED"/>
    <w:rsid w:val="00EB35CE"/>
    <w:rsid w:val="00EB5EDF"/>
    <w:rsid w:val="00EB60FE"/>
    <w:rsid w:val="00EB74DB"/>
    <w:rsid w:val="00EC2376"/>
    <w:rsid w:val="00EC5359"/>
    <w:rsid w:val="00EC562A"/>
    <w:rsid w:val="00ED067A"/>
    <w:rsid w:val="00ED2B50"/>
    <w:rsid w:val="00ED3AB6"/>
    <w:rsid w:val="00ED7408"/>
    <w:rsid w:val="00EE0350"/>
    <w:rsid w:val="00EE0719"/>
    <w:rsid w:val="00EE0E80"/>
    <w:rsid w:val="00EE613F"/>
    <w:rsid w:val="00EE7295"/>
    <w:rsid w:val="00EE7869"/>
    <w:rsid w:val="00EF054A"/>
    <w:rsid w:val="00EF3235"/>
    <w:rsid w:val="00EF6D25"/>
    <w:rsid w:val="00EF7E72"/>
    <w:rsid w:val="00F00FF3"/>
    <w:rsid w:val="00F06D37"/>
    <w:rsid w:val="00F07B9D"/>
    <w:rsid w:val="00F10346"/>
    <w:rsid w:val="00F11586"/>
    <w:rsid w:val="00F1183B"/>
    <w:rsid w:val="00F11C9F"/>
    <w:rsid w:val="00F1206C"/>
    <w:rsid w:val="00F12263"/>
    <w:rsid w:val="00F1409D"/>
    <w:rsid w:val="00F14214"/>
    <w:rsid w:val="00F157A9"/>
    <w:rsid w:val="00F16F00"/>
    <w:rsid w:val="00F20837"/>
    <w:rsid w:val="00F25BB6"/>
    <w:rsid w:val="00F26B7E"/>
    <w:rsid w:val="00F27A3B"/>
    <w:rsid w:val="00F32D2E"/>
    <w:rsid w:val="00F33817"/>
    <w:rsid w:val="00F34469"/>
    <w:rsid w:val="00F34828"/>
    <w:rsid w:val="00F368DC"/>
    <w:rsid w:val="00F36DC5"/>
    <w:rsid w:val="00F420D5"/>
    <w:rsid w:val="00F42F6B"/>
    <w:rsid w:val="00F451EA"/>
    <w:rsid w:val="00F45447"/>
    <w:rsid w:val="00F456C6"/>
    <w:rsid w:val="00F4577B"/>
    <w:rsid w:val="00F46391"/>
    <w:rsid w:val="00F46496"/>
    <w:rsid w:val="00F474D0"/>
    <w:rsid w:val="00F50179"/>
    <w:rsid w:val="00F515EE"/>
    <w:rsid w:val="00F52516"/>
    <w:rsid w:val="00F52B89"/>
    <w:rsid w:val="00F542DF"/>
    <w:rsid w:val="00F54523"/>
    <w:rsid w:val="00F56511"/>
    <w:rsid w:val="00F570A6"/>
    <w:rsid w:val="00F6194E"/>
    <w:rsid w:val="00F623AC"/>
    <w:rsid w:val="00F6412A"/>
    <w:rsid w:val="00F65893"/>
    <w:rsid w:val="00F66A4A"/>
    <w:rsid w:val="00F70206"/>
    <w:rsid w:val="00F71E22"/>
    <w:rsid w:val="00F72142"/>
    <w:rsid w:val="00F72AE7"/>
    <w:rsid w:val="00F833BA"/>
    <w:rsid w:val="00F84FD0"/>
    <w:rsid w:val="00F859A8"/>
    <w:rsid w:val="00F86D87"/>
    <w:rsid w:val="00F9108B"/>
    <w:rsid w:val="00F91349"/>
    <w:rsid w:val="00F92E87"/>
    <w:rsid w:val="00F93A8A"/>
    <w:rsid w:val="00F95248"/>
    <w:rsid w:val="00F956A9"/>
    <w:rsid w:val="00F963ED"/>
    <w:rsid w:val="00F966CF"/>
    <w:rsid w:val="00F96CAE"/>
    <w:rsid w:val="00F97C99"/>
    <w:rsid w:val="00FA3FA9"/>
    <w:rsid w:val="00FA662D"/>
    <w:rsid w:val="00FA73B1"/>
    <w:rsid w:val="00FB0CB9"/>
    <w:rsid w:val="00FB231D"/>
    <w:rsid w:val="00FB24A8"/>
    <w:rsid w:val="00FB45F1"/>
    <w:rsid w:val="00FB4A72"/>
    <w:rsid w:val="00FB529B"/>
    <w:rsid w:val="00FB54E8"/>
    <w:rsid w:val="00FB7054"/>
    <w:rsid w:val="00FB7818"/>
    <w:rsid w:val="00FC10A6"/>
    <w:rsid w:val="00FC17B7"/>
    <w:rsid w:val="00FC218F"/>
    <w:rsid w:val="00FC2CB7"/>
    <w:rsid w:val="00FC4090"/>
    <w:rsid w:val="00FC4604"/>
    <w:rsid w:val="00FC55B4"/>
    <w:rsid w:val="00FD00E6"/>
    <w:rsid w:val="00FD0522"/>
    <w:rsid w:val="00FD09A1"/>
    <w:rsid w:val="00FD1C45"/>
    <w:rsid w:val="00FD2A7C"/>
    <w:rsid w:val="00FD59EB"/>
    <w:rsid w:val="00FD62D9"/>
    <w:rsid w:val="00FD7299"/>
    <w:rsid w:val="00FE19EB"/>
    <w:rsid w:val="00FE1FBE"/>
    <w:rsid w:val="00FE3901"/>
    <w:rsid w:val="00FE39D3"/>
    <w:rsid w:val="00FE4BCE"/>
    <w:rsid w:val="00FE54AE"/>
    <w:rsid w:val="00FE576A"/>
    <w:rsid w:val="00FE7E79"/>
    <w:rsid w:val="00FF0909"/>
    <w:rsid w:val="00FF0BA4"/>
    <w:rsid w:val="00FF3E7D"/>
    <w:rsid w:val="00FF5B99"/>
    <w:rsid w:val="00FF730C"/>
    <w:rsid w:val="00FF73F4"/>
    <w:rsid w:val="00FF7CE4"/>
    <w:rsid w:val="00FF7E39"/>
    <w:rsid w:val="01DB2C49"/>
    <w:rsid w:val="035000AB"/>
    <w:rsid w:val="04070B2F"/>
    <w:rsid w:val="090B72F2"/>
    <w:rsid w:val="098350DA"/>
    <w:rsid w:val="0A560A40"/>
    <w:rsid w:val="0A977EEC"/>
    <w:rsid w:val="10063813"/>
    <w:rsid w:val="10B93AD7"/>
    <w:rsid w:val="12411FD6"/>
    <w:rsid w:val="13644ECD"/>
    <w:rsid w:val="150211C4"/>
    <w:rsid w:val="15A43FC3"/>
    <w:rsid w:val="164B3423"/>
    <w:rsid w:val="16F77107"/>
    <w:rsid w:val="18B76B4E"/>
    <w:rsid w:val="1AAB6751"/>
    <w:rsid w:val="1BA3160C"/>
    <w:rsid w:val="1EC739A9"/>
    <w:rsid w:val="1F49071C"/>
    <w:rsid w:val="1F7317C2"/>
    <w:rsid w:val="1F9F37B4"/>
    <w:rsid w:val="242E0F1E"/>
    <w:rsid w:val="261A7284"/>
    <w:rsid w:val="265E2CFF"/>
    <w:rsid w:val="269B7732"/>
    <w:rsid w:val="26D62C91"/>
    <w:rsid w:val="2960467D"/>
    <w:rsid w:val="29D046EC"/>
    <w:rsid w:val="2A4B3E74"/>
    <w:rsid w:val="2C1300E8"/>
    <w:rsid w:val="2C1C51EE"/>
    <w:rsid w:val="2EC1207D"/>
    <w:rsid w:val="2F61560E"/>
    <w:rsid w:val="2FFE33BB"/>
    <w:rsid w:val="31187057"/>
    <w:rsid w:val="32E91BA2"/>
    <w:rsid w:val="333E16C9"/>
    <w:rsid w:val="3377544F"/>
    <w:rsid w:val="33BE302F"/>
    <w:rsid w:val="34890811"/>
    <w:rsid w:val="358A766C"/>
    <w:rsid w:val="37C03A36"/>
    <w:rsid w:val="394E26C5"/>
    <w:rsid w:val="39810D86"/>
    <w:rsid w:val="3B9F04CF"/>
    <w:rsid w:val="3D670613"/>
    <w:rsid w:val="3ED100BA"/>
    <w:rsid w:val="48291984"/>
    <w:rsid w:val="4DC22AD5"/>
    <w:rsid w:val="4E1A37F5"/>
    <w:rsid w:val="4EDF23F4"/>
    <w:rsid w:val="51360251"/>
    <w:rsid w:val="5164091A"/>
    <w:rsid w:val="52727703"/>
    <w:rsid w:val="52F52304"/>
    <w:rsid w:val="544337DB"/>
    <w:rsid w:val="57261BCD"/>
    <w:rsid w:val="57435475"/>
    <w:rsid w:val="596404E6"/>
    <w:rsid w:val="5A82491F"/>
    <w:rsid w:val="5A963B0E"/>
    <w:rsid w:val="5B5D6FFE"/>
    <w:rsid w:val="5D63417B"/>
    <w:rsid w:val="5D6D5C42"/>
    <w:rsid w:val="5D985011"/>
    <w:rsid w:val="5D9E1657"/>
    <w:rsid w:val="5E03641E"/>
    <w:rsid w:val="60E530F9"/>
    <w:rsid w:val="6243457B"/>
    <w:rsid w:val="63D3141F"/>
    <w:rsid w:val="65442AE4"/>
    <w:rsid w:val="658633A0"/>
    <w:rsid w:val="67DC14D2"/>
    <w:rsid w:val="6897167A"/>
    <w:rsid w:val="69E752E1"/>
    <w:rsid w:val="6C6D0B73"/>
    <w:rsid w:val="6E4229EA"/>
    <w:rsid w:val="70FC737B"/>
    <w:rsid w:val="714D0F73"/>
    <w:rsid w:val="72DF3E4C"/>
    <w:rsid w:val="74EE65C9"/>
    <w:rsid w:val="7535244A"/>
    <w:rsid w:val="76D73900"/>
    <w:rsid w:val="76E969F9"/>
    <w:rsid w:val="79D143EB"/>
    <w:rsid w:val="7DFD5A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basedOn w:val="29"/>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rFonts w:ascii="Times New Roman" w:hAnsi="Times New Roman" w:eastAsia="宋体" w:cs="Times New Roman"/>
      <w:b/>
      <w:bCs/>
      <w:kern w:val="44"/>
      <w:sz w:val="44"/>
      <w:szCs w:val="44"/>
    </w:rPr>
  </w:style>
  <w:style w:type="character" w:customStyle="1" w:styleId="36">
    <w:name w:val="标题 2 字符"/>
    <w:link w:val="3"/>
    <w:qFormat/>
    <w:uiPriority w:val="0"/>
    <w:rPr>
      <w:rFonts w:ascii="Arial" w:hAnsi="Arial" w:eastAsia="黑体" w:cs="Times New Roman"/>
      <w:b/>
      <w:bCs/>
      <w:sz w:val="32"/>
      <w:szCs w:val="32"/>
    </w:rPr>
  </w:style>
  <w:style w:type="character" w:customStyle="1" w:styleId="37">
    <w:name w:val="标题 3 字符"/>
    <w:link w:val="4"/>
    <w:qFormat/>
    <w:uiPriority w:val="0"/>
    <w:rPr>
      <w:rFonts w:ascii="Times New Roman" w:hAnsi="Times New Roman" w:eastAsia="宋体" w:cs="Times New Roman"/>
      <w:b/>
      <w:bCs/>
      <w:sz w:val="32"/>
      <w:szCs w:val="32"/>
    </w:rPr>
  </w:style>
  <w:style w:type="character" w:customStyle="1" w:styleId="38">
    <w:name w:val="标题 4 字符"/>
    <w:link w:val="5"/>
    <w:qFormat/>
    <w:uiPriority w:val="0"/>
    <w:rPr>
      <w:rFonts w:ascii="Arial" w:hAnsi="Arial" w:eastAsia="黑体" w:cs="Times New Roman"/>
      <w:b/>
      <w:bCs/>
      <w:sz w:val="28"/>
      <w:szCs w:val="28"/>
    </w:rPr>
  </w:style>
  <w:style w:type="character" w:customStyle="1" w:styleId="39">
    <w:name w:val="标题 5 字符"/>
    <w:link w:val="6"/>
    <w:qFormat/>
    <w:uiPriority w:val="0"/>
    <w:rPr>
      <w:rFonts w:ascii="Times New Roman" w:hAnsi="Times New Roman" w:eastAsia="宋体" w:cs="Times New Roman"/>
      <w:b/>
      <w:bCs/>
      <w:sz w:val="28"/>
      <w:szCs w:val="28"/>
    </w:rPr>
  </w:style>
  <w:style w:type="character" w:customStyle="1" w:styleId="40">
    <w:name w:val="标题 6 字符"/>
    <w:link w:val="7"/>
    <w:qFormat/>
    <w:uiPriority w:val="0"/>
    <w:rPr>
      <w:rFonts w:ascii="Arial" w:hAnsi="Arial" w:eastAsia="黑体" w:cs="Times New Roman"/>
      <w:b/>
      <w:bCs/>
      <w:sz w:val="24"/>
      <w:szCs w:val="24"/>
    </w:rPr>
  </w:style>
  <w:style w:type="character" w:customStyle="1" w:styleId="41">
    <w:name w:val="标题 7 字符"/>
    <w:link w:val="8"/>
    <w:qFormat/>
    <w:uiPriority w:val="0"/>
    <w:rPr>
      <w:rFonts w:ascii="Times New Roman" w:hAnsi="Times New Roman" w:eastAsia="宋体" w:cs="Times New Roman"/>
      <w:b/>
      <w:bCs/>
      <w:sz w:val="24"/>
      <w:szCs w:val="24"/>
    </w:rPr>
  </w:style>
  <w:style w:type="character" w:customStyle="1" w:styleId="42">
    <w:name w:val="标题 8 字符"/>
    <w:link w:val="9"/>
    <w:qFormat/>
    <w:uiPriority w:val="0"/>
    <w:rPr>
      <w:rFonts w:ascii="Arial" w:hAnsi="Arial" w:eastAsia="黑体" w:cs="Times New Roman"/>
      <w:sz w:val="24"/>
      <w:szCs w:val="24"/>
    </w:rPr>
  </w:style>
  <w:style w:type="character" w:customStyle="1" w:styleId="43">
    <w:name w:val="标题 9 字符"/>
    <w:link w:val="10"/>
    <w:qFormat/>
    <w:uiPriority w:val="0"/>
    <w:rPr>
      <w:rFonts w:ascii="Arial" w:hAnsi="Arial" w:eastAsia="黑体" w:cs="Times New Roman"/>
      <w:szCs w:val="21"/>
    </w:rPr>
  </w:style>
  <w:style w:type="character" w:customStyle="1" w:styleId="44">
    <w:name w:val="页眉 字符"/>
    <w:link w:val="18"/>
    <w:qFormat/>
    <w:uiPriority w:val="99"/>
    <w:rPr>
      <w:rFonts w:ascii="Times New Roman" w:hAnsi="Times New Roman" w:eastAsia="宋体" w:cs="Times New Roman"/>
      <w:sz w:val="18"/>
      <w:szCs w:val="18"/>
    </w:rPr>
  </w:style>
  <w:style w:type="character" w:customStyle="1" w:styleId="45">
    <w:name w:val="页脚 字符"/>
    <w:link w:val="17"/>
    <w:qFormat/>
    <w:uiPriority w:val="99"/>
    <w:rPr>
      <w:rFonts w:ascii="宋体" w:hAnsi="Times New Roman" w:eastAsia="宋体" w:cs="Times New Roman"/>
      <w:sz w:val="18"/>
      <w:szCs w:val="18"/>
    </w:rPr>
  </w:style>
  <w:style w:type="character" w:customStyle="1" w:styleId="46">
    <w:name w:val="批注框文本 字符"/>
    <w:link w:val="16"/>
    <w:semiHidden/>
    <w:qFormat/>
    <w:uiPriority w:val="99"/>
    <w:rPr>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rPr>
  </w:style>
  <w:style w:type="character" w:customStyle="1" w:styleId="49">
    <w:name w:val="标题 字符"/>
    <w:link w:val="26"/>
    <w:qFormat/>
    <w:uiPriority w:val="0"/>
    <w:rPr>
      <w:rFonts w:ascii="Arial" w:hAnsi="Arial" w:eastAsia="宋体" w:cs="Arial"/>
      <w:b/>
      <w:bCs/>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rFonts w:ascii="Times New Roman" w:hAnsi="Times New Roman" w:eastAsia="宋体" w:cs="Times New Roman"/>
      <w:szCs w:val="20"/>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pPr>
  </w:style>
  <w:style w:type="paragraph" w:customStyle="1" w:styleId="92">
    <w:name w:val="标准文件_目录标题"/>
    <w:basedOn w:val="1"/>
    <w:qFormat/>
    <w:uiPriority w:val="0"/>
    <w:pPr>
      <w:spacing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ind w:left="0" w:firstLine="200"/>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不明显参考1"/>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hAnsi="Times New Roman" w:eastAsia="宋体" w:cs="Times New Roman"/>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ind w:left="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semiHidden/>
    <w:qFormat/>
    <w:uiPriority w:val="0"/>
    <w:pPr>
      <w:adjustRightInd/>
      <w:spacing w:line="240" w:lineRule="auto"/>
      <w:jc w:val="left"/>
    </w:pPr>
    <w:rPr>
      <w:bCs/>
      <w:iCs/>
    </w:rPr>
  </w:style>
  <w:style w:type="paragraph" w:customStyle="1" w:styleId="144">
    <w:name w:val="目录 31"/>
    <w:basedOn w:val="1"/>
    <w:next w:val="1"/>
    <w:semiHidden/>
    <w:qFormat/>
    <w:uiPriority w:val="0"/>
    <w:pPr>
      <w:spacing w:line="240" w:lineRule="auto"/>
    </w:pPr>
    <w:rPr>
      <w:rFonts w:ascii="宋体" w:hAnsi="宋体"/>
      <w:iCs/>
    </w:rPr>
  </w:style>
  <w:style w:type="paragraph" w:customStyle="1" w:styleId="145">
    <w:name w:val="目录 41"/>
    <w:basedOn w:val="1"/>
    <w:next w:val="1"/>
    <w:semiHidden/>
    <w:qFormat/>
    <w:uiPriority w:val="0"/>
    <w:pPr>
      <w:adjustRightInd/>
      <w:spacing w:line="240" w:lineRule="auto"/>
      <w:jc w:val="left"/>
    </w:pPr>
  </w:style>
  <w:style w:type="paragraph" w:customStyle="1" w:styleId="146">
    <w:name w:val="目录 51"/>
    <w:basedOn w:val="1"/>
    <w:next w:val="1"/>
    <w:semiHidden/>
    <w:qFormat/>
    <w:uiPriority w:val="0"/>
    <w:pPr>
      <w:spacing w:line="240" w:lineRule="auto"/>
    </w:pPr>
    <w:rPr>
      <w:rFonts w:ascii="宋体" w:hAnsi="宋体"/>
    </w:rPr>
  </w:style>
  <w:style w:type="paragraph" w:customStyle="1" w:styleId="147">
    <w:name w:val="目录 61"/>
    <w:basedOn w:val="1"/>
    <w:next w:val="1"/>
    <w:semiHidden/>
    <w:qFormat/>
    <w:uiPriority w:val="0"/>
    <w:pPr>
      <w:adjustRightInd/>
      <w:spacing w:line="240" w:lineRule="auto"/>
      <w:jc w:val="left"/>
    </w:pPr>
  </w:style>
  <w:style w:type="paragraph" w:customStyle="1" w:styleId="148">
    <w:name w:val="目录 71"/>
    <w:basedOn w:val="147"/>
    <w:semiHidden/>
    <w:qFormat/>
    <w:uiPriority w:val="0"/>
    <w:pPr>
      <w:ind w:left="1260"/>
    </w:pPr>
  </w:style>
  <w:style w:type="paragraph" w:customStyle="1" w:styleId="149">
    <w:name w:val="目录 81"/>
    <w:basedOn w:val="148"/>
    <w:semiHidden/>
    <w:qFormat/>
    <w:uiPriority w:val="0"/>
    <w:pPr>
      <w:ind w:left="1470"/>
    </w:pPr>
  </w:style>
  <w:style w:type="paragraph" w:customStyle="1" w:styleId="150">
    <w:name w:val="目录 91"/>
    <w:basedOn w:val="149"/>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ind w:left="783"/>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left="1271" w:hanging="420" w:firstLineChars="0"/>
    </w:pPr>
  </w:style>
  <w:style w:type="paragraph" w:customStyle="1" w:styleId="189">
    <w:name w:val="标准文件_三级项2"/>
    <w:basedOn w:val="57"/>
    <w:qFormat/>
    <w:uiPriority w:val="0"/>
    <w:pPr>
      <w:numPr>
        <w:ilvl w:val="0"/>
        <w:numId w:val="30"/>
      </w:numPr>
      <w:spacing w:line="300" w:lineRule="exact"/>
      <w:ind w:left="1276" w:hanging="425" w:firstLineChars="0"/>
    </w:pPr>
    <w:rPr>
      <w:rFonts w:ascii="Times New Roman"/>
    </w:rPr>
  </w:style>
  <w:style w:type="paragraph" w:customStyle="1" w:styleId="190">
    <w:name w:val="标准文件_一级项2"/>
    <w:basedOn w:val="57"/>
    <w:qFormat/>
    <w:uiPriority w:val="0"/>
    <w:pPr>
      <w:numPr>
        <w:ilvl w:val="0"/>
        <w:numId w:val="31"/>
      </w:numPr>
      <w:spacing w:line="300" w:lineRule="exact"/>
      <w:ind w:left="1271" w:hanging="420"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next w:val="57"/>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character" w:customStyle="1" w:styleId="231">
    <w:name w:val="high-light-bg4"/>
    <w:basedOn w:val="29"/>
    <w:qFormat/>
    <w:uiPriority w:val="0"/>
  </w:style>
  <w:style w:type="paragraph" w:styleId="23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glossaryDocument" Target="glossary/document.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A276024014E749F195FC61D7865681B4"/>
        <w:style w:val=""/>
        <w:category>
          <w:name w:val="常规"/>
          <w:gallery w:val="placeholder"/>
        </w:category>
        <w:types>
          <w:type w:val="bbPlcHdr"/>
        </w:types>
        <w:behaviors>
          <w:behavior w:val="content"/>
        </w:behaviors>
        <w:description w:val=""/>
        <w:guid w:val="{7CE24A39-8B66-498E-9920-4B181BC027D5}"/>
      </w:docPartPr>
      <w:docPartBody>
        <w:p w14:paraId="544E6C04">
          <w:pPr>
            <w:pStyle w:val="5"/>
          </w:pPr>
          <w:r>
            <w:rPr>
              <w:rStyle w:val="4"/>
              <w:rFonts w:hint="eastAsia"/>
            </w:rPr>
            <w:t>单击或点击此处输入文字。</w:t>
          </w:r>
        </w:p>
      </w:docPartBody>
    </w:docPart>
    <w:docPart>
      <w:docPartPr>
        <w:name w:val="06919CD3F62A421B8D32E5DFCB13C24A"/>
        <w:style w:val=""/>
        <w:category>
          <w:name w:val="常规"/>
          <w:gallery w:val="placeholder"/>
        </w:category>
        <w:types>
          <w:type w:val="bbPlcHdr"/>
        </w:types>
        <w:behaviors>
          <w:behavior w:val="content"/>
        </w:behaviors>
        <w:description w:val=""/>
        <w:guid w:val="{D1D58894-4F99-4BED-A765-D8FF2295234A}"/>
      </w:docPartPr>
      <w:docPartBody>
        <w:p w14:paraId="3F1DDEF1">
          <w:pPr>
            <w:pStyle w:val="6"/>
          </w:pPr>
          <w:r>
            <w:rPr>
              <w:rStyle w:val="4"/>
              <w:rFonts w:hint="eastAsia"/>
            </w:rPr>
            <w:t>选择一项。</w:t>
          </w:r>
        </w:p>
      </w:docPartBody>
    </w:docPart>
    <w:docPart>
      <w:docPartPr>
        <w:name w:val="A566404057834F1AB5CC2FB6A9C4A1D8"/>
        <w:style w:val=""/>
        <w:category>
          <w:name w:val="常规"/>
          <w:gallery w:val="placeholder"/>
        </w:category>
        <w:types>
          <w:type w:val="bbPlcHdr"/>
        </w:types>
        <w:behaviors>
          <w:behavior w:val="content"/>
        </w:behaviors>
        <w:description w:val=""/>
        <w:guid w:val="{C01C82DA-A4C9-45CA-96F7-7C1E5F109EFD}"/>
      </w:docPartPr>
      <w:docPartBody>
        <w:p w14:paraId="7B665564">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11ED"/>
    <w:rsid w:val="00045A65"/>
    <w:rsid w:val="000510DF"/>
    <w:rsid w:val="000B761B"/>
    <w:rsid w:val="001E2A93"/>
    <w:rsid w:val="00282217"/>
    <w:rsid w:val="00283E68"/>
    <w:rsid w:val="002A2352"/>
    <w:rsid w:val="00305C43"/>
    <w:rsid w:val="003E3AA5"/>
    <w:rsid w:val="00441F51"/>
    <w:rsid w:val="004742A7"/>
    <w:rsid w:val="00487B1E"/>
    <w:rsid w:val="00645C81"/>
    <w:rsid w:val="00695D31"/>
    <w:rsid w:val="007517C5"/>
    <w:rsid w:val="007C77E1"/>
    <w:rsid w:val="007E5C3F"/>
    <w:rsid w:val="00953149"/>
    <w:rsid w:val="00A111ED"/>
    <w:rsid w:val="00A13EE1"/>
    <w:rsid w:val="00A2182F"/>
    <w:rsid w:val="00B213CC"/>
    <w:rsid w:val="00B35B10"/>
    <w:rsid w:val="00BA154C"/>
    <w:rsid w:val="00BD6067"/>
    <w:rsid w:val="00F20D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A276024014E749F195FC61D7865681B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06919CD3F62A421B8D32E5DFCB13C24A"/>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A566404057834F1AB5CC2FB6A9C4A1D8"/>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66210-141B-45E3-9E82-ED962FBAD9F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6</Pages>
  <Words>2471</Words>
  <Characters>2785</Characters>
  <Lines>61</Lines>
  <Paragraphs>17</Paragraphs>
  <TotalTime>241</TotalTime>
  <ScaleCrop>false</ScaleCrop>
  <LinksUpToDate>false</LinksUpToDate>
  <CharactersWithSpaces>2857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2023-11-10T07:45:00Z</dcterms:created>
  <dc:creator>微软用户;wen</dc:creator>
  <dc:description>&lt;config cover="true" show_menu="true" version="1.0.0" doctype="SDKXY"&gt;_x000d_
&lt;/config&gt;</dc:description>
  <cp:lastModifiedBy>初侨</cp:lastModifiedBy>
  <cp:lastPrinted>2021-11-28T03:39:00Z</cp:lastPrinted>
  <dcterms:modified xsi:type="dcterms:W3CDTF">2026-05-08T07:02:22Z</dcterms:modified>
  <dc:title>团体标准</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931C34DE48CF4343B443AC26670130B7_13</vt:lpwstr>
  </property>
  <property fmtid="{D5CDD505-2E9C-101B-9397-08002B2CF9AE}" pid="16" name="KSOTemplateDocerSaveRecord">
    <vt:lpwstr>eyJoZGlkIjoiMjNiOTc1NDcxM2ZjNWZiYmFmMjM1MzU2NThlODZlMzQiLCJ1c2VySWQiOiI1NDg0NzI5MjcifQ==</vt:lpwstr>
  </property>
</Properties>
</file>