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157D7D">
      <w:pPr>
        <w:ind w:firstLine="640"/>
        <w:jc w:val="center"/>
        <w:rPr>
          <w:rFonts w:eastAsia="方正小标宋简体"/>
          <w:sz w:val="32"/>
          <w:szCs w:val="32"/>
        </w:rPr>
      </w:pPr>
      <w:r>
        <w:rPr>
          <w:rFonts w:hint="eastAsia" w:eastAsia="方正小标宋简体"/>
          <w:sz w:val="32"/>
          <w:szCs w:val="32"/>
        </w:rPr>
        <w:t>《迷人杜鹃栽培技术》（征求意见稿</w:t>
      </w:r>
      <w:r>
        <w:rPr>
          <w:rFonts w:hint="eastAsia" w:ascii="方正小标宋简体" w:hAnsi="方正小标宋简体" w:eastAsia="方正小标宋简体" w:cs="方正小标宋简体"/>
          <w:sz w:val="32"/>
          <w:szCs w:val="32"/>
        </w:rPr>
        <w:t>)</w:t>
      </w:r>
      <w:r>
        <w:rPr>
          <w:rFonts w:eastAsia="方正小标宋简体"/>
          <w:color w:val="000000"/>
          <w:sz w:val="32"/>
          <w:szCs w:val="32"/>
        </w:rPr>
        <w:t>编制</w:t>
      </w:r>
      <w:r>
        <w:rPr>
          <w:rFonts w:eastAsia="方正小标宋简体"/>
          <w:sz w:val="32"/>
          <w:szCs w:val="32"/>
        </w:rPr>
        <w:t>说明</w:t>
      </w:r>
    </w:p>
    <w:p w14:paraId="5481E69B">
      <w:pPr>
        <w:pStyle w:val="7"/>
        <w:ind w:firstLine="0" w:firstLineChars="0"/>
        <w:rPr>
          <w:rFonts w:ascii="Times New Roman" w:hAnsi="Times New Roman" w:cs="Times New Roman"/>
        </w:rPr>
      </w:pPr>
      <w:r>
        <w:rPr>
          <w:rFonts w:ascii="Times New Roman" w:hAnsi="Times New Roman" w:cs="Times New Roman"/>
        </w:rPr>
        <w:t>一、项目背景及意义</w:t>
      </w:r>
    </w:p>
    <w:p w14:paraId="743E2BEB">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迷人杜鹃（Rhododendron agastum）为杜鹃花科杜鹃属常绿灌木或小乔木，是我国西南地区喀斯特地貌的特有或珍稀植物，具有极高的观赏价值和生态价值。其花色艳丽，花型独特，是园林绿化、庭院美化和生态修复的优良乡土树种。近年来，随着生态文明建设和乡村振兴战略的深入实施，对优质乡土观赏植物的需求日益增长，迷人杜鹃的开发利用前景广阔。</w:t>
      </w:r>
    </w:p>
    <w:p w14:paraId="5E55EFC4">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然而，当前迷人杜鹃的栽培利用尚处于起步阶段，缺乏系统、规范的技术指导。生产实践中存在采种盲目、育苗技术落后、栽培管理粗放、病虫害防治不力等问题，导致种苗质量参差不齐，成活率低，生长不良，难以满足市场化和产业化发展的需求。为科学有效地保护和开发利用这一珍贵植物资源，推动其产业化、标准化发展，制定《迷人杜鹃栽培技术规程》具有重要的现实意义和紧迫性：</w:t>
      </w:r>
    </w:p>
    <w:p w14:paraId="6B6A5C8B">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一是规范生产技术，提升种苗质量与产业效益。 目前，迷人杜鹃的繁殖与栽培多依赖传统经验，技术标准不一，生产效率低下。本规程通过系统总结科研与实践经验，对采种、育苗、栽培、管理等各个环节提出明确的技术要求和操作规范，旨在建立一套科学、高效、可复制的标准化生产体系。这将直接提升种苗的繁殖效率、成活率和商品品质，降低生产成本，为迷人杜鹃的规模化、商品化生产提供技术保障，推动相关产业健康、高效发展，助力林农增收和区域特色林业经济增长。</w:t>
      </w:r>
    </w:p>
    <w:p w14:paraId="062C8A08">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二是保护种质资源，促进资源可持续利用。 迷人杜鹃作为区域性特色植物，其野生资源分布有限，且在采挖利用中存在过度采集、破坏生境的风险。本规程对采种母树选择、种子采集量等做出了明确规定，强调在资源利用中贯彻保护优先、可持续利用的原则。通过规范化的栽培技术扩大人工种群数量，可以减少对野生资源的直接依赖，实现从野生采集向人工培育的转变，从而达到在利用中保护、以利用促保护的目的，维护生物多样性和生态安全。</w:t>
      </w:r>
    </w:p>
    <w:p w14:paraId="7A632C4C">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三是整合技术成果，搭建科研与生产的桥梁。 贵州省植物园及相关科研单位在杜鹃花属植物，包括迷人杜鹃的引种驯化、繁殖技术等方面已积累了一定的研究基础和实践经验。本规程的制定，是对现有分散的技术成果进行系统梳理、验证和整合的过程，形成一套公认、可操作的技术规范。这将有效促进科研成果的转化与应用，为生产企业、种植户提供明确的技术指引，解决生产中的实际技术难题，提升整个行业的技术水平。</w:t>
      </w:r>
    </w:p>
    <w:p w14:paraId="1BD3ECAB">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四是引领行业发展，为同类植物栽培提供参考。 本规程作为贵州省针对迷人杜鹃的首个栽培技术标准，其制定和实施具有示范和引领作用。它不仅可直接指导迷人杜鹃的生产实践，其技术框架和原则（如基于生态习性的环境管控、分级育苗管理、病虫害综合防治等）也可为同属其他观赏杜鹃乃至其他乡土观赏灌木的标准化栽培提供有益的借鉴，推动贵州省特色观赏植物栽培技术的整体进步。</w:t>
      </w:r>
    </w:p>
    <w:p w14:paraId="35D8CFBD">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综上所述，制定《迷人杜鹃栽培技术规程》是顺应产业发展需求、保护生物多样性、促进科技成果转化、提升行业标准化水平的必然之举，对推动贵州特色乡土植物资源开发利用和林业产业提质增效具有重要意义。</w:t>
      </w:r>
    </w:p>
    <w:p w14:paraId="20134D37">
      <w:pPr>
        <w:pStyle w:val="7"/>
        <w:ind w:firstLine="0" w:firstLineChars="0"/>
        <w:rPr>
          <w:rFonts w:ascii="Times New Roman" w:hAnsi="Times New Roman" w:cs="Times New Roman"/>
        </w:rPr>
      </w:pPr>
      <w:r>
        <w:rPr>
          <w:rFonts w:ascii="Times New Roman" w:hAnsi="Times New Roman" w:cs="Times New Roman"/>
        </w:rPr>
        <w:t>二、工作简况</w:t>
      </w:r>
    </w:p>
    <w:p w14:paraId="065464DF">
      <w:pPr>
        <w:pStyle w:val="3"/>
        <w:rPr>
          <w:rFonts w:ascii="Times New Roman" w:hAnsi="Times New Roman" w:cs="Times New Roman"/>
        </w:rPr>
      </w:pPr>
      <w:r>
        <w:rPr>
          <w:rFonts w:ascii="Times New Roman" w:hAnsi="Times New Roman" w:cs="Times New Roman"/>
        </w:rPr>
        <w:t>（一）任务来源</w:t>
      </w:r>
    </w:p>
    <w:p w14:paraId="5DC67629">
      <w:pPr>
        <w:spacing w:line="360" w:lineRule="auto"/>
        <w:ind w:firstLine="480" w:firstLineChars="200"/>
      </w:pPr>
      <w:r>
        <w:rPr>
          <w:rFonts w:hint="eastAsia"/>
          <w:sz w:val="24"/>
          <w:szCs w:val="24"/>
          <w:lang w:val="en-US" w:eastAsia="zh-CN"/>
        </w:rPr>
        <w:t>本标准制定单位贵州科学院及贵州省植物园</w:t>
      </w:r>
      <w:r>
        <w:rPr>
          <w:rFonts w:hint="eastAsia"/>
          <w:sz w:val="24"/>
          <w:szCs w:val="24"/>
        </w:rPr>
        <w:t>从1983年就开始对杜鹃进行研究</w:t>
      </w:r>
      <w:r>
        <w:rPr>
          <w:rFonts w:hint="eastAsia"/>
          <w:sz w:val="24"/>
          <w:szCs w:val="24"/>
          <w:lang w:eastAsia="zh-CN"/>
        </w:rPr>
        <w:t>，</w:t>
      </w:r>
      <w:r>
        <w:rPr>
          <w:rFonts w:hint="eastAsia"/>
          <w:sz w:val="24"/>
          <w:szCs w:val="24"/>
        </w:rPr>
        <w:t>多年来一直进行</w:t>
      </w:r>
      <w:r>
        <w:rPr>
          <w:rFonts w:hint="eastAsia"/>
          <w:sz w:val="24"/>
          <w:szCs w:val="24"/>
          <w:lang w:val="en-US" w:eastAsia="zh-CN"/>
        </w:rPr>
        <w:t>迷人杜鹃</w:t>
      </w:r>
      <w:r>
        <w:rPr>
          <w:rFonts w:hint="eastAsia"/>
          <w:sz w:val="24"/>
          <w:szCs w:val="24"/>
        </w:rPr>
        <w:t>的引种栽培与繁殖技术工作，并成功应用于绿化造林，取得了不错的效果。</w:t>
      </w:r>
      <w:r>
        <w:rPr>
          <w:rFonts w:hint="eastAsia"/>
          <w:sz w:val="24"/>
          <w:szCs w:val="24"/>
          <w:lang w:val="en-US" w:eastAsia="zh-CN"/>
        </w:rPr>
        <w:t>得到以下项目资助：</w:t>
      </w:r>
      <w:r>
        <w:rPr>
          <w:rFonts w:hint="eastAsia"/>
          <w:sz w:val="24"/>
          <w:szCs w:val="24"/>
        </w:rPr>
        <w:t>国家农业成果转化项目“杜鹃栽培繁殖技术在贵州百里杜鹃林区的中试与转化”，合同号：2007GB2F200289</w:t>
      </w:r>
      <w:r>
        <w:rPr>
          <w:rFonts w:hint="eastAsia"/>
          <w:sz w:val="24"/>
          <w:szCs w:val="24"/>
          <w:lang w:eastAsia="zh-CN"/>
        </w:rPr>
        <w:t>；</w:t>
      </w:r>
      <w:r>
        <w:rPr>
          <w:rFonts w:hint="eastAsia"/>
          <w:sz w:val="24"/>
          <w:szCs w:val="24"/>
        </w:rPr>
        <w:t>贵州省重大专项 “延长百里杜鹃花期的配套技术开发与应用”，合同号：黔科合重大专项字2007[6005]</w:t>
      </w:r>
      <w:r>
        <w:rPr>
          <w:rFonts w:hint="eastAsia"/>
          <w:sz w:val="24"/>
          <w:szCs w:val="24"/>
          <w:lang w:eastAsia="zh-CN"/>
        </w:rPr>
        <w:t>；</w:t>
      </w:r>
      <w:r>
        <w:rPr>
          <w:rFonts w:hint="eastAsia"/>
          <w:sz w:val="24"/>
          <w:szCs w:val="24"/>
        </w:rPr>
        <w:t>贵州省重大专项杜鹃科特派“万元田”科技示范工程，合同号:黔科合重大专项字[2011]6001号</w:t>
      </w:r>
      <w:r>
        <w:rPr>
          <w:rFonts w:hint="eastAsia"/>
          <w:sz w:val="24"/>
          <w:szCs w:val="24"/>
          <w:lang w:eastAsia="zh-CN"/>
        </w:rPr>
        <w:t>。</w:t>
      </w:r>
      <w:r>
        <w:rPr>
          <w:rFonts w:hint="eastAsia"/>
          <w:sz w:val="24"/>
          <w:szCs w:val="24"/>
        </w:rPr>
        <w:t>开展了包括</w:t>
      </w:r>
      <w:r>
        <w:rPr>
          <w:rFonts w:hint="eastAsia"/>
          <w:sz w:val="24"/>
          <w:szCs w:val="24"/>
          <w:lang w:val="en-US" w:eastAsia="zh-CN"/>
        </w:rPr>
        <w:t>迷人杜鹃</w:t>
      </w:r>
      <w:r>
        <w:rPr>
          <w:rFonts w:hint="eastAsia"/>
          <w:sz w:val="24"/>
          <w:szCs w:val="24"/>
        </w:rPr>
        <w:t>在内的</w:t>
      </w:r>
      <w:r>
        <w:rPr>
          <w:rFonts w:hint="eastAsia"/>
          <w:sz w:val="24"/>
          <w:szCs w:val="24"/>
          <w:lang w:val="en-US" w:eastAsia="zh-CN"/>
        </w:rPr>
        <w:t>20</w:t>
      </w:r>
      <w:r>
        <w:rPr>
          <w:rFonts w:hint="eastAsia"/>
          <w:sz w:val="24"/>
          <w:szCs w:val="24"/>
        </w:rPr>
        <w:t>余种</w:t>
      </w:r>
      <w:r>
        <w:rPr>
          <w:rFonts w:hint="eastAsia"/>
          <w:sz w:val="24"/>
          <w:szCs w:val="24"/>
          <w:lang w:val="en-US" w:eastAsia="zh-CN"/>
        </w:rPr>
        <w:t>杜鹃</w:t>
      </w:r>
      <w:r>
        <w:rPr>
          <w:rFonts w:hint="eastAsia"/>
          <w:sz w:val="24"/>
          <w:szCs w:val="24"/>
        </w:rPr>
        <w:t>的苗木培育技术研究与栽培示范推广。</w:t>
      </w:r>
      <w:r>
        <w:rPr>
          <w:rFonts w:hint="eastAsia"/>
          <w:sz w:val="24"/>
          <w:szCs w:val="24"/>
          <w:lang w:val="en-US" w:eastAsia="zh-CN"/>
        </w:rPr>
        <w:t>因此，</w:t>
      </w:r>
      <w:r>
        <w:rPr>
          <w:rFonts w:ascii="Times New Roman" w:hAnsi="Times New Roman" w:eastAsia="宋体" w:cs="Times New Roman"/>
          <w:b w:val="0"/>
          <w:kern w:val="2"/>
          <w:sz w:val="24"/>
          <w:szCs w:val="24"/>
          <w:lang w:val="en-US" w:eastAsia="zh-CN" w:bidi="ar-SA"/>
        </w:rPr>
        <w:t>本标准制定任务源于贵州省植物园长期开展的杜鹃花属植物种质资源收集与繁育技术研究积累。为响应贵州省关于发展特色林业、花卉产业及加强乡土植物开发利用的号召，202</w:t>
      </w:r>
      <w:r>
        <w:rPr>
          <w:rFonts w:hint="eastAsia" w:ascii="Times New Roman" w:hAnsi="Times New Roman" w:cs="Times New Roman"/>
          <w:b w:val="0"/>
          <w:kern w:val="2"/>
          <w:sz w:val="24"/>
          <w:szCs w:val="24"/>
          <w:lang w:val="en-US" w:eastAsia="zh-CN" w:bidi="ar-SA"/>
        </w:rPr>
        <w:t>6</w:t>
      </w:r>
      <w:r>
        <w:rPr>
          <w:rFonts w:ascii="Times New Roman" w:hAnsi="Times New Roman" w:eastAsia="宋体" w:cs="Times New Roman"/>
          <w:b w:val="0"/>
          <w:kern w:val="2"/>
          <w:sz w:val="24"/>
          <w:szCs w:val="24"/>
          <w:lang w:val="en-US" w:eastAsia="zh-CN" w:bidi="ar-SA"/>
        </w:rPr>
        <w:t>年，由贵州省植物园牵头，联合贵州科学院、贵州省国有扎佐林场等单位，向贵州省</w:t>
      </w:r>
      <w:r>
        <w:rPr>
          <w:rFonts w:hint="eastAsia" w:ascii="Times New Roman" w:hAnsi="Times New Roman" w:eastAsia="宋体" w:cs="Times New Roman"/>
          <w:b w:val="0"/>
          <w:kern w:val="2"/>
          <w:sz w:val="24"/>
          <w:szCs w:val="24"/>
          <w:lang w:val="en-US" w:eastAsia="zh-CN" w:bidi="ar-SA"/>
        </w:rPr>
        <w:t>植物学会</w:t>
      </w:r>
      <w:r>
        <w:rPr>
          <w:rFonts w:ascii="Times New Roman" w:hAnsi="Times New Roman" w:eastAsia="宋体" w:cs="Times New Roman"/>
          <w:b w:val="0"/>
          <w:kern w:val="2"/>
          <w:sz w:val="24"/>
          <w:szCs w:val="24"/>
          <w:lang w:val="en-US" w:eastAsia="zh-CN" w:bidi="ar-SA"/>
        </w:rPr>
        <w:t>提出《迷人杜鹃栽培技术规程》的立项建议</w:t>
      </w:r>
      <w:r>
        <w:rPr>
          <w:rFonts w:hint="eastAsia" w:ascii="Times New Roman" w:hAnsi="Times New Roman" w:eastAsia="宋体" w:cs="Times New Roman"/>
          <w:b w:val="0"/>
          <w:kern w:val="2"/>
          <w:sz w:val="24"/>
          <w:szCs w:val="24"/>
          <w:lang w:val="en-US" w:eastAsia="zh-CN" w:bidi="ar-SA"/>
        </w:rPr>
        <w:t>，</w:t>
      </w:r>
      <w:r>
        <w:rPr>
          <w:rFonts w:ascii="Times New Roman" w:hAnsi="Times New Roman" w:eastAsia="宋体" w:cs="Times New Roman"/>
          <w:b w:val="0"/>
          <w:kern w:val="2"/>
          <w:sz w:val="24"/>
          <w:szCs w:val="24"/>
          <w:lang w:val="en-US" w:eastAsia="zh-CN" w:bidi="ar-SA"/>
        </w:rPr>
        <w:t>贵州省植物学会</w:t>
      </w:r>
      <w:r>
        <w:rPr>
          <w:rFonts w:hint="eastAsia" w:cs="Times New Roman"/>
          <w:b w:val="0"/>
          <w:kern w:val="2"/>
          <w:sz w:val="24"/>
          <w:szCs w:val="24"/>
          <w:lang w:val="en-US" w:eastAsia="zh-CN" w:bidi="ar-SA"/>
        </w:rPr>
        <w:t>批准</w:t>
      </w:r>
      <w:r>
        <w:rPr>
          <w:rFonts w:ascii="Times New Roman" w:hAnsi="Times New Roman" w:eastAsia="宋体" w:cs="Times New Roman"/>
          <w:b w:val="0"/>
          <w:kern w:val="2"/>
          <w:sz w:val="24"/>
          <w:szCs w:val="24"/>
          <w:lang w:val="en-US" w:eastAsia="zh-CN" w:bidi="ar-SA"/>
        </w:rPr>
        <w:t>立项，由贵州省植物园主持负责标准的编制工作。</w:t>
      </w:r>
      <w:r>
        <w:t xml:space="preserve"> </w:t>
      </w:r>
    </w:p>
    <w:p w14:paraId="5867FD7C">
      <w:pPr>
        <w:pStyle w:val="3"/>
        <w:rPr>
          <w:rFonts w:ascii="Times New Roman" w:hAnsi="Times New Roman" w:cs="Times New Roman"/>
        </w:rPr>
      </w:pPr>
      <w:r>
        <w:rPr>
          <w:rFonts w:ascii="Times New Roman" w:hAnsi="Times New Roman" w:cs="Times New Roman"/>
        </w:rPr>
        <w:t>（二）编制过程</w:t>
      </w:r>
    </w:p>
    <w:p w14:paraId="336802FC">
      <w:pPr>
        <w:pStyle w:val="4"/>
        <w:keepNext w:val="0"/>
        <w:keepLines w:val="0"/>
        <w:widowControl/>
        <w:suppressLineNumbers w:val="0"/>
      </w:pPr>
      <w:r>
        <w:t>1. 预研与起草阶段</w:t>
      </w:r>
    </w:p>
    <w:p w14:paraId="79AD4DA4">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成立标准编制小组，明确分工。小组系统收集、整理了国内外关于杜鹃花属植物，特别是迷人杜鹃或近缘种的繁殖、栽培、生理生态及病虫害防治等方面的文献资料。同时，编制小组深入贵州省内迷人杜鹃的自然分布区及早期引种栽培点（如扎佐林场、省内部分植物园圃）进行实地调研，观测记录其生长习性、物候期、生境特点，并总结分析现有栽培实践中存在的问题和技术难点。在此基础上，结合编制单位多年的杜鹃花引种驯化与育苗实践经验，依据GB/T 1.1-2020《标准化工作导则 第1部分：标准化文件的结构和起草规则》的要求，于202</w:t>
      </w:r>
      <w:r>
        <w:rPr>
          <w:rFonts w:hint="eastAsia" w:ascii="Times New Roman" w:hAnsi="Times New Roman" w:cs="Times New Roman"/>
          <w:b w:val="0"/>
          <w:kern w:val="2"/>
          <w:sz w:val="24"/>
          <w:szCs w:val="24"/>
          <w:lang w:val="en-US" w:eastAsia="zh-CN" w:bidi="ar-SA"/>
        </w:rPr>
        <w:t>6</w:t>
      </w:r>
      <w:r>
        <w:rPr>
          <w:rFonts w:ascii="Times New Roman" w:hAnsi="Times New Roman" w:eastAsia="宋体" w:cs="Times New Roman"/>
          <w:b w:val="0"/>
          <w:kern w:val="2"/>
          <w:sz w:val="24"/>
          <w:szCs w:val="24"/>
          <w:lang w:val="en-US" w:eastAsia="zh-CN" w:bidi="ar-SA"/>
        </w:rPr>
        <w:t>年</w:t>
      </w:r>
      <w:r>
        <w:rPr>
          <w:rFonts w:hint="eastAsia" w:ascii="Times New Roman" w:hAnsi="Times New Roman" w:cs="Times New Roman"/>
          <w:b w:val="0"/>
          <w:kern w:val="2"/>
          <w:sz w:val="24"/>
          <w:szCs w:val="24"/>
          <w:lang w:val="en-US" w:eastAsia="zh-CN" w:bidi="ar-SA"/>
        </w:rPr>
        <w:t>4</w:t>
      </w:r>
      <w:r>
        <w:rPr>
          <w:rFonts w:ascii="Times New Roman" w:hAnsi="Times New Roman" w:eastAsia="宋体" w:cs="Times New Roman"/>
          <w:b w:val="0"/>
          <w:kern w:val="2"/>
          <w:sz w:val="24"/>
          <w:szCs w:val="24"/>
          <w:lang w:val="en-US" w:eastAsia="zh-CN" w:bidi="ar-SA"/>
        </w:rPr>
        <w:t>月形成了标准草案初稿。</w:t>
      </w:r>
    </w:p>
    <w:p w14:paraId="66E52039">
      <w:pPr>
        <w:pStyle w:val="4"/>
        <w:keepNext w:val="0"/>
        <w:keepLines w:val="0"/>
        <w:widowControl/>
        <w:suppressLineNumbers w:val="0"/>
      </w:pPr>
      <w:r>
        <w:t>2. 试验验证与修改完善阶段</w:t>
      </w:r>
    </w:p>
    <w:p w14:paraId="08E0A793">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ascii="Times New Roman" w:hAnsi="Times New Roman" w:eastAsia="宋体" w:cs="Times New Roman"/>
          <w:b w:val="0"/>
          <w:kern w:val="2"/>
          <w:sz w:val="24"/>
          <w:szCs w:val="24"/>
          <w:lang w:val="en-US" w:eastAsia="zh-CN" w:bidi="ar-SA"/>
        </w:rPr>
        <w:t>为确保标准的科学性、先进性和可操作性，编制小组以草案初稿为指导，在贵州省植物园及合作基地开展了系统的验证试验。重点对播种育苗中的基质配比、温光控制，扦插育苗中的穗条选择、激素处理、基质消毒，以及栽培中的水肥管理、环境因子调控等关键技术环节进行了重复试验和效果评估，获取了关键参数的一手数据。期间，编制小组多次召开内部研讨会，并根据试验结果和讨论意见，对标准草案进行反复修改和完善。</w:t>
      </w:r>
    </w:p>
    <w:p w14:paraId="4CC6303A">
      <w:pPr>
        <w:pStyle w:val="4"/>
        <w:keepNext w:val="0"/>
        <w:keepLines w:val="0"/>
        <w:widowControl/>
        <w:suppressLineNumbers w:val="0"/>
      </w:pPr>
      <w:r>
        <w:t>3. 征求意见稿形成阶段</w:t>
      </w:r>
    </w:p>
    <w:p w14:paraId="2620BF28">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hint="eastAsia" w:ascii="Times New Roman" w:hAnsi="Times New Roman" w:cs="Times New Roman"/>
          <w:b w:val="0"/>
          <w:kern w:val="2"/>
          <w:sz w:val="24"/>
          <w:szCs w:val="24"/>
          <w:lang w:val="en-US" w:eastAsia="zh-CN" w:bidi="ar-SA"/>
        </w:rPr>
        <w:t>2026年4月，</w:t>
      </w:r>
      <w:r>
        <w:rPr>
          <w:rFonts w:ascii="Times New Roman" w:hAnsi="Times New Roman" w:eastAsia="宋体" w:cs="Times New Roman"/>
          <w:b w:val="0"/>
          <w:kern w:val="2"/>
          <w:sz w:val="24"/>
          <w:szCs w:val="24"/>
          <w:lang w:val="en-US" w:eastAsia="zh-CN" w:bidi="ar-SA"/>
        </w:rPr>
        <w:t>在前期试验验证和内部修改的基础上，编制小组进一步梳理技术内容，凝练条款，形成了标准征求意见稿</w:t>
      </w:r>
      <w:r>
        <w:rPr>
          <w:rFonts w:hint="eastAsia" w:ascii="Times New Roman" w:hAnsi="Times New Roman" w:cs="Times New Roman"/>
          <w:b w:val="0"/>
          <w:kern w:val="2"/>
          <w:sz w:val="24"/>
          <w:szCs w:val="24"/>
          <w:lang w:val="en-US" w:eastAsia="zh-CN" w:bidi="ar-SA"/>
        </w:rPr>
        <w:t>，提交了标准征求意见稿及其编制说明。</w:t>
      </w:r>
    </w:p>
    <w:p w14:paraId="59A30CDF">
      <w:pPr>
        <w:pStyle w:val="4"/>
        <w:keepNext w:val="0"/>
        <w:keepLines w:val="0"/>
        <w:widowControl/>
        <w:suppressLineNumbers w:val="0"/>
      </w:pPr>
      <w:r>
        <w:t>4. 公开征求意见阶段</w:t>
      </w:r>
    </w:p>
    <w:p w14:paraId="746C99EC">
      <w:pPr>
        <w:pStyle w:val="7"/>
        <w:keepNext w:val="0"/>
        <w:keepLines w:val="0"/>
        <w:widowControl/>
        <w:suppressLineNumbers w:val="0"/>
        <w:rPr>
          <w:rFonts w:ascii="Times New Roman" w:hAnsi="Times New Roman" w:eastAsia="宋体" w:cs="Times New Roman"/>
          <w:b w:val="0"/>
          <w:kern w:val="2"/>
          <w:sz w:val="24"/>
          <w:szCs w:val="24"/>
          <w:lang w:val="en-US" w:eastAsia="zh-CN" w:bidi="ar-SA"/>
        </w:rPr>
      </w:pPr>
      <w:r>
        <w:rPr>
          <w:rFonts w:hint="eastAsia" w:ascii="Times New Roman" w:hAnsi="Times New Roman" w:cs="Times New Roman"/>
          <w:b w:val="0"/>
          <w:kern w:val="2"/>
          <w:sz w:val="24"/>
          <w:szCs w:val="24"/>
          <w:lang w:val="en-US" w:eastAsia="zh-CN" w:bidi="ar-SA"/>
        </w:rPr>
        <w:t>2026年5月贵州省植物学会公开征求意见</w:t>
      </w:r>
      <w:r>
        <w:rPr>
          <w:rFonts w:ascii="Times New Roman" w:hAnsi="Times New Roman" w:eastAsia="宋体" w:cs="Times New Roman"/>
          <w:b w:val="0"/>
          <w:kern w:val="2"/>
          <w:sz w:val="24"/>
          <w:szCs w:val="24"/>
          <w:lang w:val="en-US" w:eastAsia="zh-CN" w:bidi="ar-SA"/>
        </w:rPr>
        <w:t>。</w:t>
      </w:r>
    </w:p>
    <w:p w14:paraId="161D33E1">
      <w:pPr>
        <w:pStyle w:val="3"/>
        <w:rPr>
          <w:rFonts w:ascii="Times New Roman" w:hAnsi="Times New Roman" w:cs="Times New Roman"/>
        </w:rPr>
      </w:pPr>
    </w:p>
    <w:p w14:paraId="2D59177D">
      <w:pPr>
        <w:pStyle w:val="3"/>
        <w:rPr>
          <w:rFonts w:ascii="Times New Roman" w:hAnsi="Times New Roman" w:cs="Times New Roman"/>
        </w:rPr>
      </w:pPr>
      <w:r>
        <w:rPr>
          <w:rFonts w:ascii="Times New Roman" w:hAnsi="Times New Roman" w:cs="Times New Roman"/>
        </w:rPr>
        <w:t>（三）主要起草人及其工作分工</w:t>
      </w:r>
    </w:p>
    <w:p w14:paraId="6A4B36F1">
      <w:pPr>
        <w:ind w:firstLine="960" w:firstLineChars="400"/>
      </w:pPr>
    </w:p>
    <w:p w14:paraId="631B42E0">
      <w:pPr>
        <w:ind w:firstLine="960" w:firstLineChars="400"/>
      </w:pPr>
      <w:r>
        <w:t xml:space="preserve">表1. </w:t>
      </w:r>
      <w:r>
        <w:rPr>
          <w:rFonts w:hint="eastAsia"/>
        </w:rPr>
        <w:t>《迷人杜鹃栽培技术》（征求意见稿</w:t>
      </w:r>
      <w:r>
        <w:rPr>
          <w:rFonts w:hint="eastAsia" w:ascii="宋体" w:hAnsi="宋体" w:eastAsia="宋体" w:cs="宋体"/>
        </w:rPr>
        <w:t>)</w:t>
      </w:r>
      <w:r>
        <w:t>主要起草人及分工表</w:t>
      </w:r>
    </w:p>
    <w:tbl>
      <w:tblPr>
        <w:tblStyle w:val="8"/>
        <w:tblW w:w="0" w:type="auto"/>
        <w:jc w:val="center"/>
        <w:tblLayout w:type="fixed"/>
        <w:tblCellMar>
          <w:top w:w="0" w:type="dxa"/>
          <w:left w:w="108" w:type="dxa"/>
          <w:bottom w:w="0" w:type="dxa"/>
          <w:right w:w="108" w:type="dxa"/>
        </w:tblCellMar>
      </w:tblPr>
      <w:tblGrid>
        <w:gridCol w:w="1417"/>
        <w:gridCol w:w="1946"/>
        <w:gridCol w:w="2023"/>
        <w:gridCol w:w="3293"/>
      </w:tblGrid>
      <w:tr w14:paraId="29D73819">
        <w:tblPrEx>
          <w:tblCellMar>
            <w:top w:w="0" w:type="dxa"/>
            <w:left w:w="108" w:type="dxa"/>
            <w:bottom w:w="0" w:type="dxa"/>
            <w:right w:w="108" w:type="dxa"/>
          </w:tblCellMar>
        </w:tblPrEx>
        <w:trPr>
          <w:trHeight w:val="472" w:hRule="atLeast"/>
          <w:tblHeader/>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6FC5EE2D">
            <w:pPr>
              <w:spacing w:line="240" w:lineRule="auto"/>
              <w:ind w:firstLine="0" w:firstLineChars="0"/>
              <w:jc w:val="center"/>
              <w:rPr>
                <w:rFonts w:eastAsiaTheme="majorEastAsia"/>
              </w:rPr>
            </w:pPr>
            <w:r>
              <w:rPr>
                <w:rFonts w:eastAsiaTheme="majorEastAsia"/>
              </w:rPr>
              <w:t>姓 名</w:t>
            </w:r>
          </w:p>
        </w:tc>
        <w:tc>
          <w:tcPr>
            <w:tcW w:w="1946" w:type="dxa"/>
            <w:tcBorders>
              <w:top w:val="single" w:color="auto" w:sz="4" w:space="0"/>
              <w:left w:val="single" w:color="auto" w:sz="4" w:space="0"/>
              <w:bottom w:val="single" w:color="auto" w:sz="4" w:space="0"/>
              <w:right w:val="single" w:color="auto" w:sz="4" w:space="0"/>
            </w:tcBorders>
            <w:noWrap/>
            <w:vAlign w:val="center"/>
          </w:tcPr>
          <w:p w14:paraId="502A61AF">
            <w:pPr>
              <w:spacing w:line="240" w:lineRule="auto"/>
              <w:ind w:firstLine="0" w:firstLineChars="0"/>
              <w:jc w:val="center"/>
              <w:rPr>
                <w:rFonts w:eastAsiaTheme="majorEastAsia"/>
              </w:rPr>
            </w:pPr>
            <w:r>
              <w:rPr>
                <w:rFonts w:eastAsiaTheme="majorEastAsia"/>
              </w:rPr>
              <w:t>职 称/植物</w:t>
            </w:r>
          </w:p>
        </w:tc>
        <w:tc>
          <w:tcPr>
            <w:tcW w:w="2023" w:type="dxa"/>
            <w:tcBorders>
              <w:top w:val="single" w:color="auto" w:sz="4" w:space="0"/>
              <w:left w:val="single" w:color="auto" w:sz="4" w:space="0"/>
              <w:bottom w:val="single" w:color="auto" w:sz="4" w:space="0"/>
              <w:right w:val="single" w:color="auto" w:sz="4" w:space="0"/>
            </w:tcBorders>
            <w:noWrap/>
            <w:vAlign w:val="center"/>
          </w:tcPr>
          <w:p w14:paraId="69AB38FD">
            <w:pPr>
              <w:spacing w:line="240" w:lineRule="auto"/>
              <w:ind w:firstLine="0" w:firstLineChars="0"/>
              <w:jc w:val="center"/>
              <w:rPr>
                <w:rFonts w:eastAsiaTheme="majorEastAsia"/>
              </w:rPr>
            </w:pPr>
            <w:r>
              <w:rPr>
                <w:rFonts w:eastAsiaTheme="majorEastAsia"/>
              </w:rPr>
              <w:t>专 业</w:t>
            </w:r>
          </w:p>
        </w:tc>
        <w:tc>
          <w:tcPr>
            <w:tcW w:w="3293" w:type="dxa"/>
            <w:tcBorders>
              <w:top w:val="single" w:color="auto" w:sz="4" w:space="0"/>
              <w:left w:val="single" w:color="auto" w:sz="4" w:space="0"/>
              <w:bottom w:val="single" w:color="auto" w:sz="4" w:space="0"/>
              <w:right w:val="single" w:color="auto" w:sz="4" w:space="0"/>
            </w:tcBorders>
            <w:noWrap/>
            <w:vAlign w:val="center"/>
          </w:tcPr>
          <w:p w14:paraId="7E2A3CFC">
            <w:pPr>
              <w:spacing w:line="240" w:lineRule="auto"/>
              <w:ind w:firstLine="0" w:firstLineChars="0"/>
              <w:jc w:val="center"/>
              <w:rPr>
                <w:rFonts w:eastAsiaTheme="majorEastAsia"/>
              </w:rPr>
            </w:pPr>
            <w:r>
              <w:rPr>
                <w:rFonts w:eastAsiaTheme="majorEastAsia"/>
              </w:rPr>
              <w:t>主要业绩</w:t>
            </w:r>
          </w:p>
        </w:tc>
      </w:tr>
      <w:tr w14:paraId="29D87E85">
        <w:tblPrEx>
          <w:tblCellMar>
            <w:top w:w="0" w:type="dxa"/>
            <w:left w:w="108" w:type="dxa"/>
            <w:bottom w:w="0" w:type="dxa"/>
            <w:right w:w="108" w:type="dxa"/>
          </w:tblCellMar>
        </w:tblPrEx>
        <w:trPr>
          <w:trHeight w:val="419"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43C803D4">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周艳</w:t>
            </w:r>
          </w:p>
        </w:tc>
        <w:tc>
          <w:tcPr>
            <w:tcW w:w="1946" w:type="dxa"/>
            <w:tcBorders>
              <w:top w:val="single" w:color="auto" w:sz="4" w:space="0"/>
              <w:left w:val="single" w:color="auto" w:sz="4" w:space="0"/>
              <w:bottom w:val="single" w:color="auto" w:sz="4" w:space="0"/>
              <w:right w:val="single" w:color="auto" w:sz="4" w:space="0"/>
            </w:tcBorders>
            <w:noWrap/>
            <w:vAlign w:val="center"/>
          </w:tcPr>
          <w:p w14:paraId="453B695A">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7F76F348">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eastAsia" w:ascii="Segoe UI" w:hAnsi="Segoe UI" w:eastAsia="Segoe UI" w:cs="Segoe UI"/>
                <w:i w:val="0"/>
                <w:iCs w:val="0"/>
                <w:caps w:val="0"/>
                <w:spacing w:val="0"/>
                <w:kern w:val="0"/>
                <w:sz w:val="21"/>
                <w:szCs w:val="21"/>
                <w:lang w:val="en-US" w:eastAsia="zh-CN" w:bidi="ar"/>
              </w:rPr>
              <w:t>副</w:t>
            </w:r>
            <w:r>
              <w:rPr>
                <w:rFonts w:hint="default" w:ascii="Segoe UI" w:hAnsi="Segoe UI" w:eastAsia="Segoe UI" w:cs="Segoe UI"/>
                <w:i w:val="0"/>
                <w:iCs w:val="0"/>
                <w:caps w:val="0"/>
                <w:spacing w:val="0"/>
                <w:kern w:val="0"/>
                <w:sz w:val="21"/>
                <w:szCs w:val="21"/>
                <w:lang w:val="en-US" w:eastAsia="zh-CN" w:bidi="ar"/>
              </w:rPr>
              <w:t>研究员</w:t>
            </w:r>
          </w:p>
        </w:tc>
        <w:tc>
          <w:tcPr>
            <w:tcW w:w="3293" w:type="dxa"/>
            <w:tcBorders>
              <w:top w:val="single" w:color="auto" w:sz="4" w:space="0"/>
              <w:left w:val="single" w:color="auto" w:sz="4" w:space="0"/>
              <w:bottom w:val="single" w:color="auto" w:sz="4" w:space="0"/>
              <w:right w:val="single" w:color="auto" w:sz="4" w:space="0"/>
            </w:tcBorders>
            <w:noWrap/>
            <w:vAlign w:val="center"/>
          </w:tcPr>
          <w:p w14:paraId="47F958D8">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项目总负责，标准框架设计，全文统稿与审定</w:t>
            </w:r>
          </w:p>
        </w:tc>
      </w:tr>
      <w:tr w14:paraId="7C6721B9">
        <w:tblPrEx>
          <w:tblCellMar>
            <w:top w:w="0" w:type="dxa"/>
            <w:left w:w="108" w:type="dxa"/>
            <w:bottom w:w="0" w:type="dxa"/>
            <w:right w:w="108" w:type="dxa"/>
          </w:tblCellMar>
        </w:tblPrEx>
        <w:trPr>
          <w:trHeight w:val="419"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6C53A405">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黄凤燕</w:t>
            </w:r>
          </w:p>
        </w:tc>
        <w:tc>
          <w:tcPr>
            <w:tcW w:w="1946" w:type="dxa"/>
            <w:tcBorders>
              <w:top w:val="single" w:color="auto" w:sz="4" w:space="0"/>
              <w:left w:val="single" w:color="auto" w:sz="4" w:space="0"/>
              <w:bottom w:val="single" w:color="auto" w:sz="4" w:space="0"/>
              <w:right w:val="single" w:color="auto" w:sz="4" w:space="0"/>
            </w:tcBorders>
            <w:noWrap/>
            <w:vAlign w:val="center"/>
          </w:tcPr>
          <w:p w14:paraId="1BE2B9B8">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0D0B1599">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高级工程师</w:t>
            </w:r>
          </w:p>
        </w:tc>
        <w:tc>
          <w:tcPr>
            <w:tcW w:w="3293" w:type="dxa"/>
            <w:tcBorders>
              <w:top w:val="single" w:color="auto" w:sz="4" w:space="0"/>
              <w:left w:val="single" w:color="auto" w:sz="4" w:space="0"/>
              <w:bottom w:val="single" w:color="auto" w:sz="4" w:space="0"/>
              <w:right w:val="single" w:color="auto" w:sz="4" w:space="0"/>
            </w:tcBorders>
            <w:noWrap/>
            <w:vAlign w:val="center"/>
          </w:tcPr>
          <w:p w14:paraId="66B3FADA">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育苗技术（播种、扦插）条款起草与试验验证</w:t>
            </w:r>
          </w:p>
        </w:tc>
      </w:tr>
      <w:tr w14:paraId="41AE4037">
        <w:tblPrEx>
          <w:tblCellMar>
            <w:top w:w="0" w:type="dxa"/>
            <w:left w:w="108" w:type="dxa"/>
            <w:bottom w:w="0" w:type="dxa"/>
            <w:right w:w="108" w:type="dxa"/>
          </w:tblCellMar>
        </w:tblPrEx>
        <w:trPr>
          <w:trHeight w:val="411"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34FD3A48">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李苇洁</w:t>
            </w:r>
          </w:p>
        </w:tc>
        <w:tc>
          <w:tcPr>
            <w:tcW w:w="1946" w:type="dxa"/>
            <w:tcBorders>
              <w:top w:val="single" w:color="auto" w:sz="4" w:space="0"/>
              <w:left w:val="single" w:color="auto" w:sz="4" w:space="0"/>
              <w:bottom w:val="single" w:color="auto" w:sz="4" w:space="0"/>
              <w:right w:val="single" w:color="auto" w:sz="4" w:space="0"/>
            </w:tcBorders>
            <w:noWrap/>
            <w:vAlign w:val="center"/>
          </w:tcPr>
          <w:p w14:paraId="71B1AFA0">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48AB744D">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副研究员</w:t>
            </w:r>
          </w:p>
        </w:tc>
        <w:tc>
          <w:tcPr>
            <w:tcW w:w="3293" w:type="dxa"/>
            <w:tcBorders>
              <w:top w:val="single" w:color="auto" w:sz="4" w:space="0"/>
              <w:left w:val="single" w:color="auto" w:sz="4" w:space="0"/>
              <w:bottom w:val="single" w:color="auto" w:sz="4" w:space="0"/>
              <w:right w:val="single" w:color="auto" w:sz="4" w:space="0"/>
            </w:tcBorders>
            <w:noWrap/>
            <w:vAlign w:val="center"/>
          </w:tcPr>
          <w:p w14:paraId="74998C74">
            <w:pPr>
              <w:keepNext w:val="0"/>
              <w:keepLines w:val="0"/>
              <w:widowControl/>
              <w:suppressLineNumbers w:val="0"/>
              <w:spacing w:before="0" w:beforeAutospacing="0" w:after="0" w:afterAutospacing="0"/>
              <w:ind w:left="0" w:leftChars="0" w:right="0" w:rightChars="0" w:firstLine="480" w:firstLineChars="200"/>
              <w:jc w:val="left"/>
              <w:textAlignment w:val="top"/>
              <w:rPr>
                <w:rFonts w:eastAsiaTheme="majorEastAsia"/>
              </w:rPr>
            </w:pPr>
            <w:r>
              <w:rPr>
                <w:rFonts w:eastAsiaTheme="majorEastAsia"/>
              </w:rPr>
              <w:t>技术指导</w:t>
            </w:r>
          </w:p>
        </w:tc>
      </w:tr>
      <w:tr w14:paraId="343CBBCA">
        <w:tblPrEx>
          <w:tblCellMar>
            <w:top w:w="0" w:type="dxa"/>
            <w:left w:w="108" w:type="dxa"/>
            <w:bottom w:w="0" w:type="dxa"/>
            <w:right w:w="108" w:type="dxa"/>
          </w:tblCellMar>
        </w:tblPrEx>
        <w:trPr>
          <w:trHeight w:val="411"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36F5B067">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童琪</w:t>
            </w:r>
          </w:p>
        </w:tc>
        <w:tc>
          <w:tcPr>
            <w:tcW w:w="1946" w:type="dxa"/>
            <w:tcBorders>
              <w:top w:val="single" w:color="auto" w:sz="4" w:space="0"/>
              <w:left w:val="single" w:color="auto" w:sz="4" w:space="0"/>
              <w:bottom w:val="single" w:color="auto" w:sz="4" w:space="0"/>
              <w:right w:val="single" w:color="auto" w:sz="4" w:space="0"/>
            </w:tcBorders>
            <w:noWrap/>
            <w:vAlign w:val="center"/>
          </w:tcPr>
          <w:p w14:paraId="0A7D2242">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7D97F259">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工程师</w:t>
            </w:r>
          </w:p>
        </w:tc>
        <w:tc>
          <w:tcPr>
            <w:tcW w:w="3293" w:type="dxa"/>
            <w:tcBorders>
              <w:top w:val="single" w:color="auto" w:sz="4" w:space="0"/>
              <w:left w:val="single" w:color="auto" w:sz="4" w:space="0"/>
              <w:bottom w:val="single" w:color="auto" w:sz="4" w:space="0"/>
              <w:right w:val="single" w:color="auto" w:sz="4" w:space="0"/>
            </w:tcBorders>
            <w:noWrap/>
            <w:vAlign w:val="center"/>
          </w:tcPr>
          <w:p w14:paraId="49393F43">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苗期管理、水肥管理条款起草与数据收集</w:t>
            </w:r>
          </w:p>
        </w:tc>
      </w:tr>
      <w:tr w14:paraId="19BB9523">
        <w:tblPrEx>
          <w:tblCellMar>
            <w:top w:w="0" w:type="dxa"/>
            <w:left w:w="108" w:type="dxa"/>
            <w:bottom w:w="0" w:type="dxa"/>
            <w:right w:w="108" w:type="dxa"/>
          </w:tblCellMar>
        </w:tblPrEx>
        <w:trPr>
          <w:trHeight w:val="411"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291C5CB6">
            <w:pPr>
              <w:spacing w:line="240" w:lineRule="auto"/>
              <w:ind w:firstLine="480" w:firstLineChars="200"/>
              <w:jc w:val="both"/>
              <w:rPr>
                <w:rFonts w:eastAsiaTheme="majorEastAsia"/>
              </w:rPr>
            </w:pPr>
            <w:r>
              <w:rPr>
                <w:rFonts w:ascii="宋体" w:hAnsi="宋体" w:eastAsia="宋体" w:cs="宋体"/>
                <w:sz w:val="24"/>
                <w:szCs w:val="24"/>
              </w:rPr>
              <w:t>李靖</w:t>
            </w:r>
          </w:p>
        </w:tc>
        <w:tc>
          <w:tcPr>
            <w:tcW w:w="1946" w:type="dxa"/>
            <w:tcBorders>
              <w:top w:val="single" w:color="auto" w:sz="4" w:space="0"/>
              <w:left w:val="single" w:color="auto" w:sz="4" w:space="0"/>
              <w:bottom w:val="single" w:color="auto" w:sz="4" w:space="0"/>
              <w:right w:val="single" w:color="auto" w:sz="4" w:space="0"/>
            </w:tcBorders>
            <w:noWrap/>
            <w:vAlign w:val="center"/>
          </w:tcPr>
          <w:p w14:paraId="5287B3BD">
            <w:pPr>
              <w:spacing w:line="240" w:lineRule="auto"/>
              <w:ind w:firstLine="420" w:firstLineChars="200"/>
              <w:jc w:val="center"/>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54FA0585">
            <w:pPr>
              <w:spacing w:line="240" w:lineRule="auto"/>
              <w:ind w:firstLine="480" w:firstLineChars="200"/>
              <w:jc w:val="center"/>
              <w:rPr>
                <w:rFonts w:eastAsiaTheme="majorEastAsia"/>
              </w:rPr>
            </w:pPr>
            <w:r>
              <w:rPr>
                <w:rFonts w:ascii="宋体" w:hAnsi="宋体" w:eastAsia="宋体" w:cs="宋体"/>
                <w:sz w:val="24"/>
                <w:szCs w:val="24"/>
              </w:rPr>
              <w:t>工程师</w:t>
            </w:r>
          </w:p>
        </w:tc>
        <w:tc>
          <w:tcPr>
            <w:tcW w:w="3293" w:type="dxa"/>
            <w:tcBorders>
              <w:top w:val="single" w:color="auto" w:sz="4" w:space="0"/>
              <w:left w:val="single" w:color="auto" w:sz="4" w:space="0"/>
              <w:bottom w:val="single" w:color="auto" w:sz="4" w:space="0"/>
              <w:right w:val="single" w:color="auto" w:sz="4" w:space="0"/>
            </w:tcBorders>
            <w:noWrap/>
            <w:vAlign w:val="center"/>
          </w:tcPr>
          <w:p w14:paraId="2C8DA35C">
            <w:pPr>
              <w:spacing w:line="240" w:lineRule="auto"/>
              <w:ind w:firstLine="480" w:firstLineChars="200"/>
              <w:jc w:val="center"/>
              <w:rPr>
                <w:rFonts w:eastAsiaTheme="majorEastAsia"/>
              </w:rPr>
            </w:pPr>
            <w:r>
              <w:rPr>
                <w:rFonts w:ascii="宋体" w:hAnsi="宋体" w:eastAsia="宋体" w:cs="宋体"/>
                <w:sz w:val="24"/>
                <w:szCs w:val="24"/>
              </w:rPr>
              <w:t>露地栽培技术验证与应用示范</w:t>
            </w:r>
          </w:p>
        </w:tc>
      </w:tr>
      <w:tr w14:paraId="59FFFFC6">
        <w:tblPrEx>
          <w:tblCellMar>
            <w:top w:w="0" w:type="dxa"/>
            <w:left w:w="108" w:type="dxa"/>
            <w:bottom w:w="0" w:type="dxa"/>
            <w:right w:w="108" w:type="dxa"/>
          </w:tblCellMar>
        </w:tblPrEx>
        <w:trPr>
          <w:trHeight w:val="404"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2DA702FA">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钟登惠</w:t>
            </w:r>
          </w:p>
        </w:tc>
        <w:tc>
          <w:tcPr>
            <w:tcW w:w="1946" w:type="dxa"/>
            <w:tcBorders>
              <w:top w:val="single" w:color="auto" w:sz="4" w:space="0"/>
              <w:left w:val="single" w:color="auto" w:sz="4" w:space="0"/>
              <w:bottom w:val="single" w:color="auto" w:sz="4" w:space="0"/>
              <w:right w:val="single" w:color="auto" w:sz="4" w:space="0"/>
            </w:tcBorders>
            <w:noWrap/>
            <w:vAlign w:val="center"/>
          </w:tcPr>
          <w:p w14:paraId="655FF040">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6AB6A4EA">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助理研究员</w:t>
            </w:r>
          </w:p>
        </w:tc>
        <w:tc>
          <w:tcPr>
            <w:tcW w:w="3293" w:type="dxa"/>
            <w:tcBorders>
              <w:top w:val="single" w:color="auto" w:sz="4" w:space="0"/>
              <w:left w:val="single" w:color="auto" w:sz="4" w:space="0"/>
              <w:bottom w:val="single" w:color="auto" w:sz="4" w:space="0"/>
              <w:right w:val="single" w:color="auto" w:sz="4" w:space="0"/>
            </w:tcBorders>
            <w:noWrap/>
            <w:vAlign w:val="center"/>
          </w:tcPr>
          <w:p w14:paraId="11E38E89">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病虫害防治条款起草、资料查阅</w:t>
            </w:r>
          </w:p>
        </w:tc>
      </w:tr>
      <w:tr w14:paraId="796B5F33">
        <w:tblPrEx>
          <w:tblCellMar>
            <w:top w:w="0" w:type="dxa"/>
            <w:left w:w="108" w:type="dxa"/>
            <w:bottom w:w="0" w:type="dxa"/>
            <w:right w:w="108" w:type="dxa"/>
          </w:tblCellMar>
        </w:tblPrEx>
        <w:trPr>
          <w:trHeight w:val="402" w:hRule="atLeast"/>
          <w:jc w:val="center"/>
        </w:trPr>
        <w:tc>
          <w:tcPr>
            <w:tcW w:w="1417" w:type="dxa"/>
            <w:tcBorders>
              <w:top w:val="single" w:color="auto" w:sz="4" w:space="0"/>
              <w:left w:val="single" w:color="auto" w:sz="4" w:space="0"/>
              <w:bottom w:val="single" w:color="auto" w:sz="4" w:space="0"/>
              <w:right w:val="single" w:color="auto" w:sz="4" w:space="0"/>
            </w:tcBorders>
            <w:noWrap/>
            <w:vAlign w:val="center"/>
          </w:tcPr>
          <w:p w14:paraId="21C5027C">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汤升虎</w:t>
            </w:r>
          </w:p>
        </w:tc>
        <w:tc>
          <w:tcPr>
            <w:tcW w:w="1946" w:type="dxa"/>
            <w:tcBorders>
              <w:top w:val="single" w:color="auto" w:sz="4" w:space="0"/>
              <w:left w:val="single" w:color="auto" w:sz="4" w:space="0"/>
              <w:bottom w:val="single" w:color="auto" w:sz="4" w:space="0"/>
              <w:right w:val="single" w:color="auto" w:sz="4" w:space="0"/>
            </w:tcBorders>
            <w:noWrap/>
            <w:vAlign w:val="center"/>
          </w:tcPr>
          <w:p w14:paraId="1DFD22AB">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贵州省植物园</w:t>
            </w:r>
          </w:p>
        </w:tc>
        <w:tc>
          <w:tcPr>
            <w:tcW w:w="2023" w:type="dxa"/>
            <w:tcBorders>
              <w:top w:val="single" w:color="auto" w:sz="4" w:space="0"/>
              <w:left w:val="single" w:color="auto" w:sz="4" w:space="0"/>
              <w:bottom w:val="single" w:color="auto" w:sz="4" w:space="0"/>
              <w:right w:val="single" w:color="auto" w:sz="4" w:space="0"/>
            </w:tcBorders>
            <w:noWrap/>
            <w:vAlign w:val="center"/>
          </w:tcPr>
          <w:p w14:paraId="1327C8E0">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助理研究员</w:t>
            </w:r>
          </w:p>
        </w:tc>
        <w:tc>
          <w:tcPr>
            <w:tcW w:w="3293" w:type="dxa"/>
            <w:tcBorders>
              <w:top w:val="single" w:color="auto" w:sz="4" w:space="0"/>
              <w:left w:val="single" w:color="auto" w:sz="4" w:space="0"/>
              <w:bottom w:val="single" w:color="auto" w:sz="4" w:space="0"/>
              <w:right w:val="single" w:color="auto" w:sz="4" w:space="0"/>
            </w:tcBorders>
            <w:noWrap/>
            <w:vAlign w:val="center"/>
          </w:tcPr>
          <w:p w14:paraId="7851E92D">
            <w:pPr>
              <w:keepNext w:val="0"/>
              <w:keepLines w:val="0"/>
              <w:widowControl/>
              <w:suppressLineNumbers w:val="0"/>
              <w:spacing w:before="0" w:beforeAutospacing="0" w:after="0" w:afterAutospacing="0"/>
              <w:ind w:left="0" w:leftChars="0" w:right="0" w:rightChars="0" w:firstLine="420" w:firstLineChars="200"/>
              <w:jc w:val="left"/>
              <w:textAlignment w:val="top"/>
              <w:rPr>
                <w:rFonts w:eastAsiaTheme="majorEastAsia"/>
              </w:rPr>
            </w:pPr>
            <w:r>
              <w:rPr>
                <w:rFonts w:hint="default" w:ascii="Segoe UI" w:hAnsi="Segoe UI" w:eastAsia="Segoe UI" w:cs="Segoe UI"/>
                <w:i w:val="0"/>
                <w:iCs w:val="0"/>
                <w:caps w:val="0"/>
                <w:spacing w:val="0"/>
                <w:kern w:val="0"/>
                <w:sz w:val="21"/>
                <w:szCs w:val="21"/>
                <w:lang w:val="en-US" w:eastAsia="zh-CN" w:bidi="ar"/>
              </w:rPr>
              <w:t>规范性引用文件核对、格式编辑与附录整理</w:t>
            </w:r>
          </w:p>
        </w:tc>
      </w:tr>
    </w:tbl>
    <w:p w14:paraId="420589CC">
      <w:pPr>
        <w:pStyle w:val="7"/>
        <w:ind w:firstLine="0" w:firstLineChars="0"/>
        <w:rPr>
          <w:rFonts w:hint="default" w:ascii="Segoe UI" w:hAnsi="Segoe UI" w:eastAsia="Segoe UI" w:cs="Segoe UI"/>
          <w:b w:val="0"/>
          <w:i w:val="0"/>
          <w:iCs w:val="0"/>
          <w:caps w:val="0"/>
          <w:spacing w:val="0"/>
          <w:kern w:val="0"/>
          <w:sz w:val="21"/>
          <w:szCs w:val="21"/>
          <w:lang w:val="en-US" w:eastAsia="zh-CN" w:bidi="ar"/>
        </w:rPr>
      </w:pPr>
      <w:r>
        <w:rPr>
          <w:rFonts w:hint="default" w:ascii="Segoe UI" w:hAnsi="Segoe UI" w:eastAsia="Segoe UI" w:cs="Segoe UI"/>
          <w:b w:val="0"/>
          <w:i w:val="0"/>
          <w:iCs w:val="0"/>
          <w:caps w:val="0"/>
          <w:spacing w:val="0"/>
          <w:kern w:val="0"/>
          <w:sz w:val="21"/>
          <w:szCs w:val="21"/>
          <w:lang w:val="en-US" w:eastAsia="zh-CN" w:bidi="ar"/>
        </w:rPr>
        <w:t>三、主要条款的说明及确定依据</w:t>
      </w:r>
    </w:p>
    <w:p w14:paraId="6692A004">
      <w:r>
        <w:t>（一）主要条款及确定依据</w:t>
      </w:r>
    </w:p>
    <w:p w14:paraId="4FF6B6DF">
      <w:pPr>
        <w:pStyle w:val="3"/>
        <w:rPr>
          <w:rFonts w:ascii="Times New Roman" w:hAnsi="Times New Roman" w:cs="Times New Roman"/>
        </w:rPr>
      </w:pPr>
      <w:bookmarkStart w:id="0" w:name="_Toc15740"/>
      <w:r>
        <w:rPr>
          <w:rFonts w:ascii="Times New Roman" w:hAnsi="Times New Roman" w:cs="Times New Roman"/>
        </w:rPr>
        <w:t>1 范围</w:t>
      </w:r>
      <w:bookmarkEnd w:id="0"/>
    </w:p>
    <w:p w14:paraId="4CC1D4DB">
      <w:pPr>
        <w:rPr>
          <w:rFonts w:hint="default" w:ascii="Times New Roman" w:hAnsi="Times New Roman"/>
        </w:rPr>
      </w:pPr>
      <w:bookmarkStart w:id="1" w:name="_Toc7582"/>
      <w:r>
        <w:rPr>
          <w:rFonts w:hint="default" w:ascii="Times New Roman" w:hAnsi="Times New Roman"/>
        </w:rPr>
        <w:t>本</w:t>
      </w:r>
      <w:r>
        <w:rPr>
          <w:rFonts w:hint="eastAsia"/>
          <w:lang w:val="en-US" w:eastAsia="zh-CN"/>
        </w:rPr>
        <w:t>文件</w:t>
      </w:r>
      <w:r>
        <w:rPr>
          <w:rFonts w:hint="default" w:ascii="Times New Roman" w:hAnsi="Times New Roman"/>
        </w:rPr>
        <w:t>规定了</w:t>
      </w:r>
      <w:r>
        <w:rPr>
          <w:rFonts w:hint="default" w:ascii="Times New Roman" w:hAnsi="Times New Roman"/>
          <w:lang w:eastAsia="zh-CN"/>
        </w:rPr>
        <w:t>迷人杜鹃</w:t>
      </w:r>
      <w:r>
        <w:rPr>
          <w:rFonts w:hint="default" w:ascii="Times New Roman" w:hAnsi="Times New Roman"/>
        </w:rPr>
        <w:t>的</w:t>
      </w:r>
      <w:r>
        <w:rPr>
          <w:rFonts w:hint="eastAsia"/>
          <w:lang w:val="en-US" w:eastAsia="zh-CN"/>
        </w:rPr>
        <w:t>术语和定义、</w:t>
      </w:r>
      <w:r>
        <w:rPr>
          <w:rFonts w:hint="default" w:ascii="Times New Roman" w:hAnsi="Times New Roman"/>
        </w:rPr>
        <w:t>母树的选择、种子采集和处理、播种育苗、</w:t>
      </w:r>
      <w:r>
        <w:rPr>
          <w:rFonts w:hint="eastAsia" w:ascii="Times New Roman" w:hAnsi="Times New Roman"/>
          <w:lang w:eastAsia="zh-CN"/>
        </w:rPr>
        <w:t>扦插育苗</w:t>
      </w:r>
      <w:r>
        <w:rPr>
          <w:rFonts w:hint="default" w:ascii="Times New Roman" w:hAnsi="Times New Roman"/>
        </w:rPr>
        <w:t>、盆栽技术、</w:t>
      </w:r>
      <w:r>
        <w:rPr>
          <w:rFonts w:hint="eastAsia" w:ascii="Times New Roman" w:hAnsi="Times New Roman"/>
          <w:lang w:eastAsia="zh-CN"/>
        </w:rPr>
        <w:t>栽培技术</w:t>
      </w:r>
      <w:r>
        <w:rPr>
          <w:rFonts w:hint="default" w:ascii="Times New Roman" w:hAnsi="Times New Roman"/>
        </w:rPr>
        <w:t>、</w:t>
      </w:r>
      <w:r>
        <w:rPr>
          <w:rFonts w:hint="eastAsia" w:ascii="Times New Roman" w:hAnsi="Times New Roman"/>
          <w:lang w:eastAsia="zh-CN"/>
        </w:rPr>
        <w:t>苗期</w:t>
      </w:r>
      <w:r>
        <w:rPr>
          <w:rFonts w:hint="default" w:ascii="Times New Roman" w:hAnsi="Times New Roman"/>
        </w:rPr>
        <w:t>管理、整形修剪、病虫害防治等内容。</w:t>
      </w:r>
    </w:p>
    <w:p w14:paraId="03CF83D5">
      <w:pPr>
        <w:pStyle w:val="2"/>
        <w:spacing w:before="312" w:after="312"/>
        <w:ind w:firstLine="480" w:firstLineChars="200"/>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本</w:t>
      </w:r>
      <w:r>
        <w:rPr>
          <w:rFonts w:hint="eastAsia" w:cs="Times New Roman"/>
          <w:b w:val="0"/>
          <w:bCs/>
          <w:kern w:val="2"/>
          <w:sz w:val="24"/>
          <w:szCs w:val="24"/>
          <w:lang w:val="en-US" w:eastAsia="zh-CN" w:bidi="ar-SA"/>
        </w:rPr>
        <w:t>文件</w:t>
      </w:r>
      <w:r>
        <w:rPr>
          <w:rFonts w:hint="default" w:ascii="Times New Roman" w:hAnsi="Times New Roman" w:eastAsia="宋体" w:cs="Times New Roman"/>
          <w:b w:val="0"/>
          <w:bCs/>
          <w:kern w:val="2"/>
          <w:sz w:val="24"/>
          <w:szCs w:val="24"/>
          <w:lang w:val="en-US" w:eastAsia="zh-CN" w:bidi="ar-SA"/>
        </w:rPr>
        <w:t>适用于贵州省内迷人杜鹃适生区的栽培管理，其它分布区参照执行。</w:t>
      </w:r>
    </w:p>
    <w:p w14:paraId="391A5776">
      <w:pPr>
        <w:pStyle w:val="3"/>
        <w:rPr>
          <w:rFonts w:ascii="Times New Roman" w:hAnsi="Times New Roman" w:cs="Times New Roman"/>
        </w:rPr>
      </w:pPr>
      <w:r>
        <w:rPr>
          <w:rFonts w:ascii="Times New Roman" w:hAnsi="Times New Roman" w:cs="Times New Roman"/>
        </w:rPr>
        <w:t>2 规范性引用文件</w:t>
      </w:r>
      <w:bookmarkEnd w:id="1"/>
    </w:p>
    <w:p w14:paraId="327D9A4F">
      <w:pPr>
        <w:rPr>
          <w:rFonts w:ascii="Times New Roman" w:hAnsi="Times New Roman"/>
        </w:rPr>
      </w:pPr>
      <w:r>
        <w:rPr>
          <w:rFonts w:hint="eastAsia" w:ascii="Times New Roman" w:hAns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r>
        <w:rPr>
          <w:rFonts w:ascii="Times New Roman" w:hAnsi="Times New Roman"/>
        </w:rPr>
        <w:t xml:space="preserve"> </w:t>
      </w:r>
    </w:p>
    <w:p w14:paraId="76E974AE">
      <w:pPr>
        <w:spacing w:line="480" w:lineRule="auto"/>
        <w:rPr>
          <w:rFonts w:hint="default" w:ascii="Times New Roman" w:hAnsi="Times New Roman"/>
        </w:rPr>
      </w:pPr>
      <w:r>
        <w:rPr>
          <w:rFonts w:hint="default" w:ascii="Times New Roman" w:hAnsi="Times New Roman"/>
        </w:rPr>
        <w:t>GB2772</w:t>
      </w:r>
      <w:r>
        <w:rPr>
          <w:rFonts w:hint="default" w:ascii="Times New Roman" w:hAnsi="Times New Roman"/>
          <w:lang w:val="en-US" w:eastAsia="zh-CN"/>
        </w:rPr>
        <w:t>-</w:t>
      </w:r>
      <w:r>
        <w:rPr>
          <w:rFonts w:hint="default" w:ascii="Times New Roman" w:hAnsi="Times New Roman"/>
        </w:rPr>
        <w:t>1999  林木种子检验规程</w:t>
      </w:r>
    </w:p>
    <w:p w14:paraId="099C6665">
      <w:pPr>
        <w:spacing w:line="480" w:lineRule="auto"/>
        <w:rPr>
          <w:rFonts w:hint="default" w:ascii="Times New Roman" w:hAnsi="Times New Roman"/>
        </w:rPr>
      </w:pPr>
      <w:r>
        <w:rPr>
          <w:rFonts w:hint="default" w:ascii="Times New Roman" w:hAnsi="Times New Roman"/>
        </w:rPr>
        <w:t>GB/T 6001-1985  育苗技术规程</w:t>
      </w:r>
    </w:p>
    <w:p w14:paraId="63077A9F">
      <w:pPr>
        <w:spacing w:line="480" w:lineRule="auto"/>
        <w:rPr>
          <w:rFonts w:hint="eastAsia" w:ascii="Times New Roman" w:hAnsi="Times New Roman"/>
          <w:lang w:val="en-US" w:eastAsia="zh-CN"/>
        </w:rPr>
      </w:pPr>
      <w:r>
        <w:rPr>
          <w:rFonts w:hint="default" w:ascii="Times New Roman" w:hAnsi="Times New Roman"/>
          <w:lang w:val="en-US" w:eastAsia="zh-CN"/>
        </w:rPr>
        <w:t>GB/T 10016 </w:t>
      </w:r>
      <w:r>
        <w:rPr>
          <w:rFonts w:hint="eastAsia" w:ascii="Times New Roman" w:hAnsi="Times New Roman"/>
          <w:lang w:val="en-US" w:eastAsia="zh-CN"/>
        </w:rPr>
        <w:t>林木种子贮藏</w:t>
      </w:r>
    </w:p>
    <w:p w14:paraId="1A26A6A2">
      <w:pPr>
        <w:spacing w:line="480" w:lineRule="auto"/>
        <w:rPr>
          <w:rFonts w:ascii="Times New Roman" w:hAnsi="Times New Roman"/>
        </w:rPr>
      </w:pPr>
      <w:r>
        <w:rPr>
          <w:rFonts w:ascii="Times New Roman" w:hAnsi="Times New Roman"/>
        </w:rPr>
        <w:t>GB 15618 土壤环境质量 农用地土壤污染风险管控标准（试行）</w:t>
      </w:r>
    </w:p>
    <w:p w14:paraId="3C208C66">
      <w:pPr>
        <w:spacing w:line="480" w:lineRule="auto"/>
        <w:rPr>
          <w:rFonts w:hint="eastAsia" w:ascii="Times New Roman" w:hAnsi="Times New Roman"/>
          <w:lang w:val="en-US" w:eastAsia="zh-CN"/>
        </w:rPr>
      </w:pPr>
      <w:r>
        <w:rPr>
          <w:rFonts w:hint="default" w:ascii="Times New Roman" w:hAnsi="Times New Roman"/>
          <w:lang w:val="en-US" w:eastAsia="zh-CN"/>
        </w:rPr>
        <w:t>LY/T 1000 </w:t>
      </w:r>
      <w:r>
        <w:rPr>
          <w:rFonts w:hint="eastAsia" w:ascii="Times New Roman" w:hAnsi="Times New Roman"/>
          <w:lang w:val="en-US" w:eastAsia="zh-CN"/>
        </w:rPr>
        <w:t>容器育苗技术规程</w:t>
      </w:r>
    </w:p>
    <w:p w14:paraId="0AF30544">
      <w:pPr>
        <w:spacing w:line="480" w:lineRule="auto"/>
        <w:rPr>
          <w:rFonts w:hint="eastAsia" w:ascii="Times New Roman" w:hAnsi="Times New Roman"/>
          <w:lang w:val="en-US" w:eastAsia="zh-CN"/>
        </w:rPr>
      </w:pPr>
      <w:r>
        <w:rPr>
          <w:rFonts w:hint="default" w:ascii="Times New Roman" w:hAnsi="Times New Roman"/>
          <w:lang w:val="en-US" w:eastAsia="zh-CN"/>
        </w:rPr>
        <w:t>LY/T 2290 </w:t>
      </w:r>
      <w:r>
        <w:rPr>
          <w:rFonts w:hint="eastAsia" w:ascii="Times New Roman" w:hAnsi="Times New Roman"/>
          <w:lang w:val="en-US" w:eastAsia="zh-CN"/>
        </w:rPr>
        <w:t>林木种苗标签</w:t>
      </w:r>
    </w:p>
    <w:p w14:paraId="3DF181FC">
      <w:pPr>
        <w:spacing w:line="480" w:lineRule="auto"/>
      </w:pPr>
      <w:r>
        <w:rPr>
          <w:rFonts w:hint="default" w:ascii="Times New Roman" w:hAnsi="Times New Roman"/>
        </w:rPr>
        <w:t>NY/T 496 肥料合理使用准则通则</w:t>
      </w:r>
    </w:p>
    <w:p w14:paraId="7FBF992B">
      <w:pPr>
        <w:pStyle w:val="3"/>
        <w:rPr>
          <w:rFonts w:ascii="Times New Roman" w:hAnsi="Times New Roman" w:cs="Times New Roman"/>
        </w:rPr>
      </w:pPr>
      <w:bookmarkStart w:id="2" w:name="_Toc4954"/>
      <w:r>
        <w:rPr>
          <w:rFonts w:ascii="Times New Roman" w:hAnsi="Times New Roman" w:cs="Times New Roman"/>
        </w:rPr>
        <w:t xml:space="preserve">3 </w:t>
      </w:r>
      <w:bookmarkEnd w:id="2"/>
      <w:r>
        <w:rPr>
          <w:rFonts w:ascii="Times New Roman" w:hAnsi="Times New Roman" w:cs="Times New Roman"/>
        </w:rPr>
        <w:t>主要条款说明</w:t>
      </w:r>
    </w:p>
    <w:p w14:paraId="5EC4C596">
      <w:pPr>
        <w:rPr>
          <w:rFonts w:hint="eastAsia"/>
        </w:rPr>
      </w:pPr>
      <w:r>
        <w:rPr>
          <w:rFonts w:hint="eastAsia"/>
        </w:rPr>
        <w:t>本</w:t>
      </w:r>
      <w:r>
        <w:rPr>
          <w:rFonts w:hint="eastAsia"/>
          <w:lang w:val="en-US" w:eastAsia="zh-CN"/>
        </w:rPr>
        <w:t>文件</w:t>
      </w:r>
      <w:r>
        <w:rPr>
          <w:rFonts w:hint="eastAsia"/>
        </w:rPr>
        <w:t>的主要章节为</w:t>
      </w:r>
      <w:r>
        <w:rPr>
          <w:rFonts w:hint="eastAsia"/>
          <w:lang w:val="en-US" w:eastAsia="zh-CN"/>
        </w:rPr>
        <w:t>:</w:t>
      </w:r>
      <w:r>
        <w:rPr>
          <w:rFonts w:hint="eastAsia"/>
        </w:rPr>
        <w:t>繁殖材料准备、播种育苗、扦插育苗、栽培技术、苗期管理、病虫害防治。</w:t>
      </w:r>
    </w:p>
    <w:p w14:paraId="061A5697">
      <w:pPr>
        <w:rPr>
          <w:rFonts w:hint="eastAsia"/>
        </w:rPr>
      </w:pPr>
    </w:p>
    <w:p w14:paraId="07D2191A">
      <w:pPr>
        <w:ind w:left="2160" w:leftChars="200" w:hanging="1680" w:hangingChars="700"/>
        <w:rPr>
          <w:rFonts w:hint="eastAsia" w:eastAsia="宋体"/>
          <w:lang w:val="en-US" w:eastAsia="zh-CN"/>
        </w:rPr>
      </w:pPr>
      <w:r>
        <w:rPr>
          <w:rFonts w:hint="eastAsia"/>
        </w:rPr>
        <w:t>繁殖材料准备：规定种子采集及处理（采种母树选择、种子采集、种子处理及贮藏）穗条采集的要求</w:t>
      </w:r>
      <w:r>
        <w:rPr>
          <w:rFonts w:hint="eastAsia"/>
          <w:lang w:eastAsia="zh-CN"/>
        </w:rPr>
        <w:t>。</w:t>
      </w:r>
    </w:p>
    <w:p w14:paraId="6F81DD71">
      <w:pPr>
        <w:rPr>
          <w:rFonts w:hint="eastAsia"/>
        </w:rPr>
      </w:pPr>
    </w:p>
    <w:p w14:paraId="1B6B2490">
      <w:pPr>
        <w:ind w:left="0" w:leftChars="0" w:firstLine="480" w:firstLineChars="200"/>
        <w:rPr>
          <w:rFonts w:hint="eastAsia"/>
        </w:rPr>
      </w:pPr>
      <w:r>
        <w:rPr>
          <w:rFonts w:hint="eastAsia"/>
        </w:rPr>
        <w:t>播种育苗：明确播种时间、播种方法（盆播、繁殖池）、苗期管理及移栽的操作规范</w:t>
      </w:r>
    </w:p>
    <w:p w14:paraId="2F5A0558">
      <w:pPr>
        <w:rPr>
          <w:rFonts w:hint="eastAsia"/>
        </w:rPr>
      </w:pPr>
    </w:p>
    <w:p w14:paraId="0679DC20">
      <w:pPr>
        <w:ind w:left="1920" w:leftChars="200" w:hanging="1440" w:hangingChars="600"/>
        <w:jc w:val="both"/>
        <w:rPr>
          <w:rFonts w:hint="eastAsia"/>
        </w:rPr>
      </w:pPr>
      <w:r>
        <w:rPr>
          <w:rFonts w:hint="eastAsia"/>
        </w:rPr>
        <w:t>扦插育苗</w:t>
      </w:r>
      <w:r>
        <w:rPr>
          <w:rFonts w:hint="eastAsia"/>
          <w:lang w:eastAsia="zh-CN"/>
        </w:rPr>
        <w:t>：</w:t>
      </w:r>
      <w:r>
        <w:rPr>
          <w:rFonts w:hint="eastAsia"/>
          <w:lang w:val="en-US" w:eastAsia="zh-CN"/>
        </w:rPr>
        <w:t xml:space="preserve"> </w:t>
      </w:r>
      <w:r>
        <w:rPr>
          <w:rFonts w:hint="eastAsia"/>
        </w:rPr>
        <w:t>涵盖扦插床建设、扦插基质配比、穗条采集、扦插时间、穗条处理及扦插方法、扦插后管理的技术要求</w:t>
      </w:r>
    </w:p>
    <w:p w14:paraId="41ECC643">
      <w:pPr>
        <w:rPr>
          <w:rFonts w:hint="eastAsia"/>
        </w:rPr>
      </w:pPr>
    </w:p>
    <w:p w14:paraId="2A3D7B88">
      <w:pPr>
        <w:ind w:left="1680" w:leftChars="200" w:hanging="1200" w:hangingChars="500"/>
        <w:rPr>
          <w:rFonts w:hint="eastAsia"/>
        </w:rPr>
      </w:pPr>
      <w:r>
        <w:rPr>
          <w:rFonts w:hint="eastAsia"/>
        </w:rPr>
        <w:t>栽培技术：分为盆栽（土壤、光照、水分、空气、选盆、上盆、换盆）和露地栽培（栽培地气候、环境条件、取苗、栽植时间）的具体规定</w:t>
      </w:r>
    </w:p>
    <w:p w14:paraId="0C155D43">
      <w:pPr>
        <w:rPr>
          <w:rFonts w:hint="eastAsia"/>
        </w:rPr>
      </w:pPr>
    </w:p>
    <w:p w14:paraId="60FC3234">
      <w:pPr>
        <w:ind w:left="0" w:leftChars="0" w:firstLine="480" w:firstLineChars="200"/>
        <w:rPr>
          <w:rFonts w:hint="eastAsia"/>
        </w:rPr>
      </w:pPr>
      <w:r>
        <w:rPr>
          <w:rFonts w:hint="eastAsia"/>
        </w:rPr>
        <w:t>苗期管理：包括水分、施肥、温度、花期管理、修剪的操作要点</w:t>
      </w:r>
    </w:p>
    <w:p w14:paraId="04904B6A">
      <w:pPr>
        <w:rPr>
          <w:rFonts w:hint="eastAsia"/>
        </w:rPr>
      </w:pPr>
    </w:p>
    <w:p w14:paraId="23B08545">
      <w:pPr>
        <w:rPr>
          <w:rFonts w:hint="eastAsia"/>
        </w:rPr>
      </w:pPr>
      <w:r>
        <w:rPr>
          <w:rFonts w:hint="eastAsia"/>
        </w:rPr>
        <w:t>病虫害防治：明确主要病虫害类型及物理防治、化学防治、生物防治的具体方法</w:t>
      </w:r>
    </w:p>
    <w:p w14:paraId="7B6718BE">
      <w:pPr>
        <w:pStyle w:val="7"/>
        <w:ind w:firstLine="0" w:firstLineChars="0"/>
        <w:rPr>
          <w:rFonts w:ascii="Times New Roman" w:hAnsi="Times New Roman" w:cs="Times New Roman"/>
        </w:rPr>
      </w:pPr>
      <w:r>
        <w:rPr>
          <w:rFonts w:ascii="Times New Roman" w:hAnsi="Times New Roman" w:cs="Times New Roman"/>
        </w:rPr>
        <w:t>四、主要试验（或验证）的验证分析报告（测试报告）</w:t>
      </w:r>
    </w:p>
    <w:p w14:paraId="199A5706">
      <w:bookmarkStart w:id="3" w:name="_Toc11941"/>
      <w:r>
        <w:t>（一）采用的有关标准</w:t>
      </w:r>
      <w:bookmarkEnd w:id="3"/>
    </w:p>
    <w:p w14:paraId="189F8361">
      <w:pPr>
        <w:rPr>
          <w:rFonts w:hint="eastAsia"/>
        </w:rPr>
      </w:pPr>
      <w:bookmarkStart w:id="4" w:name="_Toc10794"/>
      <w:r>
        <w:rPr>
          <w:rFonts w:hint="eastAsia"/>
        </w:rPr>
        <w:t>本标准主要采用GB 15618-2018 《土壤环境质量 农用地土壤污染风险管控标准（试行）》</w:t>
      </w:r>
      <w:r>
        <w:rPr>
          <w:rFonts w:hint="eastAsia"/>
          <w:lang w:eastAsia="zh-CN"/>
        </w:rPr>
        <w:t>、</w:t>
      </w:r>
      <w:r>
        <w:rPr>
          <w:rFonts w:hint="eastAsia"/>
        </w:rPr>
        <w:t>GB 2772-1999《 林木种子检验规程》</w:t>
      </w:r>
      <w:r>
        <w:rPr>
          <w:rFonts w:hint="eastAsia"/>
          <w:lang w:eastAsia="zh-CN"/>
        </w:rPr>
        <w:t>、</w:t>
      </w:r>
      <w:r>
        <w:rPr>
          <w:rFonts w:hint="eastAsia"/>
        </w:rPr>
        <w:t>GB/T 10016《 林木种子贮藏》</w:t>
      </w:r>
      <w:r>
        <w:rPr>
          <w:rFonts w:hint="eastAsia"/>
          <w:lang w:eastAsia="zh-CN"/>
        </w:rPr>
        <w:t>、</w:t>
      </w:r>
      <w:r>
        <w:rPr>
          <w:rFonts w:hint="eastAsia"/>
        </w:rPr>
        <w:t>LY/T 1000《 容器育苗技术规程》</w:t>
      </w:r>
      <w:r>
        <w:rPr>
          <w:rFonts w:hint="eastAsia"/>
          <w:lang w:eastAsia="zh-CN"/>
        </w:rPr>
        <w:t>、</w:t>
      </w:r>
      <w:r>
        <w:rPr>
          <w:rFonts w:hint="eastAsia"/>
        </w:rPr>
        <w:t>LY/T 2290 《林木种苗标签》</w:t>
      </w:r>
      <w:r>
        <w:rPr>
          <w:rFonts w:hint="eastAsia"/>
          <w:lang w:eastAsia="zh-CN"/>
        </w:rPr>
        <w:t>、</w:t>
      </w:r>
      <w:r>
        <w:rPr>
          <w:rFonts w:hint="eastAsia"/>
        </w:rPr>
        <w:t>GB/T 6001-1985《 育苗技术规程》NY/T 496-2010 《肥料合理使用准则通则》共</w:t>
      </w:r>
      <w:r>
        <w:rPr>
          <w:rFonts w:hint="eastAsia"/>
          <w:lang w:val="en-US" w:eastAsia="zh-CN"/>
        </w:rPr>
        <w:t>7</w:t>
      </w:r>
      <w:r>
        <w:rPr>
          <w:rFonts w:hint="eastAsia"/>
        </w:rPr>
        <w:t>个标准。</w:t>
      </w:r>
    </w:p>
    <w:p w14:paraId="62FBBB86">
      <w:pPr>
        <w:rPr>
          <w:rFonts w:hint="eastAsia"/>
        </w:rPr>
      </w:pPr>
    </w:p>
    <w:p w14:paraId="4750EDA7">
      <w:pPr>
        <w:numPr>
          <w:ilvl w:val="0"/>
          <w:numId w:val="2"/>
        </w:numPr>
        <w:ind w:left="0" w:leftChars="0" w:firstLine="0" w:firstLineChars="0"/>
      </w:pPr>
      <w:r>
        <w:t>主要的参数说明与</w:t>
      </w:r>
      <w:bookmarkEnd w:id="4"/>
      <w:r>
        <w:t>验证分析</w:t>
      </w:r>
    </w:p>
    <w:p w14:paraId="2B57A34F">
      <w:pPr>
        <w:numPr>
          <w:ilvl w:val="0"/>
          <w:numId w:val="0"/>
        </w:numPr>
        <w:ind w:leftChars="0"/>
      </w:pPr>
    </w:p>
    <w:p w14:paraId="77A3270B">
      <w:pPr>
        <w:rPr>
          <w:rFonts w:hint="eastAsia"/>
        </w:rPr>
      </w:pPr>
      <w:r>
        <w:rPr>
          <w:rFonts w:hint="eastAsia"/>
        </w:rPr>
        <w:t>本规程中各项技术指标与参数的设定，旨在确保迷人杜鹃栽培过程中的种苗成活率、生长质量及观赏价值，同时兼顾操作的可行性与规范性。现将主要技术指标及参数说明如下：</w:t>
      </w:r>
    </w:p>
    <w:p w14:paraId="4ED15E82">
      <w:pPr>
        <w:numPr>
          <w:ilvl w:val="0"/>
          <w:numId w:val="0"/>
        </w:numPr>
        <w:rPr>
          <w:rFonts w:hint="eastAsia"/>
          <w:lang w:val="en-US" w:eastAsia="zh-CN"/>
        </w:rPr>
      </w:pPr>
    </w:p>
    <w:p w14:paraId="1562CC72">
      <w:pPr>
        <w:numPr>
          <w:ilvl w:val="0"/>
          <w:numId w:val="0"/>
        </w:numPr>
        <w:rPr>
          <w:rFonts w:hint="eastAsia"/>
        </w:rPr>
      </w:pPr>
      <w:r>
        <w:rPr>
          <w:rFonts w:hint="eastAsia"/>
          <w:lang w:val="en-US" w:eastAsia="zh-CN"/>
        </w:rPr>
        <w:t>1.</w:t>
      </w:r>
      <w:r>
        <w:rPr>
          <w:rFonts w:hint="eastAsia"/>
        </w:rPr>
        <w:t>主要条款：</w:t>
      </w:r>
    </w:p>
    <w:p w14:paraId="1DB2E588">
      <w:pPr>
        <w:keepNext w:val="0"/>
        <w:keepLines w:val="0"/>
        <w:pageBreakBefore w:val="0"/>
        <w:widowControl w:val="0"/>
        <w:numPr>
          <w:ilvl w:val="0"/>
          <w:numId w:val="0"/>
        </w:numPr>
        <w:kinsoku/>
        <w:wordWrap/>
        <w:overflowPunct/>
        <w:topLinePunct w:val="0"/>
        <w:autoSpaceDE/>
        <w:autoSpaceDN/>
        <w:bidi w:val="0"/>
        <w:adjustRightInd w:val="0"/>
        <w:snapToGrid/>
        <w:ind w:firstLine="480" w:firstLineChars="200"/>
        <w:textAlignment w:val="auto"/>
        <w:rPr>
          <w:rFonts w:hint="eastAsia"/>
        </w:rPr>
      </w:pPr>
      <w:r>
        <w:rPr>
          <w:rFonts w:hint="eastAsia"/>
        </w:rPr>
        <w:t>本标准的章节由范围、规范性引用文件、术语和定义、繁殖材料准备、播种育苗、扦插育苗、栽培技术、苗期管理、病虫害防治及附录等组成。其中繁殖材料准备、播种育苗、扦插育苗、栽培技术、苗期管理、病虫害防治是本标准的主要技术内容。本文件规定了迷人杜鹃从繁殖材料准备到栽培管理、病虫害防治的全过程要求，适用于贵州省内迷人杜鹃适生区的栽培管理活动，旨在为迷人杜鹃的科学栽培和高效利用提供统一规范。</w:t>
      </w:r>
    </w:p>
    <w:p w14:paraId="45D81C24">
      <w:pPr>
        <w:rPr>
          <w:rFonts w:hint="eastAsia"/>
        </w:rPr>
      </w:pPr>
    </w:p>
    <w:p w14:paraId="4B1C1862">
      <w:pPr>
        <w:ind w:left="0" w:leftChars="0" w:firstLine="0" w:firstLineChars="0"/>
        <w:rPr>
          <w:rFonts w:hint="eastAsia"/>
        </w:rPr>
      </w:pPr>
      <w:r>
        <w:rPr>
          <w:rFonts w:hint="eastAsia"/>
        </w:rPr>
        <w:t>2. 主要技术指标、参数说明：</w:t>
      </w:r>
    </w:p>
    <w:p w14:paraId="2882B652">
      <w:pPr>
        <w:numPr>
          <w:ilvl w:val="0"/>
          <w:numId w:val="3"/>
        </w:numPr>
        <w:ind w:left="425" w:leftChars="0" w:hanging="425" w:firstLineChars="0"/>
        <w:rPr>
          <w:rFonts w:hint="eastAsia"/>
        </w:rPr>
      </w:pPr>
      <w:r>
        <w:rPr>
          <w:rFonts w:hint="eastAsia"/>
        </w:rPr>
        <w:t>关于种子贮藏温度：规定“温度控制在4℃±2℃为宜”。该参数基于迷人杜鹃种子的生理特性设定，低温环境可降低种子呼吸速率，减少营养物质消耗，避免高温潮湿导致霉变或活力丧失，经试验验证，此温度区间可有效保持种子活力1-2年。</w:t>
      </w:r>
    </w:p>
    <w:p w14:paraId="24BDF38E">
      <w:pPr>
        <w:rPr>
          <w:rFonts w:hint="eastAsia"/>
        </w:rPr>
      </w:pPr>
    </w:p>
    <w:p w14:paraId="21DC5808">
      <w:pPr>
        <w:numPr>
          <w:ilvl w:val="0"/>
          <w:numId w:val="3"/>
        </w:numPr>
        <w:ind w:left="425" w:leftChars="0" w:hanging="425" w:firstLineChars="0"/>
        <w:rPr>
          <w:rFonts w:hint="eastAsia"/>
        </w:rPr>
      </w:pPr>
      <w:r>
        <w:rPr>
          <w:rFonts w:hint="eastAsia"/>
        </w:rPr>
        <w:t>关于播种基质消毒：明确“宜采用0.3%高锰酸钾溶液”。高锰酸钾具有广谱杀菌作用，能有效杀灭基质中的病原菌和虫卵，降低幼苗病害发生率，试验表明该浓度消毒效果显著且对种子萌发无抑制作用。</w:t>
      </w:r>
    </w:p>
    <w:p w14:paraId="5D82ED05">
      <w:pPr>
        <w:rPr>
          <w:rFonts w:hint="eastAsia"/>
        </w:rPr>
      </w:pPr>
    </w:p>
    <w:p w14:paraId="282D033F">
      <w:pPr>
        <w:numPr>
          <w:ilvl w:val="0"/>
          <w:numId w:val="3"/>
        </w:numPr>
        <w:ind w:left="425" w:leftChars="0" w:hanging="425" w:firstLineChars="0"/>
        <w:rPr>
          <w:rFonts w:hint="eastAsia"/>
        </w:rPr>
      </w:pPr>
      <w:r>
        <w:rPr>
          <w:rFonts w:hint="eastAsia"/>
        </w:rPr>
        <w:t>关于扦插基质配比：设定“腐殖土：黄沙：珍珠岩=3:2:1（体积比）”。该配比兼顾了基质的透气性、保水性和肥力，经多次试验验证，此基质组合下扦插穗条生根率可达85%以上，且根系生长健壮。</w:t>
      </w:r>
    </w:p>
    <w:p w14:paraId="5C20BB36">
      <w:pPr>
        <w:rPr>
          <w:rFonts w:hint="eastAsia"/>
        </w:rPr>
      </w:pPr>
    </w:p>
    <w:p w14:paraId="06ED3616">
      <w:pPr>
        <w:numPr>
          <w:ilvl w:val="0"/>
          <w:numId w:val="3"/>
        </w:numPr>
        <w:ind w:left="425" w:leftChars="0" w:hanging="425" w:firstLineChars="0"/>
        <w:rPr>
          <w:rFonts w:hint="eastAsia"/>
        </w:rPr>
      </w:pPr>
      <w:r>
        <w:rPr>
          <w:rFonts w:hint="eastAsia"/>
        </w:rPr>
        <w:t>关于扦插时间：确定“6月～7月”。此时段气温适宜（20-28℃），空气湿度较高，且迷人杜鹃当年生枝条已达半木质化状态，营养积累充足，扦插后生根速度快、成活率高，是扦插育苗的最佳时期。</w:t>
      </w:r>
    </w:p>
    <w:p w14:paraId="0DBFEE03">
      <w:pPr>
        <w:rPr>
          <w:rFonts w:hint="eastAsia"/>
        </w:rPr>
      </w:pPr>
    </w:p>
    <w:p w14:paraId="618841B0">
      <w:pPr>
        <w:numPr>
          <w:ilvl w:val="0"/>
          <w:numId w:val="3"/>
        </w:numPr>
        <w:ind w:left="425" w:leftChars="0" w:hanging="425" w:firstLineChars="0"/>
        <w:rPr>
          <w:rFonts w:hint="eastAsia"/>
        </w:rPr>
      </w:pPr>
      <w:r>
        <w:rPr>
          <w:rFonts w:hint="eastAsia"/>
        </w:rPr>
        <w:t>关于扦插穗条规格：规定“插穗剪成8 cm～10 cm长，斜切45</w:t>
      </w:r>
      <w:r>
        <w:rPr>
          <w:rFonts w:hint="eastAsia"/>
          <w:lang w:val="en-US" w:eastAsia="zh-CN"/>
        </w:rPr>
        <w:t>°</w:t>
      </w:r>
      <w:r>
        <w:rPr>
          <w:rFonts w:hint="eastAsia"/>
        </w:rPr>
        <w:t>，保留上部2～3片叶”。该规格既能保证穗条有足够的营养储备，又能减少水分蒸发，斜切处理可增大生根面积，试验证明此规格穗条扦插成活率最优。</w:t>
      </w:r>
    </w:p>
    <w:p w14:paraId="69FC715B">
      <w:pPr>
        <w:rPr>
          <w:rFonts w:hint="eastAsia"/>
        </w:rPr>
      </w:pPr>
    </w:p>
    <w:p w14:paraId="4910A548">
      <w:pPr>
        <w:numPr>
          <w:ilvl w:val="0"/>
          <w:numId w:val="3"/>
        </w:numPr>
        <w:ind w:left="425" w:leftChars="0" w:hanging="425" w:firstLineChars="0"/>
        <w:rPr>
          <w:rFonts w:hint="eastAsia"/>
        </w:rPr>
      </w:pPr>
      <w:r>
        <w:rPr>
          <w:rFonts w:hint="eastAsia"/>
        </w:rPr>
        <w:t>关于盆栽土壤pH值：要求“PH值偏酸性”。迷人杜鹃为喜酸植物，酸性土壤可促进其对铁、锰等微量元素的吸收，避免叶片黄化，经栽培实践验证，pH值在5.0-6.5之间时植株生长态势最佳。</w:t>
      </w:r>
    </w:p>
    <w:p w14:paraId="3B2EA89B">
      <w:pPr>
        <w:rPr>
          <w:rFonts w:hint="eastAsia"/>
        </w:rPr>
      </w:pPr>
    </w:p>
    <w:p w14:paraId="3C6819AB">
      <w:pPr>
        <w:numPr>
          <w:ilvl w:val="0"/>
          <w:numId w:val="3"/>
        </w:numPr>
        <w:ind w:left="425" w:leftChars="0" w:hanging="425" w:firstLineChars="0"/>
        <w:rPr>
          <w:rFonts w:hint="eastAsia"/>
        </w:rPr>
      </w:pPr>
      <w:r>
        <w:rPr>
          <w:rFonts w:hint="eastAsia"/>
        </w:rPr>
        <w:t>关于露地栽培海拔：明确“海拔在800～1600m”。该海拔范围符合迷人杜鹃原生境的海拔特征，气候温凉、光照适宜，能满足其生长发育需求，超出此范围则植株生长不良、开花量减少。</w:t>
      </w:r>
    </w:p>
    <w:p w14:paraId="0E0F4959">
      <w:pPr>
        <w:rPr>
          <w:rFonts w:hint="eastAsia"/>
        </w:rPr>
      </w:pPr>
    </w:p>
    <w:p w14:paraId="39B86AD1">
      <w:pPr>
        <w:numPr>
          <w:ilvl w:val="0"/>
          <w:numId w:val="3"/>
        </w:numPr>
        <w:ind w:left="425" w:leftChars="0" w:hanging="425" w:firstLineChars="0"/>
        <w:rPr>
          <w:rFonts w:hint="eastAsia"/>
        </w:rPr>
      </w:pPr>
      <w:r>
        <w:rPr>
          <w:rFonts w:hint="eastAsia"/>
        </w:rPr>
        <w:t>关于栽植时间：规定“春季为2～4月，冬季为10～12月”。这两个时段气温较低，植株蒸腾作用弱，移栽后根系恢复时间充足，成活率高，试验对比显示阴天或傍晚栽植的成活率比晴天正午高30%以上。</w:t>
      </w:r>
    </w:p>
    <w:p w14:paraId="686F1B0A">
      <w:pPr>
        <w:rPr>
          <w:rFonts w:hint="eastAsia"/>
        </w:rPr>
      </w:pPr>
    </w:p>
    <w:p w14:paraId="29BCFAF1">
      <w:pPr>
        <w:numPr>
          <w:ilvl w:val="0"/>
          <w:numId w:val="3"/>
        </w:numPr>
        <w:ind w:left="425" w:leftChars="0" w:hanging="425" w:firstLineChars="0"/>
        <w:rPr>
          <w:rFonts w:hint="eastAsia"/>
        </w:rPr>
      </w:pPr>
      <w:r>
        <w:rPr>
          <w:rFonts w:hint="eastAsia"/>
        </w:rPr>
        <w:t>关于水分管理：要求“自来水需盛放几天加0.5～1%食醋调整PH值偏酸性后在早晨或傍晚进行喷洒”。迷人杜鹃对水质敏感，碱性水易导致土壤板结和叶片黄化，调整后水质更符合其生长需求，生长旺季3-5天浇水一次可保持基质湿润，避免干旱或积水。</w:t>
      </w:r>
    </w:p>
    <w:p w14:paraId="0AAD4FC0">
      <w:pPr>
        <w:rPr>
          <w:rFonts w:hint="eastAsia"/>
        </w:rPr>
      </w:pPr>
    </w:p>
    <w:p w14:paraId="5C406C6A">
      <w:pPr>
        <w:numPr>
          <w:ilvl w:val="0"/>
          <w:numId w:val="3"/>
        </w:numPr>
        <w:ind w:left="425" w:leftChars="0" w:hanging="425" w:firstLineChars="0"/>
        <w:rPr>
          <w:rFonts w:hint="eastAsia"/>
        </w:rPr>
      </w:pPr>
      <w:r>
        <w:rPr>
          <w:rFonts w:hint="eastAsia"/>
        </w:rPr>
        <w:t>关于病虫害化学防治：明确“合理用药按照GB 4285和附录A执行”。附录A中针对不同病虫害制定了专用药剂和浓度，如叶斑病使用1/800托布津，红蜘蛛使用1/1000三氯杀螨醇加1/1500的40%乐果，经田间试验验证，防治效果可达90%以上，且符合农药安全使用标准。</w:t>
      </w:r>
    </w:p>
    <w:p w14:paraId="0188A4E4">
      <w:pPr>
        <w:numPr>
          <w:ilvl w:val="0"/>
          <w:numId w:val="0"/>
        </w:numPr>
        <w:ind w:leftChars="0"/>
        <w:rPr>
          <w:rFonts w:hint="eastAsia"/>
        </w:rPr>
      </w:pPr>
    </w:p>
    <w:p w14:paraId="2745BE07">
      <w:pPr>
        <w:pStyle w:val="11"/>
        <w:keepLines w:val="0"/>
        <w:pageBreakBefore w:val="0"/>
        <w:widowControl/>
        <w:numPr>
          <w:ilvl w:val="0"/>
          <w:numId w:val="0"/>
        </w:numPr>
        <w:kinsoku/>
        <w:wordWrap/>
        <w:overflowPunct/>
        <w:topLinePunct w:val="0"/>
        <w:bidi w:val="0"/>
        <w:adjustRightInd/>
        <w:snapToGrid/>
        <w:spacing w:before="0" w:after="0"/>
        <w:jc w:val="center"/>
        <w:textAlignment w:val="auto"/>
        <w:rPr>
          <w:rFonts w:hint="eastAsia" w:ascii="Times New Roman"/>
        </w:rPr>
      </w:pPr>
      <w:bookmarkStart w:id="5" w:name="_Toc32424"/>
      <w:bookmarkStart w:id="6" w:name="_Toc387050159"/>
      <w:bookmarkStart w:id="7" w:name="_Toc387093314"/>
      <w:bookmarkStart w:id="8" w:name="_Toc387417936"/>
      <w:bookmarkStart w:id="9" w:name="_Toc385574908"/>
      <w:bookmarkStart w:id="10" w:name="_Toc387071661"/>
      <w:bookmarkStart w:id="11" w:name="_Toc387050322"/>
      <w:bookmarkStart w:id="12" w:name="_Toc385575007"/>
      <w:bookmarkStart w:id="13" w:name="_Toc384994200"/>
      <w:r>
        <w:rPr>
          <w:rFonts w:hint="eastAsia" w:ascii="Times New Roman"/>
        </w:rPr>
        <w:t>附录A</w:t>
      </w:r>
      <w:bookmarkEnd w:id="5"/>
    </w:p>
    <w:p w14:paraId="68AC295F">
      <w:pPr>
        <w:pStyle w:val="11"/>
        <w:keepLines w:val="0"/>
        <w:pageBreakBefore w:val="0"/>
        <w:widowControl/>
        <w:numPr>
          <w:ilvl w:val="0"/>
          <w:numId w:val="0"/>
        </w:numPr>
        <w:kinsoku/>
        <w:wordWrap/>
        <w:overflowPunct/>
        <w:topLinePunct w:val="0"/>
        <w:bidi w:val="0"/>
        <w:adjustRightInd/>
        <w:snapToGrid/>
        <w:spacing w:before="0" w:after="0"/>
        <w:jc w:val="center"/>
        <w:textAlignment w:val="auto"/>
        <w:rPr>
          <w:rFonts w:hint="eastAsia" w:ascii="Times New Roman"/>
        </w:rPr>
      </w:pPr>
      <w:bookmarkStart w:id="14" w:name="_Toc28853"/>
      <w:r>
        <w:rPr>
          <w:rFonts w:hint="eastAsia" w:ascii="Times New Roman"/>
        </w:rPr>
        <w:t>（资料性附录）</w:t>
      </w:r>
      <w:bookmarkEnd w:id="6"/>
      <w:bookmarkEnd w:id="7"/>
      <w:bookmarkEnd w:id="8"/>
      <w:bookmarkEnd w:id="9"/>
      <w:bookmarkEnd w:id="10"/>
      <w:bookmarkEnd w:id="11"/>
      <w:bookmarkEnd w:id="12"/>
      <w:bookmarkEnd w:id="13"/>
      <w:bookmarkEnd w:id="14"/>
    </w:p>
    <w:p w14:paraId="412A8AAE">
      <w:pPr>
        <w:pStyle w:val="13"/>
        <w:keepLines w:val="0"/>
        <w:pageBreakBefore w:val="0"/>
        <w:widowControl/>
        <w:kinsoku/>
        <w:wordWrap/>
        <w:overflowPunct/>
        <w:topLinePunct w:val="0"/>
        <w:bidi w:val="0"/>
        <w:adjustRightInd/>
        <w:snapToGrid/>
        <w:jc w:val="center"/>
        <w:textAlignment w:val="auto"/>
        <w:outlineLvl w:val="0"/>
        <w:rPr>
          <w:rFonts w:hint="eastAsia" w:ascii="Times New Roman"/>
        </w:rPr>
      </w:pPr>
      <w:bookmarkStart w:id="15" w:name="_Toc11297"/>
      <w:r>
        <w:rPr>
          <w:rFonts w:hint="eastAsia" w:ascii="Times New Roman"/>
          <w:lang w:eastAsia="zh-CN"/>
        </w:rPr>
        <w:t>迷人</w:t>
      </w:r>
      <w:r>
        <w:rPr>
          <w:rFonts w:hint="eastAsia" w:ascii="Times New Roman"/>
        </w:rPr>
        <w:t>杜鹃主要病虫害防治方法</w:t>
      </w:r>
      <w:bookmarkEnd w:id="15"/>
    </w:p>
    <w:p w14:paraId="6A90E6D2">
      <w:pPr>
        <w:pStyle w:val="12"/>
        <w:tabs>
          <w:tab w:val="center" w:pos="4201"/>
          <w:tab w:val="right" w:leader="dot" w:pos="9298"/>
        </w:tabs>
        <w:rPr>
          <w:rFonts w:hint="eastAsia"/>
        </w:rPr>
      </w:pPr>
    </w:p>
    <w:p w14:paraId="636D4085">
      <w:pPr>
        <w:pStyle w:val="12"/>
        <w:keepNext w:val="0"/>
        <w:keepLines w:val="0"/>
        <w:pageBreakBefore w:val="0"/>
        <w:widowControl/>
        <w:tabs>
          <w:tab w:val="center" w:pos="4201"/>
          <w:tab w:val="right" w:leader="dot" w:pos="9298"/>
        </w:tabs>
        <w:kinsoku/>
        <w:wordWrap/>
        <w:overflowPunct/>
        <w:topLinePunct w:val="0"/>
        <w:autoSpaceDE w:val="0"/>
        <w:autoSpaceDN w:val="0"/>
        <w:bidi w:val="0"/>
        <w:adjustRightInd/>
        <w:snapToGrid/>
        <w:ind w:firstLine="0" w:firstLineChars="0"/>
        <w:jc w:val="center"/>
        <w:textAlignment w:val="auto"/>
        <w:outlineLvl w:val="0"/>
        <w:rPr>
          <w:rFonts w:hint="eastAsia" w:ascii="黑体" w:hAnsi="黑体" w:eastAsia="黑体" w:cs="黑体"/>
          <w:sz w:val="24"/>
          <w:szCs w:val="24"/>
        </w:rPr>
      </w:pPr>
      <w:bookmarkStart w:id="16" w:name="_Toc6740"/>
      <w:r>
        <w:rPr>
          <w:rFonts w:hint="eastAsia" w:ascii="黑体" w:hAnsi="黑体" w:eastAsia="黑体" w:cs="黑体"/>
          <w:sz w:val="24"/>
          <w:szCs w:val="24"/>
          <w:lang w:val="en-US" w:eastAsia="zh-CN"/>
        </w:rPr>
        <w:t>A</w:t>
      </w:r>
      <w:r>
        <w:rPr>
          <w:rFonts w:hint="eastAsia" w:ascii="黑体" w:hAnsi="黑体" w:eastAsia="黑体" w:cs="黑体"/>
          <w:sz w:val="24"/>
          <w:szCs w:val="24"/>
        </w:rPr>
        <w:t xml:space="preserve">.1  </w:t>
      </w:r>
      <w:r>
        <w:rPr>
          <w:rFonts w:hint="eastAsia" w:ascii="黑体" w:hAnsi="黑体" w:eastAsia="黑体" w:cs="黑体"/>
          <w:sz w:val="24"/>
          <w:szCs w:val="24"/>
          <w:lang w:eastAsia="zh-CN"/>
        </w:rPr>
        <w:t>迷人</w:t>
      </w:r>
      <w:r>
        <w:rPr>
          <w:rFonts w:hint="eastAsia" w:ascii="黑体" w:hAnsi="黑体" w:eastAsia="黑体" w:cs="黑体"/>
          <w:sz w:val="24"/>
          <w:szCs w:val="24"/>
        </w:rPr>
        <w:t>杜鹃常见病害防治技术</w:t>
      </w:r>
      <w:bookmarkEnd w:id="16"/>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70"/>
        <w:gridCol w:w="3255"/>
        <w:gridCol w:w="3953"/>
      </w:tblGrid>
      <w:tr w14:paraId="54429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770" w:type="dxa"/>
            <w:noWrap w:val="0"/>
            <w:vAlign w:val="top"/>
          </w:tcPr>
          <w:p w14:paraId="2557C3D3">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病害名称</w:t>
            </w:r>
          </w:p>
        </w:tc>
        <w:tc>
          <w:tcPr>
            <w:tcW w:w="3255" w:type="dxa"/>
            <w:noWrap w:val="0"/>
            <w:vAlign w:val="top"/>
          </w:tcPr>
          <w:p w14:paraId="114DCB2C">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主要症状</w:t>
            </w:r>
          </w:p>
        </w:tc>
        <w:tc>
          <w:tcPr>
            <w:tcW w:w="3953" w:type="dxa"/>
            <w:noWrap w:val="0"/>
            <w:vAlign w:val="top"/>
          </w:tcPr>
          <w:p w14:paraId="1D764141">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防治方法</w:t>
            </w:r>
          </w:p>
        </w:tc>
      </w:tr>
      <w:tr w14:paraId="6C7D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7" w:hRule="atLeast"/>
          <w:jc w:val="center"/>
        </w:trPr>
        <w:tc>
          <w:tcPr>
            <w:tcW w:w="1770" w:type="dxa"/>
            <w:noWrap w:val="0"/>
            <w:vAlign w:val="top"/>
          </w:tcPr>
          <w:p w14:paraId="2A84D583">
            <w:pPr>
              <w:pStyle w:val="12"/>
              <w:tabs>
                <w:tab w:val="center" w:pos="4201"/>
                <w:tab w:val="right" w:leader="dot" w:pos="9298"/>
              </w:tabs>
              <w:ind w:firstLine="0" w:firstLineChars="0"/>
              <w:jc w:val="left"/>
              <w:rPr>
                <w:rFonts w:hint="eastAsia" w:ascii="Times New Roman"/>
                <w:sz w:val="18"/>
                <w:szCs w:val="18"/>
              </w:rPr>
            </w:pPr>
          </w:p>
          <w:p w14:paraId="7FFA2BFD">
            <w:pPr>
              <w:pStyle w:val="12"/>
              <w:tabs>
                <w:tab w:val="center" w:pos="4201"/>
                <w:tab w:val="right" w:leader="dot" w:pos="9298"/>
              </w:tabs>
              <w:ind w:firstLine="0" w:firstLineChars="0"/>
              <w:jc w:val="center"/>
              <w:rPr>
                <w:rStyle w:val="10"/>
                <w:rFonts w:hint="eastAsia" w:ascii="Times New Roman"/>
                <w:b w:val="0"/>
                <w:sz w:val="18"/>
                <w:szCs w:val="18"/>
              </w:rPr>
            </w:pPr>
          </w:p>
          <w:p w14:paraId="442622A9">
            <w:pPr>
              <w:pStyle w:val="12"/>
              <w:tabs>
                <w:tab w:val="center" w:pos="4201"/>
                <w:tab w:val="right" w:leader="dot" w:pos="9298"/>
              </w:tabs>
              <w:ind w:firstLine="0" w:firstLineChars="0"/>
              <w:jc w:val="center"/>
              <w:rPr>
                <w:rFonts w:hint="eastAsia" w:ascii="Times New Roman"/>
                <w:sz w:val="18"/>
                <w:szCs w:val="18"/>
              </w:rPr>
            </w:pPr>
            <w:r>
              <w:rPr>
                <w:rStyle w:val="10"/>
                <w:rFonts w:hint="eastAsia" w:ascii="Times New Roman"/>
                <w:b w:val="0"/>
                <w:sz w:val="18"/>
                <w:szCs w:val="18"/>
              </w:rPr>
              <w:t>叶斑病</w:t>
            </w:r>
          </w:p>
        </w:tc>
        <w:tc>
          <w:tcPr>
            <w:tcW w:w="3255" w:type="dxa"/>
            <w:noWrap w:val="0"/>
            <w:vAlign w:val="top"/>
          </w:tcPr>
          <w:p w14:paraId="33FC4390">
            <w:pPr>
              <w:autoSpaceDE w:val="0"/>
              <w:autoSpaceDN w:val="0"/>
              <w:adjustRightInd w:val="0"/>
              <w:ind w:left="0" w:leftChars="0" w:firstLine="0" w:firstLineChars="0"/>
              <w:jc w:val="left"/>
              <w:rPr>
                <w:rFonts w:hint="eastAsia" w:cs="宋体"/>
                <w:kern w:val="0"/>
                <w:sz w:val="18"/>
                <w:szCs w:val="18"/>
              </w:rPr>
            </w:pPr>
            <w:r>
              <w:rPr>
                <w:rFonts w:hint="eastAsia" w:cs="宋体"/>
                <w:kern w:val="0"/>
                <w:sz w:val="18"/>
                <w:szCs w:val="18"/>
              </w:rPr>
              <w:t>从叶部侵入，最初在叶片产生淡红褐色斑点，后逐渐扩大相连，呈不规则</w:t>
            </w:r>
            <w:r>
              <w:rPr>
                <w:rFonts w:hint="eastAsia"/>
                <w:sz w:val="18"/>
                <w:szCs w:val="18"/>
              </w:rPr>
              <w:t>病斑</w:t>
            </w:r>
            <w:r>
              <w:rPr>
                <w:rFonts w:hint="eastAsia" w:cs="宋体"/>
                <w:kern w:val="0"/>
                <w:sz w:val="18"/>
                <w:szCs w:val="18"/>
              </w:rPr>
              <w:t>，病斑不受叶脉限制。</w:t>
            </w:r>
            <w:r>
              <w:rPr>
                <w:rFonts w:hint="eastAsia"/>
                <w:sz w:val="18"/>
                <w:szCs w:val="18"/>
              </w:rPr>
              <w:t>植株受害严重时，叶片脱落，嫩枝感病，在枝梢上形成枯死段斑。</w:t>
            </w:r>
          </w:p>
        </w:tc>
        <w:tc>
          <w:tcPr>
            <w:tcW w:w="3953" w:type="dxa"/>
            <w:noWrap w:val="0"/>
            <w:vAlign w:val="top"/>
          </w:tcPr>
          <w:p w14:paraId="636CC9CB">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1、在梅雨之前、8月底至9月初，以及10月份，各喷1次1/800托布津。也可用1:1:150波尔多液代替。但在7～8月份不宜使用，9月份后再用。</w:t>
            </w:r>
          </w:p>
          <w:p w14:paraId="4748C15D">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2、平时收集老叶、病叶烧掉，加强栽培场地通风。</w:t>
            </w:r>
          </w:p>
          <w:p w14:paraId="32E64651">
            <w:pPr>
              <w:autoSpaceDE w:val="0"/>
              <w:autoSpaceDN w:val="0"/>
              <w:adjustRightInd w:val="0"/>
              <w:jc w:val="left"/>
              <w:rPr>
                <w:rFonts w:hint="eastAsia" w:cs="宋体"/>
                <w:kern w:val="0"/>
                <w:sz w:val="18"/>
                <w:szCs w:val="18"/>
              </w:rPr>
            </w:pPr>
          </w:p>
        </w:tc>
      </w:tr>
      <w:tr w14:paraId="53FDF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1770" w:type="dxa"/>
            <w:noWrap w:val="0"/>
            <w:vAlign w:val="top"/>
          </w:tcPr>
          <w:p w14:paraId="7B5ED973">
            <w:pPr>
              <w:pStyle w:val="12"/>
              <w:tabs>
                <w:tab w:val="center" w:pos="4201"/>
                <w:tab w:val="right" w:leader="dot" w:pos="9298"/>
              </w:tabs>
              <w:ind w:firstLine="0" w:firstLineChars="0"/>
              <w:jc w:val="left"/>
              <w:rPr>
                <w:rFonts w:hint="eastAsia" w:ascii="Times New Roman"/>
                <w:sz w:val="18"/>
                <w:szCs w:val="18"/>
              </w:rPr>
            </w:pPr>
          </w:p>
          <w:p w14:paraId="3A5FD101">
            <w:pPr>
              <w:pStyle w:val="1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茎腐病</w:t>
            </w:r>
          </w:p>
        </w:tc>
        <w:tc>
          <w:tcPr>
            <w:tcW w:w="3255" w:type="dxa"/>
            <w:noWrap w:val="0"/>
            <w:vAlign w:val="top"/>
          </w:tcPr>
          <w:p w14:paraId="7E3AD544">
            <w:pPr>
              <w:pStyle w:val="12"/>
              <w:tabs>
                <w:tab w:val="center" w:pos="4201"/>
                <w:tab w:val="right" w:leader="dot" w:pos="9298"/>
              </w:tabs>
              <w:ind w:firstLine="0" w:firstLineChars="0"/>
              <w:jc w:val="left"/>
              <w:rPr>
                <w:rFonts w:hint="eastAsia" w:ascii="Times New Roman"/>
              </w:rPr>
            </w:pPr>
            <w:r>
              <w:rPr>
                <w:rFonts w:hint="eastAsia" w:ascii="Times New Roman"/>
                <w:sz w:val="18"/>
                <w:szCs w:val="18"/>
              </w:rPr>
              <w:t>发生在茎部，病株叶片变黄，凋萎的叶片附在树上很长时间不脱落，在根部和木质部间常有白色或褐色的菌丝体，木质部干腐，剖面呈蜂窝状褐纹。</w:t>
            </w:r>
          </w:p>
        </w:tc>
        <w:tc>
          <w:tcPr>
            <w:tcW w:w="3953" w:type="dxa"/>
            <w:noWrap w:val="0"/>
            <w:vAlign w:val="top"/>
          </w:tcPr>
          <w:p w14:paraId="69749379">
            <w:pPr>
              <w:pStyle w:val="14"/>
              <w:numPr>
                <w:ilvl w:val="0"/>
                <w:numId w:val="0"/>
              </w:numPr>
              <w:wordWrap/>
              <w:spacing w:before="156" w:after="156"/>
              <w:jc w:val="left"/>
              <w:rPr>
                <w:rFonts w:hint="eastAsia" w:ascii="Times New Roman" w:eastAsia="宋体"/>
                <w:kern w:val="0"/>
                <w:sz w:val="18"/>
                <w:szCs w:val="18"/>
              </w:rPr>
            </w:pPr>
          </w:p>
          <w:p w14:paraId="1CCAEA70">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在5月份用1/200甲基托布津涂根颈部，7～10天再涂1次，连续数次。主要应改善场地通风，早晚增加光照，增施钾肥。</w:t>
            </w:r>
          </w:p>
          <w:p w14:paraId="11D2AB09">
            <w:pPr>
              <w:pStyle w:val="14"/>
              <w:numPr>
                <w:ilvl w:val="0"/>
                <w:numId w:val="0"/>
              </w:numPr>
              <w:wordWrap/>
              <w:spacing w:before="156" w:after="156"/>
              <w:jc w:val="left"/>
              <w:outlineLvl w:val="9"/>
              <w:rPr>
                <w:rFonts w:hint="eastAsia" w:ascii="Times New Roman" w:eastAsia="宋体"/>
                <w:kern w:val="0"/>
                <w:sz w:val="18"/>
                <w:szCs w:val="18"/>
              </w:rPr>
            </w:pPr>
          </w:p>
        </w:tc>
      </w:tr>
      <w:tr w14:paraId="7B18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1770" w:type="dxa"/>
            <w:noWrap w:val="0"/>
            <w:vAlign w:val="top"/>
          </w:tcPr>
          <w:p w14:paraId="69C7BD8D">
            <w:pPr>
              <w:pStyle w:val="12"/>
              <w:tabs>
                <w:tab w:val="center" w:pos="4201"/>
                <w:tab w:val="right" w:leader="dot" w:pos="9298"/>
              </w:tabs>
              <w:ind w:firstLine="0" w:firstLineChars="0"/>
              <w:jc w:val="center"/>
              <w:rPr>
                <w:rFonts w:hint="eastAsia" w:ascii="Times New Roman"/>
                <w:sz w:val="18"/>
                <w:szCs w:val="18"/>
              </w:rPr>
            </w:pPr>
          </w:p>
          <w:p w14:paraId="1FC7BDA4">
            <w:pPr>
              <w:pStyle w:val="12"/>
              <w:tabs>
                <w:tab w:val="center" w:pos="4201"/>
                <w:tab w:val="right" w:leader="dot" w:pos="9298"/>
              </w:tabs>
              <w:ind w:firstLine="0" w:firstLineChars="0"/>
              <w:jc w:val="center"/>
              <w:rPr>
                <w:rFonts w:hint="eastAsia" w:ascii="Times New Roman"/>
                <w:sz w:val="18"/>
                <w:szCs w:val="18"/>
              </w:rPr>
            </w:pPr>
          </w:p>
          <w:p w14:paraId="1E3E16A8">
            <w:pPr>
              <w:pStyle w:val="12"/>
              <w:tabs>
                <w:tab w:val="center" w:pos="4201"/>
                <w:tab w:val="right" w:leader="dot" w:pos="9298"/>
              </w:tabs>
              <w:ind w:firstLine="0" w:firstLineChars="0"/>
              <w:jc w:val="center"/>
              <w:rPr>
                <w:rFonts w:hint="eastAsia" w:ascii="Times New Roman"/>
                <w:sz w:val="18"/>
                <w:szCs w:val="18"/>
              </w:rPr>
            </w:pPr>
          </w:p>
          <w:p w14:paraId="6C320355">
            <w:pPr>
              <w:pStyle w:val="1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白粉病</w:t>
            </w:r>
          </w:p>
        </w:tc>
        <w:tc>
          <w:tcPr>
            <w:tcW w:w="3255" w:type="dxa"/>
            <w:noWrap w:val="0"/>
            <w:vAlign w:val="top"/>
          </w:tcPr>
          <w:p w14:paraId="49B3415A">
            <w:pPr>
              <w:pStyle w:val="16"/>
              <w:numPr>
                <w:ilvl w:val="0"/>
                <w:numId w:val="0"/>
              </w:numPr>
              <w:wordWrap/>
              <w:jc w:val="left"/>
              <w:rPr>
                <w:rFonts w:hint="eastAsia" w:ascii="Times New Roman"/>
                <w:kern w:val="0"/>
                <w:sz w:val="18"/>
                <w:szCs w:val="18"/>
              </w:rPr>
            </w:pPr>
            <w:r>
              <w:rPr>
                <w:rFonts w:ascii="Times New Roman" w:cs="宋体"/>
                <w:kern w:val="0"/>
                <w:sz w:val="18"/>
                <w:szCs w:val="18"/>
              </w:rPr>
              <w:t>主要发生在植株叶片，严重时可侵染植株的嫩叶、幼芽、嫩梢和花蕾等部位</w:t>
            </w:r>
            <w:r>
              <w:rPr>
                <w:rFonts w:hint="eastAsia" w:ascii="Times New Roman" w:cs="宋体"/>
                <w:kern w:val="0"/>
                <w:sz w:val="18"/>
                <w:szCs w:val="18"/>
              </w:rPr>
              <w:t>。</w:t>
            </w:r>
            <w:r>
              <w:rPr>
                <w:rFonts w:ascii="Times New Roman" w:cs="宋体"/>
                <w:kern w:val="0"/>
                <w:sz w:val="18"/>
                <w:szCs w:val="18"/>
              </w:rPr>
              <w:t>突出特点是</w:t>
            </w:r>
            <w:r>
              <w:rPr>
                <w:rFonts w:hint="eastAsia" w:ascii="Times New Roman"/>
                <w:sz w:val="18"/>
                <w:szCs w:val="18"/>
              </w:rPr>
              <w:t>叶片受害后．在叶片表面产生一层白色或灰白色的粉质霉层</w:t>
            </w:r>
            <w:r>
              <w:rPr>
                <w:rFonts w:hint="eastAsia" w:ascii="Times New Roman" w:cs="宋体"/>
                <w:kern w:val="0"/>
                <w:sz w:val="18"/>
                <w:szCs w:val="18"/>
              </w:rPr>
              <w:t>。发病</w:t>
            </w:r>
            <w:r>
              <w:rPr>
                <w:rFonts w:ascii="Times New Roman" w:cs="宋体"/>
                <w:kern w:val="0"/>
                <w:sz w:val="18"/>
                <w:szCs w:val="18"/>
              </w:rPr>
              <w:t>初期为黄绿色不规则小斑，边缘不明显。随后病斑不断扩大，表面生出白粉斑，最后该处长出无数黑点。染病部位变成灰色，连片覆盖其表面，边缘不清晰，呈污白色或淡灰白色。受害严重时叶片皱缩变小，嫩梢扭曲畸形，花芽不开。</w:t>
            </w:r>
          </w:p>
        </w:tc>
        <w:tc>
          <w:tcPr>
            <w:tcW w:w="3953" w:type="dxa"/>
            <w:noWrap w:val="0"/>
            <w:vAlign w:val="top"/>
          </w:tcPr>
          <w:p w14:paraId="4A676FE8">
            <w:pPr>
              <w:pStyle w:val="14"/>
              <w:numPr>
                <w:ilvl w:val="0"/>
                <w:numId w:val="0"/>
              </w:numPr>
              <w:wordWrap/>
              <w:spacing w:before="156" w:after="156"/>
              <w:jc w:val="left"/>
              <w:rPr>
                <w:rFonts w:hint="eastAsia" w:ascii="Times New Roman" w:eastAsia="宋体"/>
                <w:kern w:val="0"/>
                <w:sz w:val="18"/>
                <w:szCs w:val="18"/>
              </w:rPr>
            </w:pPr>
          </w:p>
          <w:p w14:paraId="5DBF5BA5">
            <w:pPr>
              <w:pStyle w:val="14"/>
              <w:numPr>
                <w:ilvl w:val="0"/>
                <w:numId w:val="0"/>
              </w:numPr>
              <w:wordWrap/>
              <w:spacing w:before="156" w:after="156"/>
              <w:jc w:val="left"/>
              <w:rPr>
                <w:rFonts w:hint="eastAsia" w:ascii="Times New Roman" w:eastAsia="宋体"/>
                <w:kern w:val="0"/>
                <w:sz w:val="18"/>
                <w:szCs w:val="18"/>
              </w:rPr>
            </w:pPr>
          </w:p>
          <w:p w14:paraId="288B282A">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发病后可用25%粉锈宁1500倍液或70%甲基托布津可湿性粉剂1000倍液喷洒，每隔7～10天1次，连续3次。</w:t>
            </w:r>
          </w:p>
          <w:p w14:paraId="3CBA0FF2">
            <w:pPr>
              <w:pStyle w:val="16"/>
              <w:numPr>
                <w:ilvl w:val="0"/>
                <w:numId w:val="0"/>
              </w:numPr>
              <w:wordWrap/>
              <w:jc w:val="left"/>
              <w:outlineLvl w:val="9"/>
              <w:rPr>
                <w:rFonts w:hint="eastAsia" w:ascii="Times New Roman"/>
                <w:kern w:val="0"/>
                <w:sz w:val="18"/>
                <w:szCs w:val="18"/>
              </w:rPr>
            </w:pPr>
          </w:p>
        </w:tc>
      </w:tr>
      <w:tr w14:paraId="7F958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5" w:hRule="atLeast"/>
          <w:jc w:val="center"/>
        </w:trPr>
        <w:tc>
          <w:tcPr>
            <w:tcW w:w="1770" w:type="dxa"/>
            <w:noWrap w:val="0"/>
            <w:vAlign w:val="top"/>
          </w:tcPr>
          <w:p w14:paraId="7C0E1AE1">
            <w:pPr>
              <w:pStyle w:val="12"/>
              <w:tabs>
                <w:tab w:val="center" w:pos="4201"/>
                <w:tab w:val="right" w:leader="dot" w:pos="9298"/>
              </w:tabs>
              <w:ind w:firstLine="0" w:firstLineChars="0"/>
              <w:jc w:val="center"/>
              <w:rPr>
                <w:rFonts w:hint="eastAsia" w:ascii="Times New Roman" w:hAnsi="宋体" w:cs="宋体"/>
                <w:bCs/>
                <w:sz w:val="18"/>
                <w:szCs w:val="18"/>
              </w:rPr>
            </w:pPr>
          </w:p>
          <w:p w14:paraId="4D100A91">
            <w:pPr>
              <w:pStyle w:val="12"/>
              <w:tabs>
                <w:tab w:val="center" w:pos="4201"/>
                <w:tab w:val="right" w:leader="dot" w:pos="9298"/>
              </w:tabs>
              <w:ind w:firstLine="0" w:firstLineChars="0"/>
              <w:jc w:val="center"/>
              <w:rPr>
                <w:rFonts w:hint="eastAsia" w:ascii="Times New Roman" w:hAnsi="宋体" w:cs="宋体"/>
                <w:bCs/>
                <w:sz w:val="18"/>
                <w:szCs w:val="18"/>
              </w:rPr>
            </w:pPr>
          </w:p>
          <w:p w14:paraId="5195460B">
            <w:pPr>
              <w:pStyle w:val="12"/>
              <w:tabs>
                <w:tab w:val="center" w:pos="4201"/>
                <w:tab w:val="right" w:leader="dot" w:pos="9298"/>
              </w:tabs>
              <w:ind w:firstLine="0" w:firstLineChars="0"/>
              <w:jc w:val="center"/>
              <w:rPr>
                <w:rFonts w:hint="eastAsia" w:ascii="Times New Roman" w:hAnsi="宋体" w:cs="宋体"/>
                <w:bCs/>
                <w:sz w:val="18"/>
                <w:szCs w:val="18"/>
              </w:rPr>
            </w:pPr>
          </w:p>
          <w:p w14:paraId="081A1144">
            <w:pPr>
              <w:pStyle w:val="12"/>
              <w:tabs>
                <w:tab w:val="center" w:pos="4201"/>
                <w:tab w:val="right" w:leader="dot" w:pos="9298"/>
              </w:tabs>
              <w:ind w:firstLine="0" w:firstLineChars="0"/>
              <w:jc w:val="center"/>
              <w:rPr>
                <w:rFonts w:hint="eastAsia" w:ascii="Times New Roman" w:hAnsi="宋体" w:cs="宋体"/>
                <w:bCs/>
                <w:sz w:val="18"/>
                <w:szCs w:val="18"/>
              </w:rPr>
            </w:pPr>
          </w:p>
          <w:p w14:paraId="2BEA3542">
            <w:pPr>
              <w:pStyle w:val="12"/>
              <w:tabs>
                <w:tab w:val="center" w:pos="4201"/>
                <w:tab w:val="right" w:leader="dot" w:pos="9298"/>
              </w:tabs>
              <w:ind w:firstLine="0" w:firstLineChars="0"/>
              <w:jc w:val="center"/>
              <w:rPr>
                <w:rFonts w:hint="eastAsia" w:ascii="Times New Roman" w:hAnsi="宋体" w:cs="宋体"/>
                <w:bCs/>
                <w:sz w:val="18"/>
                <w:szCs w:val="18"/>
              </w:rPr>
            </w:pPr>
          </w:p>
          <w:p w14:paraId="44B995CA">
            <w:pPr>
              <w:pStyle w:val="12"/>
              <w:tabs>
                <w:tab w:val="center" w:pos="4201"/>
                <w:tab w:val="right" w:leader="dot" w:pos="9298"/>
              </w:tabs>
              <w:ind w:left="0" w:leftChars="0" w:firstLine="0" w:firstLineChars="0"/>
              <w:jc w:val="center"/>
              <w:rPr>
                <w:rFonts w:hint="eastAsia" w:ascii="Times New Roman" w:cs="宋体"/>
                <w:sz w:val="18"/>
                <w:szCs w:val="18"/>
              </w:rPr>
            </w:pPr>
            <w:r>
              <w:rPr>
                <w:rFonts w:hint="eastAsia" w:ascii="Times New Roman" w:hAnsi="宋体" w:cs="宋体"/>
                <w:bCs/>
                <w:sz w:val="18"/>
                <w:szCs w:val="18"/>
              </w:rPr>
              <w:t>叶肿病</w:t>
            </w:r>
          </w:p>
        </w:tc>
        <w:tc>
          <w:tcPr>
            <w:tcW w:w="3255" w:type="dxa"/>
            <w:noWrap w:val="0"/>
            <w:vAlign w:val="top"/>
          </w:tcPr>
          <w:p w14:paraId="19FDE008">
            <w:pPr>
              <w:pStyle w:val="12"/>
              <w:tabs>
                <w:tab w:val="center" w:pos="4201"/>
                <w:tab w:val="right" w:leader="dot" w:pos="9298"/>
              </w:tabs>
              <w:ind w:firstLine="0" w:firstLineChars="0"/>
              <w:jc w:val="left"/>
              <w:rPr>
                <w:rFonts w:hint="eastAsia" w:ascii="Times New Roman"/>
                <w:color w:val="333333"/>
                <w:sz w:val="18"/>
                <w:szCs w:val="18"/>
              </w:rPr>
            </w:pPr>
            <w:r>
              <w:rPr>
                <w:rFonts w:hint="eastAsia" w:ascii="Times New Roman" w:hAnsi="宋体" w:cs="宋体"/>
                <w:bCs/>
                <w:sz w:val="18"/>
                <w:szCs w:val="18"/>
              </w:rPr>
              <w:t>受害后，嫩叶病部明显肿大、变形，背面凹下，正面隆起，呈半球形。病害初期，叶片表面出现淡绿色、半透明略呈凹陷的近圆形斑，病斑渐变淡红至暗褐色，病部叶片逐渐加厚，正面隆起呈球形至不规则形，严重时全叶肿大呈畸形。病斑表面覆盖一层灰白色粉层，粉层分散后，病部变深褐至黑褐色。新嫩梢芽受害后，顶端形成肉质叶丛或肉瘿。花受侵染后变厚、变硬、肉质形如苹果。</w:t>
            </w:r>
            <w:r>
              <w:rPr>
                <w:rFonts w:ascii="Times New Roman" w:hAnsi="宋体" w:cs="宋体"/>
                <w:bCs/>
                <w:sz w:val="18"/>
                <w:szCs w:val="18"/>
              </w:rPr>
              <w:t>最后病部变黑褐色干枯脱落。</w:t>
            </w:r>
          </w:p>
        </w:tc>
        <w:tc>
          <w:tcPr>
            <w:tcW w:w="3953" w:type="dxa"/>
            <w:noWrap w:val="0"/>
            <w:vAlign w:val="top"/>
          </w:tcPr>
          <w:p w14:paraId="57998B57">
            <w:pPr>
              <w:pStyle w:val="14"/>
              <w:numPr>
                <w:ilvl w:val="0"/>
                <w:numId w:val="0"/>
              </w:numPr>
              <w:wordWrap/>
              <w:spacing w:before="156" w:after="156"/>
              <w:jc w:val="left"/>
              <w:rPr>
                <w:rFonts w:hint="eastAsia" w:ascii="Times New Roman" w:eastAsia="宋体"/>
                <w:kern w:val="0"/>
                <w:sz w:val="18"/>
                <w:szCs w:val="18"/>
              </w:rPr>
            </w:pPr>
          </w:p>
          <w:p w14:paraId="77DA573C">
            <w:pPr>
              <w:pStyle w:val="14"/>
              <w:numPr>
                <w:ilvl w:val="0"/>
                <w:numId w:val="0"/>
              </w:numPr>
              <w:wordWrap/>
              <w:spacing w:before="156" w:after="156"/>
              <w:jc w:val="left"/>
              <w:rPr>
                <w:rFonts w:hint="eastAsia" w:ascii="Times New Roman" w:eastAsia="宋体"/>
                <w:kern w:val="0"/>
                <w:sz w:val="18"/>
                <w:szCs w:val="18"/>
              </w:rPr>
            </w:pPr>
          </w:p>
          <w:p w14:paraId="01367698">
            <w:pPr>
              <w:pStyle w:val="14"/>
              <w:numPr>
                <w:ilvl w:val="0"/>
                <w:numId w:val="0"/>
              </w:numPr>
              <w:wordWrap/>
              <w:spacing w:before="156" w:after="156"/>
              <w:jc w:val="left"/>
              <w:rPr>
                <w:rFonts w:hint="eastAsia" w:ascii="Times New Roman" w:eastAsia="宋体"/>
                <w:kern w:val="0"/>
                <w:sz w:val="18"/>
                <w:szCs w:val="18"/>
              </w:rPr>
            </w:pPr>
          </w:p>
          <w:p w14:paraId="6BCA6890">
            <w:pPr>
              <w:pStyle w:val="14"/>
              <w:numPr>
                <w:ilvl w:val="0"/>
                <w:numId w:val="0"/>
              </w:numPr>
              <w:wordWrap/>
              <w:spacing w:before="156" w:after="156"/>
              <w:jc w:val="left"/>
              <w:rPr>
                <w:rFonts w:hint="eastAsia" w:ascii="Times New Roman" w:eastAsia="宋体"/>
                <w:kern w:val="0"/>
                <w:sz w:val="18"/>
                <w:szCs w:val="18"/>
              </w:rPr>
            </w:pPr>
          </w:p>
          <w:p w14:paraId="0D2AAF1A">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1、在两次发病高峰前1～2周，喷洒1/700代森锌或0.52%波尔多液，每周1次，连续2～3次。</w:t>
            </w:r>
          </w:p>
          <w:p w14:paraId="001BBF35">
            <w:pPr>
              <w:pStyle w:val="14"/>
              <w:numPr>
                <w:ilvl w:val="0"/>
                <w:numId w:val="0"/>
              </w:numPr>
              <w:wordWrap/>
              <w:spacing w:before="156" w:after="156"/>
              <w:jc w:val="left"/>
              <w:rPr>
                <w:rFonts w:hint="eastAsia" w:ascii="Times New Roman" w:eastAsia="宋体"/>
                <w:kern w:val="0"/>
                <w:sz w:val="18"/>
                <w:szCs w:val="18"/>
              </w:rPr>
            </w:pPr>
            <w:r>
              <w:rPr>
                <w:rFonts w:hint="eastAsia" w:ascii="Times New Roman" w:eastAsia="宋体"/>
                <w:kern w:val="0"/>
                <w:sz w:val="18"/>
                <w:szCs w:val="18"/>
              </w:rPr>
              <w:t>2、平时发现病叶、病梢，应立即摘除销毁。加强环境通风，增强光照，少施氮肥，增强植株的抵抗力。</w:t>
            </w:r>
          </w:p>
        </w:tc>
      </w:tr>
    </w:tbl>
    <w:p w14:paraId="3A6773FF">
      <w:pPr>
        <w:pStyle w:val="12"/>
        <w:keepNext w:val="0"/>
        <w:keepLines w:val="0"/>
        <w:pageBreakBefore w:val="0"/>
        <w:widowControl/>
        <w:tabs>
          <w:tab w:val="center" w:pos="4201"/>
          <w:tab w:val="right" w:leader="dot" w:pos="9298"/>
        </w:tabs>
        <w:kinsoku/>
        <w:wordWrap/>
        <w:overflowPunct/>
        <w:topLinePunct w:val="0"/>
        <w:autoSpaceDE w:val="0"/>
        <w:autoSpaceDN w:val="0"/>
        <w:bidi w:val="0"/>
        <w:adjustRightInd/>
        <w:snapToGrid/>
        <w:ind w:firstLine="0" w:firstLineChars="0"/>
        <w:jc w:val="left"/>
        <w:textAlignment w:val="auto"/>
        <w:outlineLvl w:val="0"/>
        <w:rPr>
          <w:rFonts w:hint="eastAsia" w:ascii="Times New Roman"/>
        </w:rPr>
      </w:pPr>
      <w:bookmarkStart w:id="17" w:name="_Toc11979"/>
      <w:r>
        <w:rPr>
          <w:rFonts w:hint="eastAsia" w:ascii="黑体" w:hAnsi="黑体" w:eastAsia="黑体" w:cs="黑体"/>
          <w:sz w:val="24"/>
          <w:szCs w:val="24"/>
        </w:rPr>
        <w:t>A.2  迷人杜鹃常见虫害防治技术</w:t>
      </w:r>
      <w:bookmarkEnd w:id="17"/>
    </w:p>
    <w:tbl>
      <w:tblPr>
        <w:tblStyle w:val="8"/>
        <w:tblpPr w:leftFromText="180" w:rightFromText="180" w:vertAnchor="text" w:horzAnchor="margin" w:tblpXSpec="center" w:tblpY="34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3"/>
        <w:gridCol w:w="2858"/>
        <w:gridCol w:w="4824"/>
      </w:tblGrid>
      <w:tr w14:paraId="4839A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trPr>
        <w:tc>
          <w:tcPr>
            <w:tcW w:w="1263" w:type="dxa"/>
            <w:noWrap w:val="0"/>
            <w:vAlign w:val="top"/>
          </w:tcPr>
          <w:p w14:paraId="422A34DE">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虫害名称</w:t>
            </w:r>
          </w:p>
        </w:tc>
        <w:tc>
          <w:tcPr>
            <w:tcW w:w="2858" w:type="dxa"/>
            <w:noWrap w:val="0"/>
            <w:vAlign w:val="top"/>
          </w:tcPr>
          <w:p w14:paraId="579BB8F1">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主要症状</w:t>
            </w:r>
          </w:p>
        </w:tc>
        <w:tc>
          <w:tcPr>
            <w:tcW w:w="4824" w:type="dxa"/>
            <w:noWrap w:val="0"/>
            <w:vAlign w:val="top"/>
          </w:tcPr>
          <w:p w14:paraId="2D1DF9A1">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防治方法</w:t>
            </w:r>
          </w:p>
        </w:tc>
      </w:tr>
      <w:tr w14:paraId="7627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trPr>
        <w:tc>
          <w:tcPr>
            <w:tcW w:w="1263" w:type="dxa"/>
            <w:noWrap w:val="0"/>
            <w:vAlign w:val="top"/>
          </w:tcPr>
          <w:p w14:paraId="154B0326">
            <w:pPr>
              <w:pStyle w:val="12"/>
              <w:tabs>
                <w:tab w:val="center" w:pos="4201"/>
                <w:tab w:val="right" w:leader="dot" w:pos="9298"/>
              </w:tabs>
              <w:ind w:firstLine="0" w:firstLineChars="0"/>
              <w:jc w:val="center"/>
              <w:rPr>
                <w:rStyle w:val="10"/>
                <w:rFonts w:ascii="Times New Roman"/>
                <w:b w:val="0"/>
                <w:sz w:val="18"/>
                <w:szCs w:val="18"/>
              </w:rPr>
            </w:pPr>
          </w:p>
          <w:p w14:paraId="055BBEAC">
            <w:pPr>
              <w:pStyle w:val="12"/>
              <w:tabs>
                <w:tab w:val="center" w:pos="4201"/>
                <w:tab w:val="right" w:leader="dot" w:pos="9298"/>
              </w:tabs>
              <w:ind w:firstLine="0" w:firstLineChars="0"/>
              <w:jc w:val="center"/>
              <w:rPr>
                <w:rStyle w:val="10"/>
                <w:rFonts w:ascii="Times New Roman"/>
                <w:b w:val="0"/>
                <w:sz w:val="18"/>
                <w:szCs w:val="18"/>
              </w:rPr>
            </w:pPr>
          </w:p>
          <w:p w14:paraId="62F88727">
            <w:pPr>
              <w:pStyle w:val="12"/>
              <w:tabs>
                <w:tab w:val="center" w:pos="4201"/>
                <w:tab w:val="right" w:leader="dot" w:pos="9298"/>
              </w:tabs>
              <w:ind w:firstLine="0" w:firstLineChars="0"/>
              <w:jc w:val="center"/>
              <w:rPr>
                <w:rFonts w:hint="eastAsia" w:ascii="Times New Roman"/>
                <w:sz w:val="18"/>
                <w:szCs w:val="18"/>
              </w:rPr>
            </w:pPr>
            <w:r>
              <w:rPr>
                <w:rStyle w:val="10"/>
                <w:rFonts w:ascii="Times New Roman"/>
                <w:b w:val="0"/>
                <w:sz w:val="18"/>
                <w:szCs w:val="18"/>
              </w:rPr>
              <w:t>杜鹃冠网蝽</w:t>
            </w:r>
          </w:p>
        </w:tc>
        <w:tc>
          <w:tcPr>
            <w:tcW w:w="2858" w:type="dxa"/>
            <w:noWrap w:val="0"/>
            <w:vAlign w:val="top"/>
          </w:tcPr>
          <w:p w14:paraId="380A5428">
            <w:pPr>
              <w:pStyle w:val="12"/>
              <w:tabs>
                <w:tab w:val="center" w:pos="4201"/>
                <w:tab w:val="right" w:leader="dot" w:pos="9298"/>
              </w:tabs>
              <w:ind w:firstLine="0" w:firstLineChars="0"/>
              <w:jc w:val="left"/>
              <w:rPr>
                <w:rFonts w:hint="eastAsia" w:ascii="Times New Roman"/>
                <w:sz w:val="18"/>
                <w:szCs w:val="18"/>
              </w:rPr>
            </w:pPr>
            <w:r>
              <w:rPr>
                <w:rFonts w:ascii="Times New Roman"/>
                <w:sz w:val="18"/>
                <w:szCs w:val="18"/>
              </w:rPr>
              <w:t>以成虫和若虫群集于</w:t>
            </w:r>
            <w:r>
              <w:rPr>
                <w:rFonts w:hint="eastAsia" w:ascii="Times New Roman"/>
                <w:sz w:val="18"/>
                <w:szCs w:val="18"/>
              </w:rPr>
              <w:t>杜鹃</w:t>
            </w:r>
            <w:r>
              <w:rPr>
                <w:rFonts w:ascii="Times New Roman"/>
                <w:sz w:val="18"/>
                <w:szCs w:val="18"/>
              </w:rPr>
              <w:t>叶背吸食汁液危害，从而在叶面上出现密集的苍白色小斑点</w:t>
            </w:r>
            <w:r>
              <w:rPr>
                <w:rFonts w:hint="eastAsia" w:ascii="Times New Roman"/>
                <w:sz w:val="18"/>
                <w:szCs w:val="18"/>
              </w:rPr>
              <w:t>，</w:t>
            </w:r>
            <w:r>
              <w:rPr>
                <w:rFonts w:ascii="Times New Roman"/>
                <w:sz w:val="18"/>
                <w:szCs w:val="18"/>
              </w:rPr>
              <w:t>在叶背上还可见很多黑褐色虫粪和脱皮壳。</w:t>
            </w:r>
            <w:r>
              <w:rPr>
                <w:rFonts w:hint="eastAsia" w:ascii="Times New Roman"/>
                <w:sz w:val="18"/>
                <w:szCs w:val="18"/>
              </w:rPr>
              <w:t>造成叶片早期干枯脱落，严重的甚至引起植株死亡。</w:t>
            </w:r>
          </w:p>
        </w:tc>
        <w:tc>
          <w:tcPr>
            <w:tcW w:w="4824" w:type="dxa"/>
            <w:noWrap w:val="0"/>
            <w:vAlign w:val="top"/>
          </w:tcPr>
          <w:p w14:paraId="71F51AF2">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1、</w:t>
            </w:r>
            <w:r>
              <w:rPr>
                <w:rFonts w:ascii="Times New Roman"/>
                <w:sz w:val="18"/>
                <w:szCs w:val="18"/>
              </w:rPr>
              <w:t>入冬后，清除</w:t>
            </w:r>
            <w:r>
              <w:rPr>
                <w:rFonts w:hint="eastAsia" w:ascii="Times New Roman"/>
                <w:sz w:val="18"/>
                <w:szCs w:val="18"/>
              </w:rPr>
              <w:t>杜鹃</w:t>
            </w:r>
            <w:r>
              <w:rPr>
                <w:rFonts w:ascii="Times New Roman"/>
                <w:sz w:val="18"/>
                <w:szCs w:val="18"/>
              </w:rPr>
              <w:t>附近的落叶、杂草，深埋或焚烧，消灭越冬成虫。</w:t>
            </w:r>
          </w:p>
          <w:p w14:paraId="510F6F0E">
            <w:pPr>
              <w:pStyle w:val="12"/>
              <w:tabs>
                <w:tab w:val="center" w:pos="4201"/>
                <w:tab w:val="right" w:leader="dot" w:pos="9298"/>
              </w:tabs>
              <w:ind w:firstLine="0" w:firstLineChars="0"/>
              <w:jc w:val="left"/>
              <w:rPr>
                <w:rFonts w:hint="eastAsia" w:ascii="Times New Roman"/>
                <w:sz w:val="18"/>
                <w:szCs w:val="18"/>
              </w:rPr>
            </w:pPr>
            <w:r>
              <w:rPr>
                <w:rFonts w:hint="eastAsia" w:ascii="Times New Roman"/>
                <w:sz w:val="18"/>
                <w:szCs w:val="18"/>
              </w:rPr>
              <w:t>2、</w:t>
            </w:r>
            <w:r>
              <w:rPr>
                <w:rFonts w:ascii="Times New Roman"/>
                <w:sz w:val="18"/>
                <w:szCs w:val="18"/>
              </w:rPr>
              <w:t>4月底至5月初在越冬成虫出现后和第一代若虫发生期，喷洒50%螟松乳剂1000倍液，7</w:t>
            </w:r>
            <w:r>
              <w:rPr>
                <w:rFonts w:hint="eastAsia" w:ascii="Times New Roman"/>
                <w:sz w:val="18"/>
                <w:szCs w:val="18"/>
              </w:rPr>
              <w:t>～</w:t>
            </w:r>
            <w:r>
              <w:rPr>
                <w:rFonts w:ascii="Times New Roman"/>
                <w:sz w:val="18"/>
                <w:szCs w:val="18"/>
              </w:rPr>
              <w:t>10天一次，连续喷洒2</w:t>
            </w:r>
            <w:r>
              <w:rPr>
                <w:rFonts w:hint="eastAsia" w:ascii="Times New Roman"/>
                <w:sz w:val="18"/>
                <w:szCs w:val="18"/>
              </w:rPr>
              <w:t>～</w:t>
            </w:r>
            <w:r>
              <w:rPr>
                <w:rFonts w:ascii="Times New Roman"/>
                <w:sz w:val="18"/>
                <w:szCs w:val="18"/>
              </w:rPr>
              <w:t>3次。</w:t>
            </w:r>
          </w:p>
        </w:tc>
      </w:tr>
      <w:tr w14:paraId="3783B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trPr>
        <w:tc>
          <w:tcPr>
            <w:tcW w:w="1263" w:type="dxa"/>
            <w:noWrap w:val="0"/>
            <w:vAlign w:val="top"/>
          </w:tcPr>
          <w:p w14:paraId="693AF0C3">
            <w:pPr>
              <w:pStyle w:val="12"/>
              <w:tabs>
                <w:tab w:val="center" w:pos="4201"/>
                <w:tab w:val="right" w:leader="dot" w:pos="9298"/>
              </w:tabs>
              <w:ind w:firstLine="0" w:firstLineChars="0"/>
              <w:jc w:val="center"/>
              <w:rPr>
                <w:rStyle w:val="10"/>
                <w:rFonts w:ascii="Times New Roman"/>
                <w:b w:val="0"/>
                <w:sz w:val="18"/>
                <w:szCs w:val="18"/>
              </w:rPr>
            </w:pPr>
          </w:p>
          <w:p w14:paraId="252B4DA0">
            <w:pPr>
              <w:pStyle w:val="12"/>
              <w:tabs>
                <w:tab w:val="center" w:pos="4201"/>
                <w:tab w:val="right" w:leader="dot" w:pos="9298"/>
              </w:tabs>
              <w:ind w:firstLine="0" w:firstLineChars="0"/>
              <w:jc w:val="center"/>
              <w:rPr>
                <w:rStyle w:val="10"/>
                <w:rFonts w:ascii="Times New Roman"/>
                <w:b w:val="0"/>
                <w:sz w:val="18"/>
                <w:szCs w:val="18"/>
              </w:rPr>
            </w:pPr>
          </w:p>
          <w:p w14:paraId="7A30F939">
            <w:pPr>
              <w:pStyle w:val="12"/>
              <w:tabs>
                <w:tab w:val="center" w:pos="4201"/>
                <w:tab w:val="right" w:leader="dot" w:pos="9298"/>
              </w:tabs>
              <w:ind w:firstLine="0" w:firstLineChars="0"/>
              <w:jc w:val="center"/>
              <w:rPr>
                <w:rFonts w:hint="eastAsia" w:ascii="Times New Roman"/>
                <w:sz w:val="18"/>
                <w:szCs w:val="18"/>
              </w:rPr>
            </w:pPr>
            <w:r>
              <w:rPr>
                <w:rStyle w:val="10"/>
                <w:rFonts w:ascii="Times New Roman"/>
                <w:b w:val="0"/>
                <w:sz w:val="18"/>
                <w:szCs w:val="18"/>
              </w:rPr>
              <w:t>红蜘蛛</w:t>
            </w:r>
          </w:p>
        </w:tc>
        <w:tc>
          <w:tcPr>
            <w:tcW w:w="2858" w:type="dxa"/>
            <w:noWrap w:val="0"/>
            <w:vAlign w:val="top"/>
          </w:tcPr>
          <w:p w14:paraId="61B91F83">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ascii="Times New Roman" w:hAnsi="宋体" w:cs="宋体"/>
                <w:kern w:val="21"/>
                <w:sz w:val="18"/>
                <w:szCs w:val="18"/>
                <w:lang w:val="en-US" w:eastAsia="zh-CN"/>
              </w:rPr>
              <w:t>被害叶变小、变黄、变红，向后卷，生长不旺，主要是在高温</w:t>
            </w:r>
            <w:r>
              <w:rPr>
                <w:rFonts w:ascii="Times New Roman" w:cs="宋体"/>
                <w:kern w:val="21"/>
                <w:sz w:val="18"/>
                <w:szCs w:val="18"/>
                <w:lang w:val="en-US" w:eastAsia="zh-CN"/>
              </w:rPr>
              <w:t>6-8</w:t>
            </w:r>
            <w:r>
              <w:rPr>
                <w:rFonts w:ascii="Times New Roman" w:hAnsi="宋体" w:cs="宋体"/>
                <w:kern w:val="21"/>
                <w:sz w:val="18"/>
                <w:szCs w:val="18"/>
                <w:lang w:val="en-US" w:eastAsia="zh-CN"/>
              </w:rPr>
              <w:t>月份危害严重，使叶片变黄脱落。</w:t>
            </w:r>
          </w:p>
        </w:tc>
        <w:tc>
          <w:tcPr>
            <w:tcW w:w="4824" w:type="dxa"/>
            <w:noWrap w:val="0"/>
            <w:vAlign w:val="top"/>
          </w:tcPr>
          <w:p w14:paraId="6DBA838D">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hint="eastAsia" w:ascii="Times New Roman" w:cs="宋体"/>
                <w:kern w:val="21"/>
                <w:sz w:val="18"/>
                <w:szCs w:val="18"/>
                <w:lang w:val="en-US" w:eastAsia="zh-CN"/>
              </w:rPr>
              <w:t>1</w:t>
            </w:r>
            <w:r>
              <w:rPr>
                <w:rFonts w:hint="eastAsia" w:ascii="Times New Roman" w:hAnsi="宋体" w:cs="宋体"/>
                <w:kern w:val="21"/>
                <w:sz w:val="18"/>
                <w:szCs w:val="18"/>
                <w:lang w:val="en-US" w:eastAsia="zh-CN"/>
              </w:rPr>
              <w:t>、在</w:t>
            </w:r>
            <w:r>
              <w:rPr>
                <w:rFonts w:hint="eastAsia" w:ascii="Times New Roman" w:cs="宋体"/>
                <w:kern w:val="21"/>
                <w:sz w:val="18"/>
                <w:szCs w:val="18"/>
                <w:lang w:val="en-US" w:eastAsia="zh-CN"/>
              </w:rPr>
              <w:t>3</w:t>
            </w:r>
            <w:r>
              <w:rPr>
                <w:rFonts w:hint="eastAsia" w:ascii="Times New Roman" w:hAnsi="宋体" w:cs="宋体"/>
                <w:kern w:val="21"/>
                <w:sz w:val="18"/>
                <w:szCs w:val="18"/>
                <w:lang w:val="en-US" w:eastAsia="zh-CN"/>
              </w:rPr>
              <w:t>月发生期用</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1000</w:t>
            </w:r>
            <w:r>
              <w:rPr>
                <w:rFonts w:hint="eastAsia" w:ascii="Times New Roman" w:hAnsi="宋体" w:cs="宋体"/>
                <w:kern w:val="21"/>
                <w:sz w:val="18"/>
                <w:szCs w:val="18"/>
                <w:lang w:val="en-US" w:eastAsia="zh-CN"/>
              </w:rPr>
              <w:t>三氯杀螨醇加</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1500</w:t>
            </w:r>
            <w:r>
              <w:rPr>
                <w:rFonts w:hint="eastAsia" w:ascii="Times New Roman" w:hAnsi="宋体" w:cs="宋体"/>
                <w:kern w:val="21"/>
                <w:sz w:val="18"/>
                <w:szCs w:val="18"/>
                <w:lang w:val="en-US" w:eastAsia="zh-CN"/>
              </w:rPr>
              <w:t>的</w:t>
            </w:r>
            <w:r>
              <w:rPr>
                <w:rFonts w:hint="eastAsia" w:ascii="Times New Roman" w:cs="宋体"/>
                <w:kern w:val="21"/>
                <w:sz w:val="18"/>
                <w:szCs w:val="18"/>
                <w:lang w:val="en-US" w:eastAsia="zh-CN"/>
              </w:rPr>
              <w:t>40%</w:t>
            </w:r>
            <w:r>
              <w:rPr>
                <w:rFonts w:hint="eastAsia" w:ascii="Times New Roman" w:hAnsi="宋体" w:cs="宋体"/>
                <w:kern w:val="21"/>
                <w:sz w:val="18"/>
                <w:szCs w:val="18"/>
                <w:lang w:val="en-US" w:eastAsia="zh-CN"/>
              </w:rPr>
              <w:t>乐果喷杀，每周一次，连续</w:t>
            </w:r>
            <w:r>
              <w:rPr>
                <w:rFonts w:hint="eastAsia" w:ascii="Times New Roman" w:cs="宋体"/>
                <w:kern w:val="21"/>
                <w:sz w:val="18"/>
                <w:szCs w:val="18"/>
                <w:lang w:val="en-US" w:eastAsia="zh-CN"/>
              </w:rPr>
              <w:t>3</w:t>
            </w:r>
            <w:r>
              <w:rPr>
                <w:rFonts w:hint="eastAsia" w:ascii="Times New Roman" w:hAnsi="宋体" w:cs="宋体"/>
                <w:kern w:val="21"/>
                <w:sz w:val="18"/>
                <w:szCs w:val="18"/>
                <w:lang w:val="en-US" w:eastAsia="zh-CN"/>
              </w:rPr>
              <w:t>次。冬季要清除枯枝落叶，消灭越冬成虫。</w:t>
            </w:r>
          </w:p>
          <w:p w14:paraId="5A74E467">
            <w:pPr>
              <w:pStyle w:val="16"/>
              <w:numPr>
                <w:ilvl w:val="0"/>
                <w:numId w:val="0"/>
              </w:numPr>
              <w:wordWrap/>
              <w:jc w:val="left"/>
              <w:rPr>
                <w:rFonts w:hint="eastAsia" w:ascii="Times New Roman" w:cs="宋体"/>
                <w:sz w:val="18"/>
                <w:szCs w:val="18"/>
              </w:rPr>
            </w:pPr>
            <w:r>
              <w:rPr>
                <w:rFonts w:hint="eastAsia" w:ascii="Times New Roman" w:cs="宋体"/>
                <w:sz w:val="18"/>
                <w:szCs w:val="18"/>
              </w:rPr>
              <w:t>2</w:t>
            </w:r>
            <w:r>
              <w:rPr>
                <w:rFonts w:hint="eastAsia" w:ascii="Times New Roman" w:hAnsi="宋体" w:cs="宋体"/>
                <w:sz w:val="18"/>
                <w:szCs w:val="18"/>
              </w:rPr>
              <w:t>、</w:t>
            </w:r>
            <w:r>
              <w:rPr>
                <w:rFonts w:ascii="Times New Roman" w:hAnsi="宋体" w:cs="宋体"/>
                <w:sz w:val="18"/>
                <w:szCs w:val="18"/>
              </w:rPr>
              <w:t>敌死可乳油</w:t>
            </w:r>
            <w:r>
              <w:rPr>
                <w:rFonts w:ascii="Times New Roman" w:cs="宋体"/>
                <w:sz w:val="18"/>
                <w:szCs w:val="18"/>
              </w:rPr>
              <w:t>1000</w:t>
            </w:r>
            <w:r>
              <w:rPr>
                <w:rFonts w:hint="eastAsia" w:ascii="Times New Roman"/>
                <w:kern w:val="0"/>
                <w:sz w:val="18"/>
                <w:szCs w:val="18"/>
              </w:rPr>
              <w:t>～</w:t>
            </w:r>
            <w:r>
              <w:rPr>
                <w:rFonts w:ascii="Times New Roman" w:cs="宋体"/>
                <w:sz w:val="18"/>
                <w:szCs w:val="18"/>
              </w:rPr>
              <w:t>1500</w:t>
            </w:r>
            <w:r>
              <w:rPr>
                <w:rFonts w:ascii="Times New Roman" w:hAnsi="宋体" w:cs="宋体"/>
                <w:sz w:val="18"/>
                <w:szCs w:val="18"/>
              </w:rPr>
              <w:t>倍液叶面喷施</w:t>
            </w:r>
            <w:r>
              <w:rPr>
                <w:rFonts w:hint="eastAsia" w:ascii="Times New Roman" w:hAnsi="宋体" w:cs="宋体"/>
                <w:sz w:val="18"/>
                <w:szCs w:val="18"/>
              </w:rPr>
              <w:t>或</w:t>
            </w:r>
            <w:r>
              <w:rPr>
                <w:rFonts w:ascii="Times New Roman" w:hAnsi="宋体" w:cs="宋体"/>
                <w:sz w:val="18"/>
                <w:szCs w:val="18"/>
              </w:rPr>
              <w:t>狼毒等一些杀红蜘蛛的农药</w:t>
            </w:r>
            <w:r>
              <w:rPr>
                <w:rFonts w:hint="eastAsia" w:ascii="Times New Roman" w:hAnsi="宋体" w:cs="宋体"/>
                <w:sz w:val="18"/>
                <w:szCs w:val="18"/>
              </w:rPr>
              <w:t>防治</w:t>
            </w:r>
            <w:r>
              <w:rPr>
                <w:rFonts w:ascii="Times New Roman" w:hAnsi="宋体" w:cs="宋体"/>
                <w:sz w:val="18"/>
                <w:szCs w:val="18"/>
              </w:rPr>
              <w:t>。</w:t>
            </w:r>
          </w:p>
          <w:p w14:paraId="2B7ADF87">
            <w:pPr>
              <w:pStyle w:val="12"/>
              <w:tabs>
                <w:tab w:val="center" w:pos="4201"/>
                <w:tab w:val="right" w:leader="dot" w:pos="9298"/>
              </w:tabs>
              <w:ind w:firstLine="360"/>
              <w:jc w:val="left"/>
              <w:rPr>
                <w:rFonts w:hint="eastAsia" w:ascii="Times New Roman" w:cs="宋体"/>
                <w:kern w:val="21"/>
                <w:sz w:val="18"/>
                <w:szCs w:val="18"/>
                <w:lang w:val="en-US" w:eastAsia="zh-CN"/>
              </w:rPr>
            </w:pPr>
          </w:p>
        </w:tc>
      </w:tr>
      <w:tr w14:paraId="4FA6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8" w:hRule="atLeast"/>
        </w:trPr>
        <w:tc>
          <w:tcPr>
            <w:tcW w:w="1263" w:type="dxa"/>
            <w:noWrap w:val="0"/>
            <w:vAlign w:val="top"/>
          </w:tcPr>
          <w:p w14:paraId="723E87E2">
            <w:pPr>
              <w:pStyle w:val="12"/>
              <w:tabs>
                <w:tab w:val="center" w:pos="4201"/>
                <w:tab w:val="right" w:leader="dot" w:pos="9298"/>
              </w:tabs>
              <w:ind w:firstLine="0" w:firstLineChars="0"/>
              <w:jc w:val="center"/>
              <w:rPr>
                <w:rStyle w:val="10"/>
                <w:rFonts w:hint="eastAsia" w:ascii="Times New Roman"/>
                <w:b w:val="0"/>
                <w:sz w:val="18"/>
                <w:szCs w:val="18"/>
              </w:rPr>
            </w:pPr>
          </w:p>
          <w:p w14:paraId="1E933BFE">
            <w:pPr>
              <w:pStyle w:val="12"/>
              <w:tabs>
                <w:tab w:val="center" w:pos="4201"/>
                <w:tab w:val="right" w:leader="dot" w:pos="9298"/>
              </w:tabs>
              <w:ind w:firstLine="0" w:firstLineChars="0"/>
              <w:jc w:val="center"/>
              <w:rPr>
                <w:rStyle w:val="10"/>
                <w:rFonts w:hint="eastAsia" w:ascii="Times New Roman"/>
                <w:b w:val="0"/>
                <w:sz w:val="18"/>
                <w:szCs w:val="18"/>
              </w:rPr>
            </w:pPr>
          </w:p>
          <w:p w14:paraId="44F716F7">
            <w:pPr>
              <w:pStyle w:val="12"/>
              <w:tabs>
                <w:tab w:val="center" w:pos="4201"/>
                <w:tab w:val="right" w:leader="dot" w:pos="9298"/>
              </w:tabs>
              <w:ind w:firstLine="0" w:firstLineChars="0"/>
              <w:jc w:val="center"/>
              <w:rPr>
                <w:rStyle w:val="10"/>
                <w:rFonts w:hint="eastAsia" w:ascii="Times New Roman"/>
                <w:b w:val="0"/>
                <w:sz w:val="18"/>
                <w:szCs w:val="18"/>
              </w:rPr>
            </w:pPr>
          </w:p>
          <w:p w14:paraId="7C87F4A4">
            <w:pPr>
              <w:pStyle w:val="12"/>
              <w:tabs>
                <w:tab w:val="center" w:pos="4201"/>
                <w:tab w:val="right" w:leader="dot" w:pos="9298"/>
              </w:tabs>
              <w:ind w:firstLine="0" w:firstLineChars="0"/>
              <w:jc w:val="center"/>
              <w:rPr>
                <w:rStyle w:val="10"/>
                <w:rFonts w:hint="eastAsia" w:ascii="Times New Roman"/>
                <w:b w:val="0"/>
                <w:sz w:val="18"/>
                <w:szCs w:val="18"/>
              </w:rPr>
            </w:pPr>
          </w:p>
          <w:p w14:paraId="703D4604">
            <w:pPr>
              <w:pStyle w:val="12"/>
              <w:tabs>
                <w:tab w:val="center" w:pos="4201"/>
                <w:tab w:val="right" w:leader="dot" w:pos="9298"/>
              </w:tabs>
              <w:ind w:left="0" w:leftChars="0" w:firstLine="0" w:firstLineChars="0"/>
              <w:jc w:val="center"/>
              <w:rPr>
                <w:rStyle w:val="10"/>
                <w:rFonts w:hint="eastAsia" w:ascii="Times New Roman"/>
                <w:b w:val="0"/>
                <w:sz w:val="18"/>
                <w:szCs w:val="18"/>
              </w:rPr>
            </w:pPr>
            <w:r>
              <w:rPr>
                <w:rStyle w:val="10"/>
                <w:rFonts w:hint="eastAsia" w:ascii="Times New Roman"/>
                <w:b w:val="0"/>
                <w:sz w:val="18"/>
                <w:szCs w:val="18"/>
              </w:rPr>
              <w:t>军配虫</w:t>
            </w:r>
          </w:p>
        </w:tc>
        <w:tc>
          <w:tcPr>
            <w:tcW w:w="2858" w:type="dxa"/>
            <w:noWrap w:val="0"/>
            <w:vAlign w:val="top"/>
          </w:tcPr>
          <w:p w14:paraId="1E6C1E73">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ascii="Times New Roman" w:hAnsi="宋体" w:cs="宋体"/>
                <w:bCs/>
                <w:sz w:val="18"/>
                <w:szCs w:val="18"/>
              </w:rPr>
              <w:t>成群聚在嫩叶叶背吸食汁液，造成煤斑与病变。</w:t>
            </w:r>
            <w:r>
              <w:rPr>
                <w:rFonts w:hint="eastAsia" w:ascii="Times New Roman" w:hAnsi="宋体" w:cs="宋体"/>
                <w:kern w:val="21"/>
                <w:sz w:val="18"/>
                <w:szCs w:val="18"/>
              </w:rPr>
              <w:t>受害叶片出现破损斑点，密密麻麻，叶绿素受到破坏，</w:t>
            </w:r>
            <w:r>
              <w:rPr>
                <w:rFonts w:ascii="Times New Roman" w:hAnsi="宋体" w:cs="宋体"/>
                <w:bCs/>
                <w:sz w:val="18"/>
                <w:szCs w:val="18"/>
              </w:rPr>
              <w:t>光合作用严重受阻，同时在叶前还可见到很多黑褐色虫粪粘液和脱皮壳，使叶背呈黄褐色的锈状斑点，引起叶片苍白甚至早期脱落，造成植株衰弱，影响生长发育及开花。</w:t>
            </w:r>
          </w:p>
        </w:tc>
        <w:tc>
          <w:tcPr>
            <w:tcW w:w="4824" w:type="dxa"/>
            <w:noWrap w:val="0"/>
            <w:vAlign w:val="top"/>
          </w:tcPr>
          <w:p w14:paraId="7ACF3DC2">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5A6AF5FC">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020E9437">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05B1B9A2">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3D2E4948">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化学防治要提早在</w:t>
            </w:r>
            <w:r>
              <w:rPr>
                <w:rFonts w:hint="eastAsia" w:ascii="Times New Roman" w:cs="宋体"/>
                <w:kern w:val="21"/>
                <w:sz w:val="18"/>
                <w:szCs w:val="18"/>
                <w:lang w:val="en-US" w:eastAsia="zh-CN"/>
              </w:rPr>
              <w:t>5</w:t>
            </w:r>
            <w:r>
              <w:rPr>
                <w:rFonts w:hint="eastAsia" w:ascii="Times New Roman" w:hAnsi="宋体" w:cs="宋体"/>
                <w:kern w:val="21"/>
                <w:sz w:val="18"/>
                <w:szCs w:val="18"/>
                <w:lang w:val="en-US" w:eastAsia="zh-CN"/>
              </w:rPr>
              <w:t>月上、中旬将第一代幼虫杀死。常用的药剂为</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1500</w:t>
            </w:r>
            <w:r>
              <w:rPr>
                <w:rFonts w:hint="eastAsia" w:ascii="Times New Roman" w:hAnsi="宋体" w:cs="宋体"/>
                <w:kern w:val="21"/>
                <w:sz w:val="18"/>
                <w:szCs w:val="18"/>
                <w:lang w:val="en-US" w:eastAsia="zh-CN"/>
              </w:rPr>
              <w:t>的乐果。清除落叶，减少越冬虫体。</w:t>
            </w:r>
          </w:p>
          <w:p w14:paraId="2E0932AF">
            <w:pPr>
              <w:pStyle w:val="12"/>
              <w:tabs>
                <w:tab w:val="center" w:pos="4201"/>
                <w:tab w:val="right" w:leader="dot" w:pos="9298"/>
              </w:tabs>
              <w:ind w:firstLine="0" w:firstLineChars="0"/>
              <w:jc w:val="left"/>
              <w:rPr>
                <w:rFonts w:hint="eastAsia" w:ascii="Times New Roman" w:cs="宋体"/>
                <w:kern w:val="21"/>
                <w:sz w:val="18"/>
                <w:szCs w:val="18"/>
                <w:lang w:val="en-US" w:eastAsia="zh-CN"/>
              </w:rPr>
            </w:pPr>
          </w:p>
        </w:tc>
      </w:tr>
      <w:tr w14:paraId="223EE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atLeast"/>
        </w:trPr>
        <w:tc>
          <w:tcPr>
            <w:tcW w:w="1263" w:type="dxa"/>
            <w:noWrap w:val="0"/>
            <w:vAlign w:val="top"/>
          </w:tcPr>
          <w:p w14:paraId="0AFD830B">
            <w:pPr>
              <w:pStyle w:val="12"/>
              <w:tabs>
                <w:tab w:val="center" w:pos="4201"/>
                <w:tab w:val="right" w:leader="dot" w:pos="9298"/>
              </w:tabs>
              <w:ind w:firstLine="0" w:firstLineChars="0"/>
              <w:jc w:val="center"/>
              <w:rPr>
                <w:rStyle w:val="10"/>
                <w:rFonts w:hint="eastAsia" w:ascii="Times New Roman"/>
                <w:b w:val="0"/>
                <w:sz w:val="18"/>
                <w:szCs w:val="18"/>
              </w:rPr>
            </w:pPr>
          </w:p>
          <w:p w14:paraId="402F6742">
            <w:pPr>
              <w:pStyle w:val="12"/>
              <w:tabs>
                <w:tab w:val="center" w:pos="4201"/>
                <w:tab w:val="right" w:leader="dot" w:pos="9298"/>
              </w:tabs>
              <w:ind w:firstLine="0" w:firstLineChars="0"/>
              <w:jc w:val="center"/>
              <w:rPr>
                <w:rStyle w:val="10"/>
                <w:rFonts w:hint="eastAsia" w:ascii="Times New Roman"/>
                <w:b w:val="0"/>
                <w:sz w:val="18"/>
                <w:szCs w:val="18"/>
              </w:rPr>
            </w:pPr>
          </w:p>
          <w:p w14:paraId="6CE00787">
            <w:pPr>
              <w:pStyle w:val="12"/>
              <w:tabs>
                <w:tab w:val="center" w:pos="4201"/>
                <w:tab w:val="right" w:leader="dot" w:pos="9298"/>
              </w:tabs>
              <w:ind w:firstLine="0" w:firstLineChars="0"/>
              <w:jc w:val="center"/>
              <w:rPr>
                <w:rStyle w:val="10"/>
                <w:rFonts w:hint="eastAsia" w:ascii="Times New Roman"/>
                <w:b w:val="0"/>
                <w:sz w:val="18"/>
                <w:szCs w:val="18"/>
              </w:rPr>
            </w:pPr>
          </w:p>
          <w:p w14:paraId="1087EDB5">
            <w:pPr>
              <w:pStyle w:val="12"/>
              <w:tabs>
                <w:tab w:val="center" w:pos="4201"/>
                <w:tab w:val="right" w:leader="dot" w:pos="9298"/>
              </w:tabs>
              <w:ind w:firstLine="0" w:firstLineChars="0"/>
              <w:jc w:val="both"/>
              <w:rPr>
                <w:rStyle w:val="10"/>
                <w:rFonts w:hint="eastAsia" w:ascii="Times New Roman"/>
                <w:b w:val="0"/>
                <w:sz w:val="18"/>
                <w:szCs w:val="18"/>
              </w:rPr>
            </w:pPr>
          </w:p>
          <w:p w14:paraId="11336980">
            <w:pPr>
              <w:pStyle w:val="12"/>
              <w:tabs>
                <w:tab w:val="center" w:pos="4201"/>
                <w:tab w:val="right" w:leader="dot" w:pos="9298"/>
              </w:tabs>
              <w:ind w:left="0" w:leftChars="0" w:firstLine="0" w:firstLineChars="0"/>
              <w:jc w:val="center"/>
              <w:rPr>
                <w:rStyle w:val="10"/>
                <w:rFonts w:hint="eastAsia" w:ascii="Times New Roman"/>
                <w:b w:val="0"/>
                <w:sz w:val="18"/>
                <w:szCs w:val="18"/>
              </w:rPr>
            </w:pPr>
            <w:r>
              <w:rPr>
                <w:rStyle w:val="10"/>
                <w:rFonts w:hint="eastAsia" w:ascii="Times New Roman"/>
                <w:b w:val="0"/>
                <w:sz w:val="18"/>
                <w:szCs w:val="18"/>
              </w:rPr>
              <w:t>玫斑金钢钻</w:t>
            </w:r>
          </w:p>
          <w:p w14:paraId="177A5463">
            <w:pPr>
              <w:pStyle w:val="12"/>
              <w:tabs>
                <w:tab w:val="center" w:pos="4201"/>
                <w:tab w:val="right" w:leader="dot" w:pos="9298"/>
              </w:tabs>
              <w:ind w:firstLine="0" w:firstLineChars="0"/>
              <w:jc w:val="left"/>
              <w:rPr>
                <w:rStyle w:val="10"/>
                <w:rFonts w:hint="eastAsia" w:ascii="Times New Roman"/>
                <w:b w:val="0"/>
                <w:sz w:val="18"/>
                <w:szCs w:val="18"/>
              </w:rPr>
            </w:pPr>
          </w:p>
        </w:tc>
        <w:tc>
          <w:tcPr>
            <w:tcW w:w="2858" w:type="dxa"/>
            <w:noWrap w:val="0"/>
            <w:vAlign w:val="top"/>
          </w:tcPr>
          <w:p w14:paraId="5E613992">
            <w:pPr>
              <w:pStyle w:val="12"/>
              <w:tabs>
                <w:tab w:val="center" w:pos="4201"/>
                <w:tab w:val="right" w:leader="dot" w:pos="9298"/>
              </w:tabs>
              <w:ind w:firstLine="0" w:firstLineChars="0"/>
              <w:jc w:val="left"/>
              <w:rPr>
                <w:rFonts w:ascii="Times New Roman" w:cs="宋体"/>
                <w:kern w:val="21"/>
                <w:sz w:val="18"/>
                <w:szCs w:val="18"/>
                <w:lang w:val="en-US" w:eastAsia="zh-CN"/>
              </w:rPr>
            </w:pPr>
            <w:r>
              <w:rPr>
                <w:rStyle w:val="10"/>
                <w:rFonts w:hint="eastAsia" w:ascii="Times New Roman"/>
                <w:b w:val="0"/>
                <w:sz w:val="18"/>
                <w:szCs w:val="18"/>
              </w:rPr>
              <w:t>成虫产卵于顶梢嫩叶的背面，幼虫危害时，从嫩梢的皮层吸食，将髓心食尽，造成顶端枯死 。秋季孕蕾后，幼虫从蓓蕾下方钻入，将花蕾内部吃空，仅剩外壳。平时没有发觉，到秋冬季节突然看到顶芽枯死，花苞已经空瘪，翌年春再也不会开花了。</w:t>
            </w:r>
          </w:p>
        </w:tc>
        <w:tc>
          <w:tcPr>
            <w:tcW w:w="4824" w:type="dxa"/>
            <w:noWrap w:val="0"/>
            <w:vAlign w:val="top"/>
          </w:tcPr>
          <w:p w14:paraId="23C6A00B">
            <w:pPr>
              <w:pStyle w:val="12"/>
              <w:tabs>
                <w:tab w:val="center" w:pos="4201"/>
                <w:tab w:val="right" w:leader="dot" w:pos="9298"/>
              </w:tabs>
              <w:ind w:firstLine="0" w:firstLineChars="0"/>
              <w:jc w:val="center"/>
              <w:rPr>
                <w:rFonts w:hint="eastAsia" w:ascii="Times New Roman" w:hAnsi="宋体" w:cs="宋体"/>
                <w:kern w:val="21"/>
                <w:sz w:val="18"/>
                <w:szCs w:val="18"/>
                <w:lang w:val="en-US" w:eastAsia="zh-CN"/>
              </w:rPr>
            </w:pPr>
          </w:p>
          <w:p w14:paraId="54A678AC">
            <w:pPr>
              <w:pStyle w:val="12"/>
              <w:tabs>
                <w:tab w:val="center" w:pos="4201"/>
                <w:tab w:val="right" w:leader="dot" w:pos="9298"/>
              </w:tabs>
              <w:ind w:firstLine="0" w:firstLineChars="0"/>
              <w:jc w:val="center"/>
              <w:rPr>
                <w:rFonts w:hint="eastAsia" w:ascii="Times New Roman" w:hAnsi="宋体" w:cs="宋体"/>
                <w:kern w:val="21"/>
                <w:sz w:val="18"/>
                <w:szCs w:val="18"/>
                <w:lang w:val="en-US" w:eastAsia="zh-CN"/>
              </w:rPr>
            </w:pPr>
          </w:p>
          <w:p w14:paraId="4F4080BB">
            <w:pPr>
              <w:pStyle w:val="12"/>
              <w:tabs>
                <w:tab w:val="center" w:pos="4201"/>
                <w:tab w:val="right" w:leader="dot" w:pos="9298"/>
              </w:tabs>
              <w:ind w:firstLine="0" w:firstLineChars="0"/>
              <w:jc w:val="center"/>
              <w:rPr>
                <w:rFonts w:hint="eastAsia" w:ascii="Times New Roman" w:hAnsi="宋体" w:cs="宋体"/>
                <w:kern w:val="21"/>
                <w:sz w:val="18"/>
                <w:szCs w:val="18"/>
                <w:lang w:val="en-US" w:eastAsia="zh-CN"/>
              </w:rPr>
            </w:pPr>
          </w:p>
          <w:p w14:paraId="77A037D9">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在出现幼虫（长约</w:t>
            </w:r>
            <w:r>
              <w:rPr>
                <w:rFonts w:hint="eastAsia" w:ascii="Times New Roman" w:cs="宋体"/>
                <w:kern w:val="21"/>
                <w:sz w:val="18"/>
                <w:szCs w:val="18"/>
                <w:lang w:val="en-US" w:eastAsia="zh-CN"/>
              </w:rPr>
              <w:t>1 cm</w:t>
            </w:r>
            <w:r>
              <w:rPr>
                <w:rFonts w:hint="eastAsia" w:ascii="Times New Roman" w:hAnsi="宋体" w:cs="宋体"/>
                <w:kern w:val="21"/>
                <w:sz w:val="18"/>
                <w:szCs w:val="18"/>
                <w:lang w:val="en-US" w:eastAsia="zh-CN"/>
              </w:rPr>
              <w:t>）时，特别是第一代幼虫，用吸食性药剂进行化学防治。平时要加强观察，随时剪除带虫体的枝条顶端。</w:t>
            </w:r>
          </w:p>
          <w:p w14:paraId="45FDB8D6">
            <w:pPr>
              <w:pStyle w:val="12"/>
              <w:tabs>
                <w:tab w:val="center" w:pos="4201"/>
                <w:tab w:val="right" w:leader="dot" w:pos="9298"/>
              </w:tabs>
              <w:ind w:firstLine="0" w:firstLineChars="0"/>
              <w:jc w:val="center"/>
              <w:rPr>
                <w:rFonts w:hint="eastAsia" w:ascii="Times New Roman" w:cs="宋体"/>
                <w:kern w:val="21"/>
                <w:sz w:val="18"/>
                <w:szCs w:val="18"/>
                <w:lang w:val="en-US" w:eastAsia="zh-CN"/>
              </w:rPr>
            </w:pPr>
          </w:p>
        </w:tc>
      </w:tr>
      <w:tr w14:paraId="7ED5B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8" w:hRule="atLeast"/>
        </w:trPr>
        <w:tc>
          <w:tcPr>
            <w:tcW w:w="1263" w:type="dxa"/>
            <w:noWrap w:val="0"/>
            <w:vAlign w:val="top"/>
          </w:tcPr>
          <w:p w14:paraId="36FA36B5">
            <w:pPr>
              <w:pStyle w:val="12"/>
              <w:tabs>
                <w:tab w:val="center" w:pos="4201"/>
                <w:tab w:val="right" w:leader="dot" w:pos="9298"/>
              </w:tabs>
              <w:ind w:firstLine="0" w:firstLineChars="0"/>
              <w:jc w:val="center"/>
              <w:rPr>
                <w:rStyle w:val="10"/>
                <w:rFonts w:hint="eastAsia" w:ascii="Times New Roman"/>
                <w:b w:val="0"/>
                <w:sz w:val="18"/>
                <w:szCs w:val="18"/>
              </w:rPr>
            </w:pPr>
          </w:p>
          <w:p w14:paraId="608D5CA3">
            <w:pPr>
              <w:pStyle w:val="12"/>
              <w:tabs>
                <w:tab w:val="center" w:pos="4201"/>
                <w:tab w:val="right" w:leader="dot" w:pos="9298"/>
              </w:tabs>
              <w:ind w:firstLine="0" w:firstLineChars="0"/>
              <w:jc w:val="center"/>
              <w:rPr>
                <w:rStyle w:val="10"/>
                <w:rFonts w:hint="eastAsia" w:ascii="Times New Roman"/>
                <w:b w:val="0"/>
                <w:sz w:val="18"/>
                <w:szCs w:val="18"/>
              </w:rPr>
            </w:pPr>
          </w:p>
          <w:p w14:paraId="31DFF0C6">
            <w:pPr>
              <w:pStyle w:val="12"/>
              <w:tabs>
                <w:tab w:val="center" w:pos="4201"/>
                <w:tab w:val="right" w:leader="dot" w:pos="9298"/>
              </w:tabs>
              <w:ind w:firstLine="0" w:firstLineChars="0"/>
              <w:jc w:val="center"/>
              <w:rPr>
                <w:rStyle w:val="10"/>
                <w:rFonts w:hint="eastAsia" w:ascii="Times New Roman"/>
                <w:b w:val="0"/>
                <w:sz w:val="18"/>
                <w:szCs w:val="18"/>
              </w:rPr>
            </w:pPr>
            <w:r>
              <w:rPr>
                <w:rStyle w:val="10"/>
                <w:rFonts w:hint="eastAsia" w:ascii="Times New Roman"/>
                <w:b w:val="0"/>
                <w:sz w:val="18"/>
                <w:szCs w:val="18"/>
              </w:rPr>
              <w:t>木蠹蛾</w:t>
            </w:r>
          </w:p>
          <w:p w14:paraId="2F8B7E97">
            <w:pPr>
              <w:pStyle w:val="12"/>
              <w:tabs>
                <w:tab w:val="center" w:pos="4201"/>
                <w:tab w:val="right" w:leader="dot" w:pos="9298"/>
              </w:tabs>
              <w:ind w:firstLine="0" w:firstLineChars="0"/>
              <w:jc w:val="left"/>
              <w:rPr>
                <w:rStyle w:val="10"/>
                <w:rFonts w:hint="eastAsia" w:ascii="Times New Roman"/>
                <w:sz w:val="18"/>
                <w:szCs w:val="18"/>
              </w:rPr>
            </w:pPr>
          </w:p>
        </w:tc>
        <w:tc>
          <w:tcPr>
            <w:tcW w:w="2858" w:type="dxa"/>
            <w:noWrap w:val="0"/>
            <w:vAlign w:val="top"/>
          </w:tcPr>
          <w:p w14:paraId="59BD5243">
            <w:pPr>
              <w:jc w:val="left"/>
              <w:rPr>
                <w:rFonts w:hint="eastAsia"/>
                <w:bCs/>
                <w:sz w:val="18"/>
                <w:szCs w:val="18"/>
              </w:rPr>
            </w:pPr>
            <w:r>
              <w:rPr>
                <w:rStyle w:val="10"/>
                <w:rFonts w:hint="eastAsia"/>
                <w:b w:val="0"/>
                <w:sz w:val="18"/>
                <w:szCs w:val="18"/>
              </w:rPr>
              <w:t>柱食树干。初期侵食皮下韧皮部，逐渐侵食边材，将皮下部成片食去，然后分散向心材部分钻蛀，进入干内，并在其中完成幼虫发育阶段。</w:t>
            </w:r>
          </w:p>
        </w:tc>
        <w:tc>
          <w:tcPr>
            <w:tcW w:w="4824" w:type="dxa"/>
            <w:noWrap w:val="0"/>
            <w:vAlign w:val="top"/>
          </w:tcPr>
          <w:p w14:paraId="02391762">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7881D55E">
            <w:pPr>
              <w:pStyle w:val="12"/>
              <w:tabs>
                <w:tab w:val="center" w:pos="4201"/>
                <w:tab w:val="right" w:leader="dot" w:pos="9298"/>
              </w:tabs>
              <w:ind w:firstLine="0" w:firstLineChars="0"/>
              <w:jc w:val="left"/>
              <w:rPr>
                <w:rFonts w:hint="eastAsia" w:ascii="Times New Roman" w:hAnsi="宋体" w:cs="宋体"/>
                <w:kern w:val="21"/>
                <w:sz w:val="18"/>
                <w:szCs w:val="18"/>
                <w:lang w:val="en-US" w:eastAsia="zh-CN"/>
              </w:rPr>
            </w:pPr>
          </w:p>
          <w:p w14:paraId="72405239">
            <w:pPr>
              <w:pStyle w:val="12"/>
              <w:tabs>
                <w:tab w:val="center" w:pos="4201"/>
                <w:tab w:val="right" w:leader="dot" w:pos="9298"/>
              </w:tabs>
              <w:ind w:firstLine="0" w:firstLineChars="0"/>
              <w:jc w:val="left"/>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用铁丝勾出幼虫杀灭，或用棉球蘸</w:t>
            </w:r>
            <w:r>
              <w:rPr>
                <w:rFonts w:hint="eastAsia" w:ascii="Times New Roman" w:cs="宋体"/>
                <w:kern w:val="21"/>
                <w:sz w:val="18"/>
                <w:szCs w:val="18"/>
                <w:lang w:val="en-US" w:eastAsia="zh-CN"/>
              </w:rPr>
              <w:t>1/200</w:t>
            </w:r>
            <w:r>
              <w:rPr>
                <w:rFonts w:hint="eastAsia" w:ascii="Times New Roman" w:hAnsi="宋体" w:cs="宋体"/>
                <w:kern w:val="21"/>
                <w:sz w:val="18"/>
                <w:szCs w:val="18"/>
                <w:lang w:val="en-US" w:eastAsia="zh-CN"/>
              </w:rPr>
              <w:t>敌敌畏，堵塞洞口</w:t>
            </w:r>
          </w:p>
        </w:tc>
      </w:tr>
    </w:tbl>
    <w:p w14:paraId="27163FB7">
      <w:pPr>
        <w:numPr>
          <w:ilvl w:val="0"/>
          <w:numId w:val="0"/>
        </w:numPr>
        <w:ind w:leftChars="0"/>
        <w:jc w:val="left"/>
        <w:rPr>
          <w:rFonts w:hint="eastAsia"/>
        </w:rPr>
      </w:pPr>
    </w:p>
    <w:p w14:paraId="5055F5AE">
      <w:pPr>
        <w:ind w:firstLine="0" w:firstLineChars="0"/>
        <w:rPr>
          <w:b/>
          <w:bCs/>
        </w:rPr>
      </w:pPr>
    </w:p>
    <w:p w14:paraId="50527290">
      <w:pPr>
        <w:pStyle w:val="7"/>
        <w:ind w:firstLine="0" w:firstLineChars="0"/>
        <w:rPr>
          <w:rFonts w:ascii="Times New Roman" w:hAnsi="Times New Roman" w:cs="Times New Roman"/>
        </w:rPr>
      </w:pPr>
      <w:r>
        <w:rPr>
          <w:rFonts w:ascii="Times New Roman" w:hAnsi="Times New Roman" w:cs="Times New Roman"/>
        </w:rPr>
        <w:t>五、标准实施后对经济和社会发展的预期影响及论证</w:t>
      </w:r>
    </w:p>
    <w:p w14:paraId="10D80A9C">
      <w:pPr>
        <w:ind w:left="0" w:leftChars="0" w:firstLine="480" w:firstLineChars="200"/>
        <w:rPr>
          <w:rFonts w:hint="eastAsia"/>
        </w:rPr>
      </w:pPr>
      <w:r>
        <w:rPr>
          <w:rFonts w:hint="eastAsia"/>
        </w:rPr>
        <w:t>本文件的编制，规范了迷人杜鹃栽培技术标准，对贵州乃至全国迷人杜鹃的产业化发展具有较强的指导性和可操作性。标准实施后，将有效提升迷人杜鹃种苗质量和栽培成活率，降低生产成本，促进其规模化、标准化生产，带动林农增收和区域特色林业经济发展。同时，通过规范化栽培技术扩大人工种群数量，可减少对野生资源的依赖，保护生物多样性和生态安全，为生态文明建设和乡村振兴提供有力支撑，对促进贵州特色观赏植物产业健康发展具有重要意义。</w:t>
      </w:r>
    </w:p>
    <w:p w14:paraId="54BE4422">
      <w:pPr>
        <w:pStyle w:val="7"/>
        <w:numPr>
          <w:ilvl w:val="0"/>
          <w:numId w:val="4"/>
        </w:numPr>
        <w:ind w:firstLine="0" w:firstLineChars="0"/>
        <w:rPr>
          <w:rFonts w:ascii="Times New Roman" w:hAnsi="Times New Roman" w:cs="Times New Roman"/>
        </w:rPr>
      </w:pPr>
      <w:r>
        <w:rPr>
          <w:rFonts w:ascii="Times New Roman" w:hAnsi="Times New Roman" w:cs="Times New Roman"/>
        </w:rPr>
        <w:t>采用国际标准和国外先进标准的程度及水平对比</w:t>
      </w:r>
    </w:p>
    <w:p w14:paraId="7DE8BFFD">
      <w:pPr>
        <w:rPr>
          <w:rFonts w:hint="eastAsia"/>
        </w:rPr>
      </w:pPr>
      <w:r>
        <w:rPr>
          <w:rFonts w:hint="eastAsia"/>
        </w:rPr>
        <w:t>（一）与现行法律法规、标准的关系</w:t>
      </w:r>
    </w:p>
    <w:p w14:paraId="4C464A28">
      <w:pPr>
        <w:rPr>
          <w:rFonts w:hint="eastAsia"/>
        </w:rPr>
      </w:pPr>
    </w:p>
    <w:p w14:paraId="29195A9F">
      <w:pPr>
        <w:rPr>
          <w:rFonts w:hint="eastAsia"/>
        </w:rPr>
      </w:pPr>
      <w:r>
        <w:rPr>
          <w:rFonts w:hint="eastAsia"/>
        </w:rPr>
        <w:t>本标准本着科学、规范、统一和实用的原则，依据《中华人民共和国种子法》《中华人民共和国森林法》等相关法律法规的规定，技术要求及涉及的栽培管理活动均符合现行法律、法规和强制性标准的要求，并与相关标准充分协调一致。本标准严格按照GB/T 1.1-2020《标准化工作导则 第1部分：标准化文件的结构和起草规则》要求进行起草，充分注重完整性、科学性、先进性、实用性和协调统一性。目前，国内尚无针对迷人杜鹃的专门栽培技术标准，相关标准多为林木育苗、花卉栽培的通用标准，本标准在借鉴现有通用标准的基础上，结合迷人杜鹃的特有生物学特性和栽培技术难点，制定了针对性强、可操作性强的技术规范，填补了该领域的标准空白。</w:t>
      </w:r>
    </w:p>
    <w:p w14:paraId="55584019">
      <w:pPr>
        <w:rPr>
          <w:rFonts w:hint="eastAsia"/>
        </w:rPr>
      </w:pPr>
    </w:p>
    <w:p w14:paraId="484CBD96">
      <w:pPr>
        <w:rPr>
          <w:rFonts w:hint="eastAsia"/>
        </w:rPr>
      </w:pPr>
      <w:r>
        <w:rPr>
          <w:rFonts w:hint="eastAsia"/>
        </w:rPr>
        <w:t>（二）采用标准情况</w:t>
      </w:r>
    </w:p>
    <w:p w14:paraId="79B73547">
      <w:pPr>
        <w:ind w:left="0" w:leftChars="0" w:firstLine="480" w:firstLineChars="200"/>
        <w:rPr>
          <w:rFonts w:hint="eastAsia"/>
        </w:rPr>
      </w:pPr>
    </w:p>
    <w:p w14:paraId="3CE038CF">
      <w:pPr>
        <w:ind w:left="0" w:leftChars="0" w:firstLine="480" w:firstLineChars="200"/>
        <w:rPr>
          <w:rFonts w:hint="eastAsia"/>
        </w:rPr>
      </w:pPr>
      <w:r>
        <w:rPr>
          <w:rFonts w:hint="eastAsia"/>
        </w:rPr>
        <w:t>为使标准具有科学性、先进性、安全性、统一性和可操作性，本标准制定过程中文本框架符合GB/T 1.1-2020《标准化工作导则 第1部分：标准化文件的结构和起草规则》要求；土壤质量要求参照GB 15618-2018 《土壤环境质量 农用地土壤污染风险管控标准（试行）》执行；种子检验、贮藏参照GB 2772-1999 《林木种子检验规程》</w:t>
      </w:r>
      <w:r>
        <w:rPr>
          <w:rFonts w:hint="eastAsia"/>
          <w:lang w:eastAsia="zh-CN"/>
        </w:rPr>
        <w:t>、</w:t>
      </w:r>
      <w:r>
        <w:rPr>
          <w:rFonts w:hint="eastAsia"/>
        </w:rPr>
        <w:t>GB/T 10016《 林木种子贮藏》执行；育苗技术参照LY/T 1000 《容器育苗技术规程》</w:t>
      </w:r>
      <w:r>
        <w:rPr>
          <w:rFonts w:hint="eastAsia"/>
          <w:lang w:eastAsia="zh-CN"/>
        </w:rPr>
        <w:t>、</w:t>
      </w:r>
      <w:r>
        <w:rPr>
          <w:rFonts w:hint="eastAsia"/>
        </w:rPr>
        <w:t>GB/T 6001-1985 《育苗技术规程》执行；种苗标签参照LY/T 2290 《林木种苗标签》执行；农药使用参照</w:t>
      </w:r>
      <w:r>
        <w:rPr>
          <w:rFonts w:hint="eastAsia"/>
          <w:lang w:val="en-US" w:eastAsia="zh-CN"/>
        </w:rPr>
        <w:t>国家相关规定</w:t>
      </w:r>
      <w:r>
        <w:rPr>
          <w:rFonts w:hint="eastAsia"/>
        </w:rPr>
        <w:t>执行；肥料使用参照NY/T 496-2010 《肥料合理使用准则通则》执行。目前尚无迷人杜鹃栽培技术相关的国家标准、行业标准、团体标准及企业标准。</w:t>
      </w:r>
    </w:p>
    <w:p w14:paraId="2CFD9AD7">
      <w:pPr>
        <w:pStyle w:val="7"/>
        <w:ind w:firstLine="0" w:firstLineChars="0"/>
        <w:rPr>
          <w:rFonts w:ascii="Times New Roman" w:hAnsi="Times New Roman" w:cs="Times New Roman"/>
        </w:rPr>
      </w:pPr>
      <w:r>
        <w:rPr>
          <w:rFonts w:ascii="Times New Roman" w:hAnsi="Times New Roman" w:cs="Times New Roman"/>
        </w:rPr>
        <w:t>七、制定标准的原则和依据</w:t>
      </w:r>
    </w:p>
    <w:p w14:paraId="6CCE1677">
      <w:pPr>
        <w:rPr>
          <w:rFonts w:hint="eastAsia"/>
        </w:rPr>
      </w:pPr>
      <w:r>
        <w:rPr>
          <w:rFonts w:hint="eastAsia"/>
        </w:rPr>
        <w:t>为了更好地适应和指导迷人杜鹃的栽培管理，在本文件的制定过程中，主要遵循以下指导原则：</w:t>
      </w:r>
    </w:p>
    <w:p w14:paraId="1FD79238">
      <w:pPr>
        <w:rPr>
          <w:rFonts w:hint="eastAsia"/>
        </w:rPr>
      </w:pPr>
    </w:p>
    <w:p w14:paraId="14EA25BD">
      <w:pPr>
        <w:ind w:left="720" w:leftChars="200" w:hanging="240" w:hangingChars="100"/>
        <w:rPr>
          <w:rFonts w:hint="eastAsia"/>
        </w:rPr>
      </w:pPr>
      <w:r>
        <w:rPr>
          <w:rFonts w:hint="eastAsia"/>
        </w:rPr>
        <w:t>1. 与省内外迷人杜鹃育种及生产实践密切结合，充分吸收育种单位、科技企业的工作经验，最终指导并服务于产业。</w:t>
      </w:r>
    </w:p>
    <w:p w14:paraId="7A4A1F94">
      <w:pPr>
        <w:ind w:left="720" w:leftChars="200" w:hanging="240" w:hangingChars="100"/>
        <w:rPr>
          <w:rFonts w:hint="eastAsia"/>
        </w:rPr>
      </w:pPr>
      <w:r>
        <w:rPr>
          <w:rFonts w:hint="eastAsia"/>
        </w:rPr>
        <w:t>2. 积极吸纳国家现行的相关政策和标准，在此基础上使该文件总体水平达到国内先进。</w:t>
      </w:r>
    </w:p>
    <w:p w14:paraId="1C482538">
      <w:pPr>
        <w:ind w:left="0" w:leftChars="0" w:firstLine="480" w:firstLineChars="200"/>
        <w:rPr>
          <w:rFonts w:hint="eastAsia"/>
        </w:rPr>
      </w:pPr>
      <w:r>
        <w:rPr>
          <w:rFonts w:hint="eastAsia"/>
        </w:rPr>
        <w:t>3. 具有科学性、规范性、实践性和易操作性。</w:t>
      </w:r>
    </w:p>
    <w:p w14:paraId="12F3B5F4">
      <w:pPr>
        <w:ind w:left="0" w:leftChars="0" w:firstLine="480" w:firstLineChars="200"/>
        <w:rPr>
          <w:rFonts w:hint="eastAsia"/>
        </w:rPr>
      </w:pPr>
      <w:r>
        <w:rPr>
          <w:rFonts w:hint="eastAsia"/>
        </w:rPr>
        <w:t>4. 能有效促进迷人杜鹃栽培的标准化，推动贵州特色观赏植物产业的健康发展。</w:t>
      </w:r>
    </w:p>
    <w:p w14:paraId="4BAE47A6">
      <w:pPr>
        <w:pStyle w:val="7"/>
        <w:ind w:firstLine="0" w:firstLineChars="0"/>
        <w:rPr>
          <w:rFonts w:ascii="Times New Roman" w:hAnsi="Times New Roman" w:cs="Times New Roman"/>
        </w:rPr>
      </w:pPr>
      <w:r>
        <w:rPr>
          <w:rFonts w:ascii="Times New Roman" w:hAnsi="Times New Roman" w:cs="Times New Roman"/>
        </w:rPr>
        <w:t>八、与现行法律、法规、强制性标准的关系</w:t>
      </w:r>
    </w:p>
    <w:p w14:paraId="1CA9767A">
      <w:pPr>
        <w:rPr>
          <w:rFonts w:hint="eastAsia"/>
        </w:rPr>
      </w:pPr>
      <w:r>
        <w:rPr>
          <w:rFonts w:hint="eastAsia"/>
        </w:rPr>
        <w:t>本文件符合《中华人民共和国种子法》</w:t>
      </w:r>
      <w:r>
        <w:rPr>
          <w:rFonts w:hint="eastAsia"/>
          <w:lang w:eastAsia="zh-CN"/>
        </w:rPr>
        <w:t>、</w:t>
      </w:r>
      <w:r>
        <w:rPr>
          <w:rFonts w:hint="eastAsia"/>
        </w:rPr>
        <w:t>《中华人民共和国森林法》</w:t>
      </w:r>
      <w:r>
        <w:rPr>
          <w:rFonts w:hint="eastAsia"/>
          <w:lang w:eastAsia="zh-CN"/>
        </w:rPr>
        <w:t>、</w:t>
      </w:r>
      <w:r>
        <w:rPr>
          <w:rFonts w:hint="eastAsia"/>
        </w:rPr>
        <w:t>《中华人民共和国环境保护法》等相关现行法律、法规和强制性国家标准的要求。</w:t>
      </w:r>
    </w:p>
    <w:p w14:paraId="0339E73C">
      <w:pPr>
        <w:pStyle w:val="7"/>
        <w:ind w:firstLine="0" w:firstLineChars="0"/>
        <w:rPr>
          <w:rFonts w:ascii="Times New Roman" w:hAnsi="Times New Roman" w:cs="Times New Roman"/>
        </w:rPr>
      </w:pPr>
      <w:r>
        <w:rPr>
          <w:rFonts w:ascii="Times New Roman" w:hAnsi="Times New Roman" w:cs="Times New Roman"/>
        </w:rPr>
        <w:t>九、是否涉及专利（涉及专利的应作出必要专利声明）</w:t>
      </w:r>
    </w:p>
    <w:p w14:paraId="31D513F5">
      <w:r>
        <w:t>本文件在编制过程中未涉及专利内容。</w:t>
      </w:r>
    </w:p>
    <w:p w14:paraId="56526AF3">
      <w:pPr>
        <w:pStyle w:val="7"/>
        <w:ind w:firstLine="0" w:firstLineChars="0"/>
        <w:rPr>
          <w:rFonts w:ascii="Times New Roman" w:hAnsi="Times New Roman" w:cs="Times New Roman"/>
        </w:rPr>
      </w:pPr>
      <w:r>
        <w:rPr>
          <w:rFonts w:ascii="Times New Roman" w:hAnsi="Times New Roman" w:cs="Times New Roman"/>
        </w:rPr>
        <w:t>十、重大分歧意见的处理过程</w:t>
      </w:r>
    </w:p>
    <w:p w14:paraId="7490615A">
      <w:r>
        <w:t>该文件的编制过程中，所有内容对工作小组全面公开，经大家同心协力，集体讨论并最终形成该文件，期间无重大分歧意见。</w:t>
      </w:r>
    </w:p>
    <w:p w14:paraId="48BA92B8">
      <w:pPr>
        <w:pStyle w:val="7"/>
        <w:ind w:firstLine="0" w:firstLineChars="0"/>
        <w:rPr>
          <w:rFonts w:ascii="Times New Roman" w:hAnsi="Times New Roman" w:cs="Times New Roman"/>
        </w:rPr>
      </w:pPr>
      <w:r>
        <w:rPr>
          <w:rFonts w:ascii="Times New Roman" w:hAnsi="Times New Roman" w:cs="Times New Roman"/>
        </w:rPr>
        <w:t>十一、标准实施的计划、方案</w:t>
      </w:r>
    </w:p>
    <w:p w14:paraId="1092E5CD">
      <w:pPr>
        <w:rPr>
          <w:rFonts w:hint="eastAsia"/>
        </w:rPr>
      </w:pPr>
      <w:r>
        <w:rPr>
          <w:rFonts w:hint="eastAsia"/>
        </w:rPr>
        <w:t>本标准发布后，贵州省相关企事业单位应积极组织并做好执行标准的各项工作，标准实施后应按相关要求准确开展迷人杜鹃的繁殖、栽培、管理及病虫害防治工作，完善栽培档案。通过制作技术宣传册、线上线下宣讲、标准化栽培示范等方式推广本标准的实施，着力规范迷人杜鹃栽培技术，促进技术交流互鉴，推动迷人杜鹃资源高效开发利用。</w:t>
      </w:r>
    </w:p>
    <w:p w14:paraId="5F6109D2">
      <w:r>
        <w:t xml:space="preserve">    </w:t>
      </w:r>
    </w:p>
    <w:p w14:paraId="50A38A4F">
      <w:r>
        <w:t xml:space="preserve">                     </w:t>
      </w:r>
      <w:r>
        <w:rPr>
          <w:rFonts w:hint="eastAsia"/>
        </w:rPr>
        <w:t xml:space="preserve"> </w:t>
      </w:r>
      <w:r>
        <w:rPr>
          <w:rFonts w:hint="eastAsia"/>
          <w:lang w:val="en-US" w:eastAsia="zh-CN"/>
        </w:rPr>
        <w:t xml:space="preserve">                </w:t>
      </w:r>
      <w:r>
        <w:rPr>
          <w:rFonts w:hint="eastAsia"/>
        </w:rPr>
        <w:t>《迷人杜鹃栽培技术</w:t>
      </w:r>
      <w:r>
        <w:t>》编制小组</w:t>
      </w:r>
    </w:p>
    <w:p w14:paraId="09D34A66">
      <w:pPr>
        <w:ind w:firstLine="5520" w:firstLineChars="2300"/>
      </w:pPr>
      <w:r>
        <w:t>202</w:t>
      </w:r>
      <w:r>
        <w:rPr>
          <w:rFonts w:hint="eastAsia"/>
          <w:lang w:val="en-US" w:eastAsia="zh-CN"/>
        </w:rPr>
        <w:t>6</w:t>
      </w:r>
      <w:r>
        <w:t>年</w:t>
      </w:r>
      <w:r>
        <w:rPr>
          <w:rFonts w:hint="eastAsia"/>
          <w:lang w:val="en-US" w:eastAsia="zh-CN"/>
        </w:rPr>
        <w:t>4</w:t>
      </w:r>
      <w:r>
        <w:t>月</w:t>
      </w:r>
      <w:bookmarkStart w:id="20" w:name="_GoBack"/>
      <w:bookmarkEnd w:id="20"/>
    </w:p>
    <w:p w14:paraId="387A9AB8">
      <w:pPr>
        <w:pStyle w:val="2"/>
        <w:spacing w:before="0" w:after="0" w:line="360" w:lineRule="auto"/>
        <w:rPr>
          <w:rFonts w:ascii="Times New Roman" w:hAnsi="Times New Roman"/>
          <w:sz w:val="21"/>
          <w:szCs w:val="21"/>
        </w:rPr>
      </w:pPr>
      <w:bookmarkStart w:id="18" w:name="_Toc460747887"/>
      <w:bookmarkStart w:id="19" w:name="_Toc12940"/>
      <w:r>
        <w:rPr>
          <w:rFonts w:ascii="Times New Roman" w:hAnsi="Times New Roman"/>
          <w:sz w:val="21"/>
          <w:szCs w:val="21"/>
        </w:rPr>
        <w:t>主要参考文献：</w:t>
      </w:r>
      <w:bookmarkEnd w:id="18"/>
      <w:bookmarkEnd w:id="19"/>
    </w:p>
    <w:p w14:paraId="1A1CF2FE">
      <w:pPr>
        <w:keepNext w:val="0"/>
        <w:keepLines w:val="0"/>
        <w:pageBreakBefore w:val="0"/>
        <w:kinsoku/>
        <w:wordWrap/>
        <w:overflowPunct/>
        <w:topLinePunct w:val="0"/>
        <w:autoSpaceDE/>
        <w:autoSpaceDN/>
        <w:bidi w:val="0"/>
        <w:adjustRightInd/>
        <w:spacing w:line="360" w:lineRule="exact"/>
        <w:textAlignment w:val="auto"/>
        <w:rPr>
          <w:rFonts w:hint="eastAsia" w:ascii="Times New Roman" w:hAnsi="Times New Roman"/>
          <w:sz w:val="21"/>
          <w:szCs w:val="21"/>
          <w:lang w:val="en-US" w:eastAsia="zh-CN"/>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1</w:t>
      </w:r>
      <w:r>
        <w:rPr>
          <w:rFonts w:hint="default" w:ascii="Times New Roman" w:hAnsi="Times New Roman" w:cs="Times New Roman"/>
          <w:color w:val="auto"/>
          <w:szCs w:val="21"/>
        </w:rPr>
        <w:t xml:space="preserve">] </w:t>
      </w:r>
      <w:r>
        <w:rPr>
          <w:rFonts w:hint="eastAsia" w:ascii="Times New Roman" w:hAnsi="Times New Roman"/>
          <w:sz w:val="21"/>
          <w:szCs w:val="21"/>
          <w:lang w:val="en-US" w:eastAsia="zh-CN"/>
        </w:rPr>
        <w:t>陈训，巫华美.中国贵州杜鹃花</w:t>
      </w:r>
      <w:r>
        <w:rPr>
          <w:rFonts w:hint="default" w:ascii="Times New Roman" w:hAnsi="Times New Roman" w:cs="Times New Roman"/>
          <w:color w:val="auto"/>
        </w:rPr>
        <w:t>[M].贵州科技出版社，2010.</w:t>
      </w:r>
    </w:p>
    <w:p w14:paraId="4645069D">
      <w:pPr>
        <w:keepNext w:val="0"/>
        <w:keepLines w:val="0"/>
        <w:pageBreakBefore w:val="0"/>
        <w:kinsoku/>
        <w:wordWrap/>
        <w:overflowPunct/>
        <w:topLinePunct w:val="0"/>
        <w:autoSpaceDE/>
        <w:autoSpaceDN/>
        <w:bidi w:val="0"/>
        <w:adjustRightInd/>
        <w:spacing w:line="360" w:lineRule="exact"/>
        <w:textAlignment w:val="auto"/>
        <w:rPr>
          <w:rFonts w:hint="default" w:ascii="Times New Roman" w:hAnsi="Times New Roman" w:cs="Times New Roman"/>
          <w:color w:val="auto"/>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2</w:t>
      </w:r>
      <w:r>
        <w:rPr>
          <w:rFonts w:hint="default" w:ascii="Times New Roman" w:hAnsi="Times New Roman" w:cs="Times New Roman"/>
          <w:color w:val="auto"/>
          <w:szCs w:val="21"/>
        </w:rPr>
        <w:t>] 陈训，高贵龙，邹天才.地球彩带飘曳 花园生机盎然 贵州百里杜鹃国家级森</w:t>
      </w:r>
      <w:r>
        <w:rPr>
          <w:rFonts w:hint="default" w:ascii="Times New Roman" w:hAnsi="Times New Roman" w:cs="Times New Roman"/>
          <w:color w:val="auto"/>
        </w:rPr>
        <w:t>林公园[M].贵州科技出版社，2010.</w:t>
      </w:r>
    </w:p>
    <w:p w14:paraId="178C5C8D">
      <w:pPr>
        <w:tabs>
          <w:tab w:val="left" w:pos="630"/>
        </w:tabs>
        <w:spacing w:line="360" w:lineRule="auto"/>
        <w:rPr>
          <w:rFonts w:hint="default" w:ascii="Times New Roman" w:hAnsi="Times New Roman" w:eastAsia="楷体" w:cs="Times New Roman"/>
          <w:sz w:val="24"/>
          <w:szCs w:val="24"/>
          <w:lang w:val="en-US" w:eastAsia="zh-CN"/>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3</w:t>
      </w:r>
      <w:r>
        <w:rPr>
          <w:rFonts w:hint="default" w:ascii="Times New Roman" w:hAnsi="Times New Roman" w:cs="Times New Roman"/>
          <w:color w:val="auto"/>
          <w:szCs w:val="21"/>
        </w:rPr>
        <w:t xml:space="preserve">] </w:t>
      </w:r>
      <w:r>
        <w:rPr>
          <w:rFonts w:hint="eastAsia" w:ascii="Times New Roman" w:hAnsi="Times New Roman" w:eastAsia="楷体" w:cs="Times New Roman"/>
          <w:sz w:val="24"/>
          <w:szCs w:val="24"/>
          <w:lang w:eastAsia="zh-CN"/>
        </w:rPr>
        <w:t>Yan</w:t>
      </w:r>
      <w:r>
        <w:rPr>
          <w:rFonts w:hint="default" w:ascii="Times New Roman" w:hAnsi="Times New Roman" w:eastAsia="楷体" w:cs="Times New Roman"/>
          <w:sz w:val="24"/>
          <w:szCs w:val="24"/>
        </w:rPr>
        <w:t xml:space="preserve"> Zhou,LiHua Huang Xiaoli Wei,Hongying Zhou,Chen Xun</w:t>
      </w:r>
      <w:r>
        <w:rPr>
          <w:rFonts w:hint="eastAsia" w:ascii="Times New Roman" w:hAnsi="Times New Roman" w:eastAsia="楷体" w:cs="Times New Roman"/>
          <w:sz w:val="24"/>
          <w:szCs w:val="24"/>
        </w:rPr>
        <w:t>*</w:t>
      </w:r>
      <w:r>
        <w:rPr>
          <w:rFonts w:hint="default" w:ascii="Times New Roman" w:hAnsi="Times New Roman" w:eastAsia="楷体" w:cs="Times New Roman"/>
          <w:sz w:val="24"/>
          <w:szCs w:val="24"/>
        </w:rPr>
        <w:t xml:space="preserve">.Physiological, Morphological, and Anatomical Changes in </w:t>
      </w:r>
      <w:r>
        <w:rPr>
          <w:rFonts w:hint="default" w:ascii="Times New Roman" w:hAnsi="Times New Roman" w:eastAsia="楷体" w:cs="Times New Roman"/>
          <w:i/>
          <w:iCs/>
          <w:sz w:val="24"/>
          <w:szCs w:val="24"/>
        </w:rPr>
        <w:t>Rhododendron agastum</w:t>
      </w:r>
      <w:r>
        <w:rPr>
          <w:rFonts w:hint="default" w:ascii="Times New Roman" w:hAnsi="Times New Roman" w:eastAsia="楷体" w:cs="Times New Roman"/>
          <w:sz w:val="24"/>
          <w:szCs w:val="24"/>
        </w:rPr>
        <w:t xml:space="preserve"> in Response to Shading[J].Plant Growth Regulation,January 2017, </w:t>
      </w:r>
      <w:r>
        <w:rPr>
          <w:rFonts w:hint="default" w:ascii="Times New Roman" w:hAnsi="Times New Roman" w:eastAsia="楷体" w:cs="Times New Roman"/>
          <w:sz w:val="24"/>
          <w:szCs w:val="24"/>
          <w:lang w:val="en-US" w:eastAsia="zh-CN"/>
        </w:rPr>
        <w:t>81（1）</w:t>
      </w:r>
      <w:r>
        <w:rPr>
          <w:rFonts w:hint="default" w:ascii="Times New Roman" w:hAnsi="Times New Roman" w:eastAsia="楷体" w:cs="Times New Roman"/>
          <w:sz w:val="24"/>
          <w:szCs w:val="24"/>
          <w:lang w:eastAsia="zh-CN"/>
        </w:rPr>
        <w:t>：</w:t>
      </w:r>
      <w:r>
        <w:rPr>
          <w:rFonts w:hint="default" w:ascii="Times New Roman" w:hAnsi="Times New Roman" w:eastAsia="楷体" w:cs="Times New Roman"/>
          <w:sz w:val="24"/>
          <w:szCs w:val="24"/>
        </w:rPr>
        <w:t>23</w:t>
      </w:r>
      <w:r>
        <w:rPr>
          <w:rFonts w:hint="default" w:ascii="Times New Roman" w:hAnsi="Times New Roman" w:eastAsia="楷体" w:cs="Times New Roman"/>
          <w:sz w:val="24"/>
          <w:szCs w:val="24"/>
          <w:lang w:val="en-US" w:eastAsia="zh-CN"/>
        </w:rPr>
        <w:t>-</w:t>
      </w:r>
      <w:r>
        <w:rPr>
          <w:rFonts w:hint="default" w:ascii="Times New Roman" w:hAnsi="Times New Roman" w:eastAsia="楷体" w:cs="Times New Roman"/>
          <w:sz w:val="24"/>
          <w:szCs w:val="24"/>
        </w:rPr>
        <w:t>30</w:t>
      </w:r>
      <w:r>
        <w:rPr>
          <w:rFonts w:hint="default" w:ascii="Times New Roman" w:hAnsi="Times New Roman" w:eastAsia="楷体" w:cs="Times New Roman"/>
          <w:sz w:val="24"/>
          <w:szCs w:val="24"/>
          <w:lang w:val="en-US" w:eastAsia="zh-CN"/>
        </w:rPr>
        <w:t>.</w:t>
      </w:r>
    </w:p>
    <w:p w14:paraId="6A20E3D1">
      <w:pPr>
        <w:tabs>
          <w:tab w:val="left" w:pos="630"/>
        </w:tabs>
        <w:spacing w:line="360" w:lineRule="auto"/>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4</w:t>
      </w:r>
      <w:r>
        <w:rPr>
          <w:rFonts w:hint="default" w:ascii="Times New Roman" w:hAnsi="Times New Roman" w:cs="Times New Roman"/>
          <w:color w:val="auto"/>
          <w:szCs w:val="21"/>
        </w:rPr>
        <w:t xml:space="preserve">] </w:t>
      </w:r>
      <w:r>
        <w:rPr>
          <w:rFonts w:hint="default" w:ascii="Times New Roman" w:hAnsi="Times New Roman" w:eastAsia="宋体" w:cs="Times New Roman"/>
          <w:b w:val="0"/>
          <w:bCs w:val="0"/>
          <w:kern w:val="2"/>
          <w:sz w:val="24"/>
          <w:szCs w:val="24"/>
          <w:lang w:val="en-US" w:eastAsia="zh-CN" w:bidi="ar-SA"/>
        </w:rPr>
        <w:t>周艳</w:t>
      </w:r>
      <w:r>
        <w:rPr>
          <w:rFonts w:hint="default" w:ascii="Times New Roman" w:hAnsi="Times New Roman" w:eastAsia="宋体" w:cs="Times New Roman"/>
          <w:kern w:val="2"/>
          <w:sz w:val="24"/>
          <w:szCs w:val="24"/>
          <w:lang w:val="en-US" w:eastAsia="zh-CN" w:bidi="ar-SA"/>
        </w:rPr>
        <w:t>，陈训，韦小丽</w:t>
      </w:r>
      <w:r>
        <w:rPr>
          <w:rFonts w:hint="eastAsia" w:ascii="Times New Roman" w:hAnsi="Times New Roman" w:cs="Times New Roman"/>
          <w:b/>
          <w:sz w:val="24"/>
          <w:szCs w:val="24"/>
        </w:rPr>
        <w:t>*</w:t>
      </w:r>
      <w:r>
        <w:rPr>
          <w:rFonts w:hint="default" w:ascii="Times New Roman" w:hAnsi="Times New Roman" w:eastAsia="宋体" w:cs="Times New Roman"/>
          <w:kern w:val="2"/>
          <w:sz w:val="24"/>
          <w:szCs w:val="24"/>
          <w:lang w:val="en-US" w:eastAsia="zh-CN" w:bidi="ar-SA"/>
        </w:rPr>
        <w:t>，伍庆.凋落物对迷人杜鹃幼苗更新和种子萌发的影响[J].林业科学,2015,51(3):65-74</w:t>
      </w:r>
      <w:r>
        <w:rPr>
          <w:rFonts w:hint="eastAsia" w:ascii="Times New Roman" w:hAnsi="Times New Roman" w:eastAsia="宋体" w:cs="Times New Roman"/>
          <w:kern w:val="2"/>
          <w:sz w:val="24"/>
          <w:szCs w:val="24"/>
          <w:lang w:val="en-US" w:eastAsia="zh-CN" w:bidi="ar-SA"/>
        </w:rPr>
        <w:t>.</w:t>
      </w:r>
    </w:p>
    <w:p w14:paraId="6BD44BFF">
      <w:pPr>
        <w:tabs>
          <w:tab w:val="left" w:pos="630"/>
        </w:tabs>
        <w:spacing w:line="360" w:lineRule="auto"/>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5</w:t>
      </w:r>
      <w:r>
        <w:rPr>
          <w:rFonts w:hint="default" w:ascii="Times New Roman" w:hAnsi="Times New Roman" w:cs="Times New Roman"/>
          <w:color w:val="auto"/>
          <w:szCs w:val="21"/>
        </w:rPr>
        <w:t xml:space="preserve">] </w:t>
      </w:r>
      <w:r>
        <w:rPr>
          <w:rFonts w:hint="default" w:ascii="Times New Roman" w:hAnsi="Times New Roman" w:eastAsia="宋体" w:cs="Times New Roman"/>
          <w:b w:val="0"/>
          <w:bCs w:val="0"/>
          <w:kern w:val="2"/>
          <w:sz w:val="24"/>
          <w:szCs w:val="24"/>
          <w:lang w:val="en-US" w:eastAsia="zh-CN" w:bidi="ar-SA"/>
        </w:rPr>
        <w:t>周艳</w:t>
      </w:r>
      <w:r>
        <w:rPr>
          <w:rFonts w:hint="default" w:ascii="Times New Roman" w:hAnsi="Times New Roman" w:eastAsia="宋体" w:cs="Times New Roman"/>
          <w:kern w:val="2"/>
          <w:sz w:val="24"/>
          <w:szCs w:val="24"/>
          <w:lang w:val="en-US" w:eastAsia="zh-CN" w:bidi="ar-SA"/>
        </w:rPr>
        <w:t>.迷人杜鹃幼苗自然更新影响因子及栽培环境调控研究[D].贵州大学，2015.</w:t>
      </w:r>
    </w:p>
    <w:p w14:paraId="79468CE8">
      <w:pPr>
        <w:tabs>
          <w:tab w:val="left" w:pos="630"/>
        </w:tabs>
        <w:spacing w:line="360" w:lineRule="auto"/>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6</w:t>
      </w:r>
      <w:r>
        <w:rPr>
          <w:rFonts w:hint="default" w:ascii="Times New Roman" w:hAnsi="Times New Roman" w:cs="Times New Roman"/>
          <w:color w:val="auto"/>
          <w:szCs w:val="21"/>
        </w:rPr>
        <w:t xml:space="preserve">] </w:t>
      </w:r>
      <w:r>
        <w:rPr>
          <w:rFonts w:hint="default" w:ascii="Times New Roman" w:hAnsi="Times New Roman" w:eastAsia="宋体" w:cs="Times New Roman"/>
          <w:b w:val="0"/>
          <w:bCs w:val="0"/>
          <w:kern w:val="2"/>
          <w:sz w:val="24"/>
          <w:szCs w:val="24"/>
          <w:lang w:val="en-US" w:eastAsia="zh-CN" w:bidi="ar-SA"/>
        </w:rPr>
        <w:t>周艳，</w:t>
      </w:r>
      <w:r>
        <w:rPr>
          <w:rFonts w:hint="default" w:ascii="Times New Roman" w:hAnsi="Times New Roman" w:eastAsia="宋体" w:cs="Times New Roman"/>
          <w:kern w:val="2"/>
          <w:sz w:val="24"/>
          <w:szCs w:val="24"/>
          <w:lang w:val="en-US" w:eastAsia="zh-CN" w:bidi="ar-SA"/>
        </w:rPr>
        <w:t>陈训</w:t>
      </w:r>
      <w:r>
        <w:rPr>
          <w:rFonts w:hint="eastAsia" w:ascii="Times New Roman" w:hAnsi="Times New Roman" w:cs="Times New Roman"/>
          <w:b/>
          <w:sz w:val="24"/>
          <w:szCs w:val="24"/>
        </w:rPr>
        <w:t>*</w:t>
      </w:r>
      <w:r>
        <w:rPr>
          <w:rFonts w:hint="default" w:ascii="Times New Roman" w:hAnsi="Times New Roman" w:eastAsia="宋体" w:cs="Times New Roman"/>
          <w:kern w:val="2"/>
          <w:sz w:val="24"/>
          <w:szCs w:val="24"/>
          <w:lang w:val="en-US" w:eastAsia="zh-CN" w:bidi="ar-SA"/>
        </w:rPr>
        <w:t>，韦小丽.迷人杜鹃凋落叶水浸提液对其自身种子萌发的影响[J].种子，2015,34(3):8-11.</w:t>
      </w:r>
    </w:p>
    <w:p w14:paraId="0F03BD8C">
      <w:pPr>
        <w:tabs>
          <w:tab w:val="left" w:pos="630"/>
        </w:tabs>
        <w:spacing w:line="360" w:lineRule="auto"/>
        <w:rPr>
          <w:rFonts w:hint="default" w:ascii="Times New Roman" w:hAnsi="Times New Roman" w:eastAsia="宋体"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7</w:t>
      </w:r>
      <w:r>
        <w:rPr>
          <w:rFonts w:hint="default" w:ascii="Times New Roman" w:hAnsi="Times New Roman" w:cs="Times New Roman"/>
          <w:color w:val="auto"/>
          <w:szCs w:val="21"/>
        </w:rPr>
        <w:t xml:space="preserve">] </w:t>
      </w:r>
      <w:r>
        <w:rPr>
          <w:rFonts w:hint="default" w:ascii="Times New Roman" w:hAnsi="Times New Roman" w:eastAsia="宋体" w:cs="Times New Roman"/>
          <w:b w:val="0"/>
          <w:bCs w:val="0"/>
          <w:kern w:val="2"/>
          <w:sz w:val="24"/>
          <w:szCs w:val="24"/>
          <w:lang w:val="en-US" w:eastAsia="zh-CN" w:bidi="ar-SA"/>
        </w:rPr>
        <w:t>周艳，</w:t>
      </w:r>
      <w:r>
        <w:rPr>
          <w:rFonts w:hint="default" w:ascii="Times New Roman" w:hAnsi="Times New Roman" w:eastAsia="宋体" w:cs="Times New Roman"/>
          <w:kern w:val="2"/>
          <w:sz w:val="24"/>
          <w:szCs w:val="24"/>
          <w:lang w:val="en-US" w:eastAsia="zh-CN" w:bidi="ar-SA"/>
        </w:rPr>
        <w:t>韦小丽，陈训</w:t>
      </w:r>
      <w:r>
        <w:rPr>
          <w:rFonts w:hint="eastAsia" w:ascii="Times New Roman" w:hAnsi="Times New Roman" w:cs="Times New Roman"/>
          <w:b/>
          <w:sz w:val="24"/>
          <w:szCs w:val="24"/>
        </w:rPr>
        <w:t>*</w:t>
      </w:r>
      <w:r>
        <w:rPr>
          <w:rFonts w:hint="default" w:ascii="Times New Roman" w:hAnsi="Times New Roman" w:eastAsia="宋体" w:cs="Times New Roman"/>
          <w:kern w:val="2"/>
          <w:sz w:val="24"/>
          <w:szCs w:val="24"/>
          <w:lang w:val="en-US" w:eastAsia="zh-CN" w:bidi="ar-SA"/>
        </w:rPr>
        <w:t>.遮荫对迷人杜鹃种子萌发和芽苗生长的影响[J].贵州农业科学,2015,43(6):149-152.</w:t>
      </w:r>
    </w:p>
    <w:p w14:paraId="22E9A2D6">
      <w:pPr>
        <w:tabs>
          <w:tab w:val="left" w:pos="630"/>
        </w:tabs>
        <w:spacing w:line="360" w:lineRule="auto"/>
        <w:rPr>
          <w:rFonts w:hint="eastAsia" w:ascii="Times New Roman" w:hAnsi="Times New Roman"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8</w:t>
      </w:r>
      <w:r>
        <w:rPr>
          <w:rFonts w:hint="default" w:ascii="Times New Roman" w:hAnsi="Times New Roman" w:cs="Times New Roman"/>
          <w:color w:val="auto"/>
          <w:szCs w:val="21"/>
        </w:rPr>
        <w:t>]</w:t>
      </w:r>
      <w:r>
        <w:rPr>
          <w:rFonts w:hint="default" w:ascii="Times New Roman" w:hAnsi="Times New Roman" w:eastAsia="宋体" w:cs="Times New Roman"/>
          <w:kern w:val="2"/>
          <w:sz w:val="24"/>
          <w:szCs w:val="24"/>
          <w:lang w:val="en-US" w:eastAsia="zh-CN" w:bidi="ar-SA"/>
        </w:rPr>
        <w:t>郑 嵩</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陈 训</w:t>
      </w:r>
      <w:r>
        <w:rPr>
          <w:rFonts w:hint="eastAsia" w:ascii="Times New Roman" w:hAnsi="Times New Roman" w:cs="Times New Roman"/>
          <w:b/>
          <w:sz w:val="24"/>
          <w:szCs w:val="24"/>
        </w:rPr>
        <w:t>*</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陈益新</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廖芳芳</w:t>
      </w:r>
      <w:r>
        <w:rPr>
          <w:rFonts w:hint="eastAsia" w:ascii="Times New Roman" w:hAnsi="Times New Roman" w:cs="Times New Roman"/>
          <w:kern w:val="2"/>
          <w:sz w:val="24"/>
          <w:szCs w:val="24"/>
          <w:lang w:val="en-US" w:eastAsia="zh-CN" w:bidi="ar-SA"/>
        </w:rPr>
        <w:t>.不同处理对迷人杜鹃种子萌发的影响</w:t>
      </w:r>
      <w:r>
        <w:rPr>
          <w:rFonts w:hint="default" w:ascii="Times New Roman" w:hAnsi="Times New Roman" w:eastAsia="宋体" w:cs="Times New Roman"/>
          <w:kern w:val="2"/>
          <w:sz w:val="24"/>
          <w:szCs w:val="24"/>
          <w:lang w:val="en-US" w:eastAsia="zh-CN" w:bidi="ar-SA"/>
        </w:rPr>
        <w:t>[J].贵州科</w:t>
      </w:r>
      <w:r>
        <w:rPr>
          <w:rFonts w:hint="eastAsia" w:ascii="Times New Roman" w:hAnsi="Times New Roman" w:cs="Times New Roman"/>
          <w:kern w:val="2"/>
          <w:sz w:val="24"/>
          <w:szCs w:val="24"/>
          <w:lang w:val="en-US" w:eastAsia="zh-CN" w:bidi="ar-SA"/>
        </w:rPr>
        <w:t>学，2013，</w:t>
      </w:r>
      <w:r>
        <w:rPr>
          <w:rFonts w:hint="default" w:ascii="Times New Roman" w:hAnsi="Times New Roman" w:eastAsia="宋体" w:cs="Times New Roman"/>
          <w:kern w:val="2"/>
          <w:sz w:val="24"/>
          <w:szCs w:val="24"/>
          <w:lang w:val="en-US" w:eastAsia="zh-CN" w:bidi="ar-SA"/>
        </w:rPr>
        <w:t>31( 3) :65</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68</w:t>
      </w:r>
      <w:r>
        <w:rPr>
          <w:rFonts w:hint="eastAsia" w:ascii="Times New Roman" w:hAnsi="Times New Roman" w:cs="Times New Roman"/>
          <w:kern w:val="2"/>
          <w:sz w:val="24"/>
          <w:szCs w:val="24"/>
          <w:lang w:val="en-US" w:eastAsia="zh-CN" w:bidi="ar-SA"/>
        </w:rPr>
        <w:t>.</w:t>
      </w:r>
    </w:p>
    <w:p w14:paraId="1E4B8D1B">
      <w:pPr>
        <w:tabs>
          <w:tab w:val="left" w:pos="630"/>
        </w:tabs>
        <w:spacing w:line="360" w:lineRule="auto"/>
        <w:rPr>
          <w:rFonts w:hint="eastAsia" w:ascii="Times New Roman" w:hAnsi="Times New Roman" w:cs="Times New Roman"/>
          <w:kern w:val="2"/>
          <w:sz w:val="24"/>
          <w:szCs w:val="24"/>
          <w:lang w:val="en-US" w:eastAsia="zh-CN" w:bidi="ar-SA"/>
        </w:rPr>
      </w:pPr>
      <w:r>
        <w:rPr>
          <w:rFonts w:hint="default" w:ascii="Times New Roman" w:hAnsi="Times New Roman" w:cs="Times New Roman"/>
          <w:color w:val="auto"/>
          <w:szCs w:val="21"/>
        </w:rPr>
        <w:t>[</w:t>
      </w:r>
      <w:r>
        <w:rPr>
          <w:rFonts w:hint="eastAsia" w:ascii="Times New Roman" w:hAnsi="Times New Roman" w:cs="Times New Roman"/>
          <w:color w:val="auto"/>
          <w:szCs w:val="21"/>
          <w:lang w:val="en-US" w:eastAsia="zh-CN"/>
        </w:rPr>
        <w:t>9</w:t>
      </w:r>
      <w:r>
        <w:rPr>
          <w:rFonts w:hint="default" w:ascii="Times New Roman" w:hAnsi="Times New Roman" w:cs="Times New Roman"/>
          <w:color w:val="auto"/>
          <w:szCs w:val="21"/>
        </w:rPr>
        <w:t>]</w:t>
      </w:r>
      <w:r>
        <w:rPr>
          <w:rFonts w:hint="default" w:ascii="Times New Roman" w:hAnsi="Times New Roman" w:cs="Times New Roman"/>
          <w:kern w:val="2"/>
          <w:sz w:val="24"/>
          <w:szCs w:val="24"/>
          <w:lang w:val="en-US" w:eastAsia="zh-CN" w:bidi="ar-SA"/>
        </w:rPr>
        <w:t>童琪</w:t>
      </w:r>
      <w:r>
        <w:rPr>
          <w:rFonts w:hint="eastAsia" w:ascii="Times New Roman" w:hAnsi="Times New Roman"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钟雁</w:t>
      </w:r>
      <w:r>
        <w:rPr>
          <w:rFonts w:hint="eastAsia" w:ascii="Times New Roman" w:hAnsi="Times New Roman"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李婧</w:t>
      </w:r>
      <w:r>
        <w:rPr>
          <w:rFonts w:hint="eastAsia" w:ascii="Times New Roman" w:hAnsi="Times New Roman"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胡瑾</w:t>
      </w:r>
      <w:r>
        <w:rPr>
          <w:rFonts w:hint="eastAsia" w:ascii="Times New Roman" w:hAnsi="Times New Roman" w:cs="Times New Roman"/>
          <w:kern w:val="2"/>
          <w:sz w:val="24"/>
          <w:szCs w:val="24"/>
          <w:lang w:val="en-US" w:eastAsia="zh-CN" w:bidi="ar-SA"/>
        </w:rPr>
        <w:t>，</w:t>
      </w:r>
      <w:r>
        <w:rPr>
          <w:rFonts w:hint="default" w:ascii="Times New Roman" w:hAnsi="Times New Roman" w:cs="Times New Roman"/>
          <w:kern w:val="2"/>
          <w:sz w:val="24"/>
          <w:szCs w:val="24"/>
          <w:lang w:val="en-US" w:eastAsia="zh-CN" w:bidi="ar-SA"/>
        </w:rPr>
        <w:t>周艳</w:t>
      </w:r>
      <w:r>
        <w:rPr>
          <w:rFonts w:hint="eastAsia" w:ascii="Times New Roman" w:hAnsi="Times New Roman" w:cs="Times New Roman"/>
          <w:kern w:val="2"/>
          <w:sz w:val="24"/>
          <w:szCs w:val="24"/>
          <w:lang w:val="en-US" w:eastAsia="zh-CN" w:bidi="ar-SA"/>
        </w:rPr>
        <w:t>.不同温度对迷人杜鹃种子萌发与幼苗生长及生理特性的影响</w:t>
      </w:r>
      <w:r>
        <w:rPr>
          <w:rFonts w:hint="default" w:ascii="Times New Roman" w:hAnsi="Times New Roman" w:eastAsia="宋体" w:cs="Times New Roman"/>
          <w:kern w:val="2"/>
          <w:sz w:val="24"/>
          <w:szCs w:val="24"/>
          <w:lang w:val="en-US" w:eastAsia="zh-CN" w:bidi="ar-SA"/>
        </w:rPr>
        <w:t>[J].西北植物学报</w:t>
      </w:r>
      <w:r>
        <w:rPr>
          <w:rFonts w:hint="eastAsia" w:ascii="Times New Roman" w:hAnsi="Times New Roman" w:cs="Times New Roman"/>
          <w:kern w:val="2"/>
          <w:sz w:val="24"/>
          <w:szCs w:val="24"/>
          <w:lang w:val="en-US" w:eastAsia="zh-CN" w:bidi="ar-SA"/>
        </w:rPr>
        <w:t>，2020，40（3）:0471-0477.</w:t>
      </w:r>
    </w:p>
    <w:p w14:paraId="4DE5EF05">
      <w:pPr>
        <w:tabs>
          <w:tab w:val="left" w:pos="630"/>
        </w:tabs>
        <w:spacing w:line="360" w:lineRule="auto"/>
        <w:rPr>
          <w:rFonts w:hint="eastAsia"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10</w:t>
      </w: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黄承玲，陈训，高贵龙，黄家涌.迷人杜鹃1年生苗生长规律及相关关系研究</w:t>
      </w:r>
      <w:r>
        <w:rPr>
          <w:rFonts w:hint="default" w:ascii="Times New Roman" w:hAnsi="Times New Roman" w:cs="Times New Roman"/>
          <w:kern w:val="2"/>
          <w:sz w:val="24"/>
          <w:szCs w:val="24"/>
          <w:lang w:val="en-US" w:eastAsia="zh-CN" w:bidi="ar-SA"/>
        </w:rPr>
        <w:t>[J].</w:t>
      </w:r>
      <w:r>
        <w:rPr>
          <w:rFonts w:hint="eastAsia" w:ascii="Times New Roman" w:hAnsi="Times New Roman" w:cs="Times New Roman"/>
          <w:kern w:val="2"/>
          <w:sz w:val="24"/>
          <w:szCs w:val="24"/>
          <w:lang w:val="en-US" w:eastAsia="zh-CN" w:bidi="ar-SA"/>
        </w:rPr>
        <w:t>林业科技，2010,35（2）：5-6.</w:t>
      </w:r>
    </w:p>
    <w:p w14:paraId="5D09CED8">
      <w:pPr>
        <w:tabs>
          <w:tab w:val="left" w:pos="630"/>
        </w:tabs>
        <w:spacing w:line="360" w:lineRule="auto"/>
        <w:rPr>
          <w:rFonts w:hint="eastAsia"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11</w:t>
      </w: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黄承玲，陈训，高贵龙，周洪英.迷人杜鹃种子萌发过程中的生理变化</w:t>
      </w:r>
      <w:r>
        <w:rPr>
          <w:rFonts w:hint="default" w:ascii="Times New Roman" w:hAnsi="Times New Roman" w:cs="Times New Roman"/>
          <w:kern w:val="2"/>
          <w:sz w:val="24"/>
          <w:szCs w:val="24"/>
          <w:lang w:val="en-US" w:eastAsia="zh-CN" w:bidi="ar-SA"/>
        </w:rPr>
        <w:t>[J].</w:t>
      </w:r>
      <w:r>
        <w:rPr>
          <w:rFonts w:hint="eastAsia" w:ascii="Times New Roman" w:hAnsi="Times New Roman" w:cs="Times New Roman"/>
          <w:kern w:val="2"/>
          <w:sz w:val="24"/>
          <w:szCs w:val="24"/>
          <w:lang w:val="en-US" w:eastAsia="zh-CN" w:bidi="ar-SA"/>
        </w:rPr>
        <w:t>种子，29（5）：94-96.</w:t>
      </w:r>
    </w:p>
    <w:p w14:paraId="1436C3A1">
      <w:pPr>
        <w:tabs>
          <w:tab w:val="left" w:pos="630"/>
        </w:tabs>
        <w:spacing w:line="360" w:lineRule="auto"/>
        <w:rPr>
          <w:rFonts w:hint="default" w:ascii="Times New Roman" w:hAnsi="Times New Roman" w:cs="Times New Roman"/>
          <w:kern w:val="2"/>
          <w:sz w:val="24"/>
          <w:szCs w:val="24"/>
          <w:lang w:val="en-US" w:eastAsia="zh-CN" w:bidi="ar-SA"/>
        </w:rPr>
      </w:pP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12</w:t>
      </w:r>
      <w:r>
        <w:rPr>
          <w:rFonts w:hint="default" w:ascii="Times New Roman" w:hAnsi="Times New Roman" w:cs="Times New Roman"/>
          <w:kern w:val="2"/>
          <w:sz w:val="24"/>
          <w:szCs w:val="24"/>
          <w:lang w:val="en-US" w:eastAsia="zh-CN" w:bidi="ar-SA"/>
        </w:rPr>
        <w:t>]</w:t>
      </w:r>
      <w:r>
        <w:rPr>
          <w:rFonts w:hint="eastAsia" w:ascii="Times New Roman" w:hAnsi="Times New Roman" w:cs="Times New Roman"/>
          <w:kern w:val="2"/>
          <w:sz w:val="24"/>
          <w:szCs w:val="24"/>
          <w:lang w:val="en-US" w:eastAsia="zh-CN" w:bidi="ar-SA"/>
        </w:rPr>
        <w:t>黄承玲，周洪英，黄家涌，陈训.迷人杜鹃种子特性与萌发实验研究</w:t>
      </w:r>
      <w:r>
        <w:rPr>
          <w:rFonts w:hint="default" w:ascii="Times New Roman" w:hAnsi="Times New Roman" w:cs="Times New Roman"/>
          <w:kern w:val="2"/>
          <w:sz w:val="24"/>
          <w:szCs w:val="24"/>
          <w:lang w:val="en-US" w:eastAsia="zh-CN" w:bidi="ar-SA"/>
        </w:rPr>
        <w:t>[J].</w:t>
      </w:r>
      <w:r>
        <w:rPr>
          <w:rFonts w:hint="eastAsia" w:ascii="Times New Roman" w:hAnsi="Times New Roman" w:cs="Times New Roman"/>
          <w:kern w:val="2"/>
          <w:sz w:val="24"/>
          <w:szCs w:val="24"/>
          <w:lang w:val="en-US" w:eastAsia="zh-CN" w:bidi="ar-SA"/>
        </w:rPr>
        <w:t>种子，28（8）：96-98</w:t>
      </w:r>
    </w:p>
    <w:p w14:paraId="27B765DA">
      <w:pPr>
        <w:tabs>
          <w:tab w:val="left" w:pos="630"/>
        </w:tabs>
        <w:spacing w:line="360" w:lineRule="auto"/>
        <w:rPr>
          <w:rFonts w:hint="eastAsia" w:ascii="Times New Roman" w:hAnsi="Times New Roman" w:cs="Times New Roman"/>
          <w:kern w:val="2"/>
          <w:sz w:val="24"/>
          <w:szCs w:val="24"/>
          <w:lang w:val="en-US" w:eastAsia="zh-CN" w:bidi="ar-SA"/>
        </w:rPr>
      </w:pPr>
    </w:p>
    <w:p w14:paraId="25A9CB6C">
      <w:pPr>
        <w:tabs>
          <w:tab w:val="left" w:pos="630"/>
        </w:tabs>
        <w:spacing w:line="360" w:lineRule="auto"/>
        <w:rPr>
          <w:rFonts w:hint="default" w:ascii="Times New Roman" w:hAnsi="Times New Roman" w:cs="Times New Roman"/>
          <w:kern w:val="2"/>
          <w:sz w:val="24"/>
          <w:szCs w:val="24"/>
          <w:lang w:val="en-US" w:eastAsia="zh-CN" w:bidi="ar-SA"/>
        </w:rPr>
      </w:pPr>
    </w:p>
    <w:p w14:paraId="22646DC9">
      <w:pPr>
        <w:tabs>
          <w:tab w:val="left" w:pos="630"/>
        </w:tabs>
        <w:spacing w:line="360" w:lineRule="auto"/>
        <w:rPr>
          <w:rFonts w:hint="default" w:ascii="Times New Roman" w:hAnsi="Times New Roman" w:eastAsia="宋体" w:cs="Times New Roman"/>
          <w:kern w:val="2"/>
          <w:sz w:val="24"/>
          <w:szCs w:val="24"/>
          <w:lang w:val="en-US" w:eastAsia="zh-CN" w:bidi="ar-SA"/>
        </w:rPr>
      </w:pPr>
    </w:p>
    <w:p w14:paraId="0C101DB1">
      <w:pPr>
        <w:rPr>
          <w:rFonts w:hint="default" w:ascii="Times New Roman" w:eastAsia="黑体"/>
          <w:kern w:val="2"/>
          <w:sz w:val="24"/>
          <w:szCs w:val="24"/>
          <w:lang w:val="en-US" w:eastAsia="zh-CN"/>
        </w:rPr>
      </w:pPr>
    </w:p>
    <w:p w14:paraId="7022B9C6"/>
    <w:sectPr>
      <w:headerReference r:id="rId7" w:type="first"/>
      <w:footerReference r:id="rId10" w:type="first"/>
      <w:headerReference r:id="rId5" w:type="default"/>
      <w:footerReference r:id="rId8" w:type="default"/>
      <w:headerReference r:id="rId6" w:type="even"/>
      <w:footerReference r:id="rId9" w:type="even"/>
      <w:pgSz w:w="11906" w:h="16838"/>
      <w:pgMar w:top="1361" w:right="1304" w:bottom="1247" w:left="1304" w:header="851" w:footer="992" w:gutter="0"/>
      <w:pgNumType w:fmt="numberInDash"/>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00000000000000000"/>
    <w:charset w:val="86"/>
    <w:family w:val="auto"/>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Segoe UI">
    <w:panose1 w:val="020B0502040204020203"/>
    <w:charset w:val="00"/>
    <w:family w:val="auto"/>
    <w:pitch w:val="default"/>
    <w:sig w:usb0="E4002EFF" w:usb1="C000E47F" w:usb2="00000009" w:usb3="00000000" w:csb0="200001FF" w:csb1="00000000"/>
  </w:font>
  <w:font w:name="楷体">
    <w:panose1 w:val="02010609060101010101"/>
    <w:charset w:val="86"/>
    <w:family w:val="modern"/>
    <w:pitch w:val="default"/>
    <w:sig w:usb0="800002BF" w:usb1="38CF7CFA" w:usb2="00000016" w:usb3="00000000" w:csb0="00040001" w:csb1="00000000"/>
  </w:font>
  <w:font w:name="KSOF439EEF50">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6167735"/>
      <w:docPartObj>
        <w:docPartGallery w:val="autotext"/>
      </w:docPartObj>
    </w:sdtPr>
    <w:sdtEndPr>
      <w:rPr>
        <w:sz w:val="21"/>
        <w:szCs w:val="21"/>
      </w:rPr>
    </w:sdtEndPr>
    <w:sdtContent>
      <w:p w14:paraId="2F4FF914">
        <w:pPr>
          <w:pStyle w:val="5"/>
          <w:ind w:firstLine="360"/>
          <w:jc w:val="right"/>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2</w:t>
        </w:r>
        <w:r>
          <w:rPr>
            <w:sz w:val="21"/>
            <w:szCs w:val="21"/>
          </w:rPr>
          <w:fldChar w:fldCharType="end"/>
        </w:r>
      </w:p>
    </w:sdtContent>
  </w:sdt>
  <w:p w14:paraId="21694F9F">
    <w:pPr>
      <w:pStyle w:val="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A9106">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81D15">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1EA6E">
    <w:pPr>
      <w:pStyle w:val="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695F7">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B75C52">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58CEB"/>
    <w:multiLevelType w:val="singleLevel"/>
    <w:tmpl w:val="88F58CEB"/>
    <w:lvl w:ilvl="0" w:tentative="0">
      <w:start w:val="2"/>
      <w:numFmt w:val="chineseCounting"/>
      <w:suff w:val="nothing"/>
      <w:lvlText w:val="（%1）"/>
      <w:lvlJc w:val="left"/>
      <w:rPr>
        <w:rFonts w:hint="eastAsia"/>
      </w:rPr>
    </w:lvl>
  </w:abstractNum>
  <w:abstractNum w:abstractNumId="1">
    <w:nsid w:val="4C8BC24F"/>
    <w:multiLevelType w:val="singleLevel"/>
    <w:tmpl w:val="4C8BC24F"/>
    <w:lvl w:ilvl="0" w:tentative="0">
      <w:start w:val="6"/>
      <w:numFmt w:val="chineseCounting"/>
      <w:suff w:val="nothing"/>
      <w:lvlText w:val="%1、"/>
      <w:lvlJc w:val="left"/>
      <w:rPr>
        <w:rFonts w:hint="eastAsia"/>
      </w:rPr>
    </w:lvl>
  </w:abstractNum>
  <w:abstractNum w:abstractNumId="2">
    <w:nsid w:val="60634370"/>
    <w:multiLevelType w:val="singleLevel"/>
    <w:tmpl w:val="60634370"/>
    <w:lvl w:ilvl="0" w:tentative="0">
      <w:start w:val="1"/>
      <w:numFmt w:val="decimal"/>
      <w:lvlText w:val="(%1)"/>
      <w:lvlJc w:val="left"/>
      <w:pPr>
        <w:ind w:left="425" w:hanging="425"/>
      </w:pPr>
      <w:rPr>
        <w:rFonts w:hint="default"/>
      </w:rPr>
    </w:lvl>
  </w:abstractNum>
  <w:abstractNum w:abstractNumId="3">
    <w:nsid w:val="657D3FBC"/>
    <w:multiLevelType w:val="multilevel"/>
    <w:tmpl w:val="657D3FBC"/>
    <w:lvl w:ilvl="0" w:tentative="0">
      <w:start w:val="1"/>
      <w:numFmt w:val="upperLetter"/>
      <w:pStyle w:val="11"/>
      <w:suff w:val="nothing"/>
      <w:lvlText w:val="附录%1"/>
      <w:lvlJc w:val="left"/>
      <w:pPr>
        <w:ind w:left="0" w:firstLine="0"/>
      </w:pPr>
      <w:rPr>
        <w:rFonts w:hint="eastAsia"/>
        <w:spacing w:val="100"/>
      </w:rPr>
    </w:lvl>
    <w:lvl w:ilvl="1" w:tentative="0">
      <w:start w:val="1"/>
      <w:numFmt w:val="decimal"/>
      <w:pStyle w:val="15"/>
      <w:suff w:val="nothing"/>
      <w:lvlText w:val="%1.%2　"/>
      <w:lvlJc w:val="left"/>
      <w:pPr>
        <w:ind w:left="0" w:firstLine="0"/>
      </w:pPr>
      <w:rPr>
        <w:rFonts w:hint="eastAsia" w:ascii="黑体" w:eastAsia="黑体"/>
        <w:b w:val="0"/>
        <w:i w:val="0"/>
        <w:sz w:val="21"/>
      </w:rPr>
    </w:lvl>
    <w:lvl w:ilvl="2" w:tentative="0">
      <w:start w:val="1"/>
      <w:numFmt w:val="decimal"/>
      <w:pStyle w:val="14"/>
      <w:suff w:val="nothing"/>
      <w:lvlText w:val="%1.%2.%3　"/>
      <w:lvlJc w:val="left"/>
      <w:pPr>
        <w:ind w:left="0" w:firstLine="0"/>
      </w:pPr>
      <w:rPr>
        <w:rFonts w:hint="eastAsia" w:ascii="黑体" w:eastAsia="黑体"/>
        <w:b w:val="0"/>
        <w:i w:val="0"/>
        <w:sz w:val="21"/>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F3709A"/>
    <w:rsid w:val="0CBD550A"/>
    <w:rsid w:val="23052B06"/>
    <w:rsid w:val="281A2C55"/>
    <w:rsid w:val="49556A85"/>
    <w:rsid w:val="4BEA3FE9"/>
    <w:rsid w:val="72C355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80" w:firstLineChars="200"/>
      <w:jc w:val="both"/>
    </w:pPr>
    <w:rPr>
      <w:rFonts w:ascii="Times New Roman" w:hAnsi="Times New Roman" w:eastAsia="宋体" w:cs="Times New Roman"/>
      <w:kern w:val="2"/>
      <w:sz w:val="24"/>
      <w:szCs w:val="24"/>
      <w:lang w:val="en-US" w:eastAsia="zh-CN" w:bidi="ar-SA"/>
    </w:rPr>
  </w:style>
  <w:style w:type="paragraph" w:styleId="2">
    <w:name w:val="heading 1"/>
    <w:basedOn w:val="1"/>
    <w:next w:val="1"/>
    <w:qFormat/>
    <w:uiPriority w:val="0"/>
    <w:pPr>
      <w:keepNext/>
      <w:keepLines/>
      <w:jc w:val="left"/>
      <w:outlineLvl w:val="0"/>
    </w:pPr>
    <w:rPr>
      <w:b/>
      <w:kern w:val="44"/>
      <w:szCs w:val="20"/>
    </w:rPr>
  </w:style>
  <w:style w:type="paragraph" w:styleId="3">
    <w:name w:val="heading 2"/>
    <w:basedOn w:val="1"/>
    <w:next w:val="1"/>
    <w:unhideWhenUsed/>
    <w:qFormat/>
    <w:uiPriority w:val="0"/>
    <w:pPr>
      <w:keepNext/>
      <w:keepLines/>
      <w:ind w:firstLine="422"/>
      <w:outlineLvl w:val="1"/>
    </w:pPr>
    <w:rPr>
      <w:rFonts w:ascii="Arial" w:hAnsi="Arial" w:cs="黑体"/>
      <w:b/>
      <w:sz w:val="21"/>
      <w:szCs w:val="22"/>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99"/>
    <w:pPr>
      <w:tabs>
        <w:tab w:val="center" w:pos="4153"/>
        <w:tab w:val="right" w:pos="8306"/>
      </w:tabs>
      <w:snapToGrid w:val="0"/>
      <w:jc w:val="left"/>
    </w:pPr>
    <w:rPr>
      <w:sz w:val="18"/>
    </w:rPr>
  </w:style>
  <w:style w:type="paragraph" w:styleId="6">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99"/>
    <w:pPr>
      <w:widowControl/>
      <w:spacing w:before="100" w:beforeAutospacing="1" w:after="100" w:afterAutospacing="1"/>
      <w:ind w:firstLine="482"/>
      <w:jc w:val="left"/>
    </w:pPr>
    <w:rPr>
      <w:rFonts w:ascii="宋体" w:hAnsi="宋体" w:cs="宋体"/>
      <w:b/>
      <w:kern w:val="0"/>
    </w:rPr>
  </w:style>
  <w:style w:type="character" w:styleId="10">
    <w:name w:val="Strong"/>
    <w:basedOn w:val="9"/>
    <w:qFormat/>
    <w:uiPriority w:val="0"/>
    <w:rPr>
      <w:b/>
    </w:rPr>
  </w:style>
  <w:style w:type="paragraph" w:customStyle="1" w:styleId="11">
    <w:name w:val="附录标识"/>
    <w:basedOn w:val="1"/>
    <w:next w:val="12"/>
    <w:qFormat/>
    <w:uiPriority w:val="0"/>
    <w:pPr>
      <w:keepNext/>
      <w:widowControl/>
      <w:numPr>
        <w:ilvl w:val="0"/>
        <w:numId w:val="1"/>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12">
    <w:name w:val="段"/>
    <w:basedOn w:val="1"/>
    <w:autoRedefine/>
    <w:qFormat/>
    <w:uiPriority w:val="0"/>
    <w:pPr>
      <w:widowControl/>
      <w:autoSpaceDE w:val="0"/>
      <w:autoSpaceDN w:val="0"/>
      <w:ind w:firstLine="420"/>
    </w:pPr>
    <w:rPr>
      <w:rFonts w:ascii="宋体" w:hAnsi="宋体" w:cs="宋体"/>
      <w:kern w:val="0"/>
    </w:rPr>
  </w:style>
  <w:style w:type="paragraph" w:customStyle="1" w:styleId="13">
    <w:name w:val="附录标题"/>
    <w:basedOn w:val="12"/>
    <w:next w:val="12"/>
    <w:qFormat/>
    <w:uiPriority w:val="0"/>
    <w:pPr>
      <w:tabs>
        <w:tab w:val="center" w:pos="4201"/>
        <w:tab w:val="right" w:leader="dot" w:pos="9298"/>
      </w:tabs>
      <w:ind w:firstLine="0" w:firstLineChars="0"/>
      <w:jc w:val="center"/>
    </w:pPr>
    <w:rPr>
      <w:rFonts w:ascii="黑体" w:eastAsia="黑体"/>
    </w:rPr>
  </w:style>
  <w:style w:type="paragraph" w:customStyle="1" w:styleId="14">
    <w:name w:val="附录一级条标题"/>
    <w:basedOn w:val="15"/>
    <w:next w:val="12"/>
    <w:qFormat/>
    <w:uiPriority w:val="0"/>
    <w:pPr>
      <w:numPr>
        <w:ilvl w:val="2"/>
        <w:numId w:val="1"/>
      </w:numPr>
      <w:tabs>
        <w:tab w:val="left" w:pos="360"/>
      </w:tabs>
      <w:autoSpaceDN w:val="0"/>
      <w:spacing w:before="50" w:beforeLines="50" w:after="50" w:afterLines="50"/>
      <w:outlineLvl w:val="2"/>
    </w:pPr>
  </w:style>
  <w:style w:type="paragraph" w:customStyle="1" w:styleId="15">
    <w:name w:val="附录章标题"/>
    <w:next w:val="12"/>
    <w:qFormat/>
    <w:uiPriority w:val="0"/>
    <w:pPr>
      <w:numPr>
        <w:ilvl w:val="1"/>
        <w:numId w:val="1"/>
      </w:numPr>
      <w:tabs>
        <w:tab w:val="left" w:pos="360"/>
      </w:tabs>
      <w:wordWrap w:val="0"/>
      <w:overflowPunct w:val="0"/>
      <w:autoSpaceDE w:val="0"/>
      <w:spacing w:before="100" w:beforeLines="100" w:after="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16">
    <w:name w:val="附录一级无"/>
    <w:basedOn w:val="14"/>
    <w:qFormat/>
    <w:uiPriority w:val="0"/>
    <w:pPr>
      <w:spacing w:before="0" w:beforeLines="0" w:after="0" w:afterLines="0"/>
    </w:pPr>
    <w:rPr>
      <w:rFonts w:ascii="宋体" w:eastAsia="宋体"/>
      <w:szCs w:val="21"/>
    </w:rPr>
  </w:style>
  <w:style w:type="paragraph" w:customStyle="1" w:styleId="17">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2139</Words>
  <Characters>2221</Characters>
  <Lines>0</Lines>
  <Paragraphs>0</Paragraphs>
  <TotalTime>40</TotalTime>
  <ScaleCrop>false</ScaleCrop>
  <LinksUpToDate>false</LinksUpToDate>
  <CharactersWithSpaces>2236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2026-03-03T01:30:00Z</dcterms:created>
  <dc:creator>HFY</dc:creator>
  <cp:lastModifiedBy>李荣华</cp:lastModifiedBy>
  <dcterms:modified xsi:type="dcterms:W3CDTF">2026-04-21T13:21:28Z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eyJoZGlkIjoiM2FiMGJlZDE3OTg5NTI0ZThiMjg0NGQ1MmQzMzMyMTUiLCJ1c2VySWQiOiIxMTQwNDY1MzkwIn0=</vt:lpwstr>
  </property>
  <property fmtid="{D5CDD505-2E9C-101B-9397-08002B2CF9AE}" pid="4" name="ICV">
    <vt:lpwstr>E0A969D0B4944EA08A14970E33DE27AD_13</vt:lpwstr>
  </property>
</Properties>
</file>