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CF0AE9">
      <w:r>
        <mc:AlternateContent>
          <mc:Choice Requires="wps">
            <w:drawing>
              <wp:anchor distT="0" distB="0" distL="114300" distR="114300" simplePos="0" relativeHeight="251660288" behindDoc="0" locked="0" layoutInCell="1" allowOverlap="1">
                <wp:simplePos x="0" y="0"/>
                <wp:positionH relativeFrom="column">
                  <wp:posOffset>-6985</wp:posOffset>
                </wp:positionH>
                <wp:positionV relativeFrom="paragraph">
                  <wp:posOffset>-32385</wp:posOffset>
                </wp:positionV>
                <wp:extent cx="3730625" cy="580390"/>
                <wp:effectExtent l="0" t="0" r="0" b="0"/>
                <wp:wrapNone/>
                <wp:docPr id="1" name="文本框 ICS/CSS/备案号" title="ICS/CSS/备案号"/>
                <wp:cNvGraphicFramePr/>
                <a:graphic xmlns:a="http://schemas.openxmlformats.org/drawingml/2006/main">
                  <a:graphicData uri="http://schemas.microsoft.com/office/word/2010/wordprocessingShape">
                    <wps:wsp>
                      <wps:cNvSpPr txBox="1"/>
                      <wps:spPr>
                        <a:xfrm>
                          <a:off x="2338705" y="980440"/>
                          <a:ext cx="3730625" cy="5803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CC3778">
                            <w:pPr>
                              <w:wordWrap/>
                              <w:adjustRightInd w:val="0"/>
                              <w:snapToGrid w:val="0"/>
                            </w:pPr>
                            <w:r>
                              <w:rPr>
                                <w:rFonts w:hint="eastAsia" w:ascii="Times New Roman" w:hAnsi="Times New Roman" w:eastAsia="黑体" w:cs="Times New Roman"/>
                              </w:rPr>
                              <w:tab/>
                            </w:r>
                            <w:r>
                              <w:br w:type="textWrapping"/>
                            </w:r>
                            <w:r>
                              <w:rPr>
                                <w:rFonts w:hint="eastAsia" w:ascii="Times New Roman" w:hAnsi="Times New Roman" w:eastAsia="黑体" w:cs="Times New Roman"/>
                              </w:rPr>
                              <w:tab/>
                            </w:r>
                            <w:r>
                              <w:br w:type="textWrapping"/>
                            </w:r>
                          </w:p>
                        </w:txbxContent>
                      </wps:txbx>
                      <wps:bodyPr rot="0" spcFirstLastPara="0" vertOverflow="overflow" horzOverflow="overflow" vert="horz" wrap="square" lIns="0" tIns="0" rIns="36000" bIns="0" numCol="1" spcCol="0" rtlCol="0" fromWordArt="0" anchor="t" anchorCtr="0" forceAA="0" compatLnSpc="1">
                        <a:noAutofit/>
                      </wps:bodyPr>
                    </wps:wsp>
                  </a:graphicData>
                </a:graphic>
              </wp:anchor>
            </w:drawing>
          </mc:Choice>
          <mc:Fallback>
            <w:pict>
              <v:shape id="文本框 ICS/CSS/备案号" o:spid="_x0000_s1026" o:spt="202" type="#_x0000_t202" style="position:absolute;left:0pt;margin-left:-0.55pt;margin-top:-2.55pt;height:45.7pt;width:293.75pt;z-index:251660288;mso-width-relative:page;mso-height-relative:page;" filled="f" stroked="f" coordsize="21600,21600" o:gfxdata="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M&#10;zscJ1wAAAAgBAAAPAAAAAAAAAAEAIAAAACIAAABkcnMvZG93bnJldi54bWxQSwECFAAUAAAACACH&#10;TuJA+j4VbF4CAACPBAAADgAAAAAAAAABACAAAAAmAQAAZHJzL2Uyb0RvYy54bWxQSwUGAAAAAAYA&#10;BgBZAQAA9gUAAAAA&#10;">
                <v:fill on="f" focussize="0,0"/>
                <v:stroke on="f" weight="0.5pt"/>
                <v:imagedata o:title=""/>
                <o:lock v:ext="edit" aspectratio="f"/>
                <v:textbox inset="0mm,0mm,1mm,0mm">
                  <w:txbxContent>
                    <w:p w14:paraId="67CC3778">
                      <w:pPr>
                        <w:wordWrap/>
                        <w:adjustRightInd w:val="0"/>
                        <w:snapToGrid w:val="0"/>
                      </w:pPr>
                      <w:r>
                        <w:rPr>
                          <w:rFonts w:hint="eastAsia" w:ascii="Times New Roman" w:hAnsi="Times New Roman" w:eastAsia="黑体" w:cs="Times New Roman"/>
                        </w:rPr>
                        <w:tab/>
                      </w:r>
                      <w:r>
                        <w:br w:type="textWrapping"/>
                      </w:r>
                      <w:r>
                        <w:rPr>
                          <w:rFonts w:hint="eastAsia" w:ascii="Times New Roman" w:hAnsi="Times New Roman" w:eastAsia="黑体" w:cs="Times New Roman"/>
                        </w:rPr>
                        <w:tab/>
                      </w:r>
                      <w:r>
                        <w:br w:type="textWrapping"/>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1214755</wp:posOffset>
                </wp:positionH>
                <wp:positionV relativeFrom="paragraph">
                  <wp:posOffset>84455</wp:posOffset>
                </wp:positionV>
                <wp:extent cx="4523740" cy="882650"/>
                <wp:effectExtent l="0" t="0" r="0" b="0"/>
                <wp:wrapNone/>
                <wp:docPr id="2" name="文本框 标准代码" title="标准代码"/>
                <wp:cNvGraphicFramePr/>
                <a:graphic xmlns:a="http://schemas.openxmlformats.org/drawingml/2006/main">
                  <a:graphicData uri="http://schemas.microsoft.com/office/word/2010/wordprocessingShape">
                    <wps:wsp>
                      <wps:cNvSpPr txBox="1"/>
                      <wps:spPr>
                        <a:xfrm>
                          <a:off x="0" y="0"/>
                          <a:ext cx="4523740" cy="8826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C83A18">
                            <w:pPr>
                              <w:jc w:val="right"/>
                              <w:rPr>
                                <w:rFonts w:ascii="Times New Roman" w:hAnsi="Times New Roman" w:cs="Times New Roman"/>
                                <w:sz w:val="84"/>
                                <w:szCs w:val="84"/>
                              </w:rPr>
                            </w:pPr>
                            <w:r>
                              <w:rPr>
                                <w:rFonts w:hint="eastAsia" w:ascii="Times New Roman" w:hAnsi="Times New Roman" w:cs="Times New Roman"/>
                                <w:b/>
                                <w:bCs/>
                                <w:sz w:val="112"/>
                                <w:szCs w:val="112"/>
                                <w:lang w:val="en-US" w:eastAsia="zh-CN"/>
                              </w:rPr>
                              <w:t>T</w:t>
                            </w:r>
                            <w:r>
                              <w:rPr>
                                <w:rFonts w:hint="eastAsia" w:ascii="Times New Roman" w:hAnsi="Times New Roman" w:cs="Times New Roman"/>
                                <w:b/>
                                <w:bCs/>
                                <w:sz w:val="112"/>
                                <w:szCs w:val="112"/>
                              </w:rPr>
                              <w:t>/</w:t>
                            </w:r>
                            <w:r>
                              <w:rPr>
                                <w:rFonts w:hint="eastAsia" w:ascii="Times New Roman" w:hAnsi="Times New Roman" w:cs="Times New Roman"/>
                                <w:b/>
                                <w:bCs/>
                                <w:sz w:val="112"/>
                                <w:szCs w:val="112"/>
                                <w:lang w:val="en-US" w:eastAsia="zh-CN"/>
                              </w:rPr>
                              <w:t>SXMYT</w:t>
                            </w:r>
                          </w:p>
                          <w:p w14:paraId="13700000">
                            <w:pPr>
                              <w:jc w:val="right"/>
                              <w:rPr>
                                <w:rFonts w:ascii="Times New Roman" w:hAnsi="Times New Roman" w:cs="Times New Roman"/>
                                <w:sz w:val="84"/>
                                <w:szCs w:val="84"/>
                              </w:rPr>
                            </w:pP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文本框 标准代码" o:spid="_x0000_s1026" o:spt="202" type="#_x0000_t202" style="position:absolute;left:0pt;margin-left:95.65pt;margin-top:6.65pt;height:69.5pt;width:356.2pt;z-index:251661312;mso-width-relative:page;mso-height-relative:page;" filled="f" stroked="f" coordsize="21600,21600" o:gfxdata="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JmspE7YAAAACgEAAA8AAAAAAAAA&#10;AQAgAAAAIgAAAGRycy9kb3ducmV2LnhtbFBLAQIUABQAAAAIAIdO4kB4DIBJSgIAAHYEAAAOAAAA&#10;AAAAAAEAIAAAACcBAABkcnMvZTJvRG9jLnhtbFBLBQYAAAAABgAGAFkBAADjBQAAAAA=&#10;">
                <v:fill on="f" focussize="0,0"/>
                <v:stroke on="f" weight="0.5pt"/>
                <v:imagedata o:title=""/>
                <o:lock v:ext="edit" aspectratio="f"/>
                <v:textbox inset="0mm,0mm,0mm,0mm">
                  <w:txbxContent>
                    <w:p w14:paraId="46C83A18">
                      <w:pPr>
                        <w:jc w:val="right"/>
                        <w:rPr>
                          <w:rFonts w:ascii="Times New Roman" w:hAnsi="Times New Roman" w:cs="Times New Roman"/>
                          <w:sz w:val="84"/>
                          <w:szCs w:val="84"/>
                        </w:rPr>
                      </w:pPr>
                      <w:r>
                        <w:rPr>
                          <w:rFonts w:hint="eastAsia" w:ascii="Times New Roman" w:hAnsi="Times New Roman" w:cs="Times New Roman"/>
                          <w:b/>
                          <w:bCs/>
                          <w:sz w:val="112"/>
                          <w:szCs w:val="112"/>
                          <w:lang w:val="en-US" w:eastAsia="zh-CN"/>
                        </w:rPr>
                        <w:t>T</w:t>
                      </w:r>
                      <w:r>
                        <w:rPr>
                          <w:rFonts w:hint="eastAsia" w:ascii="Times New Roman" w:hAnsi="Times New Roman" w:cs="Times New Roman"/>
                          <w:b/>
                          <w:bCs/>
                          <w:sz w:val="112"/>
                          <w:szCs w:val="112"/>
                        </w:rPr>
                        <w:t>/</w:t>
                      </w:r>
                      <w:r>
                        <w:rPr>
                          <w:rFonts w:hint="eastAsia" w:ascii="Times New Roman" w:hAnsi="Times New Roman" w:cs="Times New Roman"/>
                          <w:b/>
                          <w:bCs/>
                          <w:sz w:val="112"/>
                          <w:szCs w:val="112"/>
                          <w:lang w:val="en-US" w:eastAsia="zh-CN"/>
                        </w:rPr>
                        <w:t>SXMYT</w:t>
                      </w:r>
                    </w:p>
                    <w:p w14:paraId="13700000">
                      <w:pPr>
                        <w:jc w:val="right"/>
                        <w:rPr>
                          <w:rFonts w:ascii="Times New Roman" w:hAnsi="Times New Roman" w:cs="Times New Roman"/>
                          <w:sz w:val="84"/>
                          <w:szCs w:val="84"/>
                        </w:rPr>
                      </w:pP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-71120</wp:posOffset>
                </wp:positionH>
                <wp:positionV relativeFrom="paragraph">
                  <wp:posOffset>963295</wp:posOffset>
                </wp:positionV>
                <wp:extent cx="6216650" cy="658495"/>
                <wp:effectExtent l="0" t="0" r="0" b="0"/>
                <wp:wrapNone/>
                <wp:docPr id="3" name="文本框 标准抬头" title="标准抬头"/>
                <wp:cNvGraphicFramePr/>
                <a:graphic xmlns:a="http://schemas.openxmlformats.org/drawingml/2006/main">
                  <a:graphicData uri="http://schemas.microsoft.com/office/word/2010/wordprocessingShape">
                    <wps:wsp>
                      <wps:cNvSpPr txBox="1"/>
                      <wps:spPr>
                        <a:xfrm>
                          <a:off x="0" y="0"/>
                          <a:ext cx="6216650" cy="6584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871F18">
                            <w:pPr>
                              <w:wordWrap/>
                              <w:adjustRightInd w:val="0"/>
                              <w:snapToGrid w:val="0"/>
                              <w:jc w:val="distribute"/>
                            </w:pPr>
                            <w:r>
                              <w:rPr>
                                <w:rFonts w:hint="eastAsia" w:ascii="黑体" w:hAnsi="黑体" w:eastAsia="黑体" w:cs="黑体"/>
                                <w:sz w:val="52"/>
                                <w:szCs w:val="52"/>
                                <w:lang w:val="en-US" w:eastAsia="zh-CN"/>
                              </w:rPr>
                              <w:t>山西省名优土特新产品协会团体标准</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shape id="文本框 标准抬头" o:spid="_x0000_s1026" o:spt="202" type="#_x0000_t202" style="position:absolute;left:0pt;margin-left:-5.6pt;margin-top:75.85pt;height:51.85pt;width:489.5pt;z-index:251662336;v-text-anchor:middle;mso-width-relative:page;mso-height-relative:page;" filled="f" stroked="f" coordsize="21600,21600" o:gfxdata="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6SD8XtoAAAALAQAADwAAAAAA&#10;AAABACAAAAAiAAAAZHJzL2Rvd25yZXYueG1sUEsBAhQAFAAAAAgAh07iQOpjbnZKAgAAeAQAAA4A&#10;AAAAAAAAAQAgAAAAKQEAAGRycy9lMm9Eb2MueG1sUEsFBgAAAAAGAAYAWQEAAOUFAAAAAA==&#10;">
                <v:fill on="f" focussize="0,0"/>
                <v:stroke on="f" weight="0.5pt"/>
                <v:imagedata o:title=""/>
                <o:lock v:ext="edit" aspectratio="f"/>
                <v:textbox inset="0mm,0mm,0mm,0mm">
                  <w:txbxContent>
                    <w:p w14:paraId="7A871F18">
                      <w:pPr>
                        <w:wordWrap/>
                        <w:adjustRightInd w:val="0"/>
                        <w:snapToGrid w:val="0"/>
                        <w:jc w:val="distribute"/>
                      </w:pPr>
                      <w:r>
                        <w:rPr>
                          <w:rFonts w:hint="eastAsia" w:ascii="黑体" w:hAnsi="黑体" w:eastAsia="黑体" w:cs="黑体"/>
                          <w:sz w:val="52"/>
                          <w:szCs w:val="52"/>
                          <w:lang w:val="en-US" w:eastAsia="zh-CN"/>
                        </w:rPr>
                        <w:t>山西省名优土特新产品协会团体标准</w:t>
                      </w:r>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-3175</wp:posOffset>
                </wp:positionH>
                <wp:positionV relativeFrom="paragraph">
                  <wp:posOffset>1720850</wp:posOffset>
                </wp:positionV>
                <wp:extent cx="5975985" cy="278130"/>
                <wp:effectExtent l="0" t="0" r="0" b="0"/>
                <wp:wrapNone/>
                <wp:docPr id="4" name="文本框 标准编号" title="标准编号"/>
                <wp:cNvGraphicFramePr/>
                <a:graphic xmlns:a="http://schemas.openxmlformats.org/drawingml/2006/main">
                  <a:graphicData uri="http://schemas.microsoft.com/office/word/2010/wordprocessingShape">
                    <wps:wsp>
                      <wps:cNvSpPr txBox="1"/>
                      <wps:spPr>
                        <a:xfrm>
                          <a:off x="0" y="0"/>
                          <a:ext cx="5975985" cy="278130"/>
                        </a:xfrm>
                        <a:prstGeom prst="rect">
                          <a:avLst/>
                        </a:prstGeom>
                        <a:noFill/>
                        <a:ln w="6350">
                          <a:noFill/>
                        </a:ln>
                      </wps:spPr>
                      <wps:txbx>
                        <w:txbxContent>
                          <w:p w14:paraId="2F1E8881">
                            <w:pPr>
                              <w:wordWrap/>
                              <w:adjustRightInd w:val="0"/>
                              <w:snapToGrid w:val="0"/>
                              <w:jc w:val="right"/>
                              <w:rPr>
                                <w:rFonts w:ascii="黑体" w:hAnsi="黑体" w:eastAsia="黑体" w:cs="黑体"/>
                                <w:sz w:val="28"/>
                                <w:szCs w:val="28"/>
                              </w:rPr>
                            </w:pPr>
                            <w:r>
                              <w:rPr>
                                <w:rFonts w:hint="eastAsia" w:ascii="黑体" w:hAnsi="黑体" w:eastAsia="黑体" w:cs="黑体"/>
                                <w:sz w:val="28"/>
                                <w:szCs w:val="28"/>
                                <w:lang w:val="en-US" w:eastAsia="zh-CN"/>
                              </w:rPr>
                              <w:t>T</w:t>
                            </w:r>
                            <w:r>
                              <w:rPr>
                                <w:rFonts w:hint="eastAsia" w:ascii="黑体" w:hAnsi="黑体" w:eastAsia="黑体" w:cs="黑体"/>
                                <w:sz w:val="28"/>
                                <w:szCs w:val="28"/>
                              </w:rPr>
                              <w:t>/</w:t>
                            </w:r>
                            <w:r>
                              <w:rPr>
                                <w:rFonts w:hint="eastAsia" w:ascii="黑体" w:hAnsi="黑体" w:eastAsia="黑体" w:cs="黑体"/>
                                <w:sz w:val="28"/>
                                <w:szCs w:val="28"/>
                                <w:lang w:val="en-US" w:eastAsia="zh-CN"/>
                              </w:rPr>
                              <w:t>SXMYT  XX-XXXX</w:t>
                            </w:r>
                            <w:r>
                              <w:rPr>
                                <w:rFonts w:hint="eastAsia" w:ascii="黑体" w:hAnsi="黑体" w:eastAsia="黑体" w:cs="黑体"/>
                                <w:sz w:val="28"/>
                                <w:szCs w:val="28"/>
                              </w:rPr>
                              <w:t xml:space="preserve"> </w:t>
                            </w:r>
                          </w:p>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anchor>
            </w:drawing>
          </mc:Choice>
          <mc:Fallback>
            <w:pict>
              <v:shape id="文本框 标准编号" o:spid="_x0000_s1026" o:spt="202" type="#_x0000_t202" style="position:absolute;left:0pt;margin-left:-0.25pt;margin-top:135.5pt;height:21.9pt;width:470.55pt;z-index:251663360;v-text-anchor:middle;mso-width-relative:page;mso-height-relative:page;" filled="f" stroked="f" coordsize="21600,21600" o:gfxdata="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KQkuHdwA&#10;AAAJAQAADwAAAAAAAAABACAAAAAiAAAAZHJzL2Rvd25yZXYueG1sUEsBAhQAFAAAAAgAh07iQO4c&#10;WZhUAgAAgAQAAA4AAAAAAAAAAQAgAAAAKwEAAGRycy9lMm9Eb2MueG1sUEsFBgAAAAAGAAYAWQEA&#10;APEFAAAAAA==&#10;">
                <v:fill on="f" focussize="0,0"/>
                <v:stroke on="f" weight="0.5pt"/>
                <v:imagedata o:title=""/>
                <o:lock v:ext="edit" aspectratio="f"/>
                <v:textbox inset="1mm,0mm,1mm,0mm">
                  <w:txbxContent>
                    <w:p w14:paraId="2F1E8881">
                      <w:pPr>
                        <w:wordWrap/>
                        <w:adjustRightInd w:val="0"/>
                        <w:snapToGrid w:val="0"/>
                        <w:jc w:val="right"/>
                        <w:rPr>
                          <w:rFonts w:ascii="黑体" w:hAnsi="黑体" w:eastAsia="黑体" w:cs="黑体"/>
                          <w:sz w:val="28"/>
                          <w:szCs w:val="28"/>
                        </w:rPr>
                      </w:pPr>
                      <w:r>
                        <w:rPr>
                          <w:rFonts w:hint="eastAsia" w:ascii="黑体" w:hAnsi="黑体" w:eastAsia="黑体" w:cs="黑体"/>
                          <w:sz w:val="28"/>
                          <w:szCs w:val="28"/>
                          <w:lang w:val="en-US" w:eastAsia="zh-CN"/>
                        </w:rPr>
                        <w:t>T</w:t>
                      </w:r>
                      <w:r>
                        <w:rPr>
                          <w:rFonts w:hint="eastAsia" w:ascii="黑体" w:hAnsi="黑体" w:eastAsia="黑体" w:cs="黑体"/>
                          <w:sz w:val="28"/>
                          <w:szCs w:val="28"/>
                        </w:rPr>
                        <w:t>/</w:t>
                      </w:r>
                      <w:r>
                        <w:rPr>
                          <w:rFonts w:hint="eastAsia" w:ascii="黑体" w:hAnsi="黑体" w:eastAsia="黑体" w:cs="黑体"/>
                          <w:sz w:val="28"/>
                          <w:szCs w:val="28"/>
                          <w:lang w:val="en-US" w:eastAsia="zh-CN"/>
                        </w:rPr>
                        <w:t>SXMYT  XX-XXXX</w:t>
                      </w:r>
                      <w:r>
                        <w:rPr>
                          <w:rFonts w:hint="eastAsia" w:ascii="黑体" w:hAnsi="黑体" w:eastAsia="黑体" w:cs="黑体"/>
                          <w:sz w:val="28"/>
                          <w:szCs w:val="28"/>
                        </w:rPr>
                        <w:t xml:space="preserve"> </w:t>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1905</wp:posOffset>
                </wp:positionH>
                <wp:positionV relativeFrom="paragraph">
                  <wp:posOffset>1955800</wp:posOffset>
                </wp:positionV>
                <wp:extent cx="6007735" cy="278130"/>
                <wp:effectExtent l="0" t="0" r="0" b="0"/>
                <wp:wrapNone/>
                <wp:docPr id="5" name="文本框 代替标准编号" title="代替标准编号"/>
                <wp:cNvGraphicFramePr/>
                <a:graphic xmlns:a="http://schemas.openxmlformats.org/drawingml/2006/main">
                  <a:graphicData uri="http://schemas.microsoft.com/office/word/2010/wordprocessingShape">
                    <wps:wsp>
                      <wps:cNvSpPr txBox="1"/>
                      <wps:spPr>
                        <a:xfrm>
                          <a:off x="0" y="0"/>
                          <a:ext cx="6007735" cy="278130"/>
                        </a:xfrm>
                        <a:prstGeom prst="rect">
                          <a:avLst/>
                        </a:prstGeom>
                        <a:noFill/>
                        <a:ln w="6350">
                          <a:noFill/>
                        </a:ln>
                      </wps:spPr>
                      <wps:txbx>
                        <w:txbxContent>
                          <w:p w14:paraId="3704D48A">
                            <w:pPr>
                              <w:wordWrap/>
                              <w:adjustRightInd w:val="0"/>
                              <w:snapToGrid w:val="0"/>
                              <w:jc w:val="right"/>
                            </w:pPr>
                          </w:p>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anchor>
            </w:drawing>
          </mc:Choice>
          <mc:Fallback>
            <w:pict>
              <v:shape id="文本框 代替标准编号" o:spid="_x0000_s1026" o:spt="202" type="#_x0000_t202" style="position:absolute;left:0pt;margin-left:0.15pt;margin-top:154pt;height:21.9pt;width:473.05pt;z-index:251664384;v-text-anchor:middle;mso-width-relative:page;mso-height-relative:page;" filled="f" stroked="f" coordsize="21600,21600" o:gfxdata="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6&#10;v8vy2gAAAAgBAAAPAAAAAAAAAAEAIAAAACIAAABkcnMvZG93bnJldi54bWxQSwECFAAUAAAACACH&#10;TuJAvGN9IlsCAACMBAAADgAAAAAAAAABACAAAAApAQAAZHJzL2Uyb0RvYy54bWxQSwUGAAAAAAYA&#10;BgBZAQAA9gUAAAAA&#10;">
                <v:fill on="f" focussize="0,0"/>
                <v:stroke on="f" weight="0.5pt"/>
                <v:imagedata o:title=""/>
                <o:lock v:ext="edit" aspectratio="f"/>
                <v:textbox inset="1mm,0mm,1mm,0mm">
                  <w:txbxContent>
                    <w:p w14:paraId="3704D48A">
                      <w:pPr>
                        <w:wordWrap/>
                        <w:adjustRightInd w:val="0"/>
                        <w:snapToGrid w:val="0"/>
                        <w:jc w:val="right"/>
                      </w:pPr>
                    </w:p>
                  </w:txbxContent>
                </v:textbox>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1270</wp:posOffset>
                </wp:positionH>
                <wp:positionV relativeFrom="paragraph">
                  <wp:posOffset>2345055</wp:posOffset>
                </wp:positionV>
                <wp:extent cx="6124575" cy="0"/>
                <wp:effectExtent l="0" t="0" r="0" b="0"/>
                <wp:wrapNone/>
                <wp:docPr id="10" name="上横线"/>
                <wp:cNvGraphicFramePr/>
                <a:graphic xmlns:a="http://schemas.openxmlformats.org/drawingml/2006/main">
                  <a:graphicData uri="http://schemas.microsoft.com/office/word/2010/wordprocessingShape">
                    <wps:wsp>
                      <wps:cNvCnPr/>
                      <wps:spPr>
                        <a:xfrm>
                          <a:off x="979170" y="2911475"/>
                          <a:ext cx="6124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上横线" o:spid="_x0000_s1026" o:spt="20" style="position:absolute;left:0pt;margin-left:0.1pt;margin-top:184.65pt;height:0pt;width:482.25pt;z-index:251669504;mso-width-relative:page;mso-height-relative:page;" filled="f" stroked="t" coordsize="21600,21600" o:gfxdata="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jnUmtYA&#10;AAAIAQAADwAAAAAAAAABACAAAAAiAAAAZHJzL2Rvd25yZXYueG1sUEsBAhQAFAAAAAgAh07iQKrB&#10;LxLoAQAAtQMAAA4AAAAAAAAAAQAgAAAAJQEAAGRycy9lMm9Eb2MueG1sUEsFBgAAAAAGAAYAWQEA&#10;AH8FAAAAAA==&#10;">
                <v:fill on="f" focussize="0,0"/>
                <v:stroke weight="0.5pt" color="#000000 [3200]" miterlimit="8" joinstyle="miter"/>
                <v:imagedata o:title=""/>
                <o:lock v:ext="edit" aspectratio="f"/>
              </v:lin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-6985</wp:posOffset>
                </wp:positionH>
                <wp:positionV relativeFrom="paragraph">
                  <wp:posOffset>3709035</wp:posOffset>
                </wp:positionV>
                <wp:extent cx="6137275" cy="4199255"/>
                <wp:effectExtent l="0" t="0" r="0" b="0"/>
                <wp:wrapNone/>
                <wp:docPr id="6" name="文本框 标准名称" title="标准名称"/>
                <wp:cNvGraphicFramePr/>
                <a:graphic xmlns:a="http://schemas.openxmlformats.org/drawingml/2006/main">
                  <a:graphicData uri="http://schemas.microsoft.com/office/word/2010/wordprocessingShape">
                    <wps:wsp>
                      <wps:cNvSpPr txBox="1"/>
                      <wps:spPr>
                        <a:xfrm>
                          <a:off x="0" y="0"/>
                          <a:ext cx="6137275" cy="41992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72850C">
                            <w:pPr>
                              <w:wordWrap/>
                              <w:adjustRightInd w:val="0"/>
                              <w:snapToGrid w:val="0"/>
                              <w:spacing w:line="680" w:lineRule="exact"/>
                              <w:jc w:val="center"/>
                              <w:rPr>
                                <w:rFonts w:ascii="黑体" w:hAnsi="黑体" w:eastAsia="黑体" w:cs="黑体"/>
                                <w:sz w:val="52"/>
                                <w:szCs w:val="52"/>
                              </w:rPr>
                            </w:pPr>
                            <w:r>
                              <w:rPr>
                                <w:rFonts w:hint="default" w:ascii="黑体" w:hAnsi="黑体" w:eastAsia="黑体" w:cs="黑体"/>
                                <w:sz w:val="52"/>
                                <w:szCs w:val="52"/>
                                <w:lang w:val="en-US" w:eastAsia="zh-CN"/>
                              </w:rPr>
                              <w:t>“沁州黄</w:t>
                            </w:r>
                            <w:r>
                              <w:rPr>
                                <w:rFonts w:hint="eastAsia" w:ascii="黑体" w:hAnsi="黑体" w:eastAsia="黑体" w:cs="黑体"/>
                                <w:sz w:val="52"/>
                                <w:szCs w:val="52"/>
                                <w:lang w:val="en-US" w:eastAsia="zh-CN"/>
                              </w:rPr>
                              <w:t>小米</w:t>
                            </w:r>
                            <w:r>
                              <w:rPr>
                                <w:rFonts w:hint="default" w:ascii="黑体" w:hAnsi="黑体" w:eastAsia="黑体" w:cs="黑体"/>
                                <w:sz w:val="52"/>
                                <w:szCs w:val="52"/>
                                <w:lang w:val="en-US" w:eastAsia="zh-CN"/>
                              </w:rPr>
                              <w:t>”</w:t>
                            </w:r>
                            <w:r>
                              <w:rPr>
                                <w:rFonts w:hint="eastAsia" w:ascii="黑体" w:hAnsi="黑体" w:eastAsia="黑体" w:cs="黑体"/>
                                <w:sz w:val="52"/>
                                <w:szCs w:val="52"/>
                                <w:lang w:val="en-US" w:eastAsia="zh-CN"/>
                              </w:rPr>
                              <w:t>农产品加工</w:t>
                            </w:r>
                            <w:r>
                              <w:rPr>
                                <w:rFonts w:hint="default" w:ascii="黑体" w:hAnsi="黑体" w:eastAsia="黑体" w:cs="黑体"/>
                                <w:sz w:val="52"/>
                                <w:szCs w:val="52"/>
                                <w:lang w:val="en-US" w:eastAsia="zh-CN"/>
                              </w:rPr>
                              <w:t>管理规范</w:t>
                            </w:r>
                          </w:p>
                          <w:p w14:paraId="02DB3736">
                            <w:pPr>
                              <w:wordWrap/>
                              <w:adjustRightInd w:val="0"/>
                              <w:snapToGrid w:val="0"/>
                              <w:spacing w:before="370" w:line="400" w:lineRule="exact"/>
                              <w:jc w:val="center"/>
                              <w:rPr>
                                <w:rFonts w:hint="eastAsia" w:ascii="黑体" w:hAnsi="黑体" w:eastAsia="黑体" w:cs="黑体"/>
                                <w:sz w:val="28"/>
                                <w:szCs w:val="28"/>
                                <w:lang w:eastAsia="zh-CN"/>
                              </w:rPr>
                            </w:pPr>
                            <w:r>
                              <w:rPr>
                                <w:rFonts w:hint="eastAsia" w:ascii="黑体" w:hAnsi="黑体" w:eastAsia="黑体" w:cs="黑体"/>
                                <w:sz w:val="28"/>
                                <w:szCs w:val="28"/>
                                <w:lang w:eastAsia="zh-CN"/>
                              </w:rPr>
                              <w:t>（</w:t>
                            </w:r>
                            <w:r>
                              <w:rPr>
                                <w:rFonts w:hint="eastAsia" w:ascii="黑体" w:hAnsi="黑体" w:eastAsia="黑体" w:cs="黑体"/>
                                <w:sz w:val="28"/>
                                <w:szCs w:val="28"/>
                                <w:lang w:val="en-US" w:eastAsia="zh-CN"/>
                              </w:rPr>
                              <w:t>征求意见稿</w:t>
                            </w:r>
                            <w:r>
                              <w:rPr>
                                <w:rFonts w:hint="eastAsia" w:ascii="黑体" w:hAnsi="黑体" w:eastAsia="黑体" w:cs="黑体"/>
                                <w:sz w:val="28"/>
                                <w:szCs w:val="28"/>
                                <w:lang w:eastAsia="zh-CN"/>
                              </w:rPr>
                              <w:t>）</w:t>
                            </w:r>
                          </w:p>
                          <w:p w14:paraId="0D42F7CD">
                            <w:pPr>
                              <w:spacing w:before="640" w:line="400" w:lineRule="exact"/>
                              <w:jc w:val="center"/>
                              <w:rPr>
                                <w:rFonts w:ascii="Times New Roman" w:hAnsi="Times New Roman" w:cs="Times New Roman"/>
                                <w:sz w:val="28"/>
                                <w:szCs w:val="28"/>
                              </w:rPr>
                            </w:pPr>
                          </w:p>
                          <w:p w14:paraId="12510DB7">
                            <w:pPr>
                              <w:spacing w:before="500" w:after="240" w:line="400" w:lineRule="exact"/>
                              <w:jc w:val="center"/>
                              <w:rPr>
                                <w:rFonts w:ascii="宋体" w:hAnsi="宋体" w:eastAsia="宋体" w:cs="宋体"/>
                                <w:sz w:val="24"/>
                              </w:rPr>
                            </w:pPr>
                            <w:r>
                              <w:br w:type="textWrapping"/>
                            </w:r>
                          </w:p>
                          <w:p w14:paraId="07BC82D3">
                            <w:pPr>
                              <w:spacing w:before="567"/>
                              <w:jc w:val="center"/>
                              <w:rPr>
                                <w:rFonts w:ascii="宋体" w:hAnsi="宋体" w:eastAsia="宋体" w:cs="宋体"/>
                                <w:sz w:val="24"/>
                              </w:rPr>
                            </w:pPr>
                          </w:p>
                        </w:txbxContent>
                      </wps:txbx>
                      <wps:bodyPr rot="0" spcFirstLastPara="0" vertOverflow="overflow" horzOverflow="overflow" vert="horz" wrap="square" lIns="36000" tIns="0" rIns="36000" bIns="0" numCol="1" spcCol="0" rtlCol="0" fromWordArt="0" anchor="t" anchorCtr="0" forceAA="0" compatLnSpc="1">
                        <a:noAutofit/>
                      </wps:bodyPr>
                    </wps:wsp>
                  </a:graphicData>
                </a:graphic>
              </wp:anchor>
            </w:drawing>
          </mc:Choice>
          <mc:Fallback>
            <w:pict>
              <v:shape id="文本框 标准名称" o:spid="_x0000_s1026" o:spt="202" type="#_x0000_t202" style="position:absolute;left:0pt;margin-left:-0.55pt;margin-top:292.05pt;height:330.65pt;width:483.25pt;z-index:251665408;mso-width-relative:page;mso-height-relative:page;" filled="f" stroked="f" coordsize="21600,21600" o:gfxdata="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I+5ABHYAAAACwEA&#10;AA8AAAAAAAAAAQAgAAAAIgAAAGRycy9kb3ducmV2LnhtbFBLAQIUABQAAAAIAIdO4kAsxUKQUwIA&#10;AH8EAAAOAAAAAAAAAAEAIAAAACcBAABkcnMvZTJvRG9jLnhtbFBLBQYAAAAABgAGAFkBAADsBQAA&#10;AAA=&#10;">
                <v:fill on="f" focussize="0,0"/>
                <v:stroke on="f" weight="0.5pt"/>
                <v:imagedata o:title=""/>
                <o:lock v:ext="edit" aspectratio="f"/>
                <v:textbox inset="1mm,0mm,1mm,0mm">
                  <w:txbxContent>
                    <w:p w14:paraId="5072850C">
                      <w:pPr>
                        <w:wordWrap/>
                        <w:adjustRightInd w:val="0"/>
                        <w:snapToGrid w:val="0"/>
                        <w:spacing w:line="680" w:lineRule="exact"/>
                        <w:jc w:val="center"/>
                        <w:rPr>
                          <w:rFonts w:ascii="黑体" w:hAnsi="黑体" w:eastAsia="黑体" w:cs="黑体"/>
                          <w:sz w:val="52"/>
                          <w:szCs w:val="52"/>
                        </w:rPr>
                      </w:pPr>
                      <w:r>
                        <w:rPr>
                          <w:rFonts w:hint="default" w:ascii="黑体" w:hAnsi="黑体" w:eastAsia="黑体" w:cs="黑体"/>
                          <w:sz w:val="52"/>
                          <w:szCs w:val="52"/>
                          <w:lang w:val="en-US" w:eastAsia="zh-CN"/>
                        </w:rPr>
                        <w:t>“沁州黄</w:t>
                      </w:r>
                      <w:r>
                        <w:rPr>
                          <w:rFonts w:hint="eastAsia" w:ascii="黑体" w:hAnsi="黑体" w:eastAsia="黑体" w:cs="黑体"/>
                          <w:sz w:val="52"/>
                          <w:szCs w:val="52"/>
                          <w:lang w:val="en-US" w:eastAsia="zh-CN"/>
                        </w:rPr>
                        <w:t>小米</w:t>
                      </w:r>
                      <w:r>
                        <w:rPr>
                          <w:rFonts w:hint="default" w:ascii="黑体" w:hAnsi="黑体" w:eastAsia="黑体" w:cs="黑体"/>
                          <w:sz w:val="52"/>
                          <w:szCs w:val="52"/>
                          <w:lang w:val="en-US" w:eastAsia="zh-CN"/>
                        </w:rPr>
                        <w:t>”</w:t>
                      </w:r>
                      <w:r>
                        <w:rPr>
                          <w:rFonts w:hint="eastAsia" w:ascii="黑体" w:hAnsi="黑体" w:eastAsia="黑体" w:cs="黑体"/>
                          <w:sz w:val="52"/>
                          <w:szCs w:val="52"/>
                          <w:lang w:val="en-US" w:eastAsia="zh-CN"/>
                        </w:rPr>
                        <w:t>农产品加工</w:t>
                      </w:r>
                      <w:r>
                        <w:rPr>
                          <w:rFonts w:hint="default" w:ascii="黑体" w:hAnsi="黑体" w:eastAsia="黑体" w:cs="黑体"/>
                          <w:sz w:val="52"/>
                          <w:szCs w:val="52"/>
                          <w:lang w:val="en-US" w:eastAsia="zh-CN"/>
                        </w:rPr>
                        <w:t>管理规范</w:t>
                      </w:r>
                    </w:p>
                    <w:p w14:paraId="02DB3736">
                      <w:pPr>
                        <w:wordWrap/>
                        <w:adjustRightInd w:val="0"/>
                        <w:snapToGrid w:val="0"/>
                        <w:spacing w:before="370" w:line="400" w:lineRule="exact"/>
                        <w:jc w:val="center"/>
                        <w:rPr>
                          <w:rFonts w:hint="eastAsia" w:ascii="黑体" w:hAnsi="黑体" w:eastAsia="黑体" w:cs="黑体"/>
                          <w:sz w:val="28"/>
                          <w:szCs w:val="28"/>
                          <w:lang w:eastAsia="zh-CN"/>
                        </w:rPr>
                      </w:pPr>
                      <w:r>
                        <w:rPr>
                          <w:rFonts w:hint="eastAsia" w:ascii="黑体" w:hAnsi="黑体" w:eastAsia="黑体" w:cs="黑体"/>
                          <w:sz w:val="28"/>
                          <w:szCs w:val="28"/>
                          <w:lang w:eastAsia="zh-CN"/>
                        </w:rPr>
                        <w:t>（</w:t>
                      </w:r>
                      <w:r>
                        <w:rPr>
                          <w:rFonts w:hint="eastAsia" w:ascii="黑体" w:hAnsi="黑体" w:eastAsia="黑体" w:cs="黑体"/>
                          <w:sz w:val="28"/>
                          <w:szCs w:val="28"/>
                          <w:lang w:val="en-US" w:eastAsia="zh-CN"/>
                        </w:rPr>
                        <w:t>征求意见稿</w:t>
                      </w:r>
                      <w:r>
                        <w:rPr>
                          <w:rFonts w:hint="eastAsia" w:ascii="黑体" w:hAnsi="黑体" w:eastAsia="黑体" w:cs="黑体"/>
                          <w:sz w:val="28"/>
                          <w:szCs w:val="28"/>
                          <w:lang w:eastAsia="zh-CN"/>
                        </w:rPr>
                        <w:t>）</w:t>
                      </w:r>
                    </w:p>
                    <w:p w14:paraId="0D42F7CD">
                      <w:pPr>
                        <w:spacing w:before="640" w:line="400" w:lineRule="exact"/>
                        <w:jc w:val="center"/>
                        <w:rPr>
                          <w:rFonts w:ascii="Times New Roman" w:hAnsi="Times New Roman" w:cs="Times New Roman"/>
                          <w:sz w:val="28"/>
                          <w:szCs w:val="28"/>
                        </w:rPr>
                      </w:pPr>
                    </w:p>
                    <w:p w14:paraId="12510DB7">
                      <w:pPr>
                        <w:spacing w:before="500" w:after="240" w:line="400" w:lineRule="exact"/>
                        <w:jc w:val="center"/>
                        <w:rPr>
                          <w:rFonts w:ascii="宋体" w:hAnsi="宋体" w:eastAsia="宋体" w:cs="宋体"/>
                          <w:sz w:val="24"/>
                        </w:rPr>
                      </w:pPr>
                      <w:r>
                        <w:br w:type="textWrapping"/>
                      </w:r>
                    </w:p>
                    <w:p w14:paraId="07BC82D3">
                      <w:pPr>
                        <w:spacing w:before="567"/>
                        <w:jc w:val="center"/>
                        <w:rPr>
                          <w:rFonts w:ascii="宋体" w:hAnsi="宋体" w:eastAsia="宋体" w:cs="宋体"/>
                          <w:sz w:val="24"/>
                        </w:rPr>
                      </w:pPr>
                    </w:p>
                  </w:txbxContent>
                </v:textbox>
              </v:shap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-7620</wp:posOffset>
                </wp:positionH>
                <wp:positionV relativeFrom="paragraph">
                  <wp:posOffset>8877935</wp:posOffset>
                </wp:positionV>
                <wp:extent cx="6136005" cy="0"/>
                <wp:effectExtent l="0" t="0" r="0" b="0"/>
                <wp:wrapNone/>
                <wp:docPr id="11" name="下横线"/>
                <wp:cNvGraphicFramePr/>
                <a:graphic xmlns:a="http://schemas.openxmlformats.org/drawingml/2006/main">
                  <a:graphicData uri="http://schemas.microsoft.com/office/word/2010/wordprocessingShape">
                    <wps:wsp>
                      <wps:cNvCnPr/>
                      <wps:spPr>
                        <a:xfrm>
                          <a:off x="0" y="0"/>
                          <a:ext cx="6136005" cy="0"/>
                        </a:xfrm>
                        <a:prstGeom prst="line">
                          <a:avLst/>
                        </a:prstGeom>
                        <a:ln w="12700" cmpd="sng">
                          <a:solidFill>
                            <a:schemeClr val="tx1"/>
                          </a:solidFill>
                          <a:prstDash val="soli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下横线" o:spid="_x0000_s1026" o:spt="20" style="position:absolute;left:0pt;margin-left:-0.6pt;margin-top:699.05pt;height:0pt;width:483.15pt;z-index:251670528;mso-width-relative:page;mso-height-relative:page;" filled="f" stroked="t" coordsize="21600,21600" o:gfxdata="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rcgFD9kAAAAMAQAADwAA&#10;AAAAAAABACAAAAAiAAAAZHJzL2Rvd25yZXYueG1sUEsBAhQAFAAAAAgAh07iQPkSmtncAQAAqwMA&#10;AA4AAAAAAAAAAQAgAAAAKAEAAGRycy9lMm9Eb2MueG1sUEsFBgAAAAAGAAYAWQEAAHYFAAAAAA==&#10;">
                <v:fill on="f" focussize="0,0"/>
                <v:stroke weight="1pt" color="#000000 [3213]" miterlimit="8" joinstyle="miter"/>
                <v:imagedata o:title=""/>
                <o:lock v:ext="edit" aspectratio="f"/>
              </v:lin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-28575</wp:posOffset>
                </wp:positionH>
                <wp:positionV relativeFrom="paragraph">
                  <wp:posOffset>8566150</wp:posOffset>
                </wp:positionV>
                <wp:extent cx="2613660" cy="360045"/>
                <wp:effectExtent l="0" t="0" r="0" b="0"/>
                <wp:wrapNone/>
                <wp:docPr id="7" name="文本框 发布日期" title="发布日期"/>
                <wp:cNvGraphicFramePr/>
                <a:graphic xmlns:a="http://schemas.openxmlformats.org/drawingml/2006/main">
                  <a:graphicData uri="http://schemas.microsoft.com/office/word/2010/wordprocessingShape">
                    <wps:wsp>
                      <wps:cNvSpPr txBox="1"/>
                      <wps:spPr>
                        <a:xfrm>
                          <a:off x="0" y="0"/>
                          <a:ext cx="261366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F49D91">
                            <w:pPr>
                              <w:wordWrap/>
                              <w:snapToGrid w:val="0"/>
                              <w:jc w:val="left"/>
                            </w:pPr>
                            <w:r>
                              <w:rPr>
                                <w:rFonts w:hint="eastAsia" w:ascii="黑体" w:hAnsi="黑体" w:eastAsia="黑体" w:cs="黑体"/>
                                <w:sz w:val="28"/>
                                <w:szCs w:val="28"/>
                              </w:rPr>
                              <w:t>XXXX-XX-XX 发布</w:t>
                            </w:r>
                          </w:p>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anchor>
            </w:drawing>
          </mc:Choice>
          <mc:Fallback>
            <w:pict>
              <v:shape id="文本框 发布日期" o:spid="_x0000_s1026" o:spt="202" type="#_x0000_t202" style="position:absolute;left:0pt;margin-left:-2.25pt;margin-top:674.5pt;height:28.35pt;width:205.8pt;z-index:251666432;v-text-anchor:middle;mso-width-relative:page;mso-height-relative:page;" filled="f" stroked="f" coordsize="21600,21600" o:gfxdata="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LUNNvHdAAAA&#10;DAEAAA8AAAAAAAAAAQAgAAAAIgAAAGRycy9kb3ducmV2LnhtbFBLAQIUABQAAAAIAIdO4kC4L8Rj&#10;UQIAAIAEAAAOAAAAAAAAAAEAIAAAACwBAABkcnMvZTJvRG9jLnhtbFBLBQYAAAAABgAGAFkBAADv&#10;BQAAAAA=&#10;">
                <v:fill on="f" focussize="0,0"/>
                <v:stroke on="f" weight="0.5pt"/>
                <v:imagedata o:title=""/>
                <o:lock v:ext="edit" aspectratio="f"/>
                <v:textbox inset="1mm,0mm,1mm,0mm">
                  <w:txbxContent>
                    <w:p w14:paraId="59F49D91">
                      <w:pPr>
                        <w:wordWrap/>
                        <w:snapToGrid w:val="0"/>
                        <w:jc w:val="left"/>
                      </w:pPr>
                      <w:r>
                        <w:rPr>
                          <w:rFonts w:hint="eastAsia" w:ascii="黑体" w:hAnsi="黑体" w:eastAsia="黑体" w:cs="黑体"/>
                          <w:sz w:val="28"/>
                          <w:szCs w:val="28"/>
                        </w:rPr>
                        <w:t>XXXX-XX-XX 发布</w:t>
                      </w:r>
                    </w:p>
                  </w:txbxContent>
                </v:textbox>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3553460</wp:posOffset>
                </wp:positionH>
                <wp:positionV relativeFrom="paragraph">
                  <wp:posOffset>8566150</wp:posOffset>
                </wp:positionV>
                <wp:extent cx="2613660" cy="360045"/>
                <wp:effectExtent l="0" t="0" r="0" b="0"/>
                <wp:wrapNone/>
                <wp:docPr id="8" name="文本框 实施日期" title="实施日期"/>
                <wp:cNvGraphicFramePr/>
                <a:graphic xmlns:a="http://schemas.openxmlformats.org/drawingml/2006/main">
                  <a:graphicData uri="http://schemas.microsoft.com/office/word/2010/wordprocessingShape">
                    <wps:wsp>
                      <wps:cNvSpPr txBox="1"/>
                      <wps:spPr>
                        <a:xfrm>
                          <a:off x="0" y="0"/>
                          <a:ext cx="261366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985444">
                            <w:pPr>
                              <w:jc w:val="right"/>
                            </w:pPr>
                            <w:r>
                              <w:rPr>
                                <w:rFonts w:hint="eastAsia" w:ascii="黑体" w:hAnsi="黑体" w:eastAsia="黑体" w:cs="黑体"/>
                                <w:sz w:val="28"/>
                              </w:rPr>
                              <w:t>XXXX-XX-XX 实施</w:t>
                            </w:r>
                          </w:p>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anchor>
            </w:drawing>
          </mc:Choice>
          <mc:Fallback>
            <w:pict>
              <v:shape id="文本框 实施日期" o:spid="_x0000_s1026" o:spt="202" type="#_x0000_t202" style="position:absolute;left:0pt;margin-left:279.8pt;margin-top:674.5pt;height:28.35pt;width:205.8pt;z-index:251667456;v-text-anchor:middle;mso-width-relative:page;mso-height-relative:page;" filled="f" stroked="f" coordsize="21600,21600" o:gfxdata="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I8SG9HfAAAA&#10;DQEAAA8AAAAAAAAAAQAgAAAAIgAAAGRycy9kb3ducmV2LnhtbFBLAQIUABQAAAAIAIdO4kDwD2lm&#10;TwIAAIAEAAAOAAAAAAAAAAEAIAAAAC4BAABkcnMvZTJvRG9jLnhtbFBLBQYAAAAABgAGAFkBAADv&#10;BQAAAAA=&#10;">
                <v:fill on="f" focussize="0,0"/>
                <v:stroke on="f" weight="0.5pt"/>
                <v:imagedata o:title=""/>
                <o:lock v:ext="edit" aspectratio="f"/>
                <v:textbox inset="1mm,0mm,1mm,0mm">
                  <w:txbxContent>
                    <w:p w14:paraId="0B985444">
                      <w:pPr>
                        <w:jc w:val="right"/>
                      </w:pPr>
                      <w:r>
                        <w:rPr>
                          <w:rFonts w:hint="eastAsia" w:ascii="黑体" w:hAnsi="黑体" w:eastAsia="黑体" w:cs="黑体"/>
                          <w:sz w:val="28"/>
                        </w:rPr>
                        <w:t>XXXX-XX-XX 实施</w:t>
                      </w:r>
                    </w:p>
                  </w:txbxContent>
                </v:textbox>
              </v:shap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1905</wp:posOffset>
                </wp:positionH>
                <wp:positionV relativeFrom="paragraph">
                  <wp:posOffset>9217025</wp:posOffset>
                </wp:positionV>
                <wp:extent cx="6129020" cy="842010"/>
                <wp:effectExtent l="0" t="0" r="0" b="0"/>
                <wp:wrapNone/>
                <wp:docPr id="9" name="文本框 发布单位" title="发布单位"/>
                <wp:cNvGraphicFramePr/>
                <a:graphic xmlns:a="http://schemas.openxmlformats.org/drawingml/2006/main">
                  <a:graphicData uri="http://schemas.microsoft.com/office/word/2010/wordprocessingShape">
                    <wps:wsp>
                      <wps:cNvSpPr txBox="1"/>
                      <wps:spPr>
                        <a:xfrm>
                          <a:off x="0" y="0"/>
                          <a:ext cx="6129020" cy="8420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tbl>
                            <w:tblPr>
                              <w:tblStyle w:val="16"/>
                              <w:tblW w:w="0" w:type="auto"/>
                              <w:jc w:val="center"/>
                              <w:tblLayout w:type="autofit"/>
                              <w:tblCellMar>
                                <w:top w:w="85" w:type="dxa"/>
                                <w:left w:w="0" w:type="dxa"/>
                                <w:bottom w:w="85" w:type="dxa"/>
                                <w:right w:w="108" w:type="dxa"/>
                              </w:tblCellMar>
                            </w:tblPr>
                            <w:tblGrid>
                              <w:gridCol w:w="6"/>
                              <w:gridCol w:w="6810"/>
                            </w:tblGrid>
                            <w:tr w14:paraId="253FF343">
                              <w:tblPrEx>
                                <w:tblCellMar>
                                  <w:top w:w="85" w:type="dxa"/>
                                  <w:left w:w="0" w:type="dxa"/>
                                  <w:bottom w:w="85" w:type="dxa"/>
                                  <w:right w:w="108" w:type="dxa"/>
                                </w:tblCellMar>
                              </w:tblPrEx>
                              <w:trPr>
                                <w:jc w:val="center"/>
                              </w:trPr>
                              <w:tc>
                                <w:tcPr>
                                  <w:tcW w:w="0" w:type="auto"/>
                                  <w:tcBorders>
                                    <w:tl2br w:val="nil"/>
                                    <w:tr2bl w:val="nil"/>
                                  </w:tcBorders>
                                  <w:tcMar>
                                    <w:top w:w="85" w:type="dxa"/>
                                    <w:left w:w="0" w:type="dxa"/>
                                    <w:bottom w:w="85" w:type="dxa"/>
                                    <w:right w:w="0" w:type="dxa"/>
                                  </w:tcMar>
                                  <w:vAlign w:val="center"/>
                                </w:tcPr>
                                <w:p w14:paraId="2AE34B66">
                                  <w:pPr>
                                    <w:wordWrap/>
                                    <w:snapToGrid w:val="0"/>
                                    <w:spacing w:line="200" w:lineRule="auto"/>
                                    <w:jc w:val="distribute"/>
                                    <w:rPr>
                                      <w:spacing w:val="34"/>
                                      <w:w w:val="75"/>
                                    </w:rPr>
                                  </w:pPr>
                                </w:p>
                              </w:tc>
                              <w:tc>
                                <w:tcPr>
                                  <w:tcW w:w="0" w:type="auto"/>
                                  <w:tcBorders>
                                    <w:tl2br w:val="nil"/>
                                    <w:tr2bl w:val="nil"/>
                                  </w:tcBorders>
                                  <w:tcMar>
                                    <w:top w:w="85" w:type="dxa"/>
                                    <w:left w:w="510" w:type="dxa"/>
                                    <w:bottom w:w="85" w:type="dxa"/>
                                    <w:right w:w="0" w:type="dxa"/>
                                  </w:tcMar>
                                  <w:vAlign w:val="center"/>
                                </w:tcPr>
                                <w:p w14:paraId="62101CBC">
                                  <w:pPr>
                                    <w:jc w:val="center"/>
                                  </w:pPr>
                                  <w:r>
                                    <w:rPr>
                                      <w:rFonts w:hint="eastAsia" w:ascii="黑体" w:hAnsi="黑体" w:eastAsia="黑体" w:cs="黑体"/>
                                      <w:spacing w:val="85"/>
                                      <w:sz w:val="28"/>
                                      <w:szCs w:val="28"/>
                                      <w:lang w:val="en-US" w:eastAsia="zh-CN"/>
                                    </w:rPr>
                                    <w:t>山西省名优土特新产品协会</w:t>
                                  </w:r>
                                  <w:r>
                                    <w:rPr>
                                      <w:rFonts w:hint="eastAsia" w:ascii="黑体" w:hAnsi="黑体" w:eastAsia="黑体" w:cs="黑体"/>
                                      <w:spacing w:val="85"/>
                                      <w:sz w:val="28"/>
                                      <w:szCs w:val="28"/>
                                    </w:rPr>
                                    <w:t>发布</w:t>
                                  </w:r>
                                </w:p>
                              </w:tc>
                            </w:tr>
                          </w:tbl>
                          <w:p w14:paraId="31676EDD"/>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anchor>
            </w:drawing>
          </mc:Choice>
          <mc:Fallback>
            <w:pict>
              <v:shape id="文本框 发布单位" o:spid="_x0000_s1026" o:spt="202" type="#_x0000_t202" style="position:absolute;left:0pt;margin-left:0.15pt;margin-top:725.75pt;height:66.3pt;width:482.6pt;z-index:251668480;v-text-anchor:middle;mso-width-relative:page;mso-height-relative:page;" filled="f" stroked="f" coordsize="21600,21600" o:gfxdata="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L/tj+PcAAAA&#10;CgEAAA8AAAAAAAAAAQAgAAAAIgAAAGRycy9kb3ducmV2LnhtbFBLAQIUABQAAAAIAIdO4kD1IdCO&#10;UgIAAIAEAAAOAAAAAAAAAAEAIAAAACsBAABkcnMvZTJvRG9jLnhtbFBLBQYAAAAABgAGAFkBAADv&#10;BQAAAAA=&#10;">
                <v:fill on="f" focussize="0,0"/>
                <v:stroke on="f" weight="0.5pt"/>
                <v:imagedata o:title=""/>
                <o:lock v:ext="edit" aspectratio="f"/>
                <v:textbox inset="1mm,0mm,1mm,0mm">
                  <w:txbxContent>
                    <w:tbl>
                      <w:tblPr>
                        <w:tblStyle w:val="16"/>
                        <w:tblW w:w="0" w:type="auto"/>
                        <w:jc w:val="center"/>
                        <w:tblLayout w:type="autofit"/>
                        <w:tblCellMar>
                          <w:top w:w="85" w:type="dxa"/>
                          <w:left w:w="0" w:type="dxa"/>
                          <w:bottom w:w="85" w:type="dxa"/>
                          <w:right w:w="108" w:type="dxa"/>
                        </w:tblCellMar>
                      </w:tblPr>
                      <w:tblGrid>
                        <w:gridCol w:w="6"/>
                        <w:gridCol w:w="6810"/>
                      </w:tblGrid>
                      <w:tr w14:paraId="253FF343">
                        <w:tblPrEx>
                          <w:tblCellMar>
                            <w:top w:w="85" w:type="dxa"/>
                            <w:left w:w="0" w:type="dxa"/>
                            <w:bottom w:w="85" w:type="dxa"/>
                            <w:right w:w="108" w:type="dxa"/>
                          </w:tblCellMar>
                        </w:tblPrEx>
                        <w:trPr>
                          <w:jc w:val="center"/>
                        </w:trPr>
                        <w:tc>
                          <w:tcPr>
                            <w:tcW w:w="0" w:type="auto"/>
                            <w:tcBorders>
                              <w:tl2br w:val="nil"/>
                              <w:tr2bl w:val="nil"/>
                            </w:tcBorders>
                            <w:tcMar>
                              <w:top w:w="85" w:type="dxa"/>
                              <w:left w:w="0" w:type="dxa"/>
                              <w:bottom w:w="85" w:type="dxa"/>
                              <w:right w:w="0" w:type="dxa"/>
                            </w:tcMar>
                            <w:vAlign w:val="center"/>
                          </w:tcPr>
                          <w:p w14:paraId="2AE34B66">
                            <w:pPr>
                              <w:wordWrap/>
                              <w:snapToGrid w:val="0"/>
                              <w:spacing w:line="200" w:lineRule="auto"/>
                              <w:jc w:val="distribute"/>
                              <w:rPr>
                                <w:spacing w:val="34"/>
                                <w:w w:val="75"/>
                              </w:rPr>
                            </w:pPr>
                          </w:p>
                        </w:tc>
                        <w:tc>
                          <w:tcPr>
                            <w:tcW w:w="0" w:type="auto"/>
                            <w:tcBorders>
                              <w:tl2br w:val="nil"/>
                              <w:tr2bl w:val="nil"/>
                            </w:tcBorders>
                            <w:tcMar>
                              <w:top w:w="85" w:type="dxa"/>
                              <w:left w:w="510" w:type="dxa"/>
                              <w:bottom w:w="85" w:type="dxa"/>
                              <w:right w:w="0" w:type="dxa"/>
                            </w:tcMar>
                            <w:vAlign w:val="center"/>
                          </w:tcPr>
                          <w:p w14:paraId="62101CBC">
                            <w:pPr>
                              <w:jc w:val="center"/>
                            </w:pPr>
                            <w:r>
                              <w:rPr>
                                <w:rFonts w:hint="eastAsia" w:ascii="黑体" w:hAnsi="黑体" w:eastAsia="黑体" w:cs="黑体"/>
                                <w:spacing w:val="85"/>
                                <w:sz w:val="28"/>
                                <w:szCs w:val="28"/>
                                <w:lang w:val="en-US" w:eastAsia="zh-CN"/>
                              </w:rPr>
                              <w:t>山西省名优土特新产品协会</w:t>
                            </w:r>
                            <w:r>
                              <w:rPr>
                                <w:rFonts w:hint="eastAsia" w:ascii="黑体" w:hAnsi="黑体" w:eastAsia="黑体" w:cs="黑体"/>
                                <w:spacing w:val="85"/>
                                <w:sz w:val="28"/>
                                <w:szCs w:val="28"/>
                              </w:rPr>
                              <w:t>发布</w:t>
                            </w:r>
                          </w:p>
                        </w:tc>
                      </w:tr>
                    </w:tbl>
                    <w:p w14:paraId="31676EDD"/>
                  </w:txbxContent>
                </v:textbox>
              </v:shape>
            </w:pict>
          </mc:Fallback>
        </mc:AlternateContent>
      </w:r>
    </w:p>
    <w:p w14:paraId="3454BE55">
      <w:pPr>
        <w:sectPr>
          <w:pgSz w:w="11906" w:h="16838"/>
          <w:pgMar w:top="567" w:right="850" w:bottom="1111" w:left="1417" w:header="850" w:footer="850" w:gutter="0"/>
          <w:pgNumType w:fmt="upperRoman"/>
          <w:cols w:space="425" w:num="1"/>
          <w:titlePg/>
          <w:docGrid w:type="lines" w:linePitch="312" w:charSpace="0"/>
        </w:sectPr>
      </w:pPr>
    </w:p>
    <w:p w14:paraId="4FD5EBA9">
      <w:pPr>
        <w:pStyle w:val="34"/>
      </w:pPr>
      <w:r>
        <w:rPr>
          <w:rFonts w:hint="eastAsia" w:hAnsi="黑体" w:cs="黑体"/>
        </w:rPr>
        <w:t>目</w:t>
      </w:r>
      <w:r>
        <w:rPr>
          <w:rFonts w:hint="eastAsia" w:ascii="MS Mincho" w:hAnsi="MS Mincho" w:eastAsia="MS Mincho" w:cs="MS Mincho"/>
        </w:rPr>
        <w:t>  </w:t>
      </w:r>
      <w:r>
        <w:rPr>
          <w:rFonts w:hint="eastAsia" w:hAnsi="黑体" w:cs="黑体"/>
        </w:rPr>
        <w:t>次</w:t>
      </w:r>
    </w:p>
    <w:p w14:paraId="671A35C9">
      <w:pPr>
        <w:pStyle w:val="11"/>
        <w:tabs>
          <w:tab w:val="right" w:leader="dot" w:pos="9355"/>
          <w:tab w:val="clear" w:pos="9241"/>
        </w:tabs>
      </w:pPr>
      <w:r>
        <w:rPr>
          <w:rFonts w:cs="宋体"/>
        </w:rPr>
        <w:fldChar w:fldCharType="begin"/>
      </w:r>
      <w:r>
        <w:rPr>
          <w:rFonts w:hint="eastAsia"/>
        </w:rPr>
        <w:instrText xml:space="preserve">TOC \o "1-3" \h \z \u \* MERGEFORMAT</w:instrText>
      </w:r>
      <w:r>
        <w:rPr>
          <w:rFonts w:cs="宋体"/>
        </w:rPr>
        <w:fldChar w:fldCharType="separate"/>
      </w:r>
      <w:r>
        <w:rPr>
          <w:rFonts w:cs="宋体"/>
        </w:rPr>
        <w:fldChar w:fldCharType="begin"/>
      </w:r>
      <w:r>
        <w:rPr>
          <w:rFonts w:cs="宋体"/>
        </w:rPr>
        <w:instrText xml:space="preserve"> HYPERLINK \l _Toc19904 </w:instrText>
      </w:r>
      <w:r>
        <w:rPr>
          <w:rFonts w:cs="宋体"/>
        </w:rPr>
        <w:fldChar w:fldCharType="separate"/>
      </w:r>
      <w:r>
        <w:rPr>
          <w:rFonts w:hint="eastAsia" w:hAnsi="黑体" w:cs="黑体"/>
        </w:rPr>
        <w:t>前言</w:t>
      </w:r>
      <w:r>
        <w:tab/>
      </w:r>
      <w:r>
        <w:fldChar w:fldCharType="begin"/>
      </w:r>
      <w:r>
        <w:instrText xml:space="preserve"> PAGEREF _Toc19904 \h </w:instrText>
      </w:r>
      <w:r>
        <w:fldChar w:fldCharType="separate"/>
      </w:r>
      <w:r>
        <w:t>II</w:t>
      </w:r>
      <w:r>
        <w:fldChar w:fldCharType="end"/>
      </w:r>
      <w:r>
        <w:rPr>
          <w:rFonts w:cs="宋体"/>
        </w:rPr>
        <w:fldChar w:fldCharType="end"/>
      </w:r>
    </w:p>
    <w:p w14:paraId="7B4DA3E3">
      <w:pPr>
        <w:pStyle w:val="11"/>
        <w:tabs>
          <w:tab w:val="right" w:leader="dot" w:pos="9355"/>
          <w:tab w:val="clear" w:pos="9241"/>
        </w:tabs>
      </w:pPr>
      <w:r>
        <w:fldChar w:fldCharType="begin"/>
      </w:r>
      <w:r>
        <w:instrText xml:space="preserve"> HYPERLINK \l _Toc11114 </w:instrText>
      </w:r>
      <w:r>
        <w:fldChar w:fldCharType="separate"/>
      </w:r>
      <w:r>
        <w:rPr>
          <w:rFonts w:hint="eastAsia"/>
          <w:lang w:val="en-US" w:eastAsia="zh-CN"/>
        </w:rPr>
        <w:t>引言</w:t>
      </w:r>
      <w:r>
        <w:tab/>
      </w:r>
      <w:r>
        <w:fldChar w:fldCharType="begin"/>
      </w:r>
      <w:r>
        <w:instrText xml:space="preserve"> PAGEREF _Toc11114 \h </w:instrText>
      </w:r>
      <w:r>
        <w:fldChar w:fldCharType="separate"/>
      </w:r>
      <w:r>
        <w:t>III</w:t>
      </w:r>
      <w:r>
        <w:fldChar w:fldCharType="end"/>
      </w:r>
      <w:r>
        <w:fldChar w:fldCharType="end"/>
      </w:r>
    </w:p>
    <w:p w14:paraId="0D87D1E7">
      <w:pPr>
        <w:pStyle w:val="11"/>
        <w:tabs>
          <w:tab w:val="right" w:leader="dot" w:pos="9355"/>
          <w:tab w:val="clear" w:pos="9241"/>
        </w:tabs>
      </w:pPr>
      <w:r>
        <w:fldChar w:fldCharType="begin"/>
      </w:r>
      <w:r>
        <w:instrText xml:space="preserve"> HYPERLINK \l _Toc2972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_Toc2972 \h </w:instrText>
      </w:r>
      <w:r>
        <w:fldChar w:fldCharType="separate"/>
      </w:r>
      <w:r>
        <w:t>1</w:t>
      </w:r>
      <w:r>
        <w:fldChar w:fldCharType="end"/>
      </w:r>
      <w:r>
        <w:fldChar w:fldCharType="end"/>
      </w:r>
    </w:p>
    <w:p w14:paraId="5DF03579">
      <w:pPr>
        <w:pStyle w:val="11"/>
        <w:tabs>
          <w:tab w:val="right" w:leader="dot" w:pos="9355"/>
          <w:tab w:val="clear" w:pos="9241"/>
        </w:tabs>
      </w:pPr>
      <w:r>
        <w:fldChar w:fldCharType="begin"/>
      </w:r>
      <w:r>
        <w:instrText xml:space="preserve"> HYPERLINK \l _Toc30307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_Toc30307 \h </w:instrText>
      </w:r>
      <w:r>
        <w:fldChar w:fldCharType="separate"/>
      </w:r>
      <w:r>
        <w:t>1</w:t>
      </w:r>
      <w:r>
        <w:fldChar w:fldCharType="end"/>
      </w:r>
      <w:r>
        <w:fldChar w:fldCharType="end"/>
      </w:r>
    </w:p>
    <w:p w14:paraId="019908AC">
      <w:pPr>
        <w:pStyle w:val="11"/>
        <w:tabs>
          <w:tab w:val="right" w:leader="dot" w:pos="9355"/>
          <w:tab w:val="clear" w:pos="9241"/>
        </w:tabs>
      </w:pPr>
      <w:r>
        <w:fldChar w:fldCharType="begin"/>
      </w:r>
      <w:r>
        <w:instrText xml:space="preserve"> HYPERLINK \l _Toc28456 </w:instrText>
      </w:r>
      <w:r>
        <w:fldChar w:fldCharType="separate"/>
      </w:r>
      <w:r>
        <w:rPr>
          <w:rFonts w:hint="eastAsia" w:ascii="黑体" w:eastAsia="黑体"/>
          <w:i w:val="0"/>
        </w:rPr>
        <w:t xml:space="preserve">3 </w:t>
      </w:r>
      <w:r>
        <w:rPr>
          <w:rFonts w:hint="eastAsia"/>
        </w:rPr>
        <w:t>术语和定义</w:t>
      </w:r>
      <w:r>
        <w:tab/>
      </w:r>
      <w:r>
        <w:fldChar w:fldCharType="begin"/>
      </w:r>
      <w:r>
        <w:instrText xml:space="preserve"> PAGEREF _Toc28456 \h </w:instrText>
      </w:r>
      <w:r>
        <w:fldChar w:fldCharType="separate"/>
      </w:r>
      <w:r>
        <w:t>1</w:t>
      </w:r>
      <w:r>
        <w:fldChar w:fldCharType="end"/>
      </w:r>
      <w:r>
        <w:fldChar w:fldCharType="end"/>
      </w:r>
    </w:p>
    <w:p w14:paraId="5F777270">
      <w:pPr>
        <w:pStyle w:val="11"/>
        <w:tabs>
          <w:tab w:val="right" w:leader="dot" w:pos="9355"/>
          <w:tab w:val="clear" w:pos="9241"/>
        </w:tabs>
      </w:pPr>
      <w:r>
        <w:fldChar w:fldCharType="begin"/>
      </w:r>
      <w:r>
        <w:instrText xml:space="preserve"> HYPERLINK \l _Toc2044 </w:instrText>
      </w:r>
      <w:r>
        <w:fldChar w:fldCharType="separate"/>
      </w:r>
      <w:r>
        <w:rPr>
          <w:rFonts w:hint="eastAsia" w:ascii="黑体" w:eastAsia="黑体"/>
          <w:i w:val="0"/>
        </w:rPr>
        <w:t xml:space="preserve">4 </w:t>
      </w:r>
      <w:r>
        <w:rPr>
          <w:rFonts w:hint="eastAsia"/>
        </w:rPr>
        <w:t>加工场所与设施</w:t>
      </w:r>
      <w:r>
        <w:tab/>
      </w:r>
      <w:r>
        <w:fldChar w:fldCharType="begin"/>
      </w:r>
      <w:r>
        <w:instrText xml:space="preserve"> PAGEREF _Toc2044 \h </w:instrText>
      </w:r>
      <w:r>
        <w:fldChar w:fldCharType="separate"/>
      </w:r>
      <w:r>
        <w:t>1</w:t>
      </w:r>
      <w:r>
        <w:fldChar w:fldCharType="end"/>
      </w:r>
      <w:r>
        <w:fldChar w:fldCharType="end"/>
      </w:r>
    </w:p>
    <w:p w14:paraId="56F38FA6">
      <w:pPr>
        <w:pStyle w:val="11"/>
        <w:tabs>
          <w:tab w:val="right" w:leader="dot" w:pos="9355"/>
          <w:tab w:val="clear" w:pos="9241"/>
        </w:tabs>
      </w:pPr>
      <w:r>
        <w:fldChar w:fldCharType="begin"/>
      </w:r>
      <w:r>
        <w:instrText xml:space="preserve"> HYPERLINK \l _Toc26260 </w:instrText>
      </w:r>
      <w:r>
        <w:fldChar w:fldCharType="separate"/>
      </w:r>
      <w:r>
        <w:rPr>
          <w:rFonts w:hint="eastAsia" w:ascii="黑体" w:eastAsia="黑体"/>
          <w:i w:val="0"/>
        </w:rPr>
        <w:t xml:space="preserve">5 </w:t>
      </w:r>
      <w:r>
        <w:rPr>
          <w:rFonts w:hint="eastAsia"/>
        </w:rPr>
        <w:t>加工过程控制</w:t>
      </w:r>
      <w:r>
        <w:tab/>
      </w:r>
      <w:r>
        <w:fldChar w:fldCharType="begin"/>
      </w:r>
      <w:r>
        <w:instrText xml:space="preserve"> PAGEREF _Toc26260 \h </w:instrText>
      </w:r>
      <w:r>
        <w:fldChar w:fldCharType="separate"/>
      </w:r>
      <w:r>
        <w:t>1</w:t>
      </w:r>
      <w:r>
        <w:fldChar w:fldCharType="end"/>
      </w:r>
      <w:r>
        <w:fldChar w:fldCharType="end"/>
      </w:r>
    </w:p>
    <w:p w14:paraId="3A783386">
      <w:pPr>
        <w:pStyle w:val="11"/>
        <w:tabs>
          <w:tab w:val="right" w:leader="dot" w:pos="9355"/>
          <w:tab w:val="clear" w:pos="9241"/>
        </w:tabs>
      </w:pPr>
      <w:r>
        <w:fldChar w:fldCharType="begin"/>
      </w:r>
      <w:r>
        <w:instrText xml:space="preserve"> HYPERLINK \l _Toc13226 </w:instrText>
      </w:r>
      <w:r>
        <w:fldChar w:fldCharType="separate"/>
      </w:r>
      <w:r>
        <w:rPr>
          <w:rFonts w:hint="eastAsia" w:ascii="黑体" w:eastAsia="黑体"/>
          <w:i w:val="0"/>
        </w:rPr>
        <w:t xml:space="preserve">6 </w:t>
      </w:r>
      <w:r>
        <w:rPr>
          <w:rFonts w:hint="eastAsia"/>
        </w:rPr>
        <w:t>质量检验</w:t>
      </w:r>
      <w:r>
        <w:tab/>
      </w:r>
      <w:r>
        <w:fldChar w:fldCharType="begin"/>
      </w:r>
      <w:r>
        <w:instrText xml:space="preserve"> PAGEREF _Toc13226 \h </w:instrText>
      </w:r>
      <w:r>
        <w:fldChar w:fldCharType="separate"/>
      </w:r>
      <w:r>
        <w:t>2</w:t>
      </w:r>
      <w:r>
        <w:fldChar w:fldCharType="end"/>
      </w:r>
      <w:r>
        <w:fldChar w:fldCharType="end"/>
      </w:r>
    </w:p>
    <w:p w14:paraId="7462EE70">
      <w:pPr>
        <w:pStyle w:val="11"/>
        <w:tabs>
          <w:tab w:val="right" w:leader="dot" w:pos="9355"/>
          <w:tab w:val="clear" w:pos="9241"/>
        </w:tabs>
      </w:pPr>
      <w:r>
        <w:fldChar w:fldCharType="begin"/>
      </w:r>
      <w:r>
        <w:instrText xml:space="preserve"> HYPERLINK \l _Toc21003 </w:instrText>
      </w:r>
      <w:r>
        <w:fldChar w:fldCharType="separate"/>
      </w:r>
      <w:r>
        <w:rPr>
          <w:rFonts w:hint="eastAsia" w:ascii="黑体" w:eastAsia="黑体"/>
          <w:i w:val="0"/>
        </w:rPr>
        <w:t xml:space="preserve">7 </w:t>
      </w:r>
      <w:r>
        <w:rPr>
          <w:rFonts w:hint="eastAsia"/>
          <w:lang w:val="en-US" w:eastAsia="zh-CN"/>
        </w:rPr>
        <w:t>产品</w:t>
      </w:r>
      <w:r>
        <w:rPr>
          <w:rFonts w:hint="eastAsia"/>
        </w:rPr>
        <w:t>质量</w:t>
      </w:r>
      <w:r>
        <w:tab/>
      </w:r>
      <w:r>
        <w:fldChar w:fldCharType="begin"/>
      </w:r>
      <w:r>
        <w:instrText xml:space="preserve"> PAGEREF _Toc21003 \h </w:instrText>
      </w:r>
      <w:r>
        <w:fldChar w:fldCharType="separate"/>
      </w:r>
      <w:r>
        <w:t>3</w:t>
      </w:r>
      <w:r>
        <w:fldChar w:fldCharType="end"/>
      </w:r>
      <w:r>
        <w:fldChar w:fldCharType="end"/>
      </w:r>
    </w:p>
    <w:p w14:paraId="2FFA6551">
      <w:pPr>
        <w:pStyle w:val="11"/>
        <w:tabs>
          <w:tab w:val="right" w:leader="dot" w:pos="9355"/>
          <w:tab w:val="clear" w:pos="9241"/>
        </w:tabs>
      </w:pPr>
      <w:r>
        <w:fldChar w:fldCharType="begin"/>
      </w:r>
      <w:r>
        <w:instrText xml:space="preserve"> HYPERLINK \l _Toc9451 </w:instrText>
      </w:r>
      <w:r>
        <w:fldChar w:fldCharType="separate"/>
      </w:r>
      <w:r>
        <w:rPr>
          <w:rFonts w:hint="eastAsia" w:ascii="黑体" w:eastAsia="黑体"/>
          <w:i w:val="0"/>
        </w:rPr>
        <w:t xml:space="preserve">8 </w:t>
      </w:r>
      <w:r>
        <w:rPr>
          <w:rFonts w:hint="eastAsia"/>
        </w:rPr>
        <w:t>标识、包装、运输与贮存</w:t>
      </w:r>
      <w:r>
        <w:tab/>
      </w:r>
      <w:r>
        <w:fldChar w:fldCharType="begin"/>
      </w:r>
      <w:r>
        <w:instrText xml:space="preserve"> PAGEREF _Toc9451 \h </w:instrText>
      </w:r>
      <w:r>
        <w:fldChar w:fldCharType="separate"/>
      </w:r>
      <w:r>
        <w:t>3</w:t>
      </w:r>
      <w:r>
        <w:fldChar w:fldCharType="end"/>
      </w:r>
      <w:r>
        <w:fldChar w:fldCharType="end"/>
      </w:r>
    </w:p>
    <w:p w14:paraId="42B8D960">
      <w:pPr>
        <w:pStyle w:val="14"/>
        <w:tabs>
          <w:tab w:val="right" w:leader="dot" w:pos="9355"/>
          <w:tab w:val="clear" w:pos="9241"/>
        </w:tabs>
      </w:pPr>
    </w:p>
    <w:p w14:paraId="2916CE45">
      <w:pPr>
        <w:spacing w:line="270" w:lineRule="auto"/>
        <w:sectPr>
          <w:headerReference r:id="rId3" w:type="default"/>
          <w:footerReference r:id="rId4" w:type="default"/>
          <w:pgSz w:w="11906" w:h="16838"/>
          <w:pgMar w:top="1134" w:right="1134" w:bottom="1134" w:left="1417" w:header="1417" w:footer="1134" w:gutter="0"/>
          <w:pgNumType w:fmt="upperRoman" w:start="1"/>
          <w:cols w:space="425" w:num="1"/>
          <w:docGrid w:type="lines" w:linePitch="312" w:charSpace="0"/>
        </w:sectPr>
      </w:pPr>
      <w:r>
        <w:fldChar w:fldCharType="end"/>
      </w:r>
    </w:p>
    <w:p w14:paraId="746A020E">
      <w:pPr>
        <w:pStyle w:val="47"/>
        <w:widowControl/>
      </w:pPr>
      <w:bookmarkStart w:id="0" w:name="_Toc19904"/>
      <w:r>
        <w:rPr>
          <w:rFonts w:hint="eastAsia" w:hAnsi="黑体" w:cs="黑体"/>
        </w:rPr>
        <w:t>前</w:t>
      </w:r>
      <w:r>
        <w:rPr>
          <w:rFonts w:hint="eastAsia" w:ascii="MS Mincho" w:hAnsi="MS Mincho" w:eastAsia="MS Mincho" w:cs="MS Mincho"/>
        </w:rPr>
        <w:t>  </w:t>
      </w:r>
      <w:r>
        <w:rPr>
          <w:rFonts w:hint="eastAsia" w:hAnsi="黑体" w:cs="黑体"/>
        </w:rPr>
        <w:t>言</w:t>
      </w:r>
      <w:bookmarkEnd w:id="0"/>
    </w:p>
    <w:p w14:paraId="4C44A5BA">
      <w:pPr>
        <w:pStyle w:val="63"/>
        <w:ind w:firstLine="420"/>
      </w:pPr>
      <w:r>
        <w:rPr>
          <w:rFonts w:hint="eastAsia"/>
        </w:rPr>
        <w:t>本文件按照GB/T 1.1—2020《标准化工作导则  第1部分：标准化文件的结构和起草规则》的规定起草。</w:t>
      </w:r>
    </w:p>
    <w:p w14:paraId="02507EBF">
      <w:pPr>
        <w:pStyle w:val="63"/>
        <w:ind w:firstLine="420"/>
      </w:pPr>
      <w:r>
        <w:rPr>
          <w:rFonts w:hint="eastAsia"/>
        </w:rPr>
        <w:t>请注意本文件的某些内容可能涉及专利。本文件的发布机构不承担识别专利的责任。</w:t>
      </w:r>
    </w:p>
    <w:p w14:paraId="72980178">
      <w:pPr>
        <w:pStyle w:val="63"/>
        <w:ind w:firstLine="420"/>
      </w:pPr>
      <w:r>
        <w:rPr>
          <w:rFonts w:hint="eastAsia"/>
        </w:rPr>
        <w:t>本文件由</w:t>
      </w:r>
      <w:bookmarkStart w:id="1" w:name="OLE_LINK28"/>
      <w:r>
        <w:rPr>
          <w:rFonts w:hint="eastAsia"/>
        </w:rPr>
        <w:t>山西省名优土特新产品协会</w:t>
      </w:r>
      <w:bookmarkEnd w:id="1"/>
      <w:r>
        <w:rPr>
          <w:rFonts w:hint="eastAsia"/>
        </w:rPr>
        <w:t>提出并归口。</w:t>
      </w:r>
    </w:p>
    <w:p w14:paraId="5D7CC734">
      <w:pPr>
        <w:pStyle w:val="63"/>
        <w:ind w:firstLine="420"/>
        <w:rPr>
          <w:rFonts w:hint="default" w:eastAsia="宋体"/>
          <w:lang w:val="en-US" w:eastAsia="zh-CN"/>
        </w:rPr>
      </w:pPr>
      <w:r>
        <w:rPr>
          <w:rFonts w:hint="eastAsia"/>
        </w:rPr>
        <w:t>本文件起草单位：</w:t>
      </w:r>
      <w:r>
        <w:rPr>
          <w:rFonts w:hint="eastAsia"/>
          <w:lang w:val="en-US" w:eastAsia="zh-CN"/>
        </w:rPr>
        <w:t>方圆标志认证集团有限公司、方圆标志认证集团有限公司山西分公司、方圆标志检验检测（山东）有限公司、山西农业大学农学院、山西沁州黄小米集团有限公司、山西农业大学谷子研究所、山西晋美庄园农产品有限公司、山西北方水城食品科技股份有限公司、山西太行沃土农业产品有限公司、武乡县老家农业开发有限公司、长治市中药材产业发展中心（长治市小米产业发展中心）、长治市太行农林产业发展有限公司。</w:t>
      </w:r>
    </w:p>
    <w:p w14:paraId="66F99C08">
      <w:pPr>
        <w:pStyle w:val="63"/>
        <w:ind w:firstLine="420"/>
      </w:pPr>
      <w:r>
        <w:rPr>
          <w:rFonts w:hint="eastAsia"/>
        </w:rPr>
        <w:t>本文件主要起草人：</w:t>
      </w:r>
      <w:r>
        <w:rPr>
          <w:rFonts w:hint="eastAsia"/>
          <w:lang w:val="en-US" w:eastAsia="zh-CN"/>
        </w:rPr>
        <w:t>杜永权、赵平珊、焦盼、杜文娟、牛永红、吴华伟、张东平、原向阳、武挺、王峰、石耀武</w:t>
      </w:r>
      <w:bookmarkStart w:id="65" w:name="_GoBack"/>
      <w:bookmarkEnd w:id="65"/>
      <w:r>
        <w:rPr>
          <w:rFonts w:hint="eastAsia"/>
        </w:rPr>
        <w:t>。</w:t>
      </w:r>
    </w:p>
    <w:p w14:paraId="254894B7">
      <w:pPr>
        <w:pStyle w:val="50"/>
        <w:widowControl/>
        <w:wordWrap w:val="0"/>
        <w:spacing w:line="360" w:lineRule="auto"/>
        <w:jc w:val="both"/>
      </w:pPr>
    </w:p>
    <w:p w14:paraId="4ADDC2B3">
      <w:pPr>
        <w:sectPr>
          <w:headerReference r:id="rId5" w:type="default"/>
          <w:footerReference r:id="rId6" w:type="default"/>
          <w:pgSz w:w="11906" w:h="16838"/>
          <w:pgMar w:top="1417" w:right="1417" w:bottom="1134" w:left="1134" w:header="1417" w:footer="1134" w:gutter="0"/>
          <w:pgNumType w:fmt="upperRoman"/>
          <w:cols w:space="425" w:num="1"/>
          <w:docGrid w:type="lines" w:linePitch="312" w:charSpace="0"/>
        </w:sectPr>
      </w:pPr>
    </w:p>
    <w:p w14:paraId="7A86404C">
      <w:pPr>
        <w:pStyle w:val="67"/>
        <w:spacing w:after="360"/>
      </w:pPr>
      <w:bookmarkStart w:id="2" w:name="_Toc13621"/>
      <w:bookmarkStart w:id="3" w:name="_Toc11114"/>
      <w:r>
        <w:rPr>
          <w:spacing w:val="320"/>
        </w:rPr>
        <w:t>引</w:t>
      </w:r>
      <w:r>
        <w:t>言</w:t>
      </w:r>
      <w:bookmarkEnd w:id="2"/>
      <w:bookmarkEnd w:id="3"/>
    </w:p>
    <w:p w14:paraId="2D5F8DD7">
      <w:pPr>
        <w:pStyle w:val="63"/>
        <w:rPr>
          <w:rFonts w:hint="eastAsia"/>
        </w:rPr>
      </w:pPr>
      <w:r>
        <w:rPr>
          <w:rFonts w:hint="eastAsia"/>
        </w:rPr>
        <w:t xml:space="preserve"> 沁州黄小米作为山西省长治市的区域公用品牌，凭借当地独特的自然环境、人文历史以及生产加工传统，充分彰显长治市小米产业的高品质。它不仅是一个具有代表性的区域品牌标识，更是长治小米产业的集体象征。该品牌有助于深入挖掘长治生态资源的价值，推动小米产业的规模化与产业化发展，提高品牌的知名度和影响力，为乡村振兴和县域经济发展注入新的动力。 </w:t>
      </w:r>
    </w:p>
    <w:p w14:paraId="6938FBC1">
      <w:pPr>
        <w:pStyle w:val="63"/>
        <w:ind w:firstLine="420"/>
        <w:rPr>
          <w:rFonts w:hint="eastAsia"/>
        </w:rPr>
      </w:pPr>
      <w:r>
        <w:rPr>
          <w:rFonts w:hint="eastAsia"/>
        </w:rPr>
        <w:t>沁州黄小米区域公用品牌所具备的独特品质，源自长治市优越的生态禀赋。长治市位于太行山与太岳山之间，平均海拔处于适宜区间，属于暖温带半湿润大陆性季风气候，具有日照充足、昼夜温差显著、降水适度的特点，且土壤富含矿物质。优良的生态环境为小米生长提供了极为有利的自然条件，也为沁州黄小米产业构筑了坚实的品质根基。</w:t>
      </w:r>
    </w:p>
    <w:p w14:paraId="229B26E6">
      <w:pPr>
        <w:pStyle w:val="63"/>
        <w:ind w:firstLine="420"/>
        <w:rPr>
          <w:rFonts w:hint="eastAsia"/>
        </w:rPr>
      </w:pPr>
      <w:r>
        <w:rPr>
          <w:rFonts w:hint="eastAsia"/>
        </w:rPr>
        <w:t>沁州黄小米区域公用品牌系列团体标准，是开展沁州黄小米区域品牌自愿性认证的核心依据。该标准在对比分析国内外技术指标的基础上，融入过程控制与持续改进的管理理念，形成了一套涵盖管理要素通用要求、行业特色产品及服务技术规范的系列标准，共分为三个层级：第一层级为管理类的《沁州黄小米区域公用品牌通用要求 农食产品》；第二层级为行业类的《</w:t>
      </w:r>
      <w:r>
        <w:rPr>
          <w:rFonts w:hint="eastAsia"/>
          <w:lang w:eastAsia="zh-CN"/>
        </w:rPr>
        <w:t>“</w:t>
      </w:r>
      <w:r>
        <w:rPr>
          <w:rFonts w:hint="eastAsia"/>
        </w:rPr>
        <w:t>沁州黄小米</w:t>
      </w:r>
      <w:r>
        <w:rPr>
          <w:rFonts w:hint="eastAsia"/>
          <w:lang w:eastAsia="zh-CN"/>
        </w:rPr>
        <w:t>”</w:t>
      </w:r>
      <w:r>
        <w:rPr>
          <w:rFonts w:hint="eastAsia"/>
        </w:rPr>
        <w:t>种植技术规范》《</w:t>
      </w:r>
      <w:r>
        <w:rPr>
          <w:rFonts w:hint="eastAsia"/>
          <w:lang w:eastAsia="zh-CN"/>
        </w:rPr>
        <w:t>“</w:t>
      </w:r>
      <w:r>
        <w:rPr>
          <w:rFonts w:hint="eastAsia"/>
        </w:rPr>
        <w:t>沁州黄小米</w:t>
      </w:r>
      <w:r>
        <w:rPr>
          <w:rFonts w:hint="eastAsia"/>
          <w:lang w:eastAsia="zh-CN"/>
        </w:rPr>
        <w:t>”</w:t>
      </w:r>
      <w:r>
        <w:rPr>
          <w:rFonts w:hint="eastAsia"/>
        </w:rPr>
        <w:t>农产品加工管理规范》；第三层级为产品类的《</w:t>
      </w:r>
      <w:r>
        <w:rPr>
          <w:rFonts w:hint="eastAsia"/>
          <w:lang w:eastAsia="zh-CN"/>
        </w:rPr>
        <w:t>“</w:t>
      </w:r>
      <w:r>
        <w:rPr>
          <w:rFonts w:hint="eastAsia"/>
        </w:rPr>
        <w:t>沁州黄小米</w:t>
      </w:r>
      <w:r>
        <w:rPr>
          <w:rFonts w:hint="eastAsia"/>
          <w:lang w:eastAsia="zh-CN"/>
        </w:rPr>
        <w:t>”</w:t>
      </w:r>
      <w:r>
        <w:rPr>
          <w:rFonts w:hint="eastAsia"/>
        </w:rPr>
        <w:t>特色产品技术规范 小米》等。三个层级文件需配套使用。</w:t>
      </w:r>
    </w:p>
    <w:p w14:paraId="526FC7E0">
      <w:pPr>
        <w:pStyle w:val="63"/>
        <w:ind w:firstLine="420"/>
      </w:pPr>
      <w:r>
        <w:rPr>
          <w:rFonts w:hint="eastAsia"/>
        </w:rPr>
        <w:t>本文件可作为采用“标准·认证+”培育手段推进沁州黄小米区域公用品牌建设的重要依据，亦可作为沁州黄小米生产经营主体开展生产、经营活动的基本准则。其中，沁州黄小米特色产品，是指根植于独特的自然地理与人文历史，具备核心品质特征的谷物及制品（包括谷子、小米和小米制品）。</w:t>
      </w:r>
    </w:p>
    <w:p w14:paraId="647344CE">
      <w:pPr>
        <w:sectPr>
          <w:pgSz w:w="11906" w:h="16838"/>
          <w:pgMar w:top="1417" w:right="1417" w:bottom="1134" w:left="1134" w:header="1417" w:footer="1134" w:gutter="0"/>
          <w:pgNumType w:fmt="upperRoman"/>
          <w:cols w:space="425" w:num="1"/>
          <w:docGrid w:type="lines" w:linePitch="312" w:charSpace="0"/>
        </w:sectPr>
      </w:pPr>
    </w:p>
    <w:p w14:paraId="2F571659">
      <w:pPr>
        <w:pStyle w:val="46"/>
        <w:widowControl/>
      </w:pPr>
      <w:r>
        <w:rPr>
          <w:rFonts w:hint="eastAsia" w:hAnsi="黑体" w:cs="黑体"/>
        </w:rPr>
        <w:t>“沁州黄小米”农产品加工管理规范</w:t>
      </w:r>
    </w:p>
    <w:p w14:paraId="42BB9A15">
      <w:pPr>
        <w:pStyle w:val="62"/>
        <w:spacing w:before="240" w:after="240"/>
        <w:ind w:left="-2" w:leftChars="-1"/>
      </w:pPr>
      <w:bookmarkStart w:id="4" w:name="_Toc26718930"/>
      <w:bookmarkStart w:id="5" w:name="_Toc17233333"/>
      <w:bookmarkStart w:id="6" w:name="_Toc17233325"/>
      <w:bookmarkStart w:id="7" w:name="_Toc26986771"/>
      <w:bookmarkStart w:id="8" w:name="_Toc24884211"/>
      <w:bookmarkStart w:id="9" w:name="_Toc24884218"/>
      <w:bookmarkStart w:id="10" w:name="_Toc26648465"/>
      <w:bookmarkStart w:id="11" w:name="_Toc26986530"/>
      <w:bookmarkStart w:id="12" w:name="_Toc2972"/>
      <w:bookmarkStart w:id="13" w:name="_Toc187741970"/>
      <w:r>
        <w:rPr>
          <w:rFonts w:hint="eastAsia"/>
        </w:rPr>
        <w:t>范围</w:t>
      </w:r>
      <w:bookmarkEnd w:id="4"/>
      <w:bookmarkEnd w:id="5"/>
      <w:bookmarkEnd w:id="6"/>
      <w:bookmarkEnd w:id="7"/>
      <w:bookmarkEnd w:id="8"/>
      <w:bookmarkEnd w:id="9"/>
      <w:bookmarkEnd w:id="10"/>
      <w:bookmarkEnd w:id="11"/>
      <w:bookmarkEnd w:id="12"/>
      <w:bookmarkEnd w:id="13"/>
    </w:p>
    <w:p w14:paraId="2293096B">
      <w:pPr>
        <w:pStyle w:val="63"/>
        <w:ind w:firstLine="420"/>
        <w:rPr>
          <w:rFonts w:hint="eastAsia" w:ascii="宋体" w:eastAsia="宋体"/>
        </w:rPr>
      </w:pPr>
      <w:bookmarkStart w:id="14" w:name="_Toc24884212"/>
      <w:bookmarkStart w:id="15" w:name="_Toc26648466"/>
      <w:bookmarkStart w:id="16" w:name="_Toc17233326"/>
      <w:bookmarkStart w:id="17" w:name="_Toc24884219"/>
      <w:bookmarkStart w:id="18" w:name="_Toc17233334"/>
      <w:r>
        <w:rPr>
          <w:rFonts w:hint="eastAsia" w:ascii="宋体" w:eastAsia="宋体"/>
        </w:rPr>
        <w:t>本文件规定了农产品加工的加工场所与设施、加工过程控制、质量检验、</w:t>
      </w:r>
      <w:r>
        <w:rPr>
          <w:rFonts w:hint="eastAsia"/>
          <w:lang w:val="en-US" w:eastAsia="zh-CN"/>
        </w:rPr>
        <w:t>产品质量、</w:t>
      </w:r>
      <w:r>
        <w:rPr>
          <w:rFonts w:hint="eastAsia" w:ascii="宋体" w:eastAsia="宋体"/>
        </w:rPr>
        <w:t>标识、包装、运输与贮存等方面的要求。</w:t>
      </w:r>
    </w:p>
    <w:p w14:paraId="76CA2C0F">
      <w:pPr>
        <w:pStyle w:val="63"/>
        <w:ind w:firstLine="420"/>
        <w:rPr>
          <w:rFonts w:hint="eastAsia" w:ascii="宋体" w:eastAsia="宋体"/>
        </w:rPr>
      </w:pPr>
      <w:r>
        <w:rPr>
          <w:rFonts w:hint="eastAsia" w:ascii="宋体" w:eastAsia="宋体"/>
        </w:rPr>
        <w:t>本文件</w:t>
      </w:r>
      <w:r>
        <w:rPr>
          <w:rFonts w:hint="eastAsia"/>
        </w:rPr>
        <w:t>适用于长治市域内沁州黄</w:t>
      </w:r>
      <w:r>
        <w:rPr>
          <w:rFonts w:hint="eastAsia"/>
          <w:lang w:val="en-US" w:eastAsia="zh-CN"/>
        </w:rPr>
        <w:t>小米</w:t>
      </w:r>
      <w:r>
        <w:rPr>
          <w:rFonts w:hint="eastAsia"/>
        </w:rPr>
        <w:t>区域公用品牌生产经营者的自我评价和第三方认证</w:t>
      </w:r>
      <w:r>
        <w:rPr>
          <w:rFonts w:hint="eastAsia" w:ascii="宋体" w:eastAsia="宋体"/>
        </w:rPr>
        <w:t>。</w:t>
      </w:r>
    </w:p>
    <w:p w14:paraId="52336B9D">
      <w:pPr>
        <w:pStyle w:val="62"/>
        <w:spacing w:before="240" w:after="240"/>
        <w:ind w:left="0"/>
      </w:pPr>
      <w:bookmarkStart w:id="19" w:name="_Toc26718931"/>
      <w:bookmarkStart w:id="20" w:name="_Toc26986531"/>
      <w:bookmarkStart w:id="21" w:name="_Toc26986772"/>
      <w:bookmarkStart w:id="22" w:name="_Toc187741971"/>
      <w:bookmarkStart w:id="23" w:name="_Toc30307"/>
      <w:r>
        <w:rPr>
          <w:rFonts w:hint="eastAsia"/>
        </w:rPr>
        <w:t>规范性引用文件</w:t>
      </w:r>
      <w:bookmarkEnd w:id="14"/>
      <w:bookmarkEnd w:id="15"/>
      <w:bookmarkEnd w:id="16"/>
      <w:bookmarkEnd w:id="17"/>
      <w:bookmarkEnd w:id="18"/>
      <w:bookmarkEnd w:id="19"/>
      <w:bookmarkEnd w:id="20"/>
      <w:bookmarkEnd w:id="21"/>
      <w:bookmarkEnd w:id="22"/>
      <w:bookmarkEnd w:id="23"/>
    </w:p>
    <w:sdt>
      <w:sdtPr>
        <w:rPr>
          <w:rFonts w:hint="eastAsia"/>
        </w:rPr>
        <w:id w:val="715848253"/>
        <w:placeholder>
          <w:docPart w:val="{f31cd098-57b6-4a4b-b387-d40ea714d2e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6B7839A">
          <w:pPr>
            <w:pStyle w:val="63"/>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73AA477">
      <w:pPr>
        <w:pStyle w:val="63"/>
        <w:ind w:firstLine="420"/>
        <w:rPr>
          <w:rFonts w:hint="eastAsia"/>
        </w:rPr>
      </w:pPr>
      <w:r>
        <w:rPr>
          <w:rFonts w:hint="eastAsia"/>
        </w:rPr>
        <w:t>GB/T 191 包装储运图示标志</w:t>
      </w:r>
    </w:p>
    <w:p w14:paraId="18001EB3">
      <w:pPr>
        <w:pStyle w:val="63"/>
        <w:ind w:firstLine="420"/>
        <w:rPr>
          <w:rFonts w:hint="eastAsia"/>
        </w:rPr>
      </w:pPr>
      <w:r>
        <w:rPr>
          <w:rFonts w:hint="eastAsia"/>
        </w:rPr>
        <w:t>GB 2721 食品安全国家标准 食用盐</w:t>
      </w:r>
    </w:p>
    <w:p w14:paraId="0A900065">
      <w:pPr>
        <w:pStyle w:val="63"/>
        <w:ind w:firstLine="420"/>
        <w:rPr>
          <w:rFonts w:hint="eastAsia"/>
        </w:rPr>
      </w:pPr>
      <w:r>
        <w:rPr>
          <w:rFonts w:hint="eastAsia"/>
        </w:rPr>
        <w:t>GB 2760 食品安全国家标准 食品添加剂使用标准</w:t>
      </w:r>
    </w:p>
    <w:p w14:paraId="68D88DA6">
      <w:pPr>
        <w:pStyle w:val="63"/>
        <w:ind w:firstLine="420"/>
        <w:rPr>
          <w:rFonts w:hint="eastAsia"/>
        </w:rPr>
      </w:pPr>
      <w:r>
        <w:rPr>
          <w:rFonts w:hint="eastAsia"/>
        </w:rPr>
        <w:t>GB 5749 生活饮用水卫生标准</w:t>
      </w:r>
    </w:p>
    <w:p w14:paraId="7E6AC977">
      <w:pPr>
        <w:pStyle w:val="63"/>
        <w:ind w:firstLine="420"/>
        <w:rPr>
          <w:rFonts w:hint="eastAsia"/>
        </w:rPr>
      </w:pPr>
      <w:r>
        <w:rPr>
          <w:rFonts w:hint="eastAsia"/>
        </w:rPr>
        <w:t>GB 14881 食品安全国家标准 食品生产通用卫生规范</w:t>
      </w:r>
    </w:p>
    <w:p w14:paraId="4F5299B3">
      <w:pPr>
        <w:pStyle w:val="63"/>
        <w:ind w:firstLine="420"/>
        <w:rPr>
          <w:rFonts w:hint="eastAsia"/>
        </w:rPr>
      </w:pPr>
      <w:r>
        <w:rPr>
          <w:rFonts w:hint="eastAsia"/>
        </w:rPr>
        <w:t>NY/T 392</w:t>
      </w:r>
      <w:r>
        <w:rPr>
          <w:rFonts w:hint="eastAsia"/>
          <w:lang w:val="en-US" w:eastAsia="zh-CN"/>
        </w:rPr>
        <w:t xml:space="preserve"> </w:t>
      </w:r>
      <w:r>
        <w:rPr>
          <w:rFonts w:hint="eastAsia"/>
        </w:rPr>
        <w:t>绿色食品 食品添加剂使用准则</w:t>
      </w:r>
    </w:p>
    <w:p w14:paraId="355928E2">
      <w:pPr>
        <w:pStyle w:val="62"/>
        <w:spacing w:before="240" w:after="240"/>
        <w:ind w:left="0"/>
      </w:pPr>
      <w:bookmarkStart w:id="24" w:name="_Toc28456"/>
      <w:bookmarkStart w:id="25" w:name="_Toc187741972"/>
      <w:r>
        <w:rPr>
          <w:rFonts w:hint="eastAsia"/>
        </w:rPr>
        <w:t>术语和定义</w:t>
      </w:r>
      <w:bookmarkEnd w:id="24"/>
      <w:bookmarkEnd w:id="25"/>
    </w:p>
    <w:sdt>
      <w:sdtPr>
        <w:id w:val="-1909835108"/>
        <w:placeholder>
          <w:docPart w:val="{dfdb4592-9370-44f2-ae8f-155b0876742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2898155">
          <w:pPr>
            <w:pStyle w:val="63"/>
            <w:ind w:firstLine="420"/>
          </w:pPr>
          <w:bookmarkStart w:id="26" w:name="_Toc26986532"/>
          <w:bookmarkEnd w:id="26"/>
          <w:r>
            <w:t>本文件没有需要界定的术语和定义。</w:t>
          </w:r>
        </w:p>
      </w:sdtContent>
    </w:sdt>
    <w:p w14:paraId="220BCC57">
      <w:pPr>
        <w:pStyle w:val="62"/>
        <w:spacing w:before="240" w:after="240"/>
        <w:ind w:left="0"/>
      </w:pPr>
      <w:bookmarkStart w:id="27" w:name="_Toc2044"/>
      <w:r>
        <w:rPr>
          <w:rFonts w:hint="eastAsia"/>
        </w:rPr>
        <w:t>加工场所与设施</w:t>
      </w:r>
      <w:bookmarkEnd w:id="27"/>
    </w:p>
    <w:p w14:paraId="7649927A">
      <w:pPr>
        <w:pStyle w:val="65"/>
        <w:keepNext w:val="0"/>
        <w:keepLines w:val="0"/>
        <w:pageBreakBefore w:val="0"/>
        <w:widowControl/>
        <w:kinsoku/>
        <w:wordWrap/>
        <w:overflowPunct/>
        <w:topLinePunct w:val="0"/>
        <w:autoSpaceDE/>
        <w:autoSpaceDN/>
        <w:bidi w:val="0"/>
        <w:adjustRightInd/>
        <w:snapToGrid/>
        <w:spacing w:before="120" w:after="120"/>
        <w:ind w:left="0"/>
        <w:textAlignment w:val="auto"/>
        <w:rPr>
          <w:rFonts w:hint="eastAsia" w:hAnsi="Times New Roman" w:cs="Times New Roman"/>
        </w:rPr>
      </w:pPr>
      <w:bookmarkStart w:id="28" w:name="_Toc21935"/>
      <w:bookmarkStart w:id="29" w:name="_Toc26816"/>
      <w:r>
        <w:rPr>
          <w:rFonts w:hint="eastAsia" w:hAnsi="Times New Roman" w:cs="Times New Roman"/>
          <w:lang w:val="en-US" w:eastAsia="zh-CN"/>
        </w:rPr>
        <w:t>加工场所</w:t>
      </w:r>
      <w:bookmarkEnd w:id="28"/>
      <w:bookmarkEnd w:id="29"/>
    </w:p>
    <w:p w14:paraId="45F4D678">
      <w:pPr>
        <w:pStyle w:val="64"/>
        <w:numPr>
          <w:ilvl w:val="2"/>
          <w:numId w:val="0"/>
        </w:numPr>
        <w:ind w:leftChars="0" w:firstLine="420" w:firstLineChars="200"/>
        <w:rPr>
          <w:rFonts w:hint="eastAsia"/>
        </w:rPr>
      </w:pPr>
      <w:r>
        <w:rPr>
          <w:rFonts w:hint="eastAsia" w:ascii="宋体" w:eastAsia="宋体"/>
        </w:rPr>
        <w:t>食品加工场所的选址，厂区环境，厂房和车间的设计、布局、内部结构等应符合GB 14881及相关法律法规和标准的规定。</w:t>
      </w:r>
    </w:p>
    <w:p w14:paraId="3AD750D1">
      <w:pPr>
        <w:pStyle w:val="65"/>
        <w:keepNext w:val="0"/>
        <w:keepLines w:val="0"/>
        <w:pageBreakBefore w:val="0"/>
        <w:widowControl/>
        <w:kinsoku/>
        <w:wordWrap/>
        <w:overflowPunct/>
        <w:topLinePunct w:val="0"/>
        <w:autoSpaceDE/>
        <w:autoSpaceDN/>
        <w:bidi w:val="0"/>
        <w:adjustRightInd/>
        <w:snapToGrid/>
        <w:spacing w:before="120" w:after="120"/>
        <w:ind w:left="0"/>
        <w:textAlignment w:val="auto"/>
        <w:rPr>
          <w:rFonts w:hint="eastAsia" w:hAnsi="Times New Roman" w:cs="Times New Roman"/>
          <w:lang w:val="en-US" w:eastAsia="zh-CN"/>
        </w:rPr>
      </w:pPr>
      <w:bookmarkStart w:id="30" w:name="_Toc24049"/>
      <w:bookmarkStart w:id="31" w:name="_Toc26278"/>
      <w:r>
        <w:rPr>
          <w:rFonts w:hint="eastAsia" w:hAnsi="Times New Roman" w:cs="Times New Roman"/>
          <w:lang w:val="en-US" w:eastAsia="zh-CN"/>
        </w:rPr>
        <w:t>加工设施</w:t>
      </w:r>
      <w:bookmarkEnd w:id="30"/>
      <w:bookmarkEnd w:id="31"/>
    </w:p>
    <w:p w14:paraId="1809682A">
      <w:pPr>
        <w:pStyle w:val="64"/>
        <w:numPr>
          <w:ilvl w:val="3"/>
          <w:numId w:val="2"/>
        </w:numPr>
        <w:ind w:left="0" w:leftChars="0" w:firstLine="0" w:firstLineChars="0"/>
        <w:rPr>
          <w:rFonts w:hint="eastAsia"/>
        </w:rPr>
      </w:pPr>
      <w:r>
        <w:rPr>
          <w:rFonts w:hint="eastAsia" w:ascii="宋体" w:hAnsi="Times New Roman" w:eastAsia="宋体" w:cs="Times New Roman"/>
          <w:sz w:val="21"/>
          <w:lang w:val="en-US" w:eastAsia="zh-CN" w:bidi="ar-SA"/>
        </w:rPr>
        <w:t>应配备与加工规模相适应的加工设备（如清洗设备、切割设备、灭菌设备、包装设备等），设备材质应无毒、耐腐蚀、易清洗。</w:t>
      </w:r>
    </w:p>
    <w:p w14:paraId="7D068A20">
      <w:pPr>
        <w:pStyle w:val="64"/>
        <w:numPr>
          <w:ilvl w:val="3"/>
          <w:numId w:val="2"/>
        </w:numPr>
        <w:ind w:left="0" w:leftChars="0" w:firstLine="0" w:firstLineChars="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加工设备应定期维护保养，保持良好工作状态。关键设备应配备温度、时间等控制装置。</w:t>
      </w:r>
    </w:p>
    <w:p w14:paraId="1DCFBBF0">
      <w:pPr>
        <w:pStyle w:val="64"/>
        <w:numPr>
          <w:ilvl w:val="3"/>
          <w:numId w:val="2"/>
        </w:numPr>
        <w:ind w:left="0" w:leftChars="0" w:firstLine="0" w:firstLineChars="0"/>
        <w:rPr>
          <w:rFonts w:hint="eastAsia"/>
        </w:rPr>
      </w:pPr>
      <w:r>
        <w:rPr>
          <w:rFonts w:hint="eastAsia" w:ascii="宋体" w:hAnsi="Times New Roman" w:eastAsia="宋体" w:cs="Times New Roman"/>
          <w:sz w:val="21"/>
          <w:lang w:val="en-US" w:eastAsia="zh-CN" w:bidi="ar-SA"/>
        </w:rPr>
        <w:t>应配备洗手消毒设施、风淋室、更衣室等卫生控制设施。车间出入口应设置防虫、防鼠设施。</w:t>
      </w:r>
    </w:p>
    <w:p w14:paraId="7A9EA67D">
      <w:pPr>
        <w:pStyle w:val="62"/>
        <w:spacing w:before="240" w:after="240"/>
        <w:ind w:left="0"/>
      </w:pPr>
      <w:bookmarkStart w:id="32" w:name="_Toc26260"/>
      <w:r>
        <w:rPr>
          <w:rFonts w:hint="eastAsia"/>
        </w:rPr>
        <w:t>加工过程控制</w:t>
      </w:r>
      <w:bookmarkEnd w:id="32"/>
    </w:p>
    <w:p w14:paraId="23B71F2D">
      <w:pPr>
        <w:pStyle w:val="65"/>
        <w:keepNext w:val="0"/>
        <w:keepLines w:val="0"/>
        <w:pageBreakBefore w:val="0"/>
        <w:widowControl/>
        <w:kinsoku/>
        <w:wordWrap/>
        <w:overflowPunct/>
        <w:topLinePunct w:val="0"/>
        <w:autoSpaceDE/>
        <w:autoSpaceDN/>
        <w:bidi w:val="0"/>
        <w:adjustRightInd/>
        <w:snapToGrid/>
        <w:spacing w:before="120" w:after="120"/>
        <w:ind w:left="0"/>
        <w:textAlignment w:val="auto"/>
        <w:rPr>
          <w:rFonts w:hint="eastAsia" w:hAnsi="Times New Roman" w:cs="Times New Roman"/>
        </w:rPr>
      </w:pPr>
      <w:bookmarkStart w:id="33" w:name="_Toc11105"/>
      <w:bookmarkStart w:id="34" w:name="_Toc26244"/>
      <w:r>
        <w:rPr>
          <w:rFonts w:hint="eastAsia" w:hAnsi="Times New Roman" w:cs="Times New Roman"/>
          <w:lang w:val="en-US" w:eastAsia="zh-CN"/>
        </w:rPr>
        <w:t>原料接收与预处理</w:t>
      </w:r>
      <w:bookmarkEnd w:id="33"/>
      <w:bookmarkEnd w:id="34"/>
    </w:p>
    <w:p w14:paraId="4896BB52">
      <w:pPr>
        <w:pStyle w:val="64"/>
        <w:numPr>
          <w:ilvl w:val="3"/>
          <w:numId w:val="2"/>
        </w:numPr>
        <w:ind w:left="0" w:leftChars="0" w:firstLine="0" w:firstLineChars="0"/>
        <w:rPr>
          <w:rFonts w:hint="eastAsia"/>
        </w:rPr>
      </w:pPr>
      <w:r>
        <w:rPr>
          <w:rFonts w:hint="eastAsia" w:ascii="宋体" w:hAnsi="Times New Roman" w:eastAsia="宋体" w:cs="Times New Roman"/>
          <w:sz w:val="21"/>
          <w:lang w:val="en-US" w:eastAsia="zh-CN" w:bidi="ar-SA"/>
        </w:rPr>
        <w:t>原料应符合相关食品安全国家标准或行业标准，并具有合格证明文件。对无合格证明的原料应进行验收检验，合格后方可使用。</w:t>
      </w:r>
    </w:p>
    <w:p w14:paraId="51D5E8FE">
      <w:pPr>
        <w:pStyle w:val="64"/>
        <w:numPr>
          <w:ilvl w:val="3"/>
          <w:numId w:val="2"/>
        </w:numPr>
        <w:ind w:left="0" w:leftChars="0" w:firstLine="0" w:firstLineChars="0"/>
        <w:rPr>
          <w:rFonts w:hint="eastAsia"/>
        </w:rPr>
      </w:pPr>
      <w:r>
        <w:rPr>
          <w:rFonts w:hint="eastAsia"/>
        </w:rPr>
        <w:t>食用盐应符合GB</w:t>
      </w:r>
      <w:r>
        <w:rPr>
          <w:rFonts w:hint="eastAsia"/>
          <w:lang w:val="en-US" w:eastAsia="zh-CN"/>
        </w:rPr>
        <w:t xml:space="preserve"> </w:t>
      </w:r>
      <w:r>
        <w:rPr>
          <w:rFonts w:hint="eastAsia"/>
        </w:rPr>
        <w:t>2721的要求。</w:t>
      </w:r>
    </w:p>
    <w:p w14:paraId="38543FFE">
      <w:pPr>
        <w:pStyle w:val="64"/>
        <w:numPr>
          <w:ilvl w:val="3"/>
          <w:numId w:val="2"/>
        </w:numPr>
        <w:ind w:left="0" w:leftChars="0" w:firstLine="0" w:firstLineChars="0"/>
        <w:rPr>
          <w:rFonts w:hint="eastAsia"/>
        </w:rPr>
      </w:pPr>
      <w:r>
        <w:rPr>
          <w:rFonts w:hint="eastAsia" w:hAnsi="宋体" w:cs="宋体"/>
          <w:szCs w:val="21"/>
        </w:rPr>
        <w:t>原料接收后应及时进行分拣、清洗、去杂等预处理，处理后的原料应存放在清洁、温湿度适宜的环境中，防止交叉污染。</w:t>
      </w:r>
    </w:p>
    <w:p w14:paraId="799CDC50">
      <w:pPr>
        <w:pStyle w:val="64"/>
        <w:numPr>
          <w:ilvl w:val="3"/>
          <w:numId w:val="2"/>
        </w:numPr>
        <w:ind w:left="0" w:leftChars="0" w:firstLine="0" w:firstLineChars="0"/>
        <w:rPr>
          <w:rFonts w:hint="eastAsia"/>
        </w:rPr>
      </w:pPr>
      <w:r>
        <w:rPr>
          <w:rFonts w:hint="eastAsia" w:hAnsi="宋体" w:cs="宋体"/>
          <w:szCs w:val="21"/>
        </w:rPr>
        <w:t>不得使用腐败变质、霉变、虫蛀、有毒有害或超过保质期的原料。</w:t>
      </w:r>
    </w:p>
    <w:p w14:paraId="764F4FBF">
      <w:pPr>
        <w:pStyle w:val="65"/>
        <w:keepNext w:val="0"/>
        <w:keepLines w:val="0"/>
        <w:pageBreakBefore w:val="0"/>
        <w:widowControl/>
        <w:kinsoku/>
        <w:wordWrap/>
        <w:overflowPunct/>
        <w:topLinePunct w:val="0"/>
        <w:autoSpaceDE/>
        <w:autoSpaceDN/>
        <w:bidi w:val="0"/>
        <w:adjustRightInd/>
        <w:snapToGrid/>
        <w:spacing w:before="120" w:after="120"/>
        <w:ind w:left="0"/>
        <w:textAlignment w:val="auto"/>
        <w:rPr>
          <w:rFonts w:hint="eastAsia" w:hAnsi="Times New Roman" w:cs="Times New Roman"/>
        </w:rPr>
      </w:pPr>
      <w:bookmarkStart w:id="35" w:name="_Toc15076"/>
      <w:bookmarkStart w:id="36" w:name="_Toc31109"/>
      <w:r>
        <w:rPr>
          <w:rFonts w:hint="eastAsia" w:hAnsi="Times New Roman" w:cs="Times New Roman"/>
          <w:lang w:val="en-US" w:eastAsia="zh-CN"/>
        </w:rPr>
        <w:t>加工工艺控制</w:t>
      </w:r>
      <w:bookmarkEnd w:id="35"/>
      <w:bookmarkEnd w:id="36"/>
    </w:p>
    <w:p w14:paraId="720ABBE8">
      <w:pPr>
        <w:pStyle w:val="64"/>
        <w:numPr>
          <w:ilvl w:val="3"/>
          <w:numId w:val="2"/>
        </w:numPr>
        <w:ind w:left="0" w:leftChars="0" w:firstLine="0" w:firstLineChars="0"/>
        <w:rPr>
          <w:rFonts w:hint="eastAsia"/>
        </w:rPr>
      </w:pPr>
      <w:r>
        <w:rPr>
          <w:rFonts w:hint="eastAsia" w:hAnsi="宋体" w:cs="宋体"/>
          <w:szCs w:val="21"/>
        </w:rPr>
        <w:t>加工企业应根据产品特性制定工艺规程，明确关键工艺参数（如温度、时间、压力、水分等）。</w:t>
      </w:r>
    </w:p>
    <w:p w14:paraId="124E38CC">
      <w:pPr>
        <w:pStyle w:val="64"/>
        <w:numPr>
          <w:ilvl w:val="3"/>
          <w:numId w:val="2"/>
        </w:numPr>
        <w:ind w:left="0" w:leftChars="0" w:firstLine="0" w:firstLineChars="0"/>
        <w:rPr>
          <w:rFonts w:hint="eastAsia"/>
        </w:rPr>
      </w:pPr>
      <w:r>
        <w:rPr>
          <w:rFonts w:hint="eastAsia" w:hAnsi="宋体" w:cs="宋体"/>
          <w:szCs w:val="21"/>
        </w:rPr>
        <w:t>关键工序（如杀菌、干燥、冷却、包装等）应设置监控点进行连续或定期监控。</w:t>
      </w:r>
    </w:p>
    <w:p w14:paraId="7CFB4101">
      <w:pPr>
        <w:pStyle w:val="64"/>
        <w:numPr>
          <w:ilvl w:val="3"/>
          <w:numId w:val="2"/>
        </w:numPr>
        <w:ind w:left="0" w:leftChars="0" w:firstLine="0" w:firstLineChars="0"/>
        <w:rPr>
          <w:rFonts w:hint="eastAsia"/>
        </w:rPr>
      </w:pPr>
      <w:r>
        <w:rPr>
          <w:rFonts w:hint="eastAsia" w:hAnsi="宋体" w:cs="宋体"/>
          <w:szCs w:val="21"/>
        </w:rPr>
        <w:t>加工过程中使用的添加剂、加工助剂应符合GB 2760</w:t>
      </w:r>
      <w:r>
        <w:rPr>
          <w:rFonts w:hint="eastAsia"/>
        </w:rPr>
        <w:t>和NY/T</w:t>
      </w:r>
      <w:r>
        <w:rPr>
          <w:rFonts w:hint="eastAsia"/>
          <w:lang w:val="en-US" w:eastAsia="zh-CN"/>
        </w:rPr>
        <w:t xml:space="preserve"> </w:t>
      </w:r>
      <w:r>
        <w:rPr>
          <w:rFonts w:hint="eastAsia"/>
        </w:rPr>
        <w:t>392</w:t>
      </w:r>
      <w:r>
        <w:rPr>
          <w:rFonts w:hint="eastAsia" w:hAnsi="宋体" w:cs="宋体"/>
          <w:szCs w:val="21"/>
        </w:rPr>
        <w:t>规定。</w:t>
      </w:r>
    </w:p>
    <w:p w14:paraId="0E2EF17E">
      <w:pPr>
        <w:pStyle w:val="64"/>
        <w:numPr>
          <w:ilvl w:val="3"/>
          <w:numId w:val="2"/>
        </w:numPr>
        <w:ind w:left="0" w:leftChars="0" w:firstLine="0" w:firstLineChars="0"/>
        <w:rPr>
          <w:rFonts w:hint="eastAsia"/>
        </w:rPr>
      </w:pPr>
      <w:r>
        <w:rPr>
          <w:rFonts w:hint="eastAsia" w:hAnsi="宋体" w:cs="宋体"/>
          <w:szCs w:val="21"/>
        </w:rPr>
        <w:t>加工设备应定期清洗、维护，并保持正常运行状态；设备与食品接触面应使用食品级材料。</w:t>
      </w:r>
    </w:p>
    <w:p w14:paraId="76D3EEC5">
      <w:pPr>
        <w:pStyle w:val="65"/>
        <w:keepNext w:val="0"/>
        <w:keepLines w:val="0"/>
        <w:pageBreakBefore w:val="0"/>
        <w:widowControl/>
        <w:kinsoku/>
        <w:wordWrap/>
        <w:overflowPunct/>
        <w:topLinePunct w:val="0"/>
        <w:autoSpaceDE/>
        <w:autoSpaceDN/>
        <w:bidi w:val="0"/>
        <w:adjustRightInd/>
        <w:snapToGrid/>
        <w:spacing w:before="120" w:after="120"/>
        <w:ind w:left="0"/>
        <w:textAlignment w:val="auto"/>
        <w:rPr>
          <w:rFonts w:hint="eastAsia" w:hAnsi="Times New Roman" w:cs="Times New Roman"/>
        </w:rPr>
      </w:pPr>
      <w:bookmarkStart w:id="37" w:name="_Toc12171"/>
      <w:bookmarkStart w:id="38" w:name="_Toc9976"/>
      <w:r>
        <w:rPr>
          <w:rFonts w:hint="eastAsia" w:hAnsi="Times New Roman" w:cs="Times New Roman"/>
          <w:lang w:val="en-US" w:eastAsia="zh-CN"/>
        </w:rPr>
        <w:t>过程卫生控制</w:t>
      </w:r>
      <w:bookmarkEnd w:id="37"/>
      <w:bookmarkEnd w:id="38"/>
    </w:p>
    <w:p w14:paraId="23B1C80E">
      <w:pPr>
        <w:pStyle w:val="64"/>
        <w:numPr>
          <w:ilvl w:val="3"/>
          <w:numId w:val="2"/>
        </w:numPr>
        <w:ind w:left="0" w:leftChars="0" w:firstLine="0" w:firstLineChars="0"/>
        <w:rPr>
          <w:rFonts w:hint="eastAsia"/>
        </w:rPr>
      </w:pPr>
      <w:r>
        <w:rPr>
          <w:rFonts w:hint="eastAsia" w:hAnsi="宋体" w:cs="宋体"/>
          <w:szCs w:val="21"/>
        </w:rPr>
        <w:t>加工区域应保持清洁，地面、墙面、操作台等应便于清洗、消毒。</w:t>
      </w:r>
    </w:p>
    <w:p w14:paraId="05ECC6B8">
      <w:pPr>
        <w:pStyle w:val="64"/>
        <w:numPr>
          <w:ilvl w:val="3"/>
          <w:numId w:val="2"/>
        </w:numPr>
        <w:ind w:left="0" w:leftChars="0" w:firstLine="0" w:firstLineChars="0"/>
        <w:rPr>
          <w:rFonts w:hint="eastAsia"/>
        </w:rPr>
      </w:pPr>
      <w:r>
        <w:rPr>
          <w:rFonts w:hint="eastAsia" w:hAnsi="宋体" w:cs="宋体"/>
          <w:szCs w:val="21"/>
        </w:rPr>
        <w:t>加工过程中产生的废弃物、废料应及时清理，防止污染产品。</w:t>
      </w:r>
    </w:p>
    <w:p w14:paraId="62AA875F">
      <w:pPr>
        <w:pStyle w:val="64"/>
        <w:numPr>
          <w:ilvl w:val="3"/>
          <w:numId w:val="2"/>
        </w:numPr>
        <w:ind w:left="0" w:leftChars="0" w:firstLine="0" w:firstLineChars="0"/>
        <w:rPr>
          <w:rFonts w:hint="eastAsia"/>
        </w:rPr>
      </w:pPr>
      <w:r>
        <w:rPr>
          <w:rFonts w:hint="eastAsia" w:hAnsi="宋体" w:cs="宋体"/>
          <w:szCs w:val="21"/>
        </w:rPr>
        <w:t>不同洁净要求的生产区域应合理分隔，防止交叉污染（如生熟分开、清洁区与污染区分离）。</w:t>
      </w:r>
    </w:p>
    <w:p w14:paraId="55453D8E">
      <w:pPr>
        <w:pStyle w:val="64"/>
        <w:numPr>
          <w:ilvl w:val="3"/>
          <w:numId w:val="2"/>
        </w:numPr>
        <w:ind w:left="0" w:leftChars="0" w:firstLine="0" w:firstLineChars="0"/>
        <w:rPr>
          <w:rFonts w:hint="eastAsia"/>
        </w:rPr>
      </w:pPr>
      <w:r>
        <w:rPr>
          <w:rFonts w:hint="eastAsia" w:hAnsi="宋体" w:cs="宋体"/>
          <w:szCs w:val="21"/>
        </w:rPr>
        <w:t>生产用水、清洗用水应符合GB 5749要求。</w:t>
      </w:r>
    </w:p>
    <w:p w14:paraId="35D7D8D4">
      <w:pPr>
        <w:pStyle w:val="65"/>
        <w:keepNext w:val="0"/>
        <w:keepLines w:val="0"/>
        <w:pageBreakBefore w:val="0"/>
        <w:widowControl/>
        <w:kinsoku/>
        <w:wordWrap/>
        <w:overflowPunct/>
        <w:topLinePunct w:val="0"/>
        <w:autoSpaceDE/>
        <w:autoSpaceDN/>
        <w:bidi w:val="0"/>
        <w:adjustRightInd/>
        <w:snapToGrid/>
        <w:spacing w:before="120" w:after="120"/>
        <w:ind w:left="0"/>
        <w:textAlignment w:val="auto"/>
        <w:rPr>
          <w:rFonts w:hint="eastAsia" w:hAnsi="Times New Roman" w:cs="Times New Roman"/>
        </w:rPr>
      </w:pPr>
      <w:bookmarkStart w:id="39" w:name="_Toc9895"/>
      <w:bookmarkStart w:id="40" w:name="_Toc28980"/>
      <w:r>
        <w:rPr>
          <w:rFonts w:hint="eastAsia" w:hAnsi="Times New Roman" w:cs="Times New Roman"/>
          <w:lang w:val="en-US" w:eastAsia="zh-CN"/>
        </w:rPr>
        <w:t>半成品与成品管理</w:t>
      </w:r>
      <w:bookmarkEnd w:id="39"/>
      <w:bookmarkEnd w:id="40"/>
    </w:p>
    <w:p w14:paraId="280E833E">
      <w:pPr>
        <w:pStyle w:val="64"/>
        <w:numPr>
          <w:ilvl w:val="3"/>
          <w:numId w:val="2"/>
        </w:numPr>
        <w:ind w:left="0" w:leftChars="0" w:firstLine="0" w:firstLineChars="0"/>
        <w:rPr>
          <w:rFonts w:hint="eastAsia"/>
        </w:rPr>
      </w:pPr>
      <w:r>
        <w:rPr>
          <w:rFonts w:hint="eastAsia" w:hAnsi="宋体" w:cs="宋体"/>
          <w:szCs w:val="21"/>
        </w:rPr>
        <w:t>半成品在加工过程中应标识清楚，注明品名、批次、加工日期、状态等信息，并放置在指定区域。</w:t>
      </w:r>
    </w:p>
    <w:p w14:paraId="20238E69">
      <w:pPr>
        <w:pStyle w:val="64"/>
        <w:numPr>
          <w:ilvl w:val="3"/>
          <w:numId w:val="2"/>
        </w:numPr>
        <w:ind w:left="0" w:leftChars="0" w:firstLine="0" w:firstLineChars="0"/>
        <w:rPr>
          <w:rFonts w:hint="eastAsia"/>
        </w:rPr>
      </w:pPr>
      <w:r>
        <w:rPr>
          <w:rFonts w:hint="eastAsia" w:hAnsi="宋体" w:cs="宋体"/>
          <w:szCs w:val="21"/>
        </w:rPr>
        <w:t>半成品存放应控制温度、湿度，防止变质；需冷藏或冷冻的半成品应按规定条件贮存。</w:t>
      </w:r>
    </w:p>
    <w:p w14:paraId="7F54ABC9">
      <w:pPr>
        <w:pStyle w:val="64"/>
        <w:numPr>
          <w:ilvl w:val="3"/>
          <w:numId w:val="2"/>
        </w:numPr>
        <w:ind w:left="0" w:leftChars="0" w:firstLine="0" w:firstLineChars="0"/>
        <w:rPr>
          <w:rFonts w:hint="eastAsia"/>
        </w:rPr>
      </w:pPr>
      <w:r>
        <w:rPr>
          <w:rFonts w:hint="eastAsia" w:hAnsi="宋体" w:cs="宋体"/>
          <w:szCs w:val="21"/>
        </w:rPr>
        <w:t>成品应在完成全部加工工序并检验合格后，方可进入包装或暂存环节。</w:t>
      </w:r>
    </w:p>
    <w:p w14:paraId="64549D01">
      <w:pPr>
        <w:pStyle w:val="65"/>
        <w:keepNext w:val="0"/>
        <w:keepLines w:val="0"/>
        <w:pageBreakBefore w:val="0"/>
        <w:widowControl/>
        <w:kinsoku/>
        <w:wordWrap/>
        <w:overflowPunct/>
        <w:topLinePunct w:val="0"/>
        <w:autoSpaceDE/>
        <w:autoSpaceDN/>
        <w:bidi w:val="0"/>
        <w:adjustRightInd/>
        <w:snapToGrid/>
        <w:spacing w:before="120" w:after="120"/>
        <w:ind w:left="0"/>
        <w:textAlignment w:val="auto"/>
        <w:rPr>
          <w:rFonts w:hint="eastAsia" w:hAnsi="Times New Roman" w:cs="Times New Roman"/>
          <w:lang w:val="en-US" w:eastAsia="zh-CN"/>
        </w:rPr>
      </w:pPr>
      <w:bookmarkStart w:id="41" w:name="_Toc7477"/>
      <w:bookmarkStart w:id="42" w:name="_Toc29135"/>
      <w:r>
        <w:rPr>
          <w:rFonts w:hint="eastAsia" w:hAnsi="Times New Roman" w:cs="Times New Roman"/>
          <w:lang w:val="en-US" w:eastAsia="zh-CN"/>
        </w:rPr>
        <w:t>不合格品控制</w:t>
      </w:r>
      <w:bookmarkEnd w:id="41"/>
      <w:bookmarkEnd w:id="42"/>
    </w:p>
    <w:p w14:paraId="1130E099">
      <w:pPr>
        <w:pStyle w:val="64"/>
        <w:numPr>
          <w:ilvl w:val="3"/>
          <w:numId w:val="2"/>
        </w:numPr>
        <w:ind w:left="0" w:leftChars="0" w:firstLine="0" w:firstLineChars="0"/>
        <w:rPr>
          <w:rFonts w:hint="eastAsia"/>
        </w:rPr>
      </w:pPr>
      <w:r>
        <w:rPr>
          <w:rFonts w:hint="eastAsia" w:hAnsi="宋体" w:cs="宋体"/>
          <w:szCs w:val="21"/>
        </w:rPr>
        <w:t>加工过程中发现的不合格品（包括原料、半成品、成品）应及时隔离、标识，并按照不合格品管理制度进行处理。</w:t>
      </w:r>
    </w:p>
    <w:p w14:paraId="21352A1D">
      <w:pPr>
        <w:pStyle w:val="64"/>
        <w:numPr>
          <w:ilvl w:val="3"/>
          <w:numId w:val="2"/>
        </w:numPr>
        <w:ind w:left="0" w:leftChars="0" w:firstLine="0" w:firstLineChars="0"/>
      </w:pPr>
      <w:r>
        <w:rPr>
          <w:rFonts w:hint="eastAsia" w:hAnsi="宋体" w:cs="宋体"/>
          <w:szCs w:val="21"/>
        </w:rPr>
        <w:t>不合格品处理方式包括返工、降级使用、销毁等，记录应完整并可追溯。</w:t>
      </w:r>
    </w:p>
    <w:p w14:paraId="7CA35A9C">
      <w:pPr>
        <w:pStyle w:val="64"/>
        <w:numPr>
          <w:ilvl w:val="3"/>
          <w:numId w:val="2"/>
        </w:numPr>
        <w:ind w:left="0" w:leftChars="0" w:firstLine="0" w:firstLineChars="0"/>
        <w:rPr>
          <w:rFonts w:hint="eastAsia"/>
        </w:rPr>
      </w:pPr>
      <w:r>
        <w:rPr>
          <w:rFonts w:hint="eastAsia" w:hAnsi="宋体" w:cs="宋体"/>
          <w:szCs w:val="21"/>
        </w:rPr>
        <w:t>当加工过程出现偏离关键限值时，应对偏离期间的产品进行风险评估，必要时进行销毁或重新加工。</w:t>
      </w:r>
    </w:p>
    <w:p w14:paraId="56BB2D0F">
      <w:pPr>
        <w:pStyle w:val="65"/>
        <w:keepNext w:val="0"/>
        <w:keepLines w:val="0"/>
        <w:pageBreakBefore w:val="0"/>
        <w:widowControl/>
        <w:kinsoku/>
        <w:wordWrap/>
        <w:overflowPunct/>
        <w:topLinePunct w:val="0"/>
        <w:autoSpaceDE/>
        <w:autoSpaceDN/>
        <w:bidi w:val="0"/>
        <w:adjustRightInd/>
        <w:snapToGrid/>
        <w:spacing w:before="120" w:after="120"/>
        <w:ind w:left="0"/>
        <w:textAlignment w:val="auto"/>
        <w:rPr>
          <w:rFonts w:hint="eastAsia" w:hAnsi="Times New Roman" w:cs="Times New Roman"/>
          <w:lang w:val="en-US" w:eastAsia="zh-CN"/>
        </w:rPr>
      </w:pPr>
      <w:bookmarkStart w:id="43" w:name="_Toc28591"/>
      <w:bookmarkStart w:id="44" w:name="_Toc29167"/>
      <w:r>
        <w:rPr>
          <w:rFonts w:hint="eastAsia" w:hAnsi="Times New Roman" w:cs="Times New Roman"/>
          <w:lang w:val="en-US" w:eastAsia="zh-CN"/>
        </w:rPr>
        <w:t>加工过程记录</w:t>
      </w:r>
      <w:bookmarkEnd w:id="43"/>
      <w:bookmarkEnd w:id="44"/>
    </w:p>
    <w:p w14:paraId="5089DE92">
      <w:pPr>
        <w:pStyle w:val="64"/>
        <w:numPr>
          <w:ilvl w:val="3"/>
          <w:numId w:val="2"/>
        </w:numPr>
        <w:ind w:left="0" w:leftChars="0" w:firstLine="0" w:firstLineChars="0"/>
        <w:rPr>
          <w:rFonts w:hint="eastAsia"/>
        </w:rPr>
      </w:pPr>
      <w:r>
        <w:rPr>
          <w:rFonts w:hint="eastAsia" w:hAnsi="宋体" w:cs="宋体"/>
          <w:szCs w:val="21"/>
        </w:rPr>
        <w:t>加工过程应建立完整的记录制度，记录内容</w:t>
      </w:r>
      <w:r>
        <w:rPr>
          <w:rFonts w:hint="eastAsia" w:hAnsi="宋体" w:cs="宋体"/>
          <w:szCs w:val="21"/>
          <w:lang w:val="en-US" w:eastAsia="zh-CN"/>
        </w:rPr>
        <w:t>可</w:t>
      </w:r>
      <w:r>
        <w:rPr>
          <w:rFonts w:hint="eastAsia" w:hAnsi="宋体" w:cs="宋体"/>
          <w:szCs w:val="21"/>
        </w:rPr>
        <w:t>包括：原料批号、加工时间、工艺参数、监控数据、设备清洗情况、异常处理等。</w:t>
      </w:r>
    </w:p>
    <w:p w14:paraId="48346333">
      <w:pPr>
        <w:pStyle w:val="64"/>
        <w:numPr>
          <w:ilvl w:val="3"/>
          <w:numId w:val="2"/>
        </w:numPr>
        <w:ind w:left="0" w:leftChars="0" w:firstLine="0" w:firstLineChars="0"/>
        <w:rPr>
          <w:rFonts w:hint="eastAsia"/>
          <w:lang w:val="en-US" w:eastAsia="zh-CN"/>
        </w:rPr>
      </w:pPr>
      <w:r>
        <w:rPr>
          <w:rFonts w:hint="eastAsia" w:hAnsi="宋体" w:cs="宋体"/>
          <w:szCs w:val="21"/>
        </w:rPr>
        <w:t>记录应真实、完整、清晰，保存期限不少于产品保质期后六个月，且不少于两年。</w:t>
      </w:r>
    </w:p>
    <w:p w14:paraId="1EEFEBFD">
      <w:pPr>
        <w:pStyle w:val="62"/>
        <w:spacing w:before="240" w:after="240"/>
        <w:ind w:left="0"/>
      </w:pPr>
      <w:bookmarkStart w:id="45" w:name="_Toc13226"/>
      <w:r>
        <w:rPr>
          <w:rFonts w:hint="eastAsia"/>
        </w:rPr>
        <w:t>质量检验</w:t>
      </w:r>
      <w:bookmarkEnd w:id="45"/>
    </w:p>
    <w:p w14:paraId="456C9CDE">
      <w:pPr>
        <w:pStyle w:val="65"/>
        <w:keepNext w:val="0"/>
        <w:keepLines w:val="0"/>
        <w:pageBreakBefore w:val="0"/>
        <w:widowControl/>
        <w:kinsoku/>
        <w:wordWrap/>
        <w:overflowPunct/>
        <w:topLinePunct w:val="0"/>
        <w:autoSpaceDE/>
        <w:autoSpaceDN/>
        <w:bidi w:val="0"/>
        <w:adjustRightInd/>
        <w:snapToGrid/>
        <w:spacing w:before="120" w:after="120"/>
        <w:ind w:left="0"/>
        <w:textAlignment w:val="auto"/>
        <w:rPr>
          <w:rFonts w:hint="eastAsia" w:hAnsi="Times New Roman" w:cs="Times New Roman"/>
          <w:lang w:val="en-US" w:eastAsia="zh-CN"/>
        </w:rPr>
      </w:pPr>
      <w:bookmarkStart w:id="46" w:name="_Toc54c076f2-325f-4455-9d9e-5474f7bfb625"/>
      <w:bookmarkStart w:id="47" w:name="_Toc228451336"/>
      <w:bookmarkStart w:id="48" w:name="_Toc28984"/>
      <w:bookmarkStart w:id="49" w:name="_Toc4180"/>
      <w:r>
        <w:rPr>
          <w:rFonts w:hint="eastAsia" w:hAnsi="Times New Roman" w:cs="Times New Roman"/>
          <w:lang w:val="en-US" w:eastAsia="zh-CN"/>
        </w:rPr>
        <w:t>原辅料检验</w:t>
      </w:r>
      <w:bookmarkEnd w:id="46"/>
      <w:bookmarkEnd w:id="47"/>
      <w:bookmarkEnd w:id="48"/>
      <w:bookmarkEnd w:id="49"/>
    </w:p>
    <w:p w14:paraId="776E91DF">
      <w:pPr>
        <w:pStyle w:val="64"/>
        <w:numPr>
          <w:ilvl w:val="3"/>
          <w:numId w:val="2"/>
        </w:numPr>
        <w:ind w:left="0" w:leftChars="0" w:firstLine="0" w:firstLineChars="0"/>
        <w:rPr>
          <w:rFonts w:hint="eastAsia"/>
          <w:lang w:val="en-US" w:eastAsia="zh-CN"/>
        </w:rPr>
      </w:pPr>
      <w:r>
        <w:rPr>
          <w:rFonts w:hint="eastAsia"/>
          <w:lang w:val="en-US" w:eastAsia="zh-CN"/>
        </w:rPr>
        <w:t>原辅料应符合相关标准及合同规定的要求。</w:t>
      </w:r>
    </w:p>
    <w:p w14:paraId="67A439C9">
      <w:pPr>
        <w:pStyle w:val="64"/>
        <w:numPr>
          <w:ilvl w:val="3"/>
          <w:numId w:val="2"/>
        </w:numPr>
        <w:ind w:left="0" w:leftChars="0" w:firstLine="0" w:firstLineChars="0"/>
        <w:rPr>
          <w:rFonts w:hint="eastAsia"/>
          <w:lang w:val="en-US" w:eastAsia="zh-CN"/>
        </w:rPr>
      </w:pPr>
      <w:r>
        <w:rPr>
          <w:rFonts w:hint="eastAsia"/>
          <w:lang w:val="en-US" w:eastAsia="zh-CN"/>
        </w:rPr>
        <w:t>企业应对原辅料进行进货验证或检验，</w:t>
      </w:r>
      <w:r>
        <w:rPr>
          <w:rFonts w:hint="eastAsia" w:hAnsi="宋体" w:cs="宋体"/>
          <w:szCs w:val="21"/>
        </w:rPr>
        <w:t>包括但不限于：</w:t>
      </w:r>
    </w:p>
    <w:p w14:paraId="5D0B18C5">
      <w:pPr>
        <w:numPr>
          <w:ilvl w:val="0"/>
          <w:numId w:val="4"/>
        </w:numPr>
        <w:ind w:left="840" w:hanging="420"/>
      </w:pPr>
      <w:r>
        <w:rPr>
          <w:rFonts w:hint="eastAsia" w:ascii="宋体" w:hAnsi="宋体" w:eastAsia="宋体" w:cs="宋体"/>
          <w:szCs w:val="21"/>
        </w:rPr>
        <w:t>供货方的资质证明材料（如生产许可证、检验报告等）；</w:t>
      </w:r>
    </w:p>
    <w:p w14:paraId="1A0E836C">
      <w:pPr>
        <w:numPr>
          <w:ilvl w:val="0"/>
          <w:numId w:val="4"/>
        </w:numPr>
        <w:ind w:left="840" w:hanging="420"/>
      </w:pPr>
      <w:r>
        <w:rPr>
          <w:rFonts w:hint="eastAsia" w:ascii="宋体" w:hAnsi="宋体" w:eastAsia="宋体" w:cs="宋体"/>
          <w:szCs w:val="21"/>
        </w:rPr>
        <w:t>产品的合格证明文件；</w:t>
      </w:r>
    </w:p>
    <w:p w14:paraId="07E1B272">
      <w:pPr>
        <w:numPr>
          <w:ilvl w:val="0"/>
          <w:numId w:val="4"/>
        </w:numPr>
        <w:ind w:left="840" w:hanging="420"/>
        <w:rPr>
          <w:rFonts w:hint="eastAsia"/>
          <w:lang w:val="en-US" w:eastAsia="zh-CN"/>
        </w:rPr>
      </w:pPr>
      <w:r>
        <w:rPr>
          <w:rFonts w:hint="eastAsia" w:ascii="宋体" w:hAnsi="宋体" w:eastAsia="宋体" w:cs="宋体"/>
          <w:szCs w:val="21"/>
        </w:rPr>
        <w:t>感官、包装、标签及标识的符合性检查。</w:t>
      </w:r>
    </w:p>
    <w:p w14:paraId="3C438362">
      <w:pPr>
        <w:pStyle w:val="64"/>
        <w:numPr>
          <w:ilvl w:val="3"/>
          <w:numId w:val="2"/>
        </w:numPr>
        <w:ind w:left="0" w:leftChars="0" w:firstLine="0" w:firstLineChars="0"/>
        <w:rPr>
          <w:rFonts w:hint="eastAsia"/>
          <w:lang w:val="en-US" w:eastAsia="zh-CN"/>
        </w:rPr>
      </w:pPr>
      <w:r>
        <w:rPr>
          <w:rFonts w:hint="eastAsia" w:hAnsi="宋体" w:cs="宋体"/>
          <w:szCs w:val="21"/>
        </w:rPr>
        <w:t>原辅料对最终产品质量有重大影响时，企业应制定抽样检验方案，检验项目及指标应符合食品安全标准或合同约定。</w:t>
      </w:r>
    </w:p>
    <w:p w14:paraId="456C0382">
      <w:pPr>
        <w:pStyle w:val="65"/>
        <w:keepNext w:val="0"/>
        <w:keepLines w:val="0"/>
        <w:pageBreakBefore w:val="0"/>
        <w:widowControl/>
        <w:kinsoku/>
        <w:wordWrap/>
        <w:overflowPunct/>
        <w:topLinePunct w:val="0"/>
        <w:autoSpaceDE/>
        <w:autoSpaceDN/>
        <w:bidi w:val="0"/>
        <w:adjustRightInd/>
        <w:snapToGrid/>
        <w:spacing w:before="120" w:after="120"/>
        <w:ind w:left="0"/>
        <w:textAlignment w:val="auto"/>
        <w:rPr>
          <w:rFonts w:hint="eastAsia" w:hAnsi="Times New Roman" w:cs="Times New Roman"/>
          <w:lang w:val="en-US" w:eastAsia="zh-CN"/>
        </w:rPr>
      </w:pPr>
      <w:bookmarkStart w:id="50" w:name="_Toc6333"/>
      <w:bookmarkStart w:id="51" w:name="_Toc7221"/>
      <w:r>
        <w:rPr>
          <w:rFonts w:hint="eastAsia" w:hAnsi="Times New Roman" w:cs="Times New Roman"/>
          <w:lang w:val="en-US" w:eastAsia="zh-CN"/>
        </w:rPr>
        <w:t>过程检验</w:t>
      </w:r>
      <w:bookmarkEnd w:id="50"/>
      <w:bookmarkEnd w:id="51"/>
    </w:p>
    <w:p w14:paraId="0E4872D0">
      <w:pPr>
        <w:pStyle w:val="64"/>
        <w:numPr>
          <w:ilvl w:val="3"/>
          <w:numId w:val="2"/>
        </w:numPr>
        <w:ind w:left="0" w:leftChars="0" w:firstLine="0" w:firstLineChars="0"/>
        <w:rPr>
          <w:rFonts w:hint="eastAsia"/>
          <w:lang w:val="en-US" w:eastAsia="zh-CN"/>
        </w:rPr>
      </w:pPr>
      <w:r>
        <w:rPr>
          <w:rFonts w:hint="eastAsia" w:hAnsi="宋体" w:cs="宋体"/>
          <w:szCs w:val="21"/>
        </w:rPr>
        <w:t>企业应在加工过程中设置关键控制点，并按规定进行监控和检验。</w:t>
      </w:r>
    </w:p>
    <w:p w14:paraId="6E365935">
      <w:pPr>
        <w:pStyle w:val="64"/>
        <w:numPr>
          <w:ilvl w:val="3"/>
          <w:numId w:val="2"/>
        </w:numPr>
        <w:ind w:left="0" w:leftChars="0" w:firstLine="0" w:firstLineChars="0"/>
        <w:rPr>
          <w:rFonts w:hint="eastAsia"/>
          <w:lang w:val="en-US" w:eastAsia="zh-CN"/>
        </w:rPr>
      </w:pPr>
      <w:r>
        <w:rPr>
          <w:rFonts w:hint="eastAsia" w:hAnsi="宋体" w:cs="宋体"/>
          <w:szCs w:val="21"/>
        </w:rPr>
        <w:t>过程检验应包括但不限于</w:t>
      </w:r>
      <w:r>
        <w:rPr>
          <w:rFonts w:hint="eastAsia" w:ascii="宋体" w:hAnsi="宋体" w:eastAsia="宋体" w:cs="宋体"/>
          <w:szCs w:val="21"/>
        </w:rPr>
        <w:t>艺参数的符合性检查</w:t>
      </w:r>
      <w:r>
        <w:rPr>
          <w:rFonts w:hint="eastAsia" w:ascii="宋体" w:hAnsi="宋体" w:eastAsia="宋体" w:cs="宋体"/>
          <w:szCs w:val="21"/>
          <w:lang w:val="en-US" w:eastAsia="zh-CN"/>
        </w:rPr>
        <w:t>和</w:t>
      </w:r>
      <w:r>
        <w:rPr>
          <w:rFonts w:hint="eastAsia" w:ascii="宋体" w:hAnsi="宋体" w:eastAsia="宋体" w:cs="宋体"/>
          <w:szCs w:val="21"/>
        </w:rPr>
        <w:t>加工环境及设备的卫生状况检查</w:t>
      </w:r>
      <w:r>
        <w:rPr>
          <w:rFonts w:hint="eastAsia" w:ascii="宋体" w:hAnsi="宋体" w:eastAsia="宋体" w:cs="宋体"/>
          <w:szCs w:val="21"/>
          <w:lang w:eastAsia="zh-CN"/>
        </w:rPr>
        <w:t>。</w:t>
      </w:r>
    </w:p>
    <w:p w14:paraId="3A7714D9">
      <w:pPr>
        <w:pStyle w:val="64"/>
        <w:numPr>
          <w:ilvl w:val="3"/>
          <w:numId w:val="2"/>
        </w:numPr>
        <w:ind w:left="0" w:leftChars="0" w:firstLine="0" w:firstLineChars="0"/>
        <w:rPr>
          <w:rFonts w:hint="eastAsia"/>
          <w:lang w:val="en-US" w:eastAsia="zh-CN"/>
        </w:rPr>
      </w:pPr>
      <w:r>
        <w:rPr>
          <w:rFonts w:hint="eastAsia" w:hAnsi="宋体" w:cs="宋体"/>
          <w:szCs w:val="21"/>
        </w:rPr>
        <w:t>过程检验发现异常时，应立即分析原因并采取纠正措施，确保不合格半成品不流入下一工序。</w:t>
      </w:r>
    </w:p>
    <w:p w14:paraId="296DA0F4">
      <w:pPr>
        <w:pStyle w:val="65"/>
        <w:keepNext w:val="0"/>
        <w:keepLines w:val="0"/>
        <w:pageBreakBefore w:val="0"/>
        <w:widowControl/>
        <w:kinsoku/>
        <w:wordWrap/>
        <w:overflowPunct/>
        <w:topLinePunct w:val="0"/>
        <w:autoSpaceDE/>
        <w:autoSpaceDN/>
        <w:bidi w:val="0"/>
        <w:adjustRightInd/>
        <w:snapToGrid/>
        <w:spacing w:before="120" w:after="120"/>
        <w:ind w:left="0"/>
        <w:textAlignment w:val="auto"/>
        <w:rPr>
          <w:rFonts w:hint="eastAsia" w:hAnsi="Times New Roman" w:cs="Times New Roman"/>
          <w:lang w:val="en-US" w:eastAsia="zh-CN"/>
        </w:rPr>
      </w:pPr>
      <w:bookmarkStart w:id="52" w:name="_Toc19365"/>
      <w:bookmarkStart w:id="53" w:name="_Toc15525"/>
      <w:r>
        <w:rPr>
          <w:rFonts w:hint="eastAsia" w:hAnsi="Times New Roman" w:cs="Times New Roman"/>
          <w:lang w:val="en-US" w:eastAsia="zh-CN"/>
        </w:rPr>
        <w:t>出厂检验</w:t>
      </w:r>
      <w:bookmarkEnd w:id="52"/>
      <w:bookmarkEnd w:id="53"/>
    </w:p>
    <w:p w14:paraId="4A6E5E8B">
      <w:pPr>
        <w:pStyle w:val="64"/>
        <w:numPr>
          <w:ilvl w:val="3"/>
          <w:numId w:val="2"/>
        </w:numPr>
        <w:ind w:left="0" w:leftChars="0" w:firstLine="0" w:firstLineChars="0"/>
        <w:rPr>
          <w:rFonts w:hint="eastAsia"/>
          <w:lang w:val="en-US" w:eastAsia="zh-CN"/>
        </w:rPr>
      </w:pPr>
      <w:r>
        <w:rPr>
          <w:rFonts w:hint="eastAsia" w:hAnsi="宋体" w:cs="宋体"/>
          <w:szCs w:val="21"/>
        </w:rPr>
        <w:t>每批产品出厂前应进行出厂检验，检验合格</w:t>
      </w:r>
      <w:r>
        <w:rPr>
          <w:rFonts w:hint="eastAsia" w:hAnsi="宋体" w:cs="宋体"/>
          <w:szCs w:val="21"/>
          <w:lang w:val="en-US" w:eastAsia="zh-CN"/>
        </w:rPr>
        <w:t>后</w:t>
      </w:r>
      <w:r>
        <w:rPr>
          <w:rFonts w:hint="eastAsia" w:hAnsi="宋体" w:cs="宋体"/>
          <w:szCs w:val="21"/>
        </w:rPr>
        <w:t>方可出厂。</w:t>
      </w:r>
    </w:p>
    <w:p w14:paraId="484AF9AC">
      <w:pPr>
        <w:pStyle w:val="64"/>
        <w:numPr>
          <w:ilvl w:val="3"/>
          <w:numId w:val="2"/>
        </w:numPr>
        <w:ind w:left="0" w:leftChars="0" w:firstLine="0" w:firstLineChars="0"/>
        <w:rPr>
          <w:rFonts w:hint="eastAsia"/>
          <w:lang w:val="en-US" w:eastAsia="zh-CN"/>
        </w:rPr>
      </w:pPr>
      <w:r>
        <w:rPr>
          <w:rFonts w:hint="eastAsia" w:hAnsi="宋体" w:cs="宋体"/>
          <w:szCs w:val="21"/>
          <w:lang w:val="en-US" w:eastAsia="zh-CN"/>
        </w:rPr>
        <w:t>出厂检验项目</w:t>
      </w:r>
      <w:r>
        <w:rPr>
          <w:rFonts w:hint="eastAsia" w:hAnsi="宋体" w:cs="宋体"/>
          <w:szCs w:val="21"/>
        </w:rPr>
        <w:t>应根据产品标准、食品安全标准及客户要求确定</w:t>
      </w:r>
      <w:r>
        <w:rPr>
          <w:rFonts w:hint="eastAsia" w:hAnsi="宋体" w:cs="宋体"/>
          <w:szCs w:val="21"/>
          <w:lang w:eastAsia="zh-CN"/>
        </w:rPr>
        <w:t>。</w:t>
      </w:r>
    </w:p>
    <w:p w14:paraId="086D89C2">
      <w:pPr>
        <w:pStyle w:val="64"/>
        <w:numPr>
          <w:ilvl w:val="3"/>
          <w:numId w:val="2"/>
        </w:numPr>
        <w:ind w:left="0" w:leftChars="0" w:firstLine="0" w:firstLineChars="0"/>
        <w:rPr>
          <w:rFonts w:hint="eastAsia"/>
          <w:lang w:val="en-US" w:eastAsia="zh-CN"/>
        </w:rPr>
      </w:pPr>
      <w:r>
        <w:rPr>
          <w:rFonts w:hint="eastAsia" w:hAnsi="宋体" w:cs="宋体"/>
          <w:szCs w:val="21"/>
        </w:rPr>
        <w:t>检验方法应按相关国家标准、行业标准或企业标准执行。</w:t>
      </w:r>
    </w:p>
    <w:p w14:paraId="223C5AD5">
      <w:pPr>
        <w:pStyle w:val="64"/>
        <w:numPr>
          <w:ilvl w:val="3"/>
          <w:numId w:val="2"/>
        </w:numPr>
        <w:ind w:left="0" w:leftChars="0" w:firstLine="0" w:firstLineChars="0"/>
        <w:rPr>
          <w:rFonts w:hint="eastAsia"/>
          <w:lang w:val="en-US" w:eastAsia="zh-CN"/>
        </w:rPr>
      </w:pPr>
      <w:r>
        <w:rPr>
          <w:rFonts w:hint="eastAsia" w:hAnsi="宋体" w:cs="宋体"/>
          <w:szCs w:val="21"/>
        </w:rPr>
        <w:t>对检验结果有争议时，应委托具有法定资质的第三方检验机构进行复检。</w:t>
      </w:r>
    </w:p>
    <w:p w14:paraId="701008D7">
      <w:pPr>
        <w:pStyle w:val="62"/>
        <w:spacing w:before="240" w:after="240"/>
        <w:ind w:left="0"/>
      </w:pPr>
      <w:bookmarkStart w:id="54" w:name="_Toc187741979"/>
      <w:bookmarkStart w:id="55" w:name="_Toc21003"/>
      <w:r>
        <w:rPr>
          <w:rFonts w:hint="eastAsia"/>
          <w:lang w:val="en-US" w:eastAsia="zh-CN"/>
        </w:rPr>
        <w:t>产品</w:t>
      </w:r>
      <w:r>
        <w:rPr>
          <w:rFonts w:hint="eastAsia"/>
        </w:rPr>
        <w:t>质量</w:t>
      </w:r>
      <w:bookmarkEnd w:id="54"/>
      <w:bookmarkEnd w:id="55"/>
    </w:p>
    <w:p w14:paraId="2346623F">
      <w:pPr>
        <w:pStyle w:val="66"/>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应符合国家相应产品标准和食品安全国家标准。</w:t>
      </w:r>
    </w:p>
    <w:p w14:paraId="0A2F26ED">
      <w:pPr>
        <w:pStyle w:val="62"/>
        <w:spacing w:before="240" w:after="240"/>
        <w:ind w:left="0"/>
      </w:pPr>
      <w:bookmarkStart w:id="56" w:name="_Toc9451"/>
      <w:r>
        <w:rPr>
          <w:rFonts w:hint="eastAsia"/>
        </w:rPr>
        <w:t>标识、包装、运输与贮存</w:t>
      </w:r>
      <w:bookmarkEnd w:id="56"/>
    </w:p>
    <w:p w14:paraId="68E5F578">
      <w:pPr>
        <w:pStyle w:val="65"/>
        <w:keepNext w:val="0"/>
        <w:keepLines w:val="0"/>
        <w:pageBreakBefore w:val="0"/>
        <w:widowControl/>
        <w:kinsoku/>
        <w:wordWrap/>
        <w:overflowPunct/>
        <w:topLinePunct w:val="0"/>
        <w:autoSpaceDE/>
        <w:autoSpaceDN/>
        <w:bidi w:val="0"/>
        <w:adjustRightInd/>
        <w:snapToGrid/>
        <w:spacing w:before="120" w:after="120"/>
        <w:ind w:left="0"/>
        <w:textAlignment w:val="auto"/>
        <w:rPr>
          <w:rFonts w:hint="eastAsia" w:hAnsi="Times New Roman" w:cs="Times New Roman"/>
          <w:lang w:val="en-US" w:eastAsia="zh-CN"/>
        </w:rPr>
      </w:pPr>
      <w:bookmarkStart w:id="57" w:name="_Toc19840"/>
      <w:bookmarkStart w:id="58" w:name="_Toc8726"/>
      <w:r>
        <w:rPr>
          <w:rFonts w:hint="eastAsia" w:hAnsi="Times New Roman" w:cs="Times New Roman"/>
          <w:lang w:val="en-US" w:eastAsia="zh-CN"/>
        </w:rPr>
        <w:t>标识</w:t>
      </w:r>
      <w:bookmarkEnd w:id="57"/>
      <w:bookmarkEnd w:id="58"/>
    </w:p>
    <w:p w14:paraId="2A36CACD">
      <w:pPr>
        <w:pStyle w:val="64"/>
        <w:numPr>
          <w:ilvl w:val="3"/>
          <w:numId w:val="2"/>
        </w:numPr>
        <w:ind w:left="0" w:leftChars="0" w:firstLine="0" w:firstLineChars="0"/>
        <w:rPr>
          <w:rFonts w:hint="eastAsia"/>
          <w:lang w:val="en-US" w:eastAsia="zh-CN"/>
        </w:rPr>
      </w:pPr>
      <w:r>
        <w:rPr>
          <w:rFonts w:hint="eastAsia" w:hAnsi="宋体" w:cs="宋体"/>
          <w:szCs w:val="21"/>
        </w:rPr>
        <w:t>应符合GB/T 191的规定。</w:t>
      </w:r>
    </w:p>
    <w:p w14:paraId="50F6E2EB">
      <w:pPr>
        <w:pStyle w:val="64"/>
        <w:numPr>
          <w:ilvl w:val="3"/>
          <w:numId w:val="2"/>
        </w:numPr>
        <w:ind w:left="0" w:leftChars="0" w:firstLine="0" w:firstLineChars="0"/>
        <w:rPr>
          <w:rFonts w:hint="eastAsia"/>
          <w:lang w:val="en-US" w:eastAsia="zh-CN"/>
        </w:rPr>
      </w:pPr>
      <w:r>
        <w:rPr>
          <w:rFonts w:hint="eastAsia" w:hAnsi="宋体" w:cs="宋体"/>
          <w:szCs w:val="21"/>
        </w:rPr>
        <w:t>加工后的农产品应标注产品名称、生产日期、保质期、生产者名称和地址、净含量等信息。</w:t>
      </w:r>
    </w:p>
    <w:p w14:paraId="0385DE0D">
      <w:pPr>
        <w:pStyle w:val="64"/>
        <w:numPr>
          <w:ilvl w:val="3"/>
          <w:numId w:val="2"/>
        </w:numPr>
        <w:ind w:left="0" w:leftChars="0" w:firstLine="0" w:firstLineChars="0"/>
        <w:rPr>
          <w:rFonts w:hint="eastAsia"/>
          <w:lang w:val="en-US" w:eastAsia="zh-CN"/>
        </w:rPr>
      </w:pPr>
      <w:r>
        <w:rPr>
          <w:rFonts w:hint="eastAsia" w:hAnsi="宋体" w:cs="宋体"/>
          <w:szCs w:val="21"/>
        </w:rPr>
        <w:t>特殊农产品应按相关标准要求标注产地、等级、认证标志等。</w:t>
      </w:r>
    </w:p>
    <w:p w14:paraId="75FB3BFB">
      <w:pPr>
        <w:pStyle w:val="65"/>
        <w:keepNext w:val="0"/>
        <w:keepLines w:val="0"/>
        <w:pageBreakBefore w:val="0"/>
        <w:widowControl/>
        <w:kinsoku/>
        <w:wordWrap/>
        <w:overflowPunct/>
        <w:topLinePunct w:val="0"/>
        <w:autoSpaceDE/>
        <w:autoSpaceDN/>
        <w:bidi w:val="0"/>
        <w:adjustRightInd/>
        <w:snapToGrid/>
        <w:spacing w:before="120" w:after="120"/>
        <w:ind w:left="0"/>
        <w:textAlignment w:val="auto"/>
        <w:rPr>
          <w:rFonts w:hint="eastAsia" w:hAnsi="Times New Roman" w:cs="Times New Roman"/>
          <w:lang w:val="en-US" w:eastAsia="zh-CN"/>
        </w:rPr>
      </w:pPr>
      <w:bookmarkStart w:id="59" w:name="_Toc23498"/>
      <w:bookmarkStart w:id="60" w:name="_Toc8405"/>
      <w:r>
        <w:rPr>
          <w:rFonts w:hint="eastAsia" w:hAnsi="宋体" w:cs="宋体"/>
          <w:szCs w:val="21"/>
        </w:rPr>
        <w:t>包装</w:t>
      </w:r>
      <w:bookmarkEnd w:id="59"/>
      <w:bookmarkEnd w:id="60"/>
    </w:p>
    <w:p w14:paraId="5AAD51A4">
      <w:pPr>
        <w:pStyle w:val="64"/>
        <w:numPr>
          <w:ilvl w:val="3"/>
          <w:numId w:val="2"/>
        </w:numPr>
        <w:ind w:left="0" w:leftChars="0" w:firstLine="0" w:firstLineChars="0"/>
        <w:rPr>
          <w:rFonts w:hint="eastAsia"/>
          <w:lang w:val="en-US" w:eastAsia="zh-CN"/>
        </w:rPr>
      </w:pPr>
      <w:r>
        <w:rPr>
          <w:rFonts w:hint="eastAsia" w:hAnsi="宋体" w:cs="宋体"/>
          <w:szCs w:val="21"/>
        </w:rPr>
        <w:t>应符合食品安全标准和相关法规要求，不得对产品造成污染。</w:t>
      </w:r>
    </w:p>
    <w:p w14:paraId="79B79AF9">
      <w:pPr>
        <w:pStyle w:val="64"/>
        <w:numPr>
          <w:ilvl w:val="3"/>
          <w:numId w:val="2"/>
        </w:numPr>
        <w:ind w:left="0" w:leftChars="0" w:firstLine="0" w:firstLineChars="0"/>
        <w:rPr>
          <w:rFonts w:hint="eastAsia"/>
          <w:lang w:val="en-US" w:eastAsia="zh-CN"/>
        </w:rPr>
      </w:pPr>
      <w:r>
        <w:rPr>
          <w:rFonts w:hint="eastAsia" w:hAnsi="宋体" w:cs="宋体"/>
          <w:szCs w:val="21"/>
        </w:rPr>
        <w:t>应牢固、密封，防止产品在运输和贮存过程中受损。</w:t>
      </w:r>
    </w:p>
    <w:p w14:paraId="55A9EFE5">
      <w:pPr>
        <w:pStyle w:val="64"/>
        <w:numPr>
          <w:ilvl w:val="3"/>
          <w:numId w:val="2"/>
        </w:numPr>
        <w:ind w:left="0" w:leftChars="0" w:firstLine="0" w:firstLineChars="0"/>
        <w:rPr>
          <w:rFonts w:hint="eastAsia"/>
          <w:lang w:val="en-US" w:eastAsia="zh-CN"/>
        </w:rPr>
      </w:pPr>
      <w:r>
        <w:rPr>
          <w:rFonts w:hint="eastAsia" w:hAnsi="宋体" w:cs="宋体"/>
          <w:szCs w:val="21"/>
        </w:rPr>
        <w:t>重复使用的包装物应进行清洁和消毒。</w:t>
      </w:r>
    </w:p>
    <w:p w14:paraId="1B095310">
      <w:pPr>
        <w:pStyle w:val="65"/>
        <w:keepNext w:val="0"/>
        <w:keepLines w:val="0"/>
        <w:pageBreakBefore w:val="0"/>
        <w:widowControl/>
        <w:kinsoku/>
        <w:wordWrap/>
        <w:overflowPunct/>
        <w:topLinePunct w:val="0"/>
        <w:autoSpaceDE/>
        <w:autoSpaceDN/>
        <w:bidi w:val="0"/>
        <w:adjustRightInd/>
        <w:snapToGrid/>
        <w:spacing w:before="120" w:after="120"/>
        <w:ind w:left="0"/>
        <w:textAlignment w:val="auto"/>
        <w:rPr>
          <w:rFonts w:hint="eastAsia" w:hAnsi="Times New Roman" w:cs="Times New Roman"/>
          <w:lang w:val="en-US" w:eastAsia="zh-CN"/>
        </w:rPr>
      </w:pPr>
      <w:bookmarkStart w:id="61" w:name="_Toc7926"/>
      <w:bookmarkStart w:id="62" w:name="_Toc28044"/>
      <w:r>
        <w:rPr>
          <w:rFonts w:hint="eastAsia" w:hAnsi="宋体" w:cs="宋体"/>
          <w:szCs w:val="21"/>
        </w:rPr>
        <w:t>运输</w:t>
      </w:r>
      <w:bookmarkEnd w:id="61"/>
      <w:bookmarkEnd w:id="62"/>
    </w:p>
    <w:p w14:paraId="3DCEEC36">
      <w:pPr>
        <w:pStyle w:val="64"/>
        <w:numPr>
          <w:ilvl w:val="3"/>
          <w:numId w:val="2"/>
        </w:numPr>
        <w:ind w:left="0" w:leftChars="0" w:firstLine="0" w:firstLineChars="0"/>
        <w:rPr>
          <w:rFonts w:hint="eastAsia"/>
          <w:lang w:val="en-US" w:eastAsia="zh-CN"/>
        </w:rPr>
      </w:pPr>
      <w:r>
        <w:rPr>
          <w:rFonts w:hint="eastAsia" w:hAnsi="宋体" w:cs="宋体"/>
          <w:szCs w:val="21"/>
          <w:lang w:val="en-US" w:eastAsia="zh-CN"/>
        </w:rPr>
        <w:t>运输工具</w:t>
      </w:r>
      <w:r>
        <w:rPr>
          <w:rFonts w:hint="eastAsia" w:hAnsi="宋体" w:cs="宋体"/>
          <w:szCs w:val="21"/>
        </w:rPr>
        <w:t>应保持清洁、卫生，具备必要的冷藏、保温或防护设施。</w:t>
      </w:r>
    </w:p>
    <w:p w14:paraId="65486549">
      <w:pPr>
        <w:pStyle w:val="64"/>
        <w:numPr>
          <w:ilvl w:val="3"/>
          <w:numId w:val="2"/>
        </w:numPr>
        <w:ind w:left="0" w:leftChars="0" w:firstLine="0" w:firstLineChars="0"/>
        <w:rPr>
          <w:rFonts w:hint="eastAsia"/>
          <w:lang w:val="en-US" w:eastAsia="zh-CN"/>
        </w:rPr>
      </w:pPr>
      <w:r>
        <w:rPr>
          <w:rFonts w:hint="eastAsia" w:hAnsi="宋体" w:cs="宋体"/>
          <w:szCs w:val="21"/>
        </w:rPr>
        <w:t>运输过程中应避免日晒、雨淋，并与有毒、有害或有异味物品混装运输。</w:t>
      </w:r>
    </w:p>
    <w:p w14:paraId="566C3826">
      <w:pPr>
        <w:pStyle w:val="64"/>
        <w:numPr>
          <w:ilvl w:val="3"/>
          <w:numId w:val="2"/>
        </w:numPr>
        <w:ind w:left="0" w:leftChars="0" w:firstLine="0" w:firstLineChars="0"/>
        <w:rPr>
          <w:rFonts w:hint="eastAsia"/>
          <w:lang w:val="en-US" w:eastAsia="zh-CN"/>
        </w:rPr>
      </w:pPr>
      <w:r>
        <w:rPr>
          <w:rFonts w:hint="eastAsia" w:hAnsi="宋体" w:cs="宋体"/>
          <w:szCs w:val="21"/>
        </w:rPr>
        <w:t>运输温度、湿度等条件应符合产品特性要求。</w:t>
      </w:r>
    </w:p>
    <w:p w14:paraId="43F7F2F4">
      <w:pPr>
        <w:pStyle w:val="65"/>
        <w:keepNext w:val="0"/>
        <w:keepLines w:val="0"/>
        <w:pageBreakBefore w:val="0"/>
        <w:widowControl/>
        <w:kinsoku/>
        <w:wordWrap/>
        <w:overflowPunct/>
        <w:topLinePunct w:val="0"/>
        <w:autoSpaceDE/>
        <w:autoSpaceDN/>
        <w:bidi w:val="0"/>
        <w:adjustRightInd/>
        <w:snapToGrid/>
        <w:spacing w:before="120" w:after="120"/>
        <w:ind w:left="0"/>
        <w:textAlignment w:val="auto"/>
        <w:rPr>
          <w:rFonts w:hint="eastAsia" w:hAnsi="Times New Roman" w:cs="Times New Roman"/>
          <w:lang w:val="en-US" w:eastAsia="zh-CN"/>
        </w:rPr>
      </w:pPr>
      <w:bookmarkStart w:id="63" w:name="_Toc18701"/>
      <w:bookmarkStart w:id="64" w:name="_Toc26993"/>
      <w:r>
        <w:rPr>
          <w:rFonts w:hint="eastAsia" w:hAnsi="宋体" w:cs="宋体"/>
          <w:szCs w:val="21"/>
        </w:rPr>
        <w:t>贮存</w:t>
      </w:r>
      <w:bookmarkEnd w:id="63"/>
      <w:bookmarkEnd w:id="64"/>
    </w:p>
    <w:p w14:paraId="2335214C">
      <w:pPr>
        <w:pStyle w:val="64"/>
        <w:numPr>
          <w:ilvl w:val="3"/>
          <w:numId w:val="2"/>
        </w:numPr>
        <w:ind w:left="0" w:leftChars="0" w:firstLine="0" w:firstLineChars="0"/>
        <w:rPr>
          <w:rFonts w:hint="eastAsia"/>
          <w:lang w:val="en-US" w:eastAsia="zh-CN"/>
        </w:rPr>
      </w:pPr>
      <w:r>
        <w:rPr>
          <w:rFonts w:hint="eastAsia" w:hAnsi="宋体" w:cs="宋体"/>
          <w:szCs w:val="21"/>
        </w:rPr>
        <w:t>应通风、干燥、清洁，配有防虫、防鼠、防潮设施。</w:t>
      </w:r>
    </w:p>
    <w:p w14:paraId="615E8376">
      <w:pPr>
        <w:pStyle w:val="64"/>
        <w:numPr>
          <w:ilvl w:val="3"/>
          <w:numId w:val="2"/>
        </w:numPr>
        <w:ind w:left="0" w:leftChars="0" w:firstLine="0" w:firstLineChars="0"/>
        <w:rPr>
          <w:rFonts w:hint="eastAsia"/>
          <w:lang w:val="en-US" w:eastAsia="zh-CN"/>
        </w:rPr>
      </w:pPr>
      <w:r>
        <w:rPr>
          <w:rFonts w:hint="eastAsia" w:hAnsi="宋体" w:cs="宋体"/>
          <w:szCs w:val="21"/>
        </w:rPr>
        <w:t>应按品种、规格、批次分类存放，标识清晰。</w:t>
      </w:r>
    </w:p>
    <w:p w14:paraId="4F6AF408">
      <w:pPr>
        <w:pStyle w:val="64"/>
        <w:numPr>
          <w:ilvl w:val="3"/>
          <w:numId w:val="2"/>
        </w:numPr>
        <w:ind w:left="0" w:leftChars="0" w:firstLine="0" w:firstLineChars="0"/>
      </w:pPr>
      <w:r>
        <w:rPr>
          <w:rFonts w:hint="eastAsia" w:hAnsi="宋体" w:cs="宋体"/>
          <w:szCs w:val="21"/>
        </w:rPr>
        <w:t>应执行先进先出原则，定期检查质量，及时处理异常。</w:t>
      </w:r>
    </w:p>
    <w:p w14:paraId="4F616D0E">
      <w:pPr>
        <w:pStyle w:val="63"/>
        <w:ind w:firstLine="420"/>
      </w:pPr>
    </w:p>
    <w:p w14:paraId="2867004B">
      <w:pPr>
        <w:pStyle w:val="61"/>
        <w:snapToGrid w:val="0"/>
        <w:spacing w:before="300" w:line="360" w:lineRule="auto"/>
      </w:pPr>
      <w:r>
        <w:rPr>
          <w:sz w:val="21"/>
        </w:rPr>
        <w:pict>
          <v:line id="_x0000_s1026" o:spid="_x0000_s1026" o:spt="20" style="height:0pt;width:148.8pt;" coordsize="21600,21600">
            <v:path arrowok="t"/>
            <v:fill focussize="0,0"/>
            <v:stroke weight="1pt" joinstyle="miter"/>
            <v:imagedata o:title=""/>
            <o:lock v:ext="edit"/>
            <w10:wrap type="none"/>
            <w10:anchorlock/>
          </v:line>
        </w:pict>
      </w:r>
    </w:p>
    <w:sectPr>
      <w:headerReference r:id="rId7" w:type="default"/>
      <w:footerReference r:id="rId8" w:type="default"/>
      <w:pgSz w:w="11906" w:h="16838"/>
      <w:pgMar w:top="1417" w:right="1134" w:bottom="1134" w:left="1417" w:header="1417" w:footer="113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AD943F">
    <w:pPr>
      <w:pStyle w:val="9"/>
    </w:pPr>
    <w:r>
      <w:fldChar w:fldCharType="begin"/>
    </w:r>
    <w:r>
      <w:instrText xml:space="preserve">PAGE  \* MERGEFORMAT </w:instrText>
    </w:r>
    <w:r>
      <w:fldChar w:fldCharType="separate"/>
    </w:r>
    <w:r>
      <w:t>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B1090">
    <w:pPr>
      <w:pStyle w:val="9"/>
    </w:pPr>
    <w:r>
      <w:fldChar w:fldCharType="begin"/>
    </w:r>
    <w:r>
      <w:instrText xml:space="preserve">PAGE  \* MERGEFORMAT </w:instrText>
    </w:r>
    <w:r>
      <w:fldChar w:fldCharType="separate"/>
    </w:r>
    <w:r>
      <w:t>II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9639E">
    <w:pPr>
      <w:pStyle w:val="9"/>
    </w:pPr>
    <w:r>
      <w:fldChar w:fldCharType="begin"/>
    </w:r>
    <w:r>
      <w:instrText xml:space="preserve">PAGE  \* MERGEFORMAT </w:instrText>
    </w:r>
    <w:r>
      <w:fldChar w:fldCharType="separate"/>
    </w:r>
    <w: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E0B3F">
    <w:pPr>
      <w:spacing w:after="120"/>
      <w:jc w:val="right"/>
    </w:pPr>
    <w:r>
      <w:rPr>
        <w:rFonts w:hint="eastAsia" w:ascii="黑体" w:hAnsi="黑体" w:cs="黑体"/>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F038D">
    <w:pPr>
      <w:spacing w:after="120"/>
      <w:jc w:val="right"/>
    </w:pPr>
    <w:r>
      <w:rPr>
        <w:rFonts w:hint="eastAsia" w:ascii="黑体" w:hAnsi="黑体" w:cs="黑体"/>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D29D9B">
    <w:pPr>
      <w:spacing w:after="120"/>
      <w:jc w:val="right"/>
    </w:pPr>
    <w:r>
      <w:rPr>
        <w:rFonts w:hint="eastAsia" w:ascii="黑体" w:hAnsi="黑体" w:cs="黑体"/>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D3FEA"/>
    <w:multiLevelType w:val="multilevel"/>
    <w:tmpl w:val="07ED3FEA"/>
    <w:lvl w:ilvl="0" w:tentative="0">
      <w:start w:val="1"/>
      <w:numFmt w:val="none"/>
      <w:pStyle w:val="67"/>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eastAsia="黑体" w:hAnsiTheme="minorHAnsi"/>
        <w:b w:val="0"/>
        <w:i w:val="0"/>
        <w:sz w:val="21"/>
      </w:rPr>
    </w:lvl>
    <w:lvl w:ilvl="2" w:tentative="0">
      <w:start w:val="1"/>
      <w:numFmt w:val="decimal"/>
      <w:suff w:val="nothing"/>
      <w:lvlText w:val="%10.%2.%3 "/>
      <w:lvlJc w:val="left"/>
      <w:pPr>
        <w:ind w:left="0" w:firstLine="0"/>
      </w:pPr>
      <w:rPr>
        <w:rFonts w:hint="eastAsia" w:ascii="黑体" w:eastAsia="黑体" w:hAnsiTheme="minorHAnsi"/>
        <w:b w:val="0"/>
        <w:i w:val="0"/>
        <w:sz w:val="21"/>
      </w:rPr>
    </w:lvl>
    <w:lvl w:ilvl="3" w:tentative="0">
      <w:start w:val="1"/>
      <w:numFmt w:val="decimal"/>
      <w:suff w:val="nothing"/>
      <w:lvlText w:val="%10.%2.%3.%4 "/>
      <w:lvlJc w:val="left"/>
      <w:pPr>
        <w:ind w:left="0" w:firstLine="0"/>
      </w:pPr>
      <w:rPr>
        <w:rFonts w:hint="eastAsia" w:ascii="黑体" w:eastAsia="黑体" w:hAnsiTheme="minorHAnsi"/>
        <w:b w:val="0"/>
        <w:i w:val="0"/>
        <w:sz w:val="21"/>
      </w:rPr>
    </w:lvl>
    <w:lvl w:ilvl="4" w:tentative="0">
      <w:start w:val="1"/>
      <w:numFmt w:val="decimal"/>
      <w:suff w:val="nothing"/>
      <w:lvlText w:val="%10.%2.%3.%4.%5 "/>
      <w:lvlJc w:val="left"/>
      <w:pPr>
        <w:ind w:left="0" w:firstLine="0"/>
      </w:pPr>
      <w:rPr>
        <w:rFonts w:hint="eastAsia" w:ascii="黑体" w:eastAsia="黑体" w:hAnsiTheme="minorHAnsi"/>
        <w:b w:val="0"/>
        <w:i w:val="0"/>
        <w:sz w:val="21"/>
      </w:rPr>
    </w:lvl>
    <w:lvl w:ilvl="5" w:tentative="0">
      <w:start w:val="1"/>
      <w:numFmt w:val="decimal"/>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5292021F"/>
    <w:multiLevelType w:val="singleLevel"/>
    <w:tmpl w:val="5292021F"/>
    <w:lvl w:ilvl="0" w:tentative="0">
      <w:start w:val="1"/>
      <w:numFmt w:val="lowerLetter"/>
      <w:lvlText w:val="%1)"/>
      <w:lvlJc w:val="left"/>
      <w:pPr>
        <w:widowControl/>
        <w:tabs>
          <w:tab w:val="left" w:pos="420"/>
        </w:tabs>
        <w:wordWrap w:val="0"/>
        <w:autoSpaceDE w:val="0"/>
        <w:autoSpaceDN w:val="0"/>
      </w:pPr>
      <w:rPr>
        <w:rFonts w:hint="default" w:ascii="宋体" w:hAnsi="宋体" w:eastAsia="宋体" w:cs="宋体"/>
        <w:snapToGrid w:val="0"/>
        <w:sz w:val="21"/>
        <w:szCs w:val="21"/>
      </w:rPr>
    </w:lvl>
  </w:abstractNum>
  <w:abstractNum w:abstractNumId="2">
    <w:nsid w:val="5E151CE4"/>
    <w:multiLevelType w:val="multilevel"/>
    <w:tmpl w:val="5E151CE4"/>
    <w:lvl w:ilvl="0" w:tentative="0">
      <w:start w:val="1"/>
      <w:numFmt w:val="decimal"/>
      <w:pStyle w:val="1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3">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62"/>
      <w:suff w:val="nothing"/>
      <w:lvlText w:val="%1%2　"/>
      <w:lvlJc w:val="left"/>
      <w:pPr>
        <w:ind w:left="142" w:firstLine="0"/>
      </w:pPr>
      <w:rPr>
        <w:rFonts w:hint="eastAsia" w:ascii="黑体" w:eastAsia="黑体"/>
        <w:b w:val="0"/>
        <w:i w:val="0"/>
        <w:sz w:val="21"/>
      </w:rPr>
    </w:lvl>
    <w:lvl w:ilvl="2" w:tentative="0">
      <w:start w:val="1"/>
      <w:numFmt w:val="decimal"/>
      <w:pStyle w:val="65"/>
      <w:suff w:val="nothing"/>
      <w:lvlText w:val="%1%2.%3　"/>
      <w:lvlJc w:val="left"/>
      <w:pPr>
        <w:ind w:left="568"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k5ZTk0ZjdlMmE4OGE0YzFiYjVkNGI3M2M4ODAxZWMifQ=="/>
  </w:docVars>
  <w:rsids>
    <w:rsidRoot w:val="00525FCA"/>
    <w:rsid w:val="000331AF"/>
    <w:rsid w:val="00525FCA"/>
    <w:rsid w:val="00603762"/>
    <w:rsid w:val="007E6C16"/>
    <w:rsid w:val="008D1653"/>
    <w:rsid w:val="00991482"/>
    <w:rsid w:val="00AE35B7"/>
    <w:rsid w:val="00B8731D"/>
    <w:rsid w:val="00CC66AF"/>
    <w:rsid w:val="00CF1E78"/>
    <w:rsid w:val="00D16F00"/>
    <w:rsid w:val="00DC0B22"/>
    <w:rsid w:val="00E26651"/>
    <w:rsid w:val="00E33232"/>
    <w:rsid w:val="00F36E21"/>
    <w:rsid w:val="00FB47B8"/>
    <w:rsid w:val="01CA5CC8"/>
    <w:rsid w:val="01E54008"/>
    <w:rsid w:val="042A0CA0"/>
    <w:rsid w:val="04536448"/>
    <w:rsid w:val="05FE7451"/>
    <w:rsid w:val="08E03538"/>
    <w:rsid w:val="09671EA2"/>
    <w:rsid w:val="0A495C47"/>
    <w:rsid w:val="0A79472F"/>
    <w:rsid w:val="0B3F575F"/>
    <w:rsid w:val="0C3D42AE"/>
    <w:rsid w:val="0C842C8C"/>
    <w:rsid w:val="0D405F42"/>
    <w:rsid w:val="0DC21CB9"/>
    <w:rsid w:val="11E608FC"/>
    <w:rsid w:val="131363AF"/>
    <w:rsid w:val="13C4457F"/>
    <w:rsid w:val="14CA5CFF"/>
    <w:rsid w:val="1A8A22DC"/>
    <w:rsid w:val="1A9546AB"/>
    <w:rsid w:val="1D1440F0"/>
    <w:rsid w:val="1DD7559C"/>
    <w:rsid w:val="1E4654EC"/>
    <w:rsid w:val="1E9F5EE9"/>
    <w:rsid w:val="1FCA360B"/>
    <w:rsid w:val="21860891"/>
    <w:rsid w:val="2355694E"/>
    <w:rsid w:val="23ED78C8"/>
    <w:rsid w:val="242A6A39"/>
    <w:rsid w:val="26B431AB"/>
    <w:rsid w:val="27D83146"/>
    <w:rsid w:val="28321134"/>
    <w:rsid w:val="285A344B"/>
    <w:rsid w:val="289A6582"/>
    <w:rsid w:val="289C6EAB"/>
    <w:rsid w:val="2A125EC5"/>
    <w:rsid w:val="2AC073E7"/>
    <w:rsid w:val="2BF71372"/>
    <w:rsid w:val="2E7C0C48"/>
    <w:rsid w:val="2E871C59"/>
    <w:rsid w:val="2F8B290C"/>
    <w:rsid w:val="34A8074F"/>
    <w:rsid w:val="351F3D24"/>
    <w:rsid w:val="3544634A"/>
    <w:rsid w:val="358B263D"/>
    <w:rsid w:val="35CC45F8"/>
    <w:rsid w:val="36CD4475"/>
    <w:rsid w:val="372907BF"/>
    <w:rsid w:val="392B63C1"/>
    <w:rsid w:val="3AC80483"/>
    <w:rsid w:val="3CE86E1A"/>
    <w:rsid w:val="3D80551D"/>
    <w:rsid w:val="3DDB389D"/>
    <w:rsid w:val="40301595"/>
    <w:rsid w:val="4461674D"/>
    <w:rsid w:val="446C6549"/>
    <w:rsid w:val="44891FC6"/>
    <w:rsid w:val="48476FE9"/>
    <w:rsid w:val="4BE64A79"/>
    <w:rsid w:val="503E4E84"/>
    <w:rsid w:val="50BE3DA5"/>
    <w:rsid w:val="521401A2"/>
    <w:rsid w:val="544A4A25"/>
    <w:rsid w:val="563805C7"/>
    <w:rsid w:val="57203535"/>
    <w:rsid w:val="579B3999"/>
    <w:rsid w:val="5B9A469C"/>
    <w:rsid w:val="5CFF67B6"/>
    <w:rsid w:val="5E994032"/>
    <w:rsid w:val="61500EBB"/>
    <w:rsid w:val="65284AC3"/>
    <w:rsid w:val="6569501E"/>
    <w:rsid w:val="662607E8"/>
    <w:rsid w:val="671427F7"/>
    <w:rsid w:val="69A949A2"/>
    <w:rsid w:val="6BFA00AB"/>
    <w:rsid w:val="6D2A511A"/>
    <w:rsid w:val="6E355EE3"/>
    <w:rsid w:val="7072709A"/>
    <w:rsid w:val="70A77558"/>
    <w:rsid w:val="72860731"/>
    <w:rsid w:val="736B56E0"/>
    <w:rsid w:val="74AF129E"/>
    <w:rsid w:val="76B37ACA"/>
    <w:rsid w:val="795D5ACB"/>
    <w:rsid w:val="7A6174DE"/>
    <w:rsid w:val="7A8969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99" w:name="Normal Indent"/>
    <w:lsdException w:qFormat="1" w:unhideWhenUsed="0" w:uiPriority="0"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99"/>
    <w:pPr>
      <w:widowControl w:val="0"/>
      <w:wordWrap w:val="0"/>
      <w:autoSpaceDE w:val="0"/>
      <w:autoSpaceDN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3"/>
    <w:qFormat/>
    <w:uiPriority w:val="0"/>
    <w:pPr>
      <w:keepNext/>
      <w:keepLines/>
      <w:spacing w:before="340" w:after="330" w:line="576" w:lineRule="auto"/>
      <w:outlineLvl w:val="0"/>
    </w:pPr>
    <w:rPr>
      <w:b/>
      <w:kern w:val="44"/>
      <w:sz w:val="44"/>
    </w:rPr>
  </w:style>
  <w:style w:type="paragraph" w:styleId="3">
    <w:name w:val="heading 2"/>
    <w:basedOn w:val="1"/>
    <w:next w:val="1"/>
    <w:link w:val="24"/>
    <w:unhideWhenUsed/>
    <w:qFormat/>
    <w:uiPriority w:val="0"/>
    <w:pPr>
      <w:keepNext/>
      <w:keepLines/>
      <w:spacing w:before="260" w:after="260" w:line="413" w:lineRule="auto"/>
      <w:outlineLvl w:val="1"/>
    </w:pPr>
    <w:rPr>
      <w:rFonts w:ascii="Arial" w:hAnsi="Arial" w:eastAsia="黑体"/>
      <w:b/>
      <w:sz w:val="3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link w:val="22"/>
    <w:semiHidden/>
    <w:unhideWhenUsed/>
    <w:qFormat/>
    <w:uiPriority w:val="35"/>
    <w:rPr>
      <w:rFonts w:ascii="Arial" w:hAnsi="Arial" w:eastAsia="黑体"/>
      <w:sz w:val="20"/>
    </w:rPr>
  </w:style>
  <w:style w:type="paragraph" w:styleId="5">
    <w:name w:val="annotation text"/>
    <w:basedOn w:val="1"/>
    <w:link w:val="28"/>
    <w:semiHidden/>
    <w:unhideWhenUsed/>
    <w:qFormat/>
    <w:uiPriority w:val="99"/>
    <w:pPr>
      <w:jc w:val="left"/>
    </w:pPr>
  </w:style>
  <w:style w:type="paragraph" w:styleId="6">
    <w:name w:val="toc 5"/>
    <w:semiHidden/>
    <w:qFormat/>
    <w:uiPriority w:val="0"/>
    <w:pPr>
      <w:widowControl w:val="0"/>
      <w:tabs>
        <w:tab w:val="right" w:leader="dot" w:pos="9241"/>
      </w:tabs>
      <w:wordWrap w:val="0"/>
      <w:autoSpaceDE w:val="0"/>
      <w:autoSpaceDN w:val="0"/>
      <w:ind w:firstLine="400" w:firstLineChars="400"/>
    </w:pPr>
    <w:rPr>
      <w:rFonts w:ascii="宋体" w:hAnsi="宋体" w:eastAsia="宋体" w:cs="Times New Roman"/>
      <w:lang w:val="en-US" w:eastAsia="zh-CN" w:bidi="ar-SA"/>
    </w:rPr>
  </w:style>
  <w:style w:type="paragraph" w:styleId="7">
    <w:name w:val="toc 3"/>
    <w:semiHidden/>
    <w:qFormat/>
    <w:uiPriority w:val="0"/>
    <w:pPr>
      <w:widowControl w:val="0"/>
      <w:tabs>
        <w:tab w:val="right" w:leader="dot" w:pos="9241"/>
      </w:tabs>
      <w:wordWrap w:val="0"/>
      <w:autoSpaceDE w:val="0"/>
      <w:autoSpaceDN w:val="0"/>
      <w:ind w:firstLine="200" w:firstLineChars="200"/>
    </w:pPr>
    <w:rPr>
      <w:rFonts w:ascii="宋体" w:hAnsi="宋体" w:eastAsia="宋体" w:cs="Times New Roman"/>
      <w:lang w:val="en-US" w:eastAsia="zh-CN" w:bidi="ar-SA"/>
    </w:rPr>
  </w:style>
  <w:style w:type="paragraph" w:styleId="8">
    <w:name w:val="Balloon Text"/>
    <w:basedOn w:val="1"/>
    <w:link w:val="30"/>
    <w:semiHidden/>
    <w:unhideWhenUsed/>
    <w:qFormat/>
    <w:uiPriority w:val="99"/>
    <w:rPr>
      <w:sz w:val="18"/>
      <w:szCs w:val="18"/>
    </w:rPr>
  </w:style>
  <w:style w:type="paragraph" w:styleId="9">
    <w:name w:val="footer"/>
    <w:link w:val="26"/>
    <w:unhideWhenUsed/>
    <w:qFormat/>
    <w:uiPriority w:val="99"/>
    <w:pPr>
      <w:widowControl w:val="0"/>
      <w:wordWrap w:val="0"/>
      <w:autoSpaceDE w:val="0"/>
      <w:autoSpaceDN w:val="0"/>
      <w:jc w:val="right"/>
    </w:pPr>
    <w:rPr>
      <w:rFonts w:ascii="Times New Roman" w:hAnsi="Times New Roman" w:eastAsia="宋体" w:cs="Times New Roman"/>
      <w:sz w:val="18"/>
      <w:szCs w:val="18"/>
      <w:lang w:val="en-US" w:eastAsia="zh-CN" w:bidi="ar-SA"/>
    </w:rPr>
  </w:style>
  <w:style w:type="paragraph" w:styleId="10">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qFormat/>
    <w:uiPriority w:val="39"/>
    <w:pPr>
      <w:widowControl w:val="0"/>
      <w:tabs>
        <w:tab w:val="right" w:leader="dot" w:pos="9241"/>
      </w:tabs>
      <w:wordWrap w:val="0"/>
      <w:autoSpaceDE w:val="0"/>
      <w:autoSpaceDN w:val="0"/>
      <w:spacing w:before="25" w:beforeLines="25" w:after="25" w:afterLines="25"/>
    </w:pPr>
    <w:rPr>
      <w:rFonts w:ascii="宋体" w:hAnsi="宋体" w:eastAsia="宋体" w:cs="Times New Roman"/>
      <w:sz w:val="21"/>
      <w:szCs w:val="21"/>
      <w:lang w:val="en-US" w:eastAsia="zh-CN" w:bidi="ar-SA"/>
    </w:rPr>
  </w:style>
  <w:style w:type="paragraph" w:styleId="12">
    <w:name w:val="toc 4"/>
    <w:semiHidden/>
    <w:qFormat/>
    <w:uiPriority w:val="0"/>
    <w:pPr>
      <w:widowControl w:val="0"/>
      <w:tabs>
        <w:tab w:val="right" w:leader="dot" w:pos="9241"/>
      </w:tabs>
      <w:wordWrap w:val="0"/>
      <w:autoSpaceDE w:val="0"/>
      <w:autoSpaceDN w:val="0"/>
      <w:ind w:firstLine="300" w:firstLineChars="300"/>
    </w:pPr>
    <w:rPr>
      <w:rFonts w:ascii="宋体" w:hAnsi="宋体" w:eastAsia="宋体" w:cs="Times New Roman"/>
      <w:lang w:val="en-US" w:eastAsia="zh-CN" w:bidi="ar-SA"/>
    </w:rPr>
  </w:style>
  <w:style w:type="paragraph" w:styleId="13">
    <w:name w:val="footnote text"/>
    <w:qFormat/>
    <w:uiPriority w:val="0"/>
    <w:pPr>
      <w:widowControl w:val="0"/>
      <w:numPr>
        <w:ilvl w:val="0"/>
        <w:numId w:val="1"/>
      </w:numPr>
      <w:snapToGrid w:val="0"/>
      <w:ind w:left="635" w:hanging="272"/>
    </w:pPr>
    <w:rPr>
      <w:rFonts w:ascii="宋体" w:hAnsi="Times New Roman" w:eastAsia="宋体" w:cs="Times New Roman"/>
      <w:sz w:val="18"/>
      <w:szCs w:val="18"/>
      <w:lang w:val="en-US" w:eastAsia="zh-CN" w:bidi="ar-SA"/>
    </w:rPr>
  </w:style>
  <w:style w:type="paragraph" w:styleId="14">
    <w:name w:val="toc 2"/>
    <w:semiHidden/>
    <w:qFormat/>
    <w:uiPriority w:val="0"/>
    <w:pPr>
      <w:widowControl w:val="0"/>
      <w:tabs>
        <w:tab w:val="right" w:leader="dot" w:pos="9241"/>
      </w:tabs>
      <w:wordWrap w:val="0"/>
      <w:autoSpaceDE w:val="0"/>
      <w:autoSpaceDN w:val="0"/>
      <w:ind w:firstLine="102" w:firstLineChars="100"/>
    </w:pPr>
    <w:rPr>
      <w:rFonts w:ascii="宋体" w:hAnsi="宋体" w:eastAsia="宋体" w:cs="Times New Roman"/>
      <w:sz w:val="21"/>
      <w:szCs w:val="21"/>
      <w:lang w:val="en-US" w:eastAsia="zh-CN" w:bidi="ar-SA"/>
    </w:rPr>
  </w:style>
  <w:style w:type="paragraph" w:styleId="15">
    <w:name w:val="annotation subject"/>
    <w:basedOn w:val="5"/>
    <w:next w:val="5"/>
    <w:link w:val="29"/>
    <w:semiHidden/>
    <w:unhideWhenUsed/>
    <w:qFormat/>
    <w:uiPriority w:val="99"/>
    <w:rPr>
      <w:b/>
      <w:bCs/>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0" w:type="dxa"/>
        <w:right w:w="100" w:type="dxa"/>
      </w:tblCellMar>
    </w:tblPr>
  </w:style>
  <w:style w:type="character" w:styleId="19">
    <w:name w:val="Hyperlink"/>
    <w:qFormat/>
    <w:uiPriority w:val="99"/>
    <w:rPr>
      <w:color w:val="0000FF"/>
      <w:spacing w:val="0"/>
      <w:w w:val="100"/>
      <w:szCs w:val="21"/>
      <w:u w:val="single"/>
    </w:rPr>
  </w:style>
  <w:style w:type="character" w:styleId="20">
    <w:name w:val="annotation reference"/>
    <w:basedOn w:val="18"/>
    <w:semiHidden/>
    <w:unhideWhenUsed/>
    <w:qFormat/>
    <w:uiPriority w:val="99"/>
    <w:rPr>
      <w:sz w:val="21"/>
      <w:szCs w:val="21"/>
    </w:rPr>
  </w:style>
  <w:style w:type="character" w:styleId="21">
    <w:name w:val="footnote reference"/>
    <w:basedOn w:val="22"/>
    <w:semiHidden/>
    <w:unhideWhenUsed/>
    <w:qFormat/>
    <w:uiPriority w:val="99"/>
    <w:rPr>
      <w:sz w:val="18"/>
      <w:szCs w:val="18"/>
      <w:vertAlign w:val="superscript"/>
    </w:rPr>
  </w:style>
  <w:style w:type="character" w:customStyle="1" w:styleId="22">
    <w:name w:val="题注 字符"/>
    <w:basedOn w:val="18"/>
    <w:link w:val="4"/>
    <w:semiHidden/>
    <w:qFormat/>
    <w:uiPriority w:val="99"/>
    <w:rPr>
      <w:sz w:val="18"/>
      <w:szCs w:val="18"/>
    </w:rPr>
  </w:style>
  <w:style w:type="character" w:customStyle="1" w:styleId="23">
    <w:name w:val="标题 1 字符"/>
    <w:basedOn w:val="18"/>
    <w:link w:val="2"/>
    <w:qFormat/>
    <w:uiPriority w:val="0"/>
    <w:rPr>
      <w:b/>
      <w:kern w:val="44"/>
      <w:sz w:val="44"/>
      <w:szCs w:val="24"/>
    </w:rPr>
  </w:style>
  <w:style w:type="character" w:customStyle="1" w:styleId="24">
    <w:name w:val="标题 2 字符"/>
    <w:basedOn w:val="18"/>
    <w:link w:val="3"/>
    <w:qFormat/>
    <w:uiPriority w:val="0"/>
    <w:rPr>
      <w:rFonts w:ascii="Arial" w:hAnsi="Arial" w:eastAsia="黑体"/>
      <w:b/>
      <w:sz w:val="32"/>
      <w:szCs w:val="24"/>
    </w:rPr>
  </w:style>
  <w:style w:type="character" w:customStyle="1" w:styleId="25">
    <w:name w:val="页眉 字符"/>
    <w:basedOn w:val="18"/>
    <w:link w:val="10"/>
    <w:qFormat/>
    <w:uiPriority w:val="99"/>
    <w:rPr>
      <w:sz w:val="18"/>
      <w:szCs w:val="18"/>
    </w:rPr>
  </w:style>
  <w:style w:type="character" w:customStyle="1" w:styleId="26">
    <w:name w:val="页脚 字符"/>
    <w:basedOn w:val="18"/>
    <w:link w:val="9"/>
    <w:qFormat/>
    <w:uiPriority w:val="99"/>
    <w:rPr>
      <w:sz w:val="18"/>
      <w:szCs w:val="18"/>
    </w:rPr>
  </w:style>
  <w:style w:type="paragraph" w:styleId="27">
    <w:name w:val="List Paragraph"/>
    <w:basedOn w:val="1"/>
    <w:qFormat/>
    <w:uiPriority w:val="34"/>
    <w:pPr>
      <w:ind w:firstLine="420" w:firstLineChars="200"/>
    </w:pPr>
  </w:style>
  <w:style w:type="character" w:customStyle="1" w:styleId="28">
    <w:name w:val="批注文字 字符"/>
    <w:basedOn w:val="18"/>
    <w:link w:val="5"/>
    <w:semiHidden/>
    <w:qFormat/>
    <w:uiPriority w:val="99"/>
    <w:rPr>
      <w:szCs w:val="24"/>
    </w:rPr>
  </w:style>
  <w:style w:type="character" w:customStyle="1" w:styleId="29">
    <w:name w:val="批注主题 字符"/>
    <w:basedOn w:val="28"/>
    <w:link w:val="15"/>
    <w:semiHidden/>
    <w:qFormat/>
    <w:uiPriority w:val="99"/>
    <w:rPr>
      <w:b/>
      <w:bCs/>
      <w:szCs w:val="24"/>
    </w:rPr>
  </w:style>
  <w:style w:type="character" w:customStyle="1" w:styleId="30">
    <w:name w:val="批注框文本 字符"/>
    <w:basedOn w:val="18"/>
    <w:link w:val="8"/>
    <w:semiHidden/>
    <w:qFormat/>
    <w:uiPriority w:val="99"/>
    <w:rPr>
      <w:sz w:val="18"/>
      <w:szCs w:val="18"/>
    </w:rPr>
  </w:style>
  <w:style w:type="paragraph" w:customStyle="1" w:styleId="31">
    <w:name w:val="WPSOffice手动目录 1"/>
    <w:qFormat/>
    <w:uiPriority w:val="0"/>
    <w:rPr>
      <w:rFonts w:asciiTheme="minorHAnsi" w:hAnsiTheme="minorHAnsi" w:eastAsiaTheme="minorEastAsia" w:cstheme="minorBidi"/>
      <w:lang w:val="en-US" w:eastAsia="zh-CN" w:bidi="ar-SA"/>
    </w:rPr>
  </w:style>
  <w:style w:type="paragraph" w:customStyle="1" w:styleId="32">
    <w:name w:val="WPSOffice手动目录 2"/>
    <w:qFormat/>
    <w:uiPriority w:val="0"/>
    <w:pPr>
      <w:widowControl w:val="0"/>
      <w:wordWrap w:val="0"/>
      <w:autoSpaceDE w:val="0"/>
      <w:autoSpaceDN w:val="0"/>
      <w:ind w:left="200" w:leftChars="200"/>
    </w:pPr>
    <w:rPr>
      <w:rFonts w:asciiTheme="minorHAnsi" w:hAnsiTheme="minorHAnsi" w:eastAsiaTheme="minorEastAsia" w:cstheme="minorBidi"/>
      <w:lang w:val="en-US" w:eastAsia="zh-CN" w:bidi="ar-SA"/>
    </w:rPr>
  </w:style>
  <w:style w:type="paragraph" w:customStyle="1" w:styleId="33">
    <w:name w:val="正文标题"/>
    <w:qFormat/>
    <w:uiPriority w:val="0"/>
    <w:pPr>
      <w:keepNext/>
      <w:pageBreakBefore/>
      <w:widowControl w:val="0"/>
      <w:wordWrap w:val="0"/>
      <w:autoSpaceDE w:val="0"/>
      <w:autoSpaceDN w:val="0"/>
      <w:spacing w:before="360" w:after="440" w:line="360" w:lineRule="auto"/>
      <w:jc w:val="center"/>
    </w:pPr>
    <w:rPr>
      <w:rFonts w:ascii="黑体" w:hAnsi="黑体" w:eastAsia="黑体" w:cstheme="minorBidi"/>
      <w:color w:val="000000"/>
      <w:szCs w:val="22"/>
      <w:lang w:val="en-US" w:eastAsia="en-US" w:bidi="ar-SA"/>
    </w:rPr>
  </w:style>
  <w:style w:type="paragraph" w:customStyle="1" w:styleId="34">
    <w:name w:val="目次标题"/>
    <w:qFormat/>
    <w:uiPriority w:val="0"/>
    <w:pPr>
      <w:keepNext/>
      <w:pageBreakBefore/>
      <w:widowControl w:val="0"/>
      <w:shd w:val="clear" w:color="FFFFFF" w:fill="FFFFFF"/>
      <w:spacing w:before="640" w:after="560" w:line="460" w:lineRule="exact"/>
      <w:jc w:val="center"/>
      <w:outlineLvl w:val="3"/>
    </w:pPr>
    <w:rPr>
      <w:rFonts w:ascii="黑体" w:hAnsi="Times New Roman" w:eastAsia="黑体" w:cs="Times New Roman"/>
      <w:sz w:val="32"/>
      <w:szCs w:val="32"/>
      <w:lang w:val="en-US" w:eastAsia="zh-CN" w:bidi="ar-SA"/>
    </w:rPr>
  </w:style>
  <w:style w:type="paragraph" w:customStyle="1" w:styleId="35">
    <w:name w:val="目次标题级"/>
    <w:next w:val="2"/>
    <w:qFormat/>
    <w:uiPriority w:val="39"/>
    <w:pPr>
      <w:tabs>
        <w:tab w:val="right" w:leader="dot" w:pos="9241"/>
      </w:tabs>
      <w:wordWrap w:val="0"/>
      <w:spacing w:before="25" w:beforeLines="25" w:after="25" w:afterLines="25"/>
      <w:outlineLvl w:val="0"/>
    </w:pPr>
    <w:rPr>
      <w:rFonts w:ascii="宋体" w:hAnsi="宋体" w:eastAsia="宋体" w:cs="Times New Roman"/>
      <w:sz w:val="21"/>
      <w:szCs w:val="21"/>
      <w:lang w:val="en-US" w:eastAsia="zh-CN" w:bidi="ar-SA"/>
    </w:rPr>
  </w:style>
  <w:style w:type="paragraph" w:customStyle="1" w:styleId="36">
    <w:name w:val="目次第1级"/>
    <w:next w:val="2"/>
    <w:qFormat/>
    <w:uiPriority w:val="39"/>
    <w:pPr>
      <w:tabs>
        <w:tab w:val="right" w:leader="dot" w:pos="9241"/>
      </w:tabs>
      <w:wordWrap w:val="0"/>
      <w:spacing w:before="25" w:beforeLines="25" w:after="25" w:afterLines="25"/>
    </w:pPr>
    <w:rPr>
      <w:rFonts w:ascii="宋体" w:hAnsi="宋体" w:eastAsia="宋体" w:cs="宋体"/>
      <w:sz w:val="21"/>
      <w:szCs w:val="21"/>
      <w:lang w:val="en-US" w:eastAsia="zh-CN" w:bidi="ar-SA"/>
    </w:rPr>
  </w:style>
  <w:style w:type="paragraph" w:customStyle="1" w:styleId="37">
    <w:name w:val="目次第2级"/>
    <w:qFormat/>
    <w:uiPriority w:val="39"/>
    <w:pPr>
      <w:tabs>
        <w:tab w:val="right" w:leader="dot" w:pos="9241"/>
      </w:tabs>
      <w:wordWrap w:val="0"/>
      <w:ind w:firstLine="100" w:firstLineChars="100"/>
    </w:pPr>
    <w:rPr>
      <w:rFonts w:ascii="宋体" w:hAnsi="宋体" w:eastAsia="宋体" w:cs="宋体"/>
      <w:sz w:val="21"/>
      <w:szCs w:val="21"/>
      <w:lang w:val="en-US" w:eastAsia="zh-CN" w:bidi="ar-SA"/>
    </w:rPr>
  </w:style>
  <w:style w:type="paragraph" w:customStyle="1" w:styleId="38">
    <w:name w:val="目次第3级"/>
    <w:qFormat/>
    <w:uiPriority w:val="39"/>
    <w:pPr>
      <w:tabs>
        <w:tab w:val="right" w:leader="dot" w:pos="9241"/>
      </w:tabs>
      <w:wordWrap w:val="0"/>
      <w:ind w:firstLine="200" w:firstLineChars="200"/>
    </w:pPr>
    <w:rPr>
      <w:rFonts w:ascii="宋体" w:hAnsi="宋体" w:eastAsia="宋体" w:cs="宋体"/>
      <w:sz w:val="21"/>
      <w:szCs w:val="21"/>
      <w:lang w:val="en-US" w:eastAsia="zh-CN" w:bidi="ar-SA"/>
    </w:rPr>
  </w:style>
  <w:style w:type="paragraph" w:customStyle="1" w:styleId="39">
    <w:name w:val="目次第4级"/>
    <w:qFormat/>
    <w:uiPriority w:val="39"/>
    <w:pPr>
      <w:tabs>
        <w:tab w:val="right" w:leader="dot" w:pos="9241"/>
      </w:tabs>
      <w:wordWrap w:val="0"/>
      <w:ind w:firstLine="300" w:firstLineChars="300"/>
    </w:pPr>
    <w:rPr>
      <w:rFonts w:ascii="宋体" w:hAnsi="宋体" w:eastAsia="宋体" w:cs="宋体"/>
      <w:sz w:val="21"/>
      <w:szCs w:val="21"/>
      <w:lang w:val="en-US" w:eastAsia="zh-CN" w:bidi="ar-SA"/>
    </w:rPr>
  </w:style>
  <w:style w:type="paragraph" w:customStyle="1" w:styleId="40">
    <w:name w:val="目次第5级"/>
    <w:qFormat/>
    <w:uiPriority w:val="39"/>
    <w:pPr>
      <w:tabs>
        <w:tab w:val="right" w:leader="dot" w:pos="9241"/>
      </w:tabs>
      <w:wordWrap w:val="0"/>
      <w:ind w:firstLine="400" w:firstLineChars="400"/>
    </w:pPr>
    <w:rPr>
      <w:rFonts w:ascii="宋体" w:hAnsi="宋体" w:eastAsia="宋体" w:cs="宋体"/>
      <w:sz w:val="21"/>
      <w:szCs w:val="21"/>
      <w:lang w:val="en-US" w:eastAsia="zh-CN" w:bidi="ar-SA"/>
    </w:rPr>
  </w:style>
  <w:style w:type="paragraph" w:customStyle="1" w:styleId="41">
    <w:name w:val="目次第6级"/>
    <w:qFormat/>
    <w:uiPriority w:val="39"/>
    <w:pPr>
      <w:tabs>
        <w:tab w:val="right" w:leader="dot" w:pos="9241"/>
      </w:tabs>
      <w:wordWrap w:val="0"/>
      <w:ind w:firstLine="500" w:firstLineChars="500"/>
    </w:pPr>
    <w:rPr>
      <w:rFonts w:ascii="宋体" w:hAnsi="宋体" w:eastAsia="宋体" w:cs="宋体"/>
      <w:sz w:val="21"/>
      <w:szCs w:val="21"/>
      <w:lang w:val="en-US" w:eastAsia="zh-CN" w:bidi="ar-SA"/>
    </w:rPr>
  </w:style>
  <w:style w:type="paragraph" w:customStyle="1" w:styleId="42">
    <w:name w:val="目次第7级"/>
    <w:qFormat/>
    <w:uiPriority w:val="39"/>
    <w:pPr>
      <w:tabs>
        <w:tab w:val="right" w:leader="dot" w:pos="9241"/>
      </w:tabs>
      <w:wordWrap w:val="0"/>
      <w:ind w:firstLine="600" w:firstLineChars="600"/>
    </w:pPr>
    <w:rPr>
      <w:rFonts w:ascii="宋体" w:hAnsi="宋体" w:eastAsia="宋体" w:cs="宋体"/>
      <w:sz w:val="21"/>
      <w:szCs w:val="21"/>
      <w:lang w:val="en-US" w:eastAsia="zh-CN" w:bidi="ar-SA"/>
    </w:rPr>
  </w:style>
  <w:style w:type="paragraph" w:customStyle="1" w:styleId="43">
    <w:name w:val="目次第8级"/>
    <w:qFormat/>
    <w:uiPriority w:val="39"/>
    <w:pPr>
      <w:tabs>
        <w:tab w:val="right" w:leader="dot" w:pos="9241"/>
      </w:tabs>
      <w:wordWrap w:val="0"/>
      <w:ind w:firstLine="700" w:firstLineChars="700"/>
    </w:pPr>
    <w:rPr>
      <w:rFonts w:ascii="宋体" w:hAnsi="宋体" w:eastAsia="宋体" w:cs="宋体"/>
      <w:sz w:val="21"/>
      <w:szCs w:val="21"/>
      <w:lang w:val="en-US" w:eastAsia="zh-CN" w:bidi="ar-SA"/>
    </w:rPr>
  </w:style>
  <w:style w:type="paragraph" w:customStyle="1" w:styleId="44">
    <w:name w:val="目次、索引正文"/>
    <w:qFormat/>
    <w:uiPriority w:val="0"/>
    <w:pPr>
      <w:widowControl w:val="0"/>
      <w:spacing w:line="320" w:lineRule="exact"/>
      <w:jc w:val="both"/>
    </w:pPr>
    <w:rPr>
      <w:rFonts w:ascii="宋体" w:hAnsi="宋体" w:eastAsia="宋体" w:cs="宋体"/>
      <w:sz w:val="21"/>
      <w:lang w:val="en-US" w:eastAsia="zh-CN" w:bidi="ar-SA"/>
    </w:rPr>
  </w:style>
  <w:style w:type="character" w:customStyle="1" w:styleId="45">
    <w:name w:val="Book Title"/>
    <w:basedOn w:val="18"/>
    <w:qFormat/>
    <w:uiPriority w:val="33"/>
    <w:rPr>
      <w:b/>
      <w:bCs/>
      <w:smallCaps/>
      <w:spacing w:val="5"/>
    </w:rPr>
  </w:style>
  <w:style w:type="paragraph" w:customStyle="1" w:styleId="46">
    <w:name w:val="文档名称标题"/>
    <w:qFormat/>
    <w:uiPriority w:val="0"/>
    <w:pPr>
      <w:widowControl w:val="0"/>
      <w:wordWrap w:val="0"/>
      <w:autoSpaceDE w:val="0"/>
      <w:autoSpaceDN w:val="0"/>
      <w:spacing w:before="640" w:after="560" w:line="460" w:lineRule="exact"/>
      <w:jc w:val="center"/>
    </w:pPr>
    <w:rPr>
      <w:rFonts w:ascii="黑体" w:hAnsi="Times New Roman" w:eastAsia="黑体" w:cs="Times New Roman"/>
      <w:sz w:val="32"/>
      <w:szCs w:val="32"/>
      <w:lang w:val="en-US" w:eastAsia="zh-CN" w:bidi="ar-SA"/>
    </w:rPr>
  </w:style>
  <w:style w:type="paragraph" w:customStyle="1" w:styleId="47">
    <w:name w:val="章节页面标题"/>
    <w:qFormat/>
    <w:uiPriority w:val="0"/>
    <w:pPr>
      <w:widowControl w:val="0"/>
      <w:wordWrap w:val="0"/>
      <w:autoSpaceDE w:val="0"/>
      <w:autoSpaceDN w:val="0"/>
      <w:spacing w:before="640" w:after="560" w:line="460" w:lineRule="exact"/>
      <w:jc w:val="center"/>
      <w:outlineLvl w:val="0"/>
    </w:pPr>
    <w:rPr>
      <w:rFonts w:ascii="黑体" w:hAnsi="Times New Roman" w:eastAsia="黑体" w:cs="Times New Roman"/>
      <w:sz w:val="32"/>
      <w:szCs w:val="32"/>
      <w:lang w:val="en-US" w:eastAsia="zh-CN" w:bidi="ar-SA"/>
    </w:rPr>
  </w:style>
  <w:style w:type="paragraph" w:customStyle="1" w:styleId="48">
    <w:name w:val="附录页面标题"/>
    <w:qFormat/>
    <w:uiPriority w:val="0"/>
    <w:pPr>
      <w:widowControl w:val="0"/>
      <w:wordWrap w:val="0"/>
      <w:autoSpaceDE w:val="0"/>
      <w:autoSpaceDN w:val="0"/>
      <w:spacing w:before="640" w:after="180"/>
      <w:contextualSpacing/>
      <w:jc w:val="center"/>
    </w:pPr>
    <w:rPr>
      <w:rFonts w:ascii="黑体" w:hAnsi="黑体" w:eastAsia="黑体" w:cs="黑体"/>
      <w:sz w:val="21"/>
      <w:szCs w:val="21"/>
      <w:lang w:val="en-US" w:eastAsia="zh-CN" w:bidi="ar-SA"/>
    </w:rPr>
  </w:style>
  <w:style w:type="paragraph" w:customStyle="1" w:styleId="49">
    <w:name w:val="其他页面标题"/>
    <w:qFormat/>
    <w:uiPriority w:val="0"/>
    <w:pPr>
      <w:widowControl w:val="0"/>
      <w:wordWrap w:val="0"/>
      <w:autoSpaceDE w:val="0"/>
      <w:autoSpaceDN w:val="0"/>
      <w:spacing w:before="640" w:after="200"/>
      <w:jc w:val="center"/>
      <w:outlineLvl w:val="0"/>
    </w:pPr>
    <w:rPr>
      <w:rFonts w:ascii="黑体" w:hAnsi="Times New Roman" w:eastAsia="黑体" w:cs="Times New Roman"/>
      <w:sz w:val="21"/>
      <w:szCs w:val="21"/>
      <w:lang w:val="en-US" w:eastAsia="zh-CN" w:bidi="ar-SA"/>
    </w:rPr>
  </w:style>
  <w:style w:type="paragraph" w:customStyle="1" w:styleId="50">
    <w:name w:val="段落"/>
    <w:qFormat/>
    <w:uiPriority w:val="0"/>
    <w:pPr>
      <w:widowControl w:val="0"/>
      <w:autoSpaceDE w:val="0"/>
      <w:autoSpaceDN w:val="0"/>
      <w:ind w:firstLine="420" w:firstLineChars="200"/>
    </w:pPr>
    <w:rPr>
      <w:rFonts w:ascii="宋体" w:hAnsi="Times New Roman" w:eastAsia="宋体" w:cs="Times New Roman"/>
      <w:sz w:val="21"/>
      <w:lang w:val="en-US" w:eastAsia="zh-CN" w:bidi="ar-SA"/>
    </w:rPr>
  </w:style>
  <w:style w:type="paragraph" w:customStyle="1" w:styleId="51">
    <w:name w:val="一级首章标题"/>
    <w:qFormat/>
    <w:uiPriority w:val="0"/>
    <w:pPr>
      <w:widowControl w:val="0"/>
      <w:wordWrap w:val="0"/>
      <w:autoSpaceDE w:val="0"/>
      <w:autoSpaceDN w:val="0"/>
      <w:snapToGrid w:val="0"/>
      <w:spacing w:after="100" w:afterLines="100"/>
      <w:jc w:val="both"/>
    </w:pPr>
    <w:rPr>
      <w:rFonts w:ascii="黑体" w:hAnsi="黑体" w:eastAsia="黑体" w:cs="Times New Roman"/>
      <w:sz w:val="21"/>
      <w:lang w:val="en-US" w:eastAsia="zh-CN" w:bidi="ar-SA"/>
    </w:rPr>
  </w:style>
  <w:style w:type="paragraph" w:customStyle="1" w:styleId="52">
    <w:name w:val="二级首章标题"/>
    <w:qFormat/>
    <w:uiPriority w:val="0"/>
    <w:pPr>
      <w:widowControl w:val="0"/>
      <w:wordWrap w:val="0"/>
      <w:autoSpaceDE w:val="0"/>
      <w:autoSpaceDN w:val="0"/>
      <w:snapToGrid w:val="0"/>
      <w:spacing w:after="50" w:afterLines="50"/>
      <w:jc w:val="both"/>
    </w:pPr>
    <w:rPr>
      <w:rFonts w:ascii="黑体" w:hAnsi="黑体" w:eastAsia="黑体" w:cs="Times New Roman"/>
      <w:sz w:val="21"/>
      <w:lang w:val="en-US" w:eastAsia="zh-CN" w:bidi="ar-SA"/>
    </w:rPr>
  </w:style>
  <w:style w:type="paragraph" w:customStyle="1" w:styleId="53">
    <w:name w:val="一级章标题"/>
    <w:qFormat/>
    <w:uiPriority w:val="0"/>
    <w:pPr>
      <w:widowControl w:val="0"/>
      <w:wordWrap w:val="0"/>
      <w:autoSpaceDE w:val="0"/>
      <w:autoSpaceDN w:val="0"/>
      <w:snapToGrid w:val="0"/>
      <w:spacing w:before="312" w:beforeLines="100" w:after="312" w:afterLines="100"/>
      <w:jc w:val="both"/>
    </w:pPr>
    <w:rPr>
      <w:rFonts w:ascii="黑体" w:hAnsi="黑体" w:eastAsia="黑体" w:cs="Times New Roman"/>
      <w:sz w:val="21"/>
      <w:lang w:val="en-US" w:eastAsia="zh-CN" w:bidi="ar-SA"/>
    </w:rPr>
  </w:style>
  <w:style w:type="paragraph" w:customStyle="1" w:styleId="54">
    <w:name w:val="章节条款"/>
    <w:qFormat/>
    <w:uiPriority w:val="0"/>
    <w:pPr>
      <w:widowControl w:val="0"/>
      <w:wordWrap w:val="0"/>
      <w:autoSpaceDE w:val="0"/>
      <w:autoSpaceDN w:val="0"/>
      <w:snapToGrid w:val="0"/>
      <w:spacing w:before="50" w:beforeLines="50" w:after="50" w:afterLines="50"/>
      <w:jc w:val="both"/>
    </w:pPr>
    <w:rPr>
      <w:rFonts w:ascii="黑体" w:hAnsi="黑体" w:eastAsia="黑体" w:cs="Times New Roman"/>
      <w:sz w:val="21"/>
      <w:lang w:val="en-US" w:eastAsia="zh-CN" w:bidi="ar-SA"/>
    </w:rPr>
  </w:style>
  <w:style w:type="paragraph" w:customStyle="1" w:styleId="55">
    <w:name w:val="章标题-无条题"/>
    <w:qFormat/>
    <w:uiPriority w:val="0"/>
    <w:pPr>
      <w:widowControl w:val="0"/>
      <w:wordWrap w:val="0"/>
      <w:autoSpaceDE w:val="0"/>
      <w:autoSpaceDN w:val="0"/>
    </w:pPr>
    <w:rPr>
      <w:rFonts w:ascii="宋体" w:hAnsi="宋体" w:eastAsia="宋体" w:cs="Times New Roman"/>
      <w:lang w:val="en-US" w:eastAsia="zh-CN" w:bidi="ar-SA"/>
    </w:rPr>
  </w:style>
  <w:style w:type="paragraph" w:customStyle="1" w:styleId="56">
    <w:name w:val="附录章标题-有条题"/>
    <w:qFormat/>
    <w:uiPriority w:val="0"/>
    <w:pPr>
      <w:widowControl w:val="0"/>
      <w:wordWrap w:val="0"/>
      <w:autoSpaceDE w:val="0"/>
      <w:autoSpaceDN w:val="0"/>
      <w:snapToGrid w:val="0"/>
      <w:spacing w:before="50" w:beforeLines="50" w:after="50" w:afterLines="50"/>
    </w:pPr>
    <w:rPr>
      <w:rFonts w:ascii="宋体" w:hAnsi="宋体" w:eastAsia="宋体" w:cs="Times New Roman"/>
      <w:lang w:val="en-US" w:eastAsia="zh-CN" w:bidi="ar-SA"/>
    </w:rPr>
  </w:style>
  <w:style w:type="paragraph" w:customStyle="1" w:styleId="57">
    <w:name w:val="表标题"/>
    <w:qFormat/>
    <w:uiPriority w:val="0"/>
    <w:pPr>
      <w:widowControl w:val="0"/>
      <w:wordWrap w:val="0"/>
      <w:autoSpaceDE w:val="0"/>
      <w:autoSpaceDN w:val="0"/>
      <w:spacing w:before="50" w:beforeLines="50" w:after="50" w:afterLines="50"/>
      <w:jc w:val="center"/>
    </w:pPr>
    <w:rPr>
      <w:rFonts w:ascii="黑体" w:hAnsi="黑体" w:eastAsia="黑体" w:cs="Times New Roman"/>
      <w:sz w:val="21"/>
      <w:lang w:val="en-US" w:eastAsia="zh-CN" w:bidi="ar-SA"/>
    </w:rPr>
  </w:style>
  <w:style w:type="paragraph" w:customStyle="1" w:styleId="58">
    <w:name w:val="图标题"/>
    <w:qFormat/>
    <w:uiPriority w:val="0"/>
    <w:pPr>
      <w:widowControl w:val="0"/>
      <w:wordWrap w:val="0"/>
      <w:autoSpaceDE w:val="0"/>
      <w:autoSpaceDN w:val="0"/>
      <w:spacing w:before="50" w:beforeLines="50" w:after="50" w:afterLines="50"/>
      <w:jc w:val="center"/>
    </w:pPr>
    <w:rPr>
      <w:rFonts w:ascii="黑体" w:hAnsi="黑体" w:eastAsia="黑体" w:cs="Times New Roman"/>
      <w:sz w:val="21"/>
      <w:lang w:val="en-US" w:eastAsia="zh-CN" w:bidi="ar-SA"/>
    </w:rPr>
  </w:style>
  <w:style w:type="paragraph" w:customStyle="1" w:styleId="59">
    <w:name w:val="图脚注"/>
    <w:unhideWhenUsed/>
    <w:qFormat/>
    <w:uiPriority w:val="99"/>
    <w:pPr>
      <w:widowControl w:val="0"/>
      <w:wordWrap w:val="0"/>
      <w:autoSpaceDE w:val="0"/>
      <w:autoSpaceDN w:val="0"/>
      <w:ind w:left="765" w:leftChars="300" w:hanging="135" w:hangingChars="75"/>
    </w:pPr>
    <w:rPr>
      <w:rFonts w:hint="eastAsia" w:ascii="宋体" w:hAnsi="宋体" w:eastAsia="宋体" w:cs="宋体"/>
      <w:sz w:val="18"/>
      <w:szCs w:val="18"/>
      <w:lang w:val="en-US" w:eastAsia="zh-CN" w:bidi="ar-SA"/>
    </w:rPr>
  </w:style>
  <w:style w:type="paragraph" w:customStyle="1" w:styleId="60">
    <w:name w:val="公式居中"/>
    <w:next w:val="2"/>
    <w:qFormat/>
    <w:uiPriority w:val="0"/>
    <w:pPr>
      <w:tabs>
        <w:tab w:val="center" w:pos="4620"/>
        <w:tab w:val="right" w:pos="6510"/>
        <w:tab w:val="right" w:leader="middleDot" w:pos="9240"/>
      </w:tabs>
      <w:wordWrap w:val="0"/>
      <w:autoSpaceDE w:val="0"/>
      <w:autoSpaceDN w:val="0"/>
      <w:snapToGrid w:val="0"/>
      <w:jc w:val="center"/>
      <w:textAlignment w:val="center"/>
    </w:pPr>
    <w:rPr>
      <w:rFonts w:ascii="Times New Roman" w:hAnsi="Times New Roman" w:eastAsia="宋体" w:cs="Times New Roman"/>
      <w:kern w:val="2"/>
      <w:lang w:val="en-US" w:eastAsia="zh-CN" w:bidi="ar-SA"/>
    </w:rPr>
  </w:style>
  <w:style w:type="paragraph" w:customStyle="1" w:styleId="61">
    <w:name w:val="终结线"/>
    <w:qFormat/>
    <w:uiPriority w:val="0"/>
    <w:pPr>
      <w:tabs>
        <w:tab w:val="center" w:pos="4620"/>
        <w:tab w:val="right" w:pos="6510"/>
        <w:tab w:val="right" w:leader="middleDot" w:pos="9240"/>
      </w:tabs>
      <w:wordWrap w:val="0"/>
      <w:autoSpaceDE w:val="0"/>
      <w:autoSpaceDN w:val="0"/>
      <w:jc w:val="center"/>
      <w:textAlignment w:val="center"/>
    </w:pPr>
    <w:rPr>
      <w:rFonts w:ascii="Times New Roman" w:hAnsi="Times New Roman" w:eastAsia="宋体" w:cs="Times New Roman"/>
      <w:lang w:val="en-US" w:eastAsia="zh-CN" w:bidi="ar-SA"/>
    </w:rPr>
  </w:style>
  <w:style w:type="paragraph" w:customStyle="1" w:styleId="62">
    <w:name w:val="标准文件_章标题"/>
    <w:next w:val="6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6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4">
    <w:name w:val="标准文件_一级无标题"/>
    <w:basedOn w:val="65"/>
    <w:qFormat/>
    <w:uiPriority w:val="0"/>
    <w:pPr>
      <w:spacing w:before="0" w:beforeLines="0" w:after="0" w:afterLines="0"/>
      <w:outlineLvl w:val="9"/>
    </w:pPr>
    <w:rPr>
      <w:rFonts w:ascii="宋体" w:eastAsia="宋体"/>
    </w:rPr>
  </w:style>
  <w:style w:type="paragraph" w:customStyle="1" w:styleId="65">
    <w:name w:val="标准文件_一级条标题"/>
    <w:basedOn w:val="62"/>
    <w:next w:val="63"/>
    <w:qFormat/>
    <w:uiPriority w:val="0"/>
    <w:pPr>
      <w:numPr>
        <w:ilvl w:val="2"/>
      </w:numPr>
      <w:spacing w:before="50" w:beforeLines="50" w:after="50" w:afterLines="50"/>
      <w:outlineLvl w:val="1"/>
    </w:pPr>
  </w:style>
  <w:style w:type="paragraph" w:customStyle="1" w:styleId="66">
    <w:name w:val="段"/>
    <w:basedOn w:val="1"/>
    <w:qFormat/>
    <w:uiPriority w:val="0"/>
    <w:pPr>
      <w:spacing w:line="240" w:lineRule="auto"/>
      <w:ind w:firstLine="420" w:firstLineChars="200"/>
    </w:pPr>
    <w:rPr>
      <w:rFonts w:ascii="Times New Roman" w:hAnsi="Times New Roman" w:cs="Calibri"/>
    </w:rPr>
  </w:style>
  <w:style w:type="paragraph" w:customStyle="1" w:styleId="67">
    <w:name w:val="标准文件_前言、引言标题"/>
    <w:next w:val="1"/>
    <w:qFormat/>
    <w:uiPriority w:val="0"/>
    <w:pPr>
      <w:numPr>
        <w:ilvl w:val="0"/>
        <w:numId w:val="3"/>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glossaryDocument" Target="glossary/document.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31cd098-57b6-4a4b-b387-d40ea714d2e5}"/>
        <w:style w:val=""/>
        <w:category>
          <w:name w:val="常规"/>
          <w:gallery w:val="placeholder"/>
        </w:category>
        <w:types>
          <w:type w:val="bbPlcHdr"/>
        </w:types>
        <w:behaviors>
          <w:behavior w:val="content"/>
        </w:behaviors>
        <w:description w:val=""/>
        <w:guid w:val="{f31cd098-57b6-4a4b-b387-d40ea714d2e5}"/>
      </w:docPartPr>
      <w:docPartBody>
        <w:p w14:paraId="5D61A3B7">
          <w:pPr>
            <w:pStyle w:val="2"/>
            <w:rPr>
              <w:rFonts w:hint="eastAsia"/>
            </w:rPr>
          </w:pPr>
          <w:r>
            <w:rPr>
              <w:rStyle w:val="3"/>
              <w:rFonts w:hint="eastAsia"/>
            </w:rPr>
            <w:t>选择一项。</w:t>
          </w:r>
        </w:p>
      </w:docPartBody>
    </w:docPart>
    <w:docPart>
      <w:docPartPr>
        <w:name w:val="{dfdb4592-9370-44f2-ae8f-155b08767425}"/>
        <w:style w:val=""/>
        <w:category>
          <w:name w:val="常规"/>
          <w:gallery w:val="placeholder"/>
        </w:category>
        <w:types>
          <w:type w:val="bbPlcHdr"/>
        </w:types>
        <w:behaviors>
          <w:behavior w:val="content"/>
        </w:behaviors>
        <w:description w:val=""/>
        <w:guid w:val="{dfdb4592-9370-44f2-ae8f-155b08767425}"/>
      </w:docPartPr>
      <w:docPartBody>
        <w:p w14:paraId="29662794">
          <w:pPr>
            <w:pStyle w:val="4"/>
            <w:rPr>
              <w:rFonts w:hint="eastAsia"/>
            </w:rPr>
          </w:pPr>
          <w:r>
            <w:rPr>
              <w:rStyle w:val="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5"/>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1" w:name="Default Paragraph Font"/>
    <w:lsdException w:qFormat="1" w:unhideWhenUsed="0" w:uiPriority="99" w:name="Placeholder Text"/>
  </w:latentStyles>
  <w:style w:type="character" w:default="1" w:styleId="1">
    <w:name w:val="Default Paragraph Font"/>
    <w:semiHidden/>
    <w:unhideWhenUsed/>
    <w:qFormat/>
    <w:uiPriority w:val="1"/>
  </w:style>
  <w:style w:type="paragraph" w:customStyle="1" w:styleId="2">
    <w:name w:val="7927301156B74BB69B18519C33749E9B"/>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3">
    <w:name w:val="Placeholder Text"/>
    <w:basedOn w:val="1"/>
    <w:semiHidden/>
    <w:qFormat/>
    <w:uiPriority w:val="99"/>
    <w:rPr>
      <w:color w:val="808080"/>
    </w:rPr>
  </w:style>
  <w:style w:type="paragraph" w:customStyle="1" w:styleId="4">
    <w:name w:val="14F93C733903408391A1E5B083029C4C"/>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2903</Words>
  <Characters>2977</Characters>
  <Lines>8</Lines>
  <Paragraphs>2</Paragraphs>
  <TotalTime>0</TotalTime>
  <ScaleCrop>false</ScaleCrop>
  <LinksUpToDate>false</LinksUpToDate>
  <CharactersWithSpaces>3024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2021-11-06T13:46:00Z</dcterms:created>
  <dc:creator>sam</dc:creator>
  <cp:lastModifiedBy>暖北。</cp:lastModifiedBy>
  <cp:lastPrinted>2026-04-30T08:01:00Z</cp:lastPrinted>
  <dcterms:modified xsi:type="dcterms:W3CDTF">2026-04-30T11:49:56Z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09C2F31941A146988A540502273B3314</vt:lpwstr>
  </property>
  <property fmtid="{D5CDD505-2E9C-101B-9397-08002B2CF9AE}" pid="4" name="KSOTemplateDocerSaveRecord">
    <vt:lpwstr>eyJoZGlkIjoiYjBjNzg3YzAwNTRmMWMxZmQ2YjliNzhlNWVhMGY1NTMiLCJ1c2VySWQiOiIzNDM0NTgwOTQifQ==</vt:lpwstr>
  </property>
</Properties>
</file>