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F4C991">
      <w:pPr>
        <w:keepNext w:val="0"/>
        <w:keepLines w:val="0"/>
        <w:pageBreakBefore w:val="0"/>
        <w:widowControl w:val="0"/>
        <w:kinsoku/>
        <w:wordWrap/>
        <w:overflowPunct/>
        <w:topLinePunct w:val="0"/>
        <w:autoSpaceDE/>
        <w:autoSpaceDN/>
        <w:bidi w:val="0"/>
        <w:adjustRightInd/>
        <w:snapToGrid w:val="0"/>
        <w:spacing w:afterAutospacing="0"/>
        <w:jc w:val="center"/>
        <w:textAlignment w:val="auto"/>
        <w:rPr>
          <w:rFonts w:hint="eastAsia" w:ascii="黑体" w:hAnsi="黑体" w:eastAsia="黑体" w:cs="黑体"/>
          <w:sz w:val="40"/>
          <w:szCs w:val="40"/>
        </w:rPr>
      </w:pPr>
      <w:r>
        <w:rPr>
          <w:rFonts w:hint="eastAsia" w:ascii="黑体" w:hAnsi="黑体" w:eastAsia="黑体" w:cs="黑体"/>
          <w:sz w:val="40"/>
          <w:szCs w:val="40"/>
        </w:rPr>
        <w:t>《“沁州黄小米”种植技术规范》</w:t>
      </w:r>
    </w:p>
    <w:p w14:paraId="562F4DB9">
      <w:pPr>
        <w:spacing w:after="471" w:afterLines="150" w:afterAutospacing="0"/>
        <w:jc w:val="center"/>
        <w:rPr>
          <w:rFonts w:hint="eastAsia" w:ascii="黑体" w:hAnsi="黑体" w:eastAsia="黑体" w:cs="黑体"/>
          <w:sz w:val="40"/>
          <w:szCs w:val="40"/>
        </w:rPr>
      </w:pPr>
      <w:r>
        <w:rPr>
          <w:rFonts w:hint="eastAsia" w:ascii="黑体" w:hAnsi="黑体" w:eastAsia="黑体" w:cs="黑体"/>
          <w:sz w:val="40"/>
          <w:szCs w:val="40"/>
        </w:rPr>
        <w:t>（征求意见稿）编制说明</w:t>
      </w:r>
    </w:p>
    <w:p w14:paraId="02616925">
      <w:pPr>
        <w:keepNext w:val="0"/>
        <w:keepLines w:val="0"/>
        <w:pageBreakBefore w:val="0"/>
        <w:widowControl w:val="0"/>
        <w:numPr>
          <w:ilvl w:val="0"/>
          <w:numId w:val="1"/>
        </w:numPr>
        <w:kinsoku/>
        <w:wordWrap/>
        <w:overflowPunct/>
        <w:topLinePunct w:val="0"/>
        <w:autoSpaceDE/>
        <w:autoSpaceDN/>
        <w:bidi w:val="0"/>
        <w:adjustRightInd/>
        <w:snapToGrid/>
        <w:spacing w:beforeAutospacing="0"/>
        <w:ind w:left="0" w:leftChars="0" w:firstLine="0" w:firstLineChars="0"/>
        <w:textAlignment w:val="auto"/>
        <w:rPr>
          <w:rFonts w:hint="eastAsia" w:ascii="黑体" w:hAnsi="黑体" w:eastAsia="黑体" w:cs="黑体"/>
          <w:sz w:val="32"/>
          <w:szCs w:val="32"/>
        </w:rPr>
      </w:pPr>
      <w:r>
        <w:rPr>
          <w:rFonts w:hint="eastAsia" w:ascii="黑体" w:hAnsi="黑体" w:eastAsia="黑体" w:cs="黑体"/>
          <w:sz w:val="32"/>
          <w:szCs w:val="32"/>
        </w:rPr>
        <w:t>工作简况</w:t>
      </w:r>
    </w:p>
    <w:p w14:paraId="1C946795">
      <w:pPr>
        <w:numPr>
          <w:ilvl w:val="0"/>
          <w:numId w:val="2"/>
        </w:numPr>
        <w:ind w:left="-420" w:leftChars="0" w:firstLine="420" w:firstLineChars="0"/>
        <w:rPr>
          <w:rFonts w:hint="eastAsia" w:ascii="黑体" w:hAnsi="黑体" w:eastAsia="黑体" w:cs="黑体"/>
          <w:sz w:val="32"/>
          <w:szCs w:val="32"/>
        </w:rPr>
      </w:pPr>
      <w:r>
        <w:rPr>
          <w:rFonts w:hint="eastAsia" w:ascii="黑体" w:hAnsi="黑体" w:eastAsia="黑体" w:cs="黑体"/>
          <w:sz w:val="32"/>
          <w:szCs w:val="32"/>
        </w:rPr>
        <w:t>任务来源</w:t>
      </w:r>
    </w:p>
    <w:p w14:paraId="0B1AD6F3">
      <w:pPr>
        <w:ind w:firstLine="640" w:firstLineChars="200"/>
        <w:rPr>
          <w:rFonts w:hint="eastAsia" w:ascii="仿宋" w:hAnsi="仿宋" w:eastAsia="仿宋" w:cs="仿宋"/>
          <w:sz w:val="32"/>
          <w:szCs w:val="32"/>
        </w:rPr>
      </w:pPr>
      <w:r>
        <w:rPr>
          <w:rFonts w:hint="eastAsia" w:ascii="仿宋" w:hAnsi="仿宋" w:eastAsia="仿宋" w:cs="仿宋"/>
          <w:sz w:val="32"/>
          <w:szCs w:val="32"/>
        </w:rPr>
        <w:t>团体标准《“沁州黄小米” 种植技术规范》由山西省名优土特新产品协会提出立项，计划编号：晋名优协标准</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2026</w:t>
      </w:r>
      <w:r>
        <w:rPr>
          <w:rFonts w:hint="eastAsia" w:ascii="仿宋" w:hAnsi="仿宋" w:eastAsia="仿宋" w:cs="仿宋"/>
          <w:sz w:val="32"/>
          <w:szCs w:val="32"/>
          <w:lang w:eastAsia="zh-CN"/>
        </w:rPr>
        <w:t>】</w:t>
      </w:r>
      <w:r>
        <w:rPr>
          <w:rFonts w:hint="eastAsia" w:ascii="仿宋" w:hAnsi="仿宋" w:eastAsia="仿宋" w:cs="仿宋"/>
          <w:sz w:val="32"/>
          <w:szCs w:val="32"/>
        </w:rPr>
        <w:t>01号。本标准为沁州黄小米区域公用品牌标准化体系第二层级行业类技术标准，与《沁州黄小米区域公用品牌通用要求 农食产品》《“沁州黄小米” 农产品加工管理规范》《“沁州黄小米” 特色产品技术规范 小米》等配套使用，用于规范沁州黄小米种植全流程、保障原料品质、支撑品牌自愿性认证与产业高质量发展。</w:t>
      </w:r>
    </w:p>
    <w:p w14:paraId="4666C000">
      <w:pPr>
        <w:numPr>
          <w:ilvl w:val="0"/>
          <w:numId w:val="2"/>
        </w:numPr>
        <w:ind w:left="-420" w:leftChars="0" w:firstLine="420" w:firstLineChars="0"/>
        <w:rPr>
          <w:rFonts w:hint="eastAsia" w:ascii="黑体" w:hAnsi="黑体" w:eastAsia="黑体" w:cs="黑体"/>
          <w:sz w:val="32"/>
          <w:szCs w:val="32"/>
        </w:rPr>
      </w:pPr>
      <w:r>
        <w:rPr>
          <w:rFonts w:hint="eastAsia" w:ascii="黑体" w:hAnsi="黑体" w:eastAsia="黑体" w:cs="黑体"/>
          <w:sz w:val="32"/>
          <w:szCs w:val="32"/>
        </w:rPr>
        <w:t>编制背景及目标</w:t>
      </w:r>
    </w:p>
    <w:p w14:paraId="079E80EF">
      <w:pPr>
        <w:numPr>
          <w:ilvl w:val="0"/>
          <w:numId w:val="3"/>
        </w:numPr>
        <w:ind w:left="845" w:leftChars="0" w:hanging="425" w:firstLineChars="0"/>
        <w:rPr>
          <w:rFonts w:hint="eastAsia" w:ascii="仿宋" w:hAnsi="仿宋" w:eastAsia="仿宋" w:cs="仿宋"/>
          <w:b/>
          <w:bCs/>
          <w:sz w:val="32"/>
          <w:szCs w:val="32"/>
        </w:rPr>
      </w:pPr>
      <w:r>
        <w:rPr>
          <w:rFonts w:hint="eastAsia" w:ascii="仿宋" w:hAnsi="仿宋" w:eastAsia="仿宋" w:cs="仿宋"/>
          <w:b/>
          <w:bCs/>
          <w:sz w:val="32"/>
          <w:szCs w:val="32"/>
        </w:rPr>
        <w:t>编制背景</w:t>
      </w:r>
    </w:p>
    <w:p w14:paraId="36808F46">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沁州黄小米是山西省长治市标志性区域公用品牌，依托太行山与太岳山之间独特气候、土壤条件形成高品质特色农食产品，种植环节是保障产品品质的核心源头。当前产业存在种植环境不统一、品种选用不规范、施肥用药标准不一、田间管理粗放、采收储运标准缺失等问题，导致原料品质参差不齐，制约品牌高质量发展，亟需以标准引领种植环节规范化、标准化、绿色化</w:t>
      </w:r>
      <w:r>
        <w:rPr>
          <w:rFonts w:hint="eastAsia" w:ascii="仿宋" w:hAnsi="仿宋" w:eastAsia="仿宋" w:cs="仿宋"/>
          <w:sz w:val="32"/>
          <w:szCs w:val="32"/>
        </w:rPr>
        <w:t>。</w:t>
      </w:r>
    </w:p>
    <w:p w14:paraId="1E1043D8">
      <w:pPr>
        <w:numPr>
          <w:ilvl w:val="0"/>
          <w:numId w:val="3"/>
        </w:numPr>
        <w:ind w:left="845" w:leftChars="0" w:hanging="425" w:firstLineChars="0"/>
        <w:rPr>
          <w:rFonts w:hint="eastAsia" w:ascii="仿宋" w:hAnsi="仿宋" w:eastAsia="仿宋" w:cs="仿宋"/>
          <w:b/>
          <w:bCs/>
          <w:sz w:val="32"/>
          <w:szCs w:val="32"/>
        </w:rPr>
      </w:pPr>
      <w:r>
        <w:rPr>
          <w:rFonts w:hint="eastAsia" w:ascii="仿宋" w:hAnsi="仿宋" w:eastAsia="仿宋" w:cs="仿宋"/>
          <w:b/>
          <w:bCs/>
          <w:sz w:val="32"/>
          <w:szCs w:val="32"/>
        </w:rPr>
        <w:t>编制目标</w:t>
      </w:r>
    </w:p>
    <w:p w14:paraId="31263460">
      <w:pPr>
        <w:numPr>
          <w:numId w:val="0"/>
        </w:numPr>
        <w:ind w:firstLine="640" w:firstLineChars="200"/>
        <w:rPr>
          <w:rFonts w:hint="eastAsia" w:ascii="仿宋" w:hAnsi="仿宋" w:eastAsia="仿宋" w:cs="仿宋"/>
          <w:sz w:val="32"/>
          <w:szCs w:val="32"/>
        </w:rPr>
      </w:pPr>
      <w:r>
        <w:rPr>
          <w:rFonts w:hint="eastAsia" w:ascii="仿宋" w:hAnsi="仿宋" w:eastAsia="仿宋" w:cs="仿宋"/>
          <w:sz w:val="32"/>
          <w:szCs w:val="32"/>
        </w:rPr>
        <w:t>（1）明确沁州黄小米种植环境、品种、田间管理、采收、储运全流程技术要求，统一种植准入门槛与操作规范。</w:t>
      </w:r>
    </w:p>
    <w:p w14:paraId="5BEC10E0">
      <w:pPr>
        <w:numPr>
          <w:numId w:val="0"/>
        </w:numPr>
        <w:ind w:firstLine="640" w:firstLineChars="200"/>
        <w:rPr>
          <w:rFonts w:hint="eastAsia" w:ascii="仿宋" w:hAnsi="仿宋" w:eastAsia="仿宋" w:cs="仿宋"/>
          <w:sz w:val="32"/>
          <w:szCs w:val="32"/>
        </w:rPr>
      </w:pPr>
      <w:r>
        <w:rPr>
          <w:rFonts w:hint="eastAsia" w:ascii="仿宋" w:hAnsi="仿宋" w:eastAsia="仿宋" w:cs="仿宋"/>
          <w:sz w:val="32"/>
          <w:szCs w:val="32"/>
        </w:rPr>
        <w:t>（2）落实绿色种植理念，规范有机肥使用、病虫害绿色防控、科学灌溉等关键环节，保障原料安全优质。</w:t>
      </w:r>
    </w:p>
    <w:p w14:paraId="3875C9F4">
      <w:pPr>
        <w:numPr>
          <w:numId w:val="0"/>
        </w:numPr>
        <w:ind w:firstLine="640" w:firstLineChars="200"/>
        <w:rPr>
          <w:rFonts w:hint="eastAsia" w:ascii="仿宋" w:hAnsi="仿宋" w:eastAsia="仿宋" w:cs="仿宋"/>
          <w:sz w:val="32"/>
          <w:szCs w:val="32"/>
        </w:rPr>
      </w:pPr>
      <w:r>
        <w:rPr>
          <w:rFonts w:hint="eastAsia" w:ascii="仿宋" w:hAnsi="仿宋" w:eastAsia="仿宋" w:cs="仿宋"/>
          <w:sz w:val="32"/>
          <w:szCs w:val="32"/>
        </w:rPr>
        <w:t>（3）完善种植环节记录与追溯体系，实现从田间到原料入库全程可查。</w:t>
      </w:r>
    </w:p>
    <w:p w14:paraId="7B5A4FC0">
      <w:pPr>
        <w:numPr>
          <w:numId w:val="0"/>
        </w:numPr>
        <w:ind w:firstLine="640" w:firstLineChars="200"/>
        <w:rPr>
          <w:rFonts w:hint="eastAsia" w:ascii="仿宋" w:hAnsi="仿宋" w:eastAsia="仿宋" w:cs="仿宋"/>
          <w:sz w:val="32"/>
          <w:szCs w:val="32"/>
        </w:rPr>
      </w:pPr>
      <w:r>
        <w:rPr>
          <w:rFonts w:hint="eastAsia" w:ascii="仿宋" w:hAnsi="仿宋" w:eastAsia="仿宋" w:cs="仿宋"/>
          <w:sz w:val="32"/>
          <w:szCs w:val="32"/>
        </w:rPr>
        <w:t>（4）支撑区域公用品牌认证授权，助力长治小米种植产业提质增效、农户增收。</w:t>
      </w:r>
    </w:p>
    <w:p w14:paraId="7B401C25">
      <w:pPr>
        <w:numPr>
          <w:ilvl w:val="0"/>
          <w:numId w:val="3"/>
        </w:numPr>
        <w:ind w:left="845" w:leftChars="0" w:hanging="425" w:firstLineChars="0"/>
        <w:rPr>
          <w:rFonts w:hint="eastAsia" w:ascii="仿宋" w:hAnsi="仿宋" w:eastAsia="仿宋" w:cs="仿宋"/>
          <w:b/>
          <w:bCs/>
          <w:sz w:val="32"/>
          <w:szCs w:val="32"/>
        </w:rPr>
      </w:pPr>
      <w:r>
        <w:rPr>
          <w:rFonts w:hint="eastAsia" w:ascii="仿宋" w:hAnsi="仿宋" w:eastAsia="仿宋" w:cs="仿宋"/>
          <w:b/>
          <w:bCs/>
          <w:sz w:val="32"/>
          <w:szCs w:val="32"/>
        </w:rPr>
        <w:t>工作过程</w:t>
      </w:r>
    </w:p>
    <w:p w14:paraId="56270998">
      <w:pPr>
        <w:numPr>
          <w:ilvl w:val="0"/>
          <w:numId w:val="0"/>
        </w:numPr>
        <w:ind w:firstLine="640" w:firstLineChars="200"/>
        <w:rPr>
          <w:rFonts w:hint="eastAsia" w:ascii="仿宋" w:hAnsi="仿宋" w:eastAsia="仿宋" w:cs="仿宋"/>
          <w:sz w:val="32"/>
          <w:szCs w:val="32"/>
        </w:rPr>
      </w:pPr>
      <w:r>
        <w:rPr>
          <w:rFonts w:hint="eastAsia" w:ascii="仿宋" w:hAnsi="仿宋" w:eastAsia="仿宋" w:cs="仿宋"/>
          <w:sz w:val="32"/>
          <w:szCs w:val="32"/>
        </w:rPr>
        <w:t>（1）启动与调研阶段（2025年10月—2026年3月）</w:t>
      </w:r>
    </w:p>
    <w:p w14:paraId="31E90131">
      <w:pPr>
        <w:numPr>
          <w:ilvl w:val="0"/>
          <w:numId w:val="0"/>
        </w:numPr>
        <w:ind w:firstLine="640" w:firstLineChars="200"/>
        <w:rPr>
          <w:rFonts w:hint="eastAsia" w:ascii="仿宋" w:hAnsi="仿宋" w:eastAsia="仿宋" w:cs="仿宋"/>
          <w:sz w:val="32"/>
          <w:szCs w:val="32"/>
        </w:rPr>
      </w:pPr>
      <w:r>
        <w:rPr>
          <w:rFonts w:hint="eastAsia" w:ascii="仿宋" w:hAnsi="仿宋" w:eastAsia="仿宋" w:cs="仿宋"/>
          <w:sz w:val="32"/>
          <w:szCs w:val="32"/>
        </w:rPr>
        <w:t>成立标准起草组，深入长治市沁县、武乡等沁州黄小米主产区，调研种植主体、合作社、龙头企业种植现状，收集品种选用、施肥用药、田间管理、采收储运等实操数据，对标国家土壤、灌溉、农药、肥料等相关法规与标准。</w:t>
      </w:r>
    </w:p>
    <w:p w14:paraId="45C03142">
      <w:pPr>
        <w:numPr>
          <w:ilvl w:val="0"/>
          <w:numId w:val="0"/>
        </w:numPr>
        <w:ind w:firstLine="640" w:firstLineChars="200"/>
        <w:rPr>
          <w:rFonts w:hint="eastAsia" w:ascii="仿宋" w:hAnsi="仿宋" w:eastAsia="仿宋" w:cs="仿宋"/>
          <w:sz w:val="32"/>
          <w:szCs w:val="32"/>
        </w:rPr>
      </w:pPr>
      <w:r>
        <w:rPr>
          <w:rFonts w:hint="eastAsia" w:ascii="仿宋" w:hAnsi="仿宋" w:eastAsia="仿宋" w:cs="仿宋"/>
          <w:sz w:val="32"/>
          <w:szCs w:val="32"/>
        </w:rPr>
        <w:t>（2）框架设计与草案起草阶段（2026年3月—2026年3月）</w:t>
      </w:r>
    </w:p>
    <w:p w14:paraId="48CEC08B">
      <w:pPr>
        <w:numPr>
          <w:ilvl w:val="0"/>
          <w:numId w:val="0"/>
        </w:numPr>
        <w:ind w:firstLine="640" w:firstLineChars="200"/>
        <w:rPr>
          <w:rFonts w:hint="eastAsia" w:ascii="仿宋" w:hAnsi="仿宋" w:eastAsia="仿宋" w:cs="仿宋"/>
          <w:sz w:val="32"/>
          <w:szCs w:val="32"/>
        </w:rPr>
      </w:pPr>
      <w:r>
        <w:rPr>
          <w:rFonts w:hint="eastAsia" w:ascii="仿宋" w:hAnsi="仿宋" w:eastAsia="仿宋" w:cs="仿宋"/>
          <w:sz w:val="32"/>
          <w:szCs w:val="32"/>
        </w:rPr>
        <w:t>依据 GB/T 1.1—2020 搭建标准框架，确定范围、规范性引用文件、术语定义、环境要求、种植过程、采收、包装运输贮藏、质量要求、管理保障等核心章节，结合当地种植传统与绿色生产要求，形成标准草案初稿。</w:t>
      </w:r>
    </w:p>
    <w:p w14:paraId="771A5BA6">
      <w:pPr>
        <w:numPr>
          <w:ilvl w:val="0"/>
          <w:numId w:val="0"/>
        </w:numPr>
        <w:ind w:firstLine="640" w:firstLineChars="200"/>
        <w:rPr>
          <w:rFonts w:hint="eastAsia" w:ascii="仿宋" w:hAnsi="仿宋" w:eastAsia="仿宋" w:cs="仿宋"/>
          <w:sz w:val="32"/>
          <w:szCs w:val="32"/>
        </w:rPr>
      </w:pPr>
      <w:r>
        <w:rPr>
          <w:rFonts w:hint="eastAsia" w:ascii="仿宋" w:hAnsi="仿宋" w:eastAsia="仿宋" w:cs="仿宋"/>
          <w:sz w:val="32"/>
          <w:szCs w:val="32"/>
        </w:rPr>
        <w:t>（3）意见征集与修改完善阶段（2026年4-5月）</w:t>
      </w:r>
    </w:p>
    <w:p w14:paraId="1A3FEC3C">
      <w:pPr>
        <w:numPr>
          <w:ilvl w:val="0"/>
          <w:numId w:val="0"/>
        </w:numPr>
        <w:ind w:firstLine="640" w:firstLineChars="200"/>
        <w:rPr>
          <w:rFonts w:hint="eastAsia" w:ascii="仿宋" w:hAnsi="仿宋" w:eastAsia="仿宋" w:cs="仿宋"/>
          <w:sz w:val="32"/>
          <w:szCs w:val="32"/>
        </w:rPr>
      </w:pPr>
      <w:r>
        <w:rPr>
          <w:rFonts w:hint="eastAsia" w:ascii="仿宋" w:hAnsi="仿宋" w:eastAsia="仿宋" w:cs="仿宋"/>
          <w:sz w:val="32"/>
          <w:szCs w:val="32"/>
        </w:rPr>
        <w:t>面向农业农村主管部门、山西农业大学、谷子研究所、种植合作社、龙头企业征求意见，优化品种推荐、施肥防控、追溯记录等条款，细化实操要求，形成</w:t>
      </w:r>
      <w:r>
        <w:rPr>
          <w:rFonts w:hint="eastAsia" w:ascii="仿宋" w:hAnsi="仿宋" w:eastAsia="仿宋" w:cs="仿宋"/>
          <w:sz w:val="32"/>
          <w:szCs w:val="32"/>
          <w:lang w:val="en-US" w:eastAsia="zh-CN"/>
        </w:rPr>
        <w:t>征求意见</w:t>
      </w:r>
      <w:r>
        <w:rPr>
          <w:rFonts w:hint="eastAsia" w:ascii="仿宋" w:hAnsi="仿宋" w:eastAsia="仿宋" w:cs="仿宋"/>
          <w:sz w:val="32"/>
          <w:szCs w:val="32"/>
        </w:rPr>
        <w:t>稿。</w:t>
      </w:r>
    </w:p>
    <w:p w14:paraId="3F56CC1D">
      <w:pPr>
        <w:numPr>
          <w:ilvl w:val="0"/>
          <w:numId w:val="3"/>
        </w:numPr>
        <w:ind w:left="845" w:leftChars="0" w:hanging="425" w:firstLineChars="0"/>
        <w:rPr>
          <w:rFonts w:hint="eastAsia" w:ascii="仿宋" w:hAnsi="仿宋" w:eastAsia="仿宋" w:cs="仿宋"/>
          <w:b/>
          <w:bCs/>
          <w:sz w:val="32"/>
          <w:szCs w:val="32"/>
        </w:rPr>
      </w:pPr>
      <w:r>
        <w:rPr>
          <w:rFonts w:hint="eastAsia" w:ascii="仿宋" w:hAnsi="仿宋" w:eastAsia="仿宋" w:cs="仿宋"/>
          <w:b/>
          <w:bCs/>
          <w:sz w:val="32"/>
          <w:szCs w:val="32"/>
        </w:rPr>
        <w:t>主要起草单位及起草人</w:t>
      </w:r>
    </w:p>
    <w:p w14:paraId="24844416">
      <w:pPr>
        <w:numPr>
          <w:ilvl w:val="0"/>
          <w:numId w:val="0"/>
        </w:numPr>
        <w:ind w:firstLine="640" w:firstLineChars="200"/>
        <w:rPr>
          <w:rFonts w:hint="eastAsia" w:ascii="仿宋" w:hAnsi="仿宋" w:eastAsia="仿宋" w:cs="仿宋"/>
          <w:sz w:val="32"/>
          <w:szCs w:val="32"/>
        </w:rPr>
      </w:pPr>
      <w:r>
        <w:rPr>
          <w:rFonts w:hint="eastAsia" w:ascii="仿宋" w:hAnsi="仿宋" w:eastAsia="仿宋" w:cs="仿宋"/>
          <w:sz w:val="32"/>
          <w:szCs w:val="32"/>
        </w:rPr>
        <w:t>（1）参与单位</w:t>
      </w:r>
    </w:p>
    <w:p w14:paraId="2A6E7D58">
      <w:pPr>
        <w:numPr>
          <w:ilvl w:val="0"/>
          <w:numId w:val="0"/>
        </w:numPr>
        <w:ind w:firstLine="640" w:firstLineChars="200"/>
        <w:rPr>
          <w:rFonts w:hint="eastAsia" w:ascii="仿宋" w:hAnsi="仿宋" w:eastAsia="仿宋" w:cs="仿宋"/>
          <w:sz w:val="32"/>
          <w:szCs w:val="32"/>
        </w:rPr>
      </w:pPr>
      <w:r>
        <w:rPr>
          <w:rFonts w:hint="eastAsia" w:ascii="仿宋" w:hAnsi="仿宋" w:eastAsia="仿宋" w:cs="仿宋"/>
          <w:sz w:val="32"/>
          <w:szCs w:val="32"/>
        </w:rPr>
        <w:t>方圆标志认证集团有限公司、方圆标志认证集团有限公司山西分公司、方圆标志检验检测（山东）有限公司、山西农业大学农学院、山西沁州黄小米集团有限公司、山西农业大学谷子研究所、山西晋美庄园农产品有限公司、山西北方水城食品科技股份有限公司、山西太行沃土农业产品有限公司、武乡县老家农业开发有限公司、长治市中药材产业发展中心（长治市小米产业发展中心）、长治市太行农林产业发展有限公司。</w:t>
      </w:r>
    </w:p>
    <w:p w14:paraId="5F801DCA">
      <w:pPr>
        <w:numPr>
          <w:ilvl w:val="0"/>
          <w:numId w:val="0"/>
        </w:numPr>
        <w:ind w:firstLine="640" w:firstLineChars="200"/>
        <w:rPr>
          <w:rFonts w:hint="eastAsia" w:ascii="仿宋" w:hAnsi="仿宋" w:eastAsia="仿宋" w:cs="仿宋"/>
          <w:sz w:val="32"/>
          <w:szCs w:val="32"/>
        </w:rPr>
      </w:pPr>
      <w:r>
        <w:rPr>
          <w:rFonts w:hint="eastAsia" w:ascii="仿宋" w:hAnsi="仿宋" w:eastAsia="仿宋" w:cs="仿宋"/>
          <w:sz w:val="32"/>
          <w:szCs w:val="32"/>
        </w:rPr>
        <w:t>（2）起草人</w:t>
      </w:r>
    </w:p>
    <w:p w14:paraId="240B8425">
      <w:pPr>
        <w:numPr>
          <w:ilvl w:val="0"/>
          <w:numId w:val="0"/>
        </w:num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杜永权、</w:t>
      </w:r>
      <w:r>
        <w:rPr>
          <w:rFonts w:hint="eastAsia" w:ascii="仿宋" w:hAnsi="仿宋" w:eastAsia="仿宋" w:cs="仿宋"/>
          <w:sz w:val="32"/>
          <w:szCs w:val="32"/>
        </w:rPr>
        <w:t>赵平珊、焦盼</w:t>
      </w:r>
      <w:r>
        <w:rPr>
          <w:rFonts w:hint="eastAsia" w:ascii="仿宋" w:hAnsi="仿宋" w:eastAsia="仿宋" w:cs="仿宋"/>
          <w:sz w:val="32"/>
          <w:szCs w:val="32"/>
          <w:lang w:eastAsia="zh-CN"/>
        </w:rPr>
        <w:t>、</w:t>
      </w:r>
      <w:r>
        <w:rPr>
          <w:rFonts w:hint="eastAsia" w:ascii="仿宋" w:hAnsi="仿宋" w:eastAsia="仿宋" w:cs="仿宋"/>
          <w:sz w:val="32"/>
          <w:szCs w:val="32"/>
        </w:rPr>
        <w:t>杜文娟、牛永红、吴华伟、张东平、原向阳、武挺、王峰、石耀武、。。。。。。。。</w:t>
      </w:r>
    </w:p>
    <w:p w14:paraId="09453F32">
      <w:pPr>
        <w:keepNext w:val="0"/>
        <w:keepLines w:val="0"/>
        <w:pageBreakBefore w:val="0"/>
        <w:widowControl w:val="0"/>
        <w:numPr>
          <w:ilvl w:val="0"/>
          <w:numId w:val="1"/>
        </w:numPr>
        <w:kinsoku/>
        <w:wordWrap/>
        <w:overflowPunct/>
        <w:topLinePunct w:val="0"/>
        <w:autoSpaceDE/>
        <w:autoSpaceDN/>
        <w:bidi w:val="0"/>
        <w:adjustRightInd/>
        <w:snapToGrid/>
        <w:spacing w:beforeAutospacing="0"/>
        <w:ind w:left="0" w:leftChars="0" w:firstLine="0" w:firstLineChars="0"/>
        <w:textAlignment w:val="auto"/>
        <w:rPr>
          <w:rFonts w:hint="eastAsia" w:ascii="黑体" w:hAnsi="黑体" w:eastAsia="黑体" w:cs="黑体"/>
          <w:sz w:val="32"/>
          <w:szCs w:val="32"/>
        </w:rPr>
      </w:pPr>
      <w:r>
        <w:rPr>
          <w:rFonts w:hint="eastAsia" w:ascii="黑体" w:hAnsi="黑体" w:eastAsia="黑体" w:cs="黑体"/>
          <w:sz w:val="32"/>
          <w:szCs w:val="32"/>
        </w:rPr>
        <w:t>标准编制原则和主要内容</w:t>
      </w:r>
    </w:p>
    <w:p w14:paraId="30325F6C">
      <w:pPr>
        <w:numPr>
          <w:ilvl w:val="0"/>
          <w:numId w:val="4"/>
        </w:numPr>
        <w:ind w:left="845" w:leftChars="0" w:hanging="425" w:firstLineChars="0"/>
        <w:rPr>
          <w:rFonts w:hint="eastAsia" w:ascii="仿宋" w:hAnsi="仿宋" w:eastAsia="仿宋" w:cs="仿宋"/>
          <w:b/>
          <w:bCs/>
          <w:sz w:val="32"/>
          <w:szCs w:val="32"/>
        </w:rPr>
      </w:pPr>
      <w:r>
        <w:rPr>
          <w:rFonts w:hint="eastAsia" w:ascii="仿宋" w:hAnsi="仿宋" w:eastAsia="仿宋" w:cs="仿宋"/>
          <w:b/>
          <w:bCs/>
          <w:sz w:val="32"/>
          <w:szCs w:val="32"/>
        </w:rPr>
        <w:t>标准制定原则</w:t>
      </w:r>
    </w:p>
    <w:p w14:paraId="71303060">
      <w:pPr>
        <w:numPr>
          <w:ilvl w:val="0"/>
          <w:numId w:val="5"/>
        </w:numPr>
        <w:ind w:left="845" w:leftChars="0" w:hanging="425" w:firstLineChars="0"/>
        <w:rPr>
          <w:rFonts w:hint="eastAsia" w:ascii="仿宋" w:hAnsi="仿宋" w:eastAsia="仿宋" w:cs="仿宋"/>
          <w:b/>
          <w:bCs/>
          <w:sz w:val="32"/>
          <w:szCs w:val="32"/>
        </w:rPr>
      </w:pPr>
      <w:r>
        <w:rPr>
          <w:rFonts w:hint="eastAsia" w:ascii="仿宋" w:hAnsi="仿宋" w:eastAsia="仿宋" w:cs="仿宋"/>
          <w:b/>
          <w:bCs/>
          <w:sz w:val="32"/>
          <w:szCs w:val="32"/>
        </w:rPr>
        <w:t>合规性原则：</w:t>
      </w:r>
    </w:p>
    <w:p w14:paraId="77227A81">
      <w:pPr>
        <w:numPr>
          <w:ilvl w:val="0"/>
          <w:numId w:val="0"/>
        </w:numPr>
        <w:ind w:firstLine="640" w:firstLineChars="200"/>
        <w:rPr>
          <w:rFonts w:hint="eastAsia" w:ascii="仿宋" w:hAnsi="仿宋" w:eastAsia="仿宋" w:cs="仿宋"/>
          <w:sz w:val="32"/>
          <w:szCs w:val="32"/>
        </w:rPr>
      </w:pPr>
      <w:r>
        <w:rPr>
          <w:rFonts w:hint="eastAsia" w:ascii="仿宋" w:hAnsi="仿宋" w:eastAsia="仿宋" w:cs="仿宋"/>
          <w:sz w:val="32"/>
          <w:szCs w:val="32"/>
        </w:rPr>
        <w:t>严格遵循《农产品质量安全法》《土壤污染防治法》，对标 GB 3095、GB 5084、GB 15618、GB 38400、NY/T 1276 等国家 / 行业标准，确保种植环节合法合规。</w:t>
      </w:r>
    </w:p>
    <w:p w14:paraId="3051CE94">
      <w:pPr>
        <w:numPr>
          <w:ilvl w:val="0"/>
          <w:numId w:val="5"/>
        </w:numPr>
        <w:ind w:left="845" w:leftChars="0" w:hanging="425" w:firstLineChars="0"/>
        <w:rPr>
          <w:rFonts w:hint="eastAsia" w:ascii="仿宋" w:hAnsi="仿宋" w:eastAsia="仿宋" w:cs="仿宋"/>
          <w:b/>
          <w:bCs/>
          <w:sz w:val="32"/>
          <w:szCs w:val="32"/>
        </w:rPr>
      </w:pPr>
      <w:r>
        <w:rPr>
          <w:rFonts w:hint="eastAsia" w:ascii="仿宋" w:hAnsi="仿宋" w:eastAsia="仿宋" w:cs="仿宋"/>
          <w:b/>
          <w:bCs/>
          <w:sz w:val="32"/>
          <w:szCs w:val="32"/>
        </w:rPr>
        <w:t>地域适配原则</w:t>
      </w:r>
    </w:p>
    <w:p w14:paraId="60308069">
      <w:pPr>
        <w:numPr>
          <w:ilvl w:val="0"/>
          <w:numId w:val="0"/>
        </w:numPr>
        <w:ind w:firstLine="640" w:firstLineChars="200"/>
        <w:rPr>
          <w:rFonts w:hint="eastAsia" w:ascii="仿宋" w:hAnsi="仿宋" w:eastAsia="仿宋" w:cs="仿宋"/>
          <w:sz w:val="32"/>
          <w:szCs w:val="32"/>
        </w:rPr>
      </w:pPr>
      <w:r>
        <w:rPr>
          <w:rFonts w:hint="eastAsia" w:ascii="仿宋" w:hAnsi="仿宋" w:eastAsia="仿宋" w:cs="仿宋"/>
          <w:sz w:val="32"/>
          <w:szCs w:val="32"/>
        </w:rPr>
        <w:t>贴合长治市气候、土壤、种植传统，选用适宜当地的品种与田间管理方式，兼顾小农户与规模化种植主体。</w:t>
      </w:r>
    </w:p>
    <w:p w14:paraId="7A240B9E">
      <w:pPr>
        <w:numPr>
          <w:ilvl w:val="0"/>
          <w:numId w:val="5"/>
        </w:numPr>
        <w:ind w:left="845" w:leftChars="0" w:hanging="425" w:firstLineChars="0"/>
        <w:rPr>
          <w:rFonts w:hint="eastAsia" w:ascii="仿宋" w:hAnsi="仿宋" w:eastAsia="仿宋" w:cs="仿宋"/>
          <w:b/>
          <w:bCs/>
          <w:sz w:val="32"/>
          <w:szCs w:val="32"/>
        </w:rPr>
      </w:pPr>
      <w:r>
        <w:rPr>
          <w:rFonts w:hint="eastAsia" w:ascii="仿宋" w:hAnsi="仿宋" w:eastAsia="仿宋" w:cs="仿宋"/>
          <w:b/>
          <w:bCs/>
          <w:sz w:val="32"/>
          <w:szCs w:val="32"/>
        </w:rPr>
        <w:t>绿色安全原则</w:t>
      </w:r>
    </w:p>
    <w:p w14:paraId="5AE7DE6E">
      <w:pPr>
        <w:numPr>
          <w:ilvl w:val="0"/>
          <w:numId w:val="0"/>
        </w:numPr>
        <w:ind w:firstLine="640" w:firstLineChars="200"/>
        <w:rPr>
          <w:rFonts w:hint="eastAsia" w:ascii="仿宋" w:hAnsi="仿宋" w:eastAsia="仿宋" w:cs="仿宋"/>
          <w:sz w:val="32"/>
          <w:szCs w:val="32"/>
        </w:rPr>
      </w:pPr>
      <w:r>
        <w:rPr>
          <w:rFonts w:hint="eastAsia" w:ascii="仿宋" w:hAnsi="仿宋" w:eastAsia="仿宋" w:cs="仿宋"/>
          <w:sz w:val="32"/>
          <w:szCs w:val="32"/>
        </w:rPr>
        <w:t>优先绿色防控、有机肥施用，严控农药化肥使用，保障原料质量安全与生态环保。</w:t>
      </w:r>
    </w:p>
    <w:p w14:paraId="73890E81">
      <w:pPr>
        <w:numPr>
          <w:ilvl w:val="0"/>
          <w:numId w:val="5"/>
        </w:numPr>
        <w:ind w:left="845" w:leftChars="0" w:hanging="425" w:firstLineChars="0"/>
        <w:rPr>
          <w:rFonts w:hint="eastAsia" w:ascii="仿宋" w:hAnsi="仿宋" w:eastAsia="仿宋" w:cs="仿宋"/>
          <w:b/>
          <w:bCs/>
          <w:sz w:val="32"/>
          <w:szCs w:val="32"/>
        </w:rPr>
      </w:pPr>
      <w:r>
        <w:rPr>
          <w:rFonts w:hint="eastAsia" w:ascii="仿宋" w:hAnsi="仿宋" w:eastAsia="仿宋" w:cs="仿宋"/>
          <w:b/>
          <w:bCs/>
          <w:sz w:val="32"/>
          <w:szCs w:val="32"/>
        </w:rPr>
        <w:t>全程管控原则</w:t>
      </w:r>
    </w:p>
    <w:p w14:paraId="3E70B16F">
      <w:pPr>
        <w:numPr>
          <w:ilvl w:val="0"/>
          <w:numId w:val="0"/>
        </w:numPr>
        <w:ind w:firstLine="640" w:firstLineChars="200"/>
        <w:rPr>
          <w:rFonts w:hint="eastAsia" w:ascii="仿宋" w:hAnsi="仿宋" w:eastAsia="仿宋" w:cs="仿宋"/>
          <w:sz w:val="32"/>
          <w:szCs w:val="32"/>
        </w:rPr>
      </w:pPr>
      <w:r>
        <w:rPr>
          <w:rFonts w:hint="eastAsia" w:ascii="仿宋" w:hAnsi="仿宋" w:eastAsia="仿宋" w:cs="仿宋"/>
          <w:sz w:val="32"/>
          <w:szCs w:val="32"/>
        </w:rPr>
        <w:t>覆盖种植环境、品种、田间管理、采收、储运全链条，明确操作规范与记录要求。</w:t>
      </w:r>
    </w:p>
    <w:p w14:paraId="7DB60B0E">
      <w:pPr>
        <w:numPr>
          <w:ilvl w:val="0"/>
          <w:numId w:val="5"/>
        </w:numPr>
        <w:ind w:left="845" w:leftChars="0" w:hanging="425" w:firstLineChars="0"/>
        <w:rPr>
          <w:rFonts w:hint="eastAsia" w:ascii="仿宋" w:hAnsi="仿宋" w:eastAsia="仿宋" w:cs="仿宋"/>
          <w:b/>
          <w:bCs/>
          <w:sz w:val="32"/>
          <w:szCs w:val="32"/>
        </w:rPr>
      </w:pPr>
      <w:r>
        <w:rPr>
          <w:rFonts w:hint="eastAsia" w:ascii="仿宋" w:hAnsi="仿宋" w:eastAsia="仿宋" w:cs="仿宋"/>
          <w:b/>
          <w:bCs/>
          <w:sz w:val="32"/>
          <w:szCs w:val="32"/>
        </w:rPr>
        <w:t>可落地原则</w:t>
      </w:r>
    </w:p>
    <w:p w14:paraId="43A5D214">
      <w:pPr>
        <w:numPr>
          <w:ilvl w:val="0"/>
          <w:numId w:val="0"/>
        </w:numPr>
        <w:ind w:firstLine="640" w:firstLineChars="200"/>
        <w:rPr>
          <w:rFonts w:hint="eastAsia" w:ascii="仿宋" w:hAnsi="仿宋" w:eastAsia="仿宋" w:cs="仿宋"/>
          <w:sz w:val="32"/>
          <w:szCs w:val="32"/>
        </w:rPr>
      </w:pPr>
      <w:r>
        <w:rPr>
          <w:rFonts w:hint="eastAsia" w:ascii="仿宋" w:hAnsi="仿宋" w:eastAsia="仿宋" w:cs="仿宋"/>
          <w:sz w:val="32"/>
          <w:szCs w:val="32"/>
        </w:rPr>
        <w:t>条款简洁易懂、操作性强，适配当地种植生产实际，便于自我评价与第三方认证核查。</w:t>
      </w:r>
    </w:p>
    <w:p w14:paraId="452AFEA2">
      <w:pPr>
        <w:numPr>
          <w:ilvl w:val="0"/>
          <w:numId w:val="4"/>
        </w:numPr>
        <w:ind w:left="845" w:leftChars="0" w:hanging="425" w:firstLineChars="0"/>
        <w:rPr>
          <w:rFonts w:hint="eastAsia" w:ascii="仿宋" w:hAnsi="仿宋" w:eastAsia="仿宋" w:cs="仿宋"/>
          <w:b/>
          <w:bCs/>
          <w:sz w:val="32"/>
          <w:szCs w:val="32"/>
        </w:rPr>
      </w:pPr>
      <w:r>
        <w:rPr>
          <w:rFonts w:hint="eastAsia" w:ascii="仿宋" w:hAnsi="仿宋" w:eastAsia="仿宋" w:cs="仿宋"/>
          <w:b/>
          <w:bCs/>
          <w:sz w:val="32"/>
          <w:szCs w:val="32"/>
        </w:rPr>
        <w:t>标准主要技术内容</w:t>
      </w:r>
    </w:p>
    <w:p w14:paraId="6611402B">
      <w:pPr>
        <w:ind w:firstLine="640" w:firstLineChars="200"/>
        <w:rPr>
          <w:rFonts w:hint="eastAsia" w:ascii="仿宋" w:hAnsi="仿宋" w:eastAsia="仿宋" w:cs="仿宋"/>
          <w:sz w:val="32"/>
          <w:szCs w:val="32"/>
        </w:rPr>
      </w:pPr>
      <w:r>
        <w:rPr>
          <w:rFonts w:hint="eastAsia" w:ascii="仿宋" w:hAnsi="仿宋" w:eastAsia="仿宋" w:cs="仿宋"/>
          <w:sz w:val="32"/>
          <w:szCs w:val="32"/>
        </w:rPr>
        <w:t>本标准共 9 章，核心内容如下：</w:t>
      </w:r>
    </w:p>
    <w:p w14:paraId="1E0838FE">
      <w:pPr>
        <w:ind w:firstLine="643" w:firstLineChars="200"/>
        <w:rPr>
          <w:rFonts w:hint="eastAsia" w:ascii="仿宋" w:hAnsi="仿宋" w:eastAsia="仿宋" w:cs="仿宋"/>
          <w:sz w:val="32"/>
          <w:szCs w:val="32"/>
        </w:rPr>
      </w:pPr>
      <w:r>
        <w:rPr>
          <w:rFonts w:hint="eastAsia" w:ascii="仿宋" w:hAnsi="仿宋" w:eastAsia="仿宋" w:cs="仿宋"/>
          <w:b/>
          <w:bCs/>
          <w:sz w:val="32"/>
          <w:szCs w:val="32"/>
          <w:lang w:val="en-US" w:eastAsia="zh-CN"/>
        </w:rPr>
        <w:t>1.</w:t>
      </w:r>
      <w:r>
        <w:rPr>
          <w:rFonts w:hint="eastAsia" w:ascii="仿宋" w:hAnsi="仿宋" w:eastAsia="仿宋" w:cs="仿宋"/>
          <w:b/>
          <w:bCs/>
          <w:sz w:val="32"/>
          <w:szCs w:val="32"/>
        </w:rPr>
        <w:t>范围：</w:t>
      </w:r>
      <w:r>
        <w:rPr>
          <w:rFonts w:hint="eastAsia" w:ascii="仿宋" w:hAnsi="仿宋" w:eastAsia="仿宋" w:cs="仿宋"/>
          <w:sz w:val="32"/>
          <w:szCs w:val="32"/>
        </w:rPr>
        <w:t>适用于长治市域内沁州黄小米种植环节的自我评价与第三方认证。</w:t>
      </w:r>
    </w:p>
    <w:p w14:paraId="2872C877">
      <w:pPr>
        <w:ind w:firstLine="643" w:firstLineChars="200"/>
        <w:rPr>
          <w:rFonts w:hint="eastAsia" w:ascii="仿宋" w:hAnsi="仿宋" w:eastAsia="仿宋" w:cs="仿宋"/>
          <w:sz w:val="32"/>
          <w:szCs w:val="32"/>
        </w:rPr>
      </w:pPr>
      <w:r>
        <w:rPr>
          <w:rFonts w:hint="eastAsia" w:ascii="仿宋" w:hAnsi="仿宋" w:eastAsia="仿宋" w:cs="仿宋"/>
          <w:b/>
          <w:bCs/>
          <w:sz w:val="32"/>
          <w:szCs w:val="32"/>
          <w:lang w:val="en-US" w:eastAsia="zh-CN"/>
        </w:rPr>
        <w:t>2.规范性引用文件：</w:t>
      </w:r>
      <w:r>
        <w:rPr>
          <w:rFonts w:hint="eastAsia" w:ascii="仿宋" w:hAnsi="仿宋" w:eastAsia="仿宋" w:cs="仿宋"/>
          <w:sz w:val="32"/>
          <w:szCs w:val="32"/>
        </w:rPr>
        <w:t>引用环境、灌溉、土壤、肥料、农药、谷物质量等国家 / 行业标准。</w:t>
      </w:r>
    </w:p>
    <w:p w14:paraId="71F78BBE">
      <w:pPr>
        <w:ind w:firstLine="643" w:firstLineChars="200"/>
        <w:rPr>
          <w:rFonts w:hint="eastAsia" w:ascii="仿宋" w:hAnsi="仿宋" w:eastAsia="仿宋" w:cs="仿宋"/>
          <w:sz w:val="32"/>
          <w:szCs w:val="32"/>
        </w:rPr>
      </w:pPr>
      <w:r>
        <w:rPr>
          <w:rFonts w:hint="eastAsia" w:ascii="仿宋" w:hAnsi="仿宋" w:eastAsia="仿宋" w:cs="仿宋"/>
          <w:b/>
          <w:bCs/>
          <w:sz w:val="32"/>
          <w:szCs w:val="32"/>
          <w:lang w:val="en-US" w:eastAsia="zh-CN"/>
        </w:rPr>
        <w:t>3.术语和定义：</w:t>
      </w:r>
      <w:r>
        <w:rPr>
          <w:rFonts w:hint="eastAsia" w:ascii="仿宋" w:hAnsi="仿宋" w:eastAsia="仿宋" w:cs="仿宋"/>
          <w:sz w:val="32"/>
          <w:szCs w:val="32"/>
        </w:rPr>
        <w:t>沿用通用要求标准界定的术语，保证体系一致性。</w:t>
      </w:r>
    </w:p>
    <w:p w14:paraId="0B02A208">
      <w:pPr>
        <w:ind w:firstLine="643" w:firstLineChars="200"/>
        <w:rPr>
          <w:rFonts w:hint="eastAsia" w:ascii="仿宋" w:hAnsi="仿宋" w:eastAsia="仿宋" w:cs="仿宋"/>
          <w:sz w:val="32"/>
          <w:szCs w:val="32"/>
        </w:rPr>
      </w:pPr>
      <w:r>
        <w:rPr>
          <w:rFonts w:hint="eastAsia" w:ascii="仿宋" w:hAnsi="仿宋" w:eastAsia="仿宋" w:cs="仿宋"/>
          <w:b/>
          <w:bCs/>
          <w:sz w:val="32"/>
          <w:szCs w:val="32"/>
          <w:lang w:val="en-US" w:eastAsia="zh-CN"/>
        </w:rPr>
        <w:t>4.环境要求：</w:t>
      </w:r>
      <w:r>
        <w:rPr>
          <w:rFonts w:hint="eastAsia" w:ascii="仿宋" w:hAnsi="仿宋" w:eastAsia="仿宋" w:cs="仿宋"/>
          <w:sz w:val="32"/>
          <w:szCs w:val="32"/>
        </w:rPr>
        <w:t>规定种植区空气、灌溉水、土壤质量标准，明确无污染源选址要求。</w:t>
      </w:r>
    </w:p>
    <w:p w14:paraId="505EC5E3">
      <w:pPr>
        <w:ind w:firstLine="643" w:firstLineChars="200"/>
        <w:rPr>
          <w:rFonts w:hint="eastAsia" w:ascii="仿宋" w:hAnsi="仿宋" w:eastAsia="仿宋" w:cs="仿宋"/>
          <w:sz w:val="32"/>
          <w:szCs w:val="32"/>
        </w:rPr>
      </w:pPr>
      <w:r>
        <w:rPr>
          <w:rFonts w:hint="eastAsia" w:ascii="仿宋" w:hAnsi="仿宋" w:eastAsia="仿宋" w:cs="仿宋"/>
          <w:b/>
          <w:bCs/>
          <w:sz w:val="32"/>
          <w:szCs w:val="32"/>
          <w:lang w:val="en-US" w:eastAsia="zh-CN"/>
        </w:rPr>
        <w:t>5.种植过程：</w:t>
      </w:r>
      <w:r>
        <w:rPr>
          <w:rFonts w:hint="eastAsia" w:ascii="仿宋" w:hAnsi="仿宋" w:eastAsia="仿宋" w:cs="仿宋"/>
          <w:sz w:val="32"/>
          <w:szCs w:val="32"/>
        </w:rPr>
        <w:t>规范品种选择、土壤培肥、有害生物防治、科学灌溉等核心环节。</w:t>
      </w:r>
    </w:p>
    <w:p w14:paraId="2FD2D98D">
      <w:pPr>
        <w:ind w:firstLine="643" w:firstLineChars="200"/>
        <w:rPr>
          <w:rFonts w:hint="eastAsia" w:ascii="仿宋" w:hAnsi="仿宋" w:eastAsia="仿宋" w:cs="仿宋"/>
          <w:sz w:val="32"/>
          <w:szCs w:val="32"/>
        </w:rPr>
      </w:pPr>
      <w:r>
        <w:rPr>
          <w:rFonts w:hint="eastAsia" w:ascii="仿宋" w:hAnsi="仿宋" w:eastAsia="仿宋" w:cs="仿宋"/>
          <w:b/>
          <w:bCs/>
          <w:sz w:val="32"/>
          <w:szCs w:val="32"/>
          <w:lang w:val="en-US" w:eastAsia="zh-CN"/>
        </w:rPr>
        <w:t>6.采收：</w:t>
      </w:r>
      <w:r>
        <w:rPr>
          <w:rFonts w:hint="eastAsia" w:ascii="仿宋" w:hAnsi="仿宋" w:eastAsia="仿宋" w:cs="仿宋"/>
          <w:sz w:val="32"/>
          <w:szCs w:val="32"/>
        </w:rPr>
        <w:t>明确最佳成熟期采收、产后处理要求。</w:t>
      </w:r>
    </w:p>
    <w:p w14:paraId="0415A372">
      <w:pPr>
        <w:ind w:firstLine="643" w:firstLineChars="200"/>
        <w:rPr>
          <w:rFonts w:hint="eastAsia" w:ascii="仿宋" w:hAnsi="仿宋" w:eastAsia="仿宋" w:cs="仿宋"/>
          <w:sz w:val="32"/>
          <w:szCs w:val="32"/>
        </w:rPr>
      </w:pPr>
      <w:r>
        <w:rPr>
          <w:rFonts w:hint="eastAsia" w:ascii="仿宋" w:hAnsi="仿宋" w:eastAsia="仿宋" w:cs="仿宋"/>
          <w:b/>
          <w:bCs/>
          <w:sz w:val="32"/>
          <w:szCs w:val="32"/>
          <w:lang w:val="en-US" w:eastAsia="zh-CN"/>
        </w:rPr>
        <w:t>7.包装、运输与贮藏：</w:t>
      </w:r>
      <w:r>
        <w:rPr>
          <w:rFonts w:hint="eastAsia" w:ascii="仿宋" w:hAnsi="仿宋" w:eastAsia="仿宋" w:cs="仿宋"/>
          <w:sz w:val="32"/>
          <w:szCs w:val="32"/>
        </w:rPr>
        <w:t>规定包装材质、运输防护、仓储条件，防止污染变质。</w:t>
      </w:r>
    </w:p>
    <w:p w14:paraId="29C09A8A">
      <w:pPr>
        <w:ind w:firstLine="643" w:firstLineChars="200"/>
        <w:rPr>
          <w:rFonts w:hint="eastAsia" w:ascii="仿宋" w:hAnsi="仿宋" w:eastAsia="仿宋" w:cs="仿宋"/>
          <w:sz w:val="32"/>
          <w:szCs w:val="32"/>
        </w:rPr>
      </w:pPr>
      <w:r>
        <w:rPr>
          <w:rFonts w:hint="eastAsia" w:ascii="仿宋" w:hAnsi="仿宋" w:eastAsia="仿宋" w:cs="仿宋"/>
          <w:b/>
          <w:bCs/>
          <w:sz w:val="32"/>
          <w:szCs w:val="32"/>
          <w:lang w:val="en-US" w:eastAsia="zh-CN"/>
        </w:rPr>
        <w:t>8.质量要求：</w:t>
      </w:r>
      <w:r>
        <w:rPr>
          <w:rFonts w:hint="eastAsia" w:ascii="仿宋" w:hAnsi="仿宋" w:eastAsia="仿宋" w:cs="仿宋"/>
          <w:sz w:val="32"/>
          <w:szCs w:val="32"/>
        </w:rPr>
        <w:t>明确谷子品质符合 GB/T 8232 要求。</w:t>
      </w:r>
    </w:p>
    <w:p w14:paraId="21308522">
      <w:pPr>
        <w:ind w:firstLine="643" w:firstLineChars="200"/>
        <w:rPr>
          <w:rFonts w:hint="eastAsia" w:ascii="仿宋" w:hAnsi="仿宋" w:eastAsia="仿宋" w:cs="仿宋"/>
          <w:sz w:val="32"/>
          <w:szCs w:val="32"/>
        </w:rPr>
      </w:pPr>
      <w:r>
        <w:rPr>
          <w:rFonts w:hint="eastAsia" w:ascii="仿宋" w:hAnsi="仿宋" w:eastAsia="仿宋" w:cs="仿宋"/>
          <w:b/>
          <w:bCs/>
          <w:sz w:val="32"/>
          <w:szCs w:val="32"/>
          <w:lang w:val="en-US" w:eastAsia="zh-CN"/>
        </w:rPr>
        <w:t>9.管理保障：</w:t>
      </w:r>
      <w:r>
        <w:rPr>
          <w:rFonts w:hint="eastAsia" w:ascii="仿宋" w:hAnsi="仿宋" w:eastAsia="仿宋" w:cs="仿宋"/>
          <w:sz w:val="32"/>
          <w:szCs w:val="32"/>
        </w:rPr>
        <w:t>涵盖设备清洁、人员卫生、全程记录与追溯管理。</w:t>
      </w:r>
    </w:p>
    <w:p w14:paraId="1828DD17">
      <w:pPr>
        <w:numPr>
          <w:ilvl w:val="0"/>
          <w:numId w:val="4"/>
        </w:numPr>
        <w:ind w:left="845" w:leftChars="0" w:hanging="425" w:firstLineChars="0"/>
        <w:rPr>
          <w:rFonts w:hint="eastAsia" w:ascii="仿宋" w:hAnsi="仿宋" w:eastAsia="仿宋" w:cs="仿宋"/>
          <w:b/>
          <w:bCs/>
          <w:sz w:val="32"/>
          <w:szCs w:val="32"/>
        </w:rPr>
      </w:pPr>
      <w:r>
        <w:rPr>
          <w:rFonts w:hint="eastAsia" w:ascii="仿宋" w:hAnsi="仿宋" w:eastAsia="仿宋" w:cs="仿宋"/>
          <w:b/>
          <w:bCs/>
          <w:sz w:val="32"/>
          <w:szCs w:val="32"/>
        </w:rPr>
        <w:t>标准解决的主要问题</w:t>
      </w:r>
    </w:p>
    <w:p w14:paraId="7CA5FD93">
      <w:pPr>
        <w:numPr>
          <w:ilvl w:val="0"/>
          <w:numId w:val="6"/>
        </w:numPr>
        <w:ind w:left="845" w:leftChars="0" w:hanging="425" w:firstLineChars="0"/>
        <w:rPr>
          <w:rFonts w:hint="eastAsia" w:ascii="仿宋" w:hAnsi="仿宋" w:eastAsia="仿宋" w:cs="仿宋"/>
          <w:sz w:val="32"/>
          <w:szCs w:val="32"/>
        </w:rPr>
      </w:pPr>
      <w:r>
        <w:rPr>
          <w:rFonts w:hint="eastAsia" w:ascii="仿宋" w:hAnsi="仿宋" w:eastAsia="仿宋" w:cs="仿宋"/>
          <w:sz w:val="32"/>
          <w:szCs w:val="32"/>
        </w:rPr>
        <w:t>解决种植环境不达标问题，统一产地准入标准。</w:t>
      </w:r>
    </w:p>
    <w:p w14:paraId="1B8BBB7A">
      <w:pPr>
        <w:numPr>
          <w:ilvl w:val="0"/>
          <w:numId w:val="6"/>
        </w:numPr>
        <w:ind w:left="845" w:leftChars="0" w:hanging="425" w:firstLineChars="0"/>
        <w:rPr>
          <w:rFonts w:hint="eastAsia" w:ascii="仿宋" w:hAnsi="仿宋" w:eastAsia="仿宋" w:cs="仿宋"/>
          <w:sz w:val="32"/>
          <w:szCs w:val="32"/>
        </w:rPr>
      </w:pPr>
      <w:r>
        <w:rPr>
          <w:rFonts w:hint="eastAsia" w:ascii="仿宋" w:hAnsi="仿宋" w:eastAsia="仿宋" w:cs="仿宋"/>
          <w:sz w:val="32"/>
          <w:szCs w:val="32"/>
        </w:rPr>
        <w:t>解决品种选用混乱问题，推荐适配当地的优质品种。</w:t>
      </w:r>
    </w:p>
    <w:p w14:paraId="561D97FA">
      <w:pPr>
        <w:numPr>
          <w:ilvl w:val="0"/>
          <w:numId w:val="6"/>
        </w:numPr>
        <w:ind w:left="845" w:leftChars="0" w:hanging="425" w:firstLineChars="0"/>
        <w:rPr>
          <w:rFonts w:hint="eastAsia" w:ascii="仿宋" w:hAnsi="仿宋" w:eastAsia="仿宋" w:cs="仿宋"/>
          <w:sz w:val="32"/>
          <w:szCs w:val="32"/>
        </w:rPr>
      </w:pPr>
      <w:r>
        <w:rPr>
          <w:rFonts w:hint="eastAsia" w:ascii="仿宋" w:hAnsi="仿宋" w:eastAsia="仿宋" w:cs="仿宋"/>
          <w:sz w:val="32"/>
          <w:szCs w:val="32"/>
        </w:rPr>
        <w:t>解决施肥用药不规范问题，落实绿色种植与安全管控。</w:t>
      </w:r>
    </w:p>
    <w:p w14:paraId="455B8C03">
      <w:pPr>
        <w:numPr>
          <w:ilvl w:val="0"/>
          <w:numId w:val="6"/>
        </w:numPr>
        <w:ind w:left="845" w:leftChars="0" w:hanging="425" w:firstLineChars="0"/>
        <w:rPr>
          <w:rFonts w:hint="eastAsia" w:ascii="仿宋" w:hAnsi="仿宋" w:eastAsia="仿宋" w:cs="仿宋"/>
          <w:sz w:val="32"/>
          <w:szCs w:val="32"/>
        </w:rPr>
      </w:pPr>
      <w:r>
        <w:rPr>
          <w:rFonts w:hint="eastAsia" w:ascii="仿宋" w:hAnsi="仿宋" w:eastAsia="仿宋" w:cs="仿宋"/>
          <w:sz w:val="32"/>
          <w:szCs w:val="32"/>
        </w:rPr>
        <w:t>解决采收储运粗放问题，保障原料品质稳定。</w:t>
      </w:r>
    </w:p>
    <w:p w14:paraId="10813FE7">
      <w:pPr>
        <w:numPr>
          <w:numId w:val="0"/>
        </w:numPr>
        <w:ind w:left="420" w:leftChars="0"/>
        <w:rPr>
          <w:rFonts w:hint="eastAsia" w:ascii="仿宋" w:hAnsi="仿宋" w:eastAsia="仿宋" w:cs="仿宋"/>
          <w:sz w:val="32"/>
          <w:szCs w:val="32"/>
        </w:rPr>
      </w:pPr>
      <w:r>
        <w:rPr>
          <w:rFonts w:hint="eastAsia" w:ascii="仿宋" w:hAnsi="仿宋" w:eastAsia="仿宋" w:cs="仿宋"/>
          <w:sz w:val="32"/>
          <w:szCs w:val="32"/>
          <w:lang w:val="en-US" w:eastAsia="zh-CN"/>
        </w:rPr>
        <w:t>5.</w:t>
      </w:r>
      <w:r>
        <w:rPr>
          <w:rFonts w:hint="eastAsia" w:ascii="仿宋" w:hAnsi="仿宋" w:eastAsia="仿宋" w:cs="仿宋"/>
          <w:sz w:val="32"/>
          <w:szCs w:val="32"/>
        </w:rPr>
        <w:t>解决种植追溯缺失问题，实现源头可查、责任可究。</w:t>
      </w:r>
    </w:p>
    <w:p w14:paraId="3BB3D84E">
      <w:pPr>
        <w:keepNext w:val="0"/>
        <w:keepLines w:val="0"/>
        <w:pageBreakBefore w:val="0"/>
        <w:widowControl w:val="0"/>
        <w:numPr>
          <w:ilvl w:val="0"/>
          <w:numId w:val="1"/>
        </w:numPr>
        <w:kinsoku/>
        <w:wordWrap/>
        <w:overflowPunct/>
        <w:topLinePunct w:val="0"/>
        <w:autoSpaceDE/>
        <w:autoSpaceDN/>
        <w:bidi w:val="0"/>
        <w:adjustRightInd/>
        <w:snapToGrid/>
        <w:spacing w:beforeAutospacing="0"/>
        <w:ind w:left="0" w:leftChars="0" w:firstLine="0" w:firstLineChars="0"/>
        <w:textAlignment w:val="auto"/>
        <w:rPr>
          <w:rFonts w:hint="eastAsia" w:ascii="黑体" w:hAnsi="黑体" w:eastAsia="黑体" w:cs="黑体"/>
          <w:sz w:val="32"/>
          <w:szCs w:val="32"/>
        </w:rPr>
      </w:pPr>
      <w:r>
        <w:rPr>
          <w:rFonts w:hint="eastAsia" w:ascii="黑体" w:hAnsi="黑体" w:eastAsia="黑体" w:cs="黑体"/>
          <w:sz w:val="32"/>
          <w:szCs w:val="32"/>
        </w:rPr>
        <w:t>主要试验（或验证）情况分析</w:t>
      </w:r>
    </w:p>
    <w:p w14:paraId="63844E35">
      <w:pPr>
        <w:ind w:firstLine="640" w:firstLineChars="200"/>
        <w:rPr>
          <w:rFonts w:hint="eastAsia" w:ascii="仿宋" w:hAnsi="仿宋" w:eastAsia="仿宋" w:cs="仿宋"/>
          <w:sz w:val="32"/>
          <w:szCs w:val="32"/>
        </w:rPr>
      </w:pPr>
      <w:r>
        <w:rPr>
          <w:rFonts w:hint="eastAsia" w:ascii="仿宋" w:hAnsi="仿宋" w:eastAsia="仿宋" w:cs="仿宋"/>
          <w:sz w:val="32"/>
          <w:szCs w:val="32"/>
        </w:rPr>
        <w:t>本标准为种植技术类规范，起草组选取长治市多家规模化种植基地、合作社开展田间实操验证，对品种适配性、施肥方案、绿色防控效果、采收时机等条款进行实地测试，确保技术要求符合当地生产实际、可落地执行，同时符合国家农产品质量安全管控要求。</w:t>
      </w:r>
    </w:p>
    <w:p w14:paraId="1E8E7BFB">
      <w:pPr>
        <w:keepNext w:val="0"/>
        <w:keepLines w:val="0"/>
        <w:pageBreakBefore w:val="0"/>
        <w:widowControl w:val="0"/>
        <w:numPr>
          <w:ilvl w:val="0"/>
          <w:numId w:val="1"/>
        </w:numPr>
        <w:kinsoku/>
        <w:wordWrap/>
        <w:overflowPunct/>
        <w:topLinePunct w:val="0"/>
        <w:autoSpaceDE/>
        <w:autoSpaceDN/>
        <w:bidi w:val="0"/>
        <w:adjustRightInd/>
        <w:snapToGrid/>
        <w:spacing w:beforeAutospacing="0"/>
        <w:ind w:left="0" w:leftChars="0" w:firstLine="0" w:firstLineChars="0"/>
        <w:textAlignment w:val="auto"/>
        <w:rPr>
          <w:rFonts w:hint="eastAsia" w:ascii="黑体" w:hAnsi="黑体" w:eastAsia="黑体" w:cs="黑体"/>
          <w:sz w:val="32"/>
          <w:szCs w:val="32"/>
        </w:rPr>
      </w:pPr>
      <w:r>
        <w:rPr>
          <w:rFonts w:hint="eastAsia" w:ascii="黑体" w:hAnsi="黑体" w:eastAsia="黑体" w:cs="黑体"/>
          <w:sz w:val="32"/>
          <w:szCs w:val="32"/>
        </w:rPr>
        <w:t>标准中涉及专利的情况</w:t>
      </w:r>
    </w:p>
    <w:p w14:paraId="6A1AEAD4">
      <w:pPr>
        <w:ind w:firstLine="640" w:firstLineChars="200"/>
        <w:rPr>
          <w:rFonts w:hint="eastAsia" w:ascii="仿宋" w:hAnsi="仿宋" w:eastAsia="仿宋" w:cs="仿宋"/>
          <w:sz w:val="32"/>
          <w:szCs w:val="32"/>
        </w:rPr>
      </w:pPr>
      <w:r>
        <w:rPr>
          <w:rFonts w:hint="eastAsia" w:ascii="仿宋" w:hAnsi="仿宋" w:eastAsia="仿宋" w:cs="仿宋"/>
          <w:sz w:val="32"/>
          <w:szCs w:val="32"/>
        </w:rPr>
        <w:t>本标准未涉及专利。</w:t>
      </w:r>
    </w:p>
    <w:p w14:paraId="6EAE7C82">
      <w:pPr>
        <w:keepNext w:val="0"/>
        <w:keepLines w:val="0"/>
        <w:pageBreakBefore w:val="0"/>
        <w:widowControl w:val="0"/>
        <w:numPr>
          <w:ilvl w:val="0"/>
          <w:numId w:val="1"/>
        </w:numPr>
        <w:kinsoku/>
        <w:wordWrap/>
        <w:overflowPunct/>
        <w:topLinePunct w:val="0"/>
        <w:autoSpaceDE/>
        <w:autoSpaceDN/>
        <w:bidi w:val="0"/>
        <w:adjustRightInd/>
        <w:snapToGrid/>
        <w:spacing w:beforeAutospacing="0"/>
        <w:ind w:left="0" w:leftChars="0" w:firstLine="0" w:firstLineChars="0"/>
        <w:textAlignment w:val="auto"/>
        <w:rPr>
          <w:rFonts w:hint="eastAsia" w:ascii="黑体" w:hAnsi="黑体" w:eastAsia="黑体" w:cs="黑体"/>
          <w:sz w:val="32"/>
          <w:szCs w:val="32"/>
        </w:rPr>
      </w:pPr>
      <w:r>
        <w:rPr>
          <w:rFonts w:hint="eastAsia" w:ascii="黑体" w:hAnsi="黑体" w:eastAsia="黑体" w:cs="黑体"/>
          <w:sz w:val="32"/>
          <w:szCs w:val="32"/>
        </w:rPr>
        <w:t>预期达到的社会效益、对产业发展的作用的情况</w:t>
      </w:r>
    </w:p>
    <w:p w14:paraId="61BAD7C2">
      <w:pPr>
        <w:numPr>
          <w:ilvl w:val="0"/>
          <w:numId w:val="7"/>
        </w:numPr>
        <w:ind w:left="0" w:leftChars="0" w:firstLine="420" w:firstLineChars="0"/>
        <w:rPr>
          <w:rFonts w:hint="eastAsia" w:ascii="仿宋" w:hAnsi="仿宋" w:eastAsia="仿宋" w:cs="仿宋"/>
          <w:b/>
          <w:bCs/>
          <w:sz w:val="32"/>
          <w:szCs w:val="32"/>
        </w:rPr>
      </w:pPr>
      <w:r>
        <w:rPr>
          <w:rFonts w:hint="eastAsia" w:ascii="仿宋" w:hAnsi="仿宋" w:eastAsia="仿宋" w:cs="仿宋"/>
          <w:b/>
          <w:bCs/>
          <w:sz w:val="32"/>
          <w:szCs w:val="32"/>
        </w:rPr>
        <w:t>品牌效益</w:t>
      </w:r>
    </w:p>
    <w:p w14:paraId="2C56CC38">
      <w:pPr>
        <w:ind w:firstLine="640" w:firstLineChars="200"/>
        <w:rPr>
          <w:rFonts w:hint="eastAsia" w:ascii="仿宋" w:hAnsi="仿宋" w:eastAsia="仿宋" w:cs="仿宋"/>
          <w:sz w:val="32"/>
          <w:szCs w:val="32"/>
        </w:rPr>
      </w:pPr>
      <w:r>
        <w:rPr>
          <w:rFonts w:hint="eastAsia" w:ascii="仿宋" w:hAnsi="仿宋" w:eastAsia="仿宋" w:cs="仿宋"/>
          <w:sz w:val="32"/>
          <w:szCs w:val="32"/>
        </w:rPr>
        <w:t>统一种植标准，稳定提升沁州黄小米原料品质，筑牢品牌品质根基。</w:t>
      </w:r>
    </w:p>
    <w:p w14:paraId="1438F397">
      <w:pPr>
        <w:numPr>
          <w:ilvl w:val="0"/>
          <w:numId w:val="7"/>
        </w:numPr>
        <w:ind w:left="0" w:leftChars="0" w:firstLine="420" w:firstLineChars="0"/>
        <w:rPr>
          <w:rFonts w:hint="eastAsia" w:ascii="仿宋" w:hAnsi="仿宋" w:eastAsia="仿宋" w:cs="仿宋"/>
          <w:sz w:val="32"/>
          <w:szCs w:val="32"/>
        </w:rPr>
      </w:pPr>
      <w:r>
        <w:rPr>
          <w:rFonts w:hint="eastAsia" w:ascii="仿宋" w:hAnsi="仿宋" w:eastAsia="仿宋" w:cs="仿宋"/>
          <w:b/>
          <w:bCs/>
          <w:sz w:val="32"/>
          <w:szCs w:val="32"/>
        </w:rPr>
        <w:t>安全效益</w:t>
      </w:r>
    </w:p>
    <w:p w14:paraId="565A2934">
      <w:pPr>
        <w:ind w:firstLine="640" w:firstLineChars="200"/>
        <w:rPr>
          <w:rFonts w:hint="eastAsia" w:ascii="仿宋" w:hAnsi="仿宋" w:eastAsia="仿宋" w:cs="仿宋"/>
          <w:sz w:val="32"/>
          <w:szCs w:val="32"/>
        </w:rPr>
      </w:pPr>
      <w:r>
        <w:rPr>
          <w:rFonts w:hint="eastAsia" w:ascii="仿宋" w:hAnsi="仿宋" w:eastAsia="仿宋" w:cs="仿宋"/>
          <w:sz w:val="32"/>
          <w:szCs w:val="32"/>
        </w:rPr>
        <w:t>规范农药化肥使用，降低种植环节安全风险，保障消费者健康。</w:t>
      </w:r>
    </w:p>
    <w:p w14:paraId="5D3339E5">
      <w:pPr>
        <w:numPr>
          <w:ilvl w:val="0"/>
          <w:numId w:val="7"/>
        </w:numPr>
        <w:ind w:left="0" w:leftChars="0" w:firstLine="420" w:firstLineChars="0"/>
        <w:rPr>
          <w:rFonts w:hint="eastAsia" w:ascii="仿宋" w:hAnsi="仿宋" w:eastAsia="仿宋" w:cs="仿宋"/>
          <w:b/>
          <w:bCs/>
          <w:sz w:val="32"/>
          <w:szCs w:val="32"/>
        </w:rPr>
      </w:pPr>
      <w:r>
        <w:rPr>
          <w:rFonts w:hint="eastAsia" w:ascii="仿宋" w:hAnsi="仿宋" w:eastAsia="仿宋" w:cs="仿宋"/>
          <w:b/>
          <w:bCs/>
          <w:sz w:val="32"/>
          <w:szCs w:val="32"/>
        </w:rPr>
        <w:t>产业效益</w:t>
      </w:r>
    </w:p>
    <w:p w14:paraId="18A99989">
      <w:pPr>
        <w:ind w:firstLine="640" w:firstLineChars="200"/>
        <w:rPr>
          <w:rFonts w:hint="eastAsia" w:ascii="仿宋" w:hAnsi="仿宋" w:eastAsia="仿宋" w:cs="仿宋"/>
          <w:sz w:val="32"/>
          <w:szCs w:val="32"/>
        </w:rPr>
      </w:pPr>
      <w:r>
        <w:rPr>
          <w:rFonts w:hint="eastAsia" w:ascii="仿宋" w:hAnsi="仿宋" w:eastAsia="仿宋" w:cs="仿宋"/>
          <w:sz w:val="32"/>
          <w:szCs w:val="32"/>
        </w:rPr>
        <w:t>推动种植标准化、规模化，提升原料供给能力，助力加工企业提质增效。</w:t>
      </w:r>
    </w:p>
    <w:p w14:paraId="4E860FB6">
      <w:pPr>
        <w:numPr>
          <w:ilvl w:val="0"/>
          <w:numId w:val="7"/>
        </w:numPr>
        <w:ind w:left="0" w:leftChars="0" w:firstLine="420" w:firstLineChars="0"/>
        <w:rPr>
          <w:rFonts w:hint="eastAsia" w:ascii="仿宋" w:hAnsi="仿宋" w:eastAsia="仿宋" w:cs="仿宋"/>
          <w:b/>
          <w:bCs/>
          <w:sz w:val="32"/>
          <w:szCs w:val="32"/>
        </w:rPr>
      </w:pPr>
      <w:r>
        <w:rPr>
          <w:rFonts w:hint="eastAsia" w:ascii="仿宋" w:hAnsi="仿宋" w:eastAsia="仿宋" w:cs="仿宋"/>
          <w:b/>
          <w:bCs/>
          <w:sz w:val="32"/>
          <w:szCs w:val="32"/>
        </w:rPr>
        <w:t>社会效益</w:t>
      </w:r>
    </w:p>
    <w:p w14:paraId="74247843">
      <w:pPr>
        <w:ind w:firstLine="640" w:firstLineChars="200"/>
        <w:rPr>
          <w:rFonts w:hint="eastAsia" w:ascii="仿宋" w:hAnsi="仿宋" w:eastAsia="仿宋" w:cs="仿宋"/>
          <w:sz w:val="32"/>
          <w:szCs w:val="32"/>
        </w:rPr>
      </w:pPr>
      <w:r>
        <w:rPr>
          <w:rFonts w:hint="eastAsia" w:ascii="仿宋" w:hAnsi="仿宋" w:eastAsia="仿宋" w:cs="仿宋"/>
          <w:sz w:val="32"/>
          <w:szCs w:val="32"/>
        </w:rPr>
        <w:t>带动农户科学种植、增收致富，传承农耕文化，服务乡村振兴。</w:t>
      </w:r>
    </w:p>
    <w:p w14:paraId="690F226A">
      <w:pPr>
        <w:keepNext w:val="0"/>
        <w:keepLines w:val="0"/>
        <w:pageBreakBefore w:val="0"/>
        <w:widowControl w:val="0"/>
        <w:numPr>
          <w:ilvl w:val="0"/>
          <w:numId w:val="1"/>
        </w:numPr>
        <w:kinsoku/>
        <w:wordWrap/>
        <w:overflowPunct/>
        <w:topLinePunct w:val="0"/>
        <w:autoSpaceDE/>
        <w:autoSpaceDN/>
        <w:bidi w:val="0"/>
        <w:adjustRightInd/>
        <w:snapToGrid/>
        <w:spacing w:beforeAutospacing="0"/>
        <w:ind w:left="0" w:leftChars="0" w:firstLine="0" w:firstLineChars="0"/>
        <w:textAlignment w:val="auto"/>
        <w:rPr>
          <w:rFonts w:hint="eastAsia" w:ascii="黑体" w:hAnsi="黑体" w:eastAsia="黑体" w:cs="黑体"/>
          <w:sz w:val="32"/>
          <w:szCs w:val="32"/>
        </w:rPr>
      </w:pPr>
      <w:r>
        <w:rPr>
          <w:rFonts w:hint="eastAsia" w:ascii="黑体" w:hAnsi="黑体" w:eastAsia="黑体" w:cs="黑体"/>
          <w:sz w:val="32"/>
          <w:szCs w:val="32"/>
        </w:rPr>
        <w:t>采用国际标准和国外先进标准情况</w:t>
      </w:r>
    </w:p>
    <w:p w14:paraId="0A02DED8">
      <w:pPr>
        <w:ind w:firstLine="640" w:firstLineChars="200"/>
        <w:rPr>
          <w:rFonts w:hint="eastAsia" w:ascii="仿宋" w:hAnsi="仿宋" w:eastAsia="仿宋" w:cs="仿宋"/>
          <w:sz w:val="32"/>
          <w:szCs w:val="32"/>
        </w:rPr>
      </w:pPr>
      <w:r>
        <w:rPr>
          <w:rFonts w:hint="eastAsia" w:ascii="仿宋" w:hAnsi="仿宋" w:eastAsia="仿宋" w:cs="仿宋"/>
          <w:sz w:val="32"/>
          <w:szCs w:val="32"/>
        </w:rPr>
        <w:t>本标准未采用国际标准，编制过程参考国内谷子种植、绿色农产品生产相关标准与实践经验，贴合我国北方谷子种植实际与监管要求。</w:t>
      </w:r>
    </w:p>
    <w:p w14:paraId="6EE92822">
      <w:pPr>
        <w:keepNext w:val="0"/>
        <w:keepLines w:val="0"/>
        <w:pageBreakBefore w:val="0"/>
        <w:widowControl w:val="0"/>
        <w:numPr>
          <w:ilvl w:val="0"/>
          <w:numId w:val="1"/>
        </w:numPr>
        <w:kinsoku/>
        <w:wordWrap/>
        <w:overflowPunct/>
        <w:topLinePunct w:val="0"/>
        <w:autoSpaceDE/>
        <w:autoSpaceDN/>
        <w:bidi w:val="0"/>
        <w:adjustRightInd/>
        <w:snapToGrid/>
        <w:spacing w:beforeAutospacing="0"/>
        <w:ind w:left="0" w:leftChars="0" w:firstLine="0" w:firstLineChars="0"/>
        <w:textAlignment w:val="auto"/>
        <w:rPr>
          <w:rFonts w:hint="eastAsia" w:ascii="黑体" w:hAnsi="黑体" w:eastAsia="黑体" w:cs="黑体"/>
          <w:sz w:val="32"/>
          <w:szCs w:val="32"/>
        </w:rPr>
      </w:pPr>
      <w:r>
        <w:rPr>
          <w:rFonts w:hint="eastAsia" w:ascii="黑体" w:hAnsi="黑体" w:eastAsia="黑体" w:cs="黑体"/>
          <w:sz w:val="32"/>
          <w:szCs w:val="32"/>
        </w:rPr>
        <w:t>在标准体系中的位置，与现行相关法律、法规、规章及相关标准的协调性</w:t>
      </w:r>
    </w:p>
    <w:p w14:paraId="170B6029">
      <w:pPr>
        <w:ind w:firstLine="640" w:firstLineChars="200"/>
        <w:rPr>
          <w:rFonts w:hint="eastAsia" w:ascii="仿宋" w:hAnsi="仿宋" w:eastAsia="仿宋" w:cs="仿宋"/>
          <w:sz w:val="32"/>
          <w:szCs w:val="32"/>
        </w:rPr>
      </w:pPr>
      <w:r>
        <w:rPr>
          <w:rFonts w:hint="eastAsia" w:ascii="仿宋" w:hAnsi="仿宋" w:eastAsia="仿宋" w:cs="仿宋"/>
          <w:sz w:val="32"/>
          <w:szCs w:val="32"/>
        </w:rPr>
        <w:t>本标准属于团体标准，是沁州黄小米区域公用品牌三级标准体系第二层级核心技术标准，与第一层级管理通用标准、第三层级产品技术标准配套使用。</w:t>
      </w:r>
    </w:p>
    <w:p w14:paraId="1064647D">
      <w:pPr>
        <w:ind w:firstLine="640" w:firstLineChars="200"/>
        <w:rPr>
          <w:rFonts w:hint="eastAsia" w:ascii="仿宋" w:hAnsi="仿宋" w:eastAsia="仿宋" w:cs="仿宋"/>
          <w:sz w:val="32"/>
          <w:szCs w:val="32"/>
        </w:rPr>
      </w:pPr>
      <w:r>
        <w:rPr>
          <w:rFonts w:hint="eastAsia" w:ascii="仿宋" w:hAnsi="仿宋" w:eastAsia="仿宋" w:cs="仿宋"/>
          <w:sz w:val="32"/>
          <w:szCs w:val="32"/>
        </w:rPr>
        <w:t>本标准与《农产品质量安全法》《土壤污染防治法》及 GB 3095、GB 5084、GB 15618、GB 38400、NY/T 1276 等现行法律法规、标准完全协调一致，无冲突。</w:t>
      </w:r>
    </w:p>
    <w:p w14:paraId="7A1600DF">
      <w:pPr>
        <w:keepNext w:val="0"/>
        <w:keepLines w:val="0"/>
        <w:pageBreakBefore w:val="0"/>
        <w:widowControl w:val="0"/>
        <w:numPr>
          <w:ilvl w:val="0"/>
          <w:numId w:val="1"/>
        </w:numPr>
        <w:kinsoku/>
        <w:wordWrap/>
        <w:overflowPunct/>
        <w:topLinePunct w:val="0"/>
        <w:autoSpaceDE/>
        <w:autoSpaceDN/>
        <w:bidi w:val="0"/>
        <w:adjustRightInd/>
        <w:snapToGrid/>
        <w:spacing w:beforeAutospacing="0"/>
        <w:ind w:left="0" w:leftChars="0" w:firstLine="0" w:firstLineChars="0"/>
        <w:textAlignment w:val="auto"/>
        <w:rPr>
          <w:rFonts w:hint="eastAsia" w:ascii="黑体" w:hAnsi="黑体" w:eastAsia="黑体" w:cs="黑体"/>
          <w:sz w:val="32"/>
          <w:szCs w:val="32"/>
        </w:rPr>
      </w:pPr>
      <w:r>
        <w:rPr>
          <w:rFonts w:hint="eastAsia" w:ascii="黑体" w:hAnsi="黑体" w:eastAsia="黑体" w:cs="黑体"/>
          <w:sz w:val="32"/>
          <w:szCs w:val="32"/>
        </w:rPr>
        <w:t>重大分歧意见的处理经过和依据</w:t>
      </w:r>
    </w:p>
    <w:p w14:paraId="36A4A4C9">
      <w:pPr>
        <w:ind w:firstLine="640" w:firstLineChars="200"/>
        <w:rPr>
          <w:rFonts w:hint="eastAsia" w:ascii="仿宋" w:hAnsi="仿宋" w:eastAsia="仿宋" w:cs="仿宋"/>
          <w:sz w:val="32"/>
          <w:szCs w:val="32"/>
        </w:rPr>
      </w:pPr>
      <w:r>
        <w:rPr>
          <w:rFonts w:hint="eastAsia" w:ascii="仿宋" w:hAnsi="仿宋" w:eastAsia="仿宋" w:cs="仿宋"/>
          <w:sz w:val="32"/>
          <w:szCs w:val="32"/>
        </w:rPr>
        <w:t>标准编制过程中通过实地座谈、书面征求意见、专家评审充分沟通，针对品种推荐、施肥用量、追溯记录等内容达成一致，无重大分歧意见。</w:t>
      </w:r>
    </w:p>
    <w:p w14:paraId="20402C5D">
      <w:pPr>
        <w:keepNext w:val="0"/>
        <w:keepLines w:val="0"/>
        <w:pageBreakBefore w:val="0"/>
        <w:widowControl w:val="0"/>
        <w:numPr>
          <w:ilvl w:val="0"/>
          <w:numId w:val="1"/>
        </w:numPr>
        <w:kinsoku/>
        <w:wordWrap/>
        <w:overflowPunct/>
        <w:topLinePunct w:val="0"/>
        <w:autoSpaceDE/>
        <w:autoSpaceDN/>
        <w:bidi w:val="0"/>
        <w:adjustRightInd/>
        <w:snapToGrid/>
        <w:spacing w:beforeAutospacing="0"/>
        <w:ind w:left="0" w:leftChars="0" w:firstLine="0" w:firstLineChars="0"/>
        <w:textAlignment w:val="auto"/>
        <w:rPr>
          <w:rFonts w:hint="eastAsia" w:ascii="黑体" w:hAnsi="黑体" w:eastAsia="黑体" w:cs="黑体"/>
          <w:sz w:val="32"/>
          <w:szCs w:val="32"/>
        </w:rPr>
      </w:pPr>
      <w:r>
        <w:rPr>
          <w:rFonts w:hint="eastAsia" w:ascii="黑体" w:hAnsi="黑体" w:eastAsia="黑体" w:cs="黑体"/>
          <w:sz w:val="32"/>
          <w:szCs w:val="32"/>
        </w:rPr>
        <w:t>标准性质的建议说明</w:t>
      </w:r>
    </w:p>
    <w:p w14:paraId="1692D004">
      <w:pPr>
        <w:ind w:firstLine="640" w:firstLineChars="200"/>
        <w:rPr>
          <w:rFonts w:hint="eastAsia" w:ascii="仿宋" w:hAnsi="仿宋" w:eastAsia="仿宋" w:cs="仿宋"/>
          <w:sz w:val="32"/>
          <w:szCs w:val="32"/>
        </w:rPr>
      </w:pPr>
      <w:r>
        <w:rPr>
          <w:rFonts w:hint="eastAsia" w:ascii="仿宋" w:hAnsi="仿宋" w:eastAsia="仿宋" w:cs="仿宋"/>
          <w:sz w:val="32"/>
          <w:szCs w:val="32"/>
        </w:rPr>
        <w:t>本标准为团体标准，供协会会员及社会自愿采用，作为沁州黄小米区域公用品牌种植环节自愿性认证、品牌授权、种植主体自我评价的核心技术依据。</w:t>
      </w:r>
    </w:p>
    <w:p w14:paraId="04CC77B8">
      <w:pPr>
        <w:keepNext w:val="0"/>
        <w:keepLines w:val="0"/>
        <w:pageBreakBefore w:val="0"/>
        <w:widowControl w:val="0"/>
        <w:numPr>
          <w:ilvl w:val="0"/>
          <w:numId w:val="1"/>
        </w:numPr>
        <w:kinsoku/>
        <w:wordWrap/>
        <w:overflowPunct/>
        <w:topLinePunct w:val="0"/>
        <w:autoSpaceDE/>
        <w:autoSpaceDN/>
        <w:bidi w:val="0"/>
        <w:adjustRightInd/>
        <w:snapToGrid/>
        <w:spacing w:beforeAutospacing="0"/>
        <w:ind w:left="0" w:leftChars="0" w:firstLine="0" w:firstLineChars="0"/>
        <w:textAlignment w:val="auto"/>
        <w:rPr>
          <w:rFonts w:hint="eastAsia" w:ascii="黑体" w:hAnsi="黑体" w:eastAsia="黑体" w:cs="黑体"/>
          <w:sz w:val="32"/>
          <w:szCs w:val="32"/>
        </w:rPr>
      </w:pPr>
      <w:r>
        <w:rPr>
          <w:rFonts w:hint="eastAsia" w:ascii="黑体" w:hAnsi="黑体" w:eastAsia="黑体" w:cs="黑体"/>
          <w:sz w:val="32"/>
          <w:szCs w:val="32"/>
        </w:rPr>
        <w:t>贯彻标准的要求和措施建议</w:t>
      </w:r>
    </w:p>
    <w:p w14:paraId="60010122">
      <w:pPr>
        <w:numPr>
          <w:ilvl w:val="0"/>
          <w:numId w:val="8"/>
        </w:numPr>
        <w:ind w:left="0" w:leftChars="0" w:firstLine="420" w:firstLineChars="0"/>
        <w:rPr>
          <w:rFonts w:hint="eastAsia" w:ascii="仿宋" w:hAnsi="仿宋" w:eastAsia="仿宋" w:cs="仿宋"/>
          <w:b/>
          <w:bCs/>
          <w:sz w:val="32"/>
          <w:szCs w:val="32"/>
        </w:rPr>
      </w:pPr>
      <w:r>
        <w:rPr>
          <w:rFonts w:hint="eastAsia" w:ascii="仿宋" w:hAnsi="仿宋" w:eastAsia="仿宋" w:cs="仿宋"/>
          <w:b/>
          <w:bCs/>
          <w:sz w:val="32"/>
          <w:szCs w:val="32"/>
        </w:rPr>
        <w:t>宣贯培训</w:t>
      </w:r>
    </w:p>
    <w:p w14:paraId="02DEAC27">
      <w:pPr>
        <w:ind w:firstLine="640" w:firstLineChars="200"/>
        <w:rPr>
          <w:rFonts w:hint="eastAsia" w:ascii="仿宋" w:hAnsi="仿宋" w:eastAsia="仿宋" w:cs="仿宋"/>
          <w:sz w:val="32"/>
          <w:szCs w:val="32"/>
        </w:rPr>
      </w:pPr>
      <w:r>
        <w:rPr>
          <w:rFonts w:hint="eastAsia" w:ascii="仿宋" w:hAnsi="仿宋" w:eastAsia="仿宋" w:cs="仿宋"/>
          <w:sz w:val="32"/>
          <w:szCs w:val="32"/>
        </w:rPr>
        <w:t>面向种植户、合作社、企业开展种植技术标准解读与实操培训，提升规范种植能力。</w:t>
      </w:r>
    </w:p>
    <w:p w14:paraId="56897F32">
      <w:pPr>
        <w:numPr>
          <w:ilvl w:val="0"/>
          <w:numId w:val="8"/>
        </w:numPr>
        <w:ind w:left="0" w:leftChars="0" w:firstLine="420" w:firstLineChars="0"/>
        <w:rPr>
          <w:rFonts w:hint="eastAsia" w:ascii="仿宋" w:hAnsi="仿宋" w:eastAsia="仿宋" w:cs="仿宋"/>
          <w:b/>
          <w:bCs/>
          <w:sz w:val="32"/>
          <w:szCs w:val="32"/>
        </w:rPr>
      </w:pPr>
      <w:r>
        <w:rPr>
          <w:rFonts w:hint="eastAsia" w:ascii="仿宋" w:hAnsi="仿宋" w:eastAsia="仿宋" w:cs="仿宋"/>
          <w:b/>
          <w:bCs/>
          <w:sz w:val="32"/>
          <w:szCs w:val="32"/>
        </w:rPr>
        <w:t>认证衔接</w:t>
      </w:r>
    </w:p>
    <w:p w14:paraId="6ADF5C20">
      <w:pPr>
        <w:ind w:firstLine="640" w:firstLineChars="200"/>
        <w:rPr>
          <w:rFonts w:hint="eastAsia" w:ascii="仿宋" w:hAnsi="仿宋" w:eastAsia="仿宋" w:cs="仿宋"/>
          <w:sz w:val="32"/>
          <w:szCs w:val="32"/>
        </w:rPr>
      </w:pPr>
      <w:r>
        <w:rPr>
          <w:rFonts w:hint="eastAsia" w:ascii="仿宋" w:hAnsi="仿宋" w:eastAsia="仿宋" w:cs="仿宋"/>
          <w:sz w:val="32"/>
          <w:szCs w:val="32"/>
        </w:rPr>
        <w:t>将本标准作为第三方认证种植环节核查的关键依据。</w:t>
      </w:r>
    </w:p>
    <w:p w14:paraId="603636E6">
      <w:pPr>
        <w:numPr>
          <w:ilvl w:val="0"/>
          <w:numId w:val="8"/>
        </w:numPr>
        <w:ind w:left="0" w:leftChars="0" w:firstLine="420" w:firstLineChars="0"/>
        <w:rPr>
          <w:rFonts w:hint="eastAsia" w:ascii="仿宋" w:hAnsi="仿宋" w:eastAsia="仿宋" w:cs="仿宋"/>
          <w:b/>
          <w:bCs/>
          <w:sz w:val="32"/>
          <w:szCs w:val="32"/>
        </w:rPr>
      </w:pPr>
      <w:r>
        <w:rPr>
          <w:rFonts w:hint="eastAsia" w:ascii="仿宋" w:hAnsi="仿宋" w:eastAsia="仿宋" w:cs="仿宋"/>
          <w:b/>
          <w:bCs/>
          <w:sz w:val="32"/>
          <w:szCs w:val="32"/>
        </w:rPr>
        <w:t>技术指导</w:t>
      </w:r>
    </w:p>
    <w:p w14:paraId="134F8B52">
      <w:pPr>
        <w:ind w:firstLine="640" w:firstLineChars="200"/>
        <w:rPr>
          <w:rFonts w:hint="eastAsia" w:ascii="仿宋" w:hAnsi="仿宋" w:eastAsia="仿宋" w:cs="仿宋"/>
          <w:sz w:val="32"/>
          <w:szCs w:val="32"/>
        </w:rPr>
      </w:pPr>
      <w:r>
        <w:rPr>
          <w:rFonts w:hint="eastAsia" w:ascii="仿宋" w:hAnsi="仿宋" w:eastAsia="仿宋" w:cs="仿宋"/>
          <w:sz w:val="32"/>
          <w:szCs w:val="32"/>
        </w:rPr>
        <w:t>联合科研院所组建技术团队，为种植主体提供田间指导。</w:t>
      </w:r>
    </w:p>
    <w:p w14:paraId="552476EB">
      <w:pPr>
        <w:numPr>
          <w:ilvl w:val="0"/>
          <w:numId w:val="8"/>
        </w:numPr>
        <w:ind w:left="0" w:leftChars="0" w:firstLine="420" w:firstLineChars="0"/>
        <w:rPr>
          <w:rFonts w:hint="eastAsia" w:ascii="仿宋" w:hAnsi="仿宋" w:eastAsia="仿宋" w:cs="仿宋"/>
          <w:b/>
          <w:bCs/>
          <w:sz w:val="32"/>
          <w:szCs w:val="32"/>
        </w:rPr>
      </w:pPr>
      <w:r>
        <w:rPr>
          <w:rFonts w:hint="eastAsia" w:ascii="仿宋" w:hAnsi="仿宋" w:eastAsia="仿宋" w:cs="仿宋"/>
          <w:b/>
          <w:bCs/>
          <w:sz w:val="32"/>
          <w:szCs w:val="32"/>
        </w:rPr>
        <w:t>动态更新</w:t>
      </w:r>
    </w:p>
    <w:p w14:paraId="3DB7E118">
      <w:pPr>
        <w:ind w:firstLine="640" w:firstLineChars="200"/>
        <w:rPr>
          <w:rFonts w:hint="eastAsia" w:ascii="仿宋" w:hAnsi="仿宋" w:eastAsia="仿宋" w:cs="仿宋"/>
          <w:sz w:val="32"/>
          <w:szCs w:val="32"/>
        </w:rPr>
      </w:pPr>
      <w:r>
        <w:rPr>
          <w:rFonts w:hint="eastAsia" w:ascii="仿宋" w:hAnsi="仿宋" w:eastAsia="仿宋" w:cs="仿宋"/>
          <w:sz w:val="32"/>
          <w:szCs w:val="32"/>
        </w:rPr>
        <w:t>根据品种更新、技术升级、政策调整定期复审修订。</w:t>
      </w:r>
    </w:p>
    <w:p w14:paraId="26435FD0">
      <w:pPr>
        <w:keepNext w:val="0"/>
        <w:keepLines w:val="0"/>
        <w:pageBreakBefore w:val="0"/>
        <w:widowControl w:val="0"/>
        <w:numPr>
          <w:ilvl w:val="0"/>
          <w:numId w:val="1"/>
        </w:numPr>
        <w:kinsoku/>
        <w:wordWrap/>
        <w:overflowPunct/>
        <w:topLinePunct w:val="0"/>
        <w:autoSpaceDE/>
        <w:autoSpaceDN/>
        <w:bidi w:val="0"/>
        <w:adjustRightInd/>
        <w:snapToGrid/>
        <w:spacing w:beforeAutospacing="0"/>
        <w:ind w:left="0" w:leftChars="0" w:firstLine="0" w:firstLineChars="0"/>
        <w:textAlignment w:val="auto"/>
        <w:rPr>
          <w:rFonts w:hint="eastAsia" w:ascii="黑体" w:hAnsi="黑体" w:eastAsia="黑体" w:cs="黑体"/>
          <w:sz w:val="32"/>
          <w:szCs w:val="32"/>
        </w:rPr>
      </w:pPr>
      <w:r>
        <w:rPr>
          <w:rFonts w:hint="eastAsia" w:ascii="黑体" w:hAnsi="黑体" w:eastAsia="黑体" w:cs="黑体"/>
          <w:sz w:val="32"/>
          <w:szCs w:val="32"/>
        </w:rPr>
        <w:t>废止现行相关标准的建议</w:t>
      </w:r>
    </w:p>
    <w:p w14:paraId="481C3D60">
      <w:pPr>
        <w:ind w:firstLine="640" w:firstLineChars="200"/>
        <w:rPr>
          <w:rFonts w:hint="eastAsia" w:ascii="仿宋" w:hAnsi="仿宋" w:eastAsia="仿宋" w:cs="仿宋"/>
          <w:sz w:val="32"/>
          <w:szCs w:val="32"/>
        </w:rPr>
      </w:pPr>
      <w:r>
        <w:rPr>
          <w:rFonts w:hint="eastAsia" w:ascii="仿宋" w:hAnsi="仿宋" w:eastAsia="仿宋" w:cs="仿宋"/>
          <w:sz w:val="32"/>
          <w:szCs w:val="32"/>
        </w:rPr>
        <w:t>本标准为首次制定，无废止现行相关标准。</w:t>
      </w:r>
    </w:p>
    <w:p w14:paraId="0D6ED656">
      <w:pPr>
        <w:keepNext w:val="0"/>
        <w:keepLines w:val="0"/>
        <w:pageBreakBefore w:val="0"/>
        <w:widowControl w:val="0"/>
        <w:numPr>
          <w:ilvl w:val="0"/>
          <w:numId w:val="1"/>
        </w:numPr>
        <w:kinsoku/>
        <w:wordWrap/>
        <w:overflowPunct/>
        <w:topLinePunct w:val="0"/>
        <w:autoSpaceDE/>
        <w:autoSpaceDN/>
        <w:bidi w:val="0"/>
        <w:adjustRightInd/>
        <w:snapToGrid/>
        <w:spacing w:beforeAutospacing="0"/>
        <w:ind w:left="0" w:leftChars="0" w:firstLine="0" w:firstLineChars="0"/>
        <w:textAlignment w:val="auto"/>
        <w:rPr>
          <w:rFonts w:hint="eastAsia" w:ascii="黑体" w:hAnsi="黑体" w:eastAsia="黑体" w:cs="黑体"/>
          <w:sz w:val="32"/>
          <w:szCs w:val="32"/>
        </w:rPr>
      </w:pPr>
      <w:r>
        <w:rPr>
          <w:rFonts w:hint="eastAsia" w:ascii="黑体" w:hAnsi="黑体" w:eastAsia="黑体" w:cs="黑体"/>
          <w:sz w:val="32"/>
          <w:szCs w:val="32"/>
        </w:rPr>
        <w:t>其他应予说明的事项</w:t>
      </w:r>
    </w:p>
    <w:p w14:paraId="63C9064D">
      <w:pPr>
        <w:ind w:firstLine="640" w:firstLineChars="200"/>
        <w:rPr>
          <w:rFonts w:hint="eastAsia" w:ascii="仿宋" w:hAnsi="仿宋" w:eastAsia="仿宋" w:cs="仿宋"/>
          <w:sz w:val="32"/>
          <w:szCs w:val="32"/>
        </w:rPr>
      </w:pPr>
      <w:r>
        <w:rPr>
          <w:rFonts w:hint="eastAsia" w:ascii="仿宋" w:hAnsi="仿宋" w:eastAsia="仿宋" w:cs="仿宋"/>
          <w:sz w:val="32"/>
          <w:szCs w:val="32"/>
        </w:rPr>
        <w:t>本标准为沁州黄小米区域公用品牌标准化体系重要组成部分，需与《沁州黄小米区域公用品牌通用要求 农食产品》《“沁州黄小米” 农产品加工管理规范》《“沁州黄小米” 特色产品技术规范 小米》同步实施、配套使用，共同支撑品牌全链条高质量发展。</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A9C0FF"/>
    <w:multiLevelType w:val="singleLevel"/>
    <w:tmpl w:val="8BA9C0FF"/>
    <w:lvl w:ilvl="0" w:tentative="0">
      <w:start w:val="1"/>
      <w:numFmt w:val="decimal"/>
      <w:lvlText w:val="%1."/>
      <w:lvlJc w:val="left"/>
      <w:pPr>
        <w:ind w:left="845" w:hanging="425"/>
      </w:pPr>
      <w:rPr>
        <w:rFonts w:hint="default"/>
      </w:rPr>
    </w:lvl>
  </w:abstractNum>
  <w:abstractNum w:abstractNumId="1">
    <w:nsid w:val="A1F76538"/>
    <w:multiLevelType w:val="singleLevel"/>
    <w:tmpl w:val="A1F76538"/>
    <w:lvl w:ilvl="0" w:tentative="0">
      <w:start w:val="1"/>
      <w:numFmt w:val="decimal"/>
      <w:lvlText w:val="%1."/>
      <w:lvlJc w:val="left"/>
      <w:pPr>
        <w:ind w:left="845" w:hanging="425"/>
      </w:pPr>
      <w:rPr>
        <w:rFonts w:hint="default"/>
      </w:rPr>
    </w:lvl>
  </w:abstractNum>
  <w:abstractNum w:abstractNumId="2">
    <w:nsid w:val="A43C07CD"/>
    <w:multiLevelType w:val="singleLevel"/>
    <w:tmpl w:val="A43C07CD"/>
    <w:lvl w:ilvl="0" w:tentative="0">
      <w:start w:val="1"/>
      <w:numFmt w:val="chineseCounting"/>
      <w:suff w:val="nothing"/>
      <w:lvlText w:val="（%1）"/>
      <w:lvlJc w:val="left"/>
      <w:pPr>
        <w:ind w:left="-420" w:firstLine="420"/>
      </w:pPr>
      <w:rPr>
        <w:rFonts w:hint="eastAsia"/>
      </w:rPr>
    </w:lvl>
  </w:abstractNum>
  <w:abstractNum w:abstractNumId="3">
    <w:nsid w:val="BE4D1B25"/>
    <w:multiLevelType w:val="singleLevel"/>
    <w:tmpl w:val="BE4D1B25"/>
    <w:lvl w:ilvl="0" w:tentative="0">
      <w:start w:val="1"/>
      <w:numFmt w:val="chineseCounting"/>
      <w:suff w:val="nothing"/>
      <w:lvlText w:val="（%1）"/>
      <w:lvlJc w:val="left"/>
      <w:pPr>
        <w:ind w:left="0" w:firstLine="420"/>
      </w:pPr>
      <w:rPr>
        <w:rFonts w:hint="eastAsia"/>
      </w:rPr>
    </w:lvl>
  </w:abstractNum>
  <w:abstractNum w:abstractNumId="4">
    <w:nsid w:val="C75AE3DA"/>
    <w:multiLevelType w:val="singleLevel"/>
    <w:tmpl w:val="C75AE3DA"/>
    <w:lvl w:ilvl="0" w:tentative="0">
      <w:start w:val="1"/>
      <w:numFmt w:val="decimal"/>
      <w:lvlText w:val="%1."/>
      <w:lvlJc w:val="left"/>
      <w:pPr>
        <w:ind w:left="845" w:hanging="425"/>
      </w:pPr>
      <w:rPr>
        <w:rFonts w:hint="default"/>
      </w:rPr>
    </w:lvl>
  </w:abstractNum>
  <w:abstractNum w:abstractNumId="5">
    <w:nsid w:val="DAA01F96"/>
    <w:multiLevelType w:val="singleLevel"/>
    <w:tmpl w:val="DAA01F96"/>
    <w:lvl w:ilvl="0" w:tentative="0">
      <w:start w:val="1"/>
      <w:numFmt w:val="chineseCounting"/>
      <w:suff w:val="nothing"/>
      <w:lvlText w:val="（%1）"/>
      <w:lvlJc w:val="left"/>
      <w:pPr>
        <w:ind w:left="0" w:firstLine="420"/>
      </w:pPr>
      <w:rPr>
        <w:rFonts w:hint="eastAsia"/>
      </w:rPr>
    </w:lvl>
  </w:abstractNum>
  <w:abstractNum w:abstractNumId="6">
    <w:nsid w:val="177F89E7"/>
    <w:multiLevelType w:val="singleLevel"/>
    <w:tmpl w:val="177F89E7"/>
    <w:lvl w:ilvl="0" w:tentative="0">
      <w:start w:val="1"/>
      <w:numFmt w:val="chineseCounting"/>
      <w:suff w:val="nothing"/>
      <w:lvlText w:val="（%1）"/>
      <w:lvlJc w:val="left"/>
      <w:pPr>
        <w:ind w:left="0" w:firstLine="420"/>
      </w:pPr>
      <w:rPr>
        <w:rFonts w:hint="eastAsia"/>
      </w:rPr>
    </w:lvl>
  </w:abstractNum>
  <w:abstractNum w:abstractNumId="7">
    <w:nsid w:val="4E070AF4"/>
    <w:multiLevelType w:val="singleLevel"/>
    <w:tmpl w:val="4E070AF4"/>
    <w:lvl w:ilvl="0" w:tentative="0">
      <w:start w:val="1"/>
      <w:numFmt w:val="chineseCounting"/>
      <w:suff w:val="nothing"/>
      <w:lvlText w:val="%1、"/>
      <w:lvlJc w:val="left"/>
      <w:pPr>
        <w:ind w:left="-420" w:firstLine="420"/>
      </w:pPr>
      <w:rPr>
        <w:rFonts w:hint="eastAsia"/>
      </w:rPr>
    </w:lvl>
  </w:abstractNum>
  <w:num w:numId="1">
    <w:abstractNumId w:val="7"/>
  </w:num>
  <w:num w:numId="2">
    <w:abstractNumId w:val="2"/>
  </w:num>
  <w:num w:numId="3">
    <w:abstractNumId w:val="1"/>
  </w:num>
  <w:num w:numId="4">
    <w:abstractNumId w:val="3"/>
  </w:num>
  <w:num w:numId="5">
    <w:abstractNumId w:val="0"/>
  </w:num>
  <w:num w:numId="6">
    <w:abstractNumId w:val="4"/>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CA3F96"/>
    <w:rsid w:val="000F430D"/>
    <w:rsid w:val="00465FA6"/>
    <w:rsid w:val="004C5CD6"/>
    <w:rsid w:val="004C78C1"/>
    <w:rsid w:val="00702640"/>
    <w:rsid w:val="00C03ABF"/>
    <w:rsid w:val="00F07086"/>
    <w:rsid w:val="011078C7"/>
    <w:rsid w:val="013A08C3"/>
    <w:rsid w:val="02301FCF"/>
    <w:rsid w:val="029C1961"/>
    <w:rsid w:val="02A303CC"/>
    <w:rsid w:val="02EE48E4"/>
    <w:rsid w:val="036843FE"/>
    <w:rsid w:val="037C711C"/>
    <w:rsid w:val="038F24A5"/>
    <w:rsid w:val="03EC2EB2"/>
    <w:rsid w:val="04260475"/>
    <w:rsid w:val="042C6DBA"/>
    <w:rsid w:val="04617CE5"/>
    <w:rsid w:val="048525C4"/>
    <w:rsid w:val="049C0772"/>
    <w:rsid w:val="04CA3F96"/>
    <w:rsid w:val="05023EAE"/>
    <w:rsid w:val="05E17529"/>
    <w:rsid w:val="05E43203"/>
    <w:rsid w:val="060F179E"/>
    <w:rsid w:val="061267C0"/>
    <w:rsid w:val="061E0EE8"/>
    <w:rsid w:val="064F2D1B"/>
    <w:rsid w:val="065F707B"/>
    <w:rsid w:val="06AA25BA"/>
    <w:rsid w:val="075C2488"/>
    <w:rsid w:val="07BB0B45"/>
    <w:rsid w:val="07C933D0"/>
    <w:rsid w:val="07ED51C5"/>
    <w:rsid w:val="081C7B28"/>
    <w:rsid w:val="082679DF"/>
    <w:rsid w:val="08DF5437"/>
    <w:rsid w:val="09171A8F"/>
    <w:rsid w:val="095E4433"/>
    <w:rsid w:val="09F2307D"/>
    <w:rsid w:val="09F53E96"/>
    <w:rsid w:val="09F96CC9"/>
    <w:rsid w:val="0A063238"/>
    <w:rsid w:val="0A0F31CF"/>
    <w:rsid w:val="0A2377F3"/>
    <w:rsid w:val="0A594470"/>
    <w:rsid w:val="0A6C0264"/>
    <w:rsid w:val="0AD91F41"/>
    <w:rsid w:val="0AFE7A44"/>
    <w:rsid w:val="0B331B11"/>
    <w:rsid w:val="0B350727"/>
    <w:rsid w:val="0C364685"/>
    <w:rsid w:val="0C831B82"/>
    <w:rsid w:val="0C883DD4"/>
    <w:rsid w:val="0C920868"/>
    <w:rsid w:val="0D9C18F2"/>
    <w:rsid w:val="0DD726AD"/>
    <w:rsid w:val="0E1A20B6"/>
    <w:rsid w:val="0E210EBA"/>
    <w:rsid w:val="0E407967"/>
    <w:rsid w:val="0E612BB2"/>
    <w:rsid w:val="0EA75229"/>
    <w:rsid w:val="0ED22A57"/>
    <w:rsid w:val="0F546D09"/>
    <w:rsid w:val="0F580CB3"/>
    <w:rsid w:val="0F9F69E6"/>
    <w:rsid w:val="101B19F7"/>
    <w:rsid w:val="10BE0483"/>
    <w:rsid w:val="10D20220"/>
    <w:rsid w:val="111E029B"/>
    <w:rsid w:val="113421F8"/>
    <w:rsid w:val="11684F39"/>
    <w:rsid w:val="116D02A7"/>
    <w:rsid w:val="11717D37"/>
    <w:rsid w:val="11830B26"/>
    <w:rsid w:val="11866EC5"/>
    <w:rsid w:val="11AA29F0"/>
    <w:rsid w:val="11C269BB"/>
    <w:rsid w:val="11FD021F"/>
    <w:rsid w:val="1226260A"/>
    <w:rsid w:val="1247290C"/>
    <w:rsid w:val="127814B4"/>
    <w:rsid w:val="128907AE"/>
    <w:rsid w:val="128E59EB"/>
    <w:rsid w:val="1297134C"/>
    <w:rsid w:val="12A235A7"/>
    <w:rsid w:val="12B70579"/>
    <w:rsid w:val="1362729C"/>
    <w:rsid w:val="137E40B8"/>
    <w:rsid w:val="138C2896"/>
    <w:rsid w:val="13B03E05"/>
    <w:rsid w:val="14231DF8"/>
    <w:rsid w:val="14556437"/>
    <w:rsid w:val="146B55EA"/>
    <w:rsid w:val="14DC0B5C"/>
    <w:rsid w:val="15865070"/>
    <w:rsid w:val="15F854B2"/>
    <w:rsid w:val="160B2045"/>
    <w:rsid w:val="16155FA4"/>
    <w:rsid w:val="16885BEC"/>
    <w:rsid w:val="16D82EEB"/>
    <w:rsid w:val="17476857"/>
    <w:rsid w:val="17485BB5"/>
    <w:rsid w:val="17BA09FD"/>
    <w:rsid w:val="17C344AA"/>
    <w:rsid w:val="17CB24AC"/>
    <w:rsid w:val="18557718"/>
    <w:rsid w:val="18DD7488"/>
    <w:rsid w:val="192728A8"/>
    <w:rsid w:val="19A846E9"/>
    <w:rsid w:val="19D7590E"/>
    <w:rsid w:val="19D95984"/>
    <w:rsid w:val="19F32DEE"/>
    <w:rsid w:val="1A377B03"/>
    <w:rsid w:val="1A4E0ACA"/>
    <w:rsid w:val="1ACF2F23"/>
    <w:rsid w:val="1B9935B1"/>
    <w:rsid w:val="1BE7552F"/>
    <w:rsid w:val="1BF17BF1"/>
    <w:rsid w:val="1C8528C4"/>
    <w:rsid w:val="1CC2685E"/>
    <w:rsid w:val="1CCD4208"/>
    <w:rsid w:val="1D226816"/>
    <w:rsid w:val="1D310DC1"/>
    <w:rsid w:val="1D5E5741"/>
    <w:rsid w:val="1D60668C"/>
    <w:rsid w:val="1D611FF4"/>
    <w:rsid w:val="1D7244CE"/>
    <w:rsid w:val="1D7A0327"/>
    <w:rsid w:val="1DBB30CD"/>
    <w:rsid w:val="1DE2325D"/>
    <w:rsid w:val="1DE86E96"/>
    <w:rsid w:val="1E320B45"/>
    <w:rsid w:val="1EB65C1F"/>
    <w:rsid w:val="1F6A48F5"/>
    <w:rsid w:val="1F6C7CAC"/>
    <w:rsid w:val="1F71438F"/>
    <w:rsid w:val="1F7E183C"/>
    <w:rsid w:val="1F8456F9"/>
    <w:rsid w:val="205045E5"/>
    <w:rsid w:val="208C182D"/>
    <w:rsid w:val="20C70668"/>
    <w:rsid w:val="210E7527"/>
    <w:rsid w:val="214C2E31"/>
    <w:rsid w:val="21614889"/>
    <w:rsid w:val="219A578B"/>
    <w:rsid w:val="21CA2C93"/>
    <w:rsid w:val="21D6420D"/>
    <w:rsid w:val="2296489A"/>
    <w:rsid w:val="231F65DD"/>
    <w:rsid w:val="232474D6"/>
    <w:rsid w:val="23492C29"/>
    <w:rsid w:val="236A554B"/>
    <w:rsid w:val="23BB37BF"/>
    <w:rsid w:val="23E27048"/>
    <w:rsid w:val="240B545F"/>
    <w:rsid w:val="243B58C3"/>
    <w:rsid w:val="24941DA4"/>
    <w:rsid w:val="2494446F"/>
    <w:rsid w:val="25270161"/>
    <w:rsid w:val="2549300A"/>
    <w:rsid w:val="258035FB"/>
    <w:rsid w:val="25882061"/>
    <w:rsid w:val="25C87582"/>
    <w:rsid w:val="25CA092F"/>
    <w:rsid w:val="260D3D7D"/>
    <w:rsid w:val="26D835E7"/>
    <w:rsid w:val="26F56AED"/>
    <w:rsid w:val="27171393"/>
    <w:rsid w:val="273B7FF0"/>
    <w:rsid w:val="274566C4"/>
    <w:rsid w:val="2827380D"/>
    <w:rsid w:val="282A31AF"/>
    <w:rsid w:val="284F35A3"/>
    <w:rsid w:val="2868334A"/>
    <w:rsid w:val="28D02AEA"/>
    <w:rsid w:val="292463CA"/>
    <w:rsid w:val="29367634"/>
    <w:rsid w:val="294F4D2A"/>
    <w:rsid w:val="29707223"/>
    <w:rsid w:val="29CC349E"/>
    <w:rsid w:val="29EA1695"/>
    <w:rsid w:val="2A1F09F7"/>
    <w:rsid w:val="2A280D1A"/>
    <w:rsid w:val="2A8763C7"/>
    <w:rsid w:val="2AA31DFD"/>
    <w:rsid w:val="2B78257A"/>
    <w:rsid w:val="2B8463AD"/>
    <w:rsid w:val="2BF62D0C"/>
    <w:rsid w:val="2BFA189A"/>
    <w:rsid w:val="2C217F98"/>
    <w:rsid w:val="2C255A01"/>
    <w:rsid w:val="2C3137F8"/>
    <w:rsid w:val="2C422F28"/>
    <w:rsid w:val="2C456572"/>
    <w:rsid w:val="2C4D1791"/>
    <w:rsid w:val="2CD22F3F"/>
    <w:rsid w:val="2D10197C"/>
    <w:rsid w:val="2D2A668A"/>
    <w:rsid w:val="2D3B54D7"/>
    <w:rsid w:val="2DA6519E"/>
    <w:rsid w:val="2DD82B85"/>
    <w:rsid w:val="2E7F6299"/>
    <w:rsid w:val="2F3820B9"/>
    <w:rsid w:val="2F7030F8"/>
    <w:rsid w:val="2FA043E2"/>
    <w:rsid w:val="307229AA"/>
    <w:rsid w:val="30834CF8"/>
    <w:rsid w:val="30A40FA9"/>
    <w:rsid w:val="30AC6671"/>
    <w:rsid w:val="30D77936"/>
    <w:rsid w:val="3194705F"/>
    <w:rsid w:val="31CF2FCE"/>
    <w:rsid w:val="31FD4424"/>
    <w:rsid w:val="321F19BE"/>
    <w:rsid w:val="324073EB"/>
    <w:rsid w:val="329A1AE6"/>
    <w:rsid w:val="329E2EAA"/>
    <w:rsid w:val="33247FCD"/>
    <w:rsid w:val="33293144"/>
    <w:rsid w:val="336A1EE0"/>
    <w:rsid w:val="33B64F22"/>
    <w:rsid w:val="3442303A"/>
    <w:rsid w:val="34D201E9"/>
    <w:rsid w:val="34E8697D"/>
    <w:rsid w:val="350131E6"/>
    <w:rsid w:val="35032E48"/>
    <w:rsid w:val="35087608"/>
    <w:rsid w:val="352C197E"/>
    <w:rsid w:val="358426C9"/>
    <w:rsid w:val="35A56317"/>
    <w:rsid w:val="35C7697D"/>
    <w:rsid w:val="35F463A3"/>
    <w:rsid w:val="36007E21"/>
    <w:rsid w:val="368F584E"/>
    <w:rsid w:val="370A54BD"/>
    <w:rsid w:val="377A438F"/>
    <w:rsid w:val="37A35FE7"/>
    <w:rsid w:val="3884056F"/>
    <w:rsid w:val="38C62128"/>
    <w:rsid w:val="3905700A"/>
    <w:rsid w:val="39700710"/>
    <w:rsid w:val="397905B8"/>
    <w:rsid w:val="39850EE3"/>
    <w:rsid w:val="39A04755"/>
    <w:rsid w:val="39AA6C8F"/>
    <w:rsid w:val="3AEE002E"/>
    <w:rsid w:val="3B5B1690"/>
    <w:rsid w:val="3B5C2538"/>
    <w:rsid w:val="3B976BDA"/>
    <w:rsid w:val="3BA950BE"/>
    <w:rsid w:val="3BCA668A"/>
    <w:rsid w:val="3C0D2EE6"/>
    <w:rsid w:val="3C1226F1"/>
    <w:rsid w:val="3C1C478B"/>
    <w:rsid w:val="3C475AD1"/>
    <w:rsid w:val="3CB03561"/>
    <w:rsid w:val="3CD86769"/>
    <w:rsid w:val="3D1A789E"/>
    <w:rsid w:val="3D5E5CAB"/>
    <w:rsid w:val="3D936FEC"/>
    <w:rsid w:val="3DA25EC9"/>
    <w:rsid w:val="3E3C2F73"/>
    <w:rsid w:val="3E3E3519"/>
    <w:rsid w:val="3E435190"/>
    <w:rsid w:val="3E8114C9"/>
    <w:rsid w:val="3E9F584D"/>
    <w:rsid w:val="3EA13249"/>
    <w:rsid w:val="3EA61D85"/>
    <w:rsid w:val="3EAA25D2"/>
    <w:rsid w:val="3EDF1378"/>
    <w:rsid w:val="3EFA269C"/>
    <w:rsid w:val="3F796D19"/>
    <w:rsid w:val="3F83798E"/>
    <w:rsid w:val="40486F67"/>
    <w:rsid w:val="40672877"/>
    <w:rsid w:val="40974D03"/>
    <w:rsid w:val="41022E04"/>
    <w:rsid w:val="4172208D"/>
    <w:rsid w:val="41C81375"/>
    <w:rsid w:val="41FE2150"/>
    <w:rsid w:val="420D0C11"/>
    <w:rsid w:val="4269697D"/>
    <w:rsid w:val="431114B1"/>
    <w:rsid w:val="437E05BB"/>
    <w:rsid w:val="439524D7"/>
    <w:rsid w:val="43A858A7"/>
    <w:rsid w:val="43AA09C3"/>
    <w:rsid w:val="43B24A8C"/>
    <w:rsid w:val="43BA7B8B"/>
    <w:rsid w:val="43BF54F5"/>
    <w:rsid w:val="43C6112A"/>
    <w:rsid w:val="4437309F"/>
    <w:rsid w:val="443A11EF"/>
    <w:rsid w:val="445F5902"/>
    <w:rsid w:val="44CF4E73"/>
    <w:rsid w:val="44FA62F6"/>
    <w:rsid w:val="4500751D"/>
    <w:rsid w:val="450D151C"/>
    <w:rsid w:val="45B00337"/>
    <w:rsid w:val="45B419FD"/>
    <w:rsid w:val="46185CED"/>
    <w:rsid w:val="46520B22"/>
    <w:rsid w:val="46540351"/>
    <w:rsid w:val="466F5A28"/>
    <w:rsid w:val="467F339A"/>
    <w:rsid w:val="46C734A8"/>
    <w:rsid w:val="46E417C0"/>
    <w:rsid w:val="46F3766F"/>
    <w:rsid w:val="47055BF6"/>
    <w:rsid w:val="47306DB9"/>
    <w:rsid w:val="474D0AC2"/>
    <w:rsid w:val="47CC11C7"/>
    <w:rsid w:val="47F9583F"/>
    <w:rsid w:val="480077C6"/>
    <w:rsid w:val="484B6978"/>
    <w:rsid w:val="48E958DB"/>
    <w:rsid w:val="490415D5"/>
    <w:rsid w:val="49A068F0"/>
    <w:rsid w:val="49B4269C"/>
    <w:rsid w:val="49C71668"/>
    <w:rsid w:val="49E26946"/>
    <w:rsid w:val="4A500263"/>
    <w:rsid w:val="4BA57882"/>
    <w:rsid w:val="4BA767C0"/>
    <w:rsid w:val="4BC10C01"/>
    <w:rsid w:val="4BD51760"/>
    <w:rsid w:val="4BE17A0A"/>
    <w:rsid w:val="4BE71A22"/>
    <w:rsid w:val="4C322AEA"/>
    <w:rsid w:val="4C382FEA"/>
    <w:rsid w:val="4C790359"/>
    <w:rsid w:val="4D2E306E"/>
    <w:rsid w:val="4D774A63"/>
    <w:rsid w:val="4DBE3F32"/>
    <w:rsid w:val="4DF90B8C"/>
    <w:rsid w:val="4E0E71EC"/>
    <w:rsid w:val="4E260F4B"/>
    <w:rsid w:val="4E794DF4"/>
    <w:rsid w:val="4EA50A9D"/>
    <w:rsid w:val="4EF56EA1"/>
    <w:rsid w:val="4F0A6E7D"/>
    <w:rsid w:val="4F28448E"/>
    <w:rsid w:val="4F3773AC"/>
    <w:rsid w:val="4F444F4F"/>
    <w:rsid w:val="4F6622FC"/>
    <w:rsid w:val="4F67382E"/>
    <w:rsid w:val="4F7F0E8B"/>
    <w:rsid w:val="4F946417"/>
    <w:rsid w:val="4F970222"/>
    <w:rsid w:val="4FE629FA"/>
    <w:rsid w:val="4FF2447A"/>
    <w:rsid w:val="50AB1912"/>
    <w:rsid w:val="50D06C73"/>
    <w:rsid w:val="50D74F20"/>
    <w:rsid w:val="50F36786"/>
    <w:rsid w:val="50F63DAA"/>
    <w:rsid w:val="5106259A"/>
    <w:rsid w:val="518E22EF"/>
    <w:rsid w:val="519B3D3A"/>
    <w:rsid w:val="51FD5FB1"/>
    <w:rsid w:val="51FF2ABF"/>
    <w:rsid w:val="5231399F"/>
    <w:rsid w:val="524F634F"/>
    <w:rsid w:val="52970964"/>
    <w:rsid w:val="52D021B0"/>
    <w:rsid w:val="52D645ED"/>
    <w:rsid w:val="52DD45C5"/>
    <w:rsid w:val="53781268"/>
    <w:rsid w:val="540E0C98"/>
    <w:rsid w:val="543E7BF2"/>
    <w:rsid w:val="54607C35"/>
    <w:rsid w:val="5465071F"/>
    <w:rsid w:val="548210A5"/>
    <w:rsid w:val="549105B2"/>
    <w:rsid w:val="54C3666F"/>
    <w:rsid w:val="54D534BC"/>
    <w:rsid w:val="556C4241"/>
    <w:rsid w:val="5572660C"/>
    <w:rsid w:val="55BD684B"/>
    <w:rsid w:val="568A6D33"/>
    <w:rsid w:val="572925F2"/>
    <w:rsid w:val="572E7F60"/>
    <w:rsid w:val="57567DBB"/>
    <w:rsid w:val="576B6AF5"/>
    <w:rsid w:val="5775071F"/>
    <w:rsid w:val="57B63921"/>
    <w:rsid w:val="580A3DDF"/>
    <w:rsid w:val="585977F5"/>
    <w:rsid w:val="58C967BC"/>
    <w:rsid w:val="59272A65"/>
    <w:rsid w:val="593D79FF"/>
    <w:rsid w:val="59820D91"/>
    <w:rsid w:val="599A4962"/>
    <w:rsid w:val="59F1621D"/>
    <w:rsid w:val="5A550CE4"/>
    <w:rsid w:val="5ABA77FD"/>
    <w:rsid w:val="5ACD39D4"/>
    <w:rsid w:val="5ADC1711"/>
    <w:rsid w:val="5B6B7F0D"/>
    <w:rsid w:val="5BB029AE"/>
    <w:rsid w:val="5BE62DDF"/>
    <w:rsid w:val="5C0957AB"/>
    <w:rsid w:val="5C406E11"/>
    <w:rsid w:val="5C7829AE"/>
    <w:rsid w:val="5CE663C7"/>
    <w:rsid w:val="5D130449"/>
    <w:rsid w:val="5D6A55A5"/>
    <w:rsid w:val="5D7C7ED5"/>
    <w:rsid w:val="5D914804"/>
    <w:rsid w:val="5D9C7435"/>
    <w:rsid w:val="5DEC1517"/>
    <w:rsid w:val="5DF41CD0"/>
    <w:rsid w:val="5E084393"/>
    <w:rsid w:val="5E823A88"/>
    <w:rsid w:val="5E826667"/>
    <w:rsid w:val="5E9A453D"/>
    <w:rsid w:val="5EA51C2C"/>
    <w:rsid w:val="5EC320F7"/>
    <w:rsid w:val="5EE919A3"/>
    <w:rsid w:val="5F117FCA"/>
    <w:rsid w:val="5F334928"/>
    <w:rsid w:val="5F3357A6"/>
    <w:rsid w:val="5F4D2EF1"/>
    <w:rsid w:val="5F4E5F55"/>
    <w:rsid w:val="5F627148"/>
    <w:rsid w:val="5FE67A8C"/>
    <w:rsid w:val="5FEF4312"/>
    <w:rsid w:val="5FF3215A"/>
    <w:rsid w:val="5FFD3D09"/>
    <w:rsid w:val="601748E6"/>
    <w:rsid w:val="60275F92"/>
    <w:rsid w:val="60327E35"/>
    <w:rsid w:val="604D76DD"/>
    <w:rsid w:val="60632F28"/>
    <w:rsid w:val="618834A0"/>
    <w:rsid w:val="619B3FBF"/>
    <w:rsid w:val="628B44CF"/>
    <w:rsid w:val="62A93042"/>
    <w:rsid w:val="62DD1793"/>
    <w:rsid w:val="63276C22"/>
    <w:rsid w:val="63752C3C"/>
    <w:rsid w:val="639A6450"/>
    <w:rsid w:val="63C41D96"/>
    <w:rsid w:val="64035C69"/>
    <w:rsid w:val="643B7055"/>
    <w:rsid w:val="64ED50C9"/>
    <w:rsid w:val="650E29FF"/>
    <w:rsid w:val="65467ACA"/>
    <w:rsid w:val="6684655E"/>
    <w:rsid w:val="6689227C"/>
    <w:rsid w:val="66B06CBC"/>
    <w:rsid w:val="66D33327"/>
    <w:rsid w:val="679657F7"/>
    <w:rsid w:val="69017F3B"/>
    <w:rsid w:val="69176C07"/>
    <w:rsid w:val="69B81DD0"/>
    <w:rsid w:val="6A332942"/>
    <w:rsid w:val="6ADE63B4"/>
    <w:rsid w:val="6B152606"/>
    <w:rsid w:val="6B3C04DE"/>
    <w:rsid w:val="6B4A631E"/>
    <w:rsid w:val="6BA02153"/>
    <w:rsid w:val="6C0C2BAA"/>
    <w:rsid w:val="6C3421D9"/>
    <w:rsid w:val="6C921EF5"/>
    <w:rsid w:val="6CAD02EE"/>
    <w:rsid w:val="6CBD20BC"/>
    <w:rsid w:val="6CC91C1F"/>
    <w:rsid w:val="6CEC1DD8"/>
    <w:rsid w:val="6D5B13D3"/>
    <w:rsid w:val="6D6A4465"/>
    <w:rsid w:val="6D771219"/>
    <w:rsid w:val="6D982EB3"/>
    <w:rsid w:val="6D9F4982"/>
    <w:rsid w:val="6DBF37E9"/>
    <w:rsid w:val="6E276AAA"/>
    <w:rsid w:val="6EB30518"/>
    <w:rsid w:val="6F5A7DAE"/>
    <w:rsid w:val="6F5D0BF2"/>
    <w:rsid w:val="6F833C82"/>
    <w:rsid w:val="70D94A29"/>
    <w:rsid w:val="714F30F9"/>
    <w:rsid w:val="71841D05"/>
    <w:rsid w:val="72342B93"/>
    <w:rsid w:val="725A7DC8"/>
    <w:rsid w:val="734B5440"/>
    <w:rsid w:val="734E33E5"/>
    <w:rsid w:val="736D748C"/>
    <w:rsid w:val="73736B38"/>
    <w:rsid w:val="73A40D37"/>
    <w:rsid w:val="73B86EA6"/>
    <w:rsid w:val="7404268C"/>
    <w:rsid w:val="7539258A"/>
    <w:rsid w:val="754E60CE"/>
    <w:rsid w:val="75812C2C"/>
    <w:rsid w:val="75AC793F"/>
    <w:rsid w:val="75C717D6"/>
    <w:rsid w:val="75F845D1"/>
    <w:rsid w:val="763F33F6"/>
    <w:rsid w:val="767A0868"/>
    <w:rsid w:val="776F4C1B"/>
    <w:rsid w:val="77713152"/>
    <w:rsid w:val="77A40FC5"/>
    <w:rsid w:val="77AE0B9D"/>
    <w:rsid w:val="77B71A3A"/>
    <w:rsid w:val="78592933"/>
    <w:rsid w:val="789D512A"/>
    <w:rsid w:val="78A74D9E"/>
    <w:rsid w:val="78D90476"/>
    <w:rsid w:val="78F17479"/>
    <w:rsid w:val="79856A69"/>
    <w:rsid w:val="79EE383E"/>
    <w:rsid w:val="7A276578"/>
    <w:rsid w:val="7A8552D9"/>
    <w:rsid w:val="7ABA354D"/>
    <w:rsid w:val="7AC967B5"/>
    <w:rsid w:val="7AD55342"/>
    <w:rsid w:val="7B9F1D8C"/>
    <w:rsid w:val="7BD7081D"/>
    <w:rsid w:val="7BDA4414"/>
    <w:rsid w:val="7C044407"/>
    <w:rsid w:val="7C2314F1"/>
    <w:rsid w:val="7C737A2C"/>
    <w:rsid w:val="7D253F19"/>
    <w:rsid w:val="7D300663"/>
    <w:rsid w:val="7DA00E56"/>
    <w:rsid w:val="7DBC69B8"/>
    <w:rsid w:val="7DD444D0"/>
    <w:rsid w:val="7DE935CA"/>
    <w:rsid w:val="7DF315B9"/>
    <w:rsid w:val="7EE218EE"/>
    <w:rsid w:val="7F09720C"/>
    <w:rsid w:val="7F9858B6"/>
    <w:rsid w:val="7FCD6AE4"/>
    <w:rsid w:val="7FF450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ind w:firstLine="720"/>
    </w:pPr>
    <w:rPr>
      <w:rFonts w:eastAsia="仿宋_GB2312"/>
      <w:sz w:val="30"/>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2677</Words>
  <Characters>2756</Characters>
  <Lines>0</Lines>
  <Paragraphs>0</Paragraphs>
  <TotalTime>7</TotalTime>
  <ScaleCrop>false</ScaleCrop>
  <LinksUpToDate>false</LinksUpToDate>
  <CharactersWithSpaces>2781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2026-04-29T08:22:00Z</dcterms:created>
  <dc:creator>王峰</dc:creator>
  <cp:lastModifiedBy>权</cp:lastModifiedBy>
  <dcterms:modified xsi:type="dcterms:W3CDTF">2026-04-30T06:10:13Z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E190B1221D9F4EA1A71DD9A85EAAF3DB_11</vt:lpwstr>
  </property>
  <property fmtid="{D5CDD505-2E9C-101B-9397-08002B2CF9AE}" pid="4" name="KSOTemplateDocerSaveRecord">
    <vt:lpwstr>eyJoZGlkIjoiYjVmNzIzNjA1NmUwYjg4OGI0OTc1MjExMjFiMDVjZTAiLCJ1c2VySWQiOiI2ODYxNjkxODkifQ==</vt:lpwstr>
  </property>
</Properties>
</file>