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35E4D54D">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6D7A9EA">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13.020.99</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1921AE0">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lang w:eastAsia="zh-CN"/>
                    </w:rPr>
                    <w:t>C</w:t>
                  </w:r>
                  <w:r>
                    <w:rPr>
                      <w:rFonts w:hint="eastAsia"/>
                      <w:lang w:val="en-US" w:eastAsia="zh-CN"/>
                    </w:rPr>
                    <w:t>QSES</w:t>
                  </w:r>
                  <w:r>
                    <w:fldChar w:fldCharType="end"/>
                  </w:r>
                  <w:bookmarkEnd w:id="1"/>
                </w:p>
              </w:tc>
            </w:tr>
          </w:tbl>
          <w:p w14:paraId="559E162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Z</w:t>
            </w:r>
            <w:r>
              <w:rPr>
                <w:rFonts w:hint="eastAsia" w:ascii="黑体" w:hAnsi="黑体" w:eastAsia="黑体"/>
                <w:sz w:val="21"/>
                <w:szCs w:val="21"/>
                <w:lang w:val="en-US" w:eastAsia="zh-CN"/>
              </w:rPr>
              <w:t xml:space="preserve"> 04</w:t>
            </w:r>
            <w:r>
              <w:rPr>
                <w:rFonts w:ascii="黑体" w:hAnsi="黑体" w:eastAsia="黑体"/>
                <w:sz w:val="21"/>
                <w:szCs w:val="21"/>
              </w:rPr>
              <w:fldChar w:fldCharType="end"/>
            </w:r>
            <w:bookmarkEnd w:id="2"/>
          </w:p>
        </w:tc>
      </w:tr>
    </w:tbl>
    <w:p w14:paraId="161BCF4A">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重庆市环境科学学会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3EC1316">
      <w:pPr>
        <w:pStyle w:val="195"/>
        <w:framePr/>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lang w:eastAsia="zh-CN"/>
        </w:rPr>
        <w:t>C</w:t>
      </w:r>
      <w:r>
        <w:rPr>
          <w:rFonts w:hint="eastAsia"/>
          <w:lang w:val="en-US" w:eastAsia="zh-CN"/>
        </w:rPr>
        <w:t>QSES</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2</w:t>
      </w:r>
      <w:r>
        <w:rPr>
          <w:rFonts w:hint="eastAsia"/>
          <w:lang w:val="en-US" w:eastAsia="zh-CN"/>
        </w:rPr>
        <w:t>026</w:t>
      </w:r>
      <w:r>
        <w:fldChar w:fldCharType="end"/>
      </w:r>
      <w:bookmarkEnd w:id="7"/>
    </w:p>
    <w:p w14:paraId="52A51E97">
      <w:pPr>
        <w:pStyle w:val="196"/>
        <w:framePr/>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0"/>
        <w:framePr w:w="9639" w:h="6976" w:hRule="exact" w:hSpace="0" w:vSpace="0" w:wrap="around" w:hAnchor="page" w:y="6408"/>
        <w:jc w:val="center"/>
        <w:rPr>
          <w:rFonts w:hint="eastAsia" w:ascii="黑体" w:hAnsi="黑体" w:eastAsia="黑体"/>
          <w:b w:val="0"/>
          <w:bCs w:val="0"/>
          <w:w w:val="100"/>
        </w:rPr>
      </w:pPr>
    </w:p>
    <w:p w14:paraId="02A223D2">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零碳工厂建设与管理技术指南</w:t>
      </w:r>
      <w:r>
        <w:fldChar w:fldCharType="end"/>
      </w:r>
      <w:bookmarkEnd w:id="9"/>
    </w:p>
    <w:p w14:paraId="2144DE0C">
      <w:pPr>
        <w:framePr w:w="9639" w:h="6974" w:hRule="exact" w:wrap="around" w:vAnchor="page" w:hAnchor="page" w:x="1419" w:y="6408" w:anchorLock="1"/>
        <w:ind w:left="-1418"/>
      </w:pPr>
    </w:p>
    <w:p w14:paraId="6A073306">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Technical Guide for Construction and Management of Zero-Carbon Factory</w:t>
      </w:r>
      <w:r>
        <w:rPr>
          <w:rFonts w:eastAsia="黑体"/>
          <w:szCs w:val="28"/>
        </w:rPr>
        <w:fldChar w:fldCharType="end"/>
      </w:r>
      <w:bookmarkEnd w:id="10"/>
    </w:p>
    <w:p w14:paraId="313D54A8">
      <w:pPr>
        <w:framePr w:w="9639" w:h="6974" w:hRule="exact" w:wrap="around" w:vAnchor="page" w:hAnchor="page" w:x="1419" w:y="6408" w:anchorLock="1"/>
        <w:spacing w:line="760" w:lineRule="exact"/>
        <w:ind w:left="-1418"/>
      </w:pPr>
    </w:p>
    <w:p w14:paraId="18E584F4">
      <w:pPr>
        <w:pStyle w:val="125"/>
        <w:framePr w:w="9639" w:h="6974" w:hRule="exact" w:wrap="around" w:vAnchor="page" w:hAnchor="page" w:x="1419" w:y="6408" w:anchorLock="1"/>
        <w:textAlignment w:val="bottom"/>
        <w:rPr>
          <w:rFonts w:eastAsia="黑体"/>
          <w:szCs w:val="28"/>
        </w:rPr>
      </w:pPr>
    </w:p>
    <w:p w14:paraId="382A48E7">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493B8B9A">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C6769F1">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7657F19A">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6DCA3D9">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9867BE4">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重庆市环境科学学会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374BE5A5">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3DBD432E">
      <w:pPr>
        <w:pStyle w:val="91"/>
        <w:bidi w:val="0"/>
        <w:rPr>
          <w:rFonts w:hint="eastAsia"/>
          <w:lang w:eastAsia="zh-CN"/>
        </w:rPr>
      </w:pPr>
      <w:bookmarkStart w:id="21" w:name="BookMark1"/>
      <w:r>
        <w:rPr>
          <w:rFonts w:hint="eastAsia"/>
          <w:spacing w:val="320"/>
          <w:lang w:eastAsia="zh-CN"/>
        </w:rPr>
        <w:t>目</w:t>
      </w:r>
      <w:r>
        <w:rPr>
          <w:rFonts w:hint="eastAsia"/>
          <w:lang w:eastAsia="zh-CN"/>
        </w:rPr>
        <w:t>次</w:t>
      </w:r>
    </w:p>
    <w:p w14:paraId="5A1B2914">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TOC \o "1-1" \t "标准文件_一级条标题,2,标准文件_附录一级条标题,2," \h</w:instrText>
      </w:r>
      <w:r>
        <w:rPr>
          <w:rFonts w:hint="eastAsia"/>
          <w:spacing w:val="0"/>
          <w:lang w:eastAsia="zh-CN"/>
        </w:rPr>
        <w:fldChar w:fldCharType="separate"/>
      </w:r>
      <w:r>
        <w:rPr>
          <w:rFonts w:hint="eastAsia"/>
          <w:spacing w:val="0"/>
          <w:lang w:eastAsia="zh-CN"/>
        </w:rPr>
        <w:fldChar w:fldCharType="begin"/>
      </w:r>
      <w:r>
        <w:rPr>
          <w:rFonts w:hint="eastAsia"/>
          <w:spacing w:val="0"/>
          <w:lang w:eastAsia="zh-CN"/>
        </w:rPr>
        <w:instrText xml:space="preserve"> HYPERLINK \l _Toc29138 </w:instrText>
      </w:r>
      <w:r>
        <w:rPr>
          <w:rFonts w:hint="eastAsia"/>
          <w:spacing w:val="0"/>
          <w:lang w:eastAsia="zh-CN"/>
        </w:rPr>
        <w:fldChar w:fldCharType="separate"/>
      </w:r>
      <w:r>
        <w:rPr>
          <w:rFonts w:hint="eastAsia"/>
          <w:spacing w:val="0"/>
          <w:lang w:eastAsia="zh-CN"/>
        </w:rPr>
        <w:t>前言</w:t>
      </w:r>
      <w:r>
        <w:rPr>
          <w:spacing w:val="0"/>
        </w:rPr>
        <w:tab/>
      </w:r>
      <w:r>
        <w:rPr>
          <w:spacing w:val="0"/>
        </w:rPr>
        <w:fldChar w:fldCharType="begin"/>
      </w:r>
      <w:r>
        <w:rPr>
          <w:spacing w:val="0"/>
        </w:rPr>
        <w:instrText xml:space="preserve"> PAGEREF _Toc29138 \h </w:instrText>
      </w:r>
      <w:r>
        <w:rPr>
          <w:spacing w:val="0"/>
        </w:rPr>
        <w:fldChar w:fldCharType="separate"/>
      </w:r>
      <w:r>
        <w:rPr>
          <w:spacing w:val="0"/>
        </w:rPr>
        <w:t>II</w:t>
      </w:r>
      <w:r>
        <w:rPr>
          <w:spacing w:val="0"/>
        </w:rPr>
        <w:fldChar w:fldCharType="end"/>
      </w:r>
      <w:r>
        <w:rPr>
          <w:rFonts w:hint="eastAsia"/>
          <w:spacing w:val="0"/>
          <w:lang w:eastAsia="zh-CN"/>
        </w:rPr>
        <w:fldChar w:fldCharType="end"/>
      </w:r>
    </w:p>
    <w:p w14:paraId="2C2A31D7">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_Toc31413 </w:instrText>
      </w:r>
      <w:r>
        <w:rPr>
          <w:rFonts w:hint="eastAsia"/>
          <w:spacing w:val="0"/>
          <w:lang w:eastAsia="zh-CN"/>
        </w:rPr>
        <w:fldChar w:fldCharType="separate"/>
      </w:r>
      <w:r>
        <w:rPr>
          <w:rFonts w:hint="eastAsia" w:ascii="黑体" w:eastAsia="黑体"/>
          <w:i w:val="0"/>
          <w:spacing w:val="0"/>
        </w:rPr>
        <w:t>1</w:t>
      </w:r>
      <w:r>
        <w:rPr>
          <w:rFonts w:hint="eastAsia" w:ascii="黑体" w:eastAsia="黑体"/>
          <w:i w:val="0"/>
          <w:spacing w:val="0"/>
          <w:lang w:eastAsia="zh-CN"/>
        </w:rPr>
        <w:t xml:space="preserve"> </w:t>
      </w:r>
      <w:r>
        <w:rPr>
          <w:rFonts w:hint="eastAsia" w:ascii="黑体" w:eastAsia="黑体"/>
          <w:i w:val="0"/>
          <w:spacing w:val="0"/>
        </w:rPr>
        <w:t xml:space="preserve"> </w:t>
      </w:r>
      <w:r>
        <w:rPr>
          <w:rFonts w:hint="eastAsia"/>
          <w:spacing w:val="0"/>
        </w:rPr>
        <w:t>范围</w:t>
      </w:r>
      <w:r>
        <w:rPr>
          <w:spacing w:val="0"/>
        </w:rPr>
        <w:tab/>
      </w:r>
      <w:r>
        <w:rPr>
          <w:spacing w:val="0"/>
        </w:rPr>
        <w:fldChar w:fldCharType="begin"/>
      </w:r>
      <w:r>
        <w:rPr>
          <w:spacing w:val="0"/>
        </w:rPr>
        <w:instrText xml:space="preserve"> PAGEREF _Toc31413 \h </w:instrText>
      </w:r>
      <w:r>
        <w:rPr>
          <w:spacing w:val="0"/>
        </w:rPr>
        <w:fldChar w:fldCharType="separate"/>
      </w:r>
      <w:r>
        <w:rPr>
          <w:spacing w:val="0"/>
        </w:rPr>
        <w:t>1</w:t>
      </w:r>
      <w:r>
        <w:rPr>
          <w:spacing w:val="0"/>
        </w:rPr>
        <w:fldChar w:fldCharType="end"/>
      </w:r>
      <w:r>
        <w:rPr>
          <w:rFonts w:hint="eastAsia"/>
          <w:spacing w:val="0"/>
          <w:lang w:eastAsia="zh-CN"/>
        </w:rPr>
        <w:fldChar w:fldCharType="end"/>
      </w:r>
    </w:p>
    <w:p w14:paraId="7DBF7586">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_Toc24136 </w:instrText>
      </w:r>
      <w:r>
        <w:rPr>
          <w:rFonts w:hint="eastAsia"/>
          <w:spacing w:val="0"/>
          <w:lang w:eastAsia="zh-CN"/>
        </w:rPr>
        <w:fldChar w:fldCharType="separate"/>
      </w:r>
      <w:r>
        <w:rPr>
          <w:rFonts w:hint="eastAsia" w:ascii="黑体" w:eastAsia="黑体"/>
          <w:i w:val="0"/>
          <w:spacing w:val="0"/>
        </w:rPr>
        <w:t>2</w:t>
      </w:r>
      <w:r>
        <w:rPr>
          <w:rFonts w:hint="eastAsia" w:ascii="黑体" w:eastAsia="黑体"/>
          <w:i w:val="0"/>
          <w:spacing w:val="0"/>
          <w:lang w:eastAsia="zh-CN"/>
        </w:rPr>
        <w:t xml:space="preserve"> </w:t>
      </w:r>
      <w:r>
        <w:rPr>
          <w:rFonts w:hint="eastAsia" w:ascii="黑体" w:eastAsia="黑体"/>
          <w:i w:val="0"/>
          <w:spacing w:val="0"/>
        </w:rPr>
        <w:t xml:space="preserve"> </w:t>
      </w:r>
      <w:r>
        <w:rPr>
          <w:rFonts w:hint="eastAsia"/>
          <w:spacing w:val="0"/>
        </w:rPr>
        <w:t>规范性引用文件</w:t>
      </w:r>
      <w:r>
        <w:rPr>
          <w:spacing w:val="0"/>
        </w:rPr>
        <w:tab/>
      </w:r>
      <w:r>
        <w:rPr>
          <w:spacing w:val="0"/>
        </w:rPr>
        <w:fldChar w:fldCharType="begin"/>
      </w:r>
      <w:r>
        <w:rPr>
          <w:spacing w:val="0"/>
        </w:rPr>
        <w:instrText xml:space="preserve"> PAGEREF _Toc24136 \h </w:instrText>
      </w:r>
      <w:r>
        <w:rPr>
          <w:spacing w:val="0"/>
        </w:rPr>
        <w:fldChar w:fldCharType="separate"/>
      </w:r>
      <w:r>
        <w:rPr>
          <w:spacing w:val="0"/>
        </w:rPr>
        <w:t>1</w:t>
      </w:r>
      <w:r>
        <w:rPr>
          <w:spacing w:val="0"/>
        </w:rPr>
        <w:fldChar w:fldCharType="end"/>
      </w:r>
      <w:r>
        <w:rPr>
          <w:rFonts w:hint="eastAsia"/>
          <w:spacing w:val="0"/>
          <w:lang w:eastAsia="zh-CN"/>
        </w:rPr>
        <w:fldChar w:fldCharType="end"/>
      </w:r>
    </w:p>
    <w:p w14:paraId="0AA01809">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_Toc9102 </w:instrText>
      </w:r>
      <w:r>
        <w:rPr>
          <w:rFonts w:hint="eastAsia"/>
          <w:spacing w:val="0"/>
          <w:lang w:eastAsia="zh-CN"/>
        </w:rPr>
        <w:fldChar w:fldCharType="separate"/>
      </w:r>
      <w:r>
        <w:rPr>
          <w:rFonts w:hint="eastAsia" w:ascii="黑体" w:eastAsia="黑体"/>
          <w:i w:val="0"/>
          <w:spacing w:val="0"/>
        </w:rPr>
        <w:t>3</w:t>
      </w:r>
      <w:r>
        <w:rPr>
          <w:rFonts w:hint="eastAsia" w:ascii="黑体" w:eastAsia="黑体"/>
          <w:i w:val="0"/>
          <w:spacing w:val="0"/>
          <w:lang w:eastAsia="zh-CN"/>
        </w:rPr>
        <w:t xml:space="preserve"> </w:t>
      </w:r>
      <w:r>
        <w:rPr>
          <w:rFonts w:hint="eastAsia" w:ascii="黑体" w:eastAsia="黑体"/>
          <w:i w:val="0"/>
          <w:spacing w:val="0"/>
        </w:rPr>
        <w:t xml:space="preserve"> </w:t>
      </w:r>
      <w:r>
        <w:rPr>
          <w:rFonts w:hint="eastAsia"/>
          <w:spacing w:val="0"/>
          <w:szCs w:val="21"/>
        </w:rPr>
        <w:t>术语和定义</w:t>
      </w:r>
      <w:r>
        <w:rPr>
          <w:spacing w:val="0"/>
        </w:rPr>
        <w:tab/>
      </w:r>
      <w:r>
        <w:rPr>
          <w:spacing w:val="0"/>
        </w:rPr>
        <w:fldChar w:fldCharType="begin"/>
      </w:r>
      <w:r>
        <w:rPr>
          <w:spacing w:val="0"/>
        </w:rPr>
        <w:instrText xml:space="preserve"> PAGEREF _Toc9102 \h </w:instrText>
      </w:r>
      <w:r>
        <w:rPr>
          <w:spacing w:val="0"/>
        </w:rPr>
        <w:fldChar w:fldCharType="separate"/>
      </w:r>
      <w:r>
        <w:rPr>
          <w:spacing w:val="0"/>
        </w:rPr>
        <w:t>1</w:t>
      </w:r>
      <w:r>
        <w:rPr>
          <w:spacing w:val="0"/>
        </w:rPr>
        <w:fldChar w:fldCharType="end"/>
      </w:r>
      <w:r>
        <w:rPr>
          <w:rFonts w:hint="eastAsia"/>
          <w:spacing w:val="0"/>
          <w:lang w:eastAsia="zh-CN"/>
        </w:rPr>
        <w:fldChar w:fldCharType="end"/>
      </w:r>
    </w:p>
    <w:p w14:paraId="6A850B92">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_Toc942 </w:instrText>
      </w:r>
      <w:r>
        <w:rPr>
          <w:rFonts w:hint="eastAsia"/>
          <w:spacing w:val="0"/>
          <w:lang w:eastAsia="zh-CN"/>
        </w:rPr>
        <w:fldChar w:fldCharType="separate"/>
      </w:r>
      <w:r>
        <w:rPr>
          <w:rFonts w:hint="eastAsia" w:ascii="黑体" w:eastAsia="黑体"/>
          <w:i w:val="0"/>
          <w:spacing w:val="0"/>
        </w:rPr>
        <w:t>4</w:t>
      </w:r>
      <w:r>
        <w:rPr>
          <w:rFonts w:hint="eastAsia" w:ascii="黑体" w:eastAsia="黑体"/>
          <w:i w:val="0"/>
          <w:spacing w:val="0"/>
          <w:lang w:eastAsia="zh-CN"/>
        </w:rPr>
        <w:t xml:space="preserve"> </w:t>
      </w:r>
      <w:r>
        <w:rPr>
          <w:rFonts w:hint="eastAsia" w:ascii="黑体" w:eastAsia="黑体"/>
          <w:i w:val="0"/>
          <w:spacing w:val="0"/>
        </w:rPr>
        <w:t xml:space="preserve"> </w:t>
      </w:r>
      <w:r>
        <w:rPr>
          <w:rFonts w:hint="eastAsia"/>
          <w:spacing w:val="0"/>
        </w:rPr>
        <w:t>总体原则</w:t>
      </w:r>
      <w:r>
        <w:rPr>
          <w:spacing w:val="0"/>
        </w:rPr>
        <w:tab/>
      </w:r>
      <w:r>
        <w:rPr>
          <w:spacing w:val="0"/>
        </w:rPr>
        <w:fldChar w:fldCharType="begin"/>
      </w:r>
      <w:r>
        <w:rPr>
          <w:spacing w:val="0"/>
        </w:rPr>
        <w:instrText xml:space="preserve"> PAGEREF _Toc942 \h </w:instrText>
      </w:r>
      <w:r>
        <w:rPr>
          <w:spacing w:val="0"/>
        </w:rPr>
        <w:fldChar w:fldCharType="separate"/>
      </w:r>
      <w:r>
        <w:rPr>
          <w:spacing w:val="0"/>
        </w:rPr>
        <w:t>2</w:t>
      </w:r>
      <w:r>
        <w:rPr>
          <w:spacing w:val="0"/>
        </w:rPr>
        <w:fldChar w:fldCharType="end"/>
      </w:r>
      <w:r>
        <w:rPr>
          <w:rFonts w:hint="eastAsia"/>
          <w:spacing w:val="0"/>
          <w:lang w:eastAsia="zh-CN"/>
        </w:rPr>
        <w:fldChar w:fldCharType="end"/>
      </w:r>
    </w:p>
    <w:p w14:paraId="13379249">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_Toc5029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4.1</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减排优先原则</w:t>
      </w:r>
      <w:r>
        <w:rPr>
          <w:spacing w:val="0"/>
        </w:rPr>
        <w:tab/>
      </w:r>
      <w:r>
        <w:rPr>
          <w:spacing w:val="0"/>
        </w:rPr>
        <w:fldChar w:fldCharType="begin"/>
      </w:r>
      <w:r>
        <w:rPr>
          <w:spacing w:val="0"/>
        </w:rPr>
        <w:instrText xml:space="preserve"> PAGEREF _Toc5029 \h </w:instrText>
      </w:r>
      <w:r>
        <w:rPr>
          <w:spacing w:val="0"/>
        </w:rPr>
        <w:fldChar w:fldCharType="separate"/>
      </w:r>
      <w:r>
        <w:rPr>
          <w:spacing w:val="0"/>
        </w:rPr>
        <w:t>2</w:t>
      </w:r>
      <w:r>
        <w:rPr>
          <w:spacing w:val="0"/>
        </w:rPr>
        <w:fldChar w:fldCharType="end"/>
      </w:r>
      <w:r>
        <w:rPr>
          <w:rFonts w:hint="eastAsia"/>
          <w:spacing w:val="0"/>
          <w:lang w:eastAsia="zh-CN"/>
        </w:rPr>
        <w:fldChar w:fldCharType="end"/>
      </w:r>
    </w:p>
    <w:p w14:paraId="7E7DC8F2">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_Toc21029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4.2</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系统推进原则</w:t>
      </w:r>
      <w:r>
        <w:rPr>
          <w:spacing w:val="0"/>
        </w:rPr>
        <w:tab/>
      </w:r>
      <w:r>
        <w:rPr>
          <w:spacing w:val="0"/>
        </w:rPr>
        <w:fldChar w:fldCharType="begin"/>
      </w:r>
      <w:r>
        <w:rPr>
          <w:spacing w:val="0"/>
        </w:rPr>
        <w:instrText xml:space="preserve"> PAGEREF _Toc21029 \h </w:instrText>
      </w:r>
      <w:r>
        <w:rPr>
          <w:spacing w:val="0"/>
        </w:rPr>
        <w:fldChar w:fldCharType="separate"/>
      </w:r>
      <w:r>
        <w:rPr>
          <w:spacing w:val="0"/>
        </w:rPr>
        <w:t>2</w:t>
      </w:r>
      <w:r>
        <w:rPr>
          <w:spacing w:val="0"/>
        </w:rPr>
        <w:fldChar w:fldCharType="end"/>
      </w:r>
      <w:r>
        <w:rPr>
          <w:rFonts w:hint="eastAsia"/>
          <w:spacing w:val="0"/>
          <w:lang w:eastAsia="zh-CN"/>
        </w:rPr>
        <w:fldChar w:fldCharType="end"/>
      </w:r>
    </w:p>
    <w:p w14:paraId="67454AE9">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_Toc3369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4.3</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因业施策原则</w:t>
      </w:r>
      <w:r>
        <w:rPr>
          <w:spacing w:val="0"/>
        </w:rPr>
        <w:tab/>
      </w:r>
      <w:r>
        <w:rPr>
          <w:spacing w:val="0"/>
        </w:rPr>
        <w:fldChar w:fldCharType="begin"/>
      </w:r>
      <w:r>
        <w:rPr>
          <w:spacing w:val="0"/>
        </w:rPr>
        <w:instrText xml:space="preserve"> PAGEREF _Toc3369 \h </w:instrText>
      </w:r>
      <w:r>
        <w:rPr>
          <w:spacing w:val="0"/>
        </w:rPr>
        <w:fldChar w:fldCharType="separate"/>
      </w:r>
      <w:r>
        <w:rPr>
          <w:spacing w:val="0"/>
        </w:rPr>
        <w:t>2</w:t>
      </w:r>
      <w:r>
        <w:rPr>
          <w:spacing w:val="0"/>
        </w:rPr>
        <w:fldChar w:fldCharType="end"/>
      </w:r>
      <w:r>
        <w:rPr>
          <w:rFonts w:hint="eastAsia"/>
          <w:spacing w:val="0"/>
          <w:lang w:eastAsia="zh-CN"/>
        </w:rPr>
        <w:fldChar w:fldCharType="end"/>
      </w:r>
    </w:p>
    <w:p w14:paraId="29BD2775">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_Toc29575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4.4</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持续改进原则</w:t>
      </w:r>
      <w:r>
        <w:rPr>
          <w:spacing w:val="0"/>
        </w:rPr>
        <w:tab/>
      </w:r>
      <w:r>
        <w:rPr>
          <w:spacing w:val="0"/>
        </w:rPr>
        <w:fldChar w:fldCharType="begin"/>
      </w:r>
      <w:r>
        <w:rPr>
          <w:spacing w:val="0"/>
        </w:rPr>
        <w:instrText xml:space="preserve"> PAGEREF _Toc29575 \h </w:instrText>
      </w:r>
      <w:r>
        <w:rPr>
          <w:spacing w:val="0"/>
        </w:rPr>
        <w:fldChar w:fldCharType="separate"/>
      </w:r>
      <w:r>
        <w:rPr>
          <w:spacing w:val="0"/>
        </w:rPr>
        <w:t>2</w:t>
      </w:r>
      <w:r>
        <w:rPr>
          <w:spacing w:val="0"/>
        </w:rPr>
        <w:fldChar w:fldCharType="end"/>
      </w:r>
      <w:r>
        <w:rPr>
          <w:rFonts w:hint="eastAsia"/>
          <w:spacing w:val="0"/>
          <w:lang w:eastAsia="zh-CN"/>
        </w:rPr>
        <w:fldChar w:fldCharType="end"/>
      </w:r>
    </w:p>
    <w:p w14:paraId="4159D620">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_Toc18782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4.5</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统一规范原则</w:t>
      </w:r>
      <w:r>
        <w:rPr>
          <w:spacing w:val="0"/>
        </w:rPr>
        <w:tab/>
      </w:r>
      <w:r>
        <w:rPr>
          <w:spacing w:val="0"/>
        </w:rPr>
        <w:fldChar w:fldCharType="begin"/>
      </w:r>
      <w:r>
        <w:rPr>
          <w:spacing w:val="0"/>
        </w:rPr>
        <w:instrText xml:space="preserve"> PAGEREF _Toc18782 \h </w:instrText>
      </w:r>
      <w:r>
        <w:rPr>
          <w:spacing w:val="0"/>
        </w:rPr>
        <w:fldChar w:fldCharType="separate"/>
      </w:r>
      <w:r>
        <w:rPr>
          <w:spacing w:val="0"/>
        </w:rPr>
        <w:t>2</w:t>
      </w:r>
      <w:r>
        <w:rPr>
          <w:spacing w:val="0"/>
        </w:rPr>
        <w:fldChar w:fldCharType="end"/>
      </w:r>
      <w:r>
        <w:rPr>
          <w:rFonts w:hint="eastAsia"/>
          <w:spacing w:val="0"/>
          <w:lang w:eastAsia="zh-CN"/>
        </w:rPr>
        <w:fldChar w:fldCharType="end"/>
      </w:r>
    </w:p>
    <w:p w14:paraId="787545B3">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_Toc32629 </w:instrText>
      </w:r>
      <w:r>
        <w:rPr>
          <w:rFonts w:hint="eastAsia"/>
          <w:spacing w:val="0"/>
          <w:lang w:eastAsia="zh-CN"/>
        </w:rPr>
        <w:fldChar w:fldCharType="separate"/>
      </w:r>
      <w:r>
        <w:rPr>
          <w:rFonts w:hint="eastAsia" w:ascii="黑体" w:eastAsia="黑体"/>
          <w:i w:val="0"/>
          <w:spacing w:val="0"/>
        </w:rPr>
        <w:t>5</w:t>
      </w:r>
      <w:r>
        <w:rPr>
          <w:rFonts w:hint="eastAsia" w:ascii="黑体" w:eastAsia="黑体"/>
          <w:i w:val="0"/>
          <w:spacing w:val="0"/>
          <w:lang w:eastAsia="zh-CN"/>
        </w:rPr>
        <w:t xml:space="preserve"> </w:t>
      </w:r>
      <w:r>
        <w:rPr>
          <w:rFonts w:hint="eastAsia" w:ascii="黑体" w:eastAsia="黑体"/>
          <w:i w:val="0"/>
          <w:spacing w:val="0"/>
        </w:rPr>
        <w:t xml:space="preserve"> </w:t>
      </w:r>
      <w:r>
        <w:rPr>
          <w:rFonts w:hint="eastAsia"/>
          <w:spacing w:val="0"/>
        </w:rPr>
        <w:t>基本要求</w:t>
      </w:r>
      <w:r>
        <w:rPr>
          <w:spacing w:val="0"/>
        </w:rPr>
        <w:tab/>
      </w:r>
      <w:r>
        <w:rPr>
          <w:spacing w:val="0"/>
        </w:rPr>
        <w:fldChar w:fldCharType="begin"/>
      </w:r>
      <w:r>
        <w:rPr>
          <w:spacing w:val="0"/>
        </w:rPr>
        <w:instrText xml:space="preserve"> PAGEREF _Toc32629 \h </w:instrText>
      </w:r>
      <w:r>
        <w:rPr>
          <w:spacing w:val="0"/>
        </w:rPr>
        <w:fldChar w:fldCharType="separate"/>
      </w:r>
      <w:r>
        <w:rPr>
          <w:spacing w:val="0"/>
        </w:rPr>
        <w:t>3</w:t>
      </w:r>
      <w:r>
        <w:rPr>
          <w:spacing w:val="0"/>
        </w:rPr>
        <w:fldChar w:fldCharType="end"/>
      </w:r>
      <w:r>
        <w:rPr>
          <w:rFonts w:hint="eastAsia"/>
          <w:spacing w:val="0"/>
          <w:lang w:eastAsia="zh-CN"/>
        </w:rPr>
        <w:fldChar w:fldCharType="end"/>
      </w:r>
    </w:p>
    <w:p w14:paraId="7D0A5C4B">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_Toc32528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5.1</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合规要求</w:t>
      </w:r>
      <w:r>
        <w:rPr>
          <w:spacing w:val="0"/>
        </w:rPr>
        <w:tab/>
      </w:r>
      <w:r>
        <w:rPr>
          <w:spacing w:val="0"/>
        </w:rPr>
        <w:fldChar w:fldCharType="begin"/>
      </w:r>
      <w:r>
        <w:rPr>
          <w:spacing w:val="0"/>
        </w:rPr>
        <w:instrText xml:space="preserve"> PAGEREF _Toc32528 \h </w:instrText>
      </w:r>
      <w:r>
        <w:rPr>
          <w:spacing w:val="0"/>
        </w:rPr>
        <w:fldChar w:fldCharType="separate"/>
      </w:r>
      <w:r>
        <w:rPr>
          <w:spacing w:val="0"/>
        </w:rPr>
        <w:t>3</w:t>
      </w:r>
      <w:r>
        <w:rPr>
          <w:spacing w:val="0"/>
        </w:rPr>
        <w:fldChar w:fldCharType="end"/>
      </w:r>
      <w:r>
        <w:rPr>
          <w:rFonts w:hint="eastAsia"/>
          <w:spacing w:val="0"/>
          <w:lang w:eastAsia="zh-CN"/>
        </w:rPr>
        <w:fldChar w:fldCharType="end"/>
      </w:r>
    </w:p>
    <w:p w14:paraId="3C189145">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_Toc140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5.2</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基础门槛</w:t>
      </w:r>
      <w:r>
        <w:rPr>
          <w:spacing w:val="0"/>
        </w:rPr>
        <w:tab/>
      </w:r>
      <w:r>
        <w:rPr>
          <w:spacing w:val="0"/>
        </w:rPr>
        <w:fldChar w:fldCharType="begin"/>
      </w:r>
      <w:r>
        <w:rPr>
          <w:spacing w:val="0"/>
        </w:rPr>
        <w:instrText xml:space="preserve"> PAGEREF _Toc140 \h </w:instrText>
      </w:r>
      <w:r>
        <w:rPr>
          <w:spacing w:val="0"/>
        </w:rPr>
        <w:fldChar w:fldCharType="separate"/>
      </w:r>
      <w:r>
        <w:rPr>
          <w:spacing w:val="0"/>
        </w:rPr>
        <w:t>3</w:t>
      </w:r>
      <w:r>
        <w:rPr>
          <w:spacing w:val="0"/>
        </w:rPr>
        <w:fldChar w:fldCharType="end"/>
      </w:r>
      <w:r>
        <w:rPr>
          <w:rFonts w:hint="eastAsia"/>
          <w:spacing w:val="0"/>
          <w:lang w:eastAsia="zh-CN"/>
        </w:rPr>
        <w:fldChar w:fldCharType="end"/>
      </w:r>
    </w:p>
    <w:p w14:paraId="762AD179">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_Toc2399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5.3</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边界确定</w:t>
      </w:r>
      <w:r>
        <w:rPr>
          <w:spacing w:val="0"/>
        </w:rPr>
        <w:tab/>
      </w:r>
      <w:r>
        <w:rPr>
          <w:spacing w:val="0"/>
        </w:rPr>
        <w:fldChar w:fldCharType="begin"/>
      </w:r>
      <w:r>
        <w:rPr>
          <w:spacing w:val="0"/>
        </w:rPr>
        <w:instrText xml:space="preserve"> PAGEREF _Toc2399 \h </w:instrText>
      </w:r>
      <w:r>
        <w:rPr>
          <w:spacing w:val="0"/>
        </w:rPr>
        <w:fldChar w:fldCharType="separate"/>
      </w:r>
      <w:r>
        <w:rPr>
          <w:spacing w:val="0"/>
        </w:rPr>
        <w:t>3</w:t>
      </w:r>
      <w:r>
        <w:rPr>
          <w:spacing w:val="0"/>
        </w:rPr>
        <w:fldChar w:fldCharType="end"/>
      </w:r>
      <w:r>
        <w:rPr>
          <w:rFonts w:hint="eastAsia"/>
          <w:spacing w:val="0"/>
          <w:lang w:eastAsia="zh-CN"/>
        </w:rPr>
        <w:fldChar w:fldCharType="end"/>
      </w:r>
    </w:p>
    <w:p w14:paraId="4A6A2CFA">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_Toc23683 </w:instrText>
      </w:r>
      <w:r>
        <w:rPr>
          <w:rFonts w:hint="eastAsia"/>
          <w:spacing w:val="0"/>
          <w:lang w:eastAsia="zh-CN"/>
        </w:rPr>
        <w:fldChar w:fldCharType="separate"/>
      </w:r>
      <w:r>
        <w:rPr>
          <w:rFonts w:hint="eastAsia" w:ascii="黑体" w:eastAsia="黑体"/>
          <w:i w:val="0"/>
          <w:spacing w:val="0"/>
        </w:rPr>
        <w:t>6</w:t>
      </w:r>
      <w:r>
        <w:rPr>
          <w:rFonts w:hint="eastAsia" w:ascii="黑体" w:eastAsia="黑体"/>
          <w:i w:val="0"/>
          <w:spacing w:val="0"/>
          <w:lang w:eastAsia="zh-CN"/>
        </w:rPr>
        <w:t xml:space="preserve"> </w:t>
      </w:r>
      <w:r>
        <w:rPr>
          <w:rFonts w:hint="eastAsia" w:ascii="黑体" w:eastAsia="黑体"/>
          <w:i w:val="0"/>
          <w:spacing w:val="0"/>
        </w:rPr>
        <w:t xml:space="preserve"> </w:t>
      </w:r>
      <w:r>
        <w:rPr>
          <w:rFonts w:hint="eastAsia"/>
          <w:spacing w:val="0"/>
        </w:rPr>
        <w:t>建设实施</w:t>
      </w:r>
      <w:r>
        <w:rPr>
          <w:spacing w:val="0"/>
        </w:rPr>
        <w:tab/>
      </w:r>
      <w:r>
        <w:rPr>
          <w:spacing w:val="0"/>
        </w:rPr>
        <w:fldChar w:fldCharType="begin"/>
      </w:r>
      <w:r>
        <w:rPr>
          <w:spacing w:val="0"/>
        </w:rPr>
        <w:instrText xml:space="preserve"> PAGEREF _Toc23683 \h </w:instrText>
      </w:r>
      <w:r>
        <w:rPr>
          <w:spacing w:val="0"/>
        </w:rPr>
        <w:fldChar w:fldCharType="separate"/>
      </w:r>
      <w:r>
        <w:rPr>
          <w:spacing w:val="0"/>
        </w:rPr>
        <w:t>3</w:t>
      </w:r>
      <w:r>
        <w:rPr>
          <w:spacing w:val="0"/>
        </w:rPr>
        <w:fldChar w:fldCharType="end"/>
      </w:r>
      <w:r>
        <w:rPr>
          <w:rFonts w:hint="eastAsia"/>
          <w:spacing w:val="0"/>
          <w:lang w:eastAsia="zh-CN"/>
        </w:rPr>
        <w:fldChar w:fldCharType="end"/>
      </w:r>
    </w:p>
    <w:p w14:paraId="2A9C414E">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_Toc6641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6.1</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科学算碳—碳排放核算与管理</w:t>
      </w:r>
      <w:r>
        <w:rPr>
          <w:spacing w:val="0"/>
        </w:rPr>
        <w:tab/>
      </w:r>
      <w:r>
        <w:rPr>
          <w:spacing w:val="0"/>
        </w:rPr>
        <w:fldChar w:fldCharType="begin"/>
      </w:r>
      <w:r>
        <w:rPr>
          <w:spacing w:val="0"/>
        </w:rPr>
        <w:instrText xml:space="preserve"> PAGEREF _Toc6641 \h </w:instrText>
      </w:r>
      <w:r>
        <w:rPr>
          <w:spacing w:val="0"/>
        </w:rPr>
        <w:fldChar w:fldCharType="separate"/>
      </w:r>
      <w:r>
        <w:rPr>
          <w:spacing w:val="0"/>
        </w:rPr>
        <w:t>3</w:t>
      </w:r>
      <w:r>
        <w:rPr>
          <w:spacing w:val="0"/>
        </w:rPr>
        <w:fldChar w:fldCharType="end"/>
      </w:r>
      <w:r>
        <w:rPr>
          <w:rFonts w:hint="eastAsia"/>
          <w:spacing w:val="0"/>
          <w:lang w:eastAsia="zh-CN"/>
        </w:rPr>
        <w:fldChar w:fldCharType="end"/>
      </w:r>
    </w:p>
    <w:p w14:paraId="4C26E335">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_Toc32262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6.2</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源头减碳—用能结构绿色低碳转型</w:t>
      </w:r>
      <w:r>
        <w:rPr>
          <w:spacing w:val="0"/>
        </w:rPr>
        <w:tab/>
      </w:r>
      <w:r>
        <w:rPr>
          <w:spacing w:val="0"/>
        </w:rPr>
        <w:fldChar w:fldCharType="begin"/>
      </w:r>
      <w:r>
        <w:rPr>
          <w:spacing w:val="0"/>
        </w:rPr>
        <w:instrText xml:space="preserve"> PAGEREF _Toc32262 \h </w:instrText>
      </w:r>
      <w:r>
        <w:rPr>
          <w:spacing w:val="0"/>
        </w:rPr>
        <w:fldChar w:fldCharType="separate"/>
      </w:r>
      <w:r>
        <w:rPr>
          <w:spacing w:val="0"/>
        </w:rPr>
        <w:t>3</w:t>
      </w:r>
      <w:r>
        <w:rPr>
          <w:spacing w:val="0"/>
        </w:rPr>
        <w:fldChar w:fldCharType="end"/>
      </w:r>
      <w:r>
        <w:rPr>
          <w:rFonts w:hint="eastAsia"/>
          <w:spacing w:val="0"/>
          <w:lang w:eastAsia="zh-CN"/>
        </w:rPr>
        <w:fldChar w:fldCharType="end"/>
      </w:r>
    </w:p>
    <w:p w14:paraId="012BB39C">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_Toc31198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6.3</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过程脱碳—能源利用效率提升</w:t>
      </w:r>
      <w:r>
        <w:rPr>
          <w:spacing w:val="0"/>
        </w:rPr>
        <w:tab/>
      </w:r>
      <w:r>
        <w:rPr>
          <w:spacing w:val="0"/>
        </w:rPr>
        <w:fldChar w:fldCharType="begin"/>
      </w:r>
      <w:r>
        <w:rPr>
          <w:spacing w:val="0"/>
        </w:rPr>
        <w:instrText xml:space="preserve"> PAGEREF _Toc31198 \h </w:instrText>
      </w:r>
      <w:r>
        <w:rPr>
          <w:spacing w:val="0"/>
        </w:rPr>
        <w:fldChar w:fldCharType="separate"/>
      </w:r>
      <w:r>
        <w:rPr>
          <w:spacing w:val="0"/>
        </w:rPr>
        <w:t>4</w:t>
      </w:r>
      <w:r>
        <w:rPr>
          <w:spacing w:val="0"/>
        </w:rPr>
        <w:fldChar w:fldCharType="end"/>
      </w:r>
      <w:r>
        <w:rPr>
          <w:rFonts w:hint="eastAsia"/>
          <w:spacing w:val="0"/>
          <w:lang w:eastAsia="zh-CN"/>
        </w:rPr>
        <w:fldChar w:fldCharType="end"/>
      </w:r>
    </w:p>
    <w:p w14:paraId="0A700FB7">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_Toc22143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6.4</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协同降碳—产业链上下游联动</w:t>
      </w:r>
      <w:r>
        <w:rPr>
          <w:spacing w:val="0"/>
        </w:rPr>
        <w:tab/>
      </w:r>
      <w:r>
        <w:rPr>
          <w:spacing w:val="0"/>
        </w:rPr>
        <w:fldChar w:fldCharType="begin"/>
      </w:r>
      <w:r>
        <w:rPr>
          <w:spacing w:val="0"/>
        </w:rPr>
        <w:instrText xml:space="preserve"> PAGEREF _Toc22143 \h </w:instrText>
      </w:r>
      <w:r>
        <w:rPr>
          <w:spacing w:val="0"/>
        </w:rPr>
        <w:fldChar w:fldCharType="separate"/>
      </w:r>
      <w:r>
        <w:rPr>
          <w:spacing w:val="0"/>
        </w:rPr>
        <w:t>4</w:t>
      </w:r>
      <w:r>
        <w:rPr>
          <w:spacing w:val="0"/>
        </w:rPr>
        <w:fldChar w:fldCharType="end"/>
      </w:r>
      <w:r>
        <w:rPr>
          <w:rFonts w:hint="eastAsia"/>
          <w:spacing w:val="0"/>
          <w:lang w:eastAsia="zh-CN"/>
        </w:rPr>
        <w:fldChar w:fldCharType="end"/>
      </w:r>
    </w:p>
    <w:p w14:paraId="0FD14EEA">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_Toc14030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6.5</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智能控碳—数字化管控平台建设</w:t>
      </w:r>
      <w:r>
        <w:rPr>
          <w:spacing w:val="0"/>
        </w:rPr>
        <w:tab/>
      </w:r>
      <w:r>
        <w:rPr>
          <w:spacing w:val="0"/>
        </w:rPr>
        <w:fldChar w:fldCharType="begin"/>
      </w:r>
      <w:r>
        <w:rPr>
          <w:spacing w:val="0"/>
        </w:rPr>
        <w:instrText xml:space="preserve"> PAGEREF _Toc14030 \h </w:instrText>
      </w:r>
      <w:r>
        <w:rPr>
          <w:spacing w:val="0"/>
        </w:rPr>
        <w:fldChar w:fldCharType="separate"/>
      </w:r>
      <w:r>
        <w:rPr>
          <w:spacing w:val="0"/>
        </w:rPr>
        <w:t>4</w:t>
      </w:r>
      <w:r>
        <w:rPr>
          <w:spacing w:val="0"/>
        </w:rPr>
        <w:fldChar w:fldCharType="end"/>
      </w:r>
      <w:r>
        <w:rPr>
          <w:rFonts w:hint="eastAsia"/>
          <w:spacing w:val="0"/>
          <w:lang w:eastAsia="zh-CN"/>
        </w:rPr>
        <w:fldChar w:fldCharType="end"/>
      </w:r>
    </w:p>
    <w:p w14:paraId="1285FAF1">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_Toc16186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6.6</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基础设施低碳化</w:t>
      </w:r>
      <w:r>
        <w:rPr>
          <w:spacing w:val="0"/>
        </w:rPr>
        <w:tab/>
      </w:r>
      <w:r>
        <w:rPr>
          <w:spacing w:val="0"/>
        </w:rPr>
        <w:fldChar w:fldCharType="begin"/>
      </w:r>
      <w:r>
        <w:rPr>
          <w:spacing w:val="0"/>
        </w:rPr>
        <w:instrText xml:space="preserve"> PAGEREF _Toc16186 \h </w:instrText>
      </w:r>
      <w:r>
        <w:rPr>
          <w:spacing w:val="0"/>
        </w:rPr>
        <w:fldChar w:fldCharType="separate"/>
      </w:r>
      <w:r>
        <w:rPr>
          <w:spacing w:val="0"/>
        </w:rPr>
        <w:t>5</w:t>
      </w:r>
      <w:r>
        <w:rPr>
          <w:spacing w:val="0"/>
        </w:rPr>
        <w:fldChar w:fldCharType="end"/>
      </w:r>
      <w:r>
        <w:rPr>
          <w:rFonts w:hint="eastAsia"/>
          <w:spacing w:val="0"/>
          <w:lang w:eastAsia="zh-CN"/>
        </w:rPr>
        <w:fldChar w:fldCharType="end"/>
      </w:r>
    </w:p>
    <w:p w14:paraId="289947C7">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_Toc17946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6.7</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碳抵消—残余排放中和</w:t>
      </w:r>
      <w:r>
        <w:rPr>
          <w:spacing w:val="0"/>
        </w:rPr>
        <w:tab/>
      </w:r>
      <w:r>
        <w:rPr>
          <w:spacing w:val="0"/>
        </w:rPr>
        <w:fldChar w:fldCharType="begin"/>
      </w:r>
      <w:r>
        <w:rPr>
          <w:spacing w:val="0"/>
        </w:rPr>
        <w:instrText xml:space="preserve"> PAGEREF _Toc17946 \h </w:instrText>
      </w:r>
      <w:r>
        <w:rPr>
          <w:spacing w:val="0"/>
        </w:rPr>
        <w:fldChar w:fldCharType="separate"/>
      </w:r>
      <w:r>
        <w:rPr>
          <w:spacing w:val="0"/>
        </w:rPr>
        <w:t>5</w:t>
      </w:r>
      <w:r>
        <w:rPr>
          <w:spacing w:val="0"/>
        </w:rPr>
        <w:fldChar w:fldCharType="end"/>
      </w:r>
      <w:r>
        <w:rPr>
          <w:rFonts w:hint="eastAsia"/>
          <w:spacing w:val="0"/>
          <w:lang w:eastAsia="zh-CN"/>
        </w:rPr>
        <w:fldChar w:fldCharType="end"/>
      </w:r>
    </w:p>
    <w:p w14:paraId="15D7C2CD">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_Toc15487 </w:instrText>
      </w:r>
      <w:r>
        <w:rPr>
          <w:rFonts w:hint="eastAsia"/>
          <w:spacing w:val="0"/>
          <w:lang w:eastAsia="zh-CN"/>
        </w:rPr>
        <w:fldChar w:fldCharType="separate"/>
      </w:r>
      <w:r>
        <w:rPr>
          <w:rFonts w:hint="eastAsia" w:ascii="黑体" w:eastAsia="黑体"/>
          <w:i w:val="0"/>
          <w:spacing w:val="0"/>
        </w:rPr>
        <w:t>7</w:t>
      </w:r>
      <w:r>
        <w:rPr>
          <w:rFonts w:hint="eastAsia" w:ascii="黑体" w:eastAsia="黑体"/>
          <w:i w:val="0"/>
          <w:spacing w:val="0"/>
          <w:lang w:eastAsia="zh-CN"/>
        </w:rPr>
        <w:t xml:space="preserve"> </w:t>
      </w:r>
      <w:r>
        <w:rPr>
          <w:rFonts w:hint="eastAsia" w:ascii="黑体" w:eastAsia="黑体"/>
          <w:i w:val="0"/>
          <w:spacing w:val="0"/>
        </w:rPr>
        <w:t xml:space="preserve"> </w:t>
      </w:r>
      <w:r>
        <w:rPr>
          <w:rFonts w:hint="eastAsia"/>
          <w:spacing w:val="0"/>
        </w:rPr>
        <w:t>管理运行</w:t>
      </w:r>
      <w:r>
        <w:rPr>
          <w:spacing w:val="0"/>
        </w:rPr>
        <w:tab/>
      </w:r>
      <w:r>
        <w:rPr>
          <w:spacing w:val="0"/>
        </w:rPr>
        <w:fldChar w:fldCharType="begin"/>
      </w:r>
      <w:r>
        <w:rPr>
          <w:spacing w:val="0"/>
        </w:rPr>
        <w:instrText xml:space="preserve"> PAGEREF _Toc15487 \h </w:instrText>
      </w:r>
      <w:r>
        <w:rPr>
          <w:spacing w:val="0"/>
        </w:rPr>
        <w:fldChar w:fldCharType="separate"/>
      </w:r>
      <w:r>
        <w:rPr>
          <w:spacing w:val="0"/>
        </w:rPr>
        <w:t>6</w:t>
      </w:r>
      <w:r>
        <w:rPr>
          <w:spacing w:val="0"/>
        </w:rPr>
        <w:fldChar w:fldCharType="end"/>
      </w:r>
      <w:r>
        <w:rPr>
          <w:rFonts w:hint="eastAsia"/>
          <w:spacing w:val="0"/>
          <w:lang w:eastAsia="zh-CN"/>
        </w:rPr>
        <w:fldChar w:fldCharType="end"/>
      </w:r>
    </w:p>
    <w:p w14:paraId="0DA0C743">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_Toc13814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7.1</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组织与制度建设</w:t>
      </w:r>
      <w:r>
        <w:rPr>
          <w:spacing w:val="0"/>
        </w:rPr>
        <w:tab/>
      </w:r>
      <w:r>
        <w:rPr>
          <w:spacing w:val="0"/>
        </w:rPr>
        <w:fldChar w:fldCharType="begin"/>
      </w:r>
      <w:r>
        <w:rPr>
          <w:spacing w:val="0"/>
        </w:rPr>
        <w:instrText xml:space="preserve"> PAGEREF _Toc13814 \h </w:instrText>
      </w:r>
      <w:r>
        <w:rPr>
          <w:spacing w:val="0"/>
        </w:rPr>
        <w:fldChar w:fldCharType="separate"/>
      </w:r>
      <w:r>
        <w:rPr>
          <w:spacing w:val="0"/>
        </w:rPr>
        <w:t>6</w:t>
      </w:r>
      <w:r>
        <w:rPr>
          <w:spacing w:val="0"/>
        </w:rPr>
        <w:fldChar w:fldCharType="end"/>
      </w:r>
      <w:r>
        <w:rPr>
          <w:rFonts w:hint="eastAsia"/>
          <w:spacing w:val="0"/>
          <w:lang w:eastAsia="zh-CN"/>
        </w:rPr>
        <w:fldChar w:fldCharType="end"/>
      </w:r>
    </w:p>
    <w:p w14:paraId="73F656F3">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_Toc31377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7.2</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能力建设</w:t>
      </w:r>
      <w:r>
        <w:rPr>
          <w:spacing w:val="0"/>
        </w:rPr>
        <w:tab/>
      </w:r>
      <w:r>
        <w:rPr>
          <w:spacing w:val="0"/>
        </w:rPr>
        <w:fldChar w:fldCharType="begin"/>
      </w:r>
      <w:r>
        <w:rPr>
          <w:spacing w:val="0"/>
        </w:rPr>
        <w:instrText xml:space="preserve"> PAGEREF _Toc31377 \h </w:instrText>
      </w:r>
      <w:r>
        <w:rPr>
          <w:spacing w:val="0"/>
        </w:rPr>
        <w:fldChar w:fldCharType="separate"/>
      </w:r>
      <w:r>
        <w:rPr>
          <w:spacing w:val="0"/>
        </w:rPr>
        <w:t>6</w:t>
      </w:r>
      <w:r>
        <w:rPr>
          <w:spacing w:val="0"/>
        </w:rPr>
        <w:fldChar w:fldCharType="end"/>
      </w:r>
      <w:r>
        <w:rPr>
          <w:rFonts w:hint="eastAsia"/>
          <w:spacing w:val="0"/>
          <w:lang w:eastAsia="zh-CN"/>
        </w:rPr>
        <w:fldChar w:fldCharType="end"/>
      </w:r>
    </w:p>
    <w:p w14:paraId="215F8A45">
      <w:pPr>
        <w:pStyle w:val="24"/>
        <w:tabs>
          <w:tab w:val="right" w:leader="dot" w:pos="9354"/>
          <w:tab w:val="clear" w:pos="9344"/>
        </w:tabs>
        <w:rPr>
          <w:spacing w:val="0"/>
        </w:rPr>
      </w:pPr>
      <w:r>
        <w:rPr>
          <w:rFonts w:hint="eastAsia"/>
          <w:spacing w:val="0"/>
          <w:lang w:eastAsia="zh-CN"/>
        </w:rPr>
        <w:fldChar w:fldCharType="begin"/>
      </w:r>
      <w:r>
        <w:rPr>
          <w:rFonts w:hint="eastAsia"/>
          <w:spacing w:val="0"/>
          <w:lang w:eastAsia="zh-CN"/>
        </w:rPr>
        <w:instrText xml:space="preserve"> HYPERLINK \l _Toc1261 </w:instrText>
      </w:r>
      <w:r>
        <w:rPr>
          <w:rFonts w:hint="eastAsia"/>
          <w:spacing w:val="0"/>
          <w:lang w:eastAsia="zh-CN"/>
        </w:rP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7.3</w:t>
      </w:r>
      <w:r>
        <w:rPr>
          <w:rFonts w:hint="eastAsia" w:ascii="黑体" w:hAnsi="Times New Roman" w:eastAsia="黑体" w:cs="Times New Roman"/>
          <w:bCs w:val="0"/>
          <w:i w:val="0"/>
          <w:iCs w:val="0"/>
          <w:caps w:val="0"/>
          <w:smallCaps w:val="0"/>
          <w:strike w:val="0"/>
          <w:dstrike w:val="0"/>
          <w:vanish w:val="0"/>
          <w:spacing w:val="0"/>
          <w:kern w:val="0"/>
          <w:position w:val="0"/>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t xml:space="preserve"> </w:t>
      </w:r>
      <w:r>
        <w:rPr>
          <w:rFonts w:hint="eastAsia"/>
          <w:spacing w:val="0"/>
        </w:rPr>
        <w:t>持续改进</w:t>
      </w:r>
      <w:r>
        <w:rPr>
          <w:spacing w:val="0"/>
        </w:rPr>
        <w:tab/>
      </w:r>
      <w:r>
        <w:rPr>
          <w:spacing w:val="0"/>
        </w:rPr>
        <w:fldChar w:fldCharType="begin"/>
      </w:r>
      <w:r>
        <w:rPr>
          <w:spacing w:val="0"/>
        </w:rPr>
        <w:instrText xml:space="preserve"> PAGEREF _Toc1261 \h </w:instrText>
      </w:r>
      <w:r>
        <w:rPr>
          <w:spacing w:val="0"/>
        </w:rPr>
        <w:fldChar w:fldCharType="separate"/>
      </w:r>
      <w:r>
        <w:rPr>
          <w:spacing w:val="0"/>
        </w:rPr>
        <w:t>6</w:t>
      </w:r>
      <w:r>
        <w:rPr>
          <w:spacing w:val="0"/>
        </w:rPr>
        <w:fldChar w:fldCharType="end"/>
      </w:r>
      <w:r>
        <w:rPr>
          <w:rFonts w:hint="eastAsia"/>
          <w:spacing w:val="0"/>
          <w:lang w:eastAsia="zh-CN"/>
        </w:rPr>
        <w:fldChar w:fldCharType="end"/>
      </w:r>
    </w:p>
    <w:p w14:paraId="34A78B7B">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_Toc23491 </w:instrText>
      </w:r>
      <w:r>
        <w:rPr>
          <w:rFonts w:hint="eastAsia"/>
          <w:spacing w:val="0"/>
          <w:lang w:eastAsia="zh-CN"/>
        </w:rPr>
        <w:fldChar w:fldCharType="separate"/>
      </w:r>
      <w:r>
        <w:rPr>
          <w:rFonts w:hint="eastAsia"/>
          <w:spacing w:val="0"/>
        </w:rPr>
        <w:t>附录A</w:t>
      </w:r>
      <w:r>
        <w:rPr>
          <w:rFonts w:hint="eastAsia"/>
          <w:spacing w:val="0"/>
          <w:lang w:eastAsia="zh-CN"/>
        </w:rPr>
        <w:t>（资料性）零碳工厂建设与管理措施清单</w:t>
      </w:r>
      <w:r>
        <w:rPr>
          <w:spacing w:val="0"/>
        </w:rPr>
        <w:tab/>
      </w:r>
      <w:r>
        <w:rPr>
          <w:spacing w:val="0"/>
        </w:rPr>
        <w:fldChar w:fldCharType="begin"/>
      </w:r>
      <w:r>
        <w:rPr>
          <w:spacing w:val="0"/>
        </w:rPr>
        <w:instrText xml:space="preserve"> PAGEREF _Toc23491 \h </w:instrText>
      </w:r>
      <w:r>
        <w:rPr>
          <w:spacing w:val="0"/>
        </w:rPr>
        <w:fldChar w:fldCharType="separate"/>
      </w:r>
      <w:r>
        <w:rPr>
          <w:spacing w:val="0"/>
        </w:rPr>
        <w:t>8</w:t>
      </w:r>
      <w:r>
        <w:rPr>
          <w:spacing w:val="0"/>
        </w:rPr>
        <w:fldChar w:fldCharType="end"/>
      </w:r>
      <w:r>
        <w:rPr>
          <w:rFonts w:hint="eastAsia"/>
          <w:spacing w:val="0"/>
          <w:lang w:eastAsia="zh-CN"/>
        </w:rPr>
        <w:fldChar w:fldCharType="end"/>
      </w:r>
    </w:p>
    <w:p w14:paraId="2B233834">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_Toc14900 </w:instrText>
      </w:r>
      <w:r>
        <w:rPr>
          <w:rFonts w:hint="eastAsia"/>
          <w:spacing w:val="0"/>
          <w:lang w:eastAsia="zh-CN"/>
        </w:rPr>
        <w:fldChar w:fldCharType="separate"/>
      </w:r>
      <w:r>
        <w:rPr>
          <w:rFonts w:hint="eastAsia"/>
          <w:spacing w:val="0"/>
        </w:rPr>
        <w:t>附录B</w:t>
      </w:r>
      <w:r>
        <w:rPr>
          <w:rFonts w:hint="eastAsia"/>
          <w:spacing w:val="0"/>
          <w:lang w:eastAsia="zh-CN"/>
        </w:rPr>
        <w:t>（资料性）零碳工厂建设与管理参考文件</w:t>
      </w:r>
      <w:r>
        <w:rPr>
          <w:spacing w:val="0"/>
        </w:rPr>
        <w:tab/>
      </w:r>
      <w:r>
        <w:rPr>
          <w:spacing w:val="0"/>
        </w:rPr>
        <w:fldChar w:fldCharType="begin"/>
      </w:r>
      <w:r>
        <w:rPr>
          <w:spacing w:val="0"/>
        </w:rPr>
        <w:instrText xml:space="preserve"> PAGEREF _Toc14900 \h </w:instrText>
      </w:r>
      <w:r>
        <w:rPr>
          <w:spacing w:val="0"/>
        </w:rPr>
        <w:fldChar w:fldCharType="separate"/>
      </w:r>
      <w:r>
        <w:rPr>
          <w:spacing w:val="0"/>
        </w:rPr>
        <w:t>11</w:t>
      </w:r>
      <w:r>
        <w:rPr>
          <w:spacing w:val="0"/>
        </w:rPr>
        <w:fldChar w:fldCharType="end"/>
      </w:r>
      <w:r>
        <w:rPr>
          <w:rFonts w:hint="eastAsia"/>
          <w:spacing w:val="0"/>
          <w:lang w:eastAsia="zh-CN"/>
        </w:rPr>
        <w:fldChar w:fldCharType="end"/>
      </w:r>
    </w:p>
    <w:p w14:paraId="17D0D63A">
      <w:pPr>
        <w:pStyle w:val="19"/>
        <w:tabs>
          <w:tab w:val="right" w:leader="dot" w:pos="9354"/>
        </w:tabs>
        <w:rPr>
          <w:spacing w:val="0"/>
        </w:rPr>
      </w:pPr>
      <w:r>
        <w:rPr>
          <w:rFonts w:hint="eastAsia"/>
          <w:spacing w:val="0"/>
          <w:lang w:eastAsia="zh-CN"/>
        </w:rPr>
        <w:fldChar w:fldCharType="begin"/>
      </w:r>
      <w:r>
        <w:rPr>
          <w:rFonts w:hint="eastAsia"/>
          <w:spacing w:val="0"/>
          <w:lang w:eastAsia="zh-CN"/>
        </w:rPr>
        <w:instrText xml:space="preserve"> HYPERLINK \l _Toc26614 </w:instrText>
      </w:r>
      <w:r>
        <w:rPr>
          <w:rFonts w:hint="eastAsia"/>
          <w:spacing w:val="0"/>
          <w:lang w:eastAsia="zh-CN"/>
        </w:rPr>
        <w:fldChar w:fldCharType="separate"/>
      </w:r>
      <w:r>
        <w:rPr>
          <w:rFonts w:hint="eastAsia"/>
          <w:spacing w:val="0"/>
          <w:lang w:eastAsia="zh-CN"/>
        </w:rPr>
        <w:t>参考文献</w:t>
      </w:r>
      <w:r>
        <w:rPr>
          <w:spacing w:val="0"/>
        </w:rPr>
        <w:tab/>
      </w:r>
      <w:r>
        <w:rPr>
          <w:spacing w:val="0"/>
        </w:rPr>
        <w:fldChar w:fldCharType="begin"/>
      </w:r>
      <w:r>
        <w:rPr>
          <w:spacing w:val="0"/>
        </w:rPr>
        <w:instrText xml:space="preserve"> PAGEREF _Toc26614 \h </w:instrText>
      </w:r>
      <w:r>
        <w:rPr>
          <w:spacing w:val="0"/>
        </w:rPr>
        <w:fldChar w:fldCharType="separate"/>
      </w:r>
      <w:r>
        <w:rPr>
          <w:spacing w:val="0"/>
        </w:rPr>
        <w:t>12</w:t>
      </w:r>
      <w:r>
        <w:rPr>
          <w:spacing w:val="0"/>
        </w:rPr>
        <w:fldChar w:fldCharType="end"/>
      </w:r>
      <w:r>
        <w:rPr>
          <w:rFonts w:hint="eastAsia"/>
          <w:spacing w:val="0"/>
          <w:lang w:eastAsia="zh-CN"/>
        </w:rPr>
        <w:fldChar w:fldCharType="end"/>
      </w:r>
    </w:p>
    <w:p w14:paraId="5DFDF606">
      <w:pPr>
        <w:pStyle w:val="91"/>
        <w:bidi w:val="0"/>
        <w:rPr>
          <w:rFonts w:hint="eastAsia"/>
          <w:spacing w:val="0"/>
          <w:lang w:eastAsia="zh-CN"/>
        </w:rPr>
        <w:sectPr>
          <w:headerReference r:id="rId10" w:type="default"/>
          <w:footerReference r:id="rId12" w:type="default"/>
          <w:headerReference r:id="rId11" w:type="even"/>
          <w:footerReference r:id="rId13" w:type="even"/>
          <w:pgSz w:w="11906" w:h="16838"/>
          <w:pgMar w:top="1928" w:right="1134" w:bottom="1134" w:left="1134" w:header="1418" w:footer="1134" w:gutter="284"/>
          <w:pgNumType w:fmt="upperRoman" w:start="1"/>
          <w:cols w:space="425" w:num="1"/>
          <w:formProt w:val="0"/>
          <w:docGrid w:linePitch="312" w:charSpace="0"/>
        </w:sectPr>
      </w:pPr>
      <w:r>
        <w:rPr>
          <w:rFonts w:hint="eastAsia"/>
          <w:spacing w:val="0"/>
          <w:lang w:eastAsia="zh-CN"/>
        </w:rPr>
        <w:fldChar w:fldCharType="end"/>
      </w:r>
    </w:p>
    <w:bookmarkEnd w:id="21"/>
    <w:p w14:paraId="75B5C2AE">
      <w:pPr>
        <w:pStyle w:val="89"/>
        <w:bidi w:val="0"/>
        <w:spacing w:before="560"/>
        <w:rPr>
          <w:rFonts w:hint="eastAsia"/>
          <w:lang w:eastAsia="zh-CN"/>
        </w:rPr>
      </w:pPr>
      <w:bookmarkStart w:id="22" w:name="_Toc29138"/>
      <w:bookmarkStart w:id="23" w:name="BookMark2"/>
      <w:r>
        <w:rPr>
          <w:rFonts w:hint="eastAsia"/>
          <w:spacing w:val="320"/>
          <w:lang w:eastAsia="zh-CN"/>
        </w:rPr>
        <w:t>前</w:t>
      </w:r>
      <w:r>
        <w:rPr>
          <w:rFonts w:hint="eastAsia"/>
          <w:lang w:eastAsia="zh-CN"/>
        </w:rPr>
        <w:t>言</w:t>
      </w:r>
      <w:bookmarkEnd w:id="22"/>
    </w:p>
    <w:p w14:paraId="0B26568B">
      <w:pPr>
        <w:pStyle w:val="56"/>
        <w:bidi w:val="0"/>
        <w:rPr>
          <w:rFonts w:hint="eastAsia"/>
          <w:lang w:eastAsia="zh-CN"/>
        </w:rPr>
      </w:pPr>
      <w:r>
        <w:rPr>
          <w:rFonts w:hint="eastAsia"/>
          <w:lang w:eastAsia="zh-CN"/>
        </w:rPr>
        <w:t>本文件按照GB/T 1.1—2020《标准化工作导则  第1部分：标准化文件的结构和起草规则》的规定起草。</w:t>
      </w:r>
    </w:p>
    <w:p w14:paraId="314F95A1">
      <w:pPr>
        <w:pStyle w:val="56"/>
        <w:bidi w:val="0"/>
        <w:rPr>
          <w:rFonts w:hint="eastAsia"/>
          <w:lang w:eastAsia="zh-CN"/>
        </w:rPr>
      </w:pPr>
      <w:r>
        <w:rPr>
          <w:rFonts w:hint="eastAsia"/>
          <w:lang w:eastAsia="zh-CN"/>
        </w:rPr>
        <w:t>请注意本文件的某些内容可能涉及专利。本文件的发布机构不承担识别专利的责任。</w:t>
      </w:r>
    </w:p>
    <w:p w14:paraId="4A0CFED2">
      <w:pPr>
        <w:pStyle w:val="56"/>
        <w:bidi w:val="0"/>
        <w:rPr>
          <w:rFonts w:hint="eastAsia"/>
          <w:lang w:eastAsia="zh-CN"/>
        </w:rPr>
      </w:pPr>
      <w:r>
        <w:rPr>
          <w:rFonts w:hint="eastAsia"/>
          <w:lang w:eastAsia="zh-CN"/>
        </w:rPr>
        <w:t>本文件由重庆港力环保股份有限公司提出。</w:t>
      </w:r>
    </w:p>
    <w:p w14:paraId="28DDF5B2">
      <w:pPr>
        <w:pStyle w:val="56"/>
        <w:bidi w:val="0"/>
        <w:rPr>
          <w:rFonts w:hint="eastAsia"/>
          <w:lang w:eastAsia="zh-CN"/>
        </w:rPr>
      </w:pPr>
      <w:r>
        <w:rPr>
          <w:rFonts w:hint="eastAsia"/>
          <w:lang w:eastAsia="zh-CN"/>
        </w:rPr>
        <w:t>本文件由重庆市环境科学学会归口。</w:t>
      </w:r>
    </w:p>
    <w:p w14:paraId="4726B71F">
      <w:pPr>
        <w:pStyle w:val="56"/>
        <w:bidi w:val="0"/>
        <w:rPr>
          <w:rFonts w:hint="eastAsia"/>
          <w:lang w:eastAsia="zh-CN"/>
        </w:rPr>
      </w:pPr>
      <w:r>
        <w:rPr>
          <w:rFonts w:hint="eastAsia"/>
          <w:lang w:eastAsia="zh-CN"/>
        </w:rPr>
        <w:t>本文件起草单位：重庆港力环保股份有限公司、重庆图强工程技术咨询有限公司、重庆吉麟科技发展有限公司、重庆市能源利用监测中心（重庆市节能技术服务中心）、重庆市应对气候变化发展中心（重庆资源与环境交易中心）、重庆市生态环境工程评估中心、重庆市生态环境监测中心、重庆市两江新区生态环境监测站、重庆市大渡口区生态环境监测站、重庆市北碚区生态环境监测站、重庆市南岸区生态环境监测站、奉节县生态环境监测站、秀山县生态环境监测站、巫溪县生态环境监测站、忠县生态环境监测站、重庆垫江高新技术产业开发区管理委员会、西部（重庆）科学城九龙新城园区管委会、重庆涪陵经济技术开发区管理委员会、重庆市大渡口区城市运营管理有限公司、重庆涪陵经济技术开发区管理委员会、重庆战新科技产业集团有限公司、国网重庆综合能源服务有限公司、重庆铜梁高新技术产业开发区管理委员会、重庆合川高新技术产业开发区管理委员会、奉节县生态工业园区管理委员会、重庆联合产权交易所集团股份有限公司、重庆市科学技术研究院、西南大学、重庆工商大学、重庆交通大学。</w:t>
      </w:r>
    </w:p>
    <w:p w14:paraId="2C49369F">
      <w:pPr>
        <w:pStyle w:val="56"/>
        <w:bidi w:val="0"/>
        <w:rPr>
          <w:rFonts w:hint="eastAsia"/>
          <w:lang w:eastAsia="zh-CN"/>
        </w:rPr>
        <w:sectPr>
          <w:headerReference r:id="rId14" w:type="default"/>
          <w:footerReference r:id="rId16" w:type="default"/>
          <w:headerReference r:id="rId15" w:type="even"/>
          <w:footerReference r:id="rId17" w:type="even"/>
          <w:pgSz w:w="11906" w:h="16838"/>
          <w:pgMar w:top="1928" w:right="1134" w:bottom="1134" w:left="1134" w:header="1418" w:footer="1134" w:gutter="284"/>
          <w:pgNumType w:fmt="upperRoman"/>
          <w:cols w:space="425" w:num="1"/>
          <w:formProt w:val="0"/>
          <w:docGrid w:linePitch="312" w:charSpace="0"/>
        </w:sectPr>
      </w:pPr>
      <w:r>
        <w:rPr>
          <w:rFonts w:hint="eastAsia"/>
          <w:lang w:eastAsia="zh-CN"/>
        </w:rPr>
        <w:t>本文件主要起草人：王尧、马斌、黄胜炎、袁雪峰、夏思国、艾海男、许力予、张程、许君、张皓、张中坤、黄晓寒、王晓雪、向洪兵、秦勇军、孙弥、柯安、周意文、王娩霞、徐天、郭胜利、钱婵娟、康灵、曹松、申娅、刘力彰、王静、万国华、黄皓、胡伟、陈炫冀、雷晓玲、杨志敏、代春艳、杨涛、赵小飞、黄媛媛、黄铮、丁豪、陈文慧、李友鹏、彭涛、乔翰章、陈彦君、周万娇、江伟、刘莹、曹凤。</w:t>
      </w:r>
    </w:p>
    <w:bookmarkEnd w:id="23"/>
    <w:p w14:paraId="5F58536D">
      <w:pPr>
        <w:spacing w:line="20" w:lineRule="exact"/>
        <w:jc w:val="center"/>
        <w:rPr>
          <w:rFonts w:hint="eastAsia" w:ascii="黑体" w:hAnsi="黑体" w:eastAsia="黑体"/>
          <w:sz w:val="32"/>
          <w:szCs w:val="32"/>
        </w:rPr>
      </w:pPr>
      <w:bookmarkStart w:id="24"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7"/>
            <w:bidi w:val="0"/>
            <w:spacing w:before="313" w:beforeLines="100" w:after="687" w:afterLines="220"/>
            <w:rPr>
              <w:rFonts w:hint="eastAsia"/>
            </w:rPr>
          </w:pPr>
          <w:bookmarkStart w:id="25" w:name="NEW_STAND_NAME"/>
          <w:r>
            <w:rPr>
              <w:rFonts w:hint="eastAsia"/>
              <w:lang w:eastAsia="zh-CN"/>
            </w:rPr>
            <w:t>零碳工厂建设与管理技术指南</w:t>
          </w:r>
        </w:p>
      </w:sdtContent>
    </w:sdt>
    <w:bookmarkEnd w:id="25"/>
    <w:p w14:paraId="58FB4D92">
      <w:pPr>
        <w:pStyle w:val="104"/>
        <w:spacing w:before="240" w:after="240"/>
      </w:pPr>
      <w:bookmarkStart w:id="26" w:name="_Toc17233325"/>
      <w:bookmarkStart w:id="27" w:name="_Toc17233333"/>
      <w:bookmarkStart w:id="28" w:name="_Toc24884211"/>
      <w:bookmarkStart w:id="29" w:name="_Toc26648465"/>
      <w:bookmarkStart w:id="30" w:name="_Toc26718930"/>
      <w:bookmarkStart w:id="31" w:name="_Toc24884218"/>
      <w:bookmarkStart w:id="32" w:name="_Toc26986530"/>
      <w:bookmarkStart w:id="33" w:name="_Toc26986771"/>
      <w:bookmarkStart w:id="34" w:name="_Toc97192964"/>
      <w:bookmarkStart w:id="35" w:name="_Toc31413"/>
      <w:r>
        <w:rPr>
          <w:rFonts w:hint="eastAsia"/>
        </w:rPr>
        <w:t>范围</w:t>
      </w:r>
      <w:bookmarkEnd w:id="26"/>
      <w:bookmarkEnd w:id="27"/>
      <w:bookmarkEnd w:id="28"/>
      <w:bookmarkEnd w:id="29"/>
      <w:bookmarkEnd w:id="30"/>
      <w:bookmarkEnd w:id="31"/>
      <w:bookmarkEnd w:id="32"/>
      <w:bookmarkEnd w:id="33"/>
      <w:bookmarkEnd w:id="34"/>
      <w:bookmarkEnd w:id="35"/>
    </w:p>
    <w:p w14:paraId="57890039">
      <w:pPr>
        <w:pStyle w:val="56"/>
        <w:ind w:firstLine="420"/>
        <w:rPr>
          <w:rFonts w:hint="eastAsia" w:eastAsia="宋体"/>
          <w:lang w:eastAsia="zh-CN"/>
        </w:rPr>
      </w:pPr>
      <w:bookmarkStart w:id="36" w:name="_Toc17233326"/>
      <w:bookmarkStart w:id="37" w:name="_Toc17233334"/>
      <w:bookmarkStart w:id="38" w:name="_Toc24884212"/>
      <w:bookmarkStart w:id="39" w:name="_Toc24884219"/>
      <w:bookmarkStart w:id="40" w:name="_Toc26648466"/>
      <w:r>
        <w:rPr>
          <w:rFonts w:hint="eastAsia" w:eastAsia="宋体"/>
          <w:lang w:eastAsia="zh-CN"/>
        </w:rPr>
        <w:t>本文件规定了零碳工厂建设与管理的术语和定义、总体原则、基本要求、建设实施和管理运行。</w:t>
      </w:r>
    </w:p>
    <w:p w14:paraId="3BDBB36E">
      <w:pPr>
        <w:pStyle w:val="56"/>
        <w:ind w:firstLine="420"/>
        <w:rPr>
          <w:rFonts w:hint="eastAsia" w:eastAsia="宋体"/>
          <w:lang w:eastAsia="zh-CN"/>
        </w:rPr>
      </w:pPr>
      <w:r>
        <w:rPr>
          <w:rFonts w:hint="eastAsia" w:eastAsia="宋体"/>
          <w:lang w:eastAsia="zh-CN"/>
        </w:rPr>
        <w:t>本文件适用于以实现零碳为目标的具有实际生产过程或处在规划建设阶段的工业企业（含新建和现有企业）。</w:t>
      </w:r>
    </w:p>
    <w:p w14:paraId="767F512F">
      <w:pPr>
        <w:pStyle w:val="104"/>
        <w:spacing w:before="240" w:after="240"/>
      </w:pPr>
      <w:bookmarkStart w:id="41" w:name="_Toc26718931"/>
      <w:bookmarkStart w:id="42" w:name="_Toc26986531"/>
      <w:bookmarkStart w:id="43" w:name="_Toc26986772"/>
      <w:bookmarkStart w:id="44" w:name="_Toc97192965"/>
      <w:bookmarkStart w:id="45" w:name="_Toc24136"/>
      <w:r>
        <w:rPr>
          <w:rFonts w:hint="eastAsia"/>
        </w:rPr>
        <w:t>规范性引用文件</w:t>
      </w:r>
      <w:bookmarkEnd w:id="36"/>
      <w:bookmarkEnd w:id="37"/>
      <w:bookmarkEnd w:id="38"/>
      <w:bookmarkEnd w:id="39"/>
      <w:bookmarkEnd w:id="40"/>
      <w:bookmarkEnd w:id="41"/>
      <w:bookmarkEnd w:id="42"/>
      <w:bookmarkEnd w:id="43"/>
      <w:bookmarkEnd w:id="44"/>
      <w:bookmarkEnd w:id="45"/>
    </w:p>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5A6A3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110F63CE">
      <w:pPr>
        <w:pStyle w:val="56"/>
        <w:ind w:firstLine="420"/>
        <w:rPr>
          <w:rFonts w:hint="eastAsia" w:eastAsia="宋体"/>
          <w:lang w:eastAsia="zh-CN"/>
        </w:rPr>
      </w:pPr>
      <w:r>
        <w:rPr>
          <w:rFonts w:hint="eastAsia" w:eastAsia="宋体"/>
          <w:lang w:eastAsia="zh-CN"/>
        </w:rPr>
        <w:t xml:space="preserve">GB 17167 </w:t>
      </w:r>
      <w:r>
        <w:rPr>
          <w:rFonts w:hint="eastAsia"/>
          <w:lang w:val="en-US" w:eastAsia="zh-CN"/>
        </w:rPr>
        <w:t xml:space="preserve"> </w:t>
      </w:r>
      <w:r>
        <w:rPr>
          <w:rFonts w:hint="eastAsia" w:eastAsia="宋体"/>
          <w:lang w:eastAsia="zh-CN"/>
        </w:rPr>
        <w:t>用能单位能源计量器具配备和管理通则</w:t>
      </w:r>
    </w:p>
    <w:p w14:paraId="53A3149E">
      <w:pPr>
        <w:pStyle w:val="56"/>
        <w:ind w:firstLine="420"/>
        <w:rPr>
          <w:rFonts w:hint="eastAsia" w:eastAsia="宋体"/>
          <w:lang w:eastAsia="zh-CN"/>
        </w:rPr>
      </w:pPr>
      <w:r>
        <w:rPr>
          <w:rFonts w:hint="eastAsia" w:eastAsia="宋体"/>
          <w:lang w:eastAsia="zh-CN"/>
        </w:rPr>
        <w:t xml:space="preserve">GB 24789 </w:t>
      </w:r>
      <w:r>
        <w:rPr>
          <w:rFonts w:hint="eastAsia"/>
          <w:lang w:val="en-US" w:eastAsia="zh-CN"/>
        </w:rPr>
        <w:t xml:space="preserve"> </w:t>
      </w:r>
      <w:r>
        <w:rPr>
          <w:rFonts w:hint="eastAsia" w:eastAsia="宋体"/>
          <w:lang w:eastAsia="zh-CN"/>
        </w:rPr>
        <w:t>用水单位水计量器具配备和管理通则</w:t>
      </w:r>
    </w:p>
    <w:p w14:paraId="583F04A3">
      <w:pPr>
        <w:pStyle w:val="56"/>
        <w:ind w:firstLine="420"/>
        <w:rPr>
          <w:rFonts w:hint="eastAsia" w:eastAsia="宋体"/>
          <w:lang w:eastAsia="zh-CN"/>
        </w:rPr>
      </w:pPr>
      <w:r>
        <w:rPr>
          <w:rFonts w:hint="eastAsia" w:eastAsia="宋体"/>
          <w:lang w:eastAsia="zh-CN"/>
        </w:rPr>
        <w:t xml:space="preserve">GB 50034 </w:t>
      </w:r>
      <w:r>
        <w:rPr>
          <w:rFonts w:hint="eastAsia"/>
          <w:lang w:val="en-US" w:eastAsia="zh-CN"/>
        </w:rPr>
        <w:t xml:space="preserve"> </w:t>
      </w:r>
      <w:r>
        <w:rPr>
          <w:rFonts w:hint="eastAsia" w:eastAsia="宋体"/>
          <w:lang w:eastAsia="zh-CN"/>
        </w:rPr>
        <w:t>建筑照明设计标准</w:t>
      </w:r>
    </w:p>
    <w:p w14:paraId="551AC46B">
      <w:pPr>
        <w:pStyle w:val="56"/>
        <w:ind w:firstLine="420"/>
        <w:rPr>
          <w:rFonts w:hint="eastAsia" w:eastAsia="宋体"/>
          <w:lang w:eastAsia="zh-CN"/>
        </w:rPr>
      </w:pPr>
      <w:r>
        <w:rPr>
          <w:rFonts w:hint="eastAsia" w:eastAsia="宋体"/>
          <w:lang w:eastAsia="zh-CN"/>
        </w:rPr>
        <w:t xml:space="preserve">GB/T 7119 </w:t>
      </w:r>
      <w:r>
        <w:rPr>
          <w:rFonts w:hint="eastAsia"/>
          <w:lang w:val="en-US" w:eastAsia="zh-CN"/>
        </w:rPr>
        <w:t xml:space="preserve"> </w:t>
      </w:r>
      <w:r>
        <w:rPr>
          <w:rFonts w:hint="eastAsia" w:eastAsia="宋体"/>
          <w:lang w:eastAsia="zh-CN"/>
        </w:rPr>
        <w:t>节水型企业评价导则</w:t>
      </w:r>
    </w:p>
    <w:p w14:paraId="166B5F27">
      <w:pPr>
        <w:pStyle w:val="56"/>
        <w:ind w:firstLine="420"/>
        <w:rPr>
          <w:rFonts w:hint="eastAsia" w:eastAsia="宋体"/>
          <w:lang w:eastAsia="zh-CN"/>
        </w:rPr>
      </w:pPr>
      <w:r>
        <w:rPr>
          <w:rFonts w:hint="eastAsia" w:eastAsia="宋体"/>
          <w:lang w:eastAsia="zh-CN"/>
        </w:rPr>
        <w:t xml:space="preserve">GB/T 18916 </w:t>
      </w:r>
      <w:r>
        <w:rPr>
          <w:rFonts w:hint="eastAsia"/>
          <w:lang w:val="en-US" w:eastAsia="zh-CN"/>
        </w:rPr>
        <w:t xml:space="preserve"> </w:t>
      </w:r>
      <w:r>
        <w:rPr>
          <w:rFonts w:hint="eastAsia" w:eastAsia="宋体"/>
          <w:lang w:eastAsia="zh-CN"/>
        </w:rPr>
        <w:t>工业用水定额（所有部分）</w:t>
      </w:r>
      <w:bookmarkStart w:id="77" w:name="_GoBack"/>
      <w:bookmarkEnd w:id="77"/>
    </w:p>
    <w:p w14:paraId="53F2D7E8">
      <w:pPr>
        <w:pStyle w:val="56"/>
        <w:ind w:firstLine="420"/>
        <w:rPr>
          <w:rFonts w:hint="eastAsia" w:eastAsia="宋体"/>
          <w:lang w:eastAsia="zh-CN"/>
        </w:rPr>
      </w:pPr>
      <w:r>
        <w:rPr>
          <w:rFonts w:hint="eastAsia" w:eastAsia="宋体"/>
          <w:lang w:eastAsia="zh-CN"/>
        </w:rPr>
        <w:t xml:space="preserve">GB/T 19001 </w:t>
      </w:r>
      <w:r>
        <w:rPr>
          <w:rFonts w:hint="eastAsia"/>
          <w:lang w:val="en-US" w:eastAsia="zh-CN"/>
        </w:rPr>
        <w:t xml:space="preserve"> </w:t>
      </w:r>
      <w:r>
        <w:rPr>
          <w:rFonts w:hint="eastAsia" w:eastAsia="宋体"/>
          <w:lang w:eastAsia="zh-CN"/>
        </w:rPr>
        <w:t>质量管理体系 要求</w:t>
      </w:r>
    </w:p>
    <w:p w14:paraId="7AB73B31">
      <w:pPr>
        <w:pStyle w:val="56"/>
        <w:ind w:firstLine="420"/>
        <w:rPr>
          <w:rFonts w:hint="eastAsia" w:eastAsia="宋体"/>
          <w:lang w:eastAsia="zh-CN"/>
        </w:rPr>
      </w:pPr>
      <w:r>
        <w:rPr>
          <w:rFonts w:hint="eastAsia" w:eastAsia="宋体"/>
          <w:lang w:eastAsia="zh-CN"/>
        </w:rPr>
        <w:t xml:space="preserve">GB/T 24001 </w:t>
      </w:r>
      <w:r>
        <w:rPr>
          <w:rFonts w:hint="eastAsia"/>
          <w:lang w:val="en-US" w:eastAsia="zh-CN"/>
        </w:rPr>
        <w:t xml:space="preserve"> </w:t>
      </w:r>
      <w:r>
        <w:rPr>
          <w:rFonts w:hint="eastAsia" w:eastAsia="宋体"/>
          <w:lang w:eastAsia="zh-CN"/>
        </w:rPr>
        <w:t>环境管理体系 要求及使用指南</w:t>
      </w:r>
    </w:p>
    <w:p w14:paraId="11AC6BD5">
      <w:pPr>
        <w:pStyle w:val="56"/>
        <w:ind w:firstLine="420"/>
        <w:rPr>
          <w:rFonts w:hint="eastAsia" w:eastAsia="宋体"/>
          <w:lang w:eastAsia="zh-CN"/>
        </w:rPr>
      </w:pPr>
      <w:r>
        <w:rPr>
          <w:rFonts w:hint="eastAsia" w:eastAsia="宋体"/>
          <w:lang w:eastAsia="zh-CN"/>
        </w:rPr>
        <w:t xml:space="preserve">GB/T 24067 </w:t>
      </w:r>
      <w:r>
        <w:rPr>
          <w:rFonts w:hint="eastAsia"/>
          <w:lang w:val="en-US" w:eastAsia="zh-CN"/>
        </w:rPr>
        <w:t xml:space="preserve"> </w:t>
      </w:r>
      <w:r>
        <w:rPr>
          <w:rFonts w:hint="eastAsia" w:eastAsia="宋体"/>
          <w:lang w:eastAsia="zh-CN"/>
        </w:rPr>
        <w:t>温室气体 产品碳足迹 量化要求和指南</w:t>
      </w:r>
    </w:p>
    <w:p w14:paraId="13B11267">
      <w:pPr>
        <w:pStyle w:val="56"/>
        <w:ind w:firstLine="420"/>
        <w:rPr>
          <w:rFonts w:hint="eastAsia" w:eastAsia="宋体"/>
          <w:lang w:eastAsia="zh-CN"/>
        </w:rPr>
      </w:pPr>
      <w:r>
        <w:rPr>
          <w:rFonts w:hint="eastAsia" w:eastAsia="宋体"/>
          <w:lang w:eastAsia="zh-CN"/>
        </w:rPr>
        <w:t xml:space="preserve">GB/T 29115 </w:t>
      </w:r>
      <w:r>
        <w:rPr>
          <w:rFonts w:hint="eastAsia"/>
          <w:lang w:val="en-US" w:eastAsia="zh-CN"/>
        </w:rPr>
        <w:t xml:space="preserve"> </w:t>
      </w:r>
      <w:r>
        <w:rPr>
          <w:rFonts w:hint="eastAsia" w:eastAsia="宋体"/>
          <w:lang w:eastAsia="zh-CN"/>
        </w:rPr>
        <w:t>工业企业节约原材料评价导则</w:t>
      </w:r>
    </w:p>
    <w:p w14:paraId="4CB2D817">
      <w:pPr>
        <w:pStyle w:val="56"/>
        <w:ind w:firstLine="420"/>
        <w:rPr>
          <w:rFonts w:hint="eastAsia" w:eastAsia="宋体"/>
          <w:lang w:eastAsia="zh-CN"/>
        </w:rPr>
      </w:pPr>
      <w:r>
        <w:rPr>
          <w:rFonts w:hint="eastAsia" w:eastAsia="宋体"/>
          <w:lang w:eastAsia="zh-CN"/>
        </w:rPr>
        <w:t xml:space="preserve">GB/T 32150 </w:t>
      </w:r>
      <w:r>
        <w:rPr>
          <w:rFonts w:hint="eastAsia"/>
          <w:lang w:val="en-US" w:eastAsia="zh-CN"/>
        </w:rPr>
        <w:t xml:space="preserve"> </w:t>
      </w:r>
      <w:r>
        <w:rPr>
          <w:rFonts w:hint="eastAsia" w:eastAsia="宋体"/>
          <w:lang w:eastAsia="zh-CN"/>
        </w:rPr>
        <w:t>工业企业温室气体排放核算和报告通则</w:t>
      </w:r>
    </w:p>
    <w:p w14:paraId="23C4F5FE">
      <w:pPr>
        <w:pStyle w:val="56"/>
        <w:ind w:firstLine="420"/>
        <w:rPr>
          <w:rFonts w:hint="eastAsia" w:eastAsia="宋体"/>
          <w:lang w:eastAsia="zh-CN"/>
        </w:rPr>
      </w:pPr>
      <w:r>
        <w:rPr>
          <w:rFonts w:hint="eastAsia" w:eastAsia="宋体"/>
          <w:lang w:eastAsia="zh-CN"/>
        </w:rPr>
        <w:t xml:space="preserve">GB/T 45001 </w:t>
      </w:r>
      <w:r>
        <w:rPr>
          <w:rFonts w:hint="eastAsia"/>
          <w:lang w:val="en-US" w:eastAsia="zh-CN"/>
        </w:rPr>
        <w:t xml:space="preserve"> </w:t>
      </w:r>
      <w:r>
        <w:rPr>
          <w:rFonts w:hint="eastAsia" w:eastAsia="宋体"/>
          <w:lang w:eastAsia="zh-CN"/>
        </w:rPr>
        <w:t>职业健康安全管理体系 要求及使用指南</w:t>
      </w:r>
    </w:p>
    <w:p w14:paraId="51DEC7E4">
      <w:pPr>
        <w:pStyle w:val="56"/>
        <w:ind w:firstLine="420"/>
        <w:rPr>
          <w:rFonts w:hint="eastAsia" w:eastAsia="宋体"/>
          <w:lang w:eastAsia="zh-CN"/>
        </w:rPr>
      </w:pPr>
      <w:r>
        <w:rPr>
          <w:rFonts w:hint="eastAsia" w:eastAsia="宋体"/>
          <w:lang w:eastAsia="zh-CN"/>
        </w:rPr>
        <w:t xml:space="preserve">GB/T 51350 </w:t>
      </w:r>
      <w:r>
        <w:rPr>
          <w:rFonts w:hint="eastAsia"/>
          <w:lang w:val="en-US" w:eastAsia="zh-CN"/>
        </w:rPr>
        <w:t xml:space="preserve"> </w:t>
      </w:r>
      <w:r>
        <w:rPr>
          <w:rFonts w:hint="eastAsia" w:eastAsia="宋体"/>
          <w:lang w:eastAsia="zh-CN"/>
        </w:rPr>
        <w:t>近零能耗建筑技术标准</w:t>
      </w:r>
    </w:p>
    <w:p w14:paraId="77A93380">
      <w:pPr>
        <w:pStyle w:val="56"/>
        <w:ind w:firstLine="420"/>
        <w:rPr>
          <w:rFonts w:hint="eastAsia" w:eastAsia="宋体"/>
          <w:lang w:eastAsia="zh-CN"/>
        </w:rPr>
      </w:pPr>
      <w:r>
        <w:rPr>
          <w:rFonts w:hint="eastAsia" w:eastAsia="宋体"/>
          <w:lang w:eastAsia="zh-CN"/>
        </w:rPr>
        <w:t>ISO 14064-1:2018  温室气体第1部分：组织层次温室气体排放与清除的量化和报告规范及指南（Greenhouse gases—Part1：Specification with guidance at the organization level for quantification and reporting of greenhouse gas emissions and removals）</w:t>
      </w:r>
    </w:p>
    <w:p w14:paraId="6180410D">
      <w:pPr>
        <w:pStyle w:val="56"/>
        <w:ind w:firstLine="420"/>
        <w:rPr>
          <w:rFonts w:hint="eastAsia" w:eastAsia="宋体"/>
          <w:lang w:eastAsia="zh-CN"/>
        </w:rPr>
      </w:pPr>
      <w:r>
        <w:rPr>
          <w:rFonts w:hint="eastAsia" w:eastAsia="宋体"/>
          <w:lang w:eastAsia="zh-CN"/>
        </w:rPr>
        <w:t>ISO14067:2018  温室气体 产品碳足迹 量化要求及指南（Greenhouse gases—Carbon footprint of product—Requirements and guidelines of quantification）</w:t>
      </w:r>
    </w:p>
    <w:p w14:paraId="60A8A5DA">
      <w:pPr>
        <w:pStyle w:val="56"/>
        <w:ind w:firstLine="420"/>
        <w:rPr>
          <w:rFonts w:hint="eastAsia" w:eastAsia="宋体"/>
          <w:lang w:eastAsia="zh-CN"/>
        </w:rPr>
      </w:pPr>
      <w:r>
        <w:rPr>
          <w:rFonts w:hint="eastAsia" w:eastAsia="宋体"/>
          <w:lang w:eastAsia="zh-CN"/>
        </w:rPr>
        <w:t>ISO14068-1:2023  气候变化管理向净零的过渡第1部分：碳中和（Climate change management—Transition to net zero Part 1：Carbon neutrality）</w:t>
      </w:r>
    </w:p>
    <w:p w14:paraId="40EF840C">
      <w:pPr>
        <w:pStyle w:val="104"/>
        <w:spacing w:before="240" w:after="240"/>
      </w:pPr>
      <w:bookmarkStart w:id="46" w:name="_Toc97192966"/>
      <w:bookmarkStart w:id="47" w:name="_Toc9102"/>
      <w:r>
        <w:rPr>
          <w:rFonts w:hint="eastAsia"/>
          <w:szCs w:val="21"/>
        </w:rPr>
        <w:t>术语和定义</w:t>
      </w:r>
      <w:bookmarkEnd w:id="46"/>
      <w:bookmarkEnd w:id="47"/>
    </w:p>
    <w:sdt>
      <w:sdt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FA990C2">
          <w:pPr>
            <w:pStyle w:val="56"/>
            <w:ind w:firstLine="420"/>
          </w:pPr>
          <w:bookmarkStart w:id="48" w:name="_Toc26986532"/>
          <w:bookmarkEnd w:id="48"/>
          <w:r>
            <w:rPr>
              <w:rFonts w:ascii="Times New Roman" w:hAnsi="Times New Roman" w:eastAsia="宋体" w:cs="Times New Roman"/>
              <w:sz w:val="21"/>
              <w:lang w:val="en-US" w:eastAsia="zh-CN" w:bidi="ar-SA"/>
            </w:rPr>
            <w:t>下列术语和定义适用于本文件。</w:t>
          </w:r>
        </w:p>
      </w:sdtContent>
    </w:sdt>
    <w:p w14:paraId="6723387E">
      <w:pPr>
        <w:pStyle w:val="223"/>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零碳工厂  zero-carbon factory</w:t>
      </w:r>
    </w:p>
    <w:p w14:paraId="4E8985AA">
      <w:pPr>
        <w:pStyle w:val="56"/>
        <w:ind w:firstLine="420"/>
        <w:rPr>
          <w:rFonts w:hint="eastAsia"/>
        </w:rPr>
      </w:pPr>
      <w:r>
        <w:rPr>
          <w:rFonts w:hint="eastAsia"/>
        </w:rPr>
        <w:t>通过技术创新、结构调整和管理优化等减排措施，实现厂区内二氧化碳排放的持续降低、逐步趋向于近零的过程。</w:t>
      </w:r>
    </w:p>
    <w:p w14:paraId="4D3B27B1">
      <w:pPr>
        <w:pStyle w:val="179"/>
        <w:bidi w:val="0"/>
      </w:pPr>
      <w:r>
        <w:rPr>
          <w:rFonts w:hint="eastAsia"/>
        </w:rPr>
        <w:t>零碳工厂不是绝对的“零”二氧化碳排放，而是在当前技术经济条件允许下，实现应减尽减并持续改进提升，保持工厂二氧化碳排放最低。</w:t>
      </w:r>
    </w:p>
    <w:p w14:paraId="716E9D0C">
      <w:pPr>
        <w:pStyle w:val="223"/>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范围1排放  scope 1 emissions</w:t>
      </w:r>
    </w:p>
    <w:p w14:paraId="3B8BB6D7">
      <w:pPr>
        <w:pStyle w:val="56"/>
        <w:ind w:firstLine="420"/>
        <w:rPr>
          <w:rFonts w:hint="eastAsia" w:eastAsia="宋体"/>
          <w:lang w:eastAsia="zh-CN"/>
        </w:rPr>
      </w:pPr>
      <w:r>
        <w:rPr>
          <w:rFonts w:hint="eastAsia" w:eastAsia="宋体"/>
          <w:lang w:eastAsia="zh-CN"/>
        </w:rPr>
        <w:t>工厂拥有或控制的排放源所产生的直接温室气体排放，包括固定源燃烧排放、移动源燃烧排放、工业生产过程排放等。</w:t>
      </w:r>
    </w:p>
    <w:p w14:paraId="79F23C14">
      <w:pPr>
        <w:pStyle w:val="223"/>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范围2排放  scope 2 emissions</w:t>
      </w:r>
    </w:p>
    <w:p w14:paraId="5CF7D3A2">
      <w:pPr>
        <w:pStyle w:val="56"/>
        <w:ind w:firstLine="420"/>
      </w:pPr>
      <w:r>
        <w:rPr>
          <w:rFonts w:hint="eastAsia"/>
        </w:rPr>
        <w:t>与工厂活动直接相关，而发生于其他实体拥有或控制的能源生产所产生的温室气体排放，如工厂使用电力、热力、蒸汽生产过程的温室气体排放。</w:t>
      </w:r>
    </w:p>
    <w:p w14:paraId="2A7EDE2C">
      <w:pPr>
        <w:pStyle w:val="223"/>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范围3排放  scope 3 emissions</w:t>
      </w:r>
    </w:p>
    <w:p w14:paraId="601DFC2C">
      <w:pPr>
        <w:pStyle w:val="56"/>
        <w:ind w:firstLine="420"/>
      </w:pPr>
      <w:r>
        <w:rPr>
          <w:rFonts w:hint="eastAsia"/>
        </w:rPr>
        <w:t>除范围1和范围2排放之外的所有间接排放，包括上游排放（如原料采购、物流运输）和下游排放（如产品使用、废弃处理）。</w:t>
      </w:r>
    </w:p>
    <w:p w14:paraId="79601B0B">
      <w:pPr>
        <w:pStyle w:val="223"/>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绿色电力  green power</w:t>
      </w:r>
    </w:p>
    <w:p w14:paraId="76FA66E2">
      <w:pPr>
        <w:pStyle w:val="56"/>
        <w:ind w:firstLine="420"/>
      </w:pPr>
      <w:r>
        <w:rPr>
          <w:rFonts w:hint="eastAsia"/>
        </w:rPr>
        <w:t>利用风机、太阳能光伏设备、水轮机等特定的发电设备将风能、太阳能、水能等非化石能源转化而生成的电能。</w:t>
      </w:r>
    </w:p>
    <w:p w14:paraId="7F49EFE6">
      <w:pPr>
        <w:pStyle w:val="223"/>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绿色电力证书  green power certificates</w:t>
      </w:r>
    </w:p>
    <w:p w14:paraId="528537E0">
      <w:pPr>
        <w:pStyle w:val="56"/>
        <w:ind w:firstLine="420"/>
      </w:pPr>
      <w:r>
        <w:rPr>
          <w:rFonts w:hint="eastAsia"/>
        </w:rPr>
        <w:t>国家可再生能源信息管理中心按照国家能源局相关管理规定，依据可再生能源上网电量通过国家能源局可再生能源发电项目管理平台向符合资格的可再生能源发电企业颁发具有唯一代码标识的电子凭证。</w:t>
      </w:r>
    </w:p>
    <w:p w14:paraId="5BBD66D0">
      <w:pPr>
        <w:pStyle w:val="223"/>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国家核证自愿减排量  chinese certified emission reduction，CCER</w:t>
      </w:r>
    </w:p>
    <w:p w14:paraId="0C1E1C9F">
      <w:pPr>
        <w:pStyle w:val="56"/>
        <w:ind w:firstLine="420"/>
      </w:pPr>
      <w:r>
        <w:rPr>
          <w:rFonts w:hint="eastAsia"/>
        </w:rPr>
        <w:t>对我国境内可再生能源、林业碳汇、甲烷利用等项目的温室气体减排效果进行量化核证，并在国家温室气体自愿减排交易注册登记系统中登记的温室气体减排量。</w:t>
      </w:r>
    </w:p>
    <w:p w14:paraId="7A3CB82E">
      <w:pPr>
        <w:pStyle w:val="223"/>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产品碳足迹  carbon footprint of products；CFP</w:t>
      </w:r>
    </w:p>
    <w:p w14:paraId="0672B44D">
      <w:pPr>
        <w:pStyle w:val="56"/>
        <w:ind w:firstLine="420"/>
      </w:pPr>
      <w:r>
        <w:rPr>
          <w:rFonts w:hint="eastAsia"/>
        </w:rPr>
        <w:t>基于使用气候变化单一影响类别的生命周期评价的产品系统中温室气体排放量和温室气体清除量之和，单位以二氧化碳当量表示。</w:t>
      </w:r>
    </w:p>
    <w:p w14:paraId="77253951">
      <w:pPr>
        <w:pStyle w:val="180"/>
        <w:bidi w:val="0"/>
        <w:ind w:left="811" w:leftChars="0" w:hanging="448" w:firstLineChars="0"/>
        <w:rPr>
          <w:rFonts w:hint="eastAsia"/>
        </w:rPr>
      </w:pPr>
      <w:r>
        <w:rPr>
          <w:rFonts w:hint="eastAsia"/>
        </w:rPr>
        <w:t>可将产品碳足迹分解为一组数字，用于确定具体的温室气体排放量和清除量。产品碳足迹也可以分解为生命周期的各个阶段。</w:t>
      </w:r>
    </w:p>
    <w:p w14:paraId="797B9D8D">
      <w:pPr>
        <w:pStyle w:val="180"/>
        <w:bidi w:val="0"/>
      </w:pPr>
      <w:r>
        <w:rPr>
          <w:rFonts w:hint="eastAsia"/>
        </w:rPr>
        <w:t>产品碳足迹量化结果记录在产品碳足迹研究报告中，单位以每个功能单位的二氧化碳当量表示。</w:t>
      </w:r>
    </w:p>
    <w:p w14:paraId="1658112D">
      <w:pPr>
        <w:pStyle w:val="223"/>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碳抵消  carbon offset</w:t>
      </w:r>
    </w:p>
    <w:p w14:paraId="1AC81E48">
      <w:pPr>
        <w:pStyle w:val="56"/>
        <w:ind w:firstLine="420"/>
        <w:rPr>
          <w:rFonts w:hint="eastAsia"/>
        </w:rPr>
      </w:pPr>
      <w:r>
        <w:rPr>
          <w:rFonts w:hint="eastAsia"/>
        </w:rPr>
        <w:t>以购买的碳信用、碳配额抵消边界内温室气体排放的过程。</w:t>
      </w:r>
    </w:p>
    <w:p w14:paraId="52A734B1">
      <w:pPr>
        <w:pStyle w:val="104"/>
        <w:bidi w:val="0"/>
        <w:rPr>
          <w:rFonts w:hint="eastAsia"/>
        </w:rPr>
      </w:pPr>
      <w:bookmarkStart w:id="49" w:name="_Toc942"/>
      <w:r>
        <w:rPr>
          <w:rFonts w:hint="eastAsia"/>
        </w:rPr>
        <w:t>总体原则</w:t>
      </w:r>
      <w:bookmarkEnd w:id="49"/>
    </w:p>
    <w:p w14:paraId="1F9D32D7">
      <w:pPr>
        <w:pStyle w:val="105"/>
        <w:bidi w:val="0"/>
        <w:rPr>
          <w:rFonts w:hint="eastAsia"/>
        </w:rPr>
      </w:pPr>
      <w:bookmarkStart w:id="50" w:name="_Toc5029"/>
      <w:r>
        <w:rPr>
          <w:rFonts w:hint="eastAsia"/>
        </w:rPr>
        <w:t>减排优先原则</w:t>
      </w:r>
      <w:bookmarkEnd w:id="50"/>
    </w:p>
    <w:p w14:paraId="1F8C220A">
      <w:pPr>
        <w:pStyle w:val="56"/>
        <w:bidi w:val="0"/>
        <w:rPr>
          <w:rFonts w:hint="eastAsia"/>
        </w:rPr>
      </w:pPr>
      <w:r>
        <w:rPr>
          <w:rFonts w:hint="eastAsia"/>
        </w:rPr>
        <w:t>企业应优先通过能源结构优化、能效提升、工艺改进、循环利用等自主减排措施降低温室气体排放，仅对经自主减排后无法消除的残余排放开展碳抵消。</w:t>
      </w:r>
    </w:p>
    <w:p w14:paraId="5D723CD4">
      <w:pPr>
        <w:pStyle w:val="105"/>
        <w:bidi w:val="0"/>
        <w:rPr>
          <w:rFonts w:hint="eastAsia"/>
        </w:rPr>
      </w:pPr>
      <w:bookmarkStart w:id="51" w:name="_Toc21029"/>
      <w:r>
        <w:rPr>
          <w:rFonts w:hint="eastAsia"/>
        </w:rPr>
        <w:t>系统推进原则</w:t>
      </w:r>
      <w:bookmarkEnd w:id="51"/>
    </w:p>
    <w:p w14:paraId="0C5E8F5A">
      <w:pPr>
        <w:pStyle w:val="56"/>
        <w:bidi w:val="0"/>
        <w:rPr>
          <w:rFonts w:hint="eastAsia"/>
        </w:rPr>
      </w:pPr>
      <w:r>
        <w:rPr>
          <w:rFonts w:hint="eastAsia"/>
        </w:rPr>
        <w:t>零碳工厂建设应涵盖碳排放核算、用能结构转型、能源效率提升、产品碳足迹分析、数字化智能管控、碳抵消及信息披露等全链条，形成闭环管理。</w:t>
      </w:r>
    </w:p>
    <w:p w14:paraId="433150B2">
      <w:pPr>
        <w:pStyle w:val="105"/>
        <w:bidi w:val="0"/>
        <w:rPr>
          <w:rFonts w:hint="eastAsia"/>
        </w:rPr>
      </w:pPr>
      <w:bookmarkStart w:id="52" w:name="_Toc3369"/>
      <w:r>
        <w:rPr>
          <w:rFonts w:hint="eastAsia"/>
        </w:rPr>
        <w:t>因业施策原则</w:t>
      </w:r>
      <w:bookmarkEnd w:id="52"/>
    </w:p>
    <w:p w14:paraId="46B57326">
      <w:pPr>
        <w:pStyle w:val="56"/>
        <w:bidi w:val="0"/>
        <w:rPr>
          <w:rFonts w:hint="eastAsia"/>
        </w:rPr>
      </w:pPr>
      <w:r>
        <w:rPr>
          <w:rFonts w:hint="eastAsia"/>
        </w:rPr>
        <w:t>企业应结合所属行业特点、自身发展阶段和技术经济条件，制定符合实际的建设方案和实施路径，不搞“一刀切”。不同行业因脱碳难度和路径差异较大，应采取差异化的推进策略。</w:t>
      </w:r>
    </w:p>
    <w:p w14:paraId="14A33A41">
      <w:pPr>
        <w:pStyle w:val="105"/>
        <w:bidi w:val="0"/>
        <w:rPr>
          <w:rFonts w:hint="eastAsia"/>
        </w:rPr>
      </w:pPr>
      <w:bookmarkStart w:id="53" w:name="_Toc29575"/>
      <w:r>
        <w:rPr>
          <w:rFonts w:hint="eastAsia"/>
        </w:rPr>
        <w:t>持续改进原则</w:t>
      </w:r>
      <w:bookmarkEnd w:id="53"/>
    </w:p>
    <w:p w14:paraId="1D58C2A9">
      <w:pPr>
        <w:pStyle w:val="56"/>
        <w:bidi w:val="0"/>
        <w:rPr>
          <w:rFonts w:hint="eastAsia"/>
        </w:rPr>
      </w:pPr>
      <w:r>
        <w:rPr>
          <w:rFonts w:hint="eastAsia"/>
        </w:rPr>
        <w:t>零碳工厂建设是一个动态持续的过程，企业应制定中长期建设规划和年度目标，定期评估建设成效，不断优化减排措施，持续降低碳排放。</w:t>
      </w:r>
    </w:p>
    <w:p w14:paraId="0CE5635B">
      <w:pPr>
        <w:pStyle w:val="105"/>
        <w:bidi w:val="0"/>
        <w:rPr>
          <w:rFonts w:hint="eastAsia"/>
        </w:rPr>
      </w:pPr>
      <w:bookmarkStart w:id="54" w:name="_Toc18782"/>
      <w:r>
        <w:rPr>
          <w:rFonts w:hint="eastAsia"/>
        </w:rPr>
        <w:t>统一规范原则</w:t>
      </w:r>
      <w:bookmarkEnd w:id="54"/>
    </w:p>
    <w:p w14:paraId="11D20515">
      <w:pPr>
        <w:pStyle w:val="56"/>
        <w:bidi w:val="0"/>
        <w:rPr>
          <w:rFonts w:hint="eastAsia"/>
        </w:rPr>
      </w:pPr>
      <w:r>
        <w:rPr>
          <w:rFonts w:hint="eastAsia"/>
        </w:rPr>
        <w:t>碳排放核算、信息披露等活动应遵循相关标准和规范，确保数据真实、准确、可追溯。</w:t>
      </w:r>
    </w:p>
    <w:p w14:paraId="062F50AC">
      <w:pPr>
        <w:pStyle w:val="104"/>
        <w:bidi w:val="0"/>
        <w:rPr>
          <w:rFonts w:hint="eastAsia"/>
        </w:rPr>
      </w:pPr>
      <w:bookmarkStart w:id="55" w:name="_Toc32629"/>
      <w:r>
        <w:rPr>
          <w:rFonts w:hint="eastAsia"/>
        </w:rPr>
        <w:t>基本要求</w:t>
      </w:r>
      <w:bookmarkEnd w:id="55"/>
    </w:p>
    <w:p w14:paraId="29BFE535">
      <w:pPr>
        <w:pStyle w:val="105"/>
        <w:bidi w:val="0"/>
        <w:rPr>
          <w:rFonts w:hint="eastAsia"/>
        </w:rPr>
      </w:pPr>
      <w:bookmarkStart w:id="56" w:name="_Toc32528"/>
      <w:r>
        <w:rPr>
          <w:rFonts w:hint="eastAsia"/>
        </w:rPr>
        <w:t>合规要求</w:t>
      </w:r>
      <w:bookmarkEnd w:id="56"/>
    </w:p>
    <w:p w14:paraId="00A42D2E">
      <w:pPr>
        <w:pStyle w:val="56"/>
        <w:bidi w:val="0"/>
        <w:rPr>
          <w:rFonts w:hint="eastAsia"/>
        </w:rPr>
      </w:pPr>
      <w:r>
        <w:rPr>
          <w:rFonts w:hint="eastAsia"/>
        </w:rPr>
        <w:t>企业应依法设立，边界清晰，生产经营正常，在建设和生产过程中遵守有关法律、法规、政策和标准。近三年（含成立不足三年）未发生重大安全、质量、环境污染等事故，无失信行为记录。</w:t>
      </w:r>
    </w:p>
    <w:p w14:paraId="6F3209BE">
      <w:pPr>
        <w:pStyle w:val="105"/>
        <w:bidi w:val="0"/>
        <w:rPr>
          <w:rFonts w:hint="eastAsia"/>
        </w:rPr>
      </w:pPr>
      <w:bookmarkStart w:id="57" w:name="_Toc140"/>
      <w:r>
        <w:rPr>
          <w:rFonts w:hint="eastAsia"/>
        </w:rPr>
        <w:t>基础门槛</w:t>
      </w:r>
      <w:bookmarkEnd w:id="57"/>
    </w:p>
    <w:p w14:paraId="753B8940">
      <w:pPr>
        <w:pStyle w:val="56"/>
        <w:bidi w:val="0"/>
        <w:rPr>
          <w:rFonts w:hint="eastAsia"/>
        </w:rPr>
      </w:pPr>
      <w:r>
        <w:rPr>
          <w:rFonts w:hint="eastAsia"/>
        </w:rPr>
        <w:t>企业单位产品或单位产值能源消耗强度或绩效应达到国家、行业或地方能耗限额的先进值要求。涉及《工业重点领域能效标杆水平和基准水平》所涵盖产品的相关企业，其能效水平应达到标杆水平或国内先进水平。</w:t>
      </w:r>
    </w:p>
    <w:p w14:paraId="79D569C5">
      <w:pPr>
        <w:pStyle w:val="105"/>
        <w:bidi w:val="0"/>
        <w:rPr>
          <w:rFonts w:hint="eastAsia"/>
        </w:rPr>
      </w:pPr>
      <w:bookmarkStart w:id="58" w:name="_Toc2399"/>
      <w:r>
        <w:rPr>
          <w:rFonts w:hint="eastAsia"/>
        </w:rPr>
        <w:t>边界确定</w:t>
      </w:r>
      <w:bookmarkEnd w:id="58"/>
    </w:p>
    <w:p w14:paraId="2C2E43B1">
      <w:pPr>
        <w:pStyle w:val="56"/>
        <w:bidi w:val="0"/>
        <w:rPr>
          <w:rFonts w:hint="eastAsia"/>
        </w:rPr>
      </w:pPr>
      <w:r>
        <w:rPr>
          <w:rFonts w:hint="eastAsia"/>
        </w:rPr>
        <w:t>零碳工厂建设应明确核算边界，至少覆盖范围1（直接排放）和范围2（外购能源间接排放）。鼓励有条件的企业逐步将范围3排放纳入核算和管理范围。</w:t>
      </w:r>
    </w:p>
    <w:p w14:paraId="6C936663">
      <w:pPr>
        <w:pStyle w:val="104"/>
        <w:bidi w:val="0"/>
        <w:rPr>
          <w:rFonts w:hint="eastAsia"/>
        </w:rPr>
      </w:pPr>
      <w:bookmarkStart w:id="59" w:name="_Toc23683"/>
      <w:r>
        <w:rPr>
          <w:rFonts w:hint="eastAsia"/>
        </w:rPr>
        <w:t>建设实施</w:t>
      </w:r>
      <w:bookmarkEnd w:id="59"/>
    </w:p>
    <w:p w14:paraId="6C3A0760">
      <w:pPr>
        <w:pStyle w:val="105"/>
        <w:bidi w:val="0"/>
        <w:rPr>
          <w:rFonts w:hint="eastAsia"/>
        </w:rPr>
      </w:pPr>
      <w:bookmarkStart w:id="60" w:name="_Toc6641"/>
      <w:r>
        <w:rPr>
          <w:rFonts w:hint="eastAsia"/>
        </w:rPr>
        <w:t>科学算碳—碳排放核算与管理</w:t>
      </w:r>
      <w:bookmarkEnd w:id="60"/>
    </w:p>
    <w:p w14:paraId="1A53ED44">
      <w:pPr>
        <w:pStyle w:val="65"/>
        <w:bidi w:val="0"/>
        <w:rPr>
          <w:rFonts w:hint="eastAsia"/>
        </w:rPr>
      </w:pPr>
      <w:r>
        <w:rPr>
          <w:rFonts w:hint="eastAsia"/>
        </w:rPr>
        <w:t>核算体系建立</w:t>
      </w:r>
    </w:p>
    <w:p w14:paraId="5E46376D">
      <w:pPr>
        <w:pStyle w:val="56"/>
        <w:bidi w:val="0"/>
        <w:rPr>
          <w:rFonts w:hint="eastAsia"/>
        </w:rPr>
      </w:pPr>
      <w:r>
        <w:rPr>
          <w:rFonts w:hint="eastAsia"/>
        </w:rPr>
        <w:t>企业应建立规范的碳排放核算体系，明确核算边界、核算周期和核算方法。核算方法应符合GB/T 32150、ISO 14064-1或其他适用的标准规范。</w:t>
      </w:r>
    </w:p>
    <w:p w14:paraId="205069ED">
      <w:pPr>
        <w:pStyle w:val="65"/>
        <w:bidi w:val="0"/>
        <w:rPr>
          <w:rFonts w:hint="eastAsia"/>
        </w:rPr>
      </w:pPr>
      <w:r>
        <w:rPr>
          <w:rFonts w:hint="eastAsia"/>
        </w:rPr>
        <w:t>核算内容</w:t>
      </w:r>
    </w:p>
    <w:p w14:paraId="581422C9">
      <w:pPr>
        <w:pStyle w:val="56"/>
        <w:bidi w:val="0"/>
        <w:rPr>
          <w:rFonts w:hint="eastAsia"/>
        </w:rPr>
      </w:pPr>
      <w:r>
        <w:rPr>
          <w:rFonts w:hint="eastAsia"/>
        </w:rPr>
        <w:t>企业碳排放核算应包括：</w:t>
      </w:r>
    </w:p>
    <w:p w14:paraId="2B172B40">
      <w:pPr>
        <w:pStyle w:val="56"/>
        <w:bidi w:val="0"/>
        <w:rPr>
          <w:rFonts w:hint="eastAsia"/>
        </w:rPr>
      </w:pPr>
      <w:r>
        <w:rPr>
          <w:rFonts w:hint="eastAsia"/>
        </w:rPr>
        <w:t>a）范围1排放：燃料燃烧排放、工业生产过程排放、工厂自有车辆运输排放等；</w:t>
      </w:r>
    </w:p>
    <w:p w14:paraId="116E987E">
      <w:pPr>
        <w:pStyle w:val="56"/>
        <w:bidi w:val="0"/>
        <w:rPr>
          <w:rFonts w:hint="eastAsia"/>
        </w:rPr>
      </w:pPr>
      <w:r>
        <w:rPr>
          <w:rFonts w:hint="eastAsia"/>
        </w:rPr>
        <w:t>b）范围2排放：外购电力、蒸汽、热力、制冷等产生的间接排放；</w:t>
      </w:r>
    </w:p>
    <w:p w14:paraId="14873DFA">
      <w:pPr>
        <w:pStyle w:val="56"/>
        <w:bidi w:val="0"/>
        <w:rPr>
          <w:rFonts w:hint="eastAsia"/>
        </w:rPr>
      </w:pPr>
      <w:r>
        <w:rPr>
          <w:rFonts w:hint="eastAsia"/>
        </w:rPr>
        <w:t>c）范围3排放（鼓励）：原材料采购、物流运输、产品使用及废弃处理等价值链上下游排放。</w:t>
      </w:r>
    </w:p>
    <w:p w14:paraId="3D0559FD">
      <w:pPr>
        <w:pStyle w:val="65"/>
        <w:bidi w:val="0"/>
        <w:rPr>
          <w:rFonts w:hint="eastAsia"/>
        </w:rPr>
      </w:pPr>
      <w:r>
        <w:rPr>
          <w:rFonts w:hint="eastAsia"/>
        </w:rPr>
        <w:t>产品碳足迹</w:t>
      </w:r>
    </w:p>
    <w:p w14:paraId="6AFDD861">
      <w:pPr>
        <w:pStyle w:val="56"/>
        <w:bidi w:val="0"/>
        <w:rPr>
          <w:rFonts w:hint="eastAsia"/>
        </w:rPr>
      </w:pPr>
      <w:r>
        <w:rPr>
          <w:rFonts w:hint="eastAsia"/>
        </w:rPr>
        <w:t>企业应参照GB/T 24067、ISO 14067或其他适用的标准规范开展重点产品碳足迹核算。比如：在汽车、电子电器等主导行业，宜探索建立产业链碳足迹背景数据库，打造供应链碳足迹试点应用场景。</w:t>
      </w:r>
    </w:p>
    <w:p w14:paraId="4DD72F09">
      <w:pPr>
        <w:pStyle w:val="65"/>
        <w:bidi w:val="0"/>
        <w:rPr>
          <w:rFonts w:hint="eastAsia"/>
        </w:rPr>
      </w:pPr>
      <w:r>
        <w:rPr>
          <w:rFonts w:hint="eastAsia"/>
        </w:rPr>
        <w:t>核算频次</w:t>
      </w:r>
    </w:p>
    <w:p w14:paraId="4500524B">
      <w:pPr>
        <w:pStyle w:val="56"/>
        <w:bidi w:val="0"/>
        <w:rPr>
          <w:rFonts w:hint="eastAsia"/>
        </w:rPr>
      </w:pPr>
      <w:r>
        <w:rPr>
          <w:rFonts w:hint="eastAsia"/>
        </w:rPr>
        <w:t>企业应至少每年开展一次温室气体排放核算，并将核算结果作为制定减排目标和评估建设成效的依据。</w:t>
      </w:r>
    </w:p>
    <w:p w14:paraId="1AE301A5">
      <w:pPr>
        <w:pStyle w:val="105"/>
        <w:bidi w:val="0"/>
        <w:rPr>
          <w:rFonts w:hint="eastAsia"/>
        </w:rPr>
      </w:pPr>
      <w:bookmarkStart w:id="61" w:name="_Toc32262"/>
      <w:r>
        <w:rPr>
          <w:rFonts w:hint="eastAsia"/>
        </w:rPr>
        <w:t>源头减碳—用能结构绿色低碳转型</w:t>
      </w:r>
      <w:bookmarkEnd w:id="61"/>
    </w:p>
    <w:p w14:paraId="3F07762E">
      <w:pPr>
        <w:pStyle w:val="65"/>
        <w:bidi w:val="0"/>
        <w:rPr>
          <w:rFonts w:hint="eastAsia"/>
        </w:rPr>
      </w:pPr>
      <w:r>
        <w:rPr>
          <w:rFonts w:hint="eastAsia"/>
        </w:rPr>
        <w:t>可再生能源利用</w:t>
      </w:r>
    </w:p>
    <w:p w14:paraId="5705DD64">
      <w:pPr>
        <w:pStyle w:val="56"/>
        <w:bidi w:val="0"/>
        <w:rPr>
          <w:rFonts w:hint="eastAsia"/>
        </w:rPr>
      </w:pPr>
      <w:r>
        <w:rPr>
          <w:rFonts w:hint="eastAsia"/>
        </w:rPr>
        <w:t>企业应在保证安全、质量和供应的前提下，减少不可再生能源投入，优先使用可再生能源替代化石能源：</w:t>
      </w:r>
    </w:p>
    <w:p w14:paraId="22C541DC">
      <w:pPr>
        <w:pStyle w:val="56"/>
        <w:bidi w:val="0"/>
        <w:rPr>
          <w:rFonts w:hint="eastAsia"/>
        </w:rPr>
      </w:pPr>
      <w:r>
        <w:rPr>
          <w:rFonts w:hint="eastAsia"/>
        </w:rPr>
        <w:t>a）充分利用厂区建筑屋顶、外立面、车棚及闲置空地等资源建设分布式光伏发电系统；</w:t>
      </w:r>
    </w:p>
    <w:p w14:paraId="170E2CFB">
      <w:pPr>
        <w:pStyle w:val="56"/>
        <w:bidi w:val="0"/>
        <w:rPr>
          <w:rFonts w:hint="eastAsia"/>
        </w:rPr>
      </w:pPr>
      <w:r>
        <w:rPr>
          <w:rFonts w:hint="eastAsia"/>
        </w:rPr>
        <w:t>b）合理利用所在区域及周边已建或规划建设的新能源项目及区域电网资源，有效降低电力排放因子；</w:t>
      </w:r>
    </w:p>
    <w:p w14:paraId="3815D3D7">
      <w:pPr>
        <w:pStyle w:val="56"/>
        <w:bidi w:val="0"/>
        <w:rPr>
          <w:rFonts w:hint="eastAsia"/>
        </w:rPr>
      </w:pPr>
      <w:r>
        <w:rPr>
          <w:rFonts w:hint="eastAsia"/>
        </w:rPr>
        <w:t>c）结合新型储能、储热等技术路线，支持绿色微电网建设，推动分布式能源及光伏储能一体化系统建设；</w:t>
      </w:r>
    </w:p>
    <w:p w14:paraId="52F595DA">
      <w:pPr>
        <w:pStyle w:val="56"/>
        <w:bidi w:val="0"/>
        <w:rPr>
          <w:rFonts w:hint="eastAsia"/>
        </w:rPr>
      </w:pPr>
      <w:r>
        <w:rPr>
          <w:rFonts w:hint="eastAsia"/>
        </w:rPr>
        <w:t>d）因地制宜开发或利用风电、生物质能等本地清洁能源。</w:t>
      </w:r>
    </w:p>
    <w:p w14:paraId="62D35785">
      <w:pPr>
        <w:pStyle w:val="65"/>
        <w:bidi w:val="0"/>
        <w:rPr>
          <w:rFonts w:hint="eastAsia"/>
        </w:rPr>
      </w:pPr>
      <w:r>
        <w:rPr>
          <w:rFonts w:hint="eastAsia"/>
        </w:rPr>
        <w:t>电能替代</w:t>
      </w:r>
    </w:p>
    <w:p w14:paraId="49B18E51">
      <w:pPr>
        <w:pStyle w:val="56"/>
        <w:bidi w:val="0"/>
        <w:rPr>
          <w:rFonts w:hint="eastAsia"/>
        </w:rPr>
      </w:pPr>
      <w:r>
        <w:rPr>
          <w:rFonts w:hint="eastAsia"/>
        </w:rPr>
        <w:t>企业应在终端能源消费环节推进电能替代，以电代煤、以电代油，支持可再生电力在电加热窑炉、高温热泵、电热储能锅炉等领域应用。推动工业生产、交通运输、员工生活电气化。</w:t>
      </w:r>
    </w:p>
    <w:p w14:paraId="29977EBC">
      <w:pPr>
        <w:pStyle w:val="65"/>
        <w:bidi w:val="0"/>
        <w:rPr>
          <w:rFonts w:hint="eastAsia"/>
        </w:rPr>
      </w:pPr>
      <w:r>
        <w:rPr>
          <w:rFonts w:hint="eastAsia"/>
        </w:rPr>
        <w:t>绿电交易</w:t>
      </w:r>
    </w:p>
    <w:p w14:paraId="14051A33">
      <w:pPr>
        <w:pStyle w:val="56"/>
        <w:bidi w:val="0"/>
        <w:rPr>
          <w:rFonts w:hint="eastAsia"/>
        </w:rPr>
      </w:pPr>
      <w:r>
        <w:rPr>
          <w:rFonts w:hint="eastAsia"/>
        </w:rPr>
        <w:t>企业应积极参与绿色电力交易和绿色电力证书认购，扩大绿色电力消费占比。绿电交易和绿证认购应遵循国家能源局相关规定，确保减排效益真实、可追溯。</w:t>
      </w:r>
    </w:p>
    <w:p w14:paraId="256435ED">
      <w:pPr>
        <w:pStyle w:val="65"/>
        <w:bidi w:val="0"/>
        <w:rPr>
          <w:rFonts w:hint="eastAsia"/>
        </w:rPr>
      </w:pPr>
      <w:r>
        <w:rPr>
          <w:rFonts w:hint="eastAsia"/>
        </w:rPr>
        <w:t>能源梯级利用</w:t>
      </w:r>
    </w:p>
    <w:p w14:paraId="790F8A9F">
      <w:pPr>
        <w:pStyle w:val="56"/>
        <w:bidi w:val="0"/>
        <w:rPr>
          <w:rFonts w:hint="eastAsia"/>
        </w:rPr>
      </w:pPr>
      <w:r>
        <w:rPr>
          <w:rFonts w:hint="eastAsia"/>
        </w:rPr>
        <w:t>企业应充分利用余热、余压、余冷等资源，推进能源梯级利用，提高能源综合利用效率。</w:t>
      </w:r>
    </w:p>
    <w:p w14:paraId="1C333E4F">
      <w:pPr>
        <w:pStyle w:val="105"/>
        <w:bidi w:val="0"/>
        <w:rPr>
          <w:rFonts w:hint="eastAsia"/>
        </w:rPr>
      </w:pPr>
      <w:bookmarkStart w:id="62" w:name="_Toc31198"/>
      <w:r>
        <w:rPr>
          <w:rFonts w:hint="eastAsia"/>
        </w:rPr>
        <w:t>过程脱碳—能源利用效率提升</w:t>
      </w:r>
      <w:bookmarkEnd w:id="62"/>
    </w:p>
    <w:p w14:paraId="4CC12DD6">
      <w:pPr>
        <w:pStyle w:val="65"/>
        <w:bidi w:val="0"/>
        <w:rPr>
          <w:rFonts w:hint="eastAsia"/>
        </w:rPr>
      </w:pPr>
      <w:r>
        <w:rPr>
          <w:rFonts w:hint="eastAsia"/>
        </w:rPr>
        <w:t>能效诊断与改造</w:t>
      </w:r>
    </w:p>
    <w:p w14:paraId="5275381D">
      <w:pPr>
        <w:pStyle w:val="56"/>
        <w:bidi w:val="0"/>
        <w:rPr>
          <w:rFonts w:hint="eastAsia"/>
        </w:rPr>
      </w:pPr>
      <w:r>
        <w:rPr>
          <w:rFonts w:hint="eastAsia"/>
        </w:rPr>
        <w:t>已建企业应开展节能诊断和技术改造，制定改造工作方案，明确推进步骤、改造期限、技术路线、工作节点、预期目标等。高能耗企业能效水平宜达到行业标杆水平或国内先进水平。</w:t>
      </w:r>
    </w:p>
    <w:p w14:paraId="2184B8D5">
      <w:pPr>
        <w:pStyle w:val="65"/>
        <w:bidi w:val="0"/>
        <w:rPr>
          <w:rFonts w:hint="eastAsia"/>
        </w:rPr>
      </w:pPr>
      <w:r>
        <w:rPr>
          <w:rFonts w:hint="eastAsia"/>
        </w:rPr>
        <w:t>能效标准</w:t>
      </w:r>
    </w:p>
    <w:p w14:paraId="32DF32D5">
      <w:pPr>
        <w:pStyle w:val="56"/>
        <w:bidi w:val="0"/>
        <w:rPr>
          <w:rFonts w:hint="eastAsia"/>
        </w:rPr>
      </w:pPr>
      <w:r>
        <w:rPr>
          <w:rFonts w:hint="eastAsia"/>
        </w:rPr>
        <w:t>新建企业或项目应充分应用绿色低碳技术，提高能效水平。新建高能耗企业、高排放企业或项目能效宜达到国际先进水平，用能设备宜达到或优于一级能效标准。企业终端用能设备宜满足相关能效标准二级及以上指标要求或拥有中国节能产品认证标识。</w:t>
      </w:r>
    </w:p>
    <w:p w14:paraId="3C482514">
      <w:pPr>
        <w:pStyle w:val="65"/>
        <w:bidi w:val="0"/>
        <w:rPr>
          <w:rFonts w:hint="eastAsia"/>
        </w:rPr>
      </w:pPr>
      <w:r>
        <w:rPr>
          <w:rFonts w:hint="eastAsia"/>
        </w:rPr>
        <w:t>重点用能设备</w:t>
      </w:r>
    </w:p>
    <w:p w14:paraId="0334E834">
      <w:pPr>
        <w:pStyle w:val="56"/>
        <w:bidi w:val="0"/>
        <w:rPr>
          <w:rFonts w:hint="eastAsia"/>
        </w:rPr>
      </w:pPr>
      <w:r>
        <w:rPr>
          <w:rFonts w:hint="eastAsia"/>
        </w:rPr>
        <w:t>企业应对工业窑炉、锅炉、压缩机、风机、泵等重点用能设备系统开展节能改造升级，参考国家和地方发布的节能降碳技术装备推荐目录，应用先进成熟的绿色低碳技术装备。</w:t>
      </w:r>
    </w:p>
    <w:p w14:paraId="151771CB">
      <w:pPr>
        <w:pStyle w:val="65"/>
        <w:bidi w:val="0"/>
        <w:rPr>
          <w:rFonts w:hint="eastAsia"/>
        </w:rPr>
      </w:pPr>
      <w:r>
        <w:rPr>
          <w:rFonts w:hint="eastAsia"/>
        </w:rPr>
        <w:t>能源管理体系</w:t>
      </w:r>
    </w:p>
    <w:p w14:paraId="2A4BD1EB">
      <w:pPr>
        <w:pStyle w:val="56"/>
        <w:bidi w:val="0"/>
        <w:rPr>
          <w:rFonts w:hint="eastAsia"/>
        </w:rPr>
      </w:pPr>
      <w:r>
        <w:rPr>
          <w:rFonts w:hint="eastAsia"/>
        </w:rPr>
        <w:t>企业应按照GB/T 23331建立能源管理体系，通过例行节能检测、能源审计、能效对标、能耗计量与测算、能量平衡统计等措施，持续提高能源管理体系有效性。</w:t>
      </w:r>
    </w:p>
    <w:p w14:paraId="2D870F96">
      <w:pPr>
        <w:pStyle w:val="105"/>
        <w:bidi w:val="0"/>
        <w:rPr>
          <w:rFonts w:hint="eastAsia"/>
        </w:rPr>
      </w:pPr>
      <w:bookmarkStart w:id="63" w:name="_Toc22143"/>
      <w:r>
        <w:rPr>
          <w:rFonts w:hint="eastAsia"/>
        </w:rPr>
        <w:t>协同降碳—产业链上下游联动</w:t>
      </w:r>
      <w:bookmarkEnd w:id="63"/>
    </w:p>
    <w:p w14:paraId="39D2CB5E">
      <w:pPr>
        <w:pStyle w:val="65"/>
        <w:bidi w:val="0"/>
        <w:rPr>
          <w:rFonts w:hint="eastAsia"/>
        </w:rPr>
      </w:pPr>
      <w:r>
        <w:rPr>
          <w:rFonts w:hint="eastAsia"/>
        </w:rPr>
        <w:t>绿色供应链管理</w:t>
      </w:r>
    </w:p>
    <w:p w14:paraId="113CFF39">
      <w:pPr>
        <w:pStyle w:val="56"/>
        <w:bidi w:val="0"/>
        <w:rPr>
          <w:rFonts w:hint="eastAsia"/>
        </w:rPr>
      </w:pPr>
      <w:r>
        <w:rPr>
          <w:rFonts w:hint="eastAsia"/>
        </w:rPr>
        <w:t>企业应推行低碳供应链管理，通过绿色采购、绿色培训、绿色考核等方式，严格把控上游供应商的绿色合规水平，带动供应链企业开展绿色制造和减排行动。</w:t>
      </w:r>
    </w:p>
    <w:p w14:paraId="13581291">
      <w:pPr>
        <w:pStyle w:val="65"/>
        <w:bidi w:val="0"/>
        <w:rPr>
          <w:rFonts w:hint="eastAsia"/>
        </w:rPr>
      </w:pPr>
      <w:r>
        <w:rPr>
          <w:rFonts w:hint="eastAsia"/>
        </w:rPr>
        <w:t>产品生态设计</w:t>
      </w:r>
    </w:p>
    <w:p w14:paraId="5AFF93BA">
      <w:pPr>
        <w:pStyle w:val="56"/>
        <w:bidi w:val="0"/>
        <w:rPr>
          <w:rFonts w:hint="eastAsia"/>
        </w:rPr>
      </w:pPr>
      <w:r>
        <w:rPr>
          <w:rFonts w:hint="eastAsia"/>
        </w:rPr>
        <w:t>企业应按照全生命周期管理要求开展绿色低碳产品设计，优先选用低碳原材料、可回收材料替代原生材料和不可回收材料，开展产品碳足迹核算，鼓励开展产品碳足迹标识认证、绿色产品认证等。</w:t>
      </w:r>
    </w:p>
    <w:p w14:paraId="0C1E2D66">
      <w:pPr>
        <w:pStyle w:val="65"/>
        <w:bidi w:val="0"/>
        <w:rPr>
          <w:rFonts w:hint="eastAsia"/>
        </w:rPr>
      </w:pPr>
      <w:r>
        <w:rPr>
          <w:rFonts w:hint="eastAsia"/>
        </w:rPr>
        <w:t>废弃物循环利用</w:t>
      </w:r>
    </w:p>
    <w:p w14:paraId="68870F02">
      <w:pPr>
        <w:pStyle w:val="56"/>
        <w:bidi w:val="0"/>
        <w:rPr>
          <w:rFonts w:hint="eastAsia"/>
        </w:rPr>
      </w:pPr>
      <w:r>
        <w:rPr>
          <w:rFonts w:hint="eastAsia"/>
        </w:rPr>
        <w:t>企业应开展原材料和废弃物源头减量，加强资源深度加工、伴生产品加工利用、副产物综合利用。宜按照GB/T 29115要求对其原材料使用量的减少进行评价。</w:t>
      </w:r>
    </w:p>
    <w:p w14:paraId="25BDD905">
      <w:pPr>
        <w:pStyle w:val="65"/>
        <w:bidi w:val="0"/>
        <w:rPr>
          <w:rFonts w:hint="eastAsia"/>
        </w:rPr>
      </w:pPr>
      <w:r>
        <w:rPr>
          <w:rFonts w:hint="eastAsia"/>
        </w:rPr>
        <w:t>节水与水循环利用</w:t>
      </w:r>
    </w:p>
    <w:p w14:paraId="17178399">
      <w:pPr>
        <w:pStyle w:val="56"/>
        <w:bidi w:val="0"/>
        <w:rPr>
          <w:rFonts w:hint="eastAsia"/>
        </w:rPr>
      </w:pPr>
      <w:r>
        <w:rPr>
          <w:rFonts w:hint="eastAsia"/>
        </w:rPr>
        <w:t>企业宜按照GB/T 7119的要求开展节水评价，满足GB/T 18916中对应本行业的取水定额要求，视情况推进中水回用和废水资源化利用。</w:t>
      </w:r>
    </w:p>
    <w:p w14:paraId="3E3DB17B">
      <w:pPr>
        <w:pStyle w:val="105"/>
        <w:bidi w:val="0"/>
        <w:rPr>
          <w:rFonts w:hint="eastAsia"/>
        </w:rPr>
      </w:pPr>
      <w:bookmarkStart w:id="64" w:name="_Toc14030"/>
      <w:r>
        <w:rPr>
          <w:rFonts w:hint="eastAsia"/>
        </w:rPr>
        <w:t>智能控碳—数字化管控平台建设</w:t>
      </w:r>
      <w:bookmarkEnd w:id="64"/>
    </w:p>
    <w:p w14:paraId="6405EBAF">
      <w:pPr>
        <w:pStyle w:val="65"/>
        <w:bidi w:val="0"/>
        <w:rPr>
          <w:rFonts w:hint="eastAsia"/>
        </w:rPr>
      </w:pPr>
      <w:r>
        <w:rPr>
          <w:rFonts w:hint="eastAsia"/>
        </w:rPr>
        <w:t>能碳管理平台建设</w:t>
      </w:r>
    </w:p>
    <w:p w14:paraId="314DD0E1">
      <w:pPr>
        <w:pStyle w:val="56"/>
        <w:bidi w:val="0"/>
        <w:rPr>
          <w:rFonts w:hint="eastAsia"/>
        </w:rPr>
      </w:pPr>
      <w:r>
        <w:rPr>
          <w:rFonts w:hint="eastAsia"/>
        </w:rPr>
        <w:t>企业宜参照国家工业和信息化部《工业企业和园区数字化能碳管理中心建设指南》，建设数字化能碳管理平台或系统，采用人工智能、工业互联网、物联网、智能传感等信息通信技术，开发能耗和碳排放数据采集、监测、核算、分析、预测、预警、决策支持等功能。</w:t>
      </w:r>
    </w:p>
    <w:p w14:paraId="229FC950">
      <w:pPr>
        <w:pStyle w:val="65"/>
        <w:bidi w:val="0"/>
        <w:rPr>
          <w:rFonts w:hint="eastAsia"/>
        </w:rPr>
      </w:pPr>
      <w:r>
        <w:rPr>
          <w:rFonts w:hint="eastAsia"/>
        </w:rPr>
        <w:t>平台功能要求</w:t>
      </w:r>
    </w:p>
    <w:p w14:paraId="3A0B9E3F">
      <w:pPr>
        <w:pStyle w:val="56"/>
        <w:bidi w:val="0"/>
        <w:rPr>
          <w:rFonts w:hint="eastAsia"/>
        </w:rPr>
      </w:pPr>
      <w:r>
        <w:rPr>
          <w:rFonts w:hint="eastAsia"/>
        </w:rPr>
        <w:t>数字化能碳管理平台宜具备以下功能：</w:t>
      </w:r>
    </w:p>
    <w:p w14:paraId="4E5F3490">
      <w:pPr>
        <w:pStyle w:val="56"/>
        <w:bidi w:val="0"/>
        <w:rPr>
          <w:rFonts w:hint="eastAsia"/>
        </w:rPr>
      </w:pPr>
      <w:r>
        <w:rPr>
          <w:rFonts w:hint="eastAsia"/>
        </w:rPr>
        <w:t>a）能耗查询、能源消费量和强度计算；</w:t>
      </w:r>
    </w:p>
    <w:p w14:paraId="51213007">
      <w:pPr>
        <w:pStyle w:val="56"/>
        <w:bidi w:val="0"/>
        <w:rPr>
          <w:rFonts w:hint="eastAsia"/>
        </w:rPr>
      </w:pPr>
      <w:r>
        <w:rPr>
          <w:rFonts w:hint="eastAsia"/>
        </w:rPr>
        <w:t>b）能源消费分析与用能策略推荐、能效对标、能流分析；</w:t>
      </w:r>
    </w:p>
    <w:p w14:paraId="7C06E6E7">
      <w:pPr>
        <w:pStyle w:val="56"/>
        <w:bidi w:val="0"/>
        <w:rPr>
          <w:rFonts w:hint="eastAsia"/>
        </w:rPr>
      </w:pPr>
      <w:r>
        <w:rPr>
          <w:rFonts w:hint="eastAsia"/>
        </w:rPr>
        <w:t>c）能效平衡与优化、用能与碳排放预算管理；</w:t>
      </w:r>
    </w:p>
    <w:p w14:paraId="2EB6B07D">
      <w:pPr>
        <w:pStyle w:val="56"/>
        <w:bidi w:val="0"/>
        <w:rPr>
          <w:rFonts w:hint="eastAsia"/>
        </w:rPr>
      </w:pPr>
      <w:r>
        <w:rPr>
          <w:rFonts w:hint="eastAsia"/>
        </w:rPr>
        <w:t>d）碳排放和碳足迹核算、供应链碳管理；</w:t>
      </w:r>
    </w:p>
    <w:p w14:paraId="5517C006">
      <w:pPr>
        <w:pStyle w:val="56"/>
        <w:bidi w:val="0"/>
        <w:rPr>
          <w:rFonts w:hint="eastAsia"/>
        </w:rPr>
      </w:pPr>
      <w:r>
        <w:rPr>
          <w:rFonts w:hint="eastAsia"/>
        </w:rPr>
        <w:t>e）碳核查支撑、碳资产管理等功能。</w:t>
      </w:r>
    </w:p>
    <w:p w14:paraId="1DC8D1D3">
      <w:pPr>
        <w:pStyle w:val="65"/>
        <w:bidi w:val="0"/>
        <w:rPr>
          <w:rFonts w:hint="eastAsia"/>
        </w:rPr>
      </w:pPr>
      <w:r>
        <w:rPr>
          <w:rFonts w:hint="eastAsia"/>
        </w:rPr>
        <w:t>数据采集与计量</w:t>
      </w:r>
    </w:p>
    <w:p w14:paraId="07664CB0">
      <w:pPr>
        <w:pStyle w:val="56"/>
        <w:bidi w:val="0"/>
        <w:rPr>
          <w:rFonts w:hint="eastAsia"/>
        </w:rPr>
      </w:pPr>
      <w:r>
        <w:rPr>
          <w:rFonts w:hint="eastAsia"/>
        </w:rPr>
        <w:t>企业应依据GB 17167、GB 24789等要求配备、使用和管理能源、水及其他资源的计量器具和装置，确保数据采集的准确性和完整性。</w:t>
      </w:r>
    </w:p>
    <w:p w14:paraId="7E915AC0">
      <w:pPr>
        <w:pStyle w:val="105"/>
        <w:bidi w:val="0"/>
        <w:rPr>
          <w:rFonts w:hint="eastAsia"/>
        </w:rPr>
      </w:pPr>
      <w:bookmarkStart w:id="65" w:name="_Toc16186"/>
      <w:r>
        <w:rPr>
          <w:rFonts w:hint="eastAsia"/>
        </w:rPr>
        <w:t>基础设施低碳化</w:t>
      </w:r>
      <w:bookmarkEnd w:id="65"/>
    </w:p>
    <w:p w14:paraId="201C246F">
      <w:pPr>
        <w:pStyle w:val="65"/>
        <w:bidi w:val="0"/>
        <w:rPr>
          <w:rFonts w:hint="eastAsia"/>
        </w:rPr>
      </w:pPr>
      <w:r>
        <w:rPr>
          <w:rFonts w:hint="eastAsia"/>
        </w:rPr>
        <w:t>建筑</w:t>
      </w:r>
    </w:p>
    <w:p w14:paraId="3BA5C3A3">
      <w:pPr>
        <w:pStyle w:val="56"/>
        <w:bidi w:val="0"/>
        <w:rPr>
          <w:rFonts w:hint="eastAsia"/>
        </w:rPr>
      </w:pPr>
      <w:r>
        <w:rPr>
          <w:rFonts w:hint="eastAsia"/>
        </w:rPr>
        <w:t>企业既有建筑改造时，宜采用装配式建筑建造、建筑信息模型（BIM）建模、智慧建筑等技术开展节能改造，应用空气源热泵热水、分布式太阳能光伏等可再生能源系统，采用光伏瓦、光伏幕墙等建材型光伏技术。企业新建建筑宜按照GB/T 51350开展近零能耗建筑建设，选用可循环材料、可再利用材料、绿色建材等。</w:t>
      </w:r>
    </w:p>
    <w:p w14:paraId="4BE92FEF">
      <w:pPr>
        <w:pStyle w:val="65"/>
        <w:bidi w:val="0"/>
        <w:rPr>
          <w:rFonts w:hint="eastAsia"/>
        </w:rPr>
      </w:pPr>
      <w:r>
        <w:rPr>
          <w:rFonts w:hint="eastAsia"/>
        </w:rPr>
        <w:t>照明</w:t>
      </w:r>
    </w:p>
    <w:p w14:paraId="0B4861D9">
      <w:pPr>
        <w:pStyle w:val="56"/>
        <w:bidi w:val="0"/>
        <w:rPr>
          <w:rFonts w:hint="eastAsia"/>
        </w:rPr>
      </w:pPr>
      <w:r>
        <w:rPr>
          <w:rFonts w:hint="eastAsia"/>
        </w:rPr>
        <w:t>企业厂区及各房间或场所的照明宜尽量利用自然采光，人工照明宜符合GB 50034规定。不同场所的照明宜进行分级设计，照明功率密度值（LPD）符合GB 50034照明功率密度限值目标值要求。公共场所的照明宜采取分区、分组与定时自动调光等措施。</w:t>
      </w:r>
    </w:p>
    <w:p w14:paraId="18BA1DC8">
      <w:pPr>
        <w:pStyle w:val="65"/>
        <w:bidi w:val="0"/>
        <w:rPr>
          <w:rFonts w:hint="eastAsia"/>
        </w:rPr>
      </w:pPr>
      <w:r>
        <w:rPr>
          <w:rFonts w:hint="eastAsia"/>
        </w:rPr>
        <w:t>数据中心</w:t>
      </w:r>
    </w:p>
    <w:p w14:paraId="72E5FE77">
      <w:pPr>
        <w:pStyle w:val="56"/>
        <w:bidi w:val="0"/>
        <w:rPr>
          <w:rFonts w:hint="eastAsia"/>
        </w:rPr>
      </w:pPr>
      <w:r>
        <w:rPr>
          <w:rFonts w:hint="eastAsia"/>
        </w:rPr>
        <w:t>企业若有数据中心，宜通过水冷、液冷、扩大余热回收等措施实施节能降碳。新建数据中心的电能利用效率（PUE）宜优于国家及地方对于新建数据中心节能审查要求。</w:t>
      </w:r>
    </w:p>
    <w:p w14:paraId="1A1297A4">
      <w:pPr>
        <w:pStyle w:val="65"/>
        <w:bidi w:val="0"/>
        <w:rPr>
          <w:rFonts w:hint="eastAsia"/>
        </w:rPr>
      </w:pPr>
      <w:r>
        <w:rPr>
          <w:rFonts w:hint="eastAsia"/>
        </w:rPr>
        <w:t>交通运输</w:t>
      </w:r>
    </w:p>
    <w:p w14:paraId="5EF2295C">
      <w:pPr>
        <w:pStyle w:val="56"/>
        <w:bidi w:val="0"/>
        <w:rPr>
          <w:rFonts w:hint="eastAsia"/>
        </w:rPr>
      </w:pPr>
      <w:r>
        <w:rPr>
          <w:rFonts w:hint="eastAsia"/>
        </w:rPr>
        <w:t>企业宜积极应用电力、氢能等清洁交通工具，新增和更换作业机械、物流作业车辆时优先使用清洁能源。比如：在成渝氢走廊沿线企业，可结合区域资源条件探索氢燃料电池车辆应用。</w:t>
      </w:r>
    </w:p>
    <w:p w14:paraId="30CE1362">
      <w:pPr>
        <w:pStyle w:val="65"/>
        <w:bidi w:val="0"/>
        <w:rPr>
          <w:rFonts w:hint="eastAsia"/>
        </w:rPr>
      </w:pPr>
      <w:r>
        <w:rPr>
          <w:rFonts w:hint="eastAsia"/>
        </w:rPr>
        <w:t>污染物治理设施</w:t>
      </w:r>
    </w:p>
    <w:p w14:paraId="484B7983">
      <w:pPr>
        <w:pStyle w:val="56"/>
        <w:bidi w:val="0"/>
        <w:rPr>
          <w:rFonts w:hint="eastAsia"/>
        </w:rPr>
      </w:pPr>
      <w:r>
        <w:rPr>
          <w:rFonts w:hint="eastAsia"/>
        </w:rPr>
        <w:t>必要时，企业应投入合适的污染物处理设备，确保污染物排放达到相关法律法规及标准要求。污染物处理设备的处理能力宜与企业生产排放相适应，设备宜满足通用设备节能方面的要求。</w:t>
      </w:r>
    </w:p>
    <w:p w14:paraId="74C8EC8A">
      <w:pPr>
        <w:pStyle w:val="105"/>
        <w:bidi w:val="0"/>
        <w:rPr>
          <w:rFonts w:hint="eastAsia"/>
        </w:rPr>
      </w:pPr>
      <w:bookmarkStart w:id="66" w:name="_Toc17946"/>
      <w:r>
        <w:rPr>
          <w:rFonts w:hint="eastAsia"/>
        </w:rPr>
        <w:t>碳抵消—残余排放中和</w:t>
      </w:r>
      <w:bookmarkEnd w:id="66"/>
    </w:p>
    <w:p w14:paraId="5C14C14F">
      <w:pPr>
        <w:pStyle w:val="65"/>
        <w:bidi w:val="0"/>
        <w:rPr>
          <w:rFonts w:hint="eastAsia"/>
        </w:rPr>
      </w:pPr>
      <w:r>
        <w:rPr>
          <w:rFonts w:hint="eastAsia"/>
        </w:rPr>
        <w:t>抵消原则</w:t>
      </w:r>
    </w:p>
    <w:p w14:paraId="0AC1EFEF">
      <w:pPr>
        <w:pStyle w:val="56"/>
        <w:bidi w:val="0"/>
        <w:rPr>
          <w:rFonts w:hint="eastAsia"/>
        </w:rPr>
      </w:pPr>
      <w:r>
        <w:rPr>
          <w:rFonts w:hint="eastAsia"/>
        </w:rPr>
        <w:t>企业应在完成自主减排措施后，对经优化后仍无法消除的残余碳排放开展碳抵消。碳抵消不应替代自主减排措施的推进，企业应持续提升减排能力，逐年降低对碳抵消的依赖。</w:t>
      </w:r>
    </w:p>
    <w:p w14:paraId="20F3E63B">
      <w:pPr>
        <w:pStyle w:val="65"/>
        <w:bidi w:val="0"/>
        <w:rPr>
          <w:rFonts w:hint="eastAsia"/>
        </w:rPr>
      </w:pPr>
      <w:r>
        <w:rPr>
          <w:rFonts w:hint="eastAsia"/>
        </w:rPr>
        <w:t>允许的抵消类型</w:t>
      </w:r>
    </w:p>
    <w:p w14:paraId="4B72A056">
      <w:pPr>
        <w:pStyle w:val="56"/>
        <w:bidi w:val="0"/>
        <w:rPr>
          <w:rFonts w:hint="eastAsia"/>
        </w:rPr>
      </w:pPr>
      <w:r>
        <w:rPr>
          <w:rFonts w:hint="eastAsia"/>
        </w:rPr>
        <w:t>企业可通过以下方式进行碳抵消：</w:t>
      </w:r>
    </w:p>
    <w:p w14:paraId="78517939">
      <w:pPr>
        <w:pStyle w:val="56"/>
        <w:bidi w:val="0"/>
        <w:rPr>
          <w:rFonts w:hint="eastAsia"/>
        </w:rPr>
      </w:pPr>
      <w:r>
        <w:rPr>
          <w:rFonts w:hint="eastAsia"/>
        </w:rPr>
        <w:t>a）购买国家核证自愿减排量（CCER）；</w:t>
      </w:r>
    </w:p>
    <w:p w14:paraId="1059B087">
      <w:pPr>
        <w:pStyle w:val="56"/>
        <w:bidi w:val="0"/>
        <w:rPr>
          <w:rFonts w:hint="eastAsia"/>
        </w:rPr>
      </w:pPr>
      <w:r>
        <w:rPr>
          <w:rFonts w:hint="eastAsia"/>
        </w:rPr>
        <w:t>b）购买绿色电力证书（仅限经国家能源局认可的可再生能源绿证）；</w:t>
      </w:r>
    </w:p>
    <w:p w14:paraId="660AB132">
      <w:pPr>
        <w:pStyle w:val="56"/>
        <w:bidi w:val="0"/>
        <w:rPr>
          <w:rFonts w:hint="eastAsia"/>
        </w:rPr>
      </w:pPr>
      <w:r>
        <w:rPr>
          <w:rFonts w:hint="eastAsia"/>
        </w:rPr>
        <w:t>c）参与地方碳普惠机制产生的减排量；</w:t>
      </w:r>
    </w:p>
    <w:p w14:paraId="5D0886FC">
      <w:pPr>
        <w:pStyle w:val="56"/>
        <w:bidi w:val="0"/>
        <w:rPr>
          <w:rFonts w:hint="eastAsia"/>
        </w:rPr>
      </w:pPr>
      <w:r>
        <w:rPr>
          <w:rFonts w:hint="eastAsia"/>
        </w:rPr>
        <w:t>d）其他经国家或重庆市认可的碳减排信用。</w:t>
      </w:r>
    </w:p>
    <w:p w14:paraId="1F224065">
      <w:pPr>
        <w:pStyle w:val="65"/>
        <w:bidi w:val="0"/>
        <w:rPr>
          <w:rFonts w:hint="eastAsia"/>
        </w:rPr>
      </w:pPr>
      <w:r>
        <w:rPr>
          <w:rFonts w:hint="eastAsia"/>
        </w:rPr>
        <w:t>抵消要求</w:t>
      </w:r>
    </w:p>
    <w:p w14:paraId="0D26A5D0">
      <w:pPr>
        <w:pStyle w:val="56"/>
        <w:bidi w:val="0"/>
        <w:rPr>
          <w:rFonts w:hint="eastAsia"/>
        </w:rPr>
      </w:pPr>
      <w:r>
        <w:rPr>
          <w:rFonts w:hint="eastAsia"/>
        </w:rPr>
        <w:t>企业碳抵消量应与核算边界内的残余碳排放量相匹配。企业应建立碳抵消台账，记录抵消量来源、类型、核销状态等信息，确保抵消真实、有效、可追溯，避免重复计算。</w:t>
      </w:r>
    </w:p>
    <w:p w14:paraId="0C0F8447">
      <w:pPr>
        <w:pStyle w:val="65"/>
        <w:bidi w:val="0"/>
        <w:rPr>
          <w:rFonts w:hint="eastAsia"/>
        </w:rPr>
      </w:pPr>
      <w:r>
        <w:rPr>
          <w:rFonts w:hint="eastAsia"/>
        </w:rPr>
        <w:t>信息披露</w:t>
      </w:r>
    </w:p>
    <w:p w14:paraId="649954CF">
      <w:pPr>
        <w:pStyle w:val="56"/>
        <w:bidi w:val="0"/>
        <w:rPr>
          <w:rFonts w:hint="eastAsia"/>
        </w:rPr>
      </w:pPr>
      <w:r>
        <w:rPr>
          <w:rFonts w:hint="eastAsia"/>
        </w:rPr>
        <w:t>完成碳抵消的企业应向社会或相关方公开披露碳排放核算结果、减排措施实施情况、碳抵消来源及数量等信息，接受社会监督。</w:t>
      </w:r>
    </w:p>
    <w:p w14:paraId="1A8B872E">
      <w:pPr>
        <w:pStyle w:val="104"/>
        <w:bidi w:val="0"/>
        <w:rPr>
          <w:rFonts w:hint="eastAsia"/>
        </w:rPr>
      </w:pPr>
      <w:bookmarkStart w:id="67" w:name="_Toc15487"/>
      <w:r>
        <w:rPr>
          <w:rFonts w:hint="eastAsia"/>
        </w:rPr>
        <w:t>管理运行</w:t>
      </w:r>
      <w:bookmarkEnd w:id="67"/>
    </w:p>
    <w:p w14:paraId="63313625">
      <w:pPr>
        <w:pStyle w:val="105"/>
        <w:bidi w:val="0"/>
        <w:rPr>
          <w:rFonts w:hint="eastAsia"/>
        </w:rPr>
      </w:pPr>
      <w:bookmarkStart w:id="68" w:name="_Toc13814"/>
      <w:r>
        <w:rPr>
          <w:rFonts w:hint="eastAsia"/>
        </w:rPr>
        <w:t>组织与制度建设</w:t>
      </w:r>
      <w:bookmarkEnd w:id="68"/>
    </w:p>
    <w:p w14:paraId="5F29DBFF">
      <w:pPr>
        <w:pStyle w:val="65"/>
        <w:bidi w:val="0"/>
        <w:rPr>
          <w:rFonts w:hint="eastAsia"/>
        </w:rPr>
      </w:pPr>
      <w:r>
        <w:rPr>
          <w:rFonts w:hint="eastAsia"/>
        </w:rPr>
        <w:t>管理机构设置</w:t>
      </w:r>
    </w:p>
    <w:p w14:paraId="1FB540C0">
      <w:pPr>
        <w:pStyle w:val="56"/>
        <w:bidi w:val="0"/>
        <w:rPr>
          <w:rFonts w:hint="eastAsia"/>
        </w:rPr>
      </w:pPr>
      <w:r>
        <w:rPr>
          <w:rFonts w:hint="eastAsia"/>
        </w:rPr>
        <w:t>企业宜建立以碳排放控制为导向的管理机制，在机构设置、人员配备、设施建设、物资保障、技术配套等方面强化支撑，明确碳排放管理工作的责任部门和岗位职责。</w:t>
      </w:r>
    </w:p>
    <w:p w14:paraId="0942CCEB">
      <w:pPr>
        <w:pStyle w:val="65"/>
        <w:bidi w:val="0"/>
        <w:rPr>
          <w:rFonts w:hint="eastAsia"/>
        </w:rPr>
      </w:pPr>
      <w:r>
        <w:rPr>
          <w:rFonts w:hint="eastAsia"/>
        </w:rPr>
        <w:t>规划与目标</w:t>
      </w:r>
    </w:p>
    <w:p w14:paraId="39392D23">
      <w:pPr>
        <w:pStyle w:val="56"/>
        <w:bidi w:val="0"/>
        <w:rPr>
          <w:rFonts w:hint="eastAsia"/>
        </w:rPr>
      </w:pPr>
      <w:r>
        <w:rPr>
          <w:rFonts w:hint="eastAsia"/>
        </w:rPr>
        <w:t>企业宜制定零碳工厂建设中长期规划（不少于3年）及年度目标、指标和实施方案。可行时，指标应明确且可量化。规划应根据建设进展和外部政策变化适时修订更新。</w:t>
      </w:r>
    </w:p>
    <w:p w14:paraId="6B4026E8">
      <w:pPr>
        <w:pStyle w:val="65"/>
        <w:bidi w:val="0"/>
        <w:rPr>
          <w:rFonts w:hint="eastAsia"/>
        </w:rPr>
      </w:pPr>
      <w:r>
        <w:rPr>
          <w:rFonts w:hint="eastAsia"/>
        </w:rPr>
        <w:t>管理制度</w:t>
      </w:r>
    </w:p>
    <w:p w14:paraId="2F65D5DA">
      <w:pPr>
        <w:pStyle w:val="56"/>
        <w:bidi w:val="0"/>
        <w:rPr>
          <w:rFonts w:hint="eastAsia"/>
        </w:rPr>
      </w:pPr>
      <w:r>
        <w:rPr>
          <w:rFonts w:hint="eastAsia"/>
        </w:rPr>
        <w:t>企业宜建立与企业低碳建设及运行相关的制度文件，包括职责权限文件、教育和培训制度、目标考核制度、温室气体排放统计监测制度，以及各类保障温室气体减排实施的制度。</w:t>
      </w:r>
    </w:p>
    <w:p w14:paraId="499940E9">
      <w:pPr>
        <w:pStyle w:val="65"/>
        <w:bidi w:val="0"/>
        <w:rPr>
          <w:rFonts w:hint="eastAsia"/>
        </w:rPr>
      </w:pPr>
      <w:r>
        <w:rPr>
          <w:rFonts w:hint="eastAsia"/>
        </w:rPr>
        <w:t>管理体系融合</w:t>
      </w:r>
    </w:p>
    <w:p w14:paraId="62ED0383">
      <w:pPr>
        <w:pStyle w:val="56"/>
        <w:bidi w:val="0"/>
        <w:rPr>
          <w:rFonts w:hint="eastAsia"/>
        </w:rPr>
      </w:pPr>
      <w:r>
        <w:rPr>
          <w:rFonts w:hint="eastAsia"/>
        </w:rPr>
        <w:t>企业宜建立、实施并保持质量管理体系、环境管理体系和职业健康安全管理体系，且应分别满足GB/T 19001、GB/T 24001和GB/T 45001的要求。</w:t>
      </w:r>
    </w:p>
    <w:p w14:paraId="5C0CE562">
      <w:pPr>
        <w:pStyle w:val="105"/>
        <w:bidi w:val="0"/>
        <w:rPr>
          <w:rFonts w:hint="eastAsia"/>
        </w:rPr>
      </w:pPr>
      <w:bookmarkStart w:id="69" w:name="_Toc31377"/>
      <w:r>
        <w:rPr>
          <w:rFonts w:hint="eastAsia"/>
        </w:rPr>
        <w:t>能力建设</w:t>
      </w:r>
      <w:bookmarkEnd w:id="69"/>
    </w:p>
    <w:p w14:paraId="3384B7A8">
      <w:pPr>
        <w:pStyle w:val="65"/>
        <w:bidi w:val="0"/>
        <w:rPr>
          <w:rFonts w:hint="eastAsia"/>
        </w:rPr>
      </w:pPr>
      <w:r>
        <w:rPr>
          <w:rFonts w:hint="eastAsia"/>
        </w:rPr>
        <w:t>培训与宣贯</w:t>
      </w:r>
    </w:p>
    <w:p w14:paraId="58D90A95">
      <w:pPr>
        <w:pStyle w:val="56"/>
        <w:bidi w:val="0"/>
        <w:rPr>
          <w:rFonts w:hint="eastAsia"/>
        </w:rPr>
      </w:pPr>
      <w:r>
        <w:rPr>
          <w:rFonts w:hint="eastAsia"/>
        </w:rPr>
        <w:t>企业宜定期开展双碳相关国内外政策动态、碳排放统计核算、低碳零碳负碳技术等相关知识培训，并对培训情况进行考核，提升全员碳管理意识和能力。</w:t>
      </w:r>
    </w:p>
    <w:p w14:paraId="44972CE5">
      <w:pPr>
        <w:pStyle w:val="65"/>
        <w:bidi w:val="0"/>
        <w:rPr>
          <w:rFonts w:hint="eastAsia"/>
        </w:rPr>
      </w:pPr>
      <w:r>
        <w:rPr>
          <w:rFonts w:hint="eastAsia"/>
        </w:rPr>
        <w:t>碳资产管理</w:t>
      </w:r>
    </w:p>
    <w:p w14:paraId="3B9CDC07">
      <w:pPr>
        <w:pStyle w:val="56"/>
        <w:bidi w:val="0"/>
        <w:rPr>
          <w:rFonts w:hint="eastAsia"/>
        </w:rPr>
      </w:pPr>
      <w:r>
        <w:rPr>
          <w:rFonts w:hint="eastAsia"/>
        </w:rPr>
        <w:t>纳入国家或地方碳市场的控排企业宜建立碳资产管理制度和体系，按要求做好碳市场的配额分配和履约交易工作，积极开发和参与CCER等各类减排交易项目。</w:t>
      </w:r>
    </w:p>
    <w:p w14:paraId="5F1C160F">
      <w:pPr>
        <w:pStyle w:val="65"/>
        <w:bidi w:val="0"/>
        <w:rPr>
          <w:rFonts w:hint="eastAsia"/>
        </w:rPr>
      </w:pPr>
      <w:r>
        <w:rPr>
          <w:rFonts w:hint="eastAsia"/>
        </w:rPr>
        <w:t>信息披露</w:t>
      </w:r>
    </w:p>
    <w:p w14:paraId="494B6F08">
      <w:pPr>
        <w:pStyle w:val="56"/>
        <w:bidi w:val="0"/>
        <w:rPr>
          <w:rFonts w:hint="eastAsia"/>
        </w:rPr>
      </w:pPr>
      <w:r>
        <w:rPr>
          <w:rFonts w:hint="eastAsia"/>
        </w:rPr>
        <w:t>重点排污企业、实施强制性清洁生产审核企业、上市企业及发债企业等宜依法开展包含碳排放信息在内的环境信息披露，明确碳排放信息披露报告发布途径及渠道，接受社会公众监督。其他企业宜结合自身实际积极建立环境信息披露机制，定期公开环境信息。</w:t>
      </w:r>
    </w:p>
    <w:p w14:paraId="2D2E114E">
      <w:pPr>
        <w:pStyle w:val="105"/>
        <w:bidi w:val="0"/>
        <w:rPr>
          <w:rFonts w:hint="eastAsia"/>
        </w:rPr>
      </w:pPr>
      <w:bookmarkStart w:id="70" w:name="_Toc1261"/>
      <w:r>
        <w:rPr>
          <w:rFonts w:hint="eastAsia"/>
        </w:rPr>
        <w:t>持续改进</w:t>
      </w:r>
      <w:bookmarkEnd w:id="70"/>
    </w:p>
    <w:p w14:paraId="46BA7643">
      <w:pPr>
        <w:pStyle w:val="65"/>
        <w:bidi w:val="0"/>
        <w:rPr>
          <w:rFonts w:hint="eastAsia"/>
        </w:rPr>
      </w:pPr>
      <w:r>
        <w:rPr>
          <w:rFonts w:hint="eastAsia"/>
        </w:rPr>
        <w:t>年度评审</w:t>
      </w:r>
    </w:p>
    <w:p w14:paraId="0D8C22A3">
      <w:pPr>
        <w:pStyle w:val="56"/>
        <w:bidi w:val="0"/>
        <w:rPr>
          <w:rFonts w:hint="eastAsia"/>
        </w:rPr>
      </w:pPr>
      <w:r>
        <w:rPr>
          <w:rFonts w:hint="eastAsia"/>
        </w:rPr>
        <w:t>企业宜每年对零碳工厂建设进展进行评审，评估年度目标完成情况、减排措施实施效果、碳排放核算结果等，识别存在的问题和改进空间。</w:t>
      </w:r>
    </w:p>
    <w:p w14:paraId="3824DC6C">
      <w:pPr>
        <w:pStyle w:val="65"/>
        <w:bidi w:val="0"/>
        <w:rPr>
          <w:rFonts w:hint="eastAsia"/>
        </w:rPr>
      </w:pPr>
      <w:r>
        <w:rPr>
          <w:rFonts w:hint="eastAsia"/>
        </w:rPr>
        <w:t>技术更新</w:t>
      </w:r>
    </w:p>
    <w:p w14:paraId="6B8A301E">
      <w:pPr>
        <w:pStyle w:val="56"/>
        <w:bidi w:val="0"/>
        <w:rPr>
          <w:rFonts w:hint="eastAsia"/>
        </w:rPr>
      </w:pPr>
      <w:r>
        <w:rPr>
          <w:rFonts w:hint="eastAsia"/>
        </w:rPr>
        <w:t>企业宜密切关注绿色低碳技术发展动态，及时应用先进适用的节能降碳技术，持续提升能效水平和减排能力。</w:t>
      </w:r>
    </w:p>
    <w:p w14:paraId="42450DC6">
      <w:pPr>
        <w:pStyle w:val="65"/>
        <w:bidi w:val="0"/>
        <w:rPr>
          <w:rFonts w:hint="eastAsia"/>
        </w:rPr>
      </w:pPr>
      <w:r>
        <w:rPr>
          <w:rFonts w:hint="eastAsia"/>
        </w:rPr>
        <w:t>目标调整</w:t>
      </w:r>
    </w:p>
    <w:p w14:paraId="7BEEB2D5">
      <w:pPr>
        <w:pStyle w:val="56"/>
        <w:bidi w:val="0"/>
        <w:rPr>
          <w:rFonts w:hint="eastAsia"/>
        </w:rPr>
      </w:pPr>
      <w:r>
        <w:rPr>
          <w:rFonts w:hint="eastAsia"/>
        </w:rPr>
        <w:t>企业宜根据建设进展、政策要求和技术进步情况，适时调整中长期建设规划和年度目标，不断提高建设标准和减排要求。</w:t>
      </w:r>
    </w:p>
    <w:p w14:paraId="5C24106A">
      <w:pPr>
        <w:pStyle w:val="56"/>
        <w:bidi w:val="0"/>
        <w:rPr>
          <w:rFonts w:hint="eastAsia"/>
        </w:rPr>
      </w:pPr>
    </w:p>
    <w:p w14:paraId="3280BFFA">
      <w:pPr>
        <w:pStyle w:val="56"/>
        <w:bidi w:val="0"/>
        <w:rPr>
          <w:rFonts w:hint="eastAsia"/>
        </w:rPr>
      </w:pPr>
    </w:p>
    <w:p w14:paraId="2A0361DE">
      <w:pPr>
        <w:pStyle w:val="56"/>
        <w:bidi w:val="0"/>
        <w:rPr>
          <w:rFonts w:hint="eastAsia"/>
        </w:rPr>
      </w:pPr>
    </w:p>
    <w:p w14:paraId="723EEDCD">
      <w:pPr>
        <w:pStyle w:val="56"/>
        <w:bidi w:val="0"/>
        <w:rPr>
          <w:rFonts w:hint="eastAsia"/>
        </w:rPr>
      </w:pPr>
    </w:p>
    <w:p w14:paraId="3044641F">
      <w:pPr>
        <w:pStyle w:val="56"/>
        <w:bidi w:val="0"/>
        <w:rPr>
          <w:rFonts w:hint="eastAsia"/>
        </w:rPr>
      </w:pPr>
    </w:p>
    <w:p w14:paraId="7FDB79A5">
      <w:pPr>
        <w:pStyle w:val="56"/>
        <w:bidi w:val="0"/>
        <w:rPr>
          <w:rFonts w:hint="eastAsia"/>
        </w:rPr>
      </w:pPr>
    </w:p>
    <w:p w14:paraId="28E39F3E">
      <w:pPr>
        <w:pStyle w:val="56"/>
        <w:bidi w:val="0"/>
        <w:rPr>
          <w:rFonts w:hint="eastAsia"/>
        </w:rPr>
        <w:sectPr>
          <w:headerReference r:id="rId18" w:type="default"/>
          <w:footerReference r:id="rId20" w:type="default"/>
          <w:headerReference r:id="rId19" w:type="even"/>
          <w:footerReference r:id="rId21" w:type="even"/>
          <w:pgSz w:w="11906" w:h="16838"/>
          <w:pgMar w:top="1928" w:right="1134" w:bottom="1134" w:left="1134" w:header="1418" w:footer="1134" w:gutter="284"/>
          <w:pgNumType w:start="1"/>
          <w:cols w:space="425" w:num="1"/>
          <w:formProt w:val="0"/>
          <w:docGrid w:linePitch="312" w:charSpace="0"/>
        </w:sectPr>
      </w:pPr>
    </w:p>
    <w:bookmarkEnd w:id="24"/>
    <w:p w14:paraId="626AC84A">
      <w:pPr>
        <w:pStyle w:val="198"/>
        <w:bidi w:val="0"/>
        <w:rPr>
          <w:rFonts w:hint="eastAsia"/>
        </w:rPr>
      </w:pPr>
      <w:bookmarkStart w:id="71" w:name="BookMark5"/>
    </w:p>
    <w:p w14:paraId="372DE762">
      <w:pPr>
        <w:pStyle w:val="199"/>
        <w:bidi w:val="0"/>
        <w:rPr>
          <w:rFonts w:hint="eastAsia"/>
        </w:rPr>
      </w:pPr>
    </w:p>
    <w:p w14:paraId="6019A9B0">
      <w:pPr>
        <w:pStyle w:val="76"/>
        <w:bidi w:val="0"/>
        <w:rPr>
          <w:rFonts w:hint="eastAsia"/>
        </w:rPr>
      </w:pPr>
      <w:bookmarkStart w:id="72" w:name="_Toc23491"/>
      <w:r>
        <w:rPr>
          <w:rFonts w:hint="eastAsia"/>
        </w:rPr>
        <w:br w:type="textWrapping"/>
      </w:r>
      <w:r>
        <w:rPr>
          <w:rFonts w:hint="eastAsia"/>
          <w:lang w:eastAsia="zh-CN"/>
        </w:rPr>
        <w:t>（资料性）</w:t>
      </w:r>
      <w:r>
        <w:rPr>
          <w:rFonts w:hint="eastAsia"/>
          <w:lang w:eastAsia="zh-CN"/>
        </w:rPr>
        <w:br w:type="textWrapping"/>
      </w:r>
      <w:r>
        <w:rPr>
          <w:rFonts w:hint="eastAsia"/>
          <w:lang w:eastAsia="zh-CN"/>
        </w:rPr>
        <w:t>零碳工厂建设与管理措施清单</w:t>
      </w:r>
      <w:bookmarkEnd w:id="72"/>
    </w:p>
    <w:p w14:paraId="0BB72F6D">
      <w:pPr>
        <w:pStyle w:val="77"/>
        <w:bidi w:val="0"/>
        <w:rPr>
          <w:rFonts w:hint="eastAsia"/>
        </w:rPr>
      </w:pPr>
      <w:r>
        <w:rPr>
          <w:rFonts w:hint="eastAsia"/>
        </w:rPr>
        <w:t>零碳工厂建设与管理措施清单</w:t>
      </w:r>
    </w:p>
    <w:tbl>
      <w:tblPr>
        <w:tblStyle w:val="27"/>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29"/>
        <w:gridCol w:w="1264"/>
        <w:gridCol w:w="1523"/>
        <w:gridCol w:w="3760"/>
        <w:gridCol w:w="1958"/>
      </w:tblGrid>
      <w:tr w14:paraId="2EB6F5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trPr>
        <w:tc>
          <w:tcPr>
            <w:tcW w:w="829" w:type="dxa"/>
            <w:noWrap w:val="0"/>
            <w:vAlign w:val="center"/>
          </w:tcPr>
          <w:p w14:paraId="3AFD4AF4">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序号</w:t>
            </w:r>
          </w:p>
        </w:tc>
        <w:tc>
          <w:tcPr>
            <w:tcW w:w="1264" w:type="dxa"/>
            <w:noWrap w:val="0"/>
            <w:vAlign w:val="center"/>
          </w:tcPr>
          <w:p w14:paraId="0548D89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措施类别</w:t>
            </w:r>
          </w:p>
        </w:tc>
        <w:tc>
          <w:tcPr>
            <w:tcW w:w="1523" w:type="dxa"/>
            <w:noWrap w:val="0"/>
            <w:vAlign w:val="center"/>
          </w:tcPr>
          <w:p w14:paraId="3CEAD3A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措施名称</w:t>
            </w:r>
          </w:p>
        </w:tc>
        <w:tc>
          <w:tcPr>
            <w:tcW w:w="3760" w:type="dxa"/>
            <w:noWrap w:val="0"/>
            <w:vAlign w:val="center"/>
          </w:tcPr>
          <w:p w14:paraId="18DA6229">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措施简介</w:t>
            </w:r>
          </w:p>
        </w:tc>
        <w:tc>
          <w:tcPr>
            <w:tcW w:w="1958" w:type="dxa"/>
            <w:noWrap w:val="0"/>
            <w:vAlign w:val="center"/>
          </w:tcPr>
          <w:p w14:paraId="47592F3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适用范围</w:t>
            </w:r>
          </w:p>
        </w:tc>
      </w:tr>
      <w:tr w14:paraId="7C084E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11CD1EA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w:t>
            </w:r>
          </w:p>
        </w:tc>
        <w:tc>
          <w:tcPr>
            <w:tcW w:w="1264" w:type="dxa"/>
            <w:vMerge w:val="restart"/>
            <w:noWrap w:val="0"/>
            <w:vAlign w:val="center"/>
          </w:tcPr>
          <w:p w14:paraId="537C796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科学算碳</w:t>
            </w:r>
          </w:p>
        </w:tc>
        <w:tc>
          <w:tcPr>
            <w:tcW w:w="1523" w:type="dxa"/>
            <w:noWrap w:val="0"/>
            <w:vAlign w:val="center"/>
          </w:tcPr>
          <w:p w14:paraId="2317C66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rPr>
              <w:t>碳排放核算与报告</w:t>
            </w:r>
          </w:p>
        </w:tc>
        <w:tc>
          <w:tcPr>
            <w:tcW w:w="3760" w:type="dxa"/>
            <w:noWrap w:val="0"/>
            <w:vAlign w:val="center"/>
          </w:tcPr>
          <w:p w14:paraId="51C5C66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rPr>
              <w:t>按GB/T 32150、ISO 14064-1建立碳排放核算体系，至少覆盖范围1和2，每年核算一次。</w:t>
            </w:r>
          </w:p>
        </w:tc>
        <w:tc>
          <w:tcPr>
            <w:tcW w:w="1958" w:type="dxa"/>
            <w:noWrap w:val="0"/>
            <w:vAlign w:val="center"/>
          </w:tcPr>
          <w:p w14:paraId="5F2ED09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所有工业企业</w:t>
            </w:r>
          </w:p>
        </w:tc>
      </w:tr>
      <w:tr w14:paraId="030726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58632D2A">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w:t>
            </w:r>
          </w:p>
        </w:tc>
        <w:tc>
          <w:tcPr>
            <w:tcW w:w="1264" w:type="dxa"/>
            <w:vMerge w:val="continue"/>
            <w:noWrap w:val="0"/>
            <w:vAlign w:val="center"/>
          </w:tcPr>
          <w:p w14:paraId="441EF96B">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5FBAE2C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rPr>
              <w:t>产品碳足迹核算</w:t>
            </w:r>
          </w:p>
        </w:tc>
        <w:tc>
          <w:tcPr>
            <w:tcW w:w="3760" w:type="dxa"/>
            <w:noWrap w:val="0"/>
            <w:vAlign w:val="center"/>
          </w:tcPr>
          <w:p w14:paraId="3BCE573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rPr>
              <w:t>按GB/T 24067、ISO 14067开展重点产品碳足迹核算，汽车、电子电器等行业宜建立背景数据库。</w:t>
            </w:r>
          </w:p>
        </w:tc>
        <w:tc>
          <w:tcPr>
            <w:tcW w:w="1958" w:type="dxa"/>
            <w:noWrap w:val="0"/>
            <w:vAlign w:val="center"/>
          </w:tcPr>
          <w:p w14:paraId="73078C97">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汽车、电子电器、出口导向型企业</w:t>
            </w:r>
          </w:p>
        </w:tc>
      </w:tr>
      <w:tr w14:paraId="34E50B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4CE1BF4E">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3</w:t>
            </w:r>
          </w:p>
        </w:tc>
        <w:tc>
          <w:tcPr>
            <w:tcW w:w="1264" w:type="dxa"/>
            <w:vMerge w:val="continue"/>
            <w:noWrap w:val="0"/>
            <w:vAlign w:val="center"/>
          </w:tcPr>
          <w:p w14:paraId="3282EBFA">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47B89A44">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温室气体清单编制</w:t>
            </w:r>
          </w:p>
        </w:tc>
        <w:tc>
          <w:tcPr>
            <w:tcW w:w="3760" w:type="dxa"/>
            <w:noWrap w:val="0"/>
            <w:vAlign w:val="center"/>
          </w:tcPr>
          <w:p w14:paraId="11363E4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color w:val="0F1115"/>
                <w:sz w:val="21"/>
                <w:szCs w:val="21"/>
                <w:shd w:val="clear" w:color="auto" w:fill="FFFFFF"/>
              </w:rPr>
              <w:t>建立并更新温室气体排放清单，覆盖七种温室气体，为减排策略提供数据基础。</w:t>
            </w:r>
          </w:p>
        </w:tc>
        <w:tc>
          <w:tcPr>
            <w:tcW w:w="1958" w:type="dxa"/>
            <w:noWrap w:val="0"/>
            <w:vAlign w:val="center"/>
          </w:tcPr>
          <w:p w14:paraId="5E2E547B">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所有工业企业</w:t>
            </w:r>
          </w:p>
        </w:tc>
      </w:tr>
      <w:tr w14:paraId="373670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26A59DBB">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4</w:t>
            </w:r>
          </w:p>
        </w:tc>
        <w:tc>
          <w:tcPr>
            <w:tcW w:w="1264" w:type="dxa"/>
            <w:vMerge w:val="restart"/>
            <w:noWrap w:val="0"/>
            <w:vAlign w:val="center"/>
          </w:tcPr>
          <w:p w14:paraId="42E056ED">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源头减碳</w:t>
            </w:r>
          </w:p>
        </w:tc>
        <w:tc>
          <w:tcPr>
            <w:tcW w:w="1523" w:type="dxa"/>
            <w:noWrap w:val="0"/>
            <w:vAlign w:val="center"/>
          </w:tcPr>
          <w:p w14:paraId="7ECC89CA">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分布式光伏发电</w:t>
            </w:r>
          </w:p>
        </w:tc>
        <w:tc>
          <w:tcPr>
            <w:tcW w:w="3760" w:type="dxa"/>
            <w:noWrap w:val="0"/>
            <w:vAlign w:val="center"/>
          </w:tcPr>
          <w:p w14:paraId="22251A7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利用屋顶、外立面、车棚等建设分布式光伏，自发自用、余电上网。</w:t>
            </w:r>
          </w:p>
        </w:tc>
        <w:tc>
          <w:tcPr>
            <w:tcW w:w="1958" w:type="dxa"/>
            <w:noWrap w:val="0"/>
            <w:vAlign w:val="center"/>
          </w:tcPr>
          <w:p w14:paraId="6681FD4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有闲置屋顶或场地的工业企业</w:t>
            </w:r>
          </w:p>
        </w:tc>
      </w:tr>
      <w:tr w14:paraId="6A9DD0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757AC33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5</w:t>
            </w:r>
          </w:p>
        </w:tc>
        <w:tc>
          <w:tcPr>
            <w:tcW w:w="1264" w:type="dxa"/>
            <w:vMerge w:val="continue"/>
            <w:noWrap w:val="0"/>
            <w:vAlign w:val="center"/>
          </w:tcPr>
          <w:p w14:paraId="58D33A88">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26538A86">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pacing w:val="27"/>
                <w:sz w:val="21"/>
                <w:szCs w:val="21"/>
                <w:highlight w:val="none"/>
              </w:rPr>
              <w:t>微电网储能</w:t>
            </w:r>
            <w:r>
              <w:rPr>
                <w:rFonts w:hint="default" w:ascii="Times New Roman" w:hAnsi="Times New Roman" w:cs="Times New Roman"/>
                <w:color w:val="auto"/>
                <w:spacing w:val="-2"/>
                <w:sz w:val="21"/>
                <w:szCs w:val="21"/>
                <w:highlight w:val="none"/>
              </w:rPr>
              <w:t>应用技术</w:t>
            </w:r>
          </w:p>
        </w:tc>
        <w:tc>
          <w:tcPr>
            <w:tcW w:w="3760" w:type="dxa"/>
            <w:noWrap w:val="0"/>
            <w:vAlign w:val="center"/>
          </w:tcPr>
          <w:p w14:paraId="0A2377D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结合风电、光伏配置储能，优化系统拓扑结构与运行控制，提高可再生能源利用效率。</w:t>
            </w:r>
          </w:p>
        </w:tc>
        <w:tc>
          <w:tcPr>
            <w:tcW w:w="1958" w:type="dxa"/>
            <w:noWrap w:val="0"/>
            <w:vAlign w:val="center"/>
          </w:tcPr>
          <w:p w14:paraId="4D590926">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同时安装风电和光伏发电装置，具备一定规模空间场地的企业</w:t>
            </w:r>
          </w:p>
        </w:tc>
      </w:tr>
      <w:tr w14:paraId="153D04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7CB59C4D">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6</w:t>
            </w:r>
          </w:p>
        </w:tc>
        <w:tc>
          <w:tcPr>
            <w:tcW w:w="1264" w:type="dxa"/>
            <w:vMerge w:val="continue"/>
            <w:noWrap w:val="0"/>
            <w:vAlign w:val="center"/>
          </w:tcPr>
          <w:p w14:paraId="0938EA1C">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51767E84">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光伏直驱变频空调</w:t>
            </w:r>
          </w:p>
        </w:tc>
        <w:tc>
          <w:tcPr>
            <w:tcW w:w="3760" w:type="dxa"/>
            <w:noWrap w:val="0"/>
            <w:vAlign w:val="center"/>
          </w:tcPr>
          <w:p w14:paraId="0E2567B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将光伏发电技术与高效直流变频制冷技术相结合，将光伏产生的直流电直接接入机载换流器直流母排，形成光伏电直驱空调的运行模式，减少二氧化碳排放</w:t>
            </w:r>
          </w:p>
        </w:tc>
        <w:tc>
          <w:tcPr>
            <w:tcW w:w="1958" w:type="dxa"/>
            <w:noWrap w:val="0"/>
            <w:vAlign w:val="center"/>
          </w:tcPr>
          <w:p w14:paraId="0A24DC3F">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楼顶或墙面铺设光伏板、可满足光伏多联机能耗要求的企业建筑</w:t>
            </w:r>
          </w:p>
        </w:tc>
      </w:tr>
      <w:tr w14:paraId="2653B1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329B258A">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7</w:t>
            </w:r>
          </w:p>
        </w:tc>
        <w:tc>
          <w:tcPr>
            <w:tcW w:w="1264" w:type="dxa"/>
            <w:vMerge w:val="continue"/>
            <w:noWrap w:val="0"/>
            <w:vAlign w:val="center"/>
          </w:tcPr>
          <w:p w14:paraId="43DA08FA">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5456A284">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氢燃料电池应用</w:t>
            </w:r>
          </w:p>
        </w:tc>
        <w:tc>
          <w:tcPr>
            <w:tcW w:w="3760" w:type="dxa"/>
            <w:noWrap w:val="0"/>
            <w:vAlign w:val="center"/>
          </w:tcPr>
          <w:p w14:paraId="19422A26">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氢燃料电池将氢气（绿氢）和氧气的化学能直接转换成电能，具有无污染、无噪声、能量转换效率高等优点。成渝氢走廊沿线企业可探索重卡、物流车应用。</w:t>
            </w:r>
          </w:p>
        </w:tc>
        <w:tc>
          <w:tcPr>
            <w:tcW w:w="1958" w:type="dxa"/>
            <w:noWrap w:val="0"/>
            <w:vAlign w:val="center"/>
          </w:tcPr>
          <w:p w14:paraId="2E70516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成渝氢走廊沿线企业；有重型物流需求的</w:t>
            </w:r>
            <w:r>
              <w:rPr>
                <w:rFonts w:hint="default" w:ascii="Times New Roman" w:hAnsi="Times New Roman" w:cs="Times New Roman"/>
                <w:i w:val="0"/>
                <w:iCs w:val="0"/>
                <w:caps w:val="0"/>
                <w:color w:val="0F1115"/>
                <w:spacing w:val="0"/>
                <w:sz w:val="21"/>
                <w:szCs w:val="21"/>
                <w:shd w:val="clear" w:color="auto" w:fill="FFFFFF"/>
                <w:lang w:val="en-US" w:eastAsia="zh-CN"/>
              </w:rPr>
              <w:t>企业</w:t>
            </w:r>
          </w:p>
        </w:tc>
      </w:tr>
      <w:tr w14:paraId="026C1D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7AF8443A">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8</w:t>
            </w:r>
          </w:p>
        </w:tc>
        <w:tc>
          <w:tcPr>
            <w:tcW w:w="1264" w:type="dxa"/>
            <w:vMerge w:val="continue"/>
            <w:noWrap w:val="0"/>
            <w:vAlign w:val="center"/>
          </w:tcPr>
          <w:p w14:paraId="736698A2">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0A088D46">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highlight w:val="none"/>
                <w:shd w:val="clear" w:color="auto" w:fill="FFFFFF"/>
              </w:rPr>
              <w:t>绿色电力交易</w:t>
            </w:r>
          </w:p>
        </w:tc>
        <w:tc>
          <w:tcPr>
            <w:tcW w:w="3760" w:type="dxa"/>
            <w:noWrap w:val="0"/>
            <w:vAlign w:val="center"/>
          </w:tcPr>
          <w:p w14:paraId="48925614">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参与绿电交易和绿证认购，扩大绿电消费占比，确保减排效益真实可追溯。</w:t>
            </w:r>
          </w:p>
        </w:tc>
        <w:tc>
          <w:tcPr>
            <w:tcW w:w="1958" w:type="dxa"/>
            <w:noWrap w:val="0"/>
            <w:vAlign w:val="center"/>
          </w:tcPr>
          <w:p w14:paraId="5FD00A3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所有工业企业</w:t>
            </w:r>
          </w:p>
        </w:tc>
      </w:tr>
      <w:tr w14:paraId="700777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61C1831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9</w:t>
            </w:r>
          </w:p>
        </w:tc>
        <w:tc>
          <w:tcPr>
            <w:tcW w:w="1264" w:type="dxa"/>
            <w:vMerge w:val="continue"/>
            <w:noWrap w:val="0"/>
            <w:vAlign w:val="center"/>
          </w:tcPr>
          <w:p w14:paraId="5BD1E3F9">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21E6D73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汽车铝合金轻量化设计与制造技术</w:t>
            </w:r>
          </w:p>
        </w:tc>
        <w:tc>
          <w:tcPr>
            <w:tcW w:w="3760" w:type="dxa"/>
            <w:noWrap w:val="0"/>
            <w:vAlign w:val="center"/>
          </w:tcPr>
          <w:p w14:paraId="67A6D136">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采用高强铝合金材料替代传统车身钢材，通过材料减重实现车辆使用阶段碳排放降低。</w:t>
            </w:r>
          </w:p>
        </w:tc>
        <w:tc>
          <w:tcPr>
            <w:tcW w:w="1958" w:type="dxa"/>
            <w:noWrap w:val="0"/>
            <w:vAlign w:val="center"/>
          </w:tcPr>
          <w:p w14:paraId="74C010D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智能网联新能源汽车整车及零部件制造企业</w:t>
            </w:r>
          </w:p>
        </w:tc>
      </w:tr>
      <w:tr w14:paraId="7F73B1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7BF6C207">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10</w:t>
            </w:r>
          </w:p>
        </w:tc>
        <w:tc>
          <w:tcPr>
            <w:tcW w:w="1264" w:type="dxa"/>
            <w:vMerge w:val="continue"/>
            <w:noWrap w:val="0"/>
            <w:vAlign w:val="center"/>
          </w:tcPr>
          <w:p w14:paraId="1A32CF12">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7C2A3B0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新能源汽车动力电池梯次利用与资源化回收技术</w:t>
            </w:r>
          </w:p>
        </w:tc>
        <w:tc>
          <w:tcPr>
            <w:tcW w:w="3760" w:type="dxa"/>
            <w:noWrap w:val="0"/>
            <w:vAlign w:val="center"/>
          </w:tcPr>
          <w:p w14:paraId="4E26384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智能化拆解与湿法回收，提升锂、钴、镍等金属回收率，构建闭环体系。</w:t>
            </w:r>
          </w:p>
        </w:tc>
        <w:tc>
          <w:tcPr>
            <w:tcW w:w="1958" w:type="dxa"/>
            <w:noWrap w:val="0"/>
            <w:vAlign w:val="center"/>
          </w:tcPr>
          <w:p w14:paraId="4C43E0D7">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新能源汽车整车、动力电池生产及回收企业</w:t>
            </w:r>
          </w:p>
        </w:tc>
      </w:tr>
      <w:tr w14:paraId="7D722D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6266E194">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11</w:t>
            </w:r>
          </w:p>
        </w:tc>
        <w:tc>
          <w:tcPr>
            <w:tcW w:w="1264" w:type="dxa"/>
            <w:vMerge w:val="restart"/>
            <w:noWrap w:val="0"/>
            <w:vAlign w:val="center"/>
          </w:tcPr>
          <w:p w14:paraId="3B4462DF">
            <w:pPr>
              <w:pStyle w:val="56"/>
              <w:ind w:left="0" w:leftChars="0"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过程脱碳</w:t>
            </w:r>
          </w:p>
        </w:tc>
        <w:tc>
          <w:tcPr>
            <w:tcW w:w="1523" w:type="dxa"/>
            <w:noWrap w:val="0"/>
            <w:vAlign w:val="center"/>
          </w:tcPr>
          <w:p w14:paraId="49E051D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重点用能设备节能改造</w:t>
            </w:r>
          </w:p>
        </w:tc>
        <w:tc>
          <w:tcPr>
            <w:tcW w:w="3760" w:type="dxa"/>
            <w:noWrap w:val="0"/>
            <w:vAlign w:val="center"/>
          </w:tcPr>
          <w:p w14:paraId="175FAC8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对窑炉、锅炉、压缩机、风机、泵等设备进行节能改造，应用先进绿色低碳技术装备。</w:t>
            </w:r>
          </w:p>
        </w:tc>
        <w:tc>
          <w:tcPr>
            <w:tcW w:w="1958" w:type="dxa"/>
            <w:noWrap w:val="0"/>
            <w:vAlign w:val="center"/>
          </w:tcPr>
          <w:p w14:paraId="44E536AB">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所有工业企业</w:t>
            </w:r>
          </w:p>
        </w:tc>
      </w:tr>
      <w:tr w14:paraId="504D4D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4DD48C1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12</w:t>
            </w:r>
          </w:p>
        </w:tc>
        <w:tc>
          <w:tcPr>
            <w:tcW w:w="1264" w:type="dxa"/>
            <w:vMerge w:val="continue"/>
            <w:noWrap w:val="0"/>
            <w:vAlign w:val="center"/>
          </w:tcPr>
          <w:p w14:paraId="4004057C">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6E13FF3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配电网节能技改</w:t>
            </w:r>
          </w:p>
        </w:tc>
        <w:tc>
          <w:tcPr>
            <w:tcW w:w="3760" w:type="dxa"/>
            <w:noWrap w:val="0"/>
            <w:vAlign w:val="center"/>
          </w:tcPr>
          <w:p w14:paraId="115B682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综合监测控制器通过参数监测，主动发出相关指令，控制组合式调压调容开关改变变压器线圈各抽头的接法和负荷开关状态，实现配电变压器的自动调容调压和远程停送电功能，可解决电压不稳定、功率因数低、空载损耗大和配变三相负荷不平衡等问题。</w:t>
            </w:r>
          </w:p>
        </w:tc>
        <w:tc>
          <w:tcPr>
            <w:tcW w:w="1958" w:type="dxa"/>
            <w:noWrap w:val="0"/>
            <w:vAlign w:val="center"/>
          </w:tcPr>
          <w:p w14:paraId="3EE9266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用户低压配电室内，串联在变压器出线侧与负载之间的场景</w:t>
            </w:r>
          </w:p>
        </w:tc>
      </w:tr>
      <w:tr w14:paraId="5DE4A7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7A0DCE1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13</w:t>
            </w:r>
          </w:p>
        </w:tc>
        <w:tc>
          <w:tcPr>
            <w:tcW w:w="1264" w:type="dxa"/>
            <w:vMerge w:val="continue"/>
            <w:noWrap w:val="0"/>
            <w:vAlign w:val="center"/>
          </w:tcPr>
          <w:p w14:paraId="51E7BA06">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0CB8A1F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高效制冷技术</w:t>
            </w:r>
          </w:p>
        </w:tc>
        <w:tc>
          <w:tcPr>
            <w:tcW w:w="3760" w:type="dxa"/>
            <w:noWrap w:val="0"/>
            <w:vAlign w:val="center"/>
          </w:tcPr>
          <w:p w14:paraId="6800B339">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采用水冷、液冷、间接蒸发冷等技术提高制冷能效，减少数据中心等场所的制冷能耗。</w:t>
            </w:r>
          </w:p>
        </w:tc>
        <w:tc>
          <w:tcPr>
            <w:tcW w:w="1958" w:type="dxa"/>
            <w:noWrap w:val="0"/>
            <w:vAlign w:val="center"/>
          </w:tcPr>
          <w:p w14:paraId="13C79B8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拥有大型数据中心的企业</w:t>
            </w:r>
          </w:p>
        </w:tc>
      </w:tr>
      <w:tr w14:paraId="2C73F4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351F6DB6">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14</w:t>
            </w:r>
          </w:p>
        </w:tc>
        <w:tc>
          <w:tcPr>
            <w:tcW w:w="1264" w:type="dxa"/>
            <w:vMerge w:val="continue"/>
            <w:noWrap w:val="0"/>
            <w:vAlign w:val="center"/>
          </w:tcPr>
          <w:p w14:paraId="7E5F5314">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62EC9A9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智能照明控制系统</w:t>
            </w:r>
          </w:p>
        </w:tc>
        <w:tc>
          <w:tcPr>
            <w:tcW w:w="3760" w:type="dxa"/>
            <w:noWrap w:val="0"/>
            <w:vAlign w:val="center"/>
          </w:tcPr>
          <w:p w14:paraId="5C28976A">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利用物联网技术实现灯具远程监测、自动控制与故障报警，提高照明能效。</w:t>
            </w:r>
          </w:p>
        </w:tc>
        <w:tc>
          <w:tcPr>
            <w:tcW w:w="1958" w:type="dxa"/>
            <w:noWrap w:val="0"/>
            <w:vAlign w:val="center"/>
          </w:tcPr>
          <w:p w14:paraId="6092AF08">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各类企业及建筑</w:t>
            </w:r>
          </w:p>
        </w:tc>
      </w:tr>
      <w:tr w14:paraId="2BADA4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0A75F24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15</w:t>
            </w:r>
          </w:p>
        </w:tc>
        <w:tc>
          <w:tcPr>
            <w:tcW w:w="1264" w:type="dxa"/>
            <w:vMerge w:val="continue"/>
            <w:noWrap w:val="0"/>
            <w:vAlign w:val="center"/>
          </w:tcPr>
          <w:p w14:paraId="2BDE54C9">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0F036608">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节水与水循环利用</w:t>
            </w:r>
          </w:p>
        </w:tc>
        <w:tc>
          <w:tcPr>
            <w:tcW w:w="3760" w:type="dxa"/>
            <w:noWrap w:val="0"/>
            <w:vAlign w:val="center"/>
          </w:tcPr>
          <w:p w14:paraId="624520D5">
            <w:pPr>
              <w:pStyle w:val="56"/>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按GB/T 7119开展节水评价，满足取水定额要求，推进中水回用和废水资源化。</w:t>
            </w:r>
          </w:p>
        </w:tc>
        <w:tc>
          <w:tcPr>
            <w:tcW w:w="1958" w:type="dxa"/>
            <w:noWrap w:val="0"/>
            <w:vAlign w:val="center"/>
          </w:tcPr>
          <w:p w14:paraId="55B14773">
            <w:pPr>
              <w:pStyle w:val="56"/>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所有工业企业</w:t>
            </w:r>
          </w:p>
        </w:tc>
      </w:tr>
      <w:tr w14:paraId="7A2B43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3F0233D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16</w:t>
            </w:r>
          </w:p>
        </w:tc>
        <w:tc>
          <w:tcPr>
            <w:tcW w:w="1264" w:type="dxa"/>
            <w:vMerge w:val="continue"/>
            <w:noWrap w:val="0"/>
            <w:vAlign w:val="center"/>
          </w:tcPr>
          <w:p w14:paraId="1F553E0B">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0131134E">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循环材料利用</w:t>
            </w:r>
          </w:p>
        </w:tc>
        <w:tc>
          <w:tcPr>
            <w:tcW w:w="3760" w:type="dxa"/>
            <w:noWrap w:val="0"/>
            <w:vAlign w:val="center"/>
          </w:tcPr>
          <w:p w14:paraId="221E51F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color w:val="0F1115"/>
                <w:sz w:val="21"/>
                <w:szCs w:val="21"/>
                <w:shd w:val="clear" w:color="auto" w:fill="FFFFFF"/>
              </w:rPr>
              <w:t>使用回收料、可回收材料替代原生材料，推进废弃物源头减量与综合利用</w:t>
            </w:r>
            <w:r>
              <w:rPr>
                <w:rFonts w:hint="default" w:ascii="Times New Roman" w:hAnsi="Times New Roman" w:eastAsia="宋体" w:cs="Times New Roman"/>
                <w:i w:val="0"/>
                <w:iCs w:val="0"/>
                <w:caps w:val="0"/>
                <w:color w:val="0F1115"/>
                <w:spacing w:val="0"/>
                <w:sz w:val="21"/>
                <w:szCs w:val="21"/>
                <w:shd w:val="clear" w:color="auto" w:fill="FFFFFF"/>
              </w:rPr>
              <w:t>。按照GB/T 29115要求对其原材料使用量的减少进行评价。</w:t>
            </w:r>
          </w:p>
        </w:tc>
        <w:tc>
          <w:tcPr>
            <w:tcW w:w="1958" w:type="dxa"/>
            <w:noWrap w:val="0"/>
            <w:vAlign w:val="center"/>
          </w:tcPr>
          <w:p w14:paraId="7DE7B846">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各类工业企业</w:t>
            </w:r>
          </w:p>
        </w:tc>
      </w:tr>
      <w:tr w14:paraId="0DC4AA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573FBC24">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17</w:t>
            </w:r>
          </w:p>
        </w:tc>
        <w:tc>
          <w:tcPr>
            <w:tcW w:w="1264" w:type="dxa"/>
            <w:vMerge w:val="continue"/>
            <w:noWrap w:val="0"/>
            <w:vAlign w:val="center"/>
          </w:tcPr>
          <w:p w14:paraId="6181AEDC">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1A6FDE4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电机直流变频多联机</w:t>
            </w:r>
          </w:p>
        </w:tc>
        <w:tc>
          <w:tcPr>
            <w:tcW w:w="3760" w:type="dxa"/>
            <w:noWrap w:val="0"/>
            <w:vAlign w:val="center"/>
          </w:tcPr>
          <w:p w14:paraId="70523099">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采用直流变频电机驱动压缩机，根据环境温度自动调节风扇转速，实现节能。</w:t>
            </w:r>
          </w:p>
        </w:tc>
        <w:tc>
          <w:tcPr>
            <w:tcW w:w="1958" w:type="dxa"/>
            <w:noWrap w:val="0"/>
            <w:vAlign w:val="center"/>
          </w:tcPr>
          <w:p w14:paraId="765A6F4A">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各类企业建筑的空调系统</w:t>
            </w:r>
          </w:p>
        </w:tc>
      </w:tr>
      <w:tr w14:paraId="27F0AE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0E60471F">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18</w:t>
            </w:r>
          </w:p>
        </w:tc>
        <w:tc>
          <w:tcPr>
            <w:tcW w:w="1264" w:type="dxa"/>
            <w:vMerge w:val="continue"/>
            <w:noWrap w:val="0"/>
            <w:vAlign w:val="center"/>
          </w:tcPr>
          <w:p w14:paraId="311B34AC">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09C75B9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空气源热泵冷、暖、热水三联供</w:t>
            </w:r>
          </w:p>
        </w:tc>
        <w:tc>
          <w:tcPr>
            <w:tcW w:w="3760" w:type="dxa"/>
            <w:noWrap w:val="0"/>
            <w:vAlign w:val="center"/>
          </w:tcPr>
          <w:p w14:paraId="566307A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高度集成“三位一体”，以空气为低温热源，通过电驱动机械压缩式热泵，进行供暖、供冷及提供生活热水。</w:t>
            </w:r>
          </w:p>
        </w:tc>
        <w:tc>
          <w:tcPr>
            <w:tcW w:w="1958" w:type="dxa"/>
            <w:noWrap w:val="0"/>
            <w:vAlign w:val="center"/>
          </w:tcPr>
          <w:p w14:paraId="7CABAED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有供冷、供热和生活热水需求的企业建筑</w:t>
            </w:r>
          </w:p>
        </w:tc>
      </w:tr>
      <w:tr w14:paraId="6D26F4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38AA435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19</w:t>
            </w:r>
          </w:p>
        </w:tc>
        <w:tc>
          <w:tcPr>
            <w:tcW w:w="1264" w:type="dxa"/>
            <w:vMerge w:val="continue"/>
            <w:noWrap w:val="0"/>
            <w:vAlign w:val="center"/>
          </w:tcPr>
          <w:p w14:paraId="6B35C3A4">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7EC560A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分体/多联机/中央空调智能监控管理系统</w:t>
            </w:r>
          </w:p>
        </w:tc>
        <w:tc>
          <w:tcPr>
            <w:tcW w:w="3760" w:type="dxa"/>
            <w:noWrap w:val="0"/>
            <w:vAlign w:val="center"/>
          </w:tcPr>
          <w:p w14:paraId="4D4DF1E7">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通过RS485或TCP/IP协议或无线方式联网运行的大型空调节能控制系统，实时监控空调运行状态、远程开关、能耗统计等。</w:t>
            </w:r>
          </w:p>
        </w:tc>
        <w:tc>
          <w:tcPr>
            <w:tcW w:w="1958" w:type="dxa"/>
            <w:noWrap w:val="0"/>
            <w:vAlign w:val="center"/>
          </w:tcPr>
          <w:p w14:paraId="669F3F1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各类企业及建筑</w:t>
            </w:r>
          </w:p>
        </w:tc>
      </w:tr>
      <w:tr w14:paraId="1F302F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2289EFCA">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20</w:t>
            </w:r>
          </w:p>
        </w:tc>
        <w:tc>
          <w:tcPr>
            <w:tcW w:w="1264" w:type="dxa"/>
            <w:vMerge w:val="restart"/>
            <w:noWrap w:val="0"/>
            <w:vAlign w:val="center"/>
          </w:tcPr>
          <w:p w14:paraId="15EE8B1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协同降碳</w:t>
            </w:r>
          </w:p>
        </w:tc>
        <w:tc>
          <w:tcPr>
            <w:tcW w:w="1523" w:type="dxa"/>
            <w:noWrap w:val="0"/>
            <w:vAlign w:val="center"/>
          </w:tcPr>
          <w:p w14:paraId="3B59B50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绿色采购</w:t>
            </w:r>
          </w:p>
        </w:tc>
        <w:tc>
          <w:tcPr>
            <w:tcW w:w="3760" w:type="dxa"/>
            <w:noWrap w:val="0"/>
            <w:vAlign w:val="center"/>
          </w:tcPr>
          <w:p w14:paraId="494A1DF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优化供应商管理，优先采购低碳原材料，建立绿色采购标准，带动供应链减排。</w:t>
            </w:r>
          </w:p>
        </w:tc>
        <w:tc>
          <w:tcPr>
            <w:tcW w:w="1958" w:type="dxa"/>
            <w:noWrap w:val="0"/>
            <w:vAlign w:val="center"/>
          </w:tcPr>
          <w:p w14:paraId="2C74986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所有工业企业</w:t>
            </w:r>
          </w:p>
        </w:tc>
      </w:tr>
      <w:tr w14:paraId="693150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3B733ACE">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21</w:t>
            </w:r>
          </w:p>
        </w:tc>
        <w:tc>
          <w:tcPr>
            <w:tcW w:w="1264" w:type="dxa"/>
            <w:vMerge w:val="continue"/>
            <w:noWrap w:val="0"/>
            <w:vAlign w:val="center"/>
          </w:tcPr>
          <w:p w14:paraId="38418C23">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688F879B">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产品生态设计</w:t>
            </w:r>
          </w:p>
        </w:tc>
        <w:tc>
          <w:tcPr>
            <w:tcW w:w="3760" w:type="dxa"/>
            <w:noWrap w:val="0"/>
            <w:vAlign w:val="center"/>
          </w:tcPr>
          <w:p w14:paraId="6817304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全生命周期设计绿色低碳产品，开展碳足迹核算，鼓励碳足迹标识和绿色产品认证。</w:t>
            </w:r>
          </w:p>
        </w:tc>
        <w:tc>
          <w:tcPr>
            <w:tcW w:w="1958" w:type="dxa"/>
            <w:noWrap w:val="0"/>
            <w:vAlign w:val="center"/>
          </w:tcPr>
          <w:p w14:paraId="746113B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各类工业企业</w:t>
            </w:r>
          </w:p>
        </w:tc>
      </w:tr>
      <w:tr w14:paraId="53E480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5C14D6D7">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22</w:t>
            </w:r>
          </w:p>
        </w:tc>
        <w:tc>
          <w:tcPr>
            <w:tcW w:w="1264" w:type="dxa"/>
            <w:vMerge w:val="continue"/>
            <w:noWrap w:val="0"/>
            <w:vAlign w:val="center"/>
          </w:tcPr>
          <w:p w14:paraId="72B7927D">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1E8B5CC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绿色包装</w:t>
            </w:r>
          </w:p>
        </w:tc>
        <w:tc>
          <w:tcPr>
            <w:tcW w:w="3760" w:type="dxa"/>
            <w:noWrap w:val="0"/>
            <w:vAlign w:val="center"/>
          </w:tcPr>
          <w:p w14:paraId="24FFF44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轻量化、小型化包装设计，选用环保可再生材料，建立回收系统，实现减量化、再使用、再循环。</w:t>
            </w:r>
          </w:p>
        </w:tc>
        <w:tc>
          <w:tcPr>
            <w:tcW w:w="1958" w:type="dxa"/>
            <w:noWrap w:val="0"/>
            <w:vAlign w:val="center"/>
          </w:tcPr>
          <w:p w14:paraId="668957C8">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各类工业企业</w:t>
            </w:r>
          </w:p>
        </w:tc>
      </w:tr>
      <w:tr w14:paraId="300270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088D980D">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23</w:t>
            </w:r>
          </w:p>
        </w:tc>
        <w:tc>
          <w:tcPr>
            <w:tcW w:w="1264" w:type="dxa"/>
            <w:vMerge w:val="continue"/>
            <w:noWrap w:val="0"/>
            <w:vAlign w:val="center"/>
          </w:tcPr>
          <w:p w14:paraId="6EA6957D">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15B64EC7">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产品回收利用</w:t>
            </w:r>
          </w:p>
        </w:tc>
        <w:tc>
          <w:tcPr>
            <w:tcW w:w="3760" w:type="dxa"/>
            <w:noWrap w:val="0"/>
            <w:vAlign w:val="center"/>
          </w:tcPr>
          <w:p w14:paraId="0775BC0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构建回收体系，对产品和包装进行回收再利用，降低资源消耗和生产成本。</w:t>
            </w:r>
          </w:p>
        </w:tc>
        <w:tc>
          <w:tcPr>
            <w:tcW w:w="1958" w:type="dxa"/>
            <w:noWrap w:val="0"/>
            <w:vAlign w:val="center"/>
          </w:tcPr>
          <w:p w14:paraId="4CCC2D4A">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各类工业企业，尤其是电子信息、汽车动力电池行业</w:t>
            </w:r>
          </w:p>
        </w:tc>
      </w:tr>
      <w:tr w14:paraId="26089B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6C35E0D7">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24</w:t>
            </w:r>
          </w:p>
        </w:tc>
        <w:tc>
          <w:tcPr>
            <w:tcW w:w="1264" w:type="dxa"/>
            <w:vMerge w:val="continue"/>
            <w:noWrap w:val="0"/>
            <w:vAlign w:val="center"/>
          </w:tcPr>
          <w:p w14:paraId="75E3B726">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2C15769F">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价值链能源审计</w:t>
            </w:r>
          </w:p>
        </w:tc>
        <w:tc>
          <w:tcPr>
            <w:tcW w:w="3760" w:type="dxa"/>
            <w:noWrap w:val="0"/>
            <w:vAlign w:val="center"/>
          </w:tcPr>
          <w:p w14:paraId="2C1911A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对供应商能源利用情况进行审查，协助合理配置能源物料，节能降耗。</w:t>
            </w:r>
          </w:p>
        </w:tc>
        <w:tc>
          <w:tcPr>
            <w:tcW w:w="1958" w:type="dxa"/>
            <w:noWrap w:val="0"/>
            <w:vAlign w:val="center"/>
          </w:tcPr>
          <w:p w14:paraId="4187E13B">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有复杂供应链的工业企业</w:t>
            </w:r>
          </w:p>
        </w:tc>
      </w:tr>
      <w:tr w14:paraId="6CAFC4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44202F54">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25</w:t>
            </w:r>
          </w:p>
        </w:tc>
        <w:tc>
          <w:tcPr>
            <w:tcW w:w="1264" w:type="dxa"/>
            <w:vMerge w:val="continue"/>
            <w:noWrap w:val="0"/>
            <w:vAlign w:val="center"/>
          </w:tcPr>
          <w:p w14:paraId="3CE1644C">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2043039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电子制造业无纸化绿色制造技术</w:t>
            </w:r>
          </w:p>
        </w:tc>
        <w:tc>
          <w:tcPr>
            <w:tcW w:w="3760" w:type="dxa"/>
            <w:noWrap w:val="0"/>
            <w:vAlign w:val="center"/>
          </w:tcPr>
          <w:p w14:paraId="2277357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通过信息系统实现生产全链条数据电子化管理，替代纸质文件，实现无纸化生产。</w:t>
            </w:r>
          </w:p>
        </w:tc>
        <w:tc>
          <w:tcPr>
            <w:tcW w:w="1958" w:type="dxa"/>
            <w:noWrap w:val="0"/>
            <w:vAlign w:val="center"/>
          </w:tcPr>
          <w:p w14:paraId="2F91A06F">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电子电器、计算机零部件制造等</w:t>
            </w:r>
            <w:r>
              <w:rPr>
                <w:rFonts w:hint="default" w:ascii="Times New Roman" w:hAnsi="Times New Roman" w:cs="Times New Roman"/>
                <w:i w:val="0"/>
                <w:iCs w:val="0"/>
                <w:caps w:val="0"/>
                <w:color w:val="0F1115"/>
                <w:spacing w:val="0"/>
                <w:sz w:val="21"/>
                <w:szCs w:val="21"/>
                <w:shd w:val="clear" w:color="auto" w:fill="FFFFFF"/>
                <w:lang w:eastAsia="zh-CN"/>
              </w:rPr>
              <w:t>企</w:t>
            </w:r>
            <w:r>
              <w:rPr>
                <w:rFonts w:hint="default" w:ascii="Times New Roman" w:hAnsi="Times New Roman" w:eastAsia="宋体" w:cs="Times New Roman"/>
                <w:i w:val="0"/>
                <w:iCs w:val="0"/>
                <w:caps w:val="0"/>
                <w:color w:val="0F1115"/>
                <w:spacing w:val="0"/>
                <w:sz w:val="21"/>
                <w:szCs w:val="21"/>
                <w:shd w:val="clear" w:color="auto" w:fill="FFFFFF"/>
              </w:rPr>
              <w:t>业</w:t>
            </w:r>
          </w:p>
        </w:tc>
      </w:tr>
      <w:tr w14:paraId="624BF3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4F7CD9CD">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26</w:t>
            </w:r>
          </w:p>
        </w:tc>
        <w:tc>
          <w:tcPr>
            <w:tcW w:w="1264" w:type="dxa"/>
            <w:vMerge w:val="restart"/>
            <w:noWrap w:val="0"/>
            <w:vAlign w:val="center"/>
          </w:tcPr>
          <w:p w14:paraId="5D7C116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智能控碳</w:t>
            </w:r>
          </w:p>
        </w:tc>
        <w:tc>
          <w:tcPr>
            <w:tcW w:w="1523" w:type="dxa"/>
            <w:noWrap w:val="0"/>
            <w:vAlign w:val="center"/>
          </w:tcPr>
          <w:p w14:paraId="31D77F46">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数字化能碳管理平台</w:t>
            </w:r>
          </w:p>
        </w:tc>
        <w:tc>
          <w:tcPr>
            <w:tcW w:w="3760" w:type="dxa"/>
            <w:noWrap w:val="0"/>
            <w:vAlign w:val="center"/>
          </w:tcPr>
          <w:p w14:paraId="39075208">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color w:val="0F1115"/>
                <w:sz w:val="21"/>
                <w:szCs w:val="21"/>
                <w:shd w:val="clear" w:color="auto" w:fill="FFFFFF"/>
              </w:rPr>
              <w:t>采用自动采集或手工录入的方式采集到能耗数据，再通过用户私有网络或公网，传输到平台服务器进行储存，实现数据的共享以便对整个用能系统进行监控和纠错管理等</w:t>
            </w:r>
          </w:p>
        </w:tc>
        <w:tc>
          <w:tcPr>
            <w:tcW w:w="1958" w:type="dxa"/>
            <w:noWrap w:val="0"/>
            <w:vAlign w:val="center"/>
          </w:tcPr>
          <w:p w14:paraId="77B7785E">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各类企业及建筑，需安装智能电表和互感器</w:t>
            </w:r>
          </w:p>
        </w:tc>
      </w:tr>
      <w:tr w14:paraId="15ADFC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7D31E729">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27</w:t>
            </w:r>
          </w:p>
        </w:tc>
        <w:tc>
          <w:tcPr>
            <w:tcW w:w="1264" w:type="dxa"/>
            <w:vMerge w:val="continue"/>
            <w:noWrap w:val="0"/>
            <w:vAlign w:val="center"/>
          </w:tcPr>
          <w:p w14:paraId="2DED4315">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067A8F1E">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设备效率监控平台</w:t>
            </w:r>
          </w:p>
        </w:tc>
        <w:tc>
          <w:tcPr>
            <w:tcW w:w="3760" w:type="dxa"/>
            <w:noWrap w:val="0"/>
            <w:vAlign w:val="center"/>
          </w:tcPr>
          <w:p w14:paraId="4C8F56B7">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实时监测配电、锅炉、空压、制冷等系统运行数据，识别节能机会，优化设备运行模式。</w:t>
            </w:r>
          </w:p>
        </w:tc>
        <w:tc>
          <w:tcPr>
            <w:tcW w:w="1958" w:type="dxa"/>
            <w:noWrap w:val="0"/>
            <w:vAlign w:val="center"/>
          </w:tcPr>
          <w:p w14:paraId="2B1551B8">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各类企业及建筑，需安装智能电表和互感器</w:t>
            </w:r>
          </w:p>
        </w:tc>
      </w:tr>
      <w:tr w14:paraId="4A324E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07DE0C7E">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28</w:t>
            </w:r>
          </w:p>
        </w:tc>
        <w:tc>
          <w:tcPr>
            <w:tcW w:w="1264" w:type="dxa"/>
            <w:vMerge w:val="restart"/>
            <w:noWrap w:val="0"/>
            <w:vAlign w:val="center"/>
          </w:tcPr>
          <w:p w14:paraId="3957D6EB">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基础设施</w:t>
            </w:r>
          </w:p>
        </w:tc>
        <w:tc>
          <w:tcPr>
            <w:tcW w:w="1523" w:type="dxa"/>
            <w:noWrap w:val="0"/>
            <w:vAlign w:val="center"/>
          </w:tcPr>
          <w:p w14:paraId="7247818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近零能耗建筑</w:t>
            </w:r>
          </w:p>
        </w:tc>
        <w:tc>
          <w:tcPr>
            <w:tcW w:w="3760" w:type="dxa"/>
            <w:noWrap w:val="0"/>
            <w:vAlign w:val="center"/>
          </w:tcPr>
          <w:p w14:paraId="5237A47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采用保温隔热围护体系（如石墨聚苯保温板、玻璃节能膜）、提高气密性、无热桥的结构设计与施工、高效热回收新风系统等被动式建筑设计。新建建筑按照GB/T 51350开展近零能耗建筑建设，选用可循环材料、可再利用材料、绿色建材等。</w:t>
            </w:r>
          </w:p>
        </w:tc>
        <w:tc>
          <w:tcPr>
            <w:tcW w:w="1958" w:type="dxa"/>
            <w:noWrap w:val="0"/>
            <w:vAlign w:val="center"/>
          </w:tcPr>
          <w:p w14:paraId="676051A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新建或改造的企业建筑</w:t>
            </w:r>
          </w:p>
        </w:tc>
      </w:tr>
      <w:tr w14:paraId="387EA6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237D26C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29</w:t>
            </w:r>
          </w:p>
        </w:tc>
        <w:tc>
          <w:tcPr>
            <w:tcW w:w="1264" w:type="dxa"/>
            <w:vMerge w:val="continue"/>
            <w:noWrap w:val="0"/>
            <w:vAlign w:val="center"/>
          </w:tcPr>
          <w:p w14:paraId="6A4172CE">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081B7A95">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清洁交通工具</w:t>
            </w:r>
          </w:p>
        </w:tc>
        <w:tc>
          <w:tcPr>
            <w:tcW w:w="3760" w:type="dxa"/>
            <w:noWrap w:val="0"/>
            <w:vAlign w:val="center"/>
          </w:tcPr>
          <w:p w14:paraId="73C108B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使用电力、氢能等清洁能源车辆替代燃油车辆，新增作业机械和物流车辆优先清洁能源。</w:t>
            </w:r>
          </w:p>
        </w:tc>
        <w:tc>
          <w:tcPr>
            <w:tcW w:w="1958" w:type="dxa"/>
            <w:noWrap w:val="0"/>
            <w:vAlign w:val="center"/>
          </w:tcPr>
          <w:p w14:paraId="65D9D5FF">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企业通勤车辆及物流车辆</w:t>
            </w:r>
          </w:p>
        </w:tc>
      </w:tr>
      <w:tr w14:paraId="504069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646C2457">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30</w:t>
            </w:r>
          </w:p>
        </w:tc>
        <w:tc>
          <w:tcPr>
            <w:tcW w:w="1264" w:type="dxa"/>
            <w:vMerge w:val="continue"/>
            <w:noWrap w:val="0"/>
            <w:vAlign w:val="center"/>
          </w:tcPr>
          <w:p w14:paraId="70FCE8DA">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2CEC1AB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无负压供水</w:t>
            </w:r>
          </w:p>
        </w:tc>
        <w:tc>
          <w:tcPr>
            <w:tcW w:w="3760" w:type="dxa"/>
            <w:noWrap w:val="0"/>
            <w:vAlign w:val="center"/>
          </w:tcPr>
          <w:p w14:paraId="13BBC9D1">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自动控制变频器，充分利用自来水压力，仅在压力不足时启动水泵，节能节水。</w:t>
            </w:r>
          </w:p>
        </w:tc>
        <w:tc>
          <w:tcPr>
            <w:tcW w:w="1958" w:type="dxa"/>
            <w:noWrap w:val="0"/>
            <w:vAlign w:val="center"/>
          </w:tcPr>
          <w:p w14:paraId="4155875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企业自来水压力不能满足要求的多层、小高层、高层以及特高层建筑</w:t>
            </w:r>
          </w:p>
        </w:tc>
      </w:tr>
      <w:tr w14:paraId="2D498A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717D3CE3">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31</w:t>
            </w:r>
          </w:p>
        </w:tc>
        <w:tc>
          <w:tcPr>
            <w:tcW w:w="1264" w:type="dxa"/>
            <w:vMerge w:val="continue"/>
            <w:noWrap w:val="0"/>
            <w:vAlign w:val="center"/>
          </w:tcPr>
          <w:p w14:paraId="65F28393">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5E527298">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建筑光伏一体化（BIPV）与光储充一体化技术</w:t>
            </w:r>
          </w:p>
        </w:tc>
        <w:tc>
          <w:tcPr>
            <w:tcW w:w="3760" w:type="dxa"/>
            <w:noWrap w:val="0"/>
            <w:vAlign w:val="center"/>
          </w:tcPr>
          <w:p w14:paraId="63FB70D4">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光伏组件与建材集成，配套储能和充电设施，实现建筑能源自平衡和绿色交通供能。</w:t>
            </w:r>
          </w:p>
        </w:tc>
        <w:tc>
          <w:tcPr>
            <w:tcW w:w="1958" w:type="dxa"/>
            <w:noWrap w:val="0"/>
            <w:vAlign w:val="center"/>
          </w:tcPr>
          <w:p w14:paraId="1AD8666B">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通用制造业、智能网联新能源汽车</w:t>
            </w:r>
          </w:p>
        </w:tc>
      </w:tr>
      <w:tr w14:paraId="4414B8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21804F40">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32</w:t>
            </w:r>
          </w:p>
        </w:tc>
        <w:tc>
          <w:tcPr>
            <w:tcW w:w="1264" w:type="dxa"/>
            <w:vMerge w:val="restart"/>
            <w:noWrap w:val="0"/>
            <w:vAlign w:val="center"/>
          </w:tcPr>
          <w:p w14:paraId="1F581F2C">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碳抵消</w:t>
            </w:r>
          </w:p>
        </w:tc>
        <w:tc>
          <w:tcPr>
            <w:tcW w:w="1523" w:type="dxa"/>
            <w:noWrap w:val="0"/>
            <w:vAlign w:val="center"/>
          </w:tcPr>
          <w:p w14:paraId="440CBCAF">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CCER/碳普惠</w:t>
            </w:r>
          </w:p>
        </w:tc>
        <w:tc>
          <w:tcPr>
            <w:tcW w:w="3760" w:type="dxa"/>
            <w:noWrap w:val="0"/>
            <w:vAlign w:val="center"/>
          </w:tcPr>
          <w:p w14:paraId="483DACB9">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购买国家核证自愿减排量或参与碳普惠机制，抵消残余排放，建立抵消台账并公开披露信息。</w:t>
            </w:r>
          </w:p>
        </w:tc>
        <w:tc>
          <w:tcPr>
            <w:tcW w:w="1958" w:type="dxa"/>
            <w:noWrap w:val="0"/>
            <w:vAlign w:val="center"/>
          </w:tcPr>
          <w:p w14:paraId="3E652CF6">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所有工业企业</w:t>
            </w:r>
          </w:p>
        </w:tc>
      </w:tr>
      <w:tr w14:paraId="53FC1D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center"/>
          </w:tcPr>
          <w:p w14:paraId="0A9B36DF">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cs="Times New Roman"/>
                <w:color w:val="auto"/>
                <w:szCs w:val="21"/>
                <w:highlight w:val="none"/>
                <w:vertAlign w:val="baseline"/>
                <w:lang w:val="en-US" w:eastAsia="zh-CN"/>
              </w:rPr>
              <w:t>33</w:t>
            </w:r>
          </w:p>
        </w:tc>
        <w:tc>
          <w:tcPr>
            <w:tcW w:w="1264" w:type="dxa"/>
            <w:vMerge w:val="continue"/>
            <w:noWrap w:val="0"/>
            <w:vAlign w:val="center"/>
          </w:tcPr>
          <w:p w14:paraId="08105A53">
            <w:pPr>
              <w:pStyle w:val="56"/>
              <w:jc w:val="center"/>
              <w:rPr>
                <w:rFonts w:hint="default" w:ascii="Times New Roman" w:hAnsi="Times New Roman" w:cs="Times New Roman"/>
                <w:color w:val="auto"/>
                <w:szCs w:val="21"/>
                <w:highlight w:val="none"/>
                <w:vertAlign w:val="baseline"/>
                <w:lang w:val="en-US" w:eastAsia="zh-CN"/>
              </w:rPr>
            </w:pPr>
          </w:p>
        </w:tc>
        <w:tc>
          <w:tcPr>
            <w:tcW w:w="1523" w:type="dxa"/>
            <w:noWrap w:val="0"/>
            <w:vAlign w:val="center"/>
          </w:tcPr>
          <w:p w14:paraId="2C99C162">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碳配额交易与管理</w:t>
            </w:r>
          </w:p>
        </w:tc>
        <w:tc>
          <w:tcPr>
            <w:tcW w:w="3760" w:type="dxa"/>
            <w:noWrap w:val="0"/>
            <w:vAlign w:val="center"/>
          </w:tcPr>
          <w:p w14:paraId="4FB34238">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控排企业建立碳资产管理制度，做好碳市场配额分配、履约及交易工作。</w:t>
            </w:r>
          </w:p>
        </w:tc>
        <w:tc>
          <w:tcPr>
            <w:tcW w:w="1958" w:type="dxa"/>
            <w:noWrap w:val="0"/>
            <w:vAlign w:val="center"/>
          </w:tcPr>
          <w:p w14:paraId="5D6C47FA">
            <w:pPr>
              <w:pStyle w:val="56"/>
              <w:ind w:firstLine="0" w:firstLineChars="0"/>
              <w:jc w:val="center"/>
              <w:rPr>
                <w:rFonts w:hint="default" w:ascii="Times New Roman" w:hAnsi="Times New Roman" w:cs="Times New Roman"/>
                <w:color w:val="auto"/>
                <w:szCs w:val="21"/>
                <w:highlight w:val="none"/>
                <w:vertAlign w:val="baseline"/>
                <w:lang w:val="en-US" w:eastAsia="zh-CN"/>
              </w:rPr>
            </w:pPr>
            <w:r>
              <w:rPr>
                <w:rFonts w:hint="default" w:ascii="Times New Roman" w:hAnsi="Times New Roman" w:eastAsia="宋体" w:cs="Times New Roman"/>
                <w:i w:val="0"/>
                <w:iCs w:val="0"/>
                <w:caps w:val="0"/>
                <w:color w:val="0F1115"/>
                <w:spacing w:val="0"/>
                <w:sz w:val="21"/>
                <w:szCs w:val="21"/>
                <w:shd w:val="clear" w:color="auto" w:fill="FFFFFF"/>
              </w:rPr>
              <w:t>纳入国家或地方碳市场的控排企业</w:t>
            </w:r>
          </w:p>
        </w:tc>
      </w:tr>
    </w:tbl>
    <w:p w14:paraId="3CEAC4FD">
      <w:pPr>
        <w:pStyle w:val="56"/>
        <w:bidi w:val="0"/>
        <w:rPr>
          <w:rFonts w:hint="eastAsia"/>
        </w:rPr>
      </w:pPr>
    </w:p>
    <w:p w14:paraId="126B4ABE">
      <w:pPr>
        <w:pStyle w:val="56"/>
        <w:bidi w:val="0"/>
        <w:rPr>
          <w:rFonts w:hint="eastAsia"/>
        </w:rPr>
      </w:pPr>
    </w:p>
    <w:p w14:paraId="3A0EF069">
      <w:pPr>
        <w:pStyle w:val="56"/>
        <w:bidi w:val="0"/>
        <w:rPr>
          <w:rFonts w:hint="eastAsia"/>
        </w:rPr>
      </w:pPr>
    </w:p>
    <w:p w14:paraId="34201D4A">
      <w:pPr>
        <w:pStyle w:val="56"/>
        <w:bidi w:val="0"/>
        <w:rPr>
          <w:rFonts w:hint="eastAsia"/>
        </w:rPr>
        <w:sectPr>
          <w:headerReference r:id="rId22" w:type="default"/>
          <w:footerReference r:id="rId24" w:type="default"/>
          <w:headerReference r:id="rId23" w:type="even"/>
          <w:footerReference r:id="rId25" w:type="even"/>
          <w:pgSz w:w="11906" w:h="16838"/>
          <w:pgMar w:top="1928" w:right="1134" w:bottom="1134" w:left="1134" w:header="1418" w:footer="1134" w:gutter="284"/>
          <w:pgNumType w:fmt="decimal"/>
          <w:cols w:space="425" w:num="1"/>
          <w:formProt w:val="0"/>
          <w:docGrid w:linePitch="312" w:charSpace="0"/>
        </w:sectPr>
      </w:pPr>
    </w:p>
    <w:p w14:paraId="09114A5C">
      <w:pPr>
        <w:pStyle w:val="198"/>
        <w:bidi w:val="0"/>
        <w:rPr>
          <w:rFonts w:hint="eastAsia"/>
        </w:rPr>
      </w:pPr>
    </w:p>
    <w:p w14:paraId="7F6DC9C0">
      <w:pPr>
        <w:pStyle w:val="199"/>
        <w:bidi w:val="0"/>
        <w:rPr>
          <w:rFonts w:hint="eastAsia"/>
        </w:rPr>
      </w:pPr>
    </w:p>
    <w:p w14:paraId="45580D5D">
      <w:pPr>
        <w:pStyle w:val="76"/>
        <w:bidi w:val="0"/>
        <w:rPr>
          <w:rFonts w:hint="eastAsia"/>
        </w:rPr>
      </w:pPr>
      <w:bookmarkStart w:id="73" w:name="_Toc14900"/>
      <w:r>
        <w:rPr>
          <w:rFonts w:hint="eastAsia"/>
        </w:rPr>
        <w:br w:type="textWrapping"/>
      </w:r>
      <w:r>
        <w:rPr>
          <w:rFonts w:hint="eastAsia"/>
          <w:lang w:eastAsia="zh-CN"/>
        </w:rPr>
        <w:t>（资料性）</w:t>
      </w:r>
      <w:r>
        <w:rPr>
          <w:rFonts w:hint="eastAsia"/>
          <w:lang w:eastAsia="zh-CN"/>
        </w:rPr>
        <w:br w:type="textWrapping"/>
      </w:r>
      <w:r>
        <w:rPr>
          <w:rFonts w:hint="eastAsia"/>
          <w:lang w:eastAsia="zh-CN"/>
        </w:rPr>
        <w:t>零碳工厂建设与管理参考文件</w:t>
      </w:r>
      <w:bookmarkEnd w:id="73"/>
    </w:p>
    <w:p w14:paraId="414DEA60">
      <w:pPr>
        <w:pStyle w:val="77"/>
        <w:bidi w:val="0"/>
        <w:rPr>
          <w:rFonts w:hint="eastAsia"/>
        </w:rPr>
      </w:pPr>
      <w:r>
        <w:rPr>
          <w:rFonts w:hint="eastAsia"/>
          <w:lang w:val="en-US" w:eastAsia="zh-CN"/>
        </w:rPr>
        <w:t>零碳工厂建设与管理参考文件</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left w:w="100" w:type="dxa"/>
          <w:right w:w="100" w:type="dxa"/>
        </w:tblCellMar>
      </w:tblPr>
      <w:tblGrid>
        <w:gridCol w:w="786"/>
        <w:gridCol w:w="5437"/>
        <w:gridCol w:w="3111"/>
      </w:tblGrid>
      <w:tr w14:paraId="3543D7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100" w:type="dxa"/>
            <w:right w:w="100" w:type="dxa"/>
          </w:tblCellMar>
        </w:tblPrEx>
        <w:trPr>
          <w:tblHeader/>
          <w:jc w:val="center"/>
        </w:trPr>
        <w:tc>
          <w:tcPr>
            <w:tcW w:w="786" w:type="dxa"/>
            <w:tcBorders>
              <w:bottom w:val="single" w:color="auto" w:sz="8" w:space="0"/>
            </w:tcBorders>
            <w:vAlign w:val="center"/>
          </w:tcPr>
          <w:p w14:paraId="6A7C5140">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2"/>
                <w:sz w:val="18"/>
                <w:szCs w:val="21"/>
                <w:highlight w:val="none"/>
              </w:rPr>
              <w:t>序号</w:t>
            </w:r>
          </w:p>
        </w:tc>
        <w:tc>
          <w:tcPr>
            <w:tcW w:w="5437" w:type="dxa"/>
            <w:tcBorders>
              <w:bottom w:val="single" w:color="auto" w:sz="8" w:space="0"/>
            </w:tcBorders>
            <w:vAlign w:val="center"/>
          </w:tcPr>
          <w:p w14:paraId="65B7F54D">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13"/>
                <w:sz w:val="18"/>
                <w:szCs w:val="21"/>
                <w:highlight w:val="none"/>
              </w:rPr>
              <w:t>参考文件名称</w:t>
            </w:r>
          </w:p>
        </w:tc>
        <w:tc>
          <w:tcPr>
            <w:tcW w:w="3111" w:type="dxa"/>
            <w:tcBorders>
              <w:bottom w:val="single" w:color="auto" w:sz="8" w:space="0"/>
            </w:tcBorders>
            <w:vAlign w:val="center"/>
          </w:tcPr>
          <w:p w14:paraId="5F983979">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11"/>
                <w:sz w:val="18"/>
                <w:szCs w:val="21"/>
                <w:highlight w:val="none"/>
              </w:rPr>
              <w:t>文件来源</w:t>
            </w:r>
          </w:p>
        </w:tc>
      </w:tr>
      <w:tr w14:paraId="397062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786" w:type="dxa"/>
            <w:tcBorders>
              <w:top w:val="single" w:color="auto" w:sz="8" w:space="0"/>
            </w:tcBorders>
            <w:vAlign w:val="center"/>
          </w:tcPr>
          <w:p w14:paraId="7C2ED73F">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z w:val="18"/>
                <w:szCs w:val="21"/>
                <w:highlight w:val="none"/>
              </w:rPr>
              <w:t>1</w:t>
            </w:r>
          </w:p>
        </w:tc>
        <w:tc>
          <w:tcPr>
            <w:tcW w:w="5437" w:type="dxa"/>
            <w:tcBorders>
              <w:top w:val="single" w:color="auto" w:sz="8" w:space="0"/>
            </w:tcBorders>
            <w:vAlign w:val="center"/>
          </w:tcPr>
          <w:p w14:paraId="5753D50E">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2"/>
                <w:sz w:val="18"/>
                <w:szCs w:val="21"/>
                <w:highlight w:val="none"/>
              </w:rPr>
              <w:t>《绿色技术推广目录》</w:t>
            </w:r>
          </w:p>
        </w:tc>
        <w:tc>
          <w:tcPr>
            <w:tcW w:w="3111" w:type="dxa"/>
            <w:tcBorders>
              <w:top w:val="single" w:color="auto" w:sz="8" w:space="0"/>
            </w:tcBorders>
            <w:vAlign w:val="center"/>
          </w:tcPr>
          <w:p w14:paraId="1685A151">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3"/>
                <w:sz w:val="18"/>
                <w:szCs w:val="21"/>
                <w:highlight w:val="none"/>
              </w:rPr>
              <w:t>国家发展和改革委员会</w:t>
            </w:r>
          </w:p>
        </w:tc>
      </w:tr>
      <w:tr w14:paraId="47357A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786" w:type="dxa"/>
            <w:vAlign w:val="center"/>
          </w:tcPr>
          <w:p w14:paraId="0DDFD8C4">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z w:val="18"/>
                <w:szCs w:val="21"/>
                <w:highlight w:val="none"/>
              </w:rPr>
              <w:t>2</w:t>
            </w:r>
          </w:p>
        </w:tc>
        <w:tc>
          <w:tcPr>
            <w:tcW w:w="5437" w:type="dxa"/>
            <w:vAlign w:val="center"/>
          </w:tcPr>
          <w:p w14:paraId="6904268A">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1"/>
                <w:sz w:val="18"/>
                <w:szCs w:val="21"/>
                <w:highlight w:val="none"/>
              </w:rPr>
              <w:t>《国家工业和信息化领域节能降碳技术装备推荐目录》</w:t>
            </w:r>
          </w:p>
        </w:tc>
        <w:tc>
          <w:tcPr>
            <w:tcW w:w="3111" w:type="dxa"/>
            <w:vAlign w:val="center"/>
          </w:tcPr>
          <w:p w14:paraId="3304F18F">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2"/>
                <w:sz w:val="18"/>
                <w:szCs w:val="21"/>
                <w:highlight w:val="none"/>
              </w:rPr>
              <w:t>工业和信息化部</w:t>
            </w:r>
          </w:p>
        </w:tc>
      </w:tr>
      <w:tr w14:paraId="640CA2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786" w:type="dxa"/>
            <w:vAlign w:val="center"/>
          </w:tcPr>
          <w:p w14:paraId="590F5DFB">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z w:val="18"/>
                <w:szCs w:val="21"/>
                <w:highlight w:val="none"/>
              </w:rPr>
              <w:t>3</w:t>
            </w:r>
          </w:p>
        </w:tc>
        <w:tc>
          <w:tcPr>
            <w:tcW w:w="5437" w:type="dxa"/>
            <w:vAlign w:val="center"/>
          </w:tcPr>
          <w:p w14:paraId="3491C928">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1"/>
                <w:sz w:val="18"/>
                <w:szCs w:val="21"/>
                <w:highlight w:val="none"/>
              </w:rPr>
              <w:t>《国家绿色低碳先进技术成果目录》</w:t>
            </w:r>
          </w:p>
        </w:tc>
        <w:tc>
          <w:tcPr>
            <w:tcW w:w="3111" w:type="dxa"/>
            <w:vAlign w:val="center"/>
          </w:tcPr>
          <w:p w14:paraId="6CA67660">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2"/>
                <w:sz w:val="18"/>
                <w:szCs w:val="21"/>
                <w:highlight w:val="none"/>
              </w:rPr>
              <w:t>科学技术部</w:t>
            </w:r>
          </w:p>
        </w:tc>
      </w:tr>
      <w:tr w14:paraId="3CA56D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100" w:type="dxa"/>
            <w:right w:w="100" w:type="dxa"/>
          </w:tblCellMar>
        </w:tblPrEx>
        <w:trPr>
          <w:jc w:val="center"/>
        </w:trPr>
        <w:tc>
          <w:tcPr>
            <w:tcW w:w="786" w:type="dxa"/>
            <w:vAlign w:val="center"/>
          </w:tcPr>
          <w:p w14:paraId="7D214E80">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z w:val="18"/>
                <w:szCs w:val="21"/>
                <w:highlight w:val="none"/>
              </w:rPr>
              <w:t>4</w:t>
            </w:r>
          </w:p>
        </w:tc>
        <w:tc>
          <w:tcPr>
            <w:tcW w:w="5437" w:type="dxa"/>
            <w:vAlign w:val="center"/>
          </w:tcPr>
          <w:p w14:paraId="76951818">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2"/>
                <w:sz w:val="18"/>
                <w:szCs w:val="21"/>
                <w:highlight w:val="none"/>
              </w:rPr>
              <w:t>《国家清洁生产先进技术目录》《国家重点推广的低碳技术目录》</w:t>
            </w:r>
          </w:p>
        </w:tc>
        <w:tc>
          <w:tcPr>
            <w:tcW w:w="3111" w:type="dxa"/>
            <w:vAlign w:val="center"/>
          </w:tcPr>
          <w:p w14:paraId="1C0044A5">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2"/>
                <w:sz w:val="18"/>
                <w:szCs w:val="21"/>
                <w:highlight w:val="none"/>
              </w:rPr>
              <w:t>生态环境部</w:t>
            </w:r>
          </w:p>
        </w:tc>
      </w:tr>
      <w:tr w14:paraId="2C5C91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100" w:type="dxa"/>
            <w:right w:w="100" w:type="dxa"/>
          </w:tblCellMar>
        </w:tblPrEx>
        <w:trPr>
          <w:jc w:val="center"/>
        </w:trPr>
        <w:tc>
          <w:tcPr>
            <w:tcW w:w="786" w:type="dxa"/>
            <w:vAlign w:val="center"/>
          </w:tcPr>
          <w:p w14:paraId="45C84FC4">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z w:val="18"/>
                <w:szCs w:val="21"/>
                <w:highlight w:val="none"/>
                <w:lang w:val="en-US" w:eastAsia="zh-CN"/>
              </w:rPr>
              <w:t>5</w:t>
            </w:r>
          </w:p>
        </w:tc>
        <w:tc>
          <w:tcPr>
            <w:tcW w:w="5437" w:type="dxa"/>
            <w:vAlign w:val="center"/>
          </w:tcPr>
          <w:p w14:paraId="76B2B773">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2"/>
                <w:sz w:val="18"/>
                <w:szCs w:val="21"/>
                <w:highlight w:val="none"/>
              </w:rPr>
              <w:t>《工业产品绿色设计指南（2026年版）》</w:t>
            </w:r>
          </w:p>
        </w:tc>
        <w:tc>
          <w:tcPr>
            <w:tcW w:w="3111" w:type="dxa"/>
            <w:vAlign w:val="center"/>
          </w:tcPr>
          <w:p w14:paraId="1445A0FA">
            <w:pPr>
              <w:pStyle w:val="230"/>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eastAsia"/>
              </w:rPr>
            </w:pPr>
            <w:r>
              <w:rPr>
                <w:rFonts w:hint="default" w:ascii="Times New Roman" w:hAnsi="Times New Roman" w:cs="Times New Roman"/>
                <w:color w:val="auto"/>
                <w:spacing w:val="-2"/>
                <w:sz w:val="18"/>
                <w:szCs w:val="21"/>
                <w:highlight w:val="none"/>
              </w:rPr>
              <w:t>工业和信息化部</w:t>
            </w:r>
            <w:r>
              <w:rPr>
                <w:rFonts w:hint="default" w:ascii="Times New Roman" w:hAnsi="Times New Roman" w:cs="Times New Roman"/>
                <w:color w:val="auto"/>
                <w:spacing w:val="-2"/>
                <w:sz w:val="18"/>
                <w:szCs w:val="21"/>
                <w:highlight w:val="none"/>
                <w:lang w:eastAsia="zh-CN"/>
              </w:rPr>
              <w:t>、国家发展改革委、教育部、生态环境部、市场监管总局</w:t>
            </w:r>
          </w:p>
        </w:tc>
      </w:tr>
    </w:tbl>
    <w:p w14:paraId="5CDBD3EC">
      <w:pPr>
        <w:pStyle w:val="56"/>
        <w:bidi w:val="0"/>
        <w:rPr>
          <w:rFonts w:hint="eastAsia"/>
        </w:rPr>
      </w:pPr>
    </w:p>
    <w:p w14:paraId="31E6E1A0">
      <w:pPr>
        <w:pStyle w:val="56"/>
        <w:bidi w:val="0"/>
        <w:rPr>
          <w:rFonts w:hint="eastAsia"/>
        </w:rPr>
      </w:pPr>
    </w:p>
    <w:p w14:paraId="42A3E296">
      <w:pPr>
        <w:pStyle w:val="56"/>
        <w:bidi w:val="0"/>
        <w:rPr>
          <w:rFonts w:hint="eastAsia"/>
        </w:rPr>
      </w:pPr>
    </w:p>
    <w:p w14:paraId="489FE056">
      <w:pPr>
        <w:pStyle w:val="56"/>
        <w:bidi w:val="0"/>
        <w:rPr>
          <w:rFonts w:hint="eastAsia"/>
        </w:rPr>
      </w:pPr>
    </w:p>
    <w:p w14:paraId="07F26367">
      <w:pPr>
        <w:pStyle w:val="56"/>
        <w:rPr>
          <w:rFonts w:hint="eastAsia"/>
        </w:rPr>
      </w:pPr>
    </w:p>
    <w:p w14:paraId="2241C5A4">
      <w:pPr>
        <w:pStyle w:val="56"/>
        <w:bidi w:val="0"/>
        <w:rPr>
          <w:rFonts w:hint="eastAsia"/>
        </w:rPr>
      </w:pPr>
    </w:p>
    <w:bookmarkEnd w:id="71"/>
    <w:p w14:paraId="76643F49">
      <w:pPr>
        <w:pStyle w:val="56"/>
        <w:bidi w:val="0"/>
        <w:rPr>
          <w:rFonts w:hint="eastAsia"/>
        </w:rPr>
        <w:sectPr>
          <w:headerReference r:id="rId26" w:type="default"/>
          <w:footerReference r:id="rId28" w:type="default"/>
          <w:headerReference r:id="rId27" w:type="even"/>
          <w:footerReference r:id="rId29" w:type="even"/>
          <w:pgSz w:w="11906" w:h="16838"/>
          <w:pgMar w:top="1928" w:right="1134" w:bottom="1134" w:left="1134" w:header="1418" w:footer="1134" w:gutter="284"/>
          <w:pgNumType w:fmt="decimal"/>
          <w:cols w:space="425" w:num="1"/>
          <w:formProt w:val="0"/>
          <w:docGrid w:linePitch="312" w:charSpace="0"/>
        </w:sectPr>
      </w:pPr>
      <w:bookmarkStart w:id="74" w:name="BookMark6"/>
    </w:p>
    <w:p w14:paraId="03F5614E">
      <w:pPr>
        <w:pStyle w:val="63"/>
        <w:bidi w:val="0"/>
        <w:rPr>
          <w:rFonts w:hint="eastAsia"/>
          <w:lang w:eastAsia="zh-CN"/>
        </w:rPr>
      </w:pPr>
      <w:bookmarkStart w:id="75" w:name="_Toc26614"/>
      <w:r>
        <w:rPr>
          <w:rFonts w:hint="eastAsia"/>
          <w:spacing w:val="105"/>
          <w:lang w:eastAsia="zh-CN"/>
        </w:rPr>
        <w:t>参考文</w:t>
      </w:r>
      <w:r>
        <w:rPr>
          <w:rFonts w:hint="eastAsia"/>
          <w:lang w:eastAsia="zh-CN"/>
        </w:rPr>
        <w:t>献</w:t>
      </w:r>
      <w:bookmarkEnd w:id="75"/>
    </w:p>
    <w:p w14:paraId="5A86AF8B">
      <w:pPr>
        <w:pStyle w:val="56"/>
        <w:bidi w:val="0"/>
        <w:rPr>
          <w:rFonts w:hint="eastAsia"/>
          <w:lang w:eastAsia="zh-CN"/>
        </w:rPr>
      </w:pPr>
      <w:r>
        <w:rPr>
          <w:rFonts w:hint="eastAsia"/>
          <w:lang w:eastAsia="zh-CN"/>
        </w:rPr>
        <w:t>[1]国务院关于印发2030年前碳达峰行动方案的通知，国发〔2021〕23号；</w:t>
      </w:r>
    </w:p>
    <w:p w14:paraId="0EA44B8F">
      <w:pPr>
        <w:pStyle w:val="56"/>
        <w:bidi w:val="0"/>
        <w:rPr>
          <w:rFonts w:hint="eastAsia"/>
          <w:lang w:eastAsia="zh-CN"/>
        </w:rPr>
      </w:pPr>
      <w:r>
        <w:rPr>
          <w:rFonts w:hint="eastAsia"/>
          <w:lang w:eastAsia="zh-CN"/>
        </w:rPr>
        <w:t>[2]国务院关于加快建立健全绿色低碳循环发展经济体系的指导意见，国发〔2021〕4号；</w:t>
      </w:r>
    </w:p>
    <w:p w14:paraId="7CDD26F2">
      <w:pPr>
        <w:pStyle w:val="56"/>
        <w:bidi w:val="0"/>
        <w:rPr>
          <w:rFonts w:hint="eastAsia"/>
          <w:lang w:eastAsia="zh-CN"/>
        </w:rPr>
      </w:pPr>
      <w:r>
        <w:rPr>
          <w:rFonts w:hint="eastAsia"/>
          <w:lang w:eastAsia="zh-CN"/>
        </w:rPr>
        <w:t>[3]生态环境部 国家发展改革委 工业和信息化部等部门关于印发《关于建立碳足迹管理体系的实施方案》的通知，环气候〔2024〕30号；</w:t>
      </w:r>
    </w:p>
    <w:p w14:paraId="17B29966">
      <w:pPr>
        <w:pStyle w:val="56"/>
        <w:bidi w:val="0"/>
        <w:rPr>
          <w:rFonts w:hint="eastAsia"/>
          <w:lang w:eastAsia="zh-CN"/>
        </w:rPr>
      </w:pPr>
      <w:r>
        <w:rPr>
          <w:rFonts w:hint="eastAsia"/>
          <w:lang w:eastAsia="zh-CN"/>
        </w:rPr>
        <w:t>[4]国家能源局关于印发《可再生能源绿色电力证书核发和交易规则》的通知，国能发新能规〔2024〕67号；</w:t>
      </w:r>
    </w:p>
    <w:p w14:paraId="2A7C11D9">
      <w:pPr>
        <w:pStyle w:val="56"/>
        <w:bidi w:val="0"/>
        <w:rPr>
          <w:rFonts w:hint="eastAsia"/>
          <w:lang w:eastAsia="zh-CN"/>
        </w:rPr>
      </w:pPr>
      <w:r>
        <w:rPr>
          <w:rFonts w:hint="eastAsia"/>
          <w:lang w:eastAsia="zh-CN"/>
        </w:rPr>
        <w:t>[5]国家能源局综合司生态环境部办公厅《关于做好可再生能源绿色电力证书与自愿减排市场衔接工作的通知》，国能综通新能〔2024〕124号；</w:t>
      </w:r>
    </w:p>
    <w:p w14:paraId="033B99EC">
      <w:pPr>
        <w:pStyle w:val="56"/>
        <w:bidi w:val="0"/>
        <w:rPr>
          <w:rFonts w:hint="eastAsia"/>
          <w:lang w:eastAsia="zh-CN"/>
        </w:rPr>
      </w:pPr>
      <w:r>
        <w:rPr>
          <w:rFonts w:hint="eastAsia"/>
          <w:lang w:eastAsia="zh-CN"/>
        </w:rPr>
        <w:t>[6]生态环境部关于印发《环境信息依法披露制度改革方案》的通知（环综合〔2021〕43号）；</w:t>
      </w:r>
    </w:p>
    <w:p w14:paraId="6BA91DF1">
      <w:pPr>
        <w:pStyle w:val="56"/>
        <w:bidi w:val="0"/>
        <w:rPr>
          <w:rFonts w:hint="eastAsia"/>
          <w:lang w:eastAsia="zh-CN"/>
        </w:rPr>
      </w:pPr>
      <w:r>
        <w:rPr>
          <w:rFonts w:hint="eastAsia"/>
          <w:lang w:eastAsia="zh-CN"/>
        </w:rPr>
        <w:t>[7]工业和信息化部办公厅关于印发《工业企业和园区数字化能碳管理中心建设指南》的通知（工信厅节〔2025〕13号）；</w:t>
      </w:r>
    </w:p>
    <w:p w14:paraId="10975938">
      <w:pPr>
        <w:pStyle w:val="56"/>
        <w:bidi w:val="0"/>
        <w:rPr>
          <w:rFonts w:hint="eastAsia"/>
          <w:lang w:eastAsia="zh-CN"/>
        </w:rPr>
      </w:pPr>
      <w:r>
        <w:rPr>
          <w:rFonts w:hint="eastAsia"/>
          <w:lang w:eastAsia="zh-CN"/>
        </w:rPr>
        <w:t>[8]工业和信息化部 国家发展改革委 生态环境部 国务院国资委 国家能源局印发《关于开展零碳工厂建设工作的指导意见》的通知（工信部联节〔2026〕13号）。</w:t>
      </w:r>
    </w:p>
    <w:bookmarkEnd w:id="74"/>
    <w:p w14:paraId="1C9B77A1">
      <w:pPr>
        <w:pStyle w:val="56"/>
        <w:bidi w:val="0"/>
        <w:ind w:firstLine="0" w:firstLineChars="0"/>
        <w:jc w:val="center"/>
        <w:rPr>
          <w:rFonts w:hint="eastAsia" w:eastAsia="宋体"/>
          <w:lang w:eastAsia="zh-CN"/>
        </w:rPr>
      </w:pPr>
      <w:bookmarkStart w:id="76" w:name="BookMark8"/>
      <w:r>
        <w:rPr>
          <w:rFonts w:hint="eastAsia" w:eastAsia="宋体"/>
          <w:lang w:eastAsia="zh-CN"/>
        </w:rPr>
        <w:drawing>
          <wp:inline distT="0" distB="0" distL="114300" distR="114300">
            <wp:extent cx="1485900" cy="317500"/>
            <wp:effectExtent l="0" t="0" r="7620" b="2540"/>
            <wp:docPr id="3" name="图片 3" descr="1"/>
            <wp:cNvGraphicFramePr/>
            <a:graphic xmlns:a="http://schemas.openxmlformats.org/drawingml/2006/main">
              <a:graphicData uri="http://schemas.openxmlformats.org/drawingml/2006/picture">
                <pic:pic xmlns:pic="http://schemas.openxmlformats.org/drawingml/2006/picture">
                  <pic:nvPicPr>
                    <pic:cNvPr id="3" name="图片 3" descr="1"/>
                    <pic:cNvPicPr/>
                  </pic:nvPicPr>
                  <pic:blipFill>
                    <a:blip r:embed="rId37"/>
                    <a:stretch>
                      <a:fillRect/>
                    </a:stretch>
                  </pic:blipFill>
                  <pic:spPr>
                    <a:xfrm>
                      <a:off x="0" y="0"/>
                      <a:ext cx="1485900" cy="317500"/>
                    </a:xfrm>
                    <a:prstGeom prst="rect">
                      <a:avLst/>
                    </a:prstGeom>
                  </pic:spPr>
                </pic:pic>
              </a:graphicData>
            </a:graphic>
          </wp:inline>
        </w:drawing>
      </w:r>
      <w:bookmarkEnd w:id="76"/>
    </w:p>
    <w:sectPr>
      <w:headerReference r:id="rId30" w:type="default"/>
      <w:footerReference r:id="rId32" w:type="default"/>
      <w:headerReference r:id="rId31" w:type="even"/>
      <w:footerReference r:id="rId33" w:type="even"/>
      <w:pgSz w:w="11906" w:h="16838"/>
      <w:pgMar w:top="1928" w:right="1134" w:bottom="1134" w:left="1134" w:header="1418" w:footer="1134" w:gutter="284"/>
      <w:pgNumType w:fmt="decimal"/>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7"/>
    </w:pPr>
    <w:r>
      <w:fldChar w:fldCharType="begin"/>
    </w:r>
    <w:r>
      <w:instrText xml:space="preserve">PAGE   \* MERGEFORMAT</w:instrText>
    </w:r>
    <w:r>
      <w:fldChar w:fldCharType="separate"/>
    </w:r>
    <w:r>
      <w:rPr>
        <w:lang w:val="zh-CN"/>
      </w:rPr>
      <w:t>2</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7C33F6">
    <w:pPr>
      <w:pStyle w:val="51"/>
      <w:bidi w:val="0"/>
    </w:pPr>
    <w:r>
      <w:fldChar w:fldCharType="begin"/>
    </w:r>
    <w:r>
      <w:instrText xml:space="preserve"> PAGE   \* MERGEFORMAT \* MERGEFORMAT </w:instrText>
    </w:r>
    <w:r>
      <w:fldChar w:fldCharType="separate"/>
    </w:r>
    <w:r>
      <w:t>8</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A0E7F">
    <w:pPr>
      <w:pStyle w:val="52"/>
      <w:bidi w:val="0"/>
    </w:pPr>
    <w:r>
      <w:fldChar w:fldCharType="begin"/>
    </w:r>
    <w:r>
      <w:instrText xml:space="preserve">PAGE   \* MERGEFORMAT</w:instrText>
    </w:r>
    <w:r>
      <w:fldChar w:fldCharType="separate"/>
    </w:r>
    <w:r>
      <w:rPr>
        <w:lang w:val="zh-CN"/>
      </w:rPr>
      <w:t>1</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A7B00">
    <w:pPr>
      <w:pStyle w:val="51"/>
      <w:bidi w:val="0"/>
    </w:pPr>
    <w:r>
      <w:fldChar w:fldCharType="begin"/>
    </w:r>
    <w:r>
      <w:instrText xml:space="preserve"> PAGE   \* MERGEFORMAT \* MERGEFORMAT </w:instrText>
    </w:r>
    <w:r>
      <w:fldChar w:fldCharType="separate"/>
    </w:r>
    <w:r>
      <w:t>2</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D5016">
    <w:pPr>
      <w:pStyle w:val="52"/>
      <w:bidi w:val="0"/>
    </w:pPr>
    <w:r>
      <w:fldChar w:fldCharType="begin"/>
    </w:r>
    <w:r>
      <w:instrText xml:space="preserve">PAGE   \* MERGEFORMAT</w:instrText>
    </w:r>
    <w:r>
      <w:fldChar w:fldCharType="separate"/>
    </w:r>
    <w:r>
      <w:rPr>
        <w:lang w:val="zh-CN"/>
      </w:rPr>
      <w:t>1</w:t>
    </w:r>
    <w: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D45B3">
    <w:pPr>
      <w:pStyle w:val="51"/>
      <w:bidi w:val="0"/>
    </w:pPr>
    <w:r>
      <w:fldChar w:fldCharType="begin"/>
    </w:r>
    <w:r>
      <w:instrText xml:space="preserve"> PAGE   \* MERGEFORMAT \* MERGEFORMAT </w:instrText>
    </w:r>
    <w:r>
      <w:fldChar w:fldCharType="separate"/>
    </w:r>
    <w:r>
      <w:t>12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2"/>
      <w:bidi w:val="0"/>
    </w:pPr>
    <w:r>
      <w:fldChar w:fldCharType="begin"/>
    </w:r>
    <w:r>
      <w:instrText xml:space="preserve">PAGE   \* MERGEFORMAT</w:instrText>
    </w:r>
    <w:r>
      <w:fldChar w:fldCharType="separate"/>
    </w:r>
    <w:r>
      <w:rPr>
        <w:lang w:val="zh-CN"/>
      </w:rP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87135">
    <w:pPr>
      <w:pStyle w:val="51"/>
      <w:bidi w:val="0"/>
    </w:pPr>
    <w:r>
      <w:fldChar w:fldCharType="begin"/>
    </w:r>
    <w:r>
      <w:instrText xml:space="preserve"> PAGE   \* MERGEFORMAT \* MERGEFORMAT </w:instrText>
    </w:r>
    <w:r>
      <w:fldChar w:fldCharType="separate"/>
    </w:r>
    <w:r>
      <w:t>2</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B3B804">
    <w:pPr>
      <w:pStyle w:val="52"/>
      <w:bidi w:val="0"/>
    </w:pPr>
    <w:r>
      <w:fldChar w:fldCharType="begin"/>
    </w:r>
    <w:r>
      <w:instrText xml:space="preserve">PAGE   \* MERGEFORMAT</w:instrText>
    </w:r>
    <w:r>
      <w:fldChar w:fldCharType="separate"/>
    </w:r>
    <w:r>
      <w:rPr>
        <w:lang w:val="zh-CN"/>
      </w:rP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C8596">
    <w:pPr>
      <w:pStyle w:val="51"/>
      <w:bidi w:val="0"/>
    </w:pPr>
    <w:r>
      <w:fldChar w:fldCharType="begin"/>
    </w:r>
    <w:r>
      <w:instrText xml:space="preserve"> PAGE   \* MERGEFORMAT \* MERGEFORMAT </w:instrText>
    </w:r>
    <w:r>
      <w:fldChar w:fldCharType="separate"/>
    </w:r>
    <w:r>
      <w:t>2</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0E369">
    <w:pPr>
      <w:pStyle w:val="52"/>
      <w:bidi w:val="0"/>
    </w:pPr>
    <w:r>
      <w:fldChar w:fldCharType="begin"/>
    </w:r>
    <w:r>
      <w:instrText xml:space="preserve">PAGE   \* MERGEFORMAT</w:instrText>
    </w:r>
    <w:r>
      <w:fldChar w:fldCharType="separate"/>
    </w:r>
    <w:r>
      <w:rPr>
        <w:lang w:val="zh-CN"/>
      </w:rP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499FA8">
    <w:pPr>
      <w:pStyle w:val="51"/>
      <w:bidi w:val="0"/>
    </w:pPr>
    <w:r>
      <w:fldChar w:fldCharType="begin"/>
    </w:r>
    <w:r>
      <w:instrText xml:space="preserve"> PAGE   \* MERGEFORMAT \* MERGEFORMAT </w:instrText>
    </w:r>
    <w:r>
      <w:fldChar w:fldCharType="separate"/>
    </w:r>
    <w:r>
      <w:t>2</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036ED">
    <w:pPr>
      <w:pStyle w:val="52"/>
      <w:bidi w:val="0"/>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3B64B4">
    <w:pPr>
      <w:pStyle w:val="61"/>
      <w:bidi w:val="0"/>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D9908">
    <w:pPr>
      <w:pStyle w:val="62"/>
      <w:bidi w:val="0"/>
    </w:pPr>
    <w:r>
      <w:fldChar w:fldCharType="begin"/>
    </w:r>
    <w:r>
      <w:instrText xml:space="preserve"> STYLEREF  标准文件_文件编号 \* MERGEFORMAT </w:instrText>
    </w:r>
    <w:r>
      <w:fldChar w:fldCharType="separate"/>
    </w:r>
    <w:r>
      <w:t>T/CQSES XXXX—2026</w:t>
    </w:r>
    <w: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FA79EE">
    <w:pPr>
      <w:pStyle w:val="61"/>
      <w:bidi w:val="0"/>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F0317">
    <w:pPr>
      <w:pStyle w:val="62"/>
      <w:bidi w:val="0"/>
    </w:pPr>
    <w:r>
      <w:fldChar w:fldCharType="begin"/>
    </w:r>
    <w:r>
      <w:instrText xml:space="preserve"> STYLEREF  标准文件_文件编号 \* MERGEFORMAT </w:instrText>
    </w:r>
    <w:r>
      <w:fldChar w:fldCharType="separate"/>
    </w:r>
    <w:r>
      <w:t>T/CQSES XXXX—2026</w:t>
    </w:r>
    <w: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7E11AD">
    <w:pPr>
      <w:pStyle w:val="61"/>
      <w:bidi w:val="0"/>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A6887">
    <w:pPr>
      <w:pStyle w:val="62"/>
      <w:bidi w:val="0"/>
    </w:pPr>
    <w:r>
      <w:fldChar w:fldCharType="begin"/>
    </w:r>
    <w:r>
      <w:instrText xml:space="preserve"> STYLEREF  标准文件_文件编号 \* MERGEFORMAT </w:instrText>
    </w:r>
    <w:r>
      <w:fldChar w:fldCharType="separate"/>
    </w:r>
    <w:r>
      <w:t>T/CQSES XXXX—2026</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1ECADC">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1"/>
      <w:bidi w:val="0"/>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62"/>
      <w:bidi w:val="0"/>
    </w:pPr>
    <w:r>
      <w:fldChar w:fldCharType="begin"/>
    </w:r>
    <w:r>
      <w:instrText xml:space="preserve"> STYLEREF  标准文件_文件编号 \* MERGEFORMAT </w:instrText>
    </w:r>
    <w:r>
      <w:fldChar w:fldCharType="separate"/>
    </w:r>
    <w:r>
      <w:t>T/CQSES XXXX—2026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DF7A7">
    <w:pPr>
      <w:pStyle w:val="61"/>
      <w:bidi w:val="0"/>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4A198">
    <w:pPr>
      <w:pStyle w:val="62"/>
      <w:bidi w:val="0"/>
    </w:pPr>
    <w:r>
      <w:fldChar w:fldCharType="begin"/>
    </w:r>
    <w:r>
      <w:instrText xml:space="preserve"> STYLEREF  标准文件_文件编号 \* MERGEFORMAT </w:instrText>
    </w:r>
    <w:r>
      <w:fldChar w:fldCharType="separate"/>
    </w:r>
    <w:r>
      <w:t>T/CQSES XXXX—2026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182DD">
    <w:pPr>
      <w:pStyle w:val="61"/>
      <w:bidi w:val="0"/>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B1839E">
    <w:pPr>
      <w:pStyle w:val="62"/>
      <w:bidi w:val="0"/>
    </w:pPr>
    <w:r>
      <w:fldChar w:fldCharType="begin"/>
    </w:r>
    <w:r>
      <w:instrText xml:space="preserve"> STYLEREF  标准文件_文件编号 \* MERGEFORMAT </w:instrText>
    </w:r>
    <w:r>
      <w:fldChar w:fldCharType="separate"/>
    </w:r>
    <w:r>
      <w:t>T/CQSES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A17422"/>
    <w:multiLevelType w:val="multilevel"/>
    <w:tmpl w:val="AAA17422"/>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2"/>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0"/>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dit="forms" w:enforcement="1" w:cryptProviderType="rsaFull" w:cryptAlgorithmClass="hash" w:cryptAlgorithmType="typeAny" w:cryptAlgorithmSid="4" w:cryptSpinCount="0" w:hash="Bxom5i2OHld/PTNGe6nyCtdAdTg=" w:salt="X/DXizx6MB/iEnL0tzRaCQ=="/>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5DB1A55"/>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15DB1A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0" w:name="toc 8"/>
    <w:lsdException w:uiPriority="0" w:name="toc 9"/>
    <w:lsdException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86"/>
    <w:uiPriority w:val="0"/>
    <w:pPr>
      <w:spacing w:after="120"/>
    </w:pPr>
  </w:style>
  <w:style w:type="paragraph" w:styleId="14">
    <w:name w:val="toc 5"/>
    <w:basedOn w:val="1"/>
    <w:next w:val="1"/>
    <w:autoRedefine/>
    <w:unhideWhenUsed/>
    <w:uiPriority w:val="39"/>
    <w:pPr>
      <w:ind w:left="839"/>
    </w:pPr>
    <w:rPr>
      <w:rFonts w:ascii="宋体"/>
    </w:rPr>
  </w:style>
  <w:style w:type="paragraph" w:styleId="15">
    <w:name w:val="toc 3"/>
    <w:basedOn w:val="1"/>
    <w:next w:val="1"/>
    <w:autoRedefine/>
    <w:unhideWhenUsed/>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uiPriority w:val="0"/>
    <w:rPr>
      <w:rFonts w:ascii="宋体" w:hAnsi="Times New Roman" w:eastAsia="宋体"/>
      <w:sz w:val="18"/>
    </w:rPr>
  </w:style>
  <w:style w:type="character" w:styleId="31">
    <w:name w:val="Emphasis"/>
    <w:qFormat/>
    <w:uiPriority w:val="20"/>
    <w:rPr>
      <w:i/>
      <w:iCs/>
    </w:rPr>
  </w:style>
  <w:style w:type="character" w:styleId="32">
    <w:name w:val="Hyperlink"/>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uiPriority w:val="0"/>
    <w:pPr>
      <w:ind w:left="198"/>
    </w:pPr>
    <w:rPr>
      <w:rFonts w:ascii="宋体" w:hAnsi="Times New Roman" w:eastAsia="宋体" w:cs="Times New Roman"/>
      <w:sz w:val="18"/>
      <w:lang w:val="en-US" w:eastAsia="zh-CN" w:bidi="ar-SA"/>
    </w:rPr>
  </w:style>
  <w:style w:type="paragraph" w:customStyle="1" w:styleId="52">
    <w:name w:val="标准文件_页脚奇数页"/>
    <w:uiPriority w:val="0"/>
    <w:pPr>
      <w:ind w:right="227"/>
      <w:jc w:val="right"/>
    </w:pPr>
    <w:rPr>
      <w:rFonts w:ascii="宋体" w:hAnsi="Times New Roman" w:eastAsia="宋体" w:cs="Times New Roman"/>
      <w:sz w:val="18"/>
      <w:lang w:val="en-US" w:eastAsia="zh-CN" w:bidi="ar-SA"/>
    </w:rPr>
  </w:style>
  <w:style w:type="paragraph" w:customStyle="1" w:styleId="53">
    <w:name w:val="标准书眉一"/>
    <w:uiPriority w:val="0"/>
    <w:pPr>
      <w:jc w:val="both"/>
    </w:pPr>
    <w:rPr>
      <w:rFonts w:ascii="Times New Roman" w:hAnsi="Times New Roman" w:eastAsia="宋体" w:cs="Times New Roman"/>
      <w:lang w:val="en-US" w:eastAsia="zh-CN" w:bidi="ar-SA"/>
    </w:rPr>
  </w:style>
  <w:style w:type="paragraph" w:customStyle="1" w:styleId="54">
    <w:name w:val="标准文件_ICS"/>
    <w:basedOn w:val="1"/>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7">
    <w:name w:val="标准文件_版本"/>
    <w:basedOn w:val="55"/>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uiPriority w:val="0"/>
    <w:pPr>
      <w:spacing w:line="310" w:lineRule="exact"/>
      <w:jc w:val="right"/>
    </w:pPr>
    <w:rPr>
      <w:rFonts w:ascii="宋体" w:hAnsi="宋体"/>
      <w:kern w:val="0"/>
    </w:rPr>
  </w:style>
  <w:style w:type="paragraph" w:customStyle="1" w:styleId="60">
    <w:name w:val="标准文件_标准名称标题"/>
    <w:basedOn w:val="1"/>
    <w:next w:val="1"/>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uiPriority w:val="0"/>
    <w:pPr>
      <w:jc w:val="left"/>
    </w:pPr>
  </w:style>
  <w:style w:type="paragraph" w:customStyle="1" w:styleId="63">
    <w:name w:val="标准文件_参考文献标题"/>
    <w:basedOn w:val="1"/>
    <w:next w:val="1"/>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uiPriority w:val="0"/>
    <w:rPr>
      <w:rFonts w:ascii="黑体" w:eastAsia="黑体"/>
      <w:spacing w:val="0"/>
      <w:w w:val="100"/>
      <w:position w:val="3"/>
      <w:sz w:val="28"/>
    </w:rPr>
  </w:style>
  <w:style w:type="paragraph" w:customStyle="1" w:styleId="67">
    <w:name w:val="标准文件_方框数字列项"/>
    <w:basedOn w:val="56"/>
    <w:uiPriority w:val="0"/>
    <w:pPr>
      <w:numPr>
        <w:ilvl w:val="0"/>
        <w:numId w:val="3"/>
      </w:numPr>
      <w:ind w:firstLine="0" w:firstLineChars="0"/>
    </w:pPr>
  </w:style>
  <w:style w:type="paragraph" w:customStyle="1" w:styleId="68">
    <w:name w:val="标准文件_封面标准编号"/>
    <w:basedOn w:val="1"/>
    <w:next w:val="59"/>
    <w:uiPriority w:val="0"/>
    <w:pPr>
      <w:spacing w:line="310" w:lineRule="exact"/>
      <w:jc w:val="right"/>
    </w:pPr>
    <w:rPr>
      <w:rFonts w:ascii="黑体" w:eastAsia="黑体"/>
      <w:kern w:val="0"/>
      <w:sz w:val="28"/>
    </w:rPr>
  </w:style>
  <w:style w:type="paragraph" w:customStyle="1" w:styleId="69">
    <w:name w:val="标准文件_封面标准分类号"/>
    <w:basedOn w:val="1"/>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uiPriority w:val="0"/>
    <w:pPr>
      <w:spacing w:line="310" w:lineRule="exact"/>
    </w:pPr>
    <w:rPr>
      <w:rFonts w:ascii="黑体" w:eastAsia="黑体"/>
      <w:kern w:val="0"/>
      <w:sz w:val="28"/>
    </w:rPr>
  </w:style>
  <w:style w:type="paragraph" w:customStyle="1" w:styleId="73">
    <w:name w:val="标准文件_封面密级"/>
    <w:basedOn w:val="1"/>
    <w:uiPriority w:val="0"/>
    <w:rPr>
      <w:rFonts w:eastAsia="黑体"/>
      <w:sz w:val="32"/>
    </w:rPr>
  </w:style>
  <w:style w:type="paragraph" w:customStyle="1" w:styleId="74">
    <w:name w:val="标准文件_封面实施日期"/>
    <w:basedOn w:val="1"/>
    <w:uiPriority w:val="0"/>
    <w:pPr>
      <w:spacing w:line="310" w:lineRule="exact"/>
      <w:jc w:val="right"/>
    </w:pPr>
    <w:rPr>
      <w:rFonts w:ascii="黑体" w:eastAsia="黑体"/>
      <w:sz w:val="28"/>
    </w:rPr>
  </w:style>
  <w:style w:type="paragraph" w:customStyle="1" w:styleId="75">
    <w:name w:val="标准文件_封面抬头"/>
    <w:basedOn w:val="56"/>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uiPriority w:val="0"/>
    <w:pPr>
      <w:ind w:left="488" w:leftChars="200" w:hanging="289" w:hangingChars="290"/>
    </w:pPr>
  </w:style>
  <w:style w:type="paragraph" w:customStyle="1" w:styleId="89">
    <w:name w:val="标准文件_前言、引言标题"/>
    <w:next w:val="1"/>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uiPriority w:val="0"/>
    <w:pPr>
      <w:spacing w:line="460" w:lineRule="exact"/>
      <w:ind w:left="0" w:firstLine="0"/>
    </w:pPr>
  </w:style>
  <w:style w:type="paragraph" w:customStyle="1" w:styleId="91">
    <w:name w:val="标准文件_目录标题"/>
    <w:basedOn w:val="1"/>
    <w:uiPriority w:val="0"/>
    <w:pPr>
      <w:spacing w:before="480" w:after="150" w:afterLines="150" w:line="240" w:lineRule="auto"/>
      <w:jc w:val="center"/>
    </w:pPr>
    <w:rPr>
      <w:rFonts w:ascii="黑体" w:eastAsia="黑体"/>
      <w:sz w:val="32"/>
    </w:rPr>
  </w:style>
  <w:style w:type="paragraph" w:customStyle="1" w:styleId="92">
    <w:name w:val="标准文件_破折号列项"/>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uiPriority w:val="0"/>
    <w:pPr>
      <w:adjustRightInd/>
      <w:spacing w:line="240" w:lineRule="auto"/>
      <w:ind w:firstLine="200" w:firstLineChars="200"/>
    </w:pPr>
    <w:rPr>
      <w:sz w:val="18"/>
      <w:szCs w:val="24"/>
    </w:rPr>
  </w:style>
  <w:style w:type="paragraph" w:customStyle="1" w:styleId="97">
    <w:name w:val="标准文件_数字编号列项"/>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uiPriority w:val="0"/>
    <w:pPr>
      <w:outlineLvl w:val="4"/>
    </w:pPr>
  </w:style>
  <w:style w:type="paragraph" w:customStyle="1" w:styleId="130">
    <w:name w:val="附录四级无标题条"/>
    <w:basedOn w:val="129"/>
    <w:next w:val="56"/>
    <w:uiPriority w:val="0"/>
    <w:pPr>
      <w:outlineLvl w:val="5"/>
    </w:pPr>
  </w:style>
  <w:style w:type="paragraph" w:customStyle="1" w:styleId="131">
    <w:name w:val="附录图"/>
    <w:next w:val="56"/>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uiPriority w:val="0"/>
    <w:pPr>
      <w:outlineLvl w:val="6"/>
    </w:pPr>
  </w:style>
  <w:style w:type="paragraph" w:customStyle="1" w:styleId="134">
    <w:name w:val="附录性质"/>
    <w:basedOn w:val="1"/>
    <w:uiPriority w:val="0"/>
    <w:pPr>
      <w:widowControl/>
      <w:adjustRightInd/>
      <w:jc w:val="center"/>
    </w:pPr>
    <w:rPr>
      <w:rFonts w:ascii="黑体" w:eastAsia="黑体"/>
    </w:rPr>
  </w:style>
  <w:style w:type="paragraph" w:customStyle="1" w:styleId="135">
    <w:name w:val="附录一级无标题条"/>
    <w:basedOn w:val="87"/>
    <w:next w:val="56"/>
    <w:uiPriority w:val="0"/>
    <w:pPr>
      <w:autoSpaceDN w:val="0"/>
      <w:outlineLvl w:val="2"/>
    </w:pPr>
    <w:rPr>
      <w:rFonts w:ascii="宋体" w:hAnsi="宋体" w:eastAsia="宋体"/>
    </w:rPr>
  </w:style>
  <w:style w:type="character" w:customStyle="1" w:styleId="136">
    <w:name w:val="个人答复风格"/>
    <w:uiPriority w:val="0"/>
    <w:rPr>
      <w:rFonts w:ascii="Arial" w:hAnsi="Arial" w:eastAsia="宋体" w:cs="Arial"/>
      <w:color w:val="auto"/>
      <w:spacing w:val="0"/>
      <w:sz w:val="20"/>
    </w:rPr>
  </w:style>
  <w:style w:type="character" w:customStyle="1" w:styleId="137">
    <w:name w:val="个人撰写风格"/>
    <w:uiPriority w:val="0"/>
    <w:rPr>
      <w:rFonts w:ascii="Arial" w:hAnsi="Arial" w:eastAsia="宋体" w:cs="Arial"/>
      <w:color w:val="auto"/>
      <w:spacing w:val="0"/>
      <w:sz w:val="20"/>
    </w:rPr>
  </w:style>
  <w:style w:type="paragraph" w:customStyle="1" w:styleId="138">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uiPriority w:val="0"/>
    <w:pPr>
      <w:tabs>
        <w:tab w:val="left" w:pos="840"/>
      </w:tabs>
    </w:pPr>
  </w:style>
  <w:style w:type="paragraph" w:customStyle="1" w:styleId="141">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uiPriority w:val="0"/>
    <w:pPr>
      <w:spacing w:line="240" w:lineRule="auto"/>
    </w:pPr>
    <w:rPr>
      <w:rFonts w:ascii="宋体" w:hAnsi="宋体"/>
      <w:iCs/>
    </w:rPr>
  </w:style>
  <w:style w:type="paragraph" w:customStyle="1" w:styleId="144">
    <w:name w:val="目录 41"/>
    <w:basedOn w:val="1"/>
    <w:next w:val="1"/>
    <w:autoRedefine/>
    <w:semiHidden/>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uiPriority w:val="0"/>
    <w:pPr>
      <w:adjustRightInd/>
      <w:spacing w:line="240" w:lineRule="auto"/>
      <w:jc w:val="left"/>
    </w:pPr>
  </w:style>
  <w:style w:type="paragraph" w:customStyle="1" w:styleId="147">
    <w:name w:val="目录 71"/>
    <w:basedOn w:val="146"/>
    <w:autoRedefine/>
    <w:semiHidden/>
    <w:uiPriority w:val="0"/>
    <w:pPr>
      <w:ind w:left="1260"/>
    </w:pPr>
  </w:style>
  <w:style w:type="paragraph" w:customStyle="1" w:styleId="148">
    <w:name w:val="目录 81"/>
    <w:basedOn w:val="147"/>
    <w:autoRedefine/>
    <w:semiHidden/>
    <w:uiPriority w:val="0"/>
    <w:pPr>
      <w:ind w:left="1470"/>
    </w:pPr>
  </w:style>
  <w:style w:type="paragraph" w:customStyle="1" w:styleId="149">
    <w:name w:val="目录 91"/>
    <w:basedOn w:val="148"/>
    <w:autoRedefine/>
    <w:semiHidden/>
    <w:uiPriority w:val="0"/>
    <w:pPr>
      <w:ind w:left="1680"/>
    </w:pPr>
  </w:style>
  <w:style w:type="paragraph" w:customStyle="1" w:styleId="150">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uiPriority w:val="0"/>
    <w:pPr>
      <w:framePr w:wrap="around"/>
      <w:spacing w:line="0" w:lineRule="atLeast"/>
    </w:pPr>
    <w:rPr>
      <w:rFonts w:ascii="黑体" w:eastAsia="黑体"/>
      <w:b w:val="0"/>
    </w:rPr>
  </w:style>
  <w:style w:type="paragraph" w:customStyle="1" w:styleId="152">
    <w:name w:val="前言标题"/>
    <w:next w:val="1"/>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uiPriority w:val="0"/>
    <w:pPr>
      <w:numPr>
        <w:ilvl w:val="4"/>
        <w:numId w:val="20"/>
      </w:numPr>
      <w:adjustRightInd/>
      <w:spacing w:line="240" w:lineRule="auto"/>
    </w:pPr>
    <w:rPr>
      <w:rFonts w:ascii="宋体" w:hAnsi="宋体"/>
      <w:szCs w:val="24"/>
    </w:rPr>
  </w:style>
  <w:style w:type="paragraph" w:customStyle="1" w:styleId="154">
    <w:name w:val="实施日期"/>
    <w:basedOn w:val="120"/>
    <w:uiPriority w:val="0"/>
    <w:pPr>
      <w:framePr w:hSpace="0" w:wrap="around" w:xAlign="right"/>
      <w:jc w:val="right"/>
    </w:pPr>
  </w:style>
  <w:style w:type="paragraph" w:customStyle="1" w:styleId="155">
    <w:name w:val="四级无标题条"/>
    <w:basedOn w:val="1"/>
    <w:uiPriority w:val="0"/>
    <w:pPr>
      <w:numPr>
        <w:ilvl w:val="5"/>
        <w:numId w:val="20"/>
      </w:numPr>
      <w:adjustRightInd/>
      <w:spacing w:line="240" w:lineRule="auto"/>
    </w:pPr>
    <w:rPr>
      <w:rFonts w:ascii="宋体" w:hAnsi="宋体"/>
      <w:szCs w:val="24"/>
    </w:rPr>
  </w:style>
  <w:style w:type="paragraph" w:customStyle="1" w:styleId="156">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uiPriority w:val="0"/>
    <w:pPr>
      <w:jc w:val="both"/>
    </w:pPr>
    <w:rPr>
      <w:rFonts w:ascii="宋体" w:hAnsi="宋体" w:eastAsia="宋体" w:cs="Times New Roman"/>
      <w:sz w:val="21"/>
      <w:lang w:val="en-US" w:eastAsia="zh-CN" w:bidi="ar-SA"/>
    </w:rPr>
  </w:style>
  <w:style w:type="paragraph" w:customStyle="1" w:styleId="158">
    <w:name w:val="五级无标题条"/>
    <w:basedOn w:val="1"/>
    <w:uiPriority w:val="0"/>
    <w:pPr>
      <w:numPr>
        <w:ilvl w:val="6"/>
        <w:numId w:val="20"/>
      </w:numPr>
      <w:adjustRightInd/>
    </w:pPr>
    <w:rPr>
      <w:szCs w:val="24"/>
    </w:rPr>
  </w:style>
  <w:style w:type="paragraph" w:customStyle="1" w:styleId="159">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0">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cs="Arial"/>
      <w:szCs w:val="28"/>
    </w:rPr>
  </w:style>
  <w:style w:type="paragraph" w:customStyle="1" w:styleId="169">
    <w:name w:val="标准文件_小写罗马数字编号列项"/>
    <w:basedOn w:val="56"/>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uiPriority w:val="0"/>
    <w:rPr>
      <w:rFonts w:ascii="宋体" w:hAnsi="Times New Roman" w:eastAsia="宋体" w:cs="Times New Roman"/>
      <w:sz w:val="21"/>
      <w:lang w:val="en-US" w:eastAsia="zh-CN" w:bidi="ar-SA"/>
    </w:rPr>
  </w:style>
  <w:style w:type="paragraph" w:customStyle="1" w:styleId="172">
    <w:name w:val="标准文件_三级项"/>
    <w:basedOn w:val="1"/>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uiPriority w:val="0"/>
    <w:rPr>
      <w:rFonts w:ascii="Times New Roman"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style>
  <w:style w:type="paragraph" w:customStyle="1" w:styleId="189">
    <w:name w:val="标准文件_一级项2"/>
    <w:basedOn w:val="56"/>
    <w:qFormat/>
    <w:uiPriority w:val="0"/>
    <w:pPr>
      <w:numPr>
        <w:ilvl w:val="0"/>
        <w:numId w:val="31"/>
      </w:numPr>
      <w:spacing w:line="300" w:lineRule="exact"/>
      <w:ind w:firstLineChars="0"/>
    </w:p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uiPriority w:val="0"/>
    <w:pPr>
      <w:framePr w:w="3997" w:h="471" w:hRule="exact" w:hSpace="0" w:vSpace="181" w:wrap="around" w:vAnchor="page" w:hAnchor="page" w:x="1419" w:y="14097"/>
    </w:pPr>
  </w:style>
  <w:style w:type="paragraph" w:customStyle="1" w:styleId="194">
    <w:name w:val="其他实施日期"/>
    <w:basedOn w:val="154"/>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uiPriority w:val="0"/>
    <w:rPr>
      <w:rFonts w:ascii="黑体" w:eastAsia="黑体"/>
      <w:spacing w:val="85"/>
      <w:w w:val="100"/>
      <w:position w:val="3"/>
      <w:sz w:val="28"/>
      <w:szCs w:val="28"/>
    </w:rPr>
  </w:style>
  <w:style w:type="paragraph" w:customStyle="1" w:styleId="230">
    <w:name w:val="Table Text"/>
    <w:basedOn w:val="1"/>
    <w:semiHidden/>
    <w:qFormat/>
    <w:uiPriority w:val="0"/>
    <w:rPr>
      <w:rFonts w:ascii="宋体" w:hAnsi="宋体" w:eastAsia="宋体" w:cs="宋体"/>
      <w:sz w:val="18"/>
      <w:szCs w:val="18"/>
      <w:lang w:val="en-US" w:eastAsia="en-US" w:bidi="ar-SA"/>
    </w:rPr>
  </w:style>
  <w:style w:type="table" w:customStyle="1" w:styleId="231">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3" Type="http://schemas.openxmlformats.org/officeDocument/2006/relationships/glossaryDocument" Target="glossary/document.xml"/><Relationship Id="rId42" Type="http://schemas.openxmlformats.org/officeDocument/2006/relationships/fontTable" Target="fontTable.xml"/><Relationship Id="rId41" Type="http://schemas.openxmlformats.org/officeDocument/2006/relationships/customXml" Target="../customXml/item3.xml"/><Relationship Id="rId40" Type="http://schemas.openxmlformats.org/officeDocument/2006/relationships/customXml" Target="../customXml/item2.xml"/><Relationship Id="rId4" Type="http://schemas.openxmlformats.org/officeDocument/2006/relationships/endnotes" Target="endnotes.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3.jpeg"/><Relationship Id="rId36" Type="http://schemas.openxmlformats.org/officeDocument/2006/relationships/image" Target="media/image2.png"/><Relationship Id="rId35" Type="http://schemas.openxmlformats.org/officeDocument/2006/relationships/image" Target="media/image1.png"/><Relationship Id="rId34" Type="http://schemas.openxmlformats.org/officeDocument/2006/relationships/theme" Target="theme/theme1.xml"/><Relationship Id="rId33" Type="http://schemas.openxmlformats.org/officeDocument/2006/relationships/footer" Target="footer14.xml"/><Relationship Id="rId32" Type="http://schemas.openxmlformats.org/officeDocument/2006/relationships/footer" Target="footer13.xml"/><Relationship Id="rId31" Type="http://schemas.openxmlformats.org/officeDocument/2006/relationships/header" Target="header15.xml"/><Relationship Id="rId30" Type="http://schemas.openxmlformats.org/officeDocument/2006/relationships/header" Target="header14.xml"/><Relationship Id="rId3" Type="http://schemas.openxmlformats.org/officeDocument/2006/relationships/footnotes" Target="footnotes.xml"/><Relationship Id="rId29" Type="http://schemas.openxmlformats.org/officeDocument/2006/relationships/footer" Target="footer12.xml"/><Relationship Id="rId28" Type="http://schemas.openxmlformats.org/officeDocument/2006/relationships/footer" Target="footer11.xml"/><Relationship Id="rId27" Type="http://schemas.openxmlformats.org/officeDocument/2006/relationships/header" Target="header13.xml"/><Relationship Id="rId26" Type="http://schemas.openxmlformats.org/officeDocument/2006/relationships/header" Target="header12.xml"/><Relationship Id="rId25" Type="http://schemas.openxmlformats.org/officeDocument/2006/relationships/footer" Target="footer10.xml"/><Relationship Id="rId24" Type="http://schemas.openxmlformats.org/officeDocument/2006/relationships/footer" Target="footer9.xml"/><Relationship Id="rId23" Type="http://schemas.openxmlformats.org/officeDocument/2006/relationships/header" Target="header11.xml"/><Relationship Id="rId22" Type="http://schemas.openxmlformats.org/officeDocument/2006/relationships/header" Target="header10.xml"/><Relationship Id="rId21" Type="http://schemas.openxmlformats.org/officeDocument/2006/relationships/footer" Target="footer8.xml"/><Relationship Id="rId20" Type="http://schemas.openxmlformats.org/officeDocument/2006/relationships/footer" Target="footer7.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header" Target="header8.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586168D4">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2F525FE0">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54964C52">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9B3BEDB4F2724F9D81F4444A5CCE266D"/>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49acd219-fb25-43e2-be3c-489f1c615c6b</errorID>
      <errorWord>秀山县</errorWord>
      <group>L1_Knowledge</group>
      <groupName>知识性问题</groupName>
      <ability>L2_Location</ability>
      <abilityName>地名检查</abilityName>
      <candidateList>
        <item>秀山土家族苗族自治县</item>
      </candidateList>
      <explain>自治区州县缩写不规范。《地名管理条例》第十八条规定，标识牌、公共平台发布的信息、各类公文证件、学习类公开出版物、地图、法律法规规定等场景范围内必须使用标准地名。</explain>
      <paraID>4726B71F</paraID>
      <start>196</start>
      <end>199</end>
      <status>unmodified</status>
      <modifiedWord/>
      <trackRevisions>false</trackRevisions>
    </reviewItem>
    <reviewItem>
      <errorID>4be67caa-5ebf-41c4-a95b-8706fabee266</errorID>
      <errorWord>趋向于</errorWord>
      <group>L1_Word</group>
      <groupName>字词问题</groupName>
      <ability>L2_Typo</ability>
      <abilityName>字词错误</abilityName>
      <candidateList>
        <item>趋向</item>
      </candidateList>
      <explain/>
      <paraID>4E8985AA</paraID>
      <start>41</start>
      <end>44</end>
      <status>unmodified</status>
      <modifiedWord/>
      <trackRevisions>false</trackRevisions>
    </reviewItem>
    <reviewItem>
      <errorID>9ab194cc-3e3a-4311-ba74-414bcec2a247</errorID>
      <errorWord>法律、法规</errorWord>
      <group>L1_Word</group>
      <groupName>字词问题</groupName>
      <ability>L2_Typo</ability>
      <abilityName>字词错误</abilityName>
      <candidateList>
        <item>法律法规</item>
      </candidateList>
      <explain/>
      <paraID>  A42D2E</paraID>
      <start>33</start>
      <end>38</end>
      <status>unmodified</status>
      <modifiedWord/>
      <trackRevisions>false</trackRevisions>
    </reviewItem>
    <reviewItem>
      <errorID>72546911-0da8-4356-bff7-ebdda985b766</errorID>
      <errorWord>国家工业和信息化部</errorWord>
      <group>L1_Political</group>
      <groupName>政治性问题</groupName>
      <ability>L2_Unpolitical</ability>
      <abilityName>政治敏感错误</abilityName>
      <candidateList>
        <item>工业和信息化部</item>
      </candidateList>
      <explain/>
      <paraID>314DD0E1</paraID>
      <start>5</start>
      <end>14</end>
      <status>unmodified</status>
      <modifiedWord/>
      <trackRevisions>false</trackRevisions>
    </reviewItem>
    <reviewItem>
      <errorID>4c16d844-3d06-499d-833d-f57764b41821</errorID>
      <errorWord>抵消</errorWord>
      <group>L1_Word</group>
      <groupName>字词问题</groupName>
      <ability>L2_Typo</ability>
      <abilityName>字词错误</abilityName>
      <candidateList>
        <item>抵销</item>
      </candidateList>
      <explain>存在发音相同字词的误用。</explain>
      <paraID> AC1EFEF</paraID>
      <start>33</start>
      <end>35</end>
      <status>unmodified</status>
      <modifiedWord/>
      <trackRevisions>false</trackRevisions>
    </reviewItem>
    <reviewItem>
      <errorID>6f1ae918-6f4a-40b9-bcb7-c394d1bc0543</errorID>
      <errorWord>双碳</errorWord>
      <group>L1_Political</group>
      <groupName>政治性问题</groupName>
      <ability>L2_Keyword</ability>
      <abilityName>固定表述</abilityName>
      <candidateList>
        <item>“双碳”</item>
      </candidateList>
      <explain>注意检查当前固定表述标点是否使用规范。</explain>
      <paraID>58D90A95</paraID>
      <start>7</start>
      <end>9</end>
      <status>unmodified</status>
      <modifiedWord/>
      <trackRevisions>false</trackRevisions>
    </reviewItem>
    <reviewItem>
      <errorID>70b88159-912b-4213-9f29-82b378a45e62</errorID>
      <errorWord>储存</errorWord>
      <group>L1_Word</group>
      <groupName>字词问题</groupName>
      <ability>L2_Typo</ability>
      <abilityName>字词错误</abilityName>
      <candidateList>
        <item>存储</item>
      </candidateList>
      <explain/>
      <paraID>39075208</paraID>
      <start>45</start>
      <end>47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customXml/itemProps3.xml><?xml version="1.0" encoding="utf-8"?>
<ds:datastoreItem xmlns:ds="http://schemas.openxmlformats.org/officeDocument/2006/customXml" ds:itemID="{d6eced4f-c1ea-48cd-929e-07fcee95437a}">
  <ds:schemaRefs/>
</ds:datastoreItem>
</file>

<file path=docProps/app.xml><?xml version="1.0" encoding="utf-8"?>
<Properties xmlns="http://schemas.openxmlformats.org/officeDocument/2006/extended-properties" xmlns:vt="http://schemas.openxmlformats.org/officeDocument/2006/docPropsVTypes">
  <Template>团体标准.dotx</Template>
  <Pages>16</Pages>
  <Words>252</Words>
  <Characters>317</Characters>
  <Lines>4</Lines>
  <Paragraphs>1</Paragraphs>
  <TotalTime>0</TotalTime>
  <ScaleCrop>false</ScaleCrop>
  <LinksUpToDate>false</LinksUpToDate>
  <CharactersWithSpaces>331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2026-04-30T09:02:00Z</dcterms:created>
  <dc:creator>若不为</dc:creator>
  <cp:lastModifiedBy>若不为</cp:lastModifiedBy>
  <dcterms:modified xsi:type="dcterms:W3CDTF">2026-04-30T09:23:31Z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9B7216D61F9F494C9578885FD8158943_11</vt:lpwstr>
  </property>
  <property fmtid="{D5CDD505-2E9C-101B-9397-08002B2CF9AE}" pid="15" name="DoublePage">
    <vt:lpwstr>true</vt:lpwstr>
  </property>
  <property fmtid="{D5CDD505-2E9C-101B-9397-08002B2CF9AE}" pid="16" name="KSOTemplateDocerSaveRecord">
    <vt:lpwstr>eyJoZGlkIjoiMDBhNzJiNGJkNTE2MmM3ZDRhNmRhN2Q5OGNhNzc0M2EiLCJ1c2VySWQiOiIyMzY4OTc3MTUifQ==</vt:lpwstr>
  </property>
  <property fmtid="{D5CDD505-2E9C-101B-9397-08002B2CF9AE}" pid="17" name="KSOProductBuildVer">
    <vt:lpwstr>2052-12.1.0.25865</vt:lpwstr>
  </property>
</Properties>
</file>