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7"/>
              <w:framePr w:wrap="notBeside" w:vAnchor="page" w:hAnchor="page" w:x="1372" w:y="568"/>
              <w:tabs>
                <w:tab w:val="clear" w:pos="4153"/>
                <w:tab w:val="clear" w:pos="8306"/>
              </w:tabs>
              <w:jc w:val="left"/>
              <w:rPr>
                <w:rFonts w:ascii="黑体" w:hAnsi="黑体" w:eastAsia="黑体"/>
                <w:kern w:val="0"/>
                <w:sz w:val="21"/>
                <w:szCs w:val="21"/>
              </w:rPr>
            </w:pPr>
            <w:bookmarkStart w:id="0" w:name="mbookmark10"/>
            <w:bookmarkStart w:id="1" w:name="_Toc98860773"/>
            <w:r>
              <w:rPr>
                <w:rFonts w:ascii="Times New Roman" w:hAnsi="Times New Roman" w:eastAsia="黑体"/>
                <w:kern w:val="0"/>
                <w:sz w:val="21"/>
                <w:szCs w:val="21"/>
              </w:rPr>
              <w:t>ICS</w:t>
            </w:r>
            <w:r>
              <w:rPr>
                <w:rFonts w:ascii="黑体" w:hAnsi="黑体" w:eastAsia="黑体"/>
                <w:kern w:val="0"/>
                <w:sz w:val="21"/>
                <w:szCs w:val="21"/>
              </w:rPr>
              <w:t xml:space="preserve">  </w:t>
            </w:r>
          </w:p>
        </w:tc>
        <w:tc>
          <w:tcPr>
            <w:tcW w:w="8855" w:type="dxa"/>
          </w:tcPr>
          <w:p>
            <w:pPr>
              <w:pStyle w:val="7"/>
              <w:framePr w:wrap="notBeside" w:vAnchor="page" w:hAnchor="page" w:x="1372" w:y="568"/>
              <w:tabs>
                <w:tab w:val="clear" w:pos="4153"/>
                <w:tab w:val="clear" w:pos="8306"/>
              </w:tabs>
              <w:jc w:val="both"/>
              <w:rPr>
                <w:rFonts w:ascii="黑体" w:hAnsi="黑体" w:eastAsia="黑体"/>
                <w:kern w:val="0"/>
                <w:sz w:val="21"/>
                <w:szCs w:val="21"/>
              </w:rPr>
            </w:pPr>
            <w:r>
              <w:rPr>
                <w:rFonts w:ascii="黑体" w:hAnsi="黑体" w:eastAsia="黑体"/>
                <w:kern w:val="0"/>
                <w:sz w:val="21"/>
                <w:szCs w:val="21"/>
              </w:rPr>
              <w:fldChar w:fldCharType="begin">
                <w:ffData>
                  <w:name w:val="ICS"/>
                  <w:enabled/>
                  <w:calcOnExit w:val="0"/>
                  <w:textInput>
                    <w:default w:val="点击此处添加ICS号"/>
                  </w:textInput>
                </w:ffData>
              </w:fldChar>
            </w:r>
            <w:bookmarkStart w:id="2" w:name="I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29.240.10</w:t>
            </w:r>
            <w:r>
              <w:rPr>
                <w:rFonts w:ascii="黑体" w:hAnsi="黑体" w:eastAsia="黑体"/>
                <w:kern w:val="0"/>
                <w:sz w:val="21"/>
                <w:szCs w:val="21"/>
              </w:rPr>
              <w:fldChar w:fldCharType="end"/>
            </w:r>
            <w:bookmarkEnd w:id="2"/>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Times New Roman" w:hAnsi="Times New Roman" w:eastAsia="黑体"/>
                <w:kern w:val="0"/>
                <w:sz w:val="21"/>
                <w:szCs w:val="21"/>
              </w:rPr>
              <w:t xml:space="preserve">CCS </w:t>
            </w:r>
            <w:r>
              <w:rPr>
                <w:rFonts w:ascii="黑体" w:hAnsi="黑体" w:eastAsia="黑体"/>
                <w:kern w:val="0"/>
                <w:sz w:val="21"/>
                <w:szCs w:val="21"/>
              </w:rPr>
              <w:t xml:space="preserve"> </w:t>
            </w:r>
          </w:p>
        </w:tc>
        <w:tc>
          <w:tcPr>
            <w:tcW w:w="8855" w:type="dxa"/>
          </w:tcPr>
          <w:p>
            <w:pPr>
              <w:pStyle w:val="7"/>
              <w:framePr w:wrap="notBeside" w:vAnchor="page" w:hAnchor="page" w:x="1372" w:y="568"/>
              <w:tabs>
                <w:tab w:val="clear" w:pos="4153"/>
                <w:tab w:val="clear" w:pos="8306"/>
              </w:tabs>
              <w:spacing w:before="40"/>
              <w:jc w:val="left"/>
              <w:rPr>
                <w:rFonts w:ascii="黑体" w:hAnsi="黑体" w:eastAsia="黑体"/>
                <w:kern w:val="0"/>
                <w:sz w:val="21"/>
                <w:szCs w:val="21"/>
              </w:rPr>
            </w:pPr>
            <w:r>
              <w:rPr>
                <w:rFonts w:ascii="黑体" w:hAnsi="黑体" w:eastAsia="黑体"/>
                <w:kern w:val="0"/>
                <w:sz w:val="21"/>
                <w:szCs w:val="21"/>
              </w:rPr>
              <w:fldChar w:fldCharType="begin">
                <w:ffData>
                  <w:name w:val="CCS"/>
                  <w:enabled/>
                  <w:calcOnExit w:val="0"/>
                  <w:textInput>
                    <w:default w:val="点击此处添加CCS号"/>
                  </w:textInput>
                </w:ffData>
              </w:fldChar>
            </w:r>
            <w:bookmarkStart w:id="3" w:name="CCS"/>
            <w:r>
              <w:rPr>
                <w:rFonts w:ascii="黑体" w:hAnsi="黑体" w:eastAsia="黑体"/>
                <w:kern w:val="0"/>
                <w:sz w:val="21"/>
                <w:szCs w:val="21"/>
              </w:rPr>
              <w:instrText xml:space="preserve"> FORMTEXT </w:instrText>
            </w:r>
            <w:r>
              <w:rPr>
                <w:rFonts w:ascii="黑体" w:hAnsi="黑体" w:eastAsia="黑体"/>
                <w:kern w:val="0"/>
                <w:sz w:val="21"/>
                <w:szCs w:val="21"/>
              </w:rPr>
              <w:fldChar w:fldCharType="separate"/>
            </w:r>
            <w:r>
              <w:rPr>
                <w:rFonts w:ascii="黑体" w:hAnsi="黑体" w:eastAsia="黑体"/>
                <w:kern w:val="0"/>
                <w:sz w:val="21"/>
                <w:szCs w:val="21"/>
              </w:rPr>
              <w:t>K43</w:t>
            </w:r>
            <w:r>
              <w:rPr>
                <w:rFonts w:ascii="黑体" w:hAnsi="黑体" w:eastAsia="黑体"/>
                <w:kern w:val="0"/>
                <w:sz w:val="21"/>
                <w:szCs w:val="21"/>
              </w:rPr>
              <w:fldChar w:fldCharType="end"/>
            </w:r>
            <w:bookmarkEnd w:id="3"/>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pPr>
              <w:pStyle w:val="7"/>
              <w:framePr w:wrap="notBeside" w:vAnchor="page" w:hAnchor="page" w:x="1372" w:y="568"/>
              <w:tabs>
                <w:tab w:val="clear" w:pos="4153"/>
                <w:tab w:val="clear" w:pos="8306"/>
              </w:tabs>
              <w:spacing w:before="40"/>
              <w:jc w:val="left"/>
              <w:rPr>
                <w:rFonts w:ascii="Times New Roman" w:hAnsi="Times New Roman" w:eastAsia="黑体"/>
                <w:kern w:val="0"/>
                <w:sz w:val="21"/>
                <w:szCs w:val="21"/>
              </w:rPr>
            </w:pPr>
            <w:bookmarkStart w:id="4" w:name="_Hlk26473981"/>
          </w:p>
        </w:tc>
        <w:tc>
          <w:tcPr>
            <w:tcW w:w="8855" w:type="dxa"/>
          </w:tcPr>
          <w:p>
            <w:pPr>
              <w:pStyle w:val="54"/>
              <w:framePr w:wrap="notBeside" w:vAnchor="page" w:hAnchor="page" w:x="1372" w:y="568"/>
              <w:shd w:val="clear" w:color="FFFFFF" w:fill="FFFFFF"/>
              <w:ind w:left="420" w:right="624"/>
              <w:rPr>
                <w:rFonts w:ascii="黑体" w:hAnsi="黑体" w:eastAsia="黑体"/>
                <w:kern w:val="0"/>
                <w:szCs w:val="21"/>
              </w:rPr>
            </w:pPr>
            <w:r>
              <w:rPr>
                <w:w w:val="170"/>
                <w:kern w:val="0"/>
              </w:rPr>
              <w:fldChar w:fldCharType="begin"/>
            </w:r>
            <w:r>
              <w:rPr>
                <w:w w:val="170"/>
                <w:kern w:val="0"/>
              </w:rPr>
              <w:instrText xml:space="preserve"> REF  StdType </w:instrText>
            </w:r>
            <w:r>
              <w:rPr>
                <w:w w:val="170"/>
                <w:kern w:val="0"/>
              </w:rPr>
              <w:fldChar w:fldCharType="separate"/>
            </w:r>
            <w:r>
              <w:rPr>
                <w:w w:val="170"/>
                <w:kern w:val="0"/>
              </w:rPr>
              <w:t>T/</w:t>
            </w:r>
            <w:r>
              <w:rPr>
                <w:w w:val="170"/>
                <w:kern w:val="0"/>
              </w:rPr>
              <w:fldChar w:fldCharType="end"/>
            </w:r>
            <w:bookmarkStart w:id="5" w:name="stdType2"/>
            <w:r>
              <w:rPr>
                <w:rFonts w:hint="default"/>
                <w:w w:val="170"/>
                <w:kern w:val="0"/>
                <w:lang w:val="en-US" w:eastAsia="zh-CN"/>
              </w:rPr>
              <w:fldChar w:fldCharType="begin">
                <w:ffData>
                  <w:name w:val="stdType2"/>
                  <w:enabled/>
                  <w:calcOnExit w:val="0"/>
                  <w:textInput>
                    <w:maxLength w:val="7"/>
                  </w:textInput>
                </w:ffData>
              </w:fldChar>
            </w:r>
            <w:r>
              <w:rPr>
                <w:rFonts w:hint="default"/>
                <w:w w:val="170"/>
                <w:kern w:val="0"/>
                <w:lang w:val="en-US" w:eastAsia="zh-CN"/>
              </w:rPr>
              <w:instrText xml:space="preserve">FORMTEXT</w:instrText>
            </w:r>
            <w:r>
              <w:rPr>
                <w:rFonts w:hint="default"/>
                <w:w w:val="170"/>
                <w:kern w:val="0"/>
                <w:lang w:val="en-US" w:eastAsia="zh-CN"/>
              </w:rPr>
              <w:fldChar w:fldCharType="separate"/>
            </w:r>
            <w:r>
              <w:rPr>
                <w:rFonts w:hint="default"/>
                <w:w w:val="170"/>
                <w:kern w:val="0"/>
                <w:lang w:val="en-US" w:eastAsia="zh-CN"/>
              </w:rPr>
              <w:t>XXXX</w:t>
            </w:r>
            <w:r>
              <w:rPr>
                <w:rFonts w:hint="default"/>
                <w:w w:val="170"/>
                <w:kern w:val="0"/>
                <w:lang w:val="en-US" w:eastAsia="zh-CN"/>
              </w:rPr>
              <w:fldChar w:fldCharType="end"/>
            </w:r>
            <w:bookmarkEnd w:id="5"/>
          </w:p>
        </w:tc>
      </w:tr>
    </w:tbl>
    <w:p>
      <w:pPr>
        <w:pStyle w:val="55"/>
        <w:rPr>
          <w:b w:val="0"/>
          <w:bCs w:val="0"/>
          <w:w w:val="100"/>
          <w:szCs w:val="48"/>
        </w:rPr>
      </w:pPr>
      <w:r>
        <w:rPr>
          <w:rFonts w:hint="eastAsia"/>
          <w:b w:val="0"/>
          <w:w w:val="100"/>
        </w:rPr>
        <w:t>团体</w:t>
      </w:r>
      <w:r>
        <w:rPr>
          <w:rFonts w:hint="eastAsia"/>
          <w:b w:val="0"/>
          <w:bCs w:val="0"/>
          <w:w w:val="100"/>
          <w:szCs w:val="48"/>
        </w:rPr>
        <w:t>标准</w:t>
      </w:r>
    </w:p>
    <w:bookmarkEnd w:id="4"/>
    <w:p>
      <w:pPr>
        <w:pStyle w:val="59"/>
      </w:pPr>
      <w:r>
        <w:rPr>
          <w:rFonts w:hint="eastAsia"/>
        </w:rPr>
        <w:t>T/</w:t>
      </w:r>
      <w:bookmarkStart w:id="6" w:name="StdType"/>
      <w:r>
        <w:rPr>
          <w:rFonts w:hint="eastAsia"/>
        </w:rPr>
        <w:fldChar w:fldCharType="begin">
          <w:ffData>
            <w:name w:val="StdType"/>
            <w:enabled/>
            <w:calcOnExit w:val="0"/>
            <w:textInput>
              <w:default w:val="XXX"/>
            </w:textInput>
          </w:ffData>
        </w:fldChar>
      </w:r>
      <w:r>
        <w:rPr>
          <w:rFonts w:hint="eastAsia"/>
        </w:rPr>
        <w:instrText xml:space="preserve">FORMTEXT</w:instrText>
      </w:r>
      <w:r>
        <w:rPr>
          <w:rFonts w:hint="eastAsia"/>
        </w:rPr>
        <w:fldChar w:fldCharType="separate"/>
      </w:r>
      <w:r>
        <w:rPr>
          <w:rFonts w:hint="eastAsia"/>
        </w:rPr>
        <w:t>XXXX</w:t>
      </w:r>
      <w:r>
        <w:rPr>
          <w:rFonts w:hint="eastAsia"/>
        </w:rPr>
        <w:fldChar w:fldCharType="end"/>
      </w:r>
      <w:bookmarkEnd w:id="6"/>
      <w:r>
        <w:t xml:space="preserve"> </w:t>
      </w:r>
      <w:r>
        <w:fldChar w:fldCharType="begin">
          <w:ffData>
            <w:name w:val="StdNo_F"/>
            <w:enabled/>
            <w:calcOnExit w:val="0"/>
            <w:textInput>
              <w:default w:val="XXXX"/>
            </w:textInput>
          </w:ffData>
        </w:fldChar>
      </w:r>
      <w:bookmarkStart w:id="7" w:name="StdNo_F"/>
      <w:r>
        <w:instrText xml:space="preserve"> FORMTEXT </w:instrText>
      </w:r>
      <w:r>
        <w:fldChar w:fldCharType="separate"/>
      </w:r>
      <w:r>
        <w:rPr>
          <w:rFonts w:hint="eastAsia"/>
        </w:rPr>
        <w:t>     </w:t>
      </w:r>
      <w:r>
        <w:fldChar w:fldCharType="end"/>
      </w:r>
      <w:bookmarkEnd w:id="7"/>
      <w:r>
        <w:rPr>
          <w:rFonts w:hAnsi="黑体"/>
        </w:rPr>
        <w:t>—</w:t>
      </w:r>
      <w:r>
        <w:fldChar w:fldCharType="begin">
          <w:ffData>
            <w:name w:val="StdNo_B"/>
            <w:enabled/>
            <w:calcOnExit w:val="0"/>
            <w:textInput>
              <w:default w:val="XXXX"/>
            </w:textInput>
          </w:ffData>
        </w:fldChar>
      </w:r>
      <w:bookmarkStart w:id="8" w:name="StdNo_B"/>
      <w:r>
        <w:instrText xml:space="preserve"> FORMTEXT </w:instrText>
      </w:r>
      <w:r>
        <w:fldChar w:fldCharType="separate"/>
      </w:r>
      <w:r>
        <w:rPr>
          <w:rFonts w:hint="eastAsia"/>
        </w:rPr>
        <w:t>     </w:t>
      </w:r>
      <w:r>
        <w:fldChar w:fldCharType="end"/>
      </w:r>
      <w:bookmarkEnd w:id="8"/>
    </w:p>
    <w:p>
      <w:pPr>
        <w:pStyle w:val="60"/>
        <w:rPr>
          <w:rFonts w:hAnsi="黑体"/>
        </w:rPr>
      </w:pPr>
      <w:r>
        <w:rPr>
          <w:rFonts w:hAnsi="黑体"/>
        </w:rPr>
        <w:fldChar w:fldCharType="begin">
          <w:ffData>
            <w:name w:val="StdReplaceNo"/>
            <w:enabled/>
            <w:calcOnExit w:val="0"/>
            <w:textInput/>
          </w:ffData>
        </w:fldChar>
      </w:r>
      <w:bookmarkStart w:id="9" w:name="StdReplaceNo"/>
      <w:r>
        <w:rPr>
          <w:rFonts w:hAnsi="黑体"/>
        </w:rPr>
        <w:instrText xml:space="preserve"> FORMTEXT </w:instrText>
      </w:r>
      <w:r>
        <w:rPr>
          <w:rFonts w:hAnsi="黑体"/>
        </w:rPr>
        <w:fldChar w:fldCharType="separate"/>
      </w:r>
      <w:r>
        <w:rPr>
          <w:rFonts w:hint="eastAsia" w:hAnsi="黑体"/>
        </w:rPr>
        <w:t>     </w:t>
      </w:r>
      <w:r>
        <w:rPr>
          <w:rFonts w:hAnsi="黑体"/>
        </w:rPr>
        <w:fldChar w:fldCharType="end"/>
      </w:r>
      <w:bookmarkEnd w:id="9"/>
    </w:p>
    <w:p>
      <w:pPr>
        <w:pStyle w:val="55"/>
        <w:framePr w:h="6976" w:hRule="exact" w:hSpace="0" w:vSpace="0" w:wrap="around" w:y="6408"/>
        <w:jc w:val="center"/>
        <w:rPr>
          <w:b w:val="0"/>
          <w:bCs w:val="0"/>
          <w:w w:val="100"/>
        </w:rPr>
      </w:pPr>
    </w:p>
    <w:p>
      <w:pPr>
        <w:pStyle w:val="61"/>
        <w:framePr w:h="6974" w:hRule="exact" w:wrap="around" w:x="1419" w:anchorLock="1"/>
      </w:pPr>
      <w:r>
        <w:fldChar w:fldCharType="begin">
          <w:ffData>
            <w:name w:val="StdName"/>
            <w:enabled/>
            <w:calcOnExit w:val="0"/>
            <w:textInput>
              <w:default w:val="点击此处添加标准名称"/>
            </w:textInput>
          </w:ffData>
        </w:fldChar>
      </w:r>
      <w:bookmarkStart w:id="10" w:name="StdName"/>
      <w:r>
        <w:instrText xml:space="preserve"> FORMTEXT </w:instrText>
      </w:r>
      <w:r>
        <w:fldChar w:fldCharType="separate"/>
      </w:r>
      <w:r>
        <w:t>户外用箱式变电站</w:t>
      </w:r>
      <w:r>
        <w:fldChar w:fldCharType="end"/>
      </w:r>
      <w:bookmarkEnd w:id="10"/>
    </w:p>
    <w:p>
      <w:pPr>
        <w:framePr w:w="9639" w:h="6974" w:hRule="exact" w:wrap="around" w:vAnchor="page" w:hAnchor="page" w:x="1419" w:y="6408" w:anchorLock="1"/>
        <w:ind w:left="-1418"/>
      </w:pPr>
    </w:p>
    <w:p>
      <w:pPr>
        <w:pStyle w:val="56"/>
        <w:framePr w:h="6974" w:hRule="exact" w:wrap="around" w:x="1419"/>
        <w:textAlignment w:val="bottom"/>
      </w:pPr>
      <w:r>
        <w:fldChar w:fldCharType="begin">
          <w:ffData>
            <w:name w:val="StdEnglishName"/>
            <w:enabled/>
            <w:calcOnExit w:val="0"/>
            <w:textInput>
              <w:default w:val="点击此处添加标准名称的英文译名"/>
            </w:textInput>
          </w:ffData>
        </w:fldChar>
      </w:r>
      <w:bookmarkStart w:id="11" w:name="StdEnglishName"/>
      <w:r>
        <w:instrText xml:space="preserve"> FORMTEXT </w:instrText>
      </w:r>
      <w:r>
        <w:fldChar w:fldCharType="separate"/>
      </w:r>
      <w:r>
        <w:rPr>
          <w:rFonts w:hint="eastAsia"/>
        </w:rPr>
        <w:t>Outdoor box-type substation specification</w:t>
      </w:r>
      <w:r>
        <w:fldChar w:fldCharType="end"/>
      </w:r>
      <w:bookmarkEnd w:id="11"/>
    </w:p>
    <w:p>
      <w:pPr>
        <w:framePr w:w="9639" w:h="6974" w:hRule="exact" w:wrap="around" w:vAnchor="page" w:hAnchor="page" w:x="1419" w:y="6408" w:anchorLock="1"/>
        <w:spacing w:line="760" w:lineRule="exact"/>
        <w:ind w:left="-1418"/>
      </w:pPr>
    </w:p>
    <w:p>
      <w:pPr>
        <w:pStyle w:val="56"/>
        <w:framePr w:h="6974" w:hRule="exact" w:wrap="around" w:x="1419"/>
        <w:pBdr>
          <w:top w:val="none" w:color="auto" w:sz="0" w:space="0"/>
          <w:left w:val="none" w:color="auto" w:sz="0" w:space="0"/>
          <w:bottom w:val="none" w:color="auto" w:sz="0" w:space="0"/>
          <w:right w:val="none" w:color="auto" w:sz="0" w:space="0"/>
        </w:pBdr>
        <w:spacing w:before="0" w:after="120"/>
        <w:textAlignment w:val="bottom"/>
      </w:pPr>
      <w:r>
        <w:fldChar w:fldCharType="begin">
          <w:ffData>
            <w:name w:val="StdIsoConincidence"/>
            <w:enabled/>
            <w:calcOnExit w:val="0"/>
            <w:textInput>
              <w:default w:val="(点击此处添加与国际标准一致性程度的标识)"/>
            </w:textInput>
          </w:ffData>
        </w:fldChar>
      </w:r>
      <w:bookmarkStart w:id="12" w:name="StdIsoConincidence"/>
      <w:r>
        <w:instrText xml:space="preserve"> FORMTEXT </w:instrText>
      </w:r>
      <w:r>
        <w:fldChar w:fldCharType="separate"/>
      </w:r>
      <w:r>
        <w:rPr>
          <w:rFonts w:hint="eastAsia"/>
        </w:rPr>
        <w:t>(点击此处添加与国际标准一致性程度的标识)</w:t>
      </w:r>
      <w:r>
        <w:fldChar w:fldCharType="end"/>
      </w:r>
      <w:bookmarkEnd w:id="12"/>
    </w:p>
    <w:p>
      <w:pPr>
        <w:pStyle w:val="56"/>
        <w:framePr w:h="6974" w:hRule="exact" w:wrap="around" w:x="1419"/>
        <w:textAlignment w:val="bottom"/>
      </w:pPr>
    </w:p>
    <w:p>
      <w:pPr>
        <w:pStyle w:val="56"/>
        <w:framePr w:h="6974" w:hRule="exact" w:wrap="around" w:x="1419"/>
        <w:spacing w:before="440" w:after="120"/>
        <w:textAlignment w:val="bottom"/>
        <w:rPr>
          <w:sz w:val="24"/>
        </w:rPr>
      </w:pPr>
      <w:r>
        <w:rPr>
          <w:sz w:val="24"/>
        </w:rPr>
        <w:fldChar w:fldCharType="begin">
          <w:ffData>
            <w:name w:val="StdState"/>
            <w:enabled/>
            <w:calcOnExit w:val="0"/>
            <w:ddList>
              <w:result w:val="7"/>
              <w:listEntry w:val=" "/>
              <w:listEntry w:val="草案版次选择"/>
              <w:listEntry w:val="（工作组讨论稿）"/>
              <w:listEntry w:val="（征求意见稿）"/>
              <w:listEntry w:val="（送审讨论稿）"/>
              <w:listEntry w:val="（送审稿）"/>
              <w:listEntry w:val="（报批稿）"/>
            </w:ddList>
          </w:ffData>
        </w:fldChar>
      </w:r>
      <w:bookmarkStart w:id="13" w:name="StdState"/>
      <w:r>
        <w:rPr>
          <w:sz w:val="24"/>
        </w:rPr>
        <w:instrText xml:space="preserve"> FORMDROPDOWN </w:instrText>
      </w:r>
      <w:r>
        <w:rPr>
          <w:sz w:val="24"/>
        </w:rPr>
        <w:fldChar w:fldCharType="separate"/>
      </w:r>
      <w:r>
        <w:rPr>
          <w:sz w:val="24"/>
        </w:rPr>
        <w:fldChar w:fldCharType="end"/>
      </w:r>
      <w:bookmarkEnd w:id="13"/>
    </w:p>
    <w:p>
      <w:pPr>
        <w:pStyle w:val="56"/>
        <w:keepNext w:val="0"/>
        <w:keepLines w:val="0"/>
        <w:pageBreakBefore w:val="0"/>
        <w:framePr w:h="6974" w:hRule="exact" w:wrap="around" w:x="1419"/>
        <w:widowControl w:val="0"/>
        <w:kinsoku/>
        <w:wordWrap/>
        <w:overflowPunct/>
        <w:topLinePunct w:val="0"/>
        <w:autoSpaceDE/>
        <w:autoSpaceDN/>
        <w:bidi w:val="0"/>
        <w:adjustRightInd/>
        <w:snapToGrid/>
        <w:spacing w:before="180" w:line="240" w:lineRule="exact"/>
        <w:textAlignment w:val="bottom"/>
        <w:rPr>
          <w:sz w:val="24"/>
        </w:rPr>
      </w:pPr>
      <w:r>
        <w:rPr>
          <w:sz w:val="21"/>
          <w:szCs w:val="21"/>
        </w:rPr>
        <w:fldChar w:fldCharType="begin">
          <w:ffData>
            <w:name w:val="CMPLSH_DATE"/>
            <w:enabled/>
            <w:calcOnExit w:val="0"/>
            <w:textInput/>
          </w:ffData>
        </w:fldChar>
      </w:r>
      <w:bookmarkStart w:id="14" w:name="CMPLSH_DATE"/>
      <w:r>
        <w:rPr>
          <w:sz w:val="21"/>
          <w:szCs w:val="21"/>
        </w:rPr>
        <w:instrText xml:space="preserve"> FORMTEXT </w:instrText>
      </w:r>
      <w:r>
        <w:rPr>
          <w:sz w:val="21"/>
          <w:szCs w:val="21"/>
        </w:rPr>
        <w:fldChar w:fldCharType="separate"/>
      </w:r>
      <w:r>
        <w:rPr>
          <w:sz w:val="21"/>
          <w:szCs w:val="21"/>
        </w:rPr>
        <w:t>     </w:t>
      </w:r>
      <w:r>
        <w:rPr>
          <w:sz w:val="21"/>
          <w:szCs w:val="21"/>
        </w:rPr>
        <w:fldChar w:fldCharType="end"/>
      </w:r>
      <w:bookmarkEnd w:id="14"/>
    </w:p>
    <w:p>
      <w:pPr>
        <w:pStyle w:val="56"/>
        <w:keepNext w:val="0"/>
        <w:keepLines w:val="0"/>
        <w:pageBreakBefore w:val="0"/>
        <w:framePr w:h="6974" w:hRule="exact" w:wrap="around" w:x="1419"/>
        <w:widowControl w:val="0"/>
        <w:kinsoku/>
        <w:wordWrap/>
        <w:overflowPunct/>
        <w:topLinePunct w:val="0"/>
        <w:autoSpaceDE/>
        <w:autoSpaceDN/>
        <w:bidi w:val="0"/>
        <w:adjustRightInd/>
        <w:snapToGrid/>
        <w:spacing w:before="979" w:beforeLines="300" w:after="99" w:afterLines="30" w:line="240" w:lineRule="auto"/>
        <w:textAlignment w:val="bottom"/>
        <w:rPr>
          <w:b/>
          <w:bCs/>
          <w:sz w:val="21"/>
          <w:szCs w:val="21"/>
        </w:rPr>
      </w:pPr>
      <w:r>
        <w:rPr>
          <w:b/>
          <w:bCs/>
          <w:sz w:val="21"/>
          <w:szCs w:val="21"/>
        </w:rPr>
        <w:fldChar w:fldCharType="begin">
          <w:ffData>
            <w:name w:val="下拉2"/>
            <w:enabled/>
            <w:calcOnExit w:val="0"/>
            <w:ddList>
              <w:result w:val="1"/>
              <w:listEntry w:val=" "/>
              <w:listEntry w:val="在提交反馈意见时，请将您知道的相关专利连同支持性文件一并附上。"/>
            </w:ddList>
          </w:ffData>
        </w:fldChar>
      </w:r>
      <w:bookmarkStart w:id="15" w:name="下拉2"/>
      <w:r>
        <w:rPr>
          <w:b/>
          <w:bCs/>
          <w:sz w:val="21"/>
          <w:szCs w:val="21"/>
        </w:rPr>
        <w:instrText xml:space="preserve"> FORMDROPDOWN </w:instrText>
      </w:r>
      <w:r>
        <w:rPr>
          <w:b/>
          <w:bCs/>
          <w:sz w:val="21"/>
          <w:szCs w:val="21"/>
        </w:rPr>
        <w:fldChar w:fldCharType="separate"/>
      </w:r>
      <w:r>
        <w:rPr>
          <w:b/>
          <w:bCs/>
          <w:sz w:val="21"/>
          <w:szCs w:val="21"/>
        </w:rPr>
        <w:fldChar w:fldCharType="end"/>
      </w:r>
      <w:bookmarkEnd w:id="15"/>
    </w:p>
    <w:p>
      <w:pPr>
        <w:pStyle w:val="56"/>
        <w:framePr w:h="6974" w:hRule="exact" w:wrap="around" w:x="1419"/>
        <w:spacing w:before="978" w:beforeLines="300" w:after="97" w:afterLines="30" w:line="240" w:lineRule="auto"/>
        <w:textAlignment w:val="bottom"/>
        <w:rPr>
          <w:b/>
          <w:sz w:val="21"/>
        </w:rPr>
      </w:pPr>
    </w:p>
    <w:p>
      <w:pPr>
        <w:pStyle w:val="57"/>
        <w:framePr w:wrap="around" w:hAnchor="page" w:x="1396" w:y="14116"/>
      </w:pPr>
      <w:bookmarkStart w:id="16" w:name="StdIssueDate"/>
      <w:r>
        <w:rPr>
          <w:rFonts w:hint="eastAsia" w:ascii="黑体" w:hAnsi="黑体" w:cs="黑体"/>
        </w:rPr>
        <w:fldChar w:fldCharType="begin">
          <w:ffData>
            <w:name w:val="StdIssue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hint="eastAsia" w:ascii="黑体" w:hAnsi="黑体" w:cs="黑体"/>
        </w:rPr>
        <w:t>2026-06-01</w:t>
      </w:r>
      <w:r>
        <w:rPr>
          <w:rFonts w:hint="eastAsia" w:ascii="黑体" w:hAnsi="黑体" w:cs="黑体"/>
        </w:rPr>
        <w:fldChar w:fldCharType="end"/>
      </w:r>
      <w:bookmarkEnd w:id="16"/>
      <w:r>
        <w:pict>
          <v:line id="直接连接符 5" o:spid="_x0000_s1035" o:spt="20" style="position:absolute;left:0pt;margin-left:70.85pt;margin-top:728.6pt;height:0pt;width:481.9pt;mso-position-horizontal-relative:page;mso-position-vertical-relative:page;z-index:251659264;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">
            <v:path arrowok="t"/>
            <v:fill focussize="0,0"/>
            <v:stroke/>
            <v:imagedata o:title=""/>
            <o:lock v:ext="edit"/>
            <w10:anchorlock/>
          </v:line>
        </w:pict>
      </w:r>
      <w:r>
        <w:rPr>
          <w:rFonts w:hint="eastAsia"/>
        </w:rPr>
        <w:t>发布</w:t>
      </w:r>
    </w:p>
    <w:p>
      <w:pPr>
        <w:pStyle w:val="58"/>
        <w:framePr w:wrap="around" w:hAnchor="page" w:x="7081" w:y="14116"/>
      </w:pPr>
      <w:bookmarkStart w:id="17" w:name="StdApplyDate"/>
      <w:r>
        <w:rPr>
          <w:rFonts w:hint="eastAsia" w:ascii="黑体" w:hAnsi="黑体" w:cs="黑体"/>
        </w:rPr>
        <w:fldChar w:fldCharType="begin">
          <w:ffData>
            <w:name w:val="StdApplyDate"/>
            <w:enabled/>
            <w:calcOnExit w:val="0"/>
            <w:textInput/>
          </w:ffData>
        </w:fldChar>
      </w:r>
      <w:r>
        <w:rPr>
          <w:rFonts w:hint="eastAsia" w:ascii="黑体" w:hAnsi="黑体" w:cs="黑体"/>
        </w:rPr>
        <w:instrText xml:space="preserve">FORMTEXT</w:instrText>
      </w:r>
      <w:r>
        <w:rPr>
          <w:rFonts w:hint="eastAsia" w:ascii="黑体" w:hAnsi="黑体" w:cs="黑体"/>
        </w:rPr>
        <w:fldChar w:fldCharType="separate"/>
      </w:r>
      <w:r>
        <w:rPr>
          <w:rFonts w:hint="eastAsia" w:ascii="黑体" w:hAnsi="黑体" w:cs="黑体"/>
        </w:rPr>
        <w:t>2026-06-02</w:t>
      </w:r>
      <w:r>
        <w:rPr>
          <w:rFonts w:hint="eastAsia" w:ascii="黑体" w:hAnsi="黑体" w:cs="黑体"/>
        </w:rPr>
        <w:fldChar w:fldCharType="end"/>
      </w:r>
      <w:bookmarkEnd w:id="17"/>
      <w:r>
        <w:rPr>
          <w:rFonts w:hint="eastAsia"/>
        </w:rPr>
        <w:t>实施</w:t>
      </w:r>
    </w:p>
    <w:p>
      <w:pPr>
        <w:pStyle w:val="63"/>
        <w:framePr w:w="7432" w:h="584" w:hRule="exact" w:hSpace="181" w:vSpace="181" w:wrap="around" w:vAnchor="page" w:hAnchor="page" w:y="14798"/>
        <w:rPr>
          <w:rFonts w:hAnsi="黑体"/>
        </w:rPr>
      </w:pPr>
      <w:r>
        <w:rPr>
          <w:rFonts w:hAnsi="黑体"/>
          <w:w w:val="100"/>
          <w:sz w:val="28"/>
        </w:rPr>
        <w:fldChar w:fldCharType="begin">
          <w:ffData>
            <w:name w:val="StdApprovedep"/>
            <w:enabled/>
            <w:calcOnExit w:val="0"/>
            <w:textInput/>
          </w:ffData>
        </w:fldChar>
      </w:r>
      <w:bookmarkStart w:id="18" w:name="StdApprovedep"/>
      <w:r>
        <w:rPr>
          <w:rFonts w:hAnsi="黑体"/>
          <w:w w:val="100"/>
          <w:sz w:val="28"/>
        </w:rPr>
        <w:instrText xml:space="preserve"> FORMTEXT </w:instrText>
      </w:r>
      <w:r>
        <w:rPr>
          <w:rFonts w:hAnsi="黑体"/>
          <w:w w:val="100"/>
          <w:sz w:val="28"/>
        </w:rPr>
        <w:fldChar w:fldCharType="separate"/>
      </w:r>
      <w:r>
        <w:rPr>
          <w:rFonts w:hAnsi="黑体"/>
          <w:w w:val="100"/>
          <w:sz w:val="28"/>
        </w:rPr>
        <w:t>浙江省产学研合作促进会</w:t>
      </w:r>
      <w:r>
        <w:rPr>
          <w:rFonts w:hAnsi="黑体"/>
          <w:w w:val="100"/>
          <w:sz w:val="28"/>
        </w:rPr>
        <w:fldChar w:fldCharType="end"/>
      </w:r>
      <w:bookmarkEnd w:id="18"/>
      <w:r>
        <w:rPr>
          <w:rFonts w:ascii="Times New Roman"/>
          <w:w w:val="100"/>
          <w:sz w:val="28"/>
        </w:rPr>
        <w:t>  </w:t>
      </w:r>
      <w:r>
        <w:rPr>
          <w:rStyle w:val="64"/>
          <w:rFonts w:hint="eastAsia" w:hAnsi="黑体"/>
        </w:rPr>
        <w:t>发布</w:t>
      </w:r>
    </w:p>
    <w:p>
      <w:r>
        <mc:AlternateContent>
          <mc:Choice Requires="wps">
            <w:drawing>
              <wp:anchor distT="0" distB="0" distL="114300" distR="114300" simplePos="0" relativeHeight="251661312" behindDoc="0" locked="0" layoutInCell="1" allowOverlap="0">
                <wp:simplePos x="0" y="0"/>
                <wp:positionH relativeFrom="page">
                  <wp:posOffset>899795</wp:posOffset>
                </wp:positionH>
                <wp:positionV relativeFrom="page">
                  <wp:posOffset>2700020</wp:posOffset>
                </wp:positionV>
                <wp:extent cx="6120130" cy="0"/>
                <wp:effectExtent l="0" t="4445" r="0" b="508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85pt;margin-top:212.6pt;height:0pt;width:481.9pt;mso-position-horizontal-relative:page;mso-position-vertical-relative:page;z-index:251661312;mso-width-relative:page;mso-height-relative:page;" filled="f" stroked="t" coordsize="21600,21600" o:allowoverlap="f" o:gfxdata="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GqY&#10;yf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pPr>
        <w:sectPr>
          <w:type w:val="oddPage"/>
          <w:pgSz w:w="11906" w:h="16838"/>
          <w:pgMar w:top="567" w:right="1134" w:bottom="1134" w:left="1134" w:header="851" w:footer="992" w:gutter="0"/>
          <w:pgNumType w:start="1"/>
          <w:cols w:space="425" w:num="1"/>
          <w:docGrid w:type="lines" w:linePitch="326" w:charSpace="0"/>
        </w:sectPr>
      </w:pPr>
    </w:p>
    <w:bookmarkEnd w:id="0"/>
    <w:p>
      <w:pPr>
        <w:pStyle w:val="108"/>
        <w:bidi w:val="0"/>
        <w:rPr>
          <w:rFonts w:hint="eastAsia"/>
          <w:lang w:eastAsia="zh-CN"/>
        </w:rPr>
      </w:pPr>
      <w:bookmarkStart w:id="19" w:name="mbookmark30"/>
      <w:r>
        <w:rPr>
          <w:rFonts w:hint="eastAsia"/>
          <w:spacing w:val="318"/>
          <w:lang w:eastAsia="zh-CN"/>
        </w:rPr>
        <w:t>目</w:t>
      </w:r>
      <w:r>
        <w:rPr>
          <w:rFonts w:hint="eastAsia"/>
          <w:lang w:eastAsia="zh-CN"/>
        </w:rPr>
        <w:t>次</w:t>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TOC \o "1-1" \h \u </w:instrText>
      </w:r>
      <w:r>
        <w:rPr>
          <w:rFonts w:hint="eastAsia" w:ascii="宋体" w:hAnsi="宋体" w:eastAsia="宋体" w:cs="宋体"/>
          <w:spacing w:val="0"/>
          <w:lang w:eastAsia="zh-CN"/>
        </w:rPr>
        <w:fldChar w:fldCharType="separate"/>
      </w: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_Toc26894 </w:instrText>
      </w:r>
      <w:r>
        <w:rPr>
          <w:rFonts w:hint="eastAsia" w:ascii="宋体" w:hAnsi="宋体" w:eastAsia="宋体" w:cs="宋体"/>
          <w:spacing w:val="0"/>
          <w:lang w:eastAsia="zh-CN"/>
        </w:rPr>
        <w:fldChar w:fldCharType="separate"/>
      </w:r>
      <w:r>
        <w:rPr>
          <w:rFonts w:hint="eastAsia" w:ascii="宋体" w:hAnsi="宋体" w:eastAsia="宋体" w:cs="宋体"/>
          <w:spacing w:val="0"/>
        </w:rPr>
        <w:t>前言</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_Toc26894 \h </w:instrText>
      </w:r>
      <w:r>
        <w:rPr>
          <w:rFonts w:hint="eastAsia" w:ascii="宋体" w:hAnsi="宋体" w:eastAsia="宋体" w:cs="宋体"/>
          <w:spacing w:val="0"/>
        </w:rPr>
        <w:fldChar w:fldCharType="separate"/>
      </w:r>
      <w:r>
        <w:rPr>
          <w:rFonts w:hint="eastAsia" w:ascii="宋体" w:hAnsi="宋体" w:eastAsia="宋体" w:cs="宋体"/>
          <w:spacing w:val="0"/>
        </w:rPr>
        <w:t>II</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_Toc9189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1 </w:t>
      </w:r>
      <w:r>
        <w:rPr>
          <w:rFonts w:hint="eastAsia" w:ascii="宋体" w:hAnsi="宋体" w:eastAsia="宋体" w:cs="宋体"/>
          <w:spacing w:val="0"/>
        </w:rPr>
        <w:t>范围</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_Toc9189 \h </w:instrText>
      </w:r>
      <w:r>
        <w:rPr>
          <w:rFonts w:hint="eastAsia" w:ascii="宋体" w:hAnsi="宋体" w:eastAsia="宋体" w:cs="宋体"/>
          <w:spacing w:val="0"/>
        </w:rPr>
        <w:fldChar w:fldCharType="separate"/>
      </w:r>
      <w:r>
        <w:rPr>
          <w:rFonts w:hint="eastAsia" w:ascii="宋体" w:hAnsi="宋体" w:eastAsia="宋体" w:cs="宋体"/>
          <w:spacing w:val="0"/>
        </w:rPr>
        <w:t>3</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_Toc12572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2 </w:t>
      </w:r>
      <w:r>
        <w:rPr>
          <w:rFonts w:hint="eastAsia" w:ascii="宋体" w:hAnsi="宋体" w:eastAsia="宋体" w:cs="宋体"/>
          <w:spacing w:val="0"/>
        </w:rPr>
        <w:t>规范性引用文件</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_Toc12572 \h </w:instrText>
      </w:r>
      <w:r>
        <w:rPr>
          <w:rFonts w:hint="eastAsia" w:ascii="宋体" w:hAnsi="宋体" w:eastAsia="宋体" w:cs="宋体"/>
          <w:spacing w:val="0"/>
        </w:rPr>
        <w:fldChar w:fldCharType="separate"/>
      </w:r>
      <w:r>
        <w:rPr>
          <w:rFonts w:hint="eastAsia" w:ascii="宋体" w:hAnsi="宋体" w:eastAsia="宋体" w:cs="宋体"/>
          <w:spacing w:val="0"/>
        </w:rPr>
        <w:t>3</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_Toc3760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3 </w:t>
      </w:r>
      <w:r>
        <w:rPr>
          <w:rFonts w:hint="eastAsia" w:ascii="宋体" w:hAnsi="宋体" w:eastAsia="宋体" w:cs="宋体"/>
          <w:spacing w:val="0"/>
        </w:rPr>
        <w:t>术语和定义</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_Toc3760 \h </w:instrText>
      </w:r>
      <w:r>
        <w:rPr>
          <w:rFonts w:hint="eastAsia" w:ascii="宋体" w:hAnsi="宋体" w:eastAsia="宋体" w:cs="宋体"/>
          <w:spacing w:val="0"/>
        </w:rPr>
        <w:fldChar w:fldCharType="separate"/>
      </w:r>
      <w:r>
        <w:rPr>
          <w:rFonts w:hint="eastAsia" w:ascii="宋体" w:hAnsi="宋体" w:eastAsia="宋体" w:cs="宋体"/>
          <w:spacing w:val="0"/>
        </w:rPr>
        <w:t>3</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_Toc27385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4 </w:t>
      </w:r>
      <w:r>
        <w:rPr>
          <w:rFonts w:hint="eastAsia" w:ascii="宋体" w:hAnsi="宋体" w:eastAsia="宋体" w:cs="宋体"/>
          <w:spacing w:val="0"/>
        </w:rPr>
        <w:t>使用条件</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_Toc27385 \h </w:instrText>
      </w:r>
      <w:r>
        <w:rPr>
          <w:rFonts w:hint="eastAsia" w:ascii="宋体" w:hAnsi="宋体" w:eastAsia="宋体" w:cs="宋体"/>
          <w:spacing w:val="0"/>
        </w:rPr>
        <w:fldChar w:fldCharType="separate"/>
      </w:r>
      <w:r>
        <w:rPr>
          <w:rFonts w:hint="eastAsia" w:ascii="宋体" w:hAnsi="宋体" w:eastAsia="宋体" w:cs="宋体"/>
          <w:spacing w:val="0"/>
        </w:rPr>
        <w:t>3</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_Toc10499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5 </w:t>
      </w:r>
      <w:r>
        <w:rPr>
          <w:rFonts w:hint="eastAsia" w:ascii="宋体" w:hAnsi="宋体" w:eastAsia="宋体" w:cs="宋体"/>
          <w:spacing w:val="0"/>
        </w:rPr>
        <w:t>基本要求</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_Toc10499 \h </w:instrText>
      </w:r>
      <w:r>
        <w:rPr>
          <w:rFonts w:hint="eastAsia" w:ascii="宋体" w:hAnsi="宋体" w:eastAsia="宋体" w:cs="宋体"/>
          <w:spacing w:val="0"/>
        </w:rPr>
        <w:fldChar w:fldCharType="separate"/>
      </w:r>
      <w:r>
        <w:rPr>
          <w:rFonts w:hint="eastAsia" w:ascii="宋体" w:hAnsi="宋体" w:eastAsia="宋体" w:cs="宋体"/>
          <w:spacing w:val="0"/>
        </w:rPr>
        <w:t>4</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_Toc8295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6 </w:t>
      </w:r>
      <w:r>
        <w:rPr>
          <w:rFonts w:hint="eastAsia" w:ascii="宋体" w:hAnsi="宋体" w:eastAsia="宋体" w:cs="宋体"/>
          <w:spacing w:val="0"/>
        </w:rPr>
        <w:t>箱变外壳</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_Toc8295 \h </w:instrText>
      </w:r>
      <w:r>
        <w:rPr>
          <w:rFonts w:hint="eastAsia" w:ascii="宋体" w:hAnsi="宋体" w:eastAsia="宋体" w:cs="宋体"/>
          <w:spacing w:val="0"/>
        </w:rPr>
        <w:fldChar w:fldCharType="separate"/>
      </w:r>
      <w:r>
        <w:rPr>
          <w:rFonts w:hint="eastAsia" w:ascii="宋体" w:hAnsi="宋体" w:eastAsia="宋体" w:cs="宋体"/>
          <w:spacing w:val="0"/>
        </w:rPr>
        <w:t>5</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_Toc26406 </w:instrText>
      </w:r>
      <w:r>
        <w:rPr>
          <w:rFonts w:hint="eastAsia" w:ascii="宋体" w:hAnsi="宋体" w:eastAsia="宋体" w:cs="宋体"/>
          <w:spacing w:val="0"/>
          <w:lang w:eastAsia="zh-CN"/>
        </w:rPr>
        <w:fldChar w:fldCharType="separate"/>
      </w:r>
      <w:r>
        <w:rPr>
          <w:rFonts w:hint="eastAsia" w:ascii="宋体" w:hAnsi="宋体" w:eastAsia="宋体" w:cs="宋体"/>
          <w:i w:val="0"/>
          <w:spacing w:val="0"/>
        </w:rPr>
        <w:t xml:space="preserve">7 </w:t>
      </w:r>
      <w:r>
        <w:rPr>
          <w:rFonts w:hint="eastAsia" w:ascii="宋体" w:hAnsi="宋体" w:eastAsia="宋体" w:cs="宋体"/>
          <w:spacing w:val="0"/>
        </w:rPr>
        <w:t>标准型箱式变电站</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_Toc26406 \h </w:instrText>
      </w:r>
      <w:r>
        <w:rPr>
          <w:rFonts w:hint="eastAsia" w:ascii="宋体" w:hAnsi="宋体" w:eastAsia="宋体" w:cs="宋体"/>
          <w:spacing w:val="0"/>
        </w:rPr>
        <w:fldChar w:fldCharType="separate"/>
      </w:r>
      <w:r>
        <w:rPr>
          <w:rFonts w:hint="eastAsia" w:ascii="宋体" w:hAnsi="宋体" w:eastAsia="宋体" w:cs="宋体"/>
          <w:spacing w:val="0"/>
        </w:rPr>
        <w:t>6</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8"/>
        <w:tabs>
          <w:tab w:val="right" w:leader="dot" w:pos="9638"/>
          <w:tab w:val="clear" w:pos="8494"/>
        </w:tabs>
        <w:rPr>
          <w:rFonts w:hint="eastAsia" w:ascii="宋体" w:hAnsi="宋体" w:eastAsia="宋体" w:cs="宋体"/>
          <w:spacing w:val="0"/>
        </w:rPr>
      </w:pPr>
      <w:r>
        <w:rPr>
          <w:rFonts w:hint="eastAsia" w:ascii="宋体" w:hAnsi="宋体" w:eastAsia="宋体" w:cs="宋体"/>
          <w:spacing w:val="0"/>
          <w:lang w:eastAsia="zh-CN"/>
        </w:rPr>
        <w:fldChar w:fldCharType="begin"/>
      </w:r>
      <w:r>
        <w:rPr>
          <w:rFonts w:hint="eastAsia" w:ascii="宋体" w:hAnsi="宋体" w:eastAsia="宋体" w:cs="宋体"/>
          <w:spacing w:val="0"/>
          <w:lang w:eastAsia="zh-CN"/>
        </w:rPr>
        <w:instrText xml:space="preserve"> HYPERLINK \l _Toc2007 </w:instrText>
      </w:r>
      <w:r>
        <w:rPr>
          <w:rFonts w:hint="eastAsia" w:ascii="宋体" w:hAnsi="宋体" w:eastAsia="宋体" w:cs="宋体"/>
          <w:spacing w:val="0"/>
          <w:lang w:eastAsia="zh-CN"/>
        </w:rPr>
        <w:fldChar w:fldCharType="separate"/>
      </w:r>
      <w:r>
        <w:rPr>
          <w:rFonts w:hint="eastAsia" w:ascii="宋体" w:hAnsi="宋体" w:eastAsia="宋体" w:cs="宋体"/>
          <w:i w:val="0"/>
          <w:spacing w:val="0"/>
          <w:lang w:val="en-US" w:eastAsia="zh-CN"/>
        </w:rPr>
        <w:t xml:space="preserve">8 </w:t>
      </w:r>
      <w:r>
        <w:rPr>
          <w:rFonts w:hint="eastAsia" w:ascii="宋体" w:hAnsi="宋体" w:eastAsia="宋体" w:cs="宋体"/>
          <w:spacing w:val="0"/>
          <w:lang w:val="en-US" w:eastAsia="zh-CN"/>
        </w:rPr>
        <w:t>紧凑型箱式变电站</w:t>
      </w:r>
      <w:r>
        <w:rPr>
          <w:rFonts w:hint="eastAsia" w:ascii="宋体" w:hAnsi="宋体" w:eastAsia="宋体" w:cs="宋体"/>
          <w:spacing w:val="0"/>
        </w:rPr>
        <w:tab/>
      </w:r>
      <w:r>
        <w:rPr>
          <w:rFonts w:hint="eastAsia" w:ascii="宋体" w:hAnsi="宋体" w:eastAsia="宋体" w:cs="宋体"/>
          <w:spacing w:val="0"/>
        </w:rPr>
        <w:fldChar w:fldCharType="begin"/>
      </w:r>
      <w:r>
        <w:rPr>
          <w:rFonts w:hint="eastAsia" w:ascii="宋体" w:hAnsi="宋体" w:eastAsia="宋体" w:cs="宋体"/>
          <w:spacing w:val="0"/>
        </w:rPr>
        <w:instrText xml:space="preserve"> PAGEREF _Toc2007 \h </w:instrText>
      </w:r>
      <w:r>
        <w:rPr>
          <w:rFonts w:hint="eastAsia" w:ascii="宋体" w:hAnsi="宋体" w:eastAsia="宋体" w:cs="宋体"/>
          <w:spacing w:val="0"/>
        </w:rPr>
        <w:fldChar w:fldCharType="separate"/>
      </w:r>
      <w:r>
        <w:rPr>
          <w:rFonts w:hint="eastAsia" w:ascii="宋体" w:hAnsi="宋体" w:eastAsia="宋体" w:cs="宋体"/>
          <w:spacing w:val="0"/>
        </w:rPr>
        <w:t>9</w:t>
      </w:r>
      <w:r>
        <w:rPr>
          <w:rFonts w:hint="eastAsia" w:ascii="宋体" w:hAnsi="宋体" w:eastAsia="宋体" w:cs="宋体"/>
          <w:spacing w:val="0"/>
        </w:rPr>
        <w:fldChar w:fldCharType="end"/>
      </w:r>
      <w:r>
        <w:rPr>
          <w:rFonts w:hint="eastAsia" w:ascii="宋体" w:hAnsi="宋体" w:eastAsia="宋体" w:cs="宋体"/>
          <w:spacing w:val="0"/>
          <w:lang w:eastAsia="zh-CN"/>
        </w:rPr>
        <w:fldChar w:fldCharType="end"/>
      </w:r>
    </w:p>
    <w:p>
      <w:pPr>
        <w:pStyle w:val="17"/>
        <w:bidi w:val="0"/>
        <w:rPr>
          <w:rFonts w:hint="eastAsia" w:ascii="宋体" w:hAnsi="宋体" w:eastAsia="宋体" w:cs="宋体"/>
          <w:spacing w:val="0"/>
          <w:lang w:eastAsia="zh-CN"/>
        </w:rPr>
      </w:pPr>
      <w:r>
        <w:rPr>
          <w:rFonts w:hint="eastAsia" w:ascii="宋体" w:hAnsi="宋体" w:eastAsia="宋体" w:cs="宋体"/>
          <w:spacing w:val="0"/>
          <w:lang w:eastAsia="zh-CN"/>
        </w:rPr>
        <w:fldChar w:fldCharType="end"/>
      </w:r>
    </w:p>
    <w:p>
      <w:pPr>
        <w:pStyle w:val="17"/>
        <w:bidi w:val="0"/>
        <w:rPr>
          <w:rFonts w:hint="eastAsia" w:ascii="宋体" w:hAnsi="宋体" w:eastAsia="宋体" w:cs="宋体"/>
          <w:spacing w:val="0"/>
          <w:lang w:eastAsia="zh-CN"/>
        </w:rPr>
        <w:sectPr>
          <w:headerReference r:id="rId5" w:type="first"/>
          <w:footerReference r:id="rId8" w:type="first"/>
          <w:headerReference r:id="rId3" w:type="default"/>
          <w:footerReference r:id="rId6" w:type="default"/>
          <w:headerReference r:id="rId4" w:type="even"/>
          <w:footerReference r:id="rId7" w:type="even"/>
          <w:pgSz w:w="11906" w:h="16838"/>
          <w:pgMar w:top="1928" w:right="1134" w:bottom="1134" w:left="1134" w:header="1417" w:footer="1134" w:gutter="0"/>
          <w:pgNumType w:fmt="upperRoman" w:start="1"/>
          <w:cols w:space="0" w:num="1"/>
          <w:formProt w:val="0"/>
          <w:docGrid w:type="lines" w:linePitch="326" w:charSpace="0"/>
        </w:sectPr>
      </w:pPr>
    </w:p>
    <w:bookmarkEnd w:id="19"/>
    <w:p>
      <w:pPr>
        <w:pStyle w:val="38"/>
        <w:spacing w:after="489"/>
      </w:pPr>
      <w:bookmarkStart w:id="20" w:name="_Toc8331"/>
      <w:bookmarkStart w:id="21" w:name="_Toc2032"/>
      <w:bookmarkStart w:id="22" w:name="_Toc131273874"/>
      <w:bookmarkStart w:id="23" w:name="_Toc14972"/>
      <w:bookmarkStart w:id="24" w:name="_Toc31518"/>
      <w:bookmarkStart w:id="25" w:name="_Toc26894"/>
      <w:bookmarkStart w:id="26" w:name="mbookmark40"/>
      <w:r>
        <w:rPr>
          <w:rFonts w:hint="eastAsia"/>
          <w:spacing w:val="317"/>
        </w:rPr>
        <w:t>前</w:t>
      </w:r>
      <w:r>
        <w:t>言</w:t>
      </w:r>
      <w:bookmarkEnd w:id="1"/>
      <w:bookmarkEnd w:id="20"/>
      <w:bookmarkEnd w:id="21"/>
      <w:bookmarkEnd w:id="22"/>
      <w:bookmarkEnd w:id="23"/>
      <w:bookmarkEnd w:id="24"/>
      <w:bookmarkEnd w:id="25"/>
    </w:p>
    <w:p>
      <w:pPr>
        <w:pStyle w:val="17"/>
      </w:pPr>
      <w:r>
        <w:rPr>
          <w:rFonts w:hint="eastAsia"/>
        </w:rPr>
        <w:t>本</w:t>
      </w:r>
      <w:r>
        <w:rPr>
          <w:rFonts w:hint="eastAsia"/>
          <w:lang w:eastAsia="zh-CN"/>
        </w:rPr>
        <w:t>文件</w:t>
      </w:r>
      <w:r>
        <w:rPr>
          <w:rFonts w:hint="eastAsia"/>
        </w:rPr>
        <w:t>按照GB/T 1.1—2020《标准化工作导则  第1</w:t>
      </w:r>
      <w:r>
        <w:rPr>
          <w:rFonts w:hint="eastAsia"/>
          <w:lang w:val="en-US" w:eastAsia="zh-CN"/>
        </w:rPr>
        <w:t>部分</w:t>
      </w:r>
      <w:r>
        <w:rPr>
          <w:rFonts w:hint="eastAsia"/>
        </w:rPr>
        <w:t>：标准化文件的结构和起草规则》的规定起草。</w:t>
      </w:r>
    </w:p>
    <w:p>
      <w:pPr>
        <w:pStyle w:val="17"/>
      </w:pPr>
      <w:r>
        <w:rPr>
          <w:rFonts w:hint="eastAsia"/>
        </w:rPr>
        <w:t>请注意本</w:t>
      </w:r>
      <w:r>
        <w:rPr>
          <w:rFonts w:hint="eastAsia"/>
          <w:lang w:eastAsia="zh-CN"/>
        </w:rPr>
        <w:t>文件</w:t>
      </w:r>
      <w:r>
        <w:rPr>
          <w:rFonts w:hint="eastAsia"/>
        </w:rPr>
        <w:t>的某些内容可能涉及专利。本</w:t>
      </w:r>
      <w:r>
        <w:rPr>
          <w:rFonts w:hint="eastAsia"/>
          <w:lang w:eastAsia="zh-CN"/>
        </w:rPr>
        <w:t>文件</w:t>
      </w:r>
      <w:r>
        <w:rPr>
          <w:rFonts w:hint="eastAsia"/>
        </w:rPr>
        <w:t>的发布机构不承担识别专利的责任。</w:t>
      </w:r>
    </w:p>
    <w:p>
      <w:pPr>
        <w:pStyle w:val="17"/>
      </w:pPr>
    </w:p>
    <w:p>
      <w:pPr>
        <w:pStyle w:val="17"/>
      </w:pPr>
    </w:p>
    <w:p>
      <w:pPr>
        <w:pStyle w:val="17"/>
      </w:pPr>
      <w:r>
        <w:rPr>
          <w:rFonts w:hint="eastAsia"/>
        </w:rPr>
        <w:t>本</w:t>
      </w:r>
      <w:r>
        <w:rPr>
          <w:rFonts w:hint="eastAsia"/>
          <w:lang w:eastAsia="zh-CN"/>
        </w:rPr>
        <w:t>文件</w:t>
      </w:r>
      <w:r>
        <w:rPr>
          <w:rFonts w:hint="eastAsia"/>
        </w:rPr>
        <w:t>由</w:t>
      </w:r>
      <w:bookmarkStart w:id="27" w:name="StdPresenter"/>
      <w:r>
        <w:rPr>
          <w:rFonts w:hint="eastAsia"/>
          <w:lang w:eastAsia="zh-CN"/>
        </w:rPr>
        <w:t>浙江浦成电气有限公司</w:t>
      </w:r>
      <w:bookmarkEnd w:id="27"/>
      <w:r>
        <w:rPr>
          <w:rFonts w:hint="eastAsia"/>
        </w:rPr>
        <w:t>提出。</w:t>
      </w:r>
    </w:p>
    <w:p>
      <w:pPr>
        <w:pStyle w:val="17"/>
      </w:pPr>
      <w:r>
        <w:rPr>
          <w:rFonts w:hint="eastAsia"/>
        </w:rPr>
        <w:t>本</w:t>
      </w:r>
      <w:r>
        <w:rPr>
          <w:rFonts w:hint="eastAsia"/>
          <w:lang w:eastAsia="zh-CN"/>
        </w:rPr>
        <w:t>文件</w:t>
      </w:r>
      <w:r>
        <w:rPr>
          <w:rFonts w:hint="eastAsia"/>
        </w:rPr>
        <w:t>由</w:t>
      </w:r>
      <w:bookmarkStart w:id="28" w:name="StdRegister"/>
      <w:r>
        <w:rPr>
          <w:rFonts w:hint="eastAsia"/>
          <w:lang w:eastAsia="zh-CN"/>
        </w:rPr>
        <w:t>××××</w:t>
      </w:r>
      <w:bookmarkEnd w:id="28"/>
      <w:r>
        <w:rPr>
          <w:rFonts w:hint="eastAsia"/>
        </w:rPr>
        <w:t>归口。</w:t>
      </w:r>
    </w:p>
    <w:p>
      <w:pPr>
        <w:pStyle w:val="17"/>
      </w:pPr>
      <w:r>
        <w:rPr>
          <w:rFonts w:hint="eastAsia"/>
        </w:rPr>
        <w:t>本</w:t>
      </w:r>
      <w:r>
        <w:rPr>
          <w:rFonts w:hint="eastAsia"/>
          <w:lang w:eastAsia="zh-CN"/>
        </w:rPr>
        <w:t>文件</w:t>
      </w:r>
      <w:r>
        <w:rPr>
          <w:rFonts w:hint="eastAsia"/>
        </w:rPr>
        <w:t>起草单位：</w:t>
      </w:r>
      <w:bookmarkStart w:id="29" w:name="StdDraftdep"/>
      <w:r>
        <w:rPr>
          <w:rFonts w:hint="eastAsia"/>
          <w:lang w:eastAsia="zh-CN"/>
        </w:rPr>
        <w:t>浙江浦成电气有限公司</w:t>
      </w:r>
      <w:bookmarkEnd w:id="29"/>
      <w:r>
        <w:rPr>
          <w:rFonts w:hint="eastAsia"/>
        </w:rPr>
        <w:t>。</w:t>
      </w:r>
    </w:p>
    <w:p>
      <w:pPr>
        <w:pStyle w:val="17"/>
      </w:pPr>
      <w:r>
        <w:rPr>
          <w:rFonts w:hint="eastAsia"/>
        </w:rPr>
        <w:t>本</w:t>
      </w:r>
      <w:r>
        <w:rPr>
          <w:rFonts w:hint="eastAsia"/>
          <w:lang w:eastAsia="zh-CN"/>
        </w:rPr>
        <w:t>文件</w:t>
      </w:r>
      <w:r>
        <w:rPr>
          <w:rFonts w:hint="eastAsia"/>
        </w:rPr>
        <w:t>主要起草人：</w:t>
      </w:r>
      <w:bookmarkStart w:id="30" w:name="StdDrafer"/>
      <w:r>
        <w:rPr>
          <w:rFonts w:hint="eastAsia"/>
          <w:lang w:eastAsia="zh-CN"/>
        </w:rPr>
        <w:t>×××、×××</w:t>
      </w:r>
      <w:bookmarkEnd w:id="30"/>
      <w:r>
        <w:rPr>
          <w:rFonts w:hint="eastAsia"/>
        </w:rPr>
        <w:t>。</w:t>
      </w:r>
    </w:p>
    <w:p>
      <w:pPr>
        <w:pStyle w:val="17"/>
      </w:pPr>
    </w:p>
    <w:p>
      <w:pPr>
        <w:pStyle w:val="17"/>
      </w:pPr>
    </w:p>
    <w:p>
      <w:pPr>
        <w:pStyle w:val="17"/>
      </w:pPr>
    </w:p>
    <w:p>
      <w:pPr>
        <w:pStyle w:val="17"/>
      </w:pPr>
    </w:p>
    <w:p>
      <w:pPr>
        <w:pStyle w:val="17"/>
        <w:sectPr>
          <w:headerReference r:id="rId9" w:type="default"/>
          <w:footerReference r:id="rId11" w:type="default"/>
          <w:headerReference r:id="rId10" w:type="even"/>
          <w:footerReference r:id="rId12" w:type="even"/>
          <w:pgSz w:w="11906" w:h="16838"/>
          <w:pgMar w:top="1928" w:right="1134" w:bottom="1134" w:left="1134" w:header="1417" w:footer="1134" w:gutter="0"/>
          <w:pgNumType w:fmt="upperRoman"/>
          <w:cols w:space="0" w:num="1"/>
          <w:formProt w:val="0"/>
          <w:docGrid w:type="lines" w:linePitch="326" w:charSpace="0"/>
        </w:sectPr>
      </w:pPr>
    </w:p>
    <w:bookmarkEnd w:id="26"/>
    <w:p>
      <w:pPr>
        <w:pStyle w:val="39"/>
        <w:bidi w:val="0"/>
        <w:rPr>
          <w:rFonts w:hint="eastAsia" w:eastAsia="黑体"/>
          <w:lang w:eastAsia="zh-CN"/>
        </w:rPr>
      </w:pPr>
      <w:bookmarkStart w:id="31" w:name="文件名称_Z"/>
      <w:bookmarkStart w:id="32" w:name="mbookmark60"/>
      <w:r>
        <w:rPr>
          <w:rFonts w:hint="eastAsia"/>
          <w:lang w:eastAsia="zh-CN"/>
        </w:rPr>
        <w:t>户外用箱式变电站</w:t>
      </w:r>
      <w:bookmarkEnd w:id="31"/>
    </w:p>
    <w:p>
      <w:pPr>
        <w:pStyle w:val="18"/>
        <w:spacing w:before="326" w:after="326"/>
      </w:pPr>
      <w:bookmarkStart w:id="33" w:name="_Toc98859012"/>
      <w:bookmarkStart w:id="34" w:name="_Toc17233325"/>
      <w:bookmarkStart w:id="35" w:name="_Toc17233333"/>
      <w:bookmarkStart w:id="36" w:name="_Toc131273875"/>
      <w:bookmarkStart w:id="37" w:name="_Toc1899"/>
      <w:bookmarkStart w:id="38" w:name="_Toc24884218"/>
      <w:bookmarkStart w:id="39" w:name="_Toc24884211"/>
      <w:bookmarkStart w:id="40" w:name="_Toc26986771"/>
      <w:bookmarkStart w:id="41" w:name="_Toc98860474"/>
      <w:bookmarkStart w:id="42" w:name="_Toc26986530"/>
      <w:bookmarkStart w:id="43" w:name="_Toc26648465"/>
      <w:bookmarkStart w:id="44" w:name="_Toc98860775"/>
      <w:bookmarkStart w:id="45" w:name="_Toc26718930"/>
      <w:bookmarkStart w:id="46" w:name="_Toc14983"/>
      <w:bookmarkStart w:id="47" w:name="_Toc5234"/>
      <w:bookmarkStart w:id="48" w:name="_Toc3547"/>
      <w:bookmarkStart w:id="49" w:name="_Toc9189"/>
      <w:r>
        <w:rPr>
          <w:rFonts w:hint="eastAsia"/>
        </w:rPr>
        <w:t>范围</w:t>
      </w:r>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pPr>
        <w:pStyle w:val="17"/>
        <w:bidi w:val="0"/>
      </w:pPr>
      <w:bookmarkStart w:id="50" w:name="_Toc17233334"/>
      <w:bookmarkStart w:id="51" w:name="_Toc24884219"/>
      <w:bookmarkStart w:id="52" w:name="_Toc24884212"/>
      <w:bookmarkStart w:id="53" w:name="_Toc17233326"/>
      <w:bookmarkStart w:id="54" w:name="_Toc26648466"/>
      <w:bookmarkStart w:id="55" w:name="_Toc10129"/>
      <w:bookmarkStart w:id="56" w:name="_Toc26986772"/>
      <w:bookmarkStart w:id="57" w:name="_Toc26986531"/>
      <w:bookmarkStart w:id="58" w:name="_Toc26718931"/>
      <w:bookmarkStart w:id="59" w:name="_Toc27603"/>
      <w:bookmarkStart w:id="60" w:name="_Toc625"/>
      <w:bookmarkStart w:id="61" w:name="_Toc98860776"/>
      <w:bookmarkStart w:id="62" w:name="_Toc98860475"/>
      <w:bookmarkStart w:id="63" w:name="_Toc98859013"/>
      <w:bookmarkStart w:id="64" w:name="_Toc131273876"/>
      <w:bookmarkStart w:id="65" w:name="_Toc26213"/>
      <w:bookmarkStart w:id="66" w:name="_Toc12572"/>
      <w:r>
        <w:rPr>
          <w:rFonts w:hint="eastAsia"/>
          <w:lang w:eastAsia="zh-CN"/>
        </w:rPr>
        <w:t>本文件规定了户外用箱式变电站(以下简称箱变)的使用条件、基本要求、箱变外壳、标准型箱式变电站和紧凑型箱式变电站的技术要求。</w:t>
      </w:r>
    </w:p>
    <w:p>
      <w:pPr>
        <w:pStyle w:val="17"/>
        <w:bidi w:val="0"/>
      </w:pPr>
      <w:r>
        <w:rPr>
          <w:rFonts w:hint="eastAsia"/>
          <w:lang w:eastAsia="zh-CN"/>
        </w:rPr>
        <w:t>本文件适用于户外用标准型箱式变电站和紧凑型箱式变电站。</w:t>
      </w:r>
    </w:p>
    <w:p>
      <w:pPr>
        <w:pStyle w:val="18"/>
        <w:spacing w:before="326" w:after="326"/>
      </w:pPr>
      <w:r>
        <w:rPr>
          <w:rFonts w:hint="eastAsia"/>
        </w:rPr>
        <w:t>规范性引用文件</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sdt>
      <w:sdtPr>
        <w:rPr>
          <w:rFonts w:hint="eastAsia"/>
        </w:rPr>
        <w:id w:val="715848253"/>
        <w:placeholder>
          <w:docPart w:val="E01F9737527049A8A770E47DAA5316D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pPr>
            <w:pStyle w:val="17"/>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pPr>
        <w:pStyle w:val="17"/>
        <w:rPr>
          <w:rFonts w:hint="eastAsia"/>
        </w:rPr>
      </w:pPr>
      <w:r>
        <w:rPr>
          <w:rFonts w:hint="eastAsia"/>
        </w:rPr>
        <w:t>GB</w:t>
      </w:r>
      <w:r>
        <w:rPr>
          <w:rFonts w:hint="eastAsia"/>
          <w:lang w:val="en-US" w:eastAsia="zh-CN"/>
        </w:rPr>
        <w:t xml:space="preserve"> </w:t>
      </w:r>
      <w:r>
        <w:rPr>
          <w:rFonts w:hint="eastAsia"/>
        </w:rPr>
        <w:t>20052电力变压器能效限定值及能效等级</w:t>
      </w:r>
    </w:p>
    <w:p>
      <w:pPr>
        <w:pStyle w:val="17"/>
        <w:rPr>
          <w:rFonts w:hint="eastAsia"/>
        </w:rPr>
      </w:pPr>
      <w:r>
        <w:rPr>
          <w:rFonts w:hint="eastAsia"/>
        </w:rPr>
        <w:t>GB/T</w:t>
      </w:r>
      <w:r>
        <w:rPr>
          <w:rFonts w:hint="eastAsia"/>
          <w:lang w:val="en-US" w:eastAsia="zh-CN"/>
        </w:rPr>
        <w:t xml:space="preserve"> </w:t>
      </w:r>
      <w:r>
        <w:rPr>
          <w:rFonts w:hint="eastAsia"/>
        </w:rPr>
        <w:t>708</w:t>
      </w:r>
      <w:r>
        <w:rPr>
          <w:rFonts w:hint="eastAsia"/>
          <w:lang w:eastAsia="zh-CN"/>
        </w:rPr>
        <w:t>—</w:t>
      </w:r>
      <w:r>
        <w:rPr>
          <w:rFonts w:hint="eastAsia"/>
        </w:rPr>
        <w:t>2019冷轧钢板和钢带的尺寸、外形、重量及允许偏差</w:t>
      </w:r>
    </w:p>
    <w:p>
      <w:pPr>
        <w:pStyle w:val="17"/>
        <w:rPr>
          <w:rFonts w:hint="eastAsia"/>
        </w:rPr>
      </w:pPr>
      <w:r>
        <w:rPr>
          <w:rFonts w:hint="eastAsia"/>
        </w:rPr>
        <w:t>GB/T</w:t>
      </w:r>
      <w:r>
        <w:rPr>
          <w:rFonts w:hint="eastAsia"/>
          <w:lang w:val="en-US" w:eastAsia="zh-CN"/>
        </w:rPr>
        <w:t xml:space="preserve"> </w:t>
      </w:r>
      <w:r>
        <w:rPr>
          <w:rFonts w:hint="eastAsia"/>
        </w:rPr>
        <w:t>1094.1 电力变压器第1部分:总则</w:t>
      </w:r>
    </w:p>
    <w:p>
      <w:pPr>
        <w:pStyle w:val="17"/>
        <w:rPr>
          <w:rFonts w:hint="eastAsia"/>
        </w:rPr>
      </w:pPr>
      <w:r>
        <w:rPr>
          <w:rFonts w:hint="eastAsia"/>
        </w:rPr>
        <w:t>GB/T</w:t>
      </w:r>
      <w:r>
        <w:rPr>
          <w:rFonts w:hint="eastAsia"/>
          <w:lang w:val="en-US" w:eastAsia="zh-CN"/>
        </w:rPr>
        <w:t xml:space="preserve"> </w:t>
      </w:r>
      <w:r>
        <w:rPr>
          <w:rFonts w:hint="eastAsia"/>
        </w:rPr>
        <w:t>1094.2电力变压器第2部分:液浸式变压器的温升</w:t>
      </w:r>
    </w:p>
    <w:p>
      <w:pPr>
        <w:pStyle w:val="17"/>
        <w:rPr>
          <w:rFonts w:hint="eastAsia"/>
        </w:rPr>
      </w:pPr>
      <w:r>
        <w:rPr>
          <w:rFonts w:hint="eastAsia"/>
        </w:rPr>
        <w:t>GB/T</w:t>
      </w:r>
      <w:r>
        <w:rPr>
          <w:rFonts w:hint="eastAsia"/>
          <w:lang w:val="en-US" w:eastAsia="zh-CN"/>
        </w:rPr>
        <w:t xml:space="preserve"> </w:t>
      </w:r>
      <w:r>
        <w:rPr>
          <w:rFonts w:hint="eastAsia"/>
        </w:rPr>
        <w:t>1094.3电力变压器第3部分:绝缘水平、绝缘试验和外绝缘空气间隙</w:t>
      </w:r>
    </w:p>
    <w:p>
      <w:pPr>
        <w:pStyle w:val="17"/>
        <w:rPr>
          <w:rFonts w:hint="eastAsia"/>
        </w:rPr>
      </w:pPr>
      <w:r>
        <w:rPr>
          <w:rFonts w:hint="eastAsia"/>
        </w:rPr>
        <w:t>GB/T</w:t>
      </w:r>
      <w:r>
        <w:rPr>
          <w:rFonts w:hint="eastAsia"/>
          <w:lang w:val="en-US" w:eastAsia="zh-CN"/>
        </w:rPr>
        <w:t xml:space="preserve"> </w:t>
      </w:r>
      <w:r>
        <w:rPr>
          <w:rFonts w:hint="eastAsia"/>
        </w:rPr>
        <w:t>1094.4电力变压器 第4部分:电力变压器和电抗器的雷电冲击和操作冲击试验导则</w:t>
      </w:r>
    </w:p>
    <w:p>
      <w:pPr>
        <w:pStyle w:val="17"/>
        <w:rPr>
          <w:rFonts w:hint="eastAsia"/>
        </w:rPr>
      </w:pPr>
      <w:r>
        <w:rPr>
          <w:rFonts w:hint="eastAsia"/>
        </w:rPr>
        <w:t>GB/T 1094.5 电力变压器 第5部分:承受短路的能力</w:t>
      </w:r>
    </w:p>
    <w:p>
      <w:pPr>
        <w:pStyle w:val="17"/>
        <w:rPr>
          <w:rFonts w:hint="eastAsia"/>
        </w:rPr>
      </w:pPr>
      <w:r>
        <w:rPr>
          <w:rFonts w:hint="eastAsia"/>
        </w:rPr>
        <w:t>GB/T</w:t>
      </w:r>
      <w:r>
        <w:rPr>
          <w:rFonts w:hint="eastAsia"/>
          <w:lang w:val="en-US" w:eastAsia="zh-CN"/>
        </w:rPr>
        <w:t xml:space="preserve"> </w:t>
      </w:r>
      <w:r>
        <w:rPr>
          <w:rFonts w:hint="eastAsia"/>
        </w:rPr>
        <w:t>2518</w:t>
      </w:r>
      <w:r>
        <w:rPr>
          <w:rFonts w:hint="eastAsia"/>
          <w:lang w:eastAsia="zh-CN"/>
        </w:rPr>
        <w:t>—</w:t>
      </w:r>
      <w:r>
        <w:rPr>
          <w:rFonts w:hint="eastAsia"/>
        </w:rPr>
        <w:t>2019连续热镀锌和锌合金镀层钢板及钢带</w:t>
      </w:r>
    </w:p>
    <w:p>
      <w:pPr>
        <w:pStyle w:val="17"/>
        <w:rPr>
          <w:rFonts w:hint="eastAsia"/>
        </w:rPr>
      </w:pPr>
      <w:r>
        <w:rPr>
          <w:rFonts w:hint="eastAsia"/>
        </w:rPr>
        <w:t>GB/T 3280</w:t>
      </w:r>
      <w:r>
        <w:rPr>
          <w:rFonts w:hint="eastAsia"/>
          <w:lang w:eastAsia="zh-CN"/>
        </w:rPr>
        <w:t>—</w:t>
      </w:r>
      <w:r>
        <w:rPr>
          <w:rFonts w:hint="eastAsia"/>
        </w:rPr>
        <w:t>2015不锈钢冷轧钢板和钢带</w:t>
      </w:r>
    </w:p>
    <w:p>
      <w:pPr>
        <w:pStyle w:val="17"/>
        <w:rPr>
          <w:rFonts w:hint="eastAsia"/>
        </w:rPr>
      </w:pPr>
      <w:r>
        <w:rPr>
          <w:rFonts w:hint="eastAsia"/>
        </w:rPr>
        <w:t>GB/T 6451油浸式电力变压器技术参数和要求</w:t>
      </w:r>
    </w:p>
    <w:p>
      <w:pPr>
        <w:pStyle w:val="17"/>
        <w:rPr>
          <w:rFonts w:hint="eastAsia"/>
        </w:rPr>
      </w:pPr>
      <w:r>
        <w:rPr>
          <w:rFonts w:hint="eastAsia"/>
        </w:rPr>
        <w:t>GB/T 17467</w:t>
      </w:r>
      <w:r>
        <w:rPr>
          <w:rFonts w:hint="eastAsia"/>
          <w:lang w:eastAsia="zh-CN"/>
        </w:rPr>
        <w:t>—</w:t>
      </w:r>
      <w:r>
        <w:rPr>
          <w:rFonts w:hint="eastAsia"/>
        </w:rPr>
        <w:t>2020高压/低压预装式变电站</w:t>
      </w:r>
    </w:p>
    <w:p>
      <w:pPr>
        <w:pStyle w:val="17"/>
        <w:rPr>
          <w:rFonts w:hint="eastAsia"/>
        </w:rPr>
      </w:pPr>
      <w:r>
        <w:rPr>
          <w:rFonts w:hint="eastAsia"/>
        </w:rPr>
        <w:t>GB/T</w:t>
      </w:r>
      <w:r>
        <w:rPr>
          <w:rFonts w:hint="eastAsia"/>
          <w:lang w:val="en-US" w:eastAsia="zh-CN"/>
        </w:rPr>
        <w:t xml:space="preserve"> </w:t>
      </w:r>
      <w:r>
        <w:rPr>
          <w:rFonts w:hint="eastAsia"/>
        </w:rPr>
        <w:t>20878</w:t>
      </w:r>
      <w:r>
        <w:rPr>
          <w:rFonts w:hint="eastAsia"/>
          <w:lang w:eastAsia="zh-CN"/>
        </w:rPr>
        <w:t>—</w:t>
      </w:r>
      <w:r>
        <w:rPr>
          <w:rFonts w:hint="eastAsia"/>
        </w:rPr>
        <w:t>2024不锈钢牌号及化学成分</w:t>
      </w:r>
    </w:p>
    <w:p>
      <w:pPr>
        <w:pStyle w:val="17"/>
      </w:pPr>
      <w:r>
        <w:rPr>
          <w:rFonts w:hint="eastAsia"/>
        </w:rPr>
        <w:t>DL/T 593</w:t>
      </w:r>
      <w:r>
        <w:rPr>
          <w:rFonts w:hint="eastAsia"/>
          <w:lang w:eastAsia="zh-CN"/>
        </w:rPr>
        <w:t>—</w:t>
      </w:r>
      <w:r>
        <w:rPr>
          <w:rFonts w:hint="eastAsia"/>
        </w:rPr>
        <w:t>2016高压开关设备和控制设备标准的共用技术要求</w:t>
      </w:r>
    </w:p>
    <w:p>
      <w:pPr>
        <w:pStyle w:val="18"/>
        <w:spacing w:before="326" w:after="326"/>
      </w:pPr>
      <w:bookmarkStart w:id="67" w:name="_Toc98860476"/>
      <w:bookmarkStart w:id="68" w:name="_Toc989"/>
      <w:bookmarkStart w:id="69" w:name="_Toc98859014"/>
      <w:bookmarkStart w:id="70" w:name="_Toc98860777"/>
      <w:bookmarkStart w:id="71" w:name="_Toc22996"/>
      <w:bookmarkStart w:id="72" w:name="_Toc131273877"/>
      <w:bookmarkStart w:id="73" w:name="_Toc22867"/>
      <w:bookmarkStart w:id="74" w:name="_Toc1309"/>
      <w:bookmarkStart w:id="75" w:name="_Toc3760"/>
      <w:r>
        <w:rPr>
          <w:rFonts w:hint="eastAsia"/>
        </w:rPr>
        <w:t>术语和定义</w:t>
      </w:r>
      <w:bookmarkEnd w:id="67"/>
      <w:bookmarkEnd w:id="68"/>
      <w:bookmarkEnd w:id="69"/>
      <w:bookmarkEnd w:id="70"/>
      <w:bookmarkEnd w:id="71"/>
      <w:bookmarkEnd w:id="72"/>
      <w:bookmarkEnd w:id="73"/>
      <w:bookmarkEnd w:id="74"/>
      <w:bookmarkEnd w:id="75"/>
    </w:p>
    <w:sdt>
      <w:sdtPr>
        <w:id w:val="-1909835108"/>
        <w:placeholder>
          <w:docPart w:val="{6ffc9d3c-ba3e-4d72-8a93-0b6dbff6ecee}"/>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pPr>
            <w:pStyle w:val="17"/>
          </w:pPr>
          <w:bookmarkStart w:id="76" w:name="_Toc26986532"/>
          <w:bookmarkEnd w:id="76"/>
          <w:r>
            <w:rPr>
              <w:rFonts w:ascii="宋体" w:hAnsi="宋体" w:eastAsia="宋体" w:cstheme="minorBidi"/>
              <w:kern w:val="2"/>
              <w:sz w:val="21"/>
              <w:szCs w:val="21"/>
              <w:lang w:val="en-US" w:eastAsia="zh-CN" w:bidi="ar-SA"/>
            </w:rPr>
            <w:t>本文件没有需要界定的术语和定义。</w:t>
          </w:r>
        </w:p>
      </w:sdtContent>
    </w:sdt>
    <w:p>
      <w:pPr>
        <w:pStyle w:val="18"/>
        <w:bidi w:val="0"/>
        <w:rPr>
          <w:rFonts w:hint="eastAsia"/>
        </w:rPr>
      </w:pPr>
      <w:bookmarkStart w:id="77" w:name="_Toc27385"/>
      <w:r>
        <w:rPr>
          <w:rFonts w:hint="eastAsia"/>
        </w:rPr>
        <w:t>使用条件</w:t>
      </w:r>
      <w:bookmarkEnd w:id="77"/>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环境条件</w:t>
      </w:r>
    </w:p>
    <w:p>
      <w:pPr>
        <w:pStyle w:val="73"/>
        <w:ind w:firstLine="420"/>
        <w:rPr>
          <w:rFonts w:hint="eastAsia"/>
        </w:rPr>
      </w:pPr>
      <w:r>
        <w:rPr>
          <w:rFonts w:hint="eastAsia"/>
        </w:rPr>
        <w:t>应符合DL/T 593</w:t>
      </w:r>
      <w:r>
        <w:rPr>
          <w:rFonts w:hint="eastAsia"/>
          <w:lang w:eastAsia="zh-CN"/>
        </w:rPr>
        <w:t>—</w:t>
      </w:r>
      <w:r>
        <w:rPr>
          <w:rFonts w:hint="eastAsia"/>
        </w:rPr>
        <w:t>2016中2.2.2的规定。</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电力系统条件</w:t>
      </w:r>
    </w:p>
    <w:p>
      <w:pPr>
        <w:pStyle w:val="20"/>
        <w:bidi w:val="0"/>
        <w:rPr>
          <w:rFonts w:hint="eastAsia"/>
        </w:rPr>
      </w:pPr>
      <w:r>
        <w:rPr>
          <w:rFonts w:hint="eastAsia" w:ascii="宋体" w:hAnsi="宋体" w:eastAsia="宋体" w:cs="宋体"/>
        </w:rPr>
        <w:t>系统额定频率:50Hz。</w:t>
      </w:r>
    </w:p>
    <w:p>
      <w:pPr>
        <w:pStyle w:val="20"/>
        <w:bidi w:val="0"/>
        <w:rPr>
          <w:rFonts w:hint="eastAsia"/>
        </w:rPr>
        <w:sectPr>
          <w:headerReference r:id="rId13" w:type="default"/>
          <w:footerReference r:id="rId15" w:type="default"/>
          <w:headerReference r:id="rId14" w:type="even"/>
          <w:footerReference r:id="rId16" w:type="even"/>
          <w:pgSz w:w="11906" w:h="16838"/>
          <w:pgMar w:top="1928" w:right="1134" w:bottom="1134" w:left="1134" w:header="1417" w:footer="1134" w:gutter="283"/>
          <w:pgNumType w:fmt="decimal" w:start="1"/>
          <w:cols w:space="0" w:num="1"/>
          <w:formProt w:val="0"/>
          <w:docGrid w:type="lines" w:linePitch="312" w:charSpace="0"/>
        </w:sectPr>
      </w:pPr>
    </w:p>
    <w:p>
      <w:pPr>
        <w:pStyle w:val="20"/>
        <w:bidi w:val="0"/>
        <w:rPr>
          <w:rFonts w:hint="eastAsia"/>
        </w:rPr>
      </w:pPr>
      <w:r>
        <w:rPr>
          <w:rFonts w:hint="eastAsia" w:ascii="宋体" w:hAnsi="宋体" w:eastAsia="宋体" w:cs="宋体"/>
        </w:rPr>
        <w:t>高压侧电压:10kV。</w:t>
      </w:r>
    </w:p>
    <w:p>
      <w:pPr>
        <w:pStyle w:val="20"/>
        <w:bidi w:val="0"/>
        <w:rPr>
          <w:rFonts w:hint="eastAsia" w:ascii="宋体" w:hAnsi="宋体" w:eastAsia="宋体" w:cs="宋体"/>
        </w:rPr>
      </w:pPr>
      <w:r>
        <w:rPr>
          <w:rFonts w:hint="eastAsia" w:ascii="宋体" w:hAnsi="宋体" w:eastAsia="宋体" w:cs="宋体"/>
        </w:rPr>
        <w:t>低压侧电压:0.4kV。</w:t>
      </w:r>
    </w:p>
    <w:p>
      <w:pPr>
        <w:pStyle w:val="20"/>
        <w:bidi w:val="0"/>
        <w:rPr>
          <w:rFonts w:hint="eastAsia" w:ascii="宋体" w:hAnsi="宋体" w:eastAsia="宋体" w:cs="宋体"/>
        </w:rPr>
      </w:pPr>
      <w:r>
        <w:rPr>
          <w:rFonts w:hint="eastAsia" w:ascii="宋体" w:hAnsi="宋体" w:eastAsia="宋体" w:cs="宋体"/>
        </w:rPr>
        <w:t>高压侧设备最高电压:12kV。</w:t>
      </w:r>
    </w:p>
    <w:p>
      <w:pPr>
        <w:pStyle w:val="20"/>
        <w:bidi w:val="0"/>
        <w:rPr>
          <w:rFonts w:hint="eastAsia" w:ascii="宋体" w:hAnsi="宋体" w:eastAsia="宋体" w:cs="宋体"/>
        </w:rPr>
      </w:pPr>
      <w:r>
        <w:rPr>
          <w:rFonts w:hint="eastAsia" w:ascii="宋体" w:hAnsi="宋体" w:eastAsia="宋体" w:cs="宋体"/>
        </w:rPr>
        <w:t>系统中性点接地方式:10kV系统:中性点非有效接地，例如经消弧线圈接地或小电阻接地;0.4kV系统:直接接地。</w:t>
      </w:r>
    </w:p>
    <w:p>
      <w:pPr>
        <w:pStyle w:val="18"/>
        <w:bidi w:val="0"/>
        <w:rPr>
          <w:rFonts w:hint="eastAsia"/>
        </w:rPr>
      </w:pPr>
      <w:bookmarkStart w:id="78" w:name="_Toc10499"/>
      <w:r>
        <w:rPr>
          <w:rFonts w:hint="eastAsia"/>
        </w:rPr>
        <w:t>基本要求</w:t>
      </w:r>
      <w:bookmarkEnd w:id="78"/>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主变压器容量</w:t>
      </w:r>
    </w:p>
    <w:p>
      <w:pPr>
        <w:pStyle w:val="17"/>
        <w:bidi w:val="0"/>
        <w:rPr>
          <w:rFonts w:hint="eastAsia"/>
        </w:rPr>
      </w:pPr>
      <w:r>
        <w:rPr>
          <w:rFonts w:hint="eastAsia"/>
        </w:rPr>
        <w:t>户外用箱式变电站包括400kVA、500kVA、630kVA三种容量。</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进出线规模</w:t>
      </w:r>
    </w:p>
    <w:p>
      <w:pPr>
        <w:pStyle w:val="20"/>
        <w:bidi w:val="0"/>
        <w:rPr>
          <w:rFonts w:hint="eastAsia" w:ascii="宋体" w:hAnsi="宋体" w:eastAsia="宋体" w:cs="宋体"/>
        </w:rPr>
      </w:pPr>
      <w:r>
        <w:rPr>
          <w:rFonts w:hint="eastAsia" w:ascii="宋体" w:hAnsi="宋体" w:eastAsia="宋体" w:cs="宋体"/>
        </w:rPr>
        <w:t>户外用箱式变电站采用10kV进线1回~2回，出线1回。</w:t>
      </w:r>
    </w:p>
    <w:p>
      <w:pPr>
        <w:pStyle w:val="20"/>
        <w:bidi w:val="0"/>
        <w:rPr>
          <w:rFonts w:hint="eastAsia" w:ascii="宋体" w:hAnsi="宋体" w:eastAsia="宋体" w:cs="宋体"/>
        </w:rPr>
      </w:pPr>
      <w:r>
        <w:rPr>
          <w:rFonts w:hint="eastAsia" w:ascii="宋体" w:hAnsi="宋体" w:eastAsia="宋体" w:cs="宋体"/>
        </w:rPr>
        <w:t>根据主变压器容量，0.4kV可相应设置4回~6回出线。</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设备短路电流水平</w:t>
      </w:r>
    </w:p>
    <w:p>
      <w:pPr>
        <w:pStyle w:val="20"/>
        <w:bidi w:val="0"/>
        <w:rPr>
          <w:rFonts w:hint="eastAsia" w:ascii="宋体" w:hAnsi="宋体" w:eastAsia="宋体" w:cs="宋体"/>
        </w:rPr>
      </w:pPr>
      <w:r>
        <w:rPr>
          <w:rFonts w:hint="eastAsia" w:ascii="宋体" w:hAnsi="宋体" w:eastAsia="宋体" w:cs="宋体"/>
        </w:rPr>
        <w:t>10kV电压等级设备短路电流水平≥20kA。</w:t>
      </w:r>
    </w:p>
    <w:p>
      <w:pPr>
        <w:pStyle w:val="20"/>
        <w:bidi w:val="0"/>
        <w:rPr>
          <w:rFonts w:hint="eastAsia" w:ascii="宋体" w:hAnsi="宋体" w:eastAsia="宋体" w:cs="宋体"/>
        </w:rPr>
      </w:pPr>
      <w:r>
        <w:rPr>
          <w:rFonts w:hint="eastAsia" w:ascii="宋体" w:hAnsi="宋体" w:eastAsia="宋体" w:cs="宋体"/>
          <w:lang w:val="en-US" w:eastAsia="zh-CN"/>
        </w:rPr>
        <w:t>0.</w:t>
      </w:r>
      <w:r>
        <w:rPr>
          <w:rFonts w:hint="eastAsia" w:ascii="宋体" w:hAnsi="宋体" w:eastAsia="宋体" w:cs="宋体"/>
        </w:rPr>
        <w:t>4kV电压等级设备短路电流水平≥30kA。</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无功补偿装置</w:t>
      </w:r>
    </w:p>
    <w:p>
      <w:pPr>
        <w:pStyle w:val="17"/>
        <w:rPr>
          <w:rFonts w:hint="eastAsia"/>
        </w:rPr>
      </w:pPr>
      <w:r>
        <w:rPr>
          <w:rFonts w:hint="eastAsia"/>
        </w:rPr>
        <w:t>按照无功补偿容量为主变压器容量的10%~30%进行配置。</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箱变外壳级别</w:t>
      </w:r>
    </w:p>
    <w:p>
      <w:pPr>
        <w:pStyle w:val="17"/>
        <w:rPr>
          <w:rFonts w:hint="eastAsia"/>
        </w:rPr>
      </w:pPr>
      <w:r>
        <w:rPr>
          <w:rFonts w:hint="eastAsia"/>
        </w:rPr>
        <w:t>箱变外壳级别宜为10。</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噪声</w:t>
      </w:r>
    </w:p>
    <w:p>
      <w:pPr>
        <w:pStyle w:val="17"/>
        <w:rPr>
          <w:rFonts w:hint="eastAsia"/>
        </w:rPr>
      </w:pPr>
      <w:r>
        <w:rPr>
          <w:rFonts w:hint="eastAsia"/>
        </w:rPr>
        <w:t>在箱变外部距变压器隔室0.3m，离地面1.5m处所测得的最大声发射水平(声压级)≤55dB(A)。变压器的噪声应符合相应国家标准要求。</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箱变通风散热方式</w:t>
      </w:r>
    </w:p>
    <w:p>
      <w:pPr>
        <w:pStyle w:val="17"/>
        <w:rPr>
          <w:rFonts w:hint="eastAsia"/>
        </w:rPr>
      </w:pPr>
      <w:r>
        <w:rPr>
          <w:rFonts w:hint="eastAsia"/>
        </w:rPr>
        <w:t>自然通风。</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箱变外壳防护等级</w:t>
      </w:r>
    </w:p>
    <w:p>
      <w:pPr>
        <w:pStyle w:val="20"/>
        <w:bidi w:val="0"/>
        <w:rPr>
          <w:rFonts w:hint="eastAsia" w:ascii="宋体" w:hAnsi="宋体" w:eastAsia="宋体" w:cs="宋体"/>
        </w:rPr>
      </w:pPr>
      <w:r>
        <w:rPr>
          <w:rFonts w:hint="eastAsia" w:ascii="宋体" w:hAnsi="宋体" w:eastAsia="宋体" w:cs="宋体"/>
        </w:rPr>
        <w:t>箱式变电站外壳防护等级不应低于 IP33D，内部隔室间的保护等级不应低于IP2XC。</w:t>
      </w:r>
    </w:p>
    <w:p>
      <w:pPr>
        <w:pStyle w:val="20"/>
        <w:bidi w:val="0"/>
        <w:rPr>
          <w:rFonts w:hint="eastAsia" w:ascii="宋体" w:hAnsi="宋体" w:eastAsia="宋体" w:cs="宋体"/>
        </w:rPr>
      </w:pPr>
      <w:r>
        <w:rPr>
          <w:rFonts w:hint="eastAsia" w:ascii="宋体" w:hAnsi="宋体" w:eastAsia="宋体" w:cs="宋体"/>
        </w:rPr>
        <w:t>面板、门和通风孔上的防止外部机械撞击的防护等级为IK10。</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内部电弧级别</w:t>
      </w:r>
    </w:p>
    <w:p>
      <w:pPr>
        <w:pStyle w:val="20"/>
        <w:bidi w:val="0"/>
        <w:rPr>
          <w:rFonts w:hint="eastAsia" w:ascii="宋体" w:hAnsi="宋体" w:eastAsia="宋体" w:cs="宋体"/>
        </w:rPr>
      </w:pPr>
      <w:r>
        <w:rPr>
          <w:rFonts w:hint="eastAsia" w:ascii="宋体" w:hAnsi="宋体" w:eastAsia="宋体" w:cs="宋体"/>
        </w:rPr>
        <w:t>高压侧额定电弧故障电流≥20 kA，额定电弧故障持续时间≥0.5s，内部电弧等级应满足IAC-AB 级。</w:t>
      </w:r>
    </w:p>
    <w:p>
      <w:pPr>
        <w:pStyle w:val="20"/>
        <w:bidi w:val="0"/>
        <w:rPr>
          <w:rFonts w:hint="eastAsia" w:ascii="宋体" w:hAnsi="宋体" w:eastAsia="宋体" w:cs="宋体"/>
        </w:rPr>
      </w:pPr>
      <w:r>
        <w:rPr>
          <w:rFonts w:hint="eastAsia" w:ascii="宋体" w:hAnsi="宋体" w:eastAsia="宋体" w:cs="宋体"/>
        </w:rPr>
        <w:t>低压侧在电弧情况下的保护等级应满足GB/T 17467的要求。</w:t>
      </w:r>
    </w:p>
    <w:p>
      <w:pPr>
        <w:pStyle w:val="20"/>
        <w:bidi w:val="0"/>
        <w:rPr>
          <w:rFonts w:hint="eastAsia" w:ascii="宋体" w:hAnsi="宋体" w:eastAsia="宋体" w:cs="宋体"/>
        </w:rPr>
      </w:pPr>
      <w:r>
        <w:rPr>
          <w:rFonts w:hint="eastAsia" w:ascii="宋体" w:hAnsi="宋体" w:eastAsia="宋体" w:cs="宋体"/>
        </w:rPr>
        <w:t>压力释放通道方向朝向电缆沟</w:t>
      </w:r>
    </w:p>
    <w:p>
      <w:pPr>
        <w:pStyle w:val="18"/>
        <w:bidi w:val="0"/>
        <w:rPr>
          <w:rFonts w:hint="eastAsia"/>
        </w:rPr>
      </w:pPr>
      <w:bookmarkStart w:id="79" w:name="_Toc8295"/>
      <w:r>
        <w:rPr>
          <w:rFonts w:hint="eastAsia"/>
        </w:rPr>
        <w:t>箱变外壳</w:t>
      </w:r>
      <w:bookmarkEnd w:id="79"/>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箱体颜色</w:t>
      </w:r>
    </w:p>
    <w:p>
      <w:pPr>
        <w:pStyle w:val="17"/>
        <w:rPr>
          <w:rFonts w:hint="eastAsia"/>
        </w:rPr>
      </w:pPr>
      <w:r>
        <w:rPr>
          <w:rFonts w:hint="eastAsia"/>
        </w:rPr>
        <w:t>箱变壳体、嵌入计量箱和箱变内部柜体的面板颜色应符合客户要求，在明显位置悬挂(喷涂)“高压止步”、“有电危险”等警示标识。</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箱体材料</w:t>
      </w:r>
    </w:p>
    <w:p>
      <w:pPr>
        <w:pStyle w:val="20"/>
        <w:bidi w:val="0"/>
        <w:rPr>
          <w:rFonts w:hint="eastAsia" w:ascii="宋体" w:hAnsi="宋体" w:eastAsia="宋体" w:cs="宋体"/>
        </w:rPr>
      </w:pPr>
      <w:r>
        <w:rPr>
          <w:rFonts w:hint="eastAsia" w:ascii="宋体" w:hAnsi="宋体" w:eastAsia="宋体" w:cs="宋体"/>
        </w:rPr>
        <w:t>箱变基座为金属材料;箱变外壳可采用金属材料或阻燃性非金属材料制成。</w:t>
      </w:r>
    </w:p>
    <w:p>
      <w:pPr>
        <w:pStyle w:val="20"/>
        <w:bidi w:val="0"/>
        <w:rPr>
          <w:rFonts w:hint="eastAsia" w:ascii="宋体" w:hAnsi="宋体" w:eastAsia="宋体" w:cs="宋体"/>
        </w:rPr>
      </w:pPr>
      <w:r>
        <w:rPr>
          <w:rFonts w:hint="eastAsia" w:ascii="宋体" w:hAnsi="宋体" w:eastAsia="宋体" w:cs="宋体"/>
        </w:rPr>
        <w:t>如采用敷铝锌板、镀锌钢板等金属材料时，材质公称厚度2mm及以上，尺寸允许偏差满足GB/T708-2019中的B级精度要求;</w:t>
      </w:r>
    </w:p>
    <w:p>
      <w:pPr>
        <w:pStyle w:val="20"/>
        <w:bidi w:val="0"/>
        <w:rPr>
          <w:rFonts w:hint="eastAsia" w:ascii="宋体" w:hAnsi="宋体" w:eastAsia="宋体" w:cs="宋体"/>
        </w:rPr>
      </w:pPr>
      <w:r>
        <w:rPr>
          <w:rFonts w:hint="eastAsia" w:ascii="宋体" w:hAnsi="宋体" w:eastAsia="宋体" w:cs="宋体"/>
        </w:rPr>
        <w:t>如采用不锈钢等金属材质时，公称厚度2mm及以上，尺寸允许偏差满足GB/T3280-2015中的B级精度，应经防腐处理，并喷涂防护层，敷铝锌板的镀锌层厚度达到AZ150及以上，镀锌钢板应符合GB/T2518-2019中牌号为DX51D+Z275的要求，不锈钢应符合GB/T 2518-2019中S304及以上要求。</w:t>
      </w:r>
    </w:p>
    <w:p>
      <w:pPr>
        <w:pStyle w:val="20"/>
        <w:bidi w:val="0"/>
        <w:rPr>
          <w:rFonts w:hint="eastAsia" w:ascii="宋体" w:hAnsi="宋体" w:eastAsia="宋体" w:cs="宋体"/>
        </w:rPr>
      </w:pPr>
      <w:r>
        <w:rPr>
          <w:rFonts w:hint="eastAsia" w:ascii="宋体" w:hAnsi="宋体" w:eastAsia="宋体" w:cs="宋体"/>
        </w:rPr>
        <w:t>金属材料不宜直接采用冷轧碳钢板。防护层应喷涂均匀并有牢固的附着力;</w:t>
      </w:r>
    </w:p>
    <w:p>
      <w:pPr>
        <w:pStyle w:val="20"/>
        <w:bidi w:val="0"/>
        <w:rPr>
          <w:rFonts w:hint="eastAsia" w:ascii="宋体" w:hAnsi="宋体" w:eastAsia="宋体" w:cs="宋体"/>
        </w:rPr>
      </w:pPr>
      <w:r>
        <w:rPr>
          <w:rFonts w:hint="eastAsia" w:ascii="宋体" w:hAnsi="宋体" w:eastAsia="宋体" w:cs="宋体"/>
        </w:rPr>
        <w:t>若采用阻燃性非金属材料，材料的阻燃性应满足GB 17467-2020中6.104.2.3的要求。</w:t>
      </w:r>
    </w:p>
    <w:p>
      <w:pPr>
        <w:pStyle w:val="20"/>
        <w:bidi w:val="0"/>
        <w:rPr>
          <w:rFonts w:hint="eastAsia" w:ascii="宋体" w:hAnsi="宋体" w:eastAsia="宋体" w:cs="宋体"/>
        </w:rPr>
      </w:pPr>
      <w:r>
        <w:rPr>
          <w:rFonts w:hint="eastAsia" w:ascii="宋体" w:hAnsi="宋体" w:eastAsia="宋体" w:cs="宋体"/>
        </w:rPr>
        <w:t>箱变外部遮挡装饰层宜采用阻燃、耐老化、不易变形的复合材料制成的装饰条。箱体顶盖为双层结构，可采用金属材料或阻燃性非金属材料制成。</w:t>
      </w:r>
    </w:p>
    <w:p>
      <w:pPr>
        <w:pStyle w:val="20"/>
        <w:bidi w:val="0"/>
        <w:rPr>
          <w:rFonts w:hint="eastAsia" w:ascii="宋体" w:hAnsi="宋体" w:eastAsia="宋体" w:cs="宋体"/>
        </w:rPr>
      </w:pPr>
      <w:r>
        <w:rPr>
          <w:rFonts w:hint="eastAsia" w:ascii="宋体" w:hAnsi="宋体" w:eastAsia="宋体" w:cs="宋体"/>
        </w:rPr>
        <w:t>壳体四个面增加“止步、高压危险”、“禁止触摸”等的安全警示牌。</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外露标准部件材质</w:t>
      </w:r>
    </w:p>
    <w:p>
      <w:pPr>
        <w:pStyle w:val="20"/>
        <w:bidi w:val="0"/>
        <w:rPr>
          <w:rFonts w:hint="eastAsia" w:ascii="宋体" w:hAnsi="宋体" w:eastAsia="宋体" w:cs="宋体"/>
        </w:rPr>
      </w:pPr>
      <w:r>
        <w:rPr>
          <w:rFonts w:hint="eastAsia" w:ascii="宋体" w:hAnsi="宋体" w:eastAsia="宋体" w:cs="宋体"/>
        </w:rPr>
        <w:t>外露紧固件和五金部件(如门把手、铰链等)材质应满足GB/T20878-2024中S304及以上防腐性能的不锈钢或其他不低于S304防腐性能的防锈合金材料。</w:t>
      </w:r>
    </w:p>
    <w:p>
      <w:pPr>
        <w:pStyle w:val="20"/>
        <w:bidi w:val="0"/>
        <w:rPr>
          <w:rFonts w:hint="eastAsia" w:ascii="宋体" w:hAnsi="宋体" w:eastAsia="宋体" w:cs="宋体"/>
        </w:rPr>
      </w:pPr>
      <w:r>
        <w:rPr>
          <w:rFonts w:hint="eastAsia" w:ascii="宋体" w:hAnsi="宋体" w:eastAsia="宋体" w:cs="宋体"/>
        </w:rPr>
        <w:t>挂锁部件应采用内置式，并有防雨、防尘措施。</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防凝露措施</w:t>
      </w:r>
    </w:p>
    <w:p>
      <w:pPr>
        <w:pStyle w:val="20"/>
        <w:bidi w:val="0"/>
        <w:rPr>
          <w:rFonts w:hint="eastAsia" w:ascii="宋体" w:hAnsi="宋体" w:eastAsia="宋体" w:cs="宋体"/>
        </w:rPr>
      </w:pPr>
      <w:r>
        <w:rPr>
          <w:rFonts w:hint="eastAsia" w:ascii="宋体" w:hAnsi="宋体" w:eastAsia="宋体" w:cs="宋体"/>
        </w:rPr>
        <w:t>箱变整体设计应考虑变压器室的通风散热，基础通风孔的设置应满足内部电弧释放要求，避免伤及人员。高压室、低压室应进行密封设计，底部电缆应采用封堵措施。</w:t>
      </w:r>
    </w:p>
    <w:p>
      <w:pPr>
        <w:pStyle w:val="20"/>
        <w:bidi w:val="0"/>
        <w:rPr>
          <w:rFonts w:hint="eastAsia" w:ascii="宋体" w:hAnsi="宋体" w:eastAsia="宋体" w:cs="宋体"/>
        </w:rPr>
      </w:pPr>
      <w:r>
        <w:rPr>
          <w:rFonts w:hint="eastAsia" w:ascii="宋体" w:hAnsi="宋体" w:eastAsia="宋体" w:cs="宋体"/>
        </w:rPr>
        <w:t>箱变的底板应进行防腐蚀处理。内部环网柜的机构箱、仪表箱整体以及按钮、指示灯、继电器等二次元件应进行密封处理，并配合采用无源型除湿措施。</w:t>
      </w:r>
    </w:p>
    <w:p>
      <w:pPr>
        <w:pStyle w:val="20"/>
        <w:bidi w:val="0"/>
        <w:rPr>
          <w:rFonts w:hint="eastAsia" w:ascii="宋体" w:hAnsi="宋体" w:eastAsia="宋体" w:cs="宋体"/>
        </w:rPr>
      </w:pPr>
      <w:r>
        <w:rPr>
          <w:rFonts w:hint="eastAsia" w:ascii="宋体" w:hAnsi="宋体" w:eastAsia="宋体" w:cs="宋体"/>
        </w:rPr>
        <w:t>环网柜仪表箱顶盖也可采用倾斜角度设计，提高防凝露能力。</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外壳防腐措施</w:t>
      </w:r>
    </w:p>
    <w:p>
      <w:pPr>
        <w:pStyle w:val="20"/>
        <w:bidi w:val="0"/>
        <w:rPr>
          <w:rFonts w:hint="eastAsia" w:ascii="宋体" w:hAnsi="宋体" w:eastAsia="宋体" w:cs="宋体"/>
        </w:rPr>
      </w:pPr>
      <w:r>
        <w:rPr>
          <w:rFonts w:hint="eastAsia" w:ascii="宋体" w:hAnsi="宋体" w:eastAsia="宋体" w:cs="宋体"/>
        </w:rPr>
        <w:t>箱变金属外壳可采用脱脂+喷塑或喷漆工艺。</w:t>
      </w:r>
    </w:p>
    <w:p>
      <w:pPr>
        <w:pStyle w:val="20"/>
        <w:bidi w:val="0"/>
        <w:rPr>
          <w:rFonts w:hint="eastAsia" w:ascii="宋体" w:hAnsi="宋体" w:eastAsia="宋体" w:cs="宋体"/>
        </w:rPr>
      </w:pPr>
      <w:r>
        <w:rPr>
          <w:rFonts w:hint="eastAsia" w:ascii="宋体" w:hAnsi="宋体" w:eastAsia="宋体" w:cs="宋体"/>
        </w:rPr>
        <w:t>基础槽钢可采用喷砂+喷漆。</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外壳防尘措施</w:t>
      </w:r>
    </w:p>
    <w:p>
      <w:pPr>
        <w:pStyle w:val="17"/>
        <w:rPr>
          <w:rFonts w:hint="eastAsia"/>
        </w:rPr>
      </w:pPr>
      <w:r>
        <w:rPr>
          <w:rFonts w:hint="eastAsia"/>
        </w:rPr>
        <w:t>外壳可采用迷宫防尘结构，缝隙处加装密封条等防尘措施。</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外壳隔热措施</w:t>
      </w:r>
    </w:p>
    <w:p>
      <w:pPr>
        <w:pStyle w:val="17"/>
        <w:rPr>
          <w:rFonts w:hint="eastAsia"/>
        </w:rPr>
      </w:pPr>
      <w:r>
        <w:rPr>
          <w:rFonts w:hint="eastAsia"/>
        </w:rPr>
        <w:t>金属外壳(不包含变压器室门)可设计双层箱体，中间采用阻燃的隔热材料填充。</w:t>
      </w:r>
    </w:p>
    <w:p>
      <w:pPr>
        <w:pStyle w:val="18"/>
        <w:bidi w:val="0"/>
        <w:rPr>
          <w:rFonts w:hint="eastAsia"/>
        </w:rPr>
      </w:pPr>
      <w:bookmarkStart w:id="80" w:name="_Toc26406"/>
      <w:r>
        <w:rPr>
          <w:rFonts w:hint="eastAsia"/>
        </w:rPr>
        <w:t>标准型箱式变电站</w:t>
      </w:r>
      <w:bookmarkEnd w:id="80"/>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高压柜</w:t>
      </w:r>
    </w:p>
    <w:p>
      <w:pPr>
        <w:pStyle w:val="20"/>
        <w:bidi w:val="0"/>
        <w:rPr>
          <w:rFonts w:hint="eastAsia" w:ascii="宋体" w:hAnsi="宋体" w:eastAsia="宋体" w:cs="宋体"/>
        </w:rPr>
      </w:pPr>
      <w:r>
        <w:rPr>
          <w:rFonts w:hint="eastAsia" w:ascii="宋体" w:hAnsi="宋体" w:eastAsia="宋体" w:cs="宋体"/>
        </w:rPr>
        <w:t>高压柜可采用环保气体绝缘、固体绝缘环网柜、常压密封空气绝缘环网柜。</w:t>
      </w:r>
    </w:p>
    <w:p>
      <w:pPr>
        <w:pStyle w:val="20"/>
        <w:bidi w:val="0"/>
        <w:rPr>
          <w:rFonts w:hint="eastAsia" w:ascii="宋体" w:hAnsi="宋体" w:eastAsia="宋体" w:cs="宋体"/>
        </w:rPr>
      </w:pPr>
      <w:r>
        <w:rPr>
          <w:rFonts w:hint="eastAsia" w:ascii="宋体" w:hAnsi="宋体" w:eastAsia="宋体" w:cs="宋体"/>
        </w:rPr>
        <w:t>高压柜的泄压通道方向应朝向电缆沟。</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变压器</w:t>
      </w:r>
    </w:p>
    <w:p>
      <w:pPr>
        <w:pStyle w:val="20"/>
        <w:bidi w:val="0"/>
        <w:rPr>
          <w:rFonts w:hint="eastAsia"/>
        </w:rPr>
      </w:pPr>
      <w:r>
        <w:rPr>
          <w:rFonts w:hint="eastAsia"/>
        </w:rPr>
        <w:t>变压器形式</w:t>
      </w:r>
    </w:p>
    <w:p>
      <w:pPr>
        <w:pStyle w:val="17"/>
        <w:rPr>
          <w:rFonts w:hint="eastAsia"/>
        </w:rPr>
      </w:pPr>
      <w:r>
        <w:rPr>
          <w:rFonts w:hint="eastAsia"/>
        </w:rPr>
        <w:t>宜选用高效节能环保型、全密封、油浸式变压器(S20型及以上硅钢/SH21型及以上非品合金)，具体性能及参数应满足GB/T 1094.1,GB/T 1094.2,GB/T 1094.3,GB/T 1094.4,GB/T 1094.5,GB/T 6451、GB20052的要求。</w:t>
      </w:r>
    </w:p>
    <w:p>
      <w:pPr>
        <w:pStyle w:val="20"/>
        <w:bidi w:val="0"/>
        <w:rPr>
          <w:rFonts w:hint="eastAsia"/>
        </w:rPr>
      </w:pPr>
      <w:r>
        <w:rPr>
          <w:rFonts w:hint="eastAsia"/>
        </w:rPr>
        <w:t>额定容量</w:t>
      </w:r>
    </w:p>
    <w:p>
      <w:pPr>
        <w:pStyle w:val="17"/>
        <w:rPr>
          <w:rFonts w:hint="eastAsia"/>
          <w:lang w:eastAsia="zh-CN"/>
        </w:rPr>
      </w:pPr>
      <w:r>
        <w:rPr>
          <w:rFonts w:hint="eastAsia"/>
        </w:rPr>
        <w:t>400 kVA,500 kVA、630 kVA</w:t>
      </w:r>
      <w:r>
        <w:rPr>
          <w:rFonts w:hint="eastAsia"/>
          <w:lang w:eastAsia="zh-CN"/>
        </w:rPr>
        <w:t>。</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低压部分</w:t>
      </w:r>
    </w:p>
    <w:p>
      <w:pPr>
        <w:pStyle w:val="20"/>
        <w:bidi w:val="0"/>
        <w:rPr>
          <w:rFonts w:hint="eastAsia"/>
        </w:rPr>
      </w:pPr>
      <w:r>
        <w:rPr>
          <w:rFonts w:hint="eastAsia"/>
        </w:rPr>
        <w:t>自动化终端类型</w:t>
      </w:r>
    </w:p>
    <w:p>
      <w:pPr>
        <w:pStyle w:val="17"/>
        <w:rPr>
          <w:rFonts w:hint="eastAsia"/>
        </w:rPr>
      </w:pPr>
      <w:r>
        <w:rPr>
          <w:rFonts w:hint="eastAsia"/>
        </w:rPr>
        <w:t>箱变内部空间应满足可安装DTU公共单元独立二次柜。</w:t>
      </w:r>
    </w:p>
    <w:p>
      <w:pPr>
        <w:pStyle w:val="20"/>
        <w:bidi w:val="0"/>
        <w:rPr>
          <w:rFonts w:hint="eastAsia"/>
        </w:rPr>
      </w:pPr>
      <w:r>
        <w:rPr>
          <w:rFonts w:hint="eastAsia"/>
        </w:rPr>
        <w:t>低压元件安装方式</w:t>
      </w:r>
    </w:p>
    <w:p>
      <w:pPr>
        <w:pStyle w:val="17"/>
        <w:rPr>
          <w:rFonts w:hint="eastAsia"/>
        </w:rPr>
      </w:pPr>
      <w:r>
        <w:rPr>
          <w:rFonts w:hint="eastAsia"/>
        </w:rPr>
        <w:t>统一采用柜式组屏安装。</w:t>
      </w:r>
    </w:p>
    <w:p>
      <w:pPr>
        <w:pStyle w:val="20"/>
        <w:bidi w:val="0"/>
        <w:rPr>
          <w:rFonts w:hint="eastAsia"/>
        </w:rPr>
      </w:pPr>
      <w:r>
        <w:rPr>
          <w:rFonts w:hint="eastAsia"/>
        </w:rPr>
        <w:t>低压侧电流电压表</w:t>
      </w:r>
    </w:p>
    <w:p>
      <w:pPr>
        <w:pStyle w:val="17"/>
        <w:rPr>
          <w:rFonts w:hint="eastAsia"/>
        </w:rPr>
      </w:pPr>
      <w:r>
        <w:rPr>
          <w:rFonts w:hint="eastAsia"/>
        </w:rPr>
        <w:t>低压进线侧应设置电流电压表。</w:t>
      </w:r>
    </w:p>
    <w:p>
      <w:pPr>
        <w:pStyle w:val="20"/>
        <w:bidi w:val="0"/>
        <w:rPr>
          <w:rFonts w:hint="eastAsia"/>
        </w:rPr>
      </w:pPr>
      <w:r>
        <w:rPr>
          <w:rFonts w:hint="eastAsia"/>
        </w:rPr>
        <w:t>低压侧主母线</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容量为400kVA时，低压侧主母线额定电流宜为800A，规格为TMY-80mm</w:t>
      </w:r>
      <w:r>
        <w:rPr>
          <w:rFonts w:hint="eastAsia" w:asciiTheme="minorEastAsia" w:hAnsiTheme="minorEastAsia" w:eastAsiaTheme="minorEastAsia" w:cstheme="minorEastAsia"/>
          <w:lang w:val="en-US" w:eastAsia="zh-CN"/>
        </w:rPr>
        <w:t>×</w:t>
      </w:r>
      <w:r>
        <w:rPr>
          <w:rFonts w:hint="eastAsia" w:asciiTheme="minorEastAsia" w:hAnsiTheme="minorEastAsia" w:eastAsiaTheme="minorEastAsia" w:cstheme="minorEastAsia"/>
        </w:rPr>
        <w:t>6mm。</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容量为500kVA时，低压侧主母线额定电流宜为1000A，规格为TMY-80mm</w:t>
      </w:r>
      <w:r>
        <w:rPr>
          <w:rFonts w:hint="eastAsia" w:asciiTheme="minorEastAsia" w:hAnsiTheme="minorEastAsia" w:eastAsiaTheme="minorEastAsia" w:cstheme="minorEastAsia"/>
          <w:lang w:val="en-US" w:eastAsia="zh-CN"/>
        </w:rPr>
        <w:t>×</w:t>
      </w:r>
      <w:r>
        <w:rPr>
          <w:rFonts w:hint="eastAsia" w:asciiTheme="minorEastAsia" w:hAnsiTheme="minorEastAsia" w:eastAsiaTheme="minorEastAsia" w:cstheme="minorEastAsia"/>
        </w:rPr>
        <w:t>8mm。</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容量为630kVA时，低压侧主母线额定电流宜为1250 A，规格为TMY-80mm</w:t>
      </w:r>
      <w:r>
        <w:rPr>
          <w:rFonts w:hint="eastAsia" w:asciiTheme="minorEastAsia" w:hAnsiTheme="minorEastAsia" w:eastAsiaTheme="minorEastAsia" w:cstheme="minorEastAsia"/>
          <w:lang w:val="en-US" w:eastAsia="zh-CN"/>
        </w:rPr>
        <w:t>×</w:t>
      </w:r>
      <w:r>
        <w:rPr>
          <w:rFonts w:hint="eastAsia" w:asciiTheme="minorEastAsia" w:hAnsiTheme="minorEastAsia" w:eastAsiaTheme="minorEastAsia" w:cstheme="minorEastAsia"/>
        </w:rPr>
        <w:t>0mm。</w:t>
      </w:r>
    </w:p>
    <w:p>
      <w:pPr>
        <w:pStyle w:val="20"/>
        <w:bidi w:val="0"/>
        <w:rPr>
          <w:rFonts w:hint="eastAsia"/>
        </w:rPr>
      </w:pPr>
      <w:r>
        <w:rPr>
          <w:rFonts w:hint="eastAsia"/>
        </w:rPr>
        <w:t>低压侧主进断路器</w:t>
      </w:r>
    </w:p>
    <w:p>
      <w:pPr>
        <w:pStyle w:val="17"/>
        <w:rPr>
          <w:rFonts w:hint="eastAsia"/>
        </w:rPr>
      </w:pPr>
      <w:r>
        <w:rPr>
          <w:rFonts w:hint="eastAsia"/>
        </w:rPr>
        <w:t>应为抽出式框架断路器。</w:t>
      </w:r>
    </w:p>
    <w:p>
      <w:pPr>
        <w:pStyle w:val="20"/>
        <w:bidi w:val="0"/>
        <w:rPr>
          <w:rFonts w:hint="eastAsia"/>
        </w:rPr>
      </w:pPr>
      <w:r>
        <w:rPr>
          <w:rFonts w:hint="eastAsia"/>
        </w:rPr>
        <w:t>计量方式</w:t>
      </w:r>
    </w:p>
    <w:p>
      <w:pPr>
        <w:pStyle w:val="17"/>
        <w:rPr>
          <w:rFonts w:hint="eastAsia"/>
        </w:rPr>
      </w:pPr>
      <w:r>
        <w:rPr>
          <w:rFonts w:hint="eastAsia"/>
        </w:rPr>
        <w:t>应为低计方式。</w:t>
      </w:r>
    </w:p>
    <w:p>
      <w:pPr>
        <w:pStyle w:val="20"/>
        <w:bidi w:val="0"/>
        <w:rPr>
          <w:rFonts w:hint="eastAsia"/>
        </w:rPr>
      </w:pPr>
      <w:r>
        <w:rPr>
          <w:rFonts w:hint="eastAsia"/>
        </w:rPr>
        <w:t>低压侧CT</w:t>
      </w:r>
    </w:p>
    <w:p>
      <w:pPr>
        <w:pStyle w:val="17"/>
        <w:rPr>
          <w:rFonts w:hint="eastAsia"/>
        </w:rPr>
      </w:pPr>
      <w:r>
        <w:rPr>
          <w:rFonts w:hint="eastAsia"/>
        </w:rPr>
        <w:t>计量CT安装于低压室，应进行铅封。测量、采样CT安装在主进断路器下侧。</w:t>
      </w:r>
    </w:p>
    <w:p>
      <w:pPr>
        <w:pStyle w:val="20"/>
        <w:bidi w:val="0"/>
        <w:rPr>
          <w:rFonts w:hint="eastAsia"/>
        </w:rPr>
      </w:pPr>
      <w:r>
        <w:rPr>
          <w:rFonts w:hint="eastAsia"/>
        </w:rPr>
        <w:t>计量表安装位置</w:t>
      </w:r>
    </w:p>
    <w:p>
      <w:pPr>
        <w:pStyle w:val="17"/>
        <w:rPr>
          <w:rFonts w:hint="eastAsia"/>
        </w:rPr>
      </w:pPr>
      <w:r>
        <w:rPr>
          <w:rFonts w:hint="eastAsia"/>
        </w:rPr>
        <w:t>宜为箱体内嵌式或低压室安装，不应外挂。内部含计量表、集中器、智能配变终端(按合同约定)</w:t>
      </w:r>
    </w:p>
    <w:p>
      <w:pPr>
        <w:pStyle w:val="20"/>
        <w:bidi w:val="0"/>
        <w:rPr>
          <w:rFonts w:hint="eastAsia"/>
        </w:rPr>
      </w:pPr>
      <w:r>
        <w:rPr>
          <w:rFonts w:hint="eastAsia"/>
        </w:rPr>
        <w:t>低压出线路数及额定电流</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容量为400kVA时，采用4路出线，各出线额定电流及回路宜为2</w:t>
      </w:r>
      <w:r>
        <w:rPr>
          <w:rFonts w:hint="eastAsia" w:asciiTheme="minorEastAsia" w:hAnsiTheme="minorEastAsia" w:eastAsiaTheme="minorEastAsia" w:cstheme="minorEastAsia"/>
          <w:lang w:val="en-US" w:eastAsia="zh-CN"/>
        </w:rPr>
        <w:t>×</w:t>
      </w:r>
      <w:r>
        <w:rPr>
          <w:rFonts w:hint="eastAsia" w:asciiTheme="minorEastAsia" w:hAnsiTheme="minorEastAsia" w:eastAsiaTheme="minorEastAsia" w:cstheme="minorEastAsia"/>
        </w:rPr>
        <w:t>400 A+2</w:t>
      </w:r>
      <w:r>
        <w:rPr>
          <w:rFonts w:hint="eastAsia" w:asciiTheme="minorEastAsia" w:hAnsiTheme="minorEastAsia" w:eastAsiaTheme="minorEastAsia" w:cstheme="minorEastAsia"/>
          <w:lang w:val="en-US" w:eastAsia="zh-CN"/>
        </w:rPr>
        <w:t>×</w:t>
      </w:r>
      <w:r>
        <w:rPr>
          <w:rFonts w:hint="eastAsia" w:asciiTheme="minorEastAsia" w:hAnsiTheme="minorEastAsia" w:eastAsiaTheme="minorEastAsia" w:cstheme="minorEastAsia"/>
        </w:rPr>
        <w:t>250 A。</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容量为500kVA时，采用6路出线，各出线额定电流及回路宜为2</w:t>
      </w:r>
      <w:r>
        <w:rPr>
          <w:rFonts w:hint="eastAsia" w:asciiTheme="minorEastAsia" w:hAnsiTheme="minorEastAsia" w:eastAsiaTheme="minorEastAsia" w:cstheme="minorEastAsia"/>
          <w:lang w:val="en-US" w:eastAsia="zh-CN"/>
        </w:rPr>
        <w:t>×</w:t>
      </w:r>
      <w:r>
        <w:rPr>
          <w:rFonts w:hint="eastAsia" w:asciiTheme="minorEastAsia" w:hAnsiTheme="minorEastAsia" w:eastAsiaTheme="minorEastAsia" w:cstheme="minorEastAsia"/>
        </w:rPr>
        <w:t>400 A+4</w:t>
      </w:r>
      <w:r>
        <w:rPr>
          <w:rFonts w:hint="eastAsia" w:asciiTheme="minorEastAsia" w:hAnsiTheme="minorEastAsia" w:eastAsiaTheme="minorEastAsia" w:cstheme="minorEastAsia"/>
          <w:lang w:val="en-US" w:eastAsia="zh-CN"/>
        </w:rPr>
        <w:t>×</w:t>
      </w:r>
      <w:r>
        <w:rPr>
          <w:rFonts w:hint="eastAsia" w:asciiTheme="minorEastAsia" w:hAnsiTheme="minorEastAsia" w:eastAsiaTheme="minorEastAsia" w:cstheme="minorEastAsia"/>
        </w:rPr>
        <w:t>250A。</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容量为630kVA时，采用6路出线，各出线额定电流及回路宜为2</w:t>
      </w:r>
      <w:r>
        <w:rPr>
          <w:rFonts w:hint="eastAsia" w:asciiTheme="minorEastAsia" w:hAnsiTheme="minorEastAsia" w:eastAsiaTheme="minorEastAsia" w:cstheme="minorEastAsia"/>
          <w:lang w:val="en-US" w:eastAsia="zh-CN"/>
        </w:rPr>
        <w:t>×</w:t>
      </w:r>
      <w:r>
        <w:rPr>
          <w:rFonts w:hint="eastAsia" w:asciiTheme="minorEastAsia" w:hAnsiTheme="minorEastAsia" w:eastAsiaTheme="minorEastAsia" w:cstheme="minorEastAsia"/>
        </w:rPr>
        <w:t>630 A+4</w:t>
      </w:r>
      <w:r>
        <w:rPr>
          <w:rFonts w:hint="eastAsia" w:asciiTheme="minorEastAsia" w:hAnsiTheme="minorEastAsia" w:eastAsiaTheme="minorEastAsia" w:cstheme="minorEastAsia"/>
          <w:lang w:val="en-US" w:eastAsia="zh-CN"/>
        </w:rPr>
        <w:t>×</w:t>
      </w:r>
      <w:r>
        <w:rPr>
          <w:rFonts w:hint="eastAsia" w:asciiTheme="minorEastAsia" w:hAnsiTheme="minorEastAsia" w:eastAsiaTheme="minorEastAsia" w:cstheme="minorEastAsia"/>
        </w:rPr>
        <w:t>400A。</w:t>
      </w:r>
    </w:p>
    <w:p>
      <w:pPr>
        <w:pStyle w:val="20"/>
        <w:bidi w:val="0"/>
        <w:rPr>
          <w:rFonts w:hint="eastAsia"/>
        </w:rPr>
      </w:pPr>
      <w:r>
        <w:rPr>
          <w:rFonts w:hint="eastAsia"/>
        </w:rPr>
        <w:t>低压侧出线断路器</w:t>
      </w:r>
    </w:p>
    <w:p>
      <w:pPr>
        <w:pStyle w:val="17"/>
        <w:rPr>
          <w:rFonts w:hint="eastAsia"/>
        </w:rPr>
      </w:pPr>
      <w:r>
        <w:rPr>
          <w:rFonts w:hint="eastAsia"/>
        </w:rPr>
        <w:t>低压侧出线断路器为塑壳断路器，应采用固定式板前接线方式，并对电缆搭接点等裸露带电部位进行遮挡。</w:t>
      </w:r>
    </w:p>
    <w:p>
      <w:pPr>
        <w:pStyle w:val="20"/>
        <w:bidi w:val="0"/>
        <w:rPr>
          <w:rFonts w:hint="eastAsia"/>
        </w:rPr>
      </w:pPr>
      <w:r>
        <w:rPr>
          <w:rFonts w:hint="eastAsia"/>
        </w:rPr>
        <w:t>低压侧中性线和保护线</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低压侧中性线、保护线布置在低压柜前下侧。</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低压侧中性线与低压侧主母线的规格相同。</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低压侧保护线的截面面积不小于TMY-40mm</w:t>
      </w:r>
      <w:r>
        <w:rPr>
          <w:rFonts w:hint="eastAsia" w:asciiTheme="minorEastAsia" w:hAnsiTheme="minorEastAsia" w:eastAsiaTheme="minorEastAsia" w:cstheme="minorEastAsia"/>
          <w:lang w:val="en-US" w:eastAsia="zh-CN"/>
        </w:rPr>
        <w:t>×</w:t>
      </w:r>
      <w:r>
        <w:rPr>
          <w:rFonts w:hint="eastAsia" w:asciiTheme="minorEastAsia" w:hAnsiTheme="minorEastAsia" w:eastAsiaTheme="minorEastAsia" w:cstheme="minorEastAsia"/>
        </w:rPr>
        <w:t>5mm。</w:t>
      </w:r>
    </w:p>
    <w:p>
      <w:pPr>
        <w:pStyle w:val="20"/>
        <w:bidi w:val="0"/>
        <w:rPr>
          <w:rFonts w:hint="eastAsia"/>
        </w:rPr>
      </w:pPr>
      <w:r>
        <w:rPr>
          <w:rFonts w:hint="eastAsia"/>
        </w:rPr>
        <w:t>无功补偿总开关</w:t>
      </w:r>
    </w:p>
    <w:p>
      <w:pPr>
        <w:pStyle w:val="17"/>
        <w:rPr>
          <w:rFonts w:hint="eastAsia"/>
        </w:rPr>
      </w:pPr>
      <w:r>
        <w:rPr>
          <w:rFonts w:hint="eastAsia"/>
        </w:rPr>
        <w:t>应采用刀熔开关。其中:</w:t>
      </w:r>
    </w:p>
    <w:p>
      <w:pPr>
        <w:pStyle w:val="46"/>
        <w:numPr>
          <w:numId w:val="30"/>
        </w:numPr>
        <w:bidi w:val="0"/>
        <w:ind w:left="851" w:leftChars="0" w:hanging="426" w:firstLineChars="0"/>
        <w:rPr>
          <w:rFonts w:hint="eastAsia"/>
        </w:rPr>
      </w:pPr>
      <w:r>
        <w:rPr>
          <w:rFonts w:hint="eastAsia"/>
        </w:rPr>
        <w:t>容量为400</w:t>
      </w:r>
      <w:r>
        <w:rPr>
          <w:rFonts w:hint="eastAsia"/>
          <w:lang w:val="en-US" w:eastAsia="zh-CN"/>
        </w:rPr>
        <w:t xml:space="preserve"> </w:t>
      </w:r>
      <w:r>
        <w:rPr>
          <w:rFonts w:hint="eastAsia"/>
        </w:rPr>
        <w:t>kVA时，熔芯额定电流采用250A</w:t>
      </w:r>
      <w:r>
        <w:rPr>
          <w:rFonts w:hint="eastAsia"/>
          <w:lang w:eastAsia="zh-CN"/>
        </w:rPr>
        <w:t>。</w:t>
      </w:r>
    </w:p>
    <w:p>
      <w:pPr>
        <w:pStyle w:val="46"/>
        <w:numPr>
          <w:numId w:val="30"/>
        </w:numPr>
        <w:bidi w:val="0"/>
        <w:ind w:left="851" w:leftChars="0" w:hanging="426" w:firstLineChars="0"/>
        <w:rPr>
          <w:rFonts w:hint="eastAsia"/>
        </w:rPr>
      </w:pPr>
      <w:r>
        <w:rPr>
          <w:rFonts w:hint="eastAsia"/>
        </w:rPr>
        <w:t>容量为500</w:t>
      </w:r>
      <w:r>
        <w:rPr>
          <w:rFonts w:hint="eastAsia"/>
          <w:lang w:val="en-US" w:eastAsia="zh-CN"/>
        </w:rPr>
        <w:t xml:space="preserve"> </w:t>
      </w:r>
      <w:r>
        <w:rPr>
          <w:rFonts w:hint="eastAsia"/>
        </w:rPr>
        <w:t>kVA时，熔芯额定电流采用315A</w:t>
      </w:r>
      <w:r>
        <w:rPr>
          <w:rFonts w:hint="eastAsia"/>
          <w:lang w:eastAsia="zh-CN"/>
        </w:rPr>
        <w:t>。</w:t>
      </w:r>
    </w:p>
    <w:p>
      <w:pPr>
        <w:pStyle w:val="46"/>
        <w:numPr>
          <w:numId w:val="30"/>
        </w:numPr>
        <w:bidi w:val="0"/>
        <w:ind w:left="851" w:leftChars="0" w:hanging="426" w:firstLineChars="0"/>
        <w:rPr>
          <w:rFonts w:hint="eastAsia"/>
        </w:rPr>
      </w:pPr>
      <w:r>
        <w:rPr>
          <w:rFonts w:hint="eastAsia"/>
        </w:rPr>
        <w:t>容量为630</w:t>
      </w:r>
      <w:r>
        <w:rPr>
          <w:rFonts w:hint="eastAsia"/>
          <w:lang w:val="en-US" w:eastAsia="zh-CN"/>
        </w:rPr>
        <w:t xml:space="preserve"> </w:t>
      </w:r>
      <w:r>
        <w:rPr>
          <w:rFonts w:hint="eastAsia"/>
        </w:rPr>
        <w:t>kVA时，熔芯额定电流采用400A。</w:t>
      </w:r>
    </w:p>
    <w:p>
      <w:pPr>
        <w:pStyle w:val="20"/>
        <w:bidi w:val="0"/>
        <w:rPr>
          <w:rFonts w:hint="eastAsia"/>
        </w:rPr>
      </w:pPr>
      <w:r>
        <w:rPr>
          <w:rFonts w:hint="eastAsia"/>
        </w:rPr>
        <w:t>无功补偿装置及补偿容量</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无功补偿装置应采用智能电容，箱变空间按照补偿容量为额定容量的30%预留。</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宜按照补偿容量为额定容量的15%进行配置。</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补偿方式为共补加分补，宜按照70%共补、30%分补配置电容器。</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变压器至高低压柜连接形式</w:t>
      </w:r>
    </w:p>
    <w:p>
      <w:pPr>
        <w:pStyle w:val="20"/>
        <w:bidi w:val="0"/>
        <w:rPr>
          <w:rFonts w:hint="eastAsia" w:ascii="宋体" w:hAnsi="宋体" w:eastAsia="宋体" w:cs="宋体"/>
        </w:rPr>
      </w:pPr>
      <w:r>
        <w:rPr>
          <w:rFonts w:hint="eastAsia" w:ascii="宋体" w:hAnsi="宋体" w:eastAsia="宋体" w:cs="宋体"/>
        </w:rPr>
        <w:t>高压柜至变压器应采用电缆连接，穿过高压室隔板至变压器室，变压器的高压侧应采用预制式可插拔电缆头。</w:t>
      </w:r>
    </w:p>
    <w:p>
      <w:pPr>
        <w:pStyle w:val="20"/>
        <w:bidi w:val="0"/>
        <w:rPr>
          <w:rFonts w:hint="eastAsia" w:ascii="宋体" w:hAnsi="宋体" w:eastAsia="宋体" w:cs="宋体"/>
        </w:rPr>
      </w:pPr>
      <w:r>
        <w:rPr>
          <w:rFonts w:hint="eastAsia" w:ascii="宋体" w:hAnsi="宋体" w:eastAsia="宋体" w:cs="宋体"/>
        </w:rPr>
        <w:t>变压器至低压柜应采用铜母排连接，并设置热缩套，并在变压器出口增加软连接，同时裸露部分增加防护盒。</w:t>
      </w:r>
    </w:p>
    <w:p>
      <w:pPr>
        <w:pStyle w:val="19"/>
        <w:keepNext w:val="0"/>
        <w:keepLines w:val="0"/>
        <w:pageBreakBefore w:val="0"/>
        <w:widowControl/>
        <w:kinsoku/>
        <w:wordWrap/>
        <w:overflowPunct/>
        <w:topLinePunct w:val="0"/>
        <w:autoSpaceDE/>
        <w:autoSpaceDN/>
        <w:bidi w:val="0"/>
        <w:adjustRightInd/>
        <w:snapToGrid/>
        <w:ind w:left="0"/>
        <w:textAlignment w:val="auto"/>
        <w:rPr>
          <w:rFonts w:hint="eastAsia"/>
        </w:rPr>
      </w:pPr>
      <w:r>
        <w:rPr>
          <w:rFonts w:hint="eastAsia"/>
        </w:rPr>
        <w:t>外形</w:t>
      </w:r>
    </w:p>
    <w:p>
      <w:pPr>
        <w:pStyle w:val="20"/>
        <w:bidi w:val="0"/>
        <w:rPr>
          <w:rFonts w:hint="eastAsia"/>
        </w:rPr>
      </w:pPr>
      <w:r>
        <w:rPr>
          <w:rFonts w:hint="eastAsia"/>
        </w:rPr>
        <w:t>箱体</w:t>
      </w:r>
    </w:p>
    <w:p>
      <w:pPr>
        <w:pStyle w:val="17"/>
        <w:rPr>
          <w:rFonts w:hint="eastAsia"/>
        </w:rPr>
      </w:pPr>
      <w:r>
        <w:rPr>
          <w:rFonts w:hint="eastAsia"/>
        </w:rPr>
        <w:t>标准型箱式变电站的尺寸要求如下:</w:t>
      </w:r>
    </w:p>
    <w:p>
      <w:pPr>
        <w:pStyle w:val="46"/>
        <w:numPr>
          <w:ilvl w:val="0"/>
          <w:numId w:val="31"/>
        </w:numPr>
        <w:bidi w:val="0"/>
        <w:ind w:left="851" w:leftChars="0" w:hanging="426" w:firstLineChars="0"/>
        <w:rPr>
          <w:rFonts w:hint="eastAsia"/>
        </w:rPr>
      </w:pPr>
      <w:r>
        <w:rPr>
          <w:rFonts w:hint="eastAsia"/>
        </w:rPr>
        <w:t>金属、非金属材质箱体长度和宽度统一，箱变整体满足通用互换;</w:t>
      </w:r>
    </w:p>
    <w:p>
      <w:pPr>
        <w:pStyle w:val="46"/>
        <w:numPr>
          <w:ilvl w:val="0"/>
          <w:numId w:val="32"/>
        </w:numPr>
        <w:bidi w:val="0"/>
        <w:ind w:left="851" w:leftChars="0" w:hanging="426" w:firstLineChars="0"/>
        <w:rPr>
          <w:rFonts w:hint="eastAsia"/>
        </w:rPr>
      </w:pPr>
      <w:r>
        <w:rPr>
          <w:rFonts w:hint="eastAsia"/>
        </w:rPr>
        <w:t>箱体长度(不含顶盖)为3600mm，其中高压室长度宜为1100mm，变压器室长度宜为1500mm，低压室长度宜为1000mm;箱体宽度为2200mm，低压柜宽度宜为1800mm，其中进线开关和出线开关并用进出线柜，宽度宜为1200mm，无功补偿柜宜为600mm，并考虑预留计量表箱位置;箱体高度不大于2500mm，箱体基座120mm，低压柜高度宜为2000mm，宜预留180mm;</w:t>
      </w:r>
    </w:p>
    <w:p>
      <w:pPr>
        <w:pStyle w:val="46"/>
        <w:numPr>
          <w:ilvl w:val="0"/>
          <w:numId w:val="32"/>
        </w:numPr>
        <w:bidi w:val="0"/>
        <w:ind w:left="851" w:leftChars="0" w:hanging="426" w:firstLineChars="0"/>
        <w:rPr>
          <w:rFonts w:hint="eastAsia"/>
        </w:rPr>
      </w:pPr>
      <w:r>
        <w:rPr>
          <w:rFonts w:hint="eastAsia"/>
        </w:rPr>
        <w:t>高压室、变压器室、低压室应加装照明，照明开关应与箱变门配合开启;</w:t>
      </w:r>
    </w:p>
    <w:p>
      <w:pPr>
        <w:pStyle w:val="46"/>
        <w:numPr>
          <w:ilvl w:val="0"/>
          <w:numId w:val="32"/>
        </w:numPr>
        <w:bidi w:val="0"/>
        <w:ind w:left="851" w:leftChars="0" w:hanging="426" w:firstLineChars="0"/>
        <w:rPr>
          <w:rFonts w:hint="eastAsia"/>
        </w:rPr>
      </w:pPr>
      <w:r>
        <w:rPr>
          <w:rFonts w:hint="eastAsia"/>
        </w:rPr>
        <w:t>箱变门应有防风钩设计。</w:t>
      </w:r>
    </w:p>
    <w:p>
      <w:pPr>
        <w:pStyle w:val="20"/>
        <w:bidi w:val="0"/>
        <w:rPr>
          <w:rFonts w:hint="eastAsia"/>
        </w:rPr>
      </w:pPr>
      <w:r>
        <w:rPr>
          <w:rFonts w:hint="eastAsia"/>
        </w:rPr>
        <w:t>顶盖外形</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顶盖长度、宽度方向分别超出箱体外形100mm，即顶盖长度宜为3800mm、顶盖宽度宜为2400mm。</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顶盖外沿高度80mm。</w:t>
      </w:r>
    </w:p>
    <w:p>
      <w:pPr>
        <w:pStyle w:val="21"/>
        <w:bidi w:val="0"/>
        <w:rPr>
          <w:rFonts w:hint="eastAsia" w:asciiTheme="minorEastAsia" w:hAnsiTheme="minorEastAsia" w:eastAsiaTheme="minorEastAsia" w:cstheme="minorEastAsia"/>
        </w:rPr>
      </w:pPr>
      <w:r>
        <w:rPr>
          <w:rFonts w:hint="eastAsia" w:asciiTheme="minorEastAsia" w:hAnsiTheme="minorEastAsia" w:eastAsiaTheme="minorEastAsia" w:cstheme="minorEastAsia"/>
        </w:rPr>
        <w:t>顶盖为“人”字形结构，斜度不小于5°</w:t>
      </w:r>
    </w:p>
    <w:p>
      <w:pPr>
        <w:pStyle w:val="20"/>
        <w:bidi w:val="0"/>
        <w:rPr>
          <w:rFonts w:hint="eastAsia"/>
        </w:rPr>
      </w:pPr>
      <w:r>
        <w:rPr>
          <w:rFonts w:hint="eastAsia"/>
        </w:rPr>
        <w:t>开门所需空间</w:t>
      </w:r>
    </w:p>
    <w:p>
      <w:pPr>
        <w:pStyle w:val="17"/>
        <w:rPr>
          <w:rFonts w:hint="eastAsia"/>
        </w:rPr>
      </w:pPr>
      <w:r>
        <w:rPr>
          <w:rFonts w:hint="eastAsia"/>
        </w:rPr>
        <w:t>开门空间应大于1000 mm，且开门角度不小于90°。</w:t>
      </w:r>
    </w:p>
    <w:p>
      <w:pPr>
        <w:pStyle w:val="20"/>
        <w:bidi w:val="0"/>
        <w:rPr>
          <w:rFonts w:hint="eastAsia"/>
        </w:rPr>
      </w:pPr>
      <w:r>
        <w:rPr>
          <w:rFonts w:hint="eastAsia"/>
        </w:rPr>
        <w:t>变压器网门</w:t>
      </w:r>
    </w:p>
    <w:p>
      <w:pPr>
        <w:pStyle w:val="17"/>
        <w:rPr>
          <w:rFonts w:hint="eastAsia"/>
        </w:rPr>
      </w:pPr>
      <w:r>
        <w:rPr>
          <w:rFonts w:hint="eastAsia"/>
        </w:rPr>
        <w:t>变压器室在箱变外壳门的内部应有一道金属网门进行防护，增设安全警示标志，并具备在开网门时可实现电气闭锁功能。</w:t>
      </w:r>
    </w:p>
    <w:p>
      <w:pPr>
        <w:pStyle w:val="20"/>
        <w:bidi w:val="0"/>
        <w:rPr>
          <w:rFonts w:hint="default"/>
          <w:lang w:val="en-US" w:eastAsia="zh-CN"/>
        </w:rPr>
      </w:pPr>
      <w:r>
        <w:rPr>
          <w:rFonts w:hint="eastAsia"/>
          <w:lang w:val="en-US" w:eastAsia="zh-CN"/>
        </w:rPr>
        <w:t>低压柜</w:t>
      </w:r>
    </w:p>
    <w:p>
      <w:pPr>
        <w:pStyle w:val="17"/>
        <w:rPr>
          <w:rFonts w:hint="default"/>
          <w:lang w:val="en-US" w:eastAsia="zh-CN"/>
        </w:rPr>
      </w:pPr>
      <w:r>
        <w:rPr>
          <w:rFonts w:hint="default"/>
          <w:lang w:val="en-US" w:eastAsia="zh-CN"/>
        </w:rPr>
        <w:t>标准型箱式变电站的低压柜应满足如下要求:</w:t>
      </w:r>
    </w:p>
    <w:p>
      <w:pPr>
        <w:pStyle w:val="46"/>
        <w:numPr>
          <w:ilvl w:val="0"/>
          <w:numId w:val="33"/>
        </w:numPr>
        <w:bidi w:val="0"/>
        <w:ind w:left="851" w:leftChars="0" w:hanging="426" w:firstLineChars="0"/>
        <w:rPr>
          <w:rFonts w:hint="default"/>
          <w:lang w:val="en-US" w:eastAsia="zh-CN"/>
        </w:rPr>
      </w:pPr>
      <w:r>
        <w:rPr>
          <w:rFonts w:hint="default"/>
          <w:lang w:val="en-US" w:eastAsia="zh-CN"/>
        </w:rPr>
        <w:t>低压柜应实现进出线开关单元与补偿单元为单独隔室;</w:t>
      </w:r>
    </w:p>
    <w:p>
      <w:pPr>
        <w:pStyle w:val="46"/>
        <w:numPr>
          <w:ilvl w:val="0"/>
          <w:numId w:val="33"/>
        </w:numPr>
        <w:bidi w:val="0"/>
        <w:ind w:left="851" w:leftChars="0" w:hanging="426" w:firstLineChars="0"/>
        <w:rPr>
          <w:rFonts w:hint="default"/>
          <w:lang w:val="en-US" w:eastAsia="zh-CN"/>
        </w:rPr>
      </w:pPr>
      <w:r>
        <w:rPr>
          <w:rFonts w:hint="default"/>
          <w:lang w:val="en-US" w:eastAsia="zh-CN"/>
        </w:rPr>
        <w:t>进出线开关单元柜出线开关室应为对开门，计量隔室、主开关、应急电源室分别单独设门;</w:t>
      </w:r>
    </w:p>
    <w:p>
      <w:pPr>
        <w:pStyle w:val="46"/>
        <w:numPr>
          <w:ilvl w:val="0"/>
          <w:numId w:val="33"/>
        </w:numPr>
        <w:bidi w:val="0"/>
        <w:ind w:left="851" w:leftChars="0" w:hanging="426" w:firstLineChars="0"/>
        <w:rPr>
          <w:rFonts w:hint="default"/>
          <w:lang w:val="en-US" w:eastAsia="zh-CN"/>
        </w:rPr>
      </w:pPr>
      <w:r>
        <w:rPr>
          <w:rFonts w:hint="default"/>
          <w:lang w:val="en-US" w:eastAsia="zh-CN"/>
        </w:rPr>
        <w:t>低压柜应实现关门操作隔离开关、出线断路器;</w:t>
      </w:r>
    </w:p>
    <w:p>
      <w:pPr>
        <w:pStyle w:val="46"/>
        <w:numPr>
          <w:ilvl w:val="0"/>
          <w:numId w:val="33"/>
        </w:numPr>
        <w:bidi w:val="0"/>
        <w:ind w:left="851" w:leftChars="0" w:hanging="426" w:firstLineChars="0"/>
        <w:rPr>
          <w:rFonts w:hint="default"/>
          <w:lang w:val="en-US" w:eastAsia="zh-CN"/>
        </w:rPr>
      </w:pPr>
      <w:r>
        <w:rPr>
          <w:rFonts w:hint="default"/>
          <w:lang w:val="en-US" w:eastAsia="zh-CN"/>
        </w:rPr>
        <w:t>应安装可连接发电车的应急电源插头(接线端子)，当使用发电车供电时，应急插头(接线端子)与变压器低压侧之间有可靠断口，并实现正向闭锁，防止反送电;</w:t>
      </w:r>
    </w:p>
    <w:p>
      <w:pPr>
        <w:pStyle w:val="46"/>
        <w:numPr>
          <w:ilvl w:val="0"/>
          <w:numId w:val="33"/>
        </w:numPr>
        <w:bidi w:val="0"/>
        <w:ind w:left="851" w:leftChars="0" w:hanging="426" w:firstLineChars="0"/>
        <w:rPr>
          <w:rFonts w:hint="default"/>
          <w:lang w:val="en-US" w:eastAsia="zh-CN"/>
        </w:rPr>
      </w:pPr>
      <w:r>
        <w:rPr>
          <w:rFonts w:hint="default"/>
          <w:lang w:val="en-US" w:eastAsia="zh-CN"/>
        </w:rPr>
        <w:t>计量互感器安装可以铅封，各个接点可视。测量、采样互感器不铅封，计量表及采集器均安装在箱变外壳的内嵌计量箱内;</w:t>
      </w:r>
    </w:p>
    <w:p>
      <w:pPr>
        <w:pStyle w:val="46"/>
        <w:numPr>
          <w:ilvl w:val="0"/>
          <w:numId w:val="33"/>
        </w:numPr>
        <w:bidi w:val="0"/>
        <w:ind w:left="851" w:leftChars="0" w:hanging="426" w:firstLineChars="0"/>
        <w:rPr>
          <w:rFonts w:hint="default"/>
          <w:lang w:val="en-US" w:eastAsia="zh-CN"/>
        </w:rPr>
      </w:pPr>
      <w:r>
        <w:rPr>
          <w:rFonts w:hint="default"/>
          <w:lang w:val="en-US" w:eastAsia="zh-CN"/>
        </w:rPr>
        <w:t>进线母排从中间单元柜后进线，并且在变压器室内实现换相，在低压室内符合左中右、后中前的顺序排布ABC三相，母排应有相色标识，互感器与主进断路器平行布置;</w:t>
      </w:r>
    </w:p>
    <w:p>
      <w:pPr>
        <w:pStyle w:val="46"/>
        <w:numPr>
          <w:ilvl w:val="0"/>
          <w:numId w:val="33"/>
        </w:numPr>
        <w:bidi w:val="0"/>
        <w:ind w:left="851" w:leftChars="0" w:hanging="426" w:firstLineChars="0"/>
        <w:rPr>
          <w:rFonts w:hint="default"/>
          <w:lang w:val="en-US" w:eastAsia="zh-CN"/>
        </w:rPr>
      </w:pPr>
      <w:r>
        <w:rPr>
          <w:rFonts w:hint="default"/>
          <w:lang w:val="en-US" w:eastAsia="zh-CN"/>
        </w:rPr>
        <w:t>主进断路器连接至隔离开关的汇流排，应采用后中前的布置方式，方便安装操作;</w:t>
      </w:r>
    </w:p>
    <w:p>
      <w:pPr>
        <w:pStyle w:val="46"/>
        <w:numPr>
          <w:ilvl w:val="0"/>
          <w:numId w:val="33"/>
        </w:numPr>
        <w:bidi w:val="0"/>
        <w:ind w:left="851" w:leftChars="0" w:hanging="426" w:firstLineChars="0"/>
        <w:rPr>
          <w:rFonts w:hint="default"/>
          <w:lang w:val="en-US" w:eastAsia="zh-CN"/>
        </w:rPr>
      </w:pPr>
      <w:r>
        <w:rPr>
          <w:rFonts w:hint="default"/>
          <w:lang w:val="en-US" w:eastAsia="zh-CN"/>
        </w:rPr>
        <w:t>进线主断路器应采用垂直接线端子或水平接线端子，方便转接母排;</w:t>
      </w:r>
    </w:p>
    <w:p>
      <w:pPr>
        <w:pStyle w:val="46"/>
        <w:numPr>
          <w:ilvl w:val="0"/>
          <w:numId w:val="33"/>
        </w:numPr>
        <w:bidi w:val="0"/>
        <w:ind w:left="851" w:leftChars="0" w:hanging="426" w:firstLineChars="0"/>
        <w:rPr>
          <w:rFonts w:hint="default"/>
          <w:lang w:val="en-US" w:eastAsia="zh-CN"/>
        </w:rPr>
      </w:pPr>
      <w:r>
        <w:rPr>
          <w:rFonts w:hint="default"/>
          <w:lang w:val="en-US" w:eastAsia="zh-CN"/>
        </w:rPr>
        <w:t>两路出线断路器共用一个隔离开关，若变压器容量为630kVA，则2路630A断路器共用一个1500A的隔离开关，其余4路400 A断路器每两路共用一个1000 A的隔离开关。若变压器容量为500kVA,则两路400A断路器共用一1000A的隔离开关，其余4路250A断路器每两路共用一个600A的隔离开关。若变压器容量为400kVA，则两路400 A断路器共用一个1000 A的隔离开关，其余2路250A断路器每两路共用一个600A的隔离开关;</w:t>
      </w:r>
    </w:p>
    <w:p>
      <w:pPr>
        <w:pStyle w:val="46"/>
        <w:numPr>
          <w:ilvl w:val="0"/>
          <w:numId w:val="33"/>
        </w:numPr>
        <w:bidi w:val="0"/>
        <w:ind w:left="851" w:leftChars="0" w:hanging="426" w:firstLineChars="0"/>
        <w:rPr>
          <w:rFonts w:hint="default"/>
          <w:lang w:val="en-US" w:eastAsia="zh-CN"/>
        </w:rPr>
      </w:pPr>
      <w:r>
        <w:rPr>
          <w:rFonts w:hint="default"/>
          <w:lang w:val="en-US" w:eastAsia="zh-CN"/>
        </w:rPr>
        <w:t>每2路出线断路器至出线电缆桩头间应设置绝缘隔板;</w:t>
      </w:r>
      <w:bookmarkStart w:id="82" w:name="_GoBack"/>
      <w:bookmarkEnd w:id="82"/>
    </w:p>
    <w:p>
      <w:pPr>
        <w:pStyle w:val="46"/>
        <w:numPr>
          <w:ilvl w:val="0"/>
          <w:numId w:val="33"/>
        </w:numPr>
        <w:bidi w:val="0"/>
        <w:ind w:left="851" w:leftChars="0" w:hanging="426" w:firstLineChars="0"/>
        <w:rPr>
          <w:rFonts w:hint="default"/>
          <w:lang w:val="en-US" w:eastAsia="zh-CN"/>
        </w:rPr>
      </w:pPr>
      <w:r>
        <w:rPr>
          <w:rFonts w:hint="default"/>
          <w:lang w:val="en-US" w:eastAsia="zh-CN"/>
        </w:rPr>
        <w:t>补偿单元实现最大12路电容布置。补偿总开关上下口应采用母排连接，电源取自主进断路器与隔离之间的汇流排;</w:t>
      </w:r>
    </w:p>
    <w:p>
      <w:pPr>
        <w:pStyle w:val="46"/>
        <w:numPr>
          <w:ilvl w:val="0"/>
          <w:numId w:val="33"/>
        </w:numPr>
        <w:bidi w:val="0"/>
        <w:ind w:left="851" w:leftChars="0" w:hanging="426" w:firstLineChars="0"/>
        <w:rPr>
          <w:rFonts w:hint="default"/>
          <w:lang w:val="en-US" w:eastAsia="zh-CN"/>
        </w:rPr>
      </w:pPr>
      <w:r>
        <w:rPr>
          <w:rFonts w:hint="default"/>
          <w:lang w:val="en-US" w:eastAsia="zh-CN"/>
        </w:rPr>
        <w:t>出线断路器的电缆接线高度不低于400 mm(不含箱变基座120mm)。</w:t>
      </w:r>
    </w:p>
    <w:p>
      <w:pPr>
        <w:pStyle w:val="19"/>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高低压电缆孔</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箱变底部应设置底板，电缆孔大小可根据产品确定，电缆安装完成后电缆孔应进行封堵。</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高压进出线电缆孔应布置在距箱体上侧边150mm，距箱体左侧边180mm，大小为1220m</w:t>
      </w:r>
      <w:r>
        <w:rPr>
          <w:rFonts w:hint="eastAsia" w:asciiTheme="minorEastAsia" w:hAnsiTheme="minorEastAsia" w:eastAsiaTheme="minorEastAsia" w:cstheme="minorEastAsia"/>
          <w:lang w:val="en-US" w:eastAsia="zh-CN"/>
        </w:rPr>
        <w:t>×</w:t>
      </w:r>
      <w:r>
        <w:rPr>
          <w:rFonts w:hint="default" w:asciiTheme="minorEastAsia" w:hAnsiTheme="minorEastAsia" w:eastAsiaTheme="minorEastAsia" w:cstheme="minorEastAsia"/>
          <w:lang w:val="en-US" w:eastAsia="zh-CN"/>
        </w:rPr>
        <w:t>900mm的区域内。</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低压进出线电缆孔应布置在距箱体上侧边沿170m，距箱体右侧边沿180mm，大小为1800mm</w:t>
      </w:r>
      <w:r>
        <w:rPr>
          <w:rFonts w:hint="eastAsia" w:asciiTheme="minorEastAsia" w:hAnsiTheme="minorEastAsia" w:eastAsiaTheme="minorEastAsia" w:cstheme="minorEastAsia"/>
          <w:lang w:val="en-US" w:eastAsia="zh-CN"/>
        </w:rPr>
        <w:t>×</w:t>
      </w:r>
      <w:r>
        <w:rPr>
          <w:rFonts w:hint="default" w:asciiTheme="minorEastAsia" w:hAnsiTheme="minorEastAsia" w:eastAsiaTheme="minorEastAsia" w:cstheme="minorEastAsia"/>
          <w:lang w:val="en-US" w:eastAsia="zh-CN"/>
        </w:rPr>
        <w:t>600mm的区域内。</w:t>
      </w:r>
    </w:p>
    <w:p>
      <w:pPr>
        <w:pStyle w:val="18"/>
        <w:bidi w:val="0"/>
        <w:rPr>
          <w:rFonts w:hint="default"/>
          <w:lang w:val="en-US" w:eastAsia="zh-CN"/>
        </w:rPr>
      </w:pPr>
      <w:bookmarkStart w:id="81" w:name="_Toc2007"/>
      <w:r>
        <w:rPr>
          <w:rFonts w:hint="default"/>
          <w:lang w:val="en-US" w:eastAsia="zh-CN"/>
        </w:rPr>
        <w:t>紧凑型箱式变电站</w:t>
      </w:r>
      <w:bookmarkEnd w:id="81"/>
    </w:p>
    <w:p>
      <w:pPr>
        <w:pStyle w:val="19"/>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概述</w:t>
      </w:r>
    </w:p>
    <w:p>
      <w:pPr>
        <w:pStyle w:val="17"/>
        <w:bidi w:val="0"/>
        <w:rPr>
          <w:rFonts w:hint="default"/>
          <w:lang w:val="en-US" w:eastAsia="zh-CN"/>
        </w:rPr>
      </w:pPr>
      <w:r>
        <w:rPr>
          <w:rFonts w:hint="default"/>
          <w:lang w:val="en-US" w:eastAsia="zh-CN"/>
        </w:rPr>
        <w:t>紧凑型箱式变电站在标准型箱式变电站的基础上删除低压侧主进开关、低压侧出线隔离开关，并将低压侧出线减少为4路，补偿电容器减少为不大于4路，补偿容量降为变压器额定容量的15%，可用于安装施工场地空间受限的区域。</w:t>
      </w:r>
    </w:p>
    <w:p>
      <w:pPr>
        <w:pStyle w:val="19"/>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高压柜</w:t>
      </w:r>
    </w:p>
    <w:p>
      <w:pPr>
        <w:pStyle w:val="20"/>
        <w:bidi w:val="0"/>
        <w:rPr>
          <w:rFonts w:hint="default" w:ascii="宋体" w:hAnsi="宋体" w:eastAsia="宋体" w:cs="宋体"/>
          <w:lang w:val="en-US" w:eastAsia="zh-CN"/>
        </w:rPr>
      </w:pPr>
      <w:r>
        <w:rPr>
          <w:rFonts w:hint="default" w:ascii="宋体" w:hAnsi="宋体" w:eastAsia="宋体" w:cs="宋体"/>
          <w:lang w:val="en-US" w:eastAsia="zh-CN"/>
        </w:rPr>
        <w:t>高压柜可采用环保气体绝缘、固体绝缘环网柜、常压密封空气绝缘环网柜，当空间尺寸受限时，也可采用SF。气体绝缘环网柜。</w:t>
      </w:r>
    </w:p>
    <w:p>
      <w:pPr>
        <w:pStyle w:val="20"/>
        <w:bidi w:val="0"/>
        <w:rPr>
          <w:rFonts w:hint="default" w:ascii="宋体" w:hAnsi="宋体" w:eastAsia="宋体" w:cs="宋体"/>
          <w:lang w:val="en-US" w:eastAsia="zh-CN"/>
        </w:rPr>
      </w:pPr>
      <w:r>
        <w:rPr>
          <w:rFonts w:hint="default" w:ascii="宋体" w:hAnsi="宋体" w:eastAsia="宋体" w:cs="宋体"/>
          <w:lang w:val="en-US" w:eastAsia="zh-CN"/>
        </w:rPr>
        <w:t>高压柜的泄压通道方向应朝向电缆沟。</w:t>
      </w:r>
    </w:p>
    <w:p>
      <w:pPr>
        <w:pStyle w:val="19"/>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变压器</w:t>
      </w:r>
    </w:p>
    <w:p>
      <w:pPr>
        <w:pStyle w:val="20"/>
        <w:bidi w:val="0"/>
        <w:rPr>
          <w:rFonts w:hint="default"/>
          <w:lang w:val="en-US" w:eastAsia="zh-CN"/>
        </w:rPr>
      </w:pPr>
      <w:r>
        <w:rPr>
          <w:rFonts w:hint="default"/>
          <w:lang w:val="en-US" w:eastAsia="zh-CN"/>
        </w:rPr>
        <w:t>变压器形式</w:t>
      </w:r>
    </w:p>
    <w:p>
      <w:pPr>
        <w:pStyle w:val="17"/>
        <w:rPr>
          <w:rFonts w:hint="default"/>
          <w:lang w:val="en-US" w:eastAsia="zh-CN"/>
        </w:rPr>
      </w:pPr>
      <w:r>
        <w:rPr>
          <w:rFonts w:hint="default"/>
          <w:lang w:val="en-US" w:eastAsia="zh-CN"/>
        </w:rPr>
        <w:t>宜选用高效节能环保型、全密封、油浸式变压器(S20型及以上硅钢/SH21型及以上非晶合金)，具体性能及参数应满足 GB/T 1094.1,GB/T 1094.2,GB/T 1094.3,GB/T 1094.4、GB/T 1094.5、GB/T 6451,GB20052的要求。</w:t>
      </w:r>
    </w:p>
    <w:p>
      <w:pPr>
        <w:pStyle w:val="20"/>
        <w:bidi w:val="0"/>
        <w:rPr>
          <w:rFonts w:hint="default"/>
          <w:lang w:val="en-US" w:eastAsia="zh-CN"/>
        </w:rPr>
      </w:pPr>
      <w:r>
        <w:rPr>
          <w:rFonts w:hint="eastAsia"/>
          <w:lang w:val="en-US" w:eastAsia="zh-CN"/>
        </w:rPr>
        <w:t>额定容量</w:t>
      </w:r>
    </w:p>
    <w:p>
      <w:pPr>
        <w:pStyle w:val="17"/>
        <w:rPr>
          <w:rFonts w:hint="eastAsia"/>
          <w:lang w:val="en-US" w:eastAsia="zh-CN"/>
        </w:rPr>
      </w:pPr>
      <w:r>
        <w:rPr>
          <w:rFonts w:hint="default"/>
          <w:lang w:val="en-US" w:eastAsia="zh-CN"/>
        </w:rPr>
        <w:t>400 kVA, 500 kVA, 630 kVA</w:t>
      </w:r>
      <w:r>
        <w:rPr>
          <w:rFonts w:hint="eastAsia"/>
          <w:lang w:val="en-US" w:eastAsia="zh-CN"/>
        </w:rPr>
        <w:t>。</w:t>
      </w:r>
    </w:p>
    <w:p>
      <w:pPr>
        <w:pStyle w:val="19"/>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低压部分</w:t>
      </w:r>
    </w:p>
    <w:p>
      <w:pPr>
        <w:pStyle w:val="20"/>
        <w:bidi w:val="0"/>
        <w:rPr>
          <w:rFonts w:hint="default"/>
          <w:lang w:val="en-US" w:eastAsia="zh-CN"/>
        </w:rPr>
      </w:pPr>
      <w:r>
        <w:rPr>
          <w:rFonts w:hint="default"/>
          <w:lang w:val="en-US" w:eastAsia="zh-CN"/>
        </w:rPr>
        <w:t>自动化室</w:t>
      </w:r>
    </w:p>
    <w:p>
      <w:pPr>
        <w:pStyle w:val="17"/>
        <w:rPr>
          <w:rFonts w:hint="default"/>
          <w:lang w:val="en-US" w:eastAsia="zh-CN"/>
        </w:rPr>
      </w:pPr>
      <w:r>
        <w:rPr>
          <w:rFonts w:hint="default"/>
          <w:lang w:val="en-US" w:eastAsia="zh-CN"/>
        </w:rPr>
        <w:t>如需配置自动化终端，内部空间应满足可安装DTU公共单元独立二次柜。</w:t>
      </w:r>
    </w:p>
    <w:p>
      <w:pPr>
        <w:pStyle w:val="20"/>
        <w:bidi w:val="0"/>
        <w:rPr>
          <w:rFonts w:hint="default"/>
          <w:lang w:val="en-US" w:eastAsia="zh-CN"/>
        </w:rPr>
      </w:pPr>
      <w:r>
        <w:rPr>
          <w:rFonts w:hint="default"/>
          <w:lang w:val="en-US" w:eastAsia="zh-CN"/>
        </w:rPr>
        <w:t>通信类型及安装方式</w:t>
      </w:r>
    </w:p>
    <w:p>
      <w:pPr>
        <w:pStyle w:val="17"/>
        <w:rPr>
          <w:rFonts w:hint="default"/>
          <w:lang w:val="en-US" w:eastAsia="zh-CN"/>
        </w:rPr>
      </w:pPr>
      <w:r>
        <w:rPr>
          <w:rFonts w:hint="default"/>
          <w:lang w:val="en-US" w:eastAsia="zh-CN"/>
        </w:rPr>
        <w:t>如需配置通信单元，箱变内部应满足可安装独立通信室。</w:t>
      </w:r>
    </w:p>
    <w:p>
      <w:pPr>
        <w:pStyle w:val="20"/>
        <w:bidi w:val="0"/>
        <w:rPr>
          <w:rFonts w:hint="default"/>
          <w:lang w:val="en-US" w:eastAsia="zh-CN"/>
        </w:rPr>
      </w:pPr>
      <w:r>
        <w:rPr>
          <w:rFonts w:hint="default"/>
          <w:lang w:val="en-US" w:eastAsia="zh-CN"/>
        </w:rPr>
        <w:t>电量采集类型及安装方式</w:t>
      </w:r>
    </w:p>
    <w:p>
      <w:pPr>
        <w:pStyle w:val="17"/>
        <w:rPr>
          <w:rFonts w:hint="default"/>
          <w:lang w:val="en-US" w:eastAsia="zh-CN"/>
        </w:rPr>
      </w:pPr>
      <w:r>
        <w:rPr>
          <w:rFonts w:hint="default"/>
          <w:lang w:val="en-US" w:eastAsia="zh-CN"/>
        </w:rPr>
        <w:t>应为内嵌式安装，内部含计量表、集中器、智能配变终端(按合同约定安装)。</w:t>
      </w:r>
    </w:p>
    <w:p>
      <w:pPr>
        <w:pStyle w:val="20"/>
        <w:bidi w:val="0"/>
        <w:rPr>
          <w:rFonts w:hint="default"/>
          <w:lang w:val="en-US" w:eastAsia="zh-CN"/>
        </w:rPr>
      </w:pPr>
      <w:r>
        <w:rPr>
          <w:rFonts w:hint="default"/>
          <w:lang w:val="en-US" w:eastAsia="zh-CN"/>
        </w:rPr>
        <w:t>低压元件安装方式</w:t>
      </w:r>
    </w:p>
    <w:p>
      <w:pPr>
        <w:pStyle w:val="17"/>
        <w:rPr>
          <w:rFonts w:hint="default"/>
          <w:lang w:val="en-US" w:eastAsia="zh-CN"/>
        </w:rPr>
      </w:pPr>
      <w:r>
        <w:rPr>
          <w:rFonts w:hint="default"/>
          <w:lang w:val="en-US" w:eastAsia="zh-CN"/>
        </w:rPr>
        <w:t>统一采用柜式组屏安装。</w:t>
      </w:r>
    </w:p>
    <w:p>
      <w:pPr>
        <w:pStyle w:val="20"/>
        <w:bidi w:val="0"/>
        <w:rPr>
          <w:rFonts w:hint="default"/>
          <w:lang w:val="en-US" w:eastAsia="zh-CN"/>
        </w:rPr>
      </w:pPr>
      <w:r>
        <w:rPr>
          <w:rFonts w:hint="default"/>
          <w:lang w:val="en-US" w:eastAsia="zh-CN"/>
        </w:rPr>
        <w:t>低压侧电流电压表</w:t>
      </w:r>
    </w:p>
    <w:p>
      <w:pPr>
        <w:pStyle w:val="17"/>
        <w:rPr>
          <w:rFonts w:hint="default"/>
          <w:lang w:val="en-US" w:eastAsia="zh-CN"/>
        </w:rPr>
      </w:pPr>
      <w:r>
        <w:rPr>
          <w:rFonts w:hint="default"/>
          <w:lang w:val="en-US" w:eastAsia="zh-CN"/>
        </w:rPr>
        <w:t>低压进线侧应设置电流电压表。</w:t>
      </w:r>
    </w:p>
    <w:p>
      <w:pPr>
        <w:pStyle w:val="20"/>
        <w:bidi w:val="0"/>
        <w:rPr>
          <w:rFonts w:hint="default"/>
          <w:lang w:val="en-US" w:eastAsia="zh-CN"/>
        </w:rPr>
      </w:pPr>
      <w:r>
        <w:rPr>
          <w:rFonts w:hint="default"/>
          <w:lang w:val="en-US" w:eastAsia="zh-CN"/>
        </w:rPr>
        <w:t>低压侧主母线</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容量为400kVA时，低压侧主母线额定电流宜采用800 A，规格为TMIY-80mm</w:t>
      </w:r>
      <w:r>
        <w:rPr>
          <w:rFonts w:hint="eastAsia" w:asciiTheme="minorEastAsia" w:hAnsiTheme="minorEastAsia" w:eastAsiaTheme="minorEastAsia" w:cstheme="minorEastAsia"/>
          <w:lang w:val="en-US" w:eastAsia="zh-CN"/>
        </w:rPr>
        <w:t>×</w:t>
      </w:r>
      <w:r>
        <w:rPr>
          <w:rFonts w:hint="default" w:asciiTheme="minorEastAsia" w:hAnsiTheme="minorEastAsia" w:eastAsiaTheme="minorEastAsia" w:cstheme="minorEastAsia"/>
          <w:lang w:val="en-US" w:eastAsia="zh-CN"/>
        </w:rPr>
        <w:t>6mm。</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容量为500kVA时，低压侧主母线额定电流宜采用1000 A，规格为TMY-80mm</w:t>
      </w:r>
      <w:r>
        <w:rPr>
          <w:rFonts w:hint="eastAsia" w:asciiTheme="minorEastAsia" w:hAnsiTheme="minorEastAsia" w:eastAsiaTheme="minorEastAsia" w:cstheme="minorEastAsia"/>
          <w:lang w:val="en-US" w:eastAsia="zh-CN"/>
        </w:rPr>
        <w:t>×</w:t>
      </w:r>
      <w:r>
        <w:rPr>
          <w:rFonts w:hint="default" w:asciiTheme="minorEastAsia" w:hAnsiTheme="minorEastAsia" w:eastAsiaTheme="minorEastAsia" w:cstheme="minorEastAsia"/>
          <w:lang w:val="en-US" w:eastAsia="zh-CN"/>
        </w:rPr>
        <w:t>8mm。</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容量为630kVA时，低压侧主母线额定电流宜采用1250 A，规格为TMY-80m</w:t>
      </w:r>
      <w:r>
        <w:rPr>
          <w:rFonts w:hint="eastAsia" w:asciiTheme="minorEastAsia" w:hAnsiTheme="minorEastAsia" w:eastAsiaTheme="minorEastAsia" w:cstheme="minorEastAsia"/>
          <w:lang w:val="en-US" w:eastAsia="zh-CN"/>
        </w:rPr>
        <w:t>×</w:t>
      </w:r>
      <w:r>
        <w:rPr>
          <w:rFonts w:hint="default" w:asciiTheme="minorEastAsia" w:hAnsiTheme="minorEastAsia" w:eastAsiaTheme="minorEastAsia" w:cstheme="minorEastAsia"/>
          <w:lang w:val="en-US" w:eastAsia="zh-CN"/>
        </w:rPr>
        <w:t>10mm。</w:t>
      </w:r>
    </w:p>
    <w:p>
      <w:pPr>
        <w:pStyle w:val="20"/>
        <w:bidi w:val="0"/>
        <w:rPr>
          <w:rFonts w:hint="default"/>
          <w:lang w:val="en-US" w:eastAsia="zh-CN"/>
        </w:rPr>
      </w:pPr>
      <w:r>
        <w:rPr>
          <w:rFonts w:hint="default"/>
          <w:lang w:val="en-US" w:eastAsia="zh-CN"/>
        </w:rPr>
        <w:t>计量方式</w:t>
      </w:r>
    </w:p>
    <w:p>
      <w:pPr>
        <w:pStyle w:val="17"/>
        <w:rPr>
          <w:rFonts w:hint="default"/>
          <w:lang w:val="en-US" w:eastAsia="zh-CN"/>
        </w:rPr>
      </w:pPr>
      <w:r>
        <w:rPr>
          <w:rFonts w:hint="default"/>
          <w:lang w:val="en-US" w:eastAsia="zh-CN"/>
        </w:rPr>
        <w:t>应采用低计方式。</w:t>
      </w:r>
    </w:p>
    <w:p>
      <w:pPr>
        <w:pStyle w:val="20"/>
        <w:bidi w:val="0"/>
        <w:rPr>
          <w:rFonts w:hint="default"/>
          <w:lang w:val="en-US" w:eastAsia="zh-CN"/>
        </w:rPr>
      </w:pPr>
      <w:r>
        <w:rPr>
          <w:rFonts w:hint="default"/>
          <w:lang w:val="en-US" w:eastAsia="zh-CN"/>
        </w:rPr>
        <w:t>低压侧CT</w:t>
      </w:r>
    </w:p>
    <w:p>
      <w:pPr>
        <w:pStyle w:val="17"/>
        <w:rPr>
          <w:rFonts w:hint="default"/>
          <w:lang w:val="en-US" w:eastAsia="zh-CN"/>
        </w:rPr>
      </w:pPr>
      <w:r>
        <w:rPr>
          <w:rFonts w:hint="default"/>
          <w:lang w:val="en-US" w:eastAsia="zh-CN"/>
        </w:rPr>
        <w:t>计量、测量、采样CT安装于低压室，计量CT应进行铅封。</w:t>
      </w:r>
    </w:p>
    <w:p>
      <w:pPr>
        <w:pStyle w:val="20"/>
        <w:bidi w:val="0"/>
        <w:rPr>
          <w:rFonts w:hint="default"/>
          <w:lang w:val="en-US" w:eastAsia="zh-CN"/>
        </w:rPr>
      </w:pPr>
      <w:r>
        <w:rPr>
          <w:rFonts w:hint="default"/>
          <w:lang w:val="en-US" w:eastAsia="zh-CN"/>
        </w:rPr>
        <w:t>低压出线路数及额定电流</w:t>
      </w:r>
    </w:p>
    <w:p>
      <w:pPr>
        <w:pStyle w:val="46"/>
        <w:numPr>
          <w:numId w:val="0"/>
        </w:numPr>
        <w:bidi w:val="0"/>
        <w:ind w:left="425" w:leftChars="0"/>
        <w:rPr>
          <w:rFonts w:hint="default"/>
          <w:lang w:val="en-US" w:eastAsia="zh-CN"/>
        </w:rPr>
      </w:pPr>
      <w:r>
        <w:rPr>
          <w:rFonts w:hint="default"/>
          <w:lang w:val="en-US" w:eastAsia="zh-CN"/>
        </w:rPr>
        <w:t>低压侧为4路出线，额定电流分配如下:</w:t>
      </w:r>
    </w:p>
    <w:p>
      <w:pPr>
        <w:pStyle w:val="46"/>
        <w:numPr>
          <w:ilvl w:val="0"/>
          <w:numId w:val="34"/>
        </w:numPr>
        <w:bidi w:val="0"/>
        <w:ind w:left="851" w:leftChars="0" w:hanging="426" w:firstLineChars="0"/>
        <w:rPr>
          <w:rFonts w:hint="default"/>
          <w:lang w:val="en-US" w:eastAsia="zh-CN"/>
        </w:rPr>
      </w:pPr>
      <w:r>
        <w:rPr>
          <w:rFonts w:hint="default"/>
          <w:lang w:val="en-US" w:eastAsia="zh-CN"/>
        </w:rPr>
        <w:t>容量为400kVA时，各出线额定电流及回路宜采用2</w:t>
      </w:r>
      <w:r>
        <w:rPr>
          <w:rFonts w:hint="eastAsia"/>
          <w:lang w:val="en-US" w:eastAsia="zh-CN"/>
        </w:rPr>
        <w:t>×</w:t>
      </w:r>
      <w:r>
        <w:rPr>
          <w:rFonts w:hint="default"/>
          <w:lang w:val="en-US" w:eastAsia="zh-CN"/>
        </w:rPr>
        <w:t>400A+2</w:t>
      </w:r>
      <w:r>
        <w:rPr>
          <w:rFonts w:hint="eastAsia"/>
          <w:lang w:val="en-US" w:eastAsia="zh-CN"/>
        </w:rPr>
        <w:t>×</w:t>
      </w:r>
      <w:r>
        <w:rPr>
          <w:rFonts w:hint="default"/>
          <w:lang w:val="en-US" w:eastAsia="zh-CN"/>
        </w:rPr>
        <w:t>250A;</w:t>
      </w:r>
    </w:p>
    <w:p>
      <w:pPr>
        <w:pStyle w:val="46"/>
        <w:numPr>
          <w:ilvl w:val="0"/>
          <w:numId w:val="34"/>
        </w:numPr>
        <w:bidi w:val="0"/>
        <w:ind w:left="851" w:leftChars="0" w:hanging="426" w:firstLineChars="0"/>
        <w:rPr>
          <w:rFonts w:hint="default"/>
          <w:lang w:val="en-US" w:eastAsia="zh-CN"/>
        </w:rPr>
      </w:pPr>
      <w:r>
        <w:rPr>
          <w:rFonts w:hint="default"/>
          <w:lang w:val="en-US" w:eastAsia="zh-CN"/>
        </w:rPr>
        <w:t>容量为500kVA时，各出线额定电流及回路宜采用4</w:t>
      </w:r>
      <w:r>
        <w:rPr>
          <w:rFonts w:hint="eastAsia"/>
          <w:lang w:val="en-US" w:eastAsia="zh-CN"/>
        </w:rPr>
        <w:t>×</w:t>
      </w:r>
      <w:r>
        <w:rPr>
          <w:rFonts w:hint="default"/>
          <w:lang w:val="en-US" w:eastAsia="zh-CN"/>
        </w:rPr>
        <w:t>400A;</w:t>
      </w:r>
    </w:p>
    <w:p>
      <w:pPr>
        <w:pStyle w:val="46"/>
        <w:numPr>
          <w:ilvl w:val="0"/>
          <w:numId w:val="34"/>
        </w:numPr>
        <w:bidi w:val="0"/>
        <w:ind w:left="851" w:leftChars="0" w:hanging="426" w:firstLineChars="0"/>
        <w:rPr>
          <w:rFonts w:hint="default"/>
          <w:lang w:val="en-US" w:eastAsia="zh-CN"/>
        </w:rPr>
      </w:pPr>
      <w:r>
        <w:rPr>
          <w:rFonts w:hint="default"/>
          <w:lang w:val="en-US" w:eastAsia="zh-CN"/>
        </w:rPr>
        <w:t>容量为630kVA时，各出线额定电流及回路宜采用4</w:t>
      </w:r>
      <w:r>
        <w:rPr>
          <w:rFonts w:hint="eastAsia"/>
          <w:lang w:val="en-US" w:eastAsia="zh-CN"/>
        </w:rPr>
        <w:t>×</w:t>
      </w:r>
      <w:r>
        <w:rPr>
          <w:rFonts w:hint="default"/>
          <w:lang w:val="en-US" w:eastAsia="zh-CN"/>
        </w:rPr>
        <w:t>400A。</w:t>
      </w:r>
    </w:p>
    <w:p>
      <w:pPr>
        <w:pStyle w:val="20"/>
        <w:bidi w:val="0"/>
        <w:rPr>
          <w:rFonts w:hint="default"/>
          <w:lang w:val="en-US" w:eastAsia="zh-CN"/>
        </w:rPr>
      </w:pPr>
      <w:r>
        <w:rPr>
          <w:rFonts w:hint="default"/>
          <w:lang w:val="en-US" w:eastAsia="zh-CN"/>
        </w:rPr>
        <w:t>低压侧出线断路器</w:t>
      </w:r>
    </w:p>
    <w:p>
      <w:pPr>
        <w:pStyle w:val="17"/>
        <w:rPr>
          <w:rFonts w:hint="default"/>
          <w:lang w:val="en-US" w:eastAsia="zh-CN"/>
        </w:rPr>
      </w:pPr>
      <w:r>
        <w:rPr>
          <w:rFonts w:hint="default"/>
          <w:lang w:val="en-US" w:eastAsia="zh-CN"/>
        </w:rPr>
        <w:t>低压侧出线断路器为塑壳断路器，应采用固定式板前接线方式，并对电缆搭接点等裸露带电部位进行遮挡。</w:t>
      </w:r>
    </w:p>
    <w:p>
      <w:pPr>
        <w:pStyle w:val="20"/>
        <w:bidi w:val="0"/>
        <w:rPr>
          <w:rFonts w:hint="default"/>
          <w:lang w:val="en-US" w:eastAsia="zh-CN"/>
        </w:rPr>
      </w:pPr>
      <w:r>
        <w:rPr>
          <w:rFonts w:hint="default"/>
          <w:lang w:val="en-US" w:eastAsia="zh-CN"/>
        </w:rPr>
        <w:t>低压侧中性线和保护线</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低压侧中性线、保护线布置在低压柜前下侧。</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低压侧中性线与低压侧主母线的规格相同。</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低压侧保护线的截面面积不小于TMY-40mm</w:t>
      </w:r>
      <w:r>
        <w:rPr>
          <w:rFonts w:hint="eastAsia" w:asciiTheme="minorEastAsia" w:hAnsiTheme="minorEastAsia" w:eastAsiaTheme="minorEastAsia" w:cstheme="minorEastAsia"/>
          <w:lang w:val="en-US" w:eastAsia="zh-CN"/>
        </w:rPr>
        <w:t>×</w:t>
      </w:r>
      <w:r>
        <w:rPr>
          <w:rFonts w:hint="default" w:asciiTheme="minorEastAsia" w:hAnsiTheme="minorEastAsia" w:eastAsiaTheme="minorEastAsia" w:cstheme="minorEastAsia"/>
          <w:lang w:val="en-US" w:eastAsia="zh-CN"/>
        </w:rPr>
        <w:t>5mm。</w:t>
      </w:r>
    </w:p>
    <w:p>
      <w:pPr>
        <w:pStyle w:val="20"/>
        <w:bidi w:val="0"/>
        <w:rPr>
          <w:rFonts w:hint="default"/>
          <w:lang w:val="en-US" w:eastAsia="zh-CN"/>
        </w:rPr>
      </w:pPr>
      <w:r>
        <w:rPr>
          <w:rFonts w:hint="default"/>
          <w:lang w:val="en-US" w:eastAsia="zh-CN"/>
        </w:rPr>
        <w:t>无功补偿总开关</w:t>
      </w:r>
    </w:p>
    <w:p>
      <w:pPr>
        <w:pStyle w:val="17"/>
        <w:rPr>
          <w:rFonts w:hint="default"/>
          <w:lang w:val="en-US" w:eastAsia="zh-CN"/>
        </w:rPr>
      </w:pPr>
      <w:r>
        <w:rPr>
          <w:rFonts w:hint="default"/>
          <w:lang w:val="en-US" w:eastAsia="zh-CN"/>
        </w:rPr>
        <w:t>应采用刀熔开关。其中:</w:t>
      </w:r>
    </w:p>
    <w:p>
      <w:pPr>
        <w:pStyle w:val="46"/>
        <w:numPr>
          <w:ilvl w:val="0"/>
          <w:numId w:val="35"/>
        </w:numPr>
        <w:bidi w:val="0"/>
        <w:ind w:left="851" w:leftChars="0" w:hanging="426" w:firstLineChars="0"/>
        <w:rPr>
          <w:rFonts w:hint="default"/>
          <w:lang w:val="en-US" w:eastAsia="zh-CN"/>
        </w:rPr>
      </w:pPr>
      <w:r>
        <w:rPr>
          <w:rFonts w:hint="default"/>
          <w:lang w:val="en-US" w:eastAsia="zh-CN"/>
        </w:rPr>
        <w:t>容量为400kVA时，熔芯额定电流采用250A;</w:t>
      </w:r>
    </w:p>
    <w:p>
      <w:pPr>
        <w:pStyle w:val="46"/>
        <w:numPr>
          <w:ilvl w:val="0"/>
          <w:numId w:val="35"/>
        </w:numPr>
        <w:bidi w:val="0"/>
        <w:ind w:left="851" w:leftChars="0" w:hanging="426" w:firstLineChars="0"/>
        <w:rPr>
          <w:rFonts w:hint="default"/>
          <w:lang w:val="en-US" w:eastAsia="zh-CN"/>
        </w:rPr>
      </w:pPr>
      <w:r>
        <w:rPr>
          <w:rFonts w:hint="default"/>
          <w:lang w:val="en-US" w:eastAsia="zh-CN"/>
        </w:rPr>
        <w:t>容量为500kVA时，熔芯额定电流采用250A;</w:t>
      </w:r>
    </w:p>
    <w:p>
      <w:pPr>
        <w:pStyle w:val="46"/>
        <w:numPr>
          <w:ilvl w:val="0"/>
          <w:numId w:val="35"/>
        </w:numPr>
        <w:bidi w:val="0"/>
        <w:ind w:left="851" w:leftChars="0" w:hanging="426" w:firstLineChars="0"/>
        <w:rPr>
          <w:rFonts w:hint="default"/>
          <w:lang w:val="en-US" w:eastAsia="zh-CN"/>
        </w:rPr>
      </w:pPr>
      <w:r>
        <w:rPr>
          <w:rFonts w:hint="default"/>
          <w:lang w:val="en-US" w:eastAsia="zh-CN"/>
        </w:rPr>
        <w:t>容量为630kVA时，熔芯额定电流采用315A。</w:t>
      </w:r>
    </w:p>
    <w:p>
      <w:pPr>
        <w:pStyle w:val="20"/>
        <w:bidi w:val="0"/>
        <w:rPr>
          <w:rFonts w:hint="default"/>
          <w:lang w:val="en-US" w:eastAsia="zh-CN"/>
        </w:rPr>
      </w:pPr>
      <w:r>
        <w:rPr>
          <w:rFonts w:hint="default"/>
          <w:lang w:val="en-US" w:eastAsia="zh-CN"/>
        </w:rPr>
        <w:t>无功补偿装置及补偿容量</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无功补偿装置应采用智能电容，箱变空间按照补偿容量为额定容量的15%预留。</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补偿方式为共补加分补。</w:t>
      </w:r>
    </w:p>
    <w:p>
      <w:pPr>
        <w:pStyle w:val="19"/>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变压器至高低压柜连接形式</w:t>
      </w:r>
    </w:p>
    <w:p>
      <w:pPr>
        <w:pStyle w:val="20"/>
        <w:bidi w:val="0"/>
        <w:rPr>
          <w:rFonts w:hint="default" w:ascii="宋体" w:hAnsi="宋体" w:eastAsia="宋体" w:cs="宋体"/>
          <w:lang w:val="en-US" w:eastAsia="zh-CN"/>
        </w:rPr>
      </w:pPr>
      <w:r>
        <w:rPr>
          <w:rFonts w:hint="default" w:ascii="宋体" w:hAnsi="宋体" w:eastAsia="宋体" w:cs="宋体"/>
          <w:lang w:val="en-US" w:eastAsia="zh-CN"/>
        </w:rPr>
        <w:t>变压器至高压柜应采用电缆连接，穿过高压室隔板至变压器室，变压器的高压侧应采用预制式可插拔电缆头。</w:t>
      </w:r>
    </w:p>
    <w:p>
      <w:pPr>
        <w:pStyle w:val="20"/>
        <w:bidi w:val="0"/>
        <w:rPr>
          <w:rFonts w:hint="default" w:ascii="宋体" w:hAnsi="宋体" w:eastAsia="宋体" w:cs="宋体"/>
          <w:lang w:val="en-US" w:eastAsia="zh-CN"/>
        </w:rPr>
      </w:pPr>
      <w:r>
        <w:rPr>
          <w:rFonts w:hint="default" w:ascii="宋体" w:hAnsi="宋体" w:eastAsia="宋体" w:cs="宋体"/>
          <w:lang w:val="en-US" w:eastAsia="zh-CN"/>
        </w:rPr>
        <w:t>变压器与低压柜通过铜母排连接，并设备热缩套，并在变压器出口增加软连接，同时裸露部分增加防护盒。</w:t>
      </w:r>
    </w:p>
    <w:p>
      <w:pPr>
        <w:pStyle w:val="19"/>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外形</w:t>
      </w:r>
    </w:p>
    <w:p>
      <w:pPr>
        <w:pStyle w:val="20"/>
        <w:bidi w:val="0"/>
        <w:rPr>
          <w:rFonts w:hint="default"/>
          <w:lang w:val="en-US" w:eastAsia="zh-CN"/>
        </w:rPr>
      </w:pPr>
      <w:r>
        <w:rPr>
          <w:rFonts w:hint="default"/>
          <w:lang w:val="en-US" w:eastAsia="zh-CN"/>
        </w:rPr>
        <w:t>箱体</w:t>
      </w:r>
    </w:p>
    <w:p>
      <w:pPr>
        <w:pStyle w:val="17"/>
        <w:rPr>
          <w:rFonts w:hint="default"/>
          <w:lang w:val="en-US" w:eastAsia="zh-CN"/>
        </w:rPr>
      </w:pPr>
      <w:r>
        <w:rPr>
          <w:rFonts w:hint="default"/>
          <w:lang w:val="en-US" w:eastAsia="zh-CN"/>
        </w:rPr>
        <w:t>紧凑型箱式变电站典型结构设计及尺寸要求如下:</w:t>
      </w:r>
    </w:p>
    <w:p>
      <w:pPr>
        <w:pStyle w:val="46"/>
        <w:numPr>
          <w:ilvl w:val="0"/>
          <w:numId w:val="36"/>
        </w:numPr>
        <w:bidi w:val="0"/>
        <w:ind w:left="851" w:leftChars="0" w:hanging="426" w:firstLineChars="0"/>
        <w:rPr>
          <w:rFonts w:hint="default"/>
          <w:lang w:val="en-US" w:eastAsia="zh-CN"/>
        </w:rPr>
      </w:pPr>
      <w:r>
        <w:rPr>
          <w:rFonts w:hint="default"/>
          <w:lang w:val="en-US" w:eastAsia="zh-CN"/>
        </w:rPr>
        <w:t>金属、非金属材质箱体长度和宽度统一，箱变整体满足通用互换;</w:t>
      </w:r>
    </w:p>
    <w:p>
      <w:pPr>
        <w:pStyle w:val="46"/>
        <w:numPr>
          <w:ilvl w:val="0"/>
          <w:numId w:val="36"/>
        </w:numPr>
        <w:bidi w:val="0"/>
        <w:ind w:left="851" w:leftChars="0" w:hanging="426" w:firstLineChars="0"/>
        <w:rPr>
          <w:rFonts w:hint="default"/>
          <w:lang w:val="en-US" w:eastAsia="zh-CN"/>
        </w:rPr>
      </w:pPr>
      <w:r>
        <w:rPr>
          <w:rFonts w:hint="default"/>
          <w:lang w:val="en-US" w:eastAsia="zh-CN"/>
        </w:rPr>
        <w:t>箱体长度(不含顶盖)为2650mm，其中高压室长度宜为900mm，变压器室长度宜为1050mm，低压室长度宜为700mm;</w:t>
      </w:r>
    </w:p>
    <w:p>
      <w:pPr>
        <w:pStyle w:val="46"/>
        <w:numPr>
          <w:ilvl w:val="0"/>
          <w:numId w:val="36"/>
        </w:numPr>
        <w:bidi w:val="0"/>
        <w:ind w:left="851" w:leftChars="0" w:hanging="426" w:firstLineChars="0"/>
        <w:rPr>
          <w:rFonts w:hint="default"/>
          <w:lang w:val="en-US" w:eastAsia="zh-CN"/>
        </w:rPr>
      </w:pPr>
      <w:r>
        <w:rPr>
          <w:rFonts w:hint="default"/>
          <w:lang w:val="en-US" w:eastAsia="zh-CN"/>
        </w:rPr>
        <w:t>箱体宽度为1350mm，其中高压室深度宜为1150mm;低压柜与应急电源箱宽度宜为1140mm，低c)压柜尺寸宜为700mmx600mmx1600mm;</w:t>
      </w:r>
    </w:p>
    <w:p>
      <w:pPr>
        <w:pStyle w:val="46"/>
        <w:numPr>
          <w:ilvl w:val="0"/>
          <w:numId w:val="36"/>
        </w:numPr>
        <w:bidi w:val="0"/>
        <w:ind w:left="851" w:leftChars="0" w:hanging="426" w:firstLineChars="0"/>
        <w:rPr>
          <w:rFonts w:hint="default"/>
          <w:lang w:val="en-US" w:eastAsia="zh-CN"/>
        </w:rPr>
      </w:pPr>
      <w:r>
        <w:rPr>
          <w:rFonts w:hint="default"/>
          <w:lang w:val="en-US" w:eastAsia="zh-CN"/>
        </w:rPr>
        <w:t>箱体高度(含顶盖)不大于2100mm，箱体基座100mm;</w:t>
      </w:r>
    </w:p>
    <w:p>
      <w:pPr>
        <w:pStyle w:val="46"/>
        <w:numPr>
          <w:ilvl w:val="0"/>
          <w:numId w:val="36"/>
        </w:numPr>
        <w:bidi w:val="0"/>
        <w:ind w:left="851" w:leftChars="0" w:hanging="426" w:firstLineChars="0"/>
        <w:rPr>
          <w:rFonts w:hint="default"/>
          <w:lang w:val="en-US" w:eastAsia="zh-CN"/>
        </w:rPr>
      </w:pPr>
      <w:r>
        <w:rPr>
          <w:rFonts w:hint="default"/>
          <w:lang w:val="en-US" w:eastAsia="zh-CN"/>
        </w:rPr>
        <w:t>单独设置自动化室，自动化室布置在高压室左侧，自动化室尺寸宜为800mmx150mx1500mm;</w:t>
      </w:r>
    </w:p>
    <w:p>
      <w:pPr>
        <w:pStyle w:val="46"/>
        <w:numPr>
          <w:ilvl w:val="0"/>
          <w:numId w:val="36"/>
        </w:numPr>
        <w:bidi w:val="0"/>
        <w:ind w:left="851" w:leftChars="0" w:hanging="426" w:firstLineChars="0"/>
        <w:rPr>
          <w:rFonts w:hint="default"/>
          <w:lang w:val="en-US" w:eastAsia="zh-CN"/>
        </w:rPr>
      </w:pPr>
      <w:r>
        <w:rPr>
          <w:rFonts w:hint="default"/>
          <w:lang w:val="en-US" w:eastAsia="zh-CN"/>
        </w:rPr>
        <w:t>单独设置电量采集室、通信室，其中电量采集室、通信室整体布置在低压室右侧，电量采集室与通信室上下单独布置，电量采集室尺寸宜为600mmx150mmx600mm，通信室尺寸宜为600mmx150mmx900 mm;</w:t>
      </w:r>
    </w:p>
    <w:p>
      <w:pPr>
        <w:pStyle w:val="46"/>
        <w:numPr>
          <w:ilvl w:val="0"/>
          <w:numId w:val="36"/>
        </w:numPr>
        <w:bidi w:val="0"/>
        <w:ind w:left="851" w:leftChars="0" w:hanging="426" w:firstLineChars="0"/>
        <w:rPr>
          <w:rFonts w:hint="default"/>
          <w:lang w:val="en-US" w:eastAsia="zh-CN"/>
        </w:rPr>
      </w:pPr>
      <w:r>
        <w:rPr>
          <w:rFonts w:hint="default"/>
          <w:lang w:val="en-US" w:eastAsia="zh-CN"/>
        </w:rPr>
        <w:t>单独设置应急电源接口，布置在低压柜外部左上侧，应急电源箱尺寸宜为440mmnx600mmx500mm;</w:t>
      </w:r>
    </w:p>
    <w:p>
      <w:pPr>
        <w:pStyle w:val="46"/>
        <w:numPr>
          <w:ilvl w:val="0"/>
          <w:numId w:val="36"/>
        </w:numPr>
        <w:bidi w:val="0"/>
        <w:ind w:left="851" w:leftChars="0" w:hanging="426" w:firstLineChars="0"/>
        <w:rPr>
          <w:rFonts w:hint="default"/>
          <w:lang w:val="en-US" w:eastAsia="zh-CN"/>
        </w:rPr>
      </w:pPr>
      <w:r>
        <w:rPr>
          <w:rFonts w:hint="default"/>
          <w:lang w:val="en-US" w:eastAsia="zh-CN"/>
        </w:rPr>
        <w:t>单独设置无功补偿室，布置在低压柜外部左下侧，尺寸宜为440mmx600mx550mm(宽度x深度x高度);</w:t>
      </w:r>
    </w:p>
    <w:p>
      <w:pPr>
        <w:pStyle w:val="46"/>
        <w:numPr>
          <w:ilvl w:val="0"/>
          <w:numId w:val="36"/>
        </w:numPr>
        <w:bidi w:val="0"/>
        <w:ind w:left="851" w:leftChars="0" w:hanging="426" w:firstLineChars="0"/>
        <w:rPr>
          <w:rFonts w:hint="default"/>
          <w:lang w:val="en-US" w:eastAsia="zh-CN"/>
        </w:rPr>
      </w:pPr>
      <w:r>
        <w:rPr>
          <w:rFonts w:hint="default"/>
          <w:lang w:val="en-US" w:eastAsia="zh-CN"/>
        </w:rPr>
        <w:t>箱变门应有防风钩设计;</w:t>
      </w:r>
    </w:p>
    <w:p>
      <w:pPr>
        <w:pStyle w:val="46"/>
        <w:numPr>
          <w:ilvl w:val="0"/>
          <w:numId w:val="36"/>
        </w:numPr>
        <w:bidi w:val="0"/>
        <w:ind w:left="851" w:leftChars="0" w:hanging="426" w:firstLineChars="0"/>
        <w:rPr>
          <w:rFonts w:hint="default"/>
          <w:lang w:val="en-US" w:eastAsia="zh-CN"/>
        </w:rPr>
      </w:pPr>
      <w:r>
        <w:rPr>
          <w:rFonts w:hint="default"/>
          <w:lang w:val="en-US" w:eastAsia="zh-CN"/>
        </w:rPr>
        <w:t>高压室、变压器室、低压室不设置照明。</w:t>
      </w:r>
    </w:p>
    <w:p>
      <w:pPr>
        <w:pStyle w:val="20"/>
        <w:bidi w:val="0"/>
        <w:rPr>
          <w:rFonts w:hint="default"/>
          <w:lang w:val="en-US" w:eastAsia="zh-CN"/>
        </w:rPr>
      </w:pPr>
      <w:r>
        <w:rPr>
          <w:rFonts w:hint="default"/>
          <w:lang w:val="en-US" w:eastAsia="zh-CN"/>
        </w:rPr>
        <w:t>顶盖外形</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顶盖长度、宽度方向分别超出箱体外形100mm，即顶盖长度宜为2850m、顶盖宽度宜为1550mm。</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顶盖外沿高度80mm。</w:t>
      </w:r>
    </w:p>
    <w:p>
      <w:pPr>
        <w:pStyle w:val="21"/>
        <w:bidi w:val="0"/>
        <w:rPr>
          <w:rFonts w:hint="default" w:asciiTheme="minorEastAsia" w:hAnsiTheme="minorEastAsia" w:eastAsiaTheme="minorEastAsia" w:cstheme="minorEastAsia"/>
          <w:lang w:val="en-US" w:eastAsia="zh-CN"/>
        </w:rPr>
      </w:pPr>
      <w:r>
        <w:rPr>
          <w:rFonts w:hint="default" w:asciiTheme="minorEastAsia" w:hAnsiTheme="minorEastAsia" w:eastAsiaTheme="minorEastAsia" w:cstheme="minorEastAsia"/>
          <w:lang w:val="en-US" w:eastAsia="zh-CN"/>
        </w:rPr>
        <w:t>顶盖为“人”字形结构，斜度不小于5°。</w:t>
      </w:r>
    </w:p>
    <w:p>
      <w:pPr>
        <w:pStyle w:val="20"/>
        <w:bidi w:val="0"/>
        <w:rPr>
          <w:rFonts w:hint="default"/>
          <w:lang w:val="en-US" w:eastAsia="zh-CN"/>
        </w:rPr>
      </w:pPr>
      <w:r>
        <w:rPr>
          <w:rFonts w:hint="default"/>
          <w:lang w:val="en-US" w:eastAsia="zh-CN"/>
        </w:rPr>
        <w:t>开门所需空间</w:t>
      </w:r>
    </w:p>
    <w:p>
      <w:pPr>
        <w:pStyle w:val="17"/>
        <w:rPr>
          <w:rFonts w:hint="default"/>
          <w:lang w:val="en-US" w:eastAsia="zh-CN"/>
        </w:rPr>
      </w:pPr>
      <w:r>
        <w:rPr>
          <w:rFonts w:hint="default"/>
          <w:lang w:val="en-US" w:eastAsia="zh-CN"/>
        </w:rPr>
        <w:t>开门空间应大于1000mm，且开门角度不小于90°。</w:t>
      </w:r>
    </w:p>
    <w:p>
      <w:pPr>
        <w:pStyle w:val="20"/>
        <w:bidi w:val="0"/>
        <w:rPr>
          <w:rFonts w:hint="default"/>
          <w:lang w:val="en-US" w:eastAsia="zh-CN"/>
        </w:rPr>
      </w:pPr>
      <w:r>
        <w:rPr>
          <w:rFonts w:hint="default"/>
          <w:lang w:val="en-US" w:eastAsia="zh-CN"/>
        </w:rPr>
        <w:t>变压器网门</w:t>
      </w:r>
    </w:p>
    <w:p>
      <w:pPr>
        <w:pStyle w:val="17"/>
        <w:rPr>
          <w:rFonts w:hint="default"/>
          <w:lang w:val="en-US" w:eastAsia="zh-CN"/>
        </w:rPr>
      </w:pPr>
      <w:r>
        <w:rPr>
          <w:rFonts w:hint="default"/>
          <w:lang w:val="en-US" w:eastAsia="zh-CN"/>
        </w:rPr>
        <w:t>变压器室在箱变外壳门的内部应有一道金属网门进行防护，增设安全警示标志，在开网门时可实现电气闭锁功能。</w:t>
      </w:r>
    </w:p>
    <w:p>
      <w:pPr>
        <w:pStyle w:val="20"/>
        <w:bidi w:val="0"/>
        <w:rPr>
          <w:rFonts w:hint="default"/>
          <w:lang w:val="en-US" w:eastAsia="zh-CN"/>
        </w:rPr>
      </w:pPr>
      <w:r>
        <w:rPr>
          <w:rFonts w:hint="default"/>
          <w:lang w:val="en-US" w:eastAsia="zh-CN"/>
        </w:rPr>
        <w:t>低压柜</w:t>
      </w:r>
    </w:p>
    <w:p>
      <w:pPr>
        <w:pStyle w:val="17"/>
        <w:rPr>
          <w:rFonts w:hint="eastAsia"/>
          <w:lang w:val="en-US" w:eastAsia="zh-CN"/>
        </w:rPr>
      </w:pPr>
      <w:r>
        <w:rPr>
          <w:rFonts w:hint="default"/>
          <w:lang w:val="en-US" w:eastAsia="zh-CN"/>
        </w:rPr>
        <w:t>紧凑型箱式变电站的低压柜应满足如下要求</w:t>
      </w:r>
      <w:r>
        <w:rPr>
          <w:rFonts w:hint="eastAsia"/>
          <w:lang w:val="en-US" w:eastAsia="zh-CN"/>
        </w:rPr>
        <w:t>：</w:t>
      </w:r>
    </w:p>
    <w:p>
      <w:pPr>
        <w:pStyle w:val="46"/>
        <w:numPr>
          <w:ilvl w:val="0"/>
          <w:numId w:val="37"/>
        </w:numPr>
        <w:bidi w:val="0"/>
        <w:ind w:left="851" w:leftChars="0" w:hanging="426" w:firstLineChars="0"/>
        <w:rPr>
          <w:rFonts w:hint="default"/>
          <w:lang w:val="en-US" w:eastAsia="zh-CN"/>
        </w:rPr>
      </w:pPr>
      <w:r>
        <w:rPr>
          <w:rFonts w:hint="default"/>
          <w:lang w:val="en-US" w:eastAsia="zh-CN"/>
        </w:rPr>
        <w:t>低压柜不设置总进线开关</w:t>
      </w:r>
      <w:r>
        <w:rPr>
          <w:rFonts w:hint="eastAsia"/>
          <w:lang w:val="en-US" w:eastAsia="zh-CN"/>
        </w:rPr>
        <w:t>;</w:t>
      </w:r>
    </w:p>
    <w:p>
      <w:pPr>
        <w:pStyle w:val="46"/>
        <w:numPr>
          <w:ilvl w:val="0"/>
          <w:numId w:val="37"/>
        </w:numPr>
        <w:bidi w:val="0"/>
        <w:ind w:left="851" w:leftChars="0" w:hanging="426" w:firstLineChars="0"/>
        <w:rPr>
          <w:rFonts w:hint="default"/>
          <w:lang w:val="en-US" w:eastAsia="zh-CN"/>
        </w:rPr>
      </w:pPr>
      <w:r>
        <w:rPr>
          <w:rFonts w:hint="default"/>
          <w:lang w:val="en-US" w:eastAsia="zh-CN"/>
        </w:rPr>
        <w:t>应急电源、补偿单元应单独设置可拆卸隔室，出线开关室应采用单开门，应急电源室、无功补偿室单独设门</w:t>
      </w:r>
      <w:r>
        <w:rPr>
          <w:rFonts w:hint="eastAsia"/>
          <w:lang w:val="en-US" w:eastAsia="zh-CN"/>
        </w:rPr>
        <w:t>;</w:t>
      </w:r>
    </w:p>
    <w:p>
      <w:pPr>
        <w:pStyle w:val="46"/>
        <w:numPr>
          <w:ilvl w:val="0"/>
          <w:numId w:val="37"/>
        </w:numPr>
        <w:bidi w:val="0"/>
        <w:ind w:left="851" w:leftChars="0" w:hanging="426" w:firstLineChars="0"/>
        <w:rPr>
          <w:rFonts w:hint="default"/>
          <w:lang w:val="en-US" w:eastAsia="zh-CN"/>
        </w:rPr>
      </w:pPr>
      <w:r>
        <w:rPr>
          <w:rFonts w:hint="default"/>
          <w:lang w:val="en-US" w:eastAsia="zh-CN"/>
        </w:rPr>
        <w:t>低压柜应实现关门操作出线断路器;</w:t>
      </w:r>
    </w:p>
    <w:p>
      <w:pPr>
        <w:pStyle w:val="46"/>
        <w:numPr>
          <w:ilvl w:val="0"/>
          <w:numId w:val="37"/>
        </w:numPr>
        <w:bidi w:val="0"/>
        <w:ind w:left="851" w:leftChars="0" w:hanging="426" w:firstLineChars="0"/>
        <w:rPr>
          <w:rFonts w:hint="default"/>
          <w:lang w:val="en-US" w:eastAsia="zh-CN"/>
        </w:rPr>
      </w:pPr>
      <w:r>
        <w:rPr>
          <w:rFonts w:hint="default"/>
          <w:lang w:val="en-US" w:eastAsia="zh-CN"/>
        </w:rPr>
        <w:t>应安装可连接发电车的应急电源插头(接线端子)，当使用发电车供电时，应急插头(接线端子)与变压器低压侧之间有可靠断口，并实现正向闭锁，防止反送电;</w:t>
      </w:r>
    </w:p>
    <w:p>
      <w:pPr>
        <w:pStyle w:val="46"/>
        <w:numPr>
          <w:ilvl w:val="0"/>
          <w:numId w:val="37"/>
        </w:numPr>
        <w:bidi w:val="0"/>
        <w:ind w:left="851" w:leftChars="0" w:hanging="426" w:firstLineChars="0"/>
        <w:rPr>
          <w:rFonts w:hint="default"/>
          <w:lang w:val="en-US" w:eastAsia="zh-CN"/>
        </w:rPr>
      </w:pPr>
      <w:r>
        <w:rPr>
          <w:rFonts w:hint="default"/>
          <w:lang w:val="en-US" w:eastAsia="zh-CN"/>
        </w:rPr>
        <w:t>计量互感器安装可以铅封，各个接点可视。测量、采样互感器不铅封。计量表及采集器均安装在箱变外壳的内嵌计量箱内;</w:t>
      </w:r>
    </w:p>
    <w:p>
      <w:pPr>
        <w:pStyle w:val="46"/>
        <w:numPr>
          <w:ilvl w:val="0"/>
          <w:numId w:val="37"/>
        </w:numPr>
        <w:bidi w:val="0"/>
        <w:ind w:left="851" w:leftChars="0" w:hanging="426" w:firstLineChars="0"/>
        <w:rPr>
          <w:rFonts w:hint="default"/>
          <w:lang w:val="en-US" w:eastAsia="zh-CN"/>
        </w:rPr>
      </w:pPr>
      <w:r>
        <w:rPr>
          <w:rFonts w:hint="default"/>
          <w:lang w:val="en-US" w:eastAsia="zh-CN"/>
        </w:rPr>
        <w:t>进线母排从应急电源室后进线，并且在变压器室内实现换相，在低压室内符合左中右、后中前的顺序排布ABC三相。母排应有相色标识。互感器布置与出线断路器上部，出线断路器平行布置，降低了总体的布置高度，并且方便现场拆卸或安装互感器;</w:t>
      </w:r>
    </w:p>
    <w:p>
      <w:pPr>
        <w:pStyle w:val="46"/>
        <w:numPr>
          <w:ilvl w:val="0"/>
          <w:numId w:val="37"/>
        </w:numPr>
        <w:bidi w:val="0"/>
        <w:ind w:left="851" w:leftChars="0" w:hanging="426" w:firstLineChars="0"/>
        <w:rPr>
          <w:rFonts w:hint="default"/>
          <w:lang w:val="en-US" w:eastAsia="zh-CN"/>
        </w:rPr>
      </w:pPr>
      <w:r>
        <w:rPr>
          <w:rFonts w:hint="default"/>
          <w:lang w:val="en-US" w:eastAsia="zh-CN"/>
        </w:rPr>
        <w:t>出线断路器应采用固定式板前接线方式，方便转接母排;</w:t>
      </w:r>
    </w:p>
    <w:p>
      <w:pPr>
        <w:pStyle w:val="46"/>
        <w:numPr>
          <w:ilvl w:val="0"/>
          <w:numId w:val="37"/>
        </w:numPr>
        <w:bidi w:val="0"/>
        <w:ind w:left="851" w:leftChars="0" w:hanging="426" w:firstLineChars="0"/>
        <w:rPr>
          <w:rFonts w:hint="default"/>
          <w:lang w:val="en-US" w:eastAsia="zh-CN"/>
        </w:rPr>
      </w:pPr>
      <w:r>
        <w:rPr>
          <w:rFonts w:hint="default"/>
          <w:lang w:val="en-US" w:eastAsia="zh-CN"/>
        </w:rPr>
        <w:t>各出线断路器至出线电缆桩头间应设置绝缘隔板;</w:t>
      </w:r>
    </w:p>
    <w:p>
      <w:pPr>
        <w:pStyle w:val="46"/>
        <w:numPr>
          <w:ilvl w:val="0"/>
          <w:numId w:val="37"/>
        </w:numPr>
        <w:bidi w:val="0"/>
        <w:ind w:left="851" w:leftChars="0" w:hanging="426" w:firstLineChars="0"/>
        <w:rPr>
          <w:rFonts w:hint="default"/>
          <w:lang w:val="en-US" w:eastAsia="zh-CN"/>
        </w:rPr>
      </w:pPr>
      <w:r>
        <w:rPr>
          <w:rFonts w:hint="default"/>
          <w:lang w:val="en-US" w:eastAsia="zh-CN"/>
        </w:rPr>
        <w:t>补偿单元实现最大4路电容布置。补偿总开关上下口可采用母排/电缆连接，电源取自主母排;</w:t>
      </w:r>
    </w:p>
    <w:p>
      <w:pPr>
        <w:pStyle w:val="46"/>
        <w:numPr>
          <w:ilvl w:val="0"/>
          <w:numId w:val="37"/>
        </w:numPr>
        <w:bidi w:val="0"/>
        <w:ind w:left="851" w:leftChars="0" w:hanging="426" w:firstLineChars="0"/>
        <w:rPr>
          <w:rFonts w:hint="default"/>
          <w:lang w:val="en-US" w:eastAsia="zh-CN"/>
        </w:rPr>
      </w:pPr>
      <w:r>
        <w:rPr>
          <w:rFonts w:hint="default"/>
          <w:lang w:val="en-US" w:eastAsia="zh-CN"/>
        </w:rPr>
        <w:t>出线断路器的电缆接线高度不低于400 mm(不含箱体基座100 mm)。</w:t>
      </w:r>
    </w:p>
    <w:p>
      <w:pPr>
        <w:pStyle w:val="19"/>
        <w:keepNext w:val="0"/>
        <w:keepLines w:val="0"/>
        <w:pageBreakBefore w:val="0"/>
        <w:widowControl/>
        <w:kinsoku/>
        <w:wordWrap/>
        <w:overflowPunct/>
        <w:topLinePunct w:val="0"/>
        <w:autoSpaceDE/>
        <w:autoSpaceDN/>
        <w:bidi w:val="0"/>
        <w:adjustRightInd/>
        <w:snapToGrid/>
        <w:ind w:left="0"/>
        <w:textAlignment w:val="auto"/>
        <w:rPr>
          <w:rFonts w:hint="default"/>
          <w:lang w:val="en-US" w:eastAsia="zh-CN"/>
        </w:rPr>
      </w:pPr>
      <w:r>
        <w:rPr>
          <w:rFonts w:hint="default"/>
          <w:lang w:val="en-US" w:eastAsia="zh-CN"/>
        </w:rPr>
        <w:t>高低压电缆孔</w:t>
      </w:r>
    </w:p>
    <w:p>
      <w:pPr>
        <w:pStyle w:val="20"/>
        <w:bidi w:val="0"/>
        <w:rPr>
          <w:rFonts w:hint="default" w:ascii="宋体" w:hAnsi="宋体" w:eastAsia="宋体" w:cs="宋体"/>
          <w:lang w:val="en-US" w:eastAsia="zh-CN"/>
        </w:rPr>
      </w:pPr>
      <w:r>
        <w:rPr>
          <w:rFonts w:hint="default" w:ascii="宋体" w:hAnsi="宋体" w:eastAsia="宋体" w:cs="宋体"/>
          <w:lang w:val="en-US" w:eastAsia="zh-CN"/>
        </w:rPr>
        <w:t>紧凑型箱变底部应设置底板，电缆孔大小可根据产品确定，应设阻燃型电缆密封装置。</w:t>
      </w:r>
    </w:p>
    <w:p>
      <w:pPr>
        <w:pStyle w:val="20"/>
        <w:bidi w:val="0"/>
        <w:rPr>
          <w:rFonts w:hint="default" w:ascii="宋体" w:hAnsi="宋体" w:eastAsia="宋体" w:cs="宋体"/>
          <w:lang w:val="en-US" w:eastAsia="zh-CN"/>
        </w:rPr>
      </w:pPr>
      <w:r>
        <w:rPr>
          <w:rFonts w:hint="default" w:ascii="宋体" w:hAnsi="宋体" w:eastAsia="宋体" w:cs="宋体"/>
          <w:lang w:val="en-US" w:eastAsia="zh-CN"/>
        </w:rPr>
        <w:t>高压进出线电缆孔应布置在距箱体上侧边沿200mm，距箱体左侧边沿180m，大小为1000</w:t>
      </w:r>
      <w:r>
        <w:rPr>
          <w:rFonts w:hint="eastAsia" w:ascii="宋体" w:hAnsi="宋体" w:eastAsia="宋体" w:cs="宋体"/>
          <w:lang w:val="en-US" w:eastAsia="zh-CN"/>
        </w:rPr>
        <w:t>×</w:t>
      </w:r>
      <w:r>
        <w:rPr>
          <w:rFonts w:hint="default" w:ascii="宋体" w:hAnsi="宋体" w:eastAsia="宋体" w:cs="宋体"/>
          <w:lang w:val="en-US" w:eastAsia="zh-CN"/>
        </w:rPr>
        <w:t>300mm的区域内</w:t>
      </w:r>
      <w:r>
        <w:rPr>
          <w:rFonts w:hint="eastAsia" w:ascii="宋体" w:hAnsi="宋体" w:eastAsia="宋体" w:cs="宋体"/>
          <w:lang w:val="en-US" w:eastAsia="zh-CN"/>
        </w:rPr>
        <w:t>。</w:t>
      </w:r>
    </w:p>
    <w:p>
      <w:pPr>
        <w:pStyle w:val="20"/>
        <w:bidi w:val="0"/>
        <w:rPr>
          <w:rFonts w:hint="default" w:ascii="宋体" w:hAnsi="宋体" w:eastAsia="宋体" w:cs="宋体"/>
          <w:lang w:val="en-US" w:eastAsia="zh-CN"/>
        </w:rPr>
      </w:pPr>
      <w:r>
        <w:rPr>
          <w:rFonts w:hint="default" w:ascii="宋体" w:hAnsi="宋体" w:eastAsia="宋体" w:cs="宋体"/>
          <w:lang w:val="en-US" w:eastAsia="zh-CN"/>
        </w:rPr>
        <w:t>低压进出线电缆孔应布置在距箱体上侧边沿170m，距箱体右侧边沿150m，大小为630x320mm的区域内。</w:t>
      </w:r>
    </w:p>
    <w:p>
      <w:pPr>
        <w:pStyle w:val="17"/>
        <w:jc w:val="center"/>
        <w:rPr>
          <w:rFonts w:hint="default"/>
          <w:lang w:val="en-US" w:eastAsia="zh-CN"/>
        </w:rPr>
      </w:pPr>
      <w:r>
        <w:rPr>
          <w:rFonts w:hint="default"/>
          <w:lang w:val="en-US" w:eastAsia="zh-CN"/>
        </w:rPr>
        <w:drawing>
          <wp:inline distT="0" distB="0" distL="114300" distR="114300">
            <wp:extent cx="1487170" cy="316865"/>
            <wp:effectExtent l="0" t="0" r="11430" b="635"/>
            <wp:docPr id="2" name="图片 2" descr="endline"/>
            <wp:cNvGraphicFramePr/>
            <a:graphic xmlns:a="http://schemas.openxmlformats.org/drawingml/2006/main">
              <a:graphicData uri="http://schemas.openxmlformats.org/drawingml/2006/picture">
                <pic:pic xmlns:pic="http://schemas.openxmlformats.org/drawingml/2006/picture">
                  <pic:nvPicPr>
                    <pic:cNvPr id="2" name="图片 2" descr="endline"/>
                    <pic:cNvPicPr/>
                  </pic:nvPicPr>
                  <pic:blipFill>
                    <a:blip r:embed="rId20"/>
                    <a:stretch>
                      <a:fillRect/>
                    </a:stretch>
                  </pic:blipFill>
                  <pic:spPr>
                    <a:xfrm>
                      <a:off x="0" y="0"/>
                      <a:ext cx="1487170" cy="316865"/>
                    </a:xfrm>
                    <a:prstGeom prst="rect">
                      <a:avLst/>
                    </a:prstGeom>
                  </pic:spPr>
                </pic:pic>
              </a:graphicData>
            </a:graphic>
          </wp:inline>
        </w:drawing>
      </w:r>
    </w:p>
    <w:p>
      <w:pPr>
        <w:pStyle w:val="17"/>
      </w:pPr>
    </w:p>
    <w:bookmarkEnd w:id="32"/>
    <w:p>
      <w:pPr>
        <w:pStyle w:val="17"/>
      </w:pPr>
    </w:p>
    <w:sectPr>
      <w:footerReference r:id="rId17" w:type="default"/>
      <w:footerReference r:id="rId18" w:type="even"/>
      <w:pgSz w:w="11906" w:h="16838"/>
      <w:pgMar w:top="1928" w:right="1134" w:bottom="1134" w:left="1134" w:header="1417" w:footer="1134" w:gutter="283"/>
      <w:pgNumType w:fmt="decimal"/>
      <w:cols w:space="0"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0"/>
      <w:bidi w:val="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0"/>
      <w:bidi w:val="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rPr>
        <w:rFonts w:cs="宋体"/>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0"/>
      <w:bidi w:val="0"/>
    </w:pPr>
    <w:r>
      <w:rPr>
        <w:sz w:val="1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7/4EjdAgAAJg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v/gSN0CAAAmBgAADgAAAAAAAAABACAAAAAfAQAAZHJzL2Uyb0RvYy54bWxQSwUG&#10;AAAAAAYABgBZAQAAbgY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rPr>
        <w:rFonts w:cs="宋体"/>
      </w:rPr>
    </w:pPr>
    <w:r>
      <w:rPr>
        <w:sz w:val="18"/>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s0lY7tAAAAAFAQAADwAAAAAAAAABACAAAAAiAAAAZHJzL2Rvd25yZXYueG1sUEsBAhQA&#10;FAAAAAgAh07iQKjA3uLeAgAAJgYAAA4AAAAAAAAAAQAgAAAAHwEAAGRycy9lMm9Eb2MueG1sUEsF&#10;BgAAAAAGAAYAWQEAAG8GA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0"/>
      <w:bidi w:val="0"/>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1"/>
      <w:rPr>
        <w:rFonts w:cs="宋体"/>
      </w:rPr>
    </w:pPr>
    <w:r>
      <w:rPr>
        <w:sz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ind w:left="1680" w:firstLine="420"/>
      <w:jc w:val="righ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right"/>
      <w:rPr>
        <w:rFonts w:hint="eastAsia" w:eastAsia="宋体"/>
        <w:lang w:eastAsia="zh-CN"/>
      </w:rPr>
    </w:pPr>
    <w:r>
      <w:rPr>
        <w:rFonts w:hint="eastAsia"/>
        <w:sz w:val="21"/>
        <w:lang w:eastAsia="zh-CN"/>
      </w:rPr>
      <w:t>T/XXXX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right"/>
      <w:rPr>
        <w:rFonts w:hint="eastAsia" w:ascii="黑体" w:hAnsi="黑体" w:eastAsia="黑体" w:cs="黑体"/>
        <w:sz w:val="21"/>
        <w:szCs w:val="21"/>
        <w:lang w:eastAsia="zh-CN"/>
      </w:rPr>
    </w:pPr>
    <w:r>
      <w:rPr>
        <w:rFonts w:hint="eastAsia" w:ascii="黑体" w:hAnsi="黑体" w:eastAsia="黑体" w:cs="黑体"/>
        <w:sz w:val="21"/>
        <w:lang w:eastAsia="zh-CN"/>
      </w:rPr>
      <w:t>T/XXXX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jc w:val="left"/>
      <w:rPr>
        <w:rFonts w:hint="eastAsia" w:ascii="黑体" w:hAnsi="黑体" w:eastAsia="黑体" w:cs="黑体"/>
        <w:sz w:val="21"/>
        <w:lang w:eastAsia="zh-CN"/>
      </w:rPr>
    </w:pPr>
    <w:r>
      <w:rPr>
        <w:rFonts w:hint="eastAsia" w:ascii="黑体" w:hAnsi="黑体" w:eastAsia="黑体" w:cs="黑体"/>
        <w:sz w:val="21"/>
        <w:lang w:eastAsia="zh-CN"/>
      </w:rPr>
      <w:t>T/XXXX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94CE69"/>
    <w:multiLevelType w:val="multilevel"/>
    <w:tmpl w:val="9894CE69"/>
    <w:lvl w:ilvl="0" w:tentative="0">
      <w:start w:val="1"/>
      <w:numFmt w:val="decimal"/>
      <w:pStyle w:val="112"/>
      <w:lvlText w:val="%1"/>
      <w:lvlJc w:val="left"/>
      <w:pPr>
        <w:ind w:left="425" w:hanging="425"/>
      </w:pPr>
      <w:rPr>
        <w:rFonts w:hint="default"/>
      </w:rPr>
    </w:lvl>
    <w:lvl w:ilvl="1" w:tentative="0">
      <w:start w:val="1"/>
      <w:numFmt w:val="decimal"/>
      <w:pStyle w:val="113"/>
      <w:suff w:val="nothing"/>
      <w:lvlText w:val="0.%2 "/>
      <w:lvlJc w:val="left"/>
      <w:pPr>
        <w:tabs>
          <w:tab w:val="left" w:pos="420"/>
        </w:tabs>
        <w:ind w:left="0" w:firstLine="0"/>
      </w:pPr>
      <w:rPr>
        <w:rFonts w:hint="default" w:ascii="黑体" w:hAnsi="等线" w:eastAsia="黑体"/>
        <w:b w:val="0"/>
        <w:i w:val="0"/>
        <w:sz w:val="21"/>
      </w:rPr>
    </w:lvl>
    <w:lvl w:ilvl="2" w:tentative="0">
      <w:start w:val="1"/>
      <w:numFmt w:val="decimal"/>
      <w:pStyle w:val="114"/>
      <w:suff w:val="nothing"/>
      <w:lvlText w:val="0.%2.%3 "/>
      <w:lvlJc w:val="left"/>
      <w:pPr>
        <w:ind w:left="0" w:firstLine="0"/>
      </w:pPr>
      <w:rPr>
        <w:rFonts w:hint="default" w:ascii="黑体" w:hAnsi="等线" w:eastAsia="黑体"/>
        <w:b w:val="0"/>
        <w:i w:val="0"/>
        <w:sz w:val="21"/>
      </w:rPr>
    </w:lvl>
    <w:lvl w:ilvl="3" w:tentative="0">
      <w:start w:val="1"/>
      <w:numFmt w:val="decimal"/>
      <w:pStyle w:val="115"/>
      <w:suff w:val="nothing"/>
      <w:lvlText w:val="0.%2.%3.%4 "/>
      <w:lvlJc w:val="left"/>
      <w:pPr>
        <w:ind w:left="0" w:firstLine="0"/>
      </w:pPr>
      <w:rPr>
        <w:rFonts w:hint="default" w:ascii="黑体" w:hAnsi="等线" w:eastAsia="黑体"/>
        <w:b w:val="0"/>
        <w:i w:val="0"/>
        <w:sz w:val="21"/>
      </w:rPr>
    </w:lvl>
    <w:lvl w:ilvl="4" w:tentative="0">
      <w:start w:val="1"/>
      <w:numFmt w:val="decimal"/>
      <w:pStyle w:val="116"/>
      <w:suff w:val="nothing"/>
      <w:lvlText w:val="0.%2.%3.%4.%5 "/>
      <w:lvlJc w:val="left"/>
      <w:pPr>
        <w:ind w:left="0" w:firstLine="0"/>
      </w:pPr>
      <w:rPr>
        <w:rFonts w:hint="default" w:ascii="黑体" w:hAnsi="等线" w:eastAsia="黑体"/>
        <w:b w:val="0"/>
        <w:i w:val="0"/>
        <w:sz w:val="21"/>
      </w:rPr>
    </w:lvl>
    <w:lvl w:ilvl="5" w:tentative="0">
      <w:start w:val="1"/>
      <w:numFmt w:val="decimal"/>
      <w:pStyle w:val="117"/>
      <w:suff w:val="nothing"/>
      <w:lvlText w:val="0.%2.%3.%4.%5.%6 "/>
      <w:lvlJc w:val="left"/>
      <w:pPr>
        <w:ind w:left="0" w:firstLine="0"/>
      </w:pPr>
      <w:rPr>
        <w:rFonts w:hint="default" w:ascii="黑体" w:hAnsi="等线" w:eastAsia="黑体"/>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A50204C2"/>
    <w:multiLevelType w:val="multilevel"/>
    <w:tmpl w:val="A50204C2"/>
    <w:lvl w:ilvl="0" w:tentative="0">
      <w:start w:val="1"/>
      <w:numFmt w:val="decimal"/>
      <w:pStyle w:val="42"/>
      <w:suff w:val="nothing"/>
      <w:lvlText w:val="图%1　"/>
      <w:lvlJc w:val="left"/>
      <w:pPr>
        <w:tabs>
          <w:tab w:val="left" w:pos="0"/>
        </w:tabs>
        <w:ind w:left="0" w:firstLine="0"/>
      </w:pPr>
      <w:rPr>
        <w:rFonts w:hint="default" w:ascii="黑体" w:hAnsi="黑体" w:eastAsia="黑体"/>
        <w:sz w:val="21"/>
        <w:szCs w:val="21"/>
      </w:rPr>
    </w:lvl>
    <w:lvl w:ilvl="1" w:tentative="0">
      <w:start w:val="1"/>
      <w:numFmt w:val="decimal"/>
      <w:lvlText w:val="%1.%2.　"/>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A56D2D0B"/>
    <w:multiLevelType w:val="multilevel"/>
    <w:tmpl w:val="A56D2D0B"/>
    <w:lvl w:ilvl="0" w:tentative="0">
      <w:start w:val="1"/>
      <w:numFmt w:val="upperLetter"/>
      <w:pStyle w:val="93"/>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A84F9002"/>
    <w:multiLevelType w:val="singleLevel"/>
    <w:tmpl w:val="A84F9002"/>
    <w:lvl w:ilvl="0" w:tentative="0">
      <w:start w:val="1"/>
      <w:numFmt w:val="decimal"/>
      <w:pStyle w:val="106"/>
      <w:lvlText w:val="[%1]"/>
      <w:lvlJc w:val="left"/>
      <w:pPr>
        <w:tabs>
          <w:tab w:val="left" w:pos="210"/>
        </w:tabs>
        <w:ind w:left="0" w:firstLine="420"/>
      </w:pPr>
      <w:rPr>
        <w:rFonts w:hint="default" w:ascii="Calibri" w:hAnsi="Calibri" w:eastAsia="宋体" w:cs="Times New Roman"/>
        <w:sz w:val="20"/>
      </w:rPr>
    </w:lvl>
  </w:abstractNum>
  <w:abstractNum w:abstractNumId="4">
    <w:nsid w:val="AC7CB437"/>
    <w:multiLevelType w:val="multilevel"/>
    <w:tmpl w:val="AC7CB437"/>
    <w:lvl w:ilvl="0" w:tentative="0">
      <w:start w:val="1"/>
      <w:numFmt w:val="lowerLetter"/>
      <w:pStyle w:val="46"/>
      <w:lvlText w:val="%1)"/>
      <w:lvlJc w:val="left"/>
      <w:pPr>
        <w:tabs>
          <w:tab w:val="left" w:pos="964"/>
        </w:tabs>
        <w:ind w:left="851" w:hanging="426"/>
      </w:pPr>
      <w:rPr>
        <w:rFonts w:hint="eastAsia" w:ascii="宋体" w:hAnsi="Times New Roman" w:eastAsia="宋体" w:cs="Times New Roman"/>
        <w:b w:val="0"/>
        <w:bCs w:val="0"/>
        <w:i w:val="0"/>
        <w:iCs w:val="0"/>
        <w:caps w:val="0"/>
        <w:smallCaps w:val="0"/>
        <w:strike w:val="0"/>
        <w:dstrike w:val="0"/>
        <w:outline w:val="0"/>
        <w:shadow w:val="0"/>
        <w:emboss w:val="0"/>
        <w:imprint w:val="0"/>
        <w:vanish w:val="0"/>
        <w:spacing w:val="0"/>
        <w:position w:val="0"/>
        <w:sz w:val="21"/>
        <w:u w:val="none"/>
        <w:vertAlign w:val="baseline"/>
        <w:lang w:eastAsia="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lvlText w:val="%1.%2"/>
      <w:lvlJc w:val="left"/>
      <w:pPr>
        <w:ind w:left="1077" w:hanging="510"/>
      </w:pPr>
      <w:rPr>
        <w:rFonts w:hint="eastAsia"/>
      </w:rPr>
    </w:lvl>
    <w:lvl w:ilvl="2" w:tentative="0">
      <w:start w:val="1"/>
      <w:numFmt w:val="decimal"/>
      <w:lvlText w:val="%1.%2.%3"/>
      <w:lvlJc w:val="left"/>
      <w:pPr>
        <w:ind w:left="1077" w:hanging="510"/>
      </w:pPr>
      <w:rPr>
        <w:rFonts w:hint="eastAsia"/>
      </w:rPr>
    </w:lvl>
    <w:lvl w:ilvl="3" w:tentative="0">
      <w:start w:val="1"/>
      <w:numFmt w:val="decimal"/>
      <w:lvlText w:val="%1.%2.%3.%4"/>
      <w:lvlJc w:val="left"/>
      <w:pPr>
        <w:ind w:left="1077" w:hanging="510"/>
      </w:pPr>
      <w:rPr>
        <w:rFonts w:hint="eastAsia"/>
      </w:rPr>
    </w:lvl>
    <w:lvl w:ilvl="4" w:tentative="0">
      <w:start w:val="1"/>
      <w:numFmt w:val="decimal"/>
      <w:lvlText w:val="%1.%2.%3.%4.%5"/>
      <w:lvlJc w:val="left"/>
      <w:pPr>
        <w:ind w:left="1077" w:hanging="510"/>
      </w:pPr>
      <w:rPr>
        <w:rFonts w:hint="eastAsia"/>
      </w:rPr>
    </w:lvl>
    <w:lvl w:ilvl="5" w:tentative="0">
      <w:start w:val="1"/>
      <w:numFmt w:val="decimal"/>
      <w:lvlText w:val="%1.%2.%3.%4.%5.%6"/>
      <w:lvlJc w:val="left"/>
      <w:pPr>
        <w:ind w:left="1077" w:hanging="510"/>
      </w:pPr>
      <w:rPr>
        <w:rFonts w:hint="eastAsia"/>
      </w:rPr>
    </w:lvl>
    <w:lvl w:ilvl="6" w:tentative="0">
      <w:start w:val="1"/>
      <w:numFmt w:val="decimal"/>
      <w:lvlText w:val="%1.%2.%3.%4.%5.%6.%7"/>
      <w:lvlJc w:val="left"/>
      <w:pPr>
        <w:ind w:left="1077" w:hanging="510"/>
      </w:pPr>
      <w:rPr>
        <w:rFonts w:hint="eastAsia"/>
      </w:rPr>
    </w:lvl>
    <w:lvl w:ilvl="7" w:tentative="0">
      <w:start w:val="1"/>
      <w:numFmt w:val="decimal"/>
      <w:lvlText w:val="%1.%2.%3.%4.%5.%6.%7.%8"/>
      <w:lvlJc w:val="left"/>
      <w:pPr>
        <w:ind w:left="1077" w:hanging="510"/>
      </w:pPr>
      <w:rPr>
        <w:rFonts w:hint="eastAsia"/>
      </w:rPr>
    </w:lvl>
    <w:lvl w:ilvl="8" w:tentative="0">
      <w:start w:val="1"/>
      <w:numFmt w:val="decimal"/>
      <w:lvlText w:val="%1.%2.%3.%4.%5.%6.%7.%8.%9"/>
      <w:lvlJc w:val="left"/>
      <w:pPr>
        <w:ind w:left="1077" w:hanging="510"/>
      </w:pPr>
      <w:rPr>
        <w:rFonts w:hint="eastAsia"/>
      </w:rPr>
    </w:lvl>
  </w:abstractNum>
  <w:abstractNum w:abstractNumId="5">
    <w:nsid w:val="E12ABC61"/>
    <w:multiLevelType w:val="multilevel"/>
    <w:tmpl w:val="E12ABC61"/>
    <w:lvl w:ilvl="0" w:tentative="0">
      <w:start w:val="1"/>
      <w:numFmt w:val="decimal"/>
      <w:pStyle w:val="36"/>
      <w:suff w:val="nothing"/>
      <w:lvlText w:val="表%1　"/>
      <w:lvlJc w:val="left"/>
      <w:pPr>
        <w:tabs>
          <w:tab w:val="left" w:pos="0"/>
        </w:tabs>
        <w:ind w:left="0" w:firstLine="0"/>
      </w:pPr>
      <w:rPr>
        <w:rFonts w:hint="default" w:ascii="黑体" w:hAnsi="黑体" w:eastAsia="黑体"/>
        <w:sz w:val="21"/>
        <w:szCs w:val="21"/>
      </w:r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6">
    <w:nsid w:val="ECFB7E7B"/>
    <w:multiLevelType w:val="multilevel"/>
    <w:tmpl w:val="ECFB7E7B"/>
    <w:lvl w:ilvl="0" w:tentative="0">
      <w:start w:val="1"/>
      <w:numFmt w:val="upperLetter"/>
      <w:pStyle w:val="100"/>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F9FE1514"/>
    <w:multiLevelType w:val="multilevel"/>
    <w:tmpl w:val="F9FE1514"/>
    <w:lvl w:ilvl="0" w:tentative="0">
      <w:start w:val="1"/>
      <w:numFmt w:val="upperLetter"/>
      <w:pStyle w:val="98"/>
      <w:lvlText w:val="%1"/>
      <w:lvlJc w:val="left"/>
      <w:pPr>
        <w:tabs>
          <w:tab w:val="left" w:pos="420"/>
        </w:tabs>
        <w:ind w:left="425" w:hanging="425"/>
      </w:pPr>
      <w:rPr>
        <w:rFonts w:hint="default" w:ascii="黑体" w:hAnsi="黑体" w:eastAsia="黑体"/>
        <w:sz w:val="21"/>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FB2684B3"/>
    <w:multiLevelType w:val="multilevel"/>
    <w:tmpl w:val="FB2684B3"/>
    <w:lvl w:ilvl="0" w:tentative="0">
      <w:start w:val="1"/>
      <w:numFmt w:val="upperLetter"/>
      <w:pStyle w:val="90"/>
      <w:suff w:val="nothing"/>
      <w:lvlText w:val="附录%1"/>
      <w:lvlJc w:val="left"/>
      <w:pPr>
        <w:tabs>
          <w:tab w:val="left" w:pos="0"/>
        </w:tabs>
        <w:ind w:left="0" w:firstLine="0"/>
      </w:pPr>
      <w:rPr>
        <w:rFonts w:hint="default" w:ascii="黑体" w:eastAsia="黑体"/>
        <w:b w:val="0"/>
        <w:i w:val="0"/>
        <w:spacing w:val="102"/>
        <w:sz w:val="21"/>
      </w:rPr>
    </w:lvl>
    <w:lvl w:ilvl="1" w:tentative="0">
      <w:start w:val="1"/>
      <w:numFmt w:val="decimal"/>
      <w:pStyle w:val="28"/>
      <w:suff w:val="nothing"/>
      <w:lvlText w:val="%1.%2　"/>
      <w:lvlJc w:val="left"/>
      <w:pPr>
        <w:tabs>
          <w:tab w:val="left" w:pos="0"/>
        </w:tabs>
        <w:ind w:left="0" w:firstLine="0"/>
      </w:pPr>
      <w:rPr>
        <w:rFonts w:hint="default" w:ascii="黑体" w:eastAsia="黑体"/>
        <w:b w:val="0"/>
        <w:i w:val="0"/>
        <w:sz w:val="21"/>
        <w:szCs w:val="21"/>
      </w:rPr>
    </w:lvl>
    <w:lvl w:ilvl="2" w:tentative="0">
      <w:start w:val="1"/>
      <w:numFmt w:val="decimal"/>
      <w:pStyle w:val="29"/>
      <w:suff w:val="nothing"/>
      <w:lvlText w:val="%1.%2.%3　"/>
      <w:lvlJc w:val="left"/>
      <w:pPr>
        <w:tabs>
          <w:tab w:val="left" w:pos="0"/>
        </w:tabs>
        <w:ind w:left="0" w:firstLine="0"/>
      </w:pPr>
      <w:rPr>
        <w:rFonts w:hint="default" w:ascii="黑体" w:eastAsia="黑体"/>
        <w:b w:val="0"/>
        <w:i w:val="0"/>
        <w:sz w:val="21"/>
      </w:rPr>
    </w:lvl>
    <w:lvl w:ilvl="3" w:tentative="0">
      <w:start w:val="1"/>
      <w:numFmt w:val="decimal"/>
      <w:pStyle w:val="30"/>
      <w:suff w:val="nothing"/>
      <w:lvlText w:val="%1.%2.%3.%4　"/>
      <w:lvlJc w:val="left"/>
      <w:pPr>
        <w:tabs>
          <w:tab w:val="left" w:pos="0"/>
        </w:tabs>
        <w:ind w:left="0" w:firstLine="0"/>
      </w:pPr>
      <w:rPr>
        <w:rFonts w:hint="default" w:ascii="黑体" w:eastAsia="黑体"/>
        <w:b w:val="0"/>
        <w:i w:val="0"/>
        <w:sz w:val="21"/>
      </w:rPr>
    </w:lvl>
    <w:lvl w:ilvl="4" w:tentative="0">
      <w:start w:val="1"/>
      <w:numFmt w:val="decimal"/>
      <w:pStyle w:val="31"/>
      <w:suff w:val="nothing"/>
      <w:lvlText w:val="%1.%2.%3.%4.%5　"/>
      <w:lvlJc w:val="left"/>
      <w:pPr>
        <w:tabs>
          <w:tab w:val="left" w:pos="0"/>
        </w:tabs>
        <w:ind w:left="0" w:firstLine="0"/>
      </w:pPr>
      <w:rPr>
        <w:rFonts w:hint="default" w:ascii="黑体" w:eastAsia="黑体"/>
        <w:b w:val="0"/>
        <w:i w:val="0"/>
        <w:sz w:val="21"/>
      </w:rPr>
    </w:lvl>
    <w:lvl w:ilvl="5" w:tentative="0">
      <w:start w:val="1"/>
      <w:numFmt w:val="decimal"/>
      <w:pStyle w:val="32"/>
      <w:suff w:val="nothing"/>
      <w:lvlText w:val="%1.%2.%3.%4.%5.%6　"/>
      <w:lvlJc w:val="left"/>
      <w:pPr>
        <w:tabs>
          <w:tab w:val="left" w:pos="0"/>
        </w:tabs>
        <w:ind w:left="0" w:firstLine="0"/>
      </w:pPr>
      <w:rPr>
        <w:rFonts w:hint="default" w:ascii="黑体" w:eastAsia="黑体"/>
        <w:b w:val="0"/>
        <w:i w:val="0"/>
        <w:sz w:val="21"/>
      </w:rPr>
    </w:lvl>
    <w:lvl w:ilvl="6" w:tentative="0">
      <w:start w:val="1"/>
      <w:numFmt w:val="decimal"/>
      <w:suff w:val="nothing"/>
      <w:lvlText w:val="%1.%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9">
    <w:nsid w:val="0110DD5C"/>
    <w:multiLevelType w:val="multilevel"/>
    <w:tmpl w:val="0110DD5C"/>
    <w:lvl w:ilvl="0" w:tentative="0">
      <w:start w:val="1"/>
      <w:numFmt w:val="upperLetter"/>
      <w:pStyle w:val="89"/>
      <w:suff w:val="nothing"/>
      <w:lvlText w:val="附录%1"/>
      <w:lvlJc w:val="left"/>
      <w:pPr>
        <w:tabs>
          <w:tab w:val="left" w:pos="420"/>
        </w:tabs>
        <w:ind w:left="0" w:firstLine="0"/>
      </w:pPr>
      <w:rPr>
        <w:rFonts w:hint="default" w:ascii="黑体" w:hAnsi="黑体" w:eastAsia="黑体"/>
        <w:sz w:val="21"/>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0">
    <w:nsid w:val="0C2E1459"/>
    <w:multiLevelType w:val="multilevel"/>
    <w:tmpl w:val="0C2E1459"/>
    <w:lvl w:ilvl="0" w:tentative="0">
      <w:start w:val="1"/>
      <w:numFmt w:val="upperLetter"/>
      <w:pStyle w:val="91"/>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1">
    <w:nsid w:val="0DA82A87"/>
    <w:multiLevelType w:val="multilevel"/>
    <w:tmpl w:val="0DA82A87"/>
    <w:lvl w:ilvl="0" w:tentative="0">
      <w:start w:val="1"/>
      <w:numFmt w:val="none"/>
      <w:pStyle w:val="51"/>
      <w:suff w:val="nothing"/>
      <w:lvlText w:val="示例："/>
      <w:lvlJc w:val="left"/>
      <w:pPr>
        <w:ind w:left="0" w:firstLine="363"/>
      </w:pPr>
      <w:rPr>
        <w:rFonts w:hint="eastAsia" w:ascii="宋体" w:hAnsi="宋体" w:eastAsia="宋体"/>
        <w:sz w:val="18"/>
        <w:szCs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2">
    <w:nsid w:val="16AB7A16"/>
    <w:multiLevelType w:val="singleLevel"/>
    <w:tmpl w:val="16AB7A16"/>
    <w:lvl w:ilvl="0" w:tentative="0">
      <w:start w:val="1"/>
      <w:numFmt w:val="lowerLetter"/>
      <w:pStyle w:val="104"/>
      <w:lvlText w:val="%1 "/>
      <w:lvlJc w:val="left"/>
      <w:pPr>
        <w:tabs>
          <w:tab w:val="left" w:pos="539"/>
        </w:tabs>
        <w:ind w:left="539" w:hanging="119"/>
      </w:pPr>
      <w:rPr>
        <w:rFonts w:hint="default"/>
        <w:vertAlign w:val="superscript"/>
      </w:rPr>
    </w:lvl>
  </w:abstractNum>
  <w:abstractNum w:abstractNumId="13">
    <w:nsid w:val="1F3272DF"/>
    <w:multiLevelType w:val="multilevel"/>
    <w:tmpl w:val="1F3272DF"/>
    <w:lvl w:ilvl="0" w:tentative="0">
      <w:start w:val="1"/>
      <w:numFmt w:val="none"/>
      <w:pStyle w:val="49"/>
      <w:lvlText w:val="注："/>
      <w:lvlJc w:val="left"/>
      <w:pPr>
        <w:ind w:left="737" w:hanging="374"/>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4">
    <w:nsid w:val="215DED4D"/>
    <w:multiLevelType w:val="multilevel"/>
    <w:tmpl w:val="215DED4D"/>
    <w:lvl w:ilvl="0" w:tentative="0">
      <w:start w:val="1"/>
      <w:numFmt w:val="upperLetter"/>
      <w:pStyle w:val="95"/>
      <w:suff w:val="nothing"/>
      <w:lvlText w:val="%1"/>
      <w:lvlJc w:val="left"/>
      <w:pPr>
        <w:tabs>
          <w:tab w:val="left" w:pos="420"/>
        </w:tabs>
        <w:ind w:left="425" w:hanging="425"/>
      </w:pPr>
      <w:rPr>
        <w:rFonts w:hint="default"/>
      </w:rPr>
    </w:lvl>
    <w:lvl w:ilvl="1" w:tentative="0">
      <w:start w:val="1"/>
      <w:numFmt w:val="decimal"/>
      <w:suff w:val="nothing"/>
      <w:lvlText w:val="表%1.%2"/>
      <w:lvlJc w:val="left"/>
      <w:pPr>
        <w:tabs>
          <w:tab w:val="left" w:pos="42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24B9E1C0"/>
    <w:multiLevelType w:val="singleLevel"/>
    <w:tmpl w:val="24B9E1C0"/>
    <w:lvl w:ilvl="0" w:tentative="0">
      <w:start w:val="1"/>
      <w:numFmt w:val="lowerLetter"/>
      <w:pStyle w:val="103"/>
      <w:lvlText w:val="%1 "/>
      <w:lvlJc w:val="left"/>
      <w:pPr>
        <w:tabs>
          <w:tab w:val="left" w:pos="539"/>
        </w:tabs>
        <w:ind w:left="539" w:hanging="119"/>
      </w:pPr>
      <w:rPr>
        <w:rFonts w:hint="default"/>
        <w:vertAlign w:val="superscript"/>
      </w:rPr>
    </w:lvl>
  </w:abstractNum>
  <w:abstractNum w:abstractNumId="16">
    <w:nsid w:val="26EF5520"/>
    <w:multiLevelType w:val="multilevel"/>
    <w:tmpl w:val="26EF5520"/>
    <w:lvl w:ilvl="0" w:tentative="0">
      <w:start w:val="1"/>
      <w:numFmt w:val="upperLetter"/>
      <w:pStyle w:val="92"/>
      <w:lvlText w:val="%1"/>
      <w:lvlJc w:val="left"/>
      <w:pPr>
        <w:tabs>
          <w:tab w:val="left" w:pos="420"/>
        </w:tabs>
        <w:ind w:left="425" w:hanging="425"/>
      </w:pPr>
      <w:rPr>
        <w:rFonts w:hint="default"/>
        <w:sz w:val="2"/>
      </w:rPr>
    </w:lvl>
    <w:lvl w:ilvl="1" w:tentative="0">
      <w:start w:val="1"/>
      <w:numFmt w:val="decimal"/>
      <w:pStyle w:val="96"/>
      <w:suff w:val="nothing"/>
      <w:lvlText w:val="表%1.%2　"/>
      <w:lvlJc w:val="left"/>
      <w:pPr>
        <w:tabs>
          <w:tab w:val="left" w:pos="0"/>
        </w:tabs>
        <w:ind w:left="0" w:firstLine="0"/>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7">
    <w:nsid w:val="330E5504"/>
    <w:multiLevelType w:val="multilevel"/>
    <w:tmpl w:val="330E5504"/>
    <w:lvl w:ilvl="0" w:tentative="0">
      <w:start w:val="1"/>
      <w:numFmt w:val="decimal"/>
      <w:pStyle w:val="52"/>
      <w:suff w:val="nothing"/>
      <w:lvlText w:val="示例%1："/>
      <w:lvlJc w:val="left"/>
      <w:pPr>
        <w:ind w:left="0" w:firstLine="363"/>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8">
    <w:nsid w:val="3865DF63"/>
    <w:multiLevelType w:val="multilevel"/>
    <w:tmpl w:val="3865DF63"/>
    <w:lvl w:ilvl="0" w:tentative="0">
      <w:start w:val="1"/>
      <w:numFmt w:val="none"/>
      <w:lvlText w:val="%1——"/>
      <w:lvlJc w:val="left"/>
      <w:pPr>
        <w:tabs>
          <w:tab w:val="left" w:pos="851"/>
        </w:tabs>
        <w:ind w:left="851" w:hanging="426"/>
      </w:pPr>
      <w:rPr>
        <w:rFonts w:hint="eastAsia" w:ascii="宋体" w:hAnsi="Times New Roman" w:eastAsia="宋体"/>
        <w:b w:val="0"/>
        <w:i w:val="0"/>
        <w:sz w:val="21"/>
      </w:rPr>
    </w:lvl>
    <w:lvl w:ilvl="1" w:tentative="0">
      <w:start w:val="1"/>
      <w:numFmt w:val="bullet"/>
      <w:pStyle w:val="69"/>
      <w:lvlText w:val=""/>
      <w:lvlJc w:val="left"/>
      <w:pPr>
        <w:ind w:left="1276" w:hanging="425"/>
      </w:pPr>
      <w:rPr>
        <w:rFonts w:hint="default" w:ascii="Wingdings" w:hAnsi="Wingdings" w:cs="Wingdings"/>
        <w:sz w:val="21"/>
      </w:rPr>
    </w:lvl>
    <w:lvl w:ilvl="2" w:tentative="0">
      <w:start w:val="1"/>
      <w:numFmt w:val="bullet"/>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9">
    <w:nsid w:val="39CC7EA8"/>
    <w:multiLevelType w:val="multilevel"/>
    <w:tmpl w:val="39CC7EA8"/>
    <w:lvl w:ilvl="0" w:tentative="0">
      <w:start w:val="1"/>
      <w:numFmt w:val="decimal"/>
      <w:pStyle w:val="50"/>
      <w:suff w:val="nothing"/>
      <w:lvlText w:val="注%1："/>
      <w:lvlJc w:val="left"/>
      <w:pPr>
        <w:ind w:left="811" w:hanging="448"/>
      </w:pPr>
      <w:rPr>
        <w:rFonts w:hint="eastAsia" w:ascii="宋体" w:hAnsi="宋体" w:eastAsia="宋体"/>
        <w:sz w:val="18"/>
      </w:rPr>
    </w:lvl>
    <w:lvl w:ilvl="1" w:tentative="0">
      <w:start w:val="1"/>
      <w:numFmt w:val="decimal"/>
      <w:lvlText w:val="%1.%2"/>
      <w:lvlJc w:val="left"/>
      <w:pPr>
        <w:ind w:left="992" w:hanging="567"/>
      </w:pPr>
      <w:rPr>
        <w:rFonts w:hint="eastAsia"/>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3CA542D3"/>
    <w:multiLevelType w:val="multilevel"/>
    <w:tmpl w:val="3CA542D3"/>
    <w:lvl w:ilvl="0" w:tentative="0">
      <w:start w:val="1"/>
      <w:numFmt w:val="none"/>
      <w:pStyle w:val="48"/>
      <w:lvlText w:val="——"/>
      <w:lvlJc w:val="left"/>
      <w:pPr>
        <w:tabs>
          <w:tab w:val="left" w:pos="1911"/>
        </w:tabs>
        <w:ind w:left="851" w:hanging="426"/>
      </w:pPr>
      <w:rPr>
        <w:rFonts w:hint="eastAsia" w:ascii="宋体" w:hAnsi="Times New Roman" w:eastAsia="宋体" w:cs="Times New Roman"/>
        <w:sz w:val="21"/>
        <w:lang w:eastAsia="zh-CN"/>
      </w:rPr>
    </w:lvl>
    <w:lvl w:ilvl="1" w:tentative="0">
      <w:start w:val="1"/>
      <w:numFmt w:val="decimal"/>
      <w:lvlText w:val="%1.%2"/>
      <w:lvlJc w:val="left"/>
      <w:pPr>
        <w:ind w:left="975" w:hanging="567"/>
      </w:pPr>
      <w:rPr>
        <w:rFonts w:hint="eastAsia"/>
      </w:rPr>
    </w:lvl>
    <w:lvl w:ilvl="2" w:tentative="0">
      <w:start w:val="1"/>
      <w:numFmt w:val="decimal"/>
      <w:lvlText w:val="%1.%2.%3"/>
      <w:lvlJc w:val="left"/>
      <w:pPr>
        <w:ind w:left="1401" w:hanging="567"/>
      </w:pPr>
      <w:rPr>
        <w:rFonts w:hint="eastAsia"/>
      </w:rPr>
    </w:lvl>
    <w:lvl w:ilvl="3" w:tentative="0">
      <w:start w:val="1"/>
      <w:numFmt w:val="decimal"/>
      <w:lvlText w:val="%1.%2.%3.%4"/>
      <w:lvlJc w:val="left"/>
      <w:pPr>
        <w:ind w:left="1967" w:hanging="708"/>
      </w:pPr>
      <w:rPr>
        <w:rFonts w:hint="eastAsia"/>
      </w:rPr>
    </w:lvl>
    <w:lvl w:ilvl="4" w:tentative="0">
      <w:start w:val="1"/>
      <w:numFmt w:val="decimal"/>
      <w:lvlText w:val="%1.%2.%3.%4.%5"/>
      <w:lvlJc w:val="left"/>
      <w:pPr>
        <w:ind w:left="2534" w:hanging="850"/>
      </w:pPr>
      <w:rPr>
        <w:rFonts w:hint="eastAsia"/>
      </w:rPr>
    </w:lvl>
    <w:lvl w:ilvl="5" w:tentative="0">
      <w:start w:val="1"/>
      <w:numFmt w:val="decimal"/>
      <w:lvlText w:val="%1.%2.%3.%4.%5.%6"/>
      <w:lvlJc w:val="left"/>
      <w:pPr>
        <w:ind w:left="3243" w:hanging="1134"/>
      </w:pPr>
      <w:rPr>
        <w:rFonts w:hint="eastAsia"/>
      </w:rPr>
    </w:lvl>
    <w:lvl w:ilvl="6" w:tentative="0">
      <w:start w:val="1"/>
      <w:numFmt w:val="decimal"/>
      <w:lvlText w:val="%1.%2.%3.%4.%5.%6.%7"/>
      <w:lvlJc w:val="left"/>
      <w:pPr>
        <w:ind w:left="3810" w:hanging="1276"/>
      </w:pPr>
      <w:rPr>
        <w:rFonts w:hint="eastAsia"/>
      </w:rPr>
    </w:lvl>
    <w:lvl w:ilvl="7" w:tentative="0">
      <w:start w:val="1"/>
      <w:numFmt w:val="decimal"/>
      <w:lvlText w:val="%1.%2.%3.%4.%5.%6.%7.%8"/>
      <w:lvlJc w:val="left"/>
      <w:pPr>
        <w:ind w:left="4377" w:hanging="1418"/>
      </w:pPr>
      <w:rPr>
        <w:rFonts w:hint="eastAsia"/>
      </w:rPr>
    </w:lvl>
    <w:lvl w:ilvl="8" w:tentative="0">
      <w:start w:val="1"/>
      <w:numFmt w:val="decimal"/>
      <w:lvlText w:val="%1.%2.%3.%4.%5.%6.%7.%8.%9"/>
      <w:lvlJc w:val="left"/>
      <w:pPr>
        <w:ind w:left="5085" w:hanging="1700"/>
      </w:pPr>
      <w:rPr>
        <w:rFonts w:hint="eastAsia"/>
      </w:rPr>
    </w:lvl>
  </w:abstractNum>
  <w:abstractNum w:abstractNumId="21">
    <w:nsid w:val="40C012CA"/>
    <w:multiLevelType w:val="multilevel"/>
    <w:tmpl w:val="40C012CA"/>
    <w:lvl w:ilvl="0" w:tentative="0">
      <w:start w:val="1"/>
      <w:numFmt w:val="none"/>
      <w:lvlText w:val="%1"/>
      <w:lvlJc w:val="left"/>
      <w:pPr>
        <w:ind w:left="0" w:firstLine="0"/>
      </w:pPr>
      <w:rPr>
        <w:rFonts w:hint="eastAsia" w:ascii="黑体" w:hAnsi="黑体" w:eastAsia="黑体"/>
        <w:sz w:val="21"/>
      </w:rPr>
    </w:lvl>
    <w:lvl w:ilvl="1" w:tentative="0">
      <w:start w:val="1"/>
      <w:numFmt w:val="decimal"/>
      <w:pStyle w:val="18"/>
      <w:suff w:val="nothing"/>
      <w:lvlText w:val="%2　"/>
      <w:lvlJc w:val="left"/>
      <w:pPr>
        <w:ind w:left="0" w:firstLine="0"/>
      </w:pPr>
      <w:rPr>
        <w:rFonts w:hint="default" w:ascii="黑体" w:eastAsia="黑体"/>
        <w:b w:val="0"/>
        <w:i w:val="0"/>
        <w:sz w:val="21"/>
      </w:rPr>
    </w:lvl>
    <w:lvl w:ilvl="2" w:tentative="0">
      <w:start w:val="1"/>
      <w:numFmt w:val="decimal"/>
      <w:pStyle w:val="19"/>
      <w:suff w:val="nothing"/>
      <w:lvlText w:val="%2.%3　"/>
      <w:lvlJc w:val="left"/>
      <w:pPr>
        <w:ind w:left="0" w:firstLine="0"/>
      </w:pPr>
      <w:rPr>
        <w:rFonts w:hint="default" w:ascii="黑体" w:eastAsia="黑体"/>
        <w:b w:val="0"/>
        <w:i w:val="0"/>
        <w:sz w:val="21"/>
      </w:rPr>
    </w:lvl>
    <w:lvl w:ilvl="3" w:tentative="0">
      <w:start w:val="1"/>
      <w:numFmt w:val="decimal"/>
      <w:pStyle w:val="20"/>
      <w:suff w:val="nothing"/>
      <w:lvlText w:val="%2.%3.%4　"/>
      <w:lvlJc w:val="left"/>
      <w:pPr>
        <w:ind w:left="0" w:firstLine="0"/>
      </w:pPr>
      <w:rPr>
        <w:rFonts w:hint="default" w:ascii="黑体" w:eastAsia="黑体"/>
        <w:b w:val="0"/>
        <w:i w:val="0"/>
        <w:sz w:val="21"/>
      </w:rPr>
    </w:lvl>
    <w:lvl w:ilvl="4" w:tentative="0">
      <w:start w:val="1"/>
      <w:numFmt w:val="decimal"/>
      <w:pStyle w:val="21"/>
      <w:suff w:val="nothing"/>
      <w:lvlText w:val="%2.%3.%4.%5　"/>
      <w:lvlJc w:val="left"/>
      <w:pPr>
        <w:ind w:left="0" w:firstLine="0"/>
      </w:pPr>
      <w:rPr>
        <w:rFonts w:hint="default" w:ascii="黑体" w:eastAsia="黑体"/>
        <w:b w:val="0"/>
        <w:i w:val="0"/>
        <w:sz w:val="21"/>
      </w:rPr>
    </w:lvl>
    <w:lvl w:ilvl="5" w:tentative="0">
      <w:start w:val="1"/>
      <w:numFmt w:val="decimal"/>
      <w:pStyle w:val="22"/>
      <w:suff w:val="nothing"/>
      <w:lvlText w:val="%2.%3.%4.%5.%6　"/>
      <w:lvlJc w:val="left"/>
      <w:pPr>
        <w:ind w:left="0" w:firstLine="0"/>
      </w:pPr>
      <w:rPr>
        <w:rFonts w:hint="default" w:ascii="黑体" w:eastAsia="黑体"/>
        <w:b w:val="0"/>
        <w:i w:val="0"/>
        <w:sz w:val="21"/>
      </w:rPr>
    </w:lvl>
    <w:lvl w:ilvl="6" w:tentative="0">
      <w:start w:val="1"/>
      <w:numFmt w:val="decimal"/>
      <w:pStyle w:val="23"/>
      <w:suff w:val="nothing"/>
      <w:lvlText w:val="%2.%3.%4.%5.%6.%7　"/>
      <w:lvlJc w:val="left"/>
      <w:pPr>
        <w:tabs>
          <w:tab w:val="left" w:pos="0"/>
        </w:tabs>
        <w:ind w:left="0" w:firstLine="0"/>
      </w:pPr>
      <w:rPr>
        <w:rFonts w:hint="default"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2">
    <w:nsid w:val="464A1135"/>
    <w:multiLevelType w:val="singleLevel"/>
    <w:tmpl w:val="464A1135"/>
    <w:lvl w:ilvl="0" w:tentative="0">
      <w:start w:val="1"/>
      <w:numFmt w:val="decimal"/>
      <w:pStyle w:val="107"/>
      <w:lvlText w:val="[%1]"/>
      <w:lvlJc w:val="left"/>
      <w:pPr>
        <w:tabs>
          <w:tab w:val="left" w:pos="210"/>
        </w:tabs>
        <w:ind w:left="0" w:firstLine="420"/>
      </w:pPr>
      <w:rPr>
        <w:rFonts w:hint="default" w:ascii="Calibri" w:hAnsi="Calibri" w:eastAsia="宋体" w:cs="Times New Roman"/>
        <w:sz w:val="20"/>
      </w:rPr>
    </w:lvl>
  </w:abstractNum>
  <w:abstractNum w:abstractNumId="23">
    <w:nsid w:val="4B83245B"/>
    <w:multiLevelType w:val="multilevel"/>
    <w:tmpl w:val="4B83245B"/>
    <w:lvl w:ilvl="0" w:tentative="0">
      <w:start w:val="1"/>
      <w:numFmt w:val="upperLetter"/>
      <w:pStyle w:val="94"/>
      <w:lvlText w:val="%1"/>
      <w:lvlJc w:val="left"/>
      <w:pPr>
        <w:tabs>
          <w:tab w:val="left" w:pos="420"/>
        </w:tabs>
        <w:ind w:left="425" w:hanging="425"/>
      </w:pPr>
      <w:rPr>
        <w:rFonts w:hint="default"/>
      </w:rPr>
    </w:lvl>
    <w:lvl w:ilvl="1" w:tentative="0">
      <w:start w:val="1"/>
      <w:numFmt w:val="decimal"/>
      <w:suff w:val="nothing"/>
      <w:lvlText w:val="%1.%2"/>
      <w:lvlJc w:val="left"/>
      <w:pPr>
        <w:tabs>
          <w:tab w:val="left" w:pos="42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4">
    <w:nsid w:val="4CC72894"/>
    <w:multiLevelType w:val="multilevel"/>
    <w:tmpl w:val="4CC72894"/>
    <w:lvl w:ilvl="0" w:tentative="0">
      <w:start w:val="1"/>
      <w:numFmt w:val="upperLetter"/>
      <w:suff w:val="nothing"/>
      <w:lvlText w:val="附　录　%1"/>
      <w:lvlJc w:val="left"/>
      <w:pPr>
        <w:ind w:left="0" w:firstLine="0"/>
      </w:pPr>
      <w:rPr>
        <w:rFonts w:hint="eastAsia" w:ascii="黑体" w:eastAsia="黑体"/>
        <w:b w:val="0"/>
        <w:i w:val="0"/>
        <w:sz w:val="21"/>
      </w:rPr>
    </w:lvl>
    <w:lvl w:ilvl="1" w:tentative="0">
      <w:start w:val="1"/>
      <w:numFmt w:val="decimal"/>
      <w:suff w:val="space"/>
      <w:lvlText w:val="%1.%2　"/>
      <w:lvlJc w:val="left"/>
      <w:pPr>
        <w:ind w:left="0" w:firstLine="0"/>
      </w:pPr>
      <w:rPr>
        <w:rFonts w:hint="eastAsia" w:ascii="黑体" w:eastAsia="黑体"/>
        <w:b w:val="0"/>
        <w:i w:val="0"/>
        <w:sz w:val="21"/>
        <w:szCs w:val="21"/>
      </w:rPr>
    </w:lvl>
    <w:lvl w:ilvl="2" w:tentative="0">
      <w:start w:val="1"/>
      <w:numFmt w:val="decimal"/>
      <w:suff w:val="space"/>
      <w:lvlText w:val="%1.%2.%3　"/>
      <w:lvlJc w:val="left"/>
      <w:pPr>
        <w:ind w:left="0" w:firstLine="0"/>
      </w:pPr>
      <w:rPr>
        <w:rFonts w:hint="eastAsia" w:ascii="黑体" w:eastAsia="黑体"/>
        <w:b w:val="0"/>
        <w:i w:val="0"/>
        <w:sz w:val="21"/>
      </w:rPr>
    </w:lvl>
    <w:lvl w:ilvl="3" w:tentative="0">
      <w:start w:val="1"/>
      <w:numFmt w:val="decimal"/>
      <w:suff w:val="space"/>
      <w:lvlText w:val="%1.%2.%3.%4　"/>
      <w:lvlJc w:val="left"/>
      <w:pPr>
        <w:ind w:left="0" w:firstLine="0"/>
      </w:pPr>
      <w:rPr>
        <w:rFonts w:hint="eastAsia" w:ascii="黑体" w:eastAsia="黑体"/>
        <w:b w:val="0"/>
        <w:i w:val="0"/>
        <w:sz w:val="21"/>
      </w:rPr>
    </w:lvl>
    <w:lvl w:ilvl="4" w:tentative="0">
      <w:start w:val="1"/>
      <w:numFmt w:val="decimal"/>
      <w:suff w:val="space"/>
      <w:lvlText w:val="%1.%2.%3.%4.%5　"/>
      <w:lvlJc w:val="left"/>
      <w:pPr>
        <w:ind w:left="0" w:firstLine="0"/>
      </w:pPr>
      <w:rPr>
        <w:rFonts w:hint="eastAsia" w:ascii="黑体" w:eastAsia="黑体"/>
        <w:b w:val="0"/>
        <w:i w:val="0"/>
        <w:sz w:val="21"/>
      </w:rPr>
    </w:lvl>
    <w:lvl w:ilvl="5" w:tentative="0">
      <w:start w:val="1"/>
      <w:numFmt w:val="decimal"/>
      <w:suff w:val="space"/>
      <w:lvlText w:val="%1.%2.%3.%4.%5.%6　"/>
      <w:lvlJc w:val="left"/>
      <w:pPr>
        <w:ind w:left="0" w:firstLine="0"/>
      </w:pPr>
      <w:rPr>
        <w:rFonts w:hint="eastAsia" w:ascii="黑体" w:eastAsia="黑体"/>
        <w:b w:val="0"/>
        <w:i w:val="0"/>
        <w:sz w:val="21"/>
      </w:rPr>
    </w:lvl>
    <w:lvl w:ilvl="6" w:tentative="0">
      <w:start w:val="1"/>
      <w:numFmt w:val="decimal"/>
      <w:suff w:val="space"/>
      <w:lvlText w:val="%1.%2.%3.%4.%5.%6.%7　"/>
      <w:lvlJc w:val="left"/>
      <w:pPr>
        <w:ind w:left="0" w:firstLine="0"/>
      </w:pPr>
      <w:rPr>
        <w:rFonts w:hint="eastAsia" w:ascii="黑体" w:eastAsia="黑体"/>
        <w:b w:val="0"/>
        <w:i w:val="0"/>
        <w:sz w:val="21"/>
      </w:rPr>
    </w:lvl>
    <w:lvl w:ilvl="7" w:tentative="0">
      <w:start w:val="1"/>
      <w:numFmt w:val="decimal"/>
      <w:lvlText w:val="%1.%2.%3.%4.%5.%6.%7.%8"/>
      <w:lvlJc w:val="left"/>
      <w:pPr>
        <w:ind w:left="0" w:firstLine="0"/>
      </w:pPr>
      <w:rPr>
        <w:rFonts w:hint="eastAsia"/>
      </w:rPr>
    </w:lvl>
    <w:lvl w:ilvl="8" w:tentative="0">
      <w:start w:val="1"/>
      <w:numFmt w:val="decimal"/>
      <w:lvlText w:val="%1.%2.%3.%4.%5.%6.%7.%8.%9"/>
      <w:lvlJc w:val="left"/>
      <w:pPr>
        <w:ind w:left="0" w:firstLine="0"/>
      </w:pPr>
      <w:rPr>
        <w:rFonts w:hint="eastAsia"/>
      </w:rPr>
    </w:lvl>
  </w:abstractNum>
  <w:abstractNum w:abstractNumId="25">
    <w:nsid w:val="5556CBE2"/>
    <w:multiLevelType w:val="multilevel"/>
    <w:tmpl w:val="5556CBE2"/>
    <w:lvl w:ilvl="0" w:tentative="0">
      <w:start w:val="1"/>
      <w:numFmt w:val="upperLetter"/>
      <w:pStyle w:val="101"/>
      <w:lvlText w:val="%1"/>
      <w:lvlJc w:val="left"/>
      <w:pPr>
        <w:tabs>
          <w:tab w:val="left" w:pos="420"/>
        </w:tabs>
        <w:ind w:left="425" w:hanging="425"/>
      </w:pPr>
      <w:rPr>
        <w:rFonts w:hint="default" w:ascii="黑体" w:hAnsi="黑体" w:eastAsia="黑体"/>
        <w:sz w:val="2"/>
        <w:szCs w:val="2"/>
      </w:rPr>
    </w:lvl>
    <w:lvl w:ilvl="1" w:tentative="0">
      <w:start w:val="1"/>
      <w:numFmt w:val="decimal"/>
      <w:pStyle w:val="102"/>
      <w:suff w:val="nothing"/>
      <w:lvlText w:val="图%1.%2　"/>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6">
    <w:nsid w:val="678A74D2"/>
    <w:multiLevelType w:val="multilevel"/>
    <w:tmpl w:val="678A74D2"/>
    <w:lvl w:ilvl="0" w:tentative="0">
      <w:start w:val="1"/>
      <w:numFmt w:val="decimal"/>
      <w:pStyle w:val="47"/>
      <w:lvlText w:val="%1)"/>
      <w:lvlJc w:val="left"/>
      <w:pPr>
        <w:tabs>
          <w:tab w:val="left" w:pos="1446"/>
        </w:tabs>
        <w:ind w:left="1276" w:hanging="425"/>
      </w:pPr>
      <w:rPr>
        <w:rFonts w:hint="eastAsia" w:ascii="宋体" w:hAnsi="Times New Roman" w:eastAsia="宋体" w:cs="Times New Roman"/>
        <w:sz w:val="21"/>
        <w:lang w:eastAsia="zh-CN"/>
      </w:rPr>
    </w:lvl>
    <w:lvl w:ilvl="1" w:tentative="0">
      <w:start w:val="1"/>
      <w:numFmt w:val="decimal"/>
      <w:lvlText w:val="%1.%2"/>
      <w:lvlJc w:val="left"/>
      <w:pPr>
        <w:tabs>
          <w:tab w:val="left" w:pos="1134"/>
        </w:tabs>
        <w:ind w:left="1644" w:hanging="510"/>
      </w:pPr>
      <w:rPr>
        <w:rFonts w:hint="eastAsia"/>
      </w:rPr>
    </w:lvl>
    <w:lvl w:ilvl="2" w:tentative="0">
      <w:start w:val="1"/>
      <w:numFmt w:val="decimal"/>
      <w:lvlText w:val="%1.%2.%3"/>
      <w:lvlJc w:val="left"/>
      <w:pPr>
        <w:tabs>
          <w:tab w:val="left" w:pos="1134"/>
        </w:tabs>
        <w:ind w:left="1644" w:hanging="510"/>
      </w:pPr>
      <w:rPr>
        <w:rFonts w:hint="eastAsia"/>
      </w:rPr>
    </w:lvl>
    <w:lvl w:ilvl="3" w:tentative="0">
      <w:start w:val="1"/>
      <w:numFmt w:val="decimal"/>
      <w:lvlText w:val="%1.%2.%3.%4"/>
      <w:lvlJc w:val="left"/>
      <w:pPr>
        <w:tabs>
          <w:tab w:val="left" w:pos="1134"/>
        </w:tabs>
        <w:ind w:left="1644" w:hanging="510"/>
      </w:pPr>
      <w:rPr>
        <w:rFonts w:hint="eastAsia"/>
      </w:rPr>
    </w:lvl>
    <w:lvl w:ilvl="4" w:tentative="0">
      <w:start w:val="1"/>
      <w:numFmt w:val="decimal"/>
      <w:lvlText w:val="%1.%2.%3.%4.%5"/>
      <w:lvlJc w:val="left"/>
      <w:pPr>
        <w:tabs>
          <w:tab w:val="left" w:pos="1134"/>
        </w:tabs>
        <w:ind w:left="1644" w:hanging="510"/>
      </w:pPr>
      <w:rPr>
        <w:rFonts w:hint="eastAsia"/>
      </w:rPr>
    </w:lvl>
    <w:lvl w:ilvl="5" w:tentative="0">
      <w:start w:val="1"/>
      <w:numFmt w:val="decimal"/>
      <w:lvlText w:val="%1.%2.%3.%4.%5.%6"/>
      <w:lvlJc w:val="left"/>
      <w:pPr>
        <w:tabs>
          <w:tab w:val="left" w:pos="1134"/>
        </w:tabs>
        <w:ind w:left="1644" w:hanging="510"/>
      </w:pPr>
      <w:rPr>
        <w:rFonts w:hint="eastAsia"/>
      </w:rPr>
    </w:lvl>
    <w:lvl w:ilvl="6" w:tentative="0">
      <w:start w:val="1"/>
      <w:numFmt w:val="decimal"/>
      <w:lvlText w:val="%1.%2.%3.%4.%5.%6.%7"/>
      <w:lvlJc w:val="left"/>
      <w:pPr>
        <w:tabs>
          <w:tab w:val="left" w:pos="1134"/>
        </w:tabs>
        <w:ind w:left="1644" w:hanging="510"/>
      </w:pPr>
      <w:rPr>
        <w:rFonts w:hint="eastAsia"/>
      </w:rPr>
    </w:lvl>
    <w:lvl w:ilvl="7" w:tentative="0">
      <w:start w:val="1"/>
      <w:numFmt w:val="decimal"/>
      <w:lvlText w:val="%1.%2.%3.%4.%5.%6.%7.%8"/>
      <w:lvlJc w:val="left"/>
      <w:pPr>
        <w:tabs>
          <w:tab w:val="left" w:pos="1134"/>
        </w:tabs>
        <w:ind w:left="1644" w:hanging="510"/>
      </w:pPr>
      <w:rPr>
        <w:rFonts w:hint="eastAsia"/>
      </w:rPr>
    </w:lvl>
    <w:lvl w:ilvl="8" w:tentative="0">
      <w:start w:val="1"/>
      <w:numFmt w:val="decimal"/>
      <w:lvlText w:val="%1.%2.%3.%4.%5.%6.%7.%8.%9"/>
      <w:lvlJc w:val="left"/>
      <w:pPr>
        <w:tabs>
          <w:tab w:val="left" w:pos="1134"/>
        </w:tabs>
        <w:ind w:left="1644" w:hanging="510"/>
      </w:pPr>
      <w:rPr>
        <w:rFonts w:hint="eastAsia"/>
      </w:rPr>
    </w:lvl>
  </w:abstractNum>
  <w:abstractNum w:abstractNumId="27">
    <w:nsid w:val="750760B5"/>
    <w:multiLevelType w:val="multilevel"/>
    <w:tmpl w:val="750760B5"/>
    <w:lvl w:ilvl="0" w:tentative="0">
      <w:start w:val="1"/>
      <w:numFmt w:val="upperLetter"/>
      <w:pStyle w:val="99"/>
      <w:lvlText w:val="%1"/>
      <w:lvlJc w:val="left"/>
      <w:pPr>
        <w:tabs>
          <w:tab w:val="left" w:pos="420"/>
        </w:tabs>
        <w:ind w:left="425" w:hanging="425"/>
      </w:pPr>
      <w:rPr>
        <w:rFonts w:hint="default" w:ascii="黑体" w:hAnsi="黑体" w:eastAsia="黑体"/>
        <w:sz w:val="2"/>
        <w:szCs w:val="2"/>
      </w:rPr>
    </w:lvl>
    <w:lvl w:ilvl="1" w:tentative="0">
      <w:start w:val="1"/>
      <w:numFmt w:val="decimal"/>
      <w:suff w:val="nothing"/>
      <w:lvlText w:val="图%1.%2"/>
      <w:lvlJc w:val="left"/>
      <w:pPr>
        <w:tabs>
          <w:tab w:val="left" w:pos="0"/>
        </w:tabs>
        <w:ind w:left="0" w:firstLine="0"/>
      </w:pPr>
      <w:rPr>
        <w:rFonts w:hint="default" w:ascii="黑体" w:hAnsi="黑体" w:eastAsia="黑体"/>
        <w:sz w:val="21"/>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8">
    <w:nsid w:val="7B524AC7"/>
    <w:multiLevelType w:val="multilevel"/>
    <w:tmpl w:val="7B524AC7"/>
    <w:lvl w:ilvl="0" w:tentative="0">
      <w:start w:val="1"/>
      <w:numFmt w:val="decimal"/>
      <w:pStyle w:val="71"/>
      <w:lvlText w:val="[%1]"/>
      <w:lvlJc w:val="left"/>
      <w:pPr>
        <w:tabs>
          <w:tab w:val="left" w:pos="0"/>
        </w:tabs>
        <w:ind w:left="0" w:firstLine="0"/>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24"/>
    <w:lvlOverride w:ilvl="0">
      <w:lvl w:ilvl="0" w:tentative="1">
        <w:start w:val="1"/>
        <w:numFmt w:val="upperLetter"/>
        <w:pStyle w:val="2"/>
        <w:suff w:val="nothing"/>
        <w:lvlText w:val="附　录　%1"/>
        <w:lvlJc w:val="left"/>
        <w:pPr>
          <w:ind w:left="0" w:firstLine="0"/>
        </w:pPr>
        <w:rPr>
          <w:rFonts w:hint="eastAsia" w:ascii="黑体" w:eastAsia="黑体"/>
          <w:b w:val="0"/>
          <w:i w:val="0"/>
          <w:sz w:val="21"/>
        </w:rPr>
      </w:lvl>
    </w:lvlOverride>
    <w:lvlOverride w:ilvl="1">
      <w:lvl w:ilvl="1" w:tentative="1">
        <w:start w:val="1"/>
        <w:numFmt w:val="decimal"/>
        <w:suff w:val="nothing"/>
        <w:lvlText w:val="%1.%2　"/>
        <w:lvlJc w:val="left"/>
        <w:pPr>
          <w:ind w:left="0" w:firstLine="0"/>
        </w:pPr>
        <w:rPr>
          <w:rFonts w:hint="eastAsia" w:ascii="黑体" w:eastAsia="黑体"/>
          <w:b w:val="0"/>
          <w:i w:val="0"/>
          <w:sz w:val="21"/>
          <w:szCs w:val="21"/>
        </w:rPr>
      </w:lvl>
    </w:lvlOverride>
    <w:lvlOverride w:ilvl="2">
      <w:lvl w:ilvl="2" w:tentative="1">
        <w:start w:val="1"/>
        <w:numFmt w:val="decimal"/>
        <w:suff w:val="nothing"/>
        <w:lvlText w:val="%1.%2.%3　"/>
        <w:lvlJc w:val="left"/>
        <w:pPr>
          <w:ind w:left="0" w:firstLine="0"/>
        </w:pPr>
        <w:rPr>
          <w:rFonts w:hint="eastAsia" w:ascii="黑体" w:eastAsia="黑体"/>
          <w:b w:val="0"/>
          <w:i w:val="0"/>
          <w:sz w:val="21"/>
        </w:rPr>
      </w:lvl>
    </w:lvlOverride>
    <w:lvlOverride w:ilvl="3">
      <w:lvl w:ilvl="3" w:tentative="1">
        <w:start w:val="1"/>
        <w:numFmt w:val="decimal"/>
        <w:suff w:val="nothing"/>
        <w:lvlText w:val="%1.%2.%3.%4　"/>
        <w:lvlJc w:val="left"/>
        <w:pPr>
          <w:ind w:left="0" w:firstLine="0"/>
        </w:pPr>
        <w:rPr>
          <w:rFonts w:hint="eastAsia" w:ascii="黑体" w:eastAsia="黑体"/>
          <w:b w:val="0"/>
          <w:i w:val="0"/>
          <w:sz w:val="21"/>
        </w:rPr>
      </w:lvl>
    </w:lvlOverride>
    <w:lvlOverride w:ilvl="4">
      <w:lvl w:ilvl="4" w:tentative="1">
        <w:start w:val="1"/>
        <w:numFmt w:val="decimal"/>
        <w:suff w:val="nothing"/>
        <w:lvlText w:val="%1.%2.%3.%4.%5　"/>
        <w:lvlJc w:val="left"/>
        <w:pPr>
          <w:ind w:left="0" w:firstLine="0"/>
        </w:pPr>
        <w:rPr>
          <w:rFonts w:hint="eastAsia" w:ascii="黑体" w:eastAsia="黑体"/>
          <w:b w:val="0"/>
          <w:i w:val="0"/>
          <w:sz w:val="21"/>
        </w:rPr>
      </w:lvl>
    </w:lvlOverride>
    <w:lvlOverride w:ilvl="5">
      <w:lvl w:ilvl="5" w:tentative="1">
        <w:start w:val="1"/>
        <w:numFmt w:val="decimal"/>
        <w:suff w:val="nothing"/>
        <w:lvlText w:val="%1.%2.%3.%4.%5.%6　"/>
        <w:lvlJc w:val="left"/>
        <w:pPr>
          <w:ind w:left="0" w:firstLine="0"/>
        </w:pPr>
        <w:rPr>
          <w:rFonts w:hint="eastAsia" w:ascii="黑体" w:eastAsia="黑体"/>
          <w:b w:val="0"/>
          <w:i w:val="0"/>
          <w:sz w:val="21"/>
        </w:rPr>
      </w:lvl>
    </w:lvlOverride>
    <w:lvlOverride w:ilvl="6">
      <w:lvl w:ilvl="6" w:tentative="1">
        <w:start w:val="1"/>
        <w:numFmt w:val="decimal"/>
        <w:suff w:val="nothing"/>
        <w:lvlText w:val="%1.%2.%3.%4.%5.%6.%7　"/>
        <w:lvlJc w:val="left"/>
        <w:pPr>
          <w:ind w:left="0" w:firstLine="0"/>
        </w:pPr>
        <w:rPr>
          <w:rFonts w:hint="eastAsia" w:ascii="黑体" w:eastAsia="黑体"/>
          <w:b w:val="0"/>
          <w:i w:val="0"/>
          <w:sz w:val="21"/>
        </w:rPr>
      </w:lvl>
    </w:lvlOverride>
    <w:lvlOverride w:ilvl="7">
      <w:lvl w:ilvl="7" w:tentative="1">
        <w:start w:val="1"/>
        <w:numFmt w:val="decimal"/>
        <w:lvlText w:val="%1.%2.%3.%4.%5.%6.%7.%8"/>
        <w:lvlJc w:val="left"/>
        <w:pPr>
          <w:ind w:left="0" w:firstLine="0"/>
        </w:pPr>
        <w:rPr>
          <w:rFonts w:hint="eastAsia"/>
        </w:rPr>
      </w:lvl>
    </w:lvlOverride>
    <w:lvlOverride w:ilvl="8">
      <w:lvl w:ilvl="8" w:tentative="1">
        <w:start w:val="1"/>
        <w:numFmt w:val="decimal"/>
        <w:lvlText w:val="%1.%2.%3.%4.%5.%6.%7.%8.%9"/>
        <w:lvlJc w:val="left"/>
        <w:pPr>
          <w:ind w:left="0" w:firstLine="0"/>
        </w:pPr>
        <w:rPr>
          <w:rFonts w:hint="eastAsia"/>
        </w:rPr>
      </w:lvl>
    </w:lvlOverride>
  </w:num>
  <w:num w:numId="2">
    <w:abstractNumId w:val="21"/>
  </w:num>
  <w:num w:numId="3">
    <w:abstractNumId w:val="8"/>
  </w:num>
  <w:num w:numId="4">
    <w:abstractNumId w:val="5"/>
  </w:num>
  <w:num w:numId="5">
    <w:abstractNumId w:val="1"/>
  </w:num>
  <w:num w:numId="6">
    <w:abstractNumId w:val="4"/>
  </w:num>
  <w:num w:numId="7">
    <w:abstractNumId w:val="26"/>
  </w:num>
  <w:num w:numId="8">
    <w:abstractNumId w:val="20"/>
  </w:num>
  <w:num w:numId="9">
    <w:abstractNumId w:val="13"/>
  </w:num>
  <w:num w:numId="10">
    <w:abstractNumId w:val="19"/>
  </w:num>
  <w:num w:numId="11">
    <w:abstractNumId w:val="11"/>
  </w:num>
  <w:num w:numId="12">
    <w:abstractNumId w:val="17"/>
  </w:num>
  <w:num w:numId="13">
    <w:abstractNumId w:val="18"/>
  </w:num>
  <w:num w:numId="14">
    <w:abstractNumId w:val="28"/>
  </w:num>
  <w:num w:numId="15">
    <w:abstractNumId w:val="9"/>
  </w:num>
  <w:num w:numId="16">
    <w:abstractNumId w:val="10"/>
  </w:num>
  <w:num w:numId="17">
    <w:abstractNumId w:val="16"/>
  </w:num>
  <w:num w:numId="18">
    <w:abstractNumId w:val="2"/>
  </w:num>
  <w:num w:numId="19">
    <w:abstractNumId w:val="23"/>
  </w:num>
  <w:num w:numId="20">
    <w:abstractNumId w:val="14"/>
  </w:num>
  <w:num w:numId="21">
    <w:abstractNumId w:val="7"/>
  </w:num>
  <w:num w:numId="22">
    <w:abstractNumId w:val="27"/>
  </w:num>
  <w:num w:numId="23">
    <w:abstractNumId w:val="6"/>
  </w:num>
  <w:num w:numId="24">
    <w:abstractNumId w:val="25"/>
  </w:num>
  <w:num w:numId="25">
    <w:abstractNumId w:val="15"/>
  </w:num>
  <w:num w:numId="26">
    <w:abstractNumId w:val="12"/>
  </w:num>
  <w:num w:numId="27">
    <w:abstractNumId w:val="3"/>
  </w:num>
  <w:num w:numId="28">
    <w:abstractNumId w:val="22"/>
  </w:num>
  <w:num w:numId="29">
    <w:abstractNumId w:val="0"/>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attachedTemplate r:id="rId1"/>
  <w:documentProtection w:edit="forms" w:enforcement="0"/>
  <w:defaultTabStop w:val="839"/>
  <w:evenAndOddHeaders w:val="1"/>
  <w:drawingGridHorizontalSpacing w:val="120"/>
  <w:drawingGridVerticalSpacing w:val="163"/>
  <w:displayHorizontalDrawingGridEvery w:val="0"/>
  <w:displayVerticalDrawingGridEvery w:val="2"/>
  <w:doNotShadeFormData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2YTgzOTJiNWJmM2Q2NzBjNGFlMDc3YTZlMjc3YWIifQ=="/>
  </w:docVars>
  <w:rsids>
    <w:rsidRoot w:val="36B9329C"/>
    <w:rsid w:val="00026C19"/>
    <w:rsid w:val="000467A6"/>
    <w:rsid w:val="0007709B"/>
    <w:rsid w:val="00083A38"/>
    <w:rsid w:val="000E6E7F"/>
    <w:rsid w:val="000F6596"/>
    <w:rsid w:val="00104A6D"/>
    <w:rsid w:val="001077E3"/>
    <w:rsid w:val="00112441"/>
    <w:rsid w:val="00127E9F"/>
    <w:rsid w:val="00171196"/>
    <w:rsid w:val="00194161"/>
    <w:rsid w:val="001C572D"/>
    <w:rsid w:val="001C6649"/>
    <w:rsid w:val="001D5975"/>
    <w:rsid w:val="00251D92"/>
    <w:rsid w:val="002606DA"/>
    <w:rsid w:val="002730A9"/>
    <w:rsid w:val="0027345F"/>
    <w:rsid w:val="002868D9"/>
    <w:rsid w:val="002A71D3"/>
    <w:rsid w:val="00324997"/>
    <w:rsid w:val="0033010F"/>
    <w:rsid w:val="00356F54"/>
    <w:rsid w:val="003707AF"/>
    <w:rsid w:val="003B3E20"/>
    <w:rsid w:val="003C2D62"/>
    <w:rsid w:val="003C4255"/>
    <w:rsid w:val="003F1A2D"/>
    <w:rsid w:val="0042161D"/>
    <w:rsid w:val="00423204"/>
    <w:rsid w:val="00432430"/>
    <w:rsid w:val="00447727"/>
    <w:rsid w:val="00485468"/>
    <w:rsid w:val="0049684F"/>
    <w:rsid w:val="00522AC0"/>
    <w:rsid w:val="00531DF8"/>
    <w:rsid w:val="00557725"/>
    <w:rsid w:val="005B4C3D"/>
    <w:rsid w:val="005E676E"/>
    <w:rsid w:val="00602B1A"/>
    <w:rsid w:val="0060687F"/>
    <w:rsid w:val="0063321C"/>
    <w:rsid w:val="006859C7"/>
    <w:rsid w:val="006A483C"/>
    <w:rsid w:val="006B38B0"/>
    <w:rsid w:val="006C63C8"/>
    <w:rsid w:val="006D6280"/>
    <w:rsid w:val="007269A2"/>
    <w:rsid w:val="00764769"/>
    <w:rsid w:val="00797269"/>
    <w:rsid w:val="007A177F"/>
    <w:rsid w:val="007A3816"/>
    <w:rsid w:val="007A776C"/>
    <w:rsid w:val="007C1C81"/>
    <w:rsid w:val="00801B1B"/>
    <w:rsid w:val="00843EBC"/>
    <w:rsid w:val="00855908"/>
    <w:rsid w:val="00881140"/>
    <w:rsid w:val="00887383"/>
    <w:rsid w:val="0089559F"/>
    <w:rsid w:val="008E09B2"/>
    <w:rsid w:val="00944764"/>
    <w:rsid w:val="00954C2D"/>
    <w:rsid w:val="009961E5"/>
    <w:rsid w:val="009A1E2C"/>
    <w:rsid w:val="009B4375"/>
    <w:rsid w:val="009C3896"/>
    <w:rsid w:val="009C6274"/>
    <w:rsid w:val="009D4D17"/>
    <w:rsid w:val="009D5F0E"/>
    <w:rsid w:val="009E4C6D"/>
    <w:rsid w:val="00A0395E"/>
    <w:rsid w:val="00A075EE"/>
    <w:rsid w:val="00A26C73"/>
    <w:rsid w:val="00A5461B"/>
    <w:rsid w:val="00A63C3C"/>
    <w:rsid w:val="00A67ABC"/>
    <w:rsid w:val="00A75214"/>
    <w:rsid w:val="00A825DB"/>
    <w:rsid w:val="00AB4147"/>
    <w:rsid w:val="00B12506"/>
    <w:rsid w:val="00B4707C"/>
    <w:rsid w:val="00B95F4B"/>
    <w:rsid w:val="00BB1D06"/>
    <w:rsid w:val="00BD6992"/>
    <w:rsid w:val="00C3160A"/>
    <w:rsid w:val="00C41267"/>
    <w:rsid w:val="00C60564"/>
    <w:rsid w:val="00C74B08"/>
    <w:rsid w:val="00C81F6E"/>
    <w:rsid w:val="00CC3F78"/>
    <w:rsid w:val="00CD089E"/>
    <w:rsid w:val="00CE3A71"/>
    <w:rsid w:val="00D233C6"/>
    <w:rsid w:val="00D3770B"/>
    <w:rsid w:val="00D377F6"/>
    <w:rsid w:val="00D64D82"/>
    <w:rsid w:val="00DB2900"/>
    <w:rsid w:val="00DD498D"/>
    <w:rsid w:val="00DD658F"/>
    <w:rsid w:val="00E13266"/>
    <w:rsid w:val="00E21053"/>
    <w:rsid w:val="00E43C71"/>
    <w:rsid w:val="00E574E9"/>
    <w:rsid w:val="00E71025"/>
    <w:rsid w:val="00EF1E5F"/>
    <w:rsid w:val="00F32D45"/>
    <w:rsid w:val="00F83E88"/>
    <w:rsid w:val="00F85DD1"/>
    <w:rsid w:val="00FA7D21"/>
    <w:rsid w:val="00FD1ABF"/>
    <w:rsid w:val="00FE0C03"/>
    <w:rsid w:val="00FE305B"/>
    <w:rsid w:val="00FE5661"/>
    <w:rsid w:val="00FE6C83"/>
    <w:rsid w:val="00FF69F7"/>
    <w:rsid w:val="015E5FC5"/>
    <w:rsid w:val="01B51241"/>
    <w:rsid w:val="01DF283A"/>
    <w:rsid w:val="024F28F3"/>
    <w:rsid w:val="05B93FF5"/>
    <w:rsid w:val="06087D7D"/>
    <w:rsid w:val="06C306D8"/>
    <w:rsid w:val="076318C3"/>
    <w:rsid w:val="08157B2F"/>
    <w:rsid w:val="082A2C67"/>
    <w:rsid w:val="0865341A"/>
    <w:rsid w:val="08FE00E5"/>
    <w:rsid w:val="09DC5DBA"/>
    <w:rsid w:val="0A164FB8"/>
    <w:rsid w:val="0AC33CDA"/>
    <w:rsid w:val="0C7C14A8"/>
    <w:rsid w:val="0D4E29F1"/>
    <w:rsid w:val="0D797B36"/>
    <w:rsid w:val="0E0F4EE8"/>
    <w:rsid w:val="0E220142"/>
    <w:rsid w:val="0E800841"/>
    <w:rsid w:val="108D3B11"/>
    <w:rsid w:val="110F45BE"/>
    <w:rsid w:val="11AF728B"/>
    <w:rsid w:val="121A48AA"/>
    <w:rsid w:val="13FC0F60"/>
    <w:rsid w:val="1400586E"/>
    <w:rsid w:val="148E19A0"/>
    <w:rsid w:val="14C47369"/>
    <w:rsid w:val="14C7387A"/>
    <w:rsid w:val="14D74140"/>
    <w:rsid w:val="155E67FA"/>
    <w:rsid w:val="15FB027F"/>
    <w:rsid w:val="16ED4262"/>
    <w:rsid w:val="16EF356D"/>
    <w:rsid w:val="170B18A8"/>
    <w:rsid w:val="178E6679"/>
    <w:rsid w:val="17AC6AF3"/>
    <w:rsid w:val="17B65106"/>
    <w:rsid w:val="17D71317"/>
    <w:rsid w:val="19355CC5"/>
    <w:rsid w:val="1B052CC5"/>
    <w:rsid w:val="1B1710A0"/>
    <w:rsid w:val="1B2E16CE"/>
    <w:rsid w:val="1B5C1C2F"/>
    <w:rsid w:val="1C4F6825"/>
    <w:rsid w:val="1C5D2498"/>
    <w:rsid w:val="1F09673E"/>
    <w:rsid w:val="1F27574E"/>
    <w:rsid w:val="202B7328"/>
    <w:rsid w:val="203431C1"/>
    <w:rsid w:val="20E76EB4"/>
    <w:rsid w:val="21C87CA9"/>
    <w:rsid w:val="21E61CF3"/>
    <w:rsid w:val="235E29E0"/>
    <w:rsid w:val="249646FF"/>
    <w:rsid w:val="24DB798B"/>
    <w:rsid w:val="2500423F"/>
    <w:rsid w:val="25400E57"/>
    <w:rsid w:val="262A12F8"/>
    <w:rsid w:val="28463832"/>
    <w:rsid w:val="28E6111C"/>
    <w:rsid w:val="290C4C94"/>
    <w:rsid w:val="2A3E688B"/>
    <w:rsid w:val="2C3C5198"/>
    <w:rsid w:val="2ED27DE6"/>
    <w:rsid w:val="2F850CB5"/>
    <w:rsid w:val="302C3E7E"/>
    <w:rsid w:val="30F46FAF"/>
    <w:rsid w:val="3155171C"/>
    <w:rsid w:val="31FD3DEE"/>
    <w:rsid w:val="33EE30E3"/>
    <w:rsid w:val="343E1BBC"/>
    <w:rsid w:val="363C1D08"/>
    <w:rsid w:val="363C7C6C"/>
    <w:rsid w:val="366B505F"/>
    <w:rsid w:val="36B9329C"/>
    <w:rsid w:val="375D3338"/>
    <w:rsid w:val="377B3B40"/>
    <w:rsid w:val="39A5703D"/>
    <w:rsid w:val="39C520E2"/>
    <w:rsid w:val="3B7479F7"/>
    <w:rsid w:val="3C17635F"/>
    <w:rsid w:val="3C5F6A31"/>
    <w:rsid w:val="3CA646C8"/>
    <w:rsid w:val="3CB53659"/>
    <w:rsid w:val="405F5F05"/>
    <w:rsid w:val="41715709"/>
    <w:rsid w:val="43211C92"/>
    <w:rsid w:val="436A5D90"/>
    <w:rsid w:val="44945351"/>
    <w:rsid w:val="454E0A49"/>
    <w:rsid w:val="45D02D3E"/>
    <w:rsid w:val="470C286D"/>
    <w:rsid w:val="47CA7BC1"/>
    <w:rsid w:val="47F104D4"/>
    <w:rsid w:val="48F403D8"/>
    <w:rsid w:val="4A0E4D5B"/>
    <w:rsid w:val="4A372D9B"/>
    <w:rsid w:val="4C585E2C"/>
    <w:rsid w:val="4C7B756C"/>
    <w:rsid w:val="4E761D21"/>
    <w:rsid w:val="4E9D53BC"/>
    <w:rsid w:val="4EE021C8"/>
    <w:rsid w:val="505A77E4"/>
    <w:rsid w:val="50753B17"/>
    <w:rsid w:val="510E66B3"/>
    <w:rsid w:val="511B7B18"/>
    <w:rsid w:val="51982498"/>
    <w:rsid w:val="51AD2478"/>
    <w:rsid w:val="51D87EE1"/>
    <w:rsid w:val="534144B7"/>
    <w:rsid w:val="53932DDE"/>
    <w:rsid w:val="55F86221"/>
    <w:rsid w:val="56B0511D"/>
    <w:rsid w:val="57E84794"/>
    <w:rsid w:val="585700CC"/>
    <w:rsid w:val="58B03032"/>
    <w:rsid w:val="58BC0C84"/>
    <w:rsid w:val="58D45546"/>
    <w:rsid w:val="5915074C"/>
    <w:rsid w:val="594430E6"/>
    <w:rsid w:val="594C41DC"/>
    <w:rsid w:val="597F7CDB"/>
    <w:rsid w:val="59826A2C"/>
    <w:rsid w:val="59AB3693"/>
    <w:rsid w:val="59FD794F"/>
    <w:rsid w:val="5AC711CE"/>
    <w:rsid w:val="5B010A5C"/>
    <w:rsid w:val="5B8B2699"/>
    <w:rsid w:val="5C734E29"/>
    <w:rsid w:val="5CC341C0"/>
    <w:rsid w:val="5D476B3E"/>
    <w:rsid w:val="5F47231D"/>
    <w:rsid w:val="5FA03A07"/>
    <w:rsid w:val="601B4F9B"/>
    <w:rsid w:val="60AF6D84"/>
    <w:rsid w:val="611D5F05"/>
    <w:rsid w:val="61613168"/>
    <w:rsid w:val="61950078"/>
    <w:rsid w:val="628E2E7E"/>
    <w:rsid w:val="643C6DA1"/>
    <w:rsid w:val="647453C3"/>
    <w:rsid w:val="661F1591"/>
    <w:rsid w:val="66277585"/>
    <w:rsid w:val="662E109F"/>
    <w:rsid w:val="66C700BB"/>
    <w:rsid w:val="67670EBA"/>
    <w:rsid w:val="67A54BE1"/>
    <w:rsid w:val="67E22F1D"/>
    <w:rsid w:val="67EA6B3C"/>
    <w:rsid w:val="68276EF5"/>
    <w:rsid w:val="683471B2"/>
    <w:rsid w:val="68420E31"/>
    <w:rsid w:val="68DD0AD1"/>
    <w:rsid w:val="69200173"/>
    <w:rsid w:val="6945317C"/>
    <w:rsid w:val="6C9644B4"/>
    <w:rsid w:val="6D7B3879"/>
    <w:rsid w:val="6DA02093"/>
    <w:rsid w:val="6DD10B89"/>
    <w:rsid w:val="6DDE6CE4"/>
    <w:rsid w:val="6E6A388E"/>
    <w:rsid w:val="6F421542"/>
    <w:rsid w:val="6FB30D6B"/>
    <w:rsid w:val="703F04DB"/>
    <w:rsid w:val="70CC18BF"/>
    <w:rsid w:val="715D6B54"/>
    <w:rsid w:val="71D1155B"/>
    <w:rsid w:val="72330EA6"/>
    <w:rsid w:val="73D7659E"/>
    <w:rsid w:val="73E700A2"/>
    <w:rsid w:val="74354387"/>
    <w:rsid w:val="74DB2EA9"/>
    <w:rsid w:val="75270450"/>
    <w:rsid w:val="75527EEC"/>
    <w:rsid w:val="76287114"/>
    <w:rsid w:val="76A7660D"/>
    <w:rsid w:val="77026A79"/>
    <w:rsid w:val="77A526B5"/>
    <w:rsid w:val="77B36AA6"/>
    <w:rsid w:val="78D635FC"/>
    <w:rsid w:val="7A9C1F9D"/>
    <w:rsid w:val="7B4D01D8"/>
    <w:rsid w:val="7CD526A7"/>
    <w:rsid w:val="7D592162"/>
    <w:rsid w:val="7EEB3913"/>
    <w:rsid w:val="7FBF734C"/>
    <w:rsid w:val="7FF24B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iPriority="0" w:semiHidden="0" w:name="Normal"/>
    <w:lsdException w:qFormat="1"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unhideWhenUsed/>
    <w:qFormat/>
    <w:uiPriority w:val="0"/>
    <w:pPr>
      <w:widowControl w:val="0"/>
      <w:jc w:val="both"/>
    </w:pPr>
    <w:rPr>
      <w:rFonts w:ascii="Times New Roman" w:hAnsi="Times New Roman" w:eastAsia="宋体" w:cstheme="minorBidi"/>
      <w:kern w:val="2"/>
      <w:sz w:val="24"/>
      <w:szCs w:val="21"/>
      <w:lang w:val="en-US" w:eastAsia="zh-CN" w:bidi="ar-SA"/>
    </w:rPr>
  </w:style>
  <w:style w:type="paragraph" w:styleId="2">
    <w:name w:val="heading 1"/>
    <w:link w:val="16"/>
    <w:autoRedefine/>
    <w:unhideWhenUsed/>
    <w:qFormat/>
    <w:uiPriority w:val="9"/>
    <w:pPr>
      <w:keepNext/>
      <w:keepLines/>
      <w:numPr>
        <w:ilvl w:val="0"/>
        <w:numId w:val="1"/>
      </w:numPr>
      <w:spacing w:before="560" w:after="50" w:afterLines="50"/>
      <w:jc w:val="center"/>
      <w:outlineLvl w:val="0"/>
    </w:pPr>
    <w:rPr>
      <w:rFonts w:ascii="Times New Roman" w:hAnsi="Times New Roman" w:eastAsia="黑体" w:cstheme="minorBidi"/>
      <w:bCs/>
      <w:kern w:val="44"/>
      <w:sz w:val="21"/>
      <w:szCs w:val="44"/>
      <w:lang w:val="en-US" w:eastAsia="zh-CN" w:bidi="ar-SA"/>
    </w:rPr>
  </w:style>
  <w:style w:type="character" w:default="1" w:styleId="14">
    <w:name w:val="Default Paragraph Font"/>
    <w:autoRedefine/>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3">
    <w:name w:val="toc 5"/>
    <w:autoRedefine/>
    <w:unhideWhenUsed/>
    <w:qFormat/>
    <w:uiPriority w:val="39"/>
    <w:pPr>
      <w:tabs>
        <w:tab w:val="right" w:leader="middleDot" w:pos="8494"/>
      </w:tabs>
      <w:spacing w:line="300" w:lineRule="exact"/>
      <w:ind w:left="185" w:leftChars="185"/>
    </w:pPr>
    <w:rPr>
      <w:rFonts w:ascii="宋体" w:hAnsi="宋体" w:eastAsia="宋体" w:cs="宋体"/>
      <w:kern w:val="2"/>
      <w:sz w:val="21"/>
      <w:szCs w:val="21"/>
      <w:lang w:val="en-US" w:eastAsia="zh-CN" w:bidi="ar-SA"/>
    </w:rPr>
  </w:style>
  <w:style w:type="paragraph" w:styleId="4">
    <w:name w:val="toc 3"/>
    <w:autoRedefine/>
    <w:unhideWhenUsed/>
    <w:qFormat/>
    <w:uiPriority w:val="39"/>
    <w:pPr>
      <w:tabs>
        <w:tab w:val="right" w:leader="middleDot" w:pos="8494"/>
      </w:tabs>
      <w:spacing w:line="300" w:lineRule="exact"/>
      <w:ind w:left="420"/>
    </w:pPr>
    <w:rPr>
      <w:rFonts w:ascii="Times New Roman" w:hAnsi="Times New Roman" w:eastAsia="宋体" w:cs="宋体"/>
      <w:kern w:val="2"/>
      <w:sz w:val="21"/>
      <w:szCs w:val="21"/>
      <w:lang w:val="en-US" w:eastAsia="zh-CN" w:bidi="ar-SA"/>
    </w:rPr>
  </w:style>
  <w:style w:type="paragraph" w:styleId="5">
    <w:name w:val="Balloon Text"/>
    <w:basedOn w:val="1"/>
    <w:link w:val="25"/>
    <w:autoRedefine/>
    <w:semiHidden/>
    <w:unhideWhenUsed/>
    <w:qFormat/>
    <w:uiPriority w:val="99"/>
    <w:rPr>
      <w:sz w:val="18"/>
      <w:szCs w:val="18"/>
    </w:rPr>
  </w:style>
  <w:style w:type="paragraph" w:styleId="6">
    <w:name w:val="footer"/>
    <w:basedOn w:val="1"/>
    <w:link w:val="62"/>
    <w:autoRedefine/>
    <w:unhideWhenUsed/>
    <w:qFormat/>
    <w:uiPriority w:val="99"/>
    <w:pPr>
      <w:tabs>
        <w:tab w:val="center" w:pos="4153"/>
        <w:tab w:val="right" w:pos="8306"/>
      </w:tabs>
      <w:snapToGrid w:val="0"/>
      <w:jc w:val="left"/>
    </w:pPr>
    <w:rPr>
      <w:rFonts w:ascii="宋体" w:hAnsi="宋体"/>
      <w:sz w:val="18"/>
      <w:szCs w:val="18"/>
    </w:rPr>
  </w:style>
  <w:style w:type="paragraph" w:styleId="7">
    <w:name w:val="header"/>
    <w:basedOn w:val="1"/>
    <w:link w:val="53"/>
    <w:autoRedefine/>
    <w:qFormat/>
    <w:uiPriority w:val="99"/>
    <w:pPr>
      <w:tabs>
        <w:tab w:val="center" w:pos="4153"/>
        <w:tab w:val="right" w:pos="8306"/>
      </w:tabs>
      <w:snapToGrid w:val="0"/>
      <w:jc w:val="center"/>
    </w:pPr>
    <w:rPr>
      <w:rFonts w:ascii="Calibri" w:hAnsi="Calibri" w:cs="Times New Roman"/>
      <w:sz w:val="18"/>
      <w:szCs w:val="18"/>
    </w:rPr>
  </w:style>
  <w:style w:type="paragraph" w:styleId="8">
    <w:name w:val="toc 1"/>
    <w:autoRedefine/>
    <w:unhideWhenUsed/>
    <w:qFormat/>
    <w:uiPriority w:val="39"/>
    <w:pPr>
      <w:tabs>
        <w:tab w:val="right" w:leader="middleDot" w:pos="8494"/>
      </w:tabs>
      <w:spacing w:line="400" w:lineRule="exact"/>
    </w:pPr>
    <w:rPr>
      <w:rFonts w:ascii="宋体" w:hAnsi="宋体" w:eastAsia="宋体" w:cs="宋体"/>
      <w:kern w:val="2"/>
      <w:sz w:val="21"/>
      <w:szCs w:val="21"/>
      <w:lang w:val="en-US" w:eastAsia="zh-CN" w:bidi="ar-SA"/>
    </w:rPr>
  </w:style>
  <w:style w:type="paragraph" w:styleId="9">
    <w:name w:val="toc 4"/>
    <w:autoRedefine/>
    <w:unhideWhenUsed/>
    <w:qFormat/>
    <w:uiPriority w:val="39"/>
    <w:pPr>
      <w:tabs>
        <w:tab w:val="right" w:leader="middleDot" w:pos="8494"/>
      </w:tabs>
      <w:spacing w:line="300" w:lineRule="exact"/>
      <w:ind w:left="629"/>
    </w:pPr>
    <w:rPr>
      <w:rFonts w:ascii="宋体" w:hAnsi="宋体" w:eastAsia="宋体" w:cs="宋体"/>
      <w:kern w:val="2"/>
      <w:sz w:val="21"/>
      <w:szCs w:val="21"/>
      <w:lang w:val="en-US" w:eastAsia="zh-CN" w:bidi="ar-SA"/>
    </w:rPr>
  </w:style>
  <w:style w:type="paragraph" w:styleId="10">
    <w:name w:val="toc 6"/>
    <w:autoRedefine/>
    <w:unhideWhenUsed/>
    <w:qFormat/>
    <w:uiPriority w:val="39"/>
    <w:pPr>
      <w:tabs>
        <w:tab w:val="right" w:leader="middleDot" w:pos="8494"/>
      </w:tabs>
      <w:spacing w:line="300" w:lineRule="exact"/>
      <w:ind w:left="259" w:leftChars="259"/>
    </w:pPr>
    <w:rPr>
      <w:rFonts w:ascii="宋体" w:hAnsi="宋体" w:eastAsia="宋体" w:cs="宋体"/>
      <w:kern w:val="2"/>
      <w:sz w:val="21"/>
      <w:szCs w:val="21"/>
      <w:lang w:val="en-US" w:eastAsia="zh-CN" w:bidi="ar-SA"/>
    </w:rPr>
  </w:style>
  <w:style w:type="paragraph" w:styleId="11">
    <w:name w:val="toc 2"/>
    <w:autoRedefine/>
    <w:unhideWhenUsed/>
    <w:qFormat/>
    <w:uiPriority w:val="39"/>
    <w:pPr>
      <w:tabs>
        <w:tab w:val="right" w:leader="middleDot" w:pos="8494"/>
      </w:tabs>
      <w:spacing w:line="300" w:lineRule="exact"/>
      <w:ind w:left="210"/>
    </w:pPr>
    <w:rPr>
      <w:rFonts w:ascii="宋体" w:hAnsi="宋体" w:eastAsia="宋体" w:cs="宋体"/>
      <w:kern w:val="2"/>
      <w:sz w:val="21"/>
      <w:szCs w:val="21"/>
      <w:lang w:val="en-US" w:eastAsia="zh-CN" w:bidi="ar-SA"/>
    </w:rPr>
  </w:style>
  <w:style w:type="table" w:styleId="13">
    <w:name w:val="Table Grid"/>
    <w:basedOn w:val="12"/>
    <w:autoRedefine/>
    <w:qFormat/>
    <w:uiPriority w:val="39"/>
    <w:rPr>
      <w:rFonts w:ascii="宋体"/>
      <w:sz w:val="18"/>
      <w:szCs w:val="18"/>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Hyperlink"/>
    <w:basedOn w:val="14"/>
    <w:autoRedefine/>
    <w:unhideWhenUsed/>
    <w:qFormat/>
    <w:uiPriority w:val="99"/>
    <w:rPr>
      <w:color w:val="0000FF" w:themeColor="hyperlink"/>
      <w:u w:val="single"/>
      <w14:textFill>
        <w14:solidFill>
          <w14:schemeClr w14:val="hlink"/>
        </w14:solidFill>
      </w14:textFill>
    </w:rPr>
  </w:style>
  <w:style w:type="character" w:customStyle="1" w:styleId="16">
    <w:name w:val="标题 1 Char"/>
    <w:basedOn w:val="14"/>
    <w:link w:val="2"/>
    <w:autoRedefine/>
    <w:qFormat/>
    <w:uiPriority w:val="9"/>
    <w:rPr>
      <w:rFonts w:ascii="Times New Roman" w:hAnsi="Times New Roman" w:eastAsia="黑体"/>
      <w:bCs/>
      <w:kern w:val="44"/>
      <w:szCs w:val="44"/>
    </w:rPr>
  </w:style>
  <w:style w:type="paragraph" w:customStyle="1" w:styleId="17">
    <w:name w:val="标准文件_段落"/>
    <w:autoRedefine/>
    <w:qFormat/>
    <w:uiPriority w:val="0"/>
    <w:pPr>
      <w:ind w:firstLine="420" w:firstLineChars="200"/>
    </w:pPr>
    <w:rPr>
      <w:rFonts w:ascii="宋体" w:hAnsi="宋体" w:eastAsia="宋体" w:cstheme="minorBidi"/>
      <w:kern w:val="2"/>
      <w:sz w:val="21"/>
      <w:szCs w:val="21"/>
      <w:lang w:val="en-US" w:eastAsia="zh-CN" w:bidi="ar-SA"/>
    </w:rPr>
  </w:style>
  <w:style w:type="paragraph" w:customStyle="1" w:styleId="18">
    <w:name w:val="标准文件_章标题"/>
    <w:next w:val="17"/>
    <w:link w:val="24"/>
    <w:autoRedefine/>
    <w:qFormat/>
    <w:uiPriority w:val="0"/>
    <w:pPr>
      <w:numPr>
        <w:ilvl w:val="1"/>
        <w:numId w:val="2"/>
      </w:numPr>
      <w:spacing w:before="100" w:beforeLines="100" w:after="100" w:afterLines="100"/>
      <w:outlineLvl w:val="0"/>
    </w:pPr>
    <w:rPr>
      <w:rFonts w:ascii="黑体" w:hAnsi="黑体" w:eastAsia="黑体" w:cstheme="minorBidi"/>
      <w:kern w:val="2"/>
      <w:sz w:val="21"/>
      <w:szCs w:val="21"/>
      <w:lang w:val="en-US" w:eastAsia="zh-CN" w:bidi="ar-SA"/>
    </w:rPr>
  </w:style>
  <w:style w:type="paragraph" w:customStyle="1" w:styleId="19">
    <w:name w:val="标准文件_一级条标题"/>
    <w:next w:val="17"/>
    <w:autoRedefine/>
    <w:qFormat/>
    <w:uiPriority w:val="0"/>
    <w:pPr>
      <w:numPr>
        <w:ilvl w:val="2"/>
        <w:numId w:val="2"/>
      </w:numPr>
      <w:tabs>
        <w:tab w:val="left" w:pos="0"/>
      </w:tabs>
      <w:spacing w:before="50" w:beforeLines="50" w:after="50" w:afterLines="50"/>
      <w:outlineLvl w:val="1"/>
    </w:pPr>
    <w:rPr>
      <w:rFonts w:ascii="黑体" w:hAnsi="黑体" w:eastAsia="黑体" w:cstheme="minorBidi"/>
      <w:kern w:val="2"/>
      <w:sz w:val="21"/>
      <w:szCs w:val="21"/>
      <w:lang w:val="en-US" w:eastAsia="zh-CN" w:bidi="ar-SA"/>
    </w:rPr>
  </w:style>
  <w:style w:type="paragraph" w:customStyle="1" w:styleId="20">
    <w:name w:val="标准文件_二级条标题"/>
    <w:next w:val="17"/>
    <w:autoRedefine/>
    <w:qFormat/>
    <w:uiPriority w:val="0"/>
    <w:pPr>
      <w:numPr>
        <w:ilvl w:val="3"/>
        <w:numId w:val="2"/>
      </w:numPr>
      <w:spacing w:before="50" w:beforeLines="50" w:after="50" w:afterLines="50"/>
      <w:outlineLvl w:val="2"/>
    </w:pPr>
    <w:rPr>
      <w:rFonts w:ascii="黑体" w:hAnsi="黑体" w:eastAsia="黑体" w:cstheme="minorBidi"/>
      <w:kern w:val="2"/>
      <w:sz w:val="21"/>
      <w:szCs w:val="21"/>
      <w:lang w:val="en-US" w:eastAsia="zh-CN" w:bidi="ar-SA"/>
    </w:rPr>
  </w:style>
  <w:style w:type="paragraph" w:customStyle="1" w:styleId="21">
    <w:name w:val="标准文件_三级条标题"/>
    <w:next w:val="17"/>
    <w:autoRedefine/>
    <w:qFormat/>
    <w:uiPriority w:val="0"/>
    <w:pPr>
      <w:numPr>
        <w:ilvl w:val="4"/>
        <w:numId w:val="2"/>
      </w:numPr>
      <w:tabs>
        <w:tab w:val="left" w:pos="0"/>
      </w:tabs>
      <w:spacing w:before="50" w:beforeLines="50" w:after="50" w:afterLines="50"/>
      <w:outlineLvl w:val="3"/>
    </w:pPr>
    <w:rPr>
      <w:rFonts w:ascii="黑体" w:hAnsi="黑体" w:eastAsia="黑体" w:cstheme="minorBidi"/>
      <w:kern w:val="2"/>
      <w:sz w:val="21"/>
      <w:szCs w:val="21"/>
      <w:lang w:val="en-US" w:eastAsia="zh-CN" w:bidi="ar-SA"/>
    </w:rPr>
  </w:style>
  <w:style w:type="paragraph" w:customStyle="1" w:styleId="22">
    <w:name w:val="标准文件_四级条标题"/>
    <w:next w:val="17"/>
    <w:autoRedefine/>
    <w:qFormat/>
    <w:uiPriority w:val="0"/>
    <w:pPr>
      <w:numPr>
        <w:ilvl w:val="5"/>
        <w:numId w:val="2"/>
      </w:numPr>
      <w:spacing w:before="50" w:beforeLines="50" w:after="50" w:afterLines="50"/>
      <w:outlineLvl w:val="4"/>
    </w:pPr>
    <w:rPr>
      <w:rFonts w:ascii="黑体" w:hAnsi="黑体" w:eastAsia="黑体" w:cstheme="minorBidi"/>
      <w:kern w:val="2"/>
      <w:sz w:val="21"/>
      <w:szCs w:val="21"/>
      <w:lang w:val="en-US" w:eastAsia="zh-CN" w:bidi="ar-SA"/>
    </w:rPr>
  </w:style>
  <w:style w:type="paragraph" w:customStyle="1" w:styleId="23">
    <w:name w:val="标准文件_五级条标题"/>
    <w:next w:val="17"/>
    <w:autoRedefine/>
    <w:qFormat/>
    <w:uiPriority w:val="0"/>
    <w:pPr>
      <w:numPr>
        <w:ilvl w:val="6"/>
        <w:numId w:val="2"/>
      </w:numPr>
      <w:spacing w:before="50" w:beforeLines="50" w:after="50" w:afterLines="50"/>
      <w:outlineLvl w:val="5"/>
    </w:pPr>
    <w:rPr>
      <w:rFonts w:ascii="黑体" w:hAnsi="黑体" w:eastAsia="黑体" w:cstheme="minorBidi"/>
      <w:kern w:val="2"/>
      <w:sz w:val="21"/>
      <w:szCs w:val="21"/>
      <w:lang w:val="en-US" w:eastAsia="zh-CN" w:bidi="ar-SA"/>
    </w:rPr>
  </w:style>
  <w:style w:type="character" w:customStyle="1" w:styleId="24">
    <w:name w:val="标准文件_章标题 Char"/>
    <w:basedOn w:val="14"/>
    <w:link w:val="18"/>
    <w:autoRedefine/>
    <w:qFormat/>
    <w:uiPriority w:val="0"/>
    <w:rPr>
      <w:rFonts w:ascii="黑体" w:hAnsi="黑体" w:eastAsia="黑体"/>
      <w:szCs w:val="21"/>
    </w:rPr>
  </w:style>
  <w:style w:type="character" w:customStyle="1" w:styleId="25">
    <w:name w:val="批注框文本 Char"/>
    <w:basedOn w:val="14"/>
    <w:link w:val="5"/>
    <w:autoRedefine/>
    <w:semiHidden/>
    <w:qFormat/>
    <w:uiPriority w:val="99"/>
    <w:rPr>
      <w:sz w:val="18"/>
      <w:szCs w:val="18"/>
    </w:rPr>
  </w:style>
  <w:style w:type="paragraph" w:customStyle="1" w:styleId="26">
    <w:name w:val="标准文件_附录段落"/>
    <w:autoRedefine/>
    <w:qFormat/>
    <w:uiPriority w:val="0"/>
    <w:pPr>
      <w:spacing w:line="420" w:lineRule="exact"/>
      <w:ind w:firstLine="200" w:firstLineChars="200"/>
    </w:pPr>
    <w:rPr>
      <w:rFonts w:ascii="宋体" w:hAnsi="宋体" w:eastAsia="宋体" w:cstheme="minorBidi"/>
      <w:kern w:val="2"/>
      <w:sz w:val="21"/>
      <w:szCs w:val="21"/>
      <w:lang w:val="en-US" w:eastAsia="zh-CN" w:bidi="ar-SA"/>
    </w:rPr>
  </w:style>
  <w:style w:type="paragraph" w:customStyle="1" w:styleId="27">
    <w:name w:val="标准文件_附录章标题"/>
    <w:next w:val="17"/>
    <w:autoRedefine/>
    <w:qFormat/>
    <w:uiPriority w:val="0"/>
    <w:pPr>
      <w:tabs>
        <w:tab w:val="left" w:pos="0"/>
      </w:tabs>
      <w:spacing w:before="100" w:beforeLines="100" w:after="100" w:afterLines="100"/>
      <w:outlineLvl w:val="1"/>
    </w:pPr>
    <w:rPr>
      <w:rFonts w:ascii="黑体" w:hAnsi="黑体" w:eastAsia="黑体" w:cstheme="minorBidi"/>
      <w:kern w:val="2"/>
      <w:sz w:val="21"/>
      <w:szCs w:val="21"/>
      <w:lang w:val="en-US" w:eastAsia="zh-CN" w:bidi="ar-SA"/>
    </w:rPr>
  </w:style>
  <w:style w:type="paragraph" w:customStyle="1" w:styleId="28">
    <w:name w:val="标准文件_附录一级条标题"/>
    <w:next w:val="17"/>
    <w:autoRedefine/>
    <w:qFormat/>
    <w:uiPriority w:val="0"/>
    <w:pPr>
      <w:numPr>
        <w:ilvl w:val="1"/>
        <w:numId w:val="3"/>
      </w:numPr>
      <w:spacing w:before="50" w:beforeLines="50" w:after="50" w:afterLines="50"/>
      <w:jc w:val="both"/>
      <w:outlineLvl w:val="2"/>
    </w:pPr>
    <w:rPr>
      <w:rFonts w:ascii="黑体" w:hAnsi="黑体" w:eastAsia="黑体" w:cstheme="minorBidi"/>
      <w:kern w:val="2"/>
      <w:sz w:val="21"/>
      <w:szCs w:val="24"/>
      <w:lang w:val="en-US" w:eastAsia="zh-CN" w:bidi="ar-SA"/>
    </w:rPr>
  </w:style>
  <w:style w:type="paragraph" w:customStyle="1" w:styleId="29">
    <w:name w:val="标准文件_附录二级条标题"/>
    <w:next w:val="17"/>
    <w:autoRedefine/>
    <w:qFormat/>
    <w:uiPriority w:val="0"/>
    <w:pPr>
      <w:numPr>
        <w:ilvl w:val="2"/>
        <w:numId w:val="3"/>
      </w:numPr>
      <w:spacing w:before="50" w:beforeLines="50" w:after="50" w:afterLines="50"/>
      <w:jc w:val="both"/>
      <w:outlineLvl w:val="3"/>
    </w:pPr>
    <w:rPr>
      <w:rFonts w:ascii="黑体" w:hAnsi="黑体" w:eastAsia="黑体" w:cstheme="minorBidi"/>
      <w:kern w:val="2"/>
      <w:sz w:val="21"/>
      <w:szCs w:val="24"/>
      <w:lang w:val="en-US" w:eastAsia="zh-CN" w:bidi="ar-SA"/>
    </w:rPr>
  </w:style>
  <w:style w:type="paragraph" w:customStyle="1" w:styleId="30">
    <w:name w:val="标准文件_附录三级条标题"/>
    <w:next w:val="17"/>
    <w:autoRedefine/>
    <w:qFormat/>
    <w:uiPriority w:val="0"/>
    <w:pPr>
      <w:numPr>
        <w:ilvl w:val="3"/>
        <w:numId w:val="3"/>
      </w:numPr>
      <w:spacing w:before="50" w:beforeLines="50" w:after="50" w:afterLines="50"/>
      <w:jc w:val="both"/>
      <w:outlineLvl w:val="4"/>
    </w:pPr>
    <w:rPr>
      <w:rFonts w:ascii="黑体" w:hAnsi="黑体" w:eastAsia="黑体" w:cstheme="minorBidi"/>
      <w:kern w:val="2"/>
      <w:sz w:val="21"/>
      <w:szCs w:val="24"/>
      <w:lang w:val="en-US" w:eastAsia="zh-CN" w:bidi="ar-SA"/>
    </w:rPr>
  </w:style>
  <w:style w:type="paragraph" w:customStyle="1" w:styleId="31">
    <w:name w:val="标准文件_附录四级条标题"/>
    <w:next w:val="17"/>
    <w:autoRedefine/>
    <w:qFormat/>
    <w:uiPriority w:val="0"/>
    <w:pPr>
      <w:numPr>
        <w:ilvl w:val="4"/>
        <w:numId w:val="3"/>
      </w:numPr>
      <w:spacing w:before="50" w:beforeLines="50" w:after="50" w:afterLines="50"/>
      <w:jc w:val="both"/>
      <w:outlineLvl w:val="5"/>
    </w:pPr>
    <w:rPr>
      <w:rFonts w:ascii="黑体" w:hAnsi="黑体" w:eastAsia="黑体" w:cstheme="minorBidi"/>
      <w:kern w:val="2"/>
      <w:sz w:val="21"/>
      <w:szCs w:val="24"/>
      <w:lang w:val="en-US" w:eastAsia="zh-CN" w:bidi="ar-SA"/>
    </w:rPr>
  </w:style>
  <w:style w:type="paragraph" w:customStyle="1" w:styleId="32">
    <w:name w:val="标准文件_附录五级条标题"/>
    <w:next w:val="17"/>
    <w:autoRedefine/>
    <w:qFormat/>
    <w:uiPriority w:val="0"/>
    <w:pPr>
      <w:numPr>
        <w:ilvl w:val="5"/>
        <w:numId w:val="3"/>
      </w:numPr>
      <w:spacing w:before="50" w:beforeLines="50" w:after="50" w:afterLines="50"/>
      <w:jc w:val="both"/>
      <w:outlineLvl w:val="6"/>
    </w:pPr>
    <w:rPr>
      <w:rFonts w:ascii="黑体" w:hAnsi="黑体" w:eastAsia="黑体" w:cstheme="minorBidi"/>
      <w:kern w:val="2"/>
      <w:sz w:val="21"/>
      <w:szCs w:val="24"/>
      <w:lang w:val="en-US" w:eastAsia="zh-CN" w:bidi="ar-SA"/>
    </w:rPr>
  </w:style>
  <w:style w:type="table" w:customStyle="1" w:styleId="33">
    <w:name w:val="标准文件_表格"/>
    <w:basedOn w:val="12"/>
    <w:autoRedefine/>
    <w:qFormat/>
    <w:uiPriority w:val="99"/>
    <w:pPr>
      <w:jc w:val="center"/>
    </w:pPr>
    <w:rPr>
      <w:rFonts w:ascii="宋体" w:hAnsi="宋体"/>
      <w:szCs w:val="21"/>
    </w:rPr>
    <w:tblPr>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
    <w:trPr>
      <w:jc w:val="center"/>
    </w:trPr>
    <w:tcPr>
      <w:shd w:val="clear" w:color="auto" w:fill="auto"/>
      <w:vAlign w:val="center"/>
    </w:tcPr>
    <w:tblStylePr w:type="firstRow">
      <w:rPr>
        <w:rFonts w:eastAsia="黑体"/>
        <w:sz w:val="21"/>
      </w:rPr>
      <w:tcPr>
        <w:tcBorders>
          <w:top w:val="single" w:color="auto" w:sz="12" w:space="0"/>
          <w:left w:val="single" w:color="auto" w:sz="12" w:space="0"/>
          <w:bottom w:val="single" w:color="auto" w:sz="12" w:space="0"/>
          <w:right w:val="single" w:color="auto" w:sz="12" w:space="0"/>
        </w:tcBorders>
      </w:tcPr>
    </w:tblStylePr>
  </w:style>
  <w:style w:type="paragraph" w:customStyle="1" w:styleId="34">
    <w:name w:val="标准文件_表格内容"/>
    <w:basedOn w:val="1"/>
    <w:autoRedefine/>
    <w:qFormat/>
    <w:uiPriority w:val="0"/>
    <w:pPr>
      <w:spacing w:line="300" w:lineRule="atLeast"/>
      <w:jc w:val="left"/>
    </w:pPr>
    <w:rPr>
      <w:rFonts w:ascii="宋体" w:hAnsi="宋体" w:cs="Times New Roman"/>
      <w:sz w:val="18"/>
    </w:rPr>
  </w:style>
  <w:style w:type="paragraph" w:customStyle="1" w:styleId="35">
    <w:name w:val="标准文件_表格首行"/>
    <w:autoRedefine/>
    <w:qFormat/>
    <w:uiPriority w:val="0"/>
    <w:pPr>
      <w:spacing w:line="300" w:lineRule="atLeast"/>
      <w:jc w:val="center"/>
    </w:pPr>
    <w:rPr>
      <w:rFonts w:ascii="宋体" w:hAnsi="宋体" w:eastAsia="宋体" w:cs="Times New Roman"/>
      <w:kern w:val="2"/>
      <w:sz w:val="18"/>
      <w:szCs w:val="21"/>
      <w:lang w:val="en-US" w:eastAsia="zh-CN" w:bidi="ar-SA"/>
    </w:rPr>
  </w:style>
  <w:style w:type="paragraph" w:customStyle="1" w:styleId="36">
    <w:name w:val="标准文件_表格题注"/>
    <w:autoRedefine/>
    <w:qFormat/>
    <w:uiPriority w:val="0"/>
    <w:pPr>
      <w:numPr>
        <w:ilvl w:val="0"/>
        <w:numId w:val="4"/>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37">
    <w:name w:val="标准文件_公式"/>
    <w:autoRedefine/>
    <w:qFormat/>
    <w:uiPriority w:val="0"/>
    <w:pPr>
      <w:tabs>
        <w:tab w:val="center" w:pos="4064"/>
        <w:tab w:val="right" w:leader="middleDot" w:pos="8382"/>
      </w:tabs>
    </w:pPr>
    <w:rPr>
      <w:rFonts w:ascii="宋体" w:hAnsi="宋体" w:eastAsia="宋体" w:cstheme="minorBidi"/>
      <w:kern w:val="2"/>
      <w:sz w:val="24"/>
      <w:szCs w:val="21"/>
      <w:lang w:val="en-US" w:eastAsia="zh-CN" w:bidi="ar-SA"/>
    </w:rPr>
  </w:style>
  <w:style w:type="paragraph" w:customStyle="1" w:styleId="38">
    <w:name w:val="标准文件_结构标题"/>
    <w:autoRedefine/>
    <w:qFormat/>
    <w:uiPriority w:val="0"/>
    <w:pPr>
      <w:spacing w:before="480" w:after="150" w:afterLines="150"/>
      <w:jc w:val="center"/>
      <w:outlineLvl w:val="0"/>
    </w:pPr>
    <w:rPr>
      <w:rFonts w:ascii="黑体" w:hAnsi="黑体" w:eastAsia="黑体" w:cstheme="minorBidi"/>
      <w:kern w:val="2"/>
      <w:sz w:val="32"/>
      <w:szCs w:val="21"/>
      <w:lang w:val="en-US" w:eastAsia="zh-CN" w:bidi="ar-SA"/>
    </w:rPr>
  </w:style>
  <w:style w:type="paragraph" w:customStyle="1" w:styleId="39">
    <w:name w:val="标准文件_文本标题"/>
    <w:basedOn w:val="38"/>
    <w:link w:val="40"/>
    <w:autoRedefine/>
    <w:qFormat/>
    <w:uiPriority w:val="0"/>
    <w:pPr>
      <w:spacing w:before="640" w:after="100" w:line="400" w:lineRule="exact"/>
      <w:outlineLvl w:val="9"/>
    </w:pPr>
  </w:style>
  <w:style w:type="character" w:customStyle="1" w:styleId="40">
    <w:name w:val="标准文件_文本标题 Char"/>
    <w:basedOn w:val="14"/>
    <w:link w:val="39"/>
    <w:autoRedefine/>
    <w:qFormat/>
    <w:uiPriority w:val="0"/>
    <w:rPr>
      <w:rFonts w:ascii="黑体" w:hAnsi="黑体" w:eastAsia="黑体"/>
      <w:sz w:val="32"/>
      <w:szCs w:val="21"/>
    </w:rPr>
  </w:style>
  <w:style w:type="paragraph" w:customStyle="1" w:styleId="41">
    <w:name w:val="标准文件_图片"/>
    <w:autoRedefine/>
    <w:qFormat/>
    <w:uiPriority w:val="0"/>
    <w:pPr>
      <w:jc w:val="center"/>
    </w:pPr>
    <w:rPr>
      <w:rFonts w:ascii="宋体" w:hAnsi="宋体" w:eastAsia="宋体" w:cstheme="minorBidi"/>
      <w:kern w:val="2"/>
      <w:sz w:val="24"/>
      <w:szCs w:val="21"/>
      <w:lang w:val="en-US" w:eastAsia="zh-CN" w:bidi="ar-SA"/>
    </w:rPr>
  </w:style>
  <w:style w:type="paragraph" w:customStyle="1" w:styleId="42">
    <w:name w:val="标准文件_图片题注"/>
    <w:autoRedefine/>
    <w:qFormat/>
    <w:uiPriority w:val="0"/>
    <w:pPr>
      <w:numPr>
        <w:ilvl w:val="0"/>
        <w:numId w:val="5"/>
      </w:numPr>
      <w:spacing w:before="50" w:beforeLines="50" w:after="50" w:afterLines="50"/>
      <w:jc w:val="center"/>
    </w:pPr>
    <w:rPr>
      <w:rFonts w:ascii="黑体" w:hAnsi="黑体" w:eastAsia="黑体" w:cstheme="minorBidi"/>
      <w:kern w:val="2"/>
      <w:sz w:val="21"/>
      <w:szCs w:val="21"/>
      <w:lang w:val="en-US" w:eastAsia="zh-CN" w:bidi="ar-SA"/>
    </w:rPr>
  </w:style>
  <w:style w:type="paragraph" w:customStyle="1" w:styleId="43">
    <w:name w:val="标准文件_页脚"/>
    <w:autoRedefine/>
    <w:qFormat/>
    <w:uiPriority w:val="0"/>
    <w:pPr>
      <w:jc w:val="center"/>
    </w:pPr>
    <w:rPr>
      <w:rFonts w:ascii="宋体" w:hAnsi="宋体" w:eastAsia="宋体" w:cstheme="minorBidi"/>
      <w:kern w:val="2"/>
      <w:sz w:val="18"/>
      <w:szCs w:val="18"/>
      <w:lang w:val="en-US" w:eastAsia="zh-CN" w:bidi="ar-SA"/>
    </w:rPr>
  </w:style>
  <w:style w:type="paragraph" w:customStyle="1" w:styleId="44">
    <w:name w:val="标准文件_页眉"/>
    <w:autoRedefine/>
    <w:qFormat/>
    <w:uiPriority w:val="0"/>
    <w:pPr>
      <w:jc w:val="center"/>
    </w:pPr>
    <w:rPr>
      <w:rFonts w:ascii="宋体" w:hAnsi="宋体" w:eastAsia="宋体" w:cstheme="minorBidi"/>
      <w:kern w:val="2"/>
      <w:sz w:val="18"/>
      <w:szCs w:val="18"/>
      <w:lang w:val="en-US" w:eastAsia="zh-CN" w:bidi="ar-SA"/>
    </w:rPr>
  </w:style>
  <w:style w:type="paragraph" w:customStyle="1" w:styleId="45">
    <w:name w:val="标准文件_脚注尾注"/>
    <w:basedOn w:val="17"/>
    <w:autoRedefine/>
    <w:qFormat/>
    <w:uiPriority w:val="0"/>
    <w:pPr>
      <w:ind w:left="150" w:hanging="150" w:hangingChars="80"/>
    </w:pPr>
    <w:rPr>
      <w:sz w:val="18"/>
    </w:rPr>
  </w:style>
  <w:style w:type="paragraph" w:customStyle="1" w:styleId="46">
    <w:name w:val="标准文件_字母列项"/>
    <w:autoRedefine/>
    <w:qFormat/>
    <w:uiPriority w:val="0"/>
    <w:pPr>
      <w:numPr>
        <w:ilvl w:val="0"/>
        <w:numId w:val="6"/>
      </w:numPr>
    </w:pPr>
    <w:rPr>
      <w:rFonts w:ascii="宋体" w:hAnsi="宋体" w:eastAsia="宋体" w:cs="Times New Roman"/>
      <w:kern w:val="2"/>
      <w:sz w:val="21"/>
      <w:szCs w:val="18"/>
      <w:lang w:val="en-US" w:eastAsia="zh-CN" w:bidi="ar-SA"/>
    </w:rPr>
  </w:style>
  <w:style w:type="paragraph" w:customStyle="1" w:styleId="47">
    <w:name w:val="标准文件_数字列项"/>
    <w:autoRedefine/>
    <w:qFormat/>
    <w:uiPriority w:val="0"/>
    <w:pPr>
      <w:numPr>
        <w:ilvl w:val="0"/>
        <w:numId w:val="7"/>
      </w:numPr>
    </w:pPr>
    <w:rPr>
      <w:rFonts w:ascii="宋体" w:hAnsi="宋体" w:eastAsia="宋体" w:cstheme="minorBidi"/>
      <w:kern w:val="2"/>
      <w:sz w:val="21"/>
      <w:szCs w:val="18"/>
      <w:lang w:val="en-US" w:eastAsia="zh-CN" w:bidi="ar-SA"/>
    </w:rPr>
  </w:style>
  <w:style w:type="paragraph" w:customStyle="1" w:styleId="48">
    <w:name w:val="标准文件_符号列项"/>
    <w:autoRedefine/>
    <w:qFormat/>
    <w:uiPriority w:val="0"/>
    <w:pPr>
      <w:numPr>
        <w:ilvl w:val="0"/>
        <w:numId w:val="8"/>
      </w:numPr>
    </w:pPr>
    <w:rPr>
      <w:rFonts w:ascii="宋体" w:hAnsi="宋体" w:eastAsia="宋体" w:cstheme="minorBidi"/>
      <w:kern w:val="2"/>
      <w:sz w:val="21"/>
      <w:szCs w:val="18"/>
      <w:lang w:val="en-US" w:eastAsia="zh-CN" w:bidi="ar-SA"/>
    </w:rPr>
  </w:style>
  <w:style w:type="paragraph" w:customStyle="1" w:styleId="49">
    <w:name w:val="标准文件_单条注释"/>
    <w:autoRedefine/>
    <w:qFormat/>
    <w:uiPriority w:val="0"/>
    <w:pPr>
      <w:numPr>
        <w:ilvl w:val="0"/>
        <w:numId w:val="9"/>
      </w:numPr>
    </w:pPr>
    <w:rPr>
      <w:rFonts w:ascii="宋体" w:hAnsi="宋体" w:eastAsia="宋体" w:cstheme="minorBidi"/>
      <w:kern w:val="2"/>
      <w:sz w:val="18"/>
      <w:szCs w:val="21"/>
      <w:lang w:val="en-US" w:eastAsia="zh-CN" w:bidi="ar-SA"/>
    </w:rPr>
  </w:style>
  <w:style w:type="paragraph" w:customStyle="1" w:styleId="50">
    <w:name w:val="标准文件_多条注释"/>
    <w:autoRedefine/>
    <w:qFormat/>
    <w:uiPriority w:val="0"/>
    <w:pPr>
      <w:numPr>
        <w:ilvl w:val="0"/>
        <w:numId w:val="10"/>
      </w:numPr>
    </w:pPr>
    <w:rPr>
      <w:rFonts w:ascii="宋体" w:hAnsi="宋体" w:eastAsia="宋体" w:cstheme="minorBidi"/>
      <w:kern w:val="2"/>
      <w:sz w:val="18"/>
      <w:szCs w:val="21"/>
      <w:lang w:val="en-US" w:eastAsia="zh-CN" w:bidi="ar-SA"/>
    </w:rPr>
  </w:style>
  <w:style w:type="paragraph" w:customStyle="1" w:styleId="51">
    <w:name w:val="标准文件_单条示例"/>
    <w:autoRedefine/>
    <w:qFormat/>
    <w:uiPriority w:val="0"/>
    <w:pPr>
      <w:numPr>
        <w:ilvl w:val="0"/>
        <w:numId w:val="11"/>
      </w:numPr>
    </w:pPr>
    <w:rPr>
      <w:rFonts w:ascii="宋体" w:hAnsi="宋体" w:eastAsia="宋体" w:cstheme="minorBidi"/>
      <w:kern w:val="2"/>
      <w:sz w:val="18"/>
      <w:szCs w:val="18"/>
      <w:lang w:val="en-US" w:eastAsia="zh-CN" w:bidi="ar-SA"/>
    </w:rPr>
  </w:style>
  <w:style w:type="paragraph" w:customStyle="1" w:styleId="52">
    <w:name w:val="标准文件_多条示例"/>
    <w:autoRedefine/>
    <w:qFormat/>
    <w:uiPriority w:val="0"/>
    <w:pPr>
      <w:numPr>
        <w:ilvl w:val="0"/>
        <w:numId w:val="12"/>
      </w:numPr>
    </w:pPr>
    <w:rPr>
      <w:rFonts w:ascii="宋体" w:hAnsi="宋体" w:eastAsia="宋体" w:cstheme="minorBidi"/>
      <w:kern w:val="2"/>
      <w:sz w:val="18"/>
      <w:szCs w:val="21"/>
      <w:lang w:val="en-US" w:eastAsia="zh-CN" w:bidi="ar-SA"/>
    </w:rPr>
  </w:style>
  <w:style w:type="character" w:customStyle="1" w:styleId="53">
    <w:name w:val="页眉 Char"/>
    <w:link w:val="7"/>
    <w:autoRedefine/>
    <w:qFormat/>
    <w:uiPriority w:val="99"/>
    <w:rPr>
      <w:rFonts w:ascii="Calibri" w:hAnsi="Calibri" w:eastAsia="宋体" w:cs="Times New Roman"/>
      <w:sz w:val="18"/>
      <w:szCs w:val="18"/>
    </w:rPr>
  </w:style>
  <w:style w:type="paragraph" w:customStyle="1" w:styleId="54">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30"/>
      <w:sz w:val="96"/>
      <w:szCs w:val="96"/>
      <w:lang w:val="en-US" w:eastAsia="zh-CN" w:bidi="ar-SA"/>
    </w:rPr>
  </w:style>
  <w:style w:type="paragraph" w:customStyle="1" w:styleId="55">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黑体" w:hAnsi="黑体" w:eastAsia="黑体" w:cs="Times New Roman"/>
      <w:b/>
      <w:bCs/>
      <w:w w:val="148"/>
      <w:sz w:val="48"/>
      <w:lang w:val="en-US" w:eastAsia="zh-CN" w:bidi="ar-SA"/>
    </w:rPr>
  </w:style>
  <w:style w:type="paragraph" w:customStyle="1" w:styleId="56">
    <w:name w:val="封面标准英文名称"/>
    <w:basedOn w:val="1"/>
    <w:autoRedefine/>
    <w:qFormat/>
    <w:uiPriority w:val="0"/>
    <w:pPr>
      <w:framePr w:w="9639" w:h="6917" w:hRule="exact" w:wrap="around" w:vAnchor="page" w:hAnchor="page" w:xAlign="center" w:y="6408" w:anchorLock="1"/>
      <w:spacing w:before="370" w:line="400" w:lineRule="exact"/>
      <w:jc w:val="center"/>
      <w:textAlignment w:val="center"/>
    </w:pPr>
    <w:rPr>
      <w:rFonts w:ascii="黑体" w:hAnsi="黑体" w:eastAsia="黑体" w:cs="Times New Roman"/>
      <w:kern w:val="0"/>
      <w:sz w:val="28"/>
      <w:szCs w:val="28"/>
    </w:rPr>
  </w:style>
  <w:style w:type="paragraph" w:customStyle="1" w:styleId="57">
    <w:name w:val="其他发布日期"/>
    <w:basedOn w:val="1"/>
    <w:autoRedefine/>
    <w:qFormat/>
    <w:uiPriority w:val="0"/>
    <w:pPr>
      <w:framePr w:w="3997" w:h="471" w:hRule="exact" w:vSpace="181" w:wrap="around" w:vAnchor="page" w:hAnchor="text" w:x="1419" w:y="14097" w:anchorLock="1"/>
      <w:widowControl/>
      <w:jc w:val="left"/>
    </w:pPr>
    <w:rPr>
      <w:rFonts w:eastAsia="黑体" w:cs="Times New Roman"/>
      <w:kern w:val="0"/>
      <w:sz w:val="28"/>
      <w:szCs w:val="20"/>
    </w:rPr>
  </w:style>
  <w:style w:type="paragraph" w:customStyle="1" w:styleId="58">
    <w:name w:val="其他实施日期"/>
    <w:basedOn w:val="1"/>
    <w:autoRedefine/>
    <w:qFormat/>
    <w:uiPriority w:val="0"/>
    <w:pPr>
      <w:framePr w:w="3997" w:h="471" w:hRule="exact" w:vSpace="181" w:wrap="around" w:vAnchor="page" w:hAnchor="text" w:x="7089" w:y="14097" w:anchorLock="1"/>
      <w:widowControl/>
      <w:jc w:val="right"/>
    </w:pPr>
    <w:rPr>
      <w:rFonts w:eastAsia="黑体" w:cs="Times New Roman"/>
      <w:kern w:val="0"/>
      <w:sz w:val="28"/>
      <w:szCs w:val="20"/>
    </w:rPr>
  </w:style>
  <w:style w:type="paragraph" w:customStyle="1" w:styleId="59">
    <w:name w:val="标准文件_文件编号"/>
    <w:basedOn w:val="1"/>
    <w:autoRedefine/>
    <w:qFormat/>
    <w:uiPriority w:val="0"/>
    <w:pPr>
      <w:framePr w:w="9356" w:h="624" w:hRule="exact" w:hSpace="181" w:vSpace="181" w:wrap="auto" w:vAnchor="page" w:hAnchor="page" w:x="1419" w:y="3284"/>
      <w:widowControl/>
      <w:wordWrap w:val="0"/>
      <w:autoSpaceDE w:val="0"/>
      <w:autoSpaceDN w:val="0"/>
      <w:spacing w:line="280" w:lineRule="exact"/>
      <w:jc w:val="right"/>
    </w:pPr>
    <w:rPr>
      <w:rFonts w:ascii="黑体" w:eastAsia="黑体" w:cs="Times New Roman"/>
      <w:bCs/>
      <w:kern w:val="0"/>
      <w:sz w:val="28"/>
      <w:szCs w:val="28"/>
    </w:rPr>
  </w:style>
  <w:style w:type="paragraph" w:customStyle="1" w:styleId="60">
    <w:name w:val="标准文件_替换文件编号"/>
    <w:basedOn w:val="59"/>
    <w:autoRedefine/>
    <w:qFormat/>
    <w:uiPriority w:val="0"/>
    <w:pPr>
      <w:spacing w:before="57"/>
    </w:pPr>
    <w:rPr>
      <w:sz w:val="21"/>
    </w:rPr>
  </w:style>
  <w:style w:type="paragraph" w:customStyle="1" w:styleId="61">
    <w:name w:val="标准文件_文件名称"/>
    <w:basedOn w:val="1"/>
    <w:next w:val="1"/>
    <w:autoRedefine/>
    <w:qFormat/>
    <w:uiPriority w:val="0"/>
    <w:pPr>
      <w:framePr w:w="9639" w:h="6976" w:hRule="exact" w:wrap="auto" w:vAnchor="page" w:hAnchor="page" w:y="6408"/>
      <w:widowControl/>
      <w:spacing w:line="700" w:lineRule="exact"/>
      <w:jc w:val="center"/>
    </w:pPr>
    <w:rPr>
      <w:rFonts w:ascii="黑体" w:hAnsi="黑体" w:eastAsia="黑体" w:cs="Times New Roman"/>
      <w:bCs/>
      <w:kern w:val="0"/>
      <w:sz w:val="52"/>
      <w:szCs w:val="20"/>
    </w:rPr>
  </w:style>
  <w:style w:type="character" w:customStyle="1" w:styleId="62">
    <w:name w:val="页脚 Char"/>
    <w:basedOn w:val="14"/>
    <w:link w:val="6"/>
    <w:autoRedefine/>
    <w:qFormat/>
    <w:uiPriority w:val="99"/>
    <w:rPr>
      <w:rFonts w:ascii="宋体" w:hAnsi="宋体" w:eastAsia="宋体"/>
      <w:sz w:val="18"/>
      <w:szCs w:val="18"/>
    </w:rPr>
  </w:style>
  <w:style w:type="paragraph" w:customStyle="1" w:styleId="63">
    <w:name w:val="其他发布部门"/>
    <w:basedOn w:val="1"/>
    <w:autoRedefine/>
    <w:qFormat/>
    <w:uiPriority w:val="0"/>
    <w:pPr>
      <w:framePr w:w="7433" w:h="585" w:hRule="exact" w:hSpace="180" w:vSpace="180" w:wrap="around" w:vAnchor="margin" w:hAnchor="margin" w:xAlign="center" w:y="14401" w:anchorLock="1"/>
      <w:widowControl/>
      <w:spacing w:line="0" w:lineRule="atLeast"/>
      <w:jc w:val="center"/>
    </w:pPr>
    <w:rPr>
      <w:rFonts w:ascii="黑体" w:eastAsia="黑体" w:cs="Times New Roman"/>
      <w:w w:val="135"/>
      <w:kern w:val="0"/>
      <w:sz w:val="36"/>
      <w:szCs w:val="20"/>
    </w:rPr>
  </w:style>
  <w:style w:type="character" w:customStyle="1" w:styleId="64">
    <w:name w:val="发布"/>
    <w:basedOn w:val="14"/>
    <w:autoRedefine/>
    <w:qFormat/>
    <w:uiPriority w:val="0"/>
    <w:rPr>
      <w:rFonts w:ascii="黑体" w:eastAsia="黑体"/>
      <w:spacing w:val="85"/>
      <w:w w:val="100"/>
      <w:position w:val="3"/>
      <w:sz w:val="28"/>
      <w:szCs w:val="28"/>
    </w:rPr>
  </w:style>
  <w:style w:type="paragraph" w:customStyle="1" w:styleId="65">
    <w:name w:val="标准文件_术语"/>
    <w:basedOn w:val="1"/>
    <w:link w:val="66"/>
    <w:autoRedefine/>
    <w:qFormat/>
    <w:uiPriority w:val="0"/>
    <w:pPr>
      <w:widowControl/>
      <w:spacing w:line="300" w:lineRule="auto"/>
      <w:ind w:firstLine="420" w:firstLineChars="200"/>
      <w:jc w:val="left"/>
    </w:pPr>
    <w:rPr>
      <w:rFonts w:ascii="黑体" w:hAnsi="黑体" w:eastAsia="黑体"/>
      <w:sz w:val="21"/>
    </w:rPr>
  </w:style>
  <w:style w:type="character" w:customStyle="1" w:styleId="66">
    <w:name w:val="标准文件_术语 Char"/>
    <w:basedOn w:val="14"/>
    <w:link w:val="65"/>
    <w:autoRedefine/>
    <w:qFormat/>
    <w:uiPriority w:val="0"/>
    <w:rPr>
      <w:rFonts w:ascii="黑体" w:hAnsi="黑体" w:eastAsia="黑体"/>
      <w:szCs w:val="21"/>
    </w:rPr>
  </w:style>
  <w:style w:type="paragraph" w:customStyle="1" w:styleId="67">
    <w:name w:val="标准文件_术语标题"/>
    <w:basedOn w:val="1"/>
    <w:link w:val="68"/>
    <w:autoRedefine/>
    <w:qFormat/>
    <w:uiPriority w:val="0"/>
    <w:pPr>
      <w:widowControl/>
      <w:spacing w:line="300" w:lineRule="auto"/>
      <w:jc w:val="left"/>
    </w:pPr>
    <w:rPr>
      <w:rFonts w:ascii="黑体" w:hAnsi="黑体" w:eastAsia="黑体"/>
      <w:sz w:val="21"/>
    </w:rPr>
  </w:style>
  <w:style w:type="character" w:customStyle="1" w:styleId="68">
    <w:name w:val="标准文件_术语标题 Char"/>
    <w:basedOn w:val="14"/>
    <w:link w:val="67"/>
    <w:autoRedefine/>
    <w:qFormat/>
    <w:uiPriority w:val="0"/>
    <w:rPr>
      <w:rFonts w:ascii="黑体" w:hAnsi="黑体" w:eastAsia="黑体"/>
      <w:szCs w:val="21"/>
    </w:rPr>
  </w:style>
  <w:style w:type="paragraph" w:customStyle="1" w:styleId="69">
    <w:name w:val="标准文件_符号列项2"/>
    <w:autoRedefine/>
    <w:qFormat/>
    <w:uiPriority w:val="0"/>
    <w:pPr>
      <w:numPr>
        <w:ilvl w:val="1"/>
        <w:numId w:val="13"/>
      </w:numPr>
    </w:pPr>
    <w:rPr>
      <w:rFonts w:ascii="宋体" w:hAnsi="宋体" w:eastAsia="宋体" w:cs="Times New Roman"/>
      <w:sz w:val="21"/>
      <w:lang w:val="en-US" w:eastAsia="zh-CN" w:bidi="ar-SA"/>
    </w:rPr>
  </w:style>
  <w:style w:type="character" w:styleId="70">
    <w:name w:val="Placeholder Text"/>
    <w:basedOn w:val="14"/>
    <w:autoRedefine/>
    <w:semiHidden/>
    <w:qFormat/>
    <w:uiPriority w:val="99"/>
    <w:rPr>
      <w:color w:val="808080"/>
    </w:rPr>
  </w:style>
  <w:style w:type="paragraph" w:customStyle="1" w:styleId="71">
    <w:name w:val="标准文件_参考文献"/>
    <w:basedOn w:val="1"/>
    <w:autoRedefine/>
    <w:qFormat/>
    <w:uiPriority w:val="0"/>
    <w:pPr>
      <w:numPr>
        <w:ilvl w:val="0"/>
        <w:numId w:val="14"/>
      </w:numPr>
      <w:ind w:left="420" w:hanging="420"/>
    </w:pPr>
    <w:rPr>
      <w:rFonts w:ascii="宋体" w:hAnsi="宋体"/>
      <w:sz w:val="21"/>
    </w:rPr>
  </w:style>
  <w:style w:type="character" w:customStyle="1" w:styleId="72">
    <w:name w:val="标准文件_段 Char"/>
    <w:link w:val="73"/>
    <w:autoRedefine/>
    <w:qFormat/>
    <w:locked/>
    <w:uiPriority w:val="0"/>
    <w:rPr>
      <w:rFonts w:ascii="宋体" w:hAnsi="Times New Roman" w:eastAsia="宋体"/>
    </w:rPr>
  </w:style>
  <w:style w:type="paragraph" w:customStyle="1" w:styleId="73">
    <w:name w:val="标准文件_段"/>
    <w:link w:val="72"/>
    <w:autoRedefine/>
    <w:qFormat/>
    <w:uiPriority w:val="0"/>
    <w:pPr>
      <w:autoSpaceDE w:val="0"/>
      <w:autoSpaceDN w:val="0"/>
      <w:ind w:firstLine="200" w:firstLineChars="200"/>
      <w:jc w:val="both"/>
    </w:pPr>
    <w:rPr>
      <w:rFonts w:ascii="宋体" w:hAnsi="Times New Roman" w:eastAsia="宋体" w:cstheme="minorBidi"/>
      <w:kern w:val="2"/>
      <w:sz w:val="21"/>
      <w:szCs w:val="22"/>
      <w:lang w:val="en-US" w:eastAsia="zh-CN" w:bidi="ar-SA"/>
    </w:rPr>
  </w:style>
  <w:style w:type="paragraph" w:customStyle="1" w:styleId="74">
    <w:name w:val="标准文件_一级无标题"/>
    <w:basedOn w:val="19"/>
    <w:autoRedefine/>
    <w:qFormat/>
    <w:uiPriority w:val="0"/>
    <w:pPr>
      <w:spacing w:before="0" w:beforeLines="0" w:after="0" w:afterLines="0"/>
      <w:jc w:val="both"/>
      <w:outlineLvl w:val="9"/>
    </w:pPr>
    <w:rPr>
      <w:rFonts w:ascii="宋体" w:hAnsi="宋体" w:eastAsia="宋体"/>
    </w:rPr>
  </w:style>
  <w:style w:type="paragraph" w:customStyle="1" w:styleId="75">
    <w:name w:val="标准文件_二级无标题"/>
    <w:basedOn w:val="20"/>
    <w:autoRedefine/>
    <w:qFormat/>
    <w:uiPriority w:val="0"/>
    <w:pPr>
      <w:spacing w:before="0" w:beforeLines="0" w:after="0" w:afterLines="0"/>
      <w:jc w:val="both"/>
      <w:outlineLvl w:val="9"/>
    </w:pPr>
    <w:rPr>
      <w:rFonts w:ascii="宋体" w:hAnsi="宋体" w:eastAsia="宋体"/>
    </w:rPr>
  </w:style>
  <w:style w:type="paragraph" w:customStyle="1" w:styleId="76">
    <w:name w:val="标准文件_三级无标题"/>
    <w:basedOn w:val="21"/>
    <w:autoRedefine/>
    <w:qFormat/>
    <w:uiPriority w:val="0"/>
    <w:pPr>
      <w:spacing w:before="0" w:beforeLines="0" w:after="0" w:afterLines="0"/>
      <w:jc w:val="both"/>
      <w:outlineLvl w:val="9"/>
    </w:pPr>
    <w:rPr>
      <w:rFonts w:ascii="宋体" w:hAnsi="宋体" w:eastAsia="宋体"/>
    </w:rPr>
  </w:style>
  <w:style w:type="paragraph" w:customStyle="1" w:styleId="77">
    <w:name w:val="标准文件_四级无标题"/>
    <w:basedOn w:val="22"/>
    <w:autoRedefine/>
    <w:qFormat/>
    <w:uiPriority w:val="0"/>
    <w:pPr>
      <w:spacing w:before="0" w:beforeLines="0" w:after="0" w:afterLines="0"/>
      <w:jc w:val="both"/>
      <w:outlineLvl w:val="9"/>
    </w:pPr>
    <w:rPr>
      <w:rFonts w:ascii="宋体" w:hAnsi="宋体" w:eastAsia="宋体"/>
    </w:rPr>
  </w:style>
  <w:style w:type="paragraph" w:customStyle="1" w:styleId="78">
    <w:name w:val="标准文件_五级无标题"/>
    <w:basedOn w:val="23"/>
    <w:autoRedefine/>
    <w:qFormat/>
    <w:uiPriority w:val="0"/>
    <w:pPr>
      <w:spacing w:before="0" w:beforeLines="0" w:after="0" w:afterLines="0"/>
      <w:jc w:val="both"/>
      <w:outlineLvl w:val="9"/>
    </w:pPr>
    <w:rPr>
      <w:rFonts w:ascii="宋体" w:hAnsi="宋体" w:eastAsia="宋体"/>
    </w:rPr>
  </w:style>
  <w:style w:type="paragraph" w:customStyle="1" w:styleId="79">
    <w:name w:val="标准文件_附录一级无标题"/>
    <w:basedOn w:val="28"/>
    <w:autoRedefine/>
    <w:qFormat/>
    <w:uiPriority w:val="0"/>
    <w:pPr>
      <w:spacing w:before="0" w:beforeLines="0" w:after="0" w:afterLines="0" w:line="276" w:lineRule="auto"/>
      <w:outlineLvl w:val="9"/>
    </w:pPr>
    <w:rPr>
      <w:rFonts w:ascii="宋体" w:hAnsi="宋体" w:eastAsia="宋体"/>
    </w:rPr>
  </w:style>
  <w:style w:type="paragraph" w:customStyle="1" w:styleId="80">
    <w:name w:val="标准文件_附录二级无标题"/>
    <w:basedOn w:val="29"/>
    <w:autoRedefine/>
    <w:qFormat/>
    <w:uiPriority w:val="0"/>
    <w:pPr>
      <w:spacing w:before="0" w:beforeLines="0" w:after="0" w:afterLines="0" w:line="276" w:lineRule="auto"/>
      <w:outlineLvl w:val="9"/>
    </w:pPr>
    <w:rPr>
      <w:rFonts w:ascii="宋体" w:hAnsi="宋体" w:eastAsia="宋体"/>
    </w:rPr>
  </w:style>
  <w:style w:type="paragraph" w:customStyle="1" w:styleId="81">
    <w:name w:val="标准文件_附录三级无标题"/>
    <w:basedOn w:val="30"/>
    <w:autoRedefine/>
    <w:qFormat/>
    <w:uiPriority w:val="0"/>
    <w:pPr>
      <w:spacing w:before="0" w:beforeLines="0" w:after="0" w:afterLines="0" w:line="276" w:lineRule="auto"/>
      <w:outlineLvl w:val="9"/>
    </w:pPr>
    <w:rPr>
      <w:rFonts w:ascii="宋体" w:hAnsi="宋体" w:eastAsia="宋体"/>
    </w:rPr>
  </w:style>
  <w:style w:type="paragraph" w:customStyle="1" w:styleId="82">
    <w:name w:val="标准文件_附录四级无标题"/>
    <w:basedOn w:val="31"/>
    <w:autoRedefine/>
    <w:qFormat/>
    <w:uiPriority w:val="0"/>
    <w:pPr>
      <w:spacing w:before="0" w:beforeLines="0" w:after="0" w:afterLines="0" w:line="276" w:lineRule="auto"/>
      <w:outlineLvl w:val="9"/>
    </w:pPr>
    <w:rPr>
      <w:rFonts w:ascii="宋体" w:hAnsi="宋体" w:eastAsia="宋体"/>
    </w:rPr>
  </w:style>
  <w:style w:type="paragraph" w:customStyle="1" w:styleId="83">
    <w:name w:val="标准文件_附录五级无标题"/>
    <w:basedOn w:val="32"/>
    <w:autoRedefine/>
    <w:qFormat/>
    <w:uiPriority w:val="0"/>
    <w:pPr>
      <w:spacing w:before="0" w:beforeLines="0" w:after="0" w:afterLines="0" w:line="276" w:lineRule="auto"/>
      <w:outlineLvl w:val="9"/>
    </w:pPr>
    <w:rPr>
      <w:rFonts w:ascii="宋体" w:hAnsi="宋体" w:eastAsia="宋体"/>
    </w:rPr>
  </w:style>
  <w:style w:type="paragraph" w:customStyle="1" w:styleId="84">
    <w:name w:val="标准文件_术语条一"/>
    <w:basedOn w:val="74"/>
    <w:next w:val="17"/>
    <w:autoRedefine/>
    <w:qFormat/>
    <w:uiPriority w:val="0"/>
    <w:pPr>
      <w:ind w:left="200" w:hanging="200" w:hangingChars="200"/>
    </w:pPr>
    <w:rPr>
      <w:rFonts w:ascii="黑体" w:hAnsi="黑体" w:eastAsia="黑体"/>
    </w:rPr>
  </w:style>
  <w:style w:type="paragraph" w:customStyle="1" w:styleId="85">
    <w:name w:val="标准文件_术语条二"/>
    <w:basedOn w:val="75"/>
    <w:next w:val="17"/>
    <w:autoRedefine/>
    <w:qFormat/>
    <w:uiPriority w:val="0"/>
    <w:pPr>
      <w:ind w:left="200" w:hanging="200" w:hangingChars="200"/>
    </w:pPr>
    <w:rPr>
      <w:rFonts w:ascii="黑体" w:hAnsi="黑体" w:eastAsia="黑体"/>
    </w:rPr>
  </w:style>
  <w:style w:type="paragraph" w:customStyle="1" w:styleId="86">
    <w:name w:val="标准文件_术语条三"/>
    <w:basedOn w:val="76"/>
    <w:next w:val="17"/>
    <w:autoRedefine/>
    <w:qFormat/>
    <w:uiPriority w:val="0"/>
    <w:pPr>
      <w:ind w:left="200" w:hanging="200" w:hangingChars="200"/>
    </w:pPr>
    <w:rPr>
      <w:rFonts w:ascii="黑体" w:hAnsi="黑体" w:eastAsia="黑体"/>
    </w:rPr>
  </w:style>
  <w:style w:type="paragraph" w:customStyle="1" w:styleId="87">
    <w:name w:val="标准文件_术语条四"/>
    <w:basedOn w:val="77"/>
    <w:next w:val="17"/>
    <w:autoRedefine/>
    <w:qFormat/>
    <w:uiPriority w:val="0"/>
    <w:pPr>
      <w:ind w:left="200" w:hanging="200" w:hangingChars="200"/>
    </w:pPr>
    <w:rPr>
      <w:rFonts w:ascii="黑体" w:hAnsi="黑体" w:eastAsia="黑体"/>
    </w:rPr>
  </w:style>
  <w:style w:type="paragraph" w:customStyle="1" w:styleId="88">
    <w:name w:val="标准文件_术语条五"/>
    <w:basedOn w:val="78"/>
    <w:next w:val="17"/>
    <w:autoRedefine/>
    <w:qFormat/>
    <w:uiPriority w:val="0"/>
    <w:pPr>
      <w:ind w:left="200" w:hanging="200" w:hangingChars="200"/>
    </w:pPr>
    <w:rPr>
      <w:rFonts w:ascii="黑体" w:hAnsi="黑体" w:eastAsia="黑体"/>
    </w:rPr>
  </w:style>
  <w:style w:type="paragraph" w:customStyle="1" w:styleId="89">
    <w:name w:val="样式1"/>
    <w:next w:val="26"/>
    <w:autoRedefine/>
    <w:qFormat/>
    <w:uiPriority w:val="0"/>
    <w:pPr>
      <w:numPr>
        <w:ilvl w:val="0"/>
        <w:numId w:val="15"/>
      </w:numPr>
      <w:autoSpaceDE w:val="0"/>
      <w:autoSpaceDN w:val="0"/>
      <w:spacing w:before="570" w:after="50" w:afterLines="50"/>
    </w:pPr>
    <w:rPr>
      <w:rFonts w:ascii="宋体" w:hAnsi="宋体" w:eastAsia="黑体" w:cstheme="minorBidi"/>
      <w:sz w:val="21"/>
      <w:lang w:val="en-US" w:eastAsia="zh-CN" w:bidi="ar-SA"/>
    </w:rPr>
  </w:style>
  <w:style w:type="paragraph" w:customStyle="1" w:styleId="90">
    <w:name w:val="标准文件_附录标识"/>
    <w:basedOn w:val="1"/>
    <w:autoRedefine/>
    <w:qFormat/>
    <w:uiPriority w:val="0"/>
    <w:pPr>
      <w:numPr>
        <w:ilvl w:val="0"/>
        <w:numId w:val="3"/>
      </w:numPr>
      <w:tabs>
        <w:tab w:val="left" w:pos="420"/>
        <w:tab w:val="clear" w:pos="0"/>
      </w:tabs>
      <w:jc w:val="center"/>
      <w:outlineLvl w:val="0"/>
    </w:pPr>
    <w:rPr>
      <w:rFonts w:ascii="黑体" w:hAnsi="黑体" w:eastAsia="黑体"/>
      <w:sz w:val="21"/>
    </w:rPr>
  </w:style>
  <w:style w:type="paragraph" w:customStyle="1" w:styleId="91">
    <w:name w:val="样式2"/>
    <w:next w:val="26"/>
    <w:autoRedefine/>
    <w:qFormat/>
    <w:uiPriority w:val="0"/>
    <w:pPr>
      <w:numPr>
        <w:ilvl w:val="0"/>
        <w:numId w:val="16"/>
      </w:numPr>
      <w:autoSpaceDE w:val="0"/>
      <w:autoSpaceDN w:val="0"/>
      <w:ind w:firstLine="420" w:firstLineChars="200"/>
    </w:pPr>
    <w:rPr>
      <w:rFonts w:ascii="宋体" w:hAnsi="宋体" w:eastAsiaTheme="minorEastAsia" w:cstheme="minorBidi"/>
      <w:vanish/>
      <w:sz w:val="2"/>
      <w:szCs w:val="2"/>
      <w:lang w:val="en-US" w:eastAsia="zh-CN" w:bidi="ar-SA"/>
    </w:rPr>
  </w:style>
  <w:style w:type="paragraph" w:customStyle="1" w:styleId="92">
    <w:name w:val="标准文件_附录表标号"/>
    <w:autoRedefine/>
    <w:qFormat/>
    <w:uiPriority w:val="0"/>
    <w:pPr>
      <w:numPr>
        <w:ilvl w:val="0"/>
        <w:numId w:val="17"/>
      </w:numPr>
      <w:spacing w:line="14" w:lineRule="exact"/>
      <w:jc w:val="center"/>
    </w:pPr>
    <w:rPr>
      <w:rFonts w:ascii="宋体" w:hAnsi="宋体" w:eastAsia="宋体" w:cstheme="minorBidi"/>
      <w:vanish/>
      <w:sz w:val="2"/>
      <w:szCs w:val="2"/>
      <w:lang w:val="en-US" w:eastAsia="zh-CN" w:bidi="ar-SA"/>
    </w:rPr>
  </w:style>
  <w:style w:type="paragraph" w:customStyle="1" w:styleId="93">
    <w:name w:val="样式3"/>
    <w:basedOn w:val="1"/>
    <w:next w:val="94"/>
    <w:autoRedefine/>
    <w:qFormat/>
    <w:uiPriority w:val="0"/>
    <w:pPr>
      <w:numPr>
        <w:ilvl w:val="0"/>
        <w:numId w:val="18"/>
      </w:numPr>
      <w:autoSpaceDE w:val="0"/>
      <w:autoSpaceDN w:val="0"/>
      <w:ind w:firstLine="157" w:firstLineChars="75"/>
    </w:pPr>
    <w:rPr>
      <w:rFonts w:ascii="宋体" w:hAnsi="宋体"/>
      <w:szCs w:val="22"/>
    </w:rPr>
  </w:style>
  <w:style w:type="paragraph" w:customStyle="1" w:styleId="94">
    <w:name w:val="标准文件_附录表标识"/>
    <w:basedOn w:val="1"/>
    <w:autoRedefine/>
    <w:qFormat/>
    <w:uiPriority w:val="0"/>
    <w:pPr>
      <w:numPr>
        <w:ilvl w:val="0"/>
        <w:numId w:val="19"/>
      </w:numPr>
    </w:pPr>
    <w:rPr>
      <w:rFonts w:ascii="宋体" w:hAnsi="宋体"/>
    </w:rPr>
  </w:style>
  <w:style w:type="paragraph" w:customStyle="1" w:styleId="95">
    <w:name w:val="样式4"/>
    <w:next w:val="96"/>
    <w:autoRedefine/>
    <w:qFormat/>
    <w:uiPriority w:val="0"/>
    <w:pPr>
      <w:numPr>
        <w:ilvl w:val="0"/>
        <w:numId w:val="20"/>
      </w:numPr>
      <w:autoSpaceDE w:val="0"/>
      <w:autoSpaceDN w:val="0"/>
      <w:jc w:val="center"/>
    </w:pPr>
    <w:rPr>
      <w:rFonts w:ascii="宋体" w:hAnsi="宋体" w:eastAsia="黑体" w:cstheme="minorBidi"/>
      <w:sz w:val="21"/>
      <w:szCs w:val="22"/>
      <w:lang w:val="en-US" w:eastAsia="zh-CN" w:bidi="ar-SA"/>
    </w:rPr>
  </w:style>
  <w:style w:type="paragraph" w:customStyle="1" w:styleId="96">
    <w:name w:val="标准文件_附录表题注"/>
    <w:basedOn w:val="1"/>
    <w:autoRedefine/>
    <w:qFormat/>
    <w:uiPriority w:val="0"/>
    <w:pPr>
      <w:numPr>
        <w:ilvl w:val="1"/>
        <w:numId w:val="17"/>
      </w:numPr>
      <w:tabs>
        <w:tab w:val="left" w:pos="420"/>
        <w:tab w:val="clear" w:pos="0"/>
      </w:tabs>
      <w:jc w:val="center"/>
    </w:pPr>
    <w:rPr>
      <w:rFonts w:ascii="黑体" w:hAnsi="黑体" w:eastAsia="黑体"/>
      <w:sz w:val="21"/>
    </w:rPr>
  </w:style>
  <w:style w:type="paragraph" w:customStyle="1" w:styleId="97">
    <w:name w:val="标准文件_正文公式"/>
    <w:basedOn w:val="1"/>
    <w:autoRedefine/>
    <w:qFormat/>
    <w:uiPriority w:val="0"/>
    <w:pPr>
      <w:tabs>
        <w:tab w:val="center" w:pos="4679"/>
        <w:tab w:val="center" w:leader="middleDot" w:pos="9355"/>
      </w:tabs>
    </w:pPr>
    <w:rPr>
      <w:rFonts w:ascii="宋体" w:hAnsi="宋体"/>
      <w:sz w:val="21"/>
    </w:rPr>
  </w:style>
  <w:style w:type="paragraph" w:customStyle="1" w:styleId="98">
    <w:name w:val="样式5"/>
    <w:basedOn w:val="26"/>
    <w:next w:val="26"/>
    <w:autoRedefine/>
    <w:qFormat/>
    <w:uiPriority w:val="0"/>
    <w:pPr>
      <w:framePr w:wrap="notBeside" w:vAnchor="page" w:hAnchor="page" w:x="1372" w:y="568"/>
      <w:numPr>
        <w:ilvl w:val="0"/>
        <w:numId w:val="21"/>
      </w:numPr>
      <w:tabs>
        <w:tab w:val="clear" w:pos="420"/>
      </w:tabs>
      <w:snapToGrid w:val="0"/>
    </w:pPr>
    <w:rPr>
      <w:rFonts w:ascii="黑体" w:hAnsi="黑体" w:eastAsia="黑体" w:cs="Times New Roman"/>
      <w:kern w:val="0"/>
      <w:sz w:val="2"/>
    </w:rPr>
  </w:style>
  <w:style w:type="paragraph" w:customStyle="1" w:styleId="99">
    <w:name w:val="标准文件_附录图标识"/>
    <w:basedOn w:val="26"/>
    <w:next w:val="26"/>
    <w:autoRedefine/>
    <w:qFormat/>
    <w:uiPriority w:val="0"/>
    <w:pPr>
      <w:numPr>
        <w:ilvl w:val="0"/>
        <w:numId w:val="22"/>
      </w:numPr>
    </w:pPr>
    <w:rPr>
      <w:rFonts w:ascii="黑体" w:hAnsi="黑体" w:eastAsia="黑体"/>
      <w:vanish/>
      <w:sz w:val="2"/>
      <w:szCs w:val="2"/>
    </w:rPr>
  </w:style>
  <w:style w:type="paragraph" w:customStyle="1" w:styleId="100">
    <w:name w:val="样式6"/>
    <w:basedOn w:val="26"/>
    <w:next w:val="99"/>
    <w:autoRedefine/>
    <w:qFormat/>
    <w:uiPriority w:val="0"/>
    <w:pPr>
      <w:framePr w:wrap="notBeside" w:vAnchor="page" w:hAnchor="page" w:x="1372" w:y="568"/>
      <w:numPr>
        <w:ilvl w:val="0"/>
        <w:numId w:val="23"/>
      </w:numPr>
      <w:tabs>
        <w:tab w:val="clear" w:pos="420"/>
      </w:tabs>
      <w:snapToGrid w:val="0"/>
    </w:pPr>
    <w:rPr>
      <w:rFonts w:eastAsia="黑体" w:cs="Times New Roman"/>
      <w:kern w:val="0"/>
      <w:sz w:val="2"/>
    </w:rPr>
  </w:style>
  <w:style w:type="paragraph" w:customStyle="1" w:styleId="101">
    <w:name w:val="标准文件_附录图标号"/>
    <w:next w:val="26"/>
    <w:autoRedefine/>
    <w:qFormat/>
    <w:uiPriority w:val="0"/>
    <w:pPr>
      <w:numPr>
        <w:ilvl w:val="0"/>
        <w:numId w:val="24"/>
      </w:numPr>
      <w:spacing w:line="14" w:lineRule="exact"/>
    </w:pPr>
    <w:rPr>
      <w:rFonts w:ascii="宋体" w:hAnsi="宋体" w:eastAsia="宋体" w:cstheme="minorBidi"/>
      <w:vanish/>
      <w:sz w:val="2"/>
      <w:szCs w:val="2"/>
      <w:lang w:val="en-US" w:eastAsia="zh-CN" w:bidi="ar-SA"/>
    </w:rPr>
  </w:style>
  <w:style w:type="paragraph" w:customStyle="1" w:styleId="102">
    <w:name w:val="标准文件_附录图题注"/>
    <w:next w:val="26"/>
    <w:autoRedefine/>
    <w:qFormat/>
    <w:uiPriority w:val="0"/>
    <w:pPr>
      <w:numPr>
        <w:ilvl w:val="1"/>
        <w:numId w:val="24"/>
      </w:numPr>
      <w:tabs>
        <w:tab w:val="left" w:pos="420"/>
        <w:tab w:val="clear" w:pos="0"/>
      </w:tabs>
      <w:jc w:val="center"/>
    </w:pPr>
    <w:rPr>
      <w:rFonts w:ascii="黑体" w:hAnsi="黑体" w:eastAsia="黑体" w:cstheme="minorBidi"/>
      <w:sz w:val="21"/>
      <w:lang w:val="en-US" w:eastAsia="zh-CN" w:bidi="ar-SA"/>
    </w:rPr>
  </w:style>
  <w:style w:type="paragraph" w:customStyle="1" w:styleId="103">
    <w:name w:val="样式7"/>
    <w:basedOn w:val="1"/>
    <w:next w:val="17"/>
    <w:qFormat/>
    <w:uiPriority w:val="0"/>
    <w:pPr>
      <w:numPr>
        <w:ilvl w:val="0"/>
        <w:numId w:val="25"/>
      </w:numPr>
      <w:tabs>
        <w:tab w:val="left" w:pos="540"/>
        <w:tab w:val="clear" w:pos="539"/>
      </w:tabs>
      <w:ind w:left="420" w:firstLine="119"/>
      <w:jc w:val="left"/>
    </w:pPr>
    <w:rPr>
      <w:rFonts w:ascii="宋体" w:hAnsi="宋体"/>
      <w:sz w:val="18"/>
    </w:rPr>
  </w:style>
  <w:style w:type="paragraph" w:customStyle="1" w:styleId="104">
    <w:name w:val="标准文件_图表脚注"/>
    <w:basedOn w:val="1"/>
    <w:qFormat/>
    <w:uiPriority w:val="0"/>
    <w:pPr>
      <w:numPr>
        <w:ilvl w:val="0"/>
        <w:numId w:val="26"/>
      </w:numPr>
      <w:tabs>
        <w:tab w:val="left" w:pos="540"/>
        <w:tab w:val="clear" w:pos="539"/>
      </w:tabs>
      <w:ind w:left="420" w:firstLine="119"/>
      <w:jc w:val="left"/>
    </w:pPr>
    <w:rPr>
      <w:rFonts w:ascii="宋体" w:hAnsi="宋体"/>
      <w:sz w:val="18"/>
    </w:rPr>
  </w:style>
  <w:style w:type="paragraph" w:customStyle="1" w:styleId="105">
    <w:name w:val="标准文件_参考文献标题"/>
    <w:basedOn w:val="1"/>
    <w:next w:val="1"/>
    <w:qFormat/>
    <w:uiPriority w:val="0"/>
    <w:pPr>
      <w:spacing w:before="680" w:after="50" w:afterLines="50"/>
      <w:jc w:val="center"/>
      <w:outlineLvl w:val="0"/>
    </w:pPr>
    <w:rPr>
      <w:rFonts w:ascii="黑体" w:hAnsi="黑体" w:eastAsia="黑体"/>
      <w:sz w:val="21"/>
    </w:rPr>
  </w:style>
  <w:style w:type="paragraph" w:customStyle="1" w:styleId="106">
    <w:name w:val="样式8"/>
    <w:next w:val="107"/>
    <w:qFormat/>
    <w:uiPriority w:val="0"/>
    <w:pPr>
      <w:numPr>
        <w:ilvl w:val="0"/>
        <w:numId w:val="27"/>
      </w:numPr>
    </w:pPr>
    <w:rPr>
      <w:rFonts w:hint="eastAsia" w:ascii="宋体" w:hAnsi="宋体" w:eastAsia="宋体" w:cs="Times New Roman"/>
      <w:lang w:val="en-US" w:eastAsia="zh-CN" w:bidi="ar-SA"/>
    </w:rPr>
  </w:style>
  <w:style w:type="paragraph" w:customStyle="1" w:styleId="107">
    <w:name w:val="标准文件_参考文献条目"/>
    <w:basedOn w:val="1"/>
    <w:qFormat/>
    <w:uiPriority w:val="0"/>
    <w:pPr>
      <w:numPr>
        <w:ilvl w:val="0"/>
        <w:numId w:val="28"/>
      </w:numPr>
      <w:jc w:val="left"/>
    </w:pPr>
    <w:rPr>
      <w:rFonts w:ascii="宋体" w:hAnsi="宋体"/>
      <w:sz w:val="21"/>
    </w:rPr>
  </w:style>
  <w:style w:type="paragraph" w:customStyle="1" w:styleId="108">
    <w:name w:val="标准文件_目次标题"/>
    <w:basedOn w:val="1"/>
    <w:qFormat/>
    <w:uiPriority w:val="0"/>
    <w:pPr>
      <w:spacing w:before="480" w:after="150" w:afterLines="150"/>
      <w:jc w:val="center"/>
    </w:pPr>
    <w:rPr>
      <w:rFonts w:hint="eastAsia" w:ascii="黑体" w:hAnsi="黑体" w:eastAsia="黑体"/>
      <w:sz w:val="32"/>
    </w:rPr>
  </w:style>
  <w:style w:type="paragraph" w:customStyle="1" w:styleId="109">
    <w:name w:val="标准文件_索引标题"/>
    <w:basedOn w:val="105"/>
    <w:next w:val="17"/>
    <w:qFormat/>
    <w:uiPriority w:val="0"/>
    <w:pPr>
      <w:spacing w:before="560"/>
    </w:pPr>
    <w:rPr>
      <w:rFonts w:ascii="宋体" w:hAnsi="宋体"/>
    </w:rPr>
  </w:style>
  <w:style w:type="paragraph" w:customStyle="1" w:styleId="110">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111">
    <w:name w:val="标准文件_页脚偶数页"/>
    <w:qFormat/>
    <w:uiPriority w:val="0"/>
    <w:pPr>
      <w:ind w:left="198"/>
    </w:pPr>
    <w:rPr>
      <w:rFonts w:ascii="宋体" w:hAnsi="宋体" w:eastAsia="宋体" w:cs="Times New Roman"/>
      <w:sz w:val="18"/>
      <w:lang w:val="en-US" w:eastAsia="zh-CN" w:bidi="ar-SA"/>
    </w:rPr>
  </w:style>
  <w:style w:type="paragraph" w:customStyle="1" w:styleId="112">
    <w:name w:val="样式9"/>
    <w:basedOn w:val="17"/>
    <w:next w:val="17"/>
    <w:qFormat/>
    <w:uiPriority w:val="0"/>
    <w:pPr>
      <w:framePr w:wrap="notBeside" w:vAnchor="page" w:hAnchor="page" w:x="1372" w:y="568"/>
      <w:numPr>
        <w:ilvl w:val="0"/>
        <w:numId w:val="29"/>
      </w:numPr>
      <w:snapToGrid w:val="0"/>
    </w:pPr>
    <w:rPr>
      <w:rFonts w:ascii="黑体" w:hAnsi="黑体" w:eastAsia="黑体" w:cs="Times New Roman"/>
      <w:kern w:val="0"/>
    </w:rPr>
  </w:style>
  <w:style w:type="paragraph" w:customStyle="1" w:styleId="113">
    <w:name w:val="标准文件_引言一级条标题"/>
    <w:basedOn w:val="17"/>
    <w:next w:val="17"/>
    <w:qFormat/>
    <w:uiPriority w:val="0"/>
    <w:pPr>
      <w:numPr>
        <w:ilvl w:val="1"/>
        <w:numId w:val="29"/>
      </w:numPr>
      <w:spacing w:before="50" w:beforeLines="50" w:after="50" w:afterLines="50"/>
      <w:ind w:firstLineChars="0"/>
      <w:jc w:val="both"/>
    </w:pPr>
    <w:rPr>
      <w:rFonts w:ascii="黑体" w:hAnsi="黑体" w:eastAsia="黑体"/>
    </w:rPr>
  </w:style>
  <w:style w:type="paragraph" w:customStyle="1" w:styleId="114">
    <w:name w:val="标准文件_引言二级条标题"/>
    <w:basedOn w:val="17"/>
    <w:next w:val="17"/>
    <w:qFormat/>
    <w:uiPriority w:val="0"/>
    <w:pPr>
      <w:numPr>
        <w:ilvl w:val="2"/>
        <w:numId w:val="29"/>
      </w:numPr>
      <w:spacing w:before="50" w:beforeLines="50" w:after="50" w:afterLines="50"/>
      <w:ind w:firstLineChars="0"/>
      <w:jc w:val="both"/>
    </w:pPr>
    <w:rPr>
      <w:rFonts w:ascii="黑体" w:hAnsi="黑体" w:eastAsia="黑体"/>
    </w:rPr>
  </w:style>
  <w:style w:type="paragraph" w:customStyle="1" w:styleId="115">
    <w:name w:val="标准文件_引言三级条标题"/>
    <w:basedOn w:val="17"/>
    <w:next w:val="17"/>
    <w:qFormat/>
    <w:uiPriority w:val="0"/>
    <w:pPr>
      <w:numPr>
        <w:ilvl w:val="3"/>
        <w:numId w:val="29"/>
      </w:numPr>
      <w:spacing w:before="50" w:beforeLines="50" w:after="50" w:afterLines="50"/>
      <w:ind w:firstLineChars="0"/>
      <w:jc w:val="both"/>
    </w:pPr>
    <w:rPr>
      <w:rFonts w:ascii="黑体" w:hAnsi="黑体" w:eastAsia="黑体"/>
    </w:rPr>
  </w:style>
  <w:style w:type="paragraph" w:customStyle="1" w:styleId="116">
    <w:name w:val="标准文件_引言四级条标题"/>
    <w:basedOn w:val="17"/>
    <w:next w:val="17"/>
    <w:qFormat/>
    <w:uiPriority w:val="0"/>
    <w:pPr>
      <w:numPr>
        <w:ilvl w:val="4"/>
        <w:numId w:val="29"/>
      </w:numPr>
      <w:spacing w:before="50" w:beforeLines="50" w:after="50" w:afterLines="50"/>
      <w:ind w:firstLineChars="0"/>
      <w:jc w:val="both"/>
    </w:pPr>
    <w:rPr>
      <w:rFonts w:ascii="黑体" w:hAnsi="黑体" w:eastAsia="黑体"/>
    </w:rPr>
  </w:style>
  <w:style w:type="paragraph" w:customStyle="1" w:styleId="117">
    <w:name w:val="标准文件_引言五级条标题"/>
    <w:basedOn w:val="17"/>
    <w:next w:val="17"/>
    <w:qFormat/>
    <w:uiPriority w:val="0"/>
    <w:pPr>
      <w:numPr>
        <w:ilvl w:val="5"/>
        <w:numId w:val="29"/>
      </w:numPr>
      <w:spacing w:before="50" w:beforeLines="50" w:after="50" w:afterLines="50"/>
      <w:ind w:firstLineChars="0"/>
      <w:jc w:val="both"/>
    </w:pPr>
    <w:rPr>
      <w:rFonts w:ascii="黑体" w:hAnsi="黑体" w:eastAsia="黑体"/>
    </w:rPr>
  </w:style>
  <w:style w:type="paragraph" w:customStyle="1" w:styleId="118">
    <w:name w:val="标准文件_引言一级无标题"/>
    <w:basedOn w:val="113"/>
    <w:next w:val="17"/>
    <w:qFormat/>
    <w:uiPriority w:val="0"/>
    <w:pPr>
      <w:spacing w:before="0" w:beforeLines="0" w:after="0" w:afterLines="0" w:line="276" w:lineRule="auto"/>
    </w:pPr>
    <w:rPr>
      <w:rFonts w:hint="eastAsia" w:ascii="宋体" w:hAnsi="宋体" w:eastAsia="宋体"/>
    </w:rPr>
  </w:style>
  <w:style w:type="paragraph" w:customStyle="1" w:styleId="119">
    <w:name w:val="标准文件_引言二级无标题"/>
    <w:basedOn w:val="114"/>
    <w:next w:val="17"/>
    <w:qFormat/>
    <w:uiPriority w:val="0"/>
    <w:pPr>
      <w:spacing w:before="0" w:beforeLines="0" w:after="0" w:afterLines="0" w:line="276" w:lineRule="auto"/>
    </w:pPr>
    <w:rPr>
      <w:rFonts w:ascii="宋体" w:hAnsi="宋体" w:eastAsia="宋体"/>
    </w:rPr>
  </w:style>
  <w:style w:type="paragraph" w:customStyle="1" w:styleId="120">
    <w:name w:val="标准文件_引言三级无标题"/>
    <w:basedOn w:val="115"/>
    <w:next w:val="17"/>
    <w:qFormat/>
    <w:uiPriority w:val="0"/>
    <w:pPr>
      <w:spacing w:before="0" w:beforeLines="0" w:after="0" w:afterLines="0" w:line="276" w:lineRule="auto"/>
    </w:pPr>
    <w:rPr>
      <w:rFonts w:ascii="宋体" w:hAnsi="宋体" w:eastAsia="宋体"/>
    </w:rPr>
  </w:style>
  <w:style w:type="paragraph" w:customStyle="1" w:styleId="121">
    <w:name w:val="标准文件_引言四级无标题"/>
    <w:basedOn w:val="116"/>
    <w:next w:val="17"/>
    <w:qFormat/>
    <w:uiPriority w:val="0"/>
    <w:pPr>
      <w:spacing w:before="0" w:beforeLines="0" w:after="0" w:afterLines="0" w:line="276" w:lineRule="auto"/>
    </w:pPr>
    <w:rPr>
      <w:rFonts w:ascii="宋体" w:hAnsi="宋体" w:eastAsia="宋体"/>
    </w:rPr>
  </w:style>
  <w:style w:type="paragraph" w:customStyle="1" w:styleId="122">
    <w:name w:val="标准文件_引言五级无标题"/>
    <w:basedOn w:val="117"/>
    <w:next w:val="17"/>
    <w:qFormat/>
    <w:uiPriority w:val="0"/>
    <w:pPr>
      <w:spacing w:before="0" w:beforeLines="0" w:after="0" w:afterLines="0" w:line="276" w:lineRule="auto"/>
    </w:pPr>
    <w:rPr>
      <w:rFonts w:ascii="宋体" w:hAnsi="宋体" w:eastAsia="宋体"/>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glossaryDocument" Target="glossary/document.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9.xml"/><Relationship Id="rId17" Type="http://schemas.openxmlformats.org/officeDocument/2006/relationships/footer" Target="footer8.xml"/><Relationship Id="rId16" Type="http://schemas.openxmlformats.org/officeDocument/2006/relationships/footer" Target="footer7.xml"/><Relationship Id="rId15" Type="http://schemas.openxmlformats.org/officeDocument/2006/relationships/footer" Target="footer6.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Desktop\http:\wpstest.pzcode.cn\api\statics\2026-04-16\ea60f60b7c0e4c99a96ba8f115d398de.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01F9737527049A8A770E47DAA5316D2"/>
        <w:style w:val=""/>
        <w:category>
          <w:name w:val="常规"/>
          <w:gallery w:val="placeholder"/>
        </w:category>
        <w:types>
          <w:type w:val="bbPlcHdr"/>
        </w:types>
        <w:behaviors>
          <w:behavior w:val="content"/>
        </w:behaviors>
        <w:description w:val=""/>
        <w:guid w:val="{7E8A8FEB-2E33-485A-B30F-A6284E1D56D1}"/>
      </w:docPartPr>
      <w:docPartBody>
        <w:p>
          <w:pPr>
            <w:pStyle w:val="5"/>
          </w:pPr>
          <w:r>
            <w:rPr>
              <w:rStyle w:val="4"/>
              <w:rFonts w:hint="eastAsia"/>
            </w:rPr>
            <w:t>选择一项。</w:t>
          </w:r>
        </w:p>
      </w:docPartBody>
    </w:docPart>
    <w:docPart>
      <w:docPartPr>
        <w:name w:val="{6ffc9d3c-ba3e-4d72-8a93-0b6dbff6ecee}"/>
        <w:style w:val=""/>
        <w:category>
          <w:name w:val="常规"/>
          <w:gallery w:val="placeholder"/>
        </w:category>
        <w:types>
          <w:type w:val="bbPlcHdr"/>
        </w:types>
        <w:behaviors>
          <w:behavior w:val="content"/>
        </w:behaviors>
        <w:description w:val=""/>
        <w:guid w:val="{6FFC9D3C-BA3E-4D72-8A93-0B6DBFF6ECEE}"/>
      </w:docPartPr>
      <w:docPartBody>
        <w:p>
          <w:pPr>
            <w:pStyle w:val="5"/>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5189"/>
    <w:rsid w:val="0003469A"/>
    <w:rsid w:val="0018095E"/>
    <w:rsid w:val="00296DF4"/>
    <w:rsid w:val="00681F3C"/>
    <w:rsid w:val="006E67BE"/>
    <w:rsid w:val="00767E68"/>
    <w:rsid w:val="00876E7E"/>
    <w:rsid w:val="008C50BB"/>
    <w:rsid w:val="00954C2D"/>
    <w:rsid w:val="00A40C08"/>
    <w:rsid w:val="00A41844"/>
    <w:rsid w:val="00B07FA1"/>
    <w:rsid w:val="00B12506"/>
    <w:rsid w:val="00B95F4B"/>
    <w:rsid w:val="00C57572"/>
    <w:rsid w:val="00C77200"/>
    <w:rsid w:val="00CE524F"/>
    <w:rsid w:val="00D45673"/>
    <w:rsid w:val="00E70D30"/>
    <w:rsid w:val="00E72DFA"/>
    <w:rsid w:val="00E85189"/>
    <w:rsid w:val="00F70309"/>
    <w:rsid w:val="00F86E13"/>
    <w:rsid w:val="00FC3AD5"/>
    <w:rsid w:val="00FF34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autoRedefine/>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autoRedefine/>
    <w:semiHidden/>
    <w:qFormat/>
    <w:uiPriority w:val="99"/>
  </w:style>
  <w:style w:type="paragraph" w:customStyle="1" w:styleId="5">
    <w:name w:val="E01F9737527049A8A770E47DAA5316D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Info spid="_x0000_s103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ea60f60b7c0e4c99a96ba8f115d398de.dotx</Template>
  <Pages>14</Pages>
  <Words>6181</Words>
  <Characters>8228</Characters>
  <Lines>6</Lines>
  <Paragraphs>1</Paragraphs>
  <TotalTime>6</TotalTime>
  <ScaleCrop>false</ScaleCrop>
  <LinksUpToDate>false</LinksUpToDate>
  <CharactersWithSpaces>8417</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TB</cp:category>
  <dcterms:created xsi:type="dcterms:W3CDTF">2026-04-23T00:59:00Z</dcterms:created>
  <dc:creator>王漫琪</dc:creator>
  <cp:lastModifiedBy>王漫琪</cp:lastModifiedBy>
  <dcterms:modified xsi:type="dcterms:W3CDTF">2026-04-27T08:56:33Z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0DB5C749D09D4A6B89B3BA49BF61EB9A_11</vt:lpwstr>
  </property>
  <property fmtid="{D5CDD505-2E9C-101B-9397-08002B2CF9AE}" pid="4" name="Company">
    <vt:lpwstr>jh</vt:lpwstr>
  </property>
  <property fmtid="{D5CDD505-2E9C-101B-9397-08002B2CF9AE}" pid="5" name="KSOTemplateDocerSaveRecord">
    <vt:lpwstr>eyJoZGlkIjoiZGMxZTg5ZWFlM2YwY2Y5ZGFlOGI3MjhkYWExMTMwODEiLCJ1c2VySWQiOiI1NjI2MzQwNjIifQ==</vt:lpwstr>
  </property>
  <property fmtid="{D5CDD505-2E9C-101B-9397-08002B2CF9AE}" pid="6" name="DoublePrinting">
    <vt:lpwstr>1</vt:lpwstr>
  </property>
</Properties>
</file>