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4AB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2ACC200">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14:paraId="037D52AB">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     </w:t>
            </w:r>
            <w:r>
              <w:rPr>
                <w:rFonts w:ascii="黑体" w:hAnsi="黑体" w:eastAsia="黑体"/>
                <w:kern w:val="0"/>
                <w:sz w:val="21"/>
                <w:szCs w:val="21"/>
              </w:rPr>
              <w:fldChar w:fldCharType="end"/>
            </w:r>
            <w:bookmarkEnd w:id="2"/>
          </w:p>
        </w:tc>
      </w:tr>
      <w:tr w14:paraId="2E878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0EACA7C">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14:paraId="046C9CF8">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     </w:t>
            </w:r>
            <w:r>
              <w:rPr>
                <w:rFonts w:ascii="黑体" w:hAnsi="黑体" w:eastAsia="黑体"/>
                <w:kern w:val="0"/>
                <w:sz w:val="21"/>
                <w:szCs w:val="21"/>
              </w:rPr>
              <w:fldChar w:fldCharType="end"/>
            </w:r>
            <w:bookmarkEnd w:id="3"/>
          </w:p>
        </w:tc>
      </w:tr>
    </w:tbl>
    <w:p w14:paraId="2C9E3A4E">
      <w:pPr>
        <w:pStyle w:val="55"/>
        <w:framePr w:wrap="around" w:x="1305" w:y="2269"/>
        <w:rPr>
          <w:b w:val="0"/>
          <w:bCs w:val="0"/>
          <w:w w:val="100"/>
          <w:szCs w:val="48"/>
        </w:rPr>
      </w:pPr>
      <w:bookmarkStart w:id="4" w:name="_Hlk26473981"/>
      <w:r>
        <w:rPr>
          <w:rFonts w:hint="eastAsia"/>
          <w:b w:val="0"/>
          <w:w w:val="100"/>
        </w:rPr>
        <w:t>团体</w:t>
      </w:r>
      <w:r>
        <w:rPr>
          <w:rFonts w:hint="eastAsia"/>
          <w:b w:val="0"/>
          <w:bCs w:val="0"/>
          <w:w w:val="100"/>
          <w:szCs w:val="48"/>
        </w:rPr>
        <w:t>标准</w:t>
      </w:r>
    </w:p>
    <w:bookmarkEnd w:id="4"/>
    <w:p w14:paraId="5666A950">
      <w:pPr>
        <w:pStyle w:val="59"/>
      </w:pPr>
      <w:r>
        <w:rPr>
          <w:rFonts w:hint="eastAsia"/>
        </w:rPr>
        <w:t>T/</w:t>
      </w:r>
      <w:bookmarkStart w:id="5"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5"/>
      <w:r>
        <w:t xml:space="preserve"> </w:t>
      </w:r>
      <w:r>
        <w:fldChar w:fldCharType="begin">
          <w:ffData>
            <w:name w:val="StdNo_F"/>
            <w:enabled/>
            <w:calcOnExit w:val="0"/>
            <w:textInput>
              <w:default w:val="XXXX"/>
            </w:textInput>
          </w:ffData>
        </w:fldChar>
      </w:r>
      <w:bookmarkStart w:id="6" w:name="StdNo_F"/>
      <w:r>
        <w:instrText xml:space="preserve"> FORMTEXT </w:instrText>
      </w:r>
      <w:r>
        <w:fldChar w:fldCharType="separate"/>
      </w:r>
      <w:r>
        <w:rPr>
          <w:rFonts w:hint="eastAsia"/>
        </w:rPr>
        <w:t>     </w:t>
      </w:r>
      <w:r>
        <w:fldChar w:fldCharType="end"/>
      </w:r>
      <w:bookmarkEnd w:id="6"/>
      <w:r>
        <w:rPr>
          <w:rFonts w:hAnsi="黑体"/>
        </w:rPr>
        <w:t>—</w:t>
      </w:r>
      <w:r>
        <w:fldChar w:fldCharType="begin">
          <w:ffData>
            <w:name w:val="StdNo_B"/>
            <w:enabled/>
            <w:calcOnExit w:val="0"/>
            <w:textInput>
              <w:default w:val="XXXX"/>
            </w:textInput>
          </w:ffData>
        </w:fldChar>
      </w:r>
      <w:bookmarkStart w:id="7" w:name="StdNo_B"/>
      <w:r>
        <w:instrText xml:space="preserve"> FORMTEXT </w:instrText>
      </w:r>
      <w:r>
        <w:fldChar w:fldCharType="separate"/>
      </w:r>
      <w:r>
        <w:rPr>
          <w:rFonts w:hint="eastAsia"/>
        </w:rPr>
        <w:t>     </w:t>
      </w:r>
      <w:r>
        <w:fldChar w:fldCharType="end"/>
      </w:r>
      <w:bookmarkEnd w:id="7"/>
    </w:p>
    <w:p w14:paraId="79672576">
      <w:pPr>
        <w:pStyle w:val="60"/>
        <w:rPr>
          <w:rFonts w:hAnsi="黑体"/>
        </w:rPr>
      </w:pPr>
      <w:r>
        <w:rPr>
          <w:rFonts w:hAnsi="黑体"/>
        </w:rPr>
        <w:fldChar w:fldCharType="begin">
          <w:ffData>
            <w:name w:val="StdReplaceNo"/>
            <w:enabled/>
            <w:calcOnExit w:val="0"/>
            <w:textInput/>
          </w:ffData>
        </w:fldChar>
      </w:r>
      <w:bookmarkStart w:id="8"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8"/>
    </w:p>
    <w:p w14:paraId="7AE68808">
      <w:pPr>
        <w:rPr>
          <w:rFonts w:ascii="黑体" w:hAnsi="黑体" w:eastAsia="黑体"/>
          <w:kern w:val="0"/>
          <w:sz w:val="10"/>
          <w:szCs w:val="10"/>
        </w:rPr>
      </w:pPr>
      <w:r>
        <w:pict>
          <v:line id="直接连接符 73" o:spid="_x0000_s1034" o:spt="20" style="position:absolute;left:0pt;margin-left:70.9pt;margin-top:212.65pt;height:0pt;width:481.9pt;mso-position-horizontal-relative:page;mso-position-vertical-relative:page;z-index:251660288;mso-width-relative:page;mso-height-relative:page;" coordsize="21600,21600" o:allowoverlap="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">
            <v:path arrowok="t"/>
            <v:fill focussize="0,0"/>
            <v:stroke/>
            <v:imagedata o:title=""/>
            <o:lock v:ext="edit"/>
          </v:line>
        </w:pict>
      </w:r>
    </w:p>
    <w:p w14:paraId="158D1B3E">
      <w:pPr>
        <w:pStyle w:val="55"/>
        <w:framePr w:h="6976" w:hRule="exact" w:hSpace="0" w:vSpace="0" w:wrap="around" w:y="6408"/>
        <w:jc w:val="center"/>
        <w:rPr>
          <w:b w:val="0"/>
          <w:bCs w:val="0"/>
          <w:w w:val="100"/>
        </w:rPr>
      </w:pPr>
    </w:p>
    <w:p w14:paraId="0735D7C9">
      <w:pPr>
        <w:pStyle w:val="61"/>
        <w:framePr w:h="6974" w:hRule="exact" w:wrap="around" w:x="1419" w:anchorLock="1"/>
      </w:pPr>
      <w:r>
        <w:fldChar w:fldCharType="begin">
          <w:ffData>
            <w:name w:val="StdName"/>
            <w:enabled/>
            <w:calcOnExit w:val="0"/>
            <w:textInput>
              <w:default w:val="点击此处添加标准名称"/>
            </w:textInput>
          </w:ffData>
        </w:fldChar>
      </w:r>
      <w:bookmarkStart w:id="9" w:name="StdName"/>
      <w:r>
        <w:instrText xml:space="preserve"> FORMTEXT </w:instrText>
      </w:r>
      <w:r>
        <w:fldChar w:fldCharType="separate"/>
      </w:r>
      <w:r>
        <w:t>复合材料电能计量箱技术规范</w:t>
      </w:r>
      <w:r>
        <w:fldChar w:fldCharType="end"/>
      </w:r>
      <w:bookmarkEnd w:id="9"/>
    </w:p>
    <w:p w14:paraId="6DE06B8D">
      <w:pPr>
        <w:framePr w:w="9639" w:h="6974" w:hRule="exact" w:wrap="around" w:vAnchor="page" w:hAnchor="page" w:x="1419" w:y="6408" w:anchorLock="1"/>
        <w:ind w:left="-1418"/>
      </w:pPr>
    </w:p>
    <w:p w14:paraId="00E7045E">
      <w:pPr>
        <w:pStyle w:val="56"/>
        <w:framePr w:h="6974" w:hRule="exact" w:wrap="around" w:x="1419"/>
        <w:textAlignment w:val="bottom"/>
      </w:pPr>
      <w:r>
        <w:rPr>
          <w:rFonts w:hint="default" w:ascii="Times New Roman" w:hAnsi="Times New Roman" w:cs="Times New Roman"/>
        </w:rPr>
        <w:fldChar w:fldCharType="begin">
          <w:ffData>
            <w:name w:val="StdEnglishName"/>
            <w:enabled/>
            <w:calcOnExit w:val="0"/>
            <w:textInput>
              <w:default w:val="点击此处添加标准名称的英文译名"/>
            </w:textInput>
          </w:ffData>
        </w:fldChar>
      </w:r>
      <w:bookmarkStart w:id="10" w:name="StdEnglishName"/>
      <w:r>
        <w:rPr>
          <w:rFonts w:hint="default" w:ascii="Times New Roman" w:hAnsi="Times New Roman" w:cs="Times New Roman"/>
        </w:rPr>
        <w:instrText xml:space="preserve"> FORMTEXT </w:instrText>
      </w:r>
      <w:r>
        <w:rPr>
          <w:rFonts w:hint="default" w:ascii="Times New Roman" w:hAnsi="Times New Roman" w:cs="Times New Roman"/>
        </w:rPr>
        <w:fldChar w:fldCharType="separate"/>
      </w:r>
      <w:r>
        <w:rPr>
          <w:rFonts w:hint="default" w:ascii="Times New Roman" w:hAnsi="Times New Roman" w:cs="Times New Roman"/>
        </w:rPr>
        <w:t>Specification for composite material electric energy metering box technology</w:t>
      </w:r>
      <w:r>
        <w:rPr>
          <w:rFonts w:hint="default" w:ascii="Times New Roman" w:hAnsi="Times New Roman" w:cs="Times New Roman"/>
        </w:rPr>
        <w:fldChar w:fldCharType="end"/>
      </w:r>
      <w:bookmarkEnd w:id="10"/>
    </w:p>
    <w:p w14:paraId="294E8EBE">
      <w:pPr>
        <w:framePr w:w="9639" w:h="6974" w:hRule="exact" w:wrap="around" w:vAnchor="page" w:hAnchor="page" w:x="1419" w:y="6408" w:anchorLock="1"/>
        <w:spacing w:line="760" w:lineRule="exact"/>
        <w:ind w:left="-1418"/>
      </w:pPr>
    </w:p>
    <w:p w14:paraId="759AE382">
      <w:pPr>
        <w:pStyle w:val="56"/>
        <w:framePr w:h="6974" w:hRule="exact" w:wrap="around" w:x="1419"/>
        <w:spacing w:before="0" w:after="120"/>
        <w:textAlignment w:val="bottom"/>
      </w:pPr>
    </w:p>
    <w:p w14:paraId="3EF256BB">
      <w:pPr>
        <w:pStyle w:val="56"/>
        <w:framePr w:h="6974" w:hRule="exact" w:wrap="around" w:x="1419"/>
        <w:textAlignment w:val="bottom"/>
      </w:pPr>
    </w:p>
    <w:p w14:paraId="25B62B05">
      <w:pPr>
        <w:pStyle w:val="56"/>
        <w:framePr w:h="6974" w:hRule="exact" w:wrap="around" w:x="1419"/>
        <w:spacing w:before="440" w:after="120"/>
        <w:textAlignment w:val="bottom"/>
        <w:rPr>
          <w:sz w:val="24"/>
        </w:rPr>
      </w:pPr>
    </w:p>
    <w:p w14:paraId="62D32BF5">
      <w:pPr>
        <w:pStyle w:val="56"/>
        <w:framePr w:h="6974" w:hRule="exact" w:wrap="around" w:x="1419"/>
        <w:spacing w:before="180" w:line="240" w:lineRule="atLeast"/>
        <w:textAlignment w:val="bottom"/>
        <w:rPr>
          <w:sz w:val="21"/>
        </w:rPr>
      </w:pPr>
    </w:p>
    <w:p w14:paraId="4640376A">
      <w:pPr>
        <w:pStyle w:val="56"/>
        <w:framePr w:h="6974" w:hRule="exact" w:wrap="around" w:x="1419"/>
        <w:spacing w:before="978" w:beforeLines="300" w:after="97" w:afterLines="30" w:line="240" w:lineRule="auto"/>
        <w:textAlignment w:val="bottom"/>
        <w:rPr>
          <w:b/>
          <w:sz w:val="21"/>
        </w:rPr>
      </w:pPr>
    </w:p>
    <w:p w14:paraId="142408EF">
      <w:pPr>
        <w:pStyle w:val="57"/>
        <w:framePr w:wrap="around" w:hAnchor="page" w:x="1396" w:y="14116"/>
      </w:pPr>
      <w:bookmarkStart w:id="11"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     </w:t>
      </w:r>
      <w:r>
        <w:rPr>
          <w:rFonts w:hint="eastAsia" w:ascii="黑体" w:hAnsi="黑体" w:cs="黑体"/>
        </w:rPr>
        <w:fldChar w:fldCharType="end"/>
      </w:r>
      <w:bookmarkEnd w:id="11"/>
      <w:r>
        <w:pict>
          <v:line id="直接连接符 5" o:spid="_x0000_s1035" o:spt="20" style="position:absolute;left:0pt;margin-left:70.85pt;margin-top:728.6pt;height:0pt;width:481.9pt;mso-position-horizontal-relative:page;mso-position-vertical-relative:page;z-index:251661312;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14:paraId="69B1F80F">
      <w:pPr>
        <w:pStyle w:val="58"/>
        <w:framePr w:wrap="around" w:hAnchor="page" w:x="7081" w:y="14116"/>
      </w:pPr>
      <w:bookmarkStart w:id="12"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     </w:t>
      </w:r>
      <w:r>
        <w:rPr>
          <w:rFonts w:hint="eastAsia" w:ascii="黑体" w:hAnsi="黑体" w:cs="黑体"/>
        </w:rPr>
        <w:fldChar w:fldCharType="end"/>
      </w:r>
      <w:bookmarkEnd w:id="12"/>
      <w:r>
        <w:rPr>
          <w:rFonts w:hint="eastAsia"/>
        </w:rPr>
        <w:t>实施</w:t>
      </w:r>
    </w:p>
    <w:p w14:paraId="3A858006">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3" w:name="StdApprovedep"/>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浙江省产学研合作促进会</w:t>
      </w:r>
      <w:r>
        <w:rPr>
          <w:rFonts w:hAnsi="黑体"/>
          <w:w w:val="100"/>
          <w:sz w:val="28"/>
        </w:rPr>
        <w:fldChar w:fldCharType="end"/>
      </w:r>
      <w:bookmarkEnd w:id="13"/>
      <w:r>
        <w:rPr>
          <w:rFonts w:ascii="Times New Roman"/>
          <w:w w:val="100"/>
          <w:sz w:val="28"/>
        </w:rPr>
        <w:t>  </w:t>
      </w:r>
      <w:r>
        <w:rPr>
          <w:rStyle w:val="64"/>
          <w:rFonts w:hint="eastAsia" w:hAnsi="黑体"/>
        </w:rPr>
        <w:t>发布</w:t>
      </w:r>
    </w:p>
    <w:p w14:paraId="0BB6C354"/>
    <w:p w14:paraId="0CC74DAB">
      <w:pPr>
        <w:sectPr>
          <w:type w:val="oddPage"/>
          <w:pgSz w:w="11906" w:h="16838"/>
          <w:pgMar w:top="567" w:right="1134" w:bottom="1134" w:left="1134" w:header="851" w:footer="992" w:gutter="0"/>
          <w:pgNumType w:start="1"/>
          <w:cols w:space="425" w:num="1"/>
          <w:docGrid w:type="lines" w:linePitch="326" w:charSpace="0"/>
        </w:sectPr>
      </w:pPr>
    </w:p>
    <w:bookmarkEnd w:id="0"/>
    <w:p w14:paraId="0775BB2E">
      <w:pPr>
        <w:pStyle w:val="108"/>
        <w:spacing w:after="489"/>
        <w:rPr>
          <w:rFonts w:hint="default"/>
        </w:rPr>
      </w:pPr>
      <w:bookmarkStart w:id="14" w:name="mbookmark30"/>
      <w:r>
        <w:rPr>
          <w:spacing w:val="318"/>
        </w:rPr>
        <w:t>目</w:t>
      </w:r>
      <w:r>
        <w:t>次</w:t>
      </w:r>
    </w:p>
    <w:p w14:paraId="4B739036">
      <w:pPr>
        <w:pStyle w:val="8"/>
        <w:tabs>
          <w:tab w:val="right" w:leader="dot" w:pos="9638"/>
          <w:tab w:val="clear" w:pos="8494"/>
        </w:tabs>
      </w:pPr>
      <w:r>
        <w:rPr>
          <w:rFonts w:hint="eastAsia"/>
        </w:rPr>
        <w:fldChar w:fldCharType="begin"/>
      </w:r>
      <w:r>
        <w:rPr>
          <w:rFonts w:hint="eastAsia"/>
        </w:rPr>
        <w:instrText xml:space="preserve">TOC \o "1-1" \h \u </w:instrText>
      </w:r>
      <w:r>
        <w:rPr>
          <w:rFonts w:hint="eastAsia"/>
        </w:rPr>
        <w:fldChar w:fldCharType="separate"/>
      </w:r>
      <w:r>
        <w:rPr>
          <w:rFonts w:hint="eastAsia"/>
        </w:rPr>
        <w:fldChar w:fldCharType="begin"/>
      </w:r>
      <w:r>
        <w:rPr>
          <w:rFonts w:hint="eastAsia"/>
        </w:rPr>
        <w:instrText xml:space="preserve"> HYPERLINK \l _Toc13156 </w:instrText>
      </w:r>
      <w:r>
        <w:rPr>
          <w:rFonts w:hint="eastAsia"/>
        </w:rPr>
        <w:fldChar w:fldCharType="separate"/>
      </w:r>
      <w:r>
        <w:rPr>
          <w:rFonts w:hint="eastAsia"/>
          <w:spacing w:val="317"/>
        </w:rPr>
        <w:t>前</w:t>
      </w:r>
      <w:r>
        <w:t>言</w:t>
      </w:r>
      <w:r>
        <w:tab/>
      </w:r>
      <w:r>
        <w:fldChar w:fldCharType="begin"/>
      </w:r>
      <w:r>
        <w:instrText xml:space="preserve"> PAGEREF _Toc13156 \h </w:instrText>
      </w:r>
      <w:r>
        <w:fldChar w:fldCharType="separate"/>
      </w:r>
      <w:r>
        <w:t>II</w:t>
      </w:r>
      <w:r>
        <w:fldChar w:fldCharType="end"/>
      </w:r>
      <w:r>
        <w:rPr>
          <w:rFonts w:hint="eastAsia"/>
        </w:rPr>
        <w:fldChar w:fldCharType="end"/>
      </w:r>
    </w:p>
    <w:p w14:paraId="23998C41">
      <w:pPr>
        <w:pStyle w:val="8"/>
        <w:tabs>
          <w:tab w:val="right" w:leader="dot" w:pos="9638"/>
          <w:tab w:val="clear" w:pos="8494"/>
        </w:tabs>
      </w:pPr>
      <w:r>
        <w:rPr>
          <w:rFonts w:hint="eastAsia"/>
        </w:rPr>
        <w:fldChar w:fldCharType="begin"/>
      </w:r>
      <w:r>
        <w:rPr>
          <w:rFonts w:hint="eastAsia"/>
        </w:rPr>
        <w:instrText xml:space="preserve"> HYPERLINK \l _Toc18922 </w:instrText>
      </w:r>
      <w:r>
        <w:rPr>
          <w:rFonts w:hint="eastAsia"/>
        </w:rPr>
        <w:fldChar w:fldCharType="separate"/>
      </w:r>
      <w:r>
        <w:rPr>
          <w:rFonts w:hint="default" w:ascii="黑体" w:eastAsia="黑体"/>
          <w:i w:val="0"/>
        </w:rPr>
        <w:t xml:space="preserve">1 </w:t>
      </w:r>
      <w:r>
        <w:rPr>
          <w:rFonts w:hint="eastAsia"/>
        </w:rPr>
        <w:t>范围</w:t>
      </w:r>
      <w:r>
        <w:tab/>
      </w:r>
      <w:r>
        <w:fldChar w:fldCharType="begin"/>
      </w:r>
      <w:r>
        <w:instrText xml:space="preserve"> PAGEREF _Toc18922 \h </w:instrText>
      </w:r>
      <w:r>
        <w:fldChar w:fldCharType="separate"/>
      </w:r>
      <w:r>
        <w:t>1</w:t>
      </w:r>
      <w:r>
        <w:fldChar w:fldCharType="end"/>
      </w:r>
      <w:r>
        <w:rPr>
          <w:rFonts w:hint="eastAsia"/>
        </w:rPr>
        <w:fldChar w:fldCharType="end"/>
      </w:r>
    </w:p>
    <w:p w14:paraId="1F177936">
      <w:pPr>
        <w:pStyle w:val="8"/>
        <w:tabs>
          <w:tab w:val="right" w:leader="dot" w:pos="9638"/>
          <w:tab w:val="clear" w:pos="8494"/>
        </w:tabs>
      </w:pPr>
      <w:r>
        <w:rPr>
          <w:rFonts w:hint="eastAsia"/>
        </w:rPr>
        <w:fldChar w:fldCharType="begin"/>
      </w:r>
      <w:r>
        <w:rPr>
          <w:rFonts w:hint="eastAsia"/>
        </w:rPr>
        <w:instrText xml:space="preserve"> HYPERLINK \l _Toc14413 </w:instrText>
      </w:r>
      <w:r>
        <w:rPr>
          <w:rFonts w:hint="eastAsia"/>
        </w:rPr>
        <w:fldChar w:fldCharType="separate"/>
      </w:r>
      <w:r>
        <w:rPr>
          <w:rFonts w:hint="default" w:ascii="黑体" w:eastAsia="黑体"/>
          <w:i w:val="0"/>
        </w:rPr>
        <w:t xml:space="preserve">2 </w:t>
      </w:r>
      <w:r>
        <w:rPr>
          <w:rFonts w:hint="eastAsia"/>
        </w:rPr>
        <w:t>规范性引用文件</w:t>
      </w:r>
      <w:r>
        <w:tab/>
      </w:r>
      <w:r>
        <w:fldChar w:fldCharType="begin"/>
      </w:r>
      <w:r>
        <w:instrText xml:space="preserve"> PAGEREF _Toc14413 \h </w:instrText>
      </w:r>
      <w:r>
        <w:fldChar w:fldCharType="separate"/>
      </w:r>
      <w:r>
        <w:t>1</w:t>
      </w:r>
      <w:r>
        <w:fldChar w:fldCharType="end"/>
      </w:r>
      <w:r>
        <w:rPr>
          <w:rFonts w:hint="eastAsia"/>
        </w:rPr>
        <w:fldChar w:fldCharType="end"/>
      </w:r>
    </w:p>
    <w:p w14:paraId="0D3B2BF0">
      <w:pPr>
        <w:pStyle w:val="8"/>
        <w:tabs>
          <w:tab w:val="right" w:leader="dot" w:pos="9638"/>
          <w:tab w:val="clear" w:pos="8494"/>
        </w:tabs>
      </w:pPr>
      <w:r>
        <w:rPr>
          <w:rFonts w:hint="eastAsia"/>
        </w:rPr>
        <w:fldChar w:fldCharType="begin"/>
      </w:r>
      <w:r>
        <w:rPr>
          <w:rFonts w:hint="eastAsia"/>
        </w:rPr>
        <w:instrText xml:space="preserve"> HYPERLINK \l _Toc13426 </w:instrText>
      </w:r>
      <w:r>
        <w:rPr>
          <w:rFonts w:hint="eastAsia"/>
        </w:rPr>
        <w:fldChar w:fldCharType="separate"/>
      </w:r>
      <w:r>
        <w:rPr>
          <w:rFonts w:hint="default" w:ascii="黑体" w:eastAsia="黑体"/>
          <w:i w:val="0"/>
        </w:rPr>
        <w:t xml:space="preserve">3 </w:t>
      </w:r>
      <w:r>
        <w:rPr>
          <w:rFonts w:hint="eastAsia"/>
        </w:rPr>
        <w:t>术语和定义</w:t>
      </w:r>
      <w:r>
        <w:tab/>
      </w:r>
      <w:r>
        <w:fldChar w:fldCharType="begin"/>
      </w:r>
      <w:r>
        <w:instrText xml:space="preserve"> PAGEREF _Toc13426 \h </w:instrText>
      </w:r>
      <w:r>
        <w:fldChar w:fldCharType="separate"/>
      </w:r>
      <w:r>
        <w:t>1</w:t>
      </w:r>
      <w:r>
        <w:fldChar w:fldCharType="end"/>
      </w:r>
      <w:r>
        <w:rPr>
          <w:rFonts w:hint="eastAsia"/>
        </w:rPr>
        <w:fldChar w:fldCharType="end"/>
      </w:r>
    </w:p>
    <w:p w14:paraId="0501B3B4">
      <w:pPr>
        <w:pStyle w:val="8"/>
        <w:tabs>
          <w:tab w:val="right" w:leader="dot" w:pos="9638"/>
          <w:tab w:val="clear" w:pos="8494"/>
        </w:tabs>
      </w:pPr>
      <w:r>
        <w:rPr>
          <w:rFonts w:hint="eastAsia"/>
        </w:rPr>
        <w:fldChar w:fldCharType="begin"/>
      </w:r>
      <w:r>
        <w:rPr>
          <w:rFonts w:hint="eastAsia"/>
        </w:rPr>
        <w:instrText xml:space="preserve"> HYPERLINK \l _Toc4741 </w:instrText>
      </w:r>
      <w:r>
        <w:rPr>
          <w:rFonts w:hint="eastAsia"/>
        </w:rPr>
        <w:fldChar w:fldCharType="separate"/>
      </w:r>
      <w:r>
        <w:rPr>
          <w:rFonts w:hint="default" w:ascii="黑体" w:eastAsia="黑体"/>
          <w:i w:val="0"/>
        </w:rPr>
        <w:t xml:space="preserve">4 </w:t>
      </w:r>
      <w:r>
        <w:rPr>
          <w:rFonts w:hint="eastAsia"/>
        </w:rPr>
        <w:t>分类、基本参数与使用条件</w:t>
      </w:r>
      <w:r>
        <w:tab/>
      </w:r>
      <w:r>
        <w:fldChar w:fldCharType="begin"/>
      </w:r>
      <w:r>
        <w:instrText xml:space="preserve"> PAGEREF _Toc4741 \h </w:instrText>
      </w:r>
      <w:r>
        <w:fldChar w:fldCharType="separate"/>
      </w:r>
      <w:r>
        <w:t>1</w:t>
      </w:r>
      <w:r>
        <w:fldChar w:fldCharType="end"/>
      </w:r>
      <w:r>
        <w:rPr>
          <w:rFonts w:hint="eastAsia"/>
        </w:rPr>
        <w:fldChar w:fldCharType="end"/>
      </w:r>
    </w:p>
    <w:p w14:paraId="22057581">
      <w:pPr>
        <w:pStyle w:val="8"/>
        <w:tabs>
          <w:tab w:val="right" w:leader="dot" w:pos="9638"/>
          <w:tab w:val="clear" w:pos="8494"/>
        </w:tabs>
      </w:pPr>
      <w:r>
        <w:rPr>
          <w:rFonts w:hint="eastAsia"/>
        </w:rPr>
        <w:fldChar w:fldCharType="begin"/>
      </w:r>
      <w:r>
        <w:rPr>
          <w:rFonts w:hint="eastAsia"/>
        </w:rPr>
        <w:instrText xml:space="preserve"> HYPERLINK \l _Toc18294 </w:instrText>
      </w:r>
      <w:r>
        <w:rPr>
          <w:rFonts w:hint="eastAsia"/>
        </w:rPr>
        <w:fldChar w:fldCharType="separate"/>
      </w:r>
      <w:r>
        <w:rPr>
          <w:rFonts w:hint="default" w:ascii="黑体" w:eastAsia="黑体"/>
          <w:i w:val="0"/>
        </w:rPr>
        <w:t xml:space="preserve">5 </w:t>
      </w:r>
      <w:r>
        <w:rPr>
          <w:rFonts w:hint="eastAsia"/>
        </w:rPr>
        <w:t>技术要求</w:t>
      </w:r>
      <w:r>
        <w:tab/>
      </w:r>
      <w:r>
        <w:fldChar w:fldCharType="begin"/>
      </w:r>
      <w:r>
        <w:instrText xml:space="preserve"> PAGEREF _Toc18294 \h </w:instrText>
      </w:r>
      <w:r>
        <w:fldChar w:fldCharType="separate"/>
      </w:r>
      <w:r>
        <w:t>2</w:t>
      </w:r>
      <w:r>
        <w:fldChar w:fldCharType="end"/>
      </w:r>
      <w:r>
        <w:rPr>
          <w:rFonts w:hint="eastAsia"/>
        </w:rPr>
        <w:fldChar w:fldCharType="end"/>
      </w:r>
    </w:p>
    <w:p w14:paraId="2C87290F">
      <w:pPr>
        <w:pStyle w:val="8"/>
        <w:tabs>
          <w:tab w:val="right" w:leader="dot" w:pos="9638"/>
          <w:tab w:val="clear" w:pos="8494"/>
        </w:tabs>
      </w:pPr>
      <w:r>
        <w:rPr>
          <w:rFonts w:hint="eastAsia"/>
        </w:rPr>
        <w:fldChar w:fldCharType="begin"/>
      </w:r>
      <w:r>
        <w:rPr>
          <w:rFonts w:hint="eastAsia"/>
        </w:rPr>
        <w:instrText xml:space="preserve"> HYPERLINK \l _Toc10003 </w:instrText>
      </w:r>
      <w:r>
        <w:rPr>
          <w:rFonts w:hint="eastAsia"/>
        </w:rPr>
        <w:fldChar w:fldCharType="separate"/>
      </w:r>
      <w:r>
        <w:rPr>
          <w:rFonts w:hint="default" w:ascii="黑体" w:eastAsia="黑体"/>
          <w:i w:val="0"/>
        </w:rPr>
        <w:t xml:space="preserve">6 </w:t>
      </w:r>
      <w:r>
        <w:rPr>
          <w:rFonts w:hint="eastAsia"/>
        </w:rPr>
        <w:t>试验方法</w:t>
      </w:r>
      <w:r>
        <w:tab/>
      </w:r>
      <w:r>
        <w:fldChar w:fldCharType="begin"/>
      </w:r>
      <w:r>
        <w:instrText xml:space="preserve"> PAGEREF _Toc10003 \h </w:instrText>
      </w:r>
      <w:r>
        <w:fldChar w:fldCharType="separate"/>
      </w:r>
      <w:r>
        <w:t>3</w:t>
      </w:r>
      <w:r>
        <w:fldChar w:fldCharType="end"/>
      </w:r>
      <w:r>
        <w:rPr>
          <w:rFonts w:hint="eastAsia"/>
        </w:rPr>
        <w:fldChar w:fldCharType="end"/>
      </w:r>
    </w:p>
    <w:p w14:paraId="174DA4AA">
      <w:pPr>
        <w:pStyle w:val="8"/>
        <w:tabs>
          <w:tab w:val="right" w:leader="dot" w:pos="9638"/>
          <w:tab w:val="clear" w:pos="8494"/>
        </w:tabs>
      </w:pPr>
      <w:r>
        <w:rPr>
          <w:rFonts w:hint="eastAsia"/>
        </w:rPr>
        <w:fldChar w:fldCharType="begin"/>
      </w:r>
      <w:r>
        <w:rPr>
          <w:rFonts w:hint="eastAsia"/>
        </w:rPr>
        <w:instrText xml:space="preserve"> HYPERLINK \l _Toc2329 </w:instrText>
      </w:r>
      <w:r>
        <w:rPr>
          <w:rFonts w:hint="eastAsia"/>
        </w:rPr>
        <w:fldChar w:fldCharType="separate"/>
      </w:r>
      <w:r>
        <w:rPr>
          <w:rFonts w:hint="default" w:ascii="黑体" w:eastAsia="黑体"/>
          <w:i w:val="0"/>
        </w:rPr>
        <w:t xml:space="preserve">7 </w:t>
      </w:r>
      <w:r>
        <w:rPr>
          <w:rFonts w:hint="eastAsia"/>
        </w:rPr>
        <w:t>检验规则</w:t>
      </w:r>
      <w:r>
        <w:tab/>
      </w:r>
      <w:r>
        <w:fldChar w:fldCharType="begin"/>
      </w:r>
      <w:r>
        <w:instrText xml:space="preserve"> PAGEREF _Toc2329 \h </w:instrText>
      </w:r>
      <w:r>
        <w:fldChar w:fldCharType="separate"/>
      </w:r>
      <w:r>
        <w:t>4</w:t>
      </w:r>
      <w:r>
        <w:fldChar w:fldCharType="end"/>
      </w:r>
      <w:r>
        <w:rPr>
          <w:rFonts w:hint="eastAsia"/>
        </w:rPr>
        <w:fldChar w:fldCharType="end"/>
      </w:r>
    </w:p>
    <w:p w14:paraId="783D2E80">
      <w:pPr>
        <w:pStyle w:val="8"/>
        <w:tabs>
          <w:tab w:val="right" w:leader="dot" w:pos="9638"/>
          <w:tab w:val="clear" w:pos="8494"/>
        </w:tabs>
      </w:pPr>
      <w:r>
        <w:rPr>
          <w:rFonts w:hint="eastAsia"/>
        </w:rPr>
        <w:fldChar w:fldCharType="begin"/>
      </w:r>
      <w:r>
        <w:rPr>
          <w:rFonts w:hint="eastAsia"/>
        </w:rPr>
        <w:instrText xml:space="preserve"> HYPERLINK \l _Toc11236 </w:instrText>
      </w:r>
      <w:r>
        <w:rPr>
          <w:rFonts w:hint="eastAsia"/>
        </w:rPr>
        <w:fldChar w:fldCharType="separate"/>
      </w:r>
      <w:r>
        <w:rPr>
          <w:rFonts w:hint="default" w:ascii="黑体" w:eastAsia="黑体"/>
          <w:i w:val="0"/>
        </w:rPr>
        <w:t xml:space="preserve">8 </w:t>
      </w:r>
      <w:r>
        <w:rPr>
          <w:rFonts w:hint="eastAsia"/>
        </w:rPr>
        <w:t>标志、包装、运输与贮存</w:t>
      </w:r>
      <w:r>
        <w:tab/>
      </w:r>
      <w:r>
        <w:fldChar w:fldCharType="begin"/>
      </w:r>
      <w:r>
        <w:instrText xml:space="preserve"> PAGEREF _Toc11236 \h </w:instrText>
      </w:r>
      <w:r>
        <w:fldChar w:fldCharType="separate"/>
      </w:r>
      <w:r>
        <w:t>5</w:t>
      </w:r>
      <w:r>
        <w:fldChar w:fldCharType="end"/>
      </w:r>
      <w:r>
        <w:rPr>
          <w:rFonts w:hint="eastAsia"/>
        </w:rPr>
        <w:fldChar w:fldCharType="end"/>
      </w:r>
    </w:p>
    <w:p w14:paraId="1F30994A">
      <w:pPr>
        <w:pStyle w:val="17"/>
      </w:pPr>
      <w:r>
        <w:rPr>
          <w:rFonts w:hint="eastAsia"/>
        </w:rPr>
        <w:fldChar w:fldCharType="end"/>
      </w:r>
    </w:p>
    <w:p w14:paraId="2E369765">
      <w:pPr>
        <w:pStyle w:val="17"/>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4"/>
    <w:p w14:paraId="53181E43">
      <w:pPr>
        <w:pStyle w:val="38"/>
        <w:spacing w:after="489"/>
      </w:pPr>
      <w:bookmarkStart w:id="15" w:name="_Toc2032"/>
      <w:bookmarkStart w:id="16" w:name="_Toc8331"/>
      <w:bookmarkStart w:id="17" w:name="_Toc13156"/>
      <w:bookmarkStart w:id="18" w:name="_Toc131273874"/>
      <w:bookmarkStart w:id="19" w:name="_Toc14972"/>
      <w:bookmarkStart w:id="20" w:name="mbookmark40"/>
      <w:r>
        <w:rPr>
          <w:rFonts w:hint="eastAsia"/>
          <w:spacing w:val="317"/>
        </w:rPr>
        <w:t>前</w:t>
      </w:r>
      <w:r>
        <w:t>言</w:t>
      </w:r>
      <w:bookmarkEnd w:id="1"/>
      <w:bookmarkEnd w:id="15"/>
      <w:bookmarkEnd w:id="16"/>
      <w:bookmarkEnd w:id="17"/>
      <w:bookmarkEnd w:id="18"/>
      <w:bookmarkEnd w:id="19"/>
    </w:p>
    <w:p w14:paraId="44C6CA22">
      <w:pPr>
        <w:pStyle w:val="17"/>
      </w:pPr>
      <w:r>
        <w:rPr>
          <w:rFonts w:hint="eastAsia"/>
        </w:rPr>
        <w:t>本</w:t>
      </w:r>
      <w:r>
        <w:rPr>
          <w:rFonts w:hint="eastAsia"/>
          <w:lang w:eastAsia="zh-CN"/>
        </w:rPr>
        <w:t>文件</w:t>
      </w:r>
      <w:r>
        <w:rPr>
          <w:rFonts w:hint="eastAsia"/>
        </w:rPr>
        <w:t>按照GB/T 1.1—2020《标准化工作导则  第1</w:t>
      </w:r>
      <w:r>
        <w:rPr>
          <w:rFonts w:hint="eastAsia"/>
          <w:lang w:eastAsia="zh-CN"/>
        </w:rPr>
        <w:t>文件</w:t>
      </w:r>
      <w:r>
        <w:rPr>
          <w:rFonts w:hint="eastAsia"/>
        </w:rPr>
        <w:t>：标准化文件的结构和起草规则》的规定起草。</w:t>
      </w:r>
    </w:p>
    <w:p w14:paraId="6787B55E">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14:paraId="7424874F">
      <w:pPr>
        <w:pStyle w:val="17"/>
      </w:pPr>
      <w:r>
        <w:rPr>
          <w:rFonts w:hint="eastAsia"/>
        </w:rPr>
        <w:t>本</w:t>
      </w:r>
      <w:r>
        <w:rPr>
          <w:rFonts w:hint="eastAsia"/>
          <w:lang w:eastAsia="zh-CN"/>
        </w:rPr>
        <w:t>文件</w:t>
      </w:r>
      <w:r>
        <w:rPr>
          <w:rFonts w:hint="eastAsia"/>
        </w:rPr>
        <w:t>由</w:t>
      </w:r>
      <w:r>
        <w:rPr>
          <w:rFonts w:hint="eastAsia"/>
          <w:lang w:eastAsia="zh-CN"/>
        </w:rPr>
        <w:t>浙江浦成电气有限公司</w:t>
      </w:r>
      <w:r>
        <w:rPr>
          <w:rFonts w:hint="eastAsia"/>
        </w:rPr>
        <w:t>提出。</w:t>
      </w:r>
    </w:p>
    <w:p w14:paraId="702FA246">
      <w:pPr>
        <w:pStyle w:val="17"/>
      </w:pPr>
      <w:r>
        <w:rPr>
          <w:rFonts w:hint="eastAsia"/>
        </w:rPr>
        <w:t>本</w:t>
      </w:r>
      <w:r>
        <w:rPr>
          <w:rFonts w:hint="eastAsia"/>
          <w:lang w:eastAsia="zh-CN"/>
        </w:rPr>
        <w:t>文件</w:t>
      </w:r>
      <w:r>
        <w:rPr>
          <w:rFonts w:hint="eastAsia"/>
        </w:rPr>
        <w:t>由</w:t>
      </w:r>
      <w:r>
        <w:rPr>
          <w:rFonts w:hint="eastAsia"/>
          <w:lang w:eastAsia="zh-CN"/>
        </w:rPr>
        <w:t>浙江省产学研合作促进会</w:t>
      </w:r>
      <w:r>
        <w:rPr>
          <w:rFonts w:hint="eastAsia"/>
        </w:rPr>
        <w:t>归口。</w:t>
      </w:r>
    </w:p>
    <w:p w14:paraId="49C03FCB">
      <w:pPr>
        <w:pStyle w:val="17"/>
      </w:pPr>
      <w:r>
        <w:rPr>
          <w:rFonts w:hint="eastAsia"/>
        </w:rPr>
        <w:t>本</w:t>
      </w:r>
      <w:r>
        <w:rPr>
          <w:rFonts w:hint="eastAsia"/>
          <w:lang w:eastAsia="zh-CN"/>
        </w:rPr>
        <w:t>文件</w:t>
      </w:r>
      <w:r>
        <w:rPr>
          <w:rFonts w:hint="eastAsia"/>
        </w:rPr>
        <w:t>起草单位：</w:t>
      </w:r>
      <w:bookmarkStart w:id="21" w:name="StdDraftdep"/>
      <w:r>
        <w:rPr>
          <w:rFonts w:hint="eastAsia"/>
          <w:lang w:eastAsia="zh-CN"/>
        </w:rPr>
        <w:t>浙江浦成电气有限公司、×××</w:t>
      </w:r>
      <w:bookmarkEnd w:id="21"/>
      <w:r>
        <w:rPr>
          <w:rFonts w:hint="eastAsia"/>
        </w:rPr>
        <w:t>。</w:t>
      </w:r>
    </w:p>
    <w:p w14:paraId="00874711">
      <w:pPr>
        <w:pStyle w:val="17"/>
      </w:pPr>
      <w:r>
        <w:rPr>
          <w:rFonts w:hint="eastAsia"/>
        </w:rPr>
        <w:t>本</w:t>
      </w:r>
      <w:r>
        <w:rPr>
          <w:rFonts w:hint="eastAsia"/>
          <w:lang w:eastAsia="zh-CN"/>
        </w:rPr>
        <w:t>文件</w:t>
      </w:r>
      <w:r>
        <w:rPr>
          <w:rFonts w:hint="eastAsia"/>
        </w:rPr>
        <w:t>主要起草人：</w:t>
      </w:r>
      <w:bookmarkStart w:id="22" w:name="StdDrafer"/>
      <w:r>
        <w:rPr>
          <w:rFonts w:hint="eastAsia"/>
          <w:lang w:eastAsia="zh-CN"/>
        </w:rPr>
        <w:t>林森、×××</w:t>
      </w:r>
      <w:bookmarkEnd w:id="22"/>
      <w:r>
        <w:rPr>
          <w:rFonts w:hint="eastAsia"/>
        </w:rPr>
        <w:t>。</w:t>
      </w:r>
    </w:p>
    <w:p w14:paraId="7B3F808B">
      <w:pPr>
        <w:pStyle w:val="17"/>
      </w:pPr>
    </w:p>
    <w:p w14:paraId="1B19BB97">
      <w:pPr>
        <w:pStyle w:val="17"/>
      </w:pPr>
    </w:p>
    <w:p w14:paraId="226AD487">
      <w:pPr>
        <w:pStyle w:val="17"/>
      </w:pPr>
    </w:p>
    <w:p w14:paraId="5E56B20A">
      <w:pPr>
        <w:pStyle w:val="17"/>
      </w:pPr>
    </w:p>
    <w:p w14:paraId="7FE097CC">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0"/>
    <w:p w14:paraId="3B8FB72D">
      <w:pPr>
        <w:pStyle w:val="39"/>
        <w:bidi w:val="0"/>
        <w:rPr>
          <w:rFonts w:hint="eastAsia" w:eastAsia="黑体"/>
          <w:lang w:eastAsia="zh-CN"/>
        </w:rPr>
      </w:pPr>
      <w:bookmarkStart w:id="23" w:name="文件名称_Z"/>
      <w:bookmarkStart w:id="24" w:name="mbookmark60"/>
      <w:r>
        <w:rPr>
          <w:rFonts w:hint="eastAsia"/>
          <w:lang w:eastAsia="zh-CN"/>
        </w:rPr>
        <w:t>复合材料电能计量箱技术规范</w:t>
      </w:r>
      <w:bookmarkEnd w:id="23"/>
    </w:p>
    <w:p w14:paraId="31FC5F1D">
      <w:pPr>
        <w:pStyle w:val="18"/>
        <w:spacing w:before="326" w:after="326"/>
      </w:pPr>
      <w:bookmarkStart w:id="25" w:name="_Toc5234"/>
      <w:bookmarkStart w:id="26" w:name="_Toc18922"/>
      <w:bookmarkStart w:id="27" w:name="_Toc1899"/>
      <w:bookmarkStart w:id="28" w:name="_Toc98860775"/>
      <w:bookmarkStart w:id="29" w:name="_Toc3547"/>
      <w:bookmarkStart w:id="30" w:name="_Toc131273875"/>
      <w:bookmarkStart w:id="31" w:name="_Toc26986771"/>
      <w:bookmarkStart w:id="32" w:name="_Toc26986530"/>
      <w:bookmarkStart w:id="33" w:name="_Toc98859012"/>
      <w:bookmarkStart w:id="34" w:name="_Toc17233325"/>
      <w:bookmarkStart w:id="35" w:name="_Toc98860474"/>
      <w:bookmarkStart w:id="36" w:name="_Toc24884218"/>
      <w:bookmarkStart w:id="37" w:name="_Toc26648465"/>
      <w:bookmarkStart w:id="38" w:name="_Toc17233333"/>
      <w:bookmarkStart w:id="39" w:name="_Toc26718930"/>
      <w:bookmarkStart w:id="40" w:name="_Toc24884211"/>
      <w:r>
        <w:rPr>
          <w:rFonts w:hint="eastAsia"/>
        </w:rPr>
        <w:t>范围</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1786EC46">
      <w:pPr>
        <w:pStyle w:val="17"/>
        <w:rPr>
          <w:rFonts w:hint="eastAsia"/>
          <w:lang w:eastAsia="zh-CN"/>
        </w:rPr>
      </w:pPr>
      <w:bookmarkStart w:id="41" w:name="_Toc17233326"/>
      <w:bookmarkStart w:id="42" w:name="_Toc24884219"/>
      <w:bookmarkStart w:id="43" w:name="_Toc17233334"/>
      <w:bookmarkStart w:id="44" w:name="_Toc24884212"/>
      <w:bookmarkStart w:id="45" w:name="_Toc26648466"/>
      <w:r>
        <w:rPr>
          <w:rFonts w:hint="eastAsia"/>
          <w:lang w:eastAsia="zh-CN"/>
        </w:rPr>
        <w:t>本文件规定了复合材料电能计量箱的分类、基本参数、使用条件、技术要求、试验方法、检验规则及标志、包装、运输和贮存等要求。</w:t>
      </w:r>
      <w:bookmarkStart w:id="46" w:name="_Toc26986772"/>
      <w:bookmarkStart w:id="47" w:name="_Toc98860776"/>
      <w:bookmarkStart w:id="48" w:name="_Toc27603"/>
      <w:bookmarkStart w:id="49" w:name="_Toc131273876"/>
      <w:bookmarkStart w:id="50" w:name="_Toc26986531"/>
      <w:bookmarkStart w:id="51" w:name="_Toc26718931"/>
      <w:bookmarkStart w:id="52" w:name="_Toc625"/>
      <w:bookmarkStart w:id="53" w:name="_Toc98860475"/>
      <w:bookmarkStart w:id="54" w:name="_Toc98859013"/>
      <w:bookmarkStart w:id="55" w:name="_Toc26213"/>
    </w:p>
    <w:p w14:paraId="412D9ACB">
      <w:pPr>
        <w:pStyle w:val="17"/>
      </w:pPr>
      <w:r>
        <w:rPr>
          <w:rFonts w:hint="eastAsia"/>
          <w:lang w:eastAsia="zh-CN"/>
        </w:rPr>
        <w:t>本文件适用于额定电压不超过380V、额定电流不超过250A、安装于户内或户外的直接接入式复合材料电能计量箱。</w:t>
      </w:r>
    </w:p>
    <w:p w14:paraId="0436E4F6">
      <w:pPr>
        <w:pStyle w:val="18"/>
        <w:spacing w:before="326" w:after="326"/>
      </w:pPr>
      <w:bookmarkStart w:id="56" w:name="_Toc14413"/>
      <w:r>
        <w:rPr>
          <w:rFonts w:hint="eastAsia"/>
        </w:rPr>
        <w:t>规范性引用文件</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9A144F4">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66A39B2">
      <w:pPr>
        <w:pStyle w:val="17"/>
        <w:rPr>
          <w:rFonts w:hint="eastAsia"/>
        </w:rPr>
      </w:pPr>
      <w:bookmarkStart w:id="71" w:name="_GoBack"/>
      <w:r>
        <w:rPr>
          <w:rFonts w:hint="eastAsia"/>
        </w:rPr>
        <w:t>GB/T 700碳素结构钢</w:t>
      </w:r>
    </w:p>
    <w:p w14:paraId="2712119B">
      <w:pPr>
        <w:pStyle w:val="17"/>
        <w:rPr>
          <w:rFonts w:hint="eastAsia"/>
        </w:rPr>
      </w:pPr>
      <w:r>
        <w:rPr>
          <w:rFonts w:hint="eastAsia"/>
        </w:rPr>
        <w:t>GB/T</w:t>
      </w:r>
      <w:r>
        <w:rPr>
          <w:rFonts w:hint="eastAsia"/>
          <w:lang w:val="en-US" w:eastAsia="zh-CN"/>
        </w:rPr>
        <w:t xml:space="preserve"> </w:t>
      </w:r>
      <w:r>
        <w:rPr>
          <w:rFonts w:hint="eastAsia"/>
        </w:rPr>
        <w:t>708冷轧钢板和钢带的尺寸、外形、重量及允许偏差</w:t>
      </w:r>
    </w:p>
    <w:p w14:paraId="3E17B7F1">
      <w:pPr>
        <w:pStyle w:val="17"/>
        <w:rPr>
          <w:rFonts w:hint="eastAsia"/>
        </w:rPr>
      </w:pPr>
      <w:r>
        <w:rPr>
          <w:rFonts w:hint="eastAsia"/>
        </w:rPr>
        <w:t>GB/T</w:t>
      </w:r>
      <w:r>
        <w:rPr>
          <w:rFonts w:hint="eastAsia"/>
          <w:lang w:val="en-US" w:eastAsia="zh-CN"/>
        </w:rPr>
        <w:t xml:space="preserve"> </w:t>
      </w:r>
      <w:r>
        <w:rPr>
          <w:rFonts w:hint="eastAsia"/>
        </w:rPr>
        <w:t>2408 塑料燃烧性能的测定 水平法和垂直法</w:t>
      </w:r>
    </w:p>
    <w:p w14:paraId="74B340A4">
      <w:pPr>
        <w:pStyle w:val="17"/>
        <w:rPr>
          <w:rFonts w:hint="eastAsia"/>
        </w:rPr>
      </w:pPr>
      <w:r>
        <w:rPr>
          <w:rFonts w:hint="eastAsia"/>
        </w:rPr>
        <w:t>GB/T</w:t>
      </w:r>
      <w:r>
        <w:rPr>
          <w:rFonts w:hint="eastAsia"/>
          <w:lang w:val="en-US" w:eastAsia="zh-CN"/>
        </w:rPr>
        <w:t xml:space="preserve"> </w:t>
      </w:r>
      <w:r>
        <w:rPr>
          <w:rFonts w:hint="eastAsia"/>
        </w:rPr>
        <w:t>2423.1电工电子产品环境试验第2部分:试验方法试验A:低温</w:t>
      </w:r>
    </w:p>
    <w:p w14:paraId="7E776803">
      <w:pPr>
        <w:pStyle w:val="17"/>
        <w:rPr>
          <w:rFonts w:hint="eastAsia"/>
        </w:rPr>
      </w:pPr>
      <w:r>
        <w:rPr>
          <w:rFonts w:hint="eastAsia"/>
        </w:rPr>
        <w:t>GB/T</w:t>
      </w:r>
      <w:r>
        <w:rPr>
          <w:rFonts w:hint="eastAsia"/>
          <w:lang w:val="en-US" w:eastAsia="zh-CN"/>
        </w:rPr>
        <w:t xml:space="preserve"> </w:t>
      </w:r>
      <w:r>
        <w:rPr>
          <w:rFonts w:hint="eastAsia"/>
        </w:rPr>
        <w:t>2423.2电工电子产品环境试验 第2部分:试验方法 试验B:高温</w:t>
      </w:r>
    </w:p>
    <w:p w14:paraId="679A98C2">
      <w:pPr>
        <w:pStyle w:val="17"/>
        <w:rPr>
          <w:rFonts w:hint="eastAsia"/>
        </w:rPr>
      </w:pPr>
      <w:r>
        <w:rPr>
          <w:rFonts w:hint="eastAsia"/>
        </w:rPr>
        <w:t>GB/T</w:t>
      </w:r>
      <w:r>
        <w:rPr>
          <w:rFonts w:hint="eastAsia"/>
          <w:lang w:val="en-US" w:eastAsia="zh-CN"/>
        </w:rPr>
        <w:t xml:space="preserve"> </w:t>
      </w:r>
      <w:r>
        <w:rPr>
          <w:rFonts w:hint="eastAsia"/>
        </w:rPr>
        <w:t>2423.3环境试验第2部分:试验方法试验Cab:恒定湿热试验</w:t>
      </w:r>
    </w:p>
    <w:p w14:paraId="444F02E3">
      <w:pPr>
        <w:pStyle w:val="17"/>
        <w:rPr>
          <w:rFonts w:hint="eastAsia"/>
        </w:rPr>
      </w:pPr>
      <w:r>
        <w:rPr>
          <w:rFonts w:hint="eastAsia"/>
        </w:rPr>
        <w:t>GB/T</w:t>
      </w:r>
      <w:r>
        <w:rPr>
          <w:rFonts w:hint="eastAsia"/>
          <w:lang w:val="en-US" w:eastAsia="zh-CN"/>
        </w:rPr>
        <w:t xml:space="preserve"> </w:t>
      </w:r>
      <w:r>
        <w:rPr>
          <w:rFonts w:hint="eastAsia"/>
        </w:rPr>
        <w:t>2828.1计数抽样检验程序第1部分:按接收质量限(AQL)检索的逐批检验抽样计</w:t>
      </w:r>
    </w:p>
    <w:p w14:paraId="0DCEDE02">
      <w:pPr>
        <w:pStyle w:val="17"/>
        <w:rPr>
          <w:rFonts w:hint="eastAsia"/>
        </w:rPr>
      </w:pPr>
      <w:r>
        <w:rPr>
          <w:rFonts w:hint="eastAsia"/>
        </w:rPr>
        <w:t>GB/T</w:t>
      </w:r>
      <w:r>
        <w:rPr>
          <w:rFonts w:hint="eastAsia"/>
          <w:lang w:val="en-US" w:eastAsia="zh-CN"/>
        </w:rPr>
        <w:t xml:space="preserve"> </w:t>
      </w:r>
      <w:r>
        <w:rPr>
          <w:rFonts w:hint="eastAsia"/>
        </w:rPr>
        <w:t>3280 不锈钢冷轧钢板和钢带</w:t>
      </w:r>
    </w:p>
    <w:p w14:paraId="4620E7F5">
      <w:pPr>
        <w:pStyle w:val="17"/>
        <w:rPr>
          <w:rFonts w:hint="eastAsia"/>
        </w:rPr>
      </w:pPr>
      <w:r>
        <w:rPr>
          <w:rFonts w:hint="eastAsia"/>
        </w:rPr>
        <w:t>GB/T</w:t>
      </w:r>
      <w:r>
        <w:rPr>
          <w:rFonts w:hint="eastAsia"/>
          <w:lang w:val="en-US" w:eastAsia="zh-CN"/>
        </w:rPr>
        <w:t xml:space="preserve"> </w:t>
      </w:r>
      <w:r>
        <w:rPr>
          <w:rFonts w:hint="eastAsia"/>
        </w:rPr>
        <w:t>4208外壳防护等级(IP代码)</w:t>
      </w:r>
    </w:p>
    <w:p w14:paraId="46128F3A">
      <w:pPr>
        <w:pStyle w:val="17"/>
        <w:rPr>
          <w:rFonts w:hint="eastAsia"/>
        </w:rPr>
      </w:pPr>
      <w:r>
        <w:rPr>
          <w:rFonts w:hint="eastAsia"/>
        </w:rPr>
        <w:t>GB 7251.1 低压成套开关设备和控制设备第1部分:总则</w:t>
      </w:r>
    </w:p>
    <w:p w14:paraId="570B5964">
      <w:pPr>
        <w:pStyle w:val="17"/>
        <w:rPr>
          <w:rFonts w:hint="eastAsia"/>
        </w:rPr>
      </w:pPr>
      <w:r>
        <w:rPr>
          <w:rFonts w:hint="eastAsia"/>
        </w:rPr>
        <w:t>GB/T 9286 色漆和清漆划格试验</w:t>
      </w:r>
    </w:p>
    <w:p w14:paraId="6FB8A17D">
      <w:pPr>
        <w:pStyle w:val="17"/>
        <w:rPr>
          <w:rFonts w:hint="eastAsia"/>
        </w:rPr>
      </w:pPr>
      <w:r>
        <w:rPr>
          <w:rFonts w:hint="eastAsia"/>
        </w:rPr>
        <w:t>GB 14048.1低压开关设备和控制设备第1部分:总则</w:t>
      </w:r>
    </w:p>
    <w:p w14:paraId="3351CBE4">
      <w:pPr>
        <w:pStyle w:val="17"/>
        <w:rPr>
          <w:rFonts w:hint="eastAsia"/>
        </w:rPr>
      </w:pPr>
      <w:r>
        <w:rPr>
          <w:rFonts w:hint="eastAsia"/>
        </w:rPr>
        <w:t>GB/T</w:t>
      </w:r>
      <w:r>
        <w:rPr>
          <w:rFonts w:hint="eastAsia"/>
          <w:lang w:val="en-US" w:eastAsia="zh-CN"/>
        </w:rPr>
        <w:t xml:space="preserve"> </w:t>
      </w:r>
      <w:r>
        <w:rPr>
          <w:rFonts w:hint="eastAsia"/>
        </w:rPr>
        <w:t>16422.2塑料实验室光源暴露试验方法第2部分:氙弧灯</w:t>
      </w:r>
    </w:p>
    <w:p w14:paraId="70952F8C">
      <w:pPr>
        <w:pStyle w:val="17"/>
        <w:rPr>
          <w:rFonts w:hint="eastAsia"/>
        </w:rPr>
      </w:pPr>
      <w:r>
        <w:rPr>
          <w:rFonts w:hint="eastAsia"/>
        </w:rPr>
        <w:t>GB/T</w:t>
      </w:r>
      <w:r>
        <w:rPr>
          <w:rFonts w:hint="eastAsia"/>
          <w:lang w:val="en-US" w:eastAsia="zh-CN"/>
        </w:rPr>
        <w:t xml:space="preserve"> </w:t>
      </w:r>
      <w:r>
        <w:rPr>
          <w:rFonts w:hint="eastAsia"/>
        </w:rPr>
        <w:t>16935.1低压供电系统内设备的绝缘配合第1部分:原理、要求和试验</w:t>
      </w:r>
    </w:p>
    <w:p w14:paraId="2C1DE0F9">
      <w:pPr>
        <w:pStyle w:val="17"/>
        <w:rPr>
          <w:rFonts w:hint="eastAsia"/>
        </w:rPr>
      </w:pPr>
      <w:r>
        <w:rPr>
          <w:rFonts w:hint="eastAsia"/>
        </w:rPr>
        <w:t>GB/T</w:t>
      </w:r>
      <w:r>
        <w:rPr>
          <w:rFonts w:hint="eastAsia"/>
          <w:lang w:val="en-US" w:eastAsia="zh-CN"/>
        </w:rPr>
        <w:t xml:space="preserve"> </w:t>
      </w:r>
      <w:r>
        <w:rPr>
          <w:rFonts w:hint="eastAsia"/>
        </w:rPr>
        <w:t>17626.2电磁兼容 试验和测量技术静电放电抗扰度试验</w:t>
      </w:r>
    </w:p>
    <w:p w14:paraId="0C961E12">
      <w:pPr>
        <w:pStyle w:val="17"/>
        <w:rPr>
          <w:rFonts w:hint="eastAsia"/>
        </w:rPr>
      </w:pPr>
      <w:r>
        <w:rPr>
          <w:rFonts w:hint="eastAsia"/>
        </w:rPr>
        <w:t>GB/T</w:t>
      </w:r>
      <w:r>
        <w:rPr>
          <w:rFonts w:hint="eastAsia"/>
          <w:lang w:val="en-US" w:eastAsia="zh-CN"/>
        </w:rPr>
        <w:t xml:space="preserve"> </w:t>
      </w:r>
      <w:r>
        <w:rPr>
          <w:rFonts w:hint="eastAsia"/>
        </w:rPr>
        <w:t>17626.3电磁兼容 试验和测量技术第3部分:射频电磁场辐射抗扰度试验</w:t>
      </w:r>
    </w:p>
    <w:p w14:paraId="47224592">
      <w:pPr>
        <w:pStyle w:val="17"/>
        <w:rPr>
          <w:rFonts w:hint="eastAsia"/>
        </w:rPr>
      </w:pPr>
      <w:r>
        <w:rPr>
          <w:rFonts w:hint="eastAsia"/>
        </w:rPr>
        <w:t>GB/T</w:t>
      </w:r>
      <w:r>
        <w:rPr>
          <w:rFonts w:hint="eastAsia"/>
          <w:lang w:val="en-US" w:eastAsia="zh-CN"/>
        </w:rPr>
        <w:t xml:space="preserve"> </w:t>
      </w:r>
      <w:r>
        <w:rPr>
          <w:rFonts w:hint="eastAsia"/>
        </w:rPr>
        <w:t>17626.4电磁兼容试验和测量技术电快速瞬变脉冲群抗扰度试验</w:t>
      </w:r>
    </w:p>
    <w:p w14:paraId="0682FBDA">
      <w:pPr>
        <w:pStyle w:val="17"/>
        <w:rPr>
          <w:rFonts w:hint="eastAsia"/>
        </w:rPr>
      </w:pPr>
      <w:r>
        <w:rPr>
          <w:rFonts w:hint="eastAsia"/>
        </w:rPr>
        <w:t>GB/T17626.5电磁兼容试验和测量技术浪涌(冲击)抗扰度试验</w:t>
      </w:r>
    </w:p>
    <w:p w14:paraId="6247E7B9">
      <w:pPr>
        <w:pStyle w:val="17"/>
        <w:rPr>
          <w:rFonts w:hint="eastAsia"/>
        </w:rPr>
      </w:pPr>
      <w:r>
        <w:rPr>
          <w:rFonts w:hint="eastAsia"/>
        </w:rPr>
        <w:t>GB/T</w:t>
      </w:r>
      <w:r>
        <w:rPr>
          <w:rFonts w:hint="eastAsia"/>
          <w:lang w:val="en-US" w:eastAsia="zh-CN"/>
        </w:rPr>
        <w:t xml:space="preserve"> </w:t>
      </w:r>
      <w:r>
        <w:rPr>
          <w:rFonts w:hint="eastAsia"/>
        </w:rPr>
        <w:t>17626.8电磁兼容试验和测量技术工频磁场抗扰度试验</w:t>
      </w:r>
    </w:p>
    <w:p w14:paraId="3552336B">
      <w:pPr>
        <w:pStyle w:val="17"/>
      </w:pPr>
      <w:r>
        <w:rPr>
          <w:rFonts w:hint="eastAsia"/>
        </w:rPr>
        <w:t>DL/T</w:t>
      </w:r>
      <w:r>
        <w:rPr>
          <w:rFonts w:hint="eastAsia"/>
          <w:lang w:val="en-US" w:eastAsia="zh-CN"/>
        </w:rPr>
        <w:t xml:space="preserve"> </w:t>
      </w:r>
      <w:r>
        <w:rPr>
          <w:rFonts w:hint="eastAsia"/>
        </w:rPr>
        <w:t>448电能计量装置技术管理规程</w:t>
      </w:r>
      <w:bookmarkEnd w:id="71"/>
    </w:p>
    <w:p w14:paraId="574043C6">
      <w:pPr>
        <w:pStyle w:val="18"/>
        <w:spacing w:before="326" w:after="326"/>
      </w:pPr>
      <w:bookmarkStart w:id="57" w:name="_Toc131273877"/>
      <w:bookmarkStart w:id="58" w:name="_Toc13426"/>
      <w:bookmarkStart w:id="59" w:name="_Toc98860476"/>
      <w:bookmarkStart w:id="60" w:name="_Toc1309"/>
      <w:bookmarkStart w:id="61" w:name="_Toc22867"/>
      <w:bookmarkStart w:id="62" w:name="_Toc98859014"/>
      <w:bookmarkStart w:id="63" w:name="_Toc989"/>
      <w:bookmarkStart w:id="64" w:name="_Toc98860777"/>
      <w:r>
        <w:rPr>
          <w:rFonts w:hint="eastAsia"/>
        </w:rPr>
        <w:t>术语和定义</w:t>
      </w:r>
      <w:bookmarkEnd w:id="57"/>
      <w:bookmarkEnd w:id="58"/>
      <w:bookmarkEnd w:id="59"/>
      <w:bookmarkEnd w:id="60"/>
      <w:bookmarkEnd w:id="61"/>
      <w:bookmarkEnd w:id="62"/>
      <w:bookmarkEnd w:id="63"/>
      <w:bookmarkEnd w:id="64"/>
    </w:p>
    <w:p w14:paraId="5A338BB8">
      <w:pPr>
        <w:pStyle w:val="17"/>
      </w:pPr>
      <w:r>
        <w:rPr>
          <w:rFonts w:hint="eastAsia"/>
        </w:rPr>
        <w:t>GB/T 28506.1</w:t>
      </w:r>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65" w:name="_Toc26986532"/>
          <w:bookmarkEnd w:id="65"/>
          <w:r>
            <w:rPr>
              <w:rFonts w:ascii="宋体" w:hAnsi="宋体" w:eastAsia="宋体" w:cstheme="minorBidi"/>
              <w:kern w:val="2"/>
              <w:sz w:val="21"/>
              <w:szCs w:val="21"/>
              <w:lang w:val="en-US" w:eastAsia="zh-CN" w:bidi="ar-SA"/>
            </w:rPr>
            <w:t>界定的以及下列术语和定义适用于本文件。</w:t>
          </w:r>
        </w:sdtContent>
      </w:sdt>
    </w:p>
    <w:p w14:paraId="3B51EFA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p>
    <w:p w14:paraId="2B7E8A72">
      <w:pPr>
        <w:pStyle w:val="84"/>
        <w:numPr>
          <w:ilvl w:val="2"/>
          <w:numId w:val="0"/>
        </w:numPr>
        <w:bidi w:val="0"/>
        <w:ind w:firstLine="420" w:firstLineChars="200"/>
        <w:rPr>
          <w:rFonts w:hint="eastAsia"/>
        </w:rPr>
      </w:pPr>
      <w:r>
        <w:rPr>
          <w:rFonts w:hint="eastAsia"/>
        </w:rPr>
        <w:t>复合材料电能计量箱 composite material electricity metering cabinet</w:t>
      </w:r>
    </w:p>
    <w:p w14:paraId="79811E8B">
      <w:pPr>
        <w:pStyle w:val="73"/>
        <w:ind w:firstLine="420"/>
      </w:pPr>
      <w:r>
        <w:rPr>
          <w:rFonts w:hint="eastAsia"/>
        </w:rPr>
        <w:t>指电能表及其他计量、保护、采集设备安装于同一箱体内，箱体主要结构由复合材料如PC+ABS或SMC等制成的直接接入式计量装置。</w:t>
      </w:r>
    </w:p>
    <w:p w14:paraId="5719C2BF">
      <w:pPr>
        <w:pStyle w:val="18"/>
        <w:bidi w:val="0"/>
        <w:rPr>
          <w:rFonts w:hint="eastAsia"/>
        </w:rPr>
      </w:pPr>
      <w:bookmarkStart w:id="66" w:name="_Toc4741"/>
      <w:r>
        <w:rPr>
          <w:rFonts w:hint="eastAsia"/>
        </w:rPr>
        <w:t>分类、基本参数与使用条件</w:t>
      </w:r>
      <w:bookmarkEnd w:id="66"/>
    </w:p>
    <w:p w14:paraId="3C624A5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分类</w:t>
      </w:r>
    </w:p>
    <w:p w14:paraId="1BB0D06F">
      <w:pPr>
        <w:pStyle w:val="17"/>
        <w:rPr>
          <w:rFonts w:hint="eastAsia"/>
        </w:rPr>
      </w:pPr>
      <w:r>
        <w:rPr>
          <w:rFonts w:hint="eastAsia"/>
        </w:rPr>
        <w:t>复合材料电能计量箱可按以下方式分类：</w:t>
      </w:r>
    </w:p>
    <w:p w14:paraId="3A1219FA">
      <w:pPr>
        <w:pStyle w:val="46"/>
        <w:bidi w:val="0"/>
        <w:ind w:left="851" w:leftChars="0" w:hanging="426" w:firstLineChars="0"/>
        <w:rPr>
          <w:rFonts w:hint="eastAsia"/>
        </w:rPr>
      </w:pPr>
      <w:r>
        <w:rPr>
          <w:rFonts w:hint="eastAsia"/>
        </w:rPr>
        <w:t>按相数分为：单相计量箱和三相计量箱。</w:t>
      </w:r>
    </w:p>
    <w:p w14:paraId="2272FE90">
      <w:pPr>
        <w:pStyle w:val="46"/>
        <w:bidi w:val="0"/>
        <w:ind w:left="851" w:leftChars="0" w:hanging="426" w:firstLineChars="0"/>
        <w:rPr>
          <w:rFonts w:hint="eastAsia"/>
        </w:rPr>
      </w:pPr>
      <w:r>
        <w:rPr>
          <w:rFonts w:hint="eastAsia"/>
        </w:rPr>
        <w:t>按外壳材料分为：PC+ABS复合材料计量箱和SMC复合材料计量箱。</w:t>
      </w:r>
    </w:p>
    <w:p w14:paraId="081C3D30">
      <w:pPr>
        <w:pStyle w:val="46"/>
        <w:bidi w:val="0"/>
        <w:ind w:left="851" w:leftChars="0" w:hanging="426" w:firstLineChars="0"/>
        <w:rPr>
          <w:rFonts w:hint="eastAsia"/>
        </w:rPr>
      </w:pPr>
      <w:r>
        <w:rPr>
          <w:rFonts w:hint="eastAsia"/>
        </w:rPr>
        <w:t>按安装方式分为：悬挂式、落地式、嵌入式。</w:t>
      </w:r>
    </w:p>
    <w:p w14:paraId="1EB8F919">
      <w:pPr>
        <w:pStyle w:val="46"/>
        <w:bidi w:val="0"/>
        <w:ind w:left="851" w:leftChars="0" w:hanging="426" w:firstLineChars="0"/>
        <w:rPr>
          <w:rFonts w:hint="eastAsia"/>
        </w:rPr>
      </w:pPr>
      <w:r>
        <w:rPr>
          <w:rFonts w:hint="eastAsia"/>
        </w:rPr>
        <w:t>按表位数分为：单表位、2表位、4表位、6表位、8表位、9表位、12表位等。</w:t>
      </w:r>
    </w:p>
    <w:p w14:paraId="6E473D41">
      <w:pPr>
        <w:pStyle w:val="46"/>
        <w:bidi w:val="0"/>
        <w:ind w:left="851" w:leftChars="0" w:hanging="426" w:firstLineChars="0"/>
        <w:rPr>
          <w:rFonts w:hint="eastAsia"/>
        </w:rPr>
      </w:pPr>
      <w:r>
        <w:rPr>
          <w:rFonts w:hint="eastAsia"/>
        </w:rPr>
        <w:t>按功能配置分为：基础型、智能型带通信模块、防窃电型等。</w:t>
      </w:r>
    </w:p>
    <w:p w14:paraId="320690B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基本参数</w:t>
      </w:r>
    </w:p>
    <w:p w14:paraId="4AB58868">
      <w:pPr>
        <w:pStyle w:val="17"/>
        <w:rPr>
          <w:rFonts w:hint="eastAsia"/>
        </w:rPr>
      </w:pPr>
      <w:r>
        <w:rPr>
          <w:rFonts w:hint="eastAsia"/>
        </w:rPr>
        <w:t>复合材料电能计量箱的基本参数包括：</w:t>
      </w:r>
    </w:p>
    <w:p w14:paraId="2FC765E8">
      <w:pPr>
        <w:pStyle w:val="46"/>
        <w:numPr>
          <w:ilvl w:val="0"/>
          <w:numId w:val="30"/>
        </w:numPr>
        <w:bidi w:val="0"/>
        <w:ind w:left="851" w:leftChars="0" w:hanging="426" w:firstLineChars="0"/>
        <w:rPr>
          <w:rFonts w:hint="eastAsia"/>
        </w:rPr>
      </w:pPr>
      <w:r>
        <w:rPr>
          <w:rFonts w:hint="eastAsia"/>
        </w:rPr>
        <w:t>额定电压：单相为220V，三相为380V。</w:t>
      </w:r>
    </w:p>
    <w:p w14:paraId="6334D14F">
      <w:pPr>
        <w:pStyle w:val="46"/>
        <w:numPr>
          <w:ilvl w:val="0"/>
          <w:numId w:val="30"/>
        </w:numPr>
        <w:bidi w:val="0"/>
        <w:ind w:left="851" w:leftChars="0" w:hanging="426" w:firstLineChars="0"/>
        <w:rPr>
          <w:rFonts w:hint="eastAsia"/>
        </w:rPr>
      </w:pPr>
      <w:r>
        <w:rPr>
          <w:rFonts w:hint="eastAsia"/>
        </w:rPr>
        <w:t>额定绝缘电压：500V。</w:t>
      </w:r>
    </w:p>
    <w:p w14:paraId="623C9578">
      <w:pPr>
        <w:pStyle w:val="46"/>
        <w:numPr>
          <w:ilvl w:val="0"/>
          <w:numId w:val="30"/>
        </w:numPr>
        <w:bidi w:val="0"/>
        <w:ind w:left="851" w:leftChars="0" w:hanging="426" w:firstLineChars="0"/>
        <w:rPr>
          <w:rFonts w:hint="eastAsia"/>
        </w:rPr>
      </w:pPr>
      <w:r>
        <w:rPr>
          <w:rFonts w:hint="eastAsia"/>
        </w:rPr>
        <w:t>额定频率：50Hz。</w:t>
      </w:r>
    </w:p>
    <w:p w14:paraId="20668DA9">
      <w:pPr>
        <w:pStyle w:val="46"/>
        <w:numPr>
          <w:ilvl w:val="0"/>
          <w:numId w:val="30"/>
        </w:numPr>
        <w:bidi w:val="0"/>
        <w:ind w:left="851" w:leftChars="0" w:hanging="426" w:firstLineChars="0"/>
        <w:rPr>
          <w:rFonts w:hint="eastAsia"/>
        </w:rPr>
      </w:pPr>
      <w:r>
        <w:rPr>
          <w:rFonts w:hint="eastAsia"/>
        </w:rPr>
        <w:t>额定电流系列：60A、100A、160A、200A、250A。</w:t>
      </w:r>
    </w:p>
    <w:p w14:paraId="43160776">
      <w:pPr>
        <w:pStyle w:val="46"/>
        <w:numPr>
          <w:ilvl w:val="0"/>
          <w:numId w:val="30"/>
        </w:numPr>
        <w:bidi w:val="0"/>
        <w:ind w:left="851" w:leftChars="0" w:hanging="426" w:firstLineChars="0"/>
        <w:rPr>
          <w:rFonts w:hint="eastAsia"/>
        </w:rPr>
      </w:pPr>
      <w:r>
        <w:rPr>
          <w:rFonts w:hint="eastAsia"/>
        </w:rPr>
        <w:t>防护等级：不低于IP44，操作面不低于IP20C。</w:t>
      </w:r>
    </w:p>
    <w:p w14:paraId="0EEC41F2">
      <w:pPr>
        <w:pStyle w:val="46"/>
        <w:numPr>
          <w:ilvl w:val="0"/>
          <w:numId w:val="30"/>
        </w:numPr>
        <w:bidi w:val="0"/>
        <w:ind w:left="851" w:leftChars="0" w:hanging="426" w:firstLineChars="0"/>
        <w:rPr>
          <w:rFonts w:hint="eastAsia"/>
        </w:rPr>
      </w:pPr>
      <w:r>
        <w:rPr>
          <w:rFonts w:hint="eastAsia"/>
        </w:rPr>
        <w:t>外壳材料厚度：PC+ABS复合材料箱体厚度不小于4.0mm，SMC复合材料箱体厚度不小于3.0mm。</w:t>
      </w:r>
    </w:p>
    <w:p w14:paraId="67A7A2F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使用条件</w:t>
      </w:r>
    </w:p>
    <w:p w14:paraId="17CE0E88">
      <w:pPr>
        <w:pStyle w:val="17"/>
        <w:rPr>
          <w:rFonts w:hint="eastAsia"/>
        </w:rPr>
      </w:pPr>
      <w:r>
        <w:rPr>
          <w:rFonts w:hint="eastAsia"/>
        </w:rPr>
        <w:t>复合材料电能计量箱在下列条件下应能正常工作：</w:t>
      </w:r>
    </w:p>
    <w:p w14:paraId="30EF3D5C">
      <w:pPr>
        <w:pStyle w:val="46"/>
        <w:numPr>
          <w:ilvl w:val="0"/>
          <w:numId w:val="31"/>
        </w:numPr>
        <w:bidi w:val="0"/>
        <w:ind w:left="851" w:leftChars="0" w:hanging="426" w:firstLineChars="0"/>
        <w:rPr>
          <w:rFonts w:hint="eastAsia"/>
        </w:rPr>
      </w:pPr>
      <w:r>
        <w:rPr>
          <w:rFonts w:hint="eastAsia"/>
        </w:rPr>
        <w:t>环境温度：零下25摄氏度至零上55摄氏度。</w:t>
      </w:r>
    </w:p>
    <w:p w14:paraId="5B53B3C2">
      <w:pPr>
        <w:pStyle w:val="46"/>
        <w:numPr>
          <w:ilvl w:val="0"/>
          <w:numId w:val="31"/>
        </w:numPr>
        <w:bidi w:val="0"/>
        <w:ind w:left="851" w:leftChars="0" w:hanging="426" w:firstLineChars="0"/>
        <w:rPr>
          <w:rFonts w:hint="eastAsia"/>
        </w:rPr>
      </w:pPr>
      <w:r>
        <w:rPr>
          <w:rFonts w:hint="eastAsia"/>
        </w:rPr>
        <w:t>相对湿度：不大于95%，在25摄氏度时。</w:t>
      </w:r>
    </w:p>
    <w:p w14:paraId="1BC88749">
      <w:pPr>
        <w:pStyle w:val="46"/>
        <w:numPr>
          <w:ilvl w:val="0"/>
          <w:numId w:val="31"/>
        </w:numPr>
        <w:bidi w:val="0"/>
        <w:ind w:left="851" w:leftChars="0" w:hanging="426" w:firstLineChars="0"/>
        <w:rPr>
          <w:rFonts w:hint="eastAsia"/>
        </w:rPr>
      </w:pPr>
      <w:r>
        <w:rPr>
          <w:rFonts w:hint="eastAsia"/>
        </w:rPr>
        <w:t>海拔高度：不超过2000米。</w:t>
      </w:r>
    </w:p>
    <w:p w14:paraId="6121B792">
      <w:pPr>
        <w:pStyle w:val="46"/>
        <w:numPr>
          <w:ilvl w:val="0"/>
          <w:numId w:val="31"/>
        </w:numPr>
        <w:bidi w:val="0"/>
        <w:ind w:left="851" w:leftChars="0" w:hanging="426" w:firstLineChars="0"/>
        <w:rPr>
          <w:rFonts w:hint="eastAsia"/>
        </w:rPr>
      </w:pPr>
      <w:r>
        <w:rPr>
          <w:rFonts w:hint="eastAsia"/>
        </w:rPr>
        <w:t>安装环境：无爆炸危险，无腐蚀金属和破坏绝缘的气体及导电尘埃。</w:t>
      </w:r>
    </w:p>
    <w:p w14:paraId="2E6D0983">
      <w:pPr>
        <w:pStyle w:val="46"/>
        <w:numPr>
          <w:ilvl w:val="0"/>
          <w:numId w:val="31"/>
        </w:numPr>
        <w:bidi w:val="0"/>
        <w:ind w:left="851" w:leftChars="0" w:hanging="426" w:firstLineChars="0"/>
        <w:rPr>
          <w:rFonts w:hint="eastAsia"/>
        </w:rPr>
      </w:pPr>
      <w:r>
        <w:rPr>
          <w:rFonts w:hint="eastAsia"/>
        </w:rPr>
        <w:t>安装位置：无明显振动和冲击的场所。</w:t>
      </w:r>
    </w:p>
    <w:p w14:paraId="121687C9">
      <w:pPr>
        <w:pStyle w:val="18"/>
        <w:bidi w:val="0"/>
        <w:rPr>
          <w:rFonts w:hint="eastAsia"/>
        </w:rPr>
      </w:pPr>
      <w:bookmarkStart w:id="67" w:name="_Toc18294"/>
      <w:r>
        <w:rPr>
          <w:rFonts w:hint="eastAsia"/>
        </w:rPr>
        <w:t>技术要求</w:t>
      </w:r>
      <w:bookmarkEnd w:id="67"/>
    </w:p>
    <w:p w14:paraId="3767B4D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材料要求</w:t>
      </w:r>
    </w:p>
    <w:p w14:paraId="0AB55DFC">
      <w:pPr>
        <w:pStyle w:val="75"/>
        <w:bidi w:val="0"/>
        <w:rPr>
          <w:rFonts w:hint="eastAsia"/>
        </w:rPr>
      </w:pPr>
      <w:r>
        <w:rPr>
          <w:rFonts w:hint="eastAsia"/>
        </w:rPr>
        <w:t>金属箱体材质宜采用冷轧钢板、不锈钢板，冷轧钢板应符合GB/T</w:t>
      </w:r>
      <w:r>
        <w:rPr>
          <w:rFonts w:hint="eastAsia"/>
          <w:lang w:val="en-US" w:eastAsia="zh-CN"/>
        </w:rPr>
        <w:t xml:space="preserve"> </w:t>
      </w:r>
      <w:r>
        <w:rPr>
          <w:rFonts w:hint="eastAsia"/>
        </w:rPr>
        <w:t>708规定，不锈钢板应符合GB/T</w:t>
      </w:r>
      <w:r>
        <w:rPr>
          <w:rFonts w:hint="eastAsia"/>
          <w:lang w:val="en-US" w:eastAsia="zh-CN"/>
        </w:rPr>
        <w:t xml:space="preserve"> </w:t>
      </w:r>
      <w:r>
        <w:rPr>
          <w:rFonts w:hint="eastAsia"/>
        </w:rPr>
        <w:t>3280规定，碳素结构钢应符合GB/T</w:t>
      </w:r>
      <w:r>
        <w:rPr>
          <w:rFonts w:hint="eastAsia"/>
          <w:lang w:val="en-US" w:eastAsia="zh-CN"/>
        </w:rPr>
        <w:t xml:space="preserve"> </w:t>
      </w:r>
      <w:r>
        <w:rPr>
          <w:rFonts w:hint="eastAsia"/>
        </w:rPr>
        <w:t>700规定。</w:t>
      </w:r>
    </w:p>
    <w:p w14:paraId="6665F951">
      <w:pPr>
        <w:pStyle w:val="75"/>
        <w:bidi w:val="0"/>
        <w:rPr>
          <w:rFonts w:hint="eastAsia"/>
        </w:rPr>
      </w:pPr>
      <w:r>
        <w:rPr>
          <w:rFonts w:hint="eastAsia"/>
        </w:rPr>
        <w:t>塑料箱体材质应采用阻燃型工程塑料，燃烧性能应符合GB/T</w:t>
      </w:r>
      <w:r>
        <w:rPr>
          <w:rFonts w:hint="eastAsia"/>
          <w:lang w:val="en-US" w:eastAsia="zh-CN"/>
        </w:rPr>
        <w:t xml:space="preserve"> </w:t>
      </w:r>
      <w:r>
        <w:rPr>
          <w:rFonts w:hint="eastAsia"/>
        </w:rPr>
        <w:t>2408中V-0级要求。</w:t>
      </w:r>
    </w:p>
    <w:p w14:paraId="09B906A7">
      <w:pPr>
        <w:pStyle w:val="75"/>
        <w:bidi w:val="0"/>
        <w:rPr>
          <w:rFonts w:hint="eastAsia"/>
        </w:rPr>
      </w:pPr>
      <w:r>
        <w:rPr>
          <w:rFonts w:hint="eastAsia"/>
        </w:rPr>
        <w:t>绝缘部件材质应采用耐电弧、耐老化的绝缘材料，绝缘性能应符合GB/T</w:t>
      </w:r>
      <w:r>
        <w:rPr>
          <w:rFonts w:hint="eastAsia"/>
          <w:lang w:val="en-US" w:eastAsia="zh-CN"/>
        </w:rPr>
        <w:t xml:space="preserve"> </w:t>
      </w:r>
      <w:r>
        <w:rPr>
          <w:rFonts w:hint="eastAsia"/>
        </w:rPr>
        <w:t>16935.1规定</w:t>
      </w:r>
    </w:p>
    <w:p w14:paraId="63875699">
      <w:pPr>
        <w:pStyle w:val="75"/>
        <w:bidi w:val="0"/>
        <w:rPr>
          <w:rFonts w:hint="eastAsia"/>
        </w:rPr>
      </w:pPr>
      <w:r>
        <w:rPr>
          <w:rFonts w:hint="eastAsia"/>
        </w:rPr>
        <w:t>密封材料应采用耐候性橡胶或硅胶，耐高低温性能应符合GB/T</w:t>
      </w:r>
      <w:r>
        <w:rPr>
          <w:rFonts w:hint="eastAsia"/>
          <w:lang w:val="en-US" w:eastAsia="zh-CN"/>
        </w:rPr>
        <w:t xml:space="preserve"> </w:t>
      </w:r>
      <w:r>
        <w:rPr>
          <w:rFonts w:hint="eastAsia"/>
        </w:rPr>
        <w:t>2423.1、GB/T</w:t>
      </w:r>
      <w:r>
        <w:rPr>
          <w:rFonts w:hint="eastAsia"/>
          <w:lang w:val="en-US" w:eastAsia="zh-CN"/>
        </w:rPr>
        <w:t xml:space="preserve"> </w:t>
      </w:r>
      <w:r>
        <w:rPr>
          <w:rFonts w:hint="eastAsia"/>
        </w:rPr>
        <w:t>2423.2规定。</w:t>
      </w:r>
    </w:p>
    <w:p w14:paraId="49B396EF">
      <w:pPr>
        <w:pStyle w:val="75"/>
        <w:bidi w:val="0"/>
        <w:rPr>
          <w:rFonts w:hint="eastAsia"/>
        </w:rPr>
      </w:pPr>
      <w:r>
        <w:rPr>
          <w:rFonts w:hint="eastAsia"/>
        </w:rPr>
        <w:t>金属箱体表面防腐处理应采用静电喷涂或热镀锌工艺，涂层厚度≥60m，附着力应符合GB/T</w:t>
      </w:r>
      <w:r>
        <w:rPr>
          <w:rFonts w:hint="eastAsia"/>
          <w:lang w:val="en-US" w:eastAsia="zh-CN"/>
        </w:rPr>
        <w:t xml:space="preserve"> </w:t>
      </w:r>
      <w:r>
        <w:rPr>
          <w:rFonts w:hint="eastAsia"/>
        </w:rPr>
        <w:t>9286规定的2级要求，确保户外环境下长期使用无脱落。</w:t>
      </w:r>
    </w:p>
    <w:p w14:paraId="6EAEB9B3">
      <w:pPr>
        <w:pStyle w:val="75"/>
        <w:bidi w:val="0"/>
        <w:rPr>
          <w:rFonts w:hint="eastAsia"/>
        </w:rPr>
      </w:pPr>
      <w:r>
        <w:rPr>
          <w:rFonts w:hint="eastAsia"/>
        </w:rPr>
        <w:t>户外使用的塑料箱体应添加抗紫外线剂，耐候老化性能经GB/T</w:t>
      </w:r>
      <w:r>
        <w:rPr>
          <w:rFonts w:hint="eastAsia"/>
          <w:lang w:val="en-US" w:eastAsia="zh-CN"/>
        </w:rPr>
        <w:t xml:space="preserve"> </w:t>
      </w:r>
      <w:r>
        <w:rPr>
          <w:rFonts w:hint="eastAsia"/>
        </w:rPr>
        <w:t>16422.2规定的氙灯老化试验1000h后，无开裂、变色、粉化现象，拉伸强度保留率≥80%。</w:t>
      </w:r>
    </w:p>
    <w:p w14:paraId="04076BFC">
      <w:pPr>
        <w:pStyle w:val="75"/>
        <w:bidi w:val="0"/>
        <w:rPr>
          <w:rFonts w:hint="eastAsia"/>
        </w:rPr>
      </w:pPr>
      <w:r>
        <w:rPr>
          <w:rFonts w:hint="eastAsia"/>
        </w:rPr>
        <w:t>接线端子应采用铜合金材质，表面镀锡或镀银处理，接触电阻≤5m</w:t>
      </w:r>
      <w:r>
        <w:rPr>
          <w:rFonts w:hint="eastAsia"/>
          <w:lang w:val="en-US" w:eastAsia="zh-CN"/>
        </w:rPr>
        <w:t>Ω</w:t>
      </w:r>
      <w:r>
        <w:rPr>
          <w:rFonts w:hint="eastAsia"/>
        </w:rPr>
        <w:t>。</w:t>
      </w:r>
    </w:p>
    <w:p w14:paraId="762D54E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结构要求</w:t>
      </w:r>
    </w:p>
    <w:p w14:paraId="05CB0667">
      <w:pPr>
        <w:pStyle w:val="75"/>
        <w:bidi w:val="0"/>
        <w:rPr>
          <w:rFonts w:hint="eastAsia"/>
        </w:rPr>
      </w:pPr>
      <w:r>
        <w:rPr>
          <w:rFonts w:hint="eastAsia"/>
        </w:rPr>
        <w:t>箱体尺寸偏差应符合设计图纸要求，外形尺寸偏差≤士2mm，安装孔位置偏差≤士1mm。</w:t>
      </w:r>
    </w:p>
    <w:p w14:paraId="19C1C527">
      <w:pPr>
        <w:pStyle w:val="75"/>
        <w:bidi w:val="0"/>
        <w:rPr>
          <w:rFonts w:hint="eastAsia"/>
        </w:rPr>
      </w:pPr>
      <w:r>
        <w:rPr>
          <w:rFonts w:hint="eastAsia"/>
        </w:rPr>
        <w:t>箱体应具备足够机械强度，壁挂式箱体承受500N垂直拉力30min无永久变形，落地式箱体承受1000N水平推力30min无倾倒。</w:t>
      </w:r>
    </w:p>
    <w:p w14:paraId="20CCA4C3">
      <w:pPr>
        <w:pStyle w:val="75"/>
        <w:bidi w:val="0"/>
        <w:rPr>
          <w:rFonts w:hint="eastAsia"/>
        </w:rPr>
      </w:pPr>
      <w:r>
        <w:rPr>
          <w:rFonts w:hint="eastAsia"/>
        </w:rPr>
        <w:t>箱门应设置防撬装置和限位装置，关闭后与箱体贴合紧密，缝隙≤1.5mm，开启角度≥90°。</w:t>
      </w:r>
    </w:p>
    <w:p w14:paraId="31750D76">
      <w:pPr>
        <w:pStyle w:val="75"/>
        <w:bidi w:val="0"/>
        <w:rPr>
          <w:rFonts w:hint="eastAsia"/>
        </w:rPr>
      </w:pPr>
      <w:r>
        <w:rPr>
          <w:rFonts w:hint="eastAsia"/>
        </w:rPr>
        <w:t>箱体内部应设置计量器具安装支架、接线端子排、接地螺栓，安装支架应牢固，承重能力≥5kg。</w:t>
      </w:r>
    </w:p>
    <w:p w14:paraId="0703E8B0">
      <w:pPr>
        <w:pStyle w:val="75"/>
        <w:bidi w:val="0"/>
        <w:rPr>
          <w:rFonts w:hint="eastAsia"/>
        </w:rPr>
      </w:pPr>
      <w:r>
        <w:rPr>
          <w:rFonts w:hint="eastAsia"/>
        </w:rPr>
        <w:t>中压计量箱应设置压力释放装置，释放压力值应符合设计要求，且不影响周边设备安全。</w:t>
      </w:r>
    </w:p>
    <w:p w14:paraId="33A93D21">
      <w:pPr>
        <w:pStyle w:val="75"/>
        <w:bidi w:val="0"/>
        <w:rPr>
          <w:rFonts w:hint="eastAsia"/>
        </w:rPr>
      </w:pPr>
      <w:r>
        <w:rPr>
          <w:rFonts w:hint="eastAsia"/>
        </w:rPr>
        <w:t>箱体应预留进出线孔，孔位尺寸与线缆规格匹配，且配备密封堵头，防止异物侵入。</w:t>
      </w:r>
    </w:p>
    <w:p w14:paraId="71DE9EE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电气性能要求</w:t>
      </w:r>
    </w:p>
    <w:p w14:paraId="2FFBEC0D">
      <w:pPr>
        <w:pStyle w:val="75"/>
        <w:bidi w:val="0"/>
        <w:rPr>
          <w:rFonts w:hint="eastAsia"/>
        </w:rPr>
      </w:pPr>
      <w:r>
        <w:rPr>
          <w:rFonts w:hint="eastAsia"/>
        </w:rPr>
        <w:t>额定电压、额定电流应符合设计标注，实际工作电压允许偏差士10%，额定电流允许偏差士5%.</w:t>
      </w:r>
    </w:p>
    <w:p w14:paraId="09A38E8F">
      <w:pPr>
        <w:pStyle w:val="75"/>
        <w:bidi w:val="0"/>
        <w:rPr>
          <w:rFonts w:hint="eastAsia"/>
        </w:rPr>
      </w:pPr>
      <w:r>
        <w:rPr>
          <w:rFonts w:hint="eastAsia"/>
        </w:rPr>
        <w:t>绝缘电阻:低压计量箱在2500V兆欧表下，带电部件与箱体之间的绝缘电阻≥100M;中压计量箱在5000V兆欧表下，绝缘电阻≥500M0，应符合GB/T 16935.1规定。</w:t>
      </w:r>
    </w:p>
    <w:p w14:paraId="5A1ADB1D">
      <w:pPr>
        <w:pStyle w:val="75"/>
        <w:bidi w:val="0"/>
        <w:rPr>
          <w:rFonts w:hint="eastAsia"/>
        </w:rPr>
      </w:pPr>
      <w:r>
        <w:rPr>
          <w:rFonts w:hint="eastAsia"/>
        </w:rPr>
        <w:t>温升:计量箱在额定电流下连续运行2h，箱体表面温升≤40K，接线端子温升≤60K，应符合GB 7251.1规定。</w:t>
      </w:r>
    </w:p>
    <w:p w14:paraId="31375B26">
      <w:pPr>
        <w:pStyle w:val="75"/>
        <w:bidi w:val="0"/>
        <w:rPr>
          <w:rFonts w:hint="eastAsia"/>
        </w:rPr>
      </w:pPr>
      <w:r>
        <w:rPr>
          <w:rFonts w:hint="eastAsia"/>
        </w:rPr>
        <w:t>短路耐受能力:低压计量箱应能承受额定短路电流3s，中压计量箱应能承受额定短路电流5s,无损坏、无放电现象，应符合GB</w:t>
      </w:r>
      <w:r>
        <w:rPr>
          <w:rFonts w:hint="eastAsia"/>
          <w:lang w:val="en-US" w:eastAsia="zh-CN"/>
        </w:rPr>
        <w:t xml:space="preserve"> </w:t>
      </w:r>
      <w:r>
        <w:rPr>
          <w:rFonts w:hint="eastAsia"/>
        </w:rPr>
        <w:t>14048.1规定。</w:t>
      </w:r>
    </w:p>
    <w:p w14:paraId="7A93BC32">
      <w:pPr>
        <w:pStyle w:val="75"/>
        <w:bidi w:val="0"/>
        <w:rPr>
          <w:rFonts w:hint="eastAsia"/>
        </w:rPr>
      </w:pPr>
      <w:r>
        <w:rPr>
          <w:rFonts w:hint="eastAsia"/>
        </w:rPr>
        <w:t>计量箱应能承受静电放电、浪涌、电快速瞬变脉冲群等电磁干扰，符合GB/T</w:t>
      </w:r>
      <w:r>
        <w:rPr>
          <w:rFonts w:hint="eastAsia"/>
          <w:lang w:val="en-US" w:eastAsia="zh-CN"/>
        </w:rPr>
        <w:t xml:space="preserve"> </w:t>
      </w:r>
      <w:r>
        <w:rPr>
          <w:rFonts w:hint="eastAsia"/>
        </w:rPr>
        <w:t>17626.2、GB/T</w:t>
      </w:r>
      <w:r>
        <w:rPr>
          <w:rFonts w:hint="eastAsia"/>
          <w:lang w:val="en-US" w:eastAsia="zh-CN"/>
        </w:rPr>
        <w:t xml:space="preserve"> </w:t>
      </w:r>
      <w:r>
        <w:rPr>
          <w:rFonts w:hint="eastAsia"/>
        </w:rPr>
        <w:t>17626.4、GB/T 17626.5规定的3级试验要求，确保计量器具正常工作。</w:t>
      </w:r>
    </w:p>
    <w:p w14:paraId="4500BCAD">
      <w:pPr>
        <w:pStyle w:val="75"/>
        <w:bidi w:val="0"/>
        <w:rPr>
          <w:rFonts w:hint="eastAsia"/>
        </w:rPr>
      </w:pPr>
      <w:r>
        <w:rPr>
          <w:rFonts w:hint="eastAsia"/>
        </w:rPr>
        <w:t>内部接线应采用铜芯绝缘导线，线径与额定电流匹配，接线端子应压接牢固，相序标识清晰，符合DL/T</w:t>
      </w:r>
      <w:r>
        <w:rPr>
          <w:rFonts w:hint="eastAsia"/>
          <w:lang w:val="en-US" w:eastAsia="zh-CN"/>
        </w:rPr>
        <w:t xml:space="preserve"> </w:t>
      </w:r>
      <w:r>
        <w:rPr>
          <w:rFonts w:hint="eastAsia"/>
        </w:rPr>
        <w:t>448规定的接线要求，避免错接、虚接导致计量误差或安全隐患。</w:t>
      </w:r>
    </w:p>
    <w:p w14:paraId="71FE68D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防护性能要求</w:t>
      </w:r>
    </w:p>
    <w:p w14:paraId="488041E9">
      <w:pPr>
        <w:pStyle w:val="75"/>
        <w:bidi w:val="0"/>
        <w:rPr>
          <w:rFonts w:hint="eastAsia"/>
        </w:rPr>
      </w:pPr>
      <w:r>
        <w:rPr>
          <w:rFonts w:hint="eastAsia"/>
        </w:rPr>
        <w:t>室内安装计量箱防护等级不应低于IP30，户外安装计量箱防护等级不应低于IP54，沿海、多尘环境防护等级不应低于IP65，应符合GB/T 4208规定。</w:t>
      </w:r>
    </w:p>
    <w:p w14:paraId="187EA8E2">
      <w:pPr>
        <w:pStyle w:val="75"/>
        <w:bidi w:val="0"/>
        <w:rPr>
          <w:rFonts w:hint="eastAsia"/>
        </w:rPr>
      </w:pPr>
      <w:r>
        <w:rPr>
          <w:rFonts w:hint="eastAsia"/>
        </w:rPr>
        <w:t>箱体防水性能:IP54及以上防护等级的计量箱，经GB/T</w:t>
      </w:r>
      <w:r>
        <w:rPr>
          <w:rFonts w:hint="eastAsia"/>
          <w:lang w:val="en-US" w:eastAsia="zh-CN"/>
        </w:rPr>
        <w:t xml:space="preserve"> </w:t>
      </w:r>
      <w:r>
        <w:rPr>
          <w:rFonts w:hint="eastAsia"/>
        </w:rPr>
        <w:t>2423.3规定的恒定湿热试验后，内部</w:t>
      </w:r>
    </w:p>
    <w:p w14:paraId="0AE822B9">
      <w:pPr>
        <w:pStyle w:val="75"/>
        <w:bidi w:val="0"/>
        <w:rPr>
          <w:rFonts w:hint="eastAsia"/>
        </w:rPr>
      </w:pPr>
      <w:r>
        <w:rPr>
          <w:rFonts w:hint="eastAsia"/>
        </w:rPr>
        <w:t>无凝露、无进水痕迹。</w:t>
      </w:r>
    </w:p>
    <w:p w14:paraId="0334D52B">
      <w:pPr>
        <w:pStyle w:val="75"/>
        <w:bidi w:val="0"/>
        <w:rPr>
          <w:rFonts w:hint="eastAsia"/>
        </w:rPr>
      </w:pPr>
      <w:r>
        <w:rPr>
          <w:rFonts w:hint="eastAsia"/>
        </w:rPr>
        <w:t>防腐蚀性能:金属箱体经盐雾试验48h后，表面无明显锈蚀、起皮现象。</w:t>
      </w:r>
    </w:p>
    <w:p w14:paraId="4DECC348">
      <w:pPr>
        <w:pStyle w:val="75"/>
        <w:bidi w:val="0"/>
        <w:rPr>
          <w:rFonts w:hint="eastAsia"/>
        </w:rPr>
      </w:pPr>
      <w:r>
        <w:rPr>
          <w:rFonts w:hint="eastAsia"/>
        </w:rPr>
        <w:t>箱体密封件应连续完整，无破损、缺胶现象，密封面应平整，压缩量控制在20%</w:t>
      </w:r>
      <w:r>
        <w:rPr>
          <w:rFonts w:hint="default" w:ascii="Times New Roman" w:hAnsi="Times New Roman" w:cs="Times New Roman"/>
        </w:rPr>
        <w:t>~</w:t>
      </w:r>
      <w:r>
        <w:rPr>
          <w:rFonts w:hint="eastAsia"/>
        </w:rPr>
        <w:t>30%，确保防护性能长期稳定。</w:t>
      </w:r>
    </w:p>
    <w:p w14:paraId="46D1AC5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环境适应性要求</w:t>
      </w:r>
    </w:p>
    <w:p w14:paraId="07C441E4">
      <w:pPr>
        <w:pStyle w:val="75"/>
        <w:bidi w:val="0"/>
        <w:rPr>
          <w:rFonts w:hint="eastAsia"/>
        </w:rPr>
      </w:pPr>
      <w:r>
        <w:rPr>
          <w:rFonts w:hint="eastAsia"/>
        </w:rPr>
        <w:t>工作温度:-40</w:t>
      </w:r>
      <w:r>
        <w:rPr>
          <w:rFonts w:hint="eastAsia"/>
          <w:lang w:val="en-US" w:eastAsia="zh-CN"/>
        </w:rPr>
        <w:t>℃</w:t>
      </w:r>
      <w:r>
        <w:rPr>
          <w:rFonts w:hint="default" w:ascii="Times New Roman" w:hAnsi="Times New Roman" w:cs="Times New Roman"/>
        </w:rPr>
        <w:t>~</w:t>
      </w:r>
      <w:r>
        <w:rPr>
          <w:rFonts w:hint="eastAsia"/>
        </w:rPr>
        <w:t>70℃，在该温度范围内能正常工作，应符合GB/T 2423.1、GB/T 2423.2规定。</w:t>
      </w:r>
    </w:p>
    <w:p w14:paraId="0ECFDD14">
      <w:pPr>
        <w:pStyle w:val="75"/>
        <w:bidi w:val="0"/>
        <w:rPr>
          <w:rFonts w:hint="eastAsia"/>
        </w:rPr>
      </w:pPr>
      <w:r>
        <w:rPr>
          <w:rFonts w:hint="eastAsia"/>
        </w:rPr>
        <w:t>相对湿度:≤95%(25°C时)，无凝露，应符合GB/T</w:t>
      </w:r>
      <w:r>
        <w:rPr>
          <w:rFonts w:hint="eastAsia"/>
          <w:lang w:val="en-US" w:eastAsia="zh-CN"/>
        </w:rPr>
        <w:t xml:space="preserve"> </w:t>
      </w:r>
      <w:r>
        <w:rPr>
          <w:rFonts w:hint="eastAsia"/>
        </w:rPr>
        <w:t>2423.3规定。</w:t>
      </w:r>
    </w:p>
    <w:p w14:paraId="67519919">
      <w:pPr>
        <w:pStyle w:val="75"/>
        <w:bidi w:val="0"/>
        <w:rPr>
          <w:rFonts w:hint="eastAsia"/>
        </w:rPr>
      </w:pPr>
      <w:r>
        <w:rPr>
          <w:rFonts w:hint="eastAsia"/>
        </w:rPr>
        <w:t>抗震性能:应能承受烈度7级地震作用，无结构损坏、电气连接松动，符合相关抗震设计规范。</w:t>
      </w:r>
    </w:p>
    <w:p w14:paraId="2F144526">
      <w:pPr>
        <w:pStyle w:val="75"/>
        <w:bidi w:val="0"/>
        <w:rPr>
          <w:rFonts w:hint="eastAsia"/>
        </w:rPr>
      </w:pPr>
      <w:r>
        <w:rPr>
          <w:rFonts w:hint="eastAsia"/>
        </w:rPr>
        <w:t>抗电磁干扰性能:计量箱应能承受GB/T</w:t>
      </w:r>
      <w:r>
        <w:rPr>
          <w:rFonts w:hint="eastAsia"/>
          <w:lang w:val="en-US" w:eastAsia="zh-CN"/>
        </w:rPr>
        <w:t xml:space="preserve"> </w:t>
      </w:r>
      <w:r>
        <w:rPr>
          <w:rFonts w:hint="eastAsia"/>
        </w:rPr>
        <w:t>17626.3规定的3级电场干扰、GB/T</w:t>
      </w:r>
      <w:r>
        <w:rPr>
          <w:rFonts w:hint="eastAsia"/>
          <w:lang w:val="en-US" w:eastAsia="zh-CN"/>
        </w:rPr>
        <w:t xml:space="preserve"> </w:t>
      </w:r>
      <w:r>
        <w:rPr>
          <w:rFonts w:hint="eastAsia"/>
        </w:rPr>
        <w:t>17626.8规定的3级磁场干扰，试验后计量误差符合DL/T</w:t>
      </w:r>
      <w:r>
        <w:rPr>
          <w:rFonts w:hint="eastAsia"/>
          <w:lang w:val="en-US" w:eastAsia="zh-CN"/>
        </w:rPr>
        <w:t xml:space="preserve"> </w:t>
      </w:r>
      <w:r>
        <w:rPr>
          <w:rFonts w:hint="eastAsia"/>
        </w:rPr>
        <w:t>448要求。</w:t>
      </w:r>
    </w:p>
    <w:p w14:paraId="2D370D1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安全性能要求</w:t>
      </w:r>
    </w:p>
    <w:p w14:paraId="7AE7A2A8">
      <w:pPr>
        <w:pStyle w:val="75"/>
        <w:bidi w:val="0"/>
        <w:rPr>
          <w:rFonts w:hint="eastAsia"/>
        </w:rPr>
      </w:pPr>
      <w:r>
        <w:rPr>
          <w:rFonts w:hint="eastAsia"/>
        </w:rPr>
        <w:t>防触电保护:箱体金属部件应可靠接地，接地电阻≤4，外露导电部分与接地端子之间的连接电阻≤0.10，应符合GB</w:t>
      </w:r>
      <w:r>
        <w:rPr>
          <w:rFonts w:hint="eastAsia"/>
          <w:lang w:val="en-US" w:eastAsia="zh-CN"/>
        </w:rPr>
        <w:t xml:space="preserve"> </w:t>
      </w:r>
      <w:r>
        <w:rPr>
          <w:rFonts w:hint="eastAsia"/>
        </w:rPr>
        <w:t>14048.1规定。</w:t>
      </w:r>
    </w:p>
    <w:p w14:paraId="39F81EB7">
      <w:pPr>
        <w:pStyle w:val="75"/>
        <w:bidi w:val="0"/>
        <w:rPr>
          <w:rFonts w:hint="eastAsia"/>
        </w:rPr>
      </w:pPr>
      <w:r>
        <w:rPr>
          <w:rFonts w:hint="eastAsia"/>
        </w:rPr>
        <w:t>阻燃性能:箱体及内部绝缘部件的阻燃等级应符合GB/T</w:t>
      </w:r>
      <w:r>
        <w:rPr>
          <w:rFonts w:hint="eastAsia"/>
          <w:lang w:val="en-US" w:eastAsia="zh-CN"/>
        </w:rPr>
        <w:t xml:space="preserve"> </w:t>
      </w:r>
      <w:r>
        <w:rPr>
          <w:rFonts w:hint="eastAsia"/>
        </w:rPr>
        <w:t>2408中V-0级要求。</w:t>
      </w:r>
    </w:p>
    <w:p w14:paraId="44B73144">
      <w:pPr>
        <w:pStyle w:val="75"/>
        <w:bidi w:val="0"/>
        <w:rPr>
          <w:rFonts w:hint="eastAsia"/>
        </w:rPr>
      </w:pPr>
      <w:r>
        <w:rPr>
          <w:rFonts w:hint="eastAsia"/>
        </w:rPr>
        <w:t>爬电距离和电气间隙:低压计量箱爬电距离≥3mm，电气间隙≥2mm;中压计量箱爬电距离≥12mm(10kV)，电气间隙≥10mm(10kV)，应符合GB/T</w:t>
      </w:r>
      <w:r>
        <w:rPr>
          <w:rFonts w:hint="eastAsia"/>
          <w:lang w:val="en-US" w:eastAsia="zh-CN"/>
        </w:rPr>
        <w:t xml:space="preserve"> </w:t>
      </w:r>
      <w:r>
        <w:rPr>
          <w:rFonts w:hint="eastAsia"/>
        </w:rPr>
        <w:t>16935.1规定。</w:t>
      </w:r>
    </w:p>
    <w:p w14:paraId="191BBC65">
      <w:pPr>
        <w:pStyle w:val="18"/>
        <w:bidi w:val="0"/>
        <w:rPr>
          <w:rFonts w:hint="eastAsia"/>
        </w:rPr>
      </w:pPr>
      <w:bookmarkStart w:id="68" w:name="_Toc10003"/>
      <w:r>
        <w:rPr>
          <w:rFonts w:hint="eastAsia"/>
        </w:rPr>
        <w:t>试验方法</w:t>
      </w:r>
      <w:bookmarkEnd w:id="68"/>
    </w:p>
    <w:p w14:paraId="7409AB8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材料检验</w:t>
      </w:r>
    </w:p>
    <w:p w14:paraId="3D14DAF6">
      <w:pPr>
        <w:pStyle w:val="75"/>
        <w:bidi w:val="0"/>
        <w:rPr>
          <w:rFonts w:hint="eastAsia"/>
        </w:rPr>
      </w:pPr>
      <w:r>
        <w:rPr>
          <w:rFonts w:hint="eastAsia"/>
        </w:rPr>
        <w:t>金属材料:按GB/T</w:t>
      </w:r>
      <w:r>
        <w:rPr>
          <w:rFonts w:hint="eastAsia"/>
          <w:lang w:val="en-US" w:eastAsia="zh-CN"/>
        </w:rPr>
        <w:t xml:space="preserve"> </w:t>
      </w:r>
      <w:r>
        <w:rPr>
          <w:rFonts w:hint="eastAsia"/>
        </w:rPr>
        <w:t>700、GB/T</w:t>
      </w:r>
      <w:r>
        <w:rPr>
          <w:rFonts w:hint="eastAsia"/>
          <w:lang w:val="en-US" w:eastAsia="zh-CN"/>
        </w:rPr>
        <w:t xml:space="preserve"> </w:t>
      </w:r>
      <w:r>
        <w:rPr>
          <w:rFonts w:hint="eastAsia"/>
        </w:rPr>
        <w:t>708,GB/T</w:t>
      </w:r>
      <w:r>
        <w:rPr>
          <w:rFonts w:hint="eastAsia"/>
          <w:lang w:val="en-US" w:eastAsia="zh-CN"/>
        </w:rPr>
        <w:t xml:space="preserve"> </w:t>
      </w:r>
      <w:r>
        <w:rPr>
          <w:rFonts w:hint="eastAsia"/>
        </w:rPr>
        <w:t>3280规定的方法进行材质分析、厚度测量和力学性能试验。</w:t>
      </w:r>
    </w:p>
    <w:p w14:paraId="36AF41FC">
      <w:pPr>
        <w:pStyle w:val="75"/>
        <w:bidi w:val="0"/>
        <w:rPr>
          <w:rFonts w:hint="eastAsia"/>
        </w:rPr>
      </w:pPr>
      <w:r>
        <w:rPr>
          <w:rFonts w:hint="eastAsia"/>
        </w:rPr>
        <w:t>塑料材料:按GB/T</w:t>
      </w:r>
      <w:r>
        <w:rPr>
          <w:rFonts w:hint="eastAsia"/>
          <w:lang w:val="en-US" w:eastAsia="zh-CN"/>
        </w:rPr>
        <w:t xml:space="preserve"> </w:t>
      </w:r>
      <w:r>
        <w:rPr>
          <w:rFonts w:hint="eastAsia"/>
        </w:rPr>
        <w:t>2408规定的方法进行燃烧性能试验，按GB/T</w:t>
      </w:r>
      <w:r>
        <w:rPr>
          <w:rFonts w:hint="eastAsia"/>
          <w:lang w:val="en-US" w:eastAsia="zh-CN"/>
        </w:rPr>
        <w:t xml:space="preserve"> </w:t>
      </w:r>
      <w:r>
        <w:rPr>
          <w:rFonts w:hint="eastAsia"/>
        </w:rPr>
        <w:t>2423.1、GB/T</w:t>
      </w:r>
      <w:r>
        <w:rPr>
          <w:rFonts w:hint="eastAsia"/>
          <w:lang w:val="en-US" w:eastAsia="zh-CN"/>
        </w:rPr>
        <w:t xml:space="preserve"> </w:t>
      </w:r>
      <w:r>
        <w:rPr>
          <w:rFonts w:hint="eastAsia"/>
        </w:rPr>
        <w:t>2423.2规定进行高低温老化试验。</w:t>
      </w:r>
    </w:p>
    <w:p w14:paraId="11F8858E">
      <w:pPr>
        <w:pStyle w:val="75"/>
        <w:bidi w:val="0"/>
        <w:rPr>
          <w:rFonts w:hint="eastAsia"/>
        </w:rPr>
      </w:pPr>
      <w:r>
        <w:rPr>
          <w:rFonts w:hint="eastAsia"/>
        </w:rPr>
        <w:t>绝缘材料:按GB/T</w:t>
      </w:r>
      <w:r>
        <w:rPr>
          <w:rFonts w:hint="eastAsia"/>
          <w:lang w:val="en-US" w:eastAsia="zh-CN"/>
        </w:rPr>
        <w:t xml:space="preserve"> </w:t>
      </w:r>
      <w:r>
        <w:rPr>
          <w:rFonts w:hint="eastAsia"/>
        </w:rPr>
        <w:t>16935.1规定的方法测量绝缘电阻和耐电弧性能。</w:t>
      </w:r>
    </w:p>
    <w:p w14:paraId="13E3E03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结构尺寸检验</w:t>
      </w:r>
    </w:p>
    <w:p w14:paraId="29CDDBEB">
      <w:pPr>
        <w:pStyle w:val="75"/>
        <w:bidi w:val="0"/>
        <w:rPr>
          <w:rFonts w:hint="eastAsia"/>
        </w:rPr>
      </w:pPr>
      <w:r>
        <w:rPr>
          <w:rFonts w:hint="eastAsia"/>
        </w:rPr>
        <w:t>采用精度0.02mm的游标卡尺和钢卷尺，测量箱体外形尺寸、安装孔位置尺寸，每个尺寸测量3次，取平均值。</w:t>
      </w:r>
    </w:p>
    <w:p w14:paraId="747D03D0">
      <w:pPr>
        <w:pStyle w:val="75"/>
        <w:bidi w:val="0"/>
        <w:rPr>
          <w:rFonts w:hint="eastAsia"/>
        </w:rPr>
      </w:pPr>
      <w:r>
        <w:rPr>
          <w:rFonts w:hint="eastAsia"/>
        </w:rPr>
        <w:t>机械强度试验:按5.2.2要求，施加相应拉力或推力，保持30min后，观察箱体是否有水久变形、损坏。</w:t>
      </w:r>
    </w:p>
    <w:p w14:paraId="52859D28">
      <w:pPr>
        <w:pStyle w:val="75"/>
        <w:bidi w:val="0"/>
        <w:rPr>
          <w:rFonts w:hint="eastAsia"/>
        </w:rPr>
      </w:pPr>
      <w:r>
        <w:rPr>
          <w:rFonts w:hint="eastAsia"/>
        </w:rPr>
        <w:t>箱门密封性能:用塞尺测量箱门与箱体的缝隙，每个侧面测量3点，取最大值。</w:t>
      </w:r>
    </w:p>
    <w:p w14:paraId="459C32B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电气性能试验</w:t>
      </w:r>
    </w:p>
    <w:p w14:paraId="1D5B13FF">
      <w:pPr>
        <w:pStyle w:val="75"/>
        <w:bidi w:val="0"/>
        <w:rPr>
          <w:rFonts w:hint="eastAsia"/>
        </w:rPr>
      </w:pPr>
      <w:r>
        <w:rPr>
          <w:rFonts w:hint="eastAsia"/>
        </w:rPr>
        <w:t>绝缘电阻测试:按GB/T</w:t>
      </w:r>
      <w:r>
        <w:rPr>
          <w:rFonts w:hint="eastAsia"/>
          <w:lang w:val="en-US" w:eastAsia="zh-CN"/>
        </w:rPr>
        <w:t xml:space="preserve"> </w:t>
      </w:r>
      <w:r>
        <w:rPr>
          <w:rFonts w:hint="eastAsia"/>
        </w:rPr>
        <w:t>16935.1规定，使用相应电压等级的兆欧表，测量带电部件与箱体之间的绝缘电阻，持续测量1min，记录数值。</w:t>
      </w:r>
    </w:p>
    <w:p w14:paraId="5B8C6DBD">
      <w:pPr>
        <w:pStyle w:val="75"/>
        <w:bidi w:val="0"/>
        <w:rPr>
          <w:rFonts w:hint="eastAsia"/>
        </w:rPr>
      </w:pPr>
      <w:r>
        <w:rPr>
          <w:rFonts w:hint="eastAsia"/>
        </w:rPr>
        <w:t>温升试验:按GB</w:t>
      </w:r>
      <w:r>
        <w:rPr>
          <w:rFonts w:hint="eastAsia"/>
          <w:lang w:val="en-US" w:eastAsia="zh-CN"/>
        </w:rPr>
        <w:t xml:space="preserve"> </w:t>
      </w:r>
      <w:r>
        <w:rPr>
          <w:rFonts w:hint="eastAsia"/>
        </w:rPr>
        <w:t>7251.1规定，将计量箱接入额定电流，连续运行2h，用热电偶温度计测量箱体表面和接线端子的温升。</w:t>
      </w:r>
    </w:p>
    <w:p w14:paraId="0B8CAF12">
      <w:pPr>
        <w:pStyle w:val="75"/>
        <w:bidi w:val="0"/>
        <w:rPr>
          <w:rFonts w:hint="eastAsia"/>
        </w:rPr>
      </w:pPr>
      <w:r>
        <w:rPr>
          <w:rFonts w:hint="eastAsia"/>
        </w:rPr>
        <w:t>短路耐受试验:按GB</w:t>
      </w:r>
      <w:r>
        <w:rPr>
          <w:rFonts w:hint="eastAsia"/>
          <w:lang w:val="en-US" w:eastAsia="zh-CN"/>
        </w:rPr>
        <w:t xml:space="preserve"> </w:t>
      </w:r>
      <w:r>
        <w:rPr>
          <w:rFonts w:hint="eastAsia"/>
        </w:rPr>
        <w:t>14048.1规定，施加额定短路电流，持续相应时间后，检查计量箱是否有损坏、放电现象。</w:t>
      </w:r>
    </w:p>
    <w:p w14:paraId="6586FF4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防护性能试验</w:t>
      </w:r>
    </w:p>
    <w:p w14:paraId="53513426">
      <w:pPr>
        <w:pStyle w:val="75"/>
        <w:bidi w:val="0"/>
        <w:rPr>
          <w:rFonts w:hint="eastAsia"/>
        </w:rPr>
      </w:pPr>
      <w:r>
        <w:rPr>
          <w:rFonts w:hint="eastAsia"/>
        </w:rPr>
        <w:t>防护等级测试:按GB/T</w:t>
      </w:r>
      <w:r>
        <w:rPr>
          <w:rFonts w:hint="eastAsia"/>
          <w:lang w:val="en-US" w:eastAsia="zh-CN"/>
        </w:rPr>
        <w:t xml:space="preserve"> </w:t>
      </w:r>
      <w:r>
        <w:rPr>
          <w:rFonts w:hint="eastAsia"/>
        </w:rPr>
        <w:t>4208规定的方法，进行固体异物侵入和水侵入试验，验证防护等级是否符合要求。</w:t>
      </w:r>
    </w:p>
    <w:p w14:paraId="6FFF5E1C">
      <w:pPr>
        <w:pStyle w:val="75"/>
        <w:bidi w:val="0"/>
        <w:rPr>
          <w:rFonts w:hint="eastAsia"/>
        </w:rPr>
      </w:pPr>
      <w:r>
        <w:rPr>
          <w:rFonts w:hint="eastAsia"/>
        </w:rPr>
        <w:t>盐雾试验:将金属箱体放入盐雾试验箱，连续试验48h后，观察表面腐蚀情况。</w:t>
      </w:r>
    </w:p>
    <w:p w14:paraId="30A30C6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环境适应性试验</w:t>
      </w:r>
    </w:p>
    <w:p w14:paraId="48868115">
      <w:pPr>
        <w:pStyle w:val="20"/>
        <w:bidi w:val="0"/>
        <w:rPr>
          <w:rFonts w:hint="eastAsia"/>
        </w:rPr>
      </w:pPr>
      <w:r>
        <w:rPr>
          <w:rFonts w:hint="eastAsia"/>
        </w:rPr>
        <w:t>高低温试验</w:t>
      </w:r>
    </w:p>
    <w:p w14:paraId="43DFACF6">
      <w:pPr>
        <w:pStyle w:val="17"/>
        <w:rPr>
          <w:rFonts w:hint="eastAsia"/>
        </w:rPr>
      </w:pPr>
      <w:r>
        <w:rPr>
          <w:rFonts w:hint="eastAsia"/>
        </w:rPr>
        <w:t>按GB/T 2423.1、GB/T</w:t>
      </w:r>
      <w:r>
        <w:rPr>
          <w:rFonts w:hint="eastAsia"/>
          <w:lang w:val="en-US" w:eastAsia="zh-CN"/>
        </w:rPr>
        <w:t xml:space="preserve"> </w:t>
      </w:r>
      <w:r>
        <w:rPr>
          <w:rFonts w:hint="eastAsia"/>
        </w:rPr>
        <w:t>2423.2规定，将计量箱放入高低温试验箱，在-40℃和70℃下各保持8h，试验后检查电气性能是否正常。</w:t>
      </w:r>
    </w:p>
    <w:p w14:paraId="4D3DD732">
      <w:pPr>
        <w:pStyle w:val="20"/>
        <w:bidi w:val="0"/>
        <w:rPr>
          <w:rFonts w:hint="eastAsia"/>
        </w:rPr>
      </w:pPr>
      <w:r>
        <w:rPr>
          <w:rFonts w:hint="eastAsia"/>
        </w:rPr>
        <w:t>湿热试验</w:t>
      </w:r>
    </w:p>
    <w:p w14:paraId="31F037FA">
      <w:pPr>
        <w:pStyle w:val="17"/>
        <w:rPr>
          <w:rFonts w:hint="eastAsia"/>
        </w:rPr>
      </w:pPr>
      <w:r>
        <w:rPr>
          <w:rFonts w:hint="eastAsia"/>
        </w:rPr>
        <w:t>按GB/T</w:t>
      </w:r>
      <w:r>
        <w:rPr>
          <w:rFonts w:hint="eastAsia"/>
          <w:lang w:val="en-US" w:eastAsia="zh-CN"/>
        </w:rPr>
        <w:t xml:space="preserve"> </w:t>
      </w:r>
      <w:r>
        <w:rPr>
          <w:rFonts w:hint="eastAsia"/>
        </w:rPr>
        <w:t>2423.3规定，在温度40°C、相对湿度95%条件下，持续试验48h，试验后检查内部是否有凝露、电气性能是否正常。</w:t>
      </w:r>
    </w:p>
    <w:p w14:paraId="1A57710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安全性能试验</w:t>
      </w:r>
    </w:p>
    <w:p w14:paraId="37CA6154">
      <w:pPr>
        <w:pStyle w:val="75"/>
        <w:bidi w:val="0"/>
        <w:rPr>
          <w:rFonts w:hint="eastAsia"/>
        </w:rPr>
      </w:pPr>
      <w:r>
        <w:rPr>
          <w:rFonts w:hint="eastAsia"/>
        </w:rPr>
        <w:t>接地电阻测试:使用接地电阻测试仪，测量箱体接地端子与外露导电部分之间的电阻。</w:t>
      </w:r>
    </w:p>
    <w:p w14:paraId="6B380FD6">
      <w:pPr>
        <w:pStyle w:val="75"/>
        <w:bidi w:val="0"/>
        <w:rPr>
          <w:rFonts w:hint="eastAsia"/>
        </w:rPr>
      </w:pPr>
      <w:r>
        <w:rPr>
          <w:rFonts w:hint="eastAsia"/>
        </w:rPr>
        <w:t>爬电距离和电气间隙测量:采用精度0.01mm的显微镜，测量带电部件与不带电部件之间的爬电距离和电气间隙。</w:t>
      </w:r>
    </w:p>
    <w:p w14:paraId="2462A589">
      <w:pPr>
        <w:pStyle w:val="18"/>
        <w:bidi w:val="0"/>
        <w:rPr>
          <w:rFonts w:hint="eastAsia"/>
        </w:rPr>
      </w:pPr>
      <w:bookmarkStart w:id="69" w:name="_Toc2329"/>
      <w:r>
        <w:rPr>
          <w:rFonts w:hint="eastAsia"/>
        </w:rPr>
        <w:t>检验规则</w:t>
      </w:r>
      <w:bookmarkEnd w:id="69"/>
    </w:p>
    <w:p w14:paraId="69273D8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出厂检验</w:t>
      </w:r>
    </w:p>
    <w:p w14:paraId="75F3B62F">
      <w:pPr>
        <w:pStyle w:val="75"/>
        <w:bidi w:val="0"/>
        <w:rPr>
          <w:rFonts w:hint="eastAsia"/>
        </w:rPr>
      </w:pPr>
      <w:r>
        <w:rPr>
          <w:rFonts w:hint="eastAsia"/>
        </w:rPr>
        <w:t>每台计量箱出厂前必须进行出厂检验，检验合格并附产品合格证后方可出厂。</w:t>
      </w:r>
    </w:p>
    <w:p w14:paraId="5942E831">
      <w:pPr>
        <w:pStyle w:val="75"/>
        <w:bidi w:val="0"/>
        <w:rPr>
          <w:rFonts w:hint="eastAsia"/>
        </w:rPr>
      </w:pPr>
      <w:r>
        <w:rPr>
          <w:rFonts w:hint="eastAsia"/>
        </w:rPr>
        <w:t>出厂检验项目包括:外观质量、结构尺寸、绝缘电阻、接地电阻、箱门密封性能。</w:t>
      </w:r>
    </w:p>
    <w:p w14:paraId="268F2022">
      <w:pPr>
        <w:pStyle w:val="75"/>
        <w:bidi w:val="0"/>
        <w:rPr>
          <w:rFonts w:hint="eastAsia"/>
        </w:rPr>
      </w:pPr>
      <w:r>
        <w:rPr>
          <w:rFonts w:hint="eastAsia"/>
        </w:rPr>
        <w:t>抽样方法:按GB/T</w:t>
      </w:r>
      <w:r>
        <w:rPr>
          <w:rFonts w:hint="eastAsia"/>
          <w:lang w:val="en-US" w:eastAsia="zh-CN"/>
        </w:rPr>
        <w:t xml:space="preserve"> </w:t>
      </w:r>
      <w:r>
        <w:rPr>
          <w:rFonts w:hint="eastAsia"/>
        </w:rPr>
        <w:t>2828.1规定，采用一次抽样方案，接收质量限(AQL)=1.0%，样本量字码根据批量确定</w:t>
      </w:r>
    </w:p>
    <w:p w14:paraId="434FCEF3">
      <w:pPr>
        <w:pStyle w:val="75"/>
        <w:bidi w:val="0"/>
        <w:rPr>
          <w:rFonts w:hint="eastAsia"/>
        </w:rPr>
      </w:pPr>
      <w:r>
        <w:rPr>
          <w:rFonts w:hint="eastAsia"/>
        </w:rPr>
        <w:t>判定规则:样本中不合格项数≤接收数，判定该批产品合格:不合格项数</w:t>
      </w:r>
      <w:r>
        <w:rPr>
          <w:rFonts w:hint="eastAsia"/>
          <w:lang w:val="en-US" w:eastAsia="zh-CN"/>
        </w:rPr>
        <w:t>＞</w:t>
      </w:r>
      <w:r>
        <w:rPr>
          <w:rFonts w:hint="eastAsia"/>
        </w:rPr>
        <w:t>接收数，判定该批产品不合格，允许返修后重新检验。</w:t>
      </w:r>
    </w:p>
    <w:p w14:paraId="7541B91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型式检验</w:t>
      </w:r>
    </w:p>
    <w:p w14:paraId="34AC8F27">
      <w:pPr>
        <w:pStyle w:val="75"/>
        <w:bidi w:val="0"/>
        <w:rPr>
          <w:rFonts w:hint="eastAsia"/>
        </w:rPr>
      </w:pPr>
      <w:r>
        <w:rPr>
          <w:rFonts w:hint="eastAsia"/>
        </w:rPr>
        <w:t>有下列情况之一时，应进行型式检验:</w:t>
      </w:r>
    </w:p>
    <w:p w14:paraId="00F393CC">
      <w:pPr>
        <w:pStyle w:val="46"/>
        <w:numPr>
          <w:ilvl w:val="0"/>
          <w:numId w:val="32"/>
        </w:numPr>
        <w:bidi w:val="0"/>
        <w:ind w:left="851" w:leftChars="0" w:hanging="426" w:firstLineChars="0"/>
        <w:rPr>
          <w:rFonts w:hint="eastAsia"/>
        </w:rPr>
      </w:pPr>
      <w:r>
        <w:rPr>
          <w:rFonts w:hint="eastAsia"/>
        </w:rPr>
        <w:t>新产品试制定型鉴定时；</w:t>
      </w:r>
    </w:p>
    <w:p w14:paraId="537E979B">
      <w:pPr>
        <w:pStyle w:val="46"/>
        <w:numPr>
          <w:ilvl w:val="0"/>
          <w:numId w:val="32"/>
        </w:numPr>
        <w:bidi w:val="0"/>
        <w:ind w:left="851" w:leftChars="0" w:hanging="426" w:firstLineChars="0"/>
        <w:rPr>
          <w:rFonts w:hint="eastAsia"/>
        </w:rPr>
      </w:pPr>
      <w:r>
        <w:rPr>
          <w:rFonts w:hint="eastAsia"/>
        </w:rPr>
        <w:t>产品转厂生产试制定型鉴定时；</w:t>
      </w:r>
    </w:p>
    <w:p w14:paraId="6B696B46">
      <w:pPr>
        <w:pStyle w:val="46"/>
        <w:numPr>
          <w:ilvl w:val="0"/>
          <w:numId w:val="32"/>
        </w:numPr>
        <w:bidi w:val="0"/>
        <w:ind w:left="851" w:leftChars="0" w:hanging="426" w:firstLineChars="0"/>
        <w:rPr>
          <w:rFonts w:hint="eastAsia"/>
        </w:rPr>
      </w:pPr>
      <w:r>
        <w:rPr>
          <w:rFonts w:hint="eastAsia"/>
        </w:rPr>
        <w:t>正式生产时，如结构、材料、工艺有较大改变，可能影响到产品性能时；</w:t>
      </w:r>
    </w:p>
    <w:p w14:paraId="1A027E1D">
      <w:pPr>
        <w:pStyle w:val="46"/>
        <w:numPr>
          <w:ilvl w:val="0"/>
          <w:numId w:val="32"/>
        </w:numPr>
        <w:bidi w:val="0"/>
        <w:ind w:left="851" w:leftChars="0" w:hanging="426" w:firstLineChars="0"/>
        <w:rPr>
          <w:rFonts w:hint="eastAsia"/>
        </w:rPr>
      </w:pPr>
      <w:r>
        <w:rPr>
          <w:rFonts w:hint="eastAsia"/>
        </w:rPr>
        <w:t>产品停产1年以上恢复生产时；</w:t>
      </w:r>
    </w:p>
    <w:p w14:paraId="3EA2F189">
      <w:pPr>
        <w:pStyle w:val="46"/>
        <w:numPr>
          <w:ilvl w:val="0"/>
          <w:numId w:val="32"/>
        </w:numPr>
        <w:bidi w:val="0"/>
        <w:ind w:left="851" w:leftChars="0" w:hanging="426" w:firstLineChars="0"/>
        <w:rPr>
          <w:rFonts w:hint="eastAsia"/>
        </w:rPr>
      </w:pPr>
      <w:r>
        <w:rPr>
          <w:rFonts w:hint="eastAsia"/>
        </w:rPr>
        <w:t>出厂检验的结果与上次型式检验有较大差异时；</w:t>
      </w:r>
    </w:p>
    <w:p w14:paraId="7CCA030C">
      <w:pPr>
        <w:pStyle w:val="46"/>
        <w:numPr>
          <w:ilvl w:val="0"/>
          <w:numId w:val="32"/>
        </w:numPr>
        <w:bidi w:val="0"/>
        <w:ind w:left="851" w:leftChars="0" w:hanging="426" w:firstLineChars="0"/>
        <w:rPr>
          <w:rFonts w:hint="eastAsia"/>
        </w:rPr>
      </w:pPr>
      <w:r>
        <w:rPr>
          <w:rFonts w:hint="eastAsia"/>
        </w:rPr>
        <w:t>国家监督管理部门要求时</w:t>
      </w:r>
      <w:r>
        <w:rPr>
          <w:rFonts w:hint="eastAsia"/>
          <w:lang w:eastAsia="zh-CN"/>
        </w:rPr>
        <w:t>。</w:t>
      </w:r>
    </w:p>
    <w:p w14:paraId="27CC72E7">
      <w:pPr>
        <w:pStyle w:val="20"/>
        <w:bidi w:val="0"/>
        <w:rPr>
          <w:rFonts w:hint="eastAsia"/>
        </w:rPr>
      </w:pPr>
      <w:r>
        <w:rPr>
          <w:rFonts w:hint="eastAsia"/>
        </w:rPr>
        <w:t>抽样规则</w:t>
      </w:r>
    </w:p>
    <w:p w14:paraId="63E644CF">
      <w:pPr>
        <w:pStyle w:val="17"/>
        <w:rPr>
          <w:rFonts w:hint="eastAsia"/>
        </w:rPr>
      </w:pPr>
      <w:r>
        <w:rPr>
          <w:rFonts w:hint="eastAsia"/>
        </w:rPr>
        <w:t>从出厂检验合格的产品中随机抽取3台，其中1台进行破坏性试验，2台进行非破坏性试验。</w:t>
      </w:r>
    </w:p>
    <w:p w14:paraId="2A39792D">
      <w:pPr>
        <w:pStyle w:val="20"/>
        <w:bidi w:val="0"/>
        <w:rPr>
          <w:rFonts w:hint="eastAsia"/>
        </w:rPr>
      </w:pPr>
      <w:r>
        <w:rPr>
          <w:rFonts w:hint="eastAsia"/>
        </w:rPr>
        <w:t>检验项目</w:t>
      </w:r>
    </w:p>
    <w:p w14:paraId="1EB8C9CF">
      <w:pPr>
        <w:pStyle w:val="17"/>
        <w:rPr>
          <w:rFonts w:hint="eastAsia"/>
        </w:rPr>
      </w:pPr>
      <w:r>
        <w:rPr>
          <w:rFonts w:hint="eastAsia"/>
        </w:rPr>
        <w:t>包括本文件第</w:t>
      </w:r>
      <w:r>
        <w:rPr>
          <w:rFonts w:hint="eastAsia"/>
          <w:lang w:val="en-US" w:eastAsia="zh-CN"/>
        </w:rPr>
        <w:t>6</w:t>
      </w:r>
      <w:r>
        <w:rPr>
          <w:rFonts w:hint="eastAsia"/>
        </w:rPr>
        <w:t>章所有技术要求对应的试验项目。</w:t>
      </w:r>
    </w:p>
    <w:p w14:paraId="49390D14">
      <w:pPr>
        <w:pStyle w:val="20"/>
        <w:bidi w:val="0"/>
        <w:rPr>
          <w:rFonts w:hint="eastAsia"/>
        </w:rPr>
      </w:pPr>
      <w:r>
        <w:rPr>
          <w:rFonts w:hint="eastAsia"/>
        </w:rPr>
        <w:t>判定规则</w:t>
      </w:r>
    </w:p>
    <w:p w14:paraId="69AAD360">
      <w:pPr>
        <w:pStyle w:val="17"/>
        <w:rPr>
          <w:rFonts w:hint="eastAsia"/>
        </w:rPr>
      </w:pPr>
      <w:r>
        <w:rPr>
          <w:rFonts w:hint="eastAsia"/>
        </w:rPr>
        <w:t>全部项目合格，则型式检验合格。如有不合格项，应加倍抽样复检，复检全部合格则判合格。复检仍有不合格，则判该批产品不合格。</w:t>
      </w:r>
    </w:p>
    <w:p w14:paraId="6A0CE99A">
      <w:pPr>
        <w:pStyle w:val="18"/>
        <w:bidi w:val="0"/>
        <w:rPr>
          <w:rFonts w:hint="eastAsia"/>
        </w:rPr>
      </w:pPr>
      <w:bookmarkStart w:id="70" w:name="_Toc11236"/>
      <w:r>
        <w:rPr>
          <w:rFonts w:hint="eastAsia"/>
        </w:rPr>
        <w:t>标志、包装、运输与贮存</w:t>
      </w:r>
      <w:bookmarkEnd w:id="70"/>
    </w:p>
    <w:p w14:paraId="4AF5E840">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标志</w:t>
      </w:r>
    </w:p>
    <w:p w14:paraId="7D910877">
      <w:pPr>
        <w:pStyle w:val="20"/>
        <w:bidi w:val="0"/>
        <w:rPr>
          <w:rFonts w:hint="eastAsia"/>
        </w:rPr>
      </w:pPr>
      <w:r>
        <w:rPr>
          <w:rFonts w:hint="eastAsia"/>
        </w:rPr>
        <w:t>产品标志</w:t>
      </w:r>
    </w:p>
    <w:p w14:paraId="797EF6DF">
      <w:pPr>
        <w:pStyle w:val="17"/>
        <w:rPr>
          <w:rFonts w:hint="eastAsia"/>
        </w:rPr>
      </w:pPr>
      <w:r>
        <w:rPr>
          <w:rFonts w:hint="eastAsia"/>
        </w:rPr>
        <w:t>每台计量箱应在明显位置设置永久性铭牌，内容包括：产品名称及型号、额定电压和额定电流、防护等级、制造商标及商标、生产日期及出厂编号、执行标准编号。</w:t>
      </w:r>
    </w:p>
    <w:p w14:paraId="0E16CB97">
      <w:pPr>
        <w:pStyle w:val="20"/>
        <w:bidi w:val="0"/>
        <w:rPr>
          <w:rFonts w:hint="eastAsia"/>
        </w:rPr>
      </w:pPr>
      <w:r>
        <w:rPr>
          <w:rFonts w:hint="eastAsia"/>
        </w:rPr>
        <w:t>包装标志</w:t>
      </w:r>
    </w:p>
    <w:p w14:paraId="73723865">
      <w:pPr>
        <w:pStyle w:val="17"/>
        <w:rPr>
          <w:rFonts w:hint="eastAsia"/>
        </w:rPr>
      </w:pPr>
      <w:r>
        <w:rPr>
          <w:rFonts w:hint="eastAsia"/>
        </w:rPr>
        <w:t>包装箱外应标明：产品名称及型号、数量、毛重及外形尺寸、“小心轻放”“防潮”“向上”等运输标志、制造商名称及地址。</w:t>
      </w:r>
    </w:p>
    <w:p w14:paraId="0E43799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包装</w:t>
      </w:r>
    </w:p>
    <w:p w14:paraId="357A1C65">
      <w:pPr>
        <w:pStyle w:val="17"/>
        <w:rPr>
          <w:rFonts w:hint="eastAsia"/>
        </w:rPr>
      </w:pPr>
      <w:r>
        <w:rPr>
          <w:rFonts w:hint="eastAsia"/>
        </w:rPr>
        <w:t>包装应能防止产品在运输过程中受损。包装材料应防潮、防震。箱内应附有合格证、安装说明书、电气接线图等文件。每台产品应提供产品合格证、安装使用说明书、电气原理图及接线图、装箱单。</w:t>
      </w:r>
    </w:p>
    <w:p w14:paraId="324726D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运输</w:t>
      </w:r>
    </w:p>
    <w:p w14:paraId="5FE44232">
      <w:pPr>
        <w:pStyle w:val="17"/>
        <w:rPr>
          <w:rFonts w:hint="eastAsia"/>
        </w:rPr>
      </w:pPr>
      <w:r>
        <w:rPr>
          <w:rFonts w:hint="eastAsia"/>
        </w:rPr>
        <w:t>运输过程中应避免剧烈震动、碰撞。不得与腐蚀性物质混装。防止雨雪直接淋袭。</w:t>
      </w:r>
    </w:p>
    <w:p w14:paraId="6A3DC0C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贮存</w:t>
      </w:r>
    </w:p>
    <w:p w14:paraId="67DBA8FB">
      <w:pPr>
        <w:pStyle w:val="17"/>
      </w:pPr>
      <w:r>
        <w:rPr>
          <w:rFonts w:hint="eastAsia"/>
        </w:rPr>
        <w:t>贮存环境应干燥、通风良好。环境温度为零下25</w:t>
      </w:r>
      <w:r>
        <w:rPr>
          <w:rFonts w:hint="eastAsia"/>
          <w:lang w:val="en-US" w:eastAsia="zh-CN"/>
        </w:rPr>
        <w:t>℃</w:t>
      </w:r>
      <w:r>
        <w:rPr>
          <w:rFonts w:hint="eastAsia"/>
        </w:rPr>
        <w:t>至零上55℃。相对湿度不大于90%，在25℃时。周围无腐蚀性气体。贮存期限不超过2年，超期应重新检验。</w:t>
      </w:r>
    </w:p>
    <w:bookmarkEnd w:id="24"/>
    <w:p w14:paraId="729E6089">
      <w:pPr>
        <w:pStyle w:val="17"/>
      </w:pPr>
    </w:p>
    <w:sectPr>
      <w:headerReference r:id="rId13" w:type="default"/>
      <w:footerReference r:id="rId15" w:type="default"/>
      <w:headerReference r:id="rId14" w:type="even"/>
      <w:footerReference r:id="rId16" w:type="even"/>
      <w:pgSz w:w="11906" w:h="16838"/>
      <w:pgMar w:top="1928" w:right="1134" w:bottom="1134" w:left="1134" w:header="1417" w:footer="1134" w:gutter="283"/>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15D43">
    <w:pPr>
      <w:pStyle w:val="110"/>
      <w:rPr>
        <w:szCs w:val="18"/>
      </w:rPr>
    </w:pPr>
    <w:r>
      <w:fldChar w:fldCharType="begin"/>
    </w:r>
    <w:r>
      <w:instrText xml:space="preserve">PAGE   \* MERGEFORMAT</w:instrText>
    </w:r>
    <w:r>
      <w:fldChar w:fldCharType="separate"/>
    </w:r>
    <w:r>
      <w:rPr>
        <w:lang w:val="zh-CN"/>
      </w:rP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83AA2">
    <w:pPr>
      <w:pStyle w:val="6"/>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FA359">
                          <w:pPr>
                            <w:pStyle w:val="6"/>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707FA359">
                    <w:pPr>
                      <w:pStyle w:val="6"/>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2A763">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A8872">
    <w:pPr>
      <w:snapToGrid w:val="0"/>
      <w:ind w:right="227"/>
      <w:jc w:val="right"/>
      <w:rPr>
        <w:rFonts w:ascii="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C988D">
    <w:pPr>
      <w:pStyle w:val="111"/>
      <w:rPr>
        <w:rFonts w:cs="宋体"/>
      </w:rPr>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3EFD8">
    <w:pPr>
      <w:snapToGrid w:val="0"/>
      <w:ind w:right="227"/>
      <w:jc w:val="right"/>
      <w:rPr>
        <w:rFonts w:ascii="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D1DB8">
    <w:pPr>
      <w:pStyle w:val="111"/>
      <w:rPr>
        <w:rFonts w:cs="宋体"/>
      </w:rPr>
    </w:pPr>
    <w:r>
      <w:fldChar w:fldCharType="begin"/>
    </w:r>
    <w:r>
      <w:instrText xml:space="preserve">PAGE   \* MERGEFORMAT</w:instrText>
    </w:r>
    <w:r>
      <w:fldChar w:fldCharType="separate"/>
    </w:r>
    <w:r>
      <w:rPr>
        <w:lang w:val="zh-CN"/>
      </w:rPr>
      <w:t>2</w:t>
    </w:r>
    <w:r>
      <w:fldChar w:fldCharType="end"/>
    </w:r>
    <w:r>
      <w:rPr>
        <w:rFonts w:hint="eastAsia" w:cs="宋体"/>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2251B1">
                          <w:pPr>
                            <w:pStyle w:val="6"/>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142251B1">
                    <w:pPr>
                      <w:pStyle w:val="6"/>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CDB1A">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1DDF">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7A319">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F45A6">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123A9">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A33AC">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D11A4C">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4">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2">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1F407552"/>
    <w:multiLevelType w:val="multilevel"/>
    <w:tmpl w:val="1F407552"/>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4">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6">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9">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1">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2">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3">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4">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5">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04BBFED"/>
    <w:multiLevelType w:val="multilevel"/>
    <w:tmpl w:val="704BBFED"/>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28">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9">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30">
    <w:nsid w:val="7FE50BE1"/>
    <w:multiLevelType w:val="multilevel"/>
    <w:tmpl w:val="7FE50BE1"/>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num w:numId="1">
    <w:abstractNumId w:val="24"/>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1"/>
  </w:num>
  <w:num w:numId="3">
    <w:abstractNumId w:val="7"/>
  </w:num>
  <w:num w:numId="4">
    <w:abstractNumId w:val="4"/>
  </w:num>
  <w:num w:numId="5">
    <w:abstractNumId w:val="1"/>
  </w:num>
  <w:num w:numId="6">
    <w:abstractNumId w:val="27"/>
  </w:num>
  <w:num w:numId="7">
    <w:abstractNumId w:val="26"/>
  </w:num>
  <w:num w:numId="8">
    <w:abstractNumId w:val="20"/>
  </w:num>
  <w:num w:numId="9">
    <w:abstractNumId w:val="12"/>
  </w:num>
  <w:num w:numId="10">
    <w:abstractNumId w:val="19"/>
  </w:num>
  <w:num w:numId="11">
    <w:abstractNumId w:val="10"/>
  </w:num>
  <w:num w:numId="12">
    <w:abstractNumId w:val="17"/>
  </w:num>
  <w:num w:numId="13">
    <w:abstractNumId w:val="18"/>
  </w:num>
  <w:num w:numId="14">
    <w:abstractNumId w:val="29"/>
  </w:num>
  <w:num w:numId="15">
    <w:abstractNumId w:val="8"/>
  </w:num>
  <w:num w:numId="16">
    <w:abstractNumId w:val="9"/>
  </w:num>
  <w:num w:numId="17">
    <w:abstractNumId w:val="16"/>
  </w:num>
  <w:num w:numId="18">
    <w:abstractNumId w:val="2"/>
  </w:num>
  <w:num w:numId="19">
    <w:abstractNumId w:val="23"/>
  </w:num>
  <w:num w:numId="20">
    <w:abstractNumId w:val="14"/>
  </w:num>
  <w:num w:numId="21">
    <w:abstractNumId w:val="6"/>
  </w:num>
  <w:num w:numId="22">
    <w:abstractNumId w:val="28"/>
  </w:num>
  <w:num w:numId="23">
    <w:abstractNumId w:val="5"/>
  </w:num>
  <w:num w:numId="24">
    <w:abstractNumId w:val="25"/>
  </w:num>
  <w:num w:numId="25">
    <w:abstractNumId w:val="15"/>
  </w:num>
  <w:num w:numId="26">
    <w:abstractNumId w:val="11"/>
  </w:num>
  <w:num w:numId="27">
    <w:abstractNumId w:val="3"/>
  </w:num>
  <w:num w:numId="28">
    <w:abstractNumId w:val="22"/>
  </w:num>
  <w:num w:numId="29">
    <w:abstractNumId w:val="0"/>
  </w:num>
  <w:num w:numId="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attachedTemplate r:id="rId1"/>
  <w:documentProtection w:edit="forms" w:enforcement="0"/>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xZTg5ZWFlM2YwY2Y5ZGFlOGI3MjhkYWExMTMwODEifQ=="/>
  </w:docVars>
  <w:rsids>
    <w:rsidRoot w:val="72405B61"/>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E76EB4"/>
    <w:rsid w:val="21C87CA9"/>
    <w:rsid w:val="21E61CF3"/>
    <w:rsid w:val="249646FF"/>
    <w:rsid w:val="2500423F"/>
    <w:rsid w:val="262A12F8"/>
    <w:rsid w:val="28463832"/>
    <w:rsid w:val="28E6111C"/>
    <w:rsid w:val="290C4C94"/>
    <w:rsid w:val="2A3E688B"/>
    <w:rsid w:val="2C3C5198"/>
    <w:rsid w:val="2ED27DE6"/>
    <w:rsid w:val="2F850CB5"/>
    <w:rsid w:val="302C3E7E"/>
    <w:rsid w:val="30F46FAF"/>
    <w:rsid w:val="3155171C"/>
    <w:rsid w:val="31FD3DEE"/>
    <w:rsid w:val="32F35720"/>
    <w:rsid w:val="33EE30E3"/>
    <w:rsid w:val="343E1BBC"/>
    <w:rsid w:val="363C1D08"/>
    <w:rsid w:val="363C7C6C"/>
    <w:rsid w:val="366B505F"/>
    <w:rsid w:val="375D3338"/>
    <w:rsid w:val="377B3B40"/>
    <w:rsid w:val="39A5703D"/>
    <w:rsid w:val="39C520E2"/>
    <w:rsid w:val="3B7479F7"/>
    <w:rsid w:val="3C17635F"/>
    <w:rsid w:val="3C5F6A31"/>
    <w:rsid w:val="3CA646C8"/>
    <w:rsid w:val="3CB53659"/>
    <w:rsid w:val="3F2C14B5"/>
    <w:rsid w:val="405F5F05"/>
    <w:rsid w:val="41715709"/>
    <w:rsid w:val="43211C92"/>
    <w:rsid w:val="436A5D90"/>
    <w:rsid w:val="44945351"/>
    <w:rsid w:val="454E0A49"/>
    <w:rsid w:val="45D02D3E"/>
    <w:rsid w:val="470C286D"/>
    <w:rsid w:val="47CA7BC1"/>
    <w:rsid w:val="47F104D4"/>
    <w:rsid w:val="48F403D8"/>
    <w:rsid w:val="4A0E4D5B"/>
    <w:rsid w:val="4C585E2C"/>
    <w:rsid w:val="4C7B756C"/>
    <w:rsid w:val="4E761D21"/>
    <w:rsid w:val="4EE021C8"/>
    <w:rsid w:val="505A77E4"/>
    <w:rsid w:val="50753B17"/>
    <w:rsid w:val="510E66B3"/>
    <w:rsid w:val="511B7B18"/>
    <w:rsid w:val="51AD2478"/>
    <w:rsid w:val="51D87EE1"/>
    <w:rsid w:val="534144B7"/>
    <w:rsid w:val="53932DDE"/>
    <w:rsid w:val="55F86221"/>
    <w:rsid w:val="56B0511D"/>
    <w:rsid w:val="57E84794"/>
    <w:rsid w:val="585700CC"/>
    <w:rsid w:val="58B03032"/>
    <w:rsid w:val="58BC0C84"/>
    <w:rsid w:val="58D45546"/>
    <w:rsid w:val="594430E6"/>
    <w:rsid w:val="594C41DC"/>
    <w:rsid w:val="597F7CDB"/>
    <w:rsid w:val="59826A2C"/>
    <w:rsid w:val="59AB3693"/>
    <w:rsid w:val="59FD794F"/>
    <w:rsid w:val="5AC711CE"/>
    <w:rsid w:val="5B010A5C"/>
    <w:rsid w:val="5B8B2699"/>
    <w:rsid w:val="5C734E29"/>
    <w:rsid w:val="5CC341C0"/>
    <w:rsid w:val="5D476B3E"/>
    <w:rsid w:val="5F47231D"/>
    <w:rsid w:val="5FA03A07"/>
    <w:rsid w:val="5FB22BC7"/>
    <w:rsid w:val="60AF6D84"/>
    <w:rsid w:val="611D5F05"/>
    <w:rsid w:val="61613168"/>
    <w:rsid w:val="61950078"/>
    <w:rsid w:val="628E2E7E"/>
    <w:rsid w:val="643C6DA1"/>
    <w:rsid w:val="647453C3"/>
    <w:rsid w:val="661F1591"/>
    <w:rsid w:val="66277585"/>
    <w:rsid w:val="66C700BB"/>
    <w:rsid w:val="67670EBA"/>
    <w:rsid w:val="67A54BE1"/>
    <w:rsid w:val="67E22F1D"/>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1FA3017"/>
    <w:rsid w:val="72330EA6"/>
    <w:rsid w:val="72405B61"/>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5-09-15\240114a81f4746358de6f7e5b97917aa.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14:paraId="70C44B23">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14:paraId="600AC9AD">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Info spid="_x0000_s1034"/>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240114a81f4746358de6f7e5b97917aa.dotx</Template>
  <Pages>10</Pages>
  <Words>4274</Words>
  <Characters>5143</Characters>
  <Lines>6</Lines>
  <Paragraphs>1</Paragraphs>
  <TotalTime>44</TotalTime>
  <ScaleCrop>false</ScaleCrop>
  <LinksUpToDate>false</LinksUpToDate>
  <CharactersWithSpaces>5252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2026-04-09T08:07:00Z</dcterms:created>
  <dc:creator>李小客</dc:creator>
  <cp:lastModifiedBy>李小客</cp:lastModifiedBy>
  <dcterms:modified xsi:type="dcterms:W3CDTF">2026-04-15T01:32:42Z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C3DBD84947AC4919A35676F3B16C7FFB_11</vt:lpwstr>
  </property>
  <property fmtid="{D5CDD505-2E9C-101B-9397-08002B2CF9AE}" pid="4" name="Company">
    <vt:lpwstr>jh</vt:lpwstr>
  </property>
  <property fmtid="{D5CDD505-2E9C-101B-9397-08002B2CF9AE}" pid="5" name="KSOTemplateDocerSaveRecord">
    <vt:lpwstr>eyJoZGlkIjoiZWNlMDAzNWQyNzVkOThhY2NhZTA1Zjc3OGQ5NmI0YzUiLCJ1c2VySWQiOiIxMjQxODY1MjcxIn0=</vt:lpwstr>
  </property>
  <property fmtid="{D5CDD505-2E9C-101B-9397-08002B2CF9AE}" pid="6" name="DoublePrinting">
    <vt:lpwstr>1</vt:lpwstr>
  </property>
</Properties>
</file>