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CB9B60">
      <w:pPr>
        <w:pStyle w:val="2"/>
      </w:pPr>
      <w:r>
        <w:rPr>
          <w:rFonts w:hint="eastAsia" w:asciiTheme="minorEastAsia" w:hAnsiTheme="minorEastAsia" w:eastAsiaTheme="minorEastAsia"/>
          <w:sz w:val="30"/>
          <w:szCs w:val="30"/>
        </w:rPr>
        <w:t>附件3</w:t>
      </w:r>
      <w:r>
        <w:rPr>
          <w:rFonts w:hint="eastAsia"/>
          <w:sz w:val="30"/>
          <w:szCs w:val="30"/>
        </w:rPr>
        <w:t>：</w:t>
      </w:r>
      <w:r>
        <w:rPr>
          <w:rFonts w:hint="eastAsia"/>
        </w:rPr>
        <w:t>《网络食品安全与诚信经营评价技术规范》编制说明</w:t>
      </w:r>
    </w:p>
    <w:p w14:paraId="481482CC">
      <w:pPr>
        <w:spacing w:line="500" w:lineRule="exact"/>
        <w:jc w:val="lef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ab/>
      </w:r>
    </w:p>
    <w:p w14:paraId="0ED86D2F">
      <w:pPr>
        <w:spacing w:line="500" w:lineRule="exact"/>
        <w:jc w:val="left"/>
        <w:rPr>
          <w:rFonts w:hint="eastAsia" w:ascii="宋体" w:hAnsi="宋体"/>
          <w:b/>
          <w:bCs/>
          <w:sz w:val="30"/>
          <w:szCs w:val="30"/>
        </w:rPr>
      </w:pPr>
      <w:r>
        <w:rPr>
          <w:rFonts w:hint="eastAsia" w:ascii="宋体" w:hAnsi="宋体"/>
          <w:b/>
          <w:bCs/>
          <w:sz w:val="30"/>
          <w:szCs w:val="30"/>
        </w:rPr>
        <w:tab/>
      </w:r>
      <w:r>
        <w:rPr>
          <w:rFonts w:hint="eastAsia" w:ascii="宋体" w:hAnsi="宋体"/>
          <w:b/>
          <w:bCs/>
          <w:sz w:val="30"/>
          <w:szCs w:val="30"/>
        </w:rPr>
        <w:t>一、工作简况</w:t>
      </w:r>
    </w:p>
    <w:p w14:paraId="3569D295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01CB4141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1. 任务来源：由中国食品药品企业质量安全促进会提出并归口，针对网络食品直播行业突出问题，为规范经营行为、保障食品安全、构建多元共治体系而设立本标准制修订任务。</w:t>
      </w:r>
    </w:p>
    <w:p w14:paraId="378AF714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2424A693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2. 起草单位：中国食品药品企业质量安全促进会食药安全数智化工作委员会。</w:t>
      </w:r>
    </w:p>
    <w:p w14:paraId="60ED716F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5D0BC56A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3. 主要起草人：</w:t>
      </w:r>
    </w:p>
    <w:p w14:paraId="5EB836EC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46FC6DAD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4. 参与单位：</w:t>
      </w:r>
    </w:p>
    <w:p w14:paraId="07C66A2F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21392061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5. 主要工作：组建起草工作组，系统梳理网络食品直播行业现状与监管需求，研究相关法律法规及标准；开展行业调研，收集平台、直播间运营者、MCN机构等主体实践案例；起草标准文本及附录，明确评价原则、主体对象、指标体系等核心内容；组织多轮内部研讨与征求意见，修改完善后形成标准初稿。</w:t>
      </w:r>
    </w:p>
    <w:p w14:paraId="60E4C2D7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756CE426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6. 其他工作：同步整理标准编制说明、征求意见稿及反馈意见处理情况，为标准评审与发布做好准备。</w:t>
      </w:r>
    </w:p>
    <w:p w14:paraId="5C7D9EBD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6B97DB37">
      <w:pPr>
        <w:spacing w:line="500" w:lineRule="exact"/>
        <w:jc w:val="left"/>
        <w:rPr>
          <w:rFonts w:hint="eastAsia" w:ascii="宋体" w:hAnsi="宋体"/>
          <w:b/>
          <w:bCs/>
          <w:sz w:val="30"/>
          <w:szCs w:val="30"/>
        </w:rPr>
      </w:pPr>
      <w:r>
        <w:rPr>
          <w:rFonts w:hint="eastAsia" w:ascii="宋体" w:hAnsi="宋体"/>
          <w:b/>
          <w:bCs/>
          <w:sz w:val="30"/>
          <w:szCs w:val="30"/>
        </w:rPr>
        <w:t>二、标准编制原则和确定标准主要内容及其论据</w:t>
      </w:r>
    </w:p>
    <w:p w14:paraId="28CE7CFB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037D8D7C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1. 编制原则</w:t>
      </w:r>
    </w:p>
    <w:p w14:paraId="582C0B02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64AA04B0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合法合规原则：严格依据《中华人民共和国食品安全法》《直播电商监督管理办法》等法律法规，确保标准内容与现行监管要求一致。</w:t>
      </w:r>
    </w:p>
    <w:p w14:paraId="424AE69B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448BC293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权责清晰原则：按平台、直播间运营者、直播营销人员、MCN机构四类主体划分责任，分类设置评价要求，避免责任混淆。</w:t>
      </w:r>
    </w:p>
    <w:p w14:paraId="64266CD4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5E55BA44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科学实用原则：结合行业实际，区分食用农产品与食品的差异化监管需求，指标体系量化可操作，兼顾评价准确性与执行便利性。</w:t>
      </w:r>
    </w:p>
    <w:p w14:paraId="0771226E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7651C6AA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动态适配原则：建立“守信激励、失信惩戒、整改修复”机制，适配直播电商新业态、新模式，预留标准修订空间。</w:t>
      </w:r>
    </w:p>
    <w:p w14:paraId="2D58057A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35A9C8EB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2. 主要内容及论据</w:t>
      </w:r>
    </w:p>
    <w:p w14:paraId="653164C7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220A8DF4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核心框架：涵盖评价基本原则、主体与对象、基本条件、经营主体管理要求、实施规则、报告规范、指标体系等13个章节，配套3个规范性附录，形成完整评价技术体系。</w:t>
      </w:r>
    </w:p>
    <w:p w14:paraId="21C55742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630A30A6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技术指标：通用指标聚焦合规经营、禁止性行为管控等共通要求，分类指标突出各类主体核心责任，如平台侧重资质审核与风险管控，直播间运营者侧重食品与食用农产品专项管控，权重分配贴合责任重要程度。</w:t>
      </w:r>
    </w:p>
    <w:p w14:paraId="4DC15A58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425EBFB3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检验与评价规则：明确季度初评与年度总评相结合的评价周期，采用资料复核、现场核查等多维度评审方式，信用等级分为四级，一票否决情形参照法规明确重大违规行为清单，确保评价结果客观公正。</w:t>
      </w:r>
    </w:p>
    <w:p w14:paraId="5C4A7F69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6B09ED62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论据支撑：针对行业虚假宣传、流量造假等突出问题，结合《直播电商经营者落实食品安全主体责任监督管理规定》分级分类要求，通过行业调研数据验证指标合理性，确保标准能有效解决实际问题。</w:t>
      </w:r>
    </w:p>
    <w:p w14:paraId="2C744EA9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06708D09">
      <w:pPr>
        <w:spacing w:line="500" w:lineRule="exact"/>
        <w:jc w:val="left"/>
        <w:rPr>
          <w:rFonts w:hint="eastAsia" w:ascii="宋体" w:hAnsi="宋体"/>
          <w:b/>
          <w:bCs/>
          <w:sz w:val="30"/>
          <w:szCs w:val="30"/>
        </w:rPr>
      </w:pPr>
      <w:r>
        <w:rPr>
          <w:rFonts w:hint="eastAsia" w:ascii="宋体" w:hAnsi="宋体"/>
          <w:b/>
          <w:bCs/>
          <w:sz w:val="30"/>
          <w:szCs w:val="30"/>
        </w:rPr>
        <w:t>三、与现行法律法规、强制性标准和其他有关标准的关系</w:t>
      </w:r>
    </w:p>
    <w:p w14:paraId="5A2706B0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56124FDB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1. 与法律法规的关系：本标准严格遵循《中华人民共和国食品安全法》《电子商务法》等法律法规，细化直播电商领域食品安全与诚信经营的具体要求，是对现行法规的补充和落地，无冲突或不一致之处。</w:t>
      </w:r>
    </w:p>
    <w:p w14:paraId="30FD1009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2C716E21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2. 与强制性标准的关系：引用GB7718《预包装食品标签通则》、GB28050《食品安全国家标准预包装食品营养标签通则》等强制性标准，确保食品相关合规要求与国家强制标准无缝衔接。</w:t>
      </w:r>
    </w:p>
    <w:p w14:paraId="34FB75DA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5246C76B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3. 与其他有关标准的关系：目前国内无网络食品直播领域专项评价标准，本标准借鉴同类团体标准评价方法，聚焦行业特色场景，填补相关标准空白，与现有食品经营、网络交易相关标准形成互补。</w:t>
      </w:r>
    </w:p>
    <w:p w14:paraId="4A97F58A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27534496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4. 采用国际标准情况：无直接对应的国际专项标准，参考国际食品电商风险管控、溯源管理等先进理念，结合我国行业实际制定，达到国内领先水平。</w:t>
      </w:r>
    </w:p>
    <w:p w14:paraId="6B9EE555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691C538F">
      <w:pPr>
        <w:spacing w:line="500" w:lineRule="exact"/>
        <w:jc w:val="left"/>
        <w:rPr>
          <w:rFonts w:hint="eastAsia" w:ascii="宋体" w:hAnsi="宋体"/>
          <w:b/>
          <w:bCs/>
          <w:sz w:val="30"/>
          <w:szCs w:val="30"/>
        </w:rPr>
      </w:pPr>
      <w:r>
        <w:rPr>
          <w:rFonts w:hint="eastAsia" w:ascii="宋体" w:hAnsi="宋体"/>
          <w:b/>
          <w:bCs/>
          <w:sz w:val="30"/>
          <w:szCs w:val="30"/>
        </w:rPr>
        <w:t>四、重大分歧意见的处理经过和依据</w:t>
      </w:r>
    </w:p>
    <w:p w14:paraId="412AE1E2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44B349FE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本标准编制过程中未出现重大分歧意见。在征求意见阶段，部分意见建议优化指标权重分配、补充人工智能直播管控要求，起草工作组经核实后，结合《直播电商监督管理办法》相关规定，调整了分类指标权重，在禁止性行为管控、风险管控等章节补充人工智能直播合规要求，确保意见合理采纳、标准内容完善。</w:t>
      </w:r>
    </w:p>
    <w:p w14:paraId="57444434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2885A3ED">
      <w:pPr>
        <w:spacing w:line="500" w:lineRule="exact"/>
        <w:jc w:val="left"/>
        <w:rPr>
          <w:rFonts w:hint="eastAsia" w:ascii="宋体" w:hAnsi="宋体"/>
          <w:b/>
          <w:bCs/>
          <w:sz w:val="30"/>
          <w:szCs w:val="30"/>
        </w:rPr>
      </w:pPr>
      <w:r>
        <w:rPr>
          <w:rFonts w:hint="eastAsia" w:ascii="宋体" w:hAnsi="宋体"/>
          <w:b/>
          <w:bCs/>
          <w:sz w:val="30"/>
          <w:szCs w:val="30"/>
        </w:rPr>
        <w:t>五、贯彻促进会标准的要求和措施建议</w:t>
      </w:r>
    </w:p>
    <w:p w14:paraId="7C090807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095A3FEB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1. 组织措施：由中国食品药品企业质量安全促进会牵头，联合行业协会、评价机构开展标准宣</w:t>
      </w:r>
      <w:r>
        <w:rPr>
          <w:rFonts w:hint="eastAsia" w:ascii="宋体" w:hAnsi="宋体"/>
          <w:sz w:val="30"/>
          <w:szCs w:val="30"/>
          <w:lang w:eastAsia="zh-CN"/>
        </w:rPr>
        <w:t>传贯彻</w:t>
      </w:r>
      <w:bookmarkStart w:id="0" w:name="_GoBack"/>
      <w:bookmarkEnd w:id="0"/>
      <w:r>
        <w:rPr>
          <w:rFonts w:hint="eastAsia" w:ascii="宋体" w:hAnsi="宋体"/>
          <w:sz w:val="30"/>
          <w:szCs w:val="30"/>
        </w:rPr>
        <w:t>培训，解读标准核心内容与实施要点；建立标准实施反馈机制，收集行业应用情况。</w:t>
      </w:r>
    </w:p>
    <w:p w14:paraId="49A6E13A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249DF26A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2. 技术措施：编制标准实施指南、评价操作手册等配套文件，提供指标解读、评审流程示例等实操支持；鼓励评价机构开发适配标准的技术监测工具，提升评价效率。</w:t>
      </w:r>
    </w:p>
    <w:p w14:paraId="79C2CC08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0B83B71D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3. 过渡办法：设置6个月过渡期，期间组织试点应用，指导相关主体熟悉标准要求、完善管理制度；过渡期后，将标准作为行业自律评价、市场监管参考的重要依据，逐步推广全面实施。</w:t>
      </w:r>
    </w:p>
    <w:p w14:paraId="6D34D17D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32047C04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4. 实施建议：鼓励直播电商平台将评价结果与流量分配、入驻权限挂钩，市场监管部门将评价结果纳入监督检查参考，引导行业主体主动合规。</w:t>
      </w:r>
    </w:p>
    <w:p w14:paraId="008D37DA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113DD75B">
      <w:pPr>
        <w:spacing w:line="500" w:lineRule="exact"/>
        <w:jc w:val="left"/>
        <w:rPr>
          <w:rFonts w:hint="eastAsia" w:ascii="宋体" w:hAnsi="宋体"/>
          <w:b/>
          <w:bCs/>
          <w:sz w:val="30"/>
          <w:szCs w:val="30"/>
        </w:rPr>
      </w:pPr>
      <w:r>
        <w:rPr>
          <w:rFonts w:hint="eastAsia" w:ascii="宋体" w:hAnsi="宋体"/>
          <w:b/>
          <w:bCs/>
          <w:sz w:val="30"/>
          <w:szCs w:val="30"/>
        </w:rPr>
        <w:t>六、其他应予说明的事项</w:t>
      </w:r>
    </w:p>
    <w:p w14:paraId="4AF50F2F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680A8E00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1. 本标准适用于私域直播中的食品经营主体，参照对应类型主体要求执行，确保覆盖全场景网络食品直播经营活动。</w:t>
      </w:r>
    </w:p>
    <w:p w14:paraId="5841C337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4EBB2C88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2. 标准中的“以上”“不少于”“不超过”均包含本数，“以下”不包含本数，相关术语定义参照现行法律法规及标准。</w:t>
      </w:r>
    </w:p>
    <w:p w14:paraId="73CDDC41">
      <w:pPr>
        <w:spacing w:line="500" w:lineRule="exact"/>
        <w:jc w:val="left"/>
        <w:rPr>
          <w:rFonts w:hint="eastAsia" w:ascii="宋体" w:hAnsi="宋体"/>
          <w:sz w:val="30"/>
          <w:szCs w:val="30"/>
        </w:rPr>
      </w:pPr>
    </w:p>
    <w:p w14:paraId="1AC70ABD">
      <w:pPr>
        <w:spacing w:line="500" w:lineRule="exact"/>
        <w:jc w:val="left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3. 本标准可根据法律法规更新、行业业态变化，由中国食品药品企业质量安全促进会牵头适时修订，修订后需公示不少于30日。</w:t>
      </w:r>
    </w:p>
    <w:p w14:paraId="60F3BAB7">
      <w:pPr>
        <w:widowControl/>
        <w:jc w:val="left"/>
        <w:rPr>
          <w:rFonts w:asciiTheme="majorHAnsi" w:hAnsiTheme="majorHAnsi" w:eastAsiaTheme="majorEastAsia" w:cstheme="majorBidi"/>
          <w:b/>
          <w:bCs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5"/>
    <w:unhideWhenUsed/>
    <w:qFormat/>
    <w:uiPriority w:val="9"/>
    <w:pPr>
      <w:keepNext/>
      <w:keepLines/>
      <w:spacing w:before="156" w:beforeLines="50" w:after="156" w:afterLines="50" w:line="500" w:lineRule="exact"/>
      <w:jc w:val="center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3">
    <w:name w:val="Default Paragraph Font"/>
    <w:unhideWhenUsed/>
    <w:uiPriority w:val="1"/>
  </w:style>
  <w:style w:type="table" w:default="1" w:styleId="4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2 字符"/>
    <w:basedOn w:val="3"/>
    <w:link w:val="2"/>
    <w:uiPriority w:val="9"/>
    <w:rPr>
      <w:rFonts w:asciiTheme="majorHAnsi" w:hAnsiTheme="majorHAnsi" w:eastAsiaTheme="majorEastAsia" w:cstheme="majorBidi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5</Pages>
  <Words>37</Words>
  <Characters>211</Characters>
  <Lines>1</Lines>
  <Paragraphs>1</Paragraphs>
  <TotalTime>0</TotalTime>
  <ScaleCrop>false</ScaleCrop>
  <LinksUpToDate>false</LinksUpToDate>
  <CharactersWithSpaces>247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2019-11-18T16:38:00Z</dcterms:created>
  <dc:creator>User</dc:creator>
  <cp:lastModifiedBy>iPhone</cp:lastModifiedBy>
  <dcterms:modified xsi:type="dcterms:W3CDTF">2026-02-28T13:48:42Z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2052-12.40.0</vt:lpwstr>
  </property>
  <property fmtid="{D5CDD505-2E9C-101B-9397-08002B2CF9AE}" pid="3" name="ICV">
    <vt:lpwstr>6FB8185A08B342F3802E2E329B17E950_12</vt:lpwstr>
  </property>
</Properties>
</file>