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1B1F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《药食同源草本膏熬制工艺技术指南》</w:t>
      </w:r>
    </w:p>
    <w:p w14:paraId="750CAA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团体标准（报审稿）编制说明</w:t>
      </w:r>
    </w:p>
    <w:p w14:paraId="149753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/>
        </w:rPr>
      </w:pPr>
    </w:p>
    <w:p w14:paraId="734AF4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一、工作简况</w:t>
      </w:r>
      <w:bookmarkStart w:id="0" w:name="_GoBack"/>
      <w:bookmarkEnd w:id="0"/>
    </w:p>
    <w:p w14:paraId="4A504C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</w:rPr>
      </w:pPr>
      <w:r>
        <w:rPr>
          <w:rFonts w:hint="eastAsia" w:ascii="楷体_GB2312" w:hAnsi="楷体_GB2312" w:eastAsia="楷体_GB2312" w:cs="楷体_GB2312"/>
          <w:b/>
          <w:bCs/>
        </w:rPr>
        <w:t>（一）任务来源及背景</w:t>
      </w:r>
    </w:p>
    <w:p w14:paraId="1A7B07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/>
        </w:rPr>
        <w:t>为贯彻落实《中华人民共和国食品安全法》《按照传统既是食品又是中药材的物质目录管理规定》（国卫食品发〔2021〕36号）等相关法律法规，推动药食同源草本膏类产品生产标准化、规范化发展，保障产品质量安全与消费者健康，促进养生保健行业高质量发展，由中国食品药品企业质量安全促进会组织，膳全（上海）健康食品有限公司提出立项申请，经促进会秘书处组织专家审议后予以立项。</w:t>
      </w:r>
    </w:p>
    <w:p w14:paraId="11C2D7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</w:rPr>
      </w:pPr>
      <w:r>
        <w:rPr>
          <w:rFonts w:hint="eastAsia" w:ascii="楷体_GB2312" w:hAnsi="楷体_GB2312" w:eastAsia="楷体_GB2312" w:cs="楷体_GB2312"/>
          <w:b/>
          <w:bCs/>
        </w:rPr>
        <w:t>（二）协作单位</w:t>
      </w:r>
    </w:p>
    <w:p w14:paraId="49533E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/>
        </w:rPr>
        <w:t>膳全（上海）健康食品有限公司、中国食品药品企业质量安全促进会、相关食品生产企业、养生保健机构、检验检测机构等（根据实际参与单位补充）。</w:t>
      </w:r>
    </w:p>
    <w:p w14:paraId="2FF989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</w:rPr>
      </w:pPr>
      <w:r>
        <w:rPr>
          <w:rFonts w:hint="eastAsia" w:ascii="楷体_GB2312" w:hAnsi="楷体_GB2312" w:eastAsia="楷体_GB2312" w:cs="楷体_GB2312"/>
          <w:b/>
          <w:bCs/>
        </w:rPr>
        <w:t>（三）主要工作过程</w:t>
      </w:r>
    </w:p>
    <w:p w14:paraId="1EB2BB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/>
        </w:rPr>
        <w:t>202</w:t>
      </w:r>
      <w:r>
        <w:rPr>
          <w:rFonts w:hint="eastAsia"/>
          <w:lang w:val="en-US" w:eastAsia="zh-CN"/>
        </w:rPr>
        <w:t>6</w:t>
      </w:r>
      <w:r>
        <w:rPr>
          <w:rFonts w:hint="eastAsia"/>
        </w:rPr>
        <w:t>年</w:t>
      </w:r>
      <w:r>
        <w:rPr>
          <w:rFonts w:hint="eastAsia"/>
          <w:lang w:val="en-US" w:eastAsia="zh-CN"/>
        </w:rPr>
        <w:t>1</w:t>
      </w:r>
      <w:r>
        <w:rPr>
          <w:rFonts w:hint="eastAsia"/>
        </w:rPr>
        <w:t>月—</w:t>
      </w:r>
      <w:r>
        <w:rPr>
          <w:rFonts w:hint="eastAsia"/>
          <w:lang w:val="en-US" w:eastAsia="zh-CN"/>
        </w:rPr>
        <w:t>2</w:t>
      </w:r>
      <w:r>
        <w:rPr>
          <w:rFonts w:hint="eastAsia"/>
        </w:rPr>
        <w:t>月，标准起草工作组收集、整理相关标准化资料、专业文献，并通过企业调研了解实际生产情况，经成分分析、研讨、论证后编写完成标准草案和立项申请书。</w:t>
      </w:r>
    </w:p>
    <w:p w14:paraId="0599F6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/>
        </w:rPr>
        <w:t>202</w:t>
      </w:r>
      <w:r>
        <w:rPr>
          <w:rFonts w:hint="eastAsia"/>
          <w:lang w:val="en-US" w:eastAsia="zh-CN"/>
        </w:rPr>
        <w:t>6</w:t>
      </w:r>
      <w:r>
        <w:rPr>
          <w:rFonts w:hint="eastAsia"/>
        </w:rPr>
        <w:t>年</w:t>
      </w:r>
      <w:r>
        <w:rPr>
          <w:rFonts w:hint="eastAsia"/>
          <w:lang w:val="en-US" w:eastAsia="zh-CN"/>
        </w:rPr>
        <w:t>3</w:t>
      </w:r>
      <w:r>
        <w:rPr>
          <w:rFonts w:hint="eastAsia"/>
        </w:rPr>
        <w:t>月，完成团体标准立项，并在全国团体标准信息平台上进行公示。</w:t>
      </w:r>
    </w:p>
    <w:p w14:paraId="67313E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/>
        </w:rPr>
        <w:t>202</w:t>
      </w:r>
      <w:r>
        <w:rPr>
          <w:rFonts w:hint="eastAsia"/>
          <w:lang w:val="en-US" w:eastAsia="zh-CN"/>
        </w:rPr>
        <w:t>6</w:t>
      </w:r>
      <w:r>
        <w:rPr>
          <w:rFonts w:hint="eastAsia"/>
        </w:rPr>
        <w:t>年</w:t>
      </w:r>
      <w:r>
        <w:rPr>
          <w:rFonts w:hint="eastAsia"/>
          <w:lang w:val="en-US" w:eastAsia="zh-CN"/>
        </w:rPr>
        <w:t>4</w:t>
      </w:r>
      <w:r>
        <w:rPr>
          <w:rFonts w:hint="eastAsia"/>
        </w:rPr>
        <w:t>月，依据《中华人民共和国标准化法》及团体标准制修订程序，通过多次内容讨论和交流，向相关单位和专家咨询，在广泛听取各方意见和充分论证的基础上，对标准初稿进行完善和修改，形成征求意见稿。经专家多次研讨、公开征求意见、技术审查等环节，最终形成本报审稿。</w:t>
      </w:r>
    </w:p>
    <w:p w14:paraId="56BF5E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二、标准编制原则和确定标准主要内容的依据</w:t>
      </w:r>
    </w:p>
    <w:p w14:paraId="075201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</w:rPr>
      </w:pPr>
      <w:r>
        <w:rPr>
          <w:rFonts w:hint="eastAsia" w:ascii="楷体_GB2312" w:hAnsi="楷体_GB2312" w:eastAsia="楷体_GB2312" w:cs="楷体_GB2312"/>
          <w:b/>
          <w:bCs/>
        </w:rPr>
        <w:t>（一）编制原则</w:t>
      </w:r>
    </w:p>
    <w:p w14:paraId="798BDE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/>
        </w:rPr>
        <w:t>本文件按照GB/T1.1—2020《标准化工作导则第1部分：标准化文件的结构和起草规则》的要求进行编写，主要遵循以下原则：</w:t>
      </w:r>
    </w:p>
    <w:p w14:paraId="57541B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/>
          <w:b/>
          <w:bCs/>
          <w:lang w:val="en-US" w:eastAsia="zh-CN"/>
        </w:rPr>
        <w:t>1.</w:t>
      </w:r>
      <w:r>
        <w:rPr>
          <w:rFonts w:hint="eastAsia"/>
          <w:b/>
          <w:bCs/>
        </w:rPr>
        <w:t>协调性原则：</w:t>
      </w:r>
      <w:r>
        <w:rPr>
          <w:rFonts w:hint="eastAsia"/>
        </w:rPr>
        <w:t>保证标准与国内现行食品安全国家标准、行业标准协调一致。</w:t>
      </w:r>
    </w:p>
    <w:p w14:paraId="7AA0F6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/>
          <w:b/>
          <w:bCs/>
          <w:lang w:val="en-US" w:eastAsia="zh-CN"/>
        </w:rPr>
        <w:t>2.</w:t>
      </w:r>
      <w:r>
        <w:rPr>
          <w:rFonts w:hint="eastAsia"/>
          <w:b/>
          <w:bCs/>
        </w:rPr>
        <w:t>规范性原则：</w:t>
      </w:r>
      <w:r>
        <w:rPr>
          <w:rFonts w:hint="eastAsia"/>
        </w:rPr>
        <w:t>严格按照GB/T1.1—2020给出的规则起草，保证标准的编写质量。</w:t>
      </w:r>
    </w:p>
    <w:p w14:paraId="13EF04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/>
          <w:b/>
          <w:bCs/>
          <w:lang w:val="en-US" w:eastAsia="zh-CN"/>
        </w:rPr>
        <w:t>3.</w:t>
      </w:r>
      <w:r>
        <w:rPr>
          <w:rFonts w:hint="eastAsia"/>
          <w:b/>
          <w:bCs/>
        </w:rPr>
        <w:t>适用性原则：</w:t>
      </w:r>
      <w:r>
        <w:rPr>
          <w:rFonts w:hint="eastAsia"/>
        </w:rPr>
        <w:t>结合药食同源草本膏生产实际，从通用生产（定制膏/小批量）和工业规模化生产两个维度分别规定工艺参数和质量控制要求，确保标准具有广泛的可操作性。</w:t>
      </w:r>
    </w:p>
    <w:p w14:paraId="243529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/>
          <w:b/>
          <w:bCs/>
          <w:lang w:val="en-US" w:eastAsia="zh-CN"/>
        </w:rPr>
        <w:t>4.</w:t>
      </w:r>
      <w:r>
        <w:rPr>
          <w:rFonts w:hint="eastAsia"/>
          <w:b/>
          <w:bCs/>
        </w:rPr>
        <w:t>安全性原则：</w:t>
      </w:r>
      <w:r>
        <w:rPr>
          <w:rFonts w:hint="eastAsia"/>
        </w:rPr>
        <w:t>以食品安全为核心，对人员资质、场地设施、工艺参数、微生物限度等关键环节提出明确要求。</w:t>
      </w:r>
    </w:p>
    <w:p w14:paraId="3378DF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</w:rPr>
      </w:pPr>
      <w:r>
        <w:rPr>
          <w:rFonts w:hint="eastAsia" w:ascii="楷体_GB2312" w:hAnsi="楷体_GB2312" w:eastAsia="楷体_GB2312" w:cs="楷体_GB2312"/>
          <w:b/>
          <w:bCs/>
        </w:rPr>
        <w:t>（二）标准主要内容及其确定依据</w:t>
      </w:r>
    </w:p>
    <w:p w14:paraId="6A8D6C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eastAsia="仿宋_GB2312"/>
          <w:b/>
          <w:bCs/>
          <w:lang w:eastAsia="zh-CN"/>
        </w:rPr>
      </w:pPr>
      <w:r>
        <w:rPr>
          <w:rFonts w:hint="eastAsia"/>
          <w:b/>
          <w:bCs/>
        </w:rPr>
        <w:t>1.适用范围</w:t>
      </w:r>
    </w:p>
    <w:p w14:paraId="15D54F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/>
        </w:rPr>
        <w:t>本文件规定了药食同源草本膏的术语和定义、人员资质、生产场地与设施、熬制工艺流程、工艺操作要点与关键参数、质量控制、包装贮存与运输、发放与食用指导、卫生管理、追溯与文件管理等全流程要求。适用于食品生产企业、养生保健机构等开展药食同源草本膏、定制膏的规范化熬制、质量管控与全程追溯管理。</w:t>
      </w:r>
    </w:p>
    <w:p w14:paraId="67CD85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/>
          <w:b/>
          <w:bCs/>
          <w:lang w:eastAsia="zh-CN"/>
        </w:rPr>
      </w:pPr>
      <w:r>
        <w:rPr>
          <w:rFonts w:hint="eastAsia"/>
          <w:b/>
          <w:bCs/>
        </w:rPr>
        <w:t>2.规范性引用文件</w:t>
      </w:r>
    </w:p>
    <w:p w14:paraId="68C1F1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/>
        </w:rPr>
        <w:t>本文件在编制过程中，充分参考和引用了GB2760、GB2762、GB2763、GB4789系列、GB5009.3、GB5749、GB7718、GB14881、GB28050等现行食品安全国家标准，以及《食品生产许可管理办法》《按照传统既是食品又是中药材的物质目录管理规定》等相关法规，确保引用文件的权威性和时效性。</w:t>
      </w:r>
    </w:p>
    <w:p w14:paraId="1C1DD7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/>
          <w:b/>
          <w:bCs/>
          <w:lang w:eastAsia="zh-CN"/>
        </w:rPr>
      </w:pPr>
      <w:r>
        <w:rPr>
          <w:rFonts w:hint="eastAsia"/>
          <w:b/>
          <w:bCs/>
        </w:rPr>
        <w:t>3.术语和定义</w:t>
      </w:r>
    </w:p>
    <w:p w14:paraId="6C11B8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/>
        </w:rPr>
        <w:t>对“膏”“药食同源草本膏”“定制草本膏”“膏体挂垂”“入水成珠”“前期调理食品”等关键术语进行了界定，便于标准内容的准确理解和执行。</w:t>
      </w:r>
    </w:p>
    <w:p w14:paraId="660C33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/>
          <w:b/>
          <w:bCs/>
          <w:lang w:eastAsia="zh-CN"/>
        </w:rPr>
      </w:pPr>
      <w:r>
        <w:rPr>
          <w:rFonts w:hint="eastAsia"/>
          <w:b/>
          <w:bCs/>
        </w:rPr>
        <w:t>4.人员资质要求</w:t>
      </w:r>
    </w:p>
    <w:p w14:paraId="210C06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/>
        </w:rPr>
        <w:t>标准对熬制负责人、原料配方审核员、配料员、操作人员、质量检验员提出了明确的资质要求，参考GB14881中关于人员能力与健康管理的有关规定，并结合药食同源草本膏生产工艺特点进行了细化。其中质量检验员为工业化生产必备岗位，体现了对产品质量控制的重视。</w:t>
      </w:r>
    </w:p>
    <w:p w14:paraId="0C7E81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/>
          <w:b/>
          <w:bCs/>
          <w:lang w:eastAsia="zh-CN"/>
        </w:rPr>
      </w:pPr>
      <w:r>
        <w:rPr>
          <w:rFonts w:hint="eastAsia"/>
          <w:b/>
          <w:bCs/>
        </w:rPr>
        <w:t>5.生产场地与设施要求</w:t>
      </w:r>
    </w:p>
    <w:p w14:paraId="5FFB21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/>
        </w:rPr>
        <w:t>标准从场所布局、环境要求、凉膏区与冷藏区条件、设备器具选型、计量器具校验、设备档案管理等方面提出要求。既保留了传统工艺对紫铜锅、陶瓷等材质的要求，又融入了现代食品工程的质量控制理念，对工业生产配备了自动化投料设备、在线密度检测仪、高温瞬时灭菌釜、金属探测仪等先进设备。</w:t>
      </w:r>
    </w:p>
    <w:p w14:paraId="0236FB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/>
          <w:b/>
          <w:bCs/>
          <w:lang w:eastAsia="zh-CN"/>
        </w:rPr>
      </w:pPr>
      <w:r>
        <w:rPr>
          <w:rFonts w:hint="eastAsia"/>
          <w:b/>
          <w:bCs/>
        </w:rPr>
        <w:t>6.熬制工艺流程</w:t>
      </w:r>
    </w:p>
    <w:p w14:paraId="50C417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/>
        </w:rPr>
        <w:t>标准将药食同源草本膏熬制工艺细化为配方审核、选料与配料、清洗、浸泡、煎煮、合并过滤、静置沉淀、浓缩、辅料预处理、收膏、凉膏、灌装与封口、灭菌、包装、贮存等关键环节，涵盖了通用工艺流程（定制膏/小批量生产）和工业规模化生产工艺流程两个维度。</w:t>
      </w:r>
    </w:p>
    <w:p w14:paraId="302FF3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/>
          <w:b/>
          <w:bCs/>
        </w:rPr>
        <w:t>（1）配方审核：</w:t>
      </w:r>
      <w:r>
        <w:rPr>
          <w:rFonts w:hint="eastAsia"/>
        </w:rPr>
        <w:t>原料必须在《按照传统既是食品又是中药材的物质目录》或新食品原料目录内，严禁添加非药食同源类原料；明确提前煎煮、后加入、包煎等特殊处理要求。</w:t>
      </w:r>
    </w:p>
    <w:p w14:paraId="3E6F1D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/>
          <w:b/>
          <w:bCs/>
        </w:rPr>
        <w:t>（2）选料与配料：</w:t>
      </w:r>
      <w:r>
        <w:rPr>
          <w:rFonts w:hint="eastAsia"/>
        </w:rPr>
        <w:t>原料进厂须验收合格，称量双人复核，标准化成品膏遵循一批一方一锅一批号原则。</w:t>
      </w:r>
    </w:p>
    <w:p w14:paraId="6B7FF3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/>
          <w:b/>
          <w:bCs/>
        </w:rPr>
        <w:t>（3）浸泡：</w:t>
      </w:r>
      <w:r>
        <w:rPr>
          <w:rFonts w:hint="eastAsia"/>
        </w:rPr>
        <w:t>参数参考了传统泡制经验，同时给出了工业生产恒温浸泡参数。</w:t>
      </w:r>
    </w:p>
    <w:p w14:paraId="49434D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/>
          <w:b/>
          <w:bCs/>
        </w:rPr>
        <w:t>（4）煎煮：</w:t>
      </w:r>
      <w:r>
        <w:rPr>
          <w:rFonts w:hint="eastAsia"/>
        </w:rPr>
        <w:t>头煎、二煎、三煎分别明确了加水量、时间、温度等技术参数，其中工业生产参数参考了规模化提取工艺的工程实践。</w:t>
      </w:r>
    </w:p>
    <w:p w14:paraId="0E0F27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/>
          <w:b/>
          <w:bCs/>
        </w:rPr>
        <w:t>（5）过滤：</w:t>
      </w:r>
      <w:r>
        <w:rPr>
          <w:rFonts w:hint="eastAsia"/>
        </w:rPr>
        <w:t>粗滤（80～100目）→静置沉淀6～12小时→精滤（≥120目），工业生产采用多级过滤（80目→100目→260目→300目）。</w:t>
      </w:r>
    </w:p>
    <w:p w14:paraId="613FB7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/>
          <w:b/>
          <w:bCs/>
        </w:rPr>
        <w:t>（6）浓缩：</w:t>
      </w:r>
      <w:r>
        <w:rPr>
          <w:rFonts w:hint="eastAsia"/>
        </w:rPr>
        <w:t>清膏相对密度1.12～1.25（80～90℃热测），参数依据传统工艺中“滴于纸上不扩散”的感官判断标准与密度检测的对应关系确定；工业生产采用在线密度检测，实时监控。</w:t>
      </w:r>
    </w:p>
    <w:p w14:paraId="7AEBAB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/>
          <w:b/>
          <w:bCs/>
        </w:rPr>
        <w:t>（7）辅料预处理：</w:t>
      </w:r>
      <w:r>
        <w:rPr>
          <w:rFonts w:hint="eastAsia"/>
        </w:rPr>
        <w:t>胶类熔化温度60～80℃，蜂蜜炼至中蜜或老蜜，参数依据胶类理化性质和蜂蜜灭菌工艺要求确定。</w:t>
      </w:r>
    </w:p>
    <w:p w14:paraId="0557FB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/>
          <w:b/>
          <w:bCs/>
        </w:rPr>
        <w:t>（8）收膏：</w:t>
      </w:r>
      <w:r>
        <w:rPr>
          <w:rFonts w:hint="eastAsia"/>
        </w:rPr>
        <w:t>相对密度1.25～1.45（80～90℃热测），参考了传统“挂旗”“滴水成珠”的感官判断标准与密度检测的对应关系，并考虑了四季温度变化对稠度的影响。</w:t>
      </w:r>
    </w:p>
    <w:p w14:paraId="783230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/>
          <w:b/>
          <w:bCs/>
        </w:rPr>
        <w:t>（9）灭菌：</w:t>
      </w:r>
      <w:r>
        <w:rPr>
          <w:rFonts w:hint="eastAsia"/>
        </w:rPr>
        <w:t>工业生产采用高温瞬时灭菌（120～130℃，3～10秒），为食品工业常用参数，确保产品保质期内的微生物安全。</w:t>
      </w:r>
    </w:p>
    <w:p w14:paraId="2C059A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/>
          <w:b/>
          <w:bCs/>
          <w:lang w:eastAsia="zh-CN"/>
        </w:rPr>
      </w:pPr>
      <w:r>
        <w:rPr>
          <w:rFonts w:hint="eastAsia"/>
          <w:b/>
          <w:bCs/>
        </w:rPr>
        <w:t>7.质量控制要求</w:t>
      </w:r>
    </w:p>
    <w:p w14:paraId="0CAE31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/>
        </w:rPr>
        <w:t>标准从原料、过程、成品三个层面构建质量控制体系：感官要求（膏体细腻均匀、无焦臭、无异味等）、理化要求（相对密度、不溶物、水分）、微生物限度（参考GB4789系列，不含细粉产品需氧菌总数≤10³CFU/g，含细粉产品≤10⁴CFU/g）、成品检验（每批次全项检验合格方可出厂）、全程追溯管理。</w:t>
      </w:r>
    </w:p>
    <w:p w14:paraId="76013E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/>
          <w:b/>
          <w:bCs/>
          <w:lang w:eastAsia="zh-CN"/>
        </w:rPr>
      </w:pPr>
      <w:r>
        <w:rPr>
          <w:rFonts w:hint="eastAsia"/>
          <w:b/>
          <w:bCs/>
        </w:rPr>
        <w:t>8.包装、贮存与运输</w:t>
      </w:r>
    </w:p>
    <w:p w14:paraId="3304F7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/>
        </w:rPr>
        <w:t>包装符合GB7718和GB28050要求，明确常温贮存（≤25℃，≤75%）和冷藏贮存（2～8℃）两种条件的保质期要求（常温≥12个月，冷藏≥6个月，定制膏≥3个月），运输规定了常温运输（≤25℃）和冷链运输（2～10℃）两种方式。</w:t>
      </w:r>
    </w:p>
    <w:p w14:paraId="779AFE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/>
          <w:b/>
          <w:bCs/>
          <w:lang w:eastAsia="zh-CN"/>
        </w:rPr>
      </w:pPr>
      <w:r>
        <w:rPr>
          <w:rFonts w:hint="eastAsia"/>
          <w:b/>
          <w:bCs/>
        </w:rPr>
        <w:t>9.发放与食用指导</w:t>
      </w:r>
    </w:p>
    <w:p w14:paraId="25B3E2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/>
        </w:rPr>
        <w:t>明确发放管理要求、食用指导内容和销售规范，要求标签不得涉及疾病预防、治疗功能，非保健食品不得暗示保健作用，符合</w:t>
      </w:r>
      <w:r>
        <w:rPr>
          <w:rFonts w:hint="eastAsia"/>
          <w:lang w:eastAsia="zh-CN"/>
        </w:rPr>
        <w:t>《中华人民共和国食品安全法》</w:t>
      </w:r>
      <w:r>
        <w:rPr>
          <w:rFonts w:hint="eastAsia"/>
        </w:rPr>
        <w:t>相关规定。</w:t>
      </w:r>
    </w:p>
    <w:p w14:paraId="7F23FB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/>
          <w:b/>
          <w:bCs/>
          <w:lang w:eastAsia="zh-CN"/>
        </w:rPr>
      </w:pPr>
      <w:r>
        <w:rPr>
          <w:rFonts w:hint="eastAsia"/>
          <w:b/>
          <w:bCs/>
        </w:rPr>
        <w:t>10.卫生管理要求和追溯与文件管理</w:t>
      </w:r>
    </w:p>
    <w:p w14:paraId="27F7D5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/>
        </w:rPr>
        <w:t>从人员卫生、生产区卫生、设备与器具卫生、环境卫生四个维度提出要求。要求建立全程追溯体系，记录保存不少于3年。</w:t>
      </w:r>
    </w:p>
    <w:p w14:paraId="3587D6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三、与现行法律法规、强制性标准和其他有关标准的关系</w:t>
      </w:r>
    </w:p>
    <w:p w14:paraId="01C602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/>
        </w:rPr>
        <w:t>本文件在编制过程中，严格遵循《中华人民共和国食品安全法》《食品生产许可管理办法》《按照传统既是食品又是中药材的物质目录管理规定》等法律法规要求，与GB14881《食品安全国家标准食品生产通用卫生规范》等强制性国家标准保持一致。文件内容不涉及国际标准采标，属于首次自主制定的团体标准。</w:t>
      </w:r>
    </w:p>
    <w:p w14:paraId="65EA09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四、重大分歧意见的处理经过和依据</w:t>
      </w:r>
    </w:p>
    <w:p w14:paraId="081677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/>
        </w:rPr>
        <w:t>本文件在制定过程中未出现重大分歧意见。起草组在专家研讨、征求意见阶段对部分工艺参数（如浸泡时间、煎煮温度、灭菌参数等）、微生物指标等内容进行了充分讨论，最终形成一致意见。</w:t>
      </w:r>
    </w:p>
    <w:p w14:paraId="229107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五、贯彻标准的要求和措施建议</w:t>
      </w:r>
    </w:p>
    <w:p w14:paraId="3B8848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/>
        </w:rPr>
        <w:t>本文件发布后，建议中国食品药品企业质量安全促进会组织相关培训、宣贯活动，推动食品生产企业、养生保健机构等积极采用本标准。鼓励行业组织、检验检测机构、监管部门在监督检查、质量评价中参考使用。对现有生产企业，建议设置6～12个月的过渡期，逐步调整工艺、完善设施、健全记录，确保符合标准要求。</w:t>
      </w:r>
    </w:p>
    <w:p w14:paraId="61A283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六、其他应予说明的事项</w:t>
      </w:r>
    </w:p>
    <w:p w14:paraId="1DAC31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</w:pPr>
      <w:r>
        <w:rPr>
          <w:rFonts w:hint="eastAsia"/>
        </w:rPr>
        <w:t>无。</w:t>
      </w:r>
    </w:p>
    <w:sectPr>
      <w:footerReference r:id="rId3" w:type="default"/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39B4C6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971D537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ItvYn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971D537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537DEE"/>
    <w:rsid w:val="058777C5"/>
    <w:rsid w:val="09B60C46"/>
    <w:rsid w:val="10046AF3"/>
    <w:rsid w:val="105D5E16"/>
    <w:rsid w:val="18F970B6"/>
    <w:rsid w:val="2805641D"/>
    <w:rsid w:val="325F735A"/>
    <w:rsid w:val="3C13258A"/>
    <w:rsid w:val="40304BF9"/>
    <w:rsid w:val="4BE9767E"/>
    <w:rsid w:val="507E5DB7"/>
    <w:rsid w:val="53CE6AF2"/>
    <w:rsid w:val="58452EC6"/>
    <w:rsid w:val="599C469D"/>
    <w:rsid w:val="69120021"/>
    <w:rsid w:val="71820DF8"/>
    <w:rsid w:val="7ADF4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 w:cs="仿宋_GB2312" w:asciiTheme="minorHAnsi" w:hAnsiTheme="minorHAnsi"/>
      <w:kern w:val="2"/>
      <w:sz w:val="32"/>
      <w:szCs w:val="32"/>
      <w:lang w:val="en-US" w:eastAsia="zh-CN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45964fd6-2295-4153-8dd9-5a1de887574b</errorID>
      <errorWord>后加入、包煎</errorWord>
      <group>L1_Grammar</group>
      <groupName>语法问题</groupName>
      <ability>L2_Order</ability>
      <abilityName>语序不当</abilityName>
      <candidateList>
        <item>包煎、后加入</item>
      </candidateList>
      <explain>句子可能没有遵循时空、逻辑顺序，或者介词、关联词等位置不当。</explain>
      <paraID>302FF31D</paraID>
      <start>63</start>
      <end>69</end>
      <status>unmodified</status>
      <modifiedWord/>
      <trackRevisions>false</trackRevisions>
    </reviewItem>
    <reviewItem>
      <errorID>d2159354-f42f-4395-8233-08a339683ba5</errorID>
      <errorWord>《食品安全法》</errorWord>
      <group>L1_Word</group>
      <groupName>字词问题</groupName>
      <ability>L2_Typo</ability>
      <abilityName>字词错误</abilityName>
      <candidateList>
        <item>《中华人民共和国食品安全法》</item>
      </candidateList>
      <explain/>
      <paraID>25B3E2AD</paraID>
      <start>55</start>
      <end>69</end>
      <status>modified</status>
      <modifiedWord>《中华人民共和国食品安全法》</modifiedWord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83abcb2-b096-42f2-99ea-8f30b1c28d9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2022-09-05T02:04:00Z</dcterms:created>
  <dc:creator>Hu</dc:creator>
  <cp:lastModifiedBy>胡宝生</cp:lastModifiedBy>
  <dcterms:modified xsi:type="dcterms:W3CDTF">2026-04-30T05:51:33Z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04BAEA1B27ED478D97ABCDB12C4BB1CE</vt:lpwstr>
  </property>
  <property fmtid="{D5CDD505-2E9C-101B-9397-08002B2CF9AE}" pid="4" name="KSOTemplateDocerSaveRecord">
    <vt:lpwstr>eyJoZGlkIjoiYjRmM2MwZTRiZjQyZWE3NzgxNzg5NTAzNzEwNDVjNzciLCJ1c2VySWQiOiIxMDI3NjMwMiJ9</vt:lpwstr>
  </property>
</Properties>
</file>