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67.120.10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X22</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武义醋鸡</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Wuyi Vinegar Chicken Specification</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59F14CFC">
      <w:pPr>
        <w:pStyle w:val="19"/>
        <w:tabs>
          <w:tab w:val="right" w:leader="dot" w:pos="9354"/>
        </w:tabs>
      </w:pPr>
      <w:r>
        <w:fldChar w:fldCharType="begin"/>
      </w:r>
      <w:r>
        <w:instrText xml:space="preserve"> TOC \o "1-1" \h </w:instrText>
      </w:r>
      <w:r>
        <w:fldChar w:fldCharType="separate"/>
      </w:r>
      <w:r>
        <w:fldChar w:fldCharType="begin"/>
      </w:r>
      <w:r>
        <w:instrText xml:space="preserve"> HYPERLINK \l _Toc8919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_Toc8919 \h </w:instrText>
      </w:r>
      <w:r>
        <w:fldChar w:fldCharType="separate"/>
      </w:r>
      <w:r>
        <w:t>II</w:t>
      </w:r>
      <w:r>
        <w:fldChar w:fldCharType="end"/>
      </w:r>
      <w:r>
        <w:fldChar w:fldCharType="end"/>
      </w:r>
    </w:p>
    <w:p w14:paraId="6DF9FC76">
      <w:pPr>
        <w:pStyle w:val="19"/>
        <w:tabs>
          <w:tab w:val="right" w:leader="dot" w:pos="9354"/>
        </w:tabs>
      </w:pPr>
      <w:r>
        <w:fldChar w:fldCharType="begin"/>
      </w:r>
      <w:r>
        <w:instrText xml:space="preserve"> HYPERLINK \l _Toc28520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_Toc28520 \h </w:instrText>
      </w:r>
      <w:r>
        <w:fldChar w:fldCharType="separate"/>
      </w:r>
      <w:r>
        <w:t>1</w:t>
      </w:r>
      <w:r>
        <w:fldChar w:fldCharType="end"/>
      </w:r>
      <w:r>
        <w:fldChar w:fldCharType="end"/>
      </w:r>
    </w:p>
    <w:p w14:paraId="7D601C6C">
      <w:pPr>
        <w:pStyle w:val="19"/>
        <w:tabs>
          <w:tab w:val="right" w:leader="dot" w:pos="9354"/>
        </w:tabs>
      </w:pPr>
      <w:r>
        <w:fldChar w:fldCharType="begin"/>
      </w:r>
      <w:r>
        <w:instrText xml:space="preserve"> HYPERLINK \l _Toc20900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_Toc20900 \h </w:instrText>
      </w:r>
      <w:r>
        <w:fldChar w:fldCharType="separate"/>
      </w:r>
      <w:r>
        <w:t>1</w:t>
      </w:r>
      <w:r>
        <w:fldChar w:fldCharType="end"/>
      </w:r>
      <w:r>
        <w:fldChar w:fldCharType="end"/>
      </w:r>
    </w:p>
    <w:p w14:paraId="7D252526">
      <w:pPr>
        <w:pStyle w:val="19"/>
        <w:tabs>
          <w:tab w:val="right" w:leader="dot" w:pos="9354"/>
        </w:tabs>
      </w:pPr>
      <w:r>
        <w:fldChar w:fldCharType="begin"/>
      </w:r>
      <w:r>
        <w:instrText xml:space="preserve"> HYPERLINK \l _Toc6871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_Toc6871 \h </w:instrText>
      </w:r>
      <w:r>
        <w:fldChar w:fldCharType="separate"/>
      </w:r>
      <w:r>
        <w:t>1</w:t>
      </w:r>
      <w:r>
        <w:fldChar w:fldCharType="end"/>
      </w:r>
      <w:r>
        <w:fldChar w:fldCharType="end"/>
      </w:r>
    </w:p>
    <w:p w14:paraId="51D99F7A">
      <w:pPr>
        <w:pStyle w:val="19"/>
        <w:tabs>
          <w:tab w:val="right" w:leader="dot" w:pos="9354"/>
        </w:tabs>
      </w:pPr>
      <w:r>
        <w:fldChar w:fldCharType="begin"/>
      </w:r>
      <w:r>
        <w:instrText xml:space="preserve"> HYPERLINK \l _Toc22653 </w:instrText>
      </w:r>
      <w:r>
        <w:fldChar w:fldCharType="separate"/>
      </w:r>
      <w:r>
        <w:rPr>
          <w:rFonts w:hint="eastAsia" w:ascii="黑体" w:eastAsia="黑体"/>
          <w:i w:val="0"/>
        </w:rPr>
        <w:t xml:space="preserve">4 </w:t>
      </w:r>
      <w:r>
        <w:rPr>
          <w:rFonts w:hint="eastAsia"/>
          <w:lang w:val="en-US" w:eastAsia="zh-CN"/>
        </w:rPr>
        <w:t>基本要求</w:t>
      </w:r>
      <w:r>
        <w:tab/>
      </w:r>
      <w:r>
        <w:fldChar w:fldCharType="begin"/>
      </w:r>
      <w:r>
        <w:instrText xml:space="preserve"> PAGEREF _Toc22653 \h </w:instrText>
      </w:r>
      <w:r>
        <w:fldChar w:fldCharType="separate"/>
      </w:r>
      <w:r>
        <w:t>1</w:t>
      </w:r>
      <w:r>
        <w:fldChar w:fldCharType="end"/>
      </w:r>
      <w:r>
        <w:fldChar w:fldCharType="end"/>
      </w:r>
    </w:p>
    <w:p w14:paraId="57ECD617">
      <w:pPr>
        <w:pStyle w:val="19"/>
        <w:tabs>
          <w:tab w:val="right" w:leader="dot" w:pos="9354"/>
        </w:tabs>
      </w:pPr>
      <w:r>
        <w:fldChar w:fldCharType="begin"/>
      </w:r>
      <w:r>
        <w:instrText xml:space="preserve"> HYPERLINK \l _Toc22781 </w:instrText>
      </w:r>
      <w:r>
        <w:fldChar w:fldCharType="separate"/>
      </w:r>
      <w:r>
        <w:rPr>
          <w:rFonts w:hint="eastAsia" w:ascii="黑体" w:eastAsia="黑体"/>
          <w:i w:val="0"/>
        </w:rPr>
        <w:t xml:space="preserve">5 </w:t>
      </w:r>
      <w:r>
        <w:rPr>
          <w:rFonts w:hint="eastAsia"/>
          <w:lang w:val="en-US" w:eastAsia="zh-CN"/>
        </w:rPr>
        <w:t>原辅料要求</w:t>
      </w:r>
      <w:r>
        <w:tab/>
      </w:r>
      <w:r>
        <w:fldChar w:fldCharType="begin"/>
      </w:r>
      <w:r>
        <w:instrText xml:space="preserve"> PAGEREF _Toc22781 \h </w:instrText>
      </w:r>
      <w:r>
        <w:fldChar w:fldCharType="separate"/>
      </w:r>
      <w:r>
        <w:t>2</w:t>
      </w:r>
      <w:r>
        <w:fldChar w:fldCharType="end"/>
      </w:r>
      <w:r>
        <w:fldChar w:fldCharType="end"/>
      </w:r>
    </w:p>
    <w:p w14:paraId="3496C959">
      <w:pPr>
        <w:pStyle w:val="19"/>
        <w:tabs>
          <w:tab w:val="right" w:leader="dot" w:pos="9354"/>
        </w:tabs>
      </w:pPr>
      <w:r>
        <w:fldChar w:fldCharType="begin"/>
      </w:r>
      <w:r>
        <w:instrText xml:space="preserve"> HYPERLINK \l _Toc23447 </w:instrText>
      </w:r>
      <w:r>
        <w:fldChar w:fldCharType="separate"/>
      </w:r>
      <w:r>
        <w:rPr>
          <w:rFonts w:hint="eastAsia" w:ascii="黑体" w:eastAsia="黑体"/>
          <w:i w:val="0"/>
        </w:rPr>
        <w:t xml:space="preserve">6 </w:t>
      </w:r>
      <w:r>
        <w:rPr>
          <w:rFonts w:hint="eastAsia"/>
          <w:lang w:val="en-US" w:eastAsia="zh-CN"/>
        </w:rPr>
        <w:t>烹饪器具</w:t>
      </w:r>
      <w:r>
        <w:tab/>
      </w:r>
      <w:r>
        <w:fldChar w:fldCharType="begin"/>
      </w:r>
      <w:r>
        <w:instrText xml:space="preserve"> PAGEREF _Toc23447 \h </w:instrText>
      </w:r>
      <w:r>
        <w:fldChar w:fldCharType="separate"/>
      </w:r>
      <w:r>
        <w:t>2</w:t>
      </w:r>
      <w:r>
        <w:fldChar w:fldCharType="end"/>
      </w:r>
      <w:r>
        <w:fldChar w:fldCharType="end"/>
      </w:r>
    </w:p>
    <w:p w14:paraId="79D497CA">
      <w:pPr>
        <w:pStyle w:val="19"/>
        <w:tabs>
          <w:tab w:val="right" w:leader="dot" w:pos="9354"/>
        </w:tabs>
      </w:pPr>
      <w:r>
        <w:fldChar w:fldCharType="begin"/>
      </w:r>
      <w:r>
        <w:instrText xml:space="preserve"> HYPERLINK \l _Toc30245 </w:instrText>
      </w:r>
      <w:r>
        <w:fldChar w:fldCharType="separate"/>
      </w:r>
      <w:r>
        <w:rPr>
          <w:rFonts w:hint="eastAsia" w:ascii="黑体" w:eastAsia="黑体"/>
          <w:i w:val="0"/>
        </w:rPr>
        <w:t xml:space="preserve">7 </w:t>
      </w:r>
      <w:r>
        <w:rPr>
          <w:rFonts w:hint="eastAsia"/>
          <w:lang w:val="en-US" w:eastAsia="zh-CN"/>
        </w:rPr>
        <w:t>制作工艺</w:t>
      </w:r>
      <w:r>
        <w:tab/>
      </w:r>
      <w:r>
        <w:fldChar w:fldCharType="begin"/>
      </w:r>
      <w:r>
        <w:instrText xml:space="preserve"> PAGEREF _Toc30245 \h </w:instrText>
      </w:r>
      <w:r>
        <w:fldChar w:fldCharType="separate"/>
      </w:r>
      <w:r>
        <w:t>3</w:t>
      </w:r>
      <w:r>
        <w:fldChar w:fldCharType="end"/>
      </w:r>
      <w:r>
        <w:fldChar w:fldCharType="end"/>
      </w:r>
    </w:p>
    <w:p w14:paraId="6F84A74B">
      <w:pPr>
        <w:pStyle w:val="19"/>
        <w:tabs>
          <w:tab w:val="right" w:leader="dot" w:pos="9354"/>
        </w:tabs>
      </w:pPr>
      <w:r>
        <w:fldChar w:fldCharType="begin"/>
      </w:r>
      <w:r>
        <w:instrText xml:space="preserve"> HYPERLINK \l _Toc29526 </w:instrText>
      </w:r>
      <w:r>
        <w:fldChar w:fldCharType="separate"/>
      </w:r>
      <w:r>
        <w:rPr>
          <w:rFonts w:hint="eastAsia" w:ascii="黑体" w:eastAsia="黑体"/>
          <w:i w:val="0"/>
          <w:lang w:val="en-US" w:eastAsia="zh-CN"/>
        </w:rPr>
        <w:t xml:space="preserve">8 </w:t>
      </w:r>
      <w:r>
        <w:rPr>
          <w:rFonts w:hint="eastAsia"/>
          <w:lang w:val="en-US" w:eastAsia="zh-CN"/>
        </w:rPr>
        <w:t>技术要求</w:t>
      </w:r>
      <w:r>
        <w:tab/>
      </w:r>
      <w:r>
        <w:fldChar w:fldCharType="begin"/>
      </w:r>
      <w:r>
        <w:instrText xml:space="preserve"> PAGEREF _Toc29526 \h </w:instrText>
      </w:r>
      <w:r>
        <w:fldChar w:fldCharType="separate"/>
      </w:r>
      <w:r>
        <w:t>3</w:t>
      </w:r>
      <w:r>
        <w:fldChar w:fldCharType="end"/>
      </w:r>
      <w:r>
        <w:fldChar w:fldCharType="end"/>
      </w:r>
    </w:p>
    <w:p w14:paraId="270E1281">
      <w:pPr>
        <w:pStyle w:val="19"/>
        <w:tabs>
          <w:tab w:val="right" w:leader="dot" w:pos="9354"/>
        </w:tabs>
      </w:pPr>
      <w:r>
        <w:fldChar w:fldCharType="begin"/>
      </w:r>
      <w:r>
        <w:instrText xml:space="preserve"> HYPERLINK \l _Toc14689 </w:instrText>
      </w:r>
      <w:r>
        <w:fldChar w:fldCharType="separate"/>
      </w:r>
      <w:r>
        <w:rPr>
          <w:rFonts w:hint="eastAsia" w:ascii="黑体" w:eastAsia="黑体"/>
          <w:i w:val="0"/>
        </w:rPr>
        <w:t xml:space="preserve">9 </w:t>
      </w:r>
      <w:r>
        <w:rPr>
          <w:rFonts w:hint="eastAsia"/>
          <w:lang w:val="en-US" w:eastAsia="zh-CN"/>
        </w:rPr>
        <w:t>检验规则</w:t>
      </w:r>
      <w:r>
        <w:tab/>
      </w:r>
      <w:r>
        <w:fldChar w:fldCharType="begin"/>
      </w:r>
      <w:r>
        <w:instrText xml:space="preserve"> PAGEREF _Toc14689 \h </w:instrText>
      </w:r>
      <w:r>
        <w:fldChar w:fldCharType="separate"/>
      </w:r>
      <w:r>
        <w:t>4</w:t>
      </w:r>
      <w:r>
        <w:fldChar w:fldCharType="end"/>
      </w:r>
      <w:r>
        <w:fldChar w:fldCharType="end"/>
      </w:r>
    </w:p>
    <w:p w14:paraId="5B07FE1C">
      <w:pPr>
        <w:pStyle w:val="19"/>
        <w:tabs>
          <w:tab w:val="right" w:leader="dot" w:pos="9354"/>
        </w:tabs>
      </w:pPr>
      <w:r>
        <w:fldChar w:fldCharType="begin"/>
      </w:r>
      <w:r>
        <w:instrText xml:space="preserve"> HYPERLINK \l _Toc471 </w:instrText>
      </w:r>
      <w:r>
        <w:fldChar w:fldCharType="separate"/>
      </w:r>
      <w:r>
        <w:rPr>
          <w:rFonts w:hint="eastAsia" w:ascii="黑体" w:eastAsia="黑体"/>
          <w:i w:val="0"/>
        </w:rPr>
        <w:t xml:space="preserve">10 </w:t>
      </w:r>
      <w:r>
        <w:rPr>
          <w:rFonts w:hint="eastAsia"/>
        </w:rPr>
        <w:t>标志、包装、运输和</w:t>
      </w:r>
      <w:r>
        <w:rPr>
          <w:rFonts w:hint="eastAsia"/>
          <w:lang w:val="en-US" w:eastAsia="zh-CN"/>
        </w:rPr>
        <w:t>贮存</w:t>
      </w:r>
      <w:r>
        <w:tab/>
      </w:r>
      <w:r>
        <w:fldChar w:fldCharType="begin"/>
      </w:r>
      <w:r>
        <w:instrText xml:space="preserve"> PAGEREF _Toc471 \h </w:instrText>
      </w:r>
      <w:r>
        <w:fldChar w:fldCharType="separate"/>
      </w:r>
      <w:r>
        <w:t>4</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8919"/>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武义县武阳楼餐饮有限公司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武义县武阳楼餐饮有限公司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武义醋鸡</w:t>
          </w:r>
          <w:bookmarkEnd w:id="29"/>
        </w:p>
      </w:sdtContent>
    </w:sdt>
    <w:p w14:paraId="7A7C3DE6">
      <w:pPr>
        <w:pStyle w:val="105"/>
        <w:spacing w:before="240" w:after="240"/>
      </w:pPr>
      <w:bookmarkStart w:id="30" w:name="_Toc17233333"/>
      <w:bookmarkStart w:id="31" w:name="_Toc199844081"/>
      <w:bookmarkStart w:id="32" w:name="_Toc97192964"/>
      <w:bookmarkStart w:id="33" w:name="_Toc26986530"/>
      <w:bookmarkStart w:id="34" w:name="_Toc26986771"/>
      <w:bookmarkStart w:id="35" w:name="_Toc26718930"/>
      <w:bookmarkStart w:id="36" w:name="_Toc26648465"/>
      <w:bookmarkStart w:id="37" w:name="_Toc24884211"/>
      <w:bookmarkStart w:id="38" w:name="_Toc17233325"/>
      <w:bookmarkStart w:id="39" w:name="_Toc24884218"/>
      <w:bookmarkStart w:id="40" w:name="_Toc28520"/>
      <w:r>
        <w:rPr>
          <w:rFonts w:hint="eastAsia"/>
        </w:rPr>
        <w:t>范围</w:t>
      </w:r>
      <w:bookmarkEnd w:id="30"/>
      <w:bookmarkEnd w:id="31"/>
      <w:bookmarkEnd w:id="32"/>
      <w:bookmarkEnd w:id="33"/>
      <w:bookmarkEnd w:id="34"/>
      <w:bookmarkEnd w:id="35"/>
      <w:bookmarkEnd w:id="36"/>
      <w:bookmarkEnd w:id="37"/>
      <w:bookmarkEnd w:id="38"/>
      <w:bookmarkEnd w:id="39"/>
      <w:bookmarkEnd w:id="40"/>
    </w:p>
    <w:p w14:paraId="33C1E55F">
      <w:pPr>
        <w:pStyle w:val="56"/>
        <w:ind w:firstLine="420"/>
        <w:rPr>
          <w:rFonts w:hint="eastAsia"/>
          <w:highlight w:val="none"/>
          <w:lang w:eastAsia="zh-CN"/>
        </w:rPr>
      </w:pPr>
      <w:bookmarkStart w:id="41" w:name="_Toc26986772"/>
      <w:bookmarkStart w:id="42" w:name="_Toc24884219"/>
      <w:bookmarkStart w:id="43" w:name="_Toc17233326"/>
      <w:bookmarkStart w:id="44" w:name="_Toc97192965"/>
      <w:bookmarkStart w:id="45" w:name="_Toc17233334"/>
      <w:bookmarkStart w:id="46" w:name="_Toc199844082"/>
      <w:bookmarkStart w:id="47" w:name="_Toc24884212"/>
      <w:bookmarkStart w:id="48" w:name="_Toc26718931"/>
      <w:bookmarkStart w:id="49" w:name="_Toc26986531"/>
      <w:bookmarkStart w:id="50" w:name="_Toc26648466"/>
      <w:r>
        <w:rPr>
          <w:rFonts w:hint="eastAsia"/>
          <w:highlight w:val="none"/>
          <w:lang w:eastAsia="zh-CN"/>
        </w:rPr>
        <w:t>本文件规定了武义醋鸡的术语和定义、</w:t>
      </w:r>
      <w:r>
        <w:rPr>
          <w:rFonts w:hint="eastAsia"/>
          <w:highlight w:val="none"/>
          <w:lang w:val="en-US" w:eastAsia="zh-CN"/>
        </w:rPr>
        <w:t>基本要求、</w:t>
      </w:r>
      <w:r>
        <w:rPr>
          <w:rFonts w:hint="eastAsia"/>
          <w:highlight w:val="none"/>
          <w:lang w:eastAsia="zh-CN"/>
        </w:rPr>
        <w:t>原辅料要求、</w:t>
      </w:r>
      <w:r>
        <w:rPr>
          <w:rFonts w:hint="eastAsia"/>
          <w:highlight w:val="none"/>
          <w:lang w:val="en-US" w:eastAsia="zh-CN"/>
        </w:rPr>
        <w:t>烹饪器具、</w:t>
      </w:r>
      <w:r>
        <w:rPr>
          <w:rFonts w:hint="eastAsia"/>
          <w:highlight w:val="none"/>
          <w:lang w:eastAsia="zh-CN"/>
        </w:rPr>
        <w:t>制作工艺、</w:t>
      </w:r>
      <w:r>
        <w:rPr>
          <w:rFonts w:hint="eastAsia"/>
          <w:highlight w:val="none"/>
          <w:lang w:val="en-US" w:eastAsia="zh-CN"/>
        </w:rPr>
        <w:t>技术要求</w:t>
      </w:r>
      <w:r>
        <w:rPr>
          <w:rFonts w:hint="eastAsia"/>
          <w:highlight w:val="none"/>
          <w:lang w:eastAsia="zh-CN"/>
        </w:rPr>
        <w:t>、检验规则、标志、包装、运输、贮存要求。</w:t>
      </w:r>
    </w:p>
    <w:p w14:paraId="51548C84">
      <w:pPr>
        <w:pStyle w:val="56"/>
        <w:ind w:firstLine="420"/>
      </w:pPr>
      <w:r>
        <w:rPr>
          <w:rFonts w:hint="eastAsia"/>
          <w:highlight w:val="none"/>
          <w:lang w:eastAsia="zh-CN"/>
        </w:rPr>
        <w:t>本文件适用于武义县行政区域内，以鲜</w:t>
      </w:r>
      <w:bookmarkStart w:id="66" w:name="_GoBack"/>
      <w:bookmarkEnd w:id="66"/>
      <w:r>
        <w:rPr>
          <w:rFonts w:hint="eastAsia"/>
          <w:highlight w:val="none"/>
          <w:lang w:eastAsia="zh-CN"/>
        </w:rPr>
        <w:t>鸡肉为主要原料，经特定腌制、卤制、收汁工艺制作而成的具有武义地域特色的醋鸡产品（含现制现售及预包装产品）。</w:t>
      </w:r>
    </w:p>
    <w:p w14:paraId="5059402F">
      <w:pPr>
        <w:pStyle w:val="105"/>
        <w:spacing w:before="240" w:after="240"/>
      </w:pPr>
      <w:bookmarkStart w:id="51" w:name="_Toc20900"/>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18821C3">
      <w:pPr>
        <w:pStyle w:val="56"/>
        <w:ind w:firstLine="420"/>
        <w:rPr>
          <w:rFonts w:hint="eastAsia"/>
          <w:highlight w:val="none"/>
        </w:rPr>
      </w:pPr>
      <w:bookmarkStart w:id="52" w:name="OLE_LINK1"/>
      <w:r>
        <w:rPr>
          <w:rFonts w:hint="eastAsia"/>
          <w:highlight w:val="none"/>
        </w:rPr>
        <w:t>GB 2707 食品安全国家标准 鲜（冻）畜、禽产品</w:t>
      </w:r>
    </w:p>
    <w:p w14:paraId="70EACD85">
      <w:pPr>
        <w:pStyle w:val="56"/>
        <w:ind w:firstLine="420"/>
        <w:rPr>
          <w:rFonts w:hint="eastAsia"/>
          <w:highlight w:val="none"/>
        </w:rPr>
      </w:pPr>
      <w:r>
        <w:rPr>
          <w:rFonts w:hint="eastAsia"/>
          <w:highlight w:val="none"/>
        </w:rPr>
        <w:t>GB 2717 食品安全国家标准 酱油</w:t>
      </w:r>
    </w:p>
    <w:p w14:paraId="01E5CCD7">
      <w:pPr>
        <w:pStyle w:val="56"/>
        <w:ind w:firstLine="420"/>
        <w:rPr>
          <w:rFonts w:hint="eastAsia"/>
          <w:highlight w:val="none"/>
        </w:rPr>
      </w:pPr>
      <w:r>
        <w:rPr>
          <w:rFonts w:hint="eastAsia"/>
          <w:highlight w:val="none"/>
        </w:rPr>
        <w:t>GB 2719 食品安全国家标准 食醋</w:t>
      </w:r>
    </w:p>
    <w:p w14:paraId="6840AE41">
      <w:pPr>
        <w:pStyle w:val="56"/>
        <w:ind w:firstLine="420"/>
        <w:rPr>
          <w:rFonts w:hint="eastAsia"/>
          <w:highlight w:val="none"/>
        </w:rPr>
      </w:pPr>
      <w:r>
        <w:rPr>
          <w:rFonts w:hint="eastAsia"/>
          <w:highlight w:val="none"/>
        </w:rPr>
        <w:t>GB 2720 食品安全国家标准 味精</w:t>
      </w:r>
    </w:p>
    <w:p w14:paraId="7706E43F">
      <w:pPr>
        <w:pStyle w:val="56"/>
        <w:ind w:firstLine="420"/>
        <w:rPr>
          <w:rFonts w:hint="eastAsia"/>
          <w:highlight w:val="none"/>
        </w:rPr>
      </w:pPr>
      <w:r>
        <w:rPr>
          <w:rFonts w:hint="eastAsia"/>
          <w:highlight w:val="none"/>
        </w:rPr>
        <w:t>GB 2721 食品安全国家标准 食用盐</w:t>
      </w:r>
    </w:p>
    <w:p w14:paraId="783108B4">
      <w:pPr>
        <w:pStyle w:val="56"/>
        <w:ind w:firstLine="420"/>
        <w:rPr>
          <w:rFonts w:hint="eastAsia"/>
          <w:highlight w:val="none"/>
        </w:rPr>
      </w:pPr>
      <w:r>
        <w:rPr>
          <w:rFonts w:hint="eastAsia"/>
          <w:highlight w:val="none"/>
        </w:rPr>
        <w:t>GB 2726 食品安全国家标准 熟肉制品</w:t>
      </w:r>
    </w:p>
    <w:p w14:paraId="2A7E43E7">
      <w:pPr>
        <w:pStyle w:val="56"/>
        <w:ind w:firstLine="420"/>
        <w:rPr>
          <w:rFonts w:hint="eastAsia"/>
          <w:highlight w:val="none"/>
        </w:rPr>
      </w:pPr>
      <w:r>
        <w:rPr>
          <w:rFonts w:hint="eastAsia"/>
          <w:highlight w:val="none"/>
        </w:rPr>
        <w:t>GB 2760 食品安全国家标准 食品添加剂使用标准</w:t>
      </w:r>
    </w:p>
    <w:p w14:paraId="0594EE78">
      <w:pPr>
        <w:pStyle w:val="56"/>
        <w:ind w:firstLine="420"/>
        <w:rPr>
          <w:rFonts w:hint="eastAsia"/>
          <w:highlight w:val="none"/>
        </w:rPr>
      </w:pPr>
      <w:r>
        <w:rPr>
          <w:rFonts w:hint="eastAsia"/>
          <w:highlight w:val="none"/>
        </w:rPr>
        <w:t>GB 2761 食品安全国家标准 食品中真菌毒素限量</w:t>
      </w:r>
    </w:p>
    <w:p w14:paraId="5D2675C5">
      <w:pPr>
        <w:pStyle w:val="56"/>
        <w:ind w:firstLine="420"/>
        <w:rPr>
          <w:rFonts w:hint="eastAsia"/>
          <w:highlight w:val="none"/>
        </w:rPr>
      </w:pPr>
      <w:r>
        <w:rPr>
          <w:rFonts w:hint="eastAsia"/>
          <w:highlight w:val="none"/>
        </w:rPr>
        <w:t>GB 2762 食品安全国家标准 食品中污染物限量</w:t>
      </w:r>
    </w:p>
    <w:p w14:paraId="33E66DE3">
      <w:pPr>
        <w:pStyle w:val="56"/>
        <w:ind w:firstLine="420"/>
        <w:rPr>
          <w:rFonts w:hint="eastAsia"/>
          <w:highlight w:val="none"/>
        </w:rPr>
      </w:pPr>
      <w:r>
        <w:rPr>
          <w:rFonts w:hint="eastAsia"/>
          <w:highlight w:val="none"/>
        </w:rPr>
        <w:t>GB 4806.1 食品安全国家标准 食品接触材料及制品通用安全要求</w:t>
      </w:r>
    </w:p>
    <w:p w14:paraId="576B1F97">
      <w:pPr>
        <w:pStyle w:val="56"/>
        <w:ind w:firstLine="420"/>
        <w:rPr>
          <w:rFonts w:hint="eastAsia"/>
          <w:highlight w:val="none"/>
        </w:rPr>
      </w:pPr>
      <w:r>
        <w:rPr>
          <w:rFonts w:hint="eastAsia"/>
          <w:highlight w:val="none"/>
        </w:rPr>
        <w:t>GB 4806.12 食品安全国家标准 食品接触用竹木材料及制品</w:t>
      </w:r>
    </w:p>
    <w:p w14:paraId="27A42D04">
      <w:pPr>
        <w:pStyle w:val="56"/>
        <w:ind w:firstLine="420"/>
        <w:rPr>
          <w:rFonts w:hint="eastAsia"/>
          <w:highlight w:val="none"/>
        </w:rPr>
      </w:pPr>
      <w:r>
        <w:rPr>
          <w:rFonts w:hint="eastAsia"/>
          <w:highlight w:val="none"/>
        </w:rPr>
        <w:t>GB/T 5461 食用盐</w:t>
      </w:r>
    </w:p>
    <w:p w14:paraId="6D4E7ACE">
      <w:pPr>
        <w:pStyle w:val="56"/>
        <w:ind w:firstLine="420"/>
        <w:rPr>
          <w:rFonts w:hint="eastAsia"/>
          <w:highlight w:val="none"/>
        </w:rPr>
      </w:pPr>
      <w:r>
        <w:rPr>
          <w:rFonts w:hint="eastAsia"/>
          <w:highlight w:val="none"/>
        </w:rPr>
        <w:t>GB 7718 食品安全国家标准 预包装食品标签通则</w:t>
      </w:r>
    </w:p>
    <w:p w14:paraId="4B75DF95">
      <w:pPr>
        <w:pStyle w:val="56"/>
        <w:ind w:firstLine="420"/>
        <w:rPr>
          <w:rFonts w:hint="eastAsia"/>
          <w:highlight w:val="none"/>
        </w:rPr>
      </w:pPr>
      <w:r>
        <w:rPr>
          <w:rFonts w:hint="eastAsia"/>
          <w:highlight w:val="none"/>
        </w:rPr>
        <w:t>GB/T 13662 黄酒</w:t>
      </w:r>
    </w:p>
    <w:p w14:paraId="09F8FF9F">
      <w:pPr>
        <w:pStyle w:val="56"/>
        <w:ind w:firstLine="420"/>
        <w:rPr>
          <w:rFonts w:hint="eastAsia"/>
          <w:highlight w:val="none"/>
        </w:rPr>
      </w:pPr>
      <w:r>
        <w:rPr>
          <w:rFonts w:hint="eastAsia"/>
          <w:highlight w:val="none"/>
        </w:rPr>
        <w:t>GB 15196 食品安全国家标准 食用油脂制品</w:t>
      </w:r>
    </w:p>
    <w:p w14:paraId="37E0852C">
      <w:pPr>
        <w:pStyle w:val="56"/>
        <w:ind w:firstLine="420"/>
        <w:rPr>
          <w:rFonts w:hint="eastAsia"/>
          <w:highlight w:val="none"/>
        </w:rPr>
      </w:pPr>
      <w:r>
        <w:rPr>
          <w:rFonts w:hint="eastAsia"/>
          <w:highlight w:val="none"/>
        </w:rPr>
        <w:t>GB/T 15691 香辛料调味品通用技术条件</w:t>
      </w:r>
    </w:p>
    <w:p w14:paraId="62E6A78F">
      <w:pPr>
        <w:pStyle w:val="56"/>
        <w:ind w:firstLine="420"/>
        <w:rPr>
          <w:rFonts w:hint="eastAsia"/>
          <w:highlight w:val="none"/>
        </w:rPr>
      </w:pPr>
      <w:r>
        <w:rPr>
          <w:rFonts w:hint="eastAsia"/>
          <w:highlight w:val="none"/>
        </w:rPr>
        <w:t>GB/T 30383 生姜</w:t>
      </w:r>
    </w:p>
    <w:p w14:paraId="458DC7F9">
      <w:pPr>
        <w:pStyle w:val="56"/>
        <w:ind w:firstLine="420"/>
        <w:rPr>
          <w:rFonts w:hint="eastAsia"/>
          <w:highlight w:val="none"/>
        </w:rPr>
      </w:pPr>
      <w:r>
        <w:rPr>
          <w:rFonts w:hint="eastAsia"/>
          <w:highlight w:val="none"/>
        </w:rPr>
        <w:t>GB 31654 食品安全国家标准 餐饮服务通用卫生规范</w:t>
      </w:r>
    </w:p>
    <w:p w14:paraId="7B2430A6">
      <w:pPr>
        <w:pStyle w:val="56"/>
        <w:ind w:firstLine="420"/>
        <w:rPr>
          <w:rFonts w:hint="eastAsia"/>
          <w:highlight w:val="none"/>
        </w:rPr>
      </w:pPr>
      <w:r>
        <w:rPr>
          <w:rFonts w:hint="eastAsia"/>
          <w:highlight w:val="none"/>
        </w:rPr>
        <w:t>GB 35848 商用燃气燃烧器具</w:t>
      </w:r>
    </w:p>
    <w:p w14:paraId="6A680BCD">
      <w:pPr>
        <w:pStyle w:val="56"/>
        <w:ind w:firstLine="420"/>
        <w:rPr>
          <w:rFonts w:hint="eastAsia"/>
          <w:highlight w:val="none"/>
        </w:rPr>
      </w:pPr>
      <w:r>
        <w:rPr>
          <w:rFonts w:hint="eastAsia"/>
          <w:highlight w:val="none"/>
        </w:rPr>
        <w:t>GB/T 35883 冰糖</w:t>
      </w:r>
    </w:p>
    <w:p w14:paraId="3C7233B9">
      <w:pPr>
        <w:pStyle w:val="56"/>
        <w:ind w:firstLine="420"/>
        <w:rPr>
          <w:rFonts w:hint="eastAsia"/>
          <w:highlight w:val="none"/>
        </w:rPr>
      </w:pPr>
      <w:r>
        <w:rPr>
          <w:rFonts w:hint="eastAsia"/>
          <w:highlight w:val="none"/>
        </w:rPr>
        <w:t>GB/T 35885 红糖</w:t>
      </w:r>
    </w:p>
    <w:p w14:paraId="07299F2C">
      <w:pPr>
        <w:pStyle w:val="56"/>
        <w:ind w:firstLine="420"/>
        <w:rPr>
          <w:rFonts w:hint="eastAsia"/>
          <w:highlight w:val="none"/>
        </w:rPr>
      </w:pPr>
      <w:r>
        <w:rPr>
          <w:rFonts w:hint="eastAsia"/>
          <w:highlight w:val="none"/>
        </w:rPr>
        <w:t>NY/T 744 绿色食品 葱蒜类蔬菜</w:t>
      </w:r>
    </w:p>
    <w:bookmarkEnd w:id="52"/>
    <w:p w14:paraId="6A285AF5">
      <w:pPr>
        <w:pStyle w:val="105"/>
        <w:spacing w:before="240" w:after="240"/>
      </w:pPr>
      <w:bookmarkStart w:id="53" w:name="_Toc199844083"/>
      <w:bookmarkStart w:id="54" w:name="_Toc97192966"/>
      <w:bookmarkStart w:id="55" w:name="_Toc6871"/>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ascii="宋体" w:hAnsi="Times New Roman" w:eastAsia="宋体" w:cs="Times New Roman"/>
              <w:sz w:val="21"/>
              <w:lang w:val="en-US" w:eastAsia="zh-CN" w:bidi="ar-SA"/>
            </w:rPr>
            <w:t>下列术语和定义适用于本文件。</w:t>
          </w:r>
        </w:p>
      </w:sdtContent>
    </w:sdt>
    <w:p w14:paraId="54D14667">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bookmarkStart w:id="57" w:name="_Toc199844084"/>
    </w:p>
    <w:p w14:paraId="2CC54A14">
      <w:pPr>
        <w:pStyle w:val="66"/>
        <w:rPr>
          <w:rFonts w:hint="eastAsia" w:ascii="黑体" w:hAnsi="黑体" w:eastAsia="黑体" w:cs="黑体"/>
          <w:lang w:val="en-US" w:eastAsia="zh-CN"/>
        </w:rPr>
      </w:pPr>
      <w:r>
        <w:rPr>
          <w:rFonts w:hint="eastAsia" w:ascii="黑体" w:hAnsi="黑体" w:eastAsia="黑体" w:cs="黑体"/>
          <w:lang w:val="en-US" w:eastAsia="zh-CN"/>
        </w:rPr>
        <w:t>武义醋鸡 Wuyi vinegar chicken specification</w:t>
      </w:r>
    </w:p>
    <w:p w14:paraId="060639EE">
      <w:pPr>
        <w:pStyle w:val="66"/>
        <w:rPr>
          <w:rFonts w:hint="default"/>
          <w:lang w:val="en-US" w:eastAsia="zh-CN"/>
        </w:rPr>
      </w:pPr>
      <w:r>
        <w:rPr>
          <w:rFonts w:hint="default"/>
          <w:lang w:val="en-US" w:eastAsia="zh-CN"/>
        </w:rPr>
        <w:t>以武义本地或符合要求的三黄鸡为主要原料，配以本地酿造米醋、黄酒、冰糖、生姜、大蒜等辅料，经预处理、大火收汁等传统工艺制作，具有色泽红亮、肉质紧实、酸中带甜、咸鲜适口典型风味特征的武义特色熟肉制品。</w:t>
      </w:r>
    </w:p>
    <w:p w14:paraId="0C8DF7B5">
      <w:pPr>
        <w:pStyle w:val="105"/>
        <w:spacing w:before="326" w:after="326"/>
        <w:rPr>
          <w:rFonts w:hint="eastAsia"/>
        </w:rPr>
      </w:pPr>
      <w:bookmarkStart w:id="58" w:name="_Toc22653"/>
      <w:r>
        <w:rPr>
          <w:rFonts w:hint="eastAsia"/>
          <w:lang w:val="en-US" w:eastAsia="zh-CN"/>
        </w:rPr>
        <w:t>基本要求</w:t>
      </w:r>
      <w:bookmarkEnd w:id="58"/>
    </w:p>
    <w:p w14:paraId="4EA3C6EB">
      <w:pPr>
        <w:pStyle w:val="163"/>
        <w:bidi w:val="0"/>
        <w:rPr>
          <w:rFonts w:hint="eastAsia"/>
        </w:rPr>
      </w:pPr>
      <w:r>
        <w:rPr>
          <w:rFonts w:hint="eastAsia"/>
        </w:rPr>
        <w:t>场所、人员和加工过程的卫生要求应符合GB 31654及《餐饮服务食品安全操作规范》的要求。</w:t>
      </w:r>
    </w:p>
    <w:p w14:paraId="57078639">
      <w:pPr>
        <w:pStyle w:val="163"/>
        <w:bidi w:val="0"/>
        <w:rPr>
          <w:rFonts w:hint="eastAsia"/>
        </w:rPr>
      </w:pPr>
      <w:r>
        <w:rPr>
          <w:rFonts w:hint="eastAsia"/>
        </w:rPr>
        <w:t>食品添加剂的使用应符合GB 2760的要求。</w:t>
      </w:r>
    </w:p>
    <w:p w14:paraId="3C99E48C">
      <w:pPr>
        <w:pStyle w:val="163"/>
        <w:bidi w:val="0"/>
        <w:rPr>
          <w:rFonts w:hint="eastAsia"/>
        </w:rPr>
      </w:pPr>
      <w:r>
        <w:rPr>
          <w:rFonts w:hint="eastAsia"/>
        </w:rPr>
        <w:t>食品接触材料及制品应符合GB 4806.1的要求。</w:t>
      </w:r>
    </w:p>
    <w:p w14:paraId="45714188">
      <w:pPr>
        <w:pStyle w:val="163"/>
        <w:bidi w:val="0"/>
        <w:rPr>
          <w:rFonts w:hint="eastAsia"/>
        </w:rPr>
      </w:pPr>
      <w:r>
        <w:rPr>
          <w:rFonts w:hint="eastAsia"/>
        </w:rPr>
        <w:t>食品中的真菌毒素和污染物含量应符合GB 2761和GB 2762的要求</w:t>
      </w:r>
      <w:r>
        <w:rPr>
          <w:rFonts w:hint="eastAsia"/>
          <w:lang w:eastAsia="zh-CN"/>
        </w:rPr>
        <w:t>。</w:t>
      </w:r>
    </w:p>
    <w:p w14:paraId="1090C6ED">
      <w:pPr>
        <w:pStyle w:val="105"/>
        <w:spacing w:before="326" w:after="326"/>
        <w:rPr>
          <w:rFonts w:hint="eastAsia"/>
        </w:rPr>
      </w:pPr>
      <w:bookmarkStart w:id="59" w:name="_Toc22781"/>
      <w:r>
        <w:rPr>
          <w:rFonts w:hint="eastAsia"/>
          <w:lang w:val="en-US" w:eastAsia="zh-CN"/>
        </w:rPr>
        <w:t>原辅料要求</w:t>
      </w:r>
      <w:bookmarkEnd w:id="59"/>
    </w:p>
    <w:p w14:paraId="6287F32B">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主料</w:t>
      </w:r>
    </w:p>
    <w:p w14:paraId="42AB8E39">
      <w:pPr>
        <w:pStyle w:val="66"/>
        <w:rPr>
          <w:rFonts w:hint="default" w:eastAsia="宋体"/>
          <w:lang w:val="en-US" w:eastAsia="zh-CN"/>
        </w:rPr>
      </w:pPr>
      <w:r>
        <w:rPr>
          <w:rFonts w:hint="eastAsia"/>
        </w:rPr>
        <w:t>主料应选用武义地区三黄鸡，原料鸡须经动物检疫检验合格；宰杀加工后应符合GB 2707食品安全相关规定。所有原料应新鲜、无异味、无损伤；体表洁净、无绒毛杂质，喙部去除硬甲，鸡爪去除老皮，内脏清理干净，腹腔无肺叶、筋膜及淤血残留。</w:t>
      </w:r>
    </w:p>
    <w:p w14:paraId="6930D58F">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辅料</w:t>
      </w:r>
    </w:p>
    <w:p w14:paraId="4791F898">
      <w:pPr>
        <w:pStyle w:val="65"/>
        <w:bidi w:val="0"/>
        <w:rPr>
          <w:rFonts w:hint="default"/>
          <w:lang w:val="en-US" w:eastAsia="zh-CN"/>
        </w:rPr>
      </w:pPr>
      <w:r>
        <w:rPr>
          <w:rFonts w:hint="eastAsia"/>
          <w:lang w:val="en-US" w:eastAsia="zh-CN"/>
        </w:rPr>
        <w:t>生姜</w:t>
      </w:r>
    </w:p>
    <w:p w14:paraId="2F69C8F9">
      <w:pPr>
        <w:pStyle w:val="66"/>
        <w:rPr>
          <w:rFonts w:hint="eastAsia"/>
          <w:lang w:val="en-US" w:eastAsia="zh-CN"/>
        </w:rPr>
      </w:pPr>
      <w:r>
        <w:rPr>
          <w:rFonts w:hint="eastAsia"/>
          <w:lang w:val="en-US" w:eastAsia="zh-CN"/>
        </w:rPr>
        <w:t>应符合GB/T 30383的规定。</w:t>
      </w:r>
    </w:p>
    <w:p w14:paraId="34E94101">
      <w:pPr>
        <w:pStyle w:val="65"/>
        <w:bidi w:val="0"/>
        <w:rPr>
          <w:rFonts w:hint="default"/>
          <w:lang w:val="en-US" w:eastAsia="zh-CN"/>
        </w:rPr>
      </w:pPr>
      <w:r>
        <w:rPr>
          <w:rFonts w:hint="eastAsia"/>
          <w:lang w:val="en-US" w:eastAsia="zh-CN"/>
        </w:rPr>
        <w:t>大蒜</w:t>
      </w:r>
    </w:p>
    <w:p w14:paraId="5EC565AC">
      <w:pPr>
        <w:pStyle w:val="66"/>
        <w:rPr>
          <w:rFonts w:hint="eastAsia"/>
          <w:lang w:val="en-US" w:eastAsia="zh-CN"/>
        </w:rPr>
      </w:pPr>
      <w:r>
        <w:rPr>
          <w:rFonts w:hint="eastAsia"/>
          <w:lang w:val="en-US" w:eastAsia="zh-CN"/>
        </w:rPr>
        <w:t>应符合NY/T 744的规定。</w:t>
      </w:r>
    </w:p>
    <w:p w14:paraId="7C470B72">
      <w:pPr>
        <w:pStyle w:val="65"/>
        <w:bidi w:val="0"/>
        <w:rPr>
          <w:rFonts w:hint="default"/>
          <w:lang w:val="en-US" w:eastAsia="zh-CN"/>
        </w:rPr>
      </w:pPr>
      <w:r>
        <w:rPr>
          <w:rFonts w:hint="eastAsia"/>
          <w:lang w:val="en-US" w:eastAsia="zh-CN"/>
        </w:rPr>
        <w:t>冰糖</w:t>
      </w:r>
    </w:p>
    <w:p w14:paraId="727907EB">
      <w:pPr>
        <w:pStyle w:val="66"/>
        <w:rPr>
          <w:rFonts w:hint="eastAsia"/>
          <w:lang w:val="en-US" w:eastAsia="zh-CN"/>
        </w:rPr>
      </w:pPr>
      <w:r>
        <w:rPr>
          <w:rFonts w:hint="eastAsia"/>
          <w:lang w:val="en-US" w:eastAsia="zh-CN"/>
        </w:rPr>
        <w:t>应符合GB/T 35883的规定。</w:t>
      </w:r>
    </w:p>
    <w:p w14:paraId="7E019876">
      <w:pPr>
        <w:pStyle w:val="65"/>
        <w:bidi w:val="0"/>
        <w:rPr>
          <w:rFonts w:hint="default"/>
          <w:lang w:val="en-US" w:eastAsia="zh-CN"/>
        </w:rPr>
      </w:pPr>
      <w:r>
        <w:rPr>
          <w:rFonts w:hint="eastAsia"/>
          <w:lang w:val="en-US" w:eastAsia="zh-CN"/>
        </w:rPr>
        <w:t>红糖</w:t>
      </w:r>
    </w:p>
    <w:p w14:paraId="3EDFCE18">
      <w:pPr>
        <w:pStyle w:val="66"/>
        <w:rPr>
          <w:rFonts w:hint="eastAsia"/>
          <w:lang w:val="en-US" w:eastAsia="zh-CN"/>
        </w:rPr>
      </w:pPr>
      <w:r>
        <w:rPr>
          <w:rFonts w:hint="eastAsia"/>
          <w:lang w:val="en-US" w:eastAsia="zh-CN"/>
        </w:rPr>
        <w:t>应符合GB/T 35885的规定。</w:t>
      </w:r>
    </w:p>
    <w:p w14:paraId="6E8C6D40">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调料</w:t>
      </w:r>
    </w:p>
    <w:p w14:paraId="0AEEF735">
      <w:pPr>
        <w:pStyle w:val="65"/>
        <w:bidi w:val="0"/>
        <w:rPr>
          <w:rFonts w:hint="eastAsia"/>
        </w:rPr>
      </w:pPr>
      <w:r>
        <w:rPr>
          <w:rFonts w:hint="eastAsia"/>
          <w:lang w:val="en-US" w:eastAsia="zh-CN"/>
        </w:rPr>
        <w:t>食用油</w:t>
      </w:r>
    </w:p>
    <w:p w14:paraId="70D0B0A5">
      <w:pPr>
        <w:pStyle w:val="66"/>
        <w:rPr>
          <w:rFonts w:hint="eastAsia"/>
          <w:lang w:val="en-US" w:eastAsia="zh-CN"/>
        </w:rPr>
      </w:pPr>
      <w:r>
        <w:rPr>
          <w:rFonts w:hint="eastAsia"/>
          <w:lang w:val="en-US" w:eastAsia="zh-CN"/>
        </w:rPr>
        <w:t>应符合GB 15196的规定。</w:t>
      </w:r>
    </w:p>
    <w:p w14:paraId="596F6161">
      <w:pPr>
        <w:pStyle w:val="65"/>
        <w:bidi w:val="0"/>
        <w:rPr>
          <w:rFonts w:hint="default"/>
          <w:lang w:val="en-US" w:eastAsia="zh-CN"/>
        </w:rPr>
      </w:pPr>
      <w:r>
        <w:rPr>
          <w:rFonts w:hint="eastAsia"/>
          <w:lang w:val="en-US" w:eastAsia="zh-CN"/>
        </w:rPr>
        <w:t>食用盐</w:t>
      </w:r>
    </w:p>
    <w:p w14:paraId="2BDF8AA4">
      <w:pPr>
        <w:pStyle w:val="66"/>
        <w:rPr>
          <w:rFonts w:hint="eastAsia"/>
          <w:lang w:val="en-US" w:eastAsia="zh-CN"/>
        </w:rPr>
      </w:pPr>
      <w:r>
        <w:rPr>
          <w:rFonts w:hint="eastAsia"/>
          <w:lang w:val="en-US" w:eastAsia="zh-CN"/>
        </w:rPr>
        <w:t>应符合GB 2721、GB/T 5461的规定。</w:t>
      </w:r>
    </w:p>
    <w:p w14:paraId="68CF4487">
      <w:pPr>
        <w:pStyle w:val="65"/>
        <w:bidi w:val="0"/>
        <w:rPr>
          <w:rFonts w:hint="default"/>
          <w:lang w:val="en-US" w:eastAsia="zh-CN"/>
        </w:rPr>
      </w:pPr>
      <w:r>
        <w:rPr>
          <w:rFonts w:hint="eastAsia"/>
          <w:lang w:val="en-US" w:eastAsia="zh-CN"/>
        </w:rPr>
        <w:t>味精</w:t>
      </w:r>
    </w:p>
    <w:p w14:paraId="3FEABB83">
      <w:pPr>
        <w:pStyle w:val="66"/>
        <w:rPr>
          <w:rFonts w:hint="eastAsia"/>
          <w:lang w:val="en-US" w:eastAsia="zh-CN"/>
        </w:rPr>
      </w:pPr>
      <w:r>
        <w:rPr>
          <w:rFonts w:hint="eastAsia"/>
          <w:lang w:val="en-US" w:eastAsia="zh-CN"/>
        </w:rPr>
        <w:t>应符合GB 2720的规定。</w:t>
      </w:r>
    </w:p>
    <w:p w14:paraId="40C8DBD4">
      <w:pPr>
        <w:pStyle w:val="65"/>
        <w:bidi w:val="0"/>
        <w:rPr>
          <w:rFonts w:hint="default"/>
          <w:lang w:val="en-US" w:eastAsia="zh-CN"/>
        </w:rPr>
      </w:pPr>
      <w:r>
        <w:rPr>
          <w:rFonts w:hint="eastAsia"/>
          <w:lang w:val="en-US" w:eastAsia="zh-CN"/>
        </w:rPr>
        <w:t>胡椒粉</w:t>
      </w:r>
    </w:p>
    <w:p w14:paraId="6F9E3C14">
      <w:pPr>
        <w:pStyle w:val="66"/>
        <w:rPr>
          <w:rFonts w:hint="default"/>
          <w:lang w:val="en-US" w:eastAsia="zh-CN"/>
        </w:rPr>
      </w:pPr>
      <w:r>
        <w:rPr>
          <w:rFonts w:hint="eastAsia"/>
          <w:lang w:val="en-US" w:eastAsia="zh-CN"/>
        </w:rPr>
        <w:t>应符合GB/T 15691的规定。</w:t>
      </w:r>
    </w:p>
    <w:p w14:paraId="3A4D0F5C">
      <w:pPr>
        <w:pStyle w:val="65"/>
        <w:bidi w:val="0"/>
        <w:rPr>
          <w:rFonts w:hint="default"/>
          <w:lang w:val="en-US" w:eastAsia="zh-CN"/>
        </w:rPr>
      </w:pPr>
      <w:r>
        <w:rPr>
          <w:rFonts w:hint="eastAsia"/>
          <w:lang w:val="en-US" w:eastAsia="zh-CN"/>
        </w:rPr>
        <w:t>酱油</w:t>
      </w:r>
    </w:p>
    <w:p w14:paraId="6851F9F0">
      <w:pPr>
        <w:pStyle w:val="66"/>
        <w:rPr>
          <w:rFonts w:hint="eastAsia"/>
          <w:lang w:val="en-US" w:eastAsia="zh-CN"/>
        </w:rPr>
      </w:pPr>
      <w:r>
        <w:rPr>
          <w:rFonts w:hint="eastAsia"/>
          <w:lang w:val="en-US" w:eastAsia="zh-CN"/>
        </w:rPr>
        <w:t>应符合GB 2717的规定。</w:t>
      </w:r>
    </w:p>
    <w:p w14:paraId="09C14C18">
      <w:pPr>
        <w:pStyle w:val="65"/>
        <w:bidi w:val="0"/>
        <w:rPr>
          <w:rFonts w:hint="default"/>
          <w:lang w:val="en-US" w:eastAsia="zh-CN"/>
        </w:rPr>
      </w:pPr>
      <w:r>
        <w:rPr>
          <w:rFonts w:hint="eastAsia"/>
          <w:lang w:val="en-US" w:eastAsia="zh-CN"/>
        </w:rPr>
        <w:t>米醋</w:t>
      </w:r>
    </w:p>
    <w:p w14:paraId="72688FCE">
      <w:pPr>
        <w:pStyle w:val="66"/>
        <w:rPr>
          <w:rFonts w:hint="eastAsia"/>
          <w:lang w:val="en-US" w:eastAsia="zh-CN"/>
        </w:rPr>
      </w:pPr>
      <w:r>
        <w:rPr>
          <w:rFonts w:hint="eastAsia"/>
          <w:lang w:val="en-US" w:eastAsia="zh-CN"/>
        </w:rPr>
        <w:t>应选用粮食酿造米醋，产品质量应符合 GB 2719 规定，总酸（以乙酸计）≥3.5 g/100 mL，无异味、无沉淀。</w:t>
      </w:r>
    </w:p>
    <w:p w14:paraId="0DCFFC39">
      <w:pPr>
        <w:pStyle w:val="65"/>
        <w:bidi w:val="0"/>
        <w:rPr>
          <w:rFonts w:hint="default"/>
          <w:lang w:val="en-US" w:eastAsia="zh-CN"/>
        </w:rPr>
      </w:pPr>
      <w:r>
        <w:rPr>
          <w:rFonts w:hint="eastAsia"/>
          <w:lang w:val="en-US" w:eastAsia="zh-CN"/>
        </w:rPr>
        <w:t>黄酒</w:t>
      </w:r>
    </w:p>
    <w:p w14:paraId="48472A72">
      <w:pPr>
        <w:pStyle w:val="66"/>
        <w:rPr>
          <w:rFonts w:hint="default"/>
          <w:lang w:val="en-US" w:eastAsia="zh-CN"/>
        </w:rPr>
      </w:pPr>
      <w:r>
        <w:rPr>
          <w:rFonts w:hint="default"/>
          <w:lang w:val="en-US" w:eastAsia="zh-CN"/>
        </w:rPr>
        <w:t>应选用符合GB/T 13662规定的黄酒，酒精度≥12% vol。</w:t>
      </w:r>
    </w:p>
    <w:p w14:paraId="2A3F9152">
      <w:pPr>
        <w:pStyle w:val="105"/>
        <w:spacing w:before="326" w:after="326"/>
        <w:rPr>
          <w:rFonts w:hint="eastAsia"/>
        </w:rPr>
      </w:pPr>
      <w:bookmarkStart w:id="60" w:name="_Toc23447"/>
      <w:r>
        <w:rPr>
          <w:rFonts w:hint="eastAsia"/>
          <w:lang w:val="en-US" w:eastAsia="zh-CN"/>
        </w:rPr>
        <w:t>烹饪器具</w:t>
      </w:r>
      <w:bookmarkEnd w:id="60"/>
    </w:p>
    <w:p w14:paraId="1FCFDDC3">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灶具</w:t>
      </w:r>
    </w:p>
    <w:p w14:paraId="487D9622">
      <w:pPr>
        <w:pStyle w:val="66"/>
        <w:rPr>
          <w:rFonts w:hint="eastAsia"/>
        </w:rPr>
      </w:pPr>
      <w:r>
        <w:rPr>
          <w:rFonts w:hint="eastAsia"/>
        </w:rPr>
        <w:t>宜选用燃气灶具、蒸锅等加工设备，设备质量与安全性能应符合GB 35848相关规定。</w:t>
      </w:r>
    </w:p>
    <w:p w14:paraId="541DB622">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炊具</w:t>
      </w:r>
    </w:p>
    <w:p w14:paraId="5B2B4ED8">
      <w:pPr>
        <w:pStyle w:val="66"/>
        <w:rPr>
          <w:rFonts w:hint="eastAsia"/>
        </w:rPr>
      </w:pPr>
      <w:r>
        <w:rPr>
          <w:rFonts w:hint="eastAsia"/>
        </w:rPr>
        <w:t>宜选用竹木材质蒸笼，其产品质量及卫生指标应符合 GB 4806.12 的规定。</w:t>
      </w:r>
    </w:p>
    <w:p w14:paraId="3787B65E">
      <w:pPr>
        <w:pStyle w:val="105"/>
        <w:spacing w:before="326" w:after="326"/>
        <w:rPr>
          <w:rFonts w:hint="eastAsia"/>
        </w:rPr>
      </w:pPr>
      <w:bookmarkStart w:id="61" w:name="_Toc30245"/>
      <w:r>
        <w:rPr>
          <w:rFonts w:hint="eastAsia"/>
          <w:lang w:val="en-US" w:eastAsia="zh-CN"/>
        </w:rPr>
        <w:t>制作工艺</w:t>
      </w:r>
      <w:bookmarkEnd w:id="61"/>
    </w:p>
    <w:p w14:paraId="3E151AB1">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切配</w:t>
      </w:r>
    </w:p>
    <w:p w14:paraId="1B5145D1">
      <w:pPr>
        <w:pStyle w:val="66"/>
        <w:rPr>
          <w:rFonts w:hint="eastAsia"/>
          <w:lang w:val="en-US" w:eastAsia="zh-CN"/>
        </w:rPr>
      </w:pPr>
      <w:r>
        <w:rPr>
          <w:rFonts w:hint="eastAsia"/>
          <w:lang w:val="en-US" w:eastAsia="zh-CN"/>
        </w:rPr>
        <w:t>加工制作前，将整鸡斩切为(3±0.5)cm的块状，鲜姜斜切为厚度 0.2 cm 的薄片。切配完成的食材宜在2h内烹调加工；若无法及时烹调，应置于0～10℃冷藏条件下贮存，贮存时长不得超过 4 h。</w:t>
      </w:r>
    </w:p>
    <w:p w14:paraId="076AB31A">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烹调</w:t>
      </w:r>
    </w:p>
    <w:p w14:paraId="1FFA293E">
      <w:pPr>
        <w:pStyle w:val="65"/>
        <w:bidi w:val="0"/>
        <w:rPr>
          <w:rFonts w:hint="default"/>
          <w:lang w:val="en-US" w:eastAsia="zh-CN"/>
        </w:rPr>
      </w:pPr>
      <w:r>
        <w:rPr>
          <w:rFonts w:hint="eastAsia"/>
          <w:lang w:val="en-US" w:eastAsia="zh-CN"/>
        </w:rPr>
        <w:t>炒制</w:t>
      </w:r>
    </w:p>
    <w:p w14:paraId="4B6E39B8">
      <w:pPr>
        <w:pStyle w:val="66"/>
        <w:rPr>
          <w:rFonts w:hint="eastAsia"/>
          <w:lang w:val="en-US" w:eastAsia="zh-CN"/>
        </w:rPr>
      </w:pPr>
      <w:r>
        <w:rPr>
          <w:rFonts w:hint="eastAsia"/>
          <w:lang w:val="en-US" w:eastAsia="zh-CN"/>
        </w:rPr>
        <w:t>将炒锅置于加热炉具上，加入菜籽油200g，大火加热至油温80℃，放入鸡块翻炒3min，至表面呈金黄色泽。依次加入姜片80克、蒜瓣50g、生抽80g、老抽20、米醋200g、黄酒100g、白砂糖20g、食用盐7g，大火翻炒约2分钟；待姜蒜香味析出后，沿锅边淋入米醋100g，调至中火继续焖制约5min。</w:t>
      </w:r>
    </w:p>
    <w:p w14:paraId="26467515">
      <w:pPr>
        <w:pStyle w:val="65"/>
        <w:bidi w:val="0"/>
        <w:rPr>
          <w:rFonts w:hint="default"/>
          <w:lang w:val="en-US" w:eastAsia="zh-CN"/>
        </w:rPr>
      </w:pPr>
      <w:r>
        <w:rPr>
          <w:rFonts w:hint="eastAsia"/>
          <w:lang w:val="en-US" w:eastAsia="zh-CN"/>
        </w:rPr>
        <w:t>收汁</w:t>
      </w:r>
    </w:p>
    <w:p w14:paraId="33E2E2AC">
      <w:pPr>
        <w:pStyle w:val="66"/>
        <w:rPr>
          <w:rFonts w:hint="default"/>
          <w:lang w:val="en-US" w:eastAsia="zh-CN"/>
        </w:rPr>
      </w:pPr>
      <w:r>
        <w:rPr>
          <w:rFonts w:hint="default"/>
          <w:lang w:val="en-US" w:eastAsia="zh-CN"/>
        </w:rPr>
        <w:t>待鸡肉析出油脂后，调旺火进行收汁，期间持续翻动物料，防止焦糊粘锅；待汤汁浓稠并均匀裹覆于鸡肉表面、成品色泽红亮时，第三次沿锅边淋入米醋100g，即可出锅。</w:t>
      </w:r>
    </w:p>
    <w:p w14:paraId="3B44459F">
      <w:pPr>
        <w:pStyle w:val="105"/>
        <w:spacing w:before="326" w:after="326"/>
        <w:rPr>
          <w:rFonts w:hint="default"/>
          <w:lang w:val="en-US" w:eastAsia="zh-CN"/>
        </w:rPr>
      </w:pPr>
      <w:bookmarkStart w:id="62" w:name="_Toc29526"/>
      <w:r>
        <w:rPr>
          <w:rFonts w:hint="eastAsia"/>
          <w:lang w:val="en-US" w:eastAsia="zh-CN"/>
        </w:rPr>
        <w:t>技术要求</w:t>
      </w:r>
      <w:bookmarkEnd w:id="62"/>
    </w:p>
    <w:p w14:paraId="6C744A2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感官要求</w:t>
      </w:r>
    </w:p>
    <w:p w14:paraId="7CE1A8F4">
      <w:pPr>
        <w:pStyle w:val="66"/>
        <w:rPr>
          <w:rFonts w:hint="eastAsia"/>
          <w:lang w:val="en-US" w:eastAsia="zh-CN"/>
        </w:rPr>
      </w:pPr>
      <w:r>
        <w:rPr>
          <w:rFonts w:hint="eastAsia"/>
          <w:lang w:val="en-US" w:eastAsia="zh-CN"/>
        </w:rPr>
        <w:t>应符合表1的要求。</w:t>
      </w:r>
    </w:p>
    <w:p w14:paraId="595504F5">
      <w:pPr>
        <w:pStyle w:val="113"/>
        <w:bidi w:val="0"/>
        <w:rPr>
          <w:rFonts w:hint="eastAsia"/>
          <w:lang w:val="en-US" w:eastAsia="zh-CN"/>
        </w:rPr>
      </w:pPr>
      <w:r>
        <w:rPr>
          <w:rFonts w:hint="eastAsia"/>
          <w:lang w:val="en-US" w:eastAsia="zh-CN"/>
        </w:rPr>
        <w:t>感官要求</w:t>
      </w:r>
    </w:p>
    <w:tbl>
      <w:tblPr>
        <w:tblStyle w:val="27"/>
        <w:tblW w:w="5000"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3723"/>
        <w:gridCol w:w="5847"/>
      </w:tblGrid>
      <w:tr w14:paraId="64E25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1945" w:type="pct"/>
            <w:tcBorders>
              <w:top w:val="single" w:color="auto" w:sz="8" w:space="0"/>
              <w:left w:val="single" w:color="auto" w:sz="8" w:space="0"/>
              <w:bottom w:val="single" w:color="auto" w:sz="8" w:space="0"/>
            </w:tcBorders>
          </w:tcPr>
          <w:p w14:paraId="2B4CBB4C">
            <w:pPr>
              <w:pStyle w:val="179"/>
              <w:bidi w:val="0"/>
              <w:rPr>
                <w:rFonts w:hint="default"/>
                <w:lang w:val="en-US" w:eastAsia="zh-CN"/>
              </w:rPr>
            </w:pPr>
            <w:r>
              <w:rPr>
                <w:rFonts w:hint="eastAsia"/>
                <w:lang w:val="en-US" w:eastAsia="zh-CN"/>
              </w:rPr>
              <w:t>项目</w:t>
            </w:r>
          </w:p>
        </w:tc>
        <w:tc>
          <w:tcPr>
            <w:tcW w:w="3054" w:type="pct"/>
            <w:tcBorders>
              <w:top w:val="single" w:color="auto" w:sz="8" w:space="0"/>
              <w:bottom w:val="single" w:color="auto" w:sz="8" w:space="0"/>
              <w:right w:val="single" w:color="auto" w:sz="8" w:space="0"/>
            </w:tcBorders>
          </w:tcPr>
          <w:p w14:paraId="5CBC1452">
            <w:pPr>
              <w:pStyle w:val="179"/>
              <w:bidi w:val="0"/>
              <w:rPr>
                <w:rFonts w:hint="default"/>
                <w:lang w:val="en-US" w:eastAsia="zh-CN"/>
              </w:rPr>
            </w:pPr>
            <w:r>
              <w:rPr>
                <w:rFonts w:hint="eastAsia"/>
                <w:lang w:val="en-US" w:eastAsia="zh-CN"/>
              </w:rPr>
              <w:t>要求</w:t>
            </w:r>
          </w:p>
        </w:tc>
      </w:tr>
      <w:tr w14:paraId="3F764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45" w:type="pct"/>
            <w:tcBorders>
              <w:left w:val="single" w:color="auto" w:sz="8" w:space="0"/>
            </w:tcBorders>
          </w:tcPr>
          <w:p w14:paraId="580A40CA">
            <w:pPr>
              <w:pStyle w:val="179"/>
              <w:bidi w:val="0"/>
              <w:rPr>
                <w:rFonts w:hint="default"/>
                <w:lang w:val="en-US" w:eastAsia="zh-CN"/>
              </w:rPr>
            </w:pPr>
            <w:r>
              <w:rPr>
                <w:rFonts w:hint="eastAsia"/>
                <w:lang w:val="en-US" w:eastAsia="zh-CN"/>
              </w:rPr>
              <w:t>色泽</w:t>
            </w:r>
          </w:p>
        </w:tc>
        <w:tc>
          <w:tcPr>
            <w:tcW w:w="3054" w:type="pct"/>
            <w:tcBorders>
              <w:right w:val="single" w:color="auto" w:sz="8" w:space="0"/>
            </w:tcBorders>
          </w:tcPr>
          <w:p w14:paraId="2DD46795">
            <w:pPr>
              <w:pStyle w:val="179"/>
              <w:bidi w:val="0"/>
              <w:rPr>
                <w:rFonts w:hint="default"/>
                <w:lang w:val="en-US" w:eastAsia="zh-CN"/>
              </w:rPr>
            </w:pPr>
            <w:r>
              <w:rPr>
                <w:rFonts w:hint="default"/>
                <w:lang w:val="en-US" w:eastAsia="zh-CN"/>
              </w:rPr>
              <w:t>红亮均匀，有光泽，无焦糊色</w:t>
            </w:r>
          </w:p>
        </w:tc>
      </w:tr>
      <w:tr w14:paraId="42438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45" w:type="pct"/>
            <w:tcBorders>
              <w:left w:val="single" w:color="auto" w:sz="8" w:space="0"/>
            </w:tcBorders>
          </w:tcPr>
          <w:p w14:paraId="5B669123">
            <w:pPr>
              <w:pStyle w:val="179"/>
              <w:bidi w:val="0"/>
              <w:rPr>
                <w:rFonts w:hint="default"/>
                <w:lang w:val="en-US" w:eastAsia="zh-CN"/>
              </w:rPr>
            </w:pPr>
            <w:r>
              <w:rPr>
                <w:rFonts w:hint="eastAsia"/>
                <w:lang w:val="en-US" w:eastAsia="zh-CN"/>
              </w:rPr>
              <w:t>滋味与气味</w:t>
            </w:r>
          </w:p>
        </w:tc>
        <w:tc>
          <w:tcPr>
            <w:tcW w:w="3054" w:type="pct"/>
            <w:tcBorders>
              <w:right w:val="single" w:color="auto" w:sz="8" w:space="0"/>
            </w:tcBorders>
          </w:tcPr>
          <w:p w14:paraId="27CF3571">
            <w:pPr>
              <w:pStyle w:val="179"/>
              <w:bidi w:val="0"/>
              <w:rPr>
                <w:rFonts w:hint="default"/>
                <w:lang w:val="en-US" w:eastAsia="zh-CN"/>
              </w:rPr>
            </w:pPr>
            <w:r>
              <w:rPr>
                <w:rFonts w:hint="default"/>
                <w:lang w:val="en-US" w:eastAsia="zh-CN"/>
              </w:rPr>
              <w:t>具有武义醋鸡特有的酸、甜、咸、鲜复合风味，无酸败、无异味</w:t>
            </w:r>
          </w:p>
        </w:tc>
      </w:tr>
      <w:tr w14:paraId="5CAFC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45" w:type="pct"/>
            <w:tcBorders>
              <w:left w:val="single" w:color="auto" w:sz="8" w:space="0"/>
            </w:tcBorders>
          </w:tcPr>
          <w:p w14:paraId="61EE51A5">
            <w:pPr>
              <w:pStyle w:val="179"/>
              <w:bidi w:val="0"/>
              <w:rPr>
                <w:rFonts w:hint="default"/>
                <w:lang w:val="en-US" w:eastAsia="zh-CN"/>
              </w:rPr>
            </w:pPr>
            <w:r>
              <w:rPr>
                <w:rFonts w:hint="eastAsia"/>
                <w:lang w:val="en-US" w:eastAsia="zh-CN"/>
              </w:rPr>
              <w:t>组织状态</w:t>
            </w:r>
          </w:p>
        </w:tc>
        <w:tc>
          <w:tcPr>
            <w:tcW w:w="3054" w:type="pct"/>
            <w:tcBorders>
              <w:right w:val="single" w:color="auto" w:sz="8" w:space="0"/>
            </w:tcBorders>
          </w:tcPr>
          <w:p w14:paraId="4E3BA1B9">
            <w:pPr>
              <w:pStyle w:val="179"/>
              <w:bidi w:val="0"/>
              <w:rPr>
                <w:rFonts w:hint="default"/>
                <w:lang w:val="en-US" w:eastAsia="zh-CN"/>
              </w:rPr>
            </w:pPr>
            <w:r>
              <w:rPr>
                <w:rFonts w:hint="default"/>
                <w:lang w:val="en-US" w:eastAsia="zh-CN"/>
              </w:rPr>
              <w:t>肉质紧实有弹性，切块整齐，无松散、无杂质</w:t>
            </w:r>
          </w:p>
        </w:tc>
      </w:tr>
      <w:tr w14:paraId="400EB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45" w:type="pct"/>
            <w:tcBorders>
              <w:left w:val="single" w:color="auto" w:sz="8" w:space="0"/>
              <w:bottom w:val="single" w:color="auto" w:sz="8" w:space="0"/>
            </w:tcBorders>
          </w:tcPr>
          <w:p w14:paraId="6A779BA9">
            <w:pPr>
              <w:pStyle w:val="179"/>
              <w:bidi w:val="0"/>
              <w:rPr>
                <w:rFonts w:hint="default"/>
                <w:lang w:val="en-US" w:eastAsia="zh-CN"/>
              </w:rPr>
            </w:pPr>
            <w:r>
              <w:rPr>
                <w:rFonts w:hint="eastAsia"/>
                <w:lang w:val="en-US" w:eastAsia="zh-CN"/>
              </w:rPr>
              <w:t>杂质</w:t>
            </w:r>
          </w:p>
        </w:tc>
        <w:tc>
          <w:tcPr>
            <w:tcW w:w="3054" w:type="pct"/>
            <w:tcBorders>
              <w:bottom w:val="single" w:color="auto" w:sz="8" w:space="0"/>
              <w:right w:val="single" w:color="auto" w:sz="8" w:space="0"/>
            </w:tcBorders>
          </w:tcPr>
          <w:p w14:paraId="43E18CCB">
            <w:pPr>
              <w:pStyle w:val="179"/>
              <w:bidi w:val="0"/>
              <w:rPr>
                <w:rFonts w:hint="default"/>
                <w:lang w:val="en-US" w:eastAsia="zh-CN"/>
              </w:rPr>
            </w:pPr>
            <w:r>
              <w:rPr>
                <w:rFonts w:hint="default"/>
                <w:lang w:val="en-US" w:eastAsia="zh-CN"/>
              </w:rPr>
              <w:t>无肉眼可见外来杂质</w:t>
            </w:r>
          </w:p>
        </w:tc>
      </w:tr>
    </w:tbl>
    <w:p w14:paraId="2612E97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理化指标</w:t>
      </w:r>
    </w:p>
    <w:p w14:paraId="09CF1C5C">
      <w:pPr>
        <w:pStyle w:val="66"/>
        <w:rPr>
          <w:rFonts w:hint="eastAsia"/>
          <w:lang w:val="en-US" w:eastAsia="zh-CN"/>
        </w:rPr>
      </w:pPr>
      <w:r>
        <w:rPr>
          <w:rFonts w:hint="eastAsia"/>
          <w:lang w:val="en-US" w:eastAsia="zh-CN"/>
        </w:rPr>
        <w:t>应符合表2的要求。</w:t>
      </w:r>
    </w:p>
    <w:p w14:paraId="2D87D3DA">
      <w:pPr>
        <w:pStyle w:val="113"/>
        <w:bidi w:val="0"/>
        <w:rPr>
          <w:rFonts w:hint="default"/>
          <w:lang w:val="en-US" w:eastAsia="zh-CN"/>
        </w:rPr>
      </w:pPr>
      <w:r>
        <w:rPr>
          <w:rFonts w:hint="eastAsia"/>
          <w:lang w:val="en-US" w:eastAsia="zh-CN"/>
        </w:rPr>
        <w:t>理化指标</w:t>
      </w:r>
    </w:p>
    <w:tbl>
      <w:tblPr>
        <w:tblStyle w:val="27"/>
        <w:tblW w:w="5000" w:type="pct"/>
        <w:tblCaption w:val="理化指标"/>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3709"/>
        <w:gridCol w:w="2236"/>
        <w:gridCol w:w="3625"/>
      </w:tblGrid>
      <w:tr w14:paraId="6868C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1937" w:type="pct"/>
            <w:tcBorders>
              <w:top w:val="single" w:color="auto" w:sz="8" w:space="0"/>
              <w:left w:val="single" w:color="auto" w:sz="8" w:space="0"/>
              <w:bottom w:val="single" w:color="auto" w:sz="8" w:space="0"/>
            </w:tcBorders>
          </w:tcPr>
          <w:p w14:paraId="0E3C346D">
            <w:pPr>
              <w:pStyle w:val="179"/>
              <w:bidi w:val="0"/>
              <w:rPr>
                <w:rFonts w:hint="default"/>
                <w:lang w:val="en-US" w:eastAsia="zh-CN"/>
              </w:rPr>
            </w:pPr>
            <w:r>
              <w:rPr>
                <w:rFonts w:hint="eastAsia"/>
                <w:lang w:val="en-US" w:eastAsia="zh-CN"/>
              </w:rPr>
              <w:t>项目</w:t>
            </w:r>
          </w:p>
        </w:tc>
        <w:tc>
          <w:tcPr>
            <w:tcW w:w="1168" w:type="pct"/>
            <w:tcBorders>
              <w:top w:val="single" w:color="auto" w:sz="8" w:space="0"/>
              <w:bottom w:val="single" w:color="auto" w:sz="8" w:space="0"/>
              <w:right w:val="single" w:color="auto" w:sz="8" w:space="0"/>
            </w:tcBorders>
          </w:tcPr>
          <w:p w14:paraId="572E8BB8">
            <w:pPr>
              <w:pStyle w:val="179"/>
              <w:bidi w:val="0"/>
              <w:rPr>
                <w:rFonts w:hint="default"/>
                <w:lang w:val="en-US" w:eastAsia="zh-CN"/>
              </w:rPr>
            </w:pPr>
            <w:r>
              <w:rPr>
                <w:rFonts w:hint="eastAsia"/>
                <w:lang w:val="en-US" w:eastAsia="zh-CN"/>
              </w:rPr>
              <w:t>单位</w:t>
            </w:r>
          </w:p>
        </w:tc>
        <w:tc>
          <w:tcPr>
            <w:tcW w:w="1893" w:type="pct"/>
            <w:tcBorders>
              <w:top w:val="single" w:color="auto" w:sz="8" w:space="0"/>
              <w:bottom w:val="single" w:color="auto" w:sz="8" w:space="0"/>
              <w:right w:val="single" w:color="auto" w:sz="8" w:space="0"/>
            </w:tcBorders>
          </w:tcPr>
          <w:p w14:paraId="1AAF9C9C">
            <w:pPr>
              <w:pStyle w:val="179"/>
              <w:bidi w:val="0"/>
              <w:rPr>
                <w:rFonts w:hint="default"/>
                <w:lang w:val="en-US" w:eastAsia="zh-CN"/>
              </w:rPr>
            </w:pPr>
            <w:r>
              <w:rPr>
                <w:rFonts w:hint="eastAsia"/>
                <w:lang w:val="en-US" w:eastAsia="zh-CN"/>
              </w:rPr>
              <w:t>要求</w:t>
            </w:r>
          </w:p>
        </w:tc>
      </w:tr>
      <w:tr w14:paraId="798EC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37" w:type="pct"/>
            <w:tcBorders>
              <w:left w:val="single" w:color="auto" w:sz="8" w:space="0"/>
            </w:tcBorders>
          </w:tcPr>
          <w:p w14:paraId="1E2CEEB6">
            <w:pPr>
              <w:pStyle w:val="179"/>
              <w:bidi w:val="0"/>
              <w:rPr>
                <w:rFonts w:hint="default"/>
                <w:lang w:val="en-US" w:eastAsia="zh-CN"/>
              </w:rPr>
            </w:pPr>
            <w:r>
              <w:rPr>
                <w:rFonts w:hint="eastAsia"/>
                <w:lang w:val="en-US" w:eastAsia="zh-CN"/>
              </w:rPr>
              <w:t>水分</w:t>
            </w:r>
          </w:p>
        </w:tc>
        <w:tc>
          <w:tcPr>
            <w:tcW w:w="1168" w:type="pct"/>
            <w:tcBorders>
              <w:right w:val="single" w:color="auto" w:sz="8" w:space="0"/>
            </w:tcBorders>
          </w:tcPr>
          <w:p w14:paraId="00AB225E">
            <w:pPr>
              <w:pStyle w:val="179"/>
              <w:bidi w:val="0"/>
              <w:rPr>
                <w:rFonts w:hint="default"/>
                <w:lang w:val="en-US" w:eastAsia="zh-CN"/>
              </w:rPr>
            </w:pPr>
            <w:r>
              <w:rPr>
                <w:rFonts w:hint="eastAsia"/>
                <w:lang w:val="en-US" w:eastAsia="zh-CN"/>
              </w:rPr>
              <w:t>g/100g</w:t>
            </w:r>
          </w:p>
        </w:tc>
        <w:tc>
          <w:tcPr>
            <w:tcW w:w="1893" w:type="pct"/>
            <w:tcBorders>
              <w:right w:val="single" w:color="auto" w:sz="8" w:space="0"/>
            </w:tcBorders>
          </w:tcPr>
          <w:p w14:paraId="157A6E30">
            <w:pPr>
              <w:pStyle w:val="179"/>
              <w:bidi w:val="0"/>
              <w:rPr>
                <w:rFonts w:hint="default"/>
                <w:lang w:val="en-US" w:eastAsia="zh-CN"/>
              </w:rPr>
            </w:pPr>
            <w:r>
              <w:rPr>
                <w:rFonts w:hint="eastAsia"/>
                <w:lang w:val="en-US" w:eastAsia="zh-CN"/>
              </w:rPr>
              <w:t>≤75</w:t>
            </w:r>
          </w:p>
        </w:tc>
      </w:tr>
      <w:tr w14:paraId="5928C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37" w:type="pct"/>
            <w:tcBorders>
              <w:left w:val="single" w:color="auto" w:sz="8" w:space="0"/>
            </w:tcBorders>
          </w:tcPr>
          <w:p w14:paraId="564ED224">
            <w:pPr>
              <w:pStyle w:val="179"/>
              <w:bidi w:val="0"/>
              <w:rPr>
                <w:rFonts w:hint="default"/>
                <w:lang w:val="en-US" w:eastAsia="zh-CN"/>
              </w:rPr>
            </w:pPr>
            <w:r>
              <w:rPr>
                <w:rFonts w:hint="eastAsia"/>
                <w:lang w:val="en-US" w:eastAsia="zh-CN"/>
              </w:rPr>
              <w:t>食盐（以NaCl计）</w:t>
            </w:r>
          </w:p>
        </w:tc>
        <w:tc>
          <w:tcPr>
            <w:tcW w:w="1168" w:type="pct"/>
            <w:tcBorders>
              <w:right w:val="single" w:color="auto" w:sz="8" w:space="0"/>
            </w:tcBorders>
          </w:tcPr>
          <w:p w14:paraId="137792B4">
            <w:pPr>
              <w:pStyle w:val="179"/>
              <w:bidi w:val="0"/>
              <w:rPr>
                <w:rFonts w:hint="default"/>
                <w:lang w:val="en-US" w:eastAsia="zh-CN"/>
              </w:rPr>
            </w:pPr>
            <w:r>
              <w:rPr>
                <w:rFonts w:hint="eastAsia"/>
                <w:lang w:val="en-US" w:eastAsia="zh-CN"/>
              </w:rPr>
              <w:t>g/100g</w:t>
            </w:r>
          </w:p>
        </w:tc>
        <w:tc>
          <w:tcPr>
            <w:tcW w:w="1893" w:type="pct"/>
            <w:tcBorders>
              <w:right w:val="single" w:color="auto" w:sz="8" w:space="0"/>
            </w:tcBorders>
          </w:tcPr>
          <w:p w14:paraId="37EA7E68">
            <w:pPr>
              <w:pStyle w:val="179"/>
              <w:bidi w:val="0"/>
              <w:rPr>
                <w:rFonts w:hint="default"/>
                <w:lang w:val="en-US" w:eastAsia="zh-CN"/>
              </w:rPr>
            </w:pPr>
            <w:r>
              <w:rPr>
                <w:rFonts w:hint="eastAsia"/>
                <w:lang w:val="en-US" w:eastAsia="zh-CN"/>
              </w:rPr>
              <w:t>2.0</w:t>
            </w:r>
            <w:r>
              <w:rPr>
                <w:rFonts w:hint="default" w:ascii="Times New Roman" w:hAnsi="Times New Roman" w:cs="Times New Roman"/>
                <w:lang w:val="en-US" w:eastAsia="zh-CN"/>
              </w:rPr>
              <w:t>~</w:t>
            </w:r>
            <w:r>
              <w:rPr>
                <w:rFonts w:hint="eastAsia"/>
                <w:lang w:val="en-US" w:eastAsia="zh-CN"/>
              </w:rPr>
              <w:t>5.0</w:t>
            </w:r>
          </w:p>
        </w:tc>
      </w:tr>
      <w:tr w14:paraId="2D0D1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37" w:type="pct"/>
            <w:tcBorders>
              <w:left w:val="single" w:color="auto" w:sz="8" w:space="0"/>
            </w:tcBorders>
          </w:tcPr>
          <w:p w14:paraId="1563E2C9">
            <w:pPr>
              <w:pStyle w:val="179"/>
              <w:bidi w:val="0"/>
              <w:rPr>
                <w:rFonts w:hint="default"/>
                <w:lang w:val="en-US" w:eastAsia="zh-CN"/>
              </w:rPr>
            </w:pPr>
            <w:r>
              <w:rPr>
                <w:rFonts w:hint="eastAsia"/>
                <w:lang w:val="en-US" w:eastAsia="zh-CN"/>
              </w:rPr>
              <w:t>总酸</w:t>
            </w:r>
          </w:p>
        </w:tc>
        <w:tc>
          <w:tcPr>
            <w:tcW w:w="1168" w:type="pct"/>
            <w:tcBorders>
              <w:right w:val="single" w:color="auto" w:sz="8" w:space="0"/>
            </w:tcBorders>
          </w:tcPr>
          <w:p w14:paraId="29C5A88C">
            <w:pPr>
              <w:pStyle w:val="179"/>
              <w:bidi w:val="0"/>
              <w:rPr>
                <w:rFonts w:hint="default"/>
                <w:lang w:val="en-US" w:eastAsia="zh-CN"/>
              </w:rPr>
            </w:pPr>
            <w:r>
              <w:rPr>
                <w:rFonts w:hint="eastAsia"/>
                <w:lang w:val="en-US" w:eastAsia="zh-CN"/>
              </w:rPr>
              <w:t>g/100g</w:t>
            </w:r>
          </w:p>
        </w:tc>
        <w:tc>
          <w:tcPr>
            <w:tcW w:w="1893" w:type="pct"/>
            <w:tcBorders>
              <w:right w:val="single" w:color="auto" w:sz="8" w:space="0"/>
            </w:tcBorders>
          </w:tcPr>
          <w:p w14:paraId="294E4192">
            <w:pPr>
              <w:pStyle w:val="179"/>
              <w:bidi w:val="0"/>
              <w:rPr>
                <w:rFonts w:hint="default"/>
                <w:lang w:val="en-US" w:eastAsia="zh-CN"/>
              </w:rPr>
            </w:pPr>
            <w:r>
              <w:rPr>
                <w:rFonts w:hint="eastAsia"/>
                <w:lang w:val="en-US" w:eastAsia="zh-CN"/>
              </w:rPr>
              <w:t>≥0.3</w:t>
            </w:r>
          </w:p>
        </w:tc>
      </w:tr>
      <w:tr w14:paraId="3D61B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937" w:type="pct"/>
            <w:tcBorders>
              <w:left w:val="single" w:color="auto" w:sz="8" w:space="0"/>
              <w:bottom w:val="single" w:color="auto" w:sz="8" w:space="0"/>
            </w:tcBorders>
          </w:tcPr>
          <w:p w14:paraId="4F901D70">
            <w:pPr>
              <w:pStyle w:val="179"/>
              <w:bidi w:val="0"/>
              <w:rPr>
                <w:rFonts w:hint="default"/>
                <w:lang w:val="en-US" w:eastAsia="zh-CN"/>
              </w:rPr>
            </w:pPr>
            <w:r>
              <w:rPr>
                <w:rFonts w:hint="eastAsia"/>
                <w:lang w:val="en-US" w:eastAsia="zh-CN"/>
              </w:rPr>
              <w:t>亚硝酸盐</w:t>
            </w:r>
          </w:p>
        </w:tc>
        <w:tc>
          <w:tcPr>
            <w:tcW w:w="1168" w:type="pct"/>
            <w:tcBorders>
              <w:bottom w:val="single" w:color="auto" w:sz="8" w:space="0"/>
              <w:right w:val="single" w:color="auto" w:sz="8" w:space="0"/>
            </w:tcBorders>
          </w:tcPr>
          <w:p w14:paraId="48905046">
            <w:pPr>
              <w:pStyle w:val="179"/>
              <w:bidi w:val="0"/>
              <w:rPr>
                <w:rFonts w:hint="default"/>
                <w:lang w:val="en-US" w:eastAsia="zh-CN"/>
              </w:rPr>
            </w:pPr>
            <w:r>
              <w:rPr>
                <w:rFonts w:hint="eastAsia"/>
                <w:lang w:val="en-US" w:eastAsia="zh-CN"/>
              </w:rPr>
              <w:t>mg/kg</w:t>
            </w:r>
          </w:p>
        </w:tc>
        <w:tc>
          <w:tcPr>
            <w:tcW w:w="1893" w:type="pct"/>
            <w:tcBorders>
              <w:bottom w:val="single" w:color="auto" w:sz="8" w:space="0"/>
              <w:right w:val="single" w:color="auto" w:sz="8" w:space="0"/>
            </w:tcBorders>
          </w:tcPr>
          <w:p w14:paraId="0C75DCFE">
            <w:pPr>
              <w:pStyle w:val="179"/>
              <w:bidi w:val="0"/>
              <w:rPr>
                <w:rFonts w:hint="default"/>
                <w:lang w:val="en-US" w:eastAsia="zh-CN"/>
              </w:rPr>
            </w:pPr>
            <w:r>
              <w:rPr>
                <w:rFonts w:hint="eastAsia"/>
                <w:lang w:val="en-US" w:eastAsia="zh-CN"/>
              </w:rPr>
              <w:t>不得检出</w:t>
            </w:r>
          </w:p>
        </w:tc>
      </w:tr>
    </w:tbl>
    <w:p w14:paraId="402B5F1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安全指标</w:t>
      </w:r>
    </w:p>
    <w:p w14:paraId="726AC7A2">
      <w:pPr>
        <w:pStyle w:val="65"/>
        <w:bidi w:val="0"/>
        <w:rPr>
          <w:rFonts w:hint="default"/>
          <w:lang w:val="en-US" w:eastAsia="zh-CN"/>
        </w:rPr>
      </w:pPr>
      <w:r>
        <w:rPr>
          <w:rFonts w:hint="eastAsia"/>
          <w:lang w:val="en-US" w:eastAsia="zh-CN"/>
        </w:rPr>
        <w:t>污染物限量</w:t>
      </w:r>
    </w:p>
    <w:p w14:paraId="7A613F34">
      <w:pPr>
        <w:pStyle w:val="66"/>
        <w:rPr>
          <w:rFonts w:hint="eastAsia"/>
          <w:lang w:val="en-US" w:eastAsia="zh-CN"/>
        </w:rPr>
      </w:pPr>
      <w:r>
        <w:rPr>
          <w:rFonts w:hint="eastAsia"/>
          <w:lang w:val="en-US" w:eastAsia="zh-CN"/>
        </w:rPr>
        <w:t>应符合GB 2762的规定。</w:t>
      </w:r>
    </w:p>
    <w:p w14:paraId="16E858AB">
      <w:pPr>
        <w:pStyle w:val="65"/>
        <w:bidi w:val="0"/>
        <w:rPr>
          <w:rFonts w:hint="default"/>
          <w:lang w:val="en-US" w:eastAsia="zh-CN"/>
        </w:rPr>
      </w:pPr>
      <w:r>
        <w:rPr>
          <w:rFonts w:hint="eastAsia"/>
          <w:lang w:val="en-US" w:eastAsia="zh-CN"/>
        </w:rPr>
        <w:t>微生物限量</w:t>
      </w:r>
    </w:p>
    <w:p w14:paraId="434E1E23">
      <w:pPr>
        <w:pStyle w:val="66"/>
        <w:rPr>
          <w:rFonts w:hint="eastAsia"/>
          <w:lang w:val="en-US" w:eastAsia="zh-CN"/>
        </w:rPr>
      </w:pPr>
      <w:r>
        <w:rPr>
          <w:rFonts w:hint="eastAsia"/>
          <w:lang w:val="en-US" w:eastAsia="zh-CN"/>
        </w:rPr>
        <w:t>应符合GB 2726的规定。</w:t>
      </w:r>
    </w:p>
    <w:p w14:paraId="130A4B3D">
      <w:pPr>
        <w:pStyle w:val="65"/>
        <w:bidi w:val="0"/>
        <w:rPr>
          <w:rFonts w:hint="default"/>
          <w:lang w:val="en-US" w:eastAsia="zh-CN"/>
        </w:rPr>
      </w:pPr>
      <w:r>
        <w:rPr>
          <w:rFonts w:hint="eastAsia"/>
          <w:lang w:val="en-US" w:eastAsia="zh-CN"/>
        </w:rPr>
        <w:t>真菌毒素限量</w:t>
      </w:r>
    </w:p>
    <w:p w14:paraId="533E4819">
      <w:pPr>
        <w:pStyle w:val="66"/>
        <w:rPr>
          <w:rFonts w:hint="default"/>
          <w:lang w:val="en-US" w:eastAsia="zh-CN"/>
        </w:rPr>
      </w:pPr>
      <w:r>
        <w:rPr>
          <w:rFonts w:hint="eastAsia"/>
          <w:lang w:val="en-US" w:eastAsia="zh-CN"/>
        </w:rPr>
        <w:t>应符合GB 2761的规定。</w:t>
      </w:r>
    </w:p>
    <w:p w14:paraId="4FF44FC3">
      <w:pPr>
        <w:pStyle w:val="105"/>
        <w:spacing w:before="326" w:after="326"/>
      </w:pPr>
      <w:bookmarkStart w:id="63" w:name="_Toc14689"/>
      <w:r>
        <w:rPr>
          <w:rFonts w:hint="eastAsia"/>
          <w:lang w:val="en-US" w:eastAsia="zh-CN"/>
        </w:rPr>
        <w:t>检验规则</w:t>
      </w:r>
      <w:bookmarkEnd w:id="63"/>
    </w:p>
    <w:p w14:paraId="168D989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组批</w:t>
      </w:r>
    </w:p>
    <w:p w14:paraId="4F5047F4">
      <w:pPr>
        <w:pStyle w:val="66"/>
        <w:rPr>
          <w:rFonts w:hint="eastAsia"/>
          <w:lang w:val="en-US" w:eastAsia="zh-CN"/>
        </w:rPr>
      </w:pPr>
      <w:r>
        <w:rPr>
          <w:rFonts w:hint="eastAsia"/>
          <w:lang w:val="en-US" w:eastAsia="zh-CN"/>
        </w:rPr>
        <w:t>以同一原料、同一生产工艺、同一规格生产的产品，划分为一个检验批次。</w:t>
      </w:r>
    </w:p>
    <w:p w14:paraId="305CEA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出厂检验</w:t>
      </w:r>
    </w:p>
    <w:p w14:paraId="1AF72174">
      <w:pPr>
        <w:pStyle w:val="66"/>
        <w:rPr>
          <w:rFonts w:hint="default"/>
          <w:lang w:val="en-US" w:eastAsia="zh-CN"/>
        </w:rPr>
      </w:pPr>
      <w:r>
        <w:rPr>
          <w:rFonts w:hint="default"/>
          <w:lang w:val="en-US" w:eastAsia="zh-CN"/>
        </w:rPr>
        <w:t>每批次产品应经检验，各项指标合格后方可出厂；检验项目包含感官</w:t>
      </w:r>
      <w:r>
        <w:rPr>
          <w:rFonts w:hint="eastAsia"/>
          <w:lang w:val="en-US" w:eastAsia="zh-CN"/>
        </w:rPr>
        <w:t>要求</w:t>
      </w:r>
      <w:r>
        <w:rPr>
          <w:rFonts w:hint="default"/>
          <w:lang w:val="en-US" w:eastAsia="zh-CN"/>
        </w:rPr>
        <w:t>、水分、食盐及总酸。</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型式检验</w:t>
      </w:r>
    </w:p>
    <w:p w14:paraId="5F964698">
      <w:pPr>
        <w:pStyle w:val="66"/>
        <w:rPr>
          <w:rFonts w:hint="eastAsia"/>
          <w:lang w:val="en-US" w:eastAsia="zh-CN"/>
        </w:rPr>
      </w:pPr>
      <w:r>
        <w:rPr>
          <w:rFonts w:hint="eastAsia"/>
          <w:lang w:val="en-US" w:eastAsia="zh-CN"/>
        </w:rPr>
        <w:t>正常生产条件下，每 6 个月开展一次全项检验；当原辅材料、生产工艺发生重大变更时，应及时开展检验，检验项目为本文件第8章规定的全部内容。</w:t>
      </w:r>
    </w:p>
    <w:p w14:paraId="798792B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判定规则</w:t>
      </w:r>
    </w:p>
    <w:p w14:paraId="17E060C6">
      <w:pPr>
        <w:pStyle w:val="66"/>
        <w:rPr>
          <w:rFonts w:hint="default"/>
          <w:lang w:val="en-US" w:eastAsia="zh-CN"/>
        </w:rPr>
      </w:pPr>
      <w:r>
        <w:rPr>
          <w:rFonts w:hint="default"/>
          <w:lang w:val="en-US" w:eastAsia="zh-CN"/>
        </w:rPr>
        <w:t>所有检验项目均符合本标准要求时，判定该批产品为合格品。检验结果中若有一项不符合本标准要求，应重新从同批产品中加倍抽样进行复检，复检合格则判该批合格；若复检仍有指标不合格，则判定该批产品为不合格。</w:t>
      </w:r>
    </w:p>
    <w:p w14:paraId="5B0231B4">
      <w:pPr>
        <w:pStyle w:val="105"/>
        <w:spacing w:before="326" w:after="326"/>
      </w:pPr>
      <w:bookmarkStart w:id="64" w:name="_Toc471"/>
      <w:r>
        <w:rPr>
          <w:rFonts w:hint="eastAsia"/>
        </w:rPr>
        <w:t>标志、包装、运输和</w:t>
      </w:r>
      <w:r>
        <w:rPr>
          <w:rFonts w:hint="eastAsia"/>
          <w:lang w:val="en-US" w:eastAsia="zh-CN"/>
        </w:rPr>
        <w:t>贮存</w:t>
      </w:r>
      <w:bookmarkEnd w:id="64"/>
    </w:p>
    <w:p w14:paraId="5CBDE5B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标志</w:t>
      </w:r>
    </w:p>
    <w:p w14:paraId="206A4A97">
      <w:pPr>
        <w:pStyle w:val="166"/>
        <w:bidi w:val="0"/>
        <w:rPr>
          <w:rFonts w:hint="default"/>
          <w:lang w:val="en-US" w:eastAsia="zh-CN"/>
        </w:rPr>
      </w:pPr>
      <w:r>
        <w:rPr>
          <w:rFonts w:hint="eastAsia"/>
          <w:lang w:val="en-US" w:eastAsia="zh-CN"/>
        </w:rPr>
        <w:t>预包装产品标签应符合GB 7718的规定。</w:t>
      </w:r>
    </w:p>
    <w:p w14:paraId="738A70A8">
      <w:pPr>
        <w:pStyle w:val="166"/>
        <w:bidi w:val="0"/>
        <w:rPr>
          <w:rFonts w:hint="default"/>
          <w:lang w:val="en-US" w:eastAsia="zh-CN"/>
        </w:rPr>
      </w:pPr>
      <w:r>
        <w:rPr>
          <w:rFonts w:hint="eastAsia"/>
          <w:lang w:val="en-US" w:eastAsia="zh-CN"/>
        </w:rPr>
        <w:t>标签核心标注内容应包含：</w:t>
      </w:r>
    </w:p>
    <w:p w14:paraId="27B0E622">
      <w:pPr>
        <w:pStyle w:val="175"/>
        <w:numPr>
          <w:ilvl w:val="0"/>
          <w:numId w:val="34"/>
        </w:numPr>
        <w:bidi w:val="0"/>
        <w:ind w:left="851" w:leftChars="0" w:hanging="426" w:firstLineChars="0"/>
        <w:rPr>
          <w:rFonts w:hint="default"/>
          <w:lang w:val="en-US" w:eastAsia="zh-CN"/>
        </w:rPr>
      </w:pPr>
      <w:r>
        <w:rPr>
          <w:rFonts w:hint="default"/>
          <w:lang w:val="en-US" w:eastAsia="zh-CN"/>
        </w:rPr>
        <w:t>产品名称</w:t>
      </w:r>
      <w:r>
        <w:rPr>
          <w:rFonts w:hint="eastAsia"/>
          <w:lang w:val="en-US" w:eastAsia="zh-CN"/>
        </w:rPr>
        <w:t>；</w:t>
      </w:r>
    </w:p>
    <w:p w14:paraId="1EE261B4">
      <w:pPr>
        <w:pStyle w:val="175"/>
        <w:numPr>
          <w:ilvl w:val="0"/>
          <w:numId w:val="34"/>
        </w:numPr>
        <w:bidi w:val="0"/>
        <w:ind w:left="851" w:leftChars="0" w:hanging="426" w:firstLineChars="0"/>
        <w:rPr>
          <w:rFonts w:hint="default"/>
          <w:lang w:val="en-US" w:eastAsia="zh-CN"/>
        </w:rPr>
      </w:pPr>
      <w:r>
        <w:rPr>
          <w:rFonts w:hint="eastAsia"/>
          <w:lang w:val="en-US" w:eastAsia="zh-CN"/>
        </w:rPr>
        <w:t>制作日期；</w:t>
      </w:r>
    </w:p>
    <w:p w14:paraId="5968E9E3">
      <w:pPr>
        <w:pStyle w:val="175"/>
        <w:numPr>
          <w:ilvl w:val="0"/>
          <w:numId w:val="34"/>
        </w:numPr>
        <w:bidi w:val="0"/>
        <w:ind w:left="851" w:leftChars="0" w:hanging="426" w:firstLineChars="0"/>
        <w:rPr>
          <w:rFonts w:hint="default"/>
          <w:lang w:val="en-US" w:eastAsia="zh-CN"/>
        </w:rPr>
      </w:pPr>
      <w:r>
        <w:rPr>
          <w:rFonts w:hint="eastAsia"/>
          <w:lang w:val="en-US" w:eastAsia="zh-CN"/>
        </w:rPr>
        <w:t>保质期；</w:t>
      </w:r>
    </w:p>
    <w:p w14:paraId="51229010">
      <w:pPr>
        <w:pStyle w:val="175"/>
        <w:numPr>
          <w:ilvl w:val="0"/>
          <w:numId w:val="34"/>
        </w:numPr>
        <w:bidi w:val="0"/>
        <w:ind w:left="851" w:leftChars="0" w:hanging="426" w:firstLineChars="0"/>
        <w:rPr>
          <w:rFonts w:hint="default"/>
          <w:lang w:val="en-US" w:eastAsia="zh-CN"/>
        </w:rPr>
      </w:pPr>
      <w:r>
        <w:rPr>
          <w:rFonts w:hint="eastAsia"/>
          <w:lang w:val="en-US" w:eastAsia="zh-CN"/>
        </w:rPr>
        <w:t>贮存条件；</w:t>
      </w:r>
    </w:p>
    <w:p w14:paraId="19DB4955">
      <w:pPr>
        <w:pStyle w:val="175"/>
        <w:numPr>
          <w:ilvl w:val="0"/>
          <w:numId w:val="34"/>
        </w:numPr>
        <w:bidi w:val="0"/>
        <w:ind w:left="851" w:leftChars="0" w:hanging="426" w:firstLineChars="0"/>
        <w:rPr>
          <w:rFonts w:hint="default"/>
          <w:lang w:val="en-US" w:eastAsia="zh-CN"/>
        </w:rPr>
      </w:pPr>
      <w:r>
        <w:rPr>
          <w:rFonts w:hint="eastAsia"/>
          <w:lang w:val="en-US" w:eastAsia="zh-CN"/>
        </w:rPr>
        <w:t>净含量</w:t>
      </w:r>
      <w:r>
        <w:rPr>
          <w:rFonts w:hint="default"/>
          <w:lang w:val="en-US" w:eastAsia="zh-CN"/>
        </w:rPr>
        <w:t>。</w:t>
      </w:r>
    </w:p>
    <w:p w14:paraId="56FE955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包装</w:t>
      </w:r>
    </w:p>
    <w:p w14:paraId="0C9C322D">
      <w:pPr>
        <w:pStyle w:val="66"/>
        <w:rPr>
          <w:rFonts w:hint="default"/>
          <w:lang w:val="en-US" w:eastAsia="zh-CN"/>
        </w:rPr>
      </w:pPr>
      <w:r>
        <w:rPr>
          <w:rFonts w:hint="default"/>
          <w:lang w:val="en-US" w:eastAsia="zh-CN"/>
        </w:rPr>
        <w:t>包装材料应具备无毒、无害、洁净的特性，各项卫生指标需符合食品包装相关卫生规范及标准要求。</w:t>
      </w:r>
    </w:p>
    <w:p w14:paraId="760FBA5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运输</w:t>
      </w:r>
    </w:p>
    <w:p w14:paraId="6AB35E49">
      <w:pPr>
        <w:pStyle w:val="66"/>
        <w:rPr>
          <w:rFonts w:hint="default"/>
          <w:lang w:val="en-US" w:eastAsia="zh-CN"/>
        </w:rPr>
      </w:pPr>
      <w:r>
        <w:rPr>
          <w:rFonts w:hint="default"/>
          <w:lang w:val="en-US" w:eastAsia="zh-CN"/>
        </w:rPr>
        <w:t>运输工具应保持清洁、干燥、无异味，储运过程中应采取防护措施，避免产品遭受日晒、雨淋及挤压损伤。</w:t>
      </w:r>
    </w:p>
    <w:p w14:paraId="39DDC7E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贮存</w:t>
      </w:r>
    </w:p>
    <w:p w14:paraId="4B9CAAA5">
      <w:pPr>
        <w:pStyle w:val="166"/>
        <w:bidi w:val="0"/>
        <w:rPr>
          <w:rFonts w:hint="default"/>
          <w:lang w:val="en-US" w:eastAsia="zh-CN"/>
        </w:rPr>
      </w:pPr>
      <w:r>
        <w:rPr>
          <w:rFonts w:hint="default"/>
          <w:lang w:val="en-US" w:eastAsia="zh-CN"/>
        </w:rPr>
        <w:t>现制现售产品：于 0℃～4℃条件下冷藏贮存，保质期不超过24h。</w:t>
      </w:r>
    </w:p>
    <w:p w14:paraId="18AD0D3B">
      <w:pPr>
        <w:pStyle w:val="166"/>
        <w:bidi w:val="0"/>
        <w:rPr>
          <w:rFonts w:hint="default"/>
          <w:lang w:val="en-US" w:eastAsia="zh-CN"/>
        </w:rPr>
      </w:pPr>
      <w:r>
        <w:rPr>
          <w:rFonts w:hint="default"/>
          <w:lang w:val="en-US" w:eastAsia="zh-CN"/>
        </w:rPr>
        <w:t>预包装产品：在 0℃～4℃环境冷藏贮存，保质期不超过7d；于- 18℃及以下条件冷冻贮存，保质期不超过90d。</w:t>
      </w:r>
    </w:p>
    <w:bookmarkEnd w:id="28"/>
    <w:bookmarkEnd w:id="57"/>
    <w:p w14:paraId="57A05AD5">
      <w:pPr>
        <w:pStyle w:val="56"/>
        <w:ind w:firstLine="0" w:firstLineChars="0"/>
        <w:jc w:val="center"/>
      </w:pPr>
      <w:bookmarkStart w:id="65"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5"/>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D6ADFC5C"/>
    <w:multiLevelType w:val="multilevel"/>
    <w:tmpl w:val="D6ADFC5C"/>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4">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055E0B60"/>
    <w:multiLevelType w:val="multilevel"/>
    <w:tmpl w:val="055E0B60"/>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7">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8">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9">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1">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3">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4">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5">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6">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7">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8">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9">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1">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2">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3">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5">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6">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7">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8">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9">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0">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1">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2">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3">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31"/>
  </w:num>
  <w:num w:numId="3">
    <w:abstractNumId w:val="9"/>
  </w:num>
  <w:num w:numId="4">
    <w:abstractNumId w:val="27"/>
  </w:num>
  <w:num w:numId="5">
    <w:abstractNumId w:val="22"/>
  </w:num>
  <w:num w:numId="6">
    <w:abstractNumId w:val="17"/>
  </w:num>
  <w:num w:numId="7">
    <w:abstractNumId w:val="12"/>
  </w:num>
  <w:num w:numId="8">
    <w:abstractNumId w:val="7"/>
  </w:num>
  <w:num w:numId="9">
    <w:abstractNumId w:val="14"/>
  </w:num>
  <w:num w:numId="10">
    <w:abstractNumId w:val="20"/>
  </w:num>
  <w:num w:numId="11">
    <w:abstractNumId w:val="29"/>
  </w:num>
  <w:num w:numId="12">
    <w:abstractNumId w:val="16"/>
  </w:num>
  <w:num w:numId="13">
    <w:abstractNumId w:val="1"/>
  </w:num>
  <w:num w:numId="14">
    <w:abstractNumId w:val="11"/>
  </w:num>
  <w:num w:numId="15">
    <w:abstractNumId w:val="23"/>
  </w:num>
  <w:num w:numId="16">
    <w:abstractNumId w:val="25"/>
  </w:num>
  <w:num w:numId="17">
    <w:abstractNumId w:val="21"/>
  </w:num>
  <w:num w:numId="18">
    <w:abstractNumId w:val="32"/>
  </w:num>
  <w:num w:numId="19">
    <w:abstractNumId w:val="19"/>
  </w:num>
  <w:num w:numId="20">
    <w:abstractNumId w:val="4"/>
  </w:num>
  <w:num w:numId="21">
    <w:abstractNumId w:val="15"/>
  </w:num>
  <w:num w:numId="22">
    <w:abstractNumId w:val="33"/>
  </w:num>
  <w:num w:numId="23">
    <w:abstractNumId w:val="24"/>
  </w:num>
  <w:num w:numId="24">
    <w:abstractNumId w:val="10"/>
  </w:num>
  <w:num w:numId="25">
    <w:abstractNumId w:val="30"/>
  </w:num>
  <w:num w:numId="26">
    <w:abstractNumId w:val="13"/>
  </w:num>
  <w:num w:numId="27">
    <w:abstractNumId w:val="6"/>
  </w:num>
  <w:num w:numId="28">
    <w:abstractNumId w:val="8"/>
  </w:num>
  <w:num w:numId="29">
    <w:abstractNumId w:val="18"/>
  </w:num>
  <w:num w:numId="30">
    <w:abstractNumId w:val="28"/>
  </w:num>
  <w:num w:numId="31">
    <w:abstractNumId w:val="26"/>
  </w:num>
  <w:num w:numId="32">
    <w:abstractNumId w:val="2"/>
  </w:num>
  <w:num w:numId="33">
    <w:abstractNumId w:val="0"/>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Full" w:cryptAlgorithmClass="hash" w:cryptAlgorithmType="typeAny" w:cryptAlgorithmSid="4" w:cryptSpinCount="0" w:hash="0qJ4SYvBOIXrSaDwB8k/dNXBI2Y=" w:salt="mKnyLK/rqWvMki6AZW2UE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EE6"/>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0F8"/>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170C55"/>
    <w:rsid w:val="01D06ADA"/>
    <w:rsid w:val="022B0E5C"/>
    <w:rsid w:val="02E66B31"/>
    <w:rsid w:val="02F92D08"/>
    <w:rsid w:val="03C07382"/>
    <w:rsid w:val="03C54999"/>
    <w:rsid w:val="042E69E2"/>
    <w:rsid w:val="04C82992"/>
    <w:rsid w:val="04F27A0F"/>
    <w:rsid w:val="05345729"/>
    <w:rsid w:val="057272BF"/>
    <w:rsid w:val="05AC4A68"/>
    <w:rsid w:val="05AF3B52"/>
    <w:rsid w:val="05D9297D"/>
    <w:rsid w:val="060E6ACB"/>
    <w:rsid w:val="06E11AE9"/>
    <w:rsid w:val="07475263"/>
    <w:rsid w:val="077E558A"/>
    <w:rsid w:val="07B92A66"/>
    <w:rsid w:val="07C1191B"/>
    <w:rsid w:val="07D23B28"/>
    <w:rsid w:val="086758C2"/>
    <w:rsid w:val="08BA4CE8"/>
    <w:rsid w:val="09271C52"/>
    <w:rsid w:val="097C11D2"/>
    <w:rsid w:val="0A3665F0"/>
    <w:rsid w:val="0A4A4FFC"/>
    <w:rsid w:val="0A516F86"/>
    <w:rsid w:val="0A8C6210"/>
    <w:rsid w:val="0B2E5AAF"/>
    <w:rsid w:val="0B5D195B"/>
    <w:rsid w:val="0C6C62F9"/>
    <w:rsid w:val="0C8F1FE8"/>
    <w:rsid w:val="0CD93E38"/>
    <w:rsid w:val="0D222E5C"/>
    <w:rsid w:val="0D58687D"/>
    <w:rsid w:val="0E3C7F4D"/>
    <w:rsid w:val="0E9331A5"/>
    <w:rsid w:val="0F040A6B"/>
    <w:rsid w:val="0F4F2D5A"/>
    <w:rsid w:val="0F930041"/>
    <w:rsid w:val="10046849"/>
    <w:rsid w:val="102D2243"/>
    <w:rsid w:val="10463305"/>
    <w:rsid w:val="10B60D4A"/>
    <w:rsid w:val="10CD0BA8"/>
    <w:rsid w:val="11B8120C"/>
    <w:rsid w:val="11C6025A"/>
    <w:rsid w:val="11F272A1"/>
    <w:rsid w:val="122A4C8C"/>
    <w:rsid w:val="1283240B"/>
    <w:rsid w:val="12A165D1"/>
    <w:rsid w:val="130474EB"/>
    <w:rsid w:val="139D148E"/>
    <w:rsid w:val="13A20852"/>
    <w:rsid w:val="141C58F1"/>
    <w:rsid w:val="14C82908"/>
    <w:rsid w:val="15567B46"/>
    <w:rsid w:val="156404B5"/>
    <w:rsid w:val="159627D2"/>
    <w:rsid w:val="1651030E"/>
    <w:rsid w:val="16671B5C"/>
    <w:rsid w:val="16B17FC7"/>
    <w:rsid w:val="17BF5E77"/>
    <w:rsid w:val="17DB7852"/>
    <w:rsid w:val="181D494B"/>
    <w:rsid w:val="18585809"/>
    <w:rsid w:val="196B16E7"/>
    <w:rsid w:val="19EA3331"/>
    <w:rsid w:val="1A3B37AF"/>
    <w:rsid w:val="1A9058A9"/>
    <w:rsid w:val="1AF73531"/>
    <w:rsid w:val="1B1D486E"/>
    <w:rsid w:val="1B505038"/>
    <w:rsid w:val="1B593EEC"/>
    <w:rsid w:val="1BDD2D6F"/>
    <w:rsid w:val="1C197B20"/>
    <w:rsid w:val="1C817B9F"/>
    <w:rsid w:val="1CB533A4"/>
    <w:rsid w:val="1DA578BD"/>
    <w:rsid w:val="1DAD4C5B"/>
    <w:rsid w:val="1DB00010"/>
    <w:rsid w:val="1DD12460"/>
    <w:rsid w:val="1E1862BA"/>
    <w:rsid w:val="1F486752"/>
    <w:rsid w:val="1F576995"/>
    <w:rsid w:val="20390790"/>
    <w:rsid w:val="20686980"/>
    <w:rsid w:val="20855784"/>
    <w:rsid w:val="208A0FEC"/>
    <w:rsid w:val="21521B0A"/>
    <w:rsid w:val="216929AF"/>
    <w:rsid w:val="218872DA"/>
    <w:rsid w:val="221C5C74"/>
    <w:rsid w:val="229D6DB5"/>
    <w:rsid w:val="22A04AF7"/>
    <w:rsid w:val="22C81958"/>
    <w:rsid w:val="22EE5862"/>
    <w:rsid w:val="230B6414"/>
    <w:rsid w:val="231352C9"/>
    <w:rsid w:val="232C1EE7"/>
    <w:rsid w:val="23E40A13"/>
    <w:rsid w:val="2401027A"/>
    <w:rsid w:val="25494FD2"/>
    <w:rsid w:val="2573204F"/>
    <w:rsid w:val="257858B7"/>
    <w:rsid w:val="25946303"/>
    <w:rsid w:val="25C24D84"/>
    <w:rsid w:val="25FA451E"/>
    <w:rsid w:val="26066D6F"/>
    <w:rsid w:val="26306D36"/>
    <w:rsid w:val="267C4F33"/>
    <w:rsid w:val="26BA2A56"/>
    <w:rsid w:val="27315853"/>
    <w:rsid w:val="277976C4"/>
    <w:rsid w:val="279B763B"/>
    <w:rsid w:val="280C14E6"/>
    <w:rsid w:val="28377363"/>
    <w:rsid w:val="285C326E"/>
    <w:rsid w:val="288602EB"/>
    <w:rsid w:val="28AB1AFF"/>
    <w:rsid w:val="28BC03AC"/>
    <w:rsid w:val="293164A9"/>
    <w:rsid w:val="2A152EC1"/>
    <w:rsid w:val="2A7A79DB"/>
    <w:rsid w:val="2AFB6D6E"/>
    <w:rsid w:val="2B100330"/>
    <w:rsid w:val="2B74267D"/>
    <w:rsid w:val="2B9176D3"/>
    <w:rsid w:val="2C1B2997"/>
    <w:rsid w:val="2CC47634"/>
    <w:rsid w:val="2CF972DD"/>
    <w:rsid w:val="2D0363AE"/>
    <w:rsid w:val="2D6706EB"/>
    <w:rsid w:val="2D8172D3"/>
    <w:rsid w:val="2DC86CB0"/>
    <w:rsid w:val="2E59753B"/>
    <w:rsid w:val="2E642E7C"/>
    <w:rsid w:val="2ED77149"/>
    <w:rsid w:val="2F7B047E"/>
    <w:rsid w:val="2FA92298"/>
    <w:rsid w:val="303C512C"/>
    <w:rsid w:val="305D7B83"/>
    <w:rsid w:val="30CD2F5B"/>
    <w:rsid w:val="30CE282F"/>
    <w:rsid w:val="3264344B"/>
    <w:rsid w:val="32A44120"/>
    <w:rsid w:val="32C51A10"/>
    <w:rsid w:val="335F1E64"/>
    <w:rsid w:val="34B61F58"/>
    <w:rsid w:val="35205F5B"/>
    <w:rsid w:val="35AD62A7"/>
    <w:rsid w:val="35F23AD2"/>
    <w:rsid w:val="3607389D"/>
    <w:rsid w:val="36932551"/>
    <w:rsid w:val="369D517D"/>
    <w:rsid w:val="374C0952"/>
    <w:rsid w:val="37EB1F18"/>
    <w:rsid w:val="385B709E"/>
    <w:rsid w:val="388F6D48"/>
    <w:rsid w:val="38A071A7"/>
    <w:rsid w:val="3902751A"/>
    <w:rsid w:val="390C65EA"/>
    <w:rsid w:val="394A25D7"/>
    <w:rsid w:val="39B822CE"/>
    <w:rsid w:val="3A4F49E1"/>
    <w:rsid w:val="3A791A5E"/>
    <w:rsid w:val="3B334302"/>
    <w:rsid w:val="3B836E46"/>
    <w:rsid w:val="3BA26D92"/>
    <w:rsid w:val="3BB84807"/>
    <w:rsid w:val="3C1A7270"/>
    <w:rsid w:val="3C797AF3"/>
    <w:rsid w:val="3D006466"/>
    <w:rsid w:val="3DA70690"/>
    <w:rsid w:val="3EDE4585"/>
    <w:rsid w:val="3EF50744"/>
    <w:rsid w:val="3F6902F3"/>
    <w:rsid w:val="3FB5178A"/>
    <w:rsid w:val="3FC86A99"/>
    <w:rsid w:val="4002230D"/>
    <w:rsid w:val="40520D87"/>
    <w:rsid w:val="4061721C"/>
    <w:rsid w:val="40A84E4B"/>
    <w:rsid w:val="40BC08F6"/>
    <w:rsid w:val="40F0234E"/>
    <w:rsid w:val="41432DC5"/>
    <w:rsid w:val="41562AF9"/>
    <w:rsid w:val="41F93484"/>
    <w:rsid w:val="42226269"/>
    <w:rsid w:val="42460060"/>
    <w:rsid w:val="42890CAC"/>
    <w:rsid w:val="42B45D29"/>
    <w:rsid w:val="42D869AD"/>
    <w:rsid w:val="42DE28AD"/>
    <w:rsid w:val="430622FC"/>
    <w:rsid w:val="43655275"/>
    <w:rsid w:val="43B43AC3"/>
    <w:rsid w:val="449776B0"/>
    <w:rsid w:val="451C0B6B"/>
    <w:rsid w:val="46020B59"/>
    <w:rsid w:val="468E063F"/>
    <w:rsid w:val="469F284C"/>
    <w:rsid w:val="46D324F5"/>
    <w:rsid w:val="470E352E"/>
    <w:rsid w:val="471D452A"/>
    <w:rsid w:val="473C453F"/>
    <w:rsid w:val="47633879"/>
    <w:rsid w:val="477626C2"/>
    <w:rsid w:val="479B74B7"/>
    <w:rsid w:val="47EA5D49"/>
    <w:rsid w:val="48007F78"/>
    <w:rsid w:val="480C2163"/>
    <w:rsid w:val="48403BBB"/>
    <w:rsid w:val="49184B37"/>
    <w:rsid w:val="49437E06"/>
    <w:rsid w:val="494901C7"/>
    <w:rsid w:val="49DA6215"/>
    <w:rsid w:val="49E022DA"/>
    <w:rsid w:val="4A9B332A"/>
    <w:rsid w:val="4ACE54AE"/>
    <w:rsid w:val="4B9F509C"/>
    <w:rsid w:val="4BB70638"/>
    <w:rsid w:val="4BD4042E"/>
    <w:rsid w:val="4BEA4569"/>
    <w:rsid w:val="4C3E2B07"/>
    <w:rsid w:val="4C4D2D4A"/>
    <w:rsid w:val="4D302450"/>
    <w:rsid w:val="4D6C7200"/>
    <w:rsid w:val="4E8F764A"/>
    <w:rsid w:val="4EA41181"/>
    <w:rsid w:val="4F4E3061"/>
    <w:rsid w:val="4F624D5E"/>
    <w:rsid w:val="4F724029"/>
    <w:rsid w:val="4F855E52"/>
    <w:rsid w:val="4FC60E49"/>
    <w:rsid w:val="4FCE5F50"/>
    <w:rsid w:val="4FF74EE8"/>
    <w:rsid w:val="4FFF435B"/>
    <w:rsid w:val="50250266"/>
    <w:rsid w:val="5064378F"/>
    <w:rsid w:val="50AD3DB7"/>
    <w:rsid w:val="50B213CE"/>
    <w:rsid w:val="50DA797E"/>
    <w:rsid w:val="50EF5A05"/>
    <w:rsid w:val="50F43794"/>
    <w:rsid w:val="5257222D"/>
    <w:rsid w:val="526130AB"/>
    <w:rsid w:val="534F1156"/>
    <w:rsid w:val="54B971CF"/>
    <w:rsid w:val="54DE6C35"/>
    <w:rsid w:val="55B1434A"/>
    <w:rsid w:val="56101070"/>
    <w:rsid w:val="565D3B8A"/>
    <w:rsid w:val="56DA342C"/>
    <w:rsid w:val="57603078"/>
    <w:rsid w:val="5822341B"/>
    <w:rsid w:val="585F1E3B"/>
    <w:rsid w:val="58A07A42"/>
    <w:rsid w:val="58B33F35"/>
    <w:rsid w:val="58B959EF"/>
    <w:rsid w:val="58C56D33"/>
    <w:rsid w:val="58F05189"/>
    <w:rsid w:val="58FF4954"/>
    <w:rsid w:val="59017396"/>
    <w:rsid w:val="59AC0F41"/>
    <w:rsid w:val="5A737E20"/>
    <w:rsid w:val="5ACE5056"/>
    <w:rsid w:val="5AF26F96"/>
    <w:rsid w:val="5B3752F1"/>
    <w:rsid w:val="5B3F5B69"/>
    <w:rsid w:val="5B562835"/>
    <w:rsid w:val="5B6D486F"/>
    <w:rsid w:val="5BAD110F"/>
    <w:rsid w:val="5BF60DF4"/>
    <w:rsid w:val="5C5B6DBD"/>
    <w:rsid w:val="5CA2679A"/>
    <w:rsid w:val="5CE24DE9"/>
    <w:rsid w:val="5D3B6C83"/>
    <w:rsid w:val="5D9E3405"/>
    <w:rsid w:val="5E512ECF"/>
    <w:rsid w:val="5E802B0B"/>
    <w:rsid w:val="5EDC0830"/>
    <w:rsid w:val="5EED4EE2"/>
    <w:rsid w:val="5F553840"/>
    <w:rsid w:val="5F553F98"/>
    <w:rsid w:val="60446D6C"/>
    <w:rsid w:val="60D61108"/>
    <w:rsid w:val="61475B62"/>
    <w:rsid w:val="61C176C2"/>
    <w:rsid w:val="61E41603"/>
    <w:rsid w:val="621E0EDE"/>
    <w:rsid w:val="626B762E"/>
    <w:rsid w:val="6325595A"/>
    <w:rsid w:val="63400ADE"/>
    <w:rsid w:val="634E31D8"/>
    <w:rsid w:val="636C4406"/>
    <w:rsid w:val="63AF4B35"/>
    <w:rsid w:val="63D63372"/>
    <w:rsid w:val="64CF0F83"/>
    <w:rsid w:val="64E33DF4"/>
    <w:rsid w:val="65A74E21"/>
    <w:rsid w:val="67AD2558"/>
    <w:rsid w:val="67F65056"/>
    <w:rsid w:val="68242759"/>
    <w:rsid w:val="68F16ADF"/>
    <w:rsid w:val="68F22857"/>
    <w:rsid w:val="693B5FAC"/>
    <w:rsid w:val="699851AD"/>
    <w:rsid w:val="69AE49D0"/>
    <w:rsid w:val="69B33D95"/>
    <w:rsid w:val="69C67F6C"/>
    <w:rsid w:val="69C97A5C"/>
    <w:rsid w:val="6A55309E"/>
    <w:rsid w:val="6A627569"/>
    <w:rsid w:val="6A7C1DBF"/>
    <w:rsid w:val="6A9E4A45"/>
    <w:rsid w:val="6AA0305C"/>
    <w:rsid w:val="6B320A72"/>
    <w:rsid w:val="6BC30951"/>
    <w:rsid w:val="6C662DA8"/>
    <w:rsid w:val="6D147240"/>
    <w:rsid w:val="6D2D0302"/>
    <w:rsid w:val="6D4A2C62"/>
    <w:rsid w:val="6D8343C6"/>
    <w:rsid w:val="6DF36E56"/>
    <w:rsid w:val="6DF826BE"/>
    <w:rsid w:val="6E4B74CF"/>
    <w:rsid w:val="6EA168B2"/>
    <w:rsid w:val="6EF530A1"/>
    <w:rsid w:val="6F152DFC"/>
    <w:rsid w:val="6F2D55FF"/>
    <w:rsid w:val="6F6D49E6"/>
    <w:rsid w:val="6FAC7C04"/>
    <w:rsid w:val="6FAF14A2"/>
    <w:rsid w:val="6FC35714"/>
    <w:rsid w:val="6FC6486F"/>
    <w:rsid w:val="6FD11419"/>
    <w:rsid w:val="700E61C9"/>
    <w:rsid w:val="70383246"/>
    <w:rsid w:val="70F80458"/>
    <w:rsid w:val="710D6480"/>
    <w:rsid w:val="7189187F"/>
    <w:rsid w:val="71D62D16"/>
    <w:rsid w:val="71FA64CF"/>
    <w:rsid w:val="72565C05"/>
    <w:rsid w:val="72E871A5"/>
    <w:rsid w:val="732D6784"/>
    <w:rsid w:val="736D76AA"/>
    <w:rsid w:val="737525FE"/>
    <w:rsid w:val="73A3131E"/>
    <w:rsid w:val="73DB2866"/>
    <w:rsid w:val="751F49D4"/>
    <w:rsid w:val="75287D2D"/>
    <w:rsid w:val="75524DAA"/>
    <w:rsid w:val="758C1337"/>
    <w:rsid w:val="75A86778"/>
    <w:rsid w:val="75D43A11"/>
    <w:rsid w:val="75FA2D4B"/>
    <w:rsid w:val="762650C6"/>
    <w:rsid w:val="764D1790"/>
    <w:rsid w:val="765B7C8E"/>
    <w:rsid w:val="76813875"/>
    <w:rsid w:val="76AA4771"/>
    <w:rsid w:val="76B13D52"/>
    <w:rsid w:val="771B11CB"/>
    <w:rsid w:val="771B741D"/>
    <w:rsid w:val="776E4B73"/>
    <w:rsid w:val="77BB5F58"/>
    <w:rsid w:val="77FC724F"/>
    <w:rsid w:val="789D458E"/>
    <w:rsid w:val="78AE679B"/>
    <w:rsid w:val="78E24696"/>
    <w:rsid w:val="79750E46"/>
    <w:rsid w:val="79782905"/>
    <w:rsid w:val="797A042B"/>
    <w:rsid w:val="79B7342D"/>
    <w:rsid w:val="79C124FE"/>
    <w:rsid w:val="79DB5769"/>
    <w:rsid w:val="7A721A4A"/>
    <w:rsid w:val="7A792DD8"/>
    <w:rsid w:val="7AB67B89"/>
    <w:rsid w:val="7BCA5728"/>
    <w:rsid w:val="7D0270B5"/>
    <w:rsid w:val="7D036989"/>
    <w:rsid w:val="7D050953"/>
    <w:rsid w:val="7D1666BD"/>
    <w:rsid w:val="7D1837D5"/>
    <w:rsid w:val="7D9046C1"/>
    <w:rsid w:val="7DC205F3"/>
    <w:rsid w:val="7DD03848"/>
    <w:rsid w:val="7E551467"/>
    <w:rsid w:val="7E8C79AE"/>
    <w:rsid w:val="7EA61CC2"/>
    <w:rsid w:val="7EB663A9"/>
    <w:rsid w:val="7EDE145C"/>
    <w:rsid w:val="7EF93831"/>
    <w:rsid w:val="7FA206DC"/>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7</Pages>
  <Words>2834</Words>
  <Characters>3366</Characters>
  <Lines>369</Lines>
  <Paragraphs>508</Paragraphs>
  <TotalTime>0</TotalTime>
  <ScaleCrop>false</ScaleCrop>
  <LinksUpToDate>false</LinksUpToDate>
  <CharactersWithSpaces>3553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2026-04-16T08:01:40Z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