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01E4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479F5FC">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36A72D20">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91.140.90</w:t>
            </w:r>
            <w:r>
              <w:rPr>
                <w:rFonts w:ascii="黑体" w:hAnsi="黑体" w:eastAsia="黑体"/>
                <w:sz w:val="21"/>
                <w:szCs w:val="21"/>
              </w:rPr>
              <w:fldChar w:fldCharType="end"/>
            </w:r>
            <w:bookmarkEnd w:id="0"/>
          </w:p>
        </w:tc>
      </w:tr>
      <w:tr w14:paraId="2A28C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6CD386B">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13A6FC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00C492E">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ZIUR</w:t>
                  </w:r>
                  <w:r>
                    <w:fldChar w:fldCharType="end"/>
                  </w:r>
                  <w:bookmarkEnd w:id="1"/>
                </w:p>
              </w:tc>
            </w:tr>
          </w:tbl>
          <w:p w14:paraId="22935F3C">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Q78</w:t>
            </w:r>
            <w:r>
              <w:rPr>
                <w:rFonts w:ascii="黑体" w:hAnsi="黑体" w:eastAsia="黑体"/>
                <w:sz w:val="21"/>
                <w:szCs w:val="21"/>
              </w:rPr>
              <w:fldChar w:fldCharType="end"/>
            </w:r>
            <w:bookmarkEnd w:id="2"/>
          </w:p>
        </w:tc>
      </w:tr>
    </w:tbl>
    <w:p w14:paraId="62635094">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浙江省产学研合作促进会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3D0FA13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ZIUR</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2026</w:t>
      </w:r>
      <w:r>
        <w:fldChar w:fldCharType="end"/>
      </w:r>
      <w:bookmarkEnd w:id="7"/>
    </w:p>
    <w:p w14:paraId="0E99E2A3">
      <w:pPr>
        <w:pStyle w:val="197"/>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0992809">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97C8699">
      <w:pPr>
        <w:pStyle w:val="50"/>
        <w:framePr w:w="9639" w:h="6976" w:hRule="exact" w:hSpace="0" w:vSpace="0" w:wrap="around" w:hAnchor="page" w:y="6408"/>
        <w:jc w:val="center"/>
        <w:rPr>
          <w:rFonts w:hint="eastAsia" w:ascii="黑体" w:hAnsi="黑体" w:eastAsia="黑体"/>
          <w:b w:val="0"/>
          <w:bCs w:val="0"/>
          <w:w w:val="100"/>
        </w:rPr>
      </w:pPr>
    </w:p>
    <w:p w14:paraId="4EC462AF">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电梯故障监测智能报警系统技术规范</w:t>
      </w:r>
      <w:r>
        <w:fldChar w:fldCharType="end"/>
      </w:r>
      <w:bookmarkEnd w:id="9"/>
    </w:p>
    <w:p w14:paraId="46672E00">
      <w:pPr>
        <w:framePr w:w="9639" w:h="6974" w:hRule="exact" w:wrap="around" w:vAnchor="page" w:hAnchor="page" w:x="1419" w:y="6408" w:anchorLock="1"/>
        <w:ind w:left="-1418"/>
      </w:pPr>
    </w:p>
    <w:p w14:paraId="529975E9">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Technical specification for intelligent alarm system of elevator fault monitoring</w:t>
      </w:r>
      <w:r>
        <w:rPr>
          <w:rFonts w:eastAsia="黑体"/>
          <w:szCs w:val="28"/>
        </w:rPr>
        <w:fldChar w:fldCharType="end"/>
      </w:r>
      <w:bookmarkEnd w:id="10"/>
    </w:p>
    <w:p w14:paraId="2B1F9A60">
      <w:pPr>
        <w:framePr w:w="9639" w:h="6974" w:hRule="exact" w:wrap="around" w:vAnchor="page" w:hAnchor="page" w:x="1419" w:y="6408" w:anchorLock="1"/>
        <w:spacing w:line="760" w:lineRule="exact"/>
        <w:ind w:left="-1418"/>
      </w:pPr>
    </w:p>
    <w:p w14:paraId="428FF855">
      <w:pPr>
        <w:pStyle w:val="126"/>
        <w:framePr w:w="9639" w:h="6974" w:hRule="exact" w:wrap="around" w:vAnchor="page" w:hAnchor="page" w:x="1419" w:y="6408" w:anchorLock="1"/>
        <w:textAlignment w:val="bottom"/>
        <w:rPr>
          <w:rFonts w:eastAsia="黑体"/>
          <w:szCs w:val="28"/>
        </w:rPr>
      </w:pPr>
    </w:p>
    <w:p w14:paraId="23AEB5C6">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005421C5">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67DD76B5">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258AD120">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rPr>
        <w:t>2025</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10</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9</w:t>
      </w:r>
      <w:r>
        <w:rPr>
          <w:rFonts w:ascii="黑体"/>
        </w:rPr>
        <w:fldChar w:fldCharType="end"/>
      </w:r>
      <w:bookmarkEnd w:id="16"/>
      <w:r>
        <w:rPr>
          <w:rFonts w:hint="eastAsia"/>
        </w:rPr>
        <w:t>发布</w:t>
      </w:r>
    </w:p>
    <w:p w14:paraId="6AE10996">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rPr>
        <w:t>2025</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10</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9</w:t>
      </w:r>
      <w:r>
        <w:rPr>
          <w:rFonts w:ascii="黑体"/>
        </w:rPr>
        <w:fldChar w:fldCharType="end"/>
      </w:r>
      <w:bookmarkEnd w:id="19"/>
      <w:r>
        <w:rPr>
          <w:rFonts w:hint="eastAsia"/>
        </w:rPr>
        <w:t>实施</w:t>
      </w:r>
    </w:p>
    <w:p w14:paraId="415BED25">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浙江省产学研合作促进会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3C3A8C9">
      <w:pPr>
        <w:rPr>
          <w:rFonts w:hint="eastAsia"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2B7255C">
      <w:pPr>
        <w:pStyle w:val="92"/>
        <w:spacing w:after="360"/>
      </w:pPr>
      <w:bookmarkStart w:id="21" w:name="BookMark1"/>
      <w:r>
        <w:rPr>
          <w:rFonts w:hint="eastAsia"/>
          <w:spacing w:val="320"/>
        </w:rPr>
        <w:t>目</w:t>
      </w:r>
      <w:r>
        <w:rPr>
          <w:rFonts w:hint="eastAsia"/>
        </w:rPr>
        <w:t>次</w:t>
      </w:r>
    </w:p>
    <w:p w14:paraId="18FF5D1E">
      <w:pPr>
        <w:pStyle w:val="19"/>
        <w:tabs>
          <w:tab w:val="right" w:leader="dot" w:pos="9354"/>
        </w:tabs>
      </w:pPr>
      <w:r>
        <w:fldChar w:fldCharType="begin"/>
      </w:r>
      <w:r>
        <w:instrText xml:space="preserve"> TOC \o "1-1" \h </w:instrText>
      </w:r>
      <w:r>
        <w:fldChar w:fldCharType="separate"/>
      </w:r>
      <w:r>
        <w:fldChar w:fldCharType="begin"/>
      </w:r>
      <w:r>
        <w:instrText xml:space="preserve"> HYPERLINK \l _Toc1874 </w:instrText>
      </w:r>
      <w:r>
        <w:fldChar w:fldCharType="separate"/>
      </w:r>
      <w:r>
        <w:rPr>
          <w:rFonts w:hint="eastAsia"/>
          <w:spacing w:val="318"/>
          <w:lang w:eastAsia="zh-CN"/>
        </w:rPr>
        <w:t>前</w:t>
      </w:r>
      <w:r>
        <w:rPr>
          <w:rFonts w:hint="eastAsia"/>
          <w:lang w:eastAsia="zh-CN"/>
        </w:rPr>
        <w:t>言</w:t>
      </w:r>
      <w:r>
        <w:tab/>
      </w:r>
      <w:r>
        <w:fldChar w:fldCharType="begin"/>
      </w:r>
      <w:r>
        <w:instrText xml:space="preserve"> PAGEREF _Toc1874 \h </w:instrText>
      </w:r>
      <w:r>
        <w:fldChar w:fldCharType="separate"/>
      </w:r>
      <w:r>
        <w:t>II</w:t>
      </w:r>
      <w:r>
        <w:fldChar w:fldCharType="end"/>
      </w:r>
      <w:r>
        <w:fldChar w:fldCharType="end"/>
      </w:r>
    </w:p>
    <w:p w14:paraId="5730B457">
      <w:pPr>
        <w:pStyle w:val="19"/>
        <w:tabs>
          <w:tab w:val="right" w:leader="dot" w:pos="9354"/>
        </w:tabs>
      </w:pPr>
      <w:r>
        <w:fldChar w:fldCharType="begin"/>
      </w:r>
      <w:r>
        <w:instrText xml:space="preserve"> HYPERLINK \l _Toc7298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_Toc7298 \h </w:instrText>
      </w:r>
      <w:r>
        <w:fldChar w:fldCharType="separate"/>
      </w:r>
      <w:r>
        <w:t>1</w:t>
      </w:r>
      <w:r>
        <w:fldChar w:fldCharType="end"/>
      </w:r>
      <w:r>
        <w:fldChar w:fldCharType="end"/>
      </w:r>
    </w:p>
    <w:p w14:paraId="182D3DEE">
      <w:pPr>
        <w:pStyle w:val="19"/>
        <w:tabs>
          <w:tab w:val="right" w:leader="dot" w:pos="9354"/>
        </w:tabs>
      </w:pPr>
      <w:r>
        <w:fldChar w:fldCharType="begin"/>
      </w:r>
      <w:r>
        <w:instrText xml:space="preserve"> HYPERLINK \l _Toc22574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_Toc22574 \h </w:instrText>
      </w:r>
      <w:r>
        <w:fldChar w:fldCharType="separate"/>
      </w:r>
      <w:r>
        <w:t>1</w:t>
      </w:r>
      <w:r>
        <w:fldChar w:fldCharType="end"/>
      </w:r>
      <w:r>
        <w:fldChar w:fldCharType="end"/>
      </w:r>
    </w:p>
    <w:p w14:paraId="67447F8C">
      <w:pPr>
        <w:pStyle w:val="19"/>
        <w:tabs>
          <w:tab w:val="right" w:leader="dot" w:pos="9354"/>
        </w:tabs>
      </w:pPr>
      <w:r>
        <w:fldChar w:fldCharType="begin"/>
      </w:r>
      <w:r>
        <w:instrText xml:space="preserve"> HYPERLINK \l _Toc17765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_Toc17765 \h </w:instrText>
      </w:r>
      <w:r>
        <w:fldChar w:fldCharType="separate"/>
      </w:r>
      <w:r>
        <w:t>1</w:t>
      </w:r>
      <w:r>
        <w:fldChar w:fldCharType="end"/>
      </w:r>
      <w:r>
        <w:fldChar w:fldCharType="end"/>
      </w:r>
    </w:p>
    <w:p w14:paraId="259E2421">
      <w:pPr>
        <w:pStyle w:val="19"/>
        <w:tabs>
          <w:tab w:val="right" w:leader="dot" w:pos="9354"/>
        </w:tabs>
      </w:pPr>
      <w:r>
        <w:fldChar w:fldCharType="begin"/>
      </w:r>
      <w:r>
        <w:instrText xml:space="preserve"> HYPERLINK \l _Toc10041 </w:instrText>
      </w:r>
      <w:r>
        <w:fldChar w:fldCharType="separate"/>
      </w:r>
      <w:r>
        <w:rPr>
          <w:rFonts w:hint="eastAsia" w:ascii="黑体" w:eastAsia="黑体"/>
          <w:i w:val="0"/>
          <w:lang w:val="en-US" w:eastAsia="zh-CN"/>
        </w:rPr>
        <w:t xml:space="preserve">4 </w:t>
      </w:r>
      <w:r>
        <w:rPr>
          <w:rFonts w:hint="eastAsia"/>
        </w:rPr>
        <w:t>系统架构</w:t>
      </w:r>
      <w:r>
        <w:tab/>
      </w:r>
      <w:r>
        <w:fldChar w:fldCharType="begin"/>
      </w:r>
      <w:r>
        <w:instrText xml:space="preserve"> PAGEREF _Toc10041 \h </w:instrText>
      </w:r>
      <w:r>
        <w:fldChar w:fldCharType="separate"/>
      </w:r>
      <w:r>
        <w:t>1</w:t>
      </w:r>
      <w:r>
        <w:fldChar w:fldCharType="end"/>
      </w:r>
      <w:r>
        <w:fldChar w:fldCharType="end"/>
      </w:r>
    </w:p>
    <w:p w14:paraId="2637FC00">
      <w:pPr>
        <w:pStyle w:val="19"/>
        <w:tabs>
          <w:tab w:val="right" w:leader="dot" w:pos="9354"/>
        </w:tabs>
      </w:pPr>
      <w:r>
        <w:fldChar w:fldCharType="begin"/>
      </w:r>
      <w:r>
        <w:instrText xml:space="preserve"> HYPERLINK \l _Toc9922 </w:instrText>
      </w:r>
      <w:r>
        <w:fldChar w:fldCharType="separate"/>
      </w:r>
      <w:r>
        <w:rPr>
          <w:rFonts w:hint="eastAsia" w:ascii="黑体" w:eastAsia="黑体"/>
          <w:i w:val="0"/>
        </w:rPr>
        <w:t xml:space="preserve">5 </w:t>
      </w:r>
      <w:r>
        <w:rPr>
          <w:rFonts w:hint="eastAsia"/>
          <w:lang w:val="en-US" w:eastAsia="zh-CN"/>
        </w:rPr>
        <w:t>数据采集终端</w:t>
      </w:r>
      <w:r>
        <w:tab/>
      </w:r>
      <w:r>
        <w:fldChar w:fldCharType="begin"/>
      </w:r>
      <w:r>
        <w:instrText xml:space="preserve"> PAGEREF _Toc9922 \h </w:instrText>
      </w:r>
      <w:r>
        <w:fldChar w:fldCharType="separate"/>
      </w:r>
      <w:r>
        <w:t>2</w:t>
      </w:r>
      <w:r>
        <w:fldChar w:fldCharType="end"/>
      </w:r>
      <w:r>
        <w:fldChar w:fldCharType="end"/>
      </w:r>
    </w:p>
    <w:p w14:paraId="42258EC4">
      <w:pPr>
        <w:pStyle w:val="19"/>
        <w:tabs>
          <w:tab w:val="right" w:leader="dot" w:pos="9354"/>
        </w:tabs>
      </w:pPr>
      <w:r>
        <w:fldChar w:fldCharType="begin"/>
      </w:r>
      <w:r>
        <w:instrText xml:space="preserve"> HYPERLINK \l _Toc5324 </w:instrText>
      </w:r>
      <w:r>
        <w:fldChar w:fldCharType="separate"/>
      </w:r>
      <w:r>
        <w:rPr>
          <w:rFonts w:hint="eastAsia" w:ascii="黑体" w:eastAsia="黑体"/>
          <w:i w:val="0"/>
        </w:rPr>
        <w:t xml:space="preserve">6 </w:t>
      </w:r>
      <w:r>
        <w:rPr>
          <w:rFonts w:hint="eastAsia"/>
          <w:lang w:val="en-US" w:eastAsia="zh-CN"/>
        </w:rPr>
        <w:t>企业监测平台</w:t>
      </w:r>
      <w:r>
        <w:tab/>
      </w:r>
      <w:r>
        <w:fldChar w:fldCharType="begin"/>
      </w:r>
      <w:r>
        <w:instrText xml:space="preserve"> PAGEREF _Toc5324 \h </w:instrText>
      </w:r>
      <w:r>
        <w:fldChar w:fldCharType="separate"/>
      </w:r>
      <w:r>
        <w:t>3</w:t>
      </w:r>
      <w:r>
        <w:fldChar w:fldCharType="end"/>
      </w:r>
      <w:r>
        <w:fldChar w:fldCharType="end"/>
      </w:r>
    </w:p>
    <w:p w14:paraId="50ECB79C">
      <w:pPr>
        <w:pStyle w:val="19"/>
        <w:tabs>
          <w:tab w:val="right" w:leader="dot" w:pos="9354"/>
        </w:tabs>
      </w:pPr>
      <w:r>
        <w:fldChar w:fldCharType="begin"/>
      </w:r>
      <w:r>
        <w:instrText xml:space="preserve"> HYPERLINK \l _Toc12716 </w:instrText>
      </w:r>
      <w:r>
        <w:fldChar w:fldCharType="separate"/>
      </w:r>
      <w:r>
        <w:rPr>
          <w:rFonts w:hint="eastAsia" w:ascii="黑体" w:eastAsia="黑体"/>
          <w:i w:val="0"/>
        </w:rPr>
        <w:t xml:space="preserve">7 </w:t>
      </w:r>
      <w:r>
        <w:rPr>
          <w:rFonts w:hint="eastAsia"/>
          <w:lang w:val="en-US" w:eastAsia="zh-CN"/>
        </w:rPr>
        <w:t>网络通信</w:t>
      </w:r>
      <w:r>
        <w:tab/>
      </w:r>
      <w:r>
        <w:fldChar w:fldCharType="begin"/>
      </w:r>
      <w:r>
        <w:instrText xml:space="preserve"> PAGEREF _Toc12716 \h </w:instrText>
      </w:r>
      <w:r>
        <w:fldChar w:fldCharType="separate"/>
      </w:r>
      <w:r>
        <w:t>5</w:t>
      </w:r>
      <w:r>
        <w:fldChar w:fldCharType="end"/>
      </w:r>
      <w:r>
        <w:fldChar w:fldCharType="end"/>
      </w:r>
    </w:p>
    <w:p w14:paraId="3BDF964D">
      <w:pPr>
        <w:pStyle w:val="19"/>
        <w:tabs>
          <w:tab w:val="right" w:leader="dot" w:pos="9354"/>
        </w:tabs>
      </w:pPr>
      <w:r>
        <w:fldChar w:fldCharType="begin"/>
      </w:r>
      <w:r>
        <w:instrText xml:space="preserve"> HYPERLINK \l _Toc24391 </w:instrText>
      </w:r>
      <w:r>
        <w:fldChar w:fldCharType="separate"/>
      </w:r>
      <w:r>
        <w:rPr>
          <w:rFonts w:hint="eastAsia" w:ascii="黑体" w:eastAsia="黑体"/>
          <w:i w:val="0"/>
        </w:rPr>
        <w:t xml:space="preserve">8 </w:t>
      </w:r>
      <w:r>
        <w:rPr>
          <w:rFonts w:hint="eastAsia"/>
          <w:lang w:val="en-US" w:eastAsia="zh-CN"/>
        </w:rPr>
        <w:t>信息安全</w:t>
      </w:r>
      <w:r>
        <w:tab/>
      </w:r>
      <w:r>
        <w:fldChar w:fldCharType="begin"/>
      </w:r>
      <w:r>
        <w:instrText xml:space="preserve"> PAGEREF _Toc24391 \h </w:instrText>
      </w:r>
      <w:r>
        <w:fldChar w:fldCharType="separate"/>
      </w:r>
      <w:r>
        <w:t>5</w:t>
      </w:r>
      <w:r>
        <w:fldChar w:fldCharType="end"/>
      </w:r>
      <w:r>
        <w:fldChar w:fldCharType="end"/>
      </w:r>
    </w:p>
    <w:p w14:paraId="03A5DAB8">
      <w:pPr>
        <w:pStyle w:val="19"/>
        <w:tabs>
          <w:tab w:val="right" w:leader="dot" w:pos="9354"/>
        </w:tabs>
      </w:pPr>
      <w:r>
        <w:fldChar w:fldCharType="begin"/>
      </w:r>
      <w:r>
        <w:instrText xml:space="preserve"> HYPERLINK \l _Toc24118 </w:instrText>
      </w:r>
      <w:r>
        <w:fldChar w:fldCharType="separate"/>
      </w:r>
      <w:r>
        <w:rPr>
          <w:rFonts w:hint="eastAsia" w:ascii="黑体" w:eastAsia="黑体"/>
          <w:i w:val="0"/>
          <w:lang w:val="en-US" w:eastAsia="zh-CN"/>
        </w:rPr>
        <w:t xml:space="preserve">9 </w:t>
      </w:r>
      <w:r>
        <w:rPr>
          <w:rFonts w:hint="eastAsia"/>
          <w:lang w:val="en-US" w:eastAsia="zh-CN"/>
        </w:rPr>
        <w:t>运行与维护</w:t>
      </w:r>
      <w:r>
        <w:tab/>
      </w:r>
      <w:r>
        <w:fldChar w:fldCharType="begin"/>
      </w:r>
      <w:r>
        <w:instrText xml:space="preserve"> PAGEREF _Toc24118 \h </w:instrText>
      </w:r>
      <w:r>
        <w:fldChar w:fldCharType="separate"/>
      </w:r>
      <w:r>
        <w:t>6</w:t>
      </w:r>
      <w:r>
        <w:fldChar w:fldCharType="end"/>
      </w:r>
      <w:r>
        <w:fldChar w:fldCharType="end"/>
      </w:r>
    </w:p>
    <w:p w14:paraId="0DB6412A">
      <w:pPr>
        <w:pStyle w:val="92"/>
        <w:spacing w:after="360"/>
        <w:sectPr>
          <w:headerReference r:id="rId10" w:type="default"/>
          <w:footerReference r:id="rId12" w:type="default"/>
          <w:headerReference r:id="rId11" w:type="even"/>
          <w:footerReference r:id="rId13"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1"/>
    <w:p w14:paraId="0376D486">
      <w:pPr>
        <w:pStyle w:val="90"/>
        <w:bidi w:val="0"/>
        <w:rPr>
          <w:rFonts w:hint="eastAsia" w:eastAsia="宋体"/>
          <w:lang w:eastAsia="zh-CN"/>
        </w:rPr>
      </w:pPr>
      <w:bookmarkStart w:id="22" w:name="_Toc1874"/>
      <w:bookmarkStart w:id="23" w:name="BookMark2"/>
      <w:r>
        <w:rPr>
          <w:rFonts w:hint="eastAsia"/>
          <w:spacing w:val="318"/>
          <w:lang w:eastAsia="zh-CN"/>
        </w:rPr>
        <w:t>前</w:t>
      </w:r>
      <w:r>
        <w:rPr>
          <w:rFonts w:hint="eastAsia"/>
          <w:lang w:eastAsia="zh-CN"/>
        </w:rPr>
        <w:t>言</w:t>
      </w:r>
      <w:bookmarkEnd w:id="22"/>
    </w:p>
    <w:p w14:paraId="39474C9A">
      <w:pPr>
        <w:pStyle w:val="56"/>
        <w:bidi w:val="0"/>
        <w:rPr>
          <w:rFonts w:hint="eastAsia"/>
          <w:lang w:eastAsia="zh-CN"/>
        </w:rPr>
      </w:pPr>
      <w:r>
        <w:rPr>
          <w:rFonts w:hint="eastAsia"/>
          <w:lang w:eastAsia="zh-CN"/>
        </w:rPr>
        <w:t>本文件按照GB/T 1.1—2020《标准化工作导则  第1部分：标准化文件的结构和起草规则》的规定起草。</w:t>
      </w:r>
    </w:p>
    <w:p w14:paraId="7F5FB25C">
      <w:pPr>
        <w:pStyle w:val="56"/>
        <w:bidi w:val="0"/>
        <w:rPr>
          <w:rFonts w:hint="eastAsia"/>
          <w:lang w:eastAsia="zh-CN"/>
        </w:rPr>
      </w:pPr>
      <w:r>
        <w:rPr>
          <w:rFonts w:hint="eastAsia"/>
          <w:lang w:eastAsia="zh-CN"/>
        </w:rPr>
        <w:t>请注意本文件的某些内容可能涉及专利。本文件的发布机构不承担识别专利的责任。</w:t>
      </w:r>
    </w:p>
    <w:p w14:paraId="199916E1">
      <w:pPr>
        <w:pStyle w:val="56"/>
        <w:bidi w:val="0"/>
        <w:rPr>
          <w:rFonts w:hint="eastAsia"/>
          <w:lang w:eastAsia="zh-CN"/>
        </w:rPr>
      </w:pPr>
    </w:p>
    <w:p w14:paraId="166EA287">
      <w:pPr>
        <w:pStyle w:val="56"/>
        <w:bidi w:val="0"/>
        <w:rPr>
          <w:rFonts w:hint="eastAsia"/>
          <w:lang w:eastAsia="zh-CN"/>
        </w:rPr>
      </w:pPr>
    </w:p>
    <w:p w14:paraId="795A5126">
      <w:pPr>
        <w:pStyle w:val="56"/>
        <w:bidi w:val="0"/>
        <w:rPr>
          <w:rFonts w:hint="eastAsia"/>
          <w:lang w:eastAsia="zh-CN"/>
        </w:rPr>
      </w:pPr>
      <w:r>
        <w:rPr>
          <w:rFonts w:hint="eastAsia"/>
          <w:lang w:eastAsia="zh-CN"/>
        </w:rPr>
        <w:t>本文件由</w:t>
      </w:r>
      <w:bookmarkStart w:id="24" w:name="StdPresenter"/>
      <w:r>
        <w:rPr>
          <w:rFonts w:hint="eastAsia"/>
          <w:lang w:eastAsia="zh-CN"/>
        </w:rPr>
        <w:t>恒达富士电梯有限公司</w:t>
      </w:r>
      <w:bookmarkEnd w:id="24"/>
      <w:r>
        <w:rPr>
          <w:rFonts w:hint="eastAsia"/>
          <w:lang w:eastAsia="zh-CN"/>
        </w:rPr>
        <w:t>提出。</w:t>
      </w:r>
    </w:p>
    <w:p w14:paraId="18E53D92">
      <w:pPr>
        <w:pStyle w:val="56"/>
        <w:bidi w:val="0"/>
        <w:rPr>
          <w:rFonts w:hint="eastAsia"/>
          <w:lang w:eastAsia="zh-CN"/>
        </w:rPr>
      </w:pPr>
      <w:r>
        <w:rPr>
          <w:rFonts w:hint="eastAsia"/>
          <w:lang w:eastAsia="zh-CN"/>
        </w:rPr>
        <w:t>本文件由</w:t>
      </w:r>
      <w:bookmarkStart w:id="25" w:name="StdRegister"/>
      <w:r>
        <w:rPr>
          <w:rFonts w:hint="eastAsia"/>
          <w:lang w:eastAsia="zh-CN"/>
        </w:rPr>
        <w:t>浙江省产学研合作促进会</w:t>
      </w:r>
      <w:bookmarkEnd w:id="25"/>
      <w:r>
        <w:rPr>
          <w:rFonts w:hint="eastAsia"/>
          <w:lang w:eastAsia="zh-CN"/>
        </w:rPr>
        <w:t>归口。</w:t>
      </w:r>
    </w:p>
    <w:p w14:paraId="604685BC">
      <w:pPr>
        <w:pStyle w:val="56"/>
        <w:bidi w:val="0"/>
        <w:rPr>
          <w:rFonts w:hint="eastAsia"/>
          <w:lang w:eastAsia="zh-CN"/>
        </w:rPr>
      </w:pPr>
      <w:r>
        <w:rPr>
          <w:rFonts w:hint="eastAsia"/>
          <w:lang w:eastAsia="zh-CN"/>
        </w:rPr>
        <w:t>本文件起草单位：</w:t>
      </w:r>
      <w:bookmarkStart w:id="26" w:name="StdDraftdep"/>
      <w:r>
        <w:rPr>
          <w:rFonts w:hint="eastAsia"/>
          <w:lang w:eastAsia="zh-CN"/>
        </w:rPr>
        <w:t>恒达富士电梯有限公司</w:t>
      </w:r>
      <w:bookmarkEnd w:id="26"/>
      <w:r>
        <w:rPr>
          <w:rFonts w:hint="eastAsia"/>
          <w:lang w:eastAsia="zh-CN"/>
        </w:rPr>
        <w:t>。</w:t>
      </w:r>
    </w:p>
    <w:p w14:paraId="33AA0C81">
      <w:pPr>
        <w:pStyle w:val="56"/>
        <w:bidi w:val="0"/>
        <w:rPr>
          <w:rFonts w:hint="eastAsia"/>
          <w:lang w:eastAsia="zh-CN"/>
        </w:rPr>
      </w:pPr>
      <w:r>
        <w:rPr>
          <w:rFonts w:hint="eastAsia"/>
          <w:lang w:eastAsia="zh-CN"/>
        </w:rPr>
        <w:t>本文件主要起草人：</w:t>
      </w:r>
      <w:bookmarkStart w:id="27" w:name="StdDrafer"/>
      <w:r>
        <w:rPr>
          <w:rFonts w:hint="eastAsia"/>
          <w:lang w:eastAsia="zh-CN"/>
        </w:rPr>
        <w:t>×××、×××</w:t>
      </w:r>
      <w:bookmarkEnd w:id="27"/>
      <w:r>
        <w:rPr>
          <w:rFonts w:hint="eastAsia"/>
          <w:lang w:eastAsia="zh-CN"/>
        </w:rPr>
        <w:t>。</w:t>
      </w:r>
    </w:p>
    <w:p w14:paraId="6F68C73D">
      <w:pPr>
        <w:pStyle w:val="56"/>
        <w:bidi w:val="0"/>
        <w:rPr>
          <w:rFonts w:hint="eastAsia"/>
          <w:lang w:eastAsia="zh-CN"/>
        </w:rPr>
      </w:pPr>
    </w:p>
    <w:p w14:paraId="24F8F1C7">
      <w:pPr>
        <w:pStyle w:val="56"/>
        <w:bidi w:val="0"/>
        <w:rPr>
          <w:rFonts w:hint="eastAsia"/>
          <w:lang w:eastAsia="zh-CN"/>
        </w:rPr>
      </w:pPr>
    </w:p>
    <w:p w14:paraId="3C7EE6FF">
      <w:pPr>
        <w:pStyle w:val="56"/>
        <w:bidi w:val="0"/>
        <w:rPr>
          <w:rFonts w:hint="eastAsia"/>
          <w:lang w:eastAsia="zh-CN"/>
        </w:rPr>
      </w:pPr>
    </w:p>
    <w:p w14:paraId="70ABCCCF">
      <w:pPr>
        <w:pStyle w:val="56"/>
        <w:bidi w:val="0"/>
        <w:rPr>
          <w:rFonts w:hint="eastAsia"/>
          <w:lang w:eastAsia="zh-CN"/>
        </w:rPr>
      </w:pPr>
    </w:p>
    <w:p w14:paraId="244A47C0">
      <w:pPr>
        <w:pStyle w:val="56"/>
        <w:bidi w:val="0"/>
        <w:rPr>
          <w:rFonts w:hint="eastAsia"/>
          <w:lang w:eastAsia="zh-CN"/>
        </w:rPr>
        <w:sectPr>
          <w:headerReference r:id="rId14" w:type="default"/>
          <w:footerReference r:id="rId16" w:type="default"/>
          <w:headerReference r:id="rId15" w:type="even"/>
          <w:footerReference r:id="rId17" w:type="even"/>
          <w:pgSz w:w="11906" w:h="16838"/>
          <w:pgMar w:top="1928" w:right="1134" w:bottom="1134" w:left="1134" w:header="1418" w:footer="1134" w:gutter="284"/>
          <w:pgNumType w:fmt="upperRoman"/>
          <w:cols w:space="425" w:num="1"/>
          <w:formProt w:val="0"/>
          <w:docGrid w:linePitch="312" w:charSpace="0"/>
        </w:sectPr>
      </w:pPr>
    </w:p>
    <w:bookmarkEnd w:id="23"/>
    <w:p w14:paraId="637C7BC3">
      <w:pPr>
        <w:spacing w:line="20" w:lineRule="exact"/>
        <w:jc w:val="center"/>
        <w:rPr>
          <w:rFonts w:hint="eastAsia" w:ascii="黑体" w:hAnsi="黑体" w:eastAsia="黑体"/>
          <w:sz w:val="32"/>
          <w:szCs w:val="32"/>
        </w:rPr>
      </w:pPr>
      <w:bookmarkStart w:id="28" w:name="BookMark4"/>
    </w:p>
    <w:p w14:paraId="64F4F527">
      <w:pPr>
        <w:spacing w:line="20" w:lineRule="exact"/>
        <w:jc w:val="center"/>
        <w:rPr>
          <w:rFonts w:hint="eastAsia" w:ascii="黑体" w:hAnsi="黑体" w:eastAsia="黑体"/>
          <w:sz w:val="32"/>
          <w:szCs w:val="32"/>
        </w:rPr>
      </w:pPr>
    </w:p>
    <w:sdt>
      <w:sdtPr>
        <w:tag w:val="NEW_STAND_NAME"/>
        <w:id w:val="595910757"/>
        <w:lock w:val="sdtLocked"/>
        <w:placeholder>
          <w:docPart w:val="31AAA52270374532AA7C98F5FC00429A"/>
        </w:placeholder>
      </w:sdtPr>
      <w:sdtContent>
        <w:p w14:paraId="6CC36CCC">
          <w:pPr>
            <w:pStyle w:val="178"/>
            <w:spacing w:before="240" w:beforeLines="100" w:after="528" w:afterLines="220"/>
            <w:rPr>
              <w:rFonts w:hint="eastAsia"/>
            </w:rPr>
          </w:pPr>
          <w:bookmarkStart w:id="29" w:name="NEW_STAND_NAME"/>
          <w:r>
            <w:rPr>
              <w:rFonts w:hint="eastAsia"/>
              <w:lang w:eastAsia="zh-CN"/>
            </w:rPr>
            <w:t>电梯故障监测智能报警系统技术规范</w:t>
          </w:r>
          <w:bookmarkEnd w:id="29"/>
        </w:p>
      </w:sdtContent>
    </w:sdt>
    <w:p w14:paraId="7A7C3DE6">
      <w:pPr>
        <w:pStyle w:val="105"/>
        <w:spacing w:before="240" w:after="240"/>
      </w:pPr>
      <w:bookmarkStart w:id="30" w:name="_Toc26986771"/>
      <w:bookmarkStart w:id="31" w:name="_Toc97192964"/>
      <w:bookmarkStart w:id="32" w:name="_Toc17233325"/>
      <w:bookmarkStart w:id="33" w:name="_Toc26986530"/>
      <w:bookmarkStart w:id="34" w:name="_Toc26718930"/>
      <w:bookmarkStart w:id="35" w:name="_Toc26648465"/>
      <w:bookmarkStart w:id="36" w:name="_Toc24884211"/>
      <w:bookmarkStart w:id="37" w:name="_Toc199844081"/>
      <w:bookmarkStart w:id="38" w:name="_Toc17233333"/>
      <w:bookmarkStart w:id="39" w:name="_Toc24884218"/>
      <w:bookmarkStart w:id="40" w:name="_Toc7298"/>
      <w:r>
        <w:rPr>
          <w:rFonts w:hint="eastAsia"/>
        </w:rPr>
        <w:t>范围</w:t>
      </w:r>
      <w:bookmarkEnd w:id="30"/>
      <w:bookmarkEnd w:id="31"/>
      <w:bookmarkEnd w:id="32"/>
      <w:bookmarkEnd w:id="33"/>
      <w:bookmarkEnd w:id="34"/>
      <w:bookmarkEnd w:id="35"/>
      <w:bookmarkEnd w:id="36"/>
      <w:bookmarkEnd w:id="37"/>
      <w:bookmarkEnd w:id="38"/>
      <w:bookmarkEnd w:id="39"/>
      <w:bookmarkEnd w:id="40"/>
    </w:p>
    <w:p w14:paraId="70D878E4">
      <w:pPr>
        <w:pStyle w:val="56"/>
        <w:ind w:firstLine="420"/>
        <w:rPr>
          <w:rFonts w:hint="eastAsia"/>
          <w:highlight w:val="none"/>
          <w:lang w:eastAsia="zh-CN"/>
        </w:rPr>
      </w:pPr>
      <w:bookmarkStart w:id="41" w:name="_Toc17233334"/>
      <w:bookmarkStart w:id="42" w:name="_Toc17233326"/>
      <w:bookmarkStart w:id="43" w:name="_Toc24884212"/>
      <w:bookmarkStart w:id="44" w:name="_Toc26648466"/>
      <w:bookmarkStart w:id="45" w:name="_Toc24884219"/>
      <w:r>
        <w:rPr>
          <w:rFonts w:hint="eastAsia"/>
          <w:highlight w:val="none"/>
          <w:lang w:eastAsia="zh-CN"/>
        </w:rPr>
        <w:t>本文件规定了电梯故障监测智能报警系统的术语和定义、系统架构、数据采集终端、企业监测平台、网络通信、信息安全、运行与维护等技术要求。</w:t>
      </w:r>
    </w:p>
    <w:p w14:paraId="796D2E9A">
      <w:pPr>
        <w:pStyle w:val="56"/>
        <w:ind w:firstLine="420"/>
        <w:rPr>
          <w:rFonts w:hint="eastAsia"/>
          <w:highlight w:val="none"/>
          <w:lang w:eastAsia="zh-CN"/>
        </w:rPr>
      </w:pPr>
      <w:r>
        <w:rPr>
          <w:rFonts w:hint="eastAsia"/>
          <w:highlight w:val="none"/>
          <w:lang w:eastAsia="zh-CN"/>
        </w:rPr>
        <w:t>本文件适用于乘客电梯、载货电梯配套使用的故障监测智能报警系统。</w:t>
      </w:r>
    </w:p>
    <w:p w14:paraId="5059402F">
      <w:pPr>
        <w:pStyle w:val="105"/>
        <w:spacing w:before="240" w:after="240"/>
      </w:pPr>
      <w:bookmarkStart w:id="46" w:name="_Toc26986531"/>
      <w:bookmarkStart w:id="47" w:name="_Toc97192965"/>
      <w:bookmarkStart w:id="48" w:name="_Toc199844082"/>
      <w:bookmarkStart w:id="49" w:name="_Toc26718931"/>
      <w:bookmarkStart w:id="50" w:name="_Toc26986772"/>
      <w:bookmarkStart w:id="51" w:name="_Toc22574"/>
      <w:r>
        <w:rPr>
          <w:rFonts w:hint="eastAsia"/>
        </w:rPr>
        <w:t>规范性引用文件</w:t>
      </w:r>
      <w:bookmarkEnd w:id="41"/>
      <w:bookmarkEnd w:id="42"/>
      <w:bookmarkEnd w:id="43"/>
      <w:bookmarkEnd w:id="44"/>
      <w:bookmarkEnd w:id="45"/>
      <w:bookmarkEnd w:id="46"/>
      <w:bookmarkEnd w:id="47"/>
      <w:bookmarkEnd w:id="48"/>
      <w:bookmarkEnd w:id="49"/>
      <w:bookmarkEnd w:id="50"/>
      <w:bookmarkEnd w:id="51"/>
    </w:p>
    <w:sdt>
      <w:sdtPr>
        <w:rPr>
          <w:rFonts w:hint="eastAsia"/>
        </w:rPr>
        <w:id w:val="715848253"/>
        <w:placeholder>
          <w:docPart w:val="FF0054CC84D048C2BFA2F4572D65DF6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DBA1BA2">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D9ABBA6">
      <w:pPr>
        <w:pStyle w:val="56"/>
        <w:ind w:firstLine="420"/>
        <w:rPr>
          <w:rFonts w:hint="eastAsia"/>
          <w:highlight w:val="none"/>
        </w:rPr>
      </w:pPr>
      <w:bookmarkStart w:id="52" w:name="OLE_LINK1"/>
      <w:r>
        <w:rPr>
          <w:rFonts w:hint="eastAsia"/>
          <w:highlight w:val="none"/>
        </w:rPr>
        <w:t>GB/T 7024 电梯、自动扶梯和自动人行道术语</w:t>
      </w:r>
    </w:p>
    <w:p w14:paraId="21611BC2">
      <w:pPr>
        <w:pStyle w:val="56"/>
        <w:ind w:firstLine="420"/>
        <w:rPr>
          <w:rFonts w:hint="eastAsia"/>
          <w:highlight w:val="none"/>
        </w:rPr>
      </w:pPr>
      <w:r>
        <w:rPr>
          <w:rFonts w:hint="eastAsia"/>
          <w:highlight w:val="none"/>
        </w:rPr>
        <w:t>GB/T 7588.1 电梯制造与安装安全规范 第1部分：乘客电梯和载货电梯</w:t>
      </w:r>
    </w:p>
    <w:p w14:paraId="344C9329">
      <w:pPr>
        <w:pStyle w:val="56"/>
        <w:ind w:firstLine="420"/>
        <w:rPr>
          <w:rFonts w:hint="eastAsia"/>
          <w:highlight w:val="none"/>
        </w:rPr>
      </w:pPr>
      <w:r>
        <w:rPr>
          <w:rFonts w:hint="eastAsia"/>
          <w:highlight w:val="none"/>
        </w:rPr>
        <w:t>GB/T 10058 电梯技术条件</w:t>
      </w:r>
    </w:p>
    <w:p w14:paraId="734BE70B">
      <w:pPr>
        <w:pStyle w:val="56"/>
        <w:ind w:firstLine="420"/>
        <w:rPr>
          <w:rFonts w:hint="eastAsia"/>
          <w:highlight w:val="none"/>
        </w:rPr>
      </w:pPr>
      <w:r>
        <w:rPr>
          <w:rFonts w:hint="eastAsia"/>
          <w:highlight w:val="none"/>
        </w:rPr>
        <w:t>GB/T 24476 电梯物联网 企业应用平台基本要求</w:t>
      </w:r>
    </w:p>
    <w:p w14:paraId="01167554">
      <w:pPr>
        <w:pStyle w:val="56"/>
        <w:ind w:firstLine="420"/>
        <w:rPr>
          <w:rFonts w:hint="eastAsia"/>
          <w:highlight w:val="none"/>
        </w:rPr>
      </w:pPr>
      <w:r>
        <w:rPr>
          <w:rFonts w:hint="eastAsia"/>
          <w:highlight w:val="none"/>
        </w:rPr>
        <w:t>GB/T 24807 电梯、自动扶梯和自动人行道的电磁兼容 发射</w:t>
      </w:r>
    </w:p>
    <w:p w14:paraId="53B4B496">
      <w:pPr>
        <w:pStyle w:val="56"/>
        <w:ind w:firstLine="420"/>
        <w:rPr>
          <w:rFonts w:hint="eastAsia"/>
          <w:highlight w:val="none"/>
        </w:rPr>
      </w:pPr>
      <w:r>
        <w:rPr>
          <w:rFonts w:hint="eastAsia"/>
          <w:highlight w:val="none"/>
        </w:rPr>
        <w:t>GB/T 24808 电梯、自动扶梯和自动人行道的电磁兼容 抗扰度</w:t>
      </w:r>
    </w:p>
    <w:p w14:paraId="39C33E4F">
      <w:pPr>
        <w:pStyle w:val="56"/>
        <w:ind w:firstLine="420"/>
        <w:rPr>
          <w:rFonts w:hint="eastAsia"/>
          <w:highlight w:val="none"/>
        </w:rPr>
      </w:pPr>
      <w:r>
        <w:rPr>
          <w:rFonts w:hint="eastAsia"/>
          <w:highlight w:val="none"/>
        </w:rPr>
        <w:t>GB/T 42616 电梯物联网 监测终端技术规范</w:t>
      </w:r>
    </w:p>
    <w:bookmarkEnd w:id="52"/>
    <w:p w14:paraId="6A285AF5">
      <w:pPr>
        <w:pStyle w:val="105"/>
        <w:spacing w:before="240" w:after="240"/>
      </w:pPr>
      <w:bookmarkStart w:id="53" w:name="_Toc199844083"/>
      <w:bookmarkStart w:id="54" w:name="_Toc97192966"/>
      <w:bookmarkStart w:id="55" w:name="_Toc17765"/>
      <w:r>
        <w:rPr>
          <w:rFonts w:hint="eastAsia"/>
          <w:szCs w:val="21"/>
        </w:rPr>
        <w:t>术语和定义</w:t>
      </w:r>
      <w:bookmarkEnd w:id="53"/>
      <w:bookmarkEnd w:id="54"/>
      <w:bookmarkEnd w:id="55"/>
    </w:p>
    <w:sdt>
      <w:sdtPr>
        <w:rPr>
          <w:rFonts w:hint="eastAsia"/>
        </w:rPr>
        <w:id w:val="-1"/>
        <w:placeholder>
          <w:docPart w:val="BE3737DD1D8843BEAE6237A2BC53666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p w14:paraId="178296D9">
          <w:pPr>
            <w:pStyle w:val="56"/>
            <w:ind w:firstLine="420"/>
            <w:rPr>
              <w:rFonts w:hint="eastAsia"/>
              <w:lang w:val="en-US" w:eastAsia="zh-CN"/>
            </w:rPr>
          </w:pPr>
          <w:bookmarkStart w:id="56" w:name="_Toc26986532"/>
          <w:bookmarkEnd w:id="56"/>
          <w:r>
            <w:rPr>
              <w:rFonts w:hint="eastAsia" w:ascii="宋体" w:hAnsi="Times New Roman" w:eastAsia="宋体" w:cs="Times New Roman"/>
              <w:sz w:val="21"/>
              <w:lang w:val="en-US" w:eastAsia="zh-CN" w:bidi="ar-SA"/>
            </w:rPr>
            <w:t>GB/T 7024 、GB/T 7588.1</w:t>
          </w:r>
          <w:r>
            <w:rPr>
              <w:rFonts w:hint="eastAsia" w:cs="Times New Roman"/>
              <w:sz w:val="21"/>
              <w:lang w:val="en-US" w:eastAsia="zh-CN" w:bidi="ar-SA"/>
            </w:rPr>
            <w:t>、GB/T 24476、GB/T 42616</w:t>
          </w:r>
          <w:r>
            <w:rPr>
              <w:rFonts w:hint="eastAsia" w:ascii="宋体" w:hAnsi="Times New Roman" w:eastAsia="宋体" w:cs="Times New Roman"/>
              <w:sz w:val="21"/>
              <w:lang w:val="en-US" w:eastAsia="zh-CN" w:bidi="ar-SA"/>
            </w:rPr>
            <w:t>界定的以及下列术语和定义适用于本文件。</w:t>
          </w:r>
        </w:p>
      </w:sdtContent>
    </w:sdt>
    <w:p w14:paraId="50227517">
      <w:pPr>
        <w:pStyle w:val="106"/>
        <w:keepNext w:val="0"/>
        <w:keepLines w:val="0"/>
        <w:pageBreakBefore w:val="0"/>
        <w:widowControl/>
        <w:kinsoku/>
        <w:wordWrap/>
        <w:overflowPunct/>
        <w:topLinePunct w:val="0"/>
        <w:autoSpaceDE/>
        <w:autoSpaceDN/>
        <w:bidi w:val="0"/>
        <w:adjustRightInd/>
        <w:snapToGrid/>
        <w:ind w:left="0"/>
        <w:textAlignment w:val="auto"/>
        <w:rPr>
          <w:rFonts w:hint="eastAsia"/>
        </w:rPr>
      </w:pPr>
      <w:bookmarkStart w:id="57" w:name="_Toc199844084"/>
    </w:p>
    <w:p w14:paraId="77223666">
      <w:pPr>
        <w:pStyle w:val="66"/>
        <w:rPr>
          <w:rFonts w:hint="eastAsia" w:ascii="黑体" w:hAnsi="黑体" w:eastAsia="黑体" w:cs="黑体"/>
          <w:lang w:val="en-US" w:eastAsia="zh-CN"/>
        </w:rPr>
      </w:pPr>
      <w:r>
        <w:rPr>
          <w:rFonts w:hint="eastAsia" w:ascii="黑体" w:hAnsi="黑体" w:eastAsia="黑体" w:cs="黑体"/>
          <w:lang w:val="en-US" w:eastAsia="zh-CN"/>
        </w:rPr>
        <w:t>数据采集终端 data collection terminal</w:t>
      </w:r>
    </w:p>
    <w:p w14:paraId="28D339E9">
      <w:pPr>
        <w:pStyle w:val="66"/>
        <w:rPr>
          <w:rFonts w:hint="default"/>
          <w:lang w:val="en-US" w:eastAsia="zh-CN"/>
        </w:rPr>
      </w:pPr>
      <w:r>
        <w:rPr>
          <w:rFonts w:hint="default"/>
          <w:lang w:val="en-US" w:eastAsia="zh-CN"/>
        </w:rPr>
        <w:t>安装在电梯机房、井道、轿厢等位置，用于电梯运行、故障及困人信息采集、储存、转换和传输的终端设备，例如监控摄像头、传感器等。</w:t>
      </w:r>
    </w:p>
    <w:p w14:paraId="48F9CCB3">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p>
    <w:p w14:paraId="1B604EA3">
      <w:pPr>
        <w:pStyle w:val="66"/>
        <w:rPr>
          <w:rFonts w:hint="eastAsia" w:ascii="黑体" w:hAnsi="黑体" w:eastAsia="黑体" w:cs="黑体"/>
          <w:b w:val="0"/>
          <w:bCs w:val="0"/>
          <w:lang w:val="en-US" w:eastAsia="zh-CN"/>
        </w:rPr>
      </w:pPr>
      <w:r>
        <w:rPr>
          <w:rFonts w:hint="eastAsia" w:ascii="黑体" w:hAnsi="黑体" w:eastAsia="黑体" w:cs="黑体"/>
          <w:b w:val="0"/>
          <w:bCs w:val="0"/>
          <w:lang w:val="en-US" w:eastAsia="zh-CN"/>
        </w:rPr>
        <w:t>企业监测平台 enterprise monitoring platform</w:t>
      </w:r>
    </w:p>
    <w:p w14:paraId="573ED343">
      <w:pPr>
        <w:pStyle w:val="66"/>
        <w:rPr>
          <w:rFonts w:hint="default"/>
          <w:b w:val="0"/>
          <w:bCs w:val="0"/>
          <w:lang w:val="en-US" w:eastAsia="zh-CN"/>
        </w:rPr>
      </w:pPr>
      <w:r>
        <w:rPr>
          <w:rFonts w:hint="default"/>
          <w:b w:val="0"/>
          <w:bCs w:val="0"/>
          <w:lang w:val="en-US" w:eastAsia="zh-CN"/>
        </w:rPr>
        <w:t>具备终端管理、运行状态监控、故障报警处理、数据存储查询及上报功能的软件平台，支持多终端接入与集中化管理。</w:t>
      </w:r>
    </w:p>
    <w:p w14:paraId="57EF4D61">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p>
    <w:p w14:paraId="4556F3BF">
      <w:pPr>
        <w:pStyle w:val="66"/>
        <w:rPr>
          <w:rFonts w:hint="eastAsia" w:ascii="黑体" w:hAnsi="黑体" w:eastAsia="黑体" w:cs="黑体"/>
          <w:lang w:val="en-US" w:eastAsia="zh-CN"/>
        </w:rPr>
      </w:pPr>
      <w:r>
        <w:rPr>
          <w:rFonts w:hint="eastAsia" w:ascii="黑体" w:hAnsi="黑体" w:eastAsia="黑体" w:cs="黑体"/>
          <w:lang w:val="en-US" w:eastAsia="zh-CN"/>
        </w:rPr>
        <w:t>电梯故障监测智能报警系统 elevator fault monitoring and intelligent alarm system</w:t>
      </w:r>
    </w:p>
    <w:p w14:paraId="5702A4FC">
      <w:pPr>
        <w:pStyle w:val="66"/>
        <w:rPr>
          <w:rFonts w:hint="default"/>
          <w:lang w:val="en-US" w:eastAsia="zh-CN"/>
        </w:rPr>
      </w:pPr>
      <w:r>
        <w:rPr>
          <w:rFonts w:hint="eastAsia"/>
          <w:lang w:val="en-US" w:eastAsia="zh-CN"/>
        </w:rPr>
        <w:t>集成数据采集、智能分析、网络传输、报警响应、运维管理等功能，通过传感器感知电梯运行状态，经数据处理后实现故障自动识别、分级报警及救援调度的综合性技术系统。</w:t>
      </w:r>
    </w:p>
    <w:p w14:paraId="05E7519C">
      <w:pPr>
        <w:pStyle w:val="105"/>
        <w:spacing w:before="326" w:after="326"/>
        <w:rPr>
          <w:rFonts w:hint="default"/>
          <w:lang w:val="en-US" w:eastAsia="zh-CN"/>
        </w:rPr>
      </w:pPr>
      <w:bookmarkStart w:id="58" w:name="_Toc10041"/>
      <w:r>
        <w:rPr>
          <w:rFonts w:hint="eastAsia"/>
        </w:rPr>
        <w:t>系统架构</w:t>
      </w:r>
      <w:bookmarkEnd w:id="58"/>
    </w:p>
    <w:p w14:paraId="26ACDC5B">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总体架构</w:t>
      </w:r>
    </w:p>
    <w:p w14:paraId="680968F0">
      <w:pPr>
        <w:pStyle w:val="166"/>
        <w:bidi w:val="0"/>
        <w:rPr>
          <w:rFonts w:hint="default"/>
          <w:lang w:val="en-US" w:eastAsia="zh-CN"/>
        </w:rPr>
      </w:pPr>
      <w:r>
        <w:rPr>
          <w:rFonts w:hint="default"/>
          <w:lang w:val="en-US" w:eastAsia="zh-CN"/>
        </w:rPr>
        <w:t>电梯故障监测智能报警系统采用感知层、网络层、平台层、应用层四层架构，由数据采集终端、网络传输与通讯、企业监测平台、电梯信息公示平台组成，实现电梯运行状态采集、故障诊断、报警处置、应急救援、数据统计与监管对接功能。</w:t>
      </w:r>
    </w:p>
    <w:p w14:paraId="67CEE19C">
      <w:pPr>
        <w:pStyle w:val="166"/>
        <w:bidi w:val="0"/>
        <w:rPr>
          <w:rFonts w:hint="default"/>
          <w:lang w:val="en-US" w:eastAsia="zh-CN"/>
        </w:rPr>
      </w:pPr>
      <w:r>
        <w:rPr>
          <w:rFonts w:hint="default"/>
          <w:lang w:val="en-US" w:eastAsia="zh-CN"/>
        </w:rPr>
        <w:t>系统应支持与电梯使用单位、维保单位、公共救援力量信息交互，形成采集—传输—监测—报警—处置—反馈—归档闭环管理。</w:t>
      </w:r>
    </w:p>
    <w:p w14:paraId="5032FF6C">
      <w:pPr>
        <w:pStyle w:val="106"/>
        <w:keepNext w:val="0"/>
        <w:keepLines w:val="0"/>
        <w:pageBreakBefore w:val="0"/>
        <w:widowControl/>
        <w:kinsoku/>
        <w:wordWrap/>
        <w:overflowPunct/>
        <w:topLinePunct w:val="0"/>
        <w:autoSpaceDE/>
        <w:autoSpaceDN/>
        <w:bidi w:val="0"/>
        <w:adjustRightInd/>
        <w:snapToGrid/>
        <w:ind w:left="0"/>
        <w:textAlignment w:val="auto"/>
      </w:pPr>
      <w:r>
        <w:rPr>
          <w:rFonts w:hint="eastAsia"/>
          <w:lang w:val="en-US" w:eastAsia="zh-CN"/>
        </w:rPr>
        <w:t>系统组成</w:t>
      </w:r>
    </w:p>
    <w:p w14:paraId="6D8914CA">
      <w:pPr>
        <w:pStyle w:val="166"/>
        <w:bidi w:val="0"/>
      </w:pPr>
      <w:r>
        <w:rPr>
          <w:rFonts w:hint="eastAsia"/>
        </w:rPr>
        <w:t>系统由数据采集终端、企业监测平台、网络传输与通讯三部分构成，可扩展对接电梯信息公示平台，形成完整监测报警与运维管理体系。</w:t>
      </w:r>
    </w:p>
    <w:p w14:paraId="4B483B40">
      <w:pPr>
        <w:pStyle w:val="166"/>
        <w:bidi w:val="0"/>
      </w:pPr>
      <w:r>
        <w:rPr>
          <w:rFonts w:hint="eastAsia"/>
        </w:rPr>
        <w:t>数据采集终端安装于电梯机房、井道、轿厢等位置，完成电梯运行、故障、困人、视频、维保信息的采集、存储、转换与传输。</w:t>
      </w:r>
    </w:p>
    <w:p w14:paraId="3D815461">
      <w:pPr>
        <w:pStyle w:val="166"/>
        <w:bidi w:val="0"/>
      </w:pPr>
      <w:r>
        <w:rPr>
          <w:rFonts w:hint="eastAsia"/>
        </w:rPr>
        <w:t>企业监测平台由系统建设单位搭建、运维，供电梯使用单位、维保单位使用，实现终端管理、状态监测、报警处理、数据存储查询与数据上报。</w:t>
      </w:r>
    </w:p>
    <w:p w14:paraId="3B2E36FE">
      <w:pPr>
        <w:pStyle w:val="166"/>
        <w:bidi w:val="0"/>
      </w:pPr>
      <w:r>
        <w:rPr>
          <w:rFonts w:hint="eastAsia"/>
        </w:rPr>
        <w:t>网络传输与通讯实现数据采集终端与企业监测平台、企业监测平台与电梯信息公示平台之间稳定、可靠、实时的数据交互。</w:t>
      </w:r>
    </w:p>
    <w:p w14:paraId="2C593793">
      <w:pPr>
        <w:pStyle w:val="166"/>
        <w:bidi w:val="0"/>
      </w:pPr>
      <w:r>
        <w:rPr>
          <w:rFonts w:hint="eastAsia"/>
        </w:rPr>
        <w:t>电梯信息公示平台接收企业监测平台上报数据，提供数据监管、信息公示、统计分析服务。</w:t>
      </w:r>
    </w:p>
    <w:p w14:paraId="30F130F7">
      <w:pPr>
        <w:pStyle w:val="106"/>
        <w:keepNext w:val="0"/>
        <w:keepLines w:val="0"/>
        <w:pageBreakBefore w:val="0"/>
        <w:widowControl/>
        <w:kinsoku/>
        <w:wordWrap/>
        <w:overflowPunct/>
        <w:topLinePunct w:val="0"/>
        <w:autoSpaceDE/>
        <w:autoSpaceDN/>
        <w:bidi w:val="0"/>
        <w:adjustRightInd/>
        <w:snapToGrid/>
        <w:ind w:left="0"/>
        <w:textAlignment w:val="auto"/>
      </w:pPr>
      <w:r>
        <w:rPr>
          <w:rFonts w:hint="eastAsia"/>
          <w:lang w:val="en-US" w:eastAsia="zh-CN"/>
        </w:rPr>
        <w:t>数据流向</w:t>
      </w:r>
    </w:p>
    <w:p w14:paraId="304022A8">
      <w:pPr>
        <w:pStyle w:val="65"/>
        <w:bidi w:val="0"/>
      </w:pPr>
      <w:r>
        <w:rPr>
          <w:rFonts w:hint="eastAsia"/>
          <w:lang w:val="en-US" w:eastAsia="zh-CN"/>
        </w:rPr>
        <w:t>上行数据流向</w:t>
      </w:r>
    </w:p>
    <w:p w14:paraId="50D00564">
      <w:pPr>
        <w:pStyle w:val="66"/>
        <w:rPr>
          <w:rFonts w:hint="eastAsia"/>
        </w:rPr>
      </w:pPr>
      <w:r>
        <w:rPr>
          <w:rFonts w:hint="eastAsia"/>
        </w:rPr>
        <w:t>电梯本体状态→数据采集终端实时采集→边缘预处理→网络传输→企业监测平台接收校验→分级存储与处理→按规范上报电梯信息公示平台。</w:t>
      </w:r>
    </w:p>
    <w:p w14:paraId="2A4D61A6">
      <w:pPr>
        <w:pStyle w:val="65"/>
        <w:bidi w:val="0"/>
        <w:rPr>
          <w:rFonts w:hint="eastAsia"/>
        </w:rPr>
      </w:pPr>
      <w:r>
        <w:rPr>
          <w:rFonts w:hint="eastAsia"/>
          <w:lang w:val="en-US" w:eastAsia="zh-CN"/>
        </w:rPr>
        <w:t>下行数据流向</w:t>
      </w:r>
    </w:p>
    <w:p w14:paraId="58F36026">
      <w:pPr>
        <w:pStyle w:val="66"/>
        <w:rPr>
          <w:rFonts w:hint="eastAsia"/>
        </w:rPr>
      </w:pPr>
      <w:r>
        <w:rPr>
          <w:rFonts w:hint="eastAsia"/>
        </w:rPr>
        <w:t>电梯信息公示平台 / 企业监测平台→下发配置、参数同步、远程升级、呼叫响应、报警号码设置等指令→网络传输→数据采集终端执行并反馈结果。</w:t>
      </w:r>
    </w:p>
    <w:p w14:paraId="4F6C6B2C">
      <w:pPr>
        <w:pStyle w:val="105"/>
        <w:spacing w:before="326" w:after="326"/>
      </w:pPr>
      <w:bookmarkStart w:id="59" w:name="_Toc9922"/>
      <w:r>
        <w:rPr>
          <w:rFonts w:hint="eastAsia"/>
          <w:lang w:val="en-US" w:eastAsia="zh-CN"/>
        </w:rPr>
        <w:t>数据采集终端</w:t>
      </w:r>
      <w:bookmarkEnd w:id="59"/>
    </w:p>
    <w:p w14:paraId="5EECF30F">
      <w:pPr>
        <w:pStyle w:val="106"/>
        <w:keepNext w:val="0"/>
        <w:keepLines w:val="0"/>
        <w:pageBreakBefore w:val="0"/>
        <w:widowControl/>
        <w:kinsoku/>
        <w:wordWrap/>
        <w:overflowPunct/>
        <w:topLinePunct w:val="0"/>
        <w:autoSpaceDE/>
        <w:autoSpaceDN/>
        <w:bidi w:val="0"/>
        <w:adjustRightInd/>
        <w:snapToGrid/>
        <w:ind w:left="0"/>
        <w:textAlignment w:val="auto"/>
      </w:pPr>
      <w:r>
        <w:rPr>
          <w:rFonts w:hint="eastAsia"/>
          <w:lang w:val="en-US" w:eastAsia="zh-CN"/>
        </w:rPr>
        <w:t>基本要求</w:t>
      </w:r>
    </w:p>
    <w:p w14:paraId="21BB00FF">
      <w:pPr>
        <w:pStyle w:val="166"/>
        <w:bidi w:val="0"/>
      </w:pPr>
      <w:r>
        <w:rPr>
          <w:rFonts w:hint="eastAsia"/>
        </w:rPr>
        <w:t>数据采集终端应满足GB/T 10058规定的电梯使用环境条件，能够稳定可靠工作。</w:t>
      </w:r>
    </w:p>
    <w:p w14:paraId="7E0D44B9">
      <w:pPr>
        <w:pStyle w:val="166"/>
        <w:bidi w:val="0"/>
      </w:pPr>
      <w:r>
        <w:rPr>
          <w:rFonts w:hint="eastAsia"/>
        </w:rPr>
        <w:t>终端应具备防电磁干扰能力，符合GB/T 24807、GB/T 24808的电磁兼容要求，不影响电梯原有控制系统运行。</w:t>
      </w:r>
    </w:p>
    <w:p w14:paraId="6FAC935D">
      <w:pPr>
        <w:pStyle w:val="166"/>
        <w:bidi w:val="0"/>
      </w:pPr>
      <w:r>
        <w:rPr>
          <w:rFonts w:hint="eastAsia"/>
        </w:rPr>
        <w:t>终端安装应符合GB/T 7588.1的安全要求，不改变电梯原有结构与安全性能，安装位置应便于维护且不影响电梯正常运行。</w:t>
      </w:r>
    </w:p>
    <w:p w14:paraId="7A69BDF4">
      <w:pPr>
        <w:pStyle w:val="166"/>
        <w:bidi w:val="0"/>
      </w:pPr>
      <w:r>
        <w:rPr>
          <w:rFonts w:hint="eastAsia"/>
        </w:rPr>
        <w:t>数据采集终端应具备唯一设备编号，并与电梯识别码建立绑定关系。</w:t>
      </w:r>
    </w:p>
    <w:p w14:paraId="273F96DF">
      <w:pPr>
        <w:pStyle w:val="106"/>
        <w:keepNext w:val="0"/>
        <w:keepLines w:val="0"/>
        <w:pageBreakBefore w:val="0"/>
        <w:widowControl/>
        <w:kinsoku/>
        <w:wordWrap/>
        <w:overflowPunct/>
        <w:topLinePunct w:val="0"/>
        <w:autoSpaceDE/>
        <w:autoSpaceDN/>
        <w:bidi w:val="0"/>
        <w:adjustRightInd/>
        <w:snapToGrid/>
        <w:ind w:left="0"/>
        <w:textAlignment w:val="auto"/>
      </w:pPr>
      <w:r>
        <w:rPr>
          <w:rFonts w:hint="eastAsia"/>
          <w:lang w:val="en-US" w:eastAsia="zh-CN"/>
        </w:rPr>
        <w:t>功能要求</w:t>
      </w:r>
    </w:p>
    <w:p w14:paraId="06850A12">
      <w:pPr>
        <w:pStyle w:val="65"/>
        <w:bidi w:val="0"/>
      </w:pPr>
      <w:r>
        <w:rPr>
          <w:rFonts w:hint="eastAsia"/>
          <w:lang w:val="en-US" w:eastAsia="zh-CN"/>
        </w:rPr>
        <w:t>运行状态采集</w:t>
      </w:r>
    </w:p>
    <w:p w14:paraId="0C069D4C">
      <w:pPr>
        <w:pStyle w:val="66"/>
        <w:rPr>
          <w:rFonts w:hint="eastAsia" w:eastAsia="宋体"/>
          <w:lang w:val="en-US" w:eastAsia="zh-CN"/>
        </w:rPr>
      </w:pPr>
      <w:r>
        <w:rPr>
          <w:rFonts w:hint="eastAsia"/>
        </w:rPr>
        <w:t>终端应实时采集并上传电梯运行状态信息，包含电梯工作模式、运行方向、当前位置、安全回路状态、门锁回路状态</w:t>
      </w:r>
      <w:r>
        <w:rPr>
          <w:rFonts w:hint="eastAsia"/>
          <w:lang w:val="en-US" w:eastAsia="zh-CN"/>
        </w:rPr>
        <w:t>等信息。</w:t>
      </w:r>
    </w:p>
    <w:p w14:paraId="23308F74">
      <w:pPr>
        <w:pStyle w:val="65"/>
        <w:bidi w:val="0"/>
      </w:pPr>
      <w:r>
        <w:rPr>
          <w:rFonts w:hint="eastAsia"/>
          <w:lang w:val="en-US" w:eastAsia="zh-CN"/>
        </w:rPr>
        <w:t>故障智能识别与报警</w:t>
      </w:r>
    </w:p>
    <w:p w14:paraId="035B24A7">
      <w:pPr>
        <w:pStyle w:val="165"/>
        <w:bidi w:val="0"/>
      </w:pPr>
      <w:r>
        <w:rPr>
          <w:rFonts w:hint="eastAsia"/>
        </w:rPr>
        <w:t>终端应具备故障自动判别能力，可识别轿厢非平层区域停止、冲顶、蹲底、运行中门锁回路异常断开、超速、轿厢意外移动等典型故障。</w:t>
      </w:r>
    </w:p>
    <w:p w14:paraId="71D85EF6">
      <w:pPr>
        <w:pStyle w:val="165"/>
        <w:bidi w:val="0"/>
      </w:pPr>
      <w:r>
        <w:rPr>
          <w:rFonts w:hint="eastAsia"/>
        </w:rPr>
        <w:t>应通过逻辑策略过滤提前开门、再平层等正常运行动作，避免误报警。</w:t>
      </w:r>
    </w:p>
    <w:p w14:paraId="50DC769C">
      <w:pPr>
        <w:pStyle w:val="165"/>
        <w:bidi w:val="0"/>
      </w:pPr>
      <w:r>
        <w:rPr>
          <w:rFonts w:hint="eastAsia"/>
        </w:rPr>
        <w:t>故障发生时，终端应立即生成报警事件，同步携带电梯识别码、故障类型、发生时间等信息，实时推送至企业监测平台。</w:t>
      </w:r>
    </w:p>
    <w:p w14:paraId="4AF01D77">
      <w:pPr>
        <w:pStyle w:val="65"/>
        <w:bidi w:val="0"/>
      </w:pPr>
      <w:r>
        <w:rPr>
          <w:rFonts w:hint="eastAsia"/>
          <w:lang w:val="en-US" w:eastAsia="zh-CN"/>
        </w:rPr>
        <w:t>困人报警</w:t>
      </w:r>
    </w:p>
    <w:p w14:paraId="35895629">
      <w:pPr>
        <w:pStyle w:val="165"/>
        <w:bidi w:val="0"/>
      </w:pPr>
      <w:r>
        <w:rPr>
          <w:rFonts w:hint="eastAsia"/>
        </w:rPr>
        <w:t xml:space="preserve"> 终端应具备轿厢困人状态识别能力，确认人员被困后按预设次序自动发起多级报警，直至与救援方建立有效应答，并同步启动轿厢内双向语音通话。</w:t>
      </w:r>
    </w:p>
    <w:p w14:paraId="234273B9">
      <w:pPr>
        <w:pStyle w:val="165"/>
        <w:bidi w:val="0"/>
      </w:pPr>
      <w:r>
        <w:rPr>
          <w:rFonts w:hint="eastAsia"/>
        </w:rPr>
        <w:t>通话链路应保持稳定、语音清晰，具备防误操作中断措施。</w:t>
      </w:r>
    </w:p>
    <w:p w14:paraId="5F6264E2">
      <w:pPr>
        <w:pStyle w:val="165"/>
        <w:bidi w:val="0"/>
      </w:pPr>
      <w:r>
        <w:rPr>
          <w:rFonts w:hint="eastAsia"/>
        </w:rPr>
        <w:t>报警过程中应自动记录电梯识别码、困人时间、报警接通时间、通话录音等信息并上传平台。</w:t>
      </w:r>
    </w:p>
    <w:p w14:paraId="33697952">
      <w:pPr>
        <w:pStyle w:val="165"/>
        <w:bidi w:val="0"/>
      </w:pPr>
      <w:r>
        <w:rPr>
          <w:rFonts w:hint="eastAsia"/>
        </w:rPr>
        <w:t>困人状态下应自动播放安抚提示信息，告知乘客应急处置方法。安抚信息应包含发生自动报警通话不能建立链接或者链接中断状况时的处置方法</w:t>
      </w:r>
      <w:r>
        <w:rPr>
          <w:rFonts w:hint="eastAsia"/>
          <w:lang w:eastAsia="zh-CN"/>
        </w:rPr>
        <w:t>。</w:t>
      </w:r>
    </w:p>
    <w:p w14:paraId="0338C784">
      <w:pPr>
        <w:pStyle w:val="165"/>
        <w:bidi w:val="0"/>
      </w:pPr>
      <w:r>
        <w:rPr>
          <w:rFonts w:hint="eastAsia"/>
        </w:rPr>
        <w:t>困人报警功能不得替代GB/T 7588.1规定的轿厢紧急报警装置，救援完成后应由授权人员进行复位解除。</w:t>
      </w:r>
    </w:p>
    <w:p w14:paraId="1C718957">
      <w:pPr>
        <w:pStyle w:val="65"/>
        <w:bidi w:val="0"/>
      </w:pPr>
      <w:r>
        <w:rPr>
          <w:rFonts w:hint="eastAsia"/>
          <w:lang w:val="en-US" w:eastAsia="zh-CN"/>
        </w:rPr>
        <w:t>图像采集与存储管理</w:t>
      </w:r>
    </w:p>
    <w:p w14:paraId="4749C752">
      <w:pPr>
        <w:pStyle w:val="165"/>
        <w:bidi w:val="0"/>
      </w:pPr>
      <w:r>
        <w:rPr>
          <w:rFonts w:hint="eastAsia"/>
        </w:rPr>
        <w:t>公众聚集场所电梯的终端应配置轿厢视频采集功能，一般场所电梯宜配置轿厢视频采集功能。</w:t>
      </w:r>
    </w:p>
    <w:p w14:paraId="28736C13">
      <w:pPr>
        <w:pStyle w:val="165"/>
        <w:bidi w:val="0"/>
      </w:pPr>
      <w:r>
        <w:rPr>
          <w:rFonts w:hint="eastAsia"/>
        </w:rPr>
        <w:t>轿厢内应设置清晰、醒目的图像采集提示标识。</w:t>
      </w:r>
    </w:p>
    <w:p w14:paraId="577AFD81">
      <w:pPr>
        <w:pStyle w:val="165"/>
        <w:bidi w:val="0"/>
      </w:pPr>
      <w:r>
        <w:rPr>
          <w:rFonts w:hint="eastAsia"/>
        </w:rPr>
        <w:t>视频采集应覆盖轿厢地板 3/4 以上区域、轿门开门范围及轿内主操作面板，完整记录乘客乘梯全过程。</w:t>
      </w:r>
    </w:p>
    <w:p w14:paraId="58531077">
      <w:pPr>
        <w:pStyle w:val="165"/>
        <w:bidi w:val="0"/>
      </w:pPr>
      <w:r>
        <w:rPr>
          <w:rFonts w:hint="eastAsia"/>
        </w:rPr>
        <w:t>图像分辨率不低于</w:t>
      </w:r>
      <w:r>
        <w:rPr>
          <w:rFonts w:hint="eastAsia"/>
          <w:lang w:val="en-US" w:eastAsia="zh-CN"/>
        </w:rPr>
        <w:t>1080P</w:t>
      </w:r>
      <w:r>
        <w:rPr>
          <w:rFonts w:hint="eastAsia"/>
        </w:rPr>
        <w:t>，存储帧率不低于15帧/s，画面应自动叠加电梯设备编号与时间信息。</w:t>
      </w:r>
    </w:p>
    <w:p w14:paraId="181B6C00">
      <w:pPr>
        <w:pStyle w:val="165"/>
        <w:bidi w:val="0"/>
      </w:pPr>
      <w:r>
        <w:rPr>
          <w:rFonts w:hint="eastAsia"/>
        </w:rPr>
        <w:t>发生困人或故障报警时，应自动截取并存储事件前后各2分钟视频，图片存储不少于</w:t>
      </w:r>
      <w:r>
        <w:rPr>
          <w:rFonts w:hint="eastAsia"/>
          <w:lang w:val="en-US" w:eastAsia="zh-CN"/>
        </w:rPr>
        <w:t>9</w:t>
      </w:r>
      <w:r>
        <w:rPr>
          <w:rFonts w:hint="eastAsia"/>
        </w:rPr>
        <w:t>0 天，视频存储不少于</w:t>
      </w:r>
      <w:r>
        <w:rPr>
          <w:rFonts w:hint="eastAsia"/>
          <w:lang w:val="en-US" w:eastAsia="zh-CN"/>
        </w:rPr>
        <w:t>90</w:t>
      </w:r>
      <w:r>
        <w:rPr>
          <w:rFonts w:hint="eastAsia"/>
        </w:rPr>
        <w:t>天，连续视频存储不少于48小时。</w:t>
      </w:r>
    </w:p>
    <w:p w14:paraId="77199C16">
      <w:pPr>
        <w:pStyle w:val="165"/>
        <w:bidi w:val="0"/>
      </w:pPr>
      <w:r>
        <w:rPr>
          <w:rFonts w:hint="eastAsia"/>
        </w:rPr>
        <w:t>外部供电中断情况下，图像数据应可保存7天以上。</w:t>
      </w:r>
    </w:p>
    <w:p w14:paraId="4FA493BF">
      <w:pPr>
        <w:pStyle w:val="65"/>
        <w:bidi w:val="0"/>
      </w:pPr>
      <w:r>
        <w:rPr>
          <w:rFonts w:hint="eastAsia"/>
          <w:lang w:val="en-US" w:eastAsia="zh-CN"/>
        </w:rPr>
        <w:t>本地数据存储</w:t>
      </w:r>
    </w:p>
    <w:p w14:paraId="6372DC7C">
      <w:pPr>
        <w:pStyle w:val="165"/>
        <w:bidi w:val="0"/>
      </w:pPr>
      <w:r>
        <w:rPr>
          <w:rFonts w:hint="eastAsia"/>
        </w:rPr>
        <w:t>终端应具备运行数据、故障数据、报警信息的本地存储能力，至少保存最近10条运行故障记录，常规数据本地存储时长不少于30天。</w:t>
      </w:r>
    </w:p>
    <w:p w14:paraId="270F5FA5">
      <w:pPr>
        <w:pStyle w:val="165"/>
        <w:bidi w:val="0"/>
      </w:pPr>
      <w:r>
        <w:rPr>
          <w:rFonts w:hint="eastAsia"/>
        </w:rPr>
        <w:t>外部供电中断情况下，数据保持时间不少于7天，确保关键信息不丢失。</w:t>
      </w:r>
    </w:p>
    <w:p w14:paraId="1A0FC819">
      <w:pPr>
        <w:pStyle w:val="65"/>
        <w:bidi w:val="0"/>
      </w:pPr>
      <w:r>
        <w:rPr>
          <w:rFonts w:hint="eastAsia"/>
          <w:lang w:val="en-US" w:eastAsia="zh-CN"/>
        </w:rPr>
        <w:t>维保信息与公益宣传</w:t>
      </w:r>
    </w:p>
    <w:p w14:paraId="01387677">
      <w:pPr>
        <w:pStyle w:val="165"/>
        <w:bidi w:val="0"/>
      </w:pPr>
      <w:r>
        <w:rPr>
          <w:rFonts w:hint="eastAsia"/>
        </w:rPr>
        <w:t>终端应支持维保信息采集，可记录维保人员身份、保养时间等信息，实现维保过程电子化留痕。</w:t>
      </w:r>
    </w:p>
    <w:p w14:paraId="43A6484F">
      <w:pPr>
        <w:pStyle w:val="165"/>
        <w:bidi w:val="0"/>
      </w:pPr>
      <w:r>
        <w:rPr>
          <w:rFonts w:hint="eastAsia"/>
        </w:rPr>
        <w:t>应具备音频或视频公益宣传播放功能，可发布安全乘梯提示与公益信息。</w:t>
      </w:r>
    </w:p>
    <w:p w14:paraId="276C207D">
      <w:pPr>
        <w:pStyle w:val="65"/>
        <w:bidi w:val="0"/>
      </w:pPr>
      <w:r>
        <w:rPr>
          <w:rFonts w:hint="eastAsia"/>
          <w:lang w:val="en-US" w:eastAsia="zh-CN"/>
        </w:rPr>
        <w:t>远程呼叫响应</w:t>
      </w:r>
    </w:p>
    <w:p w14:paraId="6CC9F271">
      <w:pPr>
        <w:pStyle w:val="66"/>
        <w:rPr>
          <w:rFonts w:hint="eastAsia"/>
        </w:rPr>
      </w:pPr>
      <w:r>
        <w:rPr>
          <w:rFonts w:hint="eastAsia"/>
        </w:rPr>
        <w:t>终端应配置唯一终端号码，支持企业监测平台主动呼叫，并在 5 秒内自动建立稳定语音链路，满足远程安抚与应急指挥需求。</w:t>
      </w:r>
    </w:p>
    <w:p w14:paraId="2A6C0DA5">
      <w:pPr>
        <w:pStyle w:val="65"/>
        <w:bidi w:val="0"/>
        <w:rPr>
          <w:rFonts w:hint="eastAsia"/>
        </w:rPr>
      </w:pPr>
      <w:r>
        <w:rPr>
          <w:rFonts w:hint="eastAsia"/>
          <w:lang w:val="en-US" w:eastAsia="zh-CN"/>
        </w:rPr>
        <w:t>设备自诊断</w:t>
      </w:r>
    </w:p>
    <w:p w14:paraId="626A3BC1">
      <w:pPr>
        <w:pStyle w:val="66"/>
        <w:rPr>
          <w:rFonts w:hint="eastAsia"/>
        </w:rPr>
      </w:pPr>
      <w:r>
        <w:rPr>
          <w:rFonts w:hint="eastAsia"/>
        </w:rPr>
        <w:t>终端应具备整机自诊断能力，实时监测供电电源、传感装置、通信模块、存储单元等工作状态，出现异常时主动向企业监测平台上报故障信息。</w:t>
      </w:r>
    </w:p>
    <w:p w14:paraId="1FDA231A">
      <w:pPr>
        <w:pStyle w:val="65"/>
        <w:bidi w:val="0"/>
        <w:rPr>
          <w:rFonts w:hint="eastAsia"/>
        </w:rPr>
      </w:pPr>
      <w:r>
        <w:rPr>
          <w:rFonts w:hint="eastAsia"/>
        </w:rPr>
        <w:t>数据双向传输</w:t>
      </w:r>
    </w:p>
    <w:p w14:paraId="6644AFC6">
      <w:pPr>
        <w:pStyle w:val="66"/>
        <w:rPr>
          <w:rFonts w:hint="eastAsia"/>
        </w:rPr>
      </w:pPr>
      <w:r>
        <w:rPr>
          <w:rFonts w:hint="eastAsia"/>
        </w:rPr>
        <w:t>终端应具备与企业监测平台稳定双向通信能力，可主动上传采集数据、报警信息、设备状态，同时接收平台下发的参数配置、时间同步、设备重启、远程升级、紧急报警号码设置等指令。</w:t>
      </w:r>
    </w:p>
    <w:p w14:paraId="7FE5FE45">
      <w:pPr>
        <w:pStyle w:val="65"/>
        <w:bidi w:val="0"/>
        <w:rPr>
          <w:rFonts w:hint="eastAsia"/>
        </w:rPr>
      </w:pPr>
      <w:r>
        <w:rPr>
          <w:rFonts w:hint="eastAsia"/>
          <w:lang w:val="en-US" w:eastAsia="zh-CN"/>
        </w:rPr>
        <w:t>后备电源保障</w:t>
      </w:r>
    </w:p>
    <w:p w14:paraId="7459F555">
      <w:pPr>
        <w:pStyle w:val="66"/>
        <w:rPr>
          <w:rFonts w:hint="eastAsia"/>
        </w:rPr>
      </w:pPr>
      <w:r>
        <w:rPr>
          <w:rFonts w:hint="eastAsia"/>
        </w:rPr>
        <w:t>终端应配备后备电源，外部供电中断时自动切换，确保数据采集、报警、传输、存储、通话等核心功能连续工作不少于</w:t>
      </w:r>
      <w:r>
        <w:rPr>
          <w:rFonts w:hint="eastAsia"/>
          <w:lang w:val="en-US" w:eastAsia="zh-CN"/>
        </w:rPr>
        <w:t>2</w:t>
      </w:r>
      <w:r>
        <w:rPr>
          <w:rFonts w:hint="eastAsia"/>
        </w:rPr>
        <w:t>小时。</w:t>
      </w:r>
    </w:p>
    <w:p w14:paraId="3DF6C788">
      <w:pPr>
        <w:pStyle w:val="106"/>
        <w:keepNext w:val="0"/>
        <w:keepLines w:val="0"/>
        <w:pageBreakBefore w:val="0"/>
        <w:widowControl/>
        <w:kinsoku/>
        <w:wordWrap/>
        <w:overflowPunct/>
        <w:topLinePunct w:val="0"/>
        <w:autoSpaceDE/>
        <w:autoSpaceDN/>
        <w:bidi w:val="0"/>
        <w:adjustRightInd/>
        <w:snapToGrid/>
        <w:ind w:left="0"/>
        <w:textAlignment w:val="auto"/>
      </w:pPr>
      <w:r>
        <w:rPr>
          <w:rFonts w:hint="eastAsia"/>
          <w:lang w:val="en-US" w:eastAsia="zh-CN"/>
        </w:rPr>
        <w:t>性能要求</w:t>
      </w:r>
    </w:p>
    <w:p w14:paraId="4EE0E442">
      <w:pPr>
        <w:pStyle w:val="166"/>
        <w:bidi w:val="0"/>
      </w:pPr>
      <w:r>
        <w:rPr>
          <w:rFonts w:hint="eastAsia"/>
        </w:rPr>
        <w:t>数据采集频率应可配置，最小采集间隔不大于1秒，关键参数（如速度、载重）采集误差不超过±2%</w:t>
      </w:r>
      <w:r>
        <w:rPr>
          <w:rFonts w:hint="eastAsia"/>
          <w:lang w:eastAsia="zh-CN"/>
        </w:rPr>
        <w:t>。</w:t>
      </w:r>
    </w:p>
    <w:p w14:paraId="2CDF0FD5">
      <w:pPr>
        <w:pStyle w:val="166"/>
        <w:bidi w:val="0"/>
      </w:pPr>
      <w:r>
        <w:rPr>
          <w:rFonts w:hint="eastAsia"/>
        </w:rPr>
        <w:t>故障识别响应时间</w:t>
      </w:r>
      <w:r>
        <w:rPr>
          <w:rFonts w:hint="eastAsia"/>
          <w:lang w:val="en-US" w:eastAsia="zh-CN"/>
        </w:rPr>
        <w:t>应</w:t>
      </w:r>
      <w:r>
        <w:rPr>
          <w:rFonts w:hint="eastAsia"/>
        </w:rPr>
        <w:t>不超过1秒</w:t>
      </w:r>
      <w:bookmarkStart w:id="65" w:name="_GoBack"/>
      <w:bookmarkEnd w:id="65"/>
      <w:r>
        <w:rPr>
          <w:rFonts w:hint="eastAsia"/>
        </w:rPr>
        <w:t>，高危故障识别准确率</w:t>
      </w:r>
      <w:r>
        <w:rPr>
          <w:rFonts w:hint="eastAsia"/>
          <w:lang w:val="en-US" w:eastAsia="zh-CN"/>
        </w:rPr>
        <w:t>应</w:t>
      </w:r>
      <w:r>
        <w:rPr>
          <w:rFonts w:hint="eastAsia"/>
        </w:rPr>
        <w:t>≥99%</w:t>
      </w:r>
      <w:r>
        <w:rPr>
          <w:rFonts w:hint="eastAsia"/>
          <w:lang w:eastAsia="zh-CN"/>
        </w:rPr>
        <w:t>，</w:t>
      </w:r>
      <w:r>
        <w:rPr>
          <w:rFonts w:hint="eastAsia"/>
        </w:rPr>
        <w:t>故障报警信息生成时间</w:t>
      </w:r>
      <w:r>
        <w:rPr>
          <w:rFonts w:hint="eastAsia"/>
          <w:lang w:val="en-US" w:eastAsia="zh-CN"/>
        </w:rPr>
        <w:t>应</w:t>
      </w:r>
      <w:r>
        <w:rPr>
          <w:rFonts w:hint="eastAsia"/>
        </w:rPr>
        <w:t>不超过2秒。</w:t>
      </w:r>
    </w:p>
    <w:p w14:paraId="3204B987">
      <w:pPr>
        <w:pStyle w:val="166"/>
        <w:bidi w:val="0"/>
      </w:pPr>
      <w:r>
        <w:rPr>
          <w:rFonts w:hint="eastAsia"/>
        </w:rPr>
        <w:t>终端平均无故障工作时间（MTBF）不低于50000小时，使用寿命不低于8年</w:t>
      </w:r>
      <w:r>
        <w:rPr>
          <w:rFonts w:hint="eastAsia"/>
          <w:lang w:eastAsia="zh-CN"/>
        </w:rPr>
        <w:t>。</w:t>
      </w:r>
    </w:p>
    <w:p w14:paraId="78D5A995">
      <w:pPr>
        <w:pStyle w:val="105"/>
        <w:spacing w:before="326" w:after="326"/>
      </w:pPr>
      <w:bookmarkStart w:id="60" w:name="_Toc5324"/>
      <w:r>
        <w:rPr>
          <w:rFonts w:hint="eastAsia"/>
          <w:lang w:val="en-US" w:eastAsia="zh-CN"/>
        </w:rPr>
        <w:t>企业监测平台</w:t>
      </w:r>
      <w:bookmarkEnd w:id="60"/>
    </w:p>
    <w:p w14:paraId="7C544358">
      <w:pPr>
        <w:pStyle w:val="106"/>
        <w:keepNext w:val="0"/>
        <w:keepLines w:val="0"/>
        <w:pageBreakBefore w:val="0"/>
        <w:widowControl/>
        <w:kinsoku/>
        <w:wordWrap/>
        <w:overflowPunct/>
        <w:topLinePunct w:val="0"/>
        <w:autoSpaceDE/>
        <w:autoSpaceDN/>
        <w:bidi w:val="0"/>
        <w:adjustRightInd/>
        <w:snapToGrid/>
        <w:ind w:left="0"/>
        <w:textAlignment w:val="auto"/>
      </w:pPr>
      <w:r>
        <w:rPr>
          <w:rFonts w:hint="eastAsia"/>
          <w:lang w:val="en-US" w:eastAsia="zh-CN"/>
        </w:rPr>
        <w:t>基本要求</w:t>
      </w:r>
    </w:p>
    <w:p w14:paraId="2CAE02A5">
      <w:pPr>
        <w:pStyle w:val="166"/>
        <w:bidi w:val="0"/>
      </w:pPr>
      <w:r>
        <w:rPr>
          <w:rFonts w:hint="eastAsia"/>
        </w:rPr>
        <w:t>企业监测平台应作为电梯故障监测智能报警系统的核心管理单元，面向电梯使用单位、维保单位提供设备监控、报警处置、数据管理、运维协同服务，并按监管要求向上级电梯信息公示平台上报数据</w:t>
      </w:r>
      <w:r>
        <w:rPr>
          <w:rFonts w:hint="eastAsia"/>
          <w:lang w:eastAsia="zh-CN"/>
        </w:rPr>
        <w:t>。</w:t>
      </w:r>
    </w:p>
    <w:p w14:paraId="282845E5">
      <w:pPr>
        <w:pStyle w:val="166"/>
        <w:bidi w:val="0"/>
      </w:pPr>
      <w:r>
        <w:rPr>
          <w:rFonts w:hint="eastAsia"/>
          <w:lang w:val="en-US" w:eastAsia="zh-CN"/>
        </w:rPr>
        <w:t>平台应具备高稳定性、高并发处理能力，支持多终端同时接入、多用户并发访问，保证7×24小时不间断运行。</w:t>
      </w:r>
    </w:p>
    <w:p w14:paraId="1A7356D1">
      <w:pPr>
        <w:pStyle w:val="166"/>
        <w:bidi w:val="0"/>
      </w:pPr>
      <w:r>
        <w:rPr>
          <w:rFonts w:hint="eastAsia"/>
        </w:rPr>
        <w:t>平台应具备友好的人机交互界面，操作便捷、响应迅速，支持 PC 端、移动端等多终端访问方式。</w:t>
      </w:r>
    </w:p>
    <w:p w14:paraId="343597B4">
      <w:pPr>
        <w:pStyle w:val="106"/>
        <w:keepNext w:val="0"/>
        <w:keepLines w:val="0"/>
        <w:pageBreakBefore w:val="0"/>
        <w:widowControl/>
        <w:kinsoku/>
        <w:wordWrap/>
        <w:overflowPunct/>
        <w:topLinePunct w:val="0"/>
        <w:autoSpaceDE/>
        <w:autoSpaceDN/>
        <w:bidi w:val="0"/>
        <w:adjustRightInd/>
        <w:snapToGrid/>
        <w:ind w:left="0"/>
        <w:textAlignment w:val="auto"/>
      </w:pPr>
      <w:r>
        <w:rPr>
          <w:rFonts w:hint="eastAsia"/>
          <w:lang w:val="en-US" w:eastAsia="zh-CN"/>
        </w:rPr>
        <w:t>数据采集终端管理</w:t>
      </w:r>
    </w:p>
    <w:p w14:paraId="2648DBD5">
      <w:pPr>
        <w:pStyle w:val="166"/>
        <w:bidi w:val="0"/>
      </w:pPr>
      <w:r>
        <w:rPr>
          <w:rFonts w:hint="eastAsia"/>
          <w:lang w:val="en-US" w:eastAsia="zh-CN"/>
        </w:rPr>
        <w:t>平台应对接入的数据采集终端进行全生命周期管理，实现终端在线状态实时监测、异常状态自动提醒</w:t>
      </w:r>
      <w:r>
        <w:rPr>
          <w:rFonts w:hint="eastAsia"/>
        </w:rPr>
        <w:t>。</w:t>
      </w:r>
    </w:p>
    <w:p w14:paraId="2107C285">
      <w:pPr>
        <w:pStyle w:val="166"/>
        <w:bidi w:val="0"/>
      </w:pPr>
      <w:r>
        <w:rPr>
          <w:rFonts w:hint="eastAsia"/>
          <w:lang w:val="en-US" w:eastAsia="zh-CN"/>
        </w:rPr>
        <w:t>平台应能接收并处理终端上报的自诊断信息，对终端供电、传感、通信、存储等故障进行分类记录与提示。</w:t>
      </w:r>
    </w:p>
    <w:p w14:paraId="3A2DEFFE">
      <w:pPr>
        <w:pStyle w:val="166"/>
        <w:bidi w:val="0"/>
      </w:pPr>
      <w:r>
        <w:rPr>
          <w:rFonts w:hint="eastAsia"/>
          <w:lang w:val="en-US" w:eastAsia="zh-CN"/>
        </w:rPr>
        <w:t>平台应支持对终端进行远程配置与运维管理，包括参数初始化、设备重启、系统时间同步、服务器地址配置、紧急报警电话号码设置、远程程序升级等功能，其中紧急报警电话号码应可配置不少于 5 组。</w:t>
      </w:r>
    </w:p>
    <w:p w14:paraId="58F02EDF">
      <w:pPr>
        <w:pStyle w:val="166"/>
        <w:bidi w:val="0"/>
      </w:pPr>
      <w:r>
        <w:rPr>
          <w:rFonts w:hint="eastAsia"/>
        </w:rPr>
        <w:t>平台应建立终端与电梯唯一识别码的绑定关系，实现设备、电梯、数据三者统一关联与可追溯管理。</w:t>
      </w:r>
    </w:p>
    <w:p w14:paraId="3D695028">
      <w:pPr>
        <w:pStyle w:val="106"/>
        <w:keepNext w:val="0"/>
        <w:keepLines w:val="0"/>
        <w:pageBreakBefore w:val="0"/>
        <w:widowControl/>
        <w:kinsoku/>
        <w:wordWrap/>
        <w:overflowPunct/>
        <w:topLinePunct w:val="0"/>
        <w:autoSpaceDE/>
        <w:autoSpaceDN/>
        <w:bidi w:val="0"/>
        <w:adjustRightInd/>
        <w:snapToGrid/>
        <w:ind w:left="0"/>
        <w:textAlignment w:val="auto"/>
      </w:pPr>
      <w:r>
        <w:rPr>
          <w:rFonts w:hint="eastAsia"/>
          <w:lang w:val="en-US" w:eastAsia="zh-CN"/>
        </w:rPr>
        <w:t>运行状态监测</w:t>
      </w:r>
    </w:p>
    <w:p w14:paraId="7A5DB121">
      <w:pPr>
        <w:pStyle w:val="166"/>
        <w:bidi w:val="0"/>
      </w:pPr>
      <w:r>
        <w:rPr>
          <w:rFonts w:hint="eastAsia"/>
        </w:rPr>
        <w:t>平台应提供电梯运行状态实时监测功能，完整展示数据采集终端上传的运行信息，包括电梯当前工作状态、运行方向、所在位置、安全回路及门锁回路状态等。</w:t>
      </w:r>
    </w:p>
    <w:p w14:paraId="794A8870">
      <w:pPr>
        <w:pStyle w:val="166"/>
        <w:bidi w:val="0"/>
      </w:pPr>
      <w:r>
        <w:rPr>
          <w:rFonts w:hint="eastAsia"/>
        </w:rPr>
        <w:t>对具备视频采集功能的终端，平台应支持授权用户实时查看轿厢视频图像，画面清晰、传输流畅。</w:t>
      </w:r>
    </w:p>
    <w:p w14:paraId="0F4D50E2">
      <w:pPr>
        <w:pStyle w:val="166"/>
        <w:bidi w:val="0"/>
      </w:pPr>
      <w:r>
        <w:rPr>
          <w:rFonts w:hint="eastAsia"/>
        </w:rPr>
        <w:t>平台应支持单梯监控、多梯集中监控两种模式，可按区域、项目、维保单位等维度进行分类展示与管理。</w:t>
      </w:r>
    </w:p>
    <w:p w14:paraId="3FE9A477">
      <w:pPr>
        <w:pStyle w:val="106"/>
        <w:keepNext w:val="0"/>
        <w:keepLines w:val="0"/>
        <w:pageBreakBefore w:val="0"/>
        <w:widowControl/>
        <w:kinsoku/>
        <w:wordWrap/>
        <w:overflowPunct/>
        <w:topLinePunct w:val="0"/>
        <w:autoSpaceDE/>
        <w:autoSpaceDN/>
        <w:bidi w:val="0"/>
        <w:adjustRightInd/>
        <w:snapToGrid/>
        <w:ind w:left="0"/>
        <w:textAlignment w:val="auto"/>
      </w:pPr>
      <w:r>
        <w:rPr>
          <w:rFonts w:hint="eastAsia"/>
          <w:lang w:val="en-US" w:eastAsia="zh-CN"/>
        </w:rPr>
        <w:t>报警信息处理</w:t>
      </w:r>
    </w:p>
    <w:p w14:paraId="36FB7F51">
      <w:pPr>
        <w:pStyle w:val="166"/>
        <w:bidi w:val="0"/>
      </w:pPr>
      <w:r>
        <w:rPr>
          <w:rFonts w:hint="eastAsia"/>
          <w:lang w:val="en-US" w:eastAsia="zh-CN"/>
        </w:rPr>
        <w:t>平台应实时接收数据采集终端上传的故障报警与困人报警信息，以醒目、直观的方式进行声光或弹窗提示，并自动记录报警关联数据。</w:t>
      </w:r>
    </w:p>
    <w:p w14:paraId="330FD625">
      <w:pPr>
        <w:pStyle w:val="166"/>
        <w:bidi w:val="0"/>
      </w:pPr>
      <w:r>
        <w:rPr>
          <w:rFonts w:hint="eastAsia"/>
          <w:lang w:val="en-US" w:eastAsia="zh-CN"/>
        </w:rPr>
        <w:t>故障报警应完整记录电梯识别码、故障类型、发生时间等关键信息；困人报警还应同步记录报警接通时间、通话录音、救援过程等信息，形成完整事件档案</w:t>
      </w:r>
      <w:r>
        <w:rPr>
          <w:rFonts w:hint="eastAsia"/>
        </w:rPr>
        <w:t>。</w:t>
      </w:r>
    </w:p>
    <w:p w14:paraId="794702E8">
      <w:pPr>
        <w:pStyle w:val="166"/>
        <w:bidi w:val="0"/>
      </w:pPr>
      <w:r>
        <w:rPr>
          <w:rFonts w:hint="eastAsia"/>
          <w:lang w:val="en-US" w:eastAsia="zh-CN"/>
        </w:rPr>
        <w:t>平台应将报警信息实时推送给对应电梯使用单位与维保单位，支持 APP、短信、网页等多种推送方式，确保相关方及时处置。</w:t>
      </w:r>
    </w:p>
    <w:p w14:paraId="7D3CB975">
      <w:pPr>
        <w:pStyle w:val="166"/>
        <w:bidi w:val="0"/>
      </w:pPr>
      <w:r>
        <w:rPr>
          <w:rFonts w:hint="eastAsia"/>
        </w:rPr>
        <w:t>维保单位应通过平台反馈接警、到场、救援、修复等处置信息，形成从报警到闭环的全流程管理。</w:t>
      </w:r>
    </w:p>
    <w:p w14:paraId="5C8E1E78">
      <w:pPr>
        <w:pStyle w:val="106"/>
        <w:keepNext w:val="0"/>
        <w:keepLines w:val="0"/>
        <w:pageBreakBefore w:val="0"/>
        <w:widowControl/>
        <w:kinsoku/>
        <w:wordWrap/>
        <w:overflowPunct/>
        <w:topLinePunct w:val="0"/>
        <w:autoSpaceDE/>
        <w:autoSpaceDN/>
        <w:bidi w:val="0"/>
        <w:adjustRightInd/>
        <w:snapToGrid/>
        <w:ind w:left="0"/>
        <w:textAlignment w:val="auto"/>
      </w:pPr>
      <w:r>
        <w:rPr>
          <w:rFonts w:hint="eastAsia"/>
        </w:rPr>
        <w:t>数据记录、存储与查询</w:t>
      </w:r>
    </w:p>
    <w:p w14:paraId="544ACE0B">
      <w:pPr>
        <w:pStyle w:val="166"/>
        <w:bidi w:val="0"/>
      </w:pPr>
      <w:r>
        <w:rPr>
          <w:rFonts w:hint="eastAsia"/>
        </w:rPr>
        <w:t>平台应自动记录并归档各类业务数据，包括故障报警数据、困人救援数据、维保数据、终端状态数据等，数据项应完整、规范、可追溯。</w:t>
      </w:r>
    </w:p>
    <w:p w14:paraId="3E81F7A5">
      <w:pPr>
        <w:pStyle w:val="166"/>
        <w:bidi w:val="0"/>
      </w:pPr>
      <w:r>
        <w:rPr>
          <w:rFonts w:hint="eastAsia"/>
        </w:rPr>
        <w:t>故障报警数据应包含电梯识别码、故障发生时间、故障类型、接警时间、处置人员、故障原因、修复完成时间等内容。</w:t>
      </w:r>
    </w:p>
    <w:p w14:paraId="570FDD8C">
      <w:pPr>
        <w:pStyle w:val="166"/>
        <w:bidi w:val="0"/>
      </w:pPr>
      <w:r>
        <w:rPr>
          <w:rFonts w:hint="eastAsia"/>
        </w:rPr>
        <w:t>困人报警数据应包含电梯识别码、困人时间、报警接通时间、通话录音、被困人数、救援人员、救援单位、伤亡情况、到场时间、解救结果、救援完成时间、困人原因、修复情况等内容。</w:t>
      </w:r>
    </w:p>
    <w:p w14:paraId="1D1DDEED">
      <w:pPr>
        <w:pStyle w:val="166"/>
        <w:bidi w:val="0"/>
      </w:pPr>
      <w:r>
        <w:rPr>
          <w:rFonts w:hint="eastAsia"/>
        </w:rPr>
        <w:t>平台存储的业务数据保存期限不少于4年，支持按电梯编号、时间、故障类型、维保单位等多维度组合查询、统计与导出。</w:t>
      </w:r>
    </w:p>
    <w:p w14:paraId="2CB4CB46">
      <w:pPr>
        <w:pStyle w:val="166"/>
        <w:bidi w:val="0"/>
      </w:pPr>
      <w:r>
        <w:rPr>
          <w:rFonts w:hint="eastAsia"/>
        </w:rPr>
        <w:t>对上传的视频数据，平台应至少保存最近 72 小时有效视频，支持按时间、电梯编号快速检索与回放。</w:t>
      </w:r>
    </w:p>
    <w:p w14:paraId="516713B4">
      <w:pPr>
        <w:pStyle w:val="106"/>
        <w:keepNext w:val="0"/>
        <w:keepLines w:val="0"/>
        <w:pageBreakBefore w:val="0"/>
        <w:widowControl/>
        <w:kinsoku/>
        <w:wordWrap/>
        <w:overflowPunct/>
        <w:topLinePunct w:val="0"/>
        <w:autoSpaceDE/>
        <w:autoSpaceDN/>
        <w:bidi w:val="0"/>
        <w:adjustRightInd/>
        <w:snapToGrid/>
        <w:ind w:left="0"/>
        <w:textAlignment w:val="auto"/>
      </w:pPr>
      <w:r>
        <w:rPr>
          <w:rFonts w:hint="eastAsia"/>
          <w:lang w:val="en-US" w:eastAsia="zh-CN"/>
        </w:rPr>
        <w:t>数据上报与接口适配</w:t>
      </w:r>
    </w:p>
    <w:p w14:paraId="6AAA6683">
      <w:pPr>
        <w:pStyle w:val="166"/>
        <w:bidi w:val="0"/>
      </w:pPr>
      <w:r>
        <w:rPr>
          <w:rFonts w:hint="eastAsia"/>
        </w:rPr>
        <w:t>平台应按统一规范向电梯信息公示平台上报监测数据、报警信息、救援记录、视频流等内容，保证数据格式、传输频率符合监管要求。</w:t>
      </w:r>
    </w:p>
    <w:p w14:paraId="40151B99">
      <w:pPr>
        <w:pStyle w:val="166"/>
        <w:bidi w:val="0"/>
      </w:pPr>
      <w:r>
        <w:rPr>
          <w:rFonts w:hint="eastAsia"/>
        </w:rPr>
        <w:t>平台应提供标准化视频访问接口，支持上级平台按需调用实时视频与历史视频。</w:t>
      </w:r>
    </w:p>
    <w:p w14:paraId="0B34CFAC">
      <w:pPr>
        <w:pStyle w:val="166"/>
        <w:bidi w:val="0"/>
      </w:pPr>
      <w:r>
        <w:rPr>
          <w:rFonts w:hint="eastAsia"/>
        </w:rPr>
        <w:t>平台应具备数据校验、重传机制，确保上报数据准确、完整、不丢失</w:t>
      </w:r>
      <w:r>
        <w:rPr>
          <w:rFonts w:hint="eastAsia"/>
          <w:lang w:eastAsia="zh-CN"/>
        </w:rPr>
        <w:t>。</w:t>
      </w:r>
    </w:p>
    <w:p w14:paraId="13B0F939">
      <w:pPr>
        <w:pStyle w:val="105"/>
        <w:spacing w:before="326" w:after="326"/>
      </w:pPr>
      <w:bookmarkStart w:id="61" w:name="_Toc12716"/>
      <w:r>
        <w:rPr>
          <w:rFonts w:hint="eastAsia"/>
          <w:lang w:val="en-US" w:eastAsia="zh-CN"/>
        </w:rPr>
        <w:t>网络通信</w:t>
      </w:r>
      <w:bookmarkEnd w:id="61"/>
    </w:p>
    <w:p w14:paraId="35BB5316">
      <w:pPr>
        <w:pStyle w:val="106"/>
        <w:bidi w:val="0"/>
      </w:pPr>
      <w:r>
        <w:rPr>
          <w:rFonts w:hint="eastAsia"/>
          <w:lang w:val="en-US" w:eastAsia="zh-CN"/>
        </w:rPr>
        <w:t>一般要求</w:t>
      </w:r>
    </w:p>
    <w:p w14:paraId="3E6AEED1">
      <w:pPr>
        <w:pStyle w:val="166"/>
        <w:bidi w:val="0"/>
      </w:pPr>
      <w:r>
        <w:rPr>
          <w:rFonts w:hint="eastAsia"/>
        </w:rPr>
        <w:t>系统网络通信应保障数据采集终端、企业监测平台、电梯信息公示平台之间传输稳定、实时可靠，满足电梯故障监测、智能报警与应急救援的实时性要求。</w:t>
      </w:r>
    </w:p>
    <w:p w14:paraId="62E2F1CF">
      <w:pPr>
        <w:pStyle w:val="166"/>
        <w:bidi w:val="0"/>
      </w:pPr>
      <w:r>
        <w:rPr>
          <w:rFonts w:hint="eastAsia"/>
        </w:rPr>
        <w:t>通信架构应兼容</w:t>
      </w:r>
      <w:r>
        <w:rPr>
          <w:rFonts w:hint="eastAsia"/>
          <w:lang w:val="en-US" w:eastAsia="zh-CN"/>
        </w:rPr>
        <w:t>不同企业</w:t>
      </w:r>
      <w:r>
        <w:rPr>
          <w:rFonts w:hint="eastAsia"/>
        </w:rPr>
        <w:t>智能报警系统的终端接入、平台对接与数据交互模式，支持有线、无线多种传输方式灵活部署。</w:t>
      </w:r>
    </w:p>
    <w:p w14:paraId="16D5EE1A">
      <w:pPr>
        <w:pStyle w:val="166"/>
        <w:bidi w:val="0"/>
      </w:pPr>
      <w:r>
        <w:rPr>
          <w:rFonts w:hint="eastAsia"/>
        </w:rPr>
        <w:t>通信机制应符合GB/T 24476</w:t>
      </w:r>
      <w:r>
        <w:rPr>
          <w:rFonts w:hint="eastAsia"/>
          <w:lang w:val="en-US" w:eastAsia="zh-CN"/>
        </w:rPr>
        <w:t>相关要求</w:t>
      </w:r>
      <w:r>
        <w:rPr>
          <w:rFonts w:hint="eastAsia"/>
        </w:rPr>
        <w:t>，保证通信链路稳定、数据传输安全、指令响应及时。</w:t>
      </w:r>
    </w:p>
    <w:p w14:paraId="58728CCA">
      <w:pPr>
        <w:pStyle w:val="106"/>
        <w:bidi w:val="0"/>
      </w:pPr>
      <w:r>
        <w:rPr>
          <w:rFonts w:hint="eastAsia"/>
          <w:lang w:val="en-US" w:eastAsia="zh-CN"/>
        </w:rPr>
        <w:t>传输方式</w:t>
      </w:r>
    </w:p>
    <w:p w14:paraId="5C2EF74E">
      <w:pPr>
        <w:pStyle w:val="166"/>
        <w:bidi w:val="0"/>
        <w:rPr>
          <w:rFonts w:hint="eastAsia"/>
          <w:lang w:val="en-US" w:eastAsia="zh-CN"/>
        </w:rPr>
      </w:pPr>
      <w:r>
        <w:rPr>
          <w:rFonts w:hint="eastAsia"/>
          <w:lang w:val="en-US" w:eastAsia="zh-CN"/>
        </w:rPr>
        <w:t>数据采集终端与企业监测平台之间可采用以太网、移动蜂窝网络等有线或无线通信方式，现场部署应兼顾信号覆盖与传输稳定性。</w:t>
      </w:r>
    </w:p>
    <w:p w14:paraId="000E7A0B">
      <w:pPr>
        <w:pStyle w:val="166"/>
        <w:bidi w:val="0"/>
        <w:rPr>
          <w:rFonts w:hint="eastAsia"/>
          <w:lang w:val="en-US" w:eastAsia="zh-CN"/>
        </w:rPr>
      </w:pPr>
      <w:r>
        <w:rPr>
          <w:rFonts w:hint="eastAsia"/>
          <w:lang w:val="en-US" w:eastAsia="zh-CN"/>
        </w:rPr>
        <w:t>企业监测平台与电梯信息公示平台之间应采用互联网专线或互联网加密通道，确保数据上行安全稳定。</w:t>
      </w:r>
    </w:p>
    <w:p w14:paraId="19165DF7">
      <w:pPr>
        <w:pStyle w:val="166"/>
        <w:bidi w:val="0"/>
        <w:rPr>
          <w:rFonts w:hint="eastAsia"/>
          <w:lang w:val="en-US" w:eastAsia="zh-CN"/>
        </w:rPr>
      </w:pPr>
      <w:r>
        <w:rPr>
          <w:rFonts w:hint="eastAsia"/>
          <w:lang w:val="en-US" w:eastAsia="zh-CN"/>
        </w:rPr>
        <w:t>传输方式应支持新建电梯与在用电梯改造场景，满足不同现场环境的接入需求。</w:t>
      </w:r>
    </w:p>
    <w:p w14:paraId="0C2485D5">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通信链路</w:t>
      </w:r>
    </w:p>
    <w:p w14:paraId="5ACBDC51">
      <w:pPr>
        <w:pStyle w:val="166"/>
        <w:bidi w:val="0"/>
        <w:rPr>
          <w:rFonts w:hint="eastAsia"/>
          <w:lang w:val="en-US" w:eastAsia="zh-CN"/>
        </w:rPr>
      </w:pPr>
      <w:r>
        <w:rPr>
          <w:rFonts w:hint="eastAsia"/>
          <w:lang w:val="en-US" w:eastAsia="zh-CN"/>
        </w:rPr>
        <w:t>数据采集终端与企业监测平台应建立长效稳定通信链路，终端上电后自动发起注册，经平台验证通过后完成接入。</w:t>
      </w:r>
    </w:p>
    <w:p w14:paraId="5A5054EF">
      <w:pPr>
        <w:pStyle w:val="166"/>
        <w:bidi w:val="0"/>
        <w:rPr>
          <w:rFonts w:hint="eastAsia"/>
          <w:lang w:val="en-US" w:eastAsia="zh-CN"/>
        </w:rPr>
      </w:pPr>
      <w:r>
        <w:rPr>
          <w:rFonts w:hint="eastAsia"/>
          <w:lang w:val="en-US" w:eastAsia="zh-CN"/>
        </w:rPr>
        <w:t>系统通信链路应采用4G与NB-IoT双通道冗余设计，确保网络中断时自动切换，提升传输连续性。</w:t>
      </w:r>
    </w:p>
    <w:p w14:paraId="5BA15610">
      <w:pPr>
        <w:pStyle w:val="166"/>
        <w:bidi w:val="0"/>
        <w:rPr>
          <w:rFonts w:hint="eastAsia"/>
          <w:lang w:val="en-US" w:eastAsia="zh-CN"/>
        </w:rPr>
      </w:pPr>
      <w:r>
        <w:rPr>
          <w:rFonts w:hint="eastAsia"/>
          <w:lang w:val="en-US" w:eastAsia="zh-CN"/>
        </w:rPr>
        <w:t>终端应采用心跳机制保持在线状态，定时向平台发送状态报文，心跳间隔不大于60秒。</w:t>
      </w:r>
    </w:p>
    <w:p w14:paraId="196A3932">
      <w:pPr>
        <w:pStyle w:val="166"/>
        <w:bidi w:val="0"/>
        <w:rPr>
          <w:rFonts w:hint="eastAsia"/>
          <w:lang w:val="en-US" w:eastAsia="zh-CN"/>
        </w:rPr>
      </w:pPr>
      <w:r>
        <w:rPr>
          <w:rFonts w:hint="eastAsia"/>
          <w:lang w:val="en-US" w:eastAsia="zh-CN"/>
        </w:rPr>
        <w:t>网络中断恢复后，终端与平台应自动重新建链，断点续传未上传数据，确保运行、故障、报警等关键信息不丢失。</w:t>
      </w:r>
    </w:p>
    <w:p w14:paraId="45DFC517">
      <w:pPr>
        <w:pStyle w:val="166"/>
        <w:bidi w:val="0"/>
        <w:rPr>
          <w:rFonts w:hint="eastAsia"/>
          <w:lang w:val="en-US" w:eastAsia="zh-CN"/>
        </w:rPr>
      </w:pPr>
      <w:r>
        <w:rPr>
          <w:rFonts w:hint="eastAsia"/>
          <w:lang w:val="en-US" w:eastAsia="zh-CN"/>
        </w:rPr>
        <w:t>应急报警、困人报警数据应设置最高传输优先级，保障紧急信息优先送达。</w:t>
      </w:r>
    </w:p>
    <w:p w14:paraId="6054ADD5">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协议适配</w:t>
      </w:r>
    </w:p>
    <w:p w14:paraId="51BC4A73">
      <w:pPr>
        <w:pStyle w:val="66"/>
        <w:rPr>
          <w:rFonts w:hint="eastAsia"/>
          <w:lang w:val="en-US" w:eastAsia="zh-CN"/>
        </w:rPr>
      </w:pPr>
      <w:r>
        <w:rPr>
          <w:rFonts w:hint="eastAsia"/>
          <w:lang w:val="en-US" w:eastAsia="zh-CN"/>
        </w:rPr>
        <w:t>平台应支持协议适配扩展，可对接不同厂家终端，满足多品牌电梯统一接入管理。</w:t>
      </w:r>
    </w:p>
    <w:p w14:paraId="0267743A">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数据格式</w:t>
      </w:r>
    </w:p>
    <w:p w14:paraId="527CBCDE">
      <w:pPr>
        <w:pStyle w:val="66"/>
        <w:rPr>
          <w:rFonts w:hint="eastAsia"/>
          <w:lang w:val="en-US" w:eastAsia="zh-CN"/>
        </w:rPr>
      </w:pPr>
      <w:r>
        <w:rPr>
          <w:rFonts w:hint="eastAsia"/>
          <w:lang w:val="en-US" w:eastAsia="zh-CN"/>
        </w:rPr>
        <w:t>数据格式应统一规范，包含电梯识别码、时间戳、数据类型、设备状态、报警信息等关键字段，满足平台解析与监管上报要求。</w:t>
      </w:r>
    </w:p>
    <w:p w14:paraId="49855237">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数据校验与容错</w:t>
      </w:r>
    </w:p>
    <w:p w14:paraId="2C7FBD03">
      <w:pPr>
        <w:pStyle w:val="166"/>
        <w:bidi w:val="0"/>
        <w:rPr>
          <w:rFonts w:hint="eastAsia"/>
          <w:lang w:val="en-US" w:eastAsia="zh-CN"/>
        </w:rPr>
      </w:pPr>
      <w:r>
        <w:rPr>
          <w:rFonts w:hint="eastAsia"/>
          <w:lang w:val="en-US" w:eastAsia="zh-CN"/>
        </w:rPr>
        <w:t>企业监测平台应对接收的终端数据进行合法性、完整性校验，自动过滤异常数据、重复数据与错误报文。</w:t>
      </w:r>
    </w:p>
    <w:p w14:paraId="5F91E5D2">
      <w:pPr>
        <w:pStyle w:val="166"/>
        <w:bidi w:val="0"/>
        <w:rPr>
          <w:rFonts w:hint="eastAsia"/>
          <w:lang w:val="en-US" w:eastAsia="zh-CN"/>
        </w:rPr>
      </w:pPr>
      <w:r>
        <w:rPr>
          <w:rFonts w:hint="eastAsia"/>
          <w:lang w:val="en-US" w:eastAsia="zh-CN"/>
        </w:rPr>
        <w:t>数据传输应具备校验和与重传机制，对传输失败的数据进行自动补。</w:t>
      </w:r>
    </w:p>
    <w:p w14:paraId="706F8C81">
      <w:pPr>
        <w:pStyle w:val="166"/>
        <w:bidi w:val="0"/>
        <w:rPr>
          <w:rFonts w:hint="eastAsia"/>
          <w:lang w:val="en-US" w:eastAsia="zh-CN"/>
        </w:rPr>
      </w:pPr>
      <w:r>
        <w:rPr>
          <w:rFonts w:hint="eastAsia"/>
          <w:lang w:val="en-US" w:eastAsia="zh-CN"/>
        </w:rPr>
        <w:t>系统应具备通信异常监测能力，当终端长时间离线、链路中断时，平台自动产生告警并通知运维人员。</w:t>
      </w:r>
    </w:p>
    <w:p w14:paraId="4FF44FC3">
      <w:pPr>
        <w:pStyle w:val="105"/>
        <w:spacing w:before="326" w:after="326"/>
      </w:pPr>
      <w:bookmarkStart w:id="62" w:name="_Toc24391"/>
      <w:r>
        <w:rPr>
          <w:rFonts w:hint="eastAsia"/>
          <w:lang w:val="en-US" w:eastAsia="zh-CN"/>
        </w:rPr>
        <w:t>信息安全</w:t>
      </w:r>
      <w:bookmarkEnd w:id="62"/>
    </w:p>
    <w:p w14:paraId="4B4CFD3C">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身份认证与权限管理</w:t>
      </w:r>
    </w:p>
    <w:p w14:paraId="350E59B9">
      <w:pPr>
        <w:pStyle w:val="166"/>
        <w:bidi w:val="0"/>
        <w:rPr>
          <w:rFonts w:hint="eastAsia"/>
          <w:lang w:val="en-US" w:eastAsia="zh-CN"/>
        </w:rPr>
      </w:pPr>
      <w:r>
        <w:rPr>
          <w:rFonts w:hint="eastAsia"/>
          <w:lang w:val="en-US" w:eastAsia="zh-CN"/>
        </w:rPr>
        <w:t>系统应建立严格的身份认证机制，对平台登录用户、终端接入设备实行实名制认证与设备合法性校验。</w:t>
      </w:r>
    </w:p>
    <w:p w14:paraId="4FDF374B">
      <w:pPr>
        <w:pStyle w:val="166"/>
        <w:bidi w:val="0"/>
        <w:rPr>
          <w:rFonts w:hint="eastAsia"/>
          <w:lang w:val="en-US" w:eastAsia="zh-CN"/>
        </w:rPr>
      </w:pPr>
      <w:r>
        <w:rPr>
          <w:rFonts w:hint="eastAsia"/>
          <w:lang w:val="en-US" w:eastAsia="zh-CN"/>
        </w:rPr>
        <w:t>平台应按使用单位、维保单位、运营单位、监管单位分级分类设置操作权限，实现功能可见性、数据访问范围、操作行为的精细化权限管控。</w:t>
      </w:r>
    </w:p>
    <w:p w14:paraId="3E0389C7">
      <w:pPr>
        <w:pStyle w:val="166"/>
        <w:bidi w:val="0"/>
        <w:rPr>
          <w:rFonts w:hint="eastAsia"/>
          <w:lang w:val="en-US" w:eastAsia="zh-CN"/>
        </w:rPr>
      </w:pPr>
      <w:r>
        <w:rPr>
          <w:rFonts w:hint="eastAsia"/>
          <w:lang w:val="en-US" w:eastAsia="zh-CN"/>
        </w:rPr>
        <w:t>关键操作（如参数修改、报警复位、视频查看、数据导出）应进行权限校验，防止越权操作。</w:t>
      </w:r>
    </w:p>
    <w:p w14:paraId="6E3D2FB6">
      <w:pPr>
        <w:pStyle w:val="166"/>
        <w:bidi w:val="0"/>
        <w:rPr>
          <w:rFonts w:hint="eastAsia"/>
          <w:lang w:val="en-US" w:eastAsia="zh-CN"/>
        </w:rPr>
      </w:pPr>
      <w:r>
        <w:rPr>
          <w:rFonts w:hint="eastAsia"/>
          <w:lang w:val="en-US" w:eastAsia="zh-CN"/>
        </w:rPr>
        <w:t>用户账号应实行密码复杂度管理、定期更新机制，支持登录异常检测与自动锁定策略。</w:t>
      </w:r>
    </w:p>
    <w:p w14:paraId="3AD3859B">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数据传输安全</w:t>
      </w:r>
    </w:p>
    <w:p w14:paraId="63CAC256">
      <w:pPr>
        <w:pStyle w:val="166"/>
        <w:bidi w:val="0"/>
        <w:rPr>
          <w:rFonts w:hint="eastAsia"/>
          <w:lang w:val="en-US" w:eastAsia="zh-CN"/>
        </w:rPr>
      </w:pPr>
      <w:r>
        <w:rPr>
          <w:rFonts w:hint="eastAsia"/>
          <w:lang w:val="en-US" w:eastAsia="zh-CN"/>
        </w:rPr>
        <w:t>数据采集终端与企业监测平台、企业监测平台与电梯信息公示平台之间的重要数据应采用加密传输，防止数据在传输过程中被窃取、篡改、伪造。</w:t>
      </w:r>
    </w:p>
    <w:p w14:paraId="425CBAC1">
      <w:pPr>
        <w:pStyle w:val="166"/>
        <w:bidi w:val="0"/>
        <w:rPr>
          <w:rFonts w:hint="eastAsia"/>
          <w:lang w:val="en-US" w:eastAsia="zh-CN"/>
        </w:rPr>
      </w:pPr>
      <w:r>
        <w:rPr>
          <w:rFonts w:hint="eastAsia"/>
          <w:lang w:val="en-US" w:eastAsia="zh-CN"/>
        </w:rPr>
        <w:t>报警信息、视频图像、通话录音、电梯运行参数等敏感数据传输应具备完整性校验，确保数据未被非法修改。</w:t>
      </w:r>
    </w:p>
    <w:p w14:paraId="072AFE44">
      <w:pPr>
        <w:pStyle w:val="166"/>
        <w:bidi w:val="0"/>
        <w:rPr>
          <w:rFonts w:hint="eastAsia"/>
          <w:lang w:val="en-US" w:eastAsia="zh-CN"/>
        </w:rPr>
      </w:pPr>
      <w:r>
        <w:rPr>
          <w:rFonts w:hint="eastAsia"/>
          <w:lang w:val="en-US" w:eastAsia="zh-CN"/>
        </w:rPr>
        <w:t>网络通信应支持安全传输协议，禁止以明文方式传输关键业务数据。</w:t>
      </w:r>
    </w:p>
    <w:p w14:paraId="1BF30D19">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数据存储与防篡改</w:t>
      </w:r>
    </w:p>
    <w:p w14:paraId="403231FB">
      <w:pPr>
        <w:pStyle w:val="166"/>
        <w:bidi w:val="0"/>
        <w:rPr>
          <w:rFonts w:hint="eastAsia"/>
          <w:lang w:val="en-US" w:eastAsia="zh-CN"/>
        </w:rPr>
      </w:pPr>
      <w:r>
        <w:rPr>
          <w:rFonts w:hint="eastAsia"/>
          <w:lang w:val="en-US" w:eastAsia="zh-CN"/>
        </w:rPr>
        <w:t>系统存储的运行数据、故障数据、报警记录、救援记录、视频、音频等信息应具备防篡改机制，确保数据真实、可追溯、不可随意删除或修改。</w:t>
      </w:r>
    </w:p>
    <w:p w14:paraId="4DBF4241">
      <w:pPr>
        <w:pStyle w:val="166"/>
        <w:bidi w:val="0"/>
        <w:rPr>
          <w:rFonts w:hint="eastAsia"/>
          <w:lang w:val="en-US" w:eastAsia="zh-CN"/>
        </w:rPr>
      </w:pPr>
      <w:r>
        <w:rPr>
          <w:rFonts w:hint="eastAsia"/>
          <w:lang w:val="en-US" w:eastAsia="zh-CN"/>
        </w:rPr>
        <w:t>平台应采用安全可靠的数据存储架构，具备数据自动备份、冗余存储、故障恢复能力，防止数据丢失。</w:t>
      </w:r>
    </w:p>
    <w:p w14:paraId="2AE9D4B1">
      <w:pPr>
        <w:pStyle w:val="166"/>
        <w:bidi w:val="0"/>
        <w:rPr>
          <w:rFonts w:hint="eastAsia"/>
          <w:lang w:val="en-US" w:eastAsia="zh-CN"/>
        </w:rPr>
      </w:pPr>
      <w:r>
        <w:rPr>
          <w:rFonts w:hint="eastAsia"/>
          <w:lang w:val="en-US" w:eastAsia="zh-CN"/>
        </w:rPr>
        <w:t>历史数据、报警事件、救援过程等关键档案应采用固化存储或加密存储方式，留存期间不可篡改。</w:t>
      </w:r>
    </w:p>
    <w:p w14:paraId="00BBBA51">
      <w:pPr>
        <w:pStyle w:val="166"/>
        <w:bidi w:val="0"/>
        <w:rPr>
          <w:rFonts w:hint="eastAsia"/>
          <w:lang w:val="en-US" w:eastAsia="zh-CN"/>
        </w:rPr>
      </w:pPr>
      <w:r>
        <w:rPr>
          <w:rFonts w:hint="eastAsia"/>
          <w:lang w:val="en-US" w:eastAsia="zh-CN"/>
        </w:rPr>
        <w:t>本地终端与平台端数据应保持一致，具备校验比对机制，确保数据可信。</w:t>
      </w:r>
    </w:p>
    <w:p w14:paraId="6C44AA66">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平台与终端安全</w:t>
      </w:r>
    </w:p>
    <w:p w14:paraId="3E44C02E">
      <w:pPr>
        <w:pStyle w:val="166"/>
        <w:bidi w:val="0"/>
        <w:rPr>
          <w:rFonts w:hint="eastAsia"/>
          <w:lang w:val="en-US" w:eastAsia="zh-CN"/>
        </w:rPr>
      </w:pPr>
      <w:r>
        <w:rPr>
          <w:rFonts w:hint="eastAsia"/>
          <w:lang w:val="en-US" w:eastAsia="zh-CN"/>
        </w:rPr>
        <w:t>企业监测平台应具备网络安全防护能力，部署防火墙、入侵检测、访问控制等安全措施，抵御网络攻击。</w:t>
      </w:r>
    </w:p>
    <w:p w14:paraId="40DAC06B">
      <w:pPr>
        <w:pStyle w:val="166"/>
        <w:bidi w:val="0"/>
        <w:rPr>
          <w:rFonts w:hint="eastAsia"/>
          <w:lang w:val="en-US" w:eastAsia="zh-CN"/>
        </w:rPr>
      </w:pPr>
      <w:r>
        <w:rPr>
          <w:rFonts w:hint="eastAsia"/>
          <w:lang w:val="en-US" w:eastAsia="zh-CN"/>
        </w:rPr>
        <w:t>数据采集终端应具备安全启动、固件完整性校验、防破解、防非法刷机能力，保障终端运行安全。</w:t>
      </w:r>
    </w:p>
    <w:p w14:paraId="5A287D6F">
      <w:pPr>
        <w:pStyle w:val="166"/>
        <w:bidi w:val="0"/>
        <w:rPr>
          <w:rFonts w:hint="eastAsia"/>
          <w:lang w:val="en-US" w:eastAsia="zh-CN"/>
        </w:rPr>
      </w:pPr>
      <w:r>
        <w:rPr>
          <w:rFonts w:hint="eastAsia"/>
          <w:lang w:val="en-US" w:eastAsia="zh-CN"/>
        </w:rPr>
        <w:t>平台与终端应支持安全远程升级，升级包需经过合法性与完整性校验，防止恶意程序注入。</w:t>
      </w:r>
    </w:p>
    <w:p w14:paraId="7891557C">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安全审计与日志管理</w:t>
      </w:r>
    </w:p>
    <w:p w14:paraId="28B7C735">
      <w:pPr>
        <w:pStyle w:val="166"/>
        <w:bidi w:val="0"/>
        <w:rPr>
          <w:rFonts w:hint="eastAsia"/>
          <w:lang w:val="en-US" w:eastAsia="zh-CN"/>
        </w:rPr>
      </w:pPr>
      <w:r>
        <w:rPr>
          <w:rFonts w:hint="eastAsia"/>
          <w:lang w:val="en-US" w:eastAsia="zh-CN"/>
        </w:rPr>
        <w:t>平台应对用户登录、权限变更、报警处置、参数配置、数据导出、视频查看等关键操作进行全程日志记录。</w:t>
      </w:r>
    </w:p>
    <w:p w14:paraId="2D7021F4">
      <w:pPr>
        <w:pStyle w:val="166"/>
        <w:bidi w:val="0"/>
        <w:rPr>
          <w:rFonts w:hint="eastAsia"/>
          <w:lang w:val="en-US" w:eastAsia="zh-CN"/>
        </w:rPr>
      </w:pPr>
      <w:r>
        <w:rPr>
          <w:rFonts w:hint="eastAsia"/>
          <w:lang w:val="en-US" w:eastAsia="zh-CN"/>
        </w:rPr>
        <w:t>安全日志应包含操作人、操作时间、操作对象、操作内容、操作结果，不可篡改、不可删除，满足安全审计与责任追溯要求。</w:t>
      </w:r>
    </w:p>
    <w:p w14:paraId="72EAA95C">
      <w:pPr>
        <w:pStyle w:val="166"/>
        <w:bidi w:val="0"/>
        <w:rPr>
          <w:rFonts w:hint="eastAsia"/>
          <w:lang w:val="en-US" w:eastAsia="zh-CN"/>
        </w:rPr>
      </w:pPr>
      <w:r>
        <w:rPr>
          <w:rFonts w:hint="eastAsia"/>
          <w:lang w:val="en-US" w:eastAsia="zh-CN"/>
        </w:rPr>
        <w:t>日志数据应按规定期限保存，支持查询、统计、导出，便于安全事件定位与分析。</w:t>
      </w:r>
    </w:p>
    <w:p w14:paraId="6BA99042">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数据合规与隐私保护</w:t>
      </w:r>
    </w:p>
    <w:p w14:paraId="4B9E5CE5">
      <w:pPr>
        <w:pStyle w:val="166"/>
        <w:bidi w:val="0"/>
        <w:rPr>
          <w:rFonts w:hint="eastAsia"/>
          <w:lang w:val="en-US" w:eastAsia="zh-CN"/>
        </w:rPr>
      </w:pPr>
      <w:r>
        <w:rPr>
          <w:rFonts w:hint="eastAsia"/>
          <w:lang w:val="en-US" w:eastAsia="zh-CN"/>
        </w:rPr>
        <w:t>系统采集、传输、存储、使用电梯运行数据、视频图像、语音数据应符合数据安全与个人信息保护相关法律法规。</w:t>
      </w:r>
    </w:p>
    <w:p w14:paraId="7846C5AD">
      <w:pPr>
        <w:pStyle w:val="166"/>
        <w:bidi w:val="0"/>
        <w:rPr>
          <w:rFonts w:hint="eastAsia"/>
          <w:lang w:val="en-US" w:eastAsia="zh-CN"/>
        </w:rPr>
      </w:pPr>
      <w:r>
        <w:rPr>
          <w:rFonts w:hint="eastAsia"/>
          <w:lang w:val="en-US" w:eastAsia="zh-CN"/>
        </w:rPr>
        <w:t>轿厢视频、乘客图像等敏感信息应严格控制访问范围，仅授权人员可在授权场景下查看。</w:t>
      </w:r>
    </w:p>
    <w:p w14:paraId="78668D1A">
      <w:pPr>
        <w:pStyle w:val="166"/>
        <w:bidi w:val="0"/>
        <w:rPr>
          <w:rFonts w:hint="eastAsia"/>
          <w:lang w:val="en-US" w:eastAsia="zh-CN"/>
        </w:rPr>
      </w:pPr>
      <w:r>
        <w:rPr>
          <w:rFonts w:hint="eastAsia"/>
          <w:lang w:val="en-US" w:eastAsia="zh-CN"/>
        </w:rPr>
        <w:t>不得非法收集、存储、泄露与电梯安全监测无关的信息，确保数据使用合法合规。</w:t>
      </w:r>
    </w:p>
    <w:p w14:paraId="625C44E3">
      <w:pPr>
        <w:pStyle w:val="105"/>
        <w:bidi w:val="0"/>
        <w:rPr>
          <w:rFonts w:hint="eastAsia"/>
          <w:lang w:val="en-US" w:eastAsia="zh-CN"/>
        </w:rPr>
      </w:pPr>
      <w:bookmarkStart w:id="63" w:name="_Toc24118"/>
      <w:r>
        <w:rPr>
          <w:rFonts w:hint="eastAsia"/>
          <w:lang w:val="en-US" w:eastAsia="zh-CN"/>
        </w:rPr>
        <w:t>运行与维护</w:t>
      </w:r>
      <w:bookmarkEnd w:id="63"/>
    </w:p>
    <w:p w14:paraId="4CEA27CD">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职责分工</w:t>
      </w:r>
    </w:p>
    <w:p w14:paraId="556E9780">
      <w:pPr>
        <w:pStyle w:val="166"/>
        <w:bidi w:val="0"/>
        <w:rPr>
          <w:rFonts w:hint="eastAsia"/>
          <w:lang w:val="en-US" w:eastAsia="zh-CN"/>
        </w:rPr>
      </w:pPr>
      <w:r>
        <w:rPr>
          <w:rFonts w:hint="eastAsia"/>
          <w:lang w:val="en-US" w:eastAsia="zh-CN"/>
        </w:rPr>
        <w:t>系统运营单位负责企业监测平台运行、网络通信保障、数据安全管理及平台升级维护。</w:t>
      </w:r>
    </w:p>
    <w:p w14:paraId="68F94D53">
      <w:pPr>
        <w:pStyle w:val="166"/>
        <w:bidi w:val="0"/>
        <w:rPr>
          <w:rFonts w:hint="eastAsia"/>
          <w:lang w:val="en-US" w:eastAsia="zh-CN"/>
        </w:rPr>
      </w:pPr>
      <w:r>
        <w:rPr>
          <w:rFonts w:hint="eastAsia"/>
          <w:lang w:val="en-US" w:eastAsia="zh-CN"/>
        </w:rPr>
        <w:t>电梯使用单位负责系统日常使用管理，配合维保与应急处置。</w:t>
      </w:r>
    </w:p>
    <w:p w14:paraId="489B8663">
      <w:pPr>
        <w:pStyle w:val="166"/>
        <w:bidi w:val="0"/>
        <w:rPr>
          <w:rFonts w:hint="eastAsia"/>
          <w:lang w:val="en-US" w:eastAsia="zh-CN"/>
        </w:rPr>
      </w:pPr>
      <w:r>
        <w:rPr>
          <w:rFonts w:hint="eastAsia"/>
          <w:lang w:val="en-US" w:eastAsia="zh-CN"/>
        </w:rPr>
        <w:t>电梯维保单位负责数据采集终端检查、故障维修、功能验证及报警测试。</w:t>
      </w:r>
    </w:p>
    <w:p w14:paraId="147D5553">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日常运行要求</w:t>
      </w:r>
    </w:p>
    <w:p w14:paraId="68AE8DE6">
      <w:pPr>
        <w:pStyle w:val="166"/>
        <w:bidi w:val="0"/>
        <w:rPr>
          <w:rFonts w:hint="eastAsia"/>
          <w:lang w:val="en-US" w:eastAsia="zh-CN"/>
        </w:rPr>
      </w:pPr>
      <w:r>
        <w:rPr>
          <w:rFonts w:hint="eastAsia"/>
          <w:lang w:val="en-US" w:eastAsia="zh-CN"/>
        </w:rPr>
        <w:t>系统应保持7×24小时连续运行，监测、报警、通信、存储等功能应正常有效。</w:t>
      </w:r>
    </w:p>
    <w:p w14:paraId="281678A6">
      <w:pPr>
        <w:pStyle w:val="166"/>
        <w:bidi w:val="0"/>
        <w:rPr>
          <w:rFonts w:hint="eastAsia"/>
          <w:lang w:val="en-US" w:eastAsia="zh-CN"/>
        </w:rPr>
      </w:pPr>
      <w:r>
        <w:rPr>
          <w:rFonts w:hint="eastAsia"/>
          <w:lang w:val="en-US" w:eastAsia="zh-CN"/>
        </w:rPr>
        <w:t>企业监测平台应实时监控终端在线状态，异常情况及时通知维护人员。</w:t>
      </w:r>
    </w:p>
    <w:p w14:paraId="5C4C72D7">
      <w:pPr>
        <w:pStyle w:val="166"/>
        <w:bidi w:val="0"/>
        <w:rPr>
          <w:rFonts w:hint="eastAsia"/>
          <w:lang w:val="en-US" w:eastAsia="zh-CN"/>
        </w:rPr>
      </w:pPr>
      <w:r>
        <w:rPr>
          <w:rFonts w:hint="eastAsia"/>
          <w:lang w:val="en-US" w:eastAsia="zh-CN"/>
        </w:rPr>
        <w:t>报警、对讲、视频、存储等关键功能应保持可用，不得擅自停用、屏蔽。</w:t>
      </w:r>
    </w:p>
    <w:p w14:paraId="33C55564">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定期维护要求</w:t>
      </w:r>
    </w:p>
    <w:p w14:paraId="5DB9434C">
      <w:pPr>
        <w:pStyle w:val="166"/>
        <w:bidi w:val="0"/>
        <w:rPr>
          <w:rFonts w:hint="eastAsia"/>
          <w:lang w:val="en-US" w:eastAsia="zh-CN"/>
        </w:rPr>
      </w:pPr>
      <w:r>
        <w:rPr>
          <w:rFonts w:hint="eastAsia"/>
          <w:lang w:val="en-US" w:eastAsia="zh-CN"/>
        </w:rPr>
        <w:t>数据采集终端应定期检查安装牢固性、接线可靠性、通信状态及后备电源性能。</w:t>
      </w:r>
    </w:p>
    <w:p w14:paraId="4C28EDFB">
      <w:pPr>
        <w:pStyle w:val="166"/>
        <w:bidi w:val="0"/>
        <w:rPr>
          <w:rFonts w:hint="eastAsia"/>
          <w:lang w:val="en-US" w:eastAsia="zh-CN"/>
        </w:rPr>
      </w:pPr>
      <w:r>
        <w:rPr>
          <w:rFonts w:hint="eastAsia"/>
          <w:lang w:val="en-US" w:eastAsia="zh-CN"/>
        </w:rPr>
        <w:t>企业监测平台应定期进行数据校验、日志清理、备份检查、安全漏洞检测。</w:t>
      </w:r>
    </w:p>
    <w:p w14:paraId="1F5F5EDB">
      <w:pPr>
        <w:pStyle w:val="166"/>
        <w:bidi w:val="0"/>
        <w:rPr>
          <w:rFonts w:hint="eastAsia"/>
          <w:lang w:val="en-US" w:eastAsia="zh-CN"/>
        </w:rPr>
      </w:pPr>
      <w:r>
        <w:rPr>
          <w:rFonts w:hint="eastAsia"/>
          <w:lang w:val="en-US" w:eastAsia="zh-CN"/>
        </w:rPr>
        <w:t>系统应定期开展功能测试，包括故障报警、困人报警、语音对讲、视频上传等。</w:t>
      </w:r>
    </w:p>
    <w:p w14:paraId="2D78051E">
      <w:pPr>
        <w:pStyle w:val="166"/>
        <w:bidi w:val="0"/>
        <w:rPr>
          <w:rFonts w:hint="eastAsia"/>
          <w:lang w:val="en-US" w:eastAsia="zh-CN"/>
        </w:rPr>
      </w:pPr>
      <w:r>
        <w:rPr>
          <w:rFonts w:hint="eastAsia"/>
          <w:lang w:val="en-US" w:eastAsia="zh-CN"/>
        </w:rPr>
        <w:t>维护记录应完整留存，形成可追溯档案。</w:t>
      </w:r>
    </w:p>
    <w:p w14:paraId="220B7E03">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故障处置与维修</w:t>
      </w:r>
    </w:p>
    <w:p w14:paraId="52DCBAC9">
      <w:pPr>
        <w:pStyle w:val="166"/>
        <w:bidi w:val="0"/>
        <w:rPr>
          <w:rFonts w:hint="eastAsia"/>
          <w:lang w:val="en-US" w:eastAsia="zh-CN"/>
        </w:rPr>
      </w:pPr>
      <w:r>
        <w:rPr>
          <w:rFonts w:hint="eastAsia"/>
          <w:lang w:val="en-US" w:eastAsia="zh-CN"/>
        </w:rPr>
        <w:t>系统发生终端离线、通信中断、功能异常等故障时，应及时响应并修复。</w:t>
      </w:r>
    </w:p>
    <w:p w14:paraId="06B1D533">
      <w:pPr>
        <w:pStyle w:val="166"/>
        <w:bidi w:val="0"/>
        <w:rPr>
          <w:rFonts w:hint="eastAsia"/>
          <w:lang w:val="en-US" w:eastAsia="zh-CN"/>
        </w:rPr>
      </w:pPr>
      <w:r>
        <w:rPr>
          <w:rFonts w:hint="eastAsia"/>
          <w:lang w:val="en-US" w:eastAsia="zh-CN"/>
        </w:rPr>
        <w:t>维修过程不得影响电梯本体安全与正常运行。</w:t>
      </w:r>
    </w:p>
    <w:p w14:paraId="2A3C1840">
      <w:pPr>
        <w:pStyle w:val="166"/>
        <w:bidi w:val="0"/>
        <w:rPr>
          <w:rFonts w:hint="eastAsia"/>
          <w:lang w:val="en-US" w:eastAsia="zh-CN"/>
        </w:rPr>
      </w:pPr>
      <w:r>
        <w:rPr>
          <w:rFonts w:hint="eastAsia"/>
          <w:lang w:val="en-US" w:eastAsia="zh-CN"/>
        </w:rPr>
        <w:t>维修完成后应进行功能验证，确认系统恢复正常。</w:t>
      </w:r>
    </w:p>
    <w:p w14:paraId="5680319E">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升级改造</w:t>
      </w:r>
    </w:p>
    <w:p w14:paraId="584C7C44">
      <w:pPr>
        <w:pStyle w:val="166"/>
        <w:bidi w:val="0"/>
        <w:rPr>
          <w:rFonts w:hint="eastAsia"/>
          <w:lang w:val="en-US" w:eastAsia="zh-CN"/>
        </w:rPr>
      </w:pPr>
      <w:r>
        <w:rPr>
          <w:rFonts w:hint="eastAsia"/>
          <w:lang w:val="en-US" w:eastAsia="zh-CN"/>
        </w:rPr>
        <w:t>平台与终端软件升级应保证安全、稳定、兼容，升级前应进行验证。</w:t>
      </w:r>
    </w:p>
    <w:p w14:paraId="77BDCBD4">
      <w:pPr>
        <w:pStyle w:val="166"/>
        <w:bidi w:val="0"/>
        <w:rPr>
          <w:rFonts w:hint="eastAsia"/>
          <w:lang w:val="en-US" w:eastAsia="zh-CN"/>
        </w:rPr>
      </w:pPr>
      <w:r>
        <w:rPr>
          <w:rFonts w:hint="eastAsia"/>
          <w:lang w:val="en-US" w:eastAsia="zh-CN"/>
        </w:rPr>
        <w:t>系统改造应符合本文件要求，不降低原有监测与报警性能。</w:t>
      </w:r>
    </w:p>
    <w:p w14:paraId="7F54768C">
      <w:pPr>
        <w:pStyle w:val="166"/>
        <w:bidi w:val="0"/>
        <w:rPr>
          <w:rFonts w:hint="eastAsia"/>
          <w:lang w:val="en-US" w:eastAsia="zh-CN"/>
        </w:rPr>
      </w:pPr>
      <w:r>
        <w:rPr>
          <w:rFonts w:hint="eastAsia"/>
          <w:lang w:val="en-US" w:eastAsia="zh-CN"/>
        </w:rPr>
        <w:t>升级与改造应留存记录，确保可追溯。</w:t>
      </w:r>
    </w:p>
    <w:bookmarkEnd w:id="28"/>
    <w:bookmarkEnd w:id="57"/>
    <w:p w14:paraId="57A05AD5">
      <w:pPr>
        <w:pStyle w:val="56"/>
        <w:ind w:firstLine="0" w:firstLineChars="0"/>
        <w:jc w:val="center"/>
      </w:pPr>
      <w:bookmarkStart w:id="64" w:name="BookMark8"/>
      <w:r>
        <w:drawing>
          <wp:inline distT="0" distB="0" distL="0" distR="0">
            <wp:extent cx="1485900" cy="317500"/>
            <wp:effectExtent l="0" t="0" r="0" b="6350"/>
            <wp:docPr id="530575613" name="图片 3"/>
            <wp:cNvGraphicFramePr/>
            <a:graphic xmlns:a="http://schemas.openxmlformats.org/drawingml/2006/main">
              <a:graphicData uri="http://schemas.openxmlformats.org/drawingml/2006/picture">
                <pic:pic xmlns:pic="http://schemas.openxmlformats.org/drawingml/2006/picture">
                  <pic:nvPicPr>
                    <pic:cNvPr id="530575613" name="图片 3"/>
                    <pic:cNvPicPr/>
                  </pic:nvPicPr>
                  <pic:blipFill>
                    <a:blip r:embed="rId25">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64"/>
    </w:p>
    <w:sectPr>
      <w:headerReference r:id="rId18" w:type="default"/>
      <w:footerReference r:id="rId20" w:type="default"/>
      <w:headerReference r:id="rId19" w:type="even"/>
      <w:footerReference r:id="rId21" w:type="even"/>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2F72D">
    <w:pPr>
      <w:pStyle w:val="17"/>
      <w:ind w:right="720"/>
      <w:jc w:val="both"/>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E005C">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03368">
    <w:pPr>
      <w:pStyle w:val="52"/>
      <w:bidi w:val="0"/>
    </w:pPr>
    <w:r>
      <w:fldChar w:fldCharType="begin"/>
    </w:r>
    <w:r>
      <w:instrText xml:space="preserve"> PAGE   \* Roman </w:instrText>
    </w:r>
    <w:r>
      <w:fldChar w:fldCharType="separate"/>
    </w:r>
    <w: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1B796">
    <w:pPr>
      <w:pStyle w:val="17"/>
      <w:ind w:right="720"/>
      <w:jc w:val="both"/>
    </w:pPr>
    <w:r>
      <w:fldChar w:fldCharType="begin"/>
    </w:r>
    <w:r>
      <w:instrText xml:space="preserve"> PAGE   \* Roman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46002">
    <w:pPr>
      <w:pStyle w:val="52"/>
      <w:bidi w:val="0"/>
    </w:pPr>
    <w:r>
      <w:fldChar w:fldCharType="begin"/>
    </w:r>
    <w:r>
      <w:instrText xml:space="preserve"> PAGE   \* Roman </w:instrText>
    </w:r>
    <w:r>
      <w:fldChar w:fldCharType="separate"/>
    </w:r>
    <w: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AAE62">
    <w:pPr>
      <w:pStyle w:val="17"/>
      <w:ind w:right="720"/>
      <w:jc w:val="both"/>
    </w:pPr>
    <w:r>
      <w:fldChar w:fldCharType="begin"/>
    </w:r>
    <w:r>
      <w:instrText xml:space="preserve"> PAGE   \* Roman </w:instrText>
    </w:r>
    <w:r>
      <w:fldChar w:fldCharType="separate"/>
    </w:r>
    <w:r>
      <w:t>III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0A3CF">
    <w:pPr>
      <w:pStyle w:val="52"/>
      <w:bidi w:val="0"/>
    </w:pPr>
    <w:r>
      <w:fldChar w:fldCharType="begin"/>
    </w:r>
    <w:r>
      <w:instrText xml:space="preserve"> PAGE   \* Arabic </w:instrText>
    </w:r>
    <w:r>
      <w:fldChar w:fldCharType="separate"/>
    </w:r>
    <w: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E0B43">
    <w:pPr>
      <w:pStyle w:val="17"/>
      <w:ind w:right="720"/>
      <w:jc w:val="both"/>
    </w:pPr>
    <w:r>
      <w:fldChar w:fldCharType="begin"/>
    </w:r>
    <w:r>
      <w:instrText xml:space="preserve"> PAGE   \* Arabic </w:instrText>
    </w:r>
    <w:r>
      <w:fldChar w:fldCharType="separate"/>
    </w:r>
    <w: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AD00D">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5A774">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C67DE">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0F22F">
    <w:pPr>
      <w:pStyle w:val="61"/>
      <w:rPr>
        <w:rFonts w:hint="eastAsia" w:eastAsia="黑体"/>
        <w:lang w:eastAsia="zh-CN"/>
      </w:rPr>
    </w:pPr>
    <w:r>
      <w:rPr>
        <w:rFonts w:hint="eastAsia"/>
        <w:lang w:eastAsia="zh-CN"/>
      </w:rPr>
      <w:t>T/ZIUR XXXX-2026</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21FFB">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5E6C1">
    <w:pPr>
      <w:pStyle w:val="61"/>
      <w:rPr>
        <w:rFonts w:hint="eastAsia" w:eastAsia="黑体"/>
        <w:lang w:eastAsia="zh-CN"/>
      </w:rPr>
    </w:pPr>
    <w:r>
      <w:rPr>
        <w:rFonts w:hint="eastAsia"/>
        <w:lang w:eastAsia="zh-CN"/>
      </w:rPr>
      <w:t>T/ZIUR XXXX-2026</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57D59">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375D4">
    <w:pPr>
      <w:pStyle w:val="61"/>
      <w:rPr>
        <w:rFonts w:hint="eastAsia" w:eastAsia="黑体"/>
        <w:lang w:eastAsia="zh-CN"/>
      </w:rPr>
    </w:pPr>
    <w:r>
      <w:rPr>
        <w:rFonts w:hint="eastAsia"/>
        <w:lang w:eastAsia="zh-CN"/>
      </w:rPr>
      <w:t>T/ZIUR XXXX-2026</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D7BE7">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0204C2"/>
    <w:multiLevelType w:val="multilevel"/>
    <w:tmpl w:val="A50204C2"/>
    <w:lvl w:ilvl="0" w:tentative="0">
      <w:start w:val="1"/>
      <w:numFmt w:val="decimal"/>
      <w:pStyle w:val="234"/>
      <w:suff w:val="nothing"/>
      <w:lvlText w:val="图%1　"/>
      <w:lvlJc w:val="left"/>
      <w:pPr>
        <w:tabs>
          <w:tab w:val="left" w:pos="0"/>
        </w:tabs>
        <w:ind w:left="0" w:leftChars="0" w:firstLine="0" w:firstLineChars="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C35733DB"/>
    <w:multiLevelType w:val="multilevel"/>
    <w:tmpl w:val="C35733DB"/>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2">
    <w:nsid w:val="E12ABC61"/>
    <w:multiLevelType w:val="multilevel"/>
    <w:tmpl w:val="E12ABC61"/>
    <w:lvl w:ilvl="0" w:tentative="0">
      <w:start w:val="1"/>
      <w:numFmt w:val="decimal"/>
      <w:pStyle w:val="231"/>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4">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5">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6">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7">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8">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10">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2">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3">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4">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5">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6">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7">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9">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0">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1">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3">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4">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5">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6">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7">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9">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0">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1">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2">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3"/>
  </w:num>
  <w:num w:numId="2">
    <w:abstractNumId w:val="29"/>
  </w:num>
  <w:num w:numId="3">
    <w:abstractNumId w:val="8"/>
  </w:num>
  <w:num w:numId="4">
    <w:abstractNumId w:val="25"/>
  </w:num>
  <w:num w:numId="5">
    <w:abstractNumId w:val="20"/>
  </w:num>
  <w:num w:numId="6">
    <w:abstractNumId w:val="15"/>
  </w:num>
  <w:num w:numId="7">
    <w:abstractNumId w:val="11"/>
  </w:num>
  <w:num w:numId="8">
    <w:abstractNumId w:val="6"/>
  </w:num>
  <w:num w:numId="9">
    <w:abstractNumId w:val="12"/>
  </w:num>
  <w:num w:numId="10">
    <w:abstractNumId w:val="18"/>
  </w:num>
  <w:num w:numId="11">
    <w:abstractNumId w:val="27"/>
  </w:num>
  <w:num w:numId="12">
    <w:abstractNumId w:val="14"/>
  </w:num>
  <w:num w:numId="13">
    <w:abstractNumId w:val="1"/>
  </w:num>
  <w:num w:numId="14">
    <w:abstractNumId w:val="10"/>
  </w:num>
  <w:num w:numId="15">
    <w:abstractNumId w:val="21"/>
  </w:num>
  <w:num w:numId="16">
    <w:abstractNumId w:val="23"/>
  </w:num>
  <w:num w:numId="17">
    <w:abstractNumId w:val="19"/>
  </w:num>
  <w:num w:numId="18">
    <w:abstractNumId w:val="31"/>
  </w:num>
  <w:num w:numId="19">
    <w:abstractNumId w:val="17"/>
  </w:num>
  <w:num w:numId="20">
    <w:abstractNumId w:val="4"/>
  </w:num>
  <w:num w:numId="21">
    <w:abstractNumId w:val="13"/>
  </w:num>
  <w:num w:numId="22">
    <w:abstractNumId w:val="32"/>
  </w:num>
  <w:num w:numId="23">
    <w:abstractNumId w:val="22"/>
  </w:num>
  <w:num w:numId="24">
    <w:abstractNumId w:val="9"/>
  </w:num>
  <w:num w:numId="25">
    <w:abstractNumId w:val="28"/>
  </w:num>
  <w:num w:numId="26">
    <w:abstractNumId w:val="30"/>
  </w:num>
  <w:num w:numId="27">
    <w:abstractNumId w:val="5"/>
  </w:num>
  <w:num w:numId="28">
    <w:abstractNumId w:val="7"/>
  </w:num>
  <w:num w:numId="29">
    <w:abstractNumId w:val="16"/>
  </w:num>
  <w:num w:numId="30">
    <w:abstractNumId w:val="26"/>
  </w:num>
  <w:num w:numId="31">
    <w:abstractNumId w:val="24"/>
  </w:num>
  <w:num w:numId="32">
    <w:abstractNumId w:val="2"/>
  </w:num>
  <w:num w:numId="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attachedTemplate r:id="rId1"/>
  <w:documentProtection w:edit="forms" w:enforcement="1" w:cryptProviderType="rsaFull" w:cryptAlgorithmClass="hash" w:cryptAlgorithmType="typeAny" w:cryptAlgorithmSid="4" w:cryptSpinCount="0" w:hash="VE3w3fGsG6gvnubyV4A4+pVEyJY=" w:salt="Z15QMmIODtATVdXX/tf3/Q=="/>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008B2D73"/>
    <w:rsid w:val="0000040A"/>
    <w:rsid w:val="00000A94"/>
    <w:rsid w:val="00001972"/>
    <w:rsid w:val="00001D9A"/>
    <w:rsid w:val="00004943"/>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24D"/>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57978"/>
    <w:rsid w:val="00060C2E"/>
    <w:rsid w:val="00061033"/>
    <w:rsid w:val="000619E9"/>
    <w:rsid w:val="000622D4"/>
    <w:rsid w:val="0006357D"/>
    <w:rsid w:val="00067F1E"/>
    <w:rsid w:val="00071CC0"/>
    <w:rsid w:val="00071CFC"/>
    <w:rsid w:val="000736AE"/>
    <w:rsid w:val="00073C8C"/>
    <w:rsid w:val="00077B64"/>
    <w:rsid w:val="00080A1C"/>
    <w:rsid w:val="00082317"/>
    <w:rsid w:val="00083D2C"/>
    <w:rsid w:val="000843AE"/>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059F9"/>
    <w:rsid w:val="00113B1E"/>
    <w:rsid w:val="0011711C"/>
    <w:rsid w:val="0012376E"/>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787"/>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4C41"/>
    <w:rsid w:val="00266EEB"/>
    <w:rsid w:val="00267EF4"/>
    <w:rsid w:val="002705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69D2"/>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1B5"/>
    <w:rsid w:val="00336C64"/>
    <w:rsid w:val="00337162"/>
    <w:rsid w:val="0034194F"/>
    <w:rsid w:val="00344605"/>
    <w:rsid w:val="003474AA"/>
    <w:rsid w:val="00350D1D"/>
    <w:rsid w:val="00352C83"/>
    <w:rsid w:val="00352F1A"/>
    <w:rsid w:val="003530E0"/>
    <w:rsid w:val="0036107C"/>
    <w:rsid w:val="003615D2"/>
    <w:rsid w:val="0036332C"/>
    <w:rsid w:val="0036429C"/>
    <w:rsid w:val="00364A53"/>
    <w:rsid w:val="003654CB"/>
    <w:rsid w:val="00365AA9"/>
    <w:rsid w:val="00365F86"/>
    <w:rsid w:val="00365F87"/>
    <w:rsid w:val="00366E89"/>
    <w:rsid w:val="003675F3"/>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A7DB7"/>
    <w:rsid w:val="003B09AD"/>
    <w:rsid w:val="003B1F18"/>
    <w:rsid w:val="003B5BF0"/>
    <w:rsid w:val="003B60BF"/>
    <w:rsid w:val="003B6BE3"/>
    <w:rsid w:val="003C010C"/>
    <w:rsid w:val="003C0A6C"/>
    <w:rsid w:val="003C0E85"/>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611"/>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568"/>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6013"/>
    <w:rsid w:val="004C1FBC"/>
    <w:rsid w:val="004C25A2"/>
    <w:rsid w:val="004C3F1D"/>
    <w:rsid w:val="004C458D"/>
    <w:rsid w:val="004C7556"/>
    <w:rsid w:val="004C7E8B"/>
    <w:rsid w:val="004C7E9D"/>
    <w:rsid w:val="004C7F67"/>
    <w:rsid w:val="004D076D"/>
    <w:rsid w:val="004D0EF1"/>
    <w:rsid w:val="004D2253"/>
    <w:rsid w:val="004D3F7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2F8F"/>
    <w:rsid w:val="0050363E"/>
    <w:rsid w:val="005039BC"/>
    <w:rsid w:val="005043BB"/>
    <w:rsid w:val="00504A3D"/>
    <w:rsid w:val="00505767"/>
    <w:rsid w:val="005073F0"/>
    <w:rsid w:val="00510A7B"/>
    <w:rsid w:val="00512F6E"/>
    <w:rsid w:val="00513038"/>
    <w:rsid w:val="00514174"/>
    <w:rsid w:val="00516088"/>
    <w:rsid w:val="00516B0B"/>
    <w:rsid w:val="00517C15"/>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0D1F"/>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53DD"/>
    <w:rsid w:val="005A7830"/>
    <w:rsid w:val="005A7FCE"/>
    <w:rsid w:val="005B0F3F"/>
    <w:rsid w:val="005B191C"/>
    <w:rsid w:val="005B4903"/>
    <w:rsid w:val="005B51CE"/>
    <w:rsid w:val="005B5885"/>
    <w:rsid w:val="005B5CD7"/>
    <w:rsid w:val="005B6CF6"/>
    <w:rsid w:val="005B7422"/>
    <w:rsid w:val="005B7DD5"/>
    <w:rsid w:val="005C29B8"/>
    <w:rsid w:val="005C5F21"/>
    <w:rsid w:val="005C7156"/>
    <w:rsid w:val="005D0C75"/>
    <w:rsid w:val="005D4171"/>
    <w:rsid w:val="005D6A95"/>
    <w:rsid w:val="005D6B2C"/>
    <w:rsid w:val="005D6D9C"/>
    <w:rsid w:val="005E2335"/>
    <w:rsid w:val="005E34CA"/>
    <w:rsid w:val="005E3C18"/>
    <w:rsid w:val="005E3D74"/>
    <w:rsid w:val="005E4250"/>
    <w:rsid w:val="005E468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064"/>
    <w:rsid w:val="00641A1F"/>
    <w:rsid w:val="00645904"/>
    <w:rsid w:val="0065062A"/>
    <w:rsid w:val="00651ACB"/>
    <w:rsid w:val="00651C47"/>
    <w:rsid w:val="00652AB2"/>
    <w:rsid w:val="00653FED"/>
    <w:rsid w:val="00654EC0"/>
    <w:rsid w:val="0065525B"/>
    <w:rsid w:val="00655D4F"/>
    <w:rsid w:val="00656D29"/>
    <w:rsid w:val="006640E5"/>
    <w:rsid w:val="006646F1"/>
    <w:rsid w:val="00664929"/>
    <w:rsid w:val="00664F62"/>
    <w:rsid w:val="006655E1"/>
    <w:rsid w:val="00665E69"/>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6AA"/>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57173"/>
    <w:rsid w:val="007600E3"/>
    <w:rsid w:val="00765C43"/>
    <w:rsid w:val="00765EFB"/>
    <w:rsid w:val="007671CA"/>
    <w:rsid w:val="00767C61"/>
    <w:rsid w:val="0077008A"/>
    <w:rsid w:val="00773C1F"/>
    <w:rsid w:val="00774DA4"/>
    <w:rsid w:val="0077522D"/>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1A1C"/>
    <w:rsid w:val="007B5A3D"/>
    <w:rsid w:val="007B5B95"/>
    <w:rsid w:val="007B6032"/>
    <w:rsid w:val="007B68EA"/>
    <w:rsid w:val="007B7453"/>
    <w:rsid w:val="007C2D89"/>
    <w:rsid w:val="007C4593"/>
    <w:rsid w:val="007C5309"/>
    <w:rsid w:val="007C603A"/>
    <w:rsid w:val="007C6069"/>
    <w:rsid w:val="007D06C4"/>
    <w:rsid w:val="007D1352"/>
    <w:rsid w:val="007D2508"/>
    <w:rsid w:val="007D346A"/>
    <w:rsid w:val="007D64E5"/>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2F0C"/>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2D73"/>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9F68BD"/>
    <w:rsid w:val="00A0096C"/>
    <w:rsid w:val="00A01757"/>
    <w:rsid w:val="00A028C0"/>
    <w:rsid w:val="00A02BAE"/>
    <w:rsid w:val="00A06A6B"/>
    <w:rsid w:val="00A07E47"/>
    <w:rsid w:val="00A129D0"/>
    <w:rsid w:val="00A12C33"/>
    <w:rsid w:val="00A138BA"/>
    <w:rsid w:val="00A14C8E"/>
    <w:rsid w:val="00A153D9"/>
    <w:rsid w:val="00A15F09"/>
    <w:rsid w:val="00A169B6"/>
    <w:rsid w:val="00A21D89"/>
    <w:rsid w:val="00A2271D"/>
    <w:rsid w:val="00A237D5"/>
    <w:rsid w:val="00A27E99"/>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2140"/>
    <w:rsid w:val="00A83D8D"/>
    <w:rsid w:val="00A8446B"/>
    <w:rsid w:val="00A8473F"/>
    <w:rsid w:val="00A862D6"/>
    <w:rsid w:val="00A8715E"/>
    <w:rsid w:val="00A90664"/>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14CF"/>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215D"/>
    <w:rsid w:val="00B4346D"/>
    <w:rsid w:val="00B440F4"/>
    <w:rsid w:val="00B447A5"/>
    <w:rsid w:val="00B4654C"/>
    <w:rsid w:val="00B47293"/>
    <w:rsid w:val="00B50E50"/>
    <w:rsid w:val="00B513EA"/>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027A"/>
    <w:rsid w:val="00BE22F3"/>
    <w:rsid w:val="00BE5B52"/>
    <w:rsid w:val="00BE7B8D"/>
    <w:rsid w:val="00BF0993"/>
    <w:rsid w:val="00BF10A9"/>
    <w:rsid w:val="00BF1703"/>
    <w:rsid w:val="00BF231C"/>
    <w:rsid w:val="00BF51E5"/>
    <w:rsid w:val="00BF628D"/>
    <w:rsid w:val="00BF74A6"/>
    <w:rsid w:val="00C013AD"/>
    <w:rsid w:val="00C04904"/>
    <w:rsid w:val="00C056B3"/>
    <w:rsid w:val="00C1003D"/>
    <w:rsid w:val="00C103E5"/>
    <w:rsid w:val="00C13319"/>
    <w:rsid w:val="00C13EE9"/>
    <w:rsid w:val="00C21540"/>
    <w:rsid w:val="00C21906"/>
    <w:rsid w:val="00C21BFA"/>
    <w:rsid w:val="00C24C8D"/>
    <w:rsid w:val="00C25FE2"/>
    <w:rsid w:val="00C269F5"/>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1E0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9A"/>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2CC7"/>
    <w:rsid w:val="00D8399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107"/>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269C4"/>
    <w:rsid w:val="00E3137A"/>
    <w:rsid w:val="00E32CCF"/>
    <w:rsid w:val="00E34A98"/>
    <w:rsid w:val="00E35D1E"/>
    <w:rsid w:val="00E364F9"/>
    <w:rsid w:val="00E365FA"/>
    <w:rsid w:val="00E36789"/>
    <w:rsid w:val="00E44A83"/>
    <w:rsid w:val="00E4519C"/>
    <w:rsid w:val="00E502C1"/>
    <w:rsid w:val="00E502DD"/>
    <w:rsid w:val="00E50D3A"/>
    <w:rsid w:val="00E51387"/>
    <w:rsid w:val="00E51E68"/>
    <w:rsid w:val="00E52EFD"/>
    <w:rsid w:val="00E5408A"/>
    <w:rsid w:val="00E56800"/>
    <w:rsid w:val="00E60402"/>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0DFB"/>
    <w:rsid w:val="00F32780"/>
    <w:rsid w:val="00F33817"/>
    <w:rsid w:val="00F420D5"/>
    <w:rsid w:val="00F451EA"/>
    <w:rsid w:val="00F45447"/>
    <w:rsid w:val="00F456C6"/>
    <w:rsid w:val="00F4577B"/>
    <w:rsid w:val="00F46235"/>
    <w:rsid w:val="00F46496"/>
    <w:rsid w:val="00F474D0"/>
    <w:rsid w:val="00F50179"/>
    <w:rsid w:val="00F515EE"/>
    <w:rsid w:val="00F56511"/>
    <w:rsid w:val="00F6194E"/>
    <w:rsid w:val="00F623AC"/>
    <w:rsid w:val="00F6412A"/>
    <w:rsid w:val="00F65893"/>
    <w:rsid w:val="00F66A4A"/>
    <w:rsid w:val="00F71E22"/>
    <w:rsid w:val="00F72142"/>
    <w:rsid w:val="00F72AE7"/>
    <w:rsid w:val="00F731BD"/>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09E6"/>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0D41"/>
    <w:rsid w:val="00FF2A5D"/>
    <w:rsid w:val="00FF3E7D"/>
    <w:rsid w:val="00FF5B99"/>
    <w:rsid w:val="00FF730C"/>
    <w:rsid w:val="00FF73F4"/>
    <w:rsid w:val="00FF7CE4"/>
    <w:rsid w:val="00FF7E39"/>
    <w:rsid w:val="01D06ADA"/>
    <w:rsid w:val="029B7B4A"/>
    <w:rsid w:val="03C07382"/>
    <w:rsid w:val="042E69E2"/>
    <w:rsid w:val="04C82992"/>
    <w:rsid w:val="0580326D"/>
    <w:rsid w:val="059A4BBB"/>
    <w:rsid w:val="073A744C"/>
    <w:rsid w:val="07C1191B"/>
    <w:rsid w:val="086758C2"/>
    <w:rsid w:val="08D7518F"/>
    <w:rsid w:val="0A516F86"/>
    <w:rsid w:val="0A8C6210"/>
    <w:rsid w:val="0AF338E8"/>
    <w:rsid w:val="0E9331A5"/>
    <w:rsid w:val="0F040A6B"/>
    <w:rsid w:val="0F4F2D5A"/>
    <w:rsid w:val="122A4C8C"/>
    <w:rsid w:val="14C82908"/>
    <w:rsid w:val="15695ACC"/>
    <w:rsid w:val="17BC54EA"/>
    <w:rsid w:val="17BF5E77"/>
    <w:rsid w:val="1A824F3A"/>
    <w:rsid w:val="1ABD2416"/>
    <w:rsid w:val="1B1D486E"/>
    <w:rsid w:val="1DAD4C5B"/>
    <w:rsid w:val="1E1862BA"/>
    <w:rsid w:val="1F486752"/>
    <w:rsid w:val="20390790"/>
    <w:rsid w:val="21521B0A"/>
    <w:rsid w:val="220F3557"/>
    <w:rsid w:val="231352C9"/>
    <w:rsid w:val="241B3930"/>
    <w:rsid w:val="25946303"/>
    <w:rsid w:val="26BE379D"/>
    <w:rsid w:val="277976C4"/>
    <w:rsid w:val="2A152EC1"/>
    <w:rsid w:val="2B100330"/>
    <w:rsid w:val="2B9176D3"/>
    <w:rsid w:val="2DC86CB0"/>
    <w:rsid w:val="30E3452C"/>
    <w:rsid w:val="324E3C27"/>
    <w:rsid w:val="34B61F58"/>
    <w:rsid w:val="3607389D"/>
    <w:rsid w:val="37BC1633"/>
    <w:rsid w:val="38A071A7"/>
    <w:rsid w:val="38EA21D0"/>
    <w:rsid w:val="3A791A5E"/>
    <w:rsid w:val="3FCC4431"/>
    <w:rsid w:val="40520D87"/>
    <w:rsid w:val="42226269"/>
    <w:rsid w:val="42DE28AD"/>
    <w:rsid w:val="439E2535"/>
    <w:rsid w:val="43C7383A"/>
    <w:rsid w:val="44706E4E"/>
    <w:rsid w:val="449776B0"/>
    <w:rsid w:val="46C4063A"/>
    <w:rsid w:val="47633879"/>
    <w:rsid w:val="494901C7"/>
    <w:rsid w:val="49E022DA"/>
    <w:rsid w:val="4A3C79CE"/>
    <w:rsid w:val="4BB70638"/>
    <w:rsid w:val="4D333CEE"/>
    <w:rsid w:val="4E265601"/>
    <w:rsid w:val="4F4E3061"/>
    <w:rsid w:val="4FC60E49"/>
    <w:rsid w:val="4FFF435B"/>
    <w:rsid w:val="50AD3DB7"/>
    <w:rsid w:val="50F43794"/>
    <w:rsid w:val="532C36B9"/>
    <w:rsid w:val="54B971CF"/>
    <w:rsid w:val="56933A4F"/>
    <w:rsid w:val="57EF1159"/>
    <w:rsid w:val="5822341B"/>
    <w:rsid w:val="58C56D33"/>
    <w:rsid w:val="59CC6DFC"/>
    <w:rsid w:val="5B562835"/>
    <w:rsid w:val="5BF60DF4"/>
    <w:rsid w:val="5D415FB3"/>
    <w:rsid w:val="5D9E3405"/>
    <w:rsid w:val="5F553840"/>
    <w:rsid w:val="5FBB72A5"/>
    <w:rsid w:val="610C0686"/>
    <w:rsid w:val="634E31D8"/>
    <w:rsid w:val="64462101"/>
    <w:rsid w:val="65501489"/>
    <w:rsid w:val="665054B9"/>
    <w:rsid w:val="68242759"/>
    <w:rsid w:val="6A55309E"/>
    <w:rsid w:val="6DBB76BC"/>
    <w:rsid w:val="6F6D49E6"/>
    <w:rsid w:val="710D6480"/>
    <w:rsid w:val="7189187F"/>
    <w:rsid w:val="71FA64CF"/>
    <w:rsid w:val="737525FE"/>
    <w:rsid w:val="74A40EAA"/>
    <w:rsid w:val="76813875"/>
    <w:rsid w:val="76B13D52"/>
    <w:rsid w:val="77BB5F58"/>
    <w:rsid w:val="77FC724F"/>
    <w:rsid w:val="78741E82"/>
    <w:rsid w:val="7BCA5728"/>
    <w:rsid w:val="7D0270B5"/>
    <w:rsid w:val="7D036989"/>
    <w:rsid w:val="7D6E02A7"/>
    <w:rsid w:val="F3AF552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6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66">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6"/>
    <w:qFormat/>
    <w:uiPriority w:val="0"/>
    <w:pPr>
      <w:numPr>
        <w:ilvl w:val="0"/>
        <w:numId w:val="3"/>
      </w:numPr>
      <w:ind w:firstLine="0" w:firstLineChars="0"/>
    </w:pPr>
  </w:style>
  <w:style w:type="paragraph" w:customStyle="1" w:styleId="69">
    <w:name w:val="标准文件_封面标准编号"/>
    <w:basedOn w:val="1"/>
    <w:next w:val="59"/>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6"/>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6"/>
    <w:next w:val="56"/>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6"/>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5"/>
    <w:next w:val="66"/>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6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66"/>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tabs>
        <w:tab w:val="left" w:pos="851"/>
      </w:tabs>
      <w:jc w:val="both"/>
    </w:pPr>
    <w:rPr>
      <w:rFonts w:ascii="宋体" w:hAnsi="Times New Roman" w:eastAsia="宋体" w:cs="Times New Roman"/>
      <w:sz w:val="21"/>
      <w:lang w:val="en-US" w:eastAsia="zh-CN" w:bidi="ar-SA"/>
    </w:rPr>
  </w:style>
  <w:style w:type="paragraph" w:customStyle="1" w:styleId="111">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tabs>
        <w:tab w:val="left" w:pos="851"/>
      </w:tabs>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6"/>
    <w:qFormat/>
    <w:uiPriority w:val="0"/>
    <w:pPr>
      <w:outlineLvl w:val="4"/>
    </w:pPr>
  </w:style>
  <w:style w:type="paragraph" w:customStyle="1" w:styleId="131">
    <w:name w:val="附录四级无标题条"/>
    <w:basedOn w:val="130"/>
    <w:next w:val="56"/>
    <w:qFormat/>
    <w:uiPriority w:val="0"/>
    <w:pPr>
      <w:outlineLvl w:val="5"/>
    </w:pPr>
  </w:style>
  <w:style w:type="paragraph" w:customStyle="1" w:styleId="132">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6"/>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6"/>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6"/>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6"/>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5"/>
    <w:qFormat/>
    <w:uiPriority w:val="0"/>
    <w:pPr>
      <w:spacing w:before="0" w:beforeLines="0" w:after="0" w:afterLines="0"/>
      <w:outlineLvl w:val="9"/>
    </w:pPr>
    <w:rPr>
      <w:rFonts w:ascii="宋体" w:eastAsia="宋体"/>
    </w:rPr>
  </w:style>
  <w:style w:type="paragraph" w:customStyle="1" w:styleId="167">
    <w:name w:val="标准_四级无标题"/>
    <w:basedOn w:val="99"/>
    <w:next w:val="56"/>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6"/>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6"/>
    <w:qFormat/>
    <w:uiPriority w:val="0"/>
    <w:pPr>
      <w:ind w:firstLine="0" w:firstLineChars="0"/>
      <w:jc w:val="center"/>
    </w:pPr>
    <w:rPr>
      <w:sz w:val="18"/>
    </w:rPr>
  </w:style>
  <w:style w:type="paragraph" w:customStyle="1" w:styleId="180">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6"/>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6"/>
    <w:qFormat/>
    <w:uiPriority w:val="0"/>
    <w:rPr>
      <w:rFonts w:ascii="宋体" w:hAnsi="Times New Roman"/>
      <w:sz w:val="21"/>
    </w:rPr>
  </w:style>
  <w:style w:type="paragraph" w:customStyle="1" w:styleId="186">
    <w:name w:val="标准文件_表格续"/>
    <w:basedOn w:val="56"/>
    <w:next w:val="56"/>
    <w:qFormat/>
    <w:uiPriority w:val="0"/>
    <w:pPr>
      <w:jc w:val="center"/>
    </w:pPr>
    <w:rPr>
      <w:rFonts w:ascii="黑体" w:hAnsi="黑体" w:eastAsia="黑体"/>
    </w:rPr>
  </w:style>
  <w:style w:type="character" w:styleId="187">
    <w:name w:val="Placeholder Text"/>
    <w:basedOn w:val="28"/>
    <w:semiHidden/>
    <w:qFormat/>
    <w:uiPriority w:val="99"/>
    <w:rPr>
      <w:color w:val="808080"/>
    </w:rPr>
  </w:style>
  <w:style w:type="paragraph" w:customStyle="1" w:styleId="188">
    <w:name w:val="标准文件_二级项2"/>
    <w:basedOn w:val="56"/>
    <w:qFormat/>
    <w:uiPriority w:val="0"/>
    <w:pPr>
      <w:numPr>
        <w:ilvl w:val="1"/>
        <w:numId w:val="21"/>
      </w:numPr>
      <w:ind w:firstLine="0" w:firstLineChars="0"/>
    </w:pPr>
  </w:style>
  <w:style w:type="paragraph" w:customStyle="1" w:styleId="189">
    <w:name w:val="标准文件_三级项2"/>
    <w:basedOn w:val="56"/>
    <w:qFormat/>
    <w:uiPriority w:val="0"/>
    <w:pPr>
      <w:numPr>
        <w:ilvl w:val="0"/>
        <w:numId w:val="30"/>
      </w:numPr>
      <w:spacing w:line="300" w:lineRule="exact"/>
      <w:ind w:firstLineChars="0"/>
    </w:pPr>
    <w:rPr>
      <w:rFonts w:ascii="Times New Roman"/>
    </w:rPr>
  </w:style>
  <w:style w:type="paragraph" w:customStyle="1" w:styleId="190">
    <w:name w:val="标准文件_一级项2"/>
    <w:basedOn w:val="56"/>
    <w:qFormat/>
    <w:uiPriority w:val="0"/>
    <w:pPr>
      <w:numPr>
        <w:ilvl w:val="0"/>
        <w:numId w:val="31"/>
      </w:numPr>
      <w:spacing w:line="300" w:lineRule="exact"/>
      <w:ind w:firstLineChars="0"/>
    </w:pPr>
    <w:rPr>
      <w:rFonts w:ascii="Times New Roman"/>
    </w:rPr>
  </w:style>
  <w:style w:type="paragraph" w:customStyle="1" w:styleId="191">
    <w:name w:val="标准文件_提示"/>
    <w:basedOn w:val="56"/>
    <w:next w:val="56"/>
    <w:qFormat/>
    <w:uiPriority w:val="0"/>
    <w:pPr>
      <w:ind w:firstLine="420"/>
    </w:pPr>
    <w:rPr>
      <w:rFonts w:ascii="黑体" w:eastAsia="黑体"/>
    </w:rPr>
  </w:style>
  <w:style w:type="character" w:customStyle="1" w:styleId="192">
    <w:name w:val="标准文件_来源"/>
    <w:basedOn w:val="28"/>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6"/>
    <w:qFormat/>
    <w:uiPriority w:val="0"/>
    <w:pPr>
      <w:ind w:left="811" w:firstLine="0" w:firstLineChars="0"/>
    </w:pPr>
    <w:rPr>
      <w:sz w:val="18"/>
    </w:rPr>
  </w:style>
  <w:style w:type="paragraph" w:customStyle="1" w:styleId="207">
    <w:name w:val="标准文件_注X后"/>
    <w:basedOn w:val="56"/>
    <w:qFormat/>
    <w:uiPriority w:val="0"/>
    <w:pPr>
      <w:ind w:left="811" w:firstLine="0" w:firstLineChars="0"/>
    </w:pPr>
    <w:rPr>
      <w:sz w:val="18"/>
    </w:rPr>
  </w:style>
  <w:style w:type="paragraph" w:customStyle="1" w:styleId="208">
    <w:name w:val="标准文件_示例后"/>
    <w:basedOn w:val="56"/>
    <w:qFormat/>
    <w:uiPriority w:val="0"/>
    <w:pPr>
      <w:ind w:left="964" w:firstLine="0" w:firstLineChars="0"/>
    </w:pPr>
    <w:rPr>
      <w:sz w:val="18"/>
    </w:rPr>
  </w:style>
  <w:style w:type="paragraph" w:customStyle="1" w:styleId="209">
    <w:name w:val="标准文件_示例X后"/>
    <w:basedOn w:val="56"/>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6"/>
    <w:next w:val="56"/>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6"/>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6"/>
    <w:qFormat/>
    <w:uiPriority w:val="0"/>
    <w:pPr>
      <w:spacing w:before="0" w:beforeLines="0" w:after="0" w:afterLines="0" w:line="276" w:lineRule="auto"/>
    </w:pPr>
    <w:rPr>
      <w:rFonts w:ascii="宋体" w:eastAsia="宋体"/>
    </w:rPr>
  </w:style>
  <w:style w:type="paragraph" w:customStyle="1" w:styleId="222">
    <w:name w:val="标准文件_索引标题"/>
    <w:basedOn w:val="63"/>
    <w:next w:val="56"/>
    <w:qFormat/>
    <w:uiPriority w:val="0"/>
    <w:rPr>
      <w:rFonts w:hAnsi="黑体"/>
    </w:rPr>
  </w:style>
  <w:style w:type="paragraph" w:customStyle="1" w:styleId="223">
    <w:name w:val="标准文件_脚注内容"/>
    <w:basedOn w:val="56"/>
    <w:qFormat/>
    <w:uiPriority w:val="0"/>
    <w:pPr>
      <w:ind w:left="400" w:leftChars="200" w:hanging="200" w:hangingChars="200"/>
    </w:pPr>
    <w:rPr>
      <w:sz w:val="15"/>
    </w:rPr>
  </w:style>
  <w:style w:type="paragraph" w:customStyle="1" w:styleId="224">
    <w:name w:val="标准文件_术语条一"/>
    <w:basedOn w:val="163"/>
    <w:next w:val="56"/>
    <w:qFormat/>
    <w:uiPriority w:val="0"/>
  </w:style>
  <w:style w:type="paragraph" w:customStyle="1" w:styleId="225">
    <w:name w:val="标准文件_术语条二"/>
    <w:basedOn w:val="166"/>
    <w:next w:val="56"/>
    <w:qFormat/>
    <w:uiPriority w:val="0"/>
  </w:style>
  <w:style w:type="paragraph" w:customStyle="1" w:styleId="226">
    <w:name w:val="标准文件_术语条三"/>
    <w:basedOn w:val="165"/>
    <w:next w:val="56"/>
    <w:qFormat/>
    <w:uiPriority w:val="0"/>
  </w:style>
  <w:style w:type="paragraph" w:customStyle="1" w:styleId="227">
    <w:name w:val="标准文件_术语条四"/>
    <w:basedOn w:val="168"/>
    <w:next w:val="56"/>
    <w:qFormat/>
    <w:uiPriority w:val="0"/>
  </w:style>
  <w:style w:type="paragraph" w:customStyle="1" w:styleId="228">
    <w:name w:val="标准文件_术语条五"/>
    <w:basedOn w:val="164"/>
    <w:next w:val="56"/>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8"/>
    <w:qFormat/>
    <w:uiPriority w:val="0"/>
    <w:rPr>
      <w:rFonts w:ascii="黑体" w:eastAsia="黑体"/>
      <w:spacing w:val="85"/>
      <w:w w:val="100"/>
      <w:position w:val="3"/>
      <w:sz w:val="28"/>
      <w:szCs w:val="28"/>
    </w:rPr>
  </w:style>
  <w:style w:type="paragraph" w:customStyle="1" w:styleId="231">
    <w:name w:val="标准文件_表格题注"/>
    <w:autoRedefine/>
    <w:qFormat/>
    <w:uiPriority w:val="0"/>
    <w:pPr>
      <w:numPr>
        <w:ilvl w:val="0"/>
        <w:numId w:val="32"/>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232">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233">
    <w:name w:val="标准文件_表格内容"/>
    <w:basedOn w:val="1"/>
    <w:autoRedefine/>
    <w:qFormat/>
    <w:uiPriority w:val="0"/>
    <w:pPr>
      <w:spacing w:line="300" w:lineRule="atLeast"/>
      <w:jc w:val="left"/>
    </w:pPr>
    <w:rPr>
      <w:rFonts w:ascii="宋体" w:hAnsi="宋体" w:cs="Times New Roman"/>
      <w:sz w:val="18"/>
    </w:rPr>
  </w:style>
  <w:style w:type="paragraph" w:customStyle="1" w:styleId="234">
    <w:name w:val="标准文件_图片题注"/>
    <w:autoRedefine/>
    <w:qFormat/>
    <w:uiPriority w:val="0"/>
    <w:pPr>
      <w:numPr>
        <w:ilvl w:val="0"/>
        <w:numId w:val="33"/>
      </w:numPr>
      <w:spacing w:before="50" w:beforeLines="50" w:after="50" w:afterLines="50"/>
      <w:jc w:val="center"/>
    </w:pPr>
    <w:rPr>
      <w:rFonts w:ascii="黑体" w:hAnsi="黑体" w:eastAsia="黑体" w:cstheme="minorBidi"/>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glossaryDocument" Target="glossary/document.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3.jpeg"/><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8.xml"/><Relationship Id="rId20" Type="http://schemas.openxmlformats.org/officeDocument/2006/relationships/footer" Target="footer7.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header" Target="header8.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weboffice\tmp\webword_2579374621\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1AAA52270374532AA7C98F5FC00429A"/>
        <w:style w:val=""/>
        <w:category>
          <w:name w:val="常规"/>
          <w:gallery w:val="placeholder"/>
        </w:category>
        <w:types>
          <w:type w:val="bbPlcHdr"/>
        </w:types>
        <w:behaviors>
          <w:behavior w:val="content"/>
        </w:behaviors>
        <w:description w:val=""/>
        <w:guid w:val="{39878737-4092-4C44-98C4-1B59EB04E72D}"/>
      </w:docPartPr>
      <w:docPartBody>
        <w:p w14:paraId="45CDA0F0">
          <w:pPr>
            <w:pStyle w:val="5"/>
            <w:rPr>
              <w:rFonts w:hint="eastAsia"/>
            </w:rPr>
          </w:pPr>
          <w:r>
            <w:rPr>
              <w:rStyle w:val="4"/>
              <w:rFonts w:hint="eastAsia"/>
            </w:rPr>
            <w:t>单击或点击此处输入文字。</w:t>
          </w:r>
        </w:p>
      </w:docPartBody>
    </w:docPart>
    <w:docPart>
      <w:docPartPr>
        <w:name w:val="FF0054CC84D048C2BFA2F4572D65DF65"/>
        <w:style w:val=""/>
        <w:category>
          <w:name w:val="常规"/>
          <w:gallery w:val="placeholder"/>
        </w:category>
        <w:types>
          <w:type w:val="bbPlcHdr"/>
        </w:types>
        <w:behaviors>
          <w:behavior w:val="content"/>
        </w:behaviors>
        <w:description w:val=""/>
        <w:guid w:val="{67F023CE-E9F0-49DF-88FB-2C7CFDB6FB0C}"/>
      </w:docPartPr>
      <w:docPartBody>
        <w:p w14:paraId="63AA39B4">
          <w:pPr>
            <w:pStyle w:val="6"/>
            <w:rPr>
              <w:rFonts w:hint="eastAsia"/>
            </w:rPr>
          </w:pPr>
          <w:r>
            <w:rPr>
              <w:rStyle w:val="4"/>
              <w:rFonts w:hint="eastAsia"/>
            </w:rPr>
            <w:t>选择一项。</w:t>
          </w:r>
        </w:p>
      </w:docPartBody>
    </w:docPart>
    <w:docPart>
      <w:docPartPr>
        <w:name w:val="BE3737DD1D8843BEAE6237A2BC536667"/>
        <w:style w:val=""/>
        <w:category>
          <w:name w:val="常规"/>
          <w:gallery w:val="placeholder"/>
        </w:category>
        <w:types>
          <w:type w:val="bbPlcHdr"/>
        </w:types>
        <w:behaviors>
          <w:behavior w:val="content"/>
        </w:behaviors>
        <w:description w:val=""/>
        <w:guid w:val="{D4495E1A-EA6F-47B1-9360-1785CC22357F}"/>
      </w:docPartPr>
      <w:docPartBody>
        <w:p w14:paraId="44ECB797">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A56"/>
    <w:rsid w:val="001D6273"/>
    <w:rsid w:val="0022344A"/>
    <w:rsid w:val="00463A56"/>
    <w:rsid w:val="004D3F73"/>
    <w:rsid w:val="00517C15"/>
    <w:rsid w:val="009F68BD"/>
    <w:rsid w:val="00A10C23"/>
    <w:rsid w:val="00A15C44"/>
    <w:rsid w:val="00A82140"/>
    <w:rsid w:val="00C26BDD"/>
    <w:rsid w:val="00E60402"/>
    <w:rsid w:val="00E9271E"/>
    <w:rsid w:val="00ED50FE"/>
    <w:rsid w:val="00F30DFB"/>
    <w:rsid w:val="00F30E94"/>
    <w:rsid w:val="00F6478F"/>
    <w:rsid w:val="00F86B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1AAA52270374532AA7C98F5FC00429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FF0054CC84D048C2BFA2F4572D65DF6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BE3737DD1D8843BEAE6237A2BC536667"/>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PCMI</Company>
  <Pages>10</Pages>
  <Words>3603</Words>
  <Characters>3790</Characters>
  <Lines>369</Lines>
  <Paragraphs>508</Paragraphs>
  <TotalTime>4</TotalTime>
  <ScaleCrop>false</ScaleCrop>
  <LinksUpToDate>false</LinksUpToDate>
  <CharactersWithSpaces>3856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2025-06-03T10:51:00Z</dcterms:created>
  <dc:creator>王志强</dc:creator>
  <dc:description>&lt;config cover="true" show_menu="true" version="1.0.0" doctype="SDKXY"&gt;_x000d_
&lt;/config&gt;</dc:description>
  <cp:lastModifiedBy>游钦凉</cp:lastModifiedBy>
  <cp:lastPrinted>2021-02-02T16:22:00Z</cp:lastPrinted>
  <dcterms:modified xsi:type="dcterms:W3CDTF">2026-04-01T00:50:43Z</dcterms:modified>
  <dc:title>团体标准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eyJoZGlkIjoiMjdlZDgyOTQyNjFjNTk3MWVlYTY0NzMzZGMxODZkODYiLCJ1c2VySWQiOiIxNTY4NTU3MDQ2In0=</vt:lpwstr>
  </property>
  <property fmtid="{D5CDD505-2E9C-101B-9397-08002B2CF9AE}" pid="15" name="KSOProductBuildVer">
    <vt:lpwstr>2052-12.1.0.22529</vt:lpwstr>
  </property>
  <property fmtid="{D5CDD505-2E9C-101B-9397-08002B2CF9AE}" pid="16" name="ICV">
    <vt:lpwstr>D437DF1607C8F68A4CA6BF6876CBB180_43</vt:lpwstr>
  </property>
  <property fmtid="{D5CDD505-2E9C-101B-9397-08002B2CF9AE}" pid="17" name="uuid">
    <vt:lpwstr>5eb7b5cc2eb37b0e99516e006bd52d19</vt:lpwstr>
  </property>
</Properties>
</file>