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4AB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2ACC200">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14:paraId="037D52AB">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2"/>
          </w:p>
        </w:tc>
      </w:tr>
      <w:tr w14:paraId="2E878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0EACA7C">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14:paraId="046C9CF8">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3"/>
          </w:p>
        </w:tc>
      </w:tr>
      <w:tr w14:paraId="0F5A8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B0581E6">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14:paraId="1CC5A646">
            <w:pPr>
              <w:pStyle w:val="54"/>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14:paraId="2C9E3A4E">
      <w:pPr>
        <w:pStyle w:val="55"/>
        <w:rPr>
          <w:b w:val="0"/>
          <w:bCs w:val="0"/>
          <w:w w:val="100"/>
          <w:szCs w:val="48"/>
        </w:rPr>
      </w:pPr>
      <w:r>
        <w:rPr>
          <w:rFonts w:hint="eastAsia"/>
          <w:b w:val="0"/>
          <w:w w:val="100"/>
        </w:rPr>
        <w:t>团体</w:t>
      </w:r>
      <w:r>
        <w:rPr>
          <w:rFonts w:hint="eastAsia"/>
          <w:b w:val="0"/>
          <w:bCs w:val="0"/>
          <w:w w:val="100"/>
          <w:szCs w:val="48"/>
        </w:rPr>
        <w:t>标准</w:t>
      </w:r>
    </w:p>
    <w:bookmarkEnd w:id="4"/>
    <w:p w14:paraId="5666A950">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14:paraId="79672576">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14:paraId="158D1B3E">
      <w:pPr>
        <w:pStyle w:val="55"/>
        <w:framePr w:h="6976" w:hRule="exact" w:hSpace="0" w:vSpace="0" w:wrap="around" w:y="6408"/>
        <w:jc w:val="center"/>
        <w:rPr>
          <w:b w:val="0"/>
          <w:bCs w:val="0"/>
          <w:w w:val="100"/>
        </w:rPr>
      </w:pPr>
    </w:p>
    <w:p w14:paraId="0735D7C9">
      <w:pPr>
        <w:pStyle w:val="61"/>
        <w:framePr w:h="6974" w:hRule="exact" w:wrap="around" w:x="1419" w:anchorLock="1"/>
      </w:pPr>
      <w:bookmarkStart w:id="67" w:name="_GoBack"/>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t>人防工程防护阀门通用技术条件</w:t>
      </w:r>
      <w:r>
        <w:fldChar w:fldCharType="end"/>
      </w:r>
      <w:bookmarkEnd w:id="67"/>
      <w:bookmarkEnd w:id="10"/>
    </w:p>
    <w:p w14:paraId="6DE06B8D">
      <w:pPr>
        <w:framePr w:w="9639" w:h="6974" w:hRule="exact" w:wrap="around" w:vAnchor="page" w:hAnchor="page" w:x="1419" w:y="6408" w:anchorLock="1"/>
        <w:ind w:left="-1418"/>
      </w:pPr>
    </w:p>
    <w:p w14:paraId="00E7045E">
      <w:pPr>
        <w:pStyle w:val="56"/>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General technical conditions for protective valves of civil air defence works</w:t>
      </w:r>
      <w:r>
        <w:fldChar w:fldCharType="end"/>
      </w:r>
      <w:bookmarkEnd w:id="11"/>
    </w:p>
    <w:p w14:paraId="294E8EBE">
      <w:pPr>
        <w:framePr w:w="9639" w:h="6974" w:hRule="exact" w:wrap="around" w:vAnchor="page" w:hAnchor="page" w:x="1419" w:y="6408" w:anchorLock="1"/>
        <w:spacing w:line="760" w:lineRule="exact"/>
        <w:ind w:left="-1418"/>
      </w:pPr>
    </w:p>
    <w:p w14:paraId="52D36111">
      <w:pPr>
        <w:pStyle w:val="56"/>
        <w:framePr w:h="6974" w:hRule="exact" w:wrap="around" w:x="1419"/>
        <w:pBdr>
          <w:top w:val="none" w:color="auto" w:sz="0" w:space="0"/>
          <w:left w:val="none" w:color="auto" w:sz="0" w:space="0"/>
          <w:bottom w:val="none" w:color="auto" w:sz="0" w:space="0"/>
          <w:right w:val="none" w:color="auto" w:sz="0" w:space="0"/>
        </w:pBdr>
        <w:spacing w:before="0" w:after="120"/>
        <w:textAlignment w:val="bottom"/>
        <w:rPr>
          <w:rFonts w:hint="eastAsia" w:eastAsia="黑体"/>
          <w:lang w:eastAsia="zh-CN"/>
        </w:rPr>
      </w:pPr>
      <w:r>
        <w:rPr>
          <w:rFonts w:hint="eastAsia"/>
          <w:lang w:eastAsia="zh-CN"/>
        </w:rPr>
        <w:t>（征求意见稿）</w:t>
      </w:r>
    </w:p>
    <w:p w14:paraId="3EF256BB">
      <w:pPr>
        <w:pStyle w:val="56"/>
        <w:framePr w:h="6974" w:hRule="exact" w:wrap="around" w:x="1419"/>
        <w:textAlignment w:val="bottom"/>
      </w:pPr>
    </w:p>
    <w:p w14:paraId="4640376A">
      <w:pPr>
        <w:pStyle w:val="56"/>
        <w:framePr w:h="6974" w:hRule="exact" w:wrap="around" w:x="1419"/>
        <w:spacing w:before="978" w:beforeLines="300" w:after="97" w:afterLines="30" w:line="240" w:lineRule="auto"/>
        <w:textAlignment w:val="bottom"/>
        <w:rPr>
          <w:b/>
          <w:sz w:val="21"/>
        </w:rPr>
      </w:pPr>
    </w:p>
    <w:p w14:paraId="142408EF">
      <w:pPr>
        <w:pStyle w:val="57"/>
        <w:framePr w:wrap="around" w:hAnchor="page" w:x="1396" w:y="14116"/>
      </w:pPr>
      <w:r>
        <w:pict>
          <v:line id="直接连接符 5" o:spid="_x0000_s1035" o:spt="20" style="position:absolute;left:0pt;margin-left:70.85pt;margin-top:728.6pt;height:0pt;width:481.9pt;mso-position-horizontal-relative:page;mso-position-vertic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14:paraId="69B1F80F">
      <w:pPr>
        <w:pStyle w:val="58"/>
        <w:framePr w:wrap="around" w:hAnchor="page" w:x="7081" w:y="14116"/>
      </w:pPr>
      <w:r>
        <w:rPr>
          <w:rFonts w:hint="eastAsia"/>
        </w:rPr>
        <w:t>实施</w:t>
      </w:r>
    </w:p>
    <w:p w14:paraId="3A858006">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2" w:name="StdApprovedep"/>
      <w:r>
        <w:rPr>
          <w:rFonts w:hAnsi="黑体"/>
          <w:w w:val="100"/>
          <w:sz w:val="28"/>
        </w:rPr>
        <w:instrText xml:space="preserve"> FORMTEXT </w:instrText>
      </w:r>
      <w:r>
        <w:rPr>
          <w:rFonts w:hAnsi="黑体"/>
          <w:w w:val="100"/>
          <w:sz w:val="28"/>
        </w:rPr>
        <w:fldChar w:fldCharType="separate"/>
      </w:r>
      <w:r>
        <w:rPr>
          <w:rFonts w:hAnsi="黑体"/>
          <w:w w:val="100"/>
          <w:sz w:val="28"/>
        </w:rPr>
        <w:t>浙江省产学研合作促进会</w:t>
      </w:r>
      <w:r>
        <w:rPr>
          <w:rFonts w:hAnsi="黑体"/>
          <w:w w:val="100"/>
          <w:sz w:val="28"/>
        </w:rPr>
        <w:fldChar w:fldCharType="end"/>
      </w:r>
      <w:bookmarkEnd w:id="12"/>
      <w:r>
        <w:rPr>
          <w:rFonts w:ascii="Times New Roman"/>
          <w:w w:val="100"/>
          <w:sz w:val="28"/>
        </w:rPr>
        <w:t>  </w:t>
      </w:r>
      <w:r>
        <w:rPr>
          <w:rStyle w:val="64"/>
          <w:rFonts w:hint="eastAsia" w:hAnsi="黑体"/>
        </w:rPr>
        <w:t>发布</w:t>
      </w:r>
    </w:p>
    <w:p w14:paraId="0BB6C354">
      <w:r>
        <mc:AlternateContent>
          <mc:Choice Requires="wps">
            <w:drawing>
              <wp:anchor distT="0" distB="0" distL="114300" distR="114300" simplePos="0" relativeHeight="251661312"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1312;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0CC74DAB">
      <w:pPr>
        <w:sectPr>
          <w:type w:val="oddPage"/>
          <w:pgSz w:w="11906" w:h="16838"/>
          <w:pgMar w:top="567" w:right="1134" w:bottom="1134" w:left="1134" w:header="851" w:footer="992" w:gutter="0"/>
          <w:pgNumType w:start="1"/>
          <w:cols w:space="425" w:num="1"/>
          <w:docGrid w:type="lines" w:linePitch="326" w:charSpace="0"/>
        </w:sectPr>
      </w:pPr>
    </w:p>
    <w:bookmarkEnd w:id="0"/>
    <w:p w14:paraId="0775BB2E">
      <w:pPr>
        <w:pStyle w:val="108"/>
        <w:spacing w:after="489"/>
        <w:rPr>
          <w:rFonts w:hint="default"/>
        </w:rPr>
      </w:pPr>
      <w:bookmarkStart w:id="13" w:name="mbookmark30"/>
      <w:r>
        <w:rPr>
          <w:spacing w:val="318"/>
        </w:rPr>
        <w:t>目</w:t>
      </w:r>
      <w:r>
        <w:t>次</w:t>
      </w:r>
    </w:p>
    <w:p w14:paraId="64884F50">
      <w:pPr>
        <w:pStyle w:val="8"/>
        <w:tabs>
          <w:tab w:val="right" w:leader="dot" w:pos="9638"/>
          <w:tab w:val="clear" w:pos="8494"/>
        </w:tabs>
      </w:pPr>
      <w:r>
        <w:rPr>
          <w:rFonts w:hint="eastAsia"/>
        </w:rPr>
        <w:fldChar w:fldCharType="begin"/>
      </w:r>
      <w:r>
        <w:rPr>
          <w:rFonts w:hint="eastAsia"/>
        </w:rPr>
        <w:instrText xml:space="preserve">TOC \o "1-1" \h \u </w:instrText>
      </w:r>
      <w:r>
        <w:rPr>
          <w:rFonts w:hint="eastAsia"/>
        </w:rPr>
        <w:fldChar w:fldCharType="separate"/>
      </w:r>
      <w:r>
        <w:fldChar w:fldCharType="begin"/>
      </w:r>
      <w:r>
        <w:instrText xml:space="preserve"> HYPERLINK \l "_Toc31518" </w:instrText>
      </w:r>
      <w:r>
        <w:fldChar w:fldCharType="separate"/>
      </w:r>
      <w:r>
        <w:rPr>
          <w:rFonts w:hint="eastAsia"/>
        </w:rPr>
        <w:t>前言</w:t>
      </w:r>
      <w:r>
        <w:rPr>
          <w:rFonts w:hint="eastAsia"/>
        </w:rPr>
        <w:tab/>
      </w:r>
      <w:r>
        <w:rPr>
          <w:rFonts w:hint="eastAsia"/>
        </w:rPr>
        <w:fldChar w:fldCharType="begin"/>
      </w:r>
      <w:r>
        <w:rPr>
          <w:rFonts w:hint="eastAsia"/>
        </w:rPr>
        <w:instrText xml:space="preserve"> PAGEREF _Toc31518 \h </w:instrText>
      </w:r>
      <w:r>
        <w:rPr>
          <w:rFonts w:hint="eastAsia"/>
        </w:rPr>
        <w:fldChar w:fldCharType="separate"/>
      </w:r>
      <w:r>
        <w:rPr>
          <w:rFonts w:hint="eastAsia"/>
        </w:rPr>
        <w:t>II</w:t>
      </w:r>
      <w:r>
        <w:rPr>
          <w:rFonts w:hint="eastAsia"/>
        </w:rPr>
        <w:fldChar w:fldCharType="end"/>
      </w:r>
      <w:r>
        <w:rPr>
          <w:rFonts w:hint="eastAsia"/>
        </w:rPr>
        <w:fldChar w:fldCharType="end"/>
      </w:r>
    </w:p>
    <w:p w14:paraId="7019588C">
      <w:pPr>
        <w:pStyle w:val="8"/>
        <w:tabs>
          <w:tab w:val="right" w:leader="dot" w:pos="9638"/>
          <w:tab w:val="clear" w:pos="8494"/>
        </w:tabs>
      </w:pPr>
      <w:r>
        <w:fldChar w:fldCharType="begin"/>
      </w:r>
      <w:r>
        <w:instrText xml:space="preserve"> HYPERLINK \l "_Toc14983" </w:instrText>
      </w:r>
      <w:r>
        <w:fldChar w:fldCharType="separate"/>
      </w:r>
      <w:r>
        <w:rPr>
          <w:rFonts w:hint="eastAsia"/>
        </w:rPr>
        <w:t>1 范围</w:t>
      </w:r>
      <w:r>
        <w:rPr>
          <w:rFonts w:hint="eastAsia"/>
        </w:rPr>
        <w:tab/>
      </w:r>
      <w:r>
        <w:rPr>
          <w:rFonts w:hint="eastAsia"/>
        </w:rPr>
        <w:fldChar w:fldCharType="begin"/>
      </w:r>
      <w:r>
        <w:rPr>
          <w:rFonts w:hint="eastAsia"/>
        </w:rPr>
        <w:instrText xml:space="preserve"> PAGEREF _Toc14983 \h </w:instrText>
      </w:r>
      <w:r>
        <w:rPr>
          <w:rFonts w:hint="eastAsia"/>
        </w:rPr>
        <w:fldChar w:fldCharType="separate"/>
      </w:r>
      <w:r>
        <w:rPr>
          <w:rFonts w:hint="eastAsia"/>
        </w:rPr>
        <w:t>1</w:t>
      </w:r>
      <w:r>
        <w:rPr>
          <w:rFonts w:hint="eastAsia"/>
        </w:rPr>
        <w:fldChar w:fldCharType="end"/>
      </w:r>
      <w:r>
        <w:rPr>
          <w:rFonts w:hint="eastAsia"/>
        </w:rPr>
        <w:fldChar w:fldCharType="end"/>
      </w:r>
    </w:p>
    <w:p w14:paraId="4188C8D6">
      <w:pPr>
        <w:pStyle w:val="8"/>
        <w:tabs>
          <w:tab w:val="right" w:leader="dot" w:pos="9638"/>
          <w:tab w:val="clear" w:pos="8494"/>
        </w:tabs>
      </w:pPr>
      <w:r>
        <w:fldChar w:fldCharType="begin"/>
      </w:r>
      <w:r>
        <w:instrText xml:space="preserve"> HYPERLINK \l "_Toc10129" </w:instrText>
      </w:r>
      <w:r>
        <w:fldChar w:fldCharType="separate"/>
      </w:r>
      <w:r>
        <w:rPr>
          <w:rFonts w:hint="eastAsia"/>
        </w:rPr>
        <w:t>2 规范性引用文件</w:t>
      </w:r>
      <w:r>
        <w:rPr>
          <w:rFonts w:hint="eastAsia"/>
        </w:rPr>
        <w:tab/>
      </w:r>
      <w:r>
        <w:rPr>
          <w:rFonts w:hint="eastAsia"/>
        </w:rPr>
        <w:fldChar w:fldCharType="begin"/>
      </w:r>
      <w:r>
        <w:rPr>
          <w:rFonts w:hint="eastAsia"/>
        </w:rPr>
        <w:instrText xml:space="preserve"> PAGEREF _Toc10129 \h </w:instrText>
      </w:r>
      <w:r>
        <w:rPr>
          <w:rFonts w:hint="eastAsia"/>
        </w:rPr>
        <w:fldChar w:fldCharType="separate"/>
      </w:r>
      <w:r>
        <w:rPr>
          <w:rFonts w:hint="eastAsia"/>
        </w:rPr>
        <w:t>1</w:t>
      </w:r>
      <w:r>
        <w:rPr>
          <w:rFonts w:hint="eastAsia"/>
        </w:rPr>
        <w:fldChar w:fldCharType="end"/>
      </w:r>
      <w:r>
        <w:rPr>
          <w:rFonts w:hint="eastAsia"/>
        </w:rPr>
        <w:fldChar w:fldCharType="end"/>
      </w:r>
    </w:p>
    <w:p w14:paraId="6DEEDDF4">
      <w:pPr>
        <w:pStyle w:val="8"/>
        <w:tabs>
          <w:tab w:val="right" w:leader="dot" w:pos="9638"/>
          <w:tab w:val="clear" w:pos="8494"/>
        </w:tabs>
      </w:pPr>
      <w:r>
        <w:fldChar w:fldCharType="begin"/>
      </w:r>
      <w:r>
        <w:instrText xml:space="preserve"> HYPERLINK \l "_Toc22996" </w:instrText>
      </w:r>
      <w:r>
        <w:fldChar w:fldCharType="separate"/>
      </w:r>
      <w:r>
        <w:rPr>
          <w:rFonts w:hint="eastAsia"/>
        </w:rPr>
        <w:t>3 术语和定义</w:t>
      </w:r>
      <w:r>
        <w:rPr>
          <w:rFonts w:hint="eastAsia"/>
        </w:rPr>
        <w:tab/>
      </w:r>
      <w:r>
        <w:rPr>
          <w:rFonts w:hint="eastAsia"/>
        </w:rPr>
        <w:fldChar w:fldCharType="begin"/>
      </w:r>
      <w:r>
        <w:rPr>
          <w:rFonts w:hint="eastAsia"/>
        </w:rPr>
        <w:instrText xml:space="preserve"> PAGEREF _Toc22996 \h </w:instrText>
      </w:r>
      <w:r>
        <w:rPr>
          <w:rFonts w:hint="eastAsia"/>
        </w:rPr>
        <w:fldChar w:fldCharType="separate"/>
      </w:r>
      <w:r>
        <w:rPr>
          <w:rFonts w:hint="eastAsia"/>
        </w:rPr>
        <w:t>1</w:t>
      </w:r>
      <w:r>
        <w:rPr>
          <w:rFonts w:hint="eastAsia"/>
        </w:rPr>
        <w:fldChar w:fldCharType="end"/>
      </w:r>
      <w:r>
        <w:rPr>
          <w:rFonts w:hint="eastAsia"/>
        </w:rPr>
        <w:fldChar w:fldCharType="end"/>
      </w:r>
    </w:p>
    <w:p w14:paraId="1F30994A">
      <w:pPr>
        <w:pStyle w:val="17"/>
      </w:pPr>
      <w:r>
        <w:rPr>
          <w:rFonts w:hint="eastAsia"/>
        </w:rPr>
        <w:fldChar w:fldCharType="end"/>
      </w:r>
    </w:p>
    <w:p w14:paraId="2E369765">
      <w:pPr>
        <w:pStyle w:val="17"/>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3"/>
    <w:p w14:paraId="53181E43">
      <w:pPr>
        <w:pStyle w:val="38"/>
        <w:spacing w:after="489"/>
      </w:pPr>
      <w:bookmarkStart w:id="14" w:name="_Toc14972"/>
      <w:bookmarkStart w:id="15" w:name="_Toc131273874"/>
      <w:bookmarkStart w:id="16" w:name="_Toc2032"/>
      <w:bookmarkStart w:id="17" w:name="_Toc8331"/>
      <w:bookmarkStart w:id="18" w:name="_Toc31518"/>
      <w:bookmarkStart w:id="19" w:name="mbookmark40"/>
      <w:r>
        <w:rPr>
          <w:rFonts w:hint="eastAsia"/>
          <w:spacing w:val="317"/>
        </w:rPr>
        <w:t>前</w:t>
      </w:r>
      <w:r>
        <w:t>言</w:t>
      </w:r>
      <w:bookmarkEnd w:id="1"/>
      <w:bookmarkEnd w:id="14"/>
      <w:bookmarkEnd w:id="15"/>
      <w:bookmarkEnd w:id="16"/>
      <w:bookmarkEnd w:id="17"/>
      <w:bookmarkEnd w:id="18"/>
    </w:p>
    <w:p w14:paraId="44C6CA22">
      <w:pPr>
        <w:pStyle w:val="17"/>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14:paraId="6787B55E">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14:paraId="7424874F">
      <w:pPr>
        <w:pStyle w:val="17"/>
      </w:pPr>
      <w:r>
        <w:rPr>
          <w:rFonts w:hint="eastAsia"/>
        </w:rPr>
        <w:t>本</w:t>
      </w:r>
      <w:r>
        <w:rPr>
          <w:rFonts w:hint="eastAsia"/>
          <w:lang w:eastAsia="zh-CN"/>
        </w:rPr>
        <w:t>文件</w:t>
      </w:r>
      <w:r>
        <w:rPr>
          <w:rFonts w:hint="eastAsia"/>
        </w:rPr>
        <w:t>由</w:t>
      </w:r>
      <w:bookmarkStart w:id="20" w:name="StdPresenter"/>
      <w:r>
        <w:rPr>
          <w:rFonts w:hint="eastAsia"/>
          <w:lang w:eastAsia="zh-CN"/>
        </w:rPr>
        <w:t>温州泰昌人防设备有限公司</w:t>
      </w:r>
      <w:bookmarkEnd w:id="20"/>
      <w:r>
        <w:rPr>
          <w:rFonts w:hint="eastAsia"/>
        </w:rPr>
        <w:t>提出。</w:t>
      </w:r>
    </w:p>
    <w:p w14:paraId="702FA246">
      <w:pPr>
        <w:pStyle w:val="17"/>
      </w:pPr>
      <w:r>
        <w:rPr>
          <w:rFonts w:hint="eastAsia"/>
        </w:rPr>
        <w:t>本</w:t>
      </w:r>
      <w:r>
        <w:rPr>
          <w:rFonts w:hint="eastAsia"/>
          <w:lang w:eastAsia="zh-CN"/>
        </w:rPr>
        <w:t>文件</w:t>
      </w:r>
      <w:r>
        <w:rPr>
          <w:rFonts w:hint="eastAsia"/>
        </w:rPr>
        <w:t>由</w:t>
      </w:r>
      <w:bookmarkStart w:id="21" w:name="StdRegister"/>
      <w:r>
        <w:rPr>
          <w:rFonts w:hint="eastAsia"/>
          <w:lang w:eastAsia="zh-CN"/>
        </w:rPr>
        <w:t>浙江省产学研合作促进会</w:t>
      </w:r>
      <w:bookmarkEnd w:id="21"/>
      <w:r>
        <w:rPr>
          <w:rFonts w:hint="eastAsia"/>
        </w:rPr>
        <w:t>归口。</w:t>
      </w:r>
    </w:p>
    <w:p w14:paraId="49C03FCB">
      <w:pPr>
        <w:pStyle w:val="17"/>
      </w:pPr>
      <w:r>
        <w:rPr>
          <w:rFonts w:hint="eastAsia"/>
        </w:rPr>
        <w:t>本</w:t>
      </w:r>
      <w:r>
        <w:rPr>
          <w:rFonts w:hint="eastAsia"/>
          <w:lang w:eastAsia="zh-CN"/>
        </w:rPr>
        <w:t>文件</w:t>
      </w:r>
      <w:r>
        <w:rPr>
          <w:rFonts w:hint="eastAsia"/>
        </w:rPr>
        <w:t>起草单位：</w:t>
      </w:r>
      <w:bookmarkStart w:id="22" w:name="StdDraftdep"/>
      <w:r>
        <w:rPr>
          <w:rFonts w:hint="eastAsia"/>
          <w:lang w:eastAsia="zh-CN"/>
        </w:rPr>
        <w:t>温州泰昌人防设备有限公司</w:t>
      </w:r>
      <w:bookmarkEnd w:id="22"/>
      <w:r>
        <w:rPr>
          <w:rFonts w:hint="eastAsia"/>
          <w:lang w:eastAsia="zh-CN"/>
        </w:rPr>
        <w:t>、</w:t>
      </w:r>
      <w:r>
        <w:rPr>
          <w:rFonts w:hint="eastAsia"/>
          <w:lang w:val="en-US" w:eastAsia="zh-CN"/>
        </w:rPr>
        <w:t xml:space="preserve">     </w:t>
      </w:r>
      <w:r>
        <w:rPr>
          <w:rFonts w:hint="eastAsia"/>
        </w:rPr>
        <w:t>。</w:t>
      </w:r>
    </w:p>
    <w:p w14:paraId="00874711">
      <w:pPr>
        <w:pStyle w:val="17"/>
      </w:pPr>
      <w:r>
        <w:rPr>
          <w:rFonts w:hint="eastAsia"/>
        </w:rPr>
        <w:t>本</w:t>
      </w:r>
      <w:r>
        <w:rPr>
          <w:rFonts w:hint="eastAsia"/>
          <w:lang w:eastAsia="zh-CN"/>
        </w:rPr>
        <w:t>文件</w:t>
      </w:r>
      <w:r>
        <w:rPr>
          <w:rFonts w:hint="eastAsia"/>
        </w:rPr>
        <w:t>主要起草人：</w:t>
      </w:r>
      <w:bookmarkStart w:id="23" w:name="StdDrafer"/>
      <w:r>
        <w:rPr>
          <w:rFonts w:hint="eastAsia"/>
          <w:lang w:eastAsia="zh-CN"/>
        </w:rPr>
        <w:t>张宏靖</w:t>
      </w:r>
      <w:bookmarkEnd w:id="23"/>
      <w:r>
        <w:rPr>
          <w:rFonts w:hint="eastAsia"/>
          <w:lang w:eastAsia="zh-CN"/>
        </w:rPr>
        <w:t>、</w:t>
      </w:r>
      <w:r>
        <w:rPr>
          <w:rFonts w:hint="eastAsia"/>
          <w:lang w:val="en-US" w:eastAsia="zh-CN"/>
        </w:rPr>
        <w:t xml:space="preserve">           </w:t>
      </w:r>
      <w:r>
        <w:rPr>
          <w:rFonts w:hint="eastAsia"/>
        </w:rPr>
        <w:t>。</w:t>
      </w:r>
    </w:p>
    <w:p w14:paraId="7B3F808B">
      <w:pPr>
        <w:pStyle w:val="17"/>
      </w:pPr>
    </w:p>
    <w:p w14:paraId="1B19BB97">
      <w:pPr>
        <w:pStyle w:val="17"/>
      </w:pPr>
    </w:p>
    <w:p w14:paraId="226AD487">
      <w:pPr>
        <w:pStyle w:val="17"/>
      </w:pPr>
    </w:p>
    <w:p w14:paraId="5E56B20A">
      <w:pPr>
        <w:pStyle w:val="17"/>
      </w:pPr>
    </w:p>
    <w:p w14:paraId="7FE097CC">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19"/>
    <w:p w14:paraId="3B8FB72D">
      <w:pPr>
        <w:pStyle w:val="39"/>
        <w:bidi w:val="0"/>
        <w:rPr>
          <w:rFonts w:hint="eastAsia" w:eastAsia="黑体"/>
          <w:lang w:eastAsia="zh-CN"/>
        </w:rPr>
      </w:pPr>
      <w:bookmarkStart w:id="24" w:name="文件名称_Z"/>
      <w:bookmarkStart w:id="25" w:name="mbookmark60"/>
      <w:r>
        <w:rPr>
          <w:rFonts w:hint="eastAsia"/>
          <w:lang w:eastAsia="zh-CN"/>
        </w:rPr>
        <w:t>人防工程防护阀门通用技术条件</w:t>
      </w:r>
      <w:bookmarkEnd w:id="24"/>
    </w:p>
    <w:p w14:paraId="31FC5F1D">
      <w:pPr>
        <w:pStyle w:val="18"/>
        <w:spacing w:before="326" w:after="326"/>
      </w:pPr>
      <w:bookmarkStart w:id="26" w:name="_Toc98859012"/>
      <w:bookmarkStart w:id="27" w:name="_Toc98860474"/>
      <w:bookmarkStart w:id="28" w:name="_Toc3547"/>
      <w:bookmarkStart w:id="29" w:name="_Toc131273875"/>
      <w:bookmarkStart w:id="30" w:name="_Toc14983"/>
      <w:bookmarkStart w:id="31" w:name="_Toc26986771"/>
      <w:bookmarkStart w:id="32" w:name="_Toc17233325"/>
      <w:bookmarkStart w:id="33" w:name="_Toc1899"/>
      <w:bookmarkStart w:id="34" w:name="_Toc26648465"/>
      <w:bookmarkStart w:id="35" w:name="_Toc5234"/>
      <w:bookmarkStart w:id="36" w:name="_Toc24884211"/>
      <w:bookmarkStart w:id="37" w:name="_Toc24884218"/>
      <w:bookmarkStart w:id="38" w:name="_Toc26986530"/>
      <w:bookmarkStart w:id="39" w:name="_Toc26718930"/>
      <w:bookmarkStart w:id="40" w:name="_Toc17233333"/>
      <w:bookmarkStart w:id="41" w:name="_Toc98860775"/>
      <w:r>
        <w:rPr>
          <w:rFonts w:hint="eastAsia"/>
        </w:rPr>
        <w:t>范围</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512279A3">
      <w:pPr>
        <w:pStyle w:val="17"/>
        <w:rPr>
          <w:rFonts w:hint="eastAsia"/>
          <w:lang w:eastAsia="zh-CN"/>
        </w:rPr>
      </w:pPr>
      <w:bookmarkStart w:id="42" w:name="_Toc24884219"/>
      <w:bookmarkStart w:id="43" w:name="_Toc24884212"/>
      <w:bookmarkStart w:id="44" w:name="_Toc26648466"/>
      <w:bookmarkStart w:id="45" w:name="_Toc17233334"/>
      <w:bookmarkStart w:id="46" w:name="_Toc17233326"/>
      <w:r>
        <w:rPr>
          <w:rFonts w:hint="eastAsia"/>
          <w:lang w:eastAsia="zh-CN"/>
        </w:rPr>
        <w:t>本</w:t>
      </w:r>
      <w:r>
        <w:rPr>
          <w:rFonts w:hint="eastAsia"/>
          <w:lang w:val="en-US" w:eastAsia="zh-CN"/>
        </w:rPr>
        <w:t>文件</w:t>
      </w:r>
      <w:r>
        <w:rPr>
          <w:rFonts w:hint="eastAsia"/>
          <w:lang w:eastAsia="zh-CN"/>
        </w:rPr>
        <w:t>规定了人防工程防护阀门的术语和定义、基本要求、技术要求、试验方法、检验规则、标志、包装、运输和贮存。</w:t>
      </w:r>
    </w:p>
    <w:p w14:paraId="60E31D14">
      <w:pPr>
        <w:pStyle w:val="17"/>
        <w:rPr>
          <w:rFonts w:hint="eastAsia"/>
          <w:lang w:eastAsia="zh-CN"/>
        </w:rPr>
      </w:pPr>
      <w:r>
        <w:rPr>
          <w:rFonts w:hint="eastAsia"/>
          <w:lang w:eastAsia="zh-CN"/>
        </w:rPr>
        <w:t>本</w:t>
      </w:r>
      <w:r>
        <w:rPr>
          <w:rFonts w:hint="eastAsia"/>
          <w:lang w:val="en-US" w:eastAsia="zh-CN"/>
        </w:rPr>
        <w:t>文件</w:t>
      </w:r>
      <w:r>
        <w:rPr>
          <w:rFonts w:hint="eastAsia"/>
          <w:lang w:eastAsia="zh-CN"/>
        </w:rPr>
        <w:t>适用于人防工程中用于通风、给排水系统，具备抗冲击波、密闭防毒、防火等防护功能的各类防护阀门，包括手动密闭阀、电动密闭阀、手电动两用密闭阀、防爆波密闭阀等。</w:t>
      </w:r>
    </w:p>
    <w:p w14:paraId="0436E4F6">
      <w:pPr>
        <w:pStyle w:val="18"/>
        <w:spacing w:before="326" w:after="326"/>
      </w:pPr>
      <w:bookmarkStart w:id="47" w:name="_Toc26986531"/>
      <w:bookmarkStart w:id="48" w:name="_Toc625"/>
      <w:bookmarkStart w:id="49" w:name="_Toc131273876"/>
      <w:bookmarkStart w:id="50" w:name="_Toc10129"/>
      <w:bookmarkStart w:id="51" w:name="_Toc98860776"/>
      <w:bookmarkStart w:id="52" w:name="_Toc26718931"/>
      <w:bookmarkStart w:id="53" w:name="_Toc98860475"/>
      <w:bookmarkStart w:id="54" w:name="_Toc26986772"/>
      <w:bookmarkStart w:id="55" w:name="_Toc26213"/>
      <w:bookmarkStart w:id="56" w:name="_Toc27603"/>
      <w:bookmarkStart w:id="57" w:name="_Toc98859013"/>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A144F4">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DD8ADF6">
      <w:pPr>
        <w:pStyle w:val="17"/>
        <w:rPr>
          <w:rFonts w:hint="eastAsia"/>
        </w:rPr>
      </w:pPr>
      <w:r>
        <w:rPr>
          <w:rFonts w:hint="eastAsia"/>
        </w:rPr>
        <w:t>GB/T 191 包装储运图示标志</w:t>
      </w:r>
    </w:p>
    <w:p w14:paraId="510AB1A1">
      <w:pPr>
        <w:pStyle w:val="17"/>
        <w:rPr>
          <w:rFonts w:hint="eastAsia"/>
        </w:rPr>
      </w:pPr>
      <w:r>
        <w:rPr>
          <w:rFonts w:hint="eastAsia"/>
        </w:rPr>
        <w:t>GB/T 10125 人造气氛腐蚀试验 盐雾试验</w:t>
      </w:r>
    </w:p>
    <w:p w14:paraId="379E2ED8">
      <w:pPr>
        <w:pStyle w:val="17"/>
        <w:rPr>
          <w:rFonts w:hint="eastAsia"/>
        </w:rPr>
      </w:pPr>
      <w:r>
        <w:rPr>
          <w:rFonts w:hint="eastAsia"/>
        </w:rPr>
        <w:t>GB/T 11345 焊缝无损检测 超声检测 技术、检测等级和评定</w:t>
      </w:r>
    </w:p>
    <w:p w14:paraId="6AFB77D3">
      <w:pPr>
        <w:pStyle w:val="17"/>
        <w:rPr>
          <w:rFonts w:hint="eastAsia"/>
        </w:rPr>
      </w:pPr>
      <w:r>
        <w:rPr>
          <w:rFonts w:hint="eastAsia"/>
        </w:rPr>
        <w:t>GB/T 13306 标牌</w:t>
      </w:r>
    </w:p>
    <w:p w14:paraId="646615FA">
      <w:pPr>
        <w:pStyle w:val="17"/>
        <w:rPr>
          <w:rFonts w:hint="eastAsia"/>
        </w:rPr>
      </w:pPr>
      <w:r>
        <w:rPr>
          <w:rFonts w:hint="eastAsia"/>
        </w:rPr>
        <w:t>GB/T 13452.2 色漆和清漆 漆膜厚度的测定</w:t>
      </w:r>
    </w:p>
    <w:p w14:paraId="53425EE7">
      <w:pPr>
        <w:pStyle w:val="17"/>
        <w:rPr>
          <w:rFonts w:hint="eastAsia"/>
        </w:rPr>
      </w:pPr>
      <w:r>
        <w:rPr>
          <w:rFonts w:hint="eastAsia"/>
        </w:rPr>
        <w:t>GB/T 24498 建筑门窗、幕墙用密封胶条</w:t>
      </w:r>
    </w:p>
    <w:p w14:paraId="353AF228">
      <w:pPr>
        <w:pStyle w:val="17"/>
        <w:rPr>
          <w:rFonts w:hint="eastAsia"/>
        </w:rPr>
      </w:pPr>
      <w:r>
        <w:rPr>
          <w:rFonts w:hint="eastAsia"/>
        </w:rPr>
        <w:t>GB/T 4956 磁性基体上非磁性覆盖层 覆盖层厚度测量 磁性法</w:t>
      </w:r>
    </w:p>
    <w:p w14:paraId="7A5BA864">
      <w:pPr>
        <w:pStyle w:val="17"/>
        <w:rPr>
          <w:rFonts w:hint="eastAsia"/>
        </w:rPr>
      </w:pPr>
      <w:r>
        <w:rPr>
          <w:rFonts w:hint="eastAsia"/>
        </w:rPr>
        <w:t>GB/T 9286 色漆和清漆 划格试验</w:t>
      </w:r>
    </w:p>
    <w:p w14:paraId="215B5370">
      <w:pPr>
        <w:pStyle w:val="17"/>
        <w:rPr>
          <w:rFonts w:hint="eastAsia"/>
        </w:rPr>
      </w:pPr>
      <w:r>
        <w:rPr>
          <w:rFonts w:hint="eastAsia"/>
        </w:rPr>
        <w:t>GB 12955 防火门</w:t>
      </w:r>
    </w:p>
    <w:p w14:paraId="689B9E94">
      <w:pPr>
        <w:pStyle w:val="17"/>
        <w:rPr>
          <w:rFonts w:hint="eastAsia"/>
        </w:rPr>
      </w:pPr>
      <w:r>
        <w:rPr>
          <w:rFonts w:hint="eastAsia"/>
        </w:rPr>
        <w:t>GB 50038 人民防空地下室设计规范</w:t>
      </w:r>
    </w:p>
    <w:p w14:paraId="6A4C726D">
      <w:pPr>
        <w:pStyle w:val="17"/>
        <w:rPr>
          <w:rFonts w:hint="eastAsia"/>
        </w:rPr>
      </w:pPr>
      <w:r>
        <w:rPr>
          <w:rFonts w:hint="eastAsia"/>
        </w:rPr>
        <w:t>GB 50243 通风与空调工程施工质量验收规范</w:t>
      </w:r>
    </w:p>
    <w:p w14:paraId="05D30F9A">
      <w:pPr>
        <w:pStyle w:val="17"/>
        <w:rPr>
          <w:rFonts w:hint="eastAsia"/>
        </w:rPr>
      </w:pPr>
      <w:r>
        <w:rPr>
          <w:rFonts w:hint="eastAsia"/>
        </w:rPr>
        <w:t>RFJ 01 人民防空工程防护设备产品质量检验与施工验收标准</w:t>
      </w:r>
    </w:p>
    <w:p w14:paraId="3552336B">
      <w:pPr>
        <w:pStyle w:val="17"/>
      </w:pPr>
      <w:r>
        <w:rPr>
          <w:rFonts w:hint="eastAsia"/>
        </w:rPr>
        <w:t>RFJ 04 人民防空工程防护设备试验测试与质量检测标准</w:t>
      </w:r>
    </w:p>
    <w:p w14:paraId="574043C6">
      <w:pPr>
        <w:pStyle w:val="18"/>
        <w:spacing w:before="326" w:after="326"/>
      </w:pPr>
      <w:bookmarkStart w:id="58" w:name="_Toc98860777"/>
      <w:bookmarkStart w:id="59" w:name="_Toc22996"/>
      <w:bookmarkStart w:id="60" w:name="_Toc1309"/>
      <w:bookmarkStart w:id="61" w:name="_Toc131273877"/>
      <w:bookmarkStart w:id="62" w:name="_Toc22867"/>
      <w:bookmarkStart w:id="63" w:name="_Toc98859014"/>
      <w:bookmarkStart w:id="64" w:name="_Toc989"/>
      <w:bookmarkStart w:id="65" w:name="_Toc98860476"/>
      <w:r>
        <w:rPr>
          <w:rFonts w:hint="eastAsia"/>
        </w:rPr>
        <w:t>术语和定义</w:t>
      </w:r>
      <w:bookmarkEnd w:id="58"/>
      <w:bookmarkEnd w:id="59"/>
      <w:bookmarkEnd w:id="60"/>
      <w:bookmarkEnd w:id="61"/>
      <w:bookmarkEnd w:id="62"/>
      <w:bookmarkEnd w:id="63"/>
      <w:bookmarkEnd w:id="64"/>
      <w:bookmarkEnd w:id="65"/>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A338BB8">
          <w:pPr>
            <w:pStyle w:val="17"/>
          </w:pPr>
          <w:bookmarkStart w:id="66" w:name="_Toc26986532"/>
          <w:bookmarkEnd w:id="66"/>
          <w:r>
            <w:rPr>
              <w:rFonts w:ascii="宋体" w:hAnsi="宋体" w:eastAsia="宋体" w:cstheme="minorBidi"/>
              <w:kern w:val="2"/>
              <w:sz w:val="21"/>
              <w:szCs w:val="21"/>
              <w:lang w:val="en-US" w:eastAsia="zh-CN" w:bidi="ar-SA"/>
            </w:rPr>
            <w:t>下列术语和定义适用于本文件。</w:t>
          </w:r>
        </w:p>
      </w:sdtContent>
    </w:sdt>
    <w:p w14:paraId="79811E8B">
      <w:pPr>
        <w:pStyle w:val="84"/>
        <w:bidi w:val="0"/>
      </w:pPr>
      <w:r>
        <w:br w:type="textWrapping"/>
      </w:r>
      <w:r>
        <w:rPr>
          <w:rFonts w:hint="eastAsia"/>
        </w:rPr>
        <w:t>人防工程防护阀门</w:t>
      </w:r>
    </w:p>
    <w:p w14:paraId="67DBA8FB">
      <w:pPr>
        <w:pStyle w:val="17"/>
        <w:rPr>
          <w:rFonts w:hint="eastAsia"/>
        </w:rPr>
      </w:pPr>
      <w:r>
        <w:rPr>
          <w:rFonts w:hint="eastAsia"/>
        </w:rPr>
        <w:t>安装于人防工程通风、给排水系统，能抵御冲击波、隔绝毒剂，满足人防工程防护、密闭、防火等要求的专用阀门。</w:t>
      </w:r>
    </w:p>
    <w:p w14:paraId="0EE49161">
      <w:pPr>
        <w:pStyle w:val="18"/>
        <w:bidi w:val="0"/>
        <w:rPr>
          <w:rFonts w:hint="eastAsia"/>
        </w:rPr>
      </w:pPr>
      <w:r>
        <w:rPr>
          <w:rFonts w:hint="eastAsia"/>
          <w:lang w:val="en-US" w:eastAsia="zh-CN"/>
        </w:rPr>
        <w:t>基本要求</w:t>
      </w:r>
    </w:p>
    <w:p w14:paraId="2B4C40F5">
      <w:pPr>
        <w:pStyle w:val="74"/>
        <w:bidi w:val="0"/>
        <w:rPr>
          <w:rFonts w:hint="eastAsia"/>
        </w:rPr>
      </w:pPr>
      <w:r>
        <w:rPr>
          <w:rFonts w:hint="eastAsia"/>
        </w:rPr>
        <w:t>防护阀门的设计、生产、检验应符合本标准及国家、行业相关标准要求，同时满足人防工程战术技术要求。</w:t>
      </w:r>
    </w:p>
    <w:p w14:paraId="115D20BB">
      <w:pPr>
        <w:pStyle w:val="74"/>
        <w:bidi w:val="0"/>
        <w:rPr>
          <w:rFonts w:hint="eastAsia"/>
        </w:rPr>
      </w:pPr>
      <w:r>
        <w:rPr>
          <w:rFonts w:hint="eastAsia"/>
        </w:rPr>
        <w:t>生产企业应具备相应的生产资质、生产设备和检测能力，建立完善的质量管理体系，确保产品质量稳定。</w:t>
      </w:r>
    </w:p>
    <w:p w14:paraId="6404151C">
      <w:pPr>
        <w:pStyle w:val="74"/>
        <w:bidi w:val="0"/>
        <w:rPr>
          <w:rFonts w:hint="eastAsia"/>
        </w:rPr>
      </w:pPr>
      <w:r>
        <w:rPr>
          <w:rFonts w:hint="eastAsia"/>
        </w:rPr>
        <w:t>防护阀门所用原材料、零部件应符合相关标准要求，进场时应进行检验，不合格材料严禁使用。</w:t>
      </w:r>
    </w:p>
    <w:p w14:paraId="5C48E56C">
      <w:pPr>
        <w:pStyle w:val="74"/>
        <w:bidi w:val="0"/>
        <w:rPr>
          <w:rFonts w:hint="eastAsia"/>
        </w:rPr>
      </w:pPr>
      <w:r>
        <w:rPr>
          <w:rFonts w:hint="eastAsia"/>
        </w:rPr>
        <w:t>防护阀门应结构合理、操作便捷、启闭灵活，便于安装、维护和检修，长期备用时应保持性能稳定。</w:t>
      </w:r>
    </w:p>
    <w:p w14:paraId="6F6F12D8">
      <w:pPr>
        <w:pStyle w:val="74"/>
        <w:bidi w:val="0"/>
        <w:rPr>
          <w:rFonts w:hint="eastAsia"/>
        </w:rPr>
      </w:pPr>
      <w:r>
        <w:rPr>
          <w:rFonts w:hint="eastAsia"/>
        </w:rPr>
        <w:t>防护阀门阀体应铸有永久性人防标识，标识清晰、牢固。</w:t>
      </w:r>
    </w:p>
    <w:p w14:paraId="2B810517">
      <w:pPr>
        <w:pStyle w:val="18"/>
        <w:bidi w:val="0"/>
      </w:pPr>
      <w:r>
        <w:rPr>
          <w:rFonts w:hint="eastAsia"/>
          <w:lang w:val="en-US" w:eastAsia="zh-CN"/>
        </w:rPr>
        <w:t>技术要求</w:t>
      </w:r>
    </w:p>
    <w:p w14:paraId="1909F21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外观质量</w:t>
      </w:r>
    </w:p>
    <w:p w14:paraId="76671C85">
      <w:pPr>
        <w:pStyle w:val="17"/>
        <w:rPr>
          <w:rFonts w:hint="eastAsia"/>
        </w:rPr>
      </w:pPr>
      <w:r>
        <w:rPr>
          <w:rFonts w:hint="eastAsia"/>
        </w:rPr>
        <w:t>阀体、阀盖、阀板等零部件表面无裂纹、砂眼、毛刺、变形等缺陷；涂层均匀、无脱落、锈蚀、气泡等问题；密封胶条无断裂、老化、脱落、划伤等缺陷；阀门标识清晰、完整。</w:t>
      </w:r>
    </w:p>
    <w:p w14:paraId="395484E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尺寸偏差</w:t>
      </w:r>
    </w:p>
    <w:p w14:paraId="53EEC842">
      <w:pPr>
        <w:pStyle w:val="17"/>
        <w:rPr>
          <w:rFonts w:hint="eastAsia"/>
        </w:rPr>
      </w:pPr>
      <w:r>
        <w:rPr>
          <w:rFonts w:hint="eastAsia"/>
        </w:rPr>
        <w:t>阀门公称直径、法兰尺寸、阀体厚度等关键尺寸偏差应符合设计要求，法兰平面度偏差不大于2mm；阀门实际内径应与公称直径匹配，偏差符合相关设计规定。</w:t>
      </w:r>
    </w:p>
    <w:p w14:paraId="131D3DA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材料性能</w:t>
      </w:r>
    </w:p>
    <w:p w14:paraId="73A21FAD">
      <w:pPr>
        <w:pStyle w:val="17"/>
        <w:rPr>
          <w:rFonts w:hint="eastAsia"/>
        </w:rPr>
      </w:pPr>
      <w:r>
        <w:rPr>
          <w:rFonts w:hint="eastAsia"/>
        </w:rPr>
        <w:t>阀体、阀板宜采用碳素钢、不锈钢等耐腐蚀、高强度材料，材料化学成分和力学性能符合相关标准要求；密封胶条采用整圈无接口的丁腈橡胶或三元乙丙橡胶，邵氏硬度60±5，耐油、耐老化、耐腐蚀；连接螺栓采用热镀锌钢制螺栓，镀锌层无脱落、锈蚀。</w:t>
      </w:r>
    </w:p>
    <w:p w14:paraId="444D205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焊缝质量</w:t>
      </w:r>
    </w:p>
    <w:p w14:paraId="4F3AA67E">
      <w:pPr>
        <w:pStyle w:val="17"/>
        <w:rPr>
          <w:rFonts w:hint="eastAsia"/>
        </w:rPr>
      </w:pPr>
      <w:r>
        <w:rPr>
          <w:rFonts w:hint="eastAsia"/>
        </w:rPr>
        <w:t>焊缝连续均匀，无气孔、夹渣、裂纹、焊瘤等缺陷，焊接牢固，强度不低于母材强度。</w:t>
      </w:r>
    </w:p>
    <w:p w14:paraId="2389EFC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启闭性能</w:t>
      </w:r>
    </w:p>
    <w:p w14:paraId="1B857673">
      <w:pPr>
        <w:pStyle w:val="17"/>
        <w:rPr>
          <w:rFonts w:hint="eastAsia"/>
        </w:rPr>
      </w:pPr>
      <w:r>
        <w:rPr>
          <w:rFonts w:hint="eastAsia"/>
        </w:rPr>
        <w:t>手动阀门启闭灵活，无卡滞、无偏移，启闭角度标识清晰，手动启闭力不大于100N；电动阀门接入电源后，空载启闭试验不少于3次，电机正反转正确、行程限位开关动作灵敏，无过载、异响，启闭时间符合设计要求；手电动两用阀门切换顺畅，两种操作方式均能正常启闭。</w:t>
      </w:r>
    </w:p>
    <w:p w14:paraId="48A9587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抗冲击波性能</w:t>
      </w:r>
    </w:p>
    <w:p w14:paraId="33A92536">
      <w:pPr>
        <w:pStyle w:val="17"/>
        <w:rPr>
          <w:rFonts w:hint="eastAsia"/>
        </w:rPr>
      </w:pPr>
      <w:r>
        <w:rPr>
          <w:rFonts w:hint="eastAsia"/>
        </w:rPr>
        <w:t>防爆波密闭阀应能承受设计规定的冲击波压力，承受冲击波后无变形、损坏，仍能保持正常启闭和密闭性能；普通密闭阀应能承受相应防护等级的冲击波余压。</w:t>
      </w:r>
    </w:p>
    <w:p w14:paraId="00F4792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密闭性能</w:t>
      </w:r>
    </w:p>
    <w:p w14:paraId="711647C8">
      <w:pPr>
        <w:pStyle w:val="17"/>
        <w:rPr>
          <w:rFonts w:hint="eastAsia"/>
        </w:rPr>
      </w:pPr>
      <w:r>
        <w:rPr>
          <w:rFonts w:hint="eastAsia"/>
        </w:rPr>
        <w:t>阀门关闭后，在规定超压下，漏气量不大于最大允许漏气量；最大允许漏气量按公式Qy=αBWx计算，超压设定值为100Pa时α=0.045，50Pa时α=0.025，B为修正系数，Wx为最小防毒通道容积。</w:t>
      </w:r>
    </w:p>
    <w:p w14:paraId="795B9168">
      <w:pPr>
        <w:pStyle w:val="17"/>
        <w:rPr>
          <w:rFonts w:hint="eastAsia"/>
        </w:rPr>
      </w:pPr>
    </w:p>
    <w:p w14:paraId="764B5AE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防火性能</w:t>
      </w:r>
    </w:p>
    <w:p w14:paraId="1C3840A2">
      <w:pPr>
        <w:pStyle w:val="17"/>
        <w:rPr>
          <w:rFonts w:hint="eastAsia"/>
        </w:rPr>
      </w:pPr>
      <w:r>
        <w:rPr>
          <w:rFonts w:hint="eastAsia"/>
        </w:rPr>
        <w:t>防护阀门应具备相应的防火性能，在规定火灾条件下，能保持密闭性和结构完整性，防火极限符合设计要求。</w:t>
      </w:r>
    </w:p>
    <w:p w14:paraId="53E3A87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耐腐蚀性能</w:t>
      </w:r>
    </w:p>
    <w:p w14:paraId="331E58D5">
      <w:pPr>
        <w:pStyle w:val="17"/>
        <w:rPr>
          <w:rFonts w:hint="eastAsia"/>
        </w:rPr>
      </w:pPr>
      <w:r>
        <w:rPr>
          <w:rFonts w:hint="eastAsia"/>
        </w:rPr>
        <w:t>阀门表面涂层、镀锌层应具备良好的耐腐蚀性能，经盐雾试验后，无明显锈蚀、涂层脱落等现象。</w:t>
      </w:r>
    </w:p>
    <w:p w14:paraId="42E412B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绝缘性能</w:t>
      </w:r>
    </w:p>
    <w:p w14:paraId="47B20BE1">
      <w:pPr>
        <w:pStyle w:val="17"/>
        <w:rPr>
          <w:rFonts w:hint="eastAsia"/>
        </w:rPr>
      </w:pPr>
      <w:r>
        <w:rPr>
          <w:rFonts w:hint="eastAsia"/>
        </w:rPr>
        <w:t>电动防护阀门的电气部分绝缘电阻不小于2MΩ，接地电阻不大于4Ω，电气元件密封良好，无漏电现象。</w:t>
      </w:r>
    </w:p>
    <w:p w14:paraId="3EE7424B">
      <w:pPr>
        <w:pStyle w:val="18"/>
        <w:bidi w:val="0"/>
      </w:pPr>
      <w:r>
        <w:rPr>
          <w:rFonts w:hint="eastAsia"/>
          <w:lang w:val="en-US" w:eastAsia="zh-CN"/>
        </w:rPr>
        <w:t>试验方法</w:t>
      </w:r>
    </w:p>
    <w:p w14:paraId="291873F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lang w:val="en-US" w:eastAsia="zh-CN"/>
        </w:rPr>
        <w:t>外观质量</w:t>
      </w:r>
    </w:p>
    <w:p w14:paraId="00F118CA">
      <w:pPr>
        <w:pStyle w:val="17"/>
        <w:rPr>
          <w:rFonts w:hint="eastAsia"/>
        </w:rPr>
      </w:pPr>
      <w:r>
        <w:rPr>
          <w:rFonts w:hint="eastAsia"/>
        </w:rPr>
        <w:t>在光线充足条件下目视检查，涂层厚度按GB/T 13452.2执行，密封胶条外观采用目测检查。</w:t>
      </w:r>
    </w:p>
    <w:p w14:paraId="3024227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尺寸偏差</w:t>
      </w:r>
    </w:p>
    <w:p w14:paraId="0AAD0899">
      <w:pPr>
        <w:pStyle w:val="17"/>
        <w:bidi w:val="0"/>
        <w:rPr>
          <w:rFonts w:hint="eastAsia"/>
        </w:rPr>
      </w:pPr>
      <w:r>
        <w:rPr>
          <w:rFonts w:hint="eastAsia"/>
        </w:rPr>
        <w:t>采用游标卡尺、塞尺等计量工具测量，测量点不少于3处，取平均值，对照设计图纸判定是否合格。</w:t>
      </w:r>
    </w:p>
    <w:p w14:paraId="19D49E3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材料性能</w:t>
      </w:r>
    </w:p>
    <w:p w14:paraId="2E976527">
      <w:pPr>
        <w:pStyle w:val="17"/>
        <w:rPr>
          <w:rFonts w:hint="eastAsia"/>
        </w:rPr>
      </w:pPr>
      <w:r>
        <w:rPr>
          <w:rFonts w:hint="eastAsia"/>
        </w:rPr>
        <w:t>材料化学成分和力学性能采用第三方检测报告验证；密封胶条性能按GB/T 24498执行；螺栓镀锌层厚度按GB/T 4956执行，外观采用目测检查。</w:t>
      </w:r>
    </w:p>
    <w:p w14:paraId="4FC2069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焊缝质量</w:t>
      </w:r>
    </w:p>
    <w:p w14:paraId="2598F39F">
      <w:pPr>
        <w:pStyle w:val="17"/>
        <w:rPr>
          <w:rFonts w:hint="eastAsia"/>
        </w:rPr>
      </w:pPr>
      <w:r>
        <w:rPr>
          <w:rFonts w:hint="eastAsia"/>
        </w:rPr>
        <w:t>焊缝外观采用目测检查，内部质量按GB/T 11345执行超声检测。</w:t>
      </w:r>
    </w:p>
    <w:p w14:paraId="18667E7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启闭性能</w:t>
      </w:r>
    </w:p>
    <w:p w14:paraId="0BB8EE9C">
      <w:pPr>
        <w:pStyle w:val="17"/>
        <w:rPr>
          <w:rFonts w:hint="eastAsia"/>
        </w:rPr>
      </w:pPr>
      <w:r>
        <w:rPr>
          <w:rFonts w:hint="eastAsia"/>
        </w:rPr>
        <w:t>手动阀门手动操作启闭不少于5次，用测力计测量启闭力；电动阀门接入临时电源进行空载启闭试验，观察运行状态并记录启闭时间；手电动两用阀门切换两种操作方式，分别进行启闭试验。</w:t>
      </w:r>
    </w:p>
    <w:p w14:paraId="7C93CDA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抗冲击波性能</w:t>
      </w:r>
    </w:p>
    <w:p w14:paraId="209F36E4">
      <w:pPr>
        <w:pStyle w:val="17"/>
        <w:rPr>
          <w:rFonts w:hint="eastAsia"/>
        </w:rPr>
      </w:pPr>
      <w:r>
        <w:rPr>
          <w:rFonts w:hint="eastAsia"/>
        </w:rPr>
        <w:t>采用激波管加载方式、立式坑道加载方式和平式加载方式中的一种，按RFJ 04执行，试验后检查阀门外观及启闭、密闭性能。</w:t>
      </w:r>
    </w:p>
    <w:p w14:paraId="687E472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密闭性能</w:t>
      </w:r>
    </w:p>
    <w:p w14:paraId="3D61B933">
      <w:pPr>
        <w:pStyle w:val="17"/>
        <w:rPr>
          <w:rFonts w:hint="eastAsia"/>
        </w:rPr>
      </w:pPr>
      <w:r>
        <w:rPr>
          <w:rFonts w:hint="eastAsia"/>
        </w:rPr>
        <w:t>用管路密闭装置对阀门短管另一端进行密闭处理，关闭阀门并锁闭，连接充气泵、微压表、流量计，启动充气泵使压差稳定在规定范围并保持1分钟，读取流量计读数即为漏气量，按RFJ 04补充验证。</w:t>
      </w:r>
    </w:p>
    <w:p w14:paraId="1266000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防火性能</w:t>
      </w:r>
    </w:p>
    <w:p w14:paraId="7CB12EBB">
      <w:pPr>
        <w:pStyle w:val="17"/>
        <w:rPr>
          <w:rFonts w:hint="eastAsia"/>
        </w:rPr>
      </w:pPr>
      <w:r>
        <w:rPr>
          <w:rFonts w:hint="eastAsia"/>
        </w:rPr>
        <w:t>按GB 12955执行。</w:t>
      </w:r>
    </w:p>
    <w:p w14:paraId="21B6786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耐腐蚀性能</w:t>
      </w:r>
    </w:p>
    <w:p w14:paraId="297DBF62">
      <w:pPr>
        <w:pStyle w:val="17"/>
        <w:rPr>
          <w:rFonts w:hint="eastAsia"/>
        </w:rPr>
      </w:pPr>
      <w:r>
        <w:rPr>
          <w:rFonts w:hint="eastAsia"/>
        </w:rPr>
        <w:t>按GB/T 10125执行盐雾试验，试验后目视检查表面状态；漆膜附着力按GB/T 9286执行划格试验。</w:t>
      </w:r>
    </w:p>
    <w:p w14:paraId="6766789A">
      <w:pPr>
        <w:pStyle w:val="19"/>
        <w:keepNext w:val="0"/>
        <w:keepLines w:val="0"/>
        <w:pageBreakBefore w:val="0"/>
        <w:widowControl/>
        <w:kinsoku/>
        <w:wordWrap/>
        <w:overflowPunct/>
        <w:topLinePunct w:val="0"/>
        <w:autoSpaceDE/>
        <w:autoSpaceDN/>
        <w:bidi w:val="0"/>
        <w:adjustRightInd/>
        <w:snapToGrid/>
        <w:ind w:left="0"/>
        <w:textAlignment w:val="auto"/>
        <w:rPr>
          <w:rFonts w:hint="eastAsia"/>
          <w:lang w:eastAsia="zh-CN"/>
        </w:rPr>
      </w:pPr>
      <w:r>
        <w:rPr>
          <w:rFonts w:hint="eastAsia"/>
          <w:lang w:eastAsia="zh-CN"/>
        </w:rPr>
        <w:t>绝缘性能</w:t>
      </w:r>
    </w:p>
    <w:p w14:paraId="499F2053">
      <w:pPr>
        <w:pStyle w:val="17"/>
        <w:rPr>
          <w:rFonts w:hint="eastAsia"/>
        </w:rPr>
      </w:pPr>
      <w:r>
        <w:rPr>
          <w:rFonts w:hint="eastAsia"/>
        </w:rPr>
        <w:t>采用兆欧表测量绝缘电阻，接地电阻测试仪测量接地电阻，目测检查电气元件密封情况。</w:t>
      </w:r>
    </w:p>
    <w:p w14:paraId="60DD8184">
      <w:pPr>
        <w:pStyle w:val="18"/>
        <w:bidi w:val="0"/>
        <w:rPr>
          <w:rFonts w:hint="eastAsia"/>
        </w:rPr>
      </w:pPr>
      <w:r>
        <w:rPr>
          <w:rFonts w:hint="eastAsia"/>
        </w:rPr>
        <w:t>检验规则</w:t>
      </w:r>
    </w:p>
    <w:p w14:paraId="4C67E1E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检验分类</w:t>
      </w:r>
    </w:p>
    <w:p w14:paraId="4006D22F">
      <w:pPr>
        <w:pStyle w:val="17"/>
        <w:rPr>
          <w:rFonts w:hint="eastAsia"/>
        </w:rPr>
      </w:pPr>
      <w:r>
        <w:rPr>
          <w:rFonts w:hint="eastAsia"/>
        </w:rPr>
        <w:t>检验分为出厂检验和型式检验。</w:t>
      </w:r>
    </w:p>
    <w:p w14:paraId="3AF21AF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出厂检验</w:t>
      </w:r>
    </w:p>
    <w:p w14:paraId="7B1B007A">
      <w:pPr>
        <w:pStyle w:val="75"/>
        <w:bidi w:val="0"/>
        <w:rPr>
          <w:rFonts w:hint="eastAsia"/>
        </w:rPr>
      </w:pPr>
      <w:r>
        <w:rPr>
          <w:rFonts w:hint="eastAsia"/>
        </w:rPr>
        <w:t>每台防护阀门出厂前必须进行出厂检验，检验项目包括外观质量、尺寸偏差、启闭性能、密闭性能、绝缘性能（电动阀门）。</w:t>
      </w:r>
    </w:p>
    <w:p w14:paraId="0D287CE2">
      <w:pPr>
        <w:pStyle w:val="75"/>
        <w:bidi w:val="0"/>
        <w:rPr>
          <w:rFonts w:hint="eastAsia"/>
        </w:rPr>
      </w:pPr>
      <w:r>
        <w:rPr>
          <w:rFonts w:hint="eastAsia"/>
        </w:rPr>
        <w:t>出厂检验应逐台进行，所有检验项目均合格后方可出厂，出具出厂合格证、产品检测报告。</w:t>
      </w:r>
    </w:p>
    <w:p w14:paraId="57ED29E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型式检验</w:t>
      </w:r>
    </w:p>
    <w:p w14:paraId="57EA05C8">
      <w:pPr>
        <w:pStyle w:val="75"/>
        <w:bidi w:val="0"/>
        <w:rPr>
          <w:rFonts w:hint="eastAsia"/>
        </w:rPr>
      </w:pPr>
      <w:r>
        <w:rPr>
          <w:rFonts w:hint="eastAsia"/>
        </w:rPr>
        <w:t>有下列情况之一时，应进行型式检验：</w:t>
      </w:r>
    </w:p>
    <w:p w14:paraId="06464CC0">
      <w:pPr>
        <w:pStyle w:val="46"/>
        <w:bidi w:val="0"/>
        <w:ind w:left="851" w:leftChars="0" w:hanging="426" w:firstLineChars="0"/>
        <w:rPr>
          <w:rFonts w:hint="eastAsia"/>
        </w:rPr>
      </w:pPr>
      <w:r>
        <w:rPr>
          <w:rFonts w:hint="eastAsia"/>
        </w:rPr>
        <w:t>新产品试制定型鉴定与新厂首台产品生产时；</w:t>
      </w:r>
    </w:p>
    <w:p w14:paraId="254B400C">
      <w:pPr>
        <w:pStyle w:val="46"/>
        <w:bidi w:val="0"/>
        <w:ind w:left="851" w:leftChars="0" w:hanging="426" w:firstLineChars="0"/>
        <w:rPr>
          <w:rFonts w:hint="eastAsia"/>
        </w:rPr>
      </w:pPr>
      <w:r>
        <w:rPr>
          <w:rFonts w:hint="eastAsia"/>
        </w:rPr>
        <w:t>产品停产三年以上再恢复生产或重大工艺变更时；</w:t>
      </w:r>
    </w:p>
    <w:p w14:paraId="0DA22FF7">
      <w:pPr>
        <w:pStyle w:val="46"/>
        <w:bidi w:val="0"/>
        <w:ind w:left="851" w:leftChars="0" w:hanging="426" w:firstLineChars="0"/>
        <w:rPr>
          <w:rFonts w:hint="eastAsia"/>
        </w:rPr>
      </w:pPr>
      <w:r>
        <w:rPr>
          <w:rFonts w:hint="eastAsia"/>
        </w:rPr>
        <w:t>产品结构、材料、工艺有重大改进，可能影响产品性能时；</w:t>
      </w:r>
    </w:p>
    <w:p w14:paraId="66B21086">
      <w:pPr>
        <w:pStyle w:val="46"/>
        <w:bidi w:val="0"/>
        <w:ind w:left="851" w:leftChars="0" w:hanging="426" w:firstLineChars="0"/>
        <w:rPr>
          <w:rFonts w:hint="eastAsia"/>
        </w:rPr>
      </w:pPr>
      <w:r>
        <w:rPr>
          <w:rFonts w:hint="eastAsia"/>
        </w:rPr>
        <w:t>批量生产时，每两年至少进行一次；</w:t>
      </w:r>
    </w:p>
    <w:p w14:paraId="27DC6CA1">
      <w:pPr>
        <w:pStyle w:val="46"/>
        <w:bidi w:val="0"/>
        <w:ind w:left="851" w:leftChars="0" w:hanging="426" w:firstLineChars="0"/>
        <w:rPr>
          <w:rFonts w:hint="eastAsia"/>
        </w:rPr>
      </w:pPr>
      <w:r>
        <w:rPr>
          <w:rFonts w:hint="eastAsia"/>
        </w:rPr>
        <w:t>国家主管部门要求进行型式检验时。</w:t>
      </w:r>
    </w:p>
    <w:p w14:paraId="6C8A0B5B">
      <w:pPr>
        <w:pStyle w:val="75"/>
        <w:bidi w:val="0"/>
        <w:rPr>
          <w:rFonts w:hint="eastAsia"/>
        </w:rPr>
      </w:pPr>
      <w:r>
        <w:rPr>
          <w:rFonts w:hint="eastAsia"/>
        </w:rPr>
        <w:t>型式检验项目包括本</w:t>
      </w:r>
      <w:r>
        <w:rPr>
          <w:rFonts w:hint="eastAsia"/>
          <w:lang w:val="en-US" w:eastAsia="zh-CN"/>
        </w:rPr>
        <w:t>文件第</w:t>
      </w:r>
      <w:r>
        <w:rPr>
          <w:rFonts w:hint="eastAsia"/>
        </w:rPr>
        <w:t>5章规定的全部技术要求，抽样数量按每批次产品的5%抽取，且不少于3台，不足3台时全检。</w:t>
      </w:r>
    </w:p>
    <w:p w14:paraId="79928C3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判定规则</w:t>
      </w:r>
    </w:p>
    <w:p w14:paraId="3C166E45">
      <w:pPr>
        <w:pStyle w:val="75"/>
        <w:bidi w:val="0"/>
        <w:rPr>
          <w:rFonts w:hint="eastAsia"/>
        </w:rPr>
      </w:pPr>
      <w:r>
        <w:rPr>
          <w:rFonts w:hint="eastAsia"/>
        </w:rPr>
        <w:t>出厂检验：所有检验项目全部合格，判该产品为合格；有一项及以上不合格，应返修后重新检验，重新检验仍不合格，判该产品为不合格。</w:t>
      </w:r>
    </w:p>
    <w:p w14:paraId="706A7582">
      <w:pPr>
        <w:pStyle w:val="75"/>
        <w:bidi w:val="0"/>
        <w:rPr>
          <w:rFonts w:hint="eastAsia"/>
        </w:rPr>
      </w:pPr>
      <w:r>
        <w:rPr>
          <w:rFonts w:hint="eastAsia"/>
        </w:rPr>
        <w:t>型式检验：所有检验项目全部合格，判该批次产品为合格；有一项及以上不合格，应加倍抽样重新检验，重新检验仍有不合格项，判该批次产品为不合格。</w:t>
      </w:r>
    </w:p>
    <w:p w14:paraId="35EA8145">
      <w:pPr>
        <w:pStyle w:val="75"/>
        <w:bidi w:val="0"/>
        <w:rPr>
          <w:rFonts w:hint="eastAsia"/>
        </w:rPr>
      </w:pPr>
      <w:r>
        <w:rPr>
          <w:rFonts w:hint="eastAsia"/>
        </w:rPr>
        <w:t>不按设计要求生产加工的产品直接判定为不合格。</w:t>
      </w:r>
    </w:p>
    <w:p w14:paraId="591A6BC7">
      <w:pPr>
        <w:pStyle w:val="18"/>
        <w:bidi w:val="0"/>
        <w:rPr>
          <w:rFonts w:hint="eastAsia"/>
        </w:rPr>
      </w:pPr>
      <w:r>
        <w:rPr>
          <w:rFonts w:hint="eastAsia"/>
        </w:rPr>
        <w:t>标志、包装、运输和贮存</w:t>
      </w:r>
    </w:p>
    <w:p w14:paraId="7AF4FDA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w:t>
      </w:r>
    </w:p>
    <w:p w14:paraId="0BA792FA">
      <w:pPr>
        <w:pStyle w:val="75"/>
        <w:bidi w:val="0"/>
        <w:rPr>
          <w:rFonts w:hint="eastAsia"/>
        </w:rPr>
      </w:pPr>
      <w:r>
        <w:rPr>
          <w:rFonts w:hint="eastAsia"/>
        </w:rPr>
        <w:t>阀门阀体应铸有永久性人防标识，同时标注阀门型号、公称直径、公称压力、生产厂家、生产日期、防护等级等信息。</w:t>
      </w:r>
    </w:p>
    <w:p w14:paraId="2ECAA475">
      <w:pPr>
        <w:pStyle w:val="75"/>
        <w:bidi w:val="0"/>
        <w:rPr>
          <w:rFonts w:hint="eastAsia"/>
        </w:rPr>
      </w:pPr>
      <w:r>
        <w:rPr>
          <w:rFonts w:hint="eastAsia"/>
        </w:rPr>
        <w:t>电动阀门应标注电机功率、额定电压、启闭方向等电气参数，手动阀门应标注启闭方向箭形和开关字样，文字、图形符号颜色为大红，字体为黑体。</w:t>
      </w:r>
    </w:p>
    <w:p w14:paraId="69A5C119">
      <w:pPr>
        <w:pStyle w:val="75"/>
        <w:bidi w:val="0"/>
        <w:rPr>
          <w:rFonts w:hint="eastAsia"/>
        </w:rPr>
      </w:pPr>
      <w:r>
        <w:rPr>
          <w:rFonts w:hint="eastAsia"/>
        </w:rPr>
        <w:t>标牌应符合GB/T 13306规定，采用铝或不锈钢材质，激光雕刻，标注二维码、设备型号及名称、加工厂家、功能、操作方法，固定于阀门明显位置。</w:t>
      </w:r>
    </w:p>
    <w:p w14:paraId="324A562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包装</w:t>
      </w:r>
    </w:p>
    <w:p w14:paraId="5612AC68">
      <w:pPr>
        <w:pStyle w:val="75"/>
        <w:bidi w:val="0"/>
        <w:rPr>
          <w:rFonts w:hint="eastAsia"/>
        </w:rPr>
      </w:pPr>
      <w:r>
        <w:rPr>
          <w:rFonts w:hint="eastAsia"/>
        </w:rPr>
        <w:t>防护阀门应按部件、零件、标准件分类包装，采用防潮、防震包装材料，防止运输过程中损坏。</w:t>
      </w:r>
    </w:p>
    <w:p w14:paraId="5AC40969">
      <w:pPr>
        <w:pStyle w:val="75"/>
        <w:bidi w:val="0"/>
        <w:rPr>
          <w:rFonts w:hint="eastAsia"/>
        </w:rPr>
      </w:pPr>
      <w:r>
        <w:rPr>
          <w:rFonts w:hint="eastAsia"/>
        </w:rPr>
        <w:t>包装应符合GB/T 191规定，包装内应附有装箱单、产品合格证、产品说明书、安装维护手册等资料。</w:t>
      </w:r>
    </w:p>
    <w:p w14:paraId="24FEA7E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运输</w:t>
      </w:r>
    </w:p>
    <w:p w14:paraId="179A12B9">
      <w:pPr>
        <w:pStyle w:val="75"/>
        <w:bidi w:val="0"/>
        <w:rPr>
          <w:rFonts w:hint="eastAsia"/>
        </w:rPr>
      </w:pPr>
      <w:r>
        <w:rPr>
          <w:rFonts w:hint="eastAsia"/>
        </w:rPr>
        <w:t>运输过程中应避免雨雪淋袭、化学物品侵蚀，防止阀门相互碰撞、剧烈振动和挤压，避免阀体、密封面、操作机构损坏。</w:t>
      </w:r>
    </w:p>
    <w:p w14:paraId="33844DB3">
      <w:pPr>
        <w:pStyle w:val="75"/>
        <w:bidi w:val="0"/>
        <w:rPr>
          <w:rFonts w:hint="eastAsia"/>
        </w:rPr>
      </w:pPr>
      <w:r>
        <w:rPr>
          <w:rFonts w:hint="eastAsia"/>
        </w:rPr>
        <w:t>重量大于50kg的阀门应采用吊装方式运输，严禁使用钢丝绳直接捆绑阀体，吊装时设专人指挥，吊装半径内严禁站人。</w:t>
      </w:r>
    </w:p>
    <w:p w14:paraId="5E7E6A7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贮存</w:t>
      </w:r>
    </w:p>
    <w:p w14:paraId="00764BF3">
      <w:pPr>
        <w:pStyle w:val="75"/>
        <w:bidi w:val="0"/>
        <w:rPr>
          <w:rFonts w:hint="eastAsia"/>
        </w:rPr>
      </w:pPr>
      <w:r>
        <w:rPr>
          <w:rFonts w:hint="eastAsia"/>
        </w:rPr>
        <w:t>防护阀门应贮存在干燥、通风、清洁的库房内，远离火源、热源和腐蚀性物质，堆放整齐，避免挤压、变形。</w:t>
      </w:r>
    </w:p>
    <w:p w14:paraId="26CEB0A5">
      <w:pPr>
        <w:pStyle w:val="75"/>
        <w:bidi w:val="0"/>
        <w:rPr>
          <w:rFonts w:hint="eastAsia"/>
        </w:rPr>
      </w:pPr>
      <w:r>
        <w:rPr>
          <w:rFonts w:hint="eastAsia"/>
        </w:rPr>
        <w:t>阀门贮存期间应定期检查，做好防潮、防锈处理，密封面应涂抹防锈油脂，电动阀门应妥善保护电气部分，防止受潮损坏。</w:t>
      </w:r>
    </w:p>
    <w:p w14:paraId="729E6089">
      <w:pPr>
        <w:pStyle w:val="75"/>
        <w:bidi w:val="0"/>
      </w:pPr>
      <w:r>
        <w:rPr>
          <w:rFonts w:hint="eastAsia"/>
        </w:rPr>
        <w:t>阀门贮存期限不宜超过一年，超过一年应重新进行检验，合格后方可使用。</w:t>
      </w:r>
      <w:bookmarkEnd w:id="25"/>
    </w:p>
    <w:sectPr>
      <w:headerReference r:id="rId13" w:type="default"/>
      <w:footerReference r:id="rId15" w:type="default"/>
      <w:headerReference r:id="rId14" w:type="even"/>
      <w:footerReference r:id="rId16"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15D43">
    <w:pPr>
      <w:pStyle w:val="110"/>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83AA2">
    <w:pPr>
      <w:pStyle w:val="6"/>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FA359">
                          <w:pPr>
                            <w:pStyle w:val="6"/>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707FA359">
                    <w:pPr>
                      <w:pStyle w:val="6"/>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2A763">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8872">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C988D">
    <w:pPr>
      <w:pStyle w:val="111"/>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3EFD8">
    <w:pPr>
      <w:snapToGrid w:val="0"/>
      <w:ind w:right="227"/>
      <w:jc w:val="right"/>
      <w:rPr>
        <w:rFonts w:ascii="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1DB8">
    <w:pPr>
      <w:pStyle w:val="111"/>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2251B1">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42251B1">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CDB1A">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1DDF">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7A319">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F45A6">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123A9">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F447B">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3CD9A">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0F1F7A6F"/>
    <w:multiLevelType w:val="multilevel"/>
    <w:tmpl w:val="0F1F7A6F"/>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2">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3">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4">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6">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7"/>
  </w:num>
  <w:num w:numId="4">
    <w:abstractNumId w:val="4"/>
  </w:num>
  <w:num w:numId="5">
    <w:abstractNumId w:val="1"/>
  </w:num>
  <w:num w:numId="6">
    <w:abstractNumId w:val="11"/>
  </w:num>
  <w:num w:numId="7">
    <w:abstractNumId w:val="26"/>
  </w:num>
  <w:num w:numId="8">
    <w:abstractNumId w:val="20"/>
  </w:num>
  <w:num w:numId="9">
    <w:abstractNumId w:val="13"/>
  </w:num>
  <w:num w:numId="10">
    <w:abstractNumId w:val="19"/>
  </w:num>
  <w:num w:numId="11">
    <w:abstractNumId w:val="10"/>
  </w:num>
  <w:num w:numId="12">
    <w:abstractNumId w:val="17"/>
  </w:num>
  <w:num w:numId="13">
    <w:abstractNumId w:val="18"/>
  </w:num>
  <w:num w:numId="14">
    <w:abstractNumId w:val="28"/>
  </w:num>
  <w:num w:numId="15">
    <w:abstractNumId w:val="8"/>
  </w:num>
  <w:num w:numId="16">
    <w:abstractNumId w:val="9"/>
  </w:num>
  <w:num w:numId="17">
    <w:abstractNumId w:val="16"/>
  </w:num>
  <w:num w:numId="18">
    <w:abstractNumId w:val="2"/>
  </w:num>
  <w:num w:numId="19">
    <w:abstractNumId w:val="23"/>
  </w:num>
  <w:num w:numId="20">
    <w:abstractNumId w:val="14"/>
  </w:num>
  <w:num w:numId="21">
    <w:abstractNumId w:val="6"/>
  </w:num>
  <w:num w:numId="22">
    <w:abstractNumId w:val="27"/>
  </w:num>
  <w:num w:numId="23">
    <w:abstractNumId w:val="5"/>
  </w:num>
  <w:num w:numId="24">
    <w:abstractNumId w:val="25"/>
  </w:num>
  <w:num w:numId="25">
    <w:abstractNumId w:val="15"/>
  </w:num>
  <w:num w:numId="26">
    <w:abstractNumId w:val="12"/>
  </w:num>
  <w:num w:numId="27">
    <w:abstractNumId w:val="3"/>
  </w:num>
  <w:num w:numId="28">
    <w:abstractNumId w:val="22"/>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attachedTemplate r:id="rId1"/>
  <w:documentProtection w:edit="forms" w:enforcement="0"/>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xZTg5ZWFlM2YwY2Y5ZGFlOGI3MjhkYWExMTMwODEifQ=="/>
  </w:docVars>
  <w:rsids>
    <w:rsidRoot w:val="6E962720"/>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C17635F"/>
    <w:rsid w:val="3C5F6A31"/>
    <w:rsid w:val="3CA646C8"/>
    <w:rsid w:val="3CB53659"/>
    <w:rsid w:val="405F5F05"/>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5A77E4"/>
    <w:rsid w:val="50753B17"/>
    <w:rsid w:val="510E66B3"/>
    <w:rsid w:val="511B7B18"/>
    <w:rsid w:val="5198249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E6CE4"/>
    <w:rsid w:val="6E6A388E"/>
    <w:rsid w:val="6E962720"/>
    <w:rsid w:val="6F421542"/>
    <w:rsid w:val="6FB30D6B"/>
    <w:rsid w:val="703F04DB"/>
    <w:rsid w:val="715D6B54"/>
    <w:rsid w:val="71D1155B"/>
    <w:rsid w:val="72330EA6"/>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14:paraId="70C44B23">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14:paraId="600AC9AD">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9</Pages>
  <Words>392</Words>
  <Characters>510</Characters>
  <Lines>6</Lines>
  <Paragraphs>1</Paragraphs>
  <TotalTime>40</TotalTime>
  <ScaleCrop>false</ScaleCrop>
  <LinksUpToDate>false</LinksUpToDate>
  <CharactersWithSpaces>535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2026-04-21T01:13:00Z</dcterms:created>
  <dc:creator>李小客</dc:creator>
  <cp:lastModifiedBy>李小客</cp:lastModifiedBy>
  <dcterms:modified xsi:type="dcterms:W3CDTF">2026-04-21T02:05:25Z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805735DAC728412EAEB0BC3FE8EFCF06_11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