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pPr>
              <w:pStyle w:val="8"/>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43.040.10</w:t>
            </w:r>
            <w:r>
              <w:rPr>
                <w:rFonts w:ascii="黑体" w:hAnsi="黑体" w:eastAsia="黑体"/>
                <w:kern w:val="0"/>
                <w:sz w:val="21"/>
                <w:szCs w:val="21"/>
              </w:rPr>
              <w:fldChar w:fldCharType="end"/>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pPr>
              <w:pStyle w:val="8"/>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T35</w:t>
            </w:r>
            <w:r>
              <w:rPr>
                <w:rFonts w:ascii="黑体" w:hAnsi="黑体" w:eastAsia="黑体"/>
                <w:kern w:val="0"/>
                <w:sz w:val="21"/>
                <w:szCs w:val="21"/>
              </w:rPr>
              <w:fldChar w:fldCharType="end"/>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pPr>
              <w:pStyle w:val="55"/>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pPr>
        <w:pStyle w:val="56"/>
        <w:rPr>
          <w:b w:val="0"/>
          <w:bCs w:val="0"/>
          <w:w w:val="100"/>
          <w:szCs w:val="48"/>
        </w:rPr>
      </w:pPr>
      <w:r>
        <w:rPr>
          <w:rFonts w:hint="eastAsia"/>
          <w:b w:val="0"/>
          <w:w w:val="100"/>
        </w:rPr>
        <w:t>团体</w:t>
      </w:r>
      <w:r>
        <w:rPr>
          <w:rFonts w:hint="eastAsia"/>
          <w:b w:val="0"/>
          <w:bCs w:val="0"/>
          <w:w w:val="100"/>
          <w:szCs w:val="48"/>
        </w:rPr>
        <w:t>标准</w:t>
      </w:r>
    </w:p>
    <w:bookmarkEnd w:id="4"/>
    <w:p>
      <w:pPr>
        <w:pStyle w:val="60"/>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pPr>
        <w:pStyle w:val="61"/>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pPr>
        <w:pStyle w:val="56"/>
        <w:framePr w:h="6976" w:hRule="exact" w:hSpace="0" w:vSpace="0" w:wrap="around" w:y="6408"/>
        <w:jc w:val="center"/>
        <w:rPr>
          <w:b w:val="0"/>
          <w:bCs w:val="0"/>
          <w:w w:val="100"/>
        </w:rPr>
      </w:pPr>
    </w:p>
    <w:p>
      <w:pPr>
        <w:pStyle w:val="62"/>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t>《汽车用轮速传感器通用技术要求》</w:t>
      </w:r>
      <w:r>
        <w:fldChar w:fldCharType="end"/>
      </w:r>
      <w:bookmarkEnd w:id="10"/>
    </w:p>
    <w:p>
      <w:pPr>
        <w:framePr w:w="9639" w:h="6974" w:hRule="exact" w:wrap="around" w:vAnchor="page" w:hAnchor="page" w:x="1419" w:y="6408" w:anchorLock="1"/>
        <w:ind w:left="-1418"/>
      </w:pPr>
    </w:p>
    <w:p>
      <w:pPr>
        <w:pStyle w:val="57"/>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     </w:t>
      </w:r>
      <w:r>
        <w:fldChar w:fldCharType="end"/>
      </w:r>
      <w:bookmarkEnd w:id="11"/>
    </w:p>
    <w:p>
      <w:pPr>
        <w:framePr w:w="9639" w:h="6974" w:hRule="exact" w:wrap="around" w:vAnchor="page" w:hAnchor="page" w:x="1419" w:y="6408" w:anchorLock="1"/>
        <w:spacing w:line="760" w:lineRule="exact"/>
        <w:ind w:left="-1418"/>
      </w:pPr>
    </w:p>
    <w:p>
      <w:pPr>
        <w:pStyle w:val="57"/>
        <w:framePr w:h="6974" w:hRule="exact" w:wrap="around" w:x="1419"/>
        <w:pBdr>
          <w:top w:val="none" w:color="auto" w:sz="0" w:space="0"/>
          <w:left w:val="none" w:color="auto" w:sz="0" w:space="0"/>
          <w:bottom w:val="none" w:color="auto" w:sz="0" w:space="0"/>
          <w:right w:val="none" w:color="auto" w:sz="0" w:space="0"/>
        </w:pBdr>
        <w:spacing w:before="0" w:after="120"/>
        <w:textAlignment w:val="bottom"/>
      </w:pPr>
      <w:r>
        <w:fldChar w:fldCharType="begin">
          <w:ffData>
            <w:name w:val="StdIsoConincidence"/>
            <w:enabled/>
            <w:calcOnExit w:val="0"/>
            <w:textInput>
              <w:default w:val="(点击此处添加与国际标准一致性程度的标识)"/>
            </w:textInput>
          </w:ffData>
        </w:fldChar>
      </w:r>
      <w:bookmarkStart w:id="12" w:name="StdIsoConincidence"/>
      <w:r>
        <w:instrText xml:space="preserve"> FORMTEXT </w:instrText>
      </w:r>
      <w:r>
        <w:fldChar w:fldCharType="separate"/>
      </w:r>
      <w:r>
        <w:rPr>
          <w:rFonts w:hint="eastAsia"/>
        </w:rPr>
        <w:t>(点击此处添加与国际标准一致性程度的标识)</w:t>
      </w:r>
      <w:r>
        <w:fldChar w:fldCharType="end"/>
      </w:r>
      <w:bookmarkEnd w:id="12"/>
    </w:p>
    <w:p>
      <w:pPr>
        <w:pStyle w:val="57"/>
        <w:framePr w:h="6974" w:hRule="exact" w:wrap="around" w:x="1419"/>
        <w:textAlignment w:val="bottom"/>
      </w:pPr>
    </w:p>
    <w:p>
      <w:pPr>
        <w:pStyle w:val="57"/>
        <w:framePr w:h="6974" w:hRule="exact" w:wrap="around" w:x="1419"/>
        <w:spacing w:before="440" w:after="120"/>
        <w:textAlignment w:val="bottom"/>
        <w:rPr>
          <w:sz w:val="24"/>
        </w:rPr>
      </w:pPr>
      <w:r>
        <w:rPr>
          <w:sz w:val="24"/>
        </w:rPr>
        <w:fldChar w:fldCharType="begin">
          <w:ffData>
            <w:name w:val="StdState"/>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3" w:name="StdState"/>
      <w:r>
        <w:rPr>
          <w:sz w:val="24"/>
        </w:rPr>
        <w:instrText xml:space="preserve"> FORMDROPDOWN </w:instrText>
      </w:r>
      <w:r>
        <w:rPr>
          <w:sz w:val="24"/>
        </w:rPr>
        <w:fldChar w:fldCharType="separate"/>
      </w:r>
      <w:r>
        <w:rPr>
          <w:sz w:val="24"/>
        </w:rPr>
        <w:fldChar w:fldCharType="end"/>
      </w:r>
      <w:bookmarkEnd w:id="13"/>
    </w:p>
    <w:p>
      <w:pPr>
        <w:pStyle w:val="57"/>
        <w:keepNext w:val="0"/>
        <w:keepLines w:val="0"/>
        <w:pageBreakBefore w:val="0"/>
        <w:framePr w:h="6974" w:hRule="exact" w:wrap="around" w:x="1419"/>
        <w:widowControl w:val="0"/>
        <w:kinsoku/>
        <w:wordWrap/>
        <w:overflowPunct/>
        <w:topLinePunct w:val="0"/>
        <w:autoSpaceDE/>
        <w:autoSpaceDN/>
        <w:bidi w:val="0"/>
        <w:adjustRightInd/>
        <w:snapToGrid/>
        <w:spacing w:before="180" w:line="240" w:lineRule="exact"/>
        <w:textAlignment w:val="bottom"/>
        <w:rPr>
          <w:sz w:val="24"/>
        </w:rPr>
      </w:pPr>
      <w:r>
        <w:rPr>
          <w:sz w:val="21"/>
          <w:szCs w:val="21"/>
        </w:rPr>
        <w:fldChar w:fldCharType="begin">
          <w:ffData>
            <w:name w:val="CMPLSH_DATE"/>
            <w:enabled/>
            <w:calcOnExit w:val="0"/>
            <w:textInput/>
          </w:ffData>
        </w:fldChar>
      </w:r>
      <w:bookmarkStart w:id="14" w:name="CMPLSH_DATE"/>
      <w:r>
        <w:rPr>
          <w:sz w:val="21"/>
          <w:szCs w:val="21"/>
        </w:rPr>
        <w:instrText xml:space="preserve"> FORMTEXT </w:instrText>
      </w:r>
      <w:r>
        <w:rPr>
          <w:sz w:val="21"/>
          <w:szCs w:val="21"/>
        </w:rPr>
        <w:fldChar w:fldCharType="separate"/>
      </w:r>
      <w:r>
        <w:rPr>
          <w:sz w:val="21"/>
          <w:szCs w:val="21"/>
        </w:rPr>
        <w:t>     </w:t>
      </w:r>
      <w:r>
        <w:rPr>
          <w:sz w:val="21"/>
          <w:szCs w:val="21"/>
        </w:rPr>
        <w:fldChar w:fldCharType="end"/>
      </w:r>
      <w:bookmarkEnd w:id="14"/>
    </w:p>
    <w:p>
      <w:pPr>
        <w:pStyle w:val="57"/>
        <w:keepNext w:val="0"/>
        <w:keepLines w:val="0"/>
        <w:pageBreakBefore w:val="0"/>
        <w:framePr w:h="6974" w:hRule="exact" w:wrap="around" w:x="1419"/>
        <w:widowControl w:val="0"/>
        <w:kinsoku/>
        <w:wordWrap/>
        <w:overflowPunct/>
        <w:topLinePunct w:val="0"/>
        <w:autoSpaceDE/>
        <w:autoSpaceDN/>
        <w:bidi w:val="0"/>
        <w:adjustRightInd/>
        <w:snapToGrid/>
        <w:spacing w:before="979" w:beforeLines="300" w:after="99" w:afterLines="30" w:line="240" w:lineRule="auto"/>
        <w:textAlignment w:val="bottom"/>
        <w:rPr>
          <w:b/>
          <w:bCs/>
          <w:sz w:val="21"/>
          <w:szCs w:val="21"/>
        </w:rPr>
      </w:pPr>
      <w:r>
        <w:rPr>
          <w:b/>
          <w:bCs/>
          <w:sz w:val="21"/>
          <w:szCs w:val="21"/>
        </w:rPr>
        <w:fldChar w:fldCharType="begin">
          <w:ffData>
            <w:name w:val="下拉2"/>
            <w:enabled/>
            <w:calcOnExit w:val="0"/>
            <w:ddList>
              <w:result w:val="1"/>
              <w:listEntry w:val=" "/>
              <w:listEntry w:val="在提交反馈意见时，请将您知道的相关专利连同支持性文件一并附上。"/>
            </w:ddList>
          </w:ffData>
        </w:fldChar>
      </w:r>
      <w:bookmarkStart w:id="15" w:name="下拉2"/>
      <w:r>
        <w:rPr>
          <w:b/>
          <w:bCs/>
          <w:sz w:val="21"/>
          <w:szCs w:val="21"/>
        </w:rPr>
        <w:instrText xml:space="preserve"> FORMDROPDOWN </w:instrText>
      </w:r>
      <w:r>
        <w:rPr>
          <w:b/>
          <w:bCs/>
          <w:sz w:val="21"/>
          <w:szCs w:val="21"/>
        </w:rPr>
        <w:fldChar w:fldCharType="separate"/>
      </w:r>
      <w:r>
        <w:rPr>
          <w:b/>
          <w:bCs/>
          <w:sz w:val="21"/>
          <w:szCs w:val="21"/>
        </w:rPr>
        <w:fldChar w:fldCharType="end"/>
      </w:r>
      <w:bookmarkEnd w:id="15"/>
    </w:p>
    <w:p>
      <w:pPr>
        <w:pStyle w:val="57"/>
        <w:framePr w:h="6974" w:hRule="exact" w:wrap="around" w:x="1419"/>
        <w:spacing w:before="978" w:beforeLines="300" w:after="97" w:afterLines="30" w:line="240" w:lineRule="auto"/>
        <w:textAlignment w:val="bottom"/>
        <w:rPr>
          <w:b/>
          <w:sz w:val="21"/>
        </w:rPr>
      </w:pPr>
    </w:p>
    <w:p>
      <w:pPr>
        <w:pStyle w:val="58"/>
        <w:framePr w:wrap="around" w:hAnchor="page" w:x="1396" w:y="14116"/>
      </w:pPr>
      <w:bookmarkStart w:id="16"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2026-06-01</w:t>
      </w:r>
      <w:r>
        <w:rPr>
          <w:rFonts w:hint="eastAsia" w:ascii="黑体" w:hAnsi="黑体" w:cs="黑体"/>
        </w:rPr>
        <w:fldChar w:fldCharType="end"/>
      </w:r>
      <w:bookmarkEnd w:id="16"/>
      <w:r>
        <w:pict>
          <v:line id="直接连接符 5" o:spid="_x0000_s1035" o:spt="20" style="position:absolute;left:0pt;margin-left:70.85pt;margin-top:728.6pt;height:0pt;width:481.9pt;mso-position-horizontal-relative:page;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pPr>
        <w:pStyle w:val="59"/>
        <w:framePr w:wrap="around" w:hAnchor="page" w:x="7081" w:y="14116"/>
      </w:pPr>
      <w:bookmarkStart w:id="17"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2026-06-02</w:t>
      </w:r>
      <w:r>
        <w:rPr>
          <w:rFonts w:hint="eastAsia" w:ascii="黑体" w:hAnsi="黑体" w:cs="黑体"/>
        </w:rPr>
        <w:fldChar w:fldCharType="end"/>
      </w:r>
      <w:bookmarkEnd w:id="17"/>
      <w:r>
        <w:rPr>
          <w:rFonts w:hint="eastAsia"/>
        </w:rPr>
        <w:t>实施</w:t>
      </w:r>
    </w:p>
    <w:p>
      <w:pPr>
        <w:pStyle w:val="64"/>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8" w:name="StdApprovedep"/>
      <w:r>
        <w:rPr>
          <w:rFonts w:hAnsi="黑体"/>
          <w:w w:val="100"/>
          <w:sz w:val="28"/>
        </w:rPr>
        <w:instrText xml:space="preserve"> FORMTEXT </w:instrText>
      </w:r>
      <w:r>
        <w:rPr>
          <w:rFonts w:hAnsi="黑体"/>
          <w:w w:val="100"/>
          <w:sz w:val="28"/>
        </w:rPr>
        <w:fldChar w:fldCharType="separate"/>
      </w:r>
      <w:r>
        <w:rPr>
          <w:rFonts w:hAnsi="黑体"/>
          <w:w w:val="100"/>
          <w:sz w:val="28"/>
        </w:rPr>
        <w:t>浙江省产学研合作促进会</w:t>
      </w:r>
      <w:r>
        <w:rPr>
          <w:rFonts w:hAnsi="黑体"/>
          <w:w w:val="100"/>
          <w:sz w:val="28"/>
        </w:rPr>
        <w:fldChar w:fldCharType="end"/>
      </w:r>
      <w:bookmarkEnd w:id="18"/>
      <w:r>
        <w:rPr>
          <w:rFonts w:ascii="Times New Roman"/>
          <w:w w:val="100"/>
          <w:sz w:val="28"/>
        </w:rPr>
        <w:t>  </w:t>
      </w:r>
      <w:r>
        <w:rPr>
          <w:rStyle w:val="65"/>
          <w:rFonts w:hint="eastAsia" w:hAnsi="黑体"/>
        </w:rPr>
        <w:t>发布</w:t>
      </w:r>
    </w:p>
    <w:p>
      <w:r>
        <mc:AlternateContent>
          <mc:Choice Requires="wps">
            <w:drawing>
              <wp:anchor distT="0" distB="0" distL="114300" distR="114300" simplePos="0" relativeHeight="251660288"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0288;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pPr>
        <w:sectPr>
          <w:type w:val="oddPage"/>
          <w:pgSz w:w="11906" w:h="16838"/>
          <w:pgMar w:top="567" w:right="1134" w:bottom="1134" w:left="1134" w:header="851" w:footer="992" w:gutter="0"/>
          <w:pgNumType w:start="1"/>
          <w:cols w:space="425" w:num="1"/>
          <w:docGrid w:type="lines" w:linePitch="326" w:charSpace="0"/>
        </w:sectPr>
      </w:pPr>
    </w:p>
    <w:bookmarkEnd w:id="0"/>
    <w:p>
      <w:pPr>
        <w:pStyle w:val="109"/>
        <w:bidi w:val="0"/>
        <w:rPr>
          <w:rFonts w:hint="eastAsia"/>
          <w:lang w:eastAsia="zh-CN"/>
        </w:rPr>
      </w:pPr>
      <w:bookmarkStart w:id="19" w:name="mbookmark30"/>
      <w:r>
        <w:rPr>
          <w:rFonts w:hint="eastAsia"/>
          <w:spacing w:val="318"/>
          <w:lang w:eastAsia="zh-CN"/>
        </w:rPr>
        <w:t>目</w:t>
      </w:r>
      <w:r>
        <w:rPr>
          <w:rFonts w:hint="eastAsia"/>
          <w:lang w:eastAsia="zh-CN"/>
        </w:rPr>
        <w:t>次</w:t>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TOC \o "1-1" \h \u </w:instrText>
      </w:r>
      <w:r>
        <w:rPr>
          <w:rFonts w:hint="eastAsia" w:ascii="宋体" w:hAnsi="宋体" w:eastAsia="宋体" w:cs="宋体"/>
          <w:spacing w:val="0"/>
          <w:lang w:eastAsia="zh-CN"/>
        </w:rPr>
        <w:fldChar w:fldCharType="separate"/>
      </w: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_Toc24365 </w:instrText>
      </w:r>
      <w:r>
        <w:rPr>
          <w:rFonts w:hint="eastAsia" w:ascii="宋体" w:hAnsi="宋体" w:eastAsia="宋体" w:cs="宋体"/>
          <w:spacing w:val="0"/>
          <w:lang w:eastAsia="zh-CN"/>
        </w:rPr>
        <w:fldChar w:fldCharType="separate"/>
      </w:r>
      <w:r>
        <w:rPr>
          <w:rFonts w:hint="eastAsia" w:ascii="宋体" w:hAnsi="宋体" w:eastAsia="宋体" w:cs="宋体"/>
          <w:spacing w:val="0"/>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_Toc24365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_Toc23039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 </w:t>
      </w:r>
      <w:r>
        <w:rPr>
          <w:rFonts w:hint="eastAsia" w:ascii="宋体" w:hAnsi="宋体" w:eastAsia="宋体" w:cs="宋体"/>
          <w:spacing w:val="0"/>
        </w:rPr>
        <w:t>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_Toc23039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_Toc23593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2 </w:t>
      </w:r>
      <w:r>
        <w:rPr>
          <w:rFonts w:hint="eastAsia" w:ascii="宋体" w:hAnsi="宋体" w:eastAsia="宋体" w:cs="宋体"/>
          <w:spacing w:val="0"/>
        </w:rPr>
        <w:t>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_Toc23593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_Toc24885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3 </w:t>
      </w:r>
      <w:r>
        <w:rPr>
          <w:rFonts w:hint="eastAsia" w:ascii="宋体" w:hAnsi="宋体" w:eastAsia="宋体" w:cs="宋体"/>
          <w:spacing w:val="0"/>
        </w:rPr>
        <w:t>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_Toc24885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_Toc17702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4 </w:t>
      </w:r>
      <w:r>
        <w:rPr>
          <w:rFonts w:hint="eastAsia" w:ascii="宋体" w:hAnsi="宋体" w:eastAsia="宋体" w:cs="宋体"/>
          <w:spacing w:val="0"/>
        </w:rPr>
        <w:t>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_Toc17702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_Toc16138 </w:instrText>
      </w:r>
      <w:r>
        <w:rPr>
          <w:rFonts w:hint="eastAsia" w:ascii="宋体" w:hAnsi="宋体" w:eastAsia="宋体" w:cs="宋体"/>
          <w:spacing w:val="0"/>
          <w:lang w:eastAsia="zh-CN"/>
        </w:rPr>
        <w:fldChar w:fldCharType="separate"/>
      </w:r>
      <w:r>
        <w:rPr>
          <w:rFonts w:hint="eastAsia" w:ascii="宋体" w:hAnsi="宋体" w:eastAsia="宋体" w:cs="宋体"/>
          <w:i w:val="0"/>
          <w:spacing w:val="0"/>
          <w:lang w:val="en-US" w:eastAsia="zh-CN"/>
        </w:rPr>
        <w:t xml:space="preserve">5 </w:t>
      </w:r>
      <w:r>
        <w:rPr>
          <w:rFonts w:hint="eastAsia" w:ascii="宋体" w:hAnsi="宋体" w:eastAsia="宋体" w:cs="宋体"/>
          <w:spacing w:val="0"/>
          <w:lang w:val="en-US" w:eastAsia="zh-CN"/>
        </w:rPr>
        <w:t>试验方法</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_Toc16138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_Toc9065 </w:instrText>
      </w:r>
      <w:r>
        <w:rPr>
          <w:rFonts w:hint="eastAsia" w:ascii="宋体" w:hAnsi="宋体" w:eastAsia="宋体" w:cs="宋体"/>
          <w:spacing w:val="0"/>
          <w:lang w:eastAsia="zh-CN"/>
        </w:rPr>
        <w:fldChar w:fldCharType="separate"/>
      </w:r>
      <w:r>
        <w:rPr>
          <w:rFonts w:hint="eastAsia" w:ascii="宋体" w:hAnsi="宋体" w:eastAsia="宋体" w:cs="宋体"/>
          <w:i w:val="0"/>
          <w:spacing w:val="0"/>
          <w:lang w:val="en-US" w:eastAsia="zh-CN"/>
        </w:rPr>
        <w:t xml:space="preserve">6 </w:t>
      </w:r>
      <w:r>
        <w:rPr>
          <w:rFonts w:hint="eastAsia" w:ascii="宋体" w:hAnsi="宋体" w:eastAsia="宋体" w:cs="宋体"/>
          <w:spacing w:val="0"/>
          <w:lang w:val="en-US" w:eastAsia="zh-CN"/>
        </w:rPr>
        <w:t>检验规则</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_Toc9065 \h </w:instrText>
      </w:r>
      <w:r>
        <w:rPr>
          <w:rFonts w:hint="eastAsia" w:ascii="宋体" w:hAnsi="宋体" w:eastAsia="宋体" w:cs="宋体"/>
          <w:spacing w:val="0"/>
        </w:rPr>
        <w:fldChar w:fldCharType="separate"/>
      </w:r>
      <w:r>
        <w:rPr>
          <w:rFonts w:hint="eastAsia" w:ascii="宋体" w:hAnsi="宋体" w:eastAsia="宋体" w:cs="宋体"/>
          <w:spacing w:val="0"/>
        </w:rPr>
        <w:t>9</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9"/>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_Toc30363 </w:instrText>
      </w:r>
      <w:r>
        <w:rPr>
          <w:rFonts w:hint="eastAsia" w:ascii="宋体" w:hAnsi="宋体" w:eastAsia="宋体" w:cs="宋体"/>
          <w:spacing w:val="0"/>
          <w:lang w:eastAsia="zh-CN"/>
        </w:rPr>
        <w:fldChar w:fldCharType="separate"/>
      </w:r>
      <w:r>
        <w:rPr>
          <w:rFonts w:hint="eastAsia" w:ascii="宋体" w:hAnsi="宋体" w:eastAsia="宋体" w:cs="宋体"/>
          <w:i w:val="0"/>
          <w:spacing w:val="0"/>
          <w:lang w:val="en-US" w:eastAsia="zh-CN"/>
        </w:rPr>
        <w:t xml:space="preserve">7 </w:t>
      </w:r>
      <w:r>
        <w:rPr>
          <w:rFonts w:hint="eastAsia" w:ascii="宋体" w:hAnsi="宋体" w:eastAsia="宋体" w:cs="宋体"/>
          <w:spacing w:val="0"/>
          <w:lang w:val="en-US" w:eastAsia="zh-CN"/>
        </w:rPr>
        <w:t>标志、包装、储存</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_Toc30363 \h </w:instrText>
      </w:r>
      <w:r>
        <w:rPr>
          <w:rFonts w:hint="eastAsia" w:ascii="宋体" w:hAnsi="宋体" w:eastAsia="宋体" w:cs="宋体"/>
          <w:spacing w:val="0"/>
        </w:rPr>
        <w:fldChar w:fldCharType="separate"/>
      </w:r>
      <w:r>
        <w:rPr>
          <w:rFonts w:hint="eastAsia" w:ascii="宋体" w:hAnsi="宋体" w:eastAsia="宋体" w:cs="宋体"/>
          <w:spacing w:val="0"/>
        </w:rPr>
        <w:t>9</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18"/>
        <w:bidi w:val="0"/>
        <w:rPr>
          <w:rFonts w:hint="eastAsia" w:ascii="宋体" w:hAnsi="宋体" w:eastAsia="宋体" w:cs="宋体"/>
          <w:spacing w:val="0"/>
          <w:lang w:eastAsia="zh-CN"/>
        </w:rPr>
      </w:pPr>
      <w:r>
        <w:rPr>
          <w:rFonts w:hint="eastAsia" w:ascii="宋体" w:hAnsi="宋体" w:eastAsia="宋体" w:cs="宋体"/>
          <w:spacing w:val="0"/>
          <w:lang w:eastAsia="zh-CN"/>
        </w:rPr>
        <w:fldChar w:fldCharType="end"/>
      </w:r>
    </w:p>
    <w:p>
      <w:pPr>
        <w:pStyle w:val="18"/>
        <w:bidi w:val="0"/>
        <w:rPr>
          <w:rFonts w:hint="eastAsia" w:ascii="宋体" w:hAnsi="宋体" w:eastAsia="宋体" w:cs="宋体"/>
          <w:spacing w:val="0"/>
          <w:lang w:eastAsia="zh-CN"/>
        </w:rPr>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bookmarkStart w:id="81" w:name="_GoBack"/>
      <w:bookmarkEnd w:id="81"/>
    </w:p>
    <w:bookmarkEnd w:id="19"/>
    <w:p>
      <w:pPr>
        <w:pStyle w:val="39"/>
        <w:spacing w:after="489"/>
      </w:pPr>
      <w:bookmarkStart w:id="20" w:name="_Toc14972"/>
      <w:bookmarkStart w:id="21" w:name="_Toc8331"/>
      <w:bookmarkStart w:id="22" w:name="_Toc131273874"/>
      <w:bookmarkStart w:id="23" w:name="_Toc31518"/>
      <w:bookmarkStart w:id="24" w:name="_Toc2032"/>
      <w:bookmarkStart w:id="25" w:name="_Toc24365"/>
      <w:bookmarkStart w:id="26" w:name="mbookmark40"/>
      <w:r>
        <w:rPr>
          <w:rFonts w:hint="eastAsia"/>
          <w:spacing w:val="317"/>
        </w:rPr>
        <w:t>前</w:t>
      </w:r>
      <w:r>
        <w:t>言</w:t>
      </w:r>
      <w:bookmarkEnd w:id="1"/>
      <w:bookmarkEnd w:id="20"/>
      <w:bookmarkEnd w:id="21"/>
      <w:bookmarkEnd w:id="22"/>
      <w:bookmarkEnd w:id="23"/>
      <w:bookmarkEnd w:id="24"/>
      <w:bookmarkEnd w:id="25"/>
    </w:p>
    <w:p>
      <w:pPr>
        <w:pStyle w:val="18"/>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pPr>
        <w:pStyle w:val="18"/>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pPr>
        <w:pStyle w:val="18"/>
      </w:pPr>
    </w:p>
    <w:p>
      <w:pPr>
        <w:pStyle w:val="18"/>
      </w:pPr>
    </w:p>
    <w:p>
      <w:pPr>
        <w:pStyle w:val="18"/>
      </w:pPr>
      <w:r>
        <w:rPr>
          <w:rFonts w:hint="eastAsia"/>
        </w:rPr>
        <w:t>本</w:t>
      </w:r>
      <w:r>
        <w:rPr>
          <w:rFonts w:hint="eastAsia"/>
          <w:lang w:eastAsia="zh-CN"/>
        </w:rPr>
        <w:t>文件</w:t>
      </w:r>
      <w:r>
        <w:rPr>
          <w:rFonts w:hint="eastAsia"/>
        </w:rPr>
        <w:t>由</w:t>
      </w:r>
      <w:bookmarkStart w:id="27" w:name="StdPresenter"/>
      <w:r>
        <w:rPr>
          <w:rFonts w:hint="eastAsia"/>
          <w:lang w:eastAsia="zh-CN"/>
        </w:rPr>
        <w:t>瑞安市麦格电子科技有限公司</w:t>
      </w:r>
      <w:bookmarkEnd w:id="27"/>
      <w:r>
        <w:rPr>
          <w:rFonts w:hint="eastAsia"/>
        </w:rPr>
        <w:t>提出。</w:t>
      </w:r>
    </w:p>
    <w:p>
      <w:pPr>
        <w:pStyle w:val="18"/>
      </w:pPr>
      <w:r>
        <w:rPr>
          <w:rFonts w:hint="eastAsia"/>
        </w:rPr>
        <w:t>本</w:t>
      </w:r>
      <w:r>
        <w:rPr>
          <w:rFonts w:hint="eastAsia"/>
          <w:lang w:eastAsia="zh-CN"/>
        </w:rPr>
        <w:t>文件</w:t>
      </w:r>
      <w:r>
        <w:rPr>
          <w:rFonts w:hint="eastAsia"/>
        </w:rPr>
        <w:t>由</w:t>
      </w:r>
      <w:bookmarkStart w:id="28" w:name="StdRegister"/>
      <w:r>
        <w:rPr>
          <w:rFonts w:hint="eastAsia"/>
          <w:lang w:eastAsia="zh-CN"/>
        </w:rPr>
        <w:t>××××</w:t>
      </w:r>
      <w:bookmarkEnd w:id="28"/>
      <w:r>
        <w:rPr>
          <w:rFonts w:hint="eastAsia"/>
        </w:rPr>
        <w:t>归口。</w:t>
      </w:r>
    </w:p>
    <w:p>
      <w:pPr>
        <w:pStyle w:val="18"/>
      </w:pPr>
      <w:r>
        <w:rPr>
          <w:rFonts w:hint="eastAsia"/>
        </w:rPr>
        <w:t>本</w:t>
      </w:r>
      <w:r>
        <w:rPr>
          <w:rFonts w:hint="eastAsia"/>
          <w:lang w:eastAsia="zh-CN"/>
        </w:rPr>
        <w:t>文件</w:t>
      </w:r>
      <w:r>
        <w:rPr>
          <w:rFonts w:hint="eastAsia"/>
        </w:rPr>
        <w:t>起草单位：</w:t>
      </w:r>
      <w:bookmarkStart w:id="29" w:name="StdDraftdep"/>
      <w:r>
        <w:rPr>
          <w:rFonts w:hint="eastAsia"/>
          <w:lang w:eastAsia="zh-CN"/>
        </w:rPr>
        <w:t>瑞安市麦格电子科技有限公司</w:t>
      </w:r>
      <w:bookmarkEnd w:id="29"/>
      <w:r>
        <w:rPr>
          <w:rFonts w:hint="eastAsia"/>
        </w:rPr>
        <w:t>。</w:t>
      </w:r>
    </w:p>
    <w:p>
      <w:pPr>
        <w:pStyle w:val="18"/>
      </w:pPr>
      <w:r>
        <w:rPr>
          <w:rFonts w:hint="eastAsia"/>
        </w:rPr>
        <w:t>本</w:t>
      </w:r>
      <w:r>
        <w:rPr>
          <w:rFonts w:hint="eastAsia"/>
          <w:lang w:eastAsia="zh-CN"/>
        </w:rPr>
        <w:t>文件</w:t>
      </w:r>
      <w:r>
        <w:rPr>
          <w:rFonts w:hint="eastAsia"/>
        </w:rPr>
        <w:t>主要起草人：</w:t>
      </w:r>
      <w:bookmarkStart w:id="30" w:name="StdDrafer"/>
      <w:r>
        <w:rPr>
          <w:rFonts w:hint="eastAsia"/>
          <w:lang w:eastAsia="zh-CN"/>
        </w:rPr>
        <w:t>×××、×××</w:t>
      </w:r>
      <w:bookmarkEnd w:id="30"/>
      <w:r>
        <w:rPr>
          <w:rFonts w:hint="eastAsia"/>
        </w:rPr>
        <w:t>。</w:t>
      </w:r>
    </w:p>
    <w:p>
      <w:pPr>
        <w:pStyle w:val="18"/>
      </w:pPr>
    </w:p>
    <w:p>
      <w:pPr>
        <w:pStyle w:val="18"/>
      </w:pPr>
    </w:p>
    <w:p>
      <w:pPr>
        <w:pStyle w:val="18"/>
      </w:pPr>
    </w:p>
    <w:p>
      <w:pPr>
        <w:pStyle w:val="18"/>
      </w:pPr>
    </w:p>
    <w:p>
      <w:pPr>
        <w:pStyle w:val="18"/>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6"/>
    <w:p>
      <w:pPr>
        <w:pStyle w:val="40"/>
        <w:bidi w:val="0"/>
        <w:rPr>
          <w:rFonts w:hint="eastAsia" w:eastAsia="黑体"/>
          <w:lang w:eastAsia="zh-CN"/>
        </w:rPr>
      </w:pPr>
      <w:bookmarkStart w:id="31" w:name="文件名称_Z"/>
      <w:bookmarkStart w:id="32" w:name="mbookmark60"/>
      <w:r>
        <w:rPr>
          <w:rFonts w:hint="eastAsia"/>
          <w:lang w:eastAsia="zh-CN"/>
        </w:rPr>
        <w:t>《汽车用轮速传感器通用技术要求》</w:t>
      </w:r>
      <w:bookmarkEnd w:id="31"/>
    </w:p>
    <w:p>
      <w:pPr>
        <w:pStyle w:val="19"/>
        <w:spacing w:before="326" w:after="326"/>
      </w:pPr>
      <w:bookmarkStart w:id="33" w:name="_Toc17233325"/>
      <w:bookmarkStart w:id="34" w:name="_Toc24884211"/>
      <w:bookmarkStart w:id="35" w:name="_Toc1899"/>
      <w:bookmarkStart w:id="36" w:name="_Toc131273875"/>
      <w:bookmarkStart w:id="37" w:name="_Toc24884218"/>
      <w:bookmarkStart w:id="38" w:name="_Toc5234"/>
      <w:bookmarkStart w:id="39" w:name="_Toc3547"/>
      <w:bookmarkStart w:id="40" w:name="_Toc26718930"/>
      <w:bookmarkStart w:id="41" w:name="_Toc26986530"/>
      <w:bookmarkStart w:id="42" w:name="_Toc14983"/>
      <w:bookmarkStart w:id="43" w:name="_Toc26986771"/>
      <w:bookmarkStart w:id="44" w:name="_Toc98859012"/>
      <w:bookmarkStart w:id="45" w:name="_Toc17233333"/>
      <w:bookmarkStart w:id="46" w:name="_Toc98860474"/>
      <w:bookmarkStart w:id="47" w:name="_Toc98860775"/>
      <w:bookmarkStart w:id="48" w:name="_Toc26648465"/>
      <w:bookmarkStart w:id="49" w:name="_Toc23039"/>
      <w:r>
        <w:rPr>
          <w:rFonts w:hint="eastAsia"/>
        </w:rPr>
        <w:t>范围</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pPr>
        <w:pStyle w:val="18"/>
        <w:bidi w:val="0"/>
        <w:rPr>
          <w:rFonts w:hint="eastAsia"/>
          <w:lang w:eastAsia="zh-CN"/>
        </w:rPr>
      </w:pPr>
      <w:bookmarkStart w:id="50" w:name="_Toc17233334"/>
      <w:bookmarkStart w:id="51" w:name="_Toc26648466"/>
      <w:bookmarkStart w:id="52" w:name="_Toc24884219"/>
      <w:bookmarkStart w:id="53" w:name="_Toc17233326"/>
      <w:bookmarkStart w:id="54" w:name="_Toc24884212"/>
      <w:bookmarkStart w:id="55" w:name="_Toc131273876"/>
      <w:bookmarkStart w:id="56" w:name="_Toc26986531"/>
      <w:bookmarkStart w:id="57" w:name="_Toc27603"/>
      <w:bookmarkStart w:id="58" w:name="_Toc26213"/>
      <w:bookmarkStart w:id="59" w:name="_Toc98860776"/>
      <w:bookmarkStart w:id="60" w:name="_Toc26986772"/>
      <w:bookmarkStart w:id="61" w:name="_Toc10129"/>
      <w:bookmarkStart w:id="62" w:name="_Toc26718931"/>
      <w:bookmarkStart w:id="63" w:name="_Toc625"/>
      <w:bookmarkStart w:id="64" w:name="_Toc98859013"/>
      <w:bookmarkStart w:id="65" w:name="_Toc98860475"/>
      <w:r>
        <w:rPr>
          <w:rFonts w:hint="eastAsia"/>
          <w:lang w:eastAsia="zh-CN"/>
        </w:rPr>
        <w:t>本标准规定了轮速传感器(含主动式、被动式)的技术要求、试验方法、检验规则、标志、包装、储存和保管。</w:t>
      </w:r>
    </w:p>
    <w:p>
      <w:pPr>
        <w:pStyle w:val="18"/>
        <w:bidi w:val="0"/>
        <w:rPr>
          <w:rFonts w:hint="eastAsia"/>
          <w:lang w:eastAsia="zh-CN"/>
        </w:rPr>
      </w:pPr>
      <w:r>
        <w:rPr>
          <w:rFonts w:hint="eastAsia"/>
          <w:lang w:eastAsia="zh-CN"/>
        </w:rPr>
        <w:t>本标准适用于轿车或卡车用气动轮转速传感器。</w:t>
      </w:r>
    </w:p>
    <w:p>
      <w:pPr>
        <w:pStyle w:val="19"/>
        <w:spacing w:before="326" w:after="326"/>
      </w:pPr>
      <w:bookmarkStart w:id="66" w:name="_Toc23593"/>
      <w:r>
        <w:rPr>
          <w:rFonts w:hint="eastAsia"/>
        </w:rPr>
        <w:t>规范性引用文件</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pPr>
            <w:pStyle w:val="18"/>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8"/>
        <w:rPr>
          <w:rFonts w:hint="eastAsia"/>
        </w:rPr>
      </w:pPr>
      <w:r>
        <w:rPr>
          <w:rFonts w:hint="eastAsia"/>
        </w:rPr>
        <w:t>GB/T</w:t>
      </w:r>
      <w:r>
        <w:rPr>
          <w:rFonts w:hint="eastAsia"/>
          <w:lang w:val="en-US" w:eastAsia="zh-CN"/>
        </w:rPr>
        <w:t xml:space="preserve"> </w:t>
      </w:r>
      <w:r>
        <w:rPr>
          <w:rFonts w:hint="eastAsia"/>
        </w:rPr>
        <w:t>19I</w:t>
      </w:r>
      <w:r>
        <w:rPr>
          <w:rFonts w:hint="eastAsia"/>
          <w:lang w:eastAsia="zh-CN"/>
        </w:rPr>
        <w:t>—</w:t>
      </w:r>
      <w:r>
        <w:rPr>
          <w:rFonts w:hint="eastAsia"/>
        </w:rPr>
        <w:t>2008包装储运图示标志</w:t>
      </w:r>
    </w:p>
    <w:p>
      <w:pPr>
        <w:pStyle w:val="18"/>
        <w:rPr>
          <w:rFonts w:hint="eastAsia"/>
        </w:rPr>
      </w:pPr>
      <w:r>
        <w:rPr>
          <w:rFonts w:hint="eastAsia"/>
        </w:rPr>
        <w:t>GB/T</w:t>
      </w:r>
      <w:r>
        <w:rPr>
          <w:rFonts w:hint="eastAsia"/>
          <w:lang w:val="en-US" w:eastAsia="zh-CN"/>
        </w:rPr>
        <w:t xml:space="preserve"> </w:t>
      </w:r>
      <w:r>
        <w:rPr>
          <w:rFonts w:hint="eastAsia"/>
        </w:rPr>
        <w:t>2423.1</w:t>
      </w:r>
      <w:r>
        <w:rPr>
          <w:rFonts w:hint="eastAsia"/>
          <w:lang w:eastAsia="zh-CN"/>
        </w:rPr>
        <w:t>—</w:t>
      </w:r>
      <w:r>
        <w:rPr>
          <w:rFonts w:hint="eastAsia"/>
        </w:rPr>
        <w:t>2008电工电子产品环境试验 第2部分:试验方法试验A:低温</w:t>
      </w:r>
    </w:p>
    <w:p>
      <w:pPr>
        <w:pStyle w:val="18"/>
        <w:rPr>
          <w:rFonts w:hint="eastAsia"/>
        </w:rPr>
      </w:pPr>
      <w:r>
        <w:rPr>
          <w:rFonts w:hint="eastAsia"/>
        </w:rPr>
        <w:t>GB/T</w:t>
      </w:r>
      <w:r>
        <w:rPr>
          <w:rFonts w:hint="eastAsia"/>
          <w:lang w:val="en-US" w:eastAsia="zh-CN"/>
        </w:rPr>
        <w:t xml:space="preserve"> </w:t>
      </w:r>
      <w:r>
        <w:rPr>
          <w:rFonts w:hint="eastAsia"/>
        </w:rPr>
        <w:t>2423.2一2008 电工电子产品环境试验第2部分:试验方法试验B:高温</w:t>
      </w:r>
    </w:p>
    <w:p>
      <w:pPr>
        <w:pStyle w:val="18"/>
        <w:rPr>
          <w:rFonts w:hint="eastAsia"/>
        </w:rPr>
      </w:pPr>
      <w:r>
        <w:rPr>
          <w:rFonts w:hint="eastAsia"/>
        </w:rPr>
        <w:t>GB/T</w:t>
      </w:r>
      <w:r>
        <w:rPr>
          <w:rFonts w:hint="eastAsia"/>
          <w:lang w:val="en-US" w:eastAsia="zh-CN"/>
        </w:rPr>
        <w:t xml:space="preserve"> </w:t>
      </w:r>
      <w:r>
        <w:rPr>
          <w:rFonts w:hint="eastAsia"/>
        </w:rPr>
        <w:t>2423.22一2002电工电子产品环境试验 第2部分:试验方法试验N:温度变化</w:t>
      </w:r>
    </w:p>
    <w:p>
      <w:pPr>
        <w:pStyle w:val="18"/>
        <w:rPr>
          <w:rFonts w:hint="eastAsia"/>
        </w:rPr>
      </w:pPr>
      <w:r>
        <w:rPr>
          <w:rFonts w:hint="eastAsia"/>
        </w:rPr>
        <w:t>GB/T 2423.34</w:t>
      </w:r>
      <w:r>
        <w:rPr>
          <w:rFonts w:hint="eastAsia"/>
          <w:lang w:eastAsia="zh-CN"/>
        </w:rPr>
        <w:t>—</w:t>
      </w:r>
      <w:r>
        <w:rPr>
          <w:rFonts w:hint="eastAsia"/>
        </w:rPr>
        <w:t>2002电工电子产品环境试验第2部分:试验方法试验Z/AD:温度/湿度组合循环试验</w:t>
      </w:r>
    </w:p>
    <w:p>
      <w:pPr>
        <w:pStyle w:val="18"/>
        <w:rPr>
          <w:rFonts w:hint="eastAsia"/>
        </w:rPr>
      </w:pPr>
      <w:r>
        <w:rPr>
          <w:rFonts w:hint="eastAsia"/>
        </w:rPr>
        <w:t>GB/T 2423.56</w:t>
      </w:r>
      <w:r>
        <w:rPr>
          <w:rFonts w:hint="eastAsia"/>
          <w:lang w:eastAsia="zh-CN"/>
        </w:rPr>
        <w:t>—</w:t>
      </w:r>
      <w:r>
        <w:rPr>
          <w:rFonts w:hint="eastAsia"/>
        </w:rPr>
        <w:t>2006电工电子产品环境试验第2部分:试验方法试验Fh:宽带随机振动(数字00控制)和导则</w:t>
      </w:r>
    </w:p>
    <w:p>
      <w:pPr>
        <w:pStyle w:val="18"/>
        <w:rPr>
          <w:rFonts w:hint="eastAsia"/>
        </w:rPr>
      </w:pPr>
      <w:r>
        <w:rPr>
          <w:rFonts w:hint="eastAsia"/>
        </w:rPr>
        <w:t>GB/T</w:t>
      </w:r>
      <w:r>
        <w:rPr>
          <w:rFonts w:hint="eastAsia"/>
          <w:lang w:val="en-US" w:eastAsia="zh-CN"/>
        </w:rPr>
        <w:t xml:space="preserve"> </w:t>
      </w:r>
      <w:r>
        <w:rPr>
          <w:rFonts w:hint="eastAsia"/>
        </w:rPr>
        <w:t>2423.17</w:t>
      </w:r>
      <w:r>
        <w:rPr>
          <w:rFonts w:hint="eastAsia"/>
          <w:lang w:eastAsia="zh-CN"/>
        </w:rPr>
        <w:t>—</w:t>
      </w:r>
      <w:r>
        <w:rPr>
          <w:rFonts w:hint="eastAsia"/>
        </w:rPr>
        <w:t>2008电工电子产品环境试验第2部分:试验方法 试验Ka:盐雾</w:t>
      </w:r>
    </w:p>
    <w:p>
      <w:pPr>
        <w:pStyle w:val="18"/>
        <w:rPr>
          <w:rFonts w:hint="eastAsia"/>
        </w:rPr>
      </w:pPr>
      <w:r>
        <w:rPr>
          <w:rFonts w:hint="eastAsia"/>
        </w:rPr>
        <w:t>GB/T</w:t>
      </w:r>
      <w:r>
        <w:rPr>
          <w:rFonts w:hint="eastAsia"/>
          <w:lang w:val="en-US" w:eastAsia="zh-CN"/>
        </w:rPr>
        <w:t xml:space="preserve"> </w:t>
      </w:r>
      <w:r>
        <w:rPr>
          <w:rFonts w:hint="eastAsia"/>
        </w:rPr>
        <w:t>2828.1</w:t>
      </w:r>
      <w:r>
        <w:rPr>
          <w:rFonts w:hint="eastAsia"/>
          <w:lang w:eastAsia="zh-CN"/>
        </w:rPr>
        <w:t>—</w:t>
      </w:r>
      <w:r>
        <w:rPr>
          <w:rFonts w:hint="eastAsia"/>
        </w:rPr>
        <w:t>2003计数抽样检验程序 第1部分:按接受质量限(AQL)检索的逐批检验抽样计划</w:t>
      </w:r>
    </w:p>
    <w:p>
      <w:pPr>
        <w:pStyle w:val="18"/>
        <w:rPr>
          <w:rFonts w:hint="eastAsia"/>
        </w:rPr>
      </w:pPr>
      <w:r>
        <w:rPr>
          <w:rFonts w:hint="eastAsia"/>
        </w:rPr>
        <w:t>GB/T</w:t>
      </w:r>
      <w:r>
        <w:rPr>
          <w:rFonts w:hint="eastAsia"/>
          <w:lang w:val="en-US" w:eastAsia="zh-CN"/>
        </w:rPr>
        <w:t xml:space="preserve"> </w:t>
      </w:r>
      <w:r>
        <w:rPr>
          <w:rFonts w:hint="eastAsia"/>
        </w:rPr>
        <w:t>9286</w:t>
      </w:r>
      <w:r>
        <w:rPr>
          <w:rFonts w:hint="eastAsia"/>
          <w:lang w:eastAsia="zh-CN"/>
        </w:rPr>
        <w:t>—</w:t>
      </w:r>
      <w:r>
        <w:rPr>
          <w:rFonts w:hint="eastAsia"/>
        </w:rPr>
        <w:t>1998 色漆和清漆漆膜的划格试验</w:t>
      </w:r>
    </w:p>
    <w:p>
      <w:pPr>
        <w:pStyle w:val="18"/>
        <w:rPr>
          <w:rFonts w:hint="eastAsia"/>
        </w:rPr>
      </w:pPr>
      <w:r>
        <w:rPr>
          <w:rFonts w:hint="eastAsia"/>
        </w:rPr>
        <w:t>QC/T 238</w:t>
      </w:r>
      <w:r>
        <w:rPr>
          <w:rFonts w:hint="eastAsia"/>
          <w:lang w:eastAsia="zh-CN"/>
        </w:rPr>
        <w:t>—</w:t>
      </w:r>
      <w:r>
        <w:rPr>
          <w:rFonts w:hint="eastAsia"/>
        </w:rPr>
        <w:t>1997汽车零部件的储存和保管</w:t>
      </w:r>
    </w:p>
    <w:p>
      <w:pPr>
        <w:pStyle w:val="18"/>
        <w:rPr>
          <w:rFonts w:hint="eastAsia"/>
        </w:rPr>
      </w:pPr>
      <w:r>
        <w:rPr>
          <w:rFonts w:hint="eastAsia"/>
        </w:rPr>
        <w:t>QC/T</w:t>
      </w:r>
      <w:r>
        <w:rPr>
          <w:rFonts w:hint="eastAsia"/>
          <w:lang w:val="en-US" w:eastAsia="zh-CN"/>
        </w:rPr>
        <w:t xml:space="preserve"> </w:t>
      </w:r>
      <w:r>
        <w:rPr>
          <w:rFonts w:hint="eastAsia"/>
        </w:rPr>
        <w:t>783</w:t>
      </w:r>
      <w:r>
        <w:rPr>
          <w:rFonts w:hint="eastAsia"/>
          <w:lang w:eastAsia="zh-CN"/>
        </w:rPr>
        <w:t>—</w:t>
      </w:r>
      <w:r>
        <w:rPr>
          <w:rFonts w:hint="eastAsia"/>
        </w:rPr>
        <w:t>2007汽车、摩托车用车速传感器</w:t>
      </w:r>
    </w:p>
    <w:p>
      <w:pPr>
        <w:pStyle w:val="18"/>
        <w:rPr>
          <w:rFonts w:hint="eastAsia"/>
        </w:rPr>
      </w:pPr>
      <w:r>
        <w:rPr>
          <w:rFonts w:hint="eastAsia"/>
        </w:rPr>
        <w:t>QC/T</w:t>
      </w:r>
      <w:r>
        <w:rPr>
          <w:rFonts w:hint="eastAsia"/>
          <w:lang w:val="en-US" w:eastAsia="zh-CN"/>
        </w:rPr>
        <w:t xml:space="preserve"> </w:t>
      </w:r>
      <w:r>
        <w:rPr>
          <w:rFonts w:hint="eastAsia"/>
        </w:rPr>
        <w:t>824</w:t>
      </w:r>
      <w:r>
        <w:rPr>
          <w:rFonts w:hint="eastAsia"/>
          <w:lang w:eastAsia="zh-CN"/>
        </w:rPr>
        <w:t>—</w:t>
      </w:r>
      <w:r>
        <w:rPr>
          <w:rFonts w:hint="eastAsia"/>
        </w:rPr>
        <w:t>2009汽车用转速传感器</w:t>
      </w:r>
    </w:p>
    <w:p>
      <w:pPr>
        <w:pStyle w:val="18"/>
        <w:rPr>
          <w:rFonts w:hint="eastAsia"/>
        </w:rPr>
      </w:pPr>
      <w:r>
        <w:rPr>
          <w:rFonts w:hint="eastAsia"/>
        </w:rPr>
        <w:t>QC/T</w:t>
      </w:r>
      <w:r>
        <w:rPr>
          <w:rFonts w:hint="eastAsia"/>
          <w:lang w:val="en-US" w:eastAsia="zh-CN"/>
        </w:rPr>
        <w:t xml:space="preserve"> </w:t>
      </w:r>
      <w:r>
        <w:rPr>
          <w:rFonts w:hint="eastAsia"/>
        </w:rPr>
        <w:t>29106</w:t>
      </w:r>
      <w:r>
        <w:rPr>
          <w:rFonts w:hint="eastAsia"/>
          <w:lang w:eastAsia="zh-CN"/>
        </w:rPr>
        <w:t>—</w:t>
      </w:r>
      <w:r>
        <w:rPr>
          <w:rFonts w:hint="eastAsia"/>
        </w:rPr>
        <w:t>2002汽车用低压电线束技术条件</w:t>
      </w:r>
    </w:p>
    <w:p>
      <w:pPr>
        <w:pStyle w:val="19"/>
        <w:spacing w:before="326" w:after="326"/>
      </w:pPr>
      <w:bookmarkStart w:id="67" w:name="_Toc131273877"/>
      <w:bookmarkStart w:id="68" w:name="_Toc22996"/>
      <w:bookmarkStart w:id="69" w:name="_Toc22867"/>
      <w:bookmarkStart w:id="70" w:name="_Toc98859014"/>
      <w:bookmarkStart w:id="71" w:name="_Toc98860476"/>
      <w:bookmarkStart w:id="72" w:name="_Toc989"/>
      <w:bookmarkStart w:id="73" w:name="_Toc98860777"/>
      <w:bookmarkStart w:id="74" w:name="_Toc1309"/>
      <w:bookmarkStart w:id="75" w:name="_Toc24885"/>
      <w:r>
        <w:rPr>
          <w:rFonts w:hint="eastAsia"/>
        </w:rPr>
        <w:t>术语和定义</w:t>
      </w:r>
      <w:bookmarkEnd w:id="67"/>
      <w:bookmarkEnd w:id="68"/>
      <w:bookmarkEnd w:id="69"/>
      <w:bookmarkEnd w:id="70"/>
      <w:bookmarkEnd w:id="71"/>
      <w:bookmarkEnd w:id="72"/>
      <w:bookmarkEnd w:id="73"/>
      <w:bookmarkEnd w:id="74"/>
      <w:bookmarkEnd w:id="75"/>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pPr>
            <w:pStyle w:val="18"/>
          </w:pPr>
          <w:bookmarkStart w:id="76" w:name="_Toc26986532"/>
          <w:bookmarkEnd w:id="76"/>
          <w:r>
            <w:rPr>
              <w:rFonts w:ascii="宋体" w:hAnsi="宋体" w:eastAsia="宋体" w:cstheme="minorBidi"/>
              <w:kern w:val="2"/>
              <w:sz w:val="21"/>
              <w:szCs w:val="21"/>
              <w:lang w:val="en-US" w:eastAsia="zh-CN" w:bidi="ar-SA"/>
            </w:rPr>
            <w:t>本文件没有需要界定的术语和定义。</w:t>
          </w:r>
        </w:p>
      </w:sdtContent>
    </w:sdt>
    <w:p>
      <w:pPr>
        <w:pStyle w:val="19"/>
        <w:bidi w:val="0"/>
        <w:rPr>
          <w:rFonts w:hint="eastAsia"/>
        </w:rPr>
      </w:pPr>
      <w:bookmarkStart w:id="77" w:name="_Toc17702"/>
      <w:r>
        <w:rPr>
          <w:rFonts w:hint="eastAsia"/>
        </w:rPr>
        <w:t>要求</w:t>
      </w:r>
      <w:bookmarkEnd w:id="77"/>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一般要求</w:t>
      </w:r>
    </w:p>
    <w:p>
      <w:pPr>
        <w:pStyle w:val="21"/>
        <w:bidi w:val="0"/>
        <w:rPr>
          <w:rFonts w:hint="eastAsia" w:ascii="宋体" w:hAnsi="宋体" w:eastAsia="宋体" w:cs="宋体"/>
        </w:rPr>
      </w:pPr>
      <w:r>
        <w:rPr>
          <w:rFonts w:hint="eastAsia" w:ascii="宋体" w:hAnsi="宋体" w:eastAsia="宋体" w:cs="宋体"/>
        </w:rPr>
        <w:t>产品应符合本标准的要求，并应按规定程序批准的图样及设计文件制造。</w:t>
      </w:r>
    </w:p>
    <w:p>
      <w:pPr>
        <w:pStyle w:val="21"/>
        <w:bidi w:val="0"/>
        <w:rPr>
          <w:rFonts w:hint="eastAsia" w:ascii="宋体" w:hAnsi="宋体" w:eastAsia="宋体" w:cs="宋体"/>
        </w:rPr>
      </w:pPr>
      <w:r>
        <w:rPr>
          <w:rFonts w:hint="eastAsia" w:ascii="宋体" w:hAnsi="宋体" w:eastAsia="宋体" w:cs="宋体"/>
        </w:rPr>
        <w:t>传感器的外形和安装尺寸应符合产品图样的规定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材料</w:t>
      </w:r>
    </w:p>
    <w:p>
      <w:pPr>
        <w:pStyle w:val="21"/>
        <w:bidi w:val="0"/>
        <w:rPr>
          <w:rFonts w:hint="eastAsia" w:ascii="宋体" w:hAnsi="宋体" w:eastAsia="宋体" w:cs="宋体"/>
        </w:rPr>
      </w:pPr>
      <w:r>
        <w:rPr>
          <w:rFonts w:hint="eastAsia" w:ascii="宋体" w:hAnsi="宋体" w:eastAsia="宋体" w:cs="宋体"/>
        </w:rPr>
        <w:t>漆包线应采用品质不低于elektrisola(益利素勒公司)生产的漆包线。漆包线线径不低于OE样品线径。</w:t>
      </w:r>
    </w:p>
    <w:p>
      <w:pPr>
        <w:pStyle w:val="21"/>
        <w:bidi w:val="0"/>
        <w:rPr>
          <w:rFonts w:hint="eastAsia" w:ascii="宋体" w:hAnsi="宋体" w:eastAsia="宋体" w:cs="宋体"/>
        </w:rPr>
      </w:pPr>
      <w:r>
        <w:rPr>
          <w:rFonts w:hint="eastAsia" w:ascii="宋体" w:hAnsi="宋体" w:eastAsia="宋体" w:cs="宋体"/>
        </w:rPr>
        <w:t>线缆应采用品质不低于FPK(昆山火凤凰线缆有限公司)生产的传感器线缆。线缆铜线平方</w:t>
      </w:r>
      <w:r>
        <w:rPr>
          <w:rFonts w:hint="eastAsia" w:ascii="宋体" w:hAnsi="宋体" w:eastAsia="宋体" w:cs="宋体"/>
          <w:lang w:eastAsia="zh-CN"/>
        </w:rPr>
        <w:t>。</w:t>
      </w:r>
    </w:p>
    <w:p>
      <w:pPr>
        <w:pStyle w:val="21"/>
        <w:bidi w:val="0"/>
        <w:rPr>
          <w:rFonts w:hint="eastAsia" w:ascii="宋体" w:hAnsi="宋体" w:eastAsia="宋体" w:cs="宋体"/>
        </w:rPr>
      </w:pPr>
      <w:r>
        <w:rPr>
          <w:rFonts w:hint="eastAsia" w:ascii="宋体" w:hAnsi="宋体" w:eastAsia="宋体" w:cs="宋体"/>
        </w:rPr>
        <w:t>数不低于OE样品线径。</w:t>
      </w:r>
    </w:p>
    <w:p>
      <w:pPr>
        <w:pStyle w:val="21"/>
        <w:bidi w:val="0"/>
        <w:rPr>
          <w:rFonts w:hint="eastAsia" w:ascii="宋体" w:hAnsi="宋体" w:eastAsia="宋体" w:cs="宋体"/>
        </w:rPr>
      </w:pPr>
      <w:r>
        <w:rPr>
          <w:rFonts w:hint="eastAsia" w:ascii="宋体" w:hAnsi="宋体" w:eastAsia="宋体" w:cs="宋体"/>
        </w:rPr>
        <w:t>套管材质采用EPDM(三元乙丙)或NBR(丁腈橡胶)，客户有特殊要求时，按客户要求。</w:t>
      </w:r>
    </w:p>
    <w:p>
      <w:pPr>
        <w:pStyle w:val="21"/>
        <w:bidi w:val="0"/>
        <w:rPr>
          <w:rFonts w:hint="eastAsia" w:ascii="宋体" w:hAnsi="宋体" w:eastAsia="宋体" w:cs="宋体"/>
        </w:rPr>
      </w:pPr>
      <w:r>
        <w:rPr>
          <w:rFonts w:hint="eastAsia" w:ascii="宋体" w:hAnsi="宋体" w:eastAsia="宋体" w:cs="宋体"/>
          <w:lang w:val="en-US" w:eastAsia="zh-CN"/>
        </w:rPr>
        <w:t>金属件</w:t>
      </w:r>
      <w:r>
        <w:rPr>
          <w:rFonts w:hint="eastAsia" w:ascii="宋体" w:hAnsi="宋体" w:eastAsia="宋体" w:cs="宋体"/>
        </w:rPr>
        <w:t>材质符合图纸要求，表面处理符合欧盟ROHS和国家的环保规定。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外观</w:t>
      </w:r>
    </w:p>
    <w:p>
      <w:pPr>
        <w:pStyle w:val="18"/>
        <w:rPr>
          <w:rFonts w:hint="eastAsia"/>
        </w:rPr>
      </w:pPr>
      <w:r>
        <w:rPr>
          <w:rFonts w:hint="eastAsia"/>
        </w:rPr>
        <w:t>传感器表面应光整，色质均匀，注塑部位无明显的飞边、缺料、裂纹、缩痕、气泡等外观不良现象;金属部位无毛刺、裂纹、锈蚀，涂镀层表面无起层、脱落、麻点等外观不良现象。橡胶件表面无飞边、裂纹，软硬均匀。</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电气性能</w:t>
      </w:r>
    </w:p>
    <w:p>
      <w:pPr>
        <w:pStyle w:val="21"/>
        <w:bidi w:val="0"/>
        <w:rPr>
          <w:rFonts w:hint="eastAsia" w:ascii="宋体" w:hAnsi="宋体" w:eastAsia="宋体" w:cs="宋体"/>
          <w:lang w:val="en-US" w:eastAsia="zh-CN"/>
        </w:rPr>
      </w:pPr>
      <w:r>
        <w:rPr>
          <w:rFonts w:hint="eastAsia" w:ascii="宋体" w:hAnsi="宋体" w:eastAsia="宋体" w:cs="宋体"/>
          <w:lang w:val="en-US" w:eastAsia="zh-CN"/>
        </w:rPr>
        <w:t>被动式传感器的电气性能应符合表1规定。</w:t>
      </w:r>
    </w:p>
    <w:p>
      <w:pPr>
        <w:pStyle w:val="37"/>
        <w:bidi w:val="0"/>
        <w:rPr>
          <w:rFonts w:hint="eastAsia"/>
          <w:lang w:val="en-US" w:eastAsia="zh-CN"/>
        </w:rPr>
      </w:pPr>
      <w:r>
        <w:rPr>
          <w:rFonts w:hint="eastAsia"/>
          <w:lang w:val="en-US" w:eastAsia="zh-CN"/>
        </w:rPr>
        <w:t>被动式传感器电气性能参数</w:t>
      </w:r>
    </w:p>
    <w:tbl>
      <w:tblPr>
        <w:tblStyle w:val="14"/>
        <w:tblW w:w="5000" w:type="pct"/>
        <w:tblCaption w:val="被动式传感器电气性能参数"/>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3283"/>
        <w:gridCol w:w="3283"/>
        <w:gridCol w:w="3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1666"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序号</w:t>
            </w:r>
          </w:p>
        </w:tc>
        <w:tc>
          <w:tcPr>
            <w:tcW w:w="1666" w:type="pct"/>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项目</w:t>
            </w:r>
          </w:p>
        </w:tc>
        <w:tc>
          <w:tcPr>
            <w:tcW w:w="1666" w:type="pct"/>
            <w:tcBorders>
              <w:top w:val="single" w:color="auto" w:sz="8" w:space="0"/>
              <w:bottom w:val="single" w:color="auto" w:sz="8" w:space="0"/>
              <w:right w:val="single" w:color="auto" w:sz="8" w:space="0"/>
            </w:tcBorders>
            <w:vAlign w:val="center"/>
          </w:tcPr>
          <w:p>
            <w:pPr>
              <w:pStyle w:val="36"/>
              <w:bidi w:val="0"/>
              <w:jc w:val="center"/>
              <w:rPr>
                <w:rFonts w:hint="default"/>
                <w:lang w:val="en-US" w:eastAsia="zh-CN"/>
              </w:rPr>
            </w:pPr>
            <w:r>
              <w:rPr>
                <w:rFonts w:hint="eastAsia"/>
                <w:lang w:val="en-US" w:eastAsia="zh-CN"/>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w:t>
            </w:r>
          </w:p>
        </w:tc>
        <w:tc>
          <w:tcPr>
            <w:tcW w:w="1666" w:type="pct"/>
            <w:vAlign w:val="center"/>
          </w:tcPr>
          <w:p>
            <w:pPr>
              <w:pStyle w:val="35"/>
              <w:bidi w:val="0"/>
              <w:jc w:val="center"/>
              <w:rPr>
                <w:rFonts w:hint="eastAsia"/>
                <w:lang w:val="en-US" w:eastAsia="zh-CN"/>
              </w:rPr>
            </w:pPr>
            <w:r>
              <w:rPr>
                <w:rFonts w:hint="eastAsia"/>
                <w:lang w:val="en-US" w:eastAsia="zh-CN"/>
              </w:rPr>
              <w:t>电阻(20°C±5°C时)</w:t>
            </w: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符合产品图纸规定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vMerge w:val="restart"/>
            <w:tcBorders>
              <w:left w:val="single" w:color="auto" w:sz="8" w:space="0"/>
            </w:tcBorders>
            <w:vAlign w:val="center"/>
          </w:tcPr>
          <w:p>
            <w:pPr>
              <w:pStyle w:val="35"/>
              <w:bidi w:val="0"/>
              <w:jc w:val="center"/>
              <w:rPr>
                <w:rFonts w:hint="default"/>
                <w:lang w:val="en-US" w:eastAsia="zh-CN"/>
              </w:rPr>
            </w:pPr>
            <w:r>
              <w:rPr>
                <w:rFonts w:hint="eastAsia"/>
                <w:lang w:val="en-US" w:eastAsia="zh-CN"/>
              </w:rPr>
              <w:t>2</w:t>
            </w:r>
          </w:p>
        </w:tc>
        <w:tc>
          <w:tcPr>
            <w:tcW w:w="1666" w:type="pct"/>
            <w:vMerge w:val="restart"/>
            <w:vAlign w:val="center"/>
          </w:tcPr>
          <w:p>
            <w:pPr>
              <w:pStyle w:val="35"/>
              <w:bidi w:val="0"/>
              <w:jc w:val="center"/>
              <w:rPr>
                <w:rFonts w:hint="eastAsia"/>
                <w:lang w:val="en-US" w:eastAsia="zh-CN"/>
              </w:rPr>
            </w:pPr>
            <w:r>
              <w:rPr>
                <w:rFonts w:hint="eastAsia"/>
                <w:lang w:val="en-US" w:eastAsia="zh-CN"/>
              </w:rPr>
              <w:t>输出电压峰-峰值</w:t>
            </w: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轿车用:Vp-p≥250mV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Merge w:val="continue"/>
            <w:tcBorders/>
            <w:vAlign w:val="center"/>
          </w:tcPr>
          <w:p>
            <w:pPr>
              <w:pStyle w:val="35"/>
              <w:bidi w:val="0"/>
              <w:jc w:val="center"/>
              <w:rPr>
                <w:rFonts w:hint="eastAsia"/>
                <w:lang w:val="en-US" w:eastAsia="zh-CN"/>
              </w:rPr>
            </w:pP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卡车用:Vp-p≥500mV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tcBorders>
              <w:left w:val="single" w:color="auto" w:sz="8" w:space="0"/>
            </w:tcBorders>
            <w:vAlign w:val="center"/>
          </w:tcPr>
          <w:p>
            <w:pPr>
              <w:pStyle w:val="35"/>
              <w:bidi w:val="0"/>
              <w:jc w:val="center"/>
              <w:rPr>
                <w:rFonts w:hint="default"/>
                <w:lang w:val="en-US" w:eastAsia="zh-CN"/>
              </w:rPr>
            </w:pPr>
            <w:r>
              <w:rPr>
                <w:rFonts w:hint="eastAsia"/>
                <w:lang w:val="en-US" w:eastAsia="zh-CN"/>
              </w:rPr>
              <w:t>3</w:t>
            </w:r>
          </w:p>
        </w:tc>
        <w:tc>
          <w:tcPr>
            <w:tcW w:w="1666" w:type="pct"/>
            <w:vAlign w:val="center"/>
          </w:tcPr>
          <w:p>
            <w:pPr>
              <w:pStyle w:val="35"/>
              <w:bidi w:val="0"/>
              <w:jc w:val="center"/>
              <w:rPr>
                <w:rFonts w:hint="eastAsia"/>
                <w:lang w:val="en-US" w:eastAsia="zh-CN"/>
              </w:rPr>
            </w:pPr>
            <w:r>
              <w:rPr>
                <w:rFonts w:hint="eastAsia"/>
                <w:lang w:val="en-US" w:eastAsia="zh-CN"/>
              </w:rPr>
              <w:t>工作频率</w:t>
            </w: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25~1500Hz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tcBorders>
              <w:left w:val="single" w:color="auto" w:sz="8" w:space="0"/>
            </w:tcBorders>
            <w:vAlign w:val="center"/>
          </w:tcPr>
          <w:p>
            <w:pPr>
              <w:pStyle w:val="35"/>
              <w:bidi w:val="0"/>
              <w:jc w:val="center"/>
              <w:rPr>
                <w:rFonts w:hint="default"/>
                <w:lang w:val="en-US" w:eastAsia="zh-CN"/>
              </w:rPr>
            </w:pPr>
            <w:r>
              <w:rPr>
                <w:rFonts w:hint="eastAsia"/>
                <w:lang w:val="en-US" w:eastAsia="zh-CN"/>
              </w:rPr>
              <w:t>4</w:t>
            </w:r>
          </w:p>
        </w:tc>
        <w:tc>
          <w:tcPr>
            <w:tcW w:w="1666" w:type="pct"/>
            <w:tcBorders/>
            <w:vAlign w:val="center"/>
          </w:tcPr>
          <w:p>
            <w:pPr>
              <w:pStyle w:val="35"/>
              <w:bidi w:val="0"/>
              <w:jc w:val="center"/>
              <w:rPr>
                <w:rFonts w:hint="eastAsia"/>
                <w:lang w:val="en-US" w:eastAsia="zh-CN"/>
              </w:rPr>
            </w:pPr>
            <w:r>
              <w:rPr>
                <w:rFonts w:hint="eastAsia"/>
                <w:lang w:val="en-US" w:eastAsia="zh-CN"/>
              </w:rPr>
              <w:t>工作间隙</w:t>
            </w: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0.5~1mm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666" w:type="pct"/>
            <w:tcBorders>
              <w:left w:val="single" w:color="auto" w:sz="8" w:space="0"/>
            </w:tcBorders>
            <w:vAlign w:val="center"/>
          </w:tcPr>
          <w:p>
            <w:pPr>
              <w:pStyle w:val="35"/>
              <w:bidi w:val="0"/>
              <w:jc w:val="center"/>
              <w:rPr>
                <w:rFonts w:hint="default"/>
                <w:lang w:val="en-US" w:eastAsia="zh-CN"/>
              </w:rPr>
            </w:pPr>
            <w:r>
              <w:rPr>
                <w:rFonts w:hint="eastAsia"/>
                <w:lang w:val="en-US" w:eastAsia="zh-CN"/>
              </w:rPr>
              <w:t>5</w:t>
            </w:r>
          </w:p>
        </w:tc>
        <w:tc>
          <w:tcPr>
            <w:tcW w:w="1666" w:type="pct"/>
            <w:tcBorders/>
            <w:vAlign w:val="center"/>
          </w:tcPr>
          <w:p>
            <w:pPr>
              <w:pStyle w:val="35"/>
              <w:bidi w:val="0"/>
              <w:jc w:val="center"/>
              <w:rPr>
                <w:rFonts w:hint="default"/>
                <w:lang w:val="en-US" w:eastAsia="zh-CN"/>
              </w:rPr>
            </w:pPr>
            <w:r>
              <w:rPr>
                <w:rFonts w:hint="eastAsia"/>
                <w:lang w:val="en-US" w:eastAsia="zh-CN"/>
              </w:rPr>
              <w:t>电压比</w:t>
            </w:r>
          </w:p>
        </w:tc>
        <w:tc>
          <w:tcPr>
            <w:tcW w:w="1666"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1: 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5000" w:type="pct"/>
            <w:gridSpan w:val="3"/>
            <w:tcBorders>
              <w:left w:val="single" w:color="auto" w:sz="8" w:space="0"/>
              <w:bottom w:val="single" w:color="auto" w:sz="8" w:space="0"/>
              <w:right w:val="single" w:color="auto" w:sz="8" w:space="0"/>
            </w:tcBorders>
            <w:vAlign w:val="center"/>
          </w:tcPr>
          <w:p>
            <w:pPr>
              <w:pStyle w:val="35"/>
              <w:bidi w:val="0"/>
              <w:ind w:firstLine="360" w:firstLineChars="200"/>
              <w:jc w:val="both"/>
              <w:rPr>
                <w:rFonts w:hint="eastAsia"/>
                <w:lang w:val="en-US" w:eastAsia="zh-CN"/>
              </w:rPr>
            </w:pPr>
            <w:r>
              <w:rPr>
                <w:rFonts w:hint="eastAsia"/>
                <w:lang w:val="en-US" w:eastAsia="zh-CN"/>
              </w:rPr>
              <w:t>注:当用户有要求时，其电气性能参数按供需双方确认的技术文件执行。</w:t>
            </w:r>
          </w:p>
        </w:tc>
      </w:tr>
    </w:tbl>
    <w:p>
      <w:pPr>
        <w:pStyle w:val="21"/>
        <w:bidi w:val="0"/>
        <w:rPr>
          <w:rFonts w:hint="eastAsia" w:ascii="宋体" w:hAnsi="宋体" w:eastAsia="宋体" w:cs="宋体"/>
          <w:lang w:val="en-US" w:eastAsia="zh-CN"/>
        </w:rPr>
      </w:pPr>
      <w:r>
        <w:rPr>
          <w:rFonts w:hint="eastAsia" w:ascii="宋体" w:hAnsi="宋体" w:eastAsia="宋体" w:cs="宋体"/>
          <w:lang w:val="en-US" w:eastAsia="zh-CN"/>
        </w:rPr>
        <w:t>主动式传感器的电器性能应符合表2规定。</w:t>
      </w:r>
    </w:p>
    <w:p>
      <w:pPr>
        <w:pStyle w:val="37"/>
        <w:bidi w:val="0"/>
        <w:rPr>
          <w:rFonts w:hint="eastAsia"/>
          <w:lang w:val="en-US" w:eastAsia="zh-CN"/>
        </w:rPr>
      </w:pPr>
      <w:r>
        <w:rPr>
          <w:rFonts w:hint="eastAsia"/>
          <w:lang w:val="en-US" w:eastAsia="zh-CN"/>
        </w:rPr>
        <w:t>主动式传感器电气性能参数</w:t>
      </w:r>
    </w:p>
    <w:tbl>
      <w:tblPr>
        <w:tblStyle w:val="14"/>
        <w:tblW w:w="5000" w:type="pct"/>
        <w:tblCaption w:val="被动式传感器电气性能参数"/>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1"/>
        <w:gridCol w:w="3281"/>
        <w:gridCol w:w="3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5"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序号</w:t>
            </w:r>
          </w:p>
        </w:tc>
        <w:tc>
          <w:tcPr>
            <w:tcW w:w="1665" w:type="pct"/>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项目</w:t>
            </w:r>
          </w:p>
        </w:tc>
        <w:tc>
          <w:tcPr>
            <w:tcW w:w="1668" w:type="pct"/>
            <w:tcBorders>
              <w:top w:val="single" w:color="auto" w:sz="8" w:space="0"/>
              <w:bottom w:val="single" w:color="auto" w:sz="8" w:space="0"/>
              <w:right w:val="single" w:color="auto" w:sz="8" w:space="0"/>
            </w:tcBorders>
            <w:vAlign w:val="center"/>
          </w:tcPr>
          <w:p>
            <w:pPr>
              <w:pStyle w:val="36"/>
              <w:bidi w:val="0"/>
              <w:jc w:val="center"/>
              <w:rPr>
                <w:rFonts w:hint="default"/>
                <w:lang w:val="en-US" w:eastAsia="zh-CN"/>
              </w:rPr>
            </w:pPr>
            <w:r>
              <w:rPr>
                <w:rFonts w:hint="eastAsia"/>
                <w:lang w:val="en-US" w:eastAsia="zh-CN"/>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5"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w:t>
            </w:r>
          </w:p>
        </w:tc>
        <w:tc>
          <w:tcPr>
            <w:tcW w:w="1665" w:type="pct"/>
            <w:vAlign w:val="center"/>
          </w:tcPr>
          <w:p>
            <w:pPr>
              <w:pStyle w:val="35"/>
              <w:bidi w:val="0"/>
              <w:jc w:val="center"/>
              <w:rPr>
                <w:rFonts w:hint="eastAsia"/>
                <w:lang w:val="en-US" w:eastAsia="zh-CN"/>
              </w:rPr>
            </w:pPr>
            <w:r>
              <w:rPr>
                <w:rFonts w:hint="eastAsia"/>
                <w:lang w:val="en-US" w:eastAsia="zh-CN"/>
              </w:rPr>
              <w:t>输出高电平V</w:t>
            </w:r>
            <w:r>
              <w:rPr>
                <w:rFonts w:hint="eastAsia"/>
                <w:vertAlign w:val="subscript"/>
                <w:lang w:val="en-US" w:eastAsia="zh-CN"/>
              </w:rPr>
              <w:t>oH</w:t>
            </w:r>
          </w:p>
        </w:tc>
        <w:tc>
          <w:tcPr>
            <w:tcW w:w="1668"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V</w:t>
            </w:r>
            <w:r>
              <w:rPr>
                <w:rFonts w:hint="eastAsia"/>
                <w:vertAlign w:val="subscript"/>
                <w:lang w:val="en-US" w:eastAsia="zh-CN"/>
              </w:rPr>
              <w:t>1分钟</w:t>
            </w:r>
            <w:r>
              <w:rPr>
                <w:rFonts w:hint="eastAsia"/>
                <w:lang w:val="en-US" w:eastAsia="zh-CN"/>
              </w:rPr>
              <w:t>≤V</w:t>
            </w:r>
            <w:r>
              <w:rPr>
                <w:rFonts w:hint="eastAsia"/>
                <w:vertAlign w:val="subscript"/>
                <w:lang w:val="en-US" w:eastAsia="zh-CN"/>
              </w:rPr>
              <w:t>OH</w:t>
            </w:r>
            <w:r>
              <w:rPr>
                <w:rFonts w:hint="eastAsia"/>
                <w:lang w:val="en-US" w:eastAsia="zh-CN"/>
              </w:rPr>
              <w:t>≤Vmax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5" w:type="pct"/>
            <w:tcBorders>
              <w:left w:val="single" w:color="auto" w:sz="8" w:space="0"/>
            </w:tcBorders>
            <w:vAlign w:val="center"/>
          </w:tcPr>
          <w:p>
            <w:pPr>
              <w:pStyle w:val="35"/>
              <w:bidi w:val="0"/>
              <w:jc w:val="center"/>
              <w:rPr>
                <w:rFonts w:hint="default"/>
                <w:lang w:val="en-US" w:eastAsia="zh-CN"/>
              </w:rPr>
            </w:pPr>
            <w:r>
              <w:rPr>
                <w:rFonts w:hint="eastAsia"/>
                <w:lang w:val="en-US" w:eastAsia="zh-CN"/>
              </w:rPr>
              <w:t>2</w:t>
            </w:r>
          </w:p>
        </w:tc>
        <w:tc>
          <w:tcPr>
            <w:tcW w:w="1665" w:type="pct"/>
            <w:vAlign w:val="center"/>
          </w:tcPr>
          <w:p>
            <w:pPr>
              <w:pStyle w:val="35"/>
              <w:bidi w:val="0"/>
              <w:jc w:val="center"/>
              <w:rPr>
                <w:rFonts w:hint="default"/>
                <w:lang w:val="en-US" w:eastAsia="zh-CN"/>
              </w:rPr>
            </w:pPr>
            <w:r>
              <w:rPr>
                <w:rFonts w:hint="eastAsia"/>
                <w:lang w:val="en-US" w:eastAsia="zh-CN"/>
              </w:rPr>
              <w:t>输出低电平V</w:t>
            </w:r>
            <w:r>
              <w:rPr>
                <w:rFonts w:hint="eastAsia"/>
                <w:vertAlign w:val="subscript"/>
                <w:lang w:val="en-US" w:eastAsia="zh-CN"/>
              </w:rPr>
              <w:t>oL</w:t>
            </w:r>
          </w:p>
        </w:tc>
        <w:tc>
          <w:tcPr>
            <w:tcW w:w="1668"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V</w:t>
            </w:r>
            <w:r>
              <w:rPr>
                <w:rFonts w:hint="eastAsia"/>
                <w:vertAlign w:val="subscript"/>
                <w:lang w:val="en-US" w:eastAsia="zh-CN"/>
              </w:rPr>
              <w:t>1分钟</w:t>
            </w:r>
            <w:r>
              <w:rPr>
                <w:rFonts w:hint="eastAsia"/>
                <w:lang w:val="en-US" w:eastAsia="zh-CN"/>
              </w:rPr>
              <w:t>≤V</w:t>
            </w:r>
            <w:r>
              <w:rPr>
                <w:rFonts w:hint="eastAsia"/>
                <w:vertAlign w:val="subscript"/>
                <w:lang w:val="en-US" w:eastAsia="zh-CN"/>
              </w:rPr>
              <w:t>OL</w:t>
            </w:r>
            <w:r>
              <w:rPr>
                <w:rFonts w:hint="eastAsia"/>
                <w:lang w:val="en-US" w:eastAsia="zh-CN"/>
              </w:rPr>
              <w:t>≤Vmax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5" w:type="pct"/>
            <w:tcBorders>
              <w:left w:val="single" w:color="auto" w:sz="8" w:space="0"/>
            </w:tcBorders>
            <w:vAlign w:val="center"/>
          </w:tcPr>
          <w:p>
            <w:pPr>
              <w:pStyle w:val="35"/>
              <w:bidi w:val="0"/>
              <w:jc w:val="center"/>
              <w:rPr>
                <w:rFonts w:hint="default"/>
                <w:lang w:val="en-US" w:eastAsia="zh-CN"/>
              </w:rPr>
            </w:pPr>
            <w:r>
              <w:rPr>
                <w:rFonts w:hint="eastAsia"/>
                <w:lang w:val="en-US" w:eastAsia="zh-CN"/>
              </w:rPr>
              <w:t>3</w:t>
            </w:r>
          </w:p>
        </w:tc>
        <w:tc>
          <w:tcPr>
            <w:tcW w:w="1665" w:type="pct"/>
            <w:vAlign w:val="center"/>
          </w:tcPr>
          <w:p>
            <w:pPr>
              <w:pStyle w:val="35"/>
              <w:bidi w:val="0"/>
              <w:jc w:val="center"/>
              <w:rPr>
                <w:rFonts w:hint="eastAsia"/>
                <w:lang w:val="en-US" w:eastAsia="zh-CN"/>
              </w:rPr>
            </w:pPr>
            <w:r>
              <w:rPr>
                <w:rFonts w:hint="eastAsia"/>
                <w:lang w:val="en-US" w:eastAsia="zh-CN"/>
              </w:rPr>
              <w:t>输出占空比</w:t>
            </w:r>
          </w:p>
        </w:tc>
        <w:tc>
          <w:tcPr>
            <w:tcW w:w="1668"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I=P/T=50±20%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665" w:type="pct"/>
            <w:tcBorders>
              <w:left w:val="single" w:color="auto" w:sz="8" w:space="0"/>
            </w:tcBorders>
            <w:vAlign w:val="center"/>
          </w:tcPr>
          <w:p>
            <w:pPr>
              <w:pStyle w:val="35"/>
              <w:bidi w:val="0"/>
              <w:jc w:val="center"/>
              <w:rPr>
                <w:rFonts w:hint="default"/>
                <w:lang w:val="en-US" w:eastAsia="zh-CN"/>
              </w:rPr>
            </w:pPr>
            <w:r>
              <w:rPr>
                <w:rFonts w:hint="eastAsia"/>
                <w:lang w:val="en-US" w:eastAsia="zh-CN"/>
              </w:rPr>
              <w:t>4</w:t>
            </w:r>
          </w:p>
        </w:tc>
        <w:tc>
          <w:tcPr>
            <w:tcW w:w="1665" w:type="pct"/>
            <w:vAlign w:val="center"/>
          </w:tcPr>
          <w:p>
            <w:pPr>
              <w:pStyle w:val="35"/>
              <w:bidi w:val="0"/>
              <w:jc w:val="center"/>
              <w:rPr>
                <w:rFonts w:hint="default"/>
                <w:lang w:val="en-US" w:eastAsia="zh-CN"/>
              </w:rPr>
            </w:pPr>
            <w:r>
              <w:rPr>
                <w:rFonts w:hint="default"/>
                <w:lang w:val="en-US" w:eastAsia="zh-CN"/>
              </w:rPr>
              <w:t>工作间隙</w:t>
            </w:r>
          </w:p>
        </w:tc>
        <w:tc>
          <w:tcPr>
            <w:tcW w:w="1668"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0.5</w:t>
            </w:r>
            <w:r>
              <w:rPr>
                <w:rFonts w:hint="default" w:ascii="Times New Roman" w:hAnsi="Times New Roman" w:cs="Times New Roman"/>
                <w:lang w:val="en-US" w:eastAsia="zh-CN"/>
              </w:rPr>
              <w:t>~</w:t>
            </w:r>
            <w:r>
              <w:rPr>
                <w:rFonts w:hint="eastAsia"/>
                <w:lang w:val="en-US" w:eastAsia="zh-CN"/>
              </w:rPr>
              <w:t>1.5mm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1665" w:type="pct"/>
            <w:tcBorders>
              <w:left w:val="single" w:color="auto" w:sz="8" w:space="0"/>
            </w:tcBorders>
            <w:vAlign w:val="center"/>
          </w:tcPr>
          <w:p>
            <w:pPr>
              <w:pStyle w:val="35"/>
              <w:bidi w:val="0"/>
              <w:jc w:val="center"/>
              <w:rPr>
                <w:rFonts w:hint="default"/>
                <w:lang w:val="en-US" w:eastAsia="zh-CN"/>
              </w:rPr>
            </w:pPr>
            <w:r>
              <w:rPr>
                <w:rFonts w:hint="eastAsia"/>
                <w:lang w:val="en-US" w:eastAsia="zh-CN"/>
              </w:rPr>
              <w:t>5</w:t>
            </w:r>
          </w:p>
        </w:tc>
        <w:tc>
          <w:tcPr>
            <w:tcW w:w="1665" w:type="pct"/>
            <w:vAlign w:val="center"/>
          </w:tcPr>
          <w:p>
            <w:pPr>
              <w:pStyle w:val="35"/>
              <w:bidi w:val="0"/>
              <w:jc w:val="center"/>
              <w:rPr>
                <w:rFonts w:hint="default"/>
                <w:lang w:val="en-US" w:eastAsia="zh-CN"/>
              </w:rPr>
            </w:pPr>
            <w:r>
              <w:rPr>
                <w:rFonts w:hint="default"/>
                <w:lang w:val="en-US" w:eastAsia="zh-CN"/>
              </w:rPr>
              <w:t>工作频率</w:t>
            </w:r>
          </w:p>
        </w:tc>
        <w:tc>
          <w:tcPr>
            <w:tcW w:w="1668" w:type="pct"/>
            <w:tcBorders>
              <w:right w:val="single" w:color="auto" w:sz="8" w:space="0"/>
            </w:tcBorders>
            <w:vAlign w:val="center"/>
          </w:tcPr>
          <w:p>
            <w:pPr>
              <w:pStyle w:val="35"/>
              <w:bidi w:val="0"/>
              <w:jc w:val="center"/>
              <w:rPr>
                <w:rFonts w:hint="eastAsia"/>
                <w:lang w:val="en-US" w:eastAsia="zh-CN"/>
              </w:rPr>
            </w:pPr>
            <w:r>
              <w:rPr>
                <w:rFonts w:hint="eastAsia"/>
                <w:lang w:val="en-US" w:eastAsia="zh-CN"/>
              </w:rPr>
              <w:t>1</w:t>
            </w:r>
            <w:r>
              <w:rPr>
                <w:rFonts w:hint="default" w:ascii="Times New Roman" w:hAnsi="Times New Roman" w:cs="Times New Roman"/>
                <w:lang w:val="en-US" w:eastAsia="zh-CN"/>
              </w:rPr>
              <w:t>~</w:t>
            </w:r>
            <w:r>
              <w:rPr>
                <w:rFonts w:hint="eastAsia"/>
                <w:lang w:val="en-US" w:eastAsia="zh-CN"/>
              </w:rPr>
              <w:t>2500Hz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3"/>
            <w:tcBorders>
              <w:left w:val="single" w:color="auto" w:sz="8" w:space="0"/>
              <w:bottom w:val="single" w:color="auto" w:sz="8" w:space="0"/>
              <w:right w:val="single" w:color="auto" w:sz="8" w:space="0"/>
            </w:tcBorders>
            <w:vAlign w:val="center"/>
          </w:tcPr>
          <w:p>
            <w:pPr>
              <w:pStyle w:val="35"/>
              <w:bidi w:val="0"/>
              <w:ind w:firstLine="360" w:firstLineChars="200"/>
              <w:jc w:val="both"/>
              <w:rPr>
                <w:rFonts w:hint="default"/>
                <w:lang w:val="en-US" w:eastAsia="zh-CN"/>
              </w:rPr>
            </w:pPr>
            <w:r>
              <w:rPr>
                <w:rFonts w:hint="eastAsia"/>
                <w:lang w:val="en-US" w:eastAsia="zh-CN"/>
              </w:rPr>
              <w:t>注:高、低电平输出值及其他电气参数可根据产品实际需要，按供需双方确认的技术文件执行。</w:t>
            </w:r>
          </w:p>
        </w:tc>
      </w:tr>
    </w:tbl>
    <w:p>
      <w:pPr>
        <w:pStyle w:val="20"/>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绝缘耐压性</w:t>
      </w:r>
    </w:p>
    <w:p>
      <w:pPr>
        <w:pStyle w:val="18"/>
        <w:rPr>
          <w:rFonts w:hint="eastAsia"/>
          <w:lang w:eastAsia="zh-CN"/>
        </w:rPr>
      </w:pPr>
      <w:r>
        <w:rPr>
          <w:rFonts w:hint="eastAsia"/>
          <w:lang w:eastAsia="zh-CN"/>
        </w:rPr>
        <w:t>传感器应能承受50Hz，实际正弦波550V的电压，历时1分钟的耐压试验，其绝缘应不被击穿。</w:t>
      </w:r>
    </w:p>
    <w:p>
      <w:pPr>
        <w:pStyle w:val="18"/>
        <w:rPr>
          <w:rFonts w:hint="eastAsia"/>
          <w:sz w:val="15"/>
          <w:szCs w:val="15"/>
          <w:lang w:eastAsia="zh-CN"/>
        </w:rPr>
      </w:pPr>
      <w:r>
        <w:rPr>
          <w:rFonts w:hint="eastAsia"/>
          <w:sz w:val="15"/>
          <w:szCs w:val="15"/>
          <w:lang w:eastAsia="zh-CN"/>
        </w:rPr>
        <w:t>注:批量生产时，可用660V，2秒代替检测。</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耐高温性</w:t>
      </w:r>
    </w:p>
    <w:p>
      <w:pPr>
        <w:pStyle w:val="18"/>
        <w:rPr>
          <w:rFonts w:hint="eastAsia"/>
          <w:lang w:eastAsia="zh-CN"/>
        </w:rPr>
      </w:pPr>
      <w:r>
        <w:rPr>
          <w:rFonts w:hint="eastAsia"/>
          <w:lang w:eastAsia="zh-CN"/>
        </w:rPr>
        <w:t>传感器经125±2</w:t>
      </w:r>
      <w:r>
        <w:rPr>
          <w:rFonts w:hint="eastAsia"/>
          <w:lang w:val="en-US" w:eastAsia="zh-CN"/>
        </w:rPr>
        <w:t>℃</w:t>
      </w:r>
      <w:r>
        <w:rPr>
          <w:rFonts w:hint="eastAsia"/>
          <w:lang w:eastAsia="zh-CN"/>
        </w:rPr>
        <w:t>高温，试验后产品中的橡塑件，无变形、粘连、裂纹等外观异常，其电气性能应符合</w:t>
      </w:r>
      <w:r>
        <w:rPr>
          <w:rFonts w:hint="eastAsia"/>
          <w:lang w:val="en-US" w:eastAsia="zh-CN"/>
        </w:rPr>
        <w:t>4</w:t>
      </w:r>
      <w:r>
        <w:rPr>
          <w:rFonts w:hint="eastAsia"/>
          <w:lang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耐低温性</w:t>
      </w:r>
    </w:p>
    <w:p>
      <w:pPr>
        <w:pStyle w:val="18"/>
        <w:rPr>
          <w:rFonts w:hint="eastAsia"/>
          <w:lang w:eastAsia="zh-CN"/>
        </w:rPr>
      </w:pPr>
      <w:r>
        <w:rPr>
          <w:rFonts w:hint="eastAsia"/>
          <w:lang w:eastAsia="zh-CN"/>
        </w:rPr>
        <w:t>传感器经-40土2</w:t>
      </w:r>
      <w:r>
        <w:rPr>
          <w:rFonts w:hint="eastAsia"/>
          <w:lang w:val="en-US" w:eastAsia="zh-CN"/>
        </w:rPr>
        <w:t>℃</w:t>
      </w:r>
      <w:r>
        <w:rPr>
          <w:rFonts w:hint="eastAsia"/>
          <w:lang w:eastAsia="zh-CN"/>
        </w:rPr>
        <w:t>高温，试验后产品中的橡塑件，无变形、粘连、裂纹等外观异常，其电气性能应符合</w:t>
      </w:r>
      <w:r>
        <w:rPr>
          <w:rFonts w:hint="eastAsia"/>
          <w:lang w:val="en-US" w:eastAsia="zh-CN"/>
        </w:rPr>
        <w:t>4</w:t>
      </w:r>
      <w:r>
        <w:rPr>
          <w:rFonts w:hint="eastAsia"/>
          <w:lang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耐温度冲击性</w:t>
      </w:r>
    </w:p>
    <w:p>
      <w:pPr>
        <w:pStyle w:val="18"/>
        <w:bidi w:val="0"/>
        <w:rPr>
          <w:rFonts w:hint="eastAsia"/>
          <w:lang w:eastAsia="zh-CN"/>
        </w:rPr>
      </w:pPr>
      <w:r>
        <w:rPr>
          <w:rFonts w:hint="eastAsia"/>
          <w:lang w:eastAsia="zh-CN"/>
        </w:rPr>
        <w:t>传感器应能经-40士2</w:t>
      </w:r>
      <w:r>
        <w:rPr>
          <w:rFonts w:hint="eastAsia"/>
          <w:lang w:val="en-US" w:eastAsia="zh-CN"/>
        </w:rPr>
        <w:t>℃</w:t>
      </w:r>
      <w:r>
        <w:rPr>
          <w:rFonts w:hint="eastAsia"/>
          <w:lang w:eastAsia="zh-CN"/>
        </w:rPr>
        <w:t>低温和150士2</w:t>
      </w:r>
      <w:r>
        <w:rPr>
          <w:rFonts w:hint="eastAsia"/>
          <w:lang w:val="en-US" w:eastAsia="zh-CN"/>
        </w:rPr>
        <w:t>℃高</w:t>
      </w:r>
      <w:r>
        <w:rPr>
          <w:rFonts w:hint="eastAsia"/>
          <w:lang w:eastAsia="zh-CN"/>
        </w:rPr>
        <w:t>温，在每个温度点保温2小时进行转换，温度转换时间20秒~30秒，高、低温循环次数为5次，试验后产品的外观无异常，其电气性能应符合</w:t>
      </w:r>
      <w:r>
        <w:rPr>
          <w:rFonts w:hint="eastAsia"/>
          <w:lang w:val="en-US" w:eastAsia="zh-CN"/>
        </w:rPr>
        <w:t>4</w:t>
      </w:r>
      <w:r>
        <w:rPr>
          <w:rFonts w:hint="eastAsia"/>
          <w:lang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温度/湿度组合循环</w:t>
      </w:r>
    </w:p>
    <w:p>
      <w:pPr>
        <w:pStyle w:val="18"/>
        <w:rPr>
          <w:rFonts w:hint="eastAsia"/>
          <w:lang w:eastAsia="zh-CN"/>
        </w:rPr>
      </w:pPr>
      <w:r>
        <w:rPr>
          <w:rFonts w:hint="eastAsia"/>
          <w:lang w:eastAsia="zh-CN"/>
        </w:rPr>
        <w:t>传感器在温度为-10~65</w:t>
      </w:r>
      <w:r>
        <w:rPr>
          <w:rFonts w:hint="eastAsia"/>
          <w:lang w:val="en-US" w:eastAsia="zh-CN"/>
        </w:rPr>
        <w:t>℃</w:t>
      </w:r>
      <w:r>
        <w:rPr>
          <w:rFonts w:hint="eastAsia"/>
          <w:lang w:eastAsia="zh-CN"/>
        </w:rPr>
        <w:t>之间，应能经受10个循环的温度/湿度组合循环试验，每个循环为24小时，试验在不工作状态下进行。试验后，传感器的外观无异常，其电气性能应符合</w:t>
      </w:r>
      <w:r>
        <w:rPr>
          <w:rFonts w:hint="eastAsia"/>
          <w:lang w:val="en-US" w:eastAsia="zh-CN"/>
        </w:rPr>
        <w:t>4</w:t>
      </w:r>
      <w:r>
        <w:rPr>
          <w:rFonts w:hint="eastAsia"/>
          <w:lang w:eastAsia="zh-CN"/>
        </w:rPr>
        <w:t>.4规定。</w:t>
      </w:r>
    </w:p>
    <w:bookmarkEnd w:id="32"/>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抗拉力</w:t>
      </w:r>
    </w:p>
    <w:p>
      <w:pPr>
        <w:pStyle w:val="21"/>
        <w:bidi w:val="0"/>
        <w:rPr>
          <w:rFonts w:hint="default"/>
          <w:lang w:val="en-US" w:eastAsia="zh-CN"/>
        </w:rPr>
      </w:pPr>
      <w:r>
        <w:rPr>
          <w:rFonts w:hint="default"/>
          <w:lang w:val="en-US" w:eastAsia="zh-CN"/>
        </w:rPr>
        <w:t>插头对电(缆)线的拉脱力</w:t>
      </w:r>
    </w:p>
    <w:p>
      <w:pPr>
        <w:pStyle w:val="18"/>
        <w:rPr>
          <w:rFonts w:hint="default"/>
          <w:lang w:val="en-US" w:eastAsia="zh-CN"/>
        </w:rPr>
      </w:pPr>
      <w:r>
        <w:rPr>
          <w:rFonts w:hint="default"/>
          <w:lang w:val="en-US" w:eastAsia="zh-CN"/>
        </w:rPr>
        <w:t>插头与电(缆)线的拉脱力应符合如下规定:</w:t>
      </w:r>
    </w:p>
    <w:p>
      <w:pPr>
        <w:pStyle w:val="47"/>
        <w:bidi w:val="0"/>
        <w:ind w:left="851" w:leftChars="0" w:hanging="426" w:firstLineChars="0"/>
        <w:rPr>
          <w:rFonts w:hint="default"/>
          <w:lang w:val="en-US" w:eastAsia="zh-CN"/>
        </w:rPr>
      </w:pPr>
      <w:r>
        <w:rPr>
          <w:rFonts w:hint="default"/>
          <w:lang w:val="en-US" w:eastAsia="zh-CN"/>
        </w:rPr>
        <w:t>导体标称截面为0.5mm的线芯，其拉脱力F≥50N</w:t>
      </w:r>
      <w:r>
        <w:rPr>
          <w:rFonts w:hint="eastAsia"/>
          <w:lang w:val="en-US" w:eastAsia="zh-CN"/>
        </w:rPr>
        <w:t>；</w:t>
      </w:r>
    </w:p>
    <w:p>
      <w:pPr>
        <w:pStyle w:val="47"/>
        <w:bidi w:val="0"/>
        <w:ind w:left="851" w:leftChars="0" w:hanging="426" w:firstLineChars="0"/>
        <w:rPr>
          <w:rFonts w:hint="default"/>
          <w:lang w:val="en-US" w:eastAsia="zh-CN"/>
        </w:rPr>
      </w:pPr>
      <w:r>
        <w:rPr>
          <w:rFonts w:hint="default"/>
          <w:lang w:val="en-US" w:eastAsia="zh-CN"/>
        </w:rPr>
        <w:t>导体标称截面为0.75mm的线芯，其拉脱力F≥70N</w:t>
      </w:r>
      <w:r>
        <w:rPr>
          <w:rFonts w:hint="eastAsia"/>
          <w:lang w:val="en-US" w:eastAsia="zh-CN"/>
        </w:rPr>
        <w:t>；</w:t>
      </w:r>
    </w:p>
    <w:p>
      <w:pPr>
        <w:pStyle w:val="18"/>
        <w:rPr>
          <w:rFonts w:hint="default"/>
          <w:lang w:val="en-US" w:eastAsia="zh-CN"/>
        </w:rPr>
      </w:pPr>
      <w:r>
        <w:rPr>
          <w:rFonts w:hint="default"/>
          <w:lang w:val="en-US" w:eastAsia="zh-CN"/>
        </w:rPr>
        <w:t>拉脱力试验后插头(或端子)与电(缆入线间不得出现松动和脱落。</w:t>
      </w:r>
    </w:p>
    <w:p>
      <w:pPr>
        <w:pStyle w:val="21"/>
        <w:bidi w:val="0"/>
        <w:rPr>
          <w:rFonts w:hint="default"/>
          <w:lang w:val="en-US" w:eastAsia="zh-CN"/>
        </w:rPr>
      </w:pPr>
      <w:r>
        <w:rPr>
          <w:rFonts w:hint="default"/>
          <w:lang w:val="en-US" w:eastAsia="zh-CN"/>
        </w:rPr>
        <w:t>传感头与电缆线的拉脱力</w:t>
      </w:r>
    </w:p>
    <w:p>
      <w:pPr>
        <w:pStyle w:val="18"/>
        <w:rPr>
          <w:rFonts w:hint="eastAsia"/>
          <w:lang w:val="en-US" w:eastAsia="zh-CN"/>
        </w:rPr>
      </w:pPr>
      <w:r>
        <w:rPr>
          <w:rFonts w:hint="default"/>
          <w:lang w:val="en-US" w:eastAsia="zh-CN"/>
        </w:rPr>
        <w:t>传感头与电缆线间的拉脱力:F</w:t>
      </w:r>
      <w:r>
        <w:rPr>
          <w:rFonts w:hint="default"/>
          <w:vertAlign w:val="subscript"/>
          <w:lang w:val="en-US" w:eastAsia="zh-CN"/>
        </w:rPr>
        <w:t>2</w:t>
      </w:r>
      <w:r>
        <w:rPr>
          <w:rFonts w:hint="default"/>
          <w:lang w:val="en-US" w:eastAsia="zh-CN"/>
        </w:rPr>
        <w:t>≥120N</w:t>
      </w:r>
      <w:r>
        <w:rPr>
          <w:rFonts w:hint="eastAsia"/>
          <w:lang w:val="en-US" w:eastAsia="zh-CN"/>
        </w:rPr>
        <w:t>。</w:t>
      </w:r>
    </w:p>
    <w:p>
      <w:pPr>
        <w:pStyle w:val="21"/>
        <w:bidi w:val="0"/>
        <w:rPr>
          <w:rFonts w:hint="default"/>
          <w:lang w:val="en-US" w:eastAsia="zh-CN"/>
        </w:rPr>
      </w:pPr>
      <w:r>
        <w:rPr>
          <w:rFonts w:hint="default"/>
          <w:lang w:val="en-US" w:eastAsia="zh-CN"/>
        </w:rPr>
        <w:t>插头与对插件之间的拔出力</w:t>
      </w:r>
    </w:p>
    <w:p>
      <w:pPr>
        <w:pStyle w:val="18"/>
        <w:rPr>
          <w:rFonts w:hint="default"/>
          <w:lang w:val="en-US" w:eastAsia="zh-CN"/>
        </w:rPr>
      </w:pPr>
      <w:r>
        <w:rPr>
          <w:rFonts w:hint="default"/>
          <w:lang w:val="en-US" w:eastAsia="zh-CN"/>
        </w:rPr>
        <w:t>传感器插头拔出力≥25N</w:t>
      </w:r>
      <w:r>
        <w:rPr>
          <w:rFonts w:hint="eastAsia"/>
          <w:lang w:val="en-US" w:eastAsia="zh-CN"/>
        </w:rPr>
        <w:t>。</w:t>
      </w:r>
    </w:p>
    <w:p>
      <w:pPr>
        <w:pStyle w:val="21"/>
        <w:bidi w:val="0"/>
        <w:rPr>
          <w:rFonts w:hint="default"/>
          <w:lang w:val="en-US" w:eastAsia="zh-CN"/>
        </w:rPr>
      </w:pPr>
      <w:r>
        <w:rPr>
          <w:rFonts w:hint="default"/>
          <w:lang w:val="en-US" w:eastAsia="zh-CN"/>
        </w:rPr>
        <w:t>传感器套管松脱力</w:t>
      </w:r>
    </w:p>
    <w:p>
      <w:pPr>
        <w:pStyle w:val="18"/>
        <w:rPr>
          <w:rFonts w:hint="default"/>
          <w:lang w:val="en-US" w:eastAsia="zh-CN"/>
        </w:rPr>
      </w:pPr>
      <w:r>
        <w:rPr>
          <w:rFonts w:hint="default"/>
          <w:lang w:val="en-US" w:eastAsia="zh-CN"/>
        </w:rPr>
        <w:t>套管与PU线无松脱，采用过盈方式组装，不允许采用点胶方式，拉脱力要求如下:</w:t>
      </w:r>
    </w:p>
    <w:p>
      <w:pPr>
        <w:pStyle w:val="18"/>
        <w:rPr>
          <w:rFonts w:hint="default"/>
          <w:lang w:val="en-US" w:eastAsia="zh-CN"/>
        </w:rPr>
      </w:pPr>
      <w:r>
        <w:rPr>
          <w:rFonts w:hint="default"/>
          <w:lang w:val="en-US" w:eastAsia="zh-CN"/>
        </w:rPr>
        <w:t>套管长度≥35mm，松脱力≥40N</w:t>
      </w:r>
      <w:r>
        <w:rPr>
          <w:rFonts w:hint="eastAsia"/>
          <w:lang w:val="en-US" w:eastAsia="zh-CN"/>
        </w:rPr>
        <w:t>；</w:t>
      </w:r>
    </w:p>
    <w:p>
      <w:pPr>
        <w:pStyle w:val="18"/>
        <w:rPr>
          <w:rFonts w:hint="default"/>
          <w:lang w:val="en-US" w:eastAsia="zh-CN"/>
        </w:rPr>
      </w:pPr>
      <w:r>
        <w:rPr>
          <w:rFonts w:hint="default"/>
          <w:lang w:val="en-US" w:eastAsia="zh-CN"/>
        </w:rPr>
        <w:t>套管长度</w:t>
      </w:r>
      <w:r>
        <w:rPr>
          <w:rFonts w:hint="eastAsia"/>
          <w:lang w:val="en-US" w:eastAsia="zh-CN"/>
        </w:rPr>
        <w:t>＜</w:t>
      </w:r>
      <w:r>
        <w:rPr>
          <w:rFonts w:hint="default"/>
          <w:lang w:val="en-US" w:eastAsia="zh-CN"/>
        </w:rPr>
        <w:t>35mm，拉脱力≥20N。,</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耐振动</w:t>
      </w:r>
    </w:p>
    <w:p>
      <w:pPr>
        <w:pStyle w:val="18"/>
        <w:rPr>
          <w:rFonts w:hint="default"/>
          <w:lang w:val="en-US" w:eastAsia="zh-CN"/>
        </w:rPr>
      </w:pPr>
      <w:r>
        <w:rPr>
          <w:rFonts w:hint="default"/>
          <w:lang w:val="en-US" w:eastAsia="zh-CN"/>
        </w:rPr>
        <w:t>传感器应能经受上下、左右、前后三个方向的振动试验，每个方向8小时，加速度均方根(r.m.s)值为107.3m/s</w:t>
      </w:r>
      <w:r>
        <w:rPr>
          <w:rFonts w:hint="default"/>
          <w:vertAlign w:val="superscript"/>
          <w:lang w:val="en-US" w:eastAsia="zh-CN"/>
        </w:rPr>
        <w:t>2</w:t>
      </w:r>
      <w:r>
        <w:rPr>
          <w:rFonts w:hint="default"/>
          <w:lang w:val="en-US" w:eastAsia="zh-CN"/>
        </w:rPr>
        <w:t>，试验参数如图</w:t>
      </w:r>
      <w:r>
        <w:rPr>
          <w:rFonts w:hint="eastAsia"/>
          <w:lang w:val="en-US" w:eastAsia="zh-CN"/>
        </w:rPr>
        <w:t>1</w:t>
      </w:r>
      <w:r>
        <w:rPr>
          <w:rFonts w:hint="default"/>
          <w:lang w:val="en-US" w:eastAsia="zh-CN"/>
        </w:rPr>
        <w:t>和表2的所示。试验后外观无异常，其电器性能符合表</w:t>
      </w:r>
      <w:r>
        <w:rPr>
          <w:rFonts w:hint="eastAsia"/>
          <w:lang w:val="en-US" w:eastAsia="zh-CN"/>
        </w:rPr>
        <w:t>4</w:t>
      </w:r>
      <w:r>
        <w:rPr>
          <w:rFonts w:hint="default"/>
          <w:lang w:val="en-US" w:eastAsia="zh-CN"/>
        </w:rPr>
        <w:t>.4的要求。</w:t>
      </w:r>
    </w:p>
    <w:p>
      <w:pPr>
        <w:pStyle w:val="18"/>
        <w:keepNext w:val="0"/>
        <w:keepLines w:val="0"/>
        <w:pageBreakBefore w:val="0"/>
        <w:widowControl/>
        <w:kinsoku/>
        <w:wordWrap/>
        <w:overflowPunct/>
        <w:topLinePunct w:val="0"/>
        <w:autoSpaceDE/>
        <w:autoSpaceDN/>
        <w:bidi w:val="0"/>
        <w:adjustRightInd/>
        <w:snapToGrid/>
        <w:ind w:firstLine="0" w:firstLineChars="0"/>
        <w:jc w:val="center"/>
        <w:textAlignment w:val="auto"/>
      </w:pPr>
      <w:r>
        <w:drawing>
          <wp:inline distT="0" distB="0" distL="114300" distR="114300">
            <wp:extent cx="5396230" cy="2159000"/>
            <wp:effectExtent l="0" t="0" r="0" b="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2"/>
                    <a:srcRect b="7256"/>
                    <a:stretch>
                      <a:fillRect/>
                    </a:stretch>
                  </pic:blipFill>
                  <pic:spPr>
                    <a:xfrm>
                      <a:off x="0" y="0"/>
                      <a:ext cx="5396230" cy="2159000"/>
                    </a:xfrm>
                    <a:prstGeom prst="rect">
                      <a:avLst/>
                    </a:prstGeom>
                    <a:noFill/>
                    <a:ln>
                      <a:noFill/>
                    </a:ln>
                  </pic:spPr>
                </pic:pic>
              </a:graphicData>
            </a:graphic>
          </wp:inline>
        </w:drawing>
      </w:r>
    </w:p>
    <w:p>
      <w:pPr>
        <w:pStyle w:val="43"/>
        <w:bidi w:val="0"/>
        <w:rPr>
          <w:rFonts w:hint="default"/>
          <w:lang w:val="en-US" w:eastAsia="zh-CN"/>
        </w:rPr>
      </w:pPr>
      <w:r>
        <w:rPr>
          <w:rFonts w:hint="eastAsia"/>
          <w:lang w:val="en-US" w:eastAsia="zh-CN"/>
        </w:rPr>
        <w:t>加速度功率谱图</w:t>
      </w:r>
    </w:p>
    <w:p>
      <w:pPr>
        <w:pStyle w:val="37"/>
        <w:bidi w:val="0"/>
        <w:rPr>
          <w:rFonts w:hint="default"/>
          <w:lang w:val="en-US" w:eastAsia="zh-CN"/>
        </w:rPr>
      </w:pPr>
      <w:r>
        <w:rPr>
          <w:rFonts w:hint="default"/>
          <w:lang w:val="en-US" w:eastAsia="zh-CN"/>
        </w:rPr>
        <w:t>PSD与频率</w:t>
      </w:r>
    </w:p>
    <w:tbl>
      <w:tblPr>
        <w:tblStyle w:val="14"/>
        <w:tblW w:w="4999" w:type="pct"/>
        <w:tblCaption w:val="被动式传感器电气性能参数"/>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5"/>
        <w:gridCol w:w="4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499"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default"/>
                <w:lang w:val="en-US" w:eastAsia="zh-CN"/>
              </w:rPr>
              <w:t>频率</w:t>
            </w:r>
          </w:p>
          <w:p>
            <w:pPr>
              <w:pStyle w:val="36"/>
              <w:bidi w:val="0"/>
              <w:jc w:val="center"/>
              <w:rPr>
                <w:rFonts w:hint="default"/>
                <w:lang w:val="en-US" w:eastAsia="zh-CN"/>
              </w:rPr>
            </w:pPr>
            <w:r>
              <w:rPr>
                <w:rFonts w:hint="default"/>
                <w:lang w:val="en-US" w:eastAsia="zh-CN"/>
              </w:rPr>
              <w:t>Hz</w:t>
            </w:r>
          </w:p>
        </w:tc>
        <w:tc>
          <w:tcPr>
            <w:tcW w:w="2500" w:type="pct"/>
            <w:tcBorders>
              <w:top w:val="single" w:color="auto" w:sz="8" w:space="0"/>
              <w:bottom w:val="single" w:color="auto" w:sz="8" w:space="0"/>
            </w:tcBorders>
            <w:vAlign w:val="center"/>
          </w:tcPr>
          <w:p>
            <w:pPr>
              <w:pStyle w:val="36"/>
              <w:bidi w:val="0"/>
              <w:jc w:val="center"/>
              <w:rPr>
                <w:rFonts w:hint="default"/>
                <w:lang w:val="en-US" w:eastAsia="zh-CN"/>
              </w:rPr>
            </w:pPr>
            <w:r>
              <w:rPr>
                <w:rFonts w:hint="default"/>
                <w:lang w:val="en-US" w:eastAsia="zh-CN"/>
              </w:rPr>
              <w:t>PSD</w:t>
            </w:r>
          </w:p>
          <w:p>
            <w:pPr>
              <w:pStyle w:val="36"/>
              <w:bidi w:val="0"/>
              <w:jc w:val="center"/>
              <w:rPr>
                <w:rFonts w:hint="default"/>
                <w:lang w:val="en-US" w:eastAsia="zh-CN"/>
              </w:rPr>
            </w:pPr>
            <w:r>
              <w:rPr>
                <w:rFonts w:hint="default"/>
                <w:lang w:val="en-US" w:eastAsia="zh-CN"/>
              </w:rPr>
              <w:t>(m/s</w:t>
            </w:r>
            <w:r>
              <w:rPr>
                <w:rFonts w:hint="default"/>
                <w:vertAlign w:val="superscript"/>
                <w:lang w:val="en-US" w:eastAsia="zh-CN"/>
              </w:rPr>
              <w:t>2</w:t>
            </w:r>
            <w:r>
              <w:rPr>
                <w:rFonts w:hint="default"/>
                <w:lang w:val="en-US" w:eastAsia="zh-CN"/>
              </w:rPr>
              <w:t>)</w:t>
            </w:r>
            <w:r>
              <w:rPr>
                <w:rFonts w:hint="default"/>
                <w:vertAlign w:val="superscript"/>
                <w:lang w:val="en-US" w:eastAsia="zh-CN"/>
              </w:rPr>
              <w:t>2</w:t>
            </w:r>
            <w:r>
              <w:rPr>
                <w:rFonts w:hint="default"/>
                <w:lang w:val="en-US" w:eastAsia="zh-CN"/>
              </w:rPr>
              <w:t>/Hz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20</w:t>
            </w:r>
          </w:p>
        </w:tc>
        <w:tc>
          <w:tcPr>
            <w:tcW w:w="2500" w:type="pct"/>
            <w:vAlign w:val="center"/>
          </w:tcPr>
          <w:p>
            <w:pPr>
              <w:pStyle w:val="35"/>
              <w:bidi w:val="0"/>
              <w:jc w:val="center"/>
              <w:rPr>
                <w:rFonts w:hint="default"/>
                <w:lang w:val="en-US" w:eastAsia="zh-CN"/>
              </w:rPr>
            </w:pPr>
            <w:r>
              <w:rPr>
                <w:rFonts w:hint="eastAsia"/>
                <w:lang w:val="en-US" w:eastAsia="zh-CN"/>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40</w:t>
            </w:r>
          </w:p>
        </w:tc>
        <w:tc>
          <w:tcPr>
            <w:tcW w:w="2500" w:type="pct"/>
            <w:vAlign w:val="center"/>
          </w:tcPr>
          <w:p>
            <w:pPr>
              <w:pStyle w:val="35"/>
              <w:bidi w:val="0"/>
              <w:jc w:val="center"/>
              <w:rPr>
                <w:rFonts w:hint="default"/>
                <w:lang w:val="en-US" w:eastAsia="zh-CN"/>
              </w:rPr>
            </w:pPr>
            <w:r>
              <w:rPr>
                <w:rFonts w:hint="eastAsia"/>
                <w:lang w:val="en-US" w:eastAsia="zh-CN"/>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300</w:t>
            </w:r>
          </w:p>
        </w:tc>
        <w:tc>
          <w:tcPr>
            <w:tcW w:w="2500" w:type="pct"/>
            <w:vAlign w:val="center"/>
          </w:tcPr>
          <w:p>
            <w:pPr>
              <w:pStyle w:val="35"/>
              <w:bidi w:val="0"/>
              <w:jc w:val="center"/>
              <w:rPr>
                <w:rFonts w:hint="default"/>
                <w:lang w:val="en-US" w:eastAsia="zh-CN"/>
              </w:rPr>
            </w:pPr>
            <w:r>
              <w:rPr>
                <w:rFonts w:hint="eastAsia"/>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800</w:t>
            </w:r>
          </w:p>
        </w:tc>
        <w:tc>
          <w:tcPr>
            <w:tcW w:w="2500" w:type="pct"/>
            <w:vAlign w:val="center"/>
          </w:tcPr>
          <w:p>
            <w:pPr>
              <w:pStyle w:val="35"/>
              <w:bidi w:val="0"/>
              <w:jc w:val="center"/>
              <w:rPr>
                <w:rFonts w:hint="default"/>
                <w:lang w:val="en-US" w:eastAsia="zh-CN"/>
              </w:rPr>
            </w:pPr>
            <w:r>
              <w:rPr>
                <w:rFonts w:hint="eastAsia"/>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1000</w:t>
            </w:r>
          </w:p>
        </w:tc>
        <w:tc>
          <w:tcPr>
            <w:tcW w:w="2500" w:type="pct"/>
            <w:vAlign w:val="center"/>
          </w:tcPr>
          <w:p>
            <w:pPr>
              <w:pStyle w:val="35"/>
              <w:bidi w:val="0"/>
              <w:jc w:val="center"/>
              <w:rPr>
                <w:rFonts w:hint="default"/>
                <w:lang w:val="en-US" w:eastAsia="zh-CN"/>
              </w:rPr>
            </w:pPr>
            <w:r>
              <w:rPr>
                <w:rFonts w:hint="eastAsia"/>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rPr>
        <w:tc>
          <w:tcPr>
            <w:tcW w:w="2499" w:type="pct"/>
            <w:tcBorders>
              <w:left w:val="single" w:color="auto" w:sz="8" w:space="0"/>
            </w:tcBorders>
            <w:vAlign w:val="center"/>
          </w:tcPr>
          <w:p>
            <w:pPr>
              <w:pStyle w:val="35"/>
              <w:bidi w:val="0"/>
              <w:jc w:val="center"/>
              <w:rPr>
                <w:rFonts w:hint="default"/>
                <w:lang w:val="en-US" w:eastAsia="zh-CN"/>
              </w:rPr>
            </w:pPr>
            <w:r>
              <w:rPr>
                <w:rFonts w:hint="eastAsia"/>
                <w:lang w:val="en-US" w:eastAsia="zh-CN"/>
              </w:rPr>
              <w:t>2000</w:t>
            </w:r>
          </w:p>
        </w:tc>
        <w:tc>
          <w:tcPr>
            <w:tcW w:w="2500" w:type="pct"/>
            <w:vAlign w:val="center"/>
          </w:tcPr>
          <w:p>
            <w:pPr>
              <w:pStyle w:val="35"/>
              <w:bidi w:val="0"/>
              <w:jc w:val="center"/>
              <w:rPr>
                <w:rFonts w:hint="default"/>
                <w:lang w:val="en-US" w:eastAsia="zh-CN"/>
              </w:rPr>
            </w:pPr>
            <w:r>
              <w:rPr>
                <w:rFonts w:hint="eastAsia"/>
                <w:lang w:val="en-US" w:eastAsia="zh-CN"/>
              </w:rPr>
              <w:t>3</w:t>
            </w:r>
          </w:p>
        </w:tc>
      </w:tr>
    </w:tbl>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耐盐雾</w:t>
      </w:r>
    </w:p>
    <w:p>
      <w:pPr>
        <w:pStyle w:val="18"/>
        <w:bidi w:val="0"/>
        <w:rPr>
          <w:rFonts w:hint="default"/>
          <w:lang w:val="en-US" w:eastAsia="zh-CN"/>
        </w:rPr>
      </w:pPr>
      <w:r>
        <w:rPr>
          <w:rFonts w:hint="default"/>
          <w:lang w:val="en-US" w:eastAsia="zh-CN"/>
        </w:rPr>
        <w:t>传感器经48小时盐雾试验后，其金属部件表面无明显的锈蚀。试验后传感器的性能应符合</w:t>
      </w:r>
      <w:r>
        <w:rPr>
          <w:rFonts w:hint="eastAsia"/>
          <w:lang w:val="en-US" w:eastAsia="zh-CN"/>
        </w:rPr>
        <w:t>4</w:t>
      </w:r>
      <w:r>
        <w:rPr>
          <w:rFonts w:hint="default"/>
          <w:lang w:val="en-US" w:eastAsia="zh-CN"/>
        </w:rPr>
        <w:t>.4的规定。</w:t>
      </w:r>
    </w:p>
    <w:p>
      <w:pPr>
        <w:pStyle w:val="18"/>
        <w:rPr>
          <w:rFonts w:hint="default"/>
          <w:sz w:val="15"/>
          <w:szCs w:val="15"/>
          <w:lang w:val="en-US" w:eastAsia="zh-CN"/>
        </w:rPr>
      </w:pPr>
      <w:r>
        <w:rPr>
          <w:rFonts w:hint="default"/>
          <w:sz w:val="15"/>
          <w:szCs w:val="15"/>
          <w:lang w:val="en-US" w:eastAsia="zh-CN"/>
        </w:rPr>
        <w:t>注:当用户有要求时，按供需双方确认的时间进行试验。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密封性</w:t>
      </w:r>
    </w:p>
    <w:p>
      <w:pPr>
        <w:pStyle w:val="18"/>
        <w:bidi w:val="0"/>
        <w:rPr>
          <w:rFonts w:hint="default"/>
          <w:lang w:val="en-US" w:eastAsia="zh-CN"/>
        </w:rPr>
      </w:pPr>
      <w:r>
        <w:rPr>
          <w:rFonts w:hint="default"/>
          <w:lang w:val="en-US" w:eastAsia="zh-CN"/>
        </w:rPr>
        <w:t>传感头经受0.1MPa负压的水密封试验时，传感头部分应不出现连续气泡。</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防水试验</w:t>
      </w:r>
    </w:p>
    <w:p>
      <w:pPr>
        <w:pStyle w:val="18"/>
        <w:bidi w:val="0"/>
        <w:rPr>
          <w:rFonts w:hint="default"/>
          <w:lang w:val="en-US" w:eastAsia="zh-CN"/>
        </w:rPr>
      </w:pPr>
      <w:r>
        <w:rPr>
          <w:rFonts w:hint="default"/>
          <w:lang w:val="en-US" w:eastAsia="zh-CN"/>
        </w:rPr>
        <w:t>将传感器的接插件对插后，浸入0.4m深水中，1小时后取出，检查接插件内有无进水，传感器的性能应符合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耐久性</w:t>
      </w:r>
    </w:p>
    <w:p>
      <w:pPr>
        <w:pStyle w:val="18"/>
        <w:bidi w:val="0"/>
        <w:rPr>
          <w:rFonts w:hint="default"/>
          <w:lang w:val="en-US" w:eastAsia="zh-CN"/>
        </w:rPr>
      </w:pPr>
      <w:r>
        <w:rPr>
          <w:rFonts w:hint="default"/>
          <w:lang w:val="en-US" w:eastAsia="zh-CN"/>
        </w:rPr>
        <w:t>传感器经1000小时的耐久性试验后，其性能应符合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试剂耐抗性</w:t>
      </w:r>
    </w:p>
    <w:p>
      <w:pPr>
        <w:pStyle w:val="18"/>
        <w:bidi w:val="0"/>
        <w:rPr>
          <w:rFonts w:hint="default"/>
          <w:lang w:val="en-US" w:eastAsia="zh-CN"/>
        </w:rPr>
      </w:pPr>
      <w:r>
        <w:rPr>
          <w:rFonts w:hint="default"/>
          <w:lang w:val="en-US" w:eastAsia="zh-CN"/>
        </w:rPr>
        <w:t>传感器经:汽油、机油、油脂、制动液、汽车洗涤液、防冻液浸泡,每种试剂中浸泡1分钟，取出室温放置48小时后进行检测，其性能应符合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ABS线缆耐弯曲</w:t>
      </w:r>
    </w:p>
    <w:p>
      <w:pPr>
        <w:pStyle w:val="18"/>
        <w:bidi w:val="0"/>
        <w:rPr>
          <w:rFonts w:hint="eastAsia"/>
          <w:lang w:val="en-US" w:eastAsia="zh-CN"/>
        </w:rPr>
      </w:pPr>
      <w:r>
        <w:rPr>
          <w:rFonts w:hint="default"/>
          <w:lang w:val="en-US" w:eastAsia="zh-CN"/>
        </w:rPr>
        <w:t>在高低温试验机上负重条件下进行试验，常温下，弯曲250000次，65度下弯曲125000次，-25度下弯曲125000次。负重要求:线径4-5mm范围内，吊重200g，大于5mm，吊重300g</w:t>
      </w:r>
      <w:r>
        <w:rPr>
          <w:rFonts w:hint="eastAsia"/>
          <w:lang w:val="en-US"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ABS线耐磨性</w:t>
      </w:r>
    </w:p>
    <w:p>
      <w:pPr>
        <w:pStyle w:val="18"/>
        <w:rPr>
          <w:rFonts w:hint="default"/>
          <w:lang w:val="en-US" w:eastAsia="zh-CN"/>
        </w:rPr>
      </w:pPr>
      <w:r>
        <w:rPr>
          <w:rFonts w:hint="default"/>
          <w:lang w:val="en-US" w:eastAsia="zh-CN"/>
        </w:rPr>
        <w:t>采用120目水沙纸，在汽论毂试验机上以往复50次/分钟的频率摩擦100小时。1.试验100小时后，观测电缆线护套外观无破损。试验前后电缆线护套层的直径减小量不得大于0.20mm。</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传感器强度</w:t>
      </w:r>
    </w:p>
    <w:p>
      <w:pPr>
        <w:pStyle w:val="18"/>
        <w:rPr>
          <w:rFonts w:hint="eastAsia"/>
          <w:lang w:val="en-US" w:eastAsia="zh-CN"/>
        </w:rPr>
      </w:pPr>
      <w:r>
        <w:rPr>
          <w:rFonts w:hint="default"/>
          <w:lang w:val="en-US" w:eastAsia="zh-CN"/>
        </w:rPr>
        <w:t>用电子拉力试验机进行试验，试验时将传感器两端分别用夹具固定，传感器拉断力应不小于200N</w:t>
      </w:r>
      <w:r>
        <w:rPr>
          <w:rFonts w:hint="eastAsia"/>
          <w:lang w:val="en-US"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油漆附着力</w:t>
      </w:r>
    </w:p>
    <w:p>
      <w:pPr>
        <w:pStyle w:val="18"/>
        <w:rPr>
          <w:rFonts w:hint="default"/>
          <w:lang w:val="en-US" w:eastAsia="zh-CN"/>
        </w:rPr>
      </w:pPr>
      <w:r>
        <w:rPr>
          <w:rFonts w:hint="default"/>
          <w:lang w:val="en-US" w:eastAsia="zh-CN"/>
        </w:rPr>
        <w:t>依据GB/T 9286</w:t>
      </w:r>
      <w:r>
        <w:rPr>
          <w:rFonts w:hint="eastAsia"/>
          <w:lang w:val="en-US" w:eastAsia="zh-CN"/>
        </w:rPr>
        <w:t>—</w:t>
      </w:r>
      <w:r>
        <w:rPr>
          <w:rFonts w:hint="default"/>
          <w:lang w:val="en-US" w:eastAsia="zh-CN"/>
        </w:rPr>
        <w:t>1998标准进行划格试验。不得低等级2的要求。</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跌落试验</w:t>
      </w:r>
    </w:p>
    <w:p>
      <w:pPr>
        <w:pStyle w:val="18"/>
        <w:rPr>
          <w:rFonts w:hint="default"/>
          <w:lang w:val="en-US" w:eastAsia="zh-CN"/>
        </w:rPr>
      </w:pPr>
      <w:r>
        <w:rPr>
          <w:rFonts w:hint="default"/>
          <w:lang w:val="en-US" w:eastAsia="zh-CN"/>
        </w:rPr>
        <w:t>传感器从760mm高的位置跌落，传感器的电学性能无任何影响。磁缸不允许有位移。</w:t>
      </w:r>
    </w:p>
    <w:p>
      <w:pPr>
        <w:pStyle w:val="19"/>
        <w:bidi w:val="0"/>
        <w:rPr>
          <w:rFonts w:hint="default"/>
          <w:lang w:val="en-US" w:eastAsia="zh-CN"/>
        </w:rPr>
      </w:pPr>
      <w:bookmarkStart w:id="78" w:name="_Toc16138"/>
      <w:r>
        <w:rPr>
          <w:rFonts w:hint="default"/>
          <w:lang w:val="en-US" w:eastAsia="zh-CN"/>
        </w:rPr>
        <w:t>试验方法</w:t>
      </w:r>
      <w:bookmarkEnd w:id="78"/>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性能试验条件</w:t>
      </w:r>
    </w:p>
    <w:p>
      <w:pPr>
        <w:pStyle w:val="21"/>
        <w:bidi w:val="0"/>
        <w:rPr>
          <w:rFonts w:hint="default" w:ascii="宋体" w:hAnsi="宋体" w:eastAsia="宋体" w:cs="宋体"/>
          <w:lang w:val="en-US" w:eastAsia="zh-CN"/>
        </w:rPr>
      </w:pPr>
      <w:r>
        <w:rPr>
          <w:rFonts w:hint="default" w:ascii="宋体" w:hAnsi="宋体" w:eastAsia="宋体" w:cs="宋体"/>
          <w:lang w:val="en-US" w:eastAsia="zh-CN"/>
        </w:rPr>
        <w:t>传感器的电气性能检测应在温度为23±5</w:t>
      </w:r>
      <w:r>
        <w:rPr>
          <w:rFonts w:hint="eastAsia" w:ascii="宋体" w:hAnsi="宋体" w:eastAsia="宋体" w:cs="宋体"/>
          <w:lang w:val="en-US" w:eastAsia="zh-CN"/>
        </w:rPr>
        <w:t>℃</w:t>
      </w:r>
      <w:r>
        <w:rPr>
          <w:rFonts w:hint="default" w:ascii="宋体" w:hAnsi="宋体" w:eastAsia="宋体" w:cs="宋体"/>
          <w:lang w:val="en-US" w:eastAsia="zh-CN"/>
        </w:rPr>
        <w:t>，相对湿度≤75%，常压的环境条件下进行。</w:t>
      </w:r>
    </w:p>
    <w:p>
      <w:pPr>
        <w:pStyle w:val="21"/>
        <w:bidi w:val="0"/>
        <w:rPr>
          <w:rFonts w:hint="default" w:ascii="宋体" w:hAnsi="宋体" w:eastAsia="宋体" w:cs="宋体"/>
          <w:lang w:val="en-US" w:eastAsia="zh-CN"/>
        </w:rPr>
      </w:pPr>
      <w:r>
        <w:rPr>
          <w:rFonts w:hint="default" w:ascii="宋体" w:hAnsi="宋体" w:eastAsia="宋体" w:cs="宋体"/>
          <w:lang w:val="en-US" w:eastAsia="zh-CN"/>
        </w:rPr>
        <w:t>传感器在试验台上的安装位置应与使用轮毂单元中的实际安装位置相同。</w:t>
      </w:r>
    </w:p>
    <w:p>
      <w:pPr>
        <w:pStyle w:val="21"/>
        <w:bidi w:val="0"/>
        <w:rPr>
          <w:rFonts w:hint="default" w:ascii="宋体" w:hAnsi="宋体" w:eastAsia="宋体" w:cs="宋体"/>
          <w:lang w:val="en-US" w:eastAsia="zh-CN"/>
        </w:rPr>
      </w:pPr>
      <w:r>
        <w:rPr>
          <w:rFonts w:hint="default" w:ascii="宋体" w:hAnsi="宋体" w:eastAsia="宋体" w:cs="宋体"/>
          <w:lang w:val="en-US" w:eastAsia="zh-CN"/>
        </w:rPr>
        <w:t>测量峰值电压用的测量仪器精度不低于1.5级。齿圈的旋转应平稳。</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外观和安装尺寸的检查</w:t>
      </w:r>
    </w:p>
    <w:p>
      <w:pPr>
        <w:pStyle w:val="21"/>
        <w:bidi w:val="0"/>
        <w:rPr>
          <w:rFonts w:hint="default" w:ascii="宋体" w:hAnsi="宋体" w:eastAsia="宋体" w:cs="宋体"/>
          <w:lang w:val="en-US" w:eastAsia="zh-CN"/>
        </w:rPr>
      </w:pPr>
      <w:r>
        <w:rPr>
          <w:rFonts w:hint="default" w:ascii="宋体" w:hAnsi="宋体" w:eastAsia="宋体" w:cs="宋体"/>
          <w:lang w:val="en-US" w:eastAsia="zh-CN"/>
        </w:rPr>
        <w:t>外观用目视检查法检查。</w:t>
      </w:r>
    </w:p>
    <w:p>
      <w:pPr>
        <w:pStyle w:val="21"/>
        <w:bidi w:val="0"/>
        <w:rPr>
          <w:rFonts w:hint="default" w:ascii="宋体" w:hAnsi="宋体" w:eastAsia="宋体" w:cs="宋体"/>
          <w:lang w:val="en-US" w:eastAsia="zh-CN"/>
        </w:rPr>
      </w:pPr>
      <w:r>
        <w:rPr>
          <w:rFonts w:hint="default" w:ascii="宋体" w:hAnsi="宋体" w:eastAsia="宋体" w:cs="宋体"/>
          <w:lang w:val="en-US" w:eastAsia="zh-CN"/>
        </w:rPr>
        <w:t>安装尺寸用通用量具进行检查。</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电气性能</w:t>
      </w:r>
    </w:p>
    <w:p>
      <w:pPr>
        <w:pStyle w:val="18"/>
        <w:rPr>
          <w:rFonts w:hint="default"/>
          <w:lang w:val="en-US" w:eastAsia="zh-CN"/>
        </w:rPr>
      </w:pPr>
      <w:r>
        <w:rPr>
          <w:rFonts w:hint="default"/>
          <w:lang w:val="en-US" w:eastAsia="zh-CN"/>
        </w:rPr>
        <w:t>将传感器安装在专用检测台上，调整传感器感应面与齿圈齿顶部位的间隊为表1规定的最大值，间隊允许误差不得超过标称值的10%，在齿圈转动频率为50Hz时，示波器输出信号应符合</w:t>
      </w:r>
      <w:r>
        <w:rPr>
          <w:rFonts w:hint="eastAsia"/>
          <w:lang w:val="en-US" w:eastAsia="zh-CN"/>
        </w:rPr>
        <w:t>4</w:t>
      </w:r>
      <w:r>
        <w:rPr>
          <w:rFonts w:hint="default"/>
          <w:lang w:val="en-US" w:eastAsia="zh-CN"/>
        </w:rPr>
        <w:t>.4的规定。</w:t>
      </w:r>
    </w:p>
    <w:p>
      <w:pPr>
        <w:pStyle w:val="18"/>
        <w:rPr>
          <w:rFonts w:hint="default"/>
          <w:sz w:val="15"/>
          <w:szCs w:val="15"/>
          <w:lang w:val="en-US" w:eastAsia="zh-CN"/>
        </w:rPr>
      </w:pPr>
      <w:r>
        <w:rPr>
          <w:rFonts w:hint="default"/>
          <w:sz w:val="15"/>
          <w:szCs w:val="15"/>
          <w:lang w:val="en-US" w:eastAsia="zh-CN"/>
        </w:rPr>
        <w:t>注:用户有要求时，测试参数(频率、间隙)按供需双方确认的技术文件执行。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绝缘耐压试验</w:t>
      </w:r>
    </w:p>
    <w:p>
      <w:pPr>
        <w:pStyle w:val="18"/>
        <w:rPr>
          <w:rFonts w:hint="default"/>
          <w:lang w:val="en-US" w:eastAsia="zh-CN"/>
        </w:rPr>
      </w:pPr>
      <w:r>
        <w:rPr>
          <w:rFonts w:hint="default"/>
          <w:lang w:val="en-US" w:eastAsia="zh-CN"/>
        </w:rPr>
        <w:t>传感器在端子和铁芯之间(气动传感器在外壳和其中的一个端子之间)施加</w:t>
      </w:r>
      <w:r>
        <w:rPr>
          <w:rFonts w:hint="eastAsia"/>
          <w:lang w:val="en-US" w:eastAsia="zh-CN"/>
        </w:rPr>
        <w:t>4</w:t>
      </w:r>
      <w:r>
        <w:rPr>
          <w:rFonts w:hint="default"/>
          <w:lang w:val="en-US" w:eastAsia="zh-CN"/>
        </w:rPr>
        <w:t>.5规定的电压。施加的电压应从不超过电压全值的一半开始。均匀地升至全值，并保持1分钟，然后再均匀缓慢地下降至零。上升和下降的时间不少于10秒，试验后在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.3规定的方法检测其电气性能符合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高低温试验</w:t>
      </w:r>
    </w:p>
    <w:p>
      <w:pPr>
        <w:pStyle w:val="21"/>
        <w:bidi w:val="0"/>
        <w:rPr>
          <w:rFonts w:hint="default"/>
          <w:lang w:val="en-US" w:eastAsia="zh-CN"/>
        </w:rPr>
      </w:pPr>
      <w:r>
        <w:rPr>
          <w:rFonts w:hint="default"/>
          <w:lang w:val="en-US" w:eastAsia="zh-CN"/>
        </w:rPr>
        <w:t>高温存放</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2423.2规定的方法进行。试验时将传感器放入高温箱中，随箱升温至125+2</w:t>
      </w:r>
      <w:r>
        <w:rPr>
          <w:rFonts w:hint="eastAsia"/>
          <w:lang w:val="en-US" w:eastAsia="zh-CN"/>
        </w:rPr>
        <w:t>℃</w:t>
      </w:r>
      <w:r>
        <w:rPr>
          <w:rFonts w:hint="default"/>
          <w:lang w:val="en-US" w:eastAsia="zh-CN"/>
        </w:rPr>
        <w:t>，保温2小时后取出，试验后用目视检查法检查传感器橡塑件有无变形、粘连，其他部位有无异常变化。然后在</w:t>
      </w:r>
      <w:r>
        <w:rPr>
          <w:rFonts w:hint="eastAsia"/>
          <w:lang w:val="en-US" w:eastAsia="zh-CN"/>
        </w:rPr>
        <w:t>5</w:t>
      </w:r>
      <w:r>
        <w:rPr>
          <w:rFonts w:hint="default"/>
          <w:lang w:val="en-US" w:eastAsia="zh-CN"/>
        </w:rPr>
        <w:t>.1.1环境条件放置不少于2小时，再按</w:t>
      </w:r>
      <w:r>
        <w:rPr>
          <w:rFonts w:hint="eastAsia"/>
          <w:lang w:val="en-US" w:eastAsia="zh-CN"/>
        </w:rPr>
        <w:t>5</w:t>
      </w:r>
      <w:r>
        <w:rPr>
          <w:rFonts w:hint="default"/>
          <w:lang w:val="en-US" w:eastAsia="zh-CN"/>
        </w:rPr>
        <w:t>.3规定的方法检测其电气性能符合</w:t>
      </w:r>
      <w:r>
        <w:rPr>
          <w:rFonts w:hint="eastAsia"/>
          <w:lang w:val="en-US" w:eastAsia="zh-CN"/>
        </w:rPr>
        <w:t>4</w:t>
      </w:r>
      <w:r>
        <w:rPr>
          <w:rFonts w:hint="default"/>
          <w:lang w:val="en-US" w:eastAsia="zh-CN"/>
        </w:rPr>
        <w:t>.4的规定。</w:t>
      </w:r>
    </w:p>
    <w:p>
      <w:pPr>
        <w:pStyle w:val="21"/>
        <w:bidi w:val="0"/>
        <w:rPr>
          <w:rFonts w:hint="default"/>
          <w:lang w:val="en-US" w:eastAsia="zh-CN"/>
        </w:rPr>
      </w:pPr>
      <w:r>
        <w:rPr>
          <w:rFonts w:hint="default"/>
          <w:lang w:val="en-US" w:eastAsia="zh-CN"/>
        </w:rPr>
        <w:t>低温存放</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2423.1规定的方法进行。试验时将传感器放入低温箱中，随箱降温至-40+2</w:t>
      </w:r>
      <w:r>
        <w:rPr>
          <w:rFonts w:hint="eastAsia"/>
          <w:lang w:val="en-US" w:eastAsia="zh-CN"/>
        </w:rPr>
        <w:t>℃</w:t>
      </w:r>
      <w:r>
        <w:rPr>
          <w:rFonts w:hint="default"/>
          <w:lang w:val="en-US" w:eastAsia="zh-CN"/>
        </w:rPr>
        <w:t>，保温2小时后取出，试验后用目视检查法检查传感器的橡塑件有无裂纹，其他部位有无异常变化。然后在</w:t>
      </w:r>
      <w:r>
        <w:rPr>
          <w:rFonts w:hint="eastAsia"/>
          <w:lang w:val="en-US" w:eastAsia="zh-CN"/>
        </w:rPr>
        <w:t>5</w:t>
      </w:r>
      <w:r>
        <w:rPr>
          <w:rFonts w:hint="default"/>
          <w:lang w:val="en-US" w:eastAsia="zh-CN"/>
        </w:rPr>
        <w:t>.1.1规定的环境条件下放置不少于2小时，再按</w:t>
      </w:r>
      <w:r>
        <w:rPr>
          <w:rFonts w:hint="eastAsia"/>
          <w:lang w:val="en-US" w:eastAsia="zh-CN"/>
        </w:rPr>
        <w:t>5</w:t>
      </w:r>
      <w:r>
        <w:rPr>
          <w:rFonts w:hint="default"/>
          <w:lang w:val="en-US" w:eastAsia="zh-CN"/>
        </w:rPr>
        <w:t>.3规定的方法检测电气性能符合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温度冲击试验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2423.22规定的方法进行。试验时将传感器放入温度冲击箱的样品间，按操作规程规定的方法设定低温、高温、恒温时间、冲击次数等试验参数，试验后在</w:t>
      </w:r>
      <w:r>
        <w:rPr>
          <w:rFonts w:hint="eastAsia"/>
          <w:lang w:val="en-US" w:eastAsia="zh-CN"/>
        </w:rPr>
        <w:t>5</w:t>
      </w:r>
      <w:r>
        <w:rPr>
          <w:rFonts w:hint="default"/>
          <w:lang w:val="en-US" w:eastAsia="zh-CN"/>
        </w:rPr>
        <w:t>.1.1规定的环境条件下放置不少于2小时后，再按</w:t>
      </w:r>
      <w:r>
        <w:rPr>
          <w:rFonts w:hint="eastAsia"/>
          <w:lang w:val="en-US" w:eastAsia="zh-CN"/>
        </w:rPr>
        <w:t>5</w:t>
      </w:r>
      <w:r>
        <w:rPr>
          <w:rFonts w:hint="default"/>
          <w:lang w:val="en-US" w:eastAsia="zh-CN"/>
        </w:rPr>
        <w:t>.3规定的方法检测其电气性能应符合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温湿度组合循环试验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2423.34规定的方法进行。试验时将传感器放入试验箱中，按</w:t>
      </w:r>
      <w:r>
        <w:rPr>
          <w:rFonts w:hint="eastAsia"/>
          <w:lang w:val="en-US" w:eastAsia="zh-CN"/>
        </w:rPr>
        <w:t>4</w:t>
      </w:r>
      <w:r>
        <w:rPr>
          <w:rFonts w:hint="default"/>
          <w:lang w:val="en-US" w:eastAsia="zh-CN"/>
        </w:rPr>
        <w:t>.7的要求进行温湿度循环试验，试验后，在</w:t>
      </w:r>
      <w:r>
        <w:rPr>
          <w:rFonts w:hint="eastAsia"/>
          <w:lang w:val="en-US" w:eastAsia="zh-CN"/>
        </w:rPr>
        <w:t>5</w:t>
      </w:r>
      <w:r>
        <w:rPr>
          <w:rFonts w:hint="default"/>
          <w:lang w:val="en-US" w:eastAsia="zh-CN"/>
        </w:rPr>
        <w:t>.4.1规定的环境条件下放置不少于2小时，再按</w:t>
      </w:r>
      <w:r>
        <w:rPr>
          <w:rFonts w:hint="eastAsia"/>
          <w:lang w:val="en-US" w:eastAsia="zh-CN"/>
        </w:rPr>
        <w:t>5</w:t>
      </w:r>
      <w:r>
        <w:rPr>
          <w:rFonts w:hint="default"/>
          <w:lang w:val="en-US" w:eastAsia="zh-CN"/>
        </w:rPr>
        <w:t>.3规定的方法检测其电气性能符合</w:t>
      </w:r>
      <w:r>
        <w:rPr>
          <w:rFonts w:hint="eastAsia"/>
          <w:lang w:val="en-US" w:eastAsia="zh-CN"/>
        </w:rPr>
        <w:t>4</w:t>
      </w:r>
      <w:r>
        <w:rPr>
          <w:rFonts w:hint="default"/>
          <w:lang w:val="en-US" w:eastAsia="zh-CN"/>
        </w:rPr>
        <w:t>.3的规定。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抗拉强度试验</w:t>
      </w:r>
    </w:p>
    <w:p>
      <w:pPr>
        <w:pStyle w:val="21"/>
        <w:bidi w:val="0"/>
        <w:rPr>
          <w:rFonts w:hint="default"/>
          <w:lang w:val="en-US" w:eastAsia="zh-CN"/>
        </w:rPr>
      </w:pPr>
      <w:r>
        <w:rPr>
          <w:rFonts w:hint="default"/>
          <w:lang w:val="en-US" w:eastAsia="zh-CN"/>
        </w:rPr>
        <w:t>插头与电(缆)线的拉脱力试验</w:t>
      </w:r>
    </w:p>
    <w:p>
      <w:pPr>
        <w:pStyle w:val="18"/>
        <w:rPr>
          <w:rFonts w:hint="default"/>
          <w:lang w:val="en-US" w:eastAsia="zh-CN"/>
        </w:rPr>
      </w:pPr>
      <w:r>
        <w:rPr>
          <w:rFonts w:hint="default"/>
          <w:lang w:val="en-US" w:eastAsia="zh-CN"/>
        </w:rPr>
        <w:t>用拉力检测仪进行试验</w:t>
      </w:r>
      <w:r>
        <w:rPr>
          <w:rFonts w:hint="eastAsia"/>
          <w:lang w:val="en-US" w:eastAsia="zh-CN"/>
        </w:rPr>
        <w:t>，</w:t>
      </w:r>
      <w:r>
        <w:rPr>
          <w:rFonts w:hint="default"/>
          <w:lang w:val="en-US" w:eastAsia="zh-CN"/>
        </w:rPr>
        <w:t>试验时将检测仪的固定端分别固定插头和电缆线(对装配式外壳应固定于端子与电线部位)，当施加的力达到50N(或70N)时，保持1分钟，插头与电缆线(或端子与电线间)无松动、断裂和脱落。试验后在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.3规定的方法检测其电气性能符合</w:t>
      </w:r>
      <w:r>
        <w:rPr>
          <w:rFonts w:hint="eastAsia"/>
          <w:lang w:val="en-US" w:eastAsia="zh-CN"/>
        </w:rPr>
        <w:t>4</w:t>
      </w:r>
      <w:r>
        <w:rPr>
          <w:rFonts w:hint="default"/>
          <w:lang w:val="en-US" w:eastAsia="zh-CN"/>
        </w:rPr>
        <w:t>.4的规定</w:t>
      </w:r>
      <w:r>
        <w:rPr>
          <w:rFonts w:hint="eastAsia"/>
          <w:lang w:val="en-US" w:eastAsia="zh-CN"/>
        </w:rPr>
        <w:t>。</w:t>
      </w:r>
    </w:p>
    <w:p>
      <w:pPr>
        <w:pStyle w:val="21"/>
        <w:bidi w:val="0"/>
        <w:rPr>
          <w:rFonts w:hint="default"/>
          <w:lang w:val="en-US" w:eastAsia="zh-CN"/>
        </w:rPr>
      </w:pPr>
      <w:r>
        <w:rPr>
          <w:rFonts w:hint="default"/>
          <w:lang w:val="en-US" w:eastAsia="zh-CN"/>
        </w:rPr>
        <w:t>传感头与电缆线的拉脱力试验</w:t>
      </w:r>
    </w:p>
    <w:p>
      <w:pPr>
        <w:pStyle w:val="18"/>
        <w:rPr>
          <w:rFonts w:hint="default"/>
          <w:lang w:val="en-US" w:eastAsia="zh-CN"/>
        </w:rPr>
      </w:pPr>
      <w:r>
        <w:rPr>
          <w:rFonts w:hint="default"/>
          <w:lang w:val="en-US" w:eastAsia="zh-CN"/>
        </w:rPr>
        <w:t>用拉力检测仪进行试验。试验时将检测仪的固定端分别固定传感头和电缆线部位，当施加的力达到120N时，保持1分钟，传感头与电缆线间不得出现松动、断裂或脱落。试验后在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.3规定的方法检验其电气性能符合</w:t>
      </w:r>
      <w:r>
        <w:rPr>
          <w:rFonts w:hint="eastAsia"/>
          <w:lang w:val="en-US" w:eastAsia="zh-CN"/>
        </w:rPr>
        <w:t>4</w:t>
      </w:r>
      <w:r>
        <w:rPr>
          <w:rFonts w:hint="default"/>
          <w:lang w:val="en-US" w:eastAsia="zh-CN"/>
        </w:rPr>
        <w:t>.4的规定</w:t>
      </w:r>
      <w:r>
        <w:rPr>
          <w:rFonts w:hint="eastAsia"/>
          <w:lang w:val="en-US" w:eastAsia="zh-CN"/>
        </w:rPr>
        <w:t>.</w:t>
      </w:r>
    </w:p>
    <w:p>
      <w:pPr>
        <w:pStyle w:val="21"/>
        <w:bidi w:val="0"/>
        <w:rPr>
          <w:rFonts w:hint="default"/>
          <w:lang w:val="en-US" w:eastAsia="zh-CN"/>
        </w:rPr>
      </w:pPr>
      <w:r>
        <w:rPr>
          <w:rFonts w:hint="default"/>
          <w:lang w:val="en-US" w:eastAsia="zh-CN"/>
        </w:rPr>
        <w:t>插头与对插件之间的拔出力试验</w:t>
      </w:r>
    </w:p>
    <w:p>
      <w:pPr>
        <w:pStyle w:val="18"/>
        <w:rPr>
          <w:rFonts w:hint="default"/>
          <w:lang w:val="en-US" w:eastAsia="zh-CN"/>
        </w:rPr>
      </w:pPr>
      <w:r>
        <w:rPr>
          <w:rFonts w:hint="default"/>
          <w:lang w:val="en-US" w:eastAsia="zh-CN"/>
        </w:rPr>
        <w:t>用拉力检测仪进行试验</w:t>
      </w:r>
      <w:r>
        <w:rPr>
          <w:rFonts w:hint="eastAsia"/>
          <w:lang w:val="en-US" w:eastAsia="zh-CN"/>
        </w:rPr>
        <w:t>，</w:t>
      </w:r>
      <w:r>
        <w:rPr>
          <w:rFonts w:hint="default"/>
          <w:lang w:val="en-US" w:eastAsia="zh-CN"/>
        </w:rPr>
        <w:t>试验时将检测仪的固定端分别固定传感器插头和传感器对插件，施加力达到25N时，保持1分钟，传感器插头与对插件不得出现松动、断裂或者是脱落。</w:t>
      </w:r>
    </w:p>
    <w:p>
      <w:pPr>
        <w:pStyle w:val="21"/>
        <w:bidi w:val="0"/>
        <w:rPr>
          <w:rFonts w:hint="default"/>
          <w:lang w:val="en-US" w:eastAsia="zh-CN"/>
        </w:rPr>
      </w:pPr>
      <w:r>
        <w:rPr>
          <w:rFonts w:hint="default"/>
          <w:lang w:val="en-US" w:eastAsia="zh-CN"/>
        </w:rPr>
        <w:t>传感器套管松脱力试验</w:t>
      </w:r>
    </w:p>
    <w:p>
      <w:pPr>
        <w:pStyle w:val="18"/>
        <w:rPr>
          <w:rFonts w:hint="default"/>
          <w:lang w:val="en-US" w:eastAsia="zh-CN"/>
        </w:rPr>
      </w:pPr>
      <w:r>
        <w:rPr>
          <w:rFonts w:hint="default"/>
          <w:lang w:val="en-US" w:eastAsia="zh-CN"/>
        </w:rPr>
        <w:t>用拉力检测仪进行试验，试验时将检测仪的固定端分别固定传感器套管和传感器电缆线，施加相应的</w:t>
      </w:r>
    </w:p>
    <w:p>
      <w:pPr>
        <w:pStyle w:val="18"/>
        <w:rPr>
          <w:rFonts w:hint="default"/>
          <w:lang w:val="en-US" w:eastAsia="zh-CN"/>
        </w:rPr>
      </w:pPr>
      <w:r>
        <w:rPr>
          <w:rFonts w:hint="default"/>
          <w:lang w:val="en-US" w:eastAsia="zh-CN"/>
        </w:rPr>
        <w:t>力F，套管不允许松动。</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耐振动试验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2423.56规定的方法进行。将传感器按正常工作位置安装在振动试验台上，将电缆线盘好(带线束传感器)并固定在安装架上。按</w:t>
      </w:r>
      <w:r>
        <w:rPr>
          <w:rFonts w:hint="eastAsia"/>
          <w:lang w:val="en-US" w:eastAsia="zh-CN"/>
        </w:rPr>
        <w:t>4</w:t>
      </w:r>
      <w:r>
        <w:rPr>
          <w:rFonts w:hint="default"/>
          <w:lang w:val="en-US" w:eastAsia="zh-CN"/>
        </w:rPr>
        <w:t>.9规定的振动参数进行振动试验，试验进行中可用万用表通断档检测电路有无接触不良。试验后，检查传感器外观无断裂和损坏，然后在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.3规定的方法检查其电气性能应符合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耐盐雾试验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2423.17规定的方法进行。将传感器线束(带线束的传感器)盘好后置于试验箱中，样件周围应留有一定的空间，以便能使样件充分暴露于试验环境中。试验持续48小时。试验后将传感器表面盐水冲洗干净，检查金属部件外观无明显的锈蚀:晾干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.3规定的方法检验其电气性能应符合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密封性试验</w:t>
      </w:r>
    </w:p>
    <w:p>
      <w:pPr>
        <w:pStyle w:val="18"/>
        <w:rPr>
          <w:rFonts w:hint="default"/>
          <w:lang w:val="en-US" w:eastAsia="zh-CN"/>
        </w:rPr>
      </w:pPr>
      <w:r>
        <w:rPr>
          <w:rFonts w:hint="default"/>
          <w:lang w:val="en-US" w:eastAsia="zh-CN"/>
        </w:rPr>
        <w:t>将传感器置于密闭的容器中，插头端置于箱处，抽真空至0.1MPa(负压)，观察传感器头部应无连续气泡产生。</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防水性试验</w:t>
      </w:r>
    </w:p>
    <w:p>
      <w:pPr>
        <w:pStyle w:val="18"/>
        <w:rPr>
          <w:rFonts w:hint="default"/>
          <w:lang w:val="en-US" w:eastAsia="zh-CN"/>
        </w:rPr>
      </w:pPr>
      <w:r>
        <w:rPr>
          <w:rFonts w:hint="default"/>
          <w:lang w:val="en-US" w:eastAsia="zh-CN"/>
        </w:rPr>
        <w:t>将传感器与接插件对插后，浸入0.4m深水中，1小时候取出，检查接插器内不得进水，且按</w:t>
      </w:r>
      <w:r>
        <w:rPr>
          <w:rFonts w:hint="eastAsia"/>
          <w:lang w:val="en-US" w:eastAsia="zh-CN"/>
        </w:rPr>
        <w:t>5</w:t>
      </w:r>
      <w:r>
        <w:rPr>
          <w:rFonts w:hint="default"/>
          <w:lang w:val="en-US" w:eastAsia="zh-CN"/>
        </w:rPr>
        <w:t>.3规定的方法检查其电气性能应符合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耐久性试验</w:t>
      </w:r>
    </w:p>
    <w:p>
      <w:pPr>
        <w:pStyle w:val="18"/>
        <w:bidi w:val="0"/>
        <w:rPr>
          <w:rFonts w:hint="eastAsia"/>
          <w:lang w:val="en-US" w:eastAsia="zh-CN"/>
        </w:rPr>
      </w:pPr>
      <w:r>
        <w:rPr>
          <w:rFonts w:hint="default"/>
          <w:lang w:val="en-US" w:eastAsia="zh-CN"/>
        </w:rPr>
        <w:t>将传感器安装在专用装置上，给传感器以500转/分钟-2000转/分钟的速度循环，循环周期为20秒-30秒。试验共进行1000小时，试验后在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.3规定的方法检验其电气性能应符合</w:t>
      </w:r>
      <w:r>
        <w:rPr>
          <w:rFonts w:hint="eastAsia"/>
          <w:lang w:val="en-US" w:eastAsia="zh-CN"/>
        </w:rPr>
        <w:t>4</w:t>
      </w:r>
      <w:r>
        <w:rPr>
          <w:rFonts w:hint="default"/>
          <w:lang w:val="en-US" w:eastAsia="zh-CN"/>
        </w:rPr>
        <w:t>.4的规定</w:t>
      </w:r>
      <w:r>
        <w:rPr>
          <w:rFonts w:hint="eastAsia"/>
          <w:lang w:val="en-US"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试剂耐抗性试验</w:t>
      </w:r>
    </w:p>
    <w:p>
      <w:pPr>
        <w:pStyle w:val="18"/>
        <w:bidi w:val="0"/>
        <w:rPr>
          <w:rFonts w:hint="default"/>
          <w:lang w:val="en-US" w:eastAsia="zh-CN"/>
        </w:rPr>
      </w:pPr>
      <w:r>
        <w:rPr>
          <w:rFonts w:hint="default"/>
          <w:lang w:val="en-US" w:eastAsia="zh-CN"/>
        </w:rPr>
        <w:t>传感器经</w:t>
      </w:r>
      <w:r>
        <w:rPr>
          <w:rFonts w:hint="eastAsia"/>
          <w:lang w:val="en-US" w:eastAsia="zh-CN"/>
        </w:rPr>
        <w:t>：</w:t>
      </w:r>
      <w:r>
        <w:rPr>
          <w:rFonts w:hint="default"/>
          <w:lang w:val="en-US" w:eastAsia="zh-CN"/>
        </w:rPr>
        <w:t>汽油</w:t>
      </w:r>
      <w:r>
        <w:rPr>
          <w:rFonts w:hint="eastAsia"/>
          <w:lang w:val="en-US" w:eastAsia="zh-CN"/>
        </w:rPr>
        <w:t>、</w:t>
      </w:r>
      <w:r>
        <w:rPr>
          <w:rFonts w:hint="default"/>
          <w:lang w:val="en-US" w:eastAsia="zh-CN"/>
        </w:rPr>
        <w:t>机油</w:t>
      </w:r>
      <w:r>
        <w:rPr>
          <w:rFonts w:hint="eastAsia"/>
          <w:lang w:val="en-US" w:eastAsia="zh-CN"/>
        </w:rPr>
        <w:t>、</w:t>
      </w:r>
      <w:r>
        <w:rPr>
          <w:rFonts w:hint="default"/>
          <w:lang w:val="en-US" w:eastAsia="zh-CN"/>
        </w:rPr>
        <w:t>油脂</w:t>
      </w:r>
      <w:r>
        <w:rPr>
          <w:rFonts w:hint="eastAsia"/>
          <w:lang w:val="en-US" w:eastAsia="zh-CN"/>
        </w:rPr>
        <w:t>、</w:t>
      </w:r>
      <w:r>
        <w:rPr>
          <w:rFonts w:hint="default"/>
          <w:lang w:val="en-US" w:eastAsia="zh-CN"/>
        </w:rPr>
        <w:t>制动液</w:t>
      </w:r>
      <w:r>
        <w:rPr>
          <w:rFonts w:hint="eastAsia"/>
          <w:lang w:val="en-US" w:eastAsia="zh-CN"/>
        </w:rPr>
        <w:t>、</w:t>
      </w:r>
      <w:r>
        <w:rPr>
          <w:rFonts w:hint="default"/>
          <w:lang w:val="en-US" w:eastAsia="zh-CN"/>
        </w:rPr>
        <w:t>汽车洗涤液</w:t>
      </w:r>
      <w:r>
        <w:rPr>
          <w:rFonts w:hint="eastAsia"/>
          <w:lang w:val="en-US" w:eastAsia="zh-CN"/>
        </w:rPr>
        <w:t>、</w:t>
      </w:r>
      <w:r>
        <w:rPr>
          <w:rFonts w:hint="default"/>
          <w:lang w:val="en-US" w:eastAsia="zh-CN"/>
        </w:rPr>
        <w:t>防冻液浸泡1分钟，取出室温放置48小时后检测。试验后传感器无腐蚀和变形。在</w:t>
      </w:r>
      <w:r>
        <w:rPr>
          <w:rFonts w:hint="eastAsia"/>
          <w:lang w:val="en-US" w:eastAsia="zh-CN"/>
        </w:rPr>
        <w:t>5</w:t>
      </w:r>
      <w:r>
        <w:rPr>
          <w:rFonts w:hint="default"/>
          <w:lang w:val="en-US" w:eastAsia="zh-CN"/>
        </w:rPr>
        <w:t>.1.1规定的环境条件下，按</w:t>
      </w:r>
      <w:r>
        <w:rPr>
          <w:rFonts w:hint="eastAsia"/>
          <w:lang w:val="en-US" w:eastAsia="zh-CN"/>
        </w:rPr>
        <w:t>5</w:t>
      </w:r>
      <w:r>
        <w:rPr>
          <w:rFonts w:hint="default"/>
          <w:lang w:val="en-US" w:eastAsia="zh-CN"/>
        </w:rPr>
        <w:t>.3规定的方法检验其电气性能应符合</w:t>
      </w:r>
      <w:r>
        <w:rPr>
          <w:rFonts w:hint="eastAsia"/>
          <w:lang w:val="en-US" w:eastAsia="zh-CN"/>
        </w:rPr>
        <w:t>4</w:t>
      </w:r>
      <w:r>
        <w:rPr>
          <w:rFonts w:hint="default"/>
          <w:lang w:val="en-US" w:eastAsia="zh-CN"/>
        </w:rPr>
        <w:t>.4的规定。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ABS线弯曲试验</w:t>
      </w:r>
    </w:p>
    <w:p>
      <w:pPr>
        <w:pStyle w:val="18"/>
        <w:bidi w:val="0"/>
        <w:rPr>
          <w:rFonts w:hint="default"/>
          <w:lang w:val="en-US" w:eastAsia="zh-CN"/>
        </w:rPr>
      </w:pPr>
      <w:r>
        <w:rPr>
          <w:rFonts w:hint="default"/>
          <w:lang w:val="en-US" w:eastAsia="zh-CN"/>
        </w:rPr>
        <w:t>在高低温试验机上试验常温下，弯曲250000次，65°C下弯曲125000次，-25°C下弯曲125000次。</w:t>
      </w:r>
    </w:p>
    <w:p>
      <w:pPr>
        <w:pStyle w:val="18"/>
        <w:bidi w:val="0"/>
        <w:ind w:left="0" w:leftChars="0" w:firstLine="0" w:firstLineChars="0"/>
        <w:rPr>
          <w:rFonts w:hint="eastAsia"/>
          <w:lang w:val="en-US" w:eastAsia="zh-CN"/>
        </w:rPr>
      </w:pPr>
      <w:r>
        <w:rPr>
          <w:rFonts w:hint="default"/>
          <w:lang w:val="en-US" w:eastAsia="zh-CN"/>
        </w:rPr>
        <w:t>负重要求:线径4-5mm范围内，吊重200g，大于5mm，吊重300g。试验原理图如图</w:t>
      </w:r>
      <w:r>
        <w:rPr>
          <w:rFonts w:hint="eastAsia"/>
          <w:lang w:val="en-US" w:eastAsia="zh-CN"/>
        </w:rPr>
        <w:t>2。</w:t>
      </w:r>
    </w:p>
    <w:p>
      <w:pPr>
        <w:pStyle w:val="18"/>
        <w:jc w:val="center"/>
      </w:pPr>
      <w:r>
        <w:drawing>
          <wp:inline distT="0" distB="0" distL="114300" distR="114300">
            <wp:extent cx="4138930" cy="2165350"/>
            <wp:effectExtent l="0" t="0" r="1270" b="635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3"/>
                    <a:stretch>
                      <a:fillRect/>
                    </a:stretch>
                  </pic:blipFill>
                  <pic:spPr>
                    <a:xfrm>
                      <a:off x="0" y="0"/>
                      <a:ext cx="4138930" cy="2165350"/>
                    </a:xfrm>
                    <a:prstGeom prst="rect">
                      <a:avLst/>
                    </a:prstGeom>
                    <a:noFill/>
                    <a:ln>
                      <a:noFill/>
                    </a:ln>
                  </pic:spPr>
                </pic:pic>
              </a:graphicData>
            </a:graphic>
          </wp:inline>
        </w:drawing>
      </w:r>
    </w:p>
    <w:p>
      <w:pPr>
        <w:pStyle w:val="43"/>
        <w:bidi w:val="0"/>
        <w:rPr>
          <w:rFonts w:hint="default"/>
          <w:lang w:val="en-US" w:eastAsia="zh-CN"/>
        </w:rPr>
      </w:pPr>
      <w:r>
        <w:rPr>
          <w:rFonts w:hint="default"/>
          <w:lang w:val="en-US" w:eastAsia="zh-CN"/>
        </w:rPr>
        <w:t>ABS线弯曲试验原理图</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ABS线耐磨试验</w:t>
      </w:r>
    </w:p>
    <w:p>
      <w:pPr>
        <w:pStyle w:val="18"/>
        <w:bidi w:val="0"/>
        <w:rPr>
          <w:rFonts w:hint="default"/>
          <w:lang w:val="en-US" w:eastAsia="zh-CN"/>
        </w:rPr>
      </w:pPr>
      <w:r>
        <w:rPr>
          <w:rFonts w:hint="default"/>
          <w:lang w:val="en-US" w:eastAsia="zh-CN"/>
        </w:rPr>
        <w:t>采用120目水沙纸，在汽车轮毂试验机上以往复50次/分钟的频率摩擦100小时。试验100小时后，观测电缆线护套外观无破损。试验前后电缆线护套层的直径减小量不得大于0.20mm。</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传感器强度试验</w:t>
      </w:r>
    </w:p>
    <w:p>
      <w:pPr>
        <w:pStyle w:val="18"/>
        <w:bidi w:val="0"/>
        <w:rPr>
          <w:rFonts w:hint="default"/>
          <w:lang w:val="en-US" w:eastAsia="zh-CN"/>
        </w:rPr>
      </w:pPr>
      <w:r>
        <w:rPr>
          <w:rFonts w:hint="default"/>
          <w:lang w:val="en-US" w:eastAsia="zh-CN"/>
        </w:rPr>
        <w:t>用电子拉力试验机进行试验，试验时将传感器两端分别用夹具固定。见图</w:t>
      </w:r>
      <w:r>
        <w:rPr>
          <w:rFonts w:hint="eastAsia"/>
          <w:lang w:val="en-US" w:eastAsia="zh-CN"/>
        </w:rPr>
        <w:t>3</w:t>
      </w:r>
      <w:r>
        <w:rPr>
          <w:rFonts w:hint="default"/>
          <w:lang w:val="en-US" w:eastAsia="zh-CN"/>
        </w:rPr>
        <w:t>两种状态下的固定方式。</w:t>
      </w:r>
    </w:p>
    <w:p>
      <w:pPr>
        <w:pStyle w:val="18"/>
        <w:bidi w:val="0"/>
        <w:jc w:val="center"/>
      </w:pPr>
      <w:r>
        <w:drawing>
          <wp:inline distT="0" distB="0" distL="114300" distR="114300">
            <wp:extent cx="4063365" cy="2776855"/>
            <wp:effectExtent l="0" t="0" r="635" b="4445"/>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24"/>
                    <a:stretch>
                      <a:fillRect/>
                    </a:stretch>
                  </pic:blipFill>
                  <pic:spPr>
                    <a:xfrm>
                      <a:off x="0" y="0"/>
                      <a:ext cx="4063365" cy="2776855"/>
                    </a:xfrm>
                    <a:prstGeom prst="rect">
                      <a:avLst/>
                    </a:prstGeom>
                    <a:noFill/>
                    <a:ln>
                      <a:noFill/>
                    </a:ln>
                  </pic:spPr>
                </pic:pic>
              </a:graphicData>
            </a:graphic>
          </wp:inline>
        </w:drawing>
      </w:r>
    </w:p>
    <w:p>
      <w:pPr>
        <w:pStyle w:val="43"/>
        <w:bidi w:val="0"/>
        <w:rPr>
          <w:rFonts w:hint="default"/>
          <w:lang w:val="en-US" w:eastAsia="zh-CN"/>
        </w:rPr>
      </w:pPr>
      <w:r>
        <w:rPr>
          <w:rFonts w:hint="default"/>
          <w:lang w:val="en-US" w:eastAsia="zh-CN"/>
        </w:rPr>
        <w:t>传感器强度试验状态</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油漆附着力试验</w:t>
      </w:r>
    </w:p>
    <w:p>
      <w:pPr>
        <w:pStyle w:val="18"/>
        <w:bidi w:val="0"/>
        <w:rPr>
          <w:rFonts w:hint="default"/>
          <w:lang w:val="en-US" w:eastAsia="zh-CN"/>
        </w:rPr>
      </w:pPr>
      <w:r>
        <w:rPr>
          <w:rFonts w:hint="default"/>
          <w:lang w:val="en-US" w:eastAsia="zh-CN"/>
        </w:rPr>
        <w:t>针对金属罩壳类传感器，传感器表面喷漆产品，需做划格试验。依据GB/T</w:t>
      </w:r>
      <w:r>
        <w:rPr>
          <w:rFonts w:hint="eastAsia"/>
          <w:lang w:val="en-US" w:eastAsia="zh-CN"/>
        </w:rPr>
        <w:t xml:space="preserve"> </w:t>
      </w:r>
      <w:r>
        <w:rPr>
          <w:rFonts w:hint="default"/>
          <w:lang w:val="en-US" w:eastAsia="zh-CN"/>
        </w:rPr>
        <w:t>9286-1998标准进行划格试验。不得低等级2的要求。</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油漆起泡检验</w:t>
      </w:r>
    </w:p>
    <w:p>
      <w:pPr>
        <w:pStyle w:val="18"/>
        <w:bidi w:val="0"/>
        <w:rPr>
          <w:rFonts w:hint="default"/>
          <w:lang w:val="en-US" w:eastAsia="zh-CN"/>
        </w:rPr>
      </w:pPr>
      <w:r>
        <w:rPr>
          <w:rFonts w:hint="default"/>
          <w:lang w:val="en-US" w:eastAsia="zh-CN"/>
        </w:rPr>
        <w:t>针对金属罩壳类传感器，传感器表面喷漆产品，需做表面起泡检验，检验应符合ASTMD714等级8的要求。</w:t>
      </w:r>
    </w:p>
    <w:p>
      <w:pPr>
        <w:pStyle w:val="19"/>
        <w:bidi w:val="0"/>
        <w:rPr>
          <w:rFonts w:hint="default"/>
          <w:lang w:val="en-US" w:eastAsia="zh-CN"/>
        </w:rPr>
      </w:pPr>
      <w:bookmarkStart w:id="79" w:name="_Toc9065"/>
      <w:r>
        <w:rPr>
          <w:rFonts w:hint="eastAsia"/>
          <w:lang w:val="en-US" w:eastAsia="zh-CN"/>
        </w:rPr>
        <w:t>检验规则</w:t>
      </w:r>
      <w:bookmarkEnd w:id="79"/>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检验类别</w:t>
      </w:r>
    </w:p>
    <w:p>
      <w:pPr>
        <w:pStyle w:val="18"/>
        <w:bidi w:val="0"/>
        <w:rPr>
          <w:rFonts w:hint="default"/>
          <w:lang w:val="en-US" w:eastAsia="zh-CN"/>
        </w:rPr>
      </w:pPr>
      <w:r>
        <w:rPr>
          <w:rFonts w:hint="default"/>
          <w:lang w:val="en-US" w:eastAsia="zh-CN"/>
        </w:rPr>
        <w:t>传感器的检验分为出厂检验、性能试验和型式检验。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出厂检验</w:t>
      </w:r>
    </w:p>
    <w:p>
      <w:pPr>
        <w:pStyle w:val="18"/>
        <w:bidi w:val="0"/>
        <w:rPr>
          <w:rFonts w:hint="default"/>
          <w:lang w:val="en-US" w:eastAsia="zh-CN"/>
        </w:rPr>
      </w:pPr>
      <w:r>
        <w:rPr>
          <w:rFonts w:hint="default"/>
          <w:lang w:val="en-US" w:eastAsia="zh-CN"/>
        </w:rPr>
        <w:t>出厂检验项目包括传感器的外观、安装尺寸、电气特性参数。</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性能试验</w:t>
      </w:r>
    </w:p>
    <w:p>
      <w:pPr>
        <w:pStyle w:val="18"/>
        <w:bidi w:val="0"/>
        <w:rPr>
          <w:rFonts w:hint="default"/>
          <w:lang w:val="en-US" w:eastAsia="zh-CN"/>
        </w:rPr>
      </w:pPr>
      <w:r>
        <w:rPr>
          <w:rFonts w:hint="default"/>
          <w:lang w:val="en-US" w:eastAsia="zh-CN"/>
        </w:rPr>
        <w:t>性能试验可根据试验的目的选择试验项目。</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型式检验</w:t>
      </w:r>
    </w:p>
    <w:p>
      <w:pPr>
        <w:pStyle w:val="21"/>
        <w:bidi w:val="0"/>
        <w:rPr>
          <w:rFonts w:hint="default" w:ascii="宋体" w:hAnsi="宋体" w:eastAsia="宋体" w:cs="宋体"/>
          <w:lang w:val="en-US" w:eastAsia="zh-CN"/>
        </w:rPr>
      </w:pPr>
      <w:r>
        <w:rPr>
          <w:rFonts w:hint="default" w:ascii="宋体" w:hAnsi="宋体" w:eastAsia="宋体" w:cs="宋体"/>
          <w:lang w:val="en-US" w:eastAsia="zh-CN"/>
        </w:rPr>
        <w:t>传感器有下列情况之一时，应进行型式检验</w:t>
      </w:r>
      <w:r>
        <w:rPr>
          <w:rFonts w:hint="eastAsia" w:ascii="宋体" w:hAnsi="宋体" w:eastAsia="宋体" w:cs="宋体"/>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新产品或老产品易地生产的试制定型鉴定</w:t>
      </w:r>
      <w:r>
        <w:rPr>
          <w:rFonts w:hint="eastAsia"/>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正式生产后，如结构、材料、工艺有较大改变而可能影响产品性能时</w:t>
      </w:r>
      <w:r>
        <w:rPr>
          <w:rFonts w:hint="eastAsia"/>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成批或大量生产的产品每1年不少于一次</w:t>
      </w:r>
      <w:r>
        <w:rPr>
          <w:rFonts w:hint="eastAsia"/>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产品停产1年以上恢复生产时</w:t>
      </w:r>
      <w:r>
        <w:rPr>
          <w:rFonts w:hint="eastAsia"/>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出厂检验结果与上次型式检验结果有较大差异时</w:t>
      </w:r>
      <w:r>
        <w:rPr>
          <w:rFonts w:hint="eastAsia"/>
          <w:lang w:val="en-US" w:eastAsia="zh-CN"/>
        </w:rPr>
        <w:t>；</w:t>
      </w:r>
    </w:p>
    <w:p>
      <w:pPr>
        <w:pStyle w:val="47"/>
        <w:numPr>
          <w:numId w:val="30"/>
        </w:numPr>
        <w:bidi w:val="0"/>
        <w:ind w:left="851" w:leftChars="0" w:hanging="426" w:firstLineChars="0"/>
        <w:rPr>
          <w:rFonts w:hint="default"/>
          <w:lang w:val="en-US" w:eastAsia="zh-CN"/>
        </w:rPr>
      </w:pPr>
      <w:r>
        <w:rPr>
          <w:rFonts w:hint="default"/>
          <w:lang w:val="en-US" w:eastAsia="zh-CN"/>
        </w:rPr>
        <w:t>国家质量监督机构提出进行型式检验的要求时。</w:t>
      </w:r>
    </w:p>
    <w:p>
      <w:pPr>
        <w:pStyle w:val="21"/>
        <w:bidi w:val="0"/>
        <w:rPr>
          <w:rFonts w:hint="default"/>
          <w:lang w:val="en-US" w:eastAsia="zh-CN"/>
        </w:rPr>
      </w:pPr>
      <w:r>
        <w:rPr>
          <w:rFonts w:hint="default"/>
          <w:lang w:val="en-US" w:eastAsia="zh-CN"/>
        </w:rPr>
        <w:t>抽样及分组</w:t>
      </w:r>
    </w:p>
    <w:p>
      <w:pPr>
        <w:pStyle w:val="22"/>
        <w:bidi w:val="0"/>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型式检验应从出厂检验合格的同一批产品中抽取，数量以确保每个检验项目的受检产品不少于3件为宜。</w:t>
      </w:r>
    </w:p>
    <w:p>
      <w:pPr>
        <w:pStyle w:val="22"/>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样品分组:</w:t>
      </w:r>
    </w:p>
    <w:p>
      <w:pPr>
        <w:pStyle w:val="18"/>
        <w:bidi w:val="0"/>
        <w:rPr>
          <w:rFonts w:hint="default"/>
          <w:lang w:val="en-US" w:eastAsia="zh-CN"/>
        </w:rPr>
      </w:pPr>
      <w:r>
        <w:rPr>
          <w:rFonts w:hint="default"/>
          <w:lang w:val="en-US" w:eastAsia="zh-CN"/>
        </w:rPr>
        <w:t>先按出厂检验对传感器外观和电气性能进行复验，复验合格后将样品平均分成3组。宜按下列分组及项目顺序进行检验。</w:t>
      </w:r>
    </w:p>
    <w:p>
      <w:pPr>
        <w:pStyle w:val="18"/>
        <w:bidi w:val="0"/>
        <w:rPr>
          <w:rFonts w:hint="eastAsia"/>
          <w:lang w:val="en-US" w:eastAsia="zh-CN"/>
        </w:rPr>
      </w:pPr>
      <w:r>
        <w:rPr>
          <w:rFonts w:hint="eastAsia"/>
          <w:lang w:val="en-US" w:eastAsia="zh-CN"/>
        </w:rPr>
        <w:t>——</w:t>
      </w:r>
      <w:r>
        <w:rPr>
          <w:rFonts w:hint="default"/>
          <w:lang w:val="en-US" w:eastAsia="zh-CN"/>
        </w:rPr>
        <w:t>高低温试验、振动试验、密封性试验</w:t>
      </w:r>
      <w:r>
        <w:rPr>
          <w:rFonts w:hint="eastAsia"/>
          <w:lang w:val="en-US" w:eastAsia="zh-CN"/>
        </w:rPr>
        <w:t>；</w:t>
      </w:r>
    </w:p>
    <w:p>
      <w:pPr>
        <w:pStyle w:val="18"/>
        <w:bidi w:val="0"/>
        <w:rPr>
          <w:rFonts w:hint="eastAsia"/>
          <w:lang w:val="en-US" w:eastAsia="zh-CN"/>
        </w:rPr>
      </w:pPr>
      <w:r>
        <w:rPr>
          <w:rFonts w:hint="eastAsia"/>
          <w:lang w:val="en-US" w:eastAsia="zh-CN"/>
        </w:rPr>
        <w:t>——</w:t>
      </w:r>
      <w:r>
        <w:rPr>
          <w:rFonts w:hint="default"/>
          <w:lang w:val="en-US" w:eastAsia="zh-CN"/>
        </w:rPr>
        <w:t>抗拉强度试验、温度冲击试验、温湿度组合循环试验</w:t>
      </w:r>
      <w:r>
        <w:rPr>
          <w:rFonts w:hint="eastAsia"/>
          <w:lang w:val="en-US" w:eastAsia="zh-CN"/>
        </w:rPr>
        <w:t>；</w:t>
      </w:r>
    </w:p>
    <w:p>
      <w:pPr>
        <w:pStyle w:val="18"/>
        <w:bidi w:val="0"/>
        <w:rPr>
          <w:rFonts w:hint="default"/>
          <w:lang w:val="en-US" w:eastAsia="zh-CN"/>
        </w:rPr>
      </w:pPr>
      <w:r>
        <w:rPr>
          <w:rFonts w:hint="eastAsia"/>
          <w:lang w:val="en-US" w:eastAsia="zh-CN"/>
        </w:rPr>
        <w:t>——</w:t>
      </w:r>
      <w:r>
        <w:rPr>
          <w:rFonts w:hint="default"/>
          <w:lang w:val="en-US" w:eastAsia="zh-CN"/>
        </w:rPr>
        <w:t>绝缘耐压试验、盐雾试验:耐久性试验。</w:t>
      </w:r>
    </w:p>
    <w:p>
      <w:pPr>
        <w:pStyle w:val="22"/>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试验数量，</w:t>
      </w:r>
      <w:r>
        <w:rPr>
          <w:rFonts w:hint="eastAsia" w:asciiTheme="minorEastAsia" w:hAnsiTheme="minorEastAsia" w:eastAsiaTheme="minorEastAsia" w:cstheme="minorEastAsia"/>
          <w:lang w:val="en-US" w:eastAsia="zh-CN"/>
        </w:rPr>
        <w:t>应</w:t>
      </w:r>
      <w:r>
        <w:rPr>
          <w:rFonts w:hint="default" w:asciiTheme="minorEastAsia" w:hAnsiTheme="minorEastAsia" w:eastAsiaTheme="minorEastAsia" w:cstheme="minorEastAsia"/>
          <w:lang w:val="en-US" w:eastAsia="zh-CN"/>
        </w:rPr>
        <w:t>根据不同试验目的，制定供方试验要求和计划。</w:t>
      </w:r>
    </w:p>
    <w:p>
      <w:pPr>
        <w:pStyle w:val="19"/>
        <w:bidi w:val="0"/>
        <w:rPr>
          <w:rFonts w:hint="default"/>
          <w:lang w:val="en-US" w:eastAsia="zh-CN"/>
        </w:rPr>
      </w:pPr>
      <w:bookmarkStart w:id="80" w:name="_Toc30363"/>
      <w:r>
        <w:rPr>
          <w:rFonts w:hint="default"/>
          <w:lang w:val="en-US" w:eastAsia="zh-CN"/>
        </w:rPr>
        <w:t>标志、包装、储存</w:t>
      </w:r>
      <w:bookmarkEnd w:id="80"/>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标志</w:t>
      </w:r>
    </w:p>
    <w:p>
      <w:pPr>
        <w:pStyle w:val="21"/>
        <w:bidi w:val="0"/>
        <w:rPr>
          <w:rFonts w:hint="default"/>
          <w:lang w:val="en-US" w:eastAsia="zh-CN"/>
        </w:rPr>
      </w:pPr>
      <w:r>
        <w:rPr>
          <w:rFonts w:hint="default"/>
          <w:lang w:val="en-US" w:eastAsia="zh-CN"/>
        </w:rPr>
        <w:t>产品标志</w:t>
      </w:r>
    </w:p>
    <w:p>
      <w:pPr>
        <w:pStyle w:val="18"/>
        <w:bidi w:val="0"/>
        <w:rPr>
          <w:rFonts w:hint="default"/>
          <w:lang w:val="en-US" w:eastAsia="zh-CN"/>
        </w:rPr>
      </w:pPr>
      <w:r>
        <w:rPr>
          <w:rFonts w:hint="default"/>
          <w:lang w:val="en-US" w:eastAsia="zh-CN"/>
        </w:rPr>
        <w:t>每件产品应根据产品图纸或其他文件的规定，客户有需求时，在产品明显位置打上标识。</w:t>
      </w:r>
    </w:p>
    <w:p>
      <w:pPr>
        <w:pStyle w:val="21"/>
        <w:bidi w:val="0"/>
        <w:rPr>
          <w:rFonts w:hint="default"/>
          <w:lang w:val="en-US" w:eastAsia="zh-CN"/>
        </w:rPr>
      </w:pPr>
      <w:r>
        <w:rPr>
          <w:rFonts w:hint="default"/>
          <w:lang w:val="en-US" w:eastAsia="zh-CN"/>
        </w:rPr>
        <w:t>包装标志</w:t>
      </w:r>
    </w:p>
    <w:p>
      <w:pPr>
        <w:pStyle w:val="18"/>
        <w:bidi w:val="0"/>
        <w:rPr>
          <w:rFonts w:hint="default"/>
          <w:lang w:val="en-US" w:eastAsia="zh-CN"/>
        </w:rPr>
      </w:pPr>
      <w:r>
        <w:rPr>
          <w:rFonts w:hint="default"/>
          <w:lang w:val="en-US" w:eastAsia="zh-CN"/>
        </w:rPr>
        <w:t>产品的包装箱上一般应标明如下信息:</w:t>
      </w:r>
    </w:p>
    <w:p>
      <w:pPr>
        <w:pStyle w:val="47"/>
        <w:numPr>
          <w:ilvl w:val="0"/>
          <w:numId w:val="31"/>
        </w:numPr>
        <w:bidi w:val="0"/>
        <w:ind w:left="851" w:leftChars="0" w:hanging="426" w:firstLineChars="0"/>
        <w:rPr>
          <w:rFonts w:hint="eastAsia"/>
          <w:lang w:val="en-US" w:eastAsia="zh-CN"/>
        </w:rPr>
      </w:pPr>
      <w:r>
        <w:rPr>
          <w:rFonts w:hint="default"/>
          <w:lang w:val="en-US" w:eastAsia="zh-CN"/>
        </w:rPr>
        <w:t>产品的包装箱上应标明产品名称、产品型号、批号、生产日期</w:t>
      </w:r>
      <w:r>
        <w:rPr>
          <w:rFonts w:hint="eastAsia"/>
          <w:lang w:val="en-US" w:eastAsia="zh-CN"/>
        </w:rPr>
        <w:t>；</w:t>
      </w:r>
    </w:p>
    <w:p>
      <w:pPr>
        <w:pStyle w:val="47"/>
        <w:numPr>
          <w:ilvl w:val="0"/>
          <w:numId w:val="31"/>
        </w:numPr>
        <w:bidi w:val="0"/>
        <w:ind w:left="851" w:leftChars="0" w:hanging="426" w:firstLineChars="0"/>
        <w:rPr>
          <w:rFonts w:hint="eastAsia"/>
          <w:lang w:val="en-US" w:eastAsia="zh-CN"/>
        </w:rPr>
      </w:pPr>
      <w:r>
        <w:rPr>
          <w:rFonts w:hint="default"/>
          <w:lang w:val="en-US" w:eastAsia="zh-CN"/>
        </w:rPr>
        <w:t>制造厂名、地址等</w:t>
      </w:r>
      <w:r>
        <w:rPr>
          <w:rFonts w:hint="eastAsia"/>
          <w:lang w:val="en-US" w:eastAsia="zh-CN"/>
        </w:rPr>
        <w:t>；</w:t>
      </w:r>
    </w:p>
    <w:p>
      <w:pPr>
        <w:pStyle w:val="47"/>
        <w:numPr>
          <w:ilvl w:val="0"/>
          <w:numId w:val="31"/>
        </w:numPr>
        <w:bidi w:val="0"/>
        <w:ind w:left="851" w:leftChars="0" w:hanging="426" w:firstLineChars="0"/>
        <w:rPr>
          <w:rFonts w:hint="default"/>
          <w:lang w:val="en-US" w:eastAsia="zh-CN"/>
        </w:rPr>
      </w:pPr>
      <w:r>
        <w:rPr>
          <w:rFonts w:hint="default"/>
          <w:lang w:val="en-US" w:eastAsia="zh-CN"/>
        </w:rPr>
        <w:t>执行标准</w:t>
      </w:r>
      <w:r>
        <w:rPr>
          <w:rFonts w:hint="eastAsia"/>
          <w:lang w:val="en-US" w:eastAsia="zh-CN"/>
        </w:rPr>
        <w:t>；</w:t>
      </w:r>
    </w:p>
    <w:p>
      <w:pPr>
        <w:pStyle w:val="47"/>
        <w:numPr>
          <w:ilvl w:val="0"/>
          <w:numId w:val="31"/>
        </w:numPr>
        <w:bidi w:val="0"/>
        <w:ind w:left="851" w:leftChars="0" w:hanging="426" w:firstLineChars="0"/>
        <w:rPr>
          <w:rFonts w:hint="default"/>
          <w:lang w:val="en-US" w:eastAsia="zh-CN"/>
        </w:rPr>
      </w:pPr>
      <w:r>
        <w:rPr>
          <w:rFonts w:hint="default"/>
          <w:lang w:val="en-US" w:eastAsia="zh-CN"/>
        </w:rPr>
        <w:t>包装储运标志应符合GB/T191的有关规定</w:t>
      </w:r>
      <w:r>
        <w:rPr>
          <w:rFonts w:hint="eastAsia"/>
          <w:lang w:val="en-US" w:eastAsia="zh-CN"/>
        </w:rPr>
        <w:t>；</w:t>
      </w:r>
    </w:p>
    <w:p>
      <w:pPr>
        <w:pStyle w:val="47"/>
        <w:numPr>
          <w:ilvl w:val="0"/>
          <w:numId w:val="31"/>
        </w:numPr>
        <w:bidi w:val="0"/>
        <w:ind w:left="851" w:leftChars="0" w:hanging="426" w:firstLineChars="0"/>
        <w:rPr>
          <w:rFonts w:hint="default"/>
          <w:lang w:val="en-US" w:eastAsia="zh-CN"/>
        </w:rPr>
      </w:pPr>
      <w:r>
        <w:rPr>
          <w:rFonts w:hint="default"/>
          <w:lang w:val="en-US" w:eastAsia="zh-CN"/>
        </w:rPr>
        <w:t>运输作业文字</w:t>
      </w:r>
      <w:r>
        <w:rPr>
          <w:rFonts w:hint="eastAsia"/>
          <w:lang w:val="en-US" w:eastAsia="zh-CN"/>
        </w:rPr>
        <w:t>：</w:t>
      </w:r>
      <w:r>
        <w:rPr>
          <w:rFonts w:hint="default"/>
          <w:lang w:val="en-US" w:eastAsia="zh-CN"/>
        </w:rPr>
        <w:t>包装箱的体积(长</w:t>
      </w:r>
      <w:r>
        <w:rPr>
          <w:rFonts w:hint="eastAsia"/>
          <w:lang w:val="en-US" w:eastAsia="zh-CN"/>
        </w:rPr>
        <w:t>×</w:t>
      </w:r>
      <w:r>
        <w:rPr>
          <w:rFonts w:hint="default"/>
          <w:lang w:val="en-US" w:eastAsia="zh-CN"/>
        </w:rPr>
        <w:t>宽</w:t>
      </w:r>
      <w:r>
        <w:rPr>
          <w:rFonts w:hint="eastAsia"/>
          <w:lang w:val="en-US" w:eastAsia="zh-CN"/>
        </w:rPr>
        <w:t>×</w:t>
      </w:r>
      <w:r>
        <w:rPr>
          <w:rFonts w:hint="default"/>
          <w:lang w:val="en-US" w:eastAsia="zh-CN"/>
        </w:rPr>
        <w:t>高)尺寸:每箱产品总质量。</w:t>
      </w:r>
    </w:p>
    <w:p>
      <w:pPr>
        <w:pStyle w:val="18"/>
        <w:bidi w:val="0"/>
        <w:rPr>
          <w:rFonts w:hint="default"/>
          <w:sz w:val="15"/>
          <w:szCs w:val="15"/>
          <w:lang w:val="en-US" w:eastAsia="zh-CN"/>
        </w:rPr>
      </w:pPr>
      <w:r>
        <w:rPr>
          <w:rFonts w:hint="default"/>
          <w:sz w:val="15"/>
          <w:szCs w:val="15"/>
          <w:lang w:val="en-US" w:eastAsia="zh-CN"/>
        </w:rPr>
        <w:t>注:也可按用户的要求或根据产品的具体情况进行标注。</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储存</w:t>
      </w:r>
    </w:p>
    <w:p>
      <w:pPr>
        <w:pStyle w:val="18"/>
        <w:bidi w:val="0"/>
        <w:rPr>
          <w:rFonts w:hint="default"/>
          <w:lang w:val="en-US" w:eastAsia="zh-CN"/>
        </w:rPr>
      </w:pPr>
      <w:r>
        <w:rPr>
          <w:rFonts w:hint="default"/>
          <w:lang w:val="en-US" w:eastAsia="zh-CN"/>
        </w:rPr>
        <w:t>产品储存应符合QC/T238的规定。产品在储运过程中应避免与腐蚀物质，如酸、碱、油等溶剂接触，应远离热源和强磁场，产品的储存期限为2年(自出厂日期算起)。</w:t>
      </w:r>
    </w:p>
    <w:p>
      <w:pPr>
        <w:pStyle w:val="18"/>
        <w:jc w:val="center"/>
        <w:rPr>
          <w:rFonts w:hint="default"/>
          <w:lang w:val="en-US" w:eastAsia="zh-CN"/>
        </w:rPr>
      </w:pPr>
      <w:r>
        <w:rPr>
          <w:rFonts w:hint="default"/>
          <w:lang w:val="en-US" w:eastAsia="zh-CN"/>
        </w:rPr>
        <w:drawing>
          <wp:inline distT="0" distB="0" distL="114300" distR="114300">
            <wp:extent cx="1487170" cy="316865"/>
            <wp:effectExtent l="0" t="0" r="11430" b="635"/>
            <wp:docPr id="3" name="图片 3" descr="endline"/>
            <wp:cNvGraphicFramePr/>
            <a:graphic xmlns:a="http://schemas.openxmlformats.org/drawingml/2006/main">
              <a:graphicData uri="http://schemas.openxmlformats.org/drawingml/2006/picture">
                <pic:pic xmlns:pic="http://schemas.openxmlformats.org/drawingml/2006/picture">
                  <pic:nvPicPr>
                    <pic:cNvPr id="3" name="图片 3" descr="endline"/>
                    <pic:cNvPicPr/>
                  </pic:nvPicPr>
                  <pic:blipFill>
                    <a:blip r:embed="rId25"/>
                    <a:stretch>
                      <a:fillRect/>
                    </a:stretch>
                  </pic:blipFill>
                  <pic:spPr>
                    <a:xfrm>
                      <a:off x="0" y="0"/>
                      <a:ext cx="1487170" cy="316865"/>
                    </a:xfrm>
                    <a:prstGeom prst="rect">
                      <a:avLst/>
                    </a:prstGeom>
                  </pic:spPr>
                </pic:pic>
              </a:graphicData>
            </a:graphic>
          </wp:inline>
        </w:drawing>
      </w:r>
    </w:p>
    <w:p>
      <w:pPr>
        <w:pStyle w:val="18"/>
        <w:rPr>
          <w:rFonts w:hint="default"/>
          <w:lang w:val="en-US" w:eastAsia="zh-CN"/>
        </w:rPr>
        <w:sectPr>
          <w:headerReference r:id="rId13" w:type="default"/>
          <w:footerReference r:id="rId15" w:type="default"/>
          <w:headerReference r:id="rId14" w:type="even"/>
          <w:footerReference r:id="rId16" w:type="even"/>
          <w:pgSz w:w="11906" w:h="16838"/>
          <w:pgMar w:top="1928" w:right="1134" w:bottom="1134" w:left="1134" w:header="1417" w:footer="1134" w:gutter="0"/>
          <w:pgNumType w:start="1"/>
          <w:cols w:space="0" w:num="1"/>
          <w:formProt w:val="0"/>
          <w:docGrid w:type="lines" w:linePitch="326" w:charSpace="0"/>
        </w:sectPr>
      </w:pPr>
    </w:p>
    <w:p>
      <w:pPr>
        <w:pStyle w:val="18"/>
      </w:pPr>
    </w:p>
    <w:sectPr>
      <w:headerReference r:id="rId17" w:type="default"/>
      <w:footerReference r:id="rId19" w:type="default"/>
      <w:headerReference r:id="rId18" w:type="even"/>
      <w:footerReference r:id="rId20"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bidi w:val="0"/>
    </w:pPr>
    <w:r>
      <w:fldChar w:fldCharType="begin"/>
    </w:r>
    <w:r>
      <w:instrText xml:space="preserve"> PAGE   \* Roman </w:instrText>
    </w:r>
    <w:r>
      <w:fldChar w:fldCharType="separate"/>
    </w:r>
    <w: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fldChar w:fldCharType="begin"/>
    </w:r>
    <w:r>
      <w:instrText xml:space="preserve"> PAGE   \* Roman </w:instrText>
    </w:r>
    <w:r>
      <w:fldChar w:fldCharType="separate"/>
    </w:r>
    <w:r>
      <w:t>I</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bidi w:val="0"/>
    </w:pPr>
    <w:r>
      <w:fldChar w:fldCharType="begin"/>
    </w:r>
    <w:r>
      <w:instrText xml:space="preserve"> PAGE   \* Arabic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2"/>
      <w:rPr>
        <w:rFonts w:cs="宋体"/>
      </w:rPr>
    </w:pPr>
    <w:r>
      <w:fldChar w:fldCharType="begin"/>
    </w:r>
    <w:r>
      <w:instrText xml:space="preserve"> PAGE   \* Arabic </w:instrText>
    </w:r>
    <w:r>
      <w:fldChar w:fldCharType="separate"/>
    </w:r>
    <w:r>
      <w:t>2</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bidi w:val="0"/>
    </w:pPr>
    <w:r>
      <w:fldChar w:fldCharType="begin"/>
    </w:r>
    <w:r>
      <w:instrText xml:space="preserve"> PAGE   \* Arabic </w:instrText>
    </w:r>
    <w:r>
      <w:fldChar w:fldCharType="separate"/>
    </w:r>
    <w: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fldChar w:fldCharType="begin"/>
    </w:r>
    <w:r>
      <w:instrText xml:space="preserve"> PAGE   \* Arabic </w:instrText>
    </w:r>
    <w:r>
      <w:fldChar w:fldCharType="separate"/>
    </w:r>
    <w:r>
      <w:t>2</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bidi w:val="0"/>
    </w:pPr>
    <w:r>
      <w:fldChar w:fldCharType="begin"/>
    </w:r>
    <w:r>
      <w:instrText xml:space="preserve"> PAGE   \* Arabic </w:instrText>
    </w:r>
    <w:r>
      <w:fldChar w:fldCharType="separate"/>
    </w:r>
    <w:r>
      <w:t>11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2"/>
      <w:rPr>
        <w:rFonts w:cs="宋体"/>
      </w:rPr>
    </w:pPr>
    <w:r>
      <w:fldChar w:fldCharType="begin"/>
    </w:r>
    <w:r>
      <w:instrText xml:space="preserve"> PAGE   \* Arabic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3"/>
      <w:lvlText w:val="%1"/>
      <w:lvlJc w:val="left"/>
      <w:pPr>
        <w:ind w:left="425" w:hanging="425"/>
      </w:pPr>
      <w:rPr>
        <w:rFonts w:hint="default"/>
      </w:rPr>
    </w:lvl>
    <w:lvl w:ilvl="1" w:tentative="0">
      <w:start w:val="1"/>
      <w:numFmt w:val="decimal"/>
      <w:pStyle w:val="114"/>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5"/>
      <w:suff w:val="nothing"/>
      <w:lvlText w:val="0.%2.%3 "/>
      <w:lvlJc w:val="left"/>
      <w:pPr>
        <w:ind w:left="0" w:firstLine="0"/>
      </w:pPr>
      <w:rPr>
        <w:rFonts w:hint="default" w:ascii="黑体" w:hAnsi="等线" w:eastAsia="黑体"/>
        <w:b w:val="0"/>
        <w:i w:val="0"/>
        <w:sz w:val="21"/>
      </w:rPr>
    </w:lvl>
    <w:lvl w:ilvl="3" w:tentative="0">
      <w:start w:val="1"/>
      <w:numFmt w:val="decimal"/>
      <w:pStyle w:val="116"/>
      <w:suff w:val="nothing"/>
      <w:lvlText w:val="0.%2.%3.%4 "/>
      <w:lvlJc w:val="left"/>
      <w:pPr>
        <w:ind w:left="0" w:firstLine="0"/>
      </w:pPr>
      <w:rPr>
        <w:rFonts w:hint="default" w:ascii="黑体" w:hAnsi="等线" w:eastAsia="黑体"/>
        <w:b w:val="0"/>
        <w:i w:val="0"/>
        <w:sz w:val="21"/>
      </w:rPr>
    </w:lvl>
    <w:lvl w:ilvl="4" w:tentative="0">
      <w:start w:val="1"/>
      <w:numFmt w:val="decimal"/>
      <w:pStyle w:val="117"/>
      <w:suff w:val="nothing"/>
      <w:lvlText w:val="0.%2.%3.%4.%5 "/>
      <w:lvlJc w:val="left"/>
      <w:pPr>
        <w:ind w:left="0" w:firstLine="0"/>
      </w:pPr>
      <w:rPr>
        <w:rFonts w:hint="default" w:ascii="黑体" w:hAnsi="等线" w:eastAsia="黑体"/>
        <w:b w:val="0"/>
        <w:i w:val="0"/>
        <w:sz w:val="21"/>
      </w:rPr>
    </w:lvl>
    <w:lvl w:ilvl="5" w:tentative="0">
      <w:start w:val="1"/>
      <w:numFmt w:val="decimal"/>
      <w:pStyle w:val="118"/>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3"/>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4"/>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4">
    <w:nsid w:val="DBB57541"/>
    <w:multiLevelType w:val="multilevel"/>
    <w:tmpl w:val="DBB57541"/>
    <w:lvl w:ilvl="0" w:tentative="0">
      <w:start w:val="1"/>
      <w:numFmt w:val="lowerLetter"/>
      <w:pStyle w:val="47"/>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5">
    <w:nsid w:val="E12ABC61"/>
    <w:multiLevelType w:val="multilevel"/>
    <w:tmpl w:val="E12ABC61"/>
    <w:lvl w:ilvl="0" w:tentative="0">
      <w:start w:val="1"/>
      <w:numFmt w:val="decimal"/>
      <w:pStyle w:val="37"/>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6">
    <w:nsid w:val="ECFB7E7B"/>
    <w:multiLevelType w:val="multilevel"/>
    <w:tmpl w:val="ECFB7E7B"/>
    <w:lvl w:ilvl="0" w:tentative="0">
      <w:start w:val="1"/>
      <w:numFmt w:val="upperLetter"/>
      <w:pStyle w:val="101"/>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9FE1514"/>
    <w:multiLevelType w:val="multilevel"/>
    <w:tmpl w:val="F9FE1514"/>
    <w:lvl w:ilvl="0" w:tentative="0">
      <w:start w:val="1"/>
      <w:numFmt w:val="upperLetter"/>
      <w:pStyle w:val="99"/>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FB2684B3"/>
    <w:multiLevelType w:val="multilevel"/>
    <w:tmpl w:val="FB2684B3"/>
    <w:lvl w:ilvl="0" w:tentative="0">
      <w:start w:val="1"/>
      <w:numFmt w:val="upperLetter"/>
      <w:pStyle w:val="91"/>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9"/>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30"/>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1"/>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2"/>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3"/>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9">
    <w:nsid w:val="0110DD5C"/>
    <w:multiLevelType w:val="multilevel"/>
    <w:tmpl w:val="0110DD5C"/>
    <w:lvl w:ilvl="0" w:tentative="0">
      <w:start w:val="1"/>
      <w:numFmt w:val="upperLetter"/>
      <w:pStyle w:val="90"/>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C2E1459"/>
    <w:multiLevelType w:val="multilevel"/>
    <w:tmpl w:val="0C2E1459"/>
    <w:lvl w:ilvl="0" w:tentative="0">
      <w:start w:val="1"/>
      <w:numFmt w:val="upperLetter"/>
      <w:pStyle w:val="92"/>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1">
    <w:nsid w:val="0DA82A87"/>
    <w:multiLevelType w:val="multilevel"/>
    <w:tmpl w:val="0DA82A87"/>
    <w:lvl w:ilvl="0" w:tentative="0">
      <w:start w:val="1"/>
      <w:numFmt w:val="none"/>
      <w:pStyle w:val="52"/>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2">
    <w:nsid w:val="16AB7A16"/>
    <w:multiLevelType w:val="singleLevel"/>
    <w:tmpl w:val="16AB7A16"/>
    <w:lvl w:ilvl="0" w:tentative="0">
      <w:start w:val="1"/>
      <w:numFmt w:val="lowerLetter"/>
      <w:pStyle w:val="105"/>
      <w:lvlText w:val="%1 "/>
      <w:lvlJc w:val="left"/>
      <w:pPr>
        <w:tabs>
          <w:tab w:val="left" w:pos="539"/>
        </w:tabs>
        <w:ind w:left="539" w:hanging="119"/>
      </w:pPr>
      <w:rPr>
        <w:rFonts w:hint="default"/>
        <w:vertAlign w:val="superscript"/>
      </w:rPr>
    </w:lvl>
  </w:abstractNum>
  <w:abstractNum w:abstractNumId="13">
    <w:nsid w:val="1F3272DF"/>
    <w:multiLevelType w:val="multilevel"/>
    <w:tmpl w:val="1F3272DF"/>
    <w:lvl w:ilvl="0" w:tentative="0">
      <w:start w:val="1"/>
      <w:numFmt w:val="none"/>
      <w:pStyle w:val="50"/>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4">
    <w:nsid w:val="215DED4D"/>
    <w:multiLevelType w:val="multilevel"/>
    <w:tmpl w:val="215DED4D"/>
    <w:lvl w:ilvl="0" w:tentative="0">
      <w:start w:val="1"/>
      <w:numFmt w:val="upperLetter"/>
      <w:pStyle w:val="96"/>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24B9E1C0"/>
    <w:multiLevelType w:val="singleLevel"/>
    <w:tmpl w:val="24B9E1C0"/>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6">
    <w:nsid w:val="26EF5520"/>
    <w:multiLevelType w:val="multilevel"/>
    <w:tmpl w:val="26EF5520"/>
    <w:lvl w:ilvl="0" w:tentative="0">
      <w:start w:val="1"/>
      <w:numFmt w:val="upperLetter"/>
      <w:pStyle w:val="93"/>
      <w:lvlText w:val="%1"/>
      <w:lvlJc w:val="left"/>
      <w:pPr>
        <w:tabs>
          <w:tab w:val="left" w:pos="420"/>
        </w:tabs>
        <w:ind w:left="425" w:hanging="425"/>
      </w:pPr>
      <w:rPr>
        <w:rFonts w:hint="default"/>
        <w:sz w:val="2"/>
      </w:rPr>
    </w:lvl>
    <w:lvl w:ilvl="1" w:tentative="0">
      <w:start w:val="1"/>
      <w:numFmt w:val="decimal"/>
      <w:pStyle w:val="97"/>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30E5504"/>
    <w:multiLevelType w:val="multilevel"/>
    <w:tmpl w:val="330E5504"/>
    <w:lvl w:ilvl="0" w:tentative="0">
      <w:start w:val="1"/>
      <w:numFmt w:val="decimal"/>
      <w:pStyle w:val="53"/>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70"/>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9CC7EA8"/>
    <w:multiLevelType w:val="multilevel"/>
    <w:tmpl w:val="39CC7EA8"/>
    <w:lvl w:ilvl="0" w:tentative="0">
      <w:start w:val="1"/>
      <w:numFmt w:val="decimal"/>
      <w:pStyle w:val="51"/>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3CA542D3"/>
    <w:multiLevelType w:val="multilevel"/>
    <w:tmpl w:val="3CA542D3"/>
    <w:lvl w:ilvl="0" w:tentative="0">
      <w:start w:val="1"/>
      <w:numFmt w:val="none"/>
      <w:pStyle w:val="49"/>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9"/>
      <w:suff w:val="nothing"/>
      <w:lvlText w:val="%2　"/>
      <w:lvlJc w:val="left"/>
      <w:pPr>
        <w:ind w:left="0" w:firstLine="0"/>
      </w:pPr>
      <w:rPr>
        <w:rFonts w:hint="default" w:ascii="黑体" w:eastAsia="黑体"/>
        <w:b w:val="0"/>
        <w:i w:val="0"/>
        <w:sz w:val="21"/>
      </w:rPr>
    </w:lvl>
    <w:lvl w:ilvl="2" w:tentative="0">
      <w:start w:val="1"/>
      <w:numFmt w:val="decimal"/>
      <w:pStyle w:val="20"/>
      <w:suff w:val="nothing"/>
      <w:lvlText w:val="%2.%3　"/>
      <w:lvlJc w:val="left"/>
      <w:pPr>
        <w:ind w:left="0" w:firstLine="0"/>
      </w:pPr>
      <w:rPr>
        <w:rFonts w:hint="default" w:ascii="黑体" w:eastAsia="黑体"/>
        <w:b w:val="0"/>
        <w:i w:val="0"/>
        <w:sz w:val="21"/>
      </w:rPr>
    </w:lvl>
    <w:lvl w:ilvl="3" w:tentative="0">
      <w:start w:val="1"/>
      <w:numFmt w:val="decimal"/>
      <w:pStyle w:val="21"/>
      <w:suff w:val="nothing"/>
      <w:lvlText w:val="%2.%3.%4　"/>
      <w:lvlJc w:val="left"/>
      <w:pPr>
        <w:ind w:left="0" w:firstLine="0"/>
      </w:pPr>
      <w:rPr>
        <w:rFonts w:hint="default" w:ascii="黑体" w:eastAsia="黑体"/>
        <w:b w:val="0"/>
        <w:i w:val="0"/>
        <w:sz w:val="21"/>
      </w:rPr>
    </w:lvl>
    <w:lvl w:ilvl="4" w:tentative="0">
      <w:start w:val="1"/>
      <w:numFmt w:val="decimal"/>
      <w:pStyle w:val="22"/>
      <w:suff w:val="nothing"/>
      <w:lvlText w:val="%2.%3.%4.%5　"/>
      <w:lvlJc w:val="left"/>
      <w:pPr>
        <w:ind w:left="0" w:firstLine="0"/>
      </w:pPr>
      <w:rPr>
        <w:rFonts w:hint="default" w:ascii="黑体" w:eastAsia="黑体"/>
        <w:b w:val="0"/>
        <w:i w:val="0"/>
        <w:sz w:val="21"/>
      </w:rPr>
    </w:lvl>
    <w:lvl w:ilvl="5" w:tentative="0">
      <w:start w:val="1"/>
      <w:numFmt w:val="decimal"/>
      <w:pStyle w:val="23"/>
      <w:suff w:val="nothing"/>
      <w:lvlText w:val="%2.%3.%4.%5.%6　"/>
      <w:lvlJc w:val="left"/>
      <w:pPr>
        <w:ind w:left="0" w:firstLine="0"/>
      </w:pPr>
      <w:rPr>
        <w:rFonts w:hint="default" w:ascii="黑体" w:eastAsia="黑体"/>
        <w:b w:val="0"/>
        <w:i w:val="0"/>
        <w:sz w:val="21"/>
      </w:rPr>
    </w:lvl>
    <w:lvl w:ilvl="6" w:tentative="0">
      <w:start w:val="1"/>
      <w:numFmt w:val="decimal"/>
      <w:pStyle w:val="24"/>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8"/>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5"/>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2"/>
      <w:lvlText w:val="%1"/>
      <w:lvlJc w:val="left"/>
      <w:pPr>
        <w:tabs>
          <w:tab w:val="left" w:pos="420"/>
        </w:tabs>
        <w:ind w:left="425" w:hanging="425"/>
      </w:pPr>
      <w:rPr>
        <w:rFonts w:hint="default" w:ascii="黑体" w:hAnsi="黑体" w:eastAsia="黑体"/>
        <w:sz w:val="2"/>
        <w:szCs w:val="2"/>
      </w:rPr>
    </w:lvl>
    <w:lvl w:ilvl="1" w:tentative="0">
      <w:start w:val="1"/>
      <w:numFmt w:val="decimal"/>
      <w:pStyle w:val="103"/>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8"/>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100"/>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2"/>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8"/>
  </w:num>
  <w:num w:numId="4">
    <w:abstractNumId w:val="5"/>
  </w:num>
  <w:num w:numId="5">
    <w:abstractNumId w:val="1"/>
  </w:num>
  <w:num w:numId="6">
    <w:abstractNumId w:val="4"/>
  </w:num>
  <w:num w:numId="7">
    <w:abstractNumId w:val="26"/>
  </w:num>
  <w:num w:numId="8">
    <w:abstractNumId w:val="20"/>
  </w:num>
  <w:num w:numId="9">
    <w:abstractNumId w:val="13"/>
  </w:num>
  <w:num w:numId="10">
    <w:abstractNumId w:val="19"/>
  </w:num>
  <w:num w:numId="11">
    <w:abstractNumId w:val="11"/>
  </w:num>
  <w:num w:numId="12">
    <w:abstractNumId w:val="17"/>
  </w:num>
  <w:num w:numId="13">
    <w:abstractNumId w:val="18"/>
  </w:num>
  <w:num w:numId="14">
    <w:abstractNumId w:val="28"/>
  </w:num>
  <w:num w:numId="15">
    <w:abstractNumId w:val="9"/>
  </w:num>
  <w:num w:numId="16">
    <w:abstractNumId w:val="10"/>
  </w:num>
  <w:num w:numId="17">
    <w:abstractNumId w:val="16"/>
  </w:num>
  <w:num w:numId="18">
    <w:abstractNumId w:val="2"/>
  </w:num>
  <w:num w:numId="19">
    <w:abstractNumId w:val="23"/>
  </w:num>
  <w:num w:numId="20">
    <w:abstractNumId w:val="14"/>
  </w:num>
  <w:num w:numId="21">
    <w:abstractNumId w:val="7"/>
  </w:num>
  <w:num w:numId="22">
    <w:abstractNumId w:val="27"/>
  </w:num>
  <w:num w:numId="23">
    <w:abstractNumId w:val="6"/>
  </w:num>
  <w:num w:numId="24">
    <w:abstractNumId w:val="25"/>
  </w:num>
  <w:num w:numId="25">
    <w:abstractNumId w:val="15"/>
  </w:num>
  <w:num w:numId="26">
    <w:abstractNumId w:val="12"/>
  </w:num>
  <w:num w:numId="27">
    <w:abstractNumId w:val="3"/>
  </w:num>
  <w:num w:numId="28">
    <w:abstractNumId w:val="22"/>
  </w:num>
  <w:num w:numId="29">
    <w:abstractNumId w:val="0"/>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attachedTemplate r:id="rId1"/>
  <w:documentProtection w:edit="forms" w:enforcement="1" w:cryptProviderType="rsaFull" w:cryptAlgorithmClass="hash" w:cryptAlgorithmType="typeAny" w:cryptAlgorithmSid="4" w:cryptSpinCount="0" w:hash="JJkR8SVEQHw+R3MGfovVDZZQ5RQ=" w:salt="pt4fzQn+iStaXw2G0bIYVA=="/>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2YTgzOTJiNWJmM2Q2NzBjNGFlMDc3YTZlMjc3YWIifQ=="/>
  </w:docVars>
  <w:rsids>
    <w:rsidRoot w:val="759F58B9"/>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4743F71"/>
    <w:rsid w:val="05B93FF5"/>
    <w:rsid w:val="06087D7D"/>
    <w:rsid w:val="06C306D8"/>
    <w:rsid w:val="076318C3"/>
    <w:rsid w:val="08157B2F"/>
    <w:rsid w:val="081F0C1A"/>
    <w:rsid w:val="082A2C67"/>
    <w:rsid w:val="0865341A"/>
    <w:rsid w:val="08FE00E5"/>
    <w:rsid w:val="0A164FB8"/>
    <w:rsid w:val="0AC33CDA"/>
    <w:rsid w:val="0C7C14A8"/>
    <w:rsid w:val="0D4E29F1"/>
    <w:rsid w:val="0D797B36"/>
    <w:rsid w:val="0E0F4EE8"/>
    <w:rsid w:val="0E220142"/>
    <w:rsid w:val="0E800841"/>
    <w:rsid w:val="102A4CF7"/>
    <w:rsid w:val="108D3B11"/>
    <w:rsid w:val="110F45BE"/>
    <w:rsid w:val="116D6526"/>
    <w:rsid w:val="11AF728B"/>
    <w:rsid w:val="121A48AA"/>
    <w:rsid w:val="13FC0F60"/>
    <w:rsid w:val="1400586E"/>
    <w:rsid w:val="148E19A0"/>
    <w:rsid w:val="14B320A9"/>
    <w:rsid w:val="14C47369"/>
    <w:rsid w:val="14C7387A"/>
    <w:rsid w:val="14D74140"/>
    <w:rsid w:val="155E67FA"/>
    <w:rsid w:val="15FB027F"/>
    <w:rsid w:val="163C1FBD"/>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BF56C2C"/>
    <w:rsid w:val="3C17635F"/>
    <w:rsid w:val="3C5F6A31"/>
    <w:rsid w:val="3CA646C8"/>
    <w:rsid w:val="3CB53659"/>
    <w:rsid w:val="405F5F05"/>
    <w:rsid w:val="41715709"/>
    <w:rsid w:val="43211C92"/>
    <w:rsid w:val="436A5D90"/>
    <w:rsid w:val="44945351"/>
    <w:rsid w:val="454E0A49"/>
    <w:rsid w:val="45D02D3E"/>
    <w:rsid w:val="470C286D"/>
    <w:rsid w:val="47CA7BC1"/>
    <w:rsid w:val="47F104D4"/>
    <w:rsid w:val="48561B85"/>
    <w:rsid w:val="48F403D8"/>
    <w:rsid w:val="4A0E4D5B"/>
    <w:rsid w:val="4C585E2C"/>
    <w:rsid w:val="4C7B756C"/>
    <w:rsid w:val="4E761D21"/>
    <w:rsid w:val="4EE021C8"/>
    <w:rsid w:val="505A77E4"/>
    <w:rsid w:val="50753B17"/>
    <w:rsid w:val="510E66B3"/>
    <w:rsid w:val="511B7B18"/>
    <w:rsid w:val="51982498"/>
    <w:rsid w:val="51AD2478"/>
    <w:rsid w:val="51D87EE1"/>
    <w:rsid w:val="534144B7"/>
    <w:rsid w:val="53932DDE"/>
    <w:rsid w:val="54A17C7E"/>
    <w:rsid w:val="55F86221"/>
    <w:rsid w:val="56B0511D"/>
    <w:rsid w:val="57456DDC"/>
    <w:rsid w:val="57E84794"/>
    <w:rsid w:val="585700CC"/>
    <w:rsid w:val="58B03032"/>
    <w:rsid w:val="58BC0C84"/>
    <w:rsid w:val="58D45546"/>
    <w:rsid w:val="58D86C9F"/>
    <w:rsid w:val="594430E6"/>
    <w:rsid w:val="594C41DC"/>
    <w:rsid w:val="597F7CDB"/>
    <w:rsid w:val="59826A2C"/>
    <w:rsid w:val="59AB3693"/>
    <w:rsid w:val="59FD794F"/>
    <w:rsid w:val="5A5078D5"/>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3D7659E"/>
    <w:rsid w:val="73E700A2"/>
    <w:rsid w:val="74354387"/>
    <w:rsid w:val="74DB2EA9"/>
    <w:rsid w:val="759F58B9"/>
    <w:rsid w:val="75A153E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7"/>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5">
    <w:name w:val="Default Paragraph Font"/>
    <w:autoRedefine/>
    <w:semiHidden/>
    <w:unhideWhenUsed/>
    <w:qFormat/>
    <w:uiPriority w:val="1"/>
  </w:style>
  <w:style w:type="table" w:default="1" w:styleId="13">
    <w:name w:val="Normal Table"/>
    <w:autoRedefine/>
    <w:semiHidden/>
    <w:unhideWhenUsed/>
    <w:qFormat/>
    <w:uiPriority w:val="99"/>
    <w:tblPr>
      <w:tblCellMar>
        <w:top w:w="0" w:type="dxa"/>
        <w:left w:w="108" w:type="dxa"/>
        <w:bottom w:w="0" w:type="dxa"/>
        <w:right w:w="108" w:type="dxa"/>
      </w:tblCellMar>
    </w:tblPr>
  </w:style>
  <w:style w:type="paragraph" w:styleId="3">
    <w:name w:val="caption"/>
    <w:basedOn w:val="1"/>
    <w:next w:val="1"/>
    <w:autoRedefine/>
    <w:semiHidden/>
    <w:unhideWhenUsed/>
    <w:qFormat/>
    <w:uiPriority w:val="35"/>
    <w:rPr>
      <w:rFonts w:ascii="Arial" w:hAnsi="Arial" w:eastAsia="黑体"/>
      <w:sz w:val="20"/>
    </w:rPr>
  </w:style>
  <w:style w:type="paragraph" w:styleId="4">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5">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6">
    <w:name w:val="Balloon Text"/>
    <w:basedOn w:val="1"/>
    <w:link w:val="26"/>
    <w:autoRedefine/>
    <w:semiHidden/>
    <w:unhideWhenUsed/>
    <w:qFormat/>
    <w:uiPriority w:val="99"/>
    <w:rPr>
      <w:sz w:val="18"/>
      <w:szCs w:val="18"/>
    </w:rPr>
  </w:style>
  <w:style w:type="paragraph" w:styleId="7">
    <w:name w:val="footer"/>
    <w:basedOn w:val="1"/>
    <w:link w:val="63"/>
    <w:autoRedefine/>
    <w:unhideWhenUsed/>
    <w:qFormat/>
    <w:uiPriority w:val="99"/>
    <w:pPr>
      <w:tabs>
        <w:tab w:val="center" w:pos="4153"/>
        <w:tab w:val="right" w:pos="8306"/>
      </w:tabs>
      <w:snapToGrid w:val="0"/>
      <w:jc w:val="left"/>
    </w:pPr>
    <w:rPr>
      <w:rFonts w:ascii="宋体" w:hAnsi="宋体"/>
      <w:sz w:val="18"/>
      <w:szCs w:val="18"/>
    </w:rPr>
  </w:style>
  <w:style w:type="paragraph" w:styleId="8">
    <w:name w:val="header"/>
    <w:basedOn w:val="1"/>
    <w:link w:val="54"/>
    <w:autoRedefine/>
    <w:qFormat/>
    <w:uiPriority w:val="99"/>
    <w:pPr>
      <w:tabs>
        <w:tab w:val="center" w:pos="4153"/>
        <w:tab w:val="right" w:pos="8306"/>
      </w:tabs>
      <w:snapToGrid w:val="0"/>
      <w:jc w:val="center"/>
    </w:pPr>
    <w:rPr>
      <w:rFonts w:ascii="Calibri" w:hAnsi="Calibri" w:cs="Times New Roman"/>
      <w:sz w:val="18"/>
      <w:szCs w:val="18"/>
    </w:rPr>
  </w:style>
  <w:style w:type="paragraph" w:styleId="9">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10">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1">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2">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4">
    <w:name w:val="Table Grid"/>
    <w:basedOn w:val="13"/>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Hyperlink"/>
    <w:basedOn w:val="15"/>
    <w:autoRedefine/>
    <w:unhideWhenUsed/>
    <w:qFormat/>
    <w:uiPriority w:val="99"/>
    <w:rPr>
      <w:color w:val="0000FF" w:themeColor="hyperlink"/>
      <w:u w:val="single"/>
      <w14:textFill>
        <w14:solidFill>
          <w14:schemeClr w14:val="hlink"/>
        </w14:solidFill>
      </w14:textFill>
    </w:rPr>
  </w:style>
  <w:style w:type="character" w:customStyle="1" w:styleId="17">
    <w:name w:val="标题 1 Char"/>
    <w:basedOn w:val="15"/>
    <w:link w:val="2"/>
    <w:autoRedefine/>
    <w:qFormat/>
    <w:uiPriority w:val="9"/>
    <w:rPr>
      <w:rFonts w:ascii="Times New Roman" w:hAnsi="Times New Roman" w:eastAsia="黑体"/>
      <w:bCs/>
      <w:kern w:val="44"/>
      <w:szCs w:val="44"/>
    </w:rPr>
  </w:style>
  <w:style w:type="paragraph" w:customStyle="1" w:styleId="18">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9">
    <w:name w:val="标准文件_章标题"/>
    <w:next w:val="18"/>
    <w:link w:val="25"/>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20">
    <w:name w:val="标准文件_一级条标题"/>
    <w:next w:val="18"/>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1">
    <w:name w:val="标准文件_二级条标题"/>
    <w:next w:val="18"/>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2">
    <w:name w:val="标准文件_三级条标题"/>
    <w:next w:val="18"/>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3">
    <w:name w:val="标准文件_四级条标题"/>
    <w:next w:val="18"/>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4">
    <w:name w:val="标准文件_五级条标题"/>
    <w:next w:val="18"/>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5">
    <w:name w:val="标准文件_章标题 Char"/>
    <w:basedOn w:val="15"/>
    <w:link w:val="19"/>
    <w:autoRedefine/>
    <w:qFormat/>
    <w:uiPriority w:val="0"/>
    <w:rPr>
      <w:rFonts w:ascii="黑体" w:hAnsi="黑体" w:eastAsia="黑体"/>
      <w:szCs w:val="21"/>
    </w:rPr>
  </w:style>
  <w:style w:type="character" w:customStyle="1" w:styleId="26">
    <w:name w:val="批注框文本 Char"/>
    <w:basedOn w:val="15"/>
    <w:link w:val="6"/>
    <w:autoRedefine/>
    <w:semiHidden/>
    <w:qFormat/>
    <w:uiPriority w:val="99"/>
    <w:rPr>
      <w:sz w:val="18"/>
      <w:szCs w:val="18"/>
    </w:rPr>
  </w:style>
  <w:style w:type="paragraph" w:customStyle="1" w:styleId="27">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8">
    <w:name w:val="标准文件_附录章标题"/>
    <w:next w:val="18"/>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9">
    <w:name w:val="标准文件_附录一级条标题"/>
    <w:next w:val="18"/>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30">
    <w:name w:val="标准文件_附录二级条标题"/>
    <w:next w:val="18"/>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1">
    <w:name w:val="标准文件_附录三级条标题"/>
    <w:next w:val="18"/>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2">
    <w:name w:val="标准文件_附录四级条标题"/>
    <w:next w:val="18"/>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3">
    <w:name w:val="标准文件_附录五级条标题"/>
    <w:next w:val="18"/>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4">
    <w:name w:val="标准文件_表格"/>
    <w:basedOn w:val="13"/>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5">
    <w:name w:val="标准文件_表格内容"/>
    <w:basedOn w:val="1"/>
    <w:autoRedefine/>
    <w:qFormat/>
    <w:uiPriority w:val="0"/>
    <w:pPr>
      <w:spacing w:line="300" w:lineRule="atLeast"/>
      <w:jc w:val="left"/>
    </w:pPr>
    <w:rPr>
      <w:rFonts w:ascii="宋体" w:hAnsi="宋体" w:cs="Times New Roman"/>
      <w:sz w:val="18"/>
    </w:rPr>
  </w:style>
  <w:style w:type="paragraph" w:customStyle="1" w:styleId="36">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7">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8">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9">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40">
    <w:name w:val="标准文件_文本标题"/>
    <w:basedOn w:val="39"/>
    <w:link w:val="41"/>
    <w:autoRedefine/>
    <w:qFormat/>
    <w:uiPriority w:val="0"/>
    <w:pPr>
      <w:spacing w:before="640" w:after="100" w:line="400" w:lineRule="exact"/>
      <w:outlineLvl w:val="9"/>
    </w:pPr>
  </w:style>
  <w:style w:type="character" w:customStyle="1" w:styleId="41">
    <w:name w:val="标准文件_文本标题 Char"/>
    <w:basedOn w:val="15"/>
    <w:link w:val="40"/>
    <w:autoRedefine/>
    <w:qFormat/>
    <w:uiPriority w:val="0"/>
    <w:rPr>
      <w:rFonts w:ascii="黑体" w:hAnsi="黑体" w:eastAsia="黑体"/>
      <w:sz w:val="32"/>
      <w:szCs w:val="21"/>
    </w:rPr>
  </w:style>
  <w:style w:type="paragraph" w:customStyle="1" w:styleId="42">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3">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4">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6">
    <w:name w:val="标准文件_脚注尾注"/>
    <w:basedOn w:val="18"/>
    <w:autoRedefine/>
    <w:qFormat/>
    <w:uiPriority w:val="0"/>
    <w:pPr>
      <w:ind w:left="150" w:hanging="150" w:hangingChars="80"/>
    </w:pPr>
    <w:rPr>
      <w:sz w:val="18"/>
    </w:rPr>
  </w:style>
  <w:style w:type="paragraph" w:customStyle="1" w:styleId="47">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8">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9">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50">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1">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2">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3">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4">
    <w:name w:val="页眉 Char"/>
    <w:link w:val="8"/>
    <w:autoRedefine/>
    <w:qFormat/>
    <w:uiPriority w:val="99"/>
    <w:rPr>
      <w:rFonts w:ascii="Calibri" w:hAnsi="Calibri" w:eastAsia="宋体" w:cs="Times New Roman"/>
      <w:sz w:val="18"/>
      <w:szCs w:val="18"/>
    </w:rPr>
  </w:style>
  <w:style w:type="paragraph" w:customStyle="1" w:styleId="55">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6">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7">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8">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9">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60">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1">
    <w:name w:val="标准文件_替换文件编号"/>
    <w:basedOn w:val="60"/>
    <w:autoRedefine/>
    <w:qFormat/>
    <w:uiPriority w:val="0"/>
    <w:pPr>
      <w:spacing w:before="57"/>
    </w:pPr>
    <w:rPr>
      <w:sz w:val="21"/>
    </w:rPr>
  </w:style>
  <w:style w:type="paragraph" w:customStyle="1" w:styleId="62">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3">
    <w:name w:val="页脚 Char"/>
    <w:basedOn w:val="15"/>
    <w:link w:val="7"/>
    <w:autoRedefine/>
    <w:qFormat/>
    <w:uiPriority w:val="99"/>
    <w:rPr>
      <w:rFonts w:ascii="宋体" w:hAnsi="宋体" w:eastAsia="宋体"/>
      <w:sz w:val="18"/>
      <w:szCs w:val="18"/>
    </w:rPr>
  </w:style>
  <w:style w:type="paragraph" w:customStyle="1" w:styleId="64">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5">
    <w:name w:val="发布"/>
    <w:basedOn w:val="15"/>
    <w:autoRedefine/>
    <w:qFormat/>
    <w:uiPriority w:val="0"/>
    <w:rPr>
      <w:rFonts w:ascii="黑体" w:eastAsia="黑体"/>
      <w:spacing w:val="85"/>
      <w:w w:val="100"/>
      <w:position w:val="3"/>
      <w:sz w:val="28"/>
      <w:szCs w:val="28"/>
    </w:rPr>
  </w:style>
  <w:style w:type="paragraph" w:customStyle="1" w:styleId="66">
    <w:name w:val="标准文件_术语"/>
    <w:basedOn w:val="1"/>
    <w:link w:val="67"/>
    <w:autoRedefine/>
    <w:qFormat/>
    <w:uiPriority w:val="0"/>
    <w:pPr>
      <w:widowControl/>
      <w:spacing w:line="300" w:lineRule="auto"/>
      <w:ind w:firstLine="420" w:firstLineChars="200"/>
      <w:jc w:val="left"/>
    </w:pPr>
    <w:rPr>
      <w:rFonts w:ascii="黑体" w:hAnsi="黑体" w:eastAsia="黑体"/>
      <w:sz w:val="21"/>
    </w:rPr>
  </w:style>
  <w:style w:type="character" w:customStyle="1" w:styleId="67">
    <w:name w:val="标准文件_术语 Char"/>
    <w:basedOn w:val="15"/>
    <w:link w:val="66"/>
    <w:autoRedefine/>
    <w:qFormat/>
    <w:uiPriority w:val="0"/>
    <w:rPr>
      <w:rFonts w:ascii="黑体" w:hAnsi="黑体" w:eastAsia="黑体"/>
      <w:szCs w:val="21"/>
    </w:rPr>
  </w:style>
  <w:style w:type="paragraph" w:customStyle="1" w:styleId="68">
    <w:name w:val="标准文件_术语标题"/>
    <w:basedOn w:val="1"/>
    <w:link w:val="69"/>
    <w:autoRedefine/>
    <w:qFormat/>
    <w:uiPriority w:val="0"/>
    <w:pPr>
      <w:widowControl/>
      <w:spacing w:line="300" w:lineRule="auto"/>
      <w:jc w:val="left"/>
    </w:pPr>
    <w:rPr>
      <w:rFonts w:ascii="黑体" w:hAnsi="黑体" w:eastAsia="黑体"/>
      <w:sz w:val="21"/>
    </w:rPr>
  </w:style>
  <w:style w:type="character" w:customStyle="1" w:styleId="69">
    <w:name w:val="标准文件_术语标题 Char"/>
    <w:basedOn w:val="15"/>
    <w:link w:val="68"/>
    <w:autoRedefine/>
    <w:qFormat/>
    <w:uiPriority w:val="0"/>
    <w:rPr>
      <w:rFonts w:ascii="黑体" w:hAnsi="黑体" w:eastAsia="黑体"/>
      <w:szCs w:val="21"/>
    </w:rPr>
  </w:style>
  <w:style w:type="paragraph" w:customStyle="1" w:styleId="70">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1">
    <w:name w:val="Placeholder Text"/>
    <w:basedOn w:val="15"/>
    <w:autoRedefine/>
    <w:semiHidden/>
    <w:qFormat/>
    <w:uiPriority w:val="99"/>
    <w:rPr>
      <w:color w:val="808080"/>
    </w:rPr>
  </w:style>
  <w:style w:type="paragraph" w:customStyle="1" w:styleId="72">
    <w:name w:val="标准文件_参考文献"/>
    <w:basedOn w:val="1"/>
    <w:autoRedefine/>
    <w:qFormat/>
    <w:uiPriority w:val="0"/>
    <w:pPr>
      <w:numPr>
        <w:ilvl w:val="0"/>
        <w:numId w:val="14"/>
      </w:numPr>
      <w:ind w:left="420" w:hanging="420"/>
    </w:pPr>
    <w:rPr>
      <w:rFonts w:ascii="宋体" w:hAnsi="宋体"/>
      <w:sz w:val="21"/>
    </w:rPr>
  </w:style>
  <w:style w:type="character" w:customStyle="1" w:styleId="73">
    <w:name w:val="标准文件_段 Char"/>
    <w:link w:val="74"/>
    <w:autoRedefine/>
    <w:qFormat/>
    <w:locked/>
    <w:uiPriority w:val="0"/>
    <w:rPr>
      <w:rFonts w:ascii="宋体" w:hAnsi="Times New Roman" w:eastAsia="宋体"/>
    </w:rPr>
  </w:style>
  <w:style w:type="paragraph" w:customStyle="1" w:styleId="74">
    <w:name w:val="标准文件_段"/>
    <w:link w:val="73"/>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5">
    <w:name w:val="标准文件_一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二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三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四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五级无标题"/>
    <w:basedOn w:val="24"/>
    <w:autoRedefine/>
    <w:qFormat/>
    <w:uiPriority w:val="0"/>
    <w:pPr>
      <w:spacing w:before="0" w:beforeLines="0" w:after="0" w:afterLines="0"/>
      <w:jc w:val="both"/>
      <w:outlineLvl w:val="9"/>
    </w:pPr>
    <w:rPr>
      <w:rFonts w:ascii="宋体" w:hAnsi="宋体" w:eastAsia="宋体"/>
    </w:rPr>
  </w:style>
  <w:style w:type="paragraph" w:customStyle="1" w:styleId="80">
    <w:name w:val="标准文件_附录一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二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三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四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附录五级无标题"/>
    <w:basedOn w:val="33"/>
    <w:autoRedefine/>
    <w:qFormat/>
    <w:uiPriority w:val="0"/>
    <w:pPr>
      <w:spacing w:before="0" w:beforeLines="0" w:after="0" w:afterLines="0" w:line="276" w:lineRule="auto"/>
      <w:outlineLvl w:val="9"/>
    </w:pPr>
    <w:rPr>
      <w:rFonts w:ascii="宋体" w:hAnsi="宋体" w:eastAsia="宋体"/>
    </w:rPr>
  </w:style>
  <w:style w:type="paragraph" w:customStyle="1" w:styleId="85">
    <w:name w:val="标准文件_术语条一"/>
    <w:basedOn w:val="75"/>
    <w:next w:val="18"/>
    <w:autoRedefine/>
    <w:qFormat/>
    <w:uiPriority w:val="0"/>
    <w:pPr>
      <w:ind w:left="200" w:hanging="200" w:hangingChars="200"/>
    </w:pPr>
    <w:rPr>
      <w:rFonts w:ascii="黑体" w:hAnsi="黑体" w:eastAsia="黑体"/>
    </w:rPr>
  </w:style>
  <w:style w:type="paragraph" w:customStyle="1" w:styleId="86">
    <w:name w:val="标准文件_术语条二"/>
    <w:basedOn w:val="76"/>
    <w:next w:val="18"/>
    <w:autoRedefine/>
    <w:qFormat/>
    <w:uiPriority w:val="0"/>
    <w:pPr>
      <w:ind w:left="200" w:hanging="200" w:hangingChars="200"/>
    </w:pPr>
    <w:rPr>
      <w:rFonts w:ascii="黑体" w:hAnsi="黑体" w:eastAsia="黑体"/>
    </w:rPr>
  </w:style>
  <w:style w:type="paragraph" w:customStyle="1" w:styleId="87">
    <w:name w:val="标准文件_术语条三"/>
    <w:basedOn w:val="77"/>
    <w:next w:val="18"/>
    <w:autoRedefine/>
    <w:qFormat/>
    <w:uiPriority w:val="0"/>
    <w:pPr>
      <w:ind w:left="200" w:hanging="200" w:hangingChars="200"/>
    </w:pPr>
    <w:rPr>
      <w:rFonts w:ascii="黑体" w:hAnsi="黑体" w:eastAsia="黑体"/>
    </w:rPr>
  </w:style>
  <w:style w:type="paragraph" w:customStyle="1" w:styleId="88">
    <w:name w:val="标准文件_术语条四"/>
    <w:basedOn w:val="78"/>
    <w:next w:val="18"/>
    <w:autoRedefine/>
    <w:qFormat/>
    <w:uiPriority w:val="0"/>
    <w:pPr>
      <w:ind w:left="200" w:hanging="200" w:hangingChars="200"/>
    </w:pPr>
    <w:rPr>
      <w:rFonts w:ascii="黑体" w:hAnsi="黑体" w:eastAsia="黑体"/>
    </w:rPr>
  </w:style>
  <w:style w:type="paragraph" w:customStyle="1" w:styleId="89">
    <w:name w:val="标准文件_术语条五"/>
    <w:basedOn w:val="79"/>
    <w:next w:val="18"/>
    <w:autoRedefine/>
    <w:qFormat/>
    <w:uiPriority w:val="0"/>
    <w:pPr>
      <w:ind w:left="200" w:hanging="200" w:hangingChars="200"/>
    </w:pPr>
    <w:rPr>
      <w:rFonts w:ascii="黑体" w:hAnsi="黑体" w:eastAsia="黑体"/>
    </w:rPr>
  </w:style>
  <w:style w:type="paragraph" w:customStyle="1" w:styleId="90">
    <w:name w:val="样式1"/>
    <w:next w:val="27"/>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1">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2">
    <w:name w:val="样式2"/>
    <w:next w:val="27"/>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3">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4">
    <w:name w:val="样式3"/>
    <w:basedOn w:val="1"/>
    <w:next w:val="95"/>
    <w:autoRedefine/>
    <w:qFormat/>
    <w:uiPriority w:val="0"/>
    <w:pPr>
      <w:numPr>
        <w:ilvl w:val="0"/>
        <w:numId w:val="18"/>
      </w:numPr>
      <w:autoSpaceDE w:val="0"/>
      <w:autoSpaceDN w:val="0"/>
      <w:ind w:firstLine="157" w:firstLineChars="75"/>
    </w:pPr>
    <w:rPr>
      <w:rFonts w:ascii="宋体" w:hAnsi="宋体"/>
      <w:szCs w:val="22"/>
    </w:rPr>
  </w:style>
  <w:style w:type="paragraph" w:customStyle="1" w:styleId="95">
    <w:name w:val="标准文件_附录表标识"/>
    <w:basedOn w:val="1"/>
    <w:autoRedefine/>
    <w:qFormat/>
    <w:uiPriority w:val="0"/>
    <w:pPr>
      <w:numPr>
        <w:ilvl w:val="0"/>
        <w:numId w:val="19"/>
      </w:numPr>
    </w:pPr>
    <w:rPr>
      <w:rFonts w:ascii="宋体" w:hAnsi="宋体"/>
    </w:rPr>
  </w:style>
  <w:style w:type="paragraph" w:customStyle="1" w:styleId="96">
    <w:name w:val="样式4"/>
    <w:next w:val="97"/>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7">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8">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9">
    <w:name w:val="样式5"/>
    <w:basedOn w:val="27"/>
    <w:next w:val="27"/>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100">
    <w:name w:val="标准文件_附录图标识"/>
    <w:basedOn w:val="27"/>
    <w:next w:val="27"/>
    <w:autoRedefine/>
    <w:qFormat/>
    <w:uiPriority w:val="0"/>
    <w:pPr>
      <w:numPr>
        <w:ilvl w:val="0"/>
        <w:numId w:val="22"/>
      </w:numPr>
    </w:pPr>
    <w:rPr>
      <w:rFonts w:ascii="黑体" w:hAnsi="黑体" w:eastAsia="黑体"/>
      <w:vanish/>
      <w:sz w:val="2"/>
      <w:szCs w:val="2"/>
    </w:rPr>
  </w:style>
  <w:style w:type="paragraph" w:customStyle="1" w:styleId="101">
    <w:name w:val="样式6"/>
    <w:basedOn w:val="27"/>
    <w:next w:val="100"/>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2">
    <w:name w:val="标准文件_附录图标号"/>
    <w:next w:val="27"/>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3">
    <w:name w:val="标准文件_附录图题注"/>
    <w:next w:val="27"/>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4">
    <w:name w:val="样式7"/>
    <w:basedOn w:val="1"/>
    <w:next w:val="18"/>
    <w:autoRedefine/>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5">
    <w:name w:val="标准文件_图表脚注"/>
    <w:basedOn w:val="1"/>
    <w:autoRedefine/>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6">
    <w:name w:val="标准文件_参考文献标题"/>
    <w:basedOn w:val="1"/>
    <w:next w:val="1"/>
    <w:autoRedefine/>
    <w:qFormat/>
    <w:uiPriority w:val="0"/>
    <w:pPr>
      <w:spacing w:before="680" w:after="50" w:afterLines="50"/>
      <w:jc w:val="center"/>
      <w:outlineLvl w:val="0"/>
    </w:pPr>
    <w:rPr>
      <w:rFonts w:ascii="黑体" w:hAnsi="黑体" w:eastAsia="黑体"/>
      <w:sz w:val="21"/>
    </w:rPr>
  </w:style>
  <w:style w:type="paragraph" w:customStyle="1" w:styleId="107">
    <w:name w:val="样式8"/>
    <w:next w:val="108"/>
    <w:autoRedefine/>
    <w:qFormat/>
    <w:uiPriority w:val="0"/>
    <w:pPr>
      <w:numPr>
        <w:ilvl w:val="0"/>
        <w:numId w:val="27"/>
      </w:numPr>
    </w:pPr>
    <w:rPr>
      <w:rFonts w:hint="eastAsia" w:ascii="宋体" w:hAnsi="宋体" w:eastAsia="宋体" w:cs="Times New Roman"/>
      <w:lang w:val="en-US" w:eastAsia="zh-CN" w:bidi="ar-SA"/>
    </w:rPr>
  </w:style>
  <w:style w:type="paragraph" w:customStyle="1" w:styleId="108">
    <w:name w:val="标准文件_参考文献条目"/>
    <w:basedOn w:val="1"/>
    <w:autoRedefine/>
    <w:qFormat/>
    <w:uiPriority w:val="0"/>
    <w:pPr>
      <w:numPr>
        <w:ilvl w:val="0"/>
        <w:numId w:val="28"/>
      </w:numPr>
      <w:jc w:val="left"/>
    </w:pPr>
    <w:rPr>
      <w:rFonts w:ascii="宋体" w:hAnsi="宋体"/>
      <w:sz w:val="21"/>
    </w:rPr>
  </w:style>
  <w:style w:type="paragraph" w:customStyle="1" w:styleId="109">
    <w:name w:val="标准文件_目次标题"/>
    <w:basedOn w:val="1"/>
    <w:autoRedefine/>
    <w:qFormat/>
    <w:uiPriority w:val="0"/>
    <w:pPr>
      <w:spacing w:before="480" w:after="150" w:afterLines="150"/>
      <w:jc w:val="center"/>
    </w:pPr>
    <w:rPr>
      <w:rFonts w:hint="eastAsia" w:ascii="黑体" w:hAnsi="黑体" w:eastAsia="黑体"/>
      <w:sz w:val="32"/>
    </w:rPr>
  </w:style>
  <w:style w:type="paragraph" w:customStyle="1" w:styleId="110">
    <w:name w:val="标准文件_索引标题"/>
    <w:basedOn w:val="106"/>
    <w:next w:val="18"/>
    <w:autoRedefine/>
    <w:qFormat/>
    <w:uiPriority w:val="0"/>
    <w:pPr>
      <w:spacing w:before="560"/>
    </w:pPr>
    <w:rPr>
      <w:rFonts w:ascii="宋体" w:hAnsi="宋体"/>
    </w:rPr>
  </w:style>
  <w:style w:type="paragraph" w:customStyle="1" w:styleId="111">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112">
    <w:name w:val="标准文件_页脚偶数页"/>
    <w:autoRedefine/>
    <w:qFormat/>
    <w:uiPriority w:val="0"/>
    <w:pPr>
      <w:ind w:left="198"/>
    </w:pPr>
    <w:rPr>
      <w:rFonts w:ascii="宋体" w:hAnsi="宋体" w:eastAsia="宋体" w:cs="Times New Roman"/>
      <w:sz w:val="18"/>
      <w:lang w:val="en-US" w:eastAsia="zh-CN" w:bidi="ar-SA"/>
    </w:rPr>
  </w:style>
  <w:style w:type="paragraph" w:customStyle="1" w:styleId="113">
    <w:name w:val="样式9"/>
    <w:basedOn w:val="18"/>
    <w:next w:val="18"/>
    <w:autoRedefine/>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4">
    <w:name w:val="标准文件_引言一级条标题"/>
    <w:basedOn w:val="18"/>
    <w:next w:val="18"/>
    <w:autoRedefine/>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5">
    <w:name w:val="标准文件_引言二级条标题"/>
    <w:basedOn w:val="18"/>
    <w:next w:val="18"/>
    <w:autoRedefine/>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6">
    <w:name w:val="标准文件_引言三级条标题"/>
    <w:basedOn w:val="18"/>
    <w:next w:val="18"/>
    <w:autoRedefine/>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7">
    <w:name w:val="标准文件_引言四级条标题"/>
    <w:basedOn w:val="18"/>
    <w:next w:val="18"/>
    <w:autoRedefine/>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8">
    <w:name w:val="标准文件_引言五级条标题"/>
    <w:basedOn w:val="18"/>
    <w:next w:val="18"/>
    <w:autoRedefine/>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9">
    <w:name w:val="标准文件_引言一级无标题"/>
    <w:basedOn w:val="114"/>
    <w:next w:val="18"/>
    <w:autoRedefine/>
    <w:qFormat/>
    <w:uiPriority w:val="0"/>
    <w:pPr>
      <w:spacing w:before="0" w:beforeLines="0" w:after="0" w:afterLines="0" w:line="276" w:lineRule="auto"/>
    </w:pPr>
    <w:rPr>
      <w:rFonts w:hint="eastAsia" w:ascii="宋体" w:hAnsi="宋体" w:eastAsia="宋体"/>
    </w:rPr>
  </w:style>
  <w:style w:type="paragraph" w:customStyle="1" w:styleId="120">
    <w:name w:val="标准文件_引言二级无标题"/>
    <w:basedOn w:val="115"/>
    <w:next w:val="18"/>
    <w:autoRedefine/>
    <w:qFormat/>
    <w:uiPriority w:val="0"/>
    <w:pPr>
      <w:spacing w:before="0" w:beforeLines="0" w:after="0" w:afterLines="0" w:line="276" w:lineRule="auto"/>
    </w:pPr>
    <w:rPr>
      <w:rFonts w:ascii="宋体" w:hAnsi="宋体" w:eastAsia="宋体"/>
    </w:rPr>
  </w:style>
  <w:style w:type="paragraph" w:customStyle="1" w:styleId="121">
    <w:name w:val="标准文件_引言三级无标题"/>
    <w:basedOn w:val="116"/>
    <w:next w:val="18"/>
    <w:autoRedefine/>
    <w:qFormat/>
    <w:uiPriority w:val="0"/>
    <w:pPr>
      <w:spacing w:before="0" w:beforeLines="0" w:after="0" w:afterLines="0" w:line="276" w:lineRule="auto"/>
    </w:pPr>
    <w:rPr>
      <w:rFonts w:ascii="宋体" w:hAnsi="宋体" w:eastAsia="宋体"/>
    </w:rPr>
  </w:style>
  <w:style w:type="paragraph" w:customStyle="1" w:styleId="122">
    <w:name w:val="标准文件_引言四级无标题"/>
    <w:basedOn w:val="117"/>
    <w:next w:val="18"/>
    <w:autoRedefine/>
    <w:qFormat/>
    <w:uiPriority w:val="0"/>
    <w:pPr>
      <w:spacing w:before="0" w:beforeLines="0" w:after="0" w:afterLines="0" w:line="276" w:lineRule="auto"/>
    </w:pPr>
    <w:rPr>
      <w:rFonts w:ascii="宋体" w:hAnsi="宋体" w:eastAsia="宋体"/>
    </w:rPr>
  </w:style>
  <w:style w:type="paragraph" w:customStyle="1" w:styleId="123">
    <w:name w:val="标准文件_引言五级无标题"/>
    <w:basedOn w:val="118"/>
    <w:next w:val="18"/>
    <w:autoRedefine/>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esktop\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35"/>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15</Pages>
  <Words>3519</Words>
  <Characters>4641</Characters>
  <Lines>6</Lines>
  <Paragraphs>1</Paragraphs>
  <TotalTime>0</TotalTime>
  <ScaleCrop>false</ScaleCrop>
  <LinksUpToDate>false</LinksUpToDate>
  <CharactersWithSpaces>4719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2026-04-17T01:56:00Z</dcterms:created>
  <dc:creator>王漫琪</dc:creator>
  <cp:lastModifiedBy>王漫琪</cp:lastModifiedBy>
  <dcterms:modified xsi:type="dcterms:W3CDTF">2026-04-28T08:42:21Z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7860673D0B434CF3B7C69FAE4B3EB7A2_11</vt:lpwstr>
  </property>
  <property fmtid="{D5CDD505-2E9C-101B-9397-08002B2CF9AE}" pid="4" name="Company">
    <vt:lpwstr>jh</vt:lpwstr>
  </property>
  <property fmtid="{D5CDD505-2E9C-101B-9397-08002B2CF9AE}" pid="5" name="KSOTemplateDocerSaveRecord">
    <vt:lpwstr>eyJoZGlkIjoiZGMxZTg5ZWFlM2YwY2Y5ZGFlOGI3MjhkYWExMTMwODEiLCJ1c2VySWQiOiI1NjI2MzQwNjIifQ==</vt:lpwstr>
  </property>
  <property fmtid="{D5CDD505-2E9C-101B-9397-08002B2CF9AE}" pid="6" name="DoublePrinting">
    <vt:lpwstr>1</vt:lpwstr>
  </property>
</Properties>
</file>