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101E4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2479F5FC">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36A72D20">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21.220.10</w:t>
            </w:r>
            <w:r>
              <w:rPr>
                <w:rFonts w:ascii="黑体" w:hAnsi="黑体" w:eastAsia="黑体"/>
                <w:sz w:val="21"/>
                <w:szCs w:val="21"/>
              </w:rPr>
              <w:fldChar w:fldCharType="end"/>
            </w:r>
            <w:bookmarkEnd w:id="0"/>
          </w:p>
        </w:tc>
      </w:tr>
      <w:tr w14:paraId="2A28C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16CD386B">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13A6FC0A">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500C492E">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ZIUR</w:t>
                  </w:r>
                  <w:r>
                    <w:fldChar w:fldCharType="end"/>
                  </w:r>
                  <w:bookmarkEnd w:id="1"/>
                </w:p>
              </w:tc>
            </w:tr>
          </w:tbl>
          <w:p w14:paraId="22935F3C">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J18</w:t>
            </w:r>
            <w:r>
              <w:rPr>
                <w:rFonts w:ascii="黑体" w:hAnsi="黑体" w:eastAsia="黑体"/>
                <w:sz w:val="21"/>
                <w:szCs w:val="21"/>
              </w:rPr>
              <w:fldChar w:fldCharType="end"/>
            </w:r>
            <w:bookmarkEnd w:id="2"/>
          </w:p>
        </w:tc>
      </w:tr>
    </w:tbl>
    <w:p w14:paraId="62635094">
      <w:pPr>
        <w:pStyle w:val="50"/>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浙江省产学研合作促进会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3D0FA134">
      <w:pPr>
        <w:pStyle w:val="196"/>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rPr>
        <w:t>ZIUR</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rPr>
        <w:t>2026</w:t>
      </w:r>
      <w:r>
        <w:fldChar w:fldCharType="end"/>
      </w:r>
      <w:bookmarkEnd w:id="7"/>
    </w:p>
    <w:p w14:paraId="0E99E2A3">
      <w:pPr>
        <w:pStyle w:val="197"/>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0992809">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197C8699">
      <w:pPr>
        <w:pStyle w:val="50"/>
        <w:framePr w:w="9639" w:h="6976" w:hRule="exact" w:hSpace="0" w:vSpace="0" w:wrap="around" w:hAnchor="page" w:y="6408"/>
        <w:jc w:val="center"/>
        <w:rPr>
          <w:rFonts w:hint="eastAsia" w:ascii="黑体" w:hAnsi="黑体" w:eastAsia="黑体"/>
          <w:b w:val="0"/>
          <w:bCs w:val="0"/>
          <w:w w:val="100"/>
        </w:rPr>
      </w:pPr>
    </w:p>
    <w:p w14:paraId="4EC462AF">
      <w:pPr>
        <w:pStyle w:val="198"/>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lang w:eastAsia="zh-CN"/>
        </w:rPr>
        <w:t>汽车水泵皮带轮 通用技术条件</w:t>
      </w:r>
      <w:r>
        <w:fldChar w:fldCharType="end"/>
      </w:r>
      <w:bookmarkEnd w:id="9"/>
    </w:p>
    <w:p w14:paraId="46672E00">
      <w:pPr>
        <w:framePr w:w="9639" w:h="6974" w:hRule="exact" w:wrap="around" w:vAnchor="page" w:hAnchor="page" w:x="1419" w:y="6408" w:anchorLock="1"/>
        <w:ind w:left="-1418"/>
      </w:pPr>
    </w:p>
    <w:p w14:paraId="529975E9">
      <w:pPr>
        <w:pStyle w:val="126"/>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General technical requirements for automotive water pump pulleys</w:t>
      </w:r>
      <w:r>
        <w:rPr>
          <w:rFonts w:eastAsia="黑体"/>
          <w:szCs w:val="28"/>
        </w:rPr>
        <w:fldChar w:fldCharType="end"/>
      </w:r>
      <w:bookmarkEnd w:id="10"/>
    </w:p>
    <w:p w14:paraId="2B1F9A60">
      <w:pPr>
        <w:framePr w:w="9639" w:h="6974" w:hRule="exact" w:wrap="around" w:vAnchor="page" w:hAnchor="page" w:x="1419" w:y="6408" w:anchorLock="1"/>
        <w:spacing w:line="760" w:lineRule="exact"/>
        <w:ind w:left="-1418"/>
      </w:pPr>
    </w:p>
    <w:p w14:paraId="428FF855">
      <w:pPr>
        <w:pStyle w:val="126"/>
        <w:framePr w:w="9639" w:h="6974" w:hRule="exact" w:wrap="around" w:vAnchor="page" w:hAnchor="page" w:x="1419" w:y="6408" w:anchorLock="1"/>
        <w:textAlignment w:val="bottom"/>
        <w:rPr>
          <w:rFonts w:eastAsia="黑体"/>
          <w:szCs w:val="28"/>
        </w:rPr>
      </w:pPr>
    </w:p>
    <w:p w14:paraId="23AEB5C6">
      <w:pPr>
        <w:pStyle w:val="126"/>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005421C5">
      <w:pPr>
        <w:pStyle w:val="126"/>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67DD76B5">
      <w:pPr>
        <w:pStyle w:val="126"/>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258AD120">
      <w:pPr>
        <w:pStyle w:val="194"/>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hint="eastAsia" w:ascii="黑体"/>
        </w:rPr>
        <w:t>2026</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3</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17</w:t>
      </w:r>
      <w:r>
        <w:rPr>
          <w:rFonts w:ascii="黑体"/>
        </w:rPr>
        <w:fldChar w:fldCharType="end"/>
      </w:r>
      <w:bookmarkEnd w:id="16"/>
      <w:r>
        <w:rPr>
          <w:rFonts w:hint="eastAsia"/>
        </w:rPr>
        <w:t>发布</w:t>
      </w:r>
    </w:p>
    <w:p w14:paraId="6AE10996">
      <w:pPr>
        <w:pStyle w:val="195"/>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hint="eastAsia" w:ascii="黑体"/>
        </w:rPr>
        <w:t>2026</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3</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17</w:t>
      </w:r>
      <w:r>
        <w:rPr>
          <w:rFonts w:ascii="黑体"/>
        </w:rPr>
        <w:fldChar w:fldCharType="end"/>
      </w:r>
      <w:bookmarkEnd w:id="19"/>
      <w:r>
        <w:rPr>
          <w:rFonts w:hint="eastAsia"/>
        </w:rPr>
        <w:t>实施</w:t>
      </w:r>
    </w:p>
    <w:p w14:paraId="415BED25">
      <w:pPr>
        <w:pStyle w:val="152"/>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rPr>
        <w:t>浙江省产学研合作促进会</w:t>
      </w:r>
      <w:r>
        <w:rPr>
          <w:rFonts w:hAnsi="黑体"/>
          <w:w w:val="100"/>
          <w:sz w:val="28"/>
        </w:rPr>
        <w:fldChar w:fldCharType="end"/>
      </w:r>
      <w:bookmarkEnd w:id="20"/>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23C3A8C9">
      <w:pPr>
        <w:rPr>
          <w:rFonts w:hint="eastAsia" w:ascii="宋体" w:hAnsi="宋体"/>
          <w:sz w:val="28"/>
          <w:szCs w:val="28"/>
        </w:rPr>
        <w:sectPr>
          <w:headerReference r:id="rId7" w:type="first"/>
          <w:footerReference r:id="rId9" w:type="first"/>
          <w:headerReference r:id="rId5" w:type="default"/>
          <w:headerReference r:id="rId6" w:type="even"/>
          <w:footerReference r:id="rId8"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12B7255C">
      <w:pPr>
        <w:pStyle w:val="92"/>
        <w:spacing w:after="360"/>
      </w:pPr>
      <w:bookmarkStart w:id="21" w:name="BookMark1"/>
      <w:r>
        <w:rPr>
          <w:rFonts w:hint="eastAsia"/>
          <w:spacing w:val="320"/>
        </w:rPr>
        <w:t>目</w:t>
      </w:r>
      <w:r>
        <w:rPr>
          <w:rFonts w:hint="eastAsia"/>
        </w:rPr>
        <w:t>次</w:t>
      </w:r>
    </w:p>
    <w:p w14:paraId="637581D2">
      <w:pPr>
        <w:pStyle w:val="19"/>
        <w:tabs>
          <w:tab w:val="right" w:leader="dot" w:pos="9354"/>
        </w:tabs>
      </w:pPr>
      <w:r>
        <w:fldChar w:fldCharType="begin"/>
      </w:r>
      <w:r>
        <w:instrText xml:space="preserve"> TOC \o "1-1" \h </w:instrText>
      </w:r>
      <w:r>
        <w:fldChar w:fldCharType="separate"/>
      </w:r>
      <w:r>
        <w:fldChar w:fldCharType="begin"/>
      </w:r>
      <w:r>
        <w:instrText xml:space="preserve"> HYPERLINK \l _Toc32648 </w:instrText>
      </w:r>
      <w:r>
        <w:fldChar w:fldCharType="separate"/>
      </w:r>
      <w:r>
        <w:rPr>
          <w:rFonts w:hint="eastAsia"/>
          <w:spacing w:val="318"/>
          <w:lang w:eastAsia="zh-CN"/>
        </w:rPr>
        <w:t>前</w:t>
      </w:r>
      <w:r>
        <w:rPr>
          <w:rFonts w:hint="eastAsia"/>
          <w:lang w:eastAsia="zh-CN"/>
        </w:rPr>
        <w:t>言</w:t>
      </w:r>
      <w:r>
        <w:tab/>
      </w:r>
      <w:r>
        <w:fldChar w:fldCharType="begin"/>
      </w:r>
      <w:r>
        <w:instrText xml:space="preserve"> PAGEREF _Toc32648 \h </w:instrText>
      </w:r>
      <w:r>
        <w:fldChar w:fldCharType="separate"/>
      </w:r>
      <w:r>
        <w:t>II</w:t>
      </w:r>
      <w:r>
        <w:fldChar w:fldCharType="end"/>
      </w:r>
      <w:r>
        <w:fldChar w:fldCharType="end"/>
      </w:r>
    </w:p>
    <w:p w14:paraId="4F42DB5A">
      <w:pPr>
        <w:pStyle w:val="19"/>
        <w:tabs>
          <w:tab w:val="right" w:leader="dot" w:pos="9354"/>
        </w:tabs>
      </w:pPr>
      <w:r>
        <w:fldChar w:fldCharType="begin"/>
      </w:r>
      <w:r>
        <w:instrText xml:space="preserve"> HYPERLINK \l _Toc25483 </w:instrText>
      </w:r>
      <w:r>
        <w:fldChar w:fldCharType="separate"/>
      </w:r>
      <w:r>
        <w:rPr>
          <w:rFonts w:hint="eastAsia" w:ascii="黑体" w:eastAsia="黑体"/>
          <w:i w:val="0"/>
        </w:rPr>
        <w:t xml:space="preserve">1 </w:t>
      </w:r>
      <w:r>
        <w:rPr>
          <w:rFonts w:hint="eastAsia"/>
        </w:rPr>
        <w:t>范围</w:t>
      </w:r>
      <w:r>
        <w:tab/>
      </w:r>
      <w:r>
        <w:fldChar w:fldCharType="begin"/>
      </w:r>
      <w:r>
        <w:instrText xml:space="preserve"> PAGEREF _Toc25483 \h </w:instrText>
      </w:r>
      <w:r>
        <w:fldChar w:fldCharType="separate"/>
      </w:r>
      <w:r>
        <w:t>1</w:t>
      </w:r>
      <w:r>
        <w:fldChar w:fldCharType="end"/>
      </w:r>
      <w:r>
        <w:fldChar w:fldCharType="end"/>
      </w:r>
    </w:p>
    <w:p w14:paraId="27E7FABC">
      <w:pPr>
        <w:pStyle w:val="19"/>
        <w:tabs>
          <w:tab w:val="right" w:leader="dot" w:pos="9354"/>
        </w:tabs>
      </w:pPr>
      <w:r>
        <w:fldChar w:fldCharType="begin"/>
      </w:r>
      <w:r>
        <w:instrText xml:space="preserve"> HYPERLINK \l _Toc25279 </w:instrText>
      </w:r>
      <w:r>
        <w:fldChar w:fldCharType="separate"/>
      </w:r>
      <w:r>
        <w:rPr>
          <w:rFonts w:hint="eastAsia" w:ascii="黑体" w:eastAsia="黑体"/>
          <w:i w:val="0"/>
        </w:rPr>
        <w:t xml:space="preserve">2 </w:t>
      </w:r>
      <w:r>
        <w:rPr>
          <w:rFonts w:hint="eastAsia"/>
        </w:rPr>
        <w:t>规范性引用文件</w:t>
      </w:r>
      <w:r>
        <w:tab/>
      </w:r>
      <w:r>
        <w:fldChar w:fldCharType="begin"/>
      </w:r>
      <w:r>
        <w:instrText xml:space="preserve"> PAGEREF _Toc25279 \h </w:instrText>
      </w:r>
      <w:r>
        <w:fldChar w:fldCharType="separate"/>
      </w:r>
      <w:r>
        <w:t>1</w:t>
      </w:r>
      <w:r>
        <w:fldChar w:fldCharType="end"/>
      </w:r>
      <w:r>
        <w:fldChar w:fldCharType="end"/>
      </w:r>
    </w:p>
    <w:p w14:paraId="15AF9882">
      <w:pPr>
        <w:pStyle w:val="19"/>
        <w:tabs>
          <w:tab w:val="right" w:leader="dot" w:pos="9354"/>
        </w:tabs>
      </w:pPr>
      <w:r>
        <w:fldChar w:fldCharType="begin"/>
      </w:r>
      <w:r>
        <w:instrText xml:space="preserve"> HYPERLINK \l _Toc31390 </w:instrText>
      </w:r>
      <w:r>
        <w:fldChar w:fldCharType="separate"/>
      </w:r>
      <w:r>
        <w:rPr>
          <w:rFonts w:hint="eastAsia" w:ascii="黑体" w:eastAsia="黑体"/>
          <w:i w:val="0"/>
        </w:rPr>
        <w:t xml:space="preserve">3 </w:t>
      </w:r>
      <w:r>
        <w:rPr>
          <w:rFonts w:hint="eastAsia"/>
          <w:szCs w:val="21"/>
        </w:rPr>
        <w:t>术语和定义</w:t>
      </w:r>
      <w:r>
        <w:tab/>
      </w:r>
      <w:r>
        <w:fldChar w:fldCharType="begin"/>
      </w:r>
      <w:r>
        <w:instrText xml:space="preserve"> PAGEREF _Toc31390 \h </w:instrText>
      </w:r>
      <w:r>
        <w:fldChar w:fldCharType="separate"/>
      </w:r>
      <w:r>
        <w:t>1</w:t>
      </w:r>
      <w:r>
        <w:fldChar w:fldCharType="end"/>
      </w:r>
      <w:r>
        <w:fldChar w:fldCharType="end"/>
      </w:r>
    </w:p>
    <w:p w14:paraId="4A74E19C">
      <w:pPr>
        <w:pStyle w:val="19"/>
        <w:tabs>
          <w:tab w:val="right" w:leader="dot" w:pos="9354"/>
        </w:tabs>
      </w:pPr>
      <w:r>
        <w:fldChar w:fldCharType="begin"/>
      </w:r>
      <w:r>
        <w:instrText xml:space="preserve"> HYPERLINK \l _Toc27900 </w:instrText>
      </w:r>
      <w:r>
        <w:fldChar w:fldCharType="separate"/>
      </w:r>
      <w:r>
        <w:rPr>
          <w:rFonts w:hint="eastAsia" w:ascii="黑体" w:eastAsia="黑体"/>
          <w:i w:val="0"/>
        </w:rPr>
        <w:t xml:space="preserve">4 </w:t>
      </w:r>
      <w:r>
        <w:rPr>
          <w:rFonts w:hint="eastAsia"/>
          <w:lang w:val="en-US" w:eastAsia="zh-CN"/>
        </w:rPr>
        <w:t>原材料</w:t>
      </w:r>
      <w:r>
        <w:tab/>
      </w:r>
      <w:r>
        <w:fldChar w:fldCharType="begin"/>
      </w:r>
      <w:r>
        <w:instrText xml:space="preserve"> PAGEREF _Toc27900 \h </w:instrText>
      </w:r>
      <w:r>
        <w:fldChar w:fldCharType="separate"/>
      </w:r>
      <w:r>
        <w:t>1</w:t>
      </w:r>
      <w:r>
        <w:fldChar w:fldCharType="end"/>
      </w:r>
      <w:r>
        <w:fldChar w:fldCharType="end"/>
      </w:r>
    </w:p>
    <w:p w14:paraId="6D947703">
      <w:pPr>
        <w:pStyle w:val="19"/>
        <w:tabs>
          <w:tab w:val="right" w:leader="dot" w:pos="9354"/>
        </w:tabs>
      </w:pPr>
      <w:r>
        <w:fldChar w:fldCharType="begin"/>
      </w:r>
      <w:r>
        <w:instrText xml:space="preserve"> HYPERLINK \l _Toc14494 </w:instrText>
      </w:r>
      <w:r>
        <w:fldChar w:fldCharType="separate"/>
      </w:r>
      <w:r>
        <w:rPr>
          <w:rFonts w:hint="eastAsia" w:ascii="黑体" w:eastAsia="黑体"/>
          <w:i w:val="0"/>
        </w:rPr>
        <w:t xml:space="preserve">5 </w:t>
      </w:r>
      <w:r>
        <w:rPr>
          <w:rFonts w:hint="eastAsia"/>
          <w:lang w:val="en-US" w:eastAsia="zh-CN"/>
        </w:rPr>
        <w:t>技术要求</w:t>
      </w:r>
      <w:r>
        <w:tab/>
      </w:r>
      <w:r>
        <w:fldChar w:fldCharType="begin"/>
      </w:r>
      <w:r>
        <w:instrText xml:space="preserve"> PAGEREF _Toc14494 \h </w:instrText>
      </w:r>
      <w:r>
        <w:fldChar w:fldCharType="separate"/>
      </w:r>
      <w:r>
        <w:t>1</w:t>
      </w:r>
      <w:r>
        <w:fldChar w:fldCharType="end"/>
      </w:r>
      <w:r>
        <w:fldChar w:fldCharType="end"/>
      </w:r>
    </w:p>
    <w:p w14:paraId="6BBE15D3">
      <w:pPr>
        <w:pStyle w:val="19"/>
        <w:tabs>
          <w:tab w:val="right" w:leader="dot" w:pos="9354"/>
        </w:tabs>
      </w:pPr>
      <w:r>
        <w:fldChar w:fldCharType="begin"/>
      </w:r>
      <w:r>
        <w:instrText xml:space="preserve"> HYPERLINK \l _Toc15224 </w:instrText>
      </w:r>
      <w:r>
        <w:fldChar w:fldCharType="separate"/>
      </w:r>
      <w:r>
        <w:rPr>
          <w:rFonts w:hint="eastAsia" w:ascii="黑体" w:eastAsia="黑体"/>
          <w:i w:val="0"/>
          <w:lang w:val="en-US" w:eastAsia="zh-CN"/>
        </w:rPr>
        <w:t xml:space="preserve">6 </w:t>
      </w:r>
      <w:r>
        <w:rPr>
          <w:rFonts w:hint="eastAsia"/>
          <w:highlight w:val="none"/>
          <w:lang w:val="en-US" w:eastAsia="zh-CN"/>
        </w:rPr>
        <w:t>试验方法</w:t>
      </w:r>
      <w:r>
        <w:tab/>
      </w:r>
      <w:r>
        <w:fldChar w:fldCharType="begin"/>
      </w:r>
      <w:r>
        <w:instrText xml:space="preserve"> PAGEREF _Toc15224 \h </w:instrText>
      </w:r>
      <w:r>
        <w:fldChar w:fldCharType="separate"/>
      </w:r>
      <w:r>
        <w:t>2</w:t>
      </w:r>
      <w:r>
        <w:fldChar w:fldCharType="end"/>
      </w:r>
      <w:r>
        <w:fldChar w:fldCharType="end"/>
      </w:r>
    </w:p>
    <w:p w14:paraId="3D382CA1">
      <w:pPr>
        <w:pStyle w:val="19"/>
        <w:tabs>
          <w:tab w:val="right" w:leader="dot" w:pos="9354"/>
        </w:tabs>
      </w:pPr>
      <w:r>
        <w:fldChar w:fldCharType="begin"/>
      </w:r>
      <w:r>
        <w:instrText xml:space="preserve"> HYPERLINK \l _Toc22491 </w:instrText>
      </w:r>
      <w:r>
        <w:fldChar w:fldCharType="separate"/>
      </w:r>
      <w:r>
        <w:rPr>
          <w:rFonts w:hint="eastAsia" w:ascii="黑体" w:eastAsia="黑体"/>
          <w:i w:val="0"/>
        </w:rPr>
        <w:t xml:space="preserve">7 </w:t>
      </w:r>
      <w:r>
        <w:rPr>
          <w:rFonts w:hint="eastAsia"/>
          <w:lang w:val="en-US" w:eastAsia="zh-CN"/>
        </w:rPr>
        <w:t>检验规则</w:t>
      </w:r>
      <w:r>
        <w:tab/>
      </w:r>
      <w:r>
        <w:fldChar w:fldCharType="begin"/>
      </w:r>
      <w:r>
        <w:instrText xml:space="preserve"> PAGEREF _Toc22491 \h </w:instrText>
      </w:r>
      <w:r>
        <w:fldChar w:fldCharType="separate"/>
      </w:r>
      <w:r>
        <w:t>3</w:t>
      </w:r>
      <w:r>
        <w:fldChar w:fldCharType="end"/>
      </w:r>
      <w:r>
        <w:fldChar w:fldCharType="end"/>
      </w:r>
    </w:p>
    <w:p w14:paraId="0F64F404">
      <w:pPr>
        <w:pStyle w:val="19"/>
        <w:tabs>
          <w:tab w:val="right" w:leader="dot" w:pos="9354"/>
        </w:tabs>
      </w:pPr>
      <w:r>
        <w:fldChar w:fldCharType="begin"/>
      </w:r>
      <w:r>
        <w:instrText xml:space="preserve"> HYPERLINK \l _Toc20816 </w:instrText>
      </w:r>
      <w:r>
        <w:fldChar w:fldCharType="separate"/>
      </w:r>
      <w:r>
        <w:rPr>
          <w:rFonts w:hint="eastAsia" w:ascii="黑体" w:eastAsia="黑体"/>
          <w:i w:val="0"/>
        </w:rPr>
        <w:t xml:space="preserve">8 </w:t>
      </w:r>
      <w:r>
        <w:rPr>
          <w:rFonts w:hint="eastAsia"/>
        </w:rPr>
        <w:t>标志、包装、运输和</w:t>
      </w:r>
      <w:r>
        <w:rPr>
          <w:rFonts w:hint="eastAsia"/>
          <w:lang w:val="en-US" w:eastAsia="zh-CN"/>
        </w:rPr>
        <w:t>贮存</w:t>
      </w:r>
      <w:r>
        <w:tab/>
      </w:r>
      <w:r>
        <w:fldChar w:fldCharType="begin"/>
      </w:r>
      <w:r>
        <w:instrText xml:space="preserve"> PAGEREF _Toc20816 \h </w:instrText>
      </w:r>
      <w:r>
        <w:fldChar w:fldCharType="separate"/>
      </w:r>
      <w:r>
        <w:t>4</w:t>
      </w:r>
      <w:r>
        <w:fldChar w:fldCharType="end"/>
      </w:r>
      <w:r>
        <w:fldChar w:fldCharType="end"/>
      </w:r>
    </w:p>
    <w:p w14:paraId="0DB6412A">
      <w:pPr>
        <w:pStyle w:val="92"/>
        <w:spacing w:after="360"/>
        <w:sectPr>
          <w:headerReference r:id="rId10" w:type="default"/>
          <w:footerReference r:id="rId12" w:type="default"/>
          <w:headerReference r:id="rId11" w:type="even"/>
          <w:footerReference r:id="rId13" w:type="even"/>
          <w:pgSz w:w="11906" w:h="16838"/>
          <w:pgMar w:top="1928" w:right="1134" w:bottom="1134" w:left="1134" w:header="1418" w:footer="1134" w:gutter="284"/>
          <w:pgNumType w:fmt="upperRoman" w:start="1"/>
          <w:cols w:space="425" w:num="1"/>
          <w:formProt w:val="0"/>
          <w:docGrid w:linePitch="312" w:charSpace="0"/>
        </w:sectPr>
      </w:pPr>
      <w:r>
        <w:fldChar w:fldCharType="end"/>
      </w:r>
    </w:p>
    <w:bookmarkEnd w:id="21"/>
    <w:p w14:paraId="0376D486">
      <w:pPr>
        <w:pStyle w:val="90"/>
        <w:bidi w:val="0"/>
        <w:rPr>
          <w:rFonts w:hint="eastAsia" w:eastAsia="宋体"/>
          <w:lang w:eastAsia="zh-CN"/>
        </w:rPr>
      </w:pPr>
      <w:bookmarkStart w:id="22" w:name="_Toc32648"/>
      <w:bookmarkStart w:id="23" w:name="BookMark2"/>
      <w:r>
        <w:rPr>
          <w:rFonts w:hint="eastAsia"/>
          <w:spacing w:val="318"/>
          <w:lang w:eastAsia="zh-CN"/>
        </w:rPr>
        <w:t>前</w:t>
      </w:r>
      <w:r>
        <w:rPr>
          <w:rFonts w:hint="eastAsia"/>
          <w:lang w:eastAsia="zh-CN"/>
        </w:rPr>
        <w:t>言</w:t>
      </w:r>
      <w:bookmarkEnd w:id="22"/>
    </w:p>
    <w:p w14:paraId="39474C9A">
      <w:pPr>
        <w:pStyle w:val="56"/>
        <w:bidi w:val="0"/>
        <w:rPr>
          <w:rFonts w:hint="eastAsia"/>
          <w:lang w:eastAsia="zh-CN"/>
        </w:rPr>
      </w:pPr>
      <w:r>
        <w:rPr>
          <w:rFonts w:hint="eastAsia"/>
          <w:lang w:eastAsia="zh-CN"/>
        </w:rPr>
        <w:t>本文件按照GB/T 1.1—2020《标准化工作导则  第1部分：标准化文件的结构和起草规则》的规定起草。</w:t>
      </w:r>
    </w:p>
    <w:p w14:paraId="7F5FB25C">
      <w:pPr>
        <w:pStyle w:val="56"/>
        <w:bidi w:val="0"/>
        <w:rPr>
          <w:rFonts w:hint="eastAsia"/>
          <w:lang w:eastAsia="zh-CN"/>
        </w:rPr>
      </w:pPr>
      <w:r>
        <w:rPr>
          <w:rFonts w:hint="eastAsia"/>
          <w:lang w:eastAsia="zh-CN"/>
        </w:rPr>
        <w:t>请注意本文件的某些内容可能涉及专利。本文件的发布机构不承担识别专利的责任。</w:t>
      </w:r>
    </w:p>
    <w:p w14:paraId="199916E1">
      <w:pPr>
        <w:pStyle w:val="56"/>
        <w:bidi w:val="0"/>
        <w:rPr>
          <w:rFonts w:hint="eastAsia"/>
          <w:lang w:eastAsia="zh-CN"/>
        </w:rPr>
      </w:pPr>
    </w:p>
    <w:p w14:paraId="166EA287">
      <w:pPr>
        <w:pStyle w:val="56"/>
        <w:bidi w:val="0"/>
        <w:rPr>
          <w:rFonts w:hint="eastAsia"/>
          <w:lang w:eastAsia="zh-CN"/>
        </w:rPr>
      </w:pPr>
    </w:p>
    <w:p w14:paraId="795A5126">
      <w:pPr>
        <w:pStyle w:val="56"/>
        <w:bidi w:val="0"/>
        <w:rPr>
          <w:rFonts w:hint="eastAsia"/>
          <w:lang w:eastAsia="zh-CN"/>
        </w:rPr>
      </w:pPr>
      <w:r>
        <w:rPr>
          <w:rFonts w:hint="eastAsia"/>
          <w:lang w:eastAsia="zh-CN"/>
        </w:rPr>
        <w:t>本文件由</w:t>
      </w:r>
      <w:bookmarkStart w:id="24" w:name="StdPresenter"/>
      <w:r>
        <w:rPr>
          <w:rFonts w:hint="eastAsia"/>
          <w:lang w:eastAsia="zh-CN"/>
        </w:rPr>
        <w:t>浙江人驰汽车配件有限公司</w:t>
      </w:r>
      <w:bookmarkEnd w:id="24"/>
      <w:r>
        <w:rPr>
          <w:rFonts w:hint="eastAsia"/>
          <w:lang w:eastAsia="zh-CN"/>
        </w:rPr>
        <w:t>提出。</w:t>
      </w:r>
    </w:p>
    <w:p w14:paraId="18E53D92">
      <w:pPr>
        <w:pStyle w:val="56"/>
        <w:bidi w:val="0"/>
        <w:rPr>
          <w:rFonts w:hint="eastAsia"/>
          <w:lang w:eastAsia="zh-CN"/>
        </w:rPr>
      </w:pPr>
      <w:r>
        <w:rPr>
          <w:rFonts w:hint="eastAsia"/>
          <w:lang w:eastAsia="zh-CN"/>
        </w:rPr>
        <w:t>本文件由</w:t>
      </w:r>
      <w:bookmarkStart w:id="25" w:name="StdRegister"/>
      <w:r>
        <w:rPr>
          <w:rFonts w:hint="eastAsia"/>
          <w:lang w:eastAsia="zh-CN"/>
        </w:rPr>
        <w:t>浙江省产学研合作促进会</w:t>
      </w:r>
      <w:bookmarkEnd w:id="25"/>
      <w:r>
        <w:rPr>
          <w:rFonts w:hint="eastAsia"/>
          <w:lang w:eastAsia="zh-CN"/>
        </w:rPr>
        <w:t>归口。</w:t>
      </w:r>
    </w:p>
    <w:p w14:paraId="604685BC">
      <w:pPr>
        <w:pStyle w:val="56"/>
        <w:bidi w:val="0"/>
        <w:rPr>
          <w:rFonts w:hint="eastAsia"/>
          <w:lang w:eastAsia="zh-CN"/>
        </w:rPr>
      </w:pPr>
      <w:r>
        <w:rPr>
          <w:rFonts w:hint="eastAsia"/>
          <w:lang w:eastAsia="zh-CN"/>
        </w:rPr>
        <w:t>本文件起草单位：</w:t>
      </w:r>
      <w:bookmarkStart w:id="26" w:name="StdDraftdep"/>
      <w:r>
        <w:rPr>
          <w:rFonts w:hint="eastAsia"/>
          <w:lang w:eastAsia="zh-CN"/>
        </w:rPr>
        <w:t>浙江人驰汽车配件有限公司</w:t>
      </w:r>
      <w:bookmarkEnd w:id="26"/>
      <w:r>
        <w:rPr>
          <w:rFonts w:hint="eastAsia"/>
          <w:lang w:eastAsia="zh-CN"/>
        </w:rPr>
        <w:t>。</w:t>
      </w:r>
    </w:p>
    <w:p w14:paraId="33AA0C81">
      <w:pPr>
        <w:pStyle w:val="56"/>
        <w:bidi w:val="0"/>
        <w:rPr>
          <w:rFonts w:hint="eastAsia"/>
          <w:lang w:eastAsia="zh-CN"/>
        </w:rPr>
      </w:pPr>
      <w:r>
        <w:rPr>
          <w:rFonts w:hint="eastAsia"/>
          <w:lang w:eastAsia="zh-CN"/>
        </w:rPr>
        <w:t>本文件主要起草人：</w:t>
      </w:r>
      <w:bookmarkStart w:id="27" w:name="StdDrafer"/>
      <w:r>
        <w:rPr>
          <w:rFonts w:hint="eastAsia"/>
          <w:lang w:eastAsia="zh-CN"/>
        </w:rPr>
        <w:t>×××、×××</w:t>
      </w:r>
      <w:bookmarkEnd w:id="27"/>
      <w:r>
        <w:rPr>
          <w:rFonts w:hint="eastAsia"/>
          <w:lang w:eastAsia="zh-CN"/>
        </w:rPr>
        <w:t>。</w:t>
      </w:r>
    </w:p>
    <w:p w14:paraId="6F68C73D">
      <w:pPr>
        <w:pStyle w:val="56"/>
        <w:bidi w:val="0"/>
        <w:rPr>
          <w:rFonts w:hint="eastAsia"/>
          <w:lang w:eastAsia="zh-CN"/>
        </w:rPr>
      </w:pPr>
    </w:p>
    <w:p w14:paraId="24F8F1C7">
      <w:pPr>
        <w:pStyle w:val="56"/>
        <w:bidi w:val="0"/>
        <w:rPr>
          <w:rFonts w:hint="eastAsia"/>
          <w:lang w:eastAsia="zh-CN"/>
        </w:rPr>
      </w:pPr>
    </w:p>
    <w:p w14:paraId="3C7EE6FF">
      <w:pPr>
        <w:pStyle w:val="56"/>
        <w:bidi w:val="0"/>
        <w:rPr>
          <w:rFonts w:hint="eastAsia"/>
          <w:lang w:eastAsia="zh-CN"/>
        </w:rPr>
      </w:pPr>
    </w:p>
    <w:p w14:paraId="70ABCCCF">
      <w:pPr>
        <w:pStyle w:val="56"/>
        <w:bidi w:val="0"/>
        <w:rPr>
          <w:rFonts w:hint="eastAsia"/>
          <w:lang w:eastAsia="zh-CN"/>
        </w:rPr>
      </w:pPr>
    </w:p>
    <w:p w14:paraId="244A47C0">
      <w:pPr>
        <w:pStyle w:val="56"/>
        <w:bidi w:val="0"/>
        <w:rPr>
          <w:rFonts w:hint="eastAsia"/>
          <w:lang w:eastAsia="zh-CN"/>
        </w:rPr>
        <w:sectPr>
          <w:headerReference r:id="rId14" w:type="default"/>
          <w:footerReference r:id="rId16" w:type="default"/>
          <w:headerReference r:id="rId15" w:type="even"/>
          <w:footerReference r:id="rId17" w:type="even"/>
          <w:pgSz w:w="11906" w:h="16838"/>
          <w:pgMar w:top="1928" w:right="1134" w:bottom="1134" w:left="1134" w:header="1418" w:footer="1134" w:gutter="284"/>
          <w:pgNumType w:fmt="upperRoman"/>
          <w:cols w:space="425" w:num="1"/>
          <w:formProt w:val="0"/>
          <w:docGrid w:linePitch="312" w:charSpace="0"/>
        </w:sectPr>
      </w:pPr>
    </w:p>
    <w:bookmarkEnd w:id="23"/>
    <w:p w14:paraId="637C7BC3">
      <w:pPr>
        <w:spacing w:line="20" w:lineRule="exact"/>
        <w:jc w:val="center"/>
        <w:rPr>
          <w:rFonts w:hint="eastAsia" w:ascii="黑体" w:hAnsi="黑体" w:eastAsia="黑体"/>
          <w:sz w:val="32"/>
          <w:szCs w:val="32"/>
        </w:rPr>
      </w:pPr>
      <w:bookmarkStart w:id="28" w:name="BookMark4"/>
    </w:p>
    <w:p w14:paraId="64F4F527">
      <w:pPr>
        <w:spacing w:line="20" w:lineRule="exact"/>
        <w:jc w:val="center"/>
        <w:rPr>
          <w:rFonts w:hint="eastAsia" w:ascii="黑体" w:hAnsi="黑体" w:eastAsia="黑体"/>
          <w:sz w:val="32"/>
          <w:szCs w:val="32"/>
        </w:rPr>
      </w:pPr>
    </w:p>
    <w:sdt>
      <w:sdtPr>
        <w:tag w:val="NEW_STAND_NAME"/>
        <w:id w:val="595910757"/>
        <w:lock w:val="sdtLocked"/>
        <w:placeholder>
          <w:docPart w:val="31AAA52270374532AA7C98F5FC00429A"/>
        </w:placeholder>
      </w:sdtPr>
      <w:sdtContent>
        <w:p w14:paraId="6CC36CCC">
          <w:pPr>
            <w:pStyle w:val="178"/>
            <w:spacing w:before="240" w:beforeLines="100" w:after="528" w:afterLines="220"/>
            <w:rPr>
              <w:rFonts w:hint="eastAsia"/>
            </w:rPr>
          </w:pPr>
          <w:bookmarkStart w:id="29" w:name="NEW_STAND_NAME"/>
          <w:r>
            <w:rPr>
              <w:rFonts w:hint="eastAsia"/>
              <w:lang w:eastAsia="zh-CN"/>
            </w:rPr>
            <w:t>汽车水泵皮带轮 通用技术条件</w:t>
          </w:r>
          <w:bookmarkEnd w:id="29"/>
        </w:p>
      </w:sdtContent>
    </w:sdt>
    <w:p w14:paraId="7A7C3DE6">
      <w:pPr>
        <w:pStyle w:val="105"/>
        <w:spacing w:before="240" w:after="240"/>
      </w:pPr>
      <w:bookmarkStart w:id="30" w:name="_Toc24884211"/>
      <w:bookmarkStart w:id="31" w:name="_Toc26986530"/>
      <w:bookmarkStart w:id="32" w:name="_Toc26648465"/>
      <w:bookmarkStart w:id="33" w:name="_Toc97192964"/>
      <w:bookmarkStart w:id="34" w:name="_Toc24884218"/>
      <w:bookmarkStart w:id="35" w:name="_Toc26986771"/>
      <w:bookmarkStart w:id="36" w:name="_Toc17233333"/>
      <w:bookmarkStart w:id="37" w:name="_Toc26718930"/>
      <w:bookmarkStart w:id="38" w:name="_Toc17233325"/>
      <w:bookmarkStart w:id="39" w:name="_Toc199844081"/>
      <w:bookmarkStart w:id="40" w:name="_Toc25483"/>
      <w:r>
        <w:rPr>
          <w:rFonts w:hint="eastAsia"/>
        </w:rPr>
        <w:t>范围</w:t>
      </w:r>
      <w:bookmarkEnd w:id="30"/>
      <w:bookmarkEnd w:id="31"/>
      <w:bookmarkEnd w:id="32"/>
      <w:bookmarkEnd w:id="33"/>
      <w:bookmarkEnd w:id="34"/>
      <w:bookmarkEnd w:id="35"/>
      <w:bookmarkEnd w:id="36"/>
      <w:bookmarkEnd w:id="37"/>
      <w:bookmarkEnd w:id="38"/>
      <w:bookmarkEnd w:id="39"/>
      <w:bookmarkEnd w:id="40"/>
    </w:p>
    <w:p w14:paraId="7D353AF7">
      <w:pPr>
        <w:pStyle w:val="56"/>
        <w:ind w:firstLine="420"/>
        <w:rPr>
          <w:rFonts w:hint="eastAsia"/>
          <w:highlight w:val="none"/>
          <w:lang w:eastAsia="zh-CN"/>
        </w:rPr>
      </w:pPr>
      <w:bookmarkStart w:id="41" w:name="_Toc26648466"/>
      <w:bookmarkStart w:id="42" w:name="_Toc199844082"/>
      <w:bookmarkStart w:id="43" w:name="_Toc24884212"/>
      <w:bookmarkStart w:id="44" w:name="_Toc26986772"/>
      <w:bookmarkStart w:id="45" w:name="_Toc24884219"/>
      <w:bookmarkStart w:id="46" w:name="_Toc26718931"/>
      <w:bookmarkStart w:id="47" w:name="_Toc26986531"/>
      <w:bookmarkStart w:id="48" w:name="_Toc17233326"/>
      <w:bookmarkStart w:id="49" w:name="_Toc97192965"/>
      <w:bookmarkStart w:id="50" w:name="_Toc17233334"/>
      <w:r>
        <w:rPr>
          <w:rFonts w:hint="eastAsia"/>
          <w:highlight w:val="none"/>
          <w:lang w:eastAsia="zh-CN"/>
        </w:rPr>
        <w:t>本文件规定汽车水泵皮带轮（以下简称 “皮带轮”）的术语和定义、</w:t>
      </w:r>
      <w:r>
        <w:rPr>
          <w:rFonts w:hint="eastAsia"/>
          <w:highlight w:val="none"/>
          <w:lang w:val="en-US" w:eastAsia="zh-CN"/>
        </w:rPr>
        <w:t>原材料、</w:t>
      </w:r>
      <w:r>
        <w:rPr>
          <w:rFonts w:hint="eastAsia"/>
          <w:highlight w:val="none"/>
          <w:lang w:eastAsia="zh-CN"/>
        </w:rPr>
        <w:t>技术要求、试验方法、检验规则、标志、包装、运输、贮存等内容。</w:t>
      </w:r>
    </w:p>
    <w:p w14:paraId="7F26D498">
      <w:pPr>
        <w:pStyle w:val="56"/>
        <w:ind w:firstLine="420"/>
      </w:pPr>
      <w:r>
        <w:rPr>
          <w:rFonts w:hint="eastAsia"/>
          <w:highlight w:val="none"/>
          <w:lang w:eastAsia="zh-CN"/>
        </w:rPr>
        <w:t>本文件适用于乘用车、商用车、非道路车辆用内燃机冷却水泵V带轮/多楔带轮。</w:t>
      </w:r>
    </w:p>
    <w:p w14:paraId="5059402F">
      <w:pPr>
        <w:pStyle w:val="105"/>
        <w:spacing w:before="240" w:after="240"/>
      </w:pPr>
      <w:bookmarkStart w:id="51" w:name="_Toc25279"/>
      <w:r>
        <w:rPr>
          <w:rFonts w:hint="eastAsia"/>
        </w:rPr>
        <w:t>规范性引用文件</w:t>
      </w:r>
      <w:bookmarkEnd w:id="41"/>
      <w:bookmarkEnd w:id="42"/>
      <w:bookmarkEnd w:id="43"/>
      <w:bookmarkEnd w:id="44"/>
      <w:bookmarkEnd w:id="45"/>
      <w:bookmarkEnd w:id="46"/>
      <w:bookmarkEnd w:id="47"/>
      <w:bookmarkEnd w:id="48"/>
      <w:bookmarkEnd w:id="49"/>
      <w:bookmarkEnd w:id="50"/>
      <w:bookmarkEnd w:id="51"/>
    </w:p>
    <w:sdt>
      <w:sdtPr>
        <w:rPr>
          <w:rFonts w:hint="eastAsia"/>
        </w:rPr>
        <w:id w:val="715848253"/>
        <w:placeholder>
          <w:docPart w:val="FF0054CC84D048C2BFA2F4572D65DF65"/>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3DBA1BA2">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44C865DF">
      <w:pPr>
        <w:pStyle w:val="56"/>
        <w:ind w:firstLine="420"/>
        <w:rPr>
          <w:rFonts w:hint="eastAsia"/>
          <w:highlight w:val="none"/>
        </w:rPr>
      </w:pPr>
      <w:bookmarkStart w:id="52" w:name="OLE_LINK1"/>
      <w:r>
        <w:rPr>
          <w:rFonts w:hint="eastAsia"/>
          <w:highlight w:val="none"/>
        </w:rPr>
        <w:t>GB/T 228.1 金属材料 拉伸试验 第1部分:室温试验方法</w:t>
      </w:r>
    </w:p>
    <w:p w14:paraId="3D1C948D">
      <w:pPr>
        <w:pStyle w:val="56"/>
        <w:ind w:firstLine="420"/>
        <w:rPr>
          <w:rFonts w:hint="eastAsia"/>
          <w:highlight w:val="none"/>
        </w:rPr>
      </w:pPr>
      <w:r>
        <w:rPr>
          <w:rFonts w:hint="eastAsia"/>
          <w:highlight w:val="none"/>
        </w:rPr>
        <w:t>GB/T 699 优质碳素结构钢</w:t>
      </w:r>
    </w:p>
    <w:p w14:paraId="304E6D73">
      <w:pPr>
        <w:pStyle w:val="56"/>
        <w:ind w:firstLine="420"/>
        <w:rPr>
          <w:rFonts w:hint="eastAsia"/>
          <w:highlight w:val="none"/>
        </w:rPr>
      </w:pPr>
      <w:r>
        <w:rPr>
          <w:rFonts w:hint="eastAsia"/>
          <w:highlight w:val="none"/>
        </w:rPr>
        <w:t>GB/T 1031 产品几何技术规范（GPS) 表面结构 轮廓法 表面粗糙度参数及其数值</w:t>
      </w:r>
    </w:p>
    <w:p w14:paraId="2F8D05B5">
      <w:pPr>
        <w:pStyle w:val="56"/>
        <w:ind w:firstLine="420"/>
        <w:rPr>
          <w:rFonts w:hint="eastAsia"/>
          <w:highlight w:val="none"/>
        </w:rPr>
      </w:pPr>
      <w:r>
        <w:rPr>
          <w:rFonts w:hint="eastAsia"/>
          <w:highlight w:val="none"/>
        </w:rPr>
        <w:t>GB/T 1804 一般公差 未注公差的线性和角度尺寸的公差</w:t>
      </w:r>
    </w:p>
    <w:p w14:paraId="6CECA28F">
      <w:pPr>
        <w:pStyle w:val="56"/>
        <w:ind w:firstLine="420"/>
        <w:rPr>
          <w:rFonts w:hint="eastAsia"/>
          <w:highlight w:val="none"/>
        </w:rPr>
      </w:pPr>
      <w:r>
        <w:rPr>
          <w:rFonts w:hint="eastAsia"/>
          <w:highlight w:val="none"/>
        </w:rPr>
        <w:t>GB/T 1958 产品几何技术规范（GPS) 几何公差 检测与验证</w:t>
      </w:r>
    </w:p>
    <w:p w14:paraId="3F62D70F">
      <w:pPr>
        <w:pStyle w:val="56"/>
        <w:ind w:firstLine="420"/>
        <w:rPr>
          <w:rFonts w:hint="eastAsia"/>
          <w:highlight w:val="none"/>
        </w:rPr>
      </w:pPr>
      <w:r>
        <w:rPr>
          <w:rFonts w:hint="eastAsia"/>
          <w:highlight w:val="none"/>
        </w:rPr>
        <w:t>GB/T 2423.3 环境试验 第2部分：试验方法 试验Cab：恒定湿热试验</w:t>
      </w:r>
    </w:p>
    <w:p w14:paraId="5B5498A8">
      <w:pPr>
        <w:pStyle w:val="56"/>
        <w:ind w:firstLine="420"/>
        <w:rPr>
          <w:rFonts w:hint="eastAsia"/>
          <w:highlight w:val="none"/>
        </w:rPr>
      </w:pPr>
      <w:r>
        <w:rPr>
          <w:rFonts w:hint="eastAsia"/>
          <w:highlight w:val="none"/>
        </w:rPr>
        <w:t>GB/T 2828.1 计数抽样检验程序 第1部分：按接收质量限(AQL)检索的逐批检验抽样计划</w:t>
      </w:r>
    </w:p>
    <w:p w14:paraId="42114A96">
      <w:pPr>
        <w:pStyle w:val="56"/>
        <w:ind w:firstLine="420"/>
        <w:rPr>
          <w:rFonts w:hint="eastAsia"/>
          <w:highlight w:val="none"/>
        </w:rPr>
      </w:pPr>
      <w:r>
        <w:rPr>
          <w:rFonts w:hint="eastAsia"/>
          <w:highlight w:val="none"/>
        </w:rPr>
        <w:t>GB/T 5213 冷轧低碳钢板及钢带</w:t>
      </w:r>
    </w:p>
    <w:p w14:paraId="6219428E">
      <w:pPr>
        <w:pStyle w:val="56"/>
        <w:ind w:firstLine="420"/>
        <w:rPr>
          <w:rFonts w:hint="eastAsia"/>
          <w:highlight w:val="none"/>
        </w:rPr>
      </w:pPr>
      <w:r>
        <w:rPr>
          <w:rFonts w:hint="eastAsia"/>
          <w:highlight w:val="none"/>
        </w:rPr>
        <w:t>GB/T 6931.2 带传动 术语 第2部分：V带和多楔带传动</w:t>
      </w:r>
    </w:p>
    <w:p w14:paraId="0FD397B7">
      <w:pPr>
        <w:pStyle w:val="56"/>
        <w:ind w:firstLine="420"/>
        <w:rPr>
          <w:rFonts w:hint="eastAsia"/>
          <w:highlight w:val="none"/>
        </w:rPr>
      </w:pPr>
      <w:r>
        <w:rPr>
          <w:rFonts w:hint="eastAsia"/>
          <w:highlight w:val="none"/>
        </w:rPr>
        <w:t>GB/T 9239.11 机械振动 转子平衡 第11部分：刚性转子的平衡方法和允差</w:t>
      </w:r>
    </w:p>
    <w:p w14:paraId="2083D2FC">
      <w:pPr>
        <w:pStyle w:val="56"/>
        <w:ind w:firstLine="420"/>
        <w:rPr>
          <w:rFonts w:hint="eastAsia"/>
          <w:highlight w:val="none"/>
        </w:rPr>
      </w:pPr>
      <w:r>
        <w:rPr>
          <w:rFonts w:hint="eastAsia"/>
          <w:highlight w:val="none"/>
        </w:rPr>
        <w:t>GB/T 10125 人造气氛腐蚀试验 盐雾试验</w:t>
      </w:r>
    </w:p>
    <w:p w14:paraId="0D694CF0">
      <w:pPr>
        <w:pStyle w:val="56"/>
        <w:ind w:firstLine="420"/>
        <w:rPr>
          <w:rFonts w:hint="eastAsia"/>
          <w:highlight w:val="none"/>
        </w:rPr>
      </w:pPr>
      <w:r>
        <w:rPr>
          <w:rFonts w:hint="eastAsia"/>
          <w:highlight w:val="none"/>
        </w:rPr>
        <w:t>GB/T 10412 普通和窄V带轮（基准宽度制）</w:t>
      </w:r>
    </w:p>
    <w:p w14:paraId="74B54848">
      <w:pPr>
        <w:pStyle w:val="56"/>
        <w:ind w:firstLine="420"/>
        <w:rPr>
          <w:rFonts w:hint="eastAsia"/>
          <w:highlight w:val="none"/>
        </w:rPr>
      </w:pPr>
      <w:r>
        <w:rPr>
          <w:rFonts w:hint="eastAsia"/>
          <w:highlight w:val="none"/>
        </w:rPr>
        <w:t>GB/T 11357 带轮的材质、表面粗糙度及平衡</w:t>
      </w:r>
    </w:p>
    <w:p w14:paraId="41F1B6B6">
      <w:pPr>
        <w:pStyle w:val="56"/>
        <w:ind w:firstLine="420"/>
        <w:rPr>
          <w:rFonts w:hint="eastAsia"/>
          <w:highlight w:val="none"/>
        </w:rPr>
      </w:pPr>
      <w:r>
        <w:rPr>
          <w:rFonts w:hint="eastAsia"/>
          <w:highlight w:val="none"/>
        </w:rPr>
        <w:t>GB/T 30512 汽车禁用物质要求</w:t>
      </w:r>
    </w:p>
    <w:p w14:paraId="458DC7F9">
      <w:pPr>
        <w:pStyle w:val="56"/>
        <w:ind w:firstLine="420"/>
        <w:rPr>
          <w:rFonts w:hint="eastAsia"/>
          <w:highlight w:val="none"/>
        </w:rPr>
      </w:pPr>
      <w:r>
        <w:rPr>
          <w:rFonts w:hint="eastAsia"/>
          <w:highlight w:val="none"/>
        </w:rPr>
        <w:t>JB/T 8126.6</w:t>
      </w:r>
      <w:r>
        <w:rPr>
          <w:rFonts w:hint="eastAsia"/>
          <w:highlight w:val="none"/>
          <w:lang w:val="en-US" w:eastAsia="zh-CN"/>
        </w:rPr>
        <w:t xml:space="preserve"> </w:t>
      </w:r>
      <w:r>
        <w:rPr>
          <w:rFonts w:hint="eastAsia"/>
          <w:highlight w:val="none"/>
        </w:rPr>
        <w:t>内燃机 冷却水泵 第6部分：V带轮 技术条件</w:t>
      </w:r>
    </w:p>
    <w:bookmarkEnd w:id="52"/>
    <w:p w14:paraId="6A285AF5">
      <w:pPr>
        <w:pStyle w:val="105"/>
        <w:spacing w:before="240" w:after="240"/>
      </w:pPr>
      <w:bookmarkStart w:id="53" w:name="_Toc97192966"/>
      <w:bookmarkStart w:id="54" w:name="_Toc199844083"/>
      <w:bookmarkStart w:id="55" w:name="_Toc31390"/>
      <w:r>
        <w:rPr>
          <w:rFonts w:hint="eastAsia"/>
          <w:szCs w:val="21"/>
        </w:rPr>
        <w:t>术语和定义</w:t>
      </w:r>
      <w:bookmarkEnd w:id="53"/>
      <w:bookmarkEnd w:id="54"/>
      <w:bookmarkEnd w:id="55"/>
    </w:p>
    <w:sdt>
      <w:sdtPr>
        <w:rPr>
          <w:rFonts w:hint="eastAsia"/>
        </w:rPr>
        <w:id w:val="-1"/>
        <w:placeholder>
          <w:docPart w:val="BE3737DD1D8843BEAE6237A2BC536667"/>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eastAsia"/>
        </w:rPr>
      </w:sdtEndPr>
      <w:sdtContent>
        <w:p w14:paraId="178296D9">
          <w:pPr>
            <w:pStyle w:val="56"/>
            <w:ind w:firstLine="420"/>
            <w:rPr>
              <w:rFonts w:hint="eastAsia"/>
              <w:lang w:val="en-US" w:eastAsia="zh-CN"/>
            </w:rPr>
          </w:pPr>
          <w:bookmarkStart w:id="56" w:name="_Toc26986532"/>
          <w:bookmarkEnd w:id="56"/>
          <w:r>
            <w:rPr>
              <w:rFonts w:hint="eastAsia"/>
              <w:highlight w:val="none"/>
              <w:lang w:val="en-US" w:eastAsia="zh-CN"/>
            </w:rPr>
            <w:t>GB/T 6931.2、GB/T 11357</w:t>
          </w:r>
          <w:r>
            <w:rPr>
              <w:rFonts w:hint="eastAsia" w:ascii="宋体" w:hAnsi="Times New Roman" w:eastAsia="宋体" w:cs="Times New Roman"/>
              <w:sz w:val="21"/>
              <w:highlight w:val="none"/>
              <w:lang w:val="en-US" w:eastAsia="zh-CN" w:bidi="ar-SA"/>
            </w:rPr>
            <w:t>界定的术语和定义适用于本文件。</w:t>
          </w:r>
        </w:p>
      </w:sdtContent>
    </w:sdt>
    <w:p w14:paraId="1090C6ED">
      <w:pPr>
        <w:pStyle w:val="105"/>
        <w:spacing w:before="326" w:after="326"/>
        <w:rPr>
          <w:rFonts w:hint="eastAsia"/>
        </w:rPr>
      </w:pPr>
      <w:bookmarkStart w:id="57" w:name="_Toc27900"/>
      <w:bookmarkStart w:id="58" w:name="_Toc199844084"/>
      <w:r>
        <w:rPr>
          <w:rFonts w:hint="eastAsia"/>
          <w:lang w:val="en-US" w:eastAsia="zh-CN"/>
        </w:rPr>
        <w:t>原材料</w:t>
      </w:r>
      <w:bookmarkEnd w:id="57"/>
    </w:p>
    <w:p w14:paraId="74257922">
      <w:pPr>
        <w:pStyle w:val="163"/>
        <w:bidi w:val="0"/>
        <w:rPr>
          <w:rFonts w:hint="eastAsia"/>
        </w:rPr>
      </w:pPr>
      <w:r>
        <w:rPr>
          <w:rFonts w:hint="eastAsia"/>
        </w:rPr>
        <w:t>体材料</w:t>
      </w:r>
      <w:r>
        <w:rPr>
          <w:rFonts w:hint="eastAsia"/>
          <w:lang w:val="en-US" w:eastAsia="zh-CN"/>
        </w:rPr>
        <w:t>应</w:t>
      </w:r>
      <w:r>
        <w:rPr>
          <w:rFonts w:hint="eastAsia"/>
        </w:rPr>
        <w:t>优先选用优质碳素结构钢、冷轧薄钢板。</w:t>
      </w:r>
    </w:p>
    <w:p w14:paraId="0DB2A173">
      <w:pPr>
        <w:pStyle w:val="163"/>
        <w:bidi w:val="0"/>
        <w:rPr>
          <w:rFonts w:hint="eastAsia"/>
        </w:rPr>
      </w:pPr>
      <w:r>
        <w:rPr>
          <w:rFonts w:hint="eastAsia"/>
        </w:rPr>
        <w:t>表面处理材料（镀锌、电泳、喷涂等）应满足防腐、耐磨、耐温、耐介质要求，与基体结合牢固，符合环保要求。</w:t>
      </w:r>
    </w:p>
    <w:p w14:paraId="6FCCAFAF">
      <w:pPr>
        <w:pStyle w:val="163"/>
        <w:bidi w:val="0"/>
        <w:rPr>
          <w:rFonts w:hint="eastAsia"/>
        </w:rPr>
      </w:pPr>
      <w:r>
        <w:rPr>
          <w:rFonts w:hint="eastAsia"/>
        </w:rPr>
        <w:t>所有材料应符合GB/T 30512</w:t>
      </w:r>
      <w:r>
        <w:rPr>
          <w:rFonts w:hint="eastAsia"/>
          <w:lang w:val="en-US" w:eastAsia="zh-CN"/>
        </w:rPr>
        <w:t>规定</w:t>
      </w:r>
      <w:r>
        <w:rPr>
          <w:rFonts w:hint="eastAsia"/>
        </w:rPr>
        <w:t>，不含有毒有害物质</w:t>
      </w:r>
      <w:r>
        <w:rPr>
          <w:rFonts w:hint="eastAsia"/>
          <w:lang w:eastAsia="zh-CN"/>
        </w:rPr>
        <w:t>。</w:t>
      </w:r>
    </w:p>
    <w:p w14:paraId="3787B65E">
      <w:pPr>
        <w:pStyle w:val="105"/>
        <w:spacing w:before="326" w:after="326"/>
        <w:rPr>
          <w:rFonts w:hint="eastAsia"/>
        </w:rPr>
      </w:pPr>
      <w:bookmarkStart w:id="59" w:name="_Toc14494"/>
      <w:r>
        <w:rPr>
          <w:rFonts w:hint="eastAsia"/>
          <w:lang w:val="en-US" w:eastAsia="zh-CN"/>
        </w:rPr>
        <w:t>技术要求</w:t>
      </w:r>
      <w:bookmarkEnd w:id="59"/>
    </w:p>
    <w:p w14:paraId="13B0A386">
      <w:pPr>
        <w:pStyle w:val="106"/>
        <w:bidi w:val="0"/>
        <w:rPr>
          <w:rFonts w:hint="eastAsia"/>
          <w:highlight w:val="none"/>
          <w:lang w:val="en-US" w:eastAsia="zh-CN"/>
        </w:rPr>
      </w:pPr>
      <w:r>
        <w:rPr>
          <w:rFonts w:hint="eastAsia"/>
          <w:highlight w:val="none"/>
          <w:lang w:val="en-US" w:eastAsia="zh-CN"/>
        </w:rPr>
        <w:t>外观质量</w:t>
      </w:r>
    </w:p>
    <w:p w14:paraId="050FAA30">
      <w:pPr>
        <w:pStyle w:val="166"/>
        <w:bidi w:val="0"/>
        <w:rPr>
          <w:rFonts w:hint="eastAsia"/>
          <w:lang w:val="en-US" w:eastAsia="zh-CN"/>
        </w:rPr>
      </w:pPr>
      <w:r>
        <w:rPr>
          <w:rFonts w:hint="eastAsia"/>
          <w:lang w:val="en-US" w:eastAsia="zh-CN"/>
        </w:rPr>
        <w:t>产品表面应光洁，无裂纹、折叠、气泡、夹杂、毛刺、划痕、变形、锈蚀、锐边等缺陷，边缘应倒棱或圆滑过渡。</w:t>
      </w:r>
    </w:p>
    <w:p w14:paraId="5C7079AA">
      <w:pPr>
        <w:pStyle w:val="166"/>
        <w:bidi w:val="0"/>
        <w:rPr>
          <w:rFonts w:hint="eastAsia"/>
          <w:lang w:val="en-US" w:eastAsia="zh-CN"/>
        </w:rPr>
      </w:pPr>
      <w:r>
        <w:rPr>
          <w:rFonts w:hint="eastAsia"/>
          <w:lang w:val="en-US" w:eastAsia="zh-CN"/>
        </w:rPr>
        <w:t>表面处理层（镀锌、电泳、喷涂等）应均匀、致密、牢固，无漏镀、露底、起皮、脱落、气泡、针孔、流挂、色差等缺陷，结合面无积漆、无杂质。</w:t>
      </w:r>
    </w:p>
    <w:p w14:paraId="69DF423E">
      <w:pPr>
        <w:pStyle w:val="166"/>
        <w:bidi w:val="0"/>
        <w:rPr>
          <w:rFonts w:hint="eastAsia"/>
          <w:lang w:val="en-US" w:eastAsia="zh-CN"/>
        </w:rPr>
      </w:pPr>
      <w:r>
        <w:rPr>
          <w:rFonts w:hint="eastAsia"/>
          <w:lang w:val="en-US" w:eastAsia="zh-CN"/>
        </w:rPr>
        <w:t>轮槽工作面应光滑平整，无影响传动的凸起、凹陷、划痕、磕碰伤等缺陷。</w:t>
      </w:r>
    </w:p>
    <w:p w14:paraId="116A6A63">
      <w:pPr>
        <w:pStyle w:val="166"/>
        <w:bidi w:val="0"/>
        <w:rPr>
          <w:rFonts w:hint="eastAsia"/>
          <w:lang w:val="en-US" w:eastAsia="zh-CN"/>
        </w:rPr>
      </w:pPr>
      <w:r>
        <w:rPr>
          <w:rFonts w:hint="eastAsia"/>
          <w:lang w:val="en-US" w:eastAsia="zh-CN"/>
        </w:rPr>
        <w:t>轴孔、键槽等配合部位不应有锈蚀、磕碰、毛刺，尺寸与表面状态不影响正常装配。</w:t>
      </w:r>
    </w:p>
    <w:p w14:paraId="122AF004">
      <w:pPr>
        <w:pStyle w:val="106"/>
        <w:bidi w:val="0"/>
        <w:rPr>
          <w:rFonts w:hint="eastAsia"/>
          <w:lang w:val="en-US" w:eastAsia="zh-CN"/>
        </w:rPr>
      </w:pPr>
      <w:r>
        <w:rPr>
          <w:rFonts w:hint="eastAsia"/>
          <w:lang w:val="en-US" w:eastAsia="zh-CN"/>
        </w:rPr>
        <w:t>尺寸精度</w:t>
      </w:r>
    </w:p>
    <w:p w14:paraId="63605746">
      <w:pPr>
        <w:pStyle w:val="166"/>
        <w:bidi w:val="0"/>
        <w:rPr>
          <w:rFonts w:hint="eastAsia"/>
          <w:lang w:val="en-US" w:eastAsia="zh-CN"/>
        </w:rPr>
      </w:pPr>
      <w:r>
        <w:rPr>
          <w:rFonts w:hint="eastAsia"/>
          <w:lang w:val="en-US" w:eastAsia="zh-CN"/>
        </w:rPr>
        <w:t>轮槽截面尺寸、槽间距、槽角的极限偏差应符合 GB/T 10412 的规定。</w:t>
      </w:r>
    </w:p>
    <w:p w14:paraId="1E8671C8">
      <w:pPr>
        <w:pStyle w:val="166"/>
        <w:bidi w:val="0"/>
        <w:rPr>
          <w:rFonts w:hint="eastAsia"/>
          <w:lang w:val="en-US" w:eastAsia="zh-CN"/>
        </w:rPr>
      </w:pPr>
      <w:r>
        <w:rPr>
          <w:rFonts w:hint="eastAsia"/>
          <w:lang w:val="en-US" w:eastAsia="zh-CN"/>
        </w:rPr>
        <w:t>皮带轮外径、内径、厚度、轴孔等关键尺寸的公差等级应不低于IT11级；键槽对称度公差应≤0.10 mm，同轴度公差应≤0.10 mm。</w:t>
      </w:r>
    </w:p>
    <w:p w14:paraId="2FBD9046">
      <w:pPr>
        <w:pStyle w:val="166"/>
        <w:bidi w:val="0"/>
        <w:rPr>
          <w:rFonts w:hint="eastAsia"/>
          <w:lang w:val="en-US" w:eastAsia="zh-CN"/>
        </w:rPr>
      </w:pPr>
      <w:r>
        <w:rPr>
          <w:rFonts w:hint="eastAsia"/>
          <w:lang w:val="en-US" w:eastAsia="zh-CN"/>
        </w:rPr>
        <w:t>端面圆跳动与径向圆跳动按产品直径分级控制：</w:t>
      </w:r>
    </w:p>
    <w:p w14:paraId="0D27CDCE">
      <w:pPr>
        <w:pStyle w:val="175"/>
        <w:bidi w:val="0"/>
        <w:ind w:left="851" w:leftChars="0" w:hanging="426" w:firstLineChars="0"/>
        <w:rPr>
          <w:rFonts w:hint="eastAsia"/>
          <w:lang w:val="en-US" w:eastAsia="zh-CN"/>
        </w:rPr>
      </w:pPr>
      <w:r>
        <w:rPr>
          <w:rFonts w:hint="eastAsia"/>
          <w:lang w:val="en-US" w:eastAsia="zh-CN"/>
        </w:rPr>
        <w:t>直径≤150 mm 时，圆跳动量应≤0.15mm；</w:t>
      </w:r>
    </w:p>
    <w:p w14:paraId="3B19653B">
      <w:pPr>
        <w:pStyle w:val="175"/>
        <w:bidi w:val="0"/>
        <w:ind w:left="851" w:leftChars="0" w:hanging="426" w:firstLineChars="0"/>
        <w:rPr>
          <w:rFonts w:hint="eastAsia"/>
          <w:lang w:val="en-US" w:eastAsia="zh-CN"/>
        </w:rPr>
      </w:pPr>
      <w:r>
        <w:rPr>
          <w:rFonts w:hint="eastAsia"/>
          <w:lang w:val="en-US" w:eastAsia="zh-CN"/>
        </w:rPr>
        <w:t>直径＞150 mm 时，圆跳动量应≤0.20mm。</w:t>
      </w:r>
    </w:p>
    <w:p w14:paraId="066EC8AC">
      <w:pPr>
        <w:pStyle w:val="106"/>
        <w:bidi w:val="0"/>
        <w:rPr>
          <w:rFonts w:hint="eastAsia"/>
          <w:highlight w:val="none"/>
          <w:lang w:val="en-US" w:eastAsia="zh-CN"/>
        </w:rPr>
      </w:pPr>
      <w:r>
        <w:rPr>
          <w:rFonts w:hint="eastAsia"/>
          <w:highlight w:val="none"/>
          <w:lang w:val="en-US" w:eastAsia="zh-CN"/>
        </w:rPr>
        <w:t>力学性能</w:t>
      </w:r>
      <w:bookmarkStart w:id="64" w:name="_GoBack"/>
      <w:bookmarkEnd w:id="64"/>
    </w:p>
    <w:p w14:paraId="37619F4C">
      <w:pPr>
        <w:pStyle w:val="166"/>
        <w:bidi w:val="0"/>
        <w:rPr>
          <w:rFonts w:hint="eastAsia"/>
          <w:lang w:val="en-US" w:eastAsia="zh-CN"/>
        </w:rPr>
      </w:pPr>
      <w:r>
        <w:rPr>
          <w:rFonts w:hint="eastAsia"/>
          <w:lang w:val="en-US" w:eastAsia="zh-CN"/>
        </w:rPr>
        <w:t>主体材料采用优质碳素结构钢或冷轧薄钢板时，其力学性能应符合GB/T 699、 GB/T 5213的规定，且应满足：</w:t>
      </w:r>
    </w:p>
    <w:p w14:paraId="753A47AE">
      <w:pPr>
        <w:pStyle w:val="175"/>
        <w:numPr>
          <w:ilvl w:val="0"/>
          <w:numId w:val="34"/>
        </w:numPr>
        <w:bidi w:val="0"/>
        <w:ind w:left="851" w:leftChars="0" w:hanging="426" w:firstLineChars="0"/>
        <w:rPr>
          <w:rFonts w:hint="eastAsia"/>
          <w:lang w:val="en-US" w:eastAsia="zh-CN"/>
        </w:rPr>
      </w:pPr>
      <w:r>
        <w:rPr>
          <w:rFonts w:hint="eastAsia"/>
          <w:lang w:val="en-US" w:eastAsia="zh-CN"/>
        </w:rPr>
        <w:t>抗拉强度≥270 MPa；</w:t>
      </w:r>
    </w:p>
    <w:p w14:paraId="1CDDDE85">
      <w:pPr>
        <w:pStyle w:val="175"/>
        <w:numPr>
          <w:ilvl w:val="0"/>
          <w:numId w:val="34"/>
        </w:numPr>
        <w:bidi w:val="0"/>
        <w:ind w:left="851" w:leftChars="0" w:hanging="426" w:firstLineChars="0"/>
        <w:rPr>
          <w:rFonts w:hint="eastAsia"/>
          <w:lang w:val="en-US" w:eastAsia="zh-CN"/>
        </w:rPr>
      </w:pPr>
      <w:r>
        <w:rPr>
          <w:rFonts w:hint="eastAsia"/>
          <w:lang w:val="en-US" w:eastAsia="zh-CN"/>
        </w:rPr>
        <w:t>屈服强度≥165 MPa；</w:t>
      </w:r>
    </w:p>
    <w:p w14:paraId="06087136">
      <w:pPr>
        <w:pStyle w:val="175"/>
        <w:numPr>
          <w:ilvl w:val="0"/>
          <w:numId w:val="34"/>
        </w:numPr>
        <w:bidi w:val="0"/>
        <w:ind w:left="851" w:leftChars="0" w:hanging="426" w:firstLineChars="0"/>
        <w:rPr>
          <w:rFonts w:hint="eastAsia"/>
          <w:lang w:val="en-US" w:eastAsia="zh-CN"/>
        </w:rPr>
      </w:pPr>
      <w:r>
        <w:rPr>
          <w:rFonts w:hint="eastAsia"/>
          <w:lang w:val="en-US" w:eastAsia="zh-CN"/>
        </w:rPr>
        <w:t>断后伸长率≥28 %。</w:t>
      </w:r>
    </w:p>
    <w:p w14:paraId="70736B2B">
      <w:pPr>
        <w:pStyle w:val="166"/>
        <w:bidi w:val="0"/>
        <w:rPr>
          <w:rFonts w:hint="eastAsia"/>
          <w:lang w:val="en-US" w:eastAsia="zh-CN"/>
        </w:rPr>
      </w:pPr>
      <w:r>
        <w:rPr>
          <w:rFonts w:hint="eastAsia"/>
          <w:lang w:val="en-US" w:eastAsia="zh-CN"/>
        </w:rPr>
        <w:t>皮带轮轮缘、轮辐部位按JB/T 8126.6规定施加额定检验扭矩，保载 30s 后，应无永久变形、无裂纹、无断裂。</w:t>
      </w:r>
    </w:p>
    <w:p w14:paraId="29A39C8E">
      <w:pPr>
        <w:pStyle w:val="166"/>
        <w:bidi w:val="0"/>
        <w:rPr>
          <w:rFonts w:hint="eastAsia"/>
          <w:lang w:val="en-US" w:eastAsia="zh-CN"/>
        </w:rPr>
      </w:pPr>
      <w:r>
        <w:rPr>
          <w:rFonts w:hint="eastAsia"/>
          <w:lang w:val="en-US" w:eastAsia="zh-CN"/>
        </w:rPr>
        <w:t xml:space="preserve"> 轴孔、键槽等装配连接部位在1.2 倍额定传动扭矩作用下，应无松动、无压溃、无塑性变形、无损坏。</w:t>
      </w:r>
    </w:p>
    <w:p w14:paraId="5A2C48B1">
      <w:pPr>
        <w:pStyle w:val="166"/>
        <w:bidi w:val="0"/>
        <w:rPr>
          <w:rFonts w:hint="eastAsia"/>
          <w:lang w:val="en-US" w:eastAsia="zh-CN"/>
        </w:rPr>
      </w:pPr>
      <w:r>
        <w:rPr>
          <w:rFonts w:hint="eastAsia"/>
          <w:lang w:val="en-US" w:eastAsia="zh-CN"/>
        </w:rPr>
        <w:t>旋压成型产品经旋压成型后，材料抗拉强度应≥300 MPa，延伸率应≥20%。</w:t>
      </w:r>
    </w:p>
    <w:p w14:paraId="2F1F03ED">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平衡性能</w:t>
      </w:r>
    </w:p>
    <w:p w14:paraId="6375BD92">
      <w:pPr>
        <w:pStyle w:val="166"/>
        <w:bidi w:val="0"/>
        <w:rPr>
          <w:rFonts w:hint="eastAsia"/>
          <w:lang w:val="en-US" w:eastAsia="zh-CN"/>
        </w:rPr>
      </w:pPr>
      <w:r>
        <w:rPr>
          <w:rFonts w:hint="eastAsia"/>
          <w:lang w:val="en-US" w:eastAsia="zh-CN"/>
        </w:rPr>
        <w:t>皮带轮平衡性能应符合 GB/T 11357 要求，且静不平衡量、动不平衡量应满足以下规定：</w:t>
      </w:r>
    </w:p>
    <w:p w14:paraId="38E081AB">
      <w:pPr>
        <w:pStyle w:val="175"/>
        <w:numPr>
          <w:ilvl w:val="0"/>
          <w:numId w:val="35"/>
        </w:numPr>
        <w:bidi w:val="0"/>
        <w:ind w:left="851" w:leftChars="0" w:hanging="426" w:firstLineChars="0"/>
        <w:rPr>
          <w:rFonts w:hint="eastAsia"/>
          <w:lang w:val="en-US" w:eastAsia="zh-CN"/>
        </w:rPr>
      </w:pPr>
      <w:r>
        <w:rPr>
          <w:rFonts w:hint="eastAsia"/>
          <w:lang w:val="en-US" w:eastAsia="zh-CN"/>
        </w:rPr>
        <w:t>转速 ≤3000 r/min：静不平衡量≤15 g・mm，动不平衡量≤12 g・mm；</w:t>
      </w:r>
    </w:p>
    <w:p w14:paraId="7565B936">
      <w:pPr>
        <w:pStyle w:val="175"/>
        <w:numPr>
          <w:ilvl w:val="0"/>
          <w:numId w:val="35"/>
        </w:numPr>
        <w:bidi w:val="0"/>
        <w:ind w:left="851" w:leftChars="0" w:hanging="426" w:firstLineChars="0"/>
        <w:rPr>
          <w:rFonts w:hint="eastAsia"/>
          <w:lang w:val="en-US" w:eastAsia="zh-CN"/>
        </w:rPr>
      </w:pPr>
      <w:r>
        <w:rPr>
          <w:rFonts w:hint="eastAsia"/>
          <w:lang w:val="en-US" w:eastAsia="zh-CN"/>
        </w:rPr>
        <w:t>转速 ＞3000 r/min：静不平衡量≤10 g・mm，动不平衡量≤8 g・mm。</w:t>
      </w:r>
    </w:p>
    <w:p w14:paraId="0CBD2F1A">
      <w:pPr>
        <w:pStyle w:val="166"/>
        <w:bidi w:val="0"/>
        <w:rPr>
          <w:rFonts w:hint="eastAsia"/>
          <w:lang w:val="en-US" w:eastAsia="zh-CN"/>
        </w:rPr>
      </w:pPr>
      <w:r>
        <w:rPr>
          <w:rFonts w:hint="eastAsia"/>
          <w:lang w:val="en-US" w:eastAsia="zh-CN"/>
        </w:rPr>
        <w:t>平衡校正应按 GB/T 11357 规定执行，校正后残余不平衡量应符合 6.4.1 要求。</w:t>
      </w:r>
    </w:p>
    <w:p w14:paraId="25E9CD95">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表面性能</w:t>
      </w:r>
    </w:p>
    <w:p w14:paraId="0B9F57B6">
      <w:pPr>
        <w:pStyle w:val="166"/>
        <w:bidi w:val="0"/>
        <w:rPr>
          <w:rFonts w:hint="default"/>
          <w:lang w:val="en-US" w:eastAsia="zh-CN"/>
        </w:rPr>
      </w:pPr>
      <w:r>
        <w:rPr>
          <w:rFonts w:hint="default"/>
          <w:lang w:val="en-US" w:eastAsia="zh-CN"/>
        </w:rPr>
        <w:t>表面粗糙度应符合以下要求</w:t>
      </w:r>
      <w:r>
        <w:rPr>
          <w:rFonts w:hint="eastAsia"/>
          <w:lang w:val="en-US" w:eastAsia="zh-CN"/>
        </w:rPr>
        <w:t>：</w:t>
      </w:r>
    </w:p>
    <w:p w14:paraId="4A1F1D78">
      <w:pPr>
        <w:pStyle w:val="175"/>
        <w:numPr>
          <w:ilvl w:val="0"/>
          <w:numId w:val="36"/>
        </w:numPr>
        <w:bidi w:val="0"/>
        <w:ind w:left="851" w:leftChars="0" w:hanging="426" w:firstLineChars="0"/>
        <w:rPr>
          <w:rFonts w:hint="default"/>
          <w:lang w:val="en-US" w:eastAsia="zh-CN"/>
        </w:rPr>
      </w:pPr>
      <w:r>
        <w:rPr>
          <w:rFonts w:hint="default"/>
          <w:lang w:val="en-US" w:eastAsia="zh-CN"/>
        </w:rPr>
        <w:t>轮槽工作面：Ra ≤ 1.6 μm</w:t>
      </w:r>
      <w:r>
        <w:rPr>
          <w:rFonts w:hint="eastAsia"/>
          <w:lang w:val="en-US" w:eastAsia="zh-CN"/>
        </w:rPr>
        <w:t>；</w:t>
      </w:r>
    </w:p>
    <w:p w14:paraId="34E8A250">
      <w:pPr>
        <w:pStyle w:val="175"/>
        <w:numPr>
          <w:ilvl w:val="0"/>
          <w:numId w:val="36"/>
        </w:numPr>
        <w:bidi w:val="0"/>
        <w:ind w:left="851" w:leftChars="0" w:hanging="426" w:firstLineChars="0"/>
        <w:rPr>
          <w:rFonts w:hint="default"/>
          <w:lang w:val="en-US" w:eastAsia="zh-CN"/>
        </w:rPr>
      </w:pPr>
      <w:r>
        <w:rPr>
          <w:rFonts w:hint="default"/>
          <w:lang w:val="en-US" w:eastAsia="zh-CN"/>
        </w:rPr>
        <w:t>轴孔内表面：Ra ≤ 3.2 μm</w:t>
      </w:r>
      <w:r>
        <w:rPr>
          <w:rFonts w:hint="eastAsia"/>
          <w:lang w:val="en-US" w:eastAsia="zh-CN"/>
        </w:rPr>
        <w:t>。</w:t>
      </w:r>
    </w:p>
    <w:p w14:paraId="24AB4338">
      <w:pPr>
        <w:pStyle w:val="166"/>
        <w:bidi w:val="0"/>
        <w:rPr>
          <w:rFonts w:hint="default"/>
          <w:lang w:val="en-US" w:eastAsia="zh-CN"/>
        </w:rPr>
      </w:pPr>
      <w:r>
        <w:rPr>
          <w:rFonts w:hint="default"/>
          <w:lang w:val="en-US" w:eastAsia="zh-CN"/>
        </w:rPr>
        <w:t>防腐性能按 GB/T 10125 中性盐雾试验 48h，表面无锈蚀、无涂层起泡、无起皮脱落；按 GB/T 2423.3 湿热试验（40℃、95% RH、96h），涂层无损坏、无锈蚀。</w:t>
      </w:r>
    </w:p>
    <w:p w14:paraId="4F965460">
      <w:pPr>
        <w:pStyle w:val="166"/>
        <w:bidi w:val="0"/>
        <w:rPr>
          <w:rFonts w:hint="default"/>
          <w:lang w:val="en-US" w:eastAsia="zh-CN"/>
        </w:rPr>
      </w:pPr>
      <w:r>
        <w:rPr>
          <w:rFonts w:hint="default"/>
          <w:lang w:val="en-US" w:eastAsia="zh-CN"/>
        </w:rPr>
        <w:t>经50000 次循环摩擦后，轮槽工作面磨损量 ≤ 0.05 mm，无异常磨损、无露底。</w:t>
      </w:r>
    </w:p>
    <w:p w14:paraId="6C65C83E">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可靠性</w:t>
      </w:r>
    </w:p>
    <w:p w14:paraId="3E151AB1">
      <w:pPr>
        <w:pStyle w:val="66"/>
        <w:rPr>
          <w:rFonts w:hint="default"/>
          <w:lang w:val="en-US" w:eastAsia="zh-CN"/>
        </w:rPr>
      </w:pPr>
      <w:r>
        <w:rPr>
          <w:rFonts w:hint="default"/>
          <w:lang w:val="en-US" w:eastAsia="zh-CN"/>
        </w:rPr>
        <w:t>按JB/T 8126.6及产品额定工况进行1×10⁷次循环运转试验，无断裂、无变形、无失效。</w:t>
      </w:r>
    </w:p>
    <w:p w14:paraId="2A719DED">
      <w:pPr>
        <w:pStyle w:val="105"/>
        <w:spacing w:before="326" w:after="326"/>
        <w:rPr>
          <w:rFonts w:hint="default"/>
          <w:lang w:val="en-US" w:eastAsia="zh-CN"/>
        </w:rPr>
      </w:pPr>
      <w:bookmarkStart w:id="60" w:name="_Toc15224"/>
      <w:r>
        <w:rPr>
          <w:rFonts w:hint="eastAsia"/>
          <w:highlight w:val="none"/>
          <w:lang w:val="en-US" w:eastAsia="zh-CN"/>
        </w:rPr>
        <w:t>试验方法</w:t>
      </w:r>
      <w:bookmarkEnd w:id="60"/>
    </w:p>
    <w:p w14:paraId="341364DE">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外观质量</w:t>
      </w:r>
    </w:p>
    <w:p w14:paraId="0AE209E4">
      <w:pPr>
        <w:pStyle w:val="66"/>
        <w:rPr>
          <w:rFonts w:hint="eastAsia"/>
          <w:lang w:val="en-US" w:eastAsia="zh-CN"/>
        </w:rPr>
      </w:pPr>
      <w:r>
        <w:rPr>
          <w:rFonts w:hint="eastAsia"/>
          <w:lang w:val="en-US" w:eastAsia="zh-CN"/>
        </w:rPr>
        <w:t>采用目视法和手感法进行检查。</w:t>
      </w:r>
    </w:p>
    <w:p w14:paraId="511E1EA1">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尺寸精度</w:t>
      </w:r>
    </w:p>
    <w:p w14:paraId="23B40894">
      <w:pPr>
        <w:pStyle w:val="166"/>
        <w:bidi w:val="0"/>
        <w:rPr>
          <w:rFonts w:hint="default"/>
          <w:lang w:val="en-US" w:eastAsia="zh-CN"/>
        </w:rPr>
      </w:pPr>
      <w:r>
        <w:rPr>
          <w:rFonts w:hint="default"/>
          <w:lang w:val="en-US" w:eastAsia="zh-CN"/>
        </w:rPr>
        <w:t>轮槽截面尺寸、槽间距、槽角</w:t>
      </w:r>
      <w:r>
        <w:rPr>
          <w:rFonts w:hint="eastAsia"/>
          <w:lang w:val="en-US" w:eastAsia="zh-CN"/>
        </w:rPr>
        <w:t>按GB/T 10412的规定进行检测。</w:t>
      </w:r>
    </w:p>
    <w:p w14:paraId="06A8B9D4">
      <w:pPr>
        <w:pStyle w:val="166"/>
        <w:bidi w:val="0"/>
        <w:rPr>
          <w:rFonts w:hint="default"/>
          <w:lang w:val="en-US" w:eastAsia="zh-CN"/>
        </w:rPr>
      </w:pPr>
      <w:r>
        <w:rPr>
          <w:rFonts w:hint="default"/>
          <w:lang w:val="en-US" w:eastAsia="zh-CN"/>
        </w:rPr>
        <w:t>外径、内径、厚度、轴孔等关键尺寸使用游标卡尺、内径百分表、外径千分尺测量，公差按 GB/T 1804</w:t>
      </w:r>
      <w:r>
        <w:rPr>
          <w:rFonts w:hint="eastAsia"/>
          <w:lang w:val="en-US" w:eastAsia="zh-CN"/>
        </w:rPr>
        <w:t>进行检测；键槽对称度、同轴度按GB/T 1958规定，使用偏摆仪、百分表、对称度检具测量。</w:t>
      </w:r>
    </w:p>
    <w:p w14:paraId="0DD40E28">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力学性能</w:t>
      </w:r>
    </w:p>
    <w:p w14:paraId="12357451">
      <w:pPr>
        <w:pStyle w:val="166"/>
        <w:bidi w:val="0"/>
        <w:rPr>
          <w:rFonts w:hint="default"/>
          <w:lang w:val="en-US" w:eastAsia="zh-CN"/>
        </w:rPr>
      </w:pPr>
      <w:r>
        <w:rPr>
          <w:rFonts w:hint="default"/>
          <w:lang w:val="en-US" w:eastAsia="zh-CN"/>
        </w:rPr>
        <w:t>抗拉强度、屈服强度、断后伸长率按GB/T 228.1规定的室温拉伸试验方法</w:t>
      </w:r>
      <w:r>
        <w:rPr>
          <w:rFonts w:hint="eastAsia"/>
          <w:lang w:val="en-US" w:eastAsia="zh-CN"/>
        </w:rPr>
        <w:t>进行检测。</w:t>
      </w:r>
    </w:p>
    <w:p w14:paraId="48234F9D">
      <w:pPr>
        <w:pStyle w:val="166"/>
        <w:bidi w:val="0"/>
        <w:rPr>
          <w:rFonts w:hint="default"/>
          <w:lang w:val="en-US" w:eastAsia="zh-CN"/>
        </w:rPr>
      </w:pPr>
      <w:r>
        <w:rPr>
          <w:rFonts w:hint="default"/>
          <w:lang w:val="en-US" w:eastAsia="zh-CN"/>
        </w:rPr>
        <w:t>旋压成型产品力学性能按GB/T 228.1</w:t>
      </w:r>
      <w:r>
        <w:rPr>
          <w:rFonts w:hint="eastAsia"/>
          <w:lang w:val="en-US" w:eastAsia="zh-CN"/>
        </w:rPr>
        <w:t>的规定进行检测。</w:t>
      </w:r>
    </w:p>
    <w:p w14:paraId="182FBC16">
      <w:pPr>
        <w:pStyle w:val="166"/>
        <w:bidi w:val="0"/>
        <w:rPr>
          <w:rFonts w:hint="default"/>
          <w:lang w:val="en-US" w:eastAsia="zh-CN"/>
        </w:rPr>
      </w:pPr>
      <w:r>
        <w:rPr>
          <w:rFonts w:hint="default"/>
          <w:lang w:val="en-US" w:eastAsia="zh-CN"/>
        </w:rPr>
        <w:t>轮缘、轮辐扭矩试验按JB/T 8126.6施加额定检验扭矩，保载30s，目视检查永久变形、裂纹、断裂情况。</w:t>
      </w:r>
    </w:p>
    <w:p w14:paraId="5FCC6330">
      <w:pPr>
        <w:pStyle w:val="166"/>
        <w:bidi w:val="0"/>
        <w:rPr>
          <w:rFonts w:hint="default"/>
          <w:lang w:val="en-US" w:eastAsia="zh-CN"/>
        </w:rPr>
      </w:pPr>
      <w:r>
        <w:rPr>
          <w:rFonts w:hint="default"/>
          <w:lang w:val="en-US" w:eastAsia="zh-CN"/>
        </w:rPr>
        <w:t>轴孔、键槽装配强度试验：施加 1.2 倍额定传动扭矩，保载后检查松动、压溃、塑性变形、损坏情况</w:t>
      </w:r>
      <w:r>
        <w:rPr>
          <w:rFonts w:hint="eastAsia"/>
          <w:lang w:val="en-US" w:eastAsia="zh-CN"/>
        </w:rPr>
        <w:t>。</w:t>
      </w:r>
    </w:p>
    <w:p w14:paraId="7811A22C">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平衡性能</w:t>
      </w:r>
    </w:p>
    <w:p w14:paraId="5249A689">
      <w:pPr>
        <w:pStyle w:val="166"/>
        <w:bidi w:val="0"/>
        <w:rPr>
          <w:rFonts w:hint="default"/>
          <w:lang w:val="en-US" w:eastAsia="zh-CN"/>
        </w:rPr>
      </w:pPr>
      <w:r>
        <w:rPr>
          <w:rFonts w:hint="default"/>
          <w:lang w:val="en-US" w:eastAsia="zh-CN"/>
        </w:rPr>
        <w:t>按GB/T 9239.11、GB/T 11357规定</w:t>
      </w:r>
      <w:r>
        <w:rPr>
          <w:rFonts w:hint="eastAsia"/>
          <w:lang w:val="en-US" w:eastAsia="zh-CN"/>
        </w:rPr>
        <w:t>进行静不平衡、动不平衡检测。</w:t>
      </w:r>
    </w:p>
    <w:p w14:paraId="2CF58EC8">
      <w:pPr>
        <w:pStyle w:val="166"/>
        <w:bidi w:val="0"/>
        <w:rPr>
          <w:rFonts w:hint="default"/>
          <w:lang w:val="en-US" w:eastAsia="zh-CN"/>
        </w:rPr>
      </w:pPr>
      <w:r>
        <w:rPr>
          <w:rFonts w:hint="default"/>
          <w:lang w:val="en-US" w:eastAsia="zh-CN"/>
        </w:rPr>
        <w:t>按GB/T 11357</w:t>
      </w:r>
      <w:r>
        <w:rPr>
          <w:rFonts w:hint="eastAsia"/>
          <w:lang w:val="en-US" w:eastAsia="zh-CN"/>
        </w:rPr>
        <w:t>进行平衡校正，校正后重新检测残余不平衡量。</w:t>
      </w:r>
    </w:p>
    <w:p w14:paraId="7603EF4D">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表面性能</w:t>
      </w:r>
    </w:p>
    <w:p w14:paraId="62A13564">
      <w:pPr>
        <w:pStyle w:val="166"/>
        <w:bidi w:val="0"/>
        <w:rPr>
          <w:rFonts w:hint="default"/>
          <w:lang w:val="en-US" w:eastAsia="zh-CN"/>
        </w:rPr>
      </w:pPr>
      <w:r>
        <w:rPr>
          <w:rFonts w:hint="default"/>
          <w:lang w:val="en-US" w:eastAsia="zh-CN"/>
        </w:rPr>
        <w:t>轮槽工作面及轴孔内表面粗糙度应按照 GB/T 1031 的规定进行检测。</w:t>
      </w:r>
    </w:p>
    <w:p w14:paraId="798F4B44">
      <w:pPr>
        <w:pStyle w:val="166"/>
        <w:bidi w:val="0"/>
        <w:rPr>
          <w:rFonts w:hint="default"/>
          <w:lang w:val="en-US" w:eastAsia="zh-CN"/>
        </w:rPr>
      </w:pPr>
      <w:r>
        <w:rPr>
          <w:rFonts w:hint="default"/>
          <w:lang w:val="en-US" w:eastAsia="zh-CN"/>
        </w:rPr>
        <w:t>中性盐雾试验应按照 GB/T 10125 的规定执行，试验时长 48h，试验后检查产品表面是否出现锈蚀、涂层起泡及起皮脱落等缺陷。</w:t>
      </w:r>
    </w:p>
    <w:p w14:paraId="3C74DEB4">
      <w:pPr>
        <w:pStyle w:val="166"/>
        <w:bidi w:val="0"/>
        <w:rPr>
          <w:rFonts w:hint="default"/>
          <w:lang w:val="en-US" w:eastAsia="zh-CN"/>
        </w:rPr>
      </w:pPr>
      <w:r>
        <w:rPr>
          <w:rFonts w:hint="default"/>
          <w:lang w:val="en-US" w:eastAsia="zh-CN"/>
        </w:rPr>
        <w:t>湿热试验应按照 GB/T 2423.3 的规定执行，试验条件为温度40℃、相对湿度95% RH、试验时间96h，试验后检查产品是否存在涂层损坏、锈蚀等现象。</w:t>
      </w:r>
    </w:p>
    <w:p w14:paraId="546F6862">
      <w:pPr>
        <w:pStyle w:val="166"/>
        <w:bidi w:val="0"/>
        <w:rPr>
          <w:rFonts w:hint="default"/>
          <w:lang w:val="en-US" w:eastAsia="zh-CN"/>
        </w:rPr>
      </w:pPr>
      <w:r>
        <w:rPr>
          <w:rFonts w:hint="default"/>
          <w:lang w:val="en-US" w:eastAsia="zh-CN"/>
        </w:rPr>
        <w:t>在专用摩擦试验机上进行 50000 次循环摩擦，用千分尺测量轮槽工作面磨损量</w:t>
      </w:r>
      <w:r>
        <w:rPr>
          <w:rFonts w:hint="eastAsia"/>
          <w:lang w:val="en-US" w:eastAsia="zh-CN"/>
        </w:rPr>
        <w:t>。</w:t>
      </w:r>
    </w:p>
    <w:p w14:paraId="7FB6547E">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可靠性</w:t>
      </w:r>
    </w:p>
    <w:p w14:paraId="3F31476E">
      <w:pPr>
        <w:pStyle w:val="66"/>
        <w:rPr>
          <w:rFonts w:hint="default"/>
          <w:lang w:val="en-US" w:eastAsia="zh-CN"/>
        </w:rPr>
      </w:pPr>
      <w:r>
        <w:rPr>
          <w:rFonts w:hint="default"/>
          <w:lang w:val="en-US" w:eastAsia="zh-CN"/>
        </w:rPr>
        <w:t>按JB/T 8126.6及产品额定工况，在专用耐久试验台进行1×10⁷次循环运转试验，试验后检查断裂、变形、失效情况。</w:t>
      </w:r>
    </w:p>
    <w:p w14:paraId="4FF44FC3">
      <w:pPr>
        <w:pStyle w:val="105"/>
        <w:spacing w:before="326" w:after="326"/>
      </w:pPr>
      <w:bookmarkStart w:id="61" w:name="_Toc22491"/>
      <w:r>
        <w:rPr>
          <w:rFonts w:hint="eastAsia"/>
          <w:lang w:val="en-US" w:eastAsia="zh-CN"/>
        </w:rPr>
        <w:t>检验规则</w:t>
      </w:r>
      <w:bookmarkEnd w:id="61"/>
    </w:p>
    <w:p w14:paraId="168D9895">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检验分类</w:t>
      </w:r>
    </w:p>
    <w:p w14:paraId="4F5047F4">
      <w:pPr>
        <w:pStyle w:val="66"/>
        <w:rPr>
          <w:rFonts w:hint="eastAsia"/>
          <w:lang w:val="en-US" w:eastAsia="zh-CN"/>
        </w:rPr>
      </w:pPr>
      <w:r>
        <w:rPr>
          <w:rFonts w:hint="eastAsia"/>
          <w:lang w:val="en-US" w:eastAsia="zh-CN"/>
        </w:rPr>
        <w:t>检验分为出厂检验和型式检验。</w:t>
      </w:r>
    </w:p>
    <w:p w14:paraId="305CEA12">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出厂检验</w:t>
      </w:r>
    </w:p>
    <w:p w14:paraId="3EE7D02A">
      <w:pPr>
        <w:pStyle w:val="65"/>
        <w:bidi w:val="0"/>
        <w:rPr>
          <w:rFonts w:hint="eastAsia"/>
          <w:lang w:val="en-US" w:eastAsia="zh-CN"/>
        </w:rPr>
      </w:pPr>
      <w:r>
        <w:rPr>
          <w:rFonts w:hint="eastAsia"/>
          <w:lang w:val="en-US" w:eastAsia="zh-CN"/>
        </w:rPr>
        <w:t>检验项目</w:t>
      </w:r>
    </w:p>
    <w:p w14:paraId="0F4CF420">
      <w:pPr>
        <w:pStyle w:val="66"/>
        <w:rPr>
          <w:rFonts w:hint="eastAsia"/>
          <w:lang w:val="en-US" w:eastAsia="zh-CN"/>
        </w:rPr>
      </w:pPr>
      <w:r>
        <w:rPr>
          <w:rFonts w:hint="eastAsia"/>
          <w:lang w:val="en-US" w:eastAsia="zh-CN"/>
        </w:rPr>
        <w:t>出厂检验项目应包括：外观质量、尺寸精度、平衡性能、表面粗糙度。</w:t>
      </w:r>
    </w:p>
    <w:p w14:paraId="6375BA07">
      <w:pPr>
        <w:pStyle w:val="65"/>
        <w:bidi w:val="0"/>
        <w:rPr>
          <w:rFonts w:hint="default"/>
          <w:lang w:val="en-US" w:eastAsia="zh-CN"/>
        </w:rPr>
      </w:pPr>
      <w:r>
        <w:rPr>
          <w:rFonts w:hint="eastAsia"/>
          <w:lang w:val="en-US" w:eastAsia="zh-CN"/>
        </w:rPr>
        <w:t>抽样</w:t>
      </w:r>
    </w:p>
    <w:p w14:paraId="4ED5DA1C">
      <w:pPr>
        <w:pStyle w:val="66"/>
        <w:rPr>
          <w:rFonts w:hint="eastAsia"/>
          <w:lang w:val="en-US" w:eastAsia="zh-CN"/>
        </w:rPr>
      </w:pPr>
      <w:r>
        <w:rPr>
          <w:rFonts w:hint="eastAsia"/>
          <w:lang w:val="en-US" w:eastAsia="zh-CN"/>
        </w:rPr>
        <w:t>抽样检验按 GB/T 2828.1 执行，检验水平为 Ⅱ，接收质量限 AQL=1.5。</w:t>
      </w:r>
    </w:p>
    <w:p w14:paraId="7F083F58">
      <w:pPr>
        <w:pStyle w:val="65"/>
        <w:bidi w:val="0"/>
        <w:rPr>
          <w:rFonts w:hint="default"/>
          <w:lang w:val="en-US" w:eastAsia="zh-CN"/>
        </w:rPr>
      </w:pPr>
      <w:r>
        <w:rPr>
          <w:rFonts w:hint="eastAsia"/>
          <w:lang w:val="en-US" w:eastAsia="zh-CN"/>
        </w:rPr>
        <w:t>判定规则</w:t>
      </w:r>
    </w:p>
    <w:p w14:paraId="1AF72174">
      <w:pPr>
        <w:pStyle w:val="66"/>
        <w:rPr>
          <w:rFonts w:hint="default"/>
          <w:lang w:val="en-US" w:eastAsia="zh-CN"/>
        </w:rPr>
      </w:pPr>
      <w:r>
        <w:rPr>
          <w:rFonts w:hint="default"/>
          <w:lang w:val="en-US" w:eastAsia="zh-CN"/>
        </w:rPr>
        <w:t>全项合格则批合格；不合格可加倍复检，仍不合格则判批不合格。</w:t>
      </w:r>
    </w:p>
    <w:p w14:paraId="3AD3859B">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型式检验</w:t>
      </w:r>
    </w:p>
    <w:p w14:paraId="6C6ACFBA">
      <w:pPr>
        <w:pStyle w:val="65"/>
        <w:bidi w:val="0"/>
        <w:rPr>
          <w:rFonts w:hint="eastAsia"/>
          <w:lang w:val="en-US" w:eastAsia="zh-CN"/>
        </w:rPr>
      </w:pPr>
      <w:r>
        <w:rPr>
          <w:rFonts w:hint="eastAsia"/>
          <w:lang w:val="en-US" w:eastAsia="zh-CN"/>
        </w:rPr>
        <w:t>检验时机</w:t>
      </w:r>
    </w:p>
    <w:p w14:paraId="63CAC256">
      <w:pPr>
        <w:pStyle w:val="66"/>
        <w:rPr>
          <w:rFonts w:hint="eastAsia"/>
          <w:lang w:val="en-US" w:eastAsia="zh-CN"/>
        </w:rPr>
      </w:pPr>
      <w:r>
        <w:rPr>
          <w:rFonts w:hint="eastAsia"/>
          <w:lang w:val="en-US" w:eastAsia="zh-CN"/>
        </w:rPr>
        <w:t>正常生产时，每2年进行一次型式检验，但有下列情况之一时，应进行型式检验：</w:t>
      </w:r>
    </w:p>
    <w:p w14:paraId="051600E3">
      <w:pPr>
        <w:pStyle w:val="175"/>
        <w:numPr>
          <w:ilvl w:val="0"/>
          <w:numId w:val="37"/>
        </w:numPr>
        <w:bidi w:val="0"/>
        <w:ind w:left="851" w:leftChars="0" w:hanging="426" w:firstLineChars="0"/>
        <w:rPr>
          <w:rFonts w:hint="eastAsia"/>
          <w:lang w:val="en-US" w:eastAsia="zh-CN"/>
        </w:rPr>
      </w:pPr>
      <w:r>
        <w:rPr>
          <w:rFonts w:hint="eastAsia"/>
          <w:lang w:val="en-US" w:eastAsia="zh-CN"/>
        </w:rPr>
        <w:t>新产品试制定型鉴定；</w:t>
      </w:r>
    </w:p>
    <w:p w14:paraId="1334543F">
      <w:pPr>
        <w:pStyle w:val="175"/>
        <w:numPr>
          <w:ilvl w:val="0"/>
          <w:numId w:val="37"/>
        </w:numPr>
        <w:bidi w:val="0"/>
        <w:ind w:left="851" w:leftChars="0" w:hanging="426" w:firstLineChars="0"/>
        <w:rPr>
          <w:rFonts w:hint="eastAsia"/>
          <w:lang w:val="en-US" w:eastAsia="zh-CN"/>
        </w:rPr>
      </w:pPr>
      <w:r>
        <w:rPr>
          <w:rFonts w:hint="eastAsia"/>
          <w:lang w:val="en-US" w:eastAsia="zh-CN"/>
        </w:rPr>
        <w:t>正式生产后，如结构、材料、工艺有较大改变可能影响产品性能时；</w:t>
      </w:r>
    </w:p>
    <w:p w14:paraId="58D5ED3F">
      <w:pPr>
        <w:pStyle w:val="175"/>
        <w:numPr>
          <w:ilvl w:val="0"/>
          <w:numId w:val="37"/>
        </w:numPr>
        <w:bidi w:val="0"/>
        <w:ind w:left="851" w:leftChars="0" w:hanging="426" w:firstLineChars="0"/>
        <w:rPr>
          <w:rFonts w:hint="eastAsia"/>
          <w:lang w:val="en-US" w:eastAsia="zh-CN"/>
        </w:rPr>
      </w:pPr>
      <w:r>
        <w:rPr>
          <w:rFonts w:hint="eastAsia"/>
          <w:lang w:val="en-US" w:eastAsia="zh-CN"/>
        </w:rPr>
        <w:t>产品长期停产后恢复生产时。</w:t>
      </w:r>
    </w:p>
    <w:p w14:paraId="642A2F32">
      <w:pPr>
        <w:pStyle w:val="65"/>
        <w:bidi w:val="0"/>
        <w:rPr>
          <w:rFonts w:hint="eastAsia"/>
          <w:lang w:val="en-US" w:eastAsia="zh-CN"/>
        </w:rPr>
      </w:pPr>
      <w:r>
        <w:rPr>
          <w:rFonts w:hint="eastAsia"/>
          <w:lang w:val="en-US" w:eastAsia="zh-CN"/>
        </w:rPr>
        <w:t>检验项目</w:t>
      </w:r>
    </w:p>
    <w:p w14:paraId="07A84551">
      <w:pPr>
        <w:pStyle w:val="66"/>
        <w:rPr>
          <w:rFonts w:hint="eastAsia"/>
          <w:lang w:val="en-US" w:eastAsia="zh-CN"/>
        </w:rPr>
      </w:pPr>
      <w:r>
        <w:rPr>
          <w:rFonts w:hint="eastAsia"/>
          <w:lang w:val="en-US" w:eastAsia="zh-CN"/>
        </w:rPr>
        <w:t>型式检验项目为第6章的全部项目。</w:t>
      </w:r>
    </w:p>
    <w:p w14:paraId="6C6E2DCD">
      <w:pPr>
        <w:pStyle w:val="65"/>
        <w:bidi w:val="0"/>
        <w:rPr>
          <w:rFonts w:hint="default"/>
          <w:lang w:val="en-US" w:eastAsia="zh-CN"/>
        </w:rPr>
      </w:pPr>
      <w:r>
        <w:rPr>
          <w:rFonts w:hint="eastAsia"/>
          <w:lang w:val="en-US" w:eastAsia="zh-CN"/>
        </w:rPr>
        <w:t>抽样</w:t>
      </w:r>
    </w:p>
    <w:p w14:paraId="5F964698">
      <w:pPr>
        <w:pStyle w:val="66"/>
        <w:rPr>
          <w:rFonts w:hint="eastAsia"/>
          <w:lang w:val="en-US" w:eastAsia="zh-CN"/>
        </w:rPr>
      </w:pPr>
      <w:r>
        <w:rPr>
          <w:rFonts w:hint="eastAsia"/>
          <w:lang w:val="en-US" w:eastAsia="zh-CN"/>
        </w:rPr>
        <w:t>从出厂合格产品中随机抽取3</w:t>
      </w:r>
      <w:r>
        <w:rPr>
          <w:rFonts w:hint="default" w:ascii="Times New Roman" w:hAnsi="Times New Roman" w:cs="Times New Roman"/>
          <w:lang w:val="en-US" w:eastAsia="zh-CN"/>
        </w:rPr>
        <w:t>~</w:t>
      </w:r>
      <w:r>
        <w:rPr>
          <w:rFonts w:hint="eastAsia"/>
          <w:lang w:val="en-US" w:eastAsia="zh-CN"/>
        </w:rPr>
        <w:t>5件。</w:t>
      </w:r>
    </w:p>
    <w:p w14:paraId="798792B9">
      <w:pPr>
        <w:pStyle w:val="65"/>
        <w:bidi w:val="0"/>
        <w:rPr>
          <w:rFonts w:hint="default"/>
          <w:lang w:val="en-US" w:eastAsia="zh-CN"/>
        </w:rPr>
      </w:pPr>
      <w:r>
        <w:rPr>
          <w:rFonts w:hint="eastAsia"/>
          <w:lang w:val="en-US" w:eastAsia="zh-CN"/>
        </w:rPr>
        <w:t>判定规则</w:t>
      </w:r>
    </w:p>
    <w:p w14:paraId="17E060C6">
      <w:pPr>
        <w:pStyle w:val="66"/>
        <w:rPr>
          <w:rFonts w:hint="default"/>
          <w:lang w:val="en-US" w:eastAsia="zh-CN"/>
        </w:rPr>
      </w:pPr>
      <w:r>
        <w:rPr>
          <w:rFonts w:hint="default"/>
          <w:lang w:val="en-US" w:eastAsia="zh-CN"/>
        </w:rPr>
        <w:t>所抽样品全部项目合格则判型式检验合格；若有不合格，允许加倍抽样复检；复检仍不合格，则判该批产品型式检验不合格。</w:t>
      </w:r>
    </w:p>
    <w:p w14:paraId="5B0231B4">
      <w:pPr>
        <w:pStyle w:val="105"/>
        <w:spacing w:before="326" w:after="326"/>
      </w:pPr>
      <w:bookmarkStart w:id="62" w:name="_Toc20816"/>
      <w:r>
        <w:rPr>
          <w:rFonts w:hint="eastAsia"/>
        </w:rPr>
        <w:t>标志、包装、运输和</w:t>
      </w:r>
      <w:r>
        <w:rPr>
          <w:rFonts w:hint="eastAsia"/>
          <w:lang w:val="en-US" w:eastAsia="zh-CN"/>
        </w:rPr>
        <w:t>贮存</w:t>
      </w:r>
      <w:bookmarkEnd w:id="62"/>
    </w:p>
    <w:p w14:paraId="5CBDE5B5">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标志</w:t>
      </w:r>
    </w:p>
    <w:p w14:paraId="206A4A97">
      <w:pPr>
        <w:pStyle w:val="166"/>
        <w:bidi w:val="0"/>
        <w:rPr>
          <w:rFonts w:hint="default"/>
          <w:lang w:val="en-US" w:eastAsia="zh-CN"/>
        </w:rPr>
      </w:pPr>
      <w:r>
        <w:rPr>
          <w:rFonts w:hint="eastAsia"/>
          <w:lang w:val="en-US" w:eastAsia="zh-CN"/>
        </w:rPr>
        <w:t>标志本体应清晰、永久标注下列内容：</w:t>
      </w:r>
    </w:p>
    <w:p w14:paraId="0F1772AD">
      <w:pPr>
        <w:pStyle w:val="175"/>
        <w:numPr>
          <w:ilvl w:val="0"/>
          <w:numId w:val="38"/>
        </w:numPr>
        <w:bidi w:val="0"/>
        <w:ind w:left="851" w:leftChars="0" w:hanging="426" w:firstLineChars="0"/>
        <w:rPr>
          <w:rFonts w:hint="default"/>
          <w:lang w:val="en-US" w:eastAsia="zh-CN"/>
        </w:rPr>
      </w:pPr>
      <w:r>
        <w:rPr>
          <w:rFonts w:hint="eastAsia"/>
          <w:lang w:val="en-US" w:eastAsia="zh-CN"/>
        </w:rPr>
        <w:t>规格型号；</w:t>
      </w:r>
    </w:p>
    <w:p w14:paraId="3FCC3491">
      <w:pPr>
        <w:pStyle w:val="175"/>
        <w:numPr>
          <w:ilvl w:val="0"/>
          <w:numId w:val="38"/>
        </w:numPr>
        <w:bidi w:val="0"/>
        <w:ind w:left="851" w:leftChars="0" w:hanging="426" w:firstLineChars="0"/>
        <w:rPr>
          <w:rFonts w:hint="default"/>
          <w:lang w:val="en-US" w:eastAsia="zh-CN"/>
        </w:rPr>
      </w:pPr>
      <w:r>
        <w:rPr>
          <w:rFonts w:hint="eastAsia"/>
          <w:lang w:val="en-US" w:eastAsia="zh-CN"/>
        </w:rPr>
        <w:t>生产批号；</w:t>
      </w:r>
    </w:p>
    <w:p w14:paraId="32A1396B">
      <w:pPr>
        <w:pStyle w:val="175"/>
        <w:numPr>
          <w:ilvl w:val="0"/>
          <w:numId w:val="38"/>
        </w:numPr>
        <w:bidi w:val="0"/>
        <w:ind w:left="851" w:leftChars="0" w:hanging="426" w:firstLineChars="0"/>
        <w:rPr>
          <w:rFonts w:hint="default"/>
          <w:lang w:val="en-US" w:eastAsia="zh-CN"/>
        </w:rPr>
      </w:pPr>
      <w:r>
        <w:rPr>
          <w:rFonts w:hint="eastAsia"/>
          <w:lang w:val="en-US" w:eastAsia="zh-CN"/>
        </w:rPr>
        <w:t>制造商；</w:t>
      </w:r>
    </w:p>
    <w:p w14:paraId="33A69516">
      <w:pPr>
        <w:pStyle w:val="175"/>
        <w:numPr>
          <w:ilvl w:val="0"/>
          <w:numId w:val="38"/>
        </w:numPr>
        <w:bidi w:val="0"/>
        <w:ind w:left="851" w:leftChars="0" w:hanging="426" w:firstLineChars="0"/>
        <w:rPr>
          <w:rFonts w:hint="default"/>
          <w:lang w:val="en-US" w:eastAsia="zh-CN"/>
        </w:rPr>
      </w:pPr>
      <w:r>
        <w:rPr>
          <w:rFonts w:hint="eastAsia"/>
          <w:lang w:val="en-US" w:eastAsia="zh-CN"/>
        </w:rPr>
        <w:t>生产日期。</w:t>
      </w:r>
    </w:p>
    <w:p w14:paraId="738A70A8">
      <w:pPr>
        <w:pStyle w:val="166"/>
        <w:bidi w:val="0"/>
        <w:rPr>
          <w:rFonts w:hint="default"/>
          <w:lang w:val="en-US" w:eastAsia="zh-CN"/>
        </w:rPr>
      </w:pPr>
      <w:r>
        <w:rPr>
          <w:rFonts w:hint="eastAsia"/>
          <w:lang w:val="en-US" w:eastAsia="zh-CN"/>
        </w:rPr>
        <w:t>产品包装应标注：</w:t>
      </w:r>
    </w:p>
    <w:p w14:paraId="27B0E622">
      <w:pPr>
        <w:pStyle w:val="175"/>
        <w:numPr>
          <w:ilvl w:val="0"/>
          <w:numId w:val="39"/>
        </w:numPr>
        <w:bidi w:val="0"/>
        <w:ind w:left="851" w:leftChars="0" w:hanging="426" w:firstLineChars="0"/>
        <w:rPr>
          <w:rFonts w:hint="default"/>
          <w:lang w:val="en-US" w:eastAsia="zh-CN"/>
        </w:rPr>
      </w:pPr>
      <w:r>
        <w:rPr>
          <w:rFonts w:hint="default"/>
          <w:lang w:val="en-US" w:eastAsia="zh-CN"/>
        </w:rPr>
        <w:t>产品名称</w:t>
      </w:r>
      <w:r>
        <w:rPr>
          <w:rFonts w:hint="eastAsia"/>
          <w:lang w:val="en-US" w:eastAsia="zh-CN"/>
        </w:rPr>
        <w:t>；</w:t>
      </w:r>
    </w:p>
    <w:p w14:paraId="1EE261B4">
      <w:pPr>
        <w:pStyle w:val="175"/>
        <w:numPr>
          <w:ilvl w:val="0"/>
          <w:numId w:val="39"/>
        </w:numPr>
        <w:bidi w:val="0"/>
        <w:ind w:left="851" w:leftChars="0" w:hanging="426" w:firstLineChars="0"/>
        <w:rPr>
          <w:rFonts w:hint="default"/>
          <w:lang w:val="en-US" w:eastAsia="zh-CN"/>
        </w:rPr>
      </w:pPr>
      <w:r>
        <w:rPr>
          <w:rFonts w:hint="default"/>
          <w:lang w:val="en-US" w:eastAsia="zh-CN"/>
        </w:rPr>
        <w:t>型号</w:t>
      </w:r>
      <w:r>
        <w:rPr>
          <w:rFonts w:hint="eastAsia"/>
          <w:lang w:val="en-US" w:eastAsia="zh-CN"/>
        </w:rPr>
        <w:t>；</w:t>
      </w:r>
    </w:p>
    <w:p w14:paraId="5968E9E3">
      <w:pPr>
        <w:pStyle w:val="175"/>
        <w:numPr>
          <w:ilvl w:val="0"/>
          <w:numId w:val="39"/>
        </w:numPr>
        <w:bidi w:val="0"/>
        <w:ind w:left="851" w:leftChars="0" w:hanging="426" w:firstLineChars="0"/>
        <w:rPr>
          <w:rFonts w:hint="default"/>
          <w:lang w:val="en-US" w:eastAsia="zh-CN"/>
        </w:rPr>
      </w:pPr>
      <w:r>
        <w:rPr>
          <w:rFonts w:hint="default"/>
          <w:lang w:val="en-US" w:eastAsia="zh-CN"/>
        </w:rPr>
        <w:t>数量</w:t>
      </w:r>
      <w:r>
        <w:rPr>
          <w:rFonts w:hint="eastAsia"/>
          <w:lang w:val="en-US" w:eastAsia="zh-CN"/>
        </w:rPr>
        <w:t>；</w:t>
      </w:r>
    </w:p>
    <w:p w14:paraId="51229010">
      <w:pPr>
        <w:pStyle w:val="175"/>
        <w:numPr>
          <w:ilvl w:val="0"/>
          <w:numId w:val="39"/>
        </w:numPr>
        <w:bidi w:val="0"/>
        <w:ind w:left="851" w:leftChars="0" w:hanging="426" w:firstLineChars="0"/>
        <w:rPr>
          <w:rFonts w:hint="default"/>
          <w:lang w:val="en-US" w:eastAsia="zh-CN"/>
        </w:rPr>
      </w:pPr>
      <w:r>
        <w:rPr>
          <w:rFonts w:hint="default"/>
          <w:lang w:val="en-US" w:eastAsia="zh-CN"/>
        </w:rPr>
        <w:t>制造商</w:t>
      </w:r>
      <w:r>
        <w:rPr>
          <w:rFonts w:hint="eastAsia"/>
          <w:lang w:val="en-US" w:eastAsia="zh-CN"/>
        </w:rPr>
        <w:t>；</w:t>
      </w:r>
    </w:p>
    <w:p w14:paraId="19DB4955">
      <w:pPr>
        <w:pStyle w:val="175"/>
        <w:numPr>
          <w:ilvl w:val="0"/>
          <w:numId w:val="39"/>
        </w:numPr>
        <w:bidi w:val="0"/>
        <w:ind w:left="851" w:leftChars="0" w:hanging="426" w:firstLineChars="0"/>
        <w:rPr>
          <w:rFonts w:hint="default"/>
          <w:lang w:val="en-US" w:eastAsia="zh-CN"/>
        </w:rPr>
      </w:pPr>
      <w:r>
        <w:rPr>
          <w:rFonts w:hint="default"/>
          <w:lang w:val="en-US" w:eastAsia="zh-CN"/>
        </w:rPr>
        <w:t>防潮 / 防震 / 易碎标识。</w:t>
      </w:r>
    </w:p>
    <w:p w14:paraId="7126BAE1">
      <w:pPr>
        <w:pStyle w:val="166"/>
        <w:bidi w:val="0"/>
        <w:rPr>
          <w:rFonts w:hint="default"/>
          <w:lang w:val="en-US" w:eastAsia="zh-CN"/>
        </w:rPr>
      </w:pPr>
      <w:r>
        <w:rPr>
          <w:rFonts w:hint="eastAsia"/>
          <w:lang w:val="en-US" w:eastAsia="zh-CN"/>
        </w:rPr>
        <w:t>标志应清晰、牢固、耐擦拭，在包装、运输、贮存过程中不易脱落。</w:t>
      </w:r>
    </w:p>
    <w:p w14:paraId="56FE955C">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包装</w:t>
      </w:r>
    </w:p>
    <w:p w14:paraId="0C9C322D">
      <w:pPr>
        <w:pStyle w:val="66"/>
        <w:rPr>
          <w:rFonts w:hint="default"/>
          <w:lang w:val="en-US" w:eastAsia="zh-CN"/>
        </w:rPr>
      </w:pPr>
      <w:r>
        <w:rPr>
          <w:rFonts w:hint="default"/>
          <w:lang w:val="en-US" w:eastAsia="zh-CN"/>
        </w:rPr>
        <w:t>产品采用防潮、防震包装，单件套入防护袋，使用纸箱配合泡沫或气泡膜进行固定包装；每箱随附产品合格证、检验报告及使用说明书。</w:t>
      </w:r>
    </w:p>
    <w:p w14:paraId="760FBA5E">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运输</w:t>
      </w:r>
    </w:p>
    <w:p w14:paraId="6AB35E49">
      <w:pPr>
        <w:pStyle w:val="66"/>
        <w:rPr>
          <w:rFonts w:hint="default"/>
          <w:lang w:val="en-US" w:eastAsia="zh-CN"/>
        </w:rPr>
      </w:pPr>
      <w:r>
        <w:rPr>
          <w:rFonts w:hint="default"/>
          <w:lang w:val="en-US" w:eastAsia="zh-CN"/>
        </w:rPr>
        <w:t>运输过程应避免雨淋、暴晒、剧烈碰撞，不得与腐蚀性物质混运</w:t>
      </w:r>
      <w:r>
        <w:rPr>
          <w:rFonts w:hint="eastAsia"/>
          <w:lang w:val="en-US" w:eastAsia="zh-CN"/>
        </w:rPr>
        <w:t>。</w:t>
      </w:r>
    </w:p>
    <w:p w14:paraId="39DDC7EB">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贮存</w:t>
      </w:r>
    </w:p>
    <w:p w14:paraId="4B9CAAA5">
      <w:pPr>
        <w:pStyle w:val="66"/>
        <w:rPr>
          <w:rFonts w:hint="default"/>
          <w:lang w:val="en-US" w:eastAsia="zh-CN"/>
        </w:rPr>
      </w:pPr>
      <w:r>
        <w:rPr>
          <w:rFonts w:hint="default"/>
          <w:lang w:val="en-US" w:eastAsia="zh-CN"/>
        </w:rPr>
        <w:t>产品应贮存在通风、干燥、清洁、避光、无腐蚀性气体的室内环境。</w:t>
      </w:r>
    </w:p>
    <w:bookmarkEnd w:id="28"/>
    <w:bookmarkEnd w:id="58"/>
    <w:p w14:paraId="57A05AD5">
      <w:pPr>
        <w:pStyle w:val="56"/>
        <w:ind w:firstLine="0" w:firstLineChars="0"/>
        <w:jc w:val="center"/>
      </w:pPr>
      <w:bookmarkStart w:id="63" w:name="BookMark8"/>
      <w:r>
        <w:drawing>
          <wp:inline distT="0" distB="0" distL="0" distR="0">
            <wp:extent cx="1485900" cy="317500"/>
            <wp:effectExtent l="0" t="0" r="0" b="6350"/>
            <wp:docPr id="530575613" name="图片 3"/>
            <wp:cNvGraphicFramePr/>
            <a:graphic xmlns:a="http://schemas.openxmlformats.org/drawingml/2006/main">
              <a:graphicData uri="http://schemas.openxmlformats.org/drawingml/2006/picture">
                <pic:pic xmlns:pic="http://schemas.openxmlformats.org/drawingml/2006/picture">
                  <pic:nvPicPr>
                    <pic:cNvPr id="530575613" name="图片 3"/>
                    <pic:cNvPicPr/>
                  </pic:nvPicPr>
                  <pic:blipFill>
                    <a:blip r:embed="rId25">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63"/>
    </w:p>
    <w:sectPr>
      <w:headerReference r:id="rId18" w:type="default"/>
      <w:footerReference r:id="rId20" w:type="default"/>
      <w:headerReference r:id="rId19" w:type="even"/>
      <w:footerReference r:id="rId21" w:type="even"/>
      <w:pgSz w:w="11906" w:h="16838"/>
      <w:pgMar w:top="1928" w:right="1134" w:bottom="1134" w:left="1134" w:header="1418" w:footer="1134" w:gutter="284"/>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MS PGothic">
    <w:panose1 w:val="020B0600070205080204"/>
    <w:charset w:val="80"/>
    <w:family w:val="auto"/>
    <w:pitch w:val="default"/>
    <w:sig w:usb0="E00002FF" w:usb1="6AC7FDFB" w:usb2="08000012" w:usb3="00000000" w:csb0="4002009F" w:csb1="DFD70000"/>
  </w:font>
  <w:font w:name="Segoe UI">
    <w:panose1 w:val="020B0502040204020203"/>
    <w:charset w:val="00"/>
    <w:family w:val="auto"/>
    <w:pitch w:val="default"/>
    <w:sig w:usb0="E4002EFF" w:usb1="C000E47F"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32F72D">
    <w:pPr>
      <w:pStyle w:val="17"/>
      <w:ind w:right="720"/>
      <w:jc w:val="both"/>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FE005C">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103368">
    <w:pPr>
      <w:pStyle w:val="52"/>
      <w:bidi w:val="0"/>
    </w:pPr>
    <w:r>
      <w:fldChar w:fldCharType="begin"/>
    </w:r>
    <w:r>
      <w:instrText xml:space="preserve"> PAGE   \* Roman </w:instrText>
    </w:r>
    <w:r>
      <w:fldChar w:fldCharType="separate"/>
    </w:r>
    <w:r>
      <w:t>I</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21B796">
    <w:pPr>
      <w:pStyle w:val="17"/>
      <w:ind w:right="720"/>
      <w:jc w:val="both"/>
    </w:pPr>
    <w:r>
      <w:fldChar w:fldCharType="begin"/>
    </w:r>
    <w:r>
      <w:instrText xml:space="preserve"> PAGE   \* Roman </w:instrText>
    </w:r>
    <w:r>
      <w:fldChar w:fldCharType="separate"/>
    </w:r>
    <w:r>
      <w:t>II</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A46002">
    <w:pPr>
      <w:pStyle w:val="52"/>
      <w:bidi w:val="0"/>
    </w:pPr>
    <w:r>
      <w:fldChar w:fldCharType="begin"/>
    </w:r>
    <w:r>
      <w:instrText xml:space="preserve"> PAGE   \* Roman </w:instrText>
    </w:r>
    <w:r>
      <w:fldChar w:fldCharType="separate"/>
    </w:r>
    <w:r>
      <w:t>II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7AAE62">
    <w:pPr>
      <w:pStyle w:val="17"/>
      <w:ind w:right="720"/>
      <w:jc w:val="both"/>
    </w:pPr>
    <w:r>
      <w:fldChar w:fldCharType="begin"/>
    </w:r>
    <w:r>
      <w:instrText xml:space="preserve"> PAGE   \* Roman </w:instrText>
    </w:r>
    <w:r>
      <w:fldChar w:fldCharType="separate"/>
    </w:r>
    <w:r>
      <w:t>III</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C0A3CF">
    <w:pPr>
      <w:pStyle w:val="52"/>
      <w:bidi w:val="0"/>
    </w:pPr>
    <w:r>
      <w:fldChar w:fldCharType="begin"/>
    </w:r>
    <w:r>
      <w:instrText xml:space="preserve"> PAGE   \* Arabic </w:instrText>
    </w:r>
    <w:r>
      <w:fldChar w:fldCharType="separate"/>
    </w:r>
    <w:r>
      <w:t>1</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FE0B43">
    <w:pPr>
      <w:pStyle w:val="17"/>
      <w:ind w:right="720"/>
      <w:jc w:val="both"/>
    </w:pPr>
    <w:r>
      <w:fldChar w:fldCharType="begin"/>
    </w:r>
    <w:r>
      <w:instrText xml:space="preserve"> PAGE   \* Arabic </w:instrText>
    </w:r>
    <w:r>
      <w:fldChar w:fldCharType="separate"/>
    </w:r>
    <w:r>
      <w:t>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7AD00D">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A5A774">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9C67DE">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D0F22F">
    <w:pPr>
      <w:pStyle w:val="61"/>
      <w:rPr>
        <w:rFonts w:hint="default" w:eastAsia="黑体"/>
        <w:lang w:val="en-US" w:eastAsia="zh-CN"/>
      </w:rPr>
    </w:pPr>
    <w:r>
      <w:rPr>
        <w:rFonts w:hint="eastAsia"/>
        <w:lang w:eastAsia="zh-CN"/>
      </w:rPr>
      <w:t>T/ZIUR XXXX-2026</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221FFB">
    <w:pPr>
      <w:pStyle w:val="18"/>
      <w:ind w:right="800"/>
      <w:jc w:val="both"/>
      <w:rPr>
        <w:rFonts w:hint="eastAsia" w:ascii="黑体" w:hAnsi="黑体" w:eastAsia="黑体"/>
        <w:sz w:val="20"/>
        <w:szCs w:val="20"/>
        <w:lang w:eastAsia="zh-CN"/>
      </w:rPr>
    </w:pPr>
    <w:r>
      <w:rPr>
        <w:rFonts w:hint="eastAsia" w:ascii="黑体" w:hAnsi="黑体" w:eastAsia="黑体"/>
        <w:sz w:val="20"/>
        <w:szCs w:val="20"/>
        <w:lang w:eastAsia="zh-CN"/>
      </w:rPr>
      <w:t>T/ZIUR XXXX-2026</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85E6C1">
    <w:pPr>
      <w:pStyle w:val="61"/>
      <w:rPr>
        <w:rFonts w:hint="default" w:eastAsia="黑体"/>
        <w:lang w:val="en-US" w:eastAsia="zh-CN"/>
      </w:rPr>
    </w:pPr>
    <w:r>
      <w:rPr>
        <w:rFonts w:hint="eastAsia"/>
        <w:lang w:eastAsia="zh-CN"/>
      </w:rPr>
      <w:t>T/ZIUR XXXX-2026</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57D59">
    <w:pPr>
      <w:pStyle w:val="18"/>
      <w:ind w:right="800"/>
      <w:jc w:val="both"/>
      <w:rPr>
        <w:rFonts w:hint="eastAsia" w:ascii="黑体" w:hAnsi="黑体" w:eastAsia="黑体"/>
        <w:sz w:val="20"/>
        <w:szCs w:val="20"/>
        <w:lang w:eastAsia="zh-CN"/>
      </w:rPr>
    </w:pPr>
    <w:r>
      <w:rPr>
        <w:rFonts w:hint="eastAsia" w:ascii="黑体" w:hAnsi="黑体" w:eastAsia="黑体"/>
        <w:sz w:val="20"/>
        <w:szCs w:val="20"/>
        <w:lang w:eastAsia="zh-CN"/>
      </w:rPr>
      <w:t>T/ZIUR XXXX-2026</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375D4">
    <w:pPr>
      <w:pStyle w:val="61"/>
      <w:rPr>
        <w:rFonts w:hint="default" w:eastAsia="黑体"/>
        <w:lang w:val="en-US" w:eastAsia="zh-CN"/>
      </w:rPr>
    </w:pPr>
    <w:r>
      <w:rPr>
        <w:rFonts w:hint="eastAsia"/>
        <w:lang w:eastAsia="zh-CN"/>
      </w:rPr>
      <w:t>T/ZIUR XXXX-2026</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DD7BE7">
    <w:pPr>
      <w:pStyle w:val="18"/>
      <w:ind w:right="800"/>
      <w:jc w:val="both"/>
      <w:rPr>
        <w:rFonts w:hint="eastAsia" w:ascii="黑体" w:hAnsi="黑体" w:eastAsia="黑体"/>
        <w:sz w:val="20"/>
        <w:szCs w:val="20"/>
        <w:lang w:eastAsia="zh-CN"/>
      </w:rPr>
    </w:pPr>
    <w:r>
      <w:rPr>
        <w:rFonts w:hint="eastAsia" w:ascii="黑体" w:hAnsi="黑体" w:eastAsia="黑体"/>
        <w:sz w:val="20"/>
        <w:szCs w:val="20"/>
        <w:lang w:eastAsia="zh-CN"/>
      </w:rPr>
      <w:t>T/ZIUR XXXX-2026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565479"/>
    <w:multiLevelType w:val="multilevel"/>
    <w:tmpl w:val="82565479"/>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
    <w:nsid w:val="A0844A10"/>
    <w:multiLevelType w:val="multilevel"/>
    <w:tmpl w:val="A0844A10"/>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2">
    <w:nsid w:val="A50204C2"/>
    <w:multiLevelType w:val="multilevel"/>
    <w:tmpl w:val="A50204C2"/>
    <w:lvl w:ilvl="0" w:tentative="0">
      <w:start w:val="1"/>
      <w:numFmt w:val="decimal"/>
      <w:pStyle w:val="234"/>
      <w:suff w:val="nothing"/>
      <w:lvlText w:val="图%1　"/>
      <w:lvlJc w:val="left"/>
      <w:pPr>
        <w:tabs>
          <w:tab w:val="left" w:pos="0"/>
        </w:tabs>
        <w:ind w:left="0" w:leftChars="0" w:firstLine="0" w:firstLineChars="0"/>
      </w:pPr>
      <w:rPr>
        <w:rFonts w:hint="default" w:ascii="黑体" w:hAnsi="黑体" w:eastAsia="黑体"/>
        <w:sz w:val="21"/>
        <w:szCs w:val="21"/>
      </w:rPr>
    </w:lvl>
    <w:lvl w:ilvl="1" w:tentative="0">
      <w:start w:val="1"/>
      <w:numFmt w:val="decimal"/>
      <w:lvlText w:val="%1.%2.　"/>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
    <w:nsid w:val="B0F0F72B"/>
    <w:multiLevelType w:val="multilevel"/>
    <w:tmpl w:val="B0F0F72B"/>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4">
    <w:nsid w:val="D6ADFC5C"/>
    <w:multiLevelType w:val="multilevel"/>
    <w:tmpl w:val="D6ADFC5C"/>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5">
    <w:nsid w:val="D81AD61E"/>
    <w:multiLevelType w:val="multilevel"/>
    <w:tmpl w:val="D81AD61E"/>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6">
    <w:nsid w:val="E12ABC61"/>
    <w:multiLevelType w:val="multilevel"/>
    <w:tmpl w:val="E12ABC61"/>
    <w:lvl w:ilvl="0" w:tentative="0">
      <w:start w:val="1"/>
      <w:numFmt w:val="decimal"/>
      <w:pStyle w:val="231"/>
      <w:suff w:val="nothing"/>
      <w:lvlText w:val="表%1　"/>
      <w:lvlJc w:val="left"/>
      <w:pPr>
        <w:tabs>
          <w:tab w:val="left" w:pos="0"/>
        </w:tabs>
        <w:ind w:left="0" w:firstLine="0"/>
      </w:pPr>
      <w:rPr>
        <w:rFonts w:hint="default" w:ascii="黑体" w:hAnsi="黑体" w:eastAsia="黑体"/>
        <w:sz w:val="21"/>
        <w:szCs w:val="21"/>
      </w:r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7">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8">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055E0B60"/>
    <w:multiLevelType w:val="multilevel"/>
    <w:tmpl w:val="055E0B60"/>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0">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1">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2">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13">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15">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6">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7">
    <w:nsid w:val="1B383A10"/>
    <w:multiLevelType w:val="multilevel"/>
    <w:tmpl w:val="1B383A10"/>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18">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9">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20">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1">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2">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23">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4">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25">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6">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7">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8">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9">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30">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31">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32">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33">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4">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5">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36">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7">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7"/>
  </w:num>
  <w:num w:numId="2">
    <w:abstractNumId w:val="35"/>
  </w:num>
  <w:num w:numId="3">
    <w:abstractNumId w:val="13"/>
  </w:num>
  <w:num w:numId="4">
    <w:abstractNumId w:val="31"/>
  </w:num>
  <w:num w:numId="5">
    <w:abstractNumId w:val="26"/>
  </w:num>
  <w:num w:numId="6">
    <w:abstractNumId w:val="21"/>
  </w:num>
  <w:num w:numId="7">
    <w:abstractNumId w:val="16"/>
  </w:num>
  <w:num w:numId="8">
    <w:abstractNumId w:val="11"/>
  </w:num>
  <w:num w:numId="9">
    <w:abstractNumId w:val="18"/>
  </w:num>
  <w:num w:numId="10">
    <w:abstractNumId w:val="24"/>
  </w:num>
  <w:num w:numId="11">
    <w:abstractNumId w:val="33"/>
  </w:num>
  <w:num w:numId="12">
    <w:abstractNumId w:val="20"/>
  </w:num>
  <w:num w:numId="13">
    <w:abstractNumId w:val="4"/>
  </w:num>
  <w:num w:numId="14">
    <w:abstractNumId w:val="15"/>
  </w:num>
  <w:num w:numId="15">
    <w:abstractNumId w:val="27"/>
  </w:num>
  <w:num w:numId="16">
    <w:abstractNumId w:val="29"/>
  </w:num>
  <w:num w:numId="17">
    <w:abstractNumId w:val="25"/>
  </w:num>
  <w:num w:numId="18">
    <w:abstractNumId w:val="36"/>
  </w:num>
  <w:num w:numId="19">
    <w:abstractNumId w:val="23"/>
  </w:num>
  <w:num w:numId="20">
    <w:abstractNumId w:val="8"/>
  </w:num>
  <w:num w:numId="21">
    <w:abstractNumId w:val="19"/>
  </w:num>
  <w:num w:numId="22">
    <w:abstractNumId w:val="37"/>
  </w:num>
  <w:num w:numId="23">
    <w:abstractNumId w:val="28"/>
  </w:num>
  <w:num w:numId="24">
    <w:abstractNumId w:val="14"/>
  </w:num>
  <w:num w:numId="25">
    <w:abstractNumId w:val="34"/>
  </w:num>
  <w:num w:numId="26">
    <w:abstractNumId w:val="17"/>
  </w:num>
  <w:num w:numId="27">
    <w:abstractNumId w:val="10"/>
  </w:num>
  <w:num w:numId="28">
    <w:abstractNumId w:val="12"/>
  </w:num>
  <w:num w:numId="29">
    <w:abstractNumId w:val="22"/>
  </w:num>
  <w:num w:numId="30">
    <w:abstractNumId w:val="32"/>
  </w:num>
  <w:num w:numId="31">
    <w:abstractNumId w:val="30"/>
  </w:num>
  <w:num w:numId="32">
    <w:abstractNumId w:val="6"/>
  </w:num>
  <w:num w:numId="33">
    <w:abstractNumId w:val="2"/>
  </w:num>
  <w:num w:numId="3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attachedTemplate r:id="rId1"/>
  <w:documentProtection w:edit="forms"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EwNTM5NzYwMDRjMzkwZTVkZjY2ODkwMGIxNGU0OTUifQ=="/>
  </w:docVars>
  <w:rsids>
    <w:rsidRoot w:val="008B2D73"/>
    <w:rsid w:val="0000040A"/>
    <w:rsid w:val="00000A94"/>
    <w:rsid w:val="00001972"/>
    <w:rsid w:val="00001D9A"/>
    <w:rsid w:val="00004943"/>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24D"/>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57978"/>
    <w:rsid w:val="00060C2E"/>
    <w:rsid w:val="00061033"/>
    <w:rsid w:val="000619E9"/>
    <w:rsid w:val="000622D4"/>
    <w:rsid w:val="0006357D"/>
    <w:rsid w:val="00067F1E"/>
    <w:rsid w:val="00071CC0"/>
    <w:rsid w:val="00071CFC"/>
    <w:rsid w:val="000736AE"/>
    <w:rsid w:val="00073C8C"/>
    <w:rsid w:val="00077B64"/>
    <w:rsid w:val="00080A1C"/>
    <w:rsid w:val="00082317"/>
    <w:rsid w:val="00083D2C"/>
    <w:rsid w:val="000843AE"/>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059F9"/>
    <w:rsid w:val="00113B1E"/>
    <w:rsid w:val="0011711C"/>
    <w:rsid w:val="0012376E"/>
    <w:rsid w:val="00124E4F"/>
    <w:rsid w:val="001260B7"/>
    <w:rsid w:val="001265CB"/>
    <w:rsid w:val="001321C6"/>
    <w:rsid w:val="001325C4"/>
    <w:rsid w:val="00133010"/>
    <w:rsid w:val="00133387"/>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787"/>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4C41"/>
    <w:rsid w:val="00266EEB"/>
    <w:rsid w:val="00267EF4"/>
    <w:rsid w:val="002705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69D2"/>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1B5"/>
    <w:rsid w:val="00336C64"/>
    <w:rsid w:val="00337162"/>
    <w:rsid w:val="0034194F"/>
    <w:rsid w:val="00344605"/>
    <w:rsid w:val="003474AA"/>
    <w:rsid w:val="00350D1D"/>
    <w:rsid w:val="00352C83"/>
    <w:rsid w:val="00352F1A"/>
    <w:rsid w:val="003530E0"/>
    <w:rsid w:val="0036107C"/>
    <w:rsid w:val="003615D2"/>
    <w:rsid w:val="0036332C"/>
    <w:rsid w:val="0036429C"/>
    <w:rsid w:val="00364A53"/>
    <w:rsid w:val="003654CB"/>
    <w:rsid w:val="00365AA9"/>
    <w:rsid w:val="00365F86"/>
    <w:rsid w:val="00365F87"/>
    <w:rsid w:val="00366E89"/>
    <w:rsid w:val="003675F3"/>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A7DB7"/>
    <w:rsid w:val="003B09AD"/>
    <w:rsid w:val="003B1F18"/>
    <w:rsid w:val="003B5BF0"/>
    <w:rsid w:val="003B60BF"/>
    <w:rsid w:val="003B6BE3"/>
    <w:rsid w:val="003C010C"/>
    <w:rsid w:val="003C0A6C"/>
    <w:rsid w:val="003C0E85"/>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3611"/>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568"/>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B6013"/>
    <w:rsid w:val="004C1FBC"/>
    <w:rsid w:val="004C25A2"/>
    <w:rsid w:val="004C3F1D"/>
    <w:rsid w:val="004C458D"/>
    <w:rsid w:val="004C7556"/>
    <w:rsid w:val="004C7E8B"/>
    <w:rsid w:val="004C7E9D"/>
    <w:rsid w:val="004C7F67"/>
    <w:rsid w:val="004D076D"/>
    <w:rsid w:val="004D0EF1"/>
    <w:rsid w:val="004D2253"/>
    <w:rsid w:val="004D3F7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1EE6"/>
    <w:rsid w:val="00502F8F"/>
    <w:rsid w:val="0050363E"/>
    <w:rsid w:val="005039BC"/>
    <w:rsid w:val="005043BB"/>
    <w:rsid w:val="00504A3D"/>
    <w:rsid w:val="00505767"/>
    <w:rsid w:val="005073F0"/>
    <w:rsid w:val="00510A7B"/>
    <w:rsid w:val="00512F6E"/>
    <w:rsid w:val="00513038"/>
    <w:rsid w:val="00514174"/>
    <w:rsid w:val="00516088"/>
    <w:rsid w:val="00516B0B"/>
    <w:rsid w:val="00517C15"/>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0D1F"/>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53DD"/>
    <w:rsid w:val="005A7830"/>
    <w:rsid w:val="005A7FCE"/>
    <w:rsid w:val="005B0F3F"/>
    <w:rsid w:val="005B191C"/>
    <w:rsid w:val="005B4903"/>
    <w:rsid w:val="005B51CE"/>
    <w:rsid w:val="005B5885"/>
    <w:rsid w:val="005B5CD7"/>
    <w:rsid w:val="005B6CF6"/>
    <w:rsid w:val="005B7422"/>
    <w:rsid w:val="005B7DD5"/>
    <w:rsid w:val="005C29B8"/>
    <w:rsid w:val="005C5F21"/>
    <w:rsid w:val="005C7156"/>
    <w:rsid w:val="005D0C75"/>
    <w:rsid w:val="005D4171"/>
    <w:rsid w:val="005D6A95"/>
    <w:rsid w:val="005D6B2C"/>
    <w:rsid w:val="005D6D9C"/>
    <w:rsid w:val="005E2335"/>
    <w:rsid w:val="005E34CA"/>
    <w:rsid w:val="005E3C18"/>
    <w:rsid w:val="005E3D74"/>
    <w:rsid w:val="005E4250"/>
    <w:rsid w:val="005E468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064"/>
    <w:rsid w:val="00641A1F"/>
    <w:rsid w:val="00645904"/>
    <w:rsid w:val="0065062A"/>
    <w:rsid w:val="00651ACB"/>
    <w:rsid w:val="00651C47"/>
    <w:rsid w:val="00652AB2"/>
    <w:rsid w:val="00653FED"/>
    <w:rsid w:val="00654EC0"/>
    <w:rsid w:val="0065525B"/>
    <w:rsid w:val="00655D4F"/>
    <w:rsid w:val="00656D29"/>
    <w:rsid w:val="006640E5"/>
    <w:rsid w:val="006646F1"/>
    <w:rsid w:val="00664929"/>
    <w:rsid w:val="00664F62"/>
    <w:rsid w:val="006655E1"/>
    <w:rsid w:val="00665E69"/>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6AA"/>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57173"/>
    <w:rsid w:val="007600E3"/>
    <w:rsid w:val="00765C43"/>
    <w:rsid w:val="00765EFB"/>
    <w:rsid w:val="007671CA"/>
    <w:rsid w:val="00767C61"/>
    <w:rsid w:val="0077008A"/>
    <w:rsid w:val="00773C1F"/>
    <w:rsid w:val="00774DA4"/>
    <w:rsid w:val="0077522D"/>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1A1C"/>
    <w:rsid w:val="007B5A3D"/>
    <w:rsid w:val="007B5B95"/>
    <w:rsid w:val="007B6032"/>
    <w:rsid w:val="007B68EA"/>
    <w:rsid w:val="007B7453"/>
    <w:rsid w:val="007C2D89"/>
    <w:rsid w:val="007C4593"/>
    <w:rsid w:val="007C5309"/>
    <w:rsid w:val="007C603A"/>
    <w:rsid w:val="007C6069"/>
    <w:rsid w:val="007D06C4"/>
    <w:rsid w:val="007D1352"/>
    <w:rsid w:val="007D2508"/>
    <w:rsid w:val="007D346A"/>
    <w:rsid w:val="007D64E5"/>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2F0C"/>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2D73"/>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0F8"/>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2027"/>
    <w:rsid w:val="009E4A58"/>
    <w:rsid w:val="009E5A2D"/>
    <w:rsid w:val="009E5AB2"/>
    <w:rsid w:val="009E6219"/>
    <w:rsid w:val="009F03B3"/>
    <w:rsid w:val="009F68BD"/>
    <w:rsid w:val="00A0096C"/>
    <w:rsid w:val="00A01757"/>
    <w:rsid w:val="00A028C0"/>
    <w:rsid w:val="00A02BAE"/>
    <w:rsid w:val="00A06A6B"/>
    <w:rsid w:val="00A07E47"/>
    <w:rsid w:val="00A129D0"/>
    <w:rsid w:val="00A12C33"/>
    <w:rsid w:val="00A138BA"/>
    <w:rsid w:val="00A14C8E"/>
    <w:rsid w:val="00A153D9"/>
    <w:rsid w:val="00A15F09"/>
    <w:rsid w:val="00A169B6"/>
    <w:rsid w:val="00A21D89"/>
    <w:rsid w:val="00A2271D"/>
    <w:rsid w:val="00A237D5"/>
    <w:rsid w:val="00A27E99"/>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2140"/>
    <w:rsid w:val="00A83D8D"/>
    <w:rsid w:val="00A8446B"/>
    <w:rsid w:val="00A8473F"/>
    <w:rsid w:val="00A862D6"/>
    <w:rsid w:val="00A8715E"/>
    <w:rsid w:val="00A90664"/>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14CF"/>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215D"/>
    <w:rsid w:val="00B4346D"/>
    <w:rsid w:val="00B440F4"/>
    <w:rsid w:val="00B447A5"/>
    <w:rsid w:val="00B4654C"/>
    <w:rsid w:val="00B47293"/>
    <w:rsid w:val="00B50E50"/>
    <w:rsid w:val="00B513EA"/>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027A"/>
    <w:rsid w:val="00BE22F3"/>
    <w:rsid w:val="00BE5B52"/>
    <w:rsid w:val="00BE7B8D"/>
    <w:rsid w:val="00BF0993"/>
    <w:rsid w:val="00BF10A9"/>
    <w:rsid w:val="00BF1703"/>
    <w:rsid w:val="00BF231C"/>
    <w:rsid w:val="00BF51E5"/>
    <w:rsid w:val="00BF628D"/>
    <w:rsid w:val="00BF74A6"/>
    <w:rsid w:val="00C013AD"/>
    <w:rsid w:val="00C04904"/>
    <w:rsid w:val="00C056B3"/>
    <w:rsid w:val="00C1003D"/>
    <w:rsid w:val="00C103E5"/>
    <w:rsid w:val="00C13319"/>
    <w:rsid w:val="00C13EE9"/>
    <w:rsid w:val="00C21540"/>
    <w:rsid w:val="00C21906"/>
    <w:rsid w:val="00C21BFA"/>
    <w:rsid w:val="00C24C8D"/>
    <w:rsid w:val="00C25FE2"/>
    <w:rsid w:val="00C269F5"/>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1E0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9A"/>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2CC7"/>
    <w:rsid w:val="00D8399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107"/>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269C4"/>
    <w:rsid w:val="00E3137A"/>
    <w:rsid w:val="00E32CCF"/>
    <w:rsid w:val="00E34A98"/>
    <w:rsid w:val="00E35D1E"/>
    <w:rsid w:val="00E364F9"/>
    <w:rsid w:val="00E365FA"/>
    <w:rsid w:val="00E36789"/>
    <w:rsid w:val="00E44A83"/>
    <w:rsid w:val="00E4519C"/>
    <w:rsid w:val="00E502C1"/>
    <w:rsid w:val="00E502DD"/>
    <w:rsid w:val="00E50D3A"/>
    <w:rsid w:val="00E51387"/>
    <w:rsid w:val="00E51E68"/>
    <w:rsid w:val="00E52EFD"/>
    <w:rsid w:val="00E5408A"/>
    <w:rsid w:val="00E56800"/>
    <w:rsid w:val="00E60402"/>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0DFB"/>
    <w:rsid w:val="00F32780"/>
    <w:rsid w:val="00F33817"/>
    <w:rsid w:val="00F420D5"/>
    <w:rsid w:val="00F451EA"/>
    <w:rsid w:val="00F45447"/>
    <w:rsid w:val="00F456C6"/>
    <w:rsid w:val="00F4577B"/>
    <w:rsid w:val="00F46235"/>
    <w:rsid w:val="00F46496"/>
    <w:rsid w:val="00F474D0"/>
    <w:rsid w:val="00F50179"/>
    <w:rsid w:val="00F515EE"/>
    <w:rsid w:val="00F56511"/>
    <w:rsid w:val="00F6194E"/>
    <w:rsid w:val="00F623AC"/>
    <w:rsid w:val="00F6412A"/>
    <w:rsid w:val="00F65893"/>
    <w:rsid w:val="00F66A4A"/>
    <w:rsid w:val="00F71E22"/>
    <w:rsid w:val="00F72142"/>
    <w:rsid w:val="00F72AE7"/>
    <w:rsid w:val="00F731BD"/>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09E6"/>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0D41"/>
    <w:rsid w:val="00FF2A5D"/>
    <w:rsid w:val="00FF3E7D"/>
    <w:rsid w:val="00FF5B99"/>
    <w:rsid w:val="00FF730C"/>
    <w:rsid w:val="00FF73F4"/>
    <w:rsid w:val="00FF7CE4"/>
    <w:rsid w:val="00FF7E39"/>
    <w:rsid w:val="01170C55"/>
    <w:rsid w:val="01D06ADA"/>
    <w:rsid w:val="022B0E5C"/>
    <w:rsid w:val="02E66B31"/>
    <w:rsid w:val="02F92D08"/>
    <w:rsid w:val="03C07382"/>
    <w:rsid w:val="03C54999"/>
    <w:rsid w:val="042E69E2"/>
    <w:rsid w:val="04C82992"/>
    <w:rsid w:val="04F27A0F"/>
    <w:rsid w:val="05345729"/>
    <w:rsid w:val="05AF3B52"/>
    <w:rsid w:val="05D9297D"/>
    <w:rsid w:val="060E6ACB"/>
    <w:rsid w:val="06E11AE9"/>
    <w:rsid w:val="07475263"/>
    <w:rsid w:val="077E558A"/>
    <w:rsid w:val="07B92A66"/>
    <w:rsid w:val="07C1191B"/>
    <w:rsid w:val="07D23B28"/>
    <w:rsid w:val="086758C2"/>
    <w:rsid w:val="09271C52"/>
    <w:rsid w:val="097C11D2"/>
    <w:rsid w:val="0A3665F0"/>
    <w:rsid w:val="0A4A4FFC"/>
    <w:rsid w:val="0A516F86"/>
    <w:rsid w:val="0A8C6210"/>
    <w:rsid w:val="0B2E5AAF"/>
    <w:rsid w:val="0B5D195B"/>
    <w:rsid w:val="0C6C62F9"/>
    <w:rsid w:val="0C8F1FE8"/>
    <w:rsid w:val="0CD93E38"/>
    <w:rsid w:val="0D222E5C"/>
    <w:rsid w:val="0D58687D"/>
    <w:rsid w:val="0E3C7F4D"/>
    <w:rsid w:val="0E9331A5"/>
    <w:rsid w:val="0F040A6B"/>
    <w:rsid w:val="0F4F2D5A"/>
    <w:rsid w:val="0F930041"/>
    <w:rsid w:val="10046849"/>
    <w:rsid w:val="102D2243"/>
    <w:rsid w:val="10463305"/>
    <w:rsid w:val="10B60D4A"/>
    <w:rsid w:val="11B8120C"/>
    <w:rsid w:val="11C6025A"/>
    <w:rsid w:val="11F272A1"/>
    <w:rsid w:val="122A4C8C"/>
    <w:rsid w:val="1283240B"/>
    <w:rsid w:val="12A165D1"/>
    <w:rsid w:val="130474EB"/>
    <w:rsid w:val="139D148E"/>
    <w:rsid w:val="13A20852"/>
    <w:rsid w:val="141C58F1"/>
    <w:rsid w:val="14C82908"/>
    <w:rsid w:val="15567B46"/>
    <w:rsid w:val="156404B5"/>
    <w:rsid w:val="159627D2"/>
    <w:rsid w:val="1651030E"/>
    <w:rsid w:val="16671B5C"/>
    <w:rsid w:val="16B17FC7"/>
    <w:rsid w:val="17BF5E77"/>
    <w:rsid w:val="17DB7852"/>
    <w:rsid w:val="181D494B"/>
    <w:rsid w:val="18585809"/>
    <w:rsid w:val="196B16E7"/>
    <w:rsid w:val="19EA3331"/>
    <w:rsid w:val="1A3B37AF"/>
    <w:rsid w:val="1A9058A9"/>
    <w:rsid w:val="1B1D486E"/>
    <w:rsid w:val="1B505038"/>
    <w:rsid w:val="1BDD2D6F"/>
    <w:rsid w:val="1C197B20"/>
    <w:rsid w:val="1C817B9F"/>
    <w:rsid w:val="1CB533A4"/>
    <w:rsid w:val="1DA578BD"/>
    <w:rsid w:val="1DAD4C5B"/>
    <w:rsid w:val="1DB00010"/>
    <w:rsid w:val="1DD12460"/>
    <w:rsid w:val="1E1862BA"/>
    <w:rsid w:val="1F486752"/>
    <w:rsid w:val="1F576995"/>
    <w:rsid w:val="20390790"/>
    <w:rsid w:val="20686980"/>
    <w:rsid w:val="20855784"/>
    <w:rsid w:val="208A0FEC"/>
    <w:rsid w:val="21521B0A"/>
    <w:rsid w:val="216929AF"/>
    <w:rsid w:val="218872DA"/>
    <w:rsid w:val="229D6DB5"/>
    <w:rsid w:val="22A04AF7"/>
    <w:rsid w:val="22C81958"/>
    <w:rsid w:val="22EE5862"/>
    <w:rsid w:val="230B6414"/>
    <w:rsid w:val="231352C9"/>
    <w:rsid w:val="232C1EE7"/>
    <w:rsid w:val="23E40A13"/>
    <w:rsid w:val="25494FD2"/>
    <w:rsid w:val="2573204F"/>
    <w:rsid w:val="257858B7"/>
    <w:rsid w:val="25946303"/>
    <w:rsid w:val="25C24D84"/>
    <w:rsid w:val="25FA451E"/>
    <w:rsid w:val="26066D6F"/>
    <w:rsid w:val="26306D36"/>
    <w:rsid w:val="267C4F33"/>
    <w:rsid w:val="26BA2A56"/>
    <w:rsid w:val="27315853"/>
    <w:rsid w:val="277976C4"/>
    <w:rsid w:val="279B763B"/>
    <w:rsid w:val="28377363"/>
    <w:rsid w:val="285C326E"/>
    <w:rsid w:val="288602EB"/>
    <w:rsid w:val="28AB1AFF"/>
    <w:rsid w:val="28BC03AC"/>
    <w:rsid w:val="293164A9"/>
    <w:rsid w:val="2A152EC1"/>
    <w:rsid w:val="2A7A79DB"/>
    <w:rsid w:val="2AFB6D6E"/>
    <w:rsid w:val="2B100330"/>
    <w:rsid w:val="2B74267D"/>
    <w:rsid w:val="2B9176D3"/>
    <w:rsid w:val="2C1B2997"/>
    <w:rsid w:val="2CC47634"/>
    <w:rsid w:val="2CF972DD"/>
    <w:rsid w:val="2D0363AE"/>
    <w:rsid w:val="2D6706EB"/>
    <w:rsid w:val="2D8172D3"/>
    <w:rsid w:val="2DC86CB0"/>
    <w:rsid w:val="2E59753B"/>
    <w:rsid w:val="2E642E7C"/>
    <w:rsid w:val="2ED77149"/>
    <w:rsid w:val="2F7B047E"/>
    <w:rsid w:val="303C512C"/>
    <w:rsid w:val="305D7B83"/>
    <w:rsid w:val="30CD2F5B"/>
    <w:rsid w:val="30CE282F"/>
    <w:rsid w:val="3264344B"/>
    <w:rsid w:val="32A44120"/>
    <w:rsid w:val="32C51A10"/>
    <w:rsid w:val="335F1E64"/>
    <w:rsid w:val="34B61F58"/>
    <w:rsid w:val="35205F5B"/>
    <w:rsid w:val="35AD62A7"/>
    <w:rsid w:val="35F23AD2"/>
    <w:rsid w:val="3607389D"/>
    <w:rsid w:val="36932551"/>
    <w:rsid w:val="369D517D"/>
    <w:rsid w:val="374C0952"/>
    <w:rsid w:val="37EB1F18"/>
    <w:rsid w:val="385B709E"/>
    <w:rsid w:val="388F6D48"/>
    <w:rsid w:val="38A071A7"/>
    <w:rsid w:val="3902751A"/>
    <w:rsid w:val="390C65EA"/>
    <w:rsid w:val="394A25D7"/>
    <w:rsid w:val="39B822CE"/>
    <w:rsid w:val="3A4F49E1"/>
    <w:rsid w:val="3A791A5E"/>
    <w:rsid w:val="3B334302"/>
    <w:rsid w:val="3BA26D92"/>
    <w:rsid w:val="3BB84807"/>
    <w:rsid w:val="3C1A7270"/>
    <w:rsid w:val="3C797AF3"/>
    <w:rsid w:val="3D006466"/>
    <w:rsid w:val="3DA70690"/>
    <w:rsid w:val="3EDE4585"/>
    <w:rsid w:val="3EF50744"/>
    <w:rsid w:val="3F6902F3"/>
    <w:rsid w:val="3FB5178A"/>
    <w:rsid w:val="3FC86A99"/>
    <w:rsid w:val="40520D87"/>
    <w:rsid w:val="4061721C"/>
    <w:rsid w:val="40A84E4B"/>
    <w:rsid w:val="40BC08F6"/>
    <w:rsid w:val="41432DC5"/>
    <w:rsid w:val="41562AF9"/>
    <w:rsid w:val="42226269"/>
    <w:rsid w:val="42460060"/>
    <w:rsid w:val="42890CAC"/>
    <w:rsid w:val="42B45D29"/>
    <w:rsid w:val="42D869AD"/>
    <w:rsid w:val="42DE28AD"/>
    <w:rsid w:val="43655275"/>
    <w:rsid w:val="43B43AC3"/>
    <w:rsid w:val="449776B0"/>
    <w:rsid w:val="451C0B6B"/>
    <w:rsid w:val="46020B59"/>
    <w:rsid w:val="468E063F"/>
    <w:rsid w:val="46D324F5"/>
    <w:rsid w:val="470E352E"/>
    <w:rsid w:val="471D452A"/>
    <w:rsid w:val="473C453F"/>
    <w:rsid w:val="47633879"/>
    <w:rsid w:val="477626C2"/>
    <w:rsid w:val="479B74B7"/>
    <w:rsid w:val="47EA5D49"/>
    <w:rsid w:val="48007F78"/>
    <w:rsid w:val="480C2163"/>
    <w:rsid w:val="48403BBB"/>
    <w:rsid w:val="49184B37"/>
    <w:rsid w:val="49437E06"/>
    <w:rsid w:val="494901C7"/>
    <w:rsid w:val="49DA6215"/>
    <w:rsid w:val="49E022DA"/>
    <w:rsid w:val="4A9B332A"/>
    <w:rsid w:val="4ACE54AE"/>
    <w:rsid w:val="4B9F509C"/>
    <w:rsid w:val="4BB70638"/>
    <w:rsid w:val="4BD4042E"/>
    <w:rsid w:val="4BEA4569"/>
    <w:rsid w:val="4C3E2B07"/>
    <w:rsid w:val="4C4D2D4A"/>
    <w:rsid w:val="4D302450"/>
    <w:rsid w:val="4D6C7200"/>
    <w:rsid w:val="4E8F764A"/>
    <w:rsid w:val="4EA41181"/>
    <w:rsid w:val="4F4E3061"/>
    <w:rsid w:val="4F624D5E"/>
    <w:rsid w:val="4F724029"/>
    <w:rsid w:val="4F855E52"/>
    <w:rsid w:val="4FC60E49"/>
    <w:rsid w:val="4FCE5F50"/>
    <w:rsid w:val="4FFF435B"/>
    <w:rsid w:val="50250266"/>
    <w:rsid w:val="5064378F"/>
    <w:rsid w:val="50AD3DB7"/>
    <w:rsid w:val="50B213CE"/>
    <w:rsid w:val="50EF5A05"/>
    <w:rsid w:val="50F43794"/>
    <w:rsid w:val="5257222D"/>
    <w:rsid w:val="526130AB"/>
    <w:rsid w:val="534F1156"/>
    <w:rsid w:val="54B971CF"/>
    <w:rsid w:val="54DE6C35"/>
    <w:rsid w:val="55B1434A"/>
    <w:rsid w:val="56101070"/>
    <w:rsid w:val="565D3B8A"/>
    <w:rsid w:val="56DA342C"/>
    <w:rsid w:val="57603078"/>
    <w:rsid w:val="5822341B"/>
    <w:rsid w:val="585F1E3B"/>
    <w:rsid w:val="58A07A42"/>
    <w:rsid w:val="58B33F35"/>
    <w:rsid w:val="58B959EF"/>
    <w:rsid w:val="58C56D33"/>
    <w:rsid w:val="58F05189"/>
    <w:rsid w:val="58FF4954"/>
    <w:rsid w:val="59AC0F41"/>
    <w:rsid w:val="5A737E20"/>
    <w:rsid w:val="5ACE5056"/>
    <w:rsid w:val="5AF26F96"/>
    <w:rsid w:val="5B3752F1"/>
    <w:rsid w:val="5B3F5B69"/>
    <w:rsid w:val="5B562835"/>
    <w:rsid w:val="5B6D486F"/>
    <w:rsid w:val="5BAD110F"/>
    <w:rsid w:val="5BF60DF4"/>
    <w:rsid w:val="5C5B6DBD"/>
    <w:rsid w:val="5CA2679A"/>
    <w:rsid w:val="5CE24DE9"/>
    <w:rsid w:val="5D3B6C83"/>
    <w:rsid w:val="5D9E3405"/>
    <w:rsid w:val="5E512ECF"/>
    <w:rsid w:val="5EDC0830"/>
    <w:rsid w:val="5EED4EE2"/>
    <w:rsid w:val="5F553840"/>
    <w:rsid w:val="5F553F98"/>
    <w:rsid w:val="60446D6C"/>
    <w:rsid w:val="60D61108"/>
    <w:rsid w:val="61C176C2"/>
    <w:rsid w:val="61E41603"/>
    <w:rsid w:val="621E0EDE"/>
    <w:rsid w:val="626B762E"/>
    <w:rsid w:val="6325595A"/>
    <w:rsid w:val="63400ADE"/>
    <w:rsid w:val="634E31D8"/>
    <w:rsid w:val="636C4406"/>
    <w:rsid w:val="63AF4B35"/>
    <w:rsid w:val="64CF0F83"/>
    <w:rsid w:val="64E33DF4"/>
    <w:rsid w:val="65A74E21"/>
    <w:rsid w:val="67AD2558"/>
    <w:rsid w:val="67F65056"/>
    <w:rsid w:val="68242759"/>
    <w:rsid w:val="68F16ADF"/>
    <w:rsid w:val="68F22857"/>
    <w:rsid w:val="693B5FAC"/>
    <w:rsid w:val="699851AD"/>
    <w:rsid w:val="69AE49D0"/>
    <w:rsid w:val="69B33D95"/>
    <w:rsid w:val="69C67F6C"/>
    <w:rsid w:val="69C97A5C"/>
    <w:rsid w:val="6A55309E"/>
    <w:rsid w:val="6A627569"/>
    <w:rsid w:val="6A7C1DBF"/>
    <w:rsid w:val="6A9E4A45"/>
    <w:rsid w:val="6AA0305C"/>
    <w:rsid w:val="6B320A72"/>
    <w:rsid w:val="6BC30951"/>
    <w:rsid w:val="6C662DA8"/>
    <w:rsid w:val="6D147240"/>
    <w:rsid w:val="6D2D0302"/>
    <w:rsid w:val="6D4A2C62"/>
    <w:rsid w:val="6D8343C6"/>
    <w:rsid w:val="6DF36E56"/>
    <w:rsid w:val="6DF826BE"/>
    <w:rsid w:val="6E4B74CF"/>
    <w:rsid w:val="6EA168B2"/>
    <w:rsid w:val="6EF530A1"/>
    <w:rsid w:val="6F152DFC"/>
    <w:rsid w:val="6F6D49E6"/>
    <w:rsid w:val="6FAC7C04"/>
    <w:rsid w:val="6FC35714"/>
    <w:rsid w:val="6FC6486F"/>
    <w:rsid w:val="6FD11419"/>
    <w:rsid w:val="700E61C9"/>
    <w:rsid w:val="70383246"/>
    <w:rsid w:val="70F80458"/>
    <w:rsid w:val="710D6480"/>
    <w:rsid w:val="7189187F"/>
    <w:rsid w:val="71D62D16"/>
    <w:rsid w:val="71FA64CF"/>
    <w:rsid w:val="72565C05"/>
    <w:rsid w:val="72E871A5"/>
    <w:rsid w:val="732D6784"/>
    <w:rsid w:val="736D76AA"/>
    <w:rsid w:val="737525FE"/>
    <w:rsid w:val="73A3131E"/>
    <w:rsid w:val="73DB2866"/>
    <w:rsid w:val="751F49D4"/>
    <w:rsid w:val="75287D2D"/>
    <w:rsid w:val="75524DAA"/>
    <w:rsid w:val="758C1337"/>
    <w:rsid w:val="75A86778"/>
    <w:rsid w:val="75D43A11"/>
    <w:rsid w:val="75FA2D4B"/>
    <w:rsid w:val="762650C6"/>
    <w:rsid w:val="764D1790"/>
    <w:rsid w:val="765B7C8E"/>
    <w:rsid w:val="76813875"/>
    <w:rsid w:val="76B13D52"/>
    <w:rsid w:val="771B11CB"/>
    <w:rsid w:val="771B741D"/>
    <w:rsid w:val="776E4B73"/>
    <w:rsid w:val="77BB5F58"/>
    <w:rsid w:val="77FC724F"/>
    <w:rsid w:val="789D458E"/>
    <w:rsid w:val="78AE679B"/>
    <w:rsid w:val="78E24696"/>
    <w:rsid w:val="79750E46"/>
    <w:rsid w:val="797A042B"/>
    <w:rsid w:val="79C124FE"/>
    <w:rsid w:val="79DB5769"/>
    <w:rsid w:val="7A721A4A"/>
    <w:rsid w:val="7A792DD8"/>
    <w:rsid w:val="7AB67B89"/>
    <w:rsid w:val="7BCA5728"/>
    <w:rsid w:val="7D0270B5"/>
    <w:rsid w:val="7D036989"/>
    <w:rsid w:val="7D050953"/>
    <w:rsid w:val="7D1666BD"/>
    <w:rsid w:val="7D1837D5"/>
    <w:rsid w:val="7D9046C1"/>
    <w:rsid w:val="7E551467"/>
    <w:rsid w:val="7E8C79AE"/>
    <w:rsid w:val="7EA61CC2"/>
    <w:rsid w:val="7EB663A9"/>
    <w:rsid w:val="7EF93831"/>
    <w:rsid w:val="7FA206DC"/>
    <w:rsid w:val="F3AF552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7"/>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6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paragraph" w:customStyle="1" w:styleId="66">
    <w:name w:val="标准文件_段落"/>
    <w:autoRedefine/>
    <w:qFormat/>
    <w:uiPriority w:val="0"/>
    <w:pPr>
      <w:ind w:firstLine="420" w:firstLineChars="200"/>
    </w:pPr>
    <w:rPr>
      <w:rFonts w:ascii="宋体" w:hAnsi="宋体" w:eastAsia="宋体" w:cstheme="minorBidi"/>
      <w:kern w:val="2"/>
      <w:sz w:val="21"/>
      <w:szCs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6"/>
    <w:qFormat/>
    <w:uiPriority w:val="0"/>
    <w:pPr>
      <w:numPr>
        <w:ilvl w:val="0"/>
        <w:numId w:val="3"/>
      </w:numPr>
      <w:ind w:firstLine="0" w:firstLineChars="0"/>
    </w:pPr>
  </w:style>
  <w:style w:type="paragraph" w:customStyle="1" w:styleId="69">
    <w:name w:val="标准文件_封面标准编号"/>
    <w:basedOn w:val="1"/>
    <w:next w:val="59"/>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6"/>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5">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13"/>
    <w:qFormat/>
    <w:uiPriority w:val="0"/>
    <w:rPr>
      <w:kern w:val="2"/>
      <w:sz w:val="21"/>
      <w:szCs w:val="21"/>
    </w:rPr>
  </w:style>
  <w:style w:type="paragraph" w:customStyle="1" w:styleId="88">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6"/>
    <w:next w:val="56"/>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6"/>
    <w:qFormat/>
    <w:uiPriority w:val="0"/>
    <w:pPr>
      <w:spacing w:line="460" w:lineRule="exact"/>
      <w:ind w:left="0" w:firstLine="0"/>
    </w:pPr>
  </w:style>
  <w:style w:type="paragraph" w:customStyle="1" w:styleId="92">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pPr>
  </w:style>
  <w:style w:type="paragraph" w:customStyle="1" w:styleId="95">
    <w:name w:val="标准文件_三级条标题"/>
    <w:basedOn w:val="65"/>
    <w:next w:val="66"/>
    <w:qFormat/>
    <w:uiPriority w:val="0"/>
    <w:pPr>
      <w:widowControl/>
      <w:numPr>
        <w:ilvl w:val="4"/>
      </w:numPr>
      <w:outlineLvl w:val="3"/>
    </w:pPr>
  </w:style>
  <w:style w:type="character" w:customStyle="1" w:styleId="96">
    <w:name w:val="不明显参考1"/>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semiHidden/>
    <w:qFormat/>
    <w:uiPriority w:val="0"/>
    <w:rPr>
      <w:rFonts w:ascii="宋体"/>
      <w:kern w:val="2"/>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6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66"/>
    <w:qFormat/>
    <w:uiPriority w:val="0"/>
    <w:pPr>
      <w:numPr>
        <w:ilvl w:val="2"/>
      </w:numPr>
      <w:spacing w:before="50" w:beforeLines="50" w:after="50" w:afterLines="5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tabs>
        <w:tab w:val="left" w:pos="851"/>
      </w:tabs>
      <w:jc w:val="both"/>
    </w:pPr>
    <w:rPr>
      <w:rFonts w:ascii="宋体" w:hAnsi="Times New Roman" w:eastAsia="宋体" w:cs="Times New Roman"/>
      <w:sz w:val="21"/>
      <w:lang w:val="en-US" w:eastAsia="zh-CN" w:bidi="ar-SA"/>
    </w:rPr>
  </w:style>
  <w:style w:type="paragraph" w:customStyle="1" w:styleId="111">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tabs>
        <w:tab w:val="left" w:pos="851"/>
      </w:tabs>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6"/>
    <w:qFormat/>
    <w:uiPriority w:val="0"/>
    <w:pPr>
      <w:outlineLvl w:val="4"/>
    </w:pPr>
  </w:style>
  <w:style w:type="paragraph" w:customStyle="1" w:styleId="131">
    <w:name w:val="附录四级无标题条"/>
    <w:basedOn w:val="130"/>
    <w:next w:val="56"/>
    <w:qFormat/>
    <w:uiPriority w:val="0"/>
    <w:pPr>
      <w:outlineLvl w:val="5"/>
    </w:pPr>
  </w:style>
  <w:style w:type="paragraph" w:customStyle="1" w:styleId="132">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6"/>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6"/>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6"/>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autoRedefine/>
    <w:semiHidden/>
    <w:qFormat/>
    <w:uiPriority w:val="0"/>
    <w:pPr>
      <w:adjustRightInd/>
      <w:spacing w:line="240" w:lineRule="auto"/>
      <w:jc w:val="left"/>
    </w:pPr>
    <w:rPr>
      <w:bCs/>
      <w:iCs/>
    </w:rPr>
  </w:style>
  <w:style w:type="paragraph" w:customStyle="1" w:styleId="144">
    <w:name w:val="目录 31"/>
    <w:basedOn w:val="1"/>
    <w:next w:val="1"/>
    <w:autoRedefine/>
    <w:semiHidden/>
    <w:qFormat/>
    <w:uiPriority w:val="0"/>
    <w:pPr>
      <w:spacing w:line="240" w:lineRule="auto"/>
    </w:pPr>
    <w:rPr>
      <w:rFonts w:ascii="宋体" w:hAnsi="宋体"/>
      <w:iCs/>
    </w:rPr>
  </w:style>
  <w:style w:type="paragraph" w:customStyle="1" w:styleId="145">
    <w:name w:val="目录 41"/>
    <w:basedOn w:val="1"/>
    <w:next w:val="1"/>
    <w:autoRedefine/>
    <w:semiHidden/>
    <w:qFormat/>
    <w:uiPriority w:val="0"/>
    <w:pPr>
      <w:adjustRightInd/>
      <w:spacing w:line="240" w:lineRule="auto"/>
      <w:jc w:val="left"/>
    </w:pPr>
  </w:style>
  <w:style w:type="paragraph" w:customStyle="1" w:styleId="146">
    <w:name w:val="目录 51"/>
    <w:basedOn w:val="1"/>
    <w:next w:val="1"/>
    <w:autoRedefine/>
    <w:semiHidden/>
    <w:qFormat/>
    <w:uiPriority w:val="0"/>
    <w:pPr>
      <w:spacing w:line="240" w:lineRule="auto"/>
    </w:pPr>
    <w:rPr>
      <w:rFonts w:ascii="宋体" w:hAnsi="宋体"/>
    </w:rPr>
  </w:style>
  <w:style w:type="paragraph" w:customStyle="1" w:styleId="147">
    <w:name w:val="目录 61"/>
    <w:basedOn w:val="1"/>
    <w:next w:val="1"/>
    <w:autoRedefine/>
    <w:semiHidden/>
    <w:qFormat/>
    <w:uiPriority w:val="0"/>
    <w:pPr>
      <w:adjustRightInd/>
      <w:spacing w:line="240" w:lineRule="auto"/>
      <w:jc w:val="left"/>
    </w:pPr>
  </w:style>
  <w:style w:type="paragraph" w:customStyle="1" w:styleId="148">
    <w:name w:val="目录 71"/>
    <w:basedOn w:val="147"/>
    <w:autoRedefine/>
    <w:semiHidden/>
    <w:qFormat/>
    <w:uiPriority w:val="0"/>
    <w:pPr>
      <w:ind w:left="1260"/>
    </w:pPr>
  </w:style>
  <w:style w:type="paragraph" w:customStyle="1" w:styleId="149">
    <w:name w:val="目录 81"/>
    <w:basedOn w:val="148"/>
    <w:autoRedefine/>
    <w:semiHidden/>
    <w:qFormat/>
    <w:uiPriority w:val="0"/>
    <w:pPr>
      <w:ind w:left="1470"/>
    </w:pPr>
  </w:style>
  <w:style w:type="paragraph" w:customStyle="1" w:styleId="150">
    <w:name w:val="目录 91"/>
    <w:basedOn w:val="149"/>
    <w:autoRedefine/>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6"/>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5"/>
    <w:qFormat/>
    <w:uiPriority w:val="0"/>
    <w:pPr>
      <w:spacing w:before="0" w:beforeLines="0" w:after="0" w:afterLines="0"/>
      <w:outlineLvl w:val="9"/>
    </w:pPr>
    <w:rPr>
      <w:rFonts w:ascii="宋体" w:eastAsia="宋体"/>
    </w:rPr>
  </w:style>
  <w:style w:type="paragraph" w:customStyle="1" w:styleId="167">
    <w:name w:val="标准_四级无标题"/>
    <w:basedOn w:val="99"/>
    <w:next w:val="56"/>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6"/>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6"/>
    <w:qFormat/>
    <w:uiPriority w:val="0"/>
    <w:pPr>
      <w:ind w:firstLine="0" w:firstLineChars="0"/>
      <w:jc w:val="center"/>
    </w:pPr>
    <w:rPr>
      <w:sz w:val="18"/>
    </w:rPr>
  </w:style>
  <w:style w:type="paragraph" w:customStyle="1" w:styleId="180">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6"/>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6"/>
    <w:qFormat/>
    <w:uiPriority w:val="0"/>
    <w:rPr>
      <w:rFonts w:ascii="宋体" w:hAnsi="Times New Roman"/>
      <w:sz w:val="21"/>
    </w:rPr>
  </w:style>
  <w:style w:type="paragraph" w:customStyle="1" w:styleId="186">
    <w:name w:val="标准文件_表格续"/>
    <w:basedOn w:val="56"/>
    <w:next w:val="56"/>
    <w:qFormat/>
    <w:uiPriority w:val="0"/>
    <w:pPr>
      <w:jc w:val="center"/>
    </w:pPr>
    <w:rPr>
      <w:rFonts w:ascii="黑体" w:hAnsi="黑体" w:eastAsia="黑体"/>
    </w:rPr>
  </w:style>
  <w:style w:type="character" w:styleId="187">
    <w:name w:val="Placeholder Text"/>
    <w:basedOn w:val="28"/>
    <w:semiHidden/>
    <w:qFormat/>
    <w:uiPriority w:val="99"/>
    <w:rPr>
      <w:color w:val="808080"/>
    </w:rPr>
  </w:style>
  <w:style w:type="paragraph" w:customStyle="1" w:styleId="188">
    <w:name w:val="标准文件_二级项2"/>
    <w:basedOn w:val="56"/>
    <w:qFormat/>
    <w:uiPriority w:val="0"/>
    <w:pPr>
      <w:numPr>
        <w:ilvl w:val="1"/>
        <w:numId w:val="21"/>
      </w:numPr>
      <w:ind w:firstLine="0" w:firstLineChars="0"/>
    </w:pPr>
  </w:style>
  <w:style w:type="paragraph" w:customStyle="1" w:styleId="189">
    <w:name w:val="标准文件_三级项2"/>
    <w:basedOn w:val="56"/>
    <w:qFormat/>
    <w:uiPriority w:val="0"/>
    <w:pPr>
      <w:numPr>
        <w:ilvl w:val="0"/>
        <w:numId w:val="30"/>
      </w:numPr>
      <w:spacing w:line="300" w:lineRule="exact"/>
      <w:ind w:firstLineChars="0"/>
    </w:pPr>
    <w:rPr>
      <w:rFonts w:ascii="Times New Roman"/>
    </w:rPr>
  </w:style>
  <w:style w:type="paragraph" w:customStyle="1" w:styleId="190">
    <w:name w:val="标准文件_一级项2"/>
    <w:basedOn w:val="56"/>
    <w:qFormat/>
    <w:uiPriority w:val="0"/>
    <w:pPr>
      <w:numPr>
        <w:ilvl w:val="0"/>
        <w:numId w:val="31"/>
      </w:numPr>
      <w:spacing w:line="300" w:lineRule="exact"/>
      <w:ind w:firstLineChars="0"/>
    </w:pPr>
    <w:rPr>
      <w:rFonts w:ascii="Times New Roman"/>
    </w:rPr>
  </w:style>
  <w:style w:type="paragraph" w:customStyle="1" w:styleId="191">
    <w:name w:val="标准文件_提示"/>
    <w:basedOn w:val="56"/>
    <w:next w:val="56"/>
    <w:qFormat/>
    <w:uiPriority w:val="0"/>
    <w:pPr>
      <w:ind w:firstLine="420"/>
    </w:pPr>
    <w:rPr>
      <w:rFonts w:ascii="黑体" w:eastAsia="黑体"/>
    </w:rPr>
  </w:style>
  <w:style w:type="character" w:customStyle="1" w:styleId="192">
    <w:name w:val="标准文件_来源"/>
    <w:basedOn w:val="28"/>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6"/>
    <w:qFormat/>
    <w:uiPriority w:val="0"/>
    <w:pPr>
      <w:ind w:left="811" w:firstLine="0" w:firstLineChars="0"/>
    </w:pPr>
    <w:rPr>
      <w:sz w:val="18"/>
    </w:rPr>
  </w:style>
  <w:style w:type="paragraph" w:customStyle="1" w:styleId="207">
    <w:name w:val="标准文件_注X后"/>
    <w:basedOn w:val="56"/>
    <w:qFormat/>
    <w:uiPriority w:val="0"/>
    <w:pPr>
      <w:ind w:left="811" w:firstLine="0" w:firstLineChars="0"/>
    </w:pPr>
    <w:rPr>
      <w:sz w:val="18"/>
    </w:rPr>
  </w:style>
  <w:style w:type="paragraph" w:customStyle="1" w:styleId="208">
    <w:name w:val="标准文件_示例后"/>
    <w:basedOn w:val="56"/>
    <w:qFormat/>
    <w:uiPriority w:val="0"/>
    <w:pPr>
      <w:ind w:left="964" w:firstLine="0" w:firstLineChars="0"/>
    </w:pPr>
    <w:rPr>
      <w:sz w:val="18"/>
    </w:rPr>
  </w:style>
  <w:style w:type="paragraph" w:customStyle="1" w:styleId="209">
    <w:name w:val="标准文件_示例X后"/>
    <w:basedOn w:val="56"/>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6"/>
    <w:next w:val="56"/>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6"/>
    <w:qFormat/>
    <w:uiPriority w:val="0"/>
    <w:pPr>
      <w:spacing w:before="0" w:beforeLines="0" w:after="0" w:afterLines="0" w:line="276" w:lineRule="auto"/>
    </w:pPr>
    <w:rPr>
      <w:rFonts w:ascii="宋体" w:eastAsia="宋体"/>
    </w:rPr>
  </w:style>
  <w:style w:type="paragraph" w:customStyle="1" w:styleId="219">
    <w:name w:val="标准文件_引言三级无标题"/>
    <w:basedOn w:val="203"/>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6"/>
    <w:qFormat/>
    <w:uiPriority w:val="0"/>
    <w:pPr>
      <w:spacing w:before="0" w:beforeLines="0" w:after="0" w:afterLines="0" w:line="276" w:lineRule="auto"/>
    </w:pPr>
    <w:rPr>
      <w:rFonts w:ascii="宋体" w:eastAsia="宋体"/>
    </w:rPr>
  </w:style>
  <w:style w:type="paragraph" w:customStyle="1" w:styleId="222">
    <w:name w:val="标准文件_索引标题"/>
    <w:basedOn w:val="63"/>
    <w:next w:val="56"/>
    <w:qFormat/>
    <w:uiPriority w:val="0"/>
    <w:rPr>
      <w:rFonts w:hAnsi="黑体"/>
    </w:rPr>
  </w:style>
  <w:style w:type="paragraph" w:customStyle="1" w:styleId="223">
    <w:name w:val="标准文件_脚注内容"/>
    <w:basedOn w:val="56"/>
    <w:qFormat/>
    <w:uiPriority w:val="0"/>
    <w:pPr>
      <w:ind w:left="400" w:leftChars="200" w:hanging="200" w:hangingChars="200"/>
    </w:pPr>
    <w:rPr>
      <w:sz w:val="15"/>
    </w:rPr>
  </w:style>
  <w:style w:type="paragraph" w:customStyle="1" w:styleId="224">
    <w:name w:val="标准文件_术语条一"/>
    <w:basedOn w:val="163"/>
    <w:next w:val="56"/>
    <w:qFormat/>
    <w:uiPriority w:val="0"/>
  </w:style>
  <w:style w:type="paragraph" w:customStyle="1" w:styleId="225">
    <w:name w:val="标准文件_术语条二"/>
    <w:basedOn w:val="166"/>
    <w:next w:val="56"/>
    <w:qFormat/>
    <w:uiPriority w:val="0"/>
  </w:style>
  <w:style w:type="paragraph" w:customStyle="1" w:styleId="226">
    <w:name w:val="标准文件_术语条三"/>
    <w:basedOn w:val="165"/>
    <w:next w:val="56"/>
    <w:qFormat/>
    <w:uiPriority w:val="0"/>
  </w:style>
  <w:style w:type="paragraph" w:customStyle="1" w:styleId="227">
    <w:name w:val="标准文件_术语条四"/>
    <w:basedOn w:val="168"/>
    <w:next w:val="56"/>
    <w:qFormat/>
    <w:uiPriority w:val="0"/>
  </w:style>
  <w:style w:type="paragraph" w:customStyle="1" w:styleId="228">
    <w:name w:val="标准文件_术语条五"/>
    <w:basedOn w:val="164"/>
    <w:next w:val="56"/>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8"/>
    <w:qFormat/>
    <w:uiPriority w:val="0"/>
    <w:rPr>
      <w:rFonts w:ascii="黑体" w:eastAsia="黑体"/>
      <w:spacing w:val="85"/>
      <w:w w:val="100"/>
      <w:position w:val="3"/>
      <w:sz w:val="28"/>
      <w:szCs w:val="28"/>
    </w:rPr>
  </w:style>
  <w:style w:type="paragraph" w:customStyle="1" w:styleId="231">
    <w:name w:val="标准文件_表格题注"/>
    <w:autoRedefine/>
    <w:qFormat/>
    <w:uiPriority w:val="0"/>
    <w:pPr>
      <w:numPr>
        <w:ilvl w:val="0"/>
        <w:numId w:val="32"/>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232">
    <w:name w:val="标准文件_表格首行"/>
    <w:autoRedefine/>
    <w:qFormat/>
    <w:uiPriority w:val="0"/>
    <w:pPr>
      <w:spacing w:line="300" w:lineRule="atLeast"/>
      <w:jc w:val="center"/>
    </w:pPr>
    <w:rPr>
      <w:rFonts w:ascii="宋体" w:hAnsi="宋体" w:eastAsia="宋体" w:cs="Times New Roman"/>
      <w:kern w:val="2"/>
      <w:sz w:val="18"/>
      <w:szCs w:val="21"/>
      <w:lang w:val="en-US" w:eastAsia="zh-CN" w:bidi="ar-SA"/>
    </w:rPr>
  </w:style>
  <w:style w:type="paragraph" w:customStyle="1" w:styleId="233">
    <w:name w:val="标准文件_表格内容"/>
    <w:basedOn w:val="1"/>
    <w:autoRedefine/>
    <w:qFormat/>
    <w:uiPriority w:val="0"/>
    <w:pPr>
      <w:spacing w:line="300" w:lineRule="atLeast"/>
      <w:jc w:val="left"/>
    </w:pPr>
    <w:rPr>
      <w:rFonts w:ascii="宋体" w:hAnsi="宋体" w:cs="Times New Roman"/>
      <w:sz w:val="18"/>
    </w:rPr>
  </w:style>
  <w:style w:type="paragraph" w:customStyle="1" w:styleId="234">
    <w:name w:val="标准文件_图片题注"/>
    <w:autoRedefine/>
    <w:qFormat/>
    <w:uiPriority w:val="0"/>
    <w:pPr>
      <w:numPr>
        <w:ilvl w:val="0"/>
        <w:numId w:val="33"/>
      </w:numPr>
      <w:spacing w:before="50" w:beforeLines="50" w:after="50" w:afterLines="50"/>
      <w:jc w:val="center"/>
    </w:pPr>
    <w:rPr>
      <w:rFonts w:ascii="黑体" w:hAnsi="黑体" w:eastAsia="黑体" w:cstheme="minorBidi"/>
      <w:kern w:val="2"/>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9" Type="http://schemas.openxmlformats.org/officeDocument/2006/relationships/glossaryDocument" Target="glossary/document.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3.jpeg"/><Relationship Id="rId24" Type="http://schemas.openxmlformats.org/officeDocument/2006/relationships/image" Target="media/image2.png"/><Relationship Id="rId23" Type="http://schemas.openxmlformats.org/officeDocument/2006/relationships/image" Target="media/image1.png"/><Relationship Id="rId22" Type="http://schemas.openxmlformats.org/officeDocument/2006/relationships/theme" Target="theme/theme1.xml"/><Relationship Id="rId21" Type="http://schemas.openxmlformats.org/officeDocument/2006/relationships/footer" Target="footer8.xml"/><Relationship Id="rId20" Type="http://schemas.openxmlformats.org/officeDocument/2006/relationships/footer" Target="footer7.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header" Target="header8.xml"/><Relationship Id="rId17" Type="http://schemas.openxmlformats.org/officeDocument/2006/relationships/footer" Target="footer6.xml"/><Relationship Id="rId16" Type="http://schemas.openxmlformats.org/officeDocument/2006/relationships/footer" Target="footer5.xml"/><Relationship Id="rId15" Type="http://schemas.openxmlformats.org/officeDocument/2006/relationships/header" Target="header7.xml"/><Relationship Id="rId14" Type="http://schemas.openxmlformats.org/officeDocument/2006/relationships/header" Target="header6.xml"/><Relationship Id="rId13" Type="http://schemas.openxmlformats.org/officeDocument/2006/relationships/footer" Target="footer4.xml"/><Relationship Id="rId12" Type="http://schemas.openxmlformats.org/officeDocument/2006/relationships/footer" Target="footer3.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ata\weboffice\tmp\webword_2579374621\C:\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31AAA52270374532AA7C98F5FC00429A"/>
        <w:style w:val=""/>
        <w:category>
          <w:name w:val="常规"/>
          <w:gallery w:val="placeholder"/>
        </w:category>
        <w:types>
          <w:type w:val="bbPlcHdr"/>
        </w:types>
        <w:behaviors>
          <w:behavior w:val="content"/>
        </w:behaviors>
        <w:description w:val=""/>
        <w:guid w:val="{39878737-4092-4C44-98C4-1B59EB04E72D}"/>
      </w:docPartPr>
      <w:docPartBody>
        <w:p w14:paraId="45CDA0F0">
          <w:pPr>
            <w:pStyle w:val="5"/>
            <w:rPr>
              <w:rFonts w:hint="eastAsia"/>
            </w:rPr>
          </w:pPr>
          <w:r>
            <w:rPr>
              <w:rStyle w:val="4"/>
              <w:rFonts w:hint="eastAsia"/>
            </w:rPr>
            <w:t>单击或点击此处输入文字。</w:t>
          </w:r>
        </w:p>
      </w:docPartBody>
    </w:docPart>
    <w:docPart>
      <w:docPartPr>
        <w:name w:val="FF0054CC84D048C2BFA2F4572D65DF65"/>
        <w:style w:val=""/>
        <w:category>
          <w:name w:val="常规"/>
          <w:gallery w:val="placeholder"/>
        </w:category>
        <w:types>
          <w:type w:val="bbPlcHdr"/>
        </w:types>
        <w:behaviors>
          <w:behavior w:val="content"/>
        </w:behaviors>
        <w:description w:val=""/>
        <w:guid w:val="{67F023CE-E9F0-49DF-88FB-2C7CFDB6FB0C}"/>
      </w:docPartPr>
      <w:docPartBody>
        <w:p w14:paraId="63AA39B4">
          <w:pPr>
            <w:pStyle w:val="6"/>
            <w:rPr>
              <w:rFonts w:hint="eastAsia"/>
            </w:rPr>
          </w:pPr>
          <w:r>
            <w:rPr>
              <w:rStyle w:val="4"/>
              <w:rFonts w:hint="eastAsia"/>
            </w:rPr>
            <w:t>选择一项。</w:t>
          </w:r>
        </w:p>
      </w:docPartBody>
    </w:docPart>
    <w:docPart>
      <w:docPartPr>
        <w:name w:val="BE3737DD1D8843BEAE6237A2BC536667"/>
        <w:style w:val=""/>
        <w:category>
          <w:name w:val="常规"/>
          <w:gallery w:val="placeholder"/>
        </w:category>
        <w:types>
          <w:type w:val="bbPlcHdr"/>
        </w:types>
        <w:behaviors>
          <w:behavior w:val="content"/>
        </w:behaviors>
        <w:description w:val=""/>
        <w:guid w:val="{D4495E1A-EA6F-47B1-9360-1785CC22357F}"/>
      </w:docPartPr>
      <w:docPartBody>
        <w:p w14:paraId="44ECB797">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3A56"/>
    <w:rsid w:val="001D6273"/>
    <w:rsid w:val="0022344A"/>
    <w:rsid w:val="00463A56"/>
    <w:rsid w:val="004D3F73"/>
    <w:rsid w:val="00517C15"/>
    <w:rsid w:val="009F68BD"/>
    <w:rsid w:val="00A10C23"/>
    <w:rsid w:val="00A15C44"/>
    <w:rsid w:val="00A82140"/>
    <w:rsid w:val="00C26BDD"/>
    <w:rsid w:val="00E60402"/>
    <w:rsid w:val="00E9271E"/>
    <w:rsid w:val="00ED50FE"/>
    <w:rsid w:val="00F30DFB"/>
    <w:rsid w:val="00F30E94"/>
    <w:rsid w:val="00F6478F"/>
    <w:rsid w:val="00F86B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31AAA52270374532AA7C98F5FC00429A"/>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FF0054CC84D048C2BFA2F4572D65DF65"/>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BE3737DD1D8843BEAE6237A2BC536667"/>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PCMI</Company>
  <Pages>7</Pages>
  <Words>2652</Words>
  <Characters>3105</Characters>
  <Lines>369</Lines>
  <Paragraphs>508</Paragraphs>
  <TotalTime>2</TotalTime>
  <ScaleCrop>false</ScaleCrop>
  <LinksUpToDate>false</LinksUpToDate>
  <CharactersWithSpaces>3271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2025-06-03T10:51:00Z</dcterms:created>
  <dc:creator>王志强</dc:creator>
  <dc:description>&lt;config cover="true" show_menu="true" version="1.0.0" doctype="SDKXY"&gt;_x000d_
&lt;/config&gt;</dc:description>
  <cp:lastModifiedBy>游钦凉</cp:lastModifiedBy>
  <cp:lastPrinted>2021-02-02T16:22:00Z</cp:lastPrinted>
  <dcterms:modified xsi:type="dcterms:W3CDTF">2026-04-15T06:57:20Z</dcterms:modified>
  <dc:title>团体标准</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-1</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eyJoZGlkIjoiMjdlZDgyOTQyNjFjNTk3MWVlYTY0NzMzZGMxODZkODYiLCJ1c2VySWQiOiIxNTY4NTU3MDQ2In0=</vt:lpwstr>
  </property>
  <property fmtid="{D5CDD505-2E9C-101B-9397-08002B2CF9AE}" pid="15" name="KSOProductBuildVer">
    <vt:lpwstr>2052-12.1.0.22529</vt:lpwstr>
  </property>
  <property fmtid="{D5CDD505-2E9C-101B-9397-08002B2CF9AE}" pid="16" name="ICV">
    <vt:lpwstr>D437DF1607C8F68A4CA6BF6876CBB180_43</vt:lpwstr>
  </property>
  <property fmtid="{D5CDD505-2E9C-101B-9397-08002B2CF9AE}" pid="17" name="uuid">
    <vt:lpwstr>5eb7b5cc2eb37b0e99516e006bd52d19</vt:lpwstr>
  </property>
</Properties>
</file>