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29.180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K41</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配电变压器通用技术要求</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General technical requirements for distribution transformers</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53ADB187">
      <w:pPr>
        <w:pStyle w:val="19"/>
        <w:tabs>
          <w:tab w:val="right" w:leader="dot" w:pos="9354"/>
        </w:tabs>
      </w:pPr>
      <w:r>
        <w:fldChar w:fldCharType="begin"/>
      </w:r>
      <w:r>
        <w:instrText xml:space="preserve"> TOC \o "1-1" \h </w:instrText>
      </w:r>
      <w:r>
        <w:fldChar w:fldCharType="separate"/>
      </w:r>
      <w:r>
        <w:fldChar w:fldCharType="begin"/>
      </w:r>
      <w:r>
        <w:instrText xml:space="preserve"> HYPERLINK \l _Toc8018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_Toc8018 \h </w:instrText>
      </w:r>
      <w:r>
        <w:fldChar w:fldCharType="separate"/>
      </w:r>
      <w:r>
        <w:t>II</w:t>
      </w:r>
      <w:r>
        <w:fldChar w:fldCharType="end"/>
      </w:r>
      <w:r>
        <w:fldChar w:fldCharType="end"/>
      </w:r>
    </w:p>
    <w:p w14:paraId="76225204">
      <w:pPr>
        <w:pStyle w:val="19"/>
        <w:tabs>
          <w:tab w:val="right" w:leader="dot" w:pos="9354"/>
        </w:tabs>
      </w:pPr>
      <w:r>
        <w:fldChar w:fldCharType="begin"/>
      </w:r>
      <w:r>
        <w:instrText xml:space="preserve"> HYPERLINK \l _Toc27229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_Toc27229 \h </w:instrText>
      </w:r>
      <w:r>
        <w:fldChar w:fldCharType="separate"/>
      </w:r>
      <w:r>
        <w:t>1</w:t>
      </w:r>
      <w:r>
        <w:fldChar w:fldCharType="end"/>
      </w:r>
      <w:r>
        <w:fldChar w:fldCharType="end"/>
      </w:r>
    </w:p>
    <w:p w14:paraId="4BC2A5C9">
      <w:pPr>
        <w:pStyle w:val="19"/>
        <w:tabs>
          <w:tab w:val="right" w:leader="dot" w:pos="9354"/>
        </w:tabs>
      </w:pPr>
      <w:r>
        <w:fldChar w:fldCharType="begin"/>
      </w:r>
      <w:r>
        <w:instrText xml:space="preserve"> HYPERLINK \l _Toc4786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_Toc4786 \h </w:instrText>
      </w:r>
      <w:r>
        <w:fldChar w:fldCharType="separate"/>
      </w:r>
      <w:r>
        <w:t>1</w:t>
      </w:r>
      <w:r>
        <w:fldChar w:fldCharType="end"/>
      </w:r>
      <w:r>
        <w:fldChar w:fldCharType="end"/>
      </w:r>
    </w:p>
    <w:p w14:paraId="33BD5344">
      <w:pPr>
        <w:pStyle w:val="19"/>
        <w:tabs>
          <w:tab w:val="right" w:leader="dot" w:pos="9354"/>
        </w:tabs>
      </w:pPr>
      <w:r>
        <w:fldChar w:fldCharType="begin"/>
      </w:r>
      <w:r>
        <w:instrText xml:space="preserve"> HYPERLINK \l _Toc14469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_Toc14469 \h </w:instrText>
      </w:r>
      <w:r>
        <w:fldChar w:fldCharType="separate"/>
      </w:r>
      <w:r>
        <w:t>1</w:t>
      </w:r>
      <w:r>
        <w:fldChar w:fldCharType="end"/>
      </w:r>
      <w:r>
        <w:fldChar w:fldCharType="end"/>
      </w:r>
    </w:p>
    <w:p w14:paraId="5221FDB3">
      <w:pPr>
        <w:pStyle w:val="19"/>
        <w:tabs>
          <w:tab w:val="right" w:leader="dot" w:pos="9354"/>
        </w:tabs>
      </w:pPr>
      <w:r>
        <w:fldChar w:fldCharType="begin"/>
      </w:r>
      <w:r>
        <w:instrText xml:space="preserve"> HYPERLINK \l _Toc30984 </w:instrText>
      </w:r>
      <w:r>
        <w:fldChar w:fldCharType="separate"/>
      </w:r>
      <w:r>
        <w:rPr>
          <w:rFonts w:hint="eastAsia" w:ascii="黑体" w:eastAsia="黑体"/>
          <w:i w:val="0"/>
        </w:rPr>
        <w:t xml:space="preserve">4 </w:t>
      </w:r>
      <w:r>
        <w:rPr>
          <w:rFonts w:hint="eastAsia"/>
          <w:lang w:val="en-US" w:eastAsia="zh-CN"/>
        </w:rPr>
        <w:t>使用条件</w:t>
      </w:r>
      <w:r>
        <w:tab/>
      </w:r>
      <w:r>
        <w:fldChar w:fldCharType="begin"/>
      </w:r>
      <w:r>
        <w:instrText xml:space="preserve"> PAGEREF _Toc30984 \h </w:instrText>
      </w:r>
      <w:r>
        <w:fldChar w:fldCharType="separate"/>
      </w:r>
      <w:r>
        <w:t>1</w:t>
      </w:r>
      <w:r>
        <w:fldChar w:fldCharType="end"/>
      </w:r>
      <w:r>
        <w:fldChar w:fldCharType="end"/>
      </w:r>
    </w:p>
    <w:p w14:paraId="780D65DC">
      <w:pPr>
        <w:pStyle w:val="19"/>
        <w:tabs>
          <w:tab w:val="right" w:leader="dot" w:pos="9354"/>
        </w:tabs>
      </w:pPr>
      <w:r>
        <w:fldChar w:fldCharType="begin"/>
      </w:r>
      <w:r>
        <w:instrText xml:space="preserve"> HYPERLINK \l _Toc13880 </w:instrText>
      </w:r>
      <w:r>
        <w:fldChar w:fldCharType="separate"/>
      </w:r>
      <w:r>
        <w:rPr>
          <w:rFonts w:hint="eastAsia" w:ascii="黑体" w:eastAsia="黑体"/>
          <w:i w:val="0"/>
        </w:rPr>
        <w:t xml:space="preserve">5 </w:t>
      </w:r>
      <w:r>
        <w:rPr>
          <w:rFonts w:hint="eastAsia"/>
          <w:lang w:val="en-US" w:eastAsia="zh-CN"/>
        </w:rPr>
        <w:t>技术要求</w:t>
      </w:r>
      <w:r>
        <w:tab/>
      </w:r>
      <w:r>
        <w:fldChar w:fldCharType="begin"/>
      </w:r>
      <w:r>
        <w:instrText xml:space="preserve"> PAGEREF _Toc13880 \h </w:instrText>
      </w:r>
      <w:r>
        <w:fldChar w:fldCharType="separate"/>
      </w:r>
      <w:r>
        <w:t>1</w:t>
      </w:r>
      <w:r>
        <w:fldChar w:fldCharType="end"/>
      </w:r>
      <w:r>
        <w:fldChar w:fldCharType="end"/>
      </w:r>
    </w:p>
    <w:p w14:paraId="078B8270">
      <w:pPr>
        <w:pStyle w:val="19"/>
        <w:tabs>
          <w:tab w:val="right" w:leader="dot" w:pos="9354"/>
        </w:tabs>
      </w:pPr>
      <w:r>
        <w:fldChar w:fldCharType="begin"/>
      </w:r>
      <w:r>
        <w:instrText xml:space="preserve"> HYPERLINK \l _Toc1136 </w:instrText>
      </w:r>
      <w:r>
        <w:fldChar w:fldCharType="separate"/>
      </w:r>
      <w:r>
        <w:rPr>
          <w:rFonts w:hint="eastAsia" w:ascii="黑体" w:eastAsia="黑体"/>
          <w:i w:val="0"/>
        </w:rPr>
        <w:t xml:space="preserve">6 </w:t>
      </w:r>
      <w:r>
        <w:rPr>
          <w:rFonts w:hint="eastAsia"/>
          <w:highlight w:val="none"/>
          <w:lang w:val="en-US" w:eastAsia="zh-CN"/>
        </w:rPr>
        <w:t>试验方法</w:t>
      </w:r>
      <w:r>
        <w:tab/>
      </w:r>
      <w:r>
        <w:fldChar w:fldCharType="begin"/>
      </w:r>
      <w:r>
        <w:instrText xml:space="preserve"> PAGEREF _Toc1136 \h </w:instrText>
      </w:r>
      <w:r>
        <w:fldChar w:fldCharType="separate"/>
      </w:r>
      <w:r>
        <w:t>3</w:t>
      </w:r>
      <w:r>
        <w:fldChar w:fldCharType="end"/>
      </w:r>
      <w:r>
        <w:fldChar w:fldCharType="end"/>
      </w:r>
    </w:p>
    <w:p w14:paraId="4F1F1CAF">
      <w:pPr>
        <w:pStyle w:val="19"/>
        <w:tabs>
          <w:tab w:val="right" w:leader="dot" w:pos="9354"/>
        </w:tabs>
      </w:pPr>
      <w:r>
        <w:fldChar w:fldCharType="begin"/>
      </w:r>
      <w:r>
        <w:instrText xml:space="preserve"> HYPERLINK \l _Toc17055 </w:instrText>
      </w:r>
      <w:r>
        <w:fldChar w:fldCharType="separate"/>
      </w:r>
      <w:r>
        <w:rPr>
          <w:rFonts w:hint="eastAsia" w:ascii="黑体" w:eastAsia="黑体"/>
          <w:i w:val="0"/>
        </w:rPr>
        <w:t xml:space="preserve">7 </w:t>
      </w:r>
      <w:r>
        <w:rPr>
          <w:rFonts w:hint="eastAsia"/>
          <w:lang w:val="en-US" w:eastAsia="zh-CN"/>
        </w:rPr>
        <w:t>检验规则</w:t>
      </w:r>
      <w:r>
        <w:tab/>
      </w:r>
      <w:r>
        <w:fldChar w:fldCharType="begin"/>
      </w:r>
      <w:r>
        <w:instrText xml:space="preserve"> PAGEREF _Toc17055 \h </w:instrText>
      </w:r>
      <w:r>
        <w:fldChar w:fldCharType="separate"/>
      </w:r>
      <w:r>
        <w:t>4</w:t>
      </w:r>
      <w:r>
        <w:fldChar w:fldCharType="end"/>
      </w:r>
      <w:r>
        <w:fldChar w:fldCharType="end"/>
      </w:r>
    </w:p>
    <w:p w14:paraId="6C419962">
      <w:pPr>
        <w:pStyle w:val="19"/>
        <w:tabs>
          <w:tab w:val="right" w:leader="dot" w:pos="9354"/>
        </w:tabs>
      </w:pPr>
      <w:r>
        <w:fldChar w:fldCharType="begin"/>
      </w:r>
      <w:r>
        <w:instrText xml:space="preserve"> HYPERLINK \l _Toc7938 </w:instrText>
      </w:r>
      <w:r>
        <w:fldChar w:fldCharType="separate"/>
      </w:r>
      <w:r>
        <w:rPr>
          <w:rFonts w:hint="eastAsia" w:ascii="黑体" w:eastAsia="黑体"/>
          <w:i w:val="0"/>
        </w:rPr>
        <w:t xml:space="preserve">8 </w:t>
      </w:r>
      <w:r>
        <w:rPr>
          <w:rFonts w:hint="eastAsia"/>
        </w:rPr>
        <w:t>标志、包装、运输和</w:t>
      </w:r>
      <w:r>
        <w:rPr>
          <w:rFonts w:hint="eastAsia"/>
          <w:lang w:val="en-US" w:eastAsia="zh-CN"/>
        </w:rPr>
        <w:t>贮存</w:t>
      </w:r>
      <w:r>
        <w:tab/>
      </w:r>
      <w:r>
        <w:fldChar w:fldCharType="begin"/>
      </w:r>
      <w:r>
        <w:instrText xml:space="preserve"> PAGEREF _Toc7938 \h </w:instrText>
      </w:r>
      <w:r>
        <w:fldChar w:fldCharType="separate"/>
      </w:r>
      <w:r>
        <w:t>5</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0376D486">
      <w:pPr>
        <w:pStyle w:val="90"/>
        <w:bidi w:val="0"/>
        <w:rPr>
          <w:rFonts w:hint="eastAsia" w:eastAsia="宋体"/>
          <w:lang w:eastAsia="zh-CN"/>
        </w:rPr>
      </w:pPr>
      <w:bookmarkStart w:id="22" w:name="_Toc8018"/>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浙江豫德电气有限公司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浙江豫德电气有限公司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配电变压器通用技术要求</w:t>
          </w:r>
          <w:bookmarkEnd w:id="29"/>
        </w:p>
      </w:sdtContent>
    </w:sdt>
    <w:p w14:paraId="7A7C3DE6">
      <w:pPr>
        <w:pStyle w:val="105"/>
        <w:spacing w:before="240" w:after="240"/>
      </w:pPr>
      <w:bookmarkStart w:id="30" w:name="_Toc97192964"/>
      <w:bookmarkStart w:id="31" w:name="_Toc24884211"/>
      <w:bookmarkStart w:id="32" w:name="_Toc199844081"/>
      <w:bookmarkStart w:id="33" w:name="_Toc26986530"/>
      <w:bookmarkStart w:id="34" w:name="_Toc26986771"/>
      <w:bookmarkStart w:id="35" w:name="_Toc24884218"/>
      <w:bookmarkStart w:id="36" w:name="_Toc26718930"/>
      <w:bookmarkStart w:id="37" w:name="_Toc26648465"/>
      <w:bookmarkStart w:id="38" w:name="_Toc17233325"/>
      <w:bookmarkStart w:id="39" w:name="_Toc17233333"/>
      <w:bookmarkStart w:id="40" w:name="_Toc27229"/>
      <w:r>
        <w:rPr>
          <w:rFonts w:hint="eastAsia"/>
        </w:rPr>
        <w:t>范围</w:t>
      </w:r>
      <w:bookmarkEnd w:id="30"/>
      <w:bookmarkEnd w:id="31"/>
      <w:bookmarkEnd w:id="32"/>
      <w:bookmarkEnd w:id="33"/>
      <w:bookmarkEnd w:id="34"/>
      <w:bookmarkEnd w:id="35"/>
      <w:bookmarkEnd w:id="36"/>
      <w:bookmarkEnd w:id="37"/>
      <w:bookmarkEnd w:id="38"/>
      <w:bookmarkEnd w:id="39"/>
      <w:bookmarkEnd w:id="40"/>
    </w:p>
    <w:p w14:paraId="1E7AEAE6">
      <w:pPr>
        <w:pStyle w:val="56"/>
        <w:ind w:firstLine="420"/>
        <w:rPr>
          <w:rFonts w:hint="eastAsia"/>
          <w:highlight w:val="none"/>
          <w:lang w:eastAsia="zh-CN"/>
        </w:rPr>
      </w:pPr>
      <w:bookmarkStart w:id="41" w:name="_Toc26648466"/>
      <w:bookmarkStart w:id="42" w:name="_Toc26718931"/>
      <w:bookmarkStart w:id="43" w:name="_Toc17233334"/>
      <w:bookmarkStart w:id="44" w:name="_Toc97192965"/>
      <w:bookmarkStart w:id="45" w:name="_Toc24884219"/>
      <w:bookmarkStart w:id="46" w:name="_Toc199844082"/>
      <w:bookmarkStart w:id="47" w:name="_Toc26986772"/>
      <w:bookmarkStart w:id="48" w:name="_Toc24884212"/>
      <w:bookmarkStart w:id="49" w:name="_Toc26986531"/>
      <w:bookmarkStart w:id="50" w:name="_Toc17233326"/>
      <w:r>
        <w:rPr>
          <w:rFonts w:hint="eastAsia"/>
          <w:highlight w:val="none"/>
          <w:lang w:eastAsia="zh-CN"/>
        </w:rPr>
        <w:t>本文件规定了配电变压器的术语和定义、技术要求、试验方法、检验规则及标志、包装、运输和贮存。​</w:t>
      </w:r>
    </w:p>
    <w:p w14:paraId="766D24C7">
      <w:pPr>
        <w:pStyle w:val="56"/>
        <w:ind w:firstLine="420"/>
      </w:pPr>
      <w:r>
        <w:rPr>
          <w:rFonts w:hint="eastAsia"/>
          <w:highlight w:val="none"/>
          <w:lang w:eastAsia="zh-CN"/>
        </w:rPr>
        <w:t>本文件适用于额定电压 10kV 及以下、额定频率 50Hz，的油浸式全密封配电变压器和环氧树脂浇注干式配电变压器。</w:t>
      </w:r>
    </w:p>
    <w:p w14:paraId="5059402F">
      <w:pPr>
        <w:pStyle w:val="105"/>
        <w:spacing w:before="240" w:after="240"/>
      </w:pPr>
      <w:bookmarkStart w:id="51" w:name="_Toc4786"/>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2B4D8E4">
      <w:pPr>
        <w:pStyle w:val="56"/>
        <w:ind w:firstLine="420"/>
        <w:rPr>
          <w:rFonts w:hint="eastAsia"/>
          <w:highlight w:val="none"/>
        </w:rPr>
      </w:pPr>
      <w:bookmarkStart w:id="52" w:name="OLE_LINK1"/>
      <w:r>
        <w:rPr>
          <w:rFonts w:hint="eastAsia"/>
          <w:highlight w:val="none"/>
        </w:rPr>
        <w:t>GB/T 191 包装储运图形符号标志</w:t>
      </w:r>
    </w:p>
    <w:p w14:paraId="7F5F93AE">
      <w:pPr>
        <w:pStyle w:val="56"/>
        <w:ind w:firstLine="420"/>
        <w:rPr>
          <w:rFonts w:hint="eastAsia"/>
          <w:highlight w:val="none"/>
        </w:rPr>
      </w:pPr>
      <w:r>
        <w:rPr>
          <w:rFonts w:hint="eastAsia"/>
          <w:highlight w:val="none"/>
        </w:rPr>
        <w:t>GB/T 4208 外壳防护等级（IP代码）</w:t>
      </w:r>
    </w:p>
    <w:p w14:paraId="16285361">
      <w:pPr>
        <w:pStyle w:val="56"/>
        <w:ind w:firstLine="420"/>
        <w:rPr>
          <w:rFonts w:hint="eastAsia"/>
          <w:highlight w:val="none"/>
        </w:rPr>
      </w:pPr>
      <w:r>
        <w:rPr>
          <w:rFonts w:hint="eastAsia"/>
          <w:highlight w:val="none"/>
        </w:rPr>
        <w:t>GB/T 1094.1 电力变压器 第1部分：总则</w:t>
      </w:r>
    </w:p>
    <w:p w14:paraId="1C4A21EE">
      <w:pPr>
        <w:pStyle w:val="56"/>
        <w:ind w:firstLine="420"/>
        <w:rPr>
          <w:rFonts w:hint="eastAsia"/>
          <w:highlight w:val="none"/>
        </w:rPr>
      </w:pPr>
      <w:r>
        <w:rPr>
          <w:rFonts w:hint="eastAsia"/>
          <w:highlight w:val="none"/>
        </w:rPr>
        <w:t>GB/T 1094.2 电力变压器 第2部分：液浸式变压器的温升</w:t>
      </w:r>
    </w:p>
    <w:p w14:paraId="1C375D98">
      <w:pPr>
        <w:pStyle w:val="56"/>
        <w:ind w:firstLine="420"/>
        <w:rPr>
          <w:rFonts w:hint="eastAsia"/>
          <w:highlight w:val="none"/>
        </w:rPr>
      </w:pPr>
      <w:r>
        <w:rPr>
          <w:rFonts w:hint="eastAsia"/>
          <w:highlight w:val="none"/>
        </w:rPr>
        <w:t>GB/T 1094.3 电力变压器 第3部分：绝缘水平、绝缘试验和外绝缘空气间隙</w:t>
      </w:r>
    </w:p>
    <w:p w14:paraId="49299E8B">
      <w:pPr>
        <w:pStyle w:val="56"/>
        <w:ind w:firstLine="420"/>
        <w:rPr>
          <w:rFonts w:hint="eastAsia"/>
          <w:highlight w:val="none"/>
        </w:rPr>
      </w:pPr>
      <w:r>
        <w:rPr>
          <w:rFonts w:hint="eastAsia"/>
          <w:highlight w:val="none"/>
        </w:rPr>
        <w:t>GB/T 1094.5 电力变压器 第5部分：承受短路的能力</w:t>
      </w:r>
    </w:p>
    <w:p w14:paraId="0FAC4B39">
      <w:pPr>
        <w:pStyle w:val="56"/>
        <w:ind w:firstLine="420"/>
        <w:rPr>
          <w:rFonts w:hint="eastAsia"/>
          <w:highlight w:val="none"/>
        </w:rPr>
      </w:pPr>
      <w:r>
        <w:rPr>
          <w:rFonts w:hint="eastAsia"/>
          <w:highlight w:val="none"/>
        </w:rPr>
        <w:t>GB/T 1094.10 电力变压器 第 10 部分：声级测定</w:t>
      </w:r>
    </w:p>
    <w:p w14:paraId="2CFD8A4D">
      <w:pPr>
        <w:pStyle w:val="56"/>
        <w:ind w:firstLine="420"/>
        <w:rPr>
          <w:rFonts w:hint="eastAsia"/>
          <w:highlight w:val="none"/>
        </w:rPr>
      </w:pPr>
      <w:r>
        <w:rPr>
          <w:rFonts w:hint="eastAsia"/>
          <w:highlight w:val="none"/>
        </w:rPr>
        <w:t>GB/T 2408 塑料 燃烧性能的测定 水平法和垂直法</w:t>
      </w:r>
    </w:p>
    <w:p w14:paraId="3D3C6E09">
      <w:pPr>
        <w:pStyle w:val="56"/>
        <w:ind w:firstLine="420"/>
        <w:rPr>
          <w:rFonts w:hint="eastAsia"/>
          <w:highlight w:val="none"/>
        </w:rPr>
      </w:pPr>
      <w:r>
        <w:rPr>
          <w:rFonts w:hint="eastAsia"/>
          <w:highlight w:val="none"/>
        </w:rPr>
        <w:t>GB 2536 电工流体 变压器和开关用的未使用过的矿物绝缘油</w:t>
      </w:r>
    </w:p>
    <w:p w14:paraId="6C61831A">
      <w:pPr>
        <w:pStyle w:val="56"/>
        <w:ind w:firstLine="420"/>
        <w:rPr>
          <w:rFonts w:hint="eastAsia"/>
          <w:highlight w:val="none"/>
        </w:rPr>
      </w:pPr>
      <w:r>
        <w:rPr>
          <w:rFonts w:hint="eastAsia"/>
          <w:highlight w:val="none"/>
        </w:rPr>
        <w:t>GB/T 2900.95</w:t>
      </w:r>
      <w:r>
        <w:rPr>
          <w:rFonts w:hint="eastAsia"/>
          <w:highlight w:val="none"/>
          <w:lang w:val="en-US" w:eastAsia="zh-CN"/>
        </w:rPr>
        <w:t xml:space="preserve"> </w:t>
      </w:r>
      <w:r>
        <w:rPr>
          <w:rFonts w:hint="eastAsia"/>
          <w:highlight w:val="none"/>
        </w:rPr>
        <w:t>电工术语 变压器、调压器和电抗器</w:t>
      </w:r>
    </w:p>
    <w:p w14:paraId="57E809F9">
      <w:pPr>
        <w:pStyle w:val="56"/>
        <w:ind w:firstLine="420"/>
        <w:rPr>
          <w:rFonts w:hint="eastAsia"/>
          <w:highlight w:val="none"/>
        </w:rPr>
      </w:pPr>
      <w:r>
        <w:rPr>
          <w:rFonts w:hint="eastAsia"/>
          <w:highlight w:val="none"/>
        </w:rPr>
        <w:t>GB/T 6451</w:t>
      </w:r>
      <w:r>
        <w:rPr>
          <w:rFonts w:hint="eastAsia"/>
          <w:highlight w:val="none"/>
          <w:lang w:val="en-US" w:eastAsia="zh-CN"/>
        </w:rPr>
        <w:t xml:space="preserve"> </w:t>
      </w:r>
      <w:r>
        <w:rPr>
          <w:rFonts w:hint="eastAsia"/>
          <w:highlight w:val="none"/>
        </w:rPr>
        <w:t>油浸式电力变压器技术参数和要求</w:t>
      </w:r>
    </w:p>
    <w:p w14:paraId="28C497FB">
      <w:pPr>
        <w:pStyle w:val="56"/>
        <w:ind w:firstLine="420"/>
        <w:rPr>
          <w:rFonts w:hint="eastAsia"/>
          <w:highlight w:val="none"/>
        </w:rPr>
      </w:pPr>
      <w:r>
        <w:rPr>
          <w:rFonts w:hint="eastAsia"/>
          <w:highlight w:val="none"/>
        </w:rPr>
        <w:t>GB/T 11021 电气绝缘 耐热性和表示方法</w:t>
      </w:r>
    </w:p>
    <w:p w14:paraId="5BE53449">
      <w:pPr>
        <w:pStyle w:val="56"/>
        <w:ind w:firstLine="420"/>
        <w:rPr>
          <w:rFonts w:hint="eastAsia"/>
          <w:highlight w:val="none"/>
        </w:rPr>
      </w:pPr>
      <w:r>
        <w:rPr>
          <w:rFonts w:hint="eastAsia"/>
          <w:highlight w:val="none"/>
        </w:rPr>
        <w:t>GB/T 17468 电力变压器选用导则</w:t>
      </w:r>
    </w:p>
    <w:p w14:paraId="2D024E42">
      <w:pPr>
        <w:pStyle w:val="56"/>
        <w:ind w:firstLine="420"/>
        <w:rPr>
          <w:rFonts w:hint="eastAsia"/>
          <w:highlight w:val="none"/>
        </w:rPr>
      </w:pPr>
      <w:r>
        <w:rPr>
          <w:rFonts w:hint="eastAsia"/>
          <w:highlight w:val="none"/>
        </w:rPr>
        <w:t>GB 20052</w:t>
      </w:r>
      <w:r>
        <w:rPr>
          <w:rFonts w:hint="eastAsia"/>
          <w:highlight w:val="none"/>
          <w:lang w:val="en-US" w:eastAsia="zh-CN"/>
        </w:rPr>
        <w:t xml:space="preserve"> </w:t>
      </w:r>
      <w:r>
        <w:rPr>
          <w:rFonts w:hint="eastAsia"/>
          <w:highlight w:val="none"/>
        </w:rPr>
        <w:t>电力变压器能效限定值及能效等级</w:t>
      </w:r>
    </w:p>
    <w:p w14:paraId="7F573B44">
      <w:pPr>
        <w:pStyle w:val="56"/>
        <w:ind w:firstLine="420"/>
        <w:rPr>
          <w:rFonts w:hint="eastAsia"/>
          <w:highlight w:val="none"/>
        </w:rPr>
      </w:pPr>
      <w:r>
        <w:rPr>
          <w:rFonts w:hint="eastAsia"/>
          <w:highlight w:val="none"/>
        </w:rPr>
        <w:t>GB 50150 电气装置安装工程 电气设备交接试验标准（附条文说明）</w:t>
      </w:r>
    </w:p>
    <w:p w14:paraId="1A14648A">
      <w:pPr>
        <w:pStyle w:val="56"/>
        <w:ind w:firstLine="420"/>
        <w:rPr>
          <w:rFonts w:hint="eastAsia"/>
          <w:highlight w:val="none"/>
        </w:rPr>
      </w:pPr>
      <w:r>
        <w:rPr>
          <w:rFonts w:hint="eastAsia"/>
          <w:highlight w:val="none"/>
        </w:rPr>
        <w:t>JB/T 501-2021 电力变压器试验导则</w:t>
      </w:r>
    </w:p>
    <w:bookmarkEnd w:id="52"/>
    <w:p w14:paraId="6A285AF5">
      <w:pPr>
        <w:pStyle w:val="105"/>
        <w:spacing w:before="240" w:after="240"/>
      </w:pPr>
      <w:bookmarkStart w:id="53" w:name="_Toc199844083"/>
      <w:bookmarkStart w:id="54" w:name="_Toc97192966"/>
      <w:bookmarkStart w:id="55" w:name="_Toc14469"/>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lang w:val="en-US" w:eastAsia="zh-CN"/>
            </w:rPr>
            <w:t>GB/T 1094.1、GB/T 2900.95</w:t>
          </w:r>
          <w:r>
            <w:rPr>
              <w:rFonts w:hint="eastAsia" w:ascii="宋体" w:hAnsi="Times New Roman" w:eastAsia="宋体" w:cs="Times New Roman"/>
              <w:sz w:val="21"/>
              <w:lang w:val="en-US" w:eastAsia="zh-CN" w:bidi="ar-SA"/>
            </w:rPr>
            <w:t>界定的术语和定义适用于本文件。</w:t>
          </w:r>
        </w:p>
      </w:sdtContent>
    </w:sdt>
    <w:p w14:paraId="74227320">
      <w:pPr>
        <w:pStyle w:val="105"/>
        <w:spacing w:before="326" w:after="326"/>
        <w:rPr>
          <w:rFonts w:hint="eastAsia"/>
        </w:rPr>
      </w:pPr>
      <w:bookmarkStart w:id="57" w:name="_Toc30984"/>
      <w:bookmarkStart w:id="58" w:name="_Toc199844084"/>
      <w:r>
        <w:rPr>
          <w:rFonts w:hint="eastAsia"/>
          <w:lang w:val="en-US" w:eastAsia="zh-CN"/>
        </w:rPr>
        <w:t>使用条件</w:t>
      </w:r>
      <w:bookmarkEnd w:id="57"/>
    </w:p>
    <w:p w14:paraId="06D646DC">
      <w:pPr>
        <w:pStyle w:val="66"/>
        <w:rPr>
          <w:rFonts w:hint="eastAsia"/>
          <w:lang w:val="en-US" w:eastAsia="zh-CN"/>
        </w:rPr>
      </w:pPr>
      <w:r>
        <w:rPr>
          <w:rFonts w:hint="eastAsia"/>
          <w:lang w:val="en-US" w:eastAsia="zh-CN"/>
        </w:rPr>
        <w:t>产品在满足下列使用条件时，应保证正常运行：</w:t>
      </w:r>
    </w:p>
    <w:p w14:paraId="420C26C8">
      <w:pPr>
        <w:pStyle w:val="175"/>
        <w:bidi w:val="0"/>
        <w:ind w:left="851" w:leftChars="0" w:hanging="426" w:firstLineChars="0"/>
        <w:rPr>
          <w:rFonts w:hint="default"/>
          <w:lang w:val="en-US" w:eastAsia="zh-CN"/>
        </w:rPr>
      </w:pPr>
      <w:r>
        <w:rPr>
          <w:rFonts w:hint="eastAsia"/>
          <w:lang w:val="en-US" w:eastAsia="zh-CN"/>
        </w:rPr>
        <w:t>环境温度：﹣25℃</w:t>
      </w:r>
      <w:r>
        <w:rPr>
          <w:rFonts w:hint="default" w:ascii="Times New Roman" w:hAnsi="Times New Roman" w:cs="Times New Roman"/>
          <w:lang w:val="en-US" w:eastAsia="zh-CN"/>
        </w:rPr>
        <w:t>~</w:t>
      </w:r>
      <w:r>
        <w:rPr>
          <w:rFonts w:hint="eastAsia"/>
          <w:lang w:val="en-US" w:eastAsia="zh-CN"/>
        </w:rPr>
        <w:t>﹢40℃；</w:t>
      </w:r>
    </w:p>
    <w:p w14:paraId="61C805DB">
      <w:pPr>
        <w:pStyle w:val="175"/>
        <w:bidi w:val="0"/>
        <w:ind w:left="851" w:leftChars="0" w:hanging="426" w:firstLineChars="0"/>
        <w:rPr>
          <w:rFonts w:hint="default"/>
          <w:lang w:val="en-US" w:eastAsia="zh-CN"/>
        </w:rPr>
      </w:pPr>
      <w:r>
        <w:rPr>
          <w:rFonts w:hint="default"/>
          <w:lang w:val="en-US" w:eastAsia="zh-CN"/>
        </w:rPr>
        <w:t>海拔高度：不超过1000m</w:t>
      </w:r>
      <w:r>
        <w:rPr>
          <w:rFonts w:hint="eastAsia"/>
          <w:lang w:val="en-US" w:eastAsia="zh-CN"/>
        </w:rPr>
        <w:t>；</w:t>
      </w:r>
    </w:p>
    <w:p w14:paraId="2DAD9968">
      <w:pPr>
        <w:pStyle w:val="175"/>
        <w:bidi w:val="0"/>
        <w:ind w:left="851" w:leftChars="0" w:hanging="426" w:firstLineChars="0"/>
        <w:rPr>
          <w:rFonts w:hint="default"/>
          <w:lang w:val="en-US" w:eastAsia="zh-CN"/>
        </w:rPr>
      </w:pPr>
      <w:r>
        <w:rPr>
          <w:rFonts w:hint="default"/>
          <w:lang w:val="en-US" w:eastAsia="zh-CN"/>
        </w:rPr>
        <w:t>环境湿度：不大于90%</w:t>
      </w:r>
      <w:r>
        <w:rPr>
          <w:rFonts w:hint="eastAsia"/>
          <w:lang w:val="en-US" w:eastAsia="zh-CN"/>
        </w:rPr>
        <w:t>（25℃条件下）。</w:t>
      </w:r>
    </w:p>
    <w:p w14:paraId="3787B65E">
      <w:pPr>
        <w:pStyle w:val="105"/>
        <w:spacing w:before="326" w:after="326"/>
        <w:rPr>
          <w:rFonts w:hint="eastAsia"/>
        </w:rPr>
      </w:pPr>
      <w:bookmarkStart w:id="59" w:name="_Toc13880"/>
      <w:r>
        <w:rPr>
          <w:rFonts w:hint="eastAsia"/>
          <w:lang w:val="en-US" w:eastAsia="zh-CN"/>
        </w:rPr>
        <w:t>技术要求</w:t>
      </w:r>
      <w:bookmarkEnd w:id="59"/>
    </w:p>
    <w:p w14:paraId="6637B120">
      <w:pPr>
        <w:pStyle w:val="106"/>
        <w:bidi w:val="0"/>
        <w:rPr>
          <w:rFonts w:hint="eastAsia"/>
          <w:lang w:val="en-US" w:eastAsia="zh-CN"/>
        </w:rPr>
      </w:pPr>
      <w:r>
        <w:rPr>
          <w:rFonts w:hint="eastAsia"/>
          <w:lang w:val="en-US" w:eastAsia="zh-CN"/>
        </w:rPr>
        <w:t>外观质量</w:t>
      </w:r>
    </w:p>
    <w:p w14:paraId="089EDA7E">
      <w:pPr>
        <w:pStyle w:val="166"/>
        <w:bidi w:val="0"/>
        <w:rPr>
          <w:rFonts w:hint="eastAsia"/>
          <w:lang w:val="en-US" w:eastAsia="zh-CN"/>
        </w:rPr>
      </w:pPr>
      <w:r>
        <w:rPr>
          <w:rFonts w:hint="eastAsia"/>
          <w:lang w:val="en-US" w:eastAsia="zh-CN"/>
        </w:rPr>
        <w:t>油箱 / 壳体表面平整光滑、无明显变形、锈蚀、划痕，涂层均匀牢固、附着力强。</w:t>
      </w:r>
    </w:p>
    <w:p w14:paraId="7F1F43A6">
      <w:pPr>
        <w:pStyle w:val="166"/>
        <w:bidi w:val="0"/>
        <w:rPr>
          <w:rFonts w:hint="eastAsia"/>
          <w:lang w:val="en-US" w:eastAsia="zh-CN"/>
        </w:rPr>
      </w:pPr>
      <w:r>
        <w:rPr>
          <w:rFonts w:hint="eastAsia"/>
          <w:lang w:val="en-US" w:eastAsia="zh-CN"/>
        </w:rPr>
        <w:t>焊接部位焊缝平整、无虚焊、漏焊、夹渣，密封可靠。</w:t>
      </w:r>
    </w:p>
    <w:p w14:paraId="4A5DEA99">
      <w:pPr>
        <w:pStyle w:val="166"/>
        <w:bidi w:val="0"/>
        <w:rPr>
          <w:rFonts w:hint="eastAsia"/>
          <w:lang w:val="en-US" w:eastAsia="zh-CN"/>
        </w:rPr>
      </w:pPr>
      <w:r>
        <w:rPr>
          <w:rFonts w:hint="eastAsia"/>
          <w:lang w:val="en-US" w:eastAsia="zh-CN"/>
        </w:rPr>
        <w:t>接线端子、套管等部件完好无损，接触可靠，绝缘表面洁净无放电痕迹。</w:t>
      </w:r>
    </w:p>
    <w:p w14:paraId="36D4DC2F">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电气性能</w:t>
      </w:r>
    </w:p>
    <w:p w14:paraId="492A7E16">
      <w:pPr>
        <w:pStyle w:val="65"/>
        <w:bidi w:val="0"/>
        <w:rPr>
          <w:rFonts w:hint="eastAsia"/>
          <w:lang w:val="en-US" w:eastAsia="zh-CN"/>
        </w:rPr>
      </w:pPr>
      <w:r>
        <w:rPr>
          <w:rFonts w:hint="eastAsia"/>
          <w:lang w:val="en-US" w:eastAsia="zh-CN"/>
        </w:rPr>
        <w:t>损耗要求</w:t>
      </w:r>
    </w:p>
    <w:p w14:paraId="0AD31681">
      <w:pPr>
        <w:pStyle w:val="66"/>
        <w:rPr>
          <w:rFonts w:hint="eastAsia"/>
          <w:lang w:val="en-US" w:eastAsia="zh-CN"/>
        </w:rPr>
      </w:pPr>
      <w:r>
        <w:rPr>
          <w:rFonts w:hint="eastAsia"/>
          <w:lang w:val="en-US" w:eastAsia="zh-CN"/>
        </w:rPr>
        <w:t>配电变压器的空载损耗、负载损耗应符合GB 20052的规定。</w:t>
      </w:r>
    </w:p>
    <w:p w14:paraId="33CD56C6">
      <w:pPr>
        <w:pStyle w:val="65"/>
        <w:bidi w:val="0"/>
        <w:rPr>
          <w:rFonts w:hint="default"/>
          <w:lang w:val="en-US" w:eastAsia="zh-CN"/>
        </w:rPr>
      </w:pPr>
      <w:r>
        <w:rPr>
          <w:rFonts w:hint="eastAsia"/>
          <w:lang w:val="en-US" w:eastAsia="zh-CN"/>
        </w:rPr>
        <w:t>电压比</w:t>
      </w:r>
    </w:p>
    <w:p w14:paraId="5FEE4DE8">
      <w:pPr>
        <w:pStyle w:val="165"/>
        <w:bidi w:val="0"/>
        <w:rPr>
          <w:rFonts w:hint="default"/>
          <w:lang w:val="en-US" w:eastAsia="zh-CN"/>
        </w:rPr>
      </w:pPr>
      <w:r>
        <w:rPr>
          <w:rFonts w:hint="default"/>
          <w:lang w:val="en-US" w:eastAsia="zh-CN"/>
        </w:rPr>
        <w:t>电压比应符合变压器额定电压比设计值</w:t>
      </w:r>
      <w:r>
        <w:rPr>
          <w:rFonts w:hint="eastAsia"/>
          <w:lang w:val="en-US" w:eastAsia="zh-CN"/>
        </w:rPr>
        <w:t>。</w:t>
      </w:r>
    </w:p>
    <w:p w14:paraId="3227872D">
      <w:pPr>
        <w:pStyle w:val="165"/>
        <w:bidi w:val="0"/>
        <w:rPr>
          <w:rFonts w:hint="default"/>
          <w:lang w:val="en-US" w:eastAsia="zh-CN"/>
        </w:rPr>
      </w:pPr>
      <w:r>
        <w:rPr>
          <w:rFonts w:hint="default"/>
          <w:lang w:val="en-US" w:eastAsia="zh-CN"/>
        </w:rPr>
        <w:t>变压器各分接位置的电压比偏差应符合下列规定：</w:t>
      </w:r>
    </w:p>
    <w:p w14:paraId="68225F70">
      <w:pPr>
        <w:pStyle w:val="175"/>
        <w:numPr>
          <w:ilvl w:val="0"/>
          <w:numId w:val="34"/>
        </w:numPr>
        <w:bidi w:val="0"/>
        <w:ind w:left="851" w:leftChars="0" w:hanging="426" w:firstLineChars="0"/>
        <w:rPr>
          <w:rFonts w:hint="default"/>
          <w:lang w:val="en-US" w:eastAsia="zh-CN"/>
        </w:rPr>
      </w:pPr>
      <w:r>
        <w:rPr>
          <w:rFonts w:hint="default"/>
          <w:lang w:val="en-US" w:eastAsia="zh-CN"/>
        </w:rPr>
        <w:t>额定分接位置下，实测电压比与额定电压比的偏差不应大于</w:t>
      </w:r>
      <w:r>
        <w:rPr>
          <w:rFonts w:hint="eastAsia" w:ascii="宋体" w:hAnsi="宋体" w:eastAsia="宋体" w:cs="宋体"/>
          <w:lang w:val="en-US" w:eastAsia="zh-CN"/>
        </w:rPr>
        <w:t>±</w:t>
      </w:r>
      <w:r>
        <w:rPr>
          <w:rFonts w:hint="default"/>
          <w:lang w:val="en-US" w:eastAsia="zh-CN"/>
        </w:rPr>
        <w:t>0.5%；</w:t>
      </w:r>
    </w:p>
    <w:p w14:paraId="23A0E3E5">
      <w:pPr>
        <w:pStyle w:val="175"/>
        <w:bidi w:val="0"/>
        <w:ind w:left="851" w:leftChars="0" w:hanging="426" w:firstLineChars="0"/>
        <w:rPr>
          <w:rFonts w:hint="default"/>
          <w:lang w:val="en-US" w:eastAsia="zh-CN"/>
        </w:rPr>
      </w:pPr>
      <w:r>
        <w:rPr>
          <w:rFonts w:hint="default"/>
          <w:lang w:val="en-US" w:eastAsia="zh-CN"/>
        </w:rPr>
        <w:t>其余所有分接位置下，实测电压比与额定电压比的偏差不应大于</w:t>
      </w:r>
      <w:r>
        <w:rPr>
          <w:rFonts w:hint="eastAsia"/>
          <w:lang w:val="en-US" w:eastAsia="zh-CN"/>
        </w:rPr>
        <w:t>±</w:t>
      </w:r>
      <w:r>
        <w:rPr>
          <w:rFonts w:hint="default"/>
          <w:lang w:val="en-US" w:eastAsia="zh-CN"/>
        </w:rPr>
        <w:t>0.5%。</w:t>
      </w:r>
    </w:p>
    <w:p w14:paraId="15D9647B">
      <w:pPr>
        <w:pStyle w:val="65"/>
        <w:bidi w:val="0"/>
        <w:rPr>
          <w:rFonts w:hint="default"/>
          <w:lang w:val="en-US" w:eastAsia="zh-CN"/>
        </w:rPr>
      </w:pPr>
      <w:r>
        <w:rPr>
          <w:rFonts w:hint="eastAsia"/>
          <w:lang w:val="en-US" w:eastAsia="zh-CN"/>
        </w:rPr>
        <w:t>短路阻抗</w:t>
      </w:r>
    </w:p>
    <w:p w14:paraId="3F45EED4">
      <w:pPr>
        <w:pStyle w:val="66"/>
        <w:rPr>
          <w:rFonts w:hint="default"/>
          <w:lang w:val="en-US" w:eastAsia="zh-CN"/>
        </w:rPr>
      </w:pPr>
      <w:r>
        <w:rPr>
          <w:rFonts w:hint="default"/>
          <w:lang w:val="en-US" w:eastAsia="zh-CN"/>
        </w:rPr>
        <w:t>短路阻抗实测值与产品设计标称值的允许偏差应符合GB/T 1094.1相关要求，实测偏差不应超过 ±7.5%。</w:t>
      </w:r>
    </w:p>
    <w:p w14:paraId="798DE4D9">
      <w:pPr>
        <w:pStyle w:val="65"/>
        <w:bidi w:val="0"/>
        <w:rPr>
          <w:rFonts w:hint="default"/>
          <w:lang w:val="en-US" w:eastAsia="zh-CN"/>
        </w:rPr>
      </w:pPr>
      <w:r>
        <w:rPr>
          <w:rFonts w:hint="eastAsia"/>
          <w:lang w:val="en-US" w:eastAsia="zh-CN"/>
        </w:rPr>
        <w:t>工频耐压试验</w:t>
      </w:r>
    </w:p>
    <w:p w14:paraId="7328AC0D">
      <w:pPr>
        <w:pStyle w:val="165"/>
        <w:bidi w:val="0"/>
        <w:rPr>
          <w:rFonts w:hint="default"/>
          <w:lang w:val="en-US" w:eastAsia="zh-CN"/>
        </w:rPr>
      </w:pPr>
      <w:r>
        <w:rPr>
          <w:rFonts w:hint="default"/>
          <w:lang w:val="en-US" w:eastAsia="zh-CN"/>
        </w:rPr>
        <w:t>高压绕组对地、相间施加35kV工频试验电压，持续耐压1min，试验期间不得发生击穿、闪络及破坏性放电；绝缘结构不应产生烧焦、开裂、冒烟等异常现象及永久性损伤。</w:t>
      </w:r>
    </w:p>
    <w:p w14:paraId="11301E4F">
      <w:pPr>
        <w:pStyle w:val="165"/>
        <w:bidi w:val="0"/>
        <w:rPr>
          <w:rFonts w:hint="default"/>
          <w:lang w:val="en-US" w:eastAsia="zh-CN"/>
        </w:rPr>
      </w:pPr>
      <w:r>
        <w:rPr>
          <w:rFonts w:hint="eastAsia"/>
          <w:lang w:val="en-US" w:eastAsia="zh-CN"/>
        </w:rPr>
        <w:t>低</w:t>
      </w:r>
      <w:r>
        <w:rPr>
          <w:rFonts w:hint="default"/>
          <w:lang w:val="en-US" w:eastAsia="zh-CN"/>
        </w:rPr>
        <w:t>压绕组对地、相间施加5kV工频试验电压，持续耐压1min，试验期间不得发生击穿、闪络及破坏性放电；绝缘结构不应产生烧焦、开裂、冒烟等异常现象及永久性损伤。</w:t>
      </w:r>
    </w:p>
    <w:p w14:paraId="61350E1E">
      <w:pPr>
        <w:pStyle w:val="65"/>
        <w:bidi w:val="0"/>
        <w:rPr>
          <w:rFonts w:hint="default"/>
          <w:lang w:val="en-US" w:eastAsia="zh-CN"/>
        </w:rPr>
      </w:pPr>
      <w:r>
        <w:rPr>
          <w:rFonts w:hint="eastAsia"/>
          <w:lang w:val="en-US" w:eastAsia="zh-CN"/>
        </w:rPr>
        <w:t>感应耐压试验</w:t>
      </w:r>
    </w:p>
    <w:p w14:paraId="385D9FE8">
      <w:pPr>
        <w:pStyle w:val="66"/>
        <w:rPr>
          <w:rFonts w:hint="default"/>
          <w:lang w:val="en-US" w:eastAsia="zh-CN"/>
        </w:rPr>
      </w:pPr>
      <w:r>
        <w:rPr>
          <w:rFonts w:hint="default"/>
          <w:lang w:val="en-US" w:eastAsia="zh-CN"/>
        </w:rPr>
        <w:t>配电变压器应在1.1 倍额定电压下开展感应耐压试验，试验持续时间为1 min。试验完成后，变压器绕组绝缘、电气引线及各结构件应无永久性损伤，且不得出现放电痕迹及异常缺陷。</w:t>
      </w:r>
    </w:p>
    <w:p w14:paraId="649119FE">
      <w:pPr>
        <w:pStyle w:val="65"/>
        <w:bidi w:val="0"/>
        <w:rPr>
          <w:rFonts w:hint="default"/>
          <w:lang w:val="en-US" w:eastAsia="zh-CN"/>
        </w:rPr>
      </w:pPr>
      <w:r>
        <w:rPr>
          <w:rFonts w:hint="eastAsia"/>
          <w:lang w:val="en-US" w:eastAsia="zh-CN"/>
        </w:rPr>
        <w:t>绝缘电阻</w:t>
      </w:r>
    </w:p>
    <w:p w14:paraId="546DBEF9">
      <w:pPr>
        <w:pStyle w:val="66"/>
        <w:rPr>
          <w:rFonts w:hint="default"/>
          <w:lang w:val="en-US" w:eastAsia="zh-CN"/>
        </w:rPr>
      </w:pPr>
      <w:r>
        <w:rPr>
          <w:rFonts w:hint="default"/>
          <w:lang w:val="en-US" w:eastAsia="zh-CN"/>
        </w:rPr>
        <w:t>在规定试验环境条件下，配电变压器各部位绝缘电阻应满足以下要求：</w:t>
      </w:r>
    </w:p>
    <w:p w14:paraId="5D7591A8">
      <w:pPr>
        <w:pStyle w:val="175"/>
        <w:numPr>
          <w:ilvl w:val="0"/>
          <w:numId w:val="35"/>
        </w:numPr>
        <w:bidi w:val="0"/>
        <w:ind w:left="851" w:leftChars="0" w:hanging="426" w:firstLineChars="0"/>
        <w:rPr>
          <w:rFonts w:hint="default"/>
          <w:lang w:val="en-US" w:eastAsia="zh-CN"/>
        </w:rPr>
      </w:pPr>
      <w:r>
        <w:rPr>
          <w:rFonts w:hint="default"/>
          <w:lang w:val="en-US" w:eastAsia="zh-CN"/>
        </w:rPr>
        <w:t>各绕组对地、绕组之间的绝缘电阻测量值不应低于1000MΩ；</w:t>
      </w:r>
    </w:p>
    <w:p w14:paraId="4FE1C8BE">
      <w:pPr>
        <w:pStyle w:val="175"/>
        <w:numPr>
          <w:ilvl w:val="0"/>
          <w:numId w:val="35"/>
        </w:numPr>
        <w:bidi w:val="0"/>
        <w:ind w:left="851" w:leftChars="0" w:hanging="426" w:firstLineChars="0"/>
        <w:rPr>
          <w:rFonts w:hint="default"/>
          <w:lang w:val="en-US" w:eastAsia="zh-CN"/>
        </w:rPr>
      </w:pPr>
      <w:r>
        <w:rPr>
          <w:rFonts w:hint="default"/>
          <w:lang w:val="en-US" w:eastAsia="zh-CN"/>
        </w:rPr>
        <w:t>铁芯对地绝缘电阻测量值不应低于100MΩ。</w:t>
      </w:r>
    </w:p>
    <w:p w14:paraId="5BEF310D">
      <w:pPr>
        <w:pStyle w:val="65"/>
        <w:bidi w:val="0"/>
        <w:rPr>
          <w:rFonts w:hint="default"/>
          <w:lang w:val="en-US" w:eastAsia="zh-CN"/>
        </w:rPr>
      </w:pPr>
      <w:r>
        <w:rPr>
          <w:rFonts w:hint="eastAsia"/>
          <w:lang w:val="en-US" w:eastAsia="zh-CN"/>
        </w:rPr>
        <w:t>温升限值</w:t>
      </w:r>
    </w:p>
    <w:p w14:paraId="7E5CCEA1">
      <w:pPr>
        <w:pStyle w:val="66"/>
        <w:rPr>
          <w:rFonts w:hint="eastAsia"/>
          <w:lang w:val="en-US" w:eastAsia="zh-CN"/>
        </w:rPr>
      </w:pPr>
      <w:r>
        <w:rPr>
          <w:rFonts w:hint="default"/>
          <w:lang w:val="en-US" w:eastAsia="zh-CN"/>
        </w:rPr>
        <w:t xml:space="preserve">温升限值应符合GB/T 1094.2、GB/T </w:t>
      </w:r>
      <w:r>
        <w:rPr>
          <w:rFonts w:hint="eastAsia"/>
          <w:lang w:val="en-US" w:eastAsia="zh-CN"/>
        </w:rPr>
        <w:t>6451</w:t>
      </w:r>
      <w:r>
        <w:rPr>
          <w:rFonts w:hint="default"/>
          <w:lang w:val="en-US" w:eastAsia="zh-CN"/>
        </w:rPr>
        <w:t>及</w:t>
      </w:r>
      <w:r>
        <w:rPr>
          <w:rFonts w:hint="eastAsia"/>
          <w:lang w:val="en-US" w:eastAsia="zh-CN"/>
        </w:rPr>
        <w:t>下列要求：</w:t>
      </w:r>
    </w:p>
    <w:p w14:paraId="09C5D850">
      <w:pPr>
        <w:pStyle w:val="175"/>
        <w:numPr>
          <w:ilvl w:val="0"/>
          <w:numId w:val="36"/>
        </w:numPr>
        <w:bidi w:val="0"/>
        <w:ind w:left="851" w:leftChars="0" w:hanging="426" w:firstLineChars="0"/>
        <w:rPr>
          <w:rFonts w:hint="default"/>
          <w:lang w:val="en-US" w:eastAsia="zh-CN"/>
        </w:rPr>
      </w:pPr>
      <w:r>
        <w:rPr>
          <w:rFonts w:hint="default"/>
          <w:lang w:val="en-US" w:eastAsia="zh-CN"/>
        </w:rPr>
        <w:t>油浸式配电变压器，顶层油温升不应大于65K；</w:t>
      </w:r>
    </w:p>
    <w:p w14:paraId="4E6C3C8D">
      <w:pPr>
        <w:pStyle w:val="175"/>
        <w:numPr>
          <w:ilvl w:val="0"/>
          <w:numId w:val="36"/>
        </w:numPr>
        <w:bidi w:val="0"/>
        <w:ind w:left="851" w:leftChars="0" w:hanging="426" w:firstLineChars="0"/>
        <w:rPr>
          <w:rFonts w:hint="default"/>
          <w:lang w:val="en-US" w:eastAsia="zh-CN"/>
        </w:rPr>
      </w:pPr>
      <w:r>
        <w:rPr>
          <w:rFonts w:hint="default"/>
          <w:lang w:val="en-US" w:eastAsia="zh-CN"/>
        </w:rPr>
        <w:t>干式配电变压器，绕组温升不应大于80K。</w:t>
      </w:r>
    </w:p>
    <w:p w14:paraId="1FA249E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密封性能（仅适用油浸式）</w:t>
      </w:r>
    </w:p>
    <w:p w14:paraId="72871C4C">
      <w:pPr>
        <w:pStyle w:val="65"/>
        <w:bidi w:val="0"/>
        <w:rPr>
          <w:rFonts w:hint="default"/>
          <w:lang w:val="en-US" w:eastAsia="zh-CN"/>
        </w:rPr>
      </w:pPr>
      <w:r>
        <w:rPr>
          <w:rFonts w:hint="eastAsia"/>
          <w:lang w:val="en-US" w:eastAsia="zh-CN"/>
        </w:rPr>
        <w:t>正压密封</w:t>
      </w:r>
    </w:p>
    <w:p w14:paraId="4859A2C5">
      <w:pPr>
        <w:pStyle w:val="66"/>
        <w:rPr>
          <w:rFonts w:hint="default"/>
          <w:lang w:val="en-US" w:eastAsia="zh-CN"/>
        </w:rPr>
      </w:pPr>
      <w:r>
        <w:rPr>
          <w:rFonts w:hint="default"/>
          <w:lang w:val="en-US" w:eastAsia="zh-CN"/>
        </w:rPr>
        <w:t>对变压器油箱施加0.03MPa表压试验压力，保压时长不少于30min；试验过程中，油箱本体及各密封连接部位不得出现渗漏、永久性变形，试验压力无异常衰减。</w:t>
      </w:r>
    </w:p>
    <w:p w14:paraId="68E1B6A5">
      <w:pPr>
        <w:pStyle w:val="65"/>
        <w:bidi w:val="0"/>
        <w:rPr>
          <w:rFonts w:hint="default"/>
          <w:lang w:val="en-US" w:eastAsia="zh-CN"/>
        </w:rPr>
      </w:pPr>
      <w:r>
        <w:rPr>
          <w:rFonts w:hint="eastAsia"/>
          <w:lang w:val="en-US" w:eastAsia="zh-CN"/>
        </w:rPr>
        <w:t>真空密封</w:t>
      </w:r>
    </w:p>
    <w:p w14:paraId="7DE881A3">
      <w:pPr>
        <w:pStyle w:val="66"/>
        <w:rPr>
          <w:rFonts w:hint="default"/>
          <w:lang w:val="en-US" w:eastAsia="zh-CN"/>
        </w:rPr>
      </w:pPr>
      <w:r>
        <w:rPr>
          <w:rFonts w:hint="default"/>
          <w:lang w:val="en-US" w:eastAsia="zh-CN"/>
        </w:rPr>
        <w:t>将变压器油箱内部真空度控制至不大于0.098MPa，持续保压不少于30min；试验期间箱体无渗漏、无异常吸气现象，油箱不得产生内凹等结构性变形。</w:t>
      </w:r>
    </w:p>
    <w:p w14:paraId="10683751">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绝缘油（仅适用油浸式）</w:t>
      </w:r>
    </w:p>
    <w:p w14:paraId="31DF9F76">
      <w:pPr>
        <w:pStyle w:val="66"/>
        <w:rPr>
          <w:rFonts w:hint="default"/>
          <w:lang w:val="en-US" w:eastAsia="zh-CN"/>
        </w:rPr>
      </w:pPr>
      <w:r>
        <w:rPr>
          <w:rFonts w:hint="eastAsia"/>
          <w:lang w:val="en-US" w:eastAsia="zh-CN"/>
        </w:rPr>
        <w:t>应符合GB 2536规定。</w:t>
      </w:r>
    </w:p>
    <w:p w14:paraId="0E42F333">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阻燃性能（仅适用干式）</w:t>
      </w:r>
    </w:p>
    <w:p w14:paraId="52127E18">
      <w:pPr>
        <w:pStyle w:val="66"/>
        <w:rPr>
          <w:rFonts w:hint="eastAsia"/>
          <w:lang w:val="en-US" w:eastAsia="zh-CN"/>
        </w:rPr>
      </w:pPr>
      <w:r>
        <w:rPr>
          <w:rFonts w:hint="default"/>
          <w:lang w:val="en-US" w:eastAsia="zh-CN"/>
        </w:rPr>
        <w:t xml:space="preserve">产品阻燃性能应符合GB/T </w:t>
      </w:r>
      <w:r>
        <w:rPr>
          <w:rFonts w:hint="eastAsia"/>
          <w:lang w:val="en-US" w:eastAsia="zh-CN"/>
        </w:rPr>
        <w:t>6451</w:t>
      </w:r>
      <w:r>
        <w:rPr>
          <w:rFonts w:hint="default"/>
          <w:lang w:val="en-US" w:eastAsia="zh-CN"/>
        </w:rPr>
        <w:t>、GB/T 17468</w:t>
      </w:r>
      <w:r>
        <w:rPr>
          <w:rFonts w:hint="eastAsia"/>
          <w:lang w:val="en-US" w:eastAsia="zh-CN"/>
        </w:rPr>
        <w:t>及以下要求：</w:t>
      </w:r>
    </w:p>
    <w:p w14:paraId="71906A8C">
      <w:pPr>
        <w:pStyle w:val="175"/>
        <w:numPr>
          <w:ilvl w:val="0"/>
          <w:numId w:val="37"/>
        </w:numPr>
        <w:bidi w:val="0"/>
        <w:ind w:left="851" w:leftChars="0" w:hanging="426" w:firstLineChars="0"/>
        <w:rPr>
          <w:rFonts w:hint="default"/>
          <w:lang w:val="en-US" w:eastAsia="zh-CN"/>
        </w:rPr>
      </w:pPr>
      <w:r>
        <w:rPr>
          <w:rFonts w:hint="default"/>
          <w:lang w:val="en-US" w:eastAsia="zh-CN"/>
        </w:rPr>
        <w:t>线圈浇注体阻燃性能应达到GB/T 2408规定的HB级以上，且满足V-0级要求</w:t>
      </w:r>
      <w:r>
        <w:rPr>
          <w:rFonts w:hint="eastAsia"/>
          <w:lang w:val="en-US" w:eastAsia="zh-CN"/>
        </w:rPr>
        <w:t>；</w:t>
      </w:r>
    </w:p>
    <w:p w14:paraId="4D652D51">
      <w:pPr>
        <w:pStyle w:val="175"/>
        <w:numPr>
          <w:ilvl w:val="0"/>
          <w:numId w:val="37"/>
        </w:numPr>
        <w:bidi w:val="0"/>
        <w:ind w:left="851" w:leftChars="0" w:hanging="426" w:firstLineChars="0"/>
        <w:rPr>
          <w:rFonts w:hint="default"/>
          <w:lang w:val="en-US" w:eastAsia="zh-CN"/>
        </w:rPr>
      </w:pPr>
      <w:r>
        <w:rPr>
          <w:rFonts w:hint="default"/>
          <w:lang w:val="en-US" w:eastAsia="zh-CN"/>
        </w:rPr>
        <w:t>线圈绝缘耐热等级不低于F级（155℃），在额定温升下不降低阻燃性能。</w:t>
      </w:r>
    </w:p>
    <w:p w14:paraId="2FB8FCC5">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防护等级</w:t>
      </w:r>
    </w:p>
    <w:p w14:paraId="1A879131">
      <w:pPr>
        <w:pStyle w:val="66"/>
        <w:rPr>
          <w:rFonts w:hint="eastAsia"/>
          <w:lang w:val="en-US" w:eastAsia="zh-CN"/>
        </w:rPr>
      </w:pPr>
      <w:r>
        <w:rPr>
          <w:rFonts w:hint="eastAsia"/>
          <w:lang w:val="en-US" w:eastAsia="zh-CN"/>
        </w:rPr>
        <w:t>配电变压器防护等级应满足以下要求：</w:t>
      </w:r>
    </w:p>
    <w:p w14:paraId="0043C2CF">
      <w:pPr>
        <w:pStyle w:val="175"/>
        <w:numPr>
          <w:ilvl w:val="0"/>
          <w:numId w:val="38"/>
        </w:numPr>
        <w:bidi w:val="0"/>
        <w:ind w:left="851" w:leftChars="0" w:hanging="426" w:firstLineChars="0"/>
        <w:rPr>
          <w:rFonts w:hint="default"/>
          <w:lang w:val="en-US" w:eastAsia="zh-CN"/>
        </w:rPr>
      </w:pPr>
      <w:r>
        <w:rPr>
          <w:rFonts w:hint="default"/>
          <w:lang w:val="en-US" w:eastAsia="zh-CN"/>
        </w:rPr>
        <w:t>油浸式配电变压器：户内产品外壳防护等级不应低于IP40；户外产品外壳防护等级不应低于IP23；</w:t>
      </w:r>
    </w:p>
    <w:p w14:paraId="59D608AF">
      <w:pPr>
        <w:pStyle w:val="175"/>
        <w:numPr>
          <w:ilvl w:val="0"/>
          <w:numId w:val="38"/>
        </w:numPr>
        <w:bidi w:val="0"/>
        <w:ind w:left="851" w:leftChars="0" w:hanging="426" w:firstLineChars="0"/>
        <w:rPr>
          <w:rFonts w:hint="default"/>
          <w:lang w:val="en-US" w:eastAsia="zh-CN"/>
        </w:rPr>
      </w:pPr>
      <w:r>
        <w:rPr>
          <w:rFonts w:hint="eastAsia"/>
          <w:lang w:val="en-US" w:eastAsia="zh-CN"/>
        </w:rPr>
        <w:t>干</w:t>
      </w:r>
      <w:r>
        <w:rPr>
          <w:rFonts w:hint="default"/>
          <w:lang w:val="en-US" w:eastAsia="zh-CN"/>
        </w:rPr>
        <w:t>式配电变压器：常规户内洁净环境使用时，外壳防护等级不应低于IP20；用于户外、多尘及潮湿工况时，外壳防护等级不应低于IP23，特殊要求可由供需双方协议约定；</w:t>
      </w:r>
    </w:p>
    <w:p w14:paraId="4E978BD1">
      <w:pPr>
        <w:pStyle w:val="175"/>
        <w:numPr>
          <w:ilvl w:val="0"/>
          <w:numId w:val="38"/>
        </w:numPr>
        <w:bidi w:val="0"/>
        <w:ind w:left="851" w:leftChars="0" w:hanging="426" w:firstLineChars="0"/>
        <w:rPr>
          <w:rFonts w:hint="default"/>
          <w:lang w:val="en-US" w:eastAsia="zh-CN"/>
        </w:rPr>
      </w:pPr>
      <w:r>
        <w:rPr>
          <w:rFonts w:hint="default"/>
          <w:lang w:val="en-US" w:eastAsia="zh-CN"/>
        </w:rPr>
        <w:t>无外壳结构的干式变压器，防护等级可按IP00设计应用，安装场所应设置可靠隔离措施与安全防护围栏。</w:t>
      </w:r>
    </w:p>
    <w:p w14:paraId="7A3EBC4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噪声</w:t>
      </w:r>
    </w:p>
    <w:p w14:paraId="089485BC">
      <w:pPr>
        <w:pStyle w:val="66"/>
        <w:rPr>
          <w:rFonts w:hint="default"/>
          <w:lang w:val="en-US" w:eastAsia="zh-CN"/>
        </w:rPr>
      </w:pPr>
      <w:r>
        <w:rPr>
          <w:rFonts w:hint="default"/>
          <w:lang w:val="en-US" w:eastAsia="zh-CN"/>
        </w:rPr>
        <w:t>配电变压器正常运行工况下的噪声限值应符合下列规定：</w:t>
      </w:r>
    </w:p>
    <w:p w14:paraId="27770A00">
      <w:pPr>
        <w:pStyle w:val="175"/>
        <w:numPr>
          <w:ilvl w:val="0"/>
          <w:numId w:val="39"/>
        </w:numPr>
        <w:bidi w:val="0"/>
        <w:ind w:left="851" w:leftChars="0" w:hanging="426" w:firstLineChars="0"/>
        <w:rPr>
          <w:rFonts w:hint="default"/>
          <w:lang w:val="en-US" w:eastAsia="zh-CN"/>
        </w:rPr>
      </w:pPr>
      <w:r>
        <w:rPr>
          <w:rFonts w:hint="eastAsia"/>
          <w:lang w:val="en-US" w:eastAsia="zh-CN"/>
        </w:rPr>
        <w:t>油浸式配电变压器：不应大于60dB（A）；</w:t>
      </w:r>
    </w:p>
    <w:p w14:paraId="467E3926">
      <w:pPr>
        <w:pStyle w:val="175"/>
        <w:numPr>
          <w:ilvl w:val="0"/>
          <w:numId w:val="39"/>
        </w:numPr>
        <w:bidi w:val="0"/>
        <w:ind w:left="851" w:leftChars="0" w:hanging="426" w:firstLineChars="0"/>
        <w:rPr>
          <w:rFonts w:hint="default"/>
          <w:lang w:val="en-US" w:eastAsia="zh-CN"/>
        </w:rPr>
      </w:pPr>
      <w:r>
        <w:rPr>
          <w:rFonts w:hint="eastAsia"/>
          <w:lang w:val="en-US" w:eastAsia="zh-CN"/>
        </w:rPr>
        <w:t>干式配电变压器：不应大于62dB（A）。</w:t>
      </w:r>
    </w:p>
    <w:p w14:paraId="3240FC24">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抗短路能力</w:t>
      </w:r>
    </w:p>
    <w:p w14:paraId="347DF813">
      <w:pPr>
        <w:pStyle w:val="66"/>
        <w:rPr>
          <w:rFonts w:hint="eastAsia"/>
          <w:lang w:val="en-US" w:eastAsia="zh-CN"/>
        </w:rPr>
      </w:pPr>
      <w:r>
        <w:rPr>
          <w:rFonts w:hint="default"/>
          <w:lang w:val="en-US" w:eastAsia="zh-CN"/>
        </w:rPr>
        <w:t>应符合GB/T 1094.5、GB 50150</w:t>
      </w:r>
      <w:r>
        <w:rPr>
          <w:rFonts w:hint="eastAsia"/>
          <w:lang w:val="en-US" w:eastAsia="zh-CN"/>
        </w:rPr>
        <w:t>的规定。</w:t>
      </w:r>
    </w:p>
    <w:p w14:paraId="33D154C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智能化要求</w:t>
      </w:r>
    </w:p>
    <w:p w14:paraId="0CDCAE0B">
      <w:pPr>
        <w:pStyle w:val="65"/>
        <w:bidi w:val="0"/>
        <w:rPr>
          <w:rFonts w:hint="default"/>
          <w:lang w:val="en-US" w:eastAsia="zh-CN"/>
        </w:rPr>
      </w:pPr>
      <w:r>
        <w:rPr>
          <w:rFonts w:hint="eastAsia"/>
          <w:lang w:val="en-US" w:eastAsia="zh-CN"/>
        </w:rPr>
        <w:t>通信与协议要求</w:t>
      </w:r>
    </w:p>
    <w:p w14:paraId="3DACD9EC">
      <w:pPr>
        <w:pStyle w:val="66"/>
        <w:rPr>
          <w:rFonts w:hint="default"/>
          <w:lang w:val="en-US" w:eastAsia="zh-CN"/>
        </w:rPr>
      </w:pPr>
      <w:r>
        <w:rPr>
          <w:rFonts w:hint="default"/>
          <w:lang w:val="en-US" w:eastAsia="zh-CN"/>
        </w:rPr>
        <w:t>设备应配置满足现场应用需求的通信接口与协议，具体要求如下：</w:t>
      </w:r>
    </w:p>
    <w:p w14:paraId="16BEB6D5">
      <w:pPr>
        <w:pStyle w:val="175"/>
        <w:numPr>
          <w:ilvl w:val="0"/>
          <w:numId w:val="40"/>
        </w:numPr>
        <w:bidi w:val="0"/>
        <w:ind w:left="851" w:leftChars="0" w:hanging="426" w:firstLineChars="0"/>
        <w:rPr>
          <w:rFonts w:hint="default"/>
          <w:lang w:val="en-US" w:eastAsia="zh-CN"/>
        </w:rPr>
      </w:pPr>
      <w:r>
        <w:rPr>
          <w:rFonts w:hint="default"/>
          <w:lang w:val="en-US" w:eastAsia="zh-CN"/>
        </w:rPr>
        <w:t>通信接口：应至少支持 RS485 接口或以太网接口中的一种；可根据实际需求选配4G/5G无线通信模块、LoRa 无线通信模块；</w:t>
      </w:r>
    </w:p>
    <w:p w14:paraId="135634D6">
      <w:pPr>
        <w:pStyle w:val="175"/>
        <w:numPr>
          <w:ilvl w:val="0"/>
          <w:numId w:val="40"/>
        </w:numPr>
        <w:bidi w:val="0"/>
        <w:ind w:left="851" w:leftChars="0" w:hanging="426" w:firstLineChars="0"/>
        <w:rPr>
          <w:rFonts w:hint="default"/>
          <w:lang w:val="en-US" w:eastAsia="zh-CN"/>
        </w:rPr>
      </w:pPr>
      <w:r>
        <w:rPr>
          <w:rFonts w:hint="default"/>
          <w:lang w:val="en-US" w:eastAsia="zh-CN"/>
        </w:rPr>
        <w:t>通信协议：应至少支持 Modbus-RTU、Modbus-TCP、IEC 60870-5-104、DL/T 645 协议中的一种，优先采用 Modbus-RTU 协议，确保通信兼容性与数据传输可靠性。</w:t>
      </w:r>
    </w:p>
    <w:p w14:paraId="0F94CC5D">
      <w:pPr>
        <w:pStyle w:val="65"/>
        <w:bidi w:val="0"/>
        <w:rPr>
          <w:rFonts w:hint="default"/>
          <w:lang w:val="en-US" w:eastAsia="zh-CN"/>
        </w:rPr>
      </w:pPr>
      <w:r>
        <w:rPr>
          <w:rFonts w:hint="eastAsia"/>
          <w:lang w:val="en-US" w:eastAsia="zh-CN"/>
        </w:rPr>
        <w:t>越限告警功能</w:t>
      </w:r>
    </w:p>
    <w:p w14:paraId="7CF2A0D6">
      <w:pPr>
        <w:pStyle w:val="66"/>
        <w:rPr>
          <w:rFonts w:hint="default"/>
          <w:lang w:val="en-US" w:eastAsia="zh-CN"/>
        </w:rPr>
      </w:pPr>
      <w:r>
        <w:rPr>
          <w:rFonts w:hint="default"/>
          <w:lang w:val="en-US" w:eastAsia="zh-CN"/>
        </w:rPr>
        <w:t>设备</w:t>
      </w:r>
      <w:r>
        <w:rPr>
          <w:rFonts w:hint="eastAsia"/>
          <w:lang w:val="en-US" w:eastAsia="zh-CN"/>
        </w:rPr>
        <w:t>宜</w:t>
      </w:r>
      <w:r>
        <w:rPr>
          <w:rFonts w:hint="default"/>
          <w:lang w:val="en-US" w:eastAsia="zh-CN"/>
        </w:rPr>
        <w:t>具备完善的状态监测与异常告警功能，具体配置要求如下：</w:t>
      </w:r>
    </w:p>
    <w:p w14:paraId="161319D8">
      <w:pPr>
        <w:pStyle w:val="175"/>
        <w:numPr>
          <w:ilvl w:val="0"/>
          <w:numId w:val="41"/>
        </w:numPr>
        <w:bidi w:val="0"/>
        <w:ind w:left="851" w:leftChars="0" w:hanging="426" w:firstLineChars="0"/>
        <w:rPr>
          <w:rFonts w:hint="default"/>
          <w:lang w:val="en-US" w:eastAsia="zh-CN"/>
        </w:rPr>
      </w:pPr>
      <w:r>
        <w:rPr>
          <w:rFonts w:hint="default"/>
          <w:lang w:val="en-US" w:eastAsia="zh-CN"/>
        </w:rPr>
        <w:t>温度类告警：设置油温高告警、油温超温跳闸、绕组温度高告警及绕组超温跳闸功能；</w:t>
      </w:r>
    </w:p>
    <w:p w14:paraId="5DB59134">
      <w:pPr>
        <w:pStyle w:val="175"/>
        <w:numPr>
          <w:ilvl w:val="0"/>
          <w:numId w:val="41"/>
        </w:numPr>
        <w:bidi w:val="0"/>
        <w:ind w:left="851" w:leftChars="0" w:hanging="426" w:firstLineChars="0"/>
        <w:rPr>
          <w:rFonts w:hint="default"/>
          <w:lang w:val="en-US" w:eastAsia="zh-CN"/>
        </w:rPr>
      </w:pPr>
      <w:r>
        <w:rPr>
          <w:rFonts w:hint="default"/>
          <w:lang w:val="en-US" w:eastAsia="zh-CN"/>
        </w:rPr>
        <w:t>电气量告警：具备过流告警、过载告警、三相不平衡告警、欠压告警、过压告警与失电告警功能；</w:t>
      </w:r>
    </w:p>
    <w:p w14:paraId="33D5AB8A">
      <w:pPr>
        <w:pStyle w:val="175"/>
        <w:numPr>
          <w:ilvl w:val="0"/>
          <w:numId w:val="41"/>
        </w:numPr>
        <w:bidi w:val="0"/>
        <w:ind w:left="851" w:leftChars="0" w:hanging="426" w:firstLineChars="0"/>
        <w:rPr>
          <w:rFonts w:hint="default"/>
          <w:lang w:val="en-US" w:eastAsia="zh-CN"/>
        </w:rPr>
      </w:pPr>
      <w:r>
        <w:rPr>
          <w:rFonts w:hint="default"/>
          <w:lang w:val="en-US" w:eastAsia="zh-CN"/>
        </w:rPr>
        <w:t>装置故障告警：包含装置自检异常告警，可识别传感器故障、通信中断、模块工作异常、电源掉电等故障状态。</w:t>
      </w:r>
    </w:p>
    <w:p w14:paraId="13B0F939">
      <w:pPr>
        <w:pStyle w:val="105"/>
        <w:spacing w:before="326" w:after="326"/>
        <w:rPr>
          <w:highlight w:val="none"/>
        </w:rPr>
      </w:pPr>
      <w:bookmarkStart w:id="60" w:name="_Toc1136"/>
      <w:r>
        <w:rPr>
          <w:rFonts w:hint="eastAsia"/>
          <w:highlight w:val="none"/>
          <w:lang w:val="en-US" w:eastAsia="zh-CN"/>
        </w:rPr>
        <w:t>试验方法</w:t>
      </w:r>
      <w:bookmarkEnd w:id="60"/>
    </w:p>
    <w:p w14:paraId="7CD5ACFF">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外观</w:t>
      </w:r>
    </w:p>
    <w:p w14:paraId="174FF0EE">
      <w:pPr>
        <w:pStyle w:val="66"/>
        <w:rPr>
          <w:rFonts w:hint="eastAsia"/>
          <w:lang w:val="en-US" w:eastAsia="zh-CN"/>
        </w:rPr>
      </w:pPr>
      <w:r>
        <w:rPr>
          <w:rFonts w:hint="eastAsia"/>
          <w:lang w:val="en-US" w:eastAsia="zh-CN"/>
        </w:rPr>
        <w:t>采用目视、手触的方式进行检查。</w:t>
      </w:r>
    </w:p>
    <w:p w14:paraId="3F8B0C15">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电气性能</w:t>
      </w:r>
    </w:p>
    <w:p w14:paraId="2A3F9CE0">
      <w:pPr>
        <w:pStyle w:val="65"/>
        <w:bidi w:val="0"/>
        <w:rPr>
          <w:rFonts w:hint="default"/>
          <w:lang w:val="en-US" w:eastAsia="zh-CN"/>
        </w:rPr>
      </w:pPr>
      <w:r>
        <w:rPr>
          <w:rFonts w:hint="eastAsia"/>
          <w:lang w:val="en-US" w:eastAsia="zh-CN"/>
        </w:rPr>
        <w:t>损耗要求</w:t>
      </w:r>
    </w:p>
    <w:p w14:paraId="35AECDDC">
      <w:pPr>
        <w:pStyle w:val="66"/>
        <w:rPr>
          <w:rFonts w:hint="eastAsia"/>
          <w:lang w:val="en-US" w:eastAsia="zh-CN"/>
        </w:rPr>
      </w:pPr>
      <w:r>
        <w:rPr>
          <w:rFonts w:hint="eastAsia"/>
          <w:lang w:val="en-US" w:eastAsia="zh-CN"/>
        </w:rPr>
        <w:t>按JB/T 501-2021中3.7、3.8的规定进行。</w:t>
      </w:r>
    </w:p>
    <w:p w14:paraId="63B2E530">
      <w:pPr>
        <w:pStyle w:val="65"/>
        <w:bidi w:val="0"/>
        <w:rPr>
          <w:rFonts w:hint="default"/>
          <w:lang w:val="en-US" w:eastAsia="zh-CN"/>
        </w:rPr>
      </w:pPr>
      <w:r>
        <w:rPr>
          <w:rFonts w:hint="eastAsia"/>
          <w:lang w:val="en-US" w:eastAsia="zh-CN"/>
        </w:rPr>
        <w:t>电压比偏差</w:t>
      </w:r>
    </w:p>
    <w:p w14:paraId="3C5C93CD">
      <w:pPr>
        <w:pStyle w:val="66"/>
        <w:rPr>
          <w:rFonts w:hint="eastAsia"/>
          <w:lang w:val="en-US" w:eastAsia="zh-CN"/>
        </w:rPr>
      </w:pPr>
      <w:r>
        <w:rPr>
          <w:rFonts w:hint="eastAsia"/>
          <w:lang w:val="en-US" w:eastAsia="zh-CN"/>
        </w:rPr>
        <w:t>按JB/T 501-2021规定进行。</w:t>
      </w:r>
    </w:p>
    <w:p w14:paraId="677ABF93">
      <w:pPr>
        <w:pStyle w:val="65"/>
        <w:bidi w:val="0"/>
        <w:rPr>
          <w:rFonts w:hint="default"/>
          <w:lang w:val="en-US" w:eastAsia="zh-CN"/>
        </w:rPr>
      </w:pPr>
      <w:r>
        <w:rPr>
          <w:rFonts w:hint="eastAsia"/>
          <w:lang w:val="en-US" w:eastAsia="zh-CN"/>
        </w:rPr>
        <w:t>短路阻抗</w:t>
      </w:r>
    </w:p>
    <w:p w14:paraId="770006BA">
      <w:pPr>
        <w:pStyle w:val="66"/>
        <w:rPr>
          <w:rFonts w:hint="eastAsia"/>
          <w:lang w:val="en-US" w:eastAsia="zh-CN"/>
        </w:rPr>
      </w:pPr>
      <w:r>
        <w:rPr>
          <w:rFonts w:hint="eastAsia"/>
          <w:lang w:val="en-US" w:eastAsia="zh-CN"/>
        </w:rPr>
        <w:t>按GB/T 1094.10规定进行。</w:t>
      </w:r>
    </w:p>
    <w:p w14:paraId="396E0BD6">
      <w:pPr>
        <w:pStyle w:val="65"/>
        <w:bidi w:val="0"/>
        <w:rPr>
          <w:rFonts w:hint="default"/>
          <w:lang w:val="en-US" w:eastAsia="zh-CN"/>
        </w:rPr>
      </w:pPr>
      <w:r>
        <w:rPr>
          <w:rFonts w:hint="eastAsia"/>
          <w:lang w:val="en-US" w:eastAsia="zh-CN"/>
        </w:rPr>
        <w:t>工频耐压试验</w:t>
      </w:r>
    </w:p>
    <w:p w14:paraId="23AFB32D">
      <w:pPr>
        <w:pStyle w:val="66"/>
        <w:rPr>
          <w:rFonts w:hint="eastAsia"/>
          <w:lang w:val="en-US" w:eastAsia="zh-CN"/>
        </w:rPr>
      </w:pPr>
      <w:r>
        <w:rPr>
          <w:rFonts w:hint="default"/>
          <w:lang w:val="en-US" w:eastAsia="zh-CN"/>
        </w:rPr>
        <w:t>按GB/T 1094.3</w:t>
      </w:r>
      <w:r>
        <w:rPr>
          <w:rFonts w:hint="eastAsia"/>
          <w:lang w:val="en-US" w:eastAsia="zh-CN"/>
        </w:rPr>
        <w:t>的规定进行。</w:t>
      </w:r>
    </w:p>
    <w:p w14:paraId="53ED3832">
      <w:pPr>
        <w:pStyle w:val="65"/>
        <w:bidi w:val="0"/>
        <w:rPr>
          <w:rFonts w:hint="default"/>
          <w:lang w:val="en-US" w:eastAsia="zh-CN"/>
        </w:rPr>
      </w:pPr>
      <w:r>
        <w:rPr>
          <w:rFonts w:hint="eastAsia"/>
          <w:lang w:val="en-US" w:eastAsia="zh-CN"/>
        </w:rPr>
        <w:t>感应耐压试验</w:t>
      </w:r>
    </w:p>
    <w:p w14:paraId="25A09075">
      <w:pPr>
        <w:pStyle w:val="66"/>
        <w:rPr>
          <w:rFonts w:hint="default"/>
          <w:lang w:val="en-US" w:eastAsia="zh-CN"/>
        </w:rPr>
      </w:pPr>
      <w:r>
        <w:rPr>
          <w:rFonts w:hint="default"/>
          <w:lang w:val="en-US" w:eastAsia="zh-CN"/>
        </w:rPr>
        <w:t>按GB/T 1094.3规定</w:t>
      </w:r>
      <w:r>
        <w:rPr>
          <w:rFonts w:hint="eastAsia"/>
          <w:lang w:val="en-US" w:eastAsia="zh-CN"/>
        </w:rPr>
        <w:t>进行</w:t>
      </w:r>
      <w:r>
        <w:rPr>
          <w:rFonts w:hint="default"/>
          <w:lang w:val="en-US" w:eastAsia="zh-CN"/>
        </w:rPr>
        <w:t>。</w:t>
      </w:r>
    </w:p>
    <w:p w14:paraId="50484275">
      <w:pPr>
        <w:pStyle w:val="65"/>
        <w:bidi w:val="0"/>
        <w:rPr>
          <w:rFonts w:hint="default"/>
          <w:lang w:val="en-US" w:eastAsia="zh-CN"/>
        </w:rPr>
      </w:pPr>
      <w:r>
        <w:rPr>
          <w:rFonts w:hint="eastAsia"/>
          <w:lang w:val="en-US" w:eastAsia="zh-CN"/>
        </w:rPr>
        <w:t>绝缘电阻</w:t>
      </w:r>
    </w:p>
    <w:p w14:paraId="622A865D">
      <w:pPr>
        <w:pStyle w:val="66"/>
        <w:rPr>
          <w:rFonts w:hint="eastAsia"/>
          <w:lang w:val="en-US" w:eastAsia="zh-CN"/>
        </w:rPr>
      </w:pPr>
      <w:r>
        <w:rPr>
          <w:rFonts w:hint="default"/>
          <w:lang w:val="en-US" w:eastAsia="zh-CN"/>
        </w:rPr>
        <w:t>在0℃～40℃下</w:t>
      </w:r>
      <w:r>
        <w:rPr>
          <w:rFonts w:hint="eastAsia"/>
          <w:lang w:val="en-US" w:eastAsia="zh-CN"/>
        </w:rPr>
        <w:t>，采用2500V 兆欧表进行</w:t>
      </w:r>
      <w:r>
        <w:rPr>
          <w:rFonts w:hint="default"/>
          <w:lang w:val="en-US" w:eastAsia="zh-CN"/>
        </w:rPr>
        <w:t>测量</w:t>
      </w:r>
      <w:r>
        <w:rPr>
          <w:rFonts w:hint="eastAsia"/>
          <w:lang w:val="en-US" w:eastAsia="zh-CN"/>
        </w:rPr>
        <w:t>。</w:t>
      </w:r>
    </w:p>
    <w:p w14:paraId="053D36F8">
      <w:pPr>
        <w:pStyle w:val="65"/>
        <w:bidi w:val="0"/>
        <w:rPr>
          <w:rFonts w:hint="default"/>
          <w:lang w:val="en-US" w:eastAsia="zh-CN"/>
        </w:rPr>
      </w:pPr>
      <w:r>
        <w:rPr>
          <w:rFonts w:hint="eastAsia"/>
          <w:lang w:val="en-US" w:eastAsia="zh-CN"/>
        </w:rPr>
        <w:t>温升限值</w:t>
      </w:r>
    </w:p>
    <w:p w14:paraId="14CB3BFF">
      <w:pPr>
        <w:pStyle w:val="66"/>
        <w:rPr>
          <w:rFonts w:hint="eastAsia"/>
          <w:lang w:val="en-US" w:eastAsia="zh-CN"/>
        </w:rPr>
      </w:pPr>
      <w:r>
        <w:rPr>
          <w:rFonts w:hint="default"/>
          <w:lang w:val="en-US" w:eastAsia="zh-CN"/>
        </w:rPr>
        <w:t>按GB/T 1094.2规定</w:t>
      </w:r>
      <w:r>
        <w:rPr>
          <w:rFonts w:hint="eastAsia"/>
          <w:lang w:val="en-US" w:eastAsia="zh-CN"/>
        </w:rPr>
        <w:t>进行。</w:t>
      </w:r>
    </w:p>
    <w:p w14:paraId="79AE2AC0">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密封性能</w:t>
      </w:r>
    </w:p>
    <w:p w14:paraId="543C9CCA">
      <w:pPr>
        <w:pStyle w:val="65"/>
        <w:bidi w:val="0"/>
        <w:rPr>
          <w:rFonts w:hint="default"/>
          <w:lang w:val="en-US" w:eastAsia="zh-CN"/>
        </w:rPr>
      </w:pPr>
      <w:r>
        <w:rPr>
          <w:rFonts w:hint="eastAsia"/>
          <w:lang w:val="en-US" w:eastAsia="zh-CN"/>
        </w:rPr>
        <w:t>正压密封</w:t>
      </w:r>
    </w:p>
    <w:p w14:paraId="173B95E9">
      <w:pPr>
        <w:pStyle w:val="66"/>
        <w:rPr>
          <w:rFonts w:hint="default"/>
          <w:lang w:val="en-US" w:eastAsia="zh-CN"/>
        </w:rPr>
      </w:pPr>
      <w:r>
        <w:rPr>
          <w:rFonts w:hint="default"/>
          <w:lang w:val="en-US" w:eastAsia="zh-CN"/>
        </w:rPr>
        <w:t>向变压器油箱内部施加 0.03 MPa 表压试验压力，持续保压时间不应少于 30 min。试验过程中，全程观察箱体及各密封部位有无渗漏、变形及压力异常衰减现象。</w:t>
      </w:r>
    </w:p>
    <w:p w14:paraId="2B55EBAE">
      <w:pPr>
        <w:pStyle w:val="65"/>
        <w:bidi w:val="0"/>
        <w:rPr>
          <w:rFonts w:hint="default"/>
          <w:lang w:val="en-US" w:eastAsia="zh-CN"/>
        </w:rPr>
      </w:pPr>
      <w:r>
        <w:rPr>
          <w:rFonts w:hint="eastAsia"/>
          <w:lang w:val="en-US" w:eastAsia="zh-CN"/>
        </w:rPr>
        <w:t>真空密封</w:t>
      </w:r>
    </w:p>
    <w:p w14:paraId="5ECBDB47">
      <w:pPr>
        <w:pStyle w:val="66"/>
        <w:rPr>
          <w:rFonts w:hint="default"/>
          <w:lang w:val="en-US" w:eastAsia="zh-CN"/>
        </w:rPr>
      </w:pPr>
      <w:r>
        <w:rPr>
          <w:rFonts w:hint="default"/>
          <w:lang w:val="en-US" w:eastAsia="zh-CN"/>
        </w:rPr>
        <w:t>将变压器油箱抽真空至真空度不大于 0.098 MPa，保压持续时间不少于 30 min。试验期间，检查箱体有无吸气、渗漏及结构性变形等现象。</w:t>
      </w:r>
    </w:p>
    <w:p w14:paraId="2C40DE89">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绝缘油</w:t>
      </w:r>
    </w:p>
    <w:p w14:paraId="132315FE">
      <w:pPr>
        <w:pStyle w:val="66"/>
        <w:rPr>
          <w:rFonts w:hint="eastAsia"/>
          <w:lang w:val="en-US" w:eastAsia="zh-CN"/>
        </w:rPr>
      </w:pPr>
      <w:r>
        <w:rPr>
          <w:rFonts w:hint="eastAsia"/>
          <w:lang w:val="en-US" w:eastAsia="zh-CN"/>
        </w:rPr>
        <w:t>按GB 2536的规定进行。</w:t>
      </w:r>
    </w:p>
    <w:p w14:paraId="6E1B6A88">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阻燃性能</w:t>
      </w:r>
    </w:p>
    <w:p w14:paraId="27C96517">
      <w:pPr>
        <w:pStyle w:val="166"/>
        <w:bidi w:val="0"/>
        <w:rPr>
          <w:rFonts w:hint="default"/>
          <w:lang w:val="en-US" w:eastAsia="zh-CN"/>
        </w:rPr>
      </w:pPr>
      <w:r>
        <w:rPr>
          <w:rFonts w:hint="default"/>
          <w:lang w:val="en-US" w:eastAsia="zh-CN"/>
        </w:rPr>
        <w:t>按GB/T 2408进行垂直燃烧试验。</w:t>
      </w:r>
    </w:p>
    <w:p w14:paraId="7A341B7E">
      <w:pPr>
        <w:pStyle w:val="166"/>
        <w:bidi w:val="0"/>
        <w:rPr>
          <w:rFonts w:hint="default"/>
          <w:lang w:val="en-US" w:eastAsia="zh-CN"/>
        </w:rPr>
      </w:pPr>
      <w:r>
        <w:rPr>
          <w:rFonts w:hint="default"/>
          <w:lang w:val="en-US" w:eastAsia="zh-CN"/>
        </w:rPr>
        <w:t>按GB/T 11021</w:t>
      </w:r>
      <w:r>
        <w:rPr>
          <w:rFonts w:hint="eastAsia"/>
          <w:lang w:val="en-US" w:eastAsia="zh-CN"/>
        </w:rPr>
        <w:t>进行</w:t>
      </w:r>
      <w:r>
        <w:rPr>
          <w:rFonts w:hint="default"/>
          <w:lang w:val="en-US" w:eastAsia="zh-CN"/>
        </w:rPr>
        <w:t>耐热等级</w:t>
      </w:r>
      <w:r>
        <w:rPr>
          <w:rFonts w:hint="eastAsia"/>
          <w:lang w:val="en-US" w:eastAsia="zh-CN"/>
        </w:rPr>
        <w:t>试验</w:t>
      </w:r>
      <w:r>
        <w:rPr>
          <w:rFonts w:hint="default"/>
          <w:lang w:val="en-US" w:eastAsia="zh-CN"/>
        </w:rPr>
        <w:t>。</w:t>
      </w:r>
    </w:p>
    <w:p w14:paraId="38D6261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防护等级</w:t>
      </w:r>
    </w:p>
    <w:p w14:paraId="2AAC0CF2">
      <w:pPr>
        <w:pStyle w:val="66"/>
        <w:rPr>
          <w:rFonts w:hint="eastAsia"/>
          <w:lang w:val="en-US" w:eastAsia="zh-CN"/>
        </w:rPr>
      </w:pPr>
      <w:r>
        <w:rPr>
          <w:rFonts w:hint="eastAsia"/>
          <w:lang w:val="en-US" w:eastAsia="zh-CN"/>
        </w:rPr>
        <w:t>按GB/T 4208的规定进行。</w:t>
      </w:r>
    </w:p>
    <w:p w14:paraId="3CAEEDB4">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噪声</w:t>
      </w:r>
    </w:p>
    <w:p w14:paraId="63EB6078">
      <w:pPr>
        <w:pStyle w:val="66"/>
        <w:rPr>
          <w:rFonts w:hint="eastAsia"/>
          <w:lang w:val="en-US" w:eastAsia="zh-CN"/>
        </w:rPr>
      </w:pPr>
      <w:r>
        <w:rPr>
          <w:rFonts w:hint="eastAsia"/>
          <w:lang w:val="en-US" w:eastAsia="zh-CN"/>
        </w:rPr>
        <w:t>按GB/T 1094.10的规定进行。</w:t>
      </w:r>
    </w:p>
    <w:p w14:paraId="1063737A">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抗短路能力</w:t>
      </w:r>
    </w:p>
    <w:p w14:paraId="1951D817">
      <w:pPr>
        <w:pStyle w:val="66"/>
        <w:rPr>
          <w:rFonts w:hint="eastAsia"/>
          <w:lang w:val="en-US" w:eastAsia="zh-CN"/>
        </w:rPr>
      </w:pPr>
      <w:r>
        <w:rPr>
          <w:rFonts w:hint="default"/>
          <w:lang w:val="en-US" w:eastAsia="zh-CN"/>
        </w:rPr>
        <w:t>按GB/T 1094.5、GB 50150</w:t>
      </w:r>
      <w:r>
        <w:rPr>
          <w:rFonts w:hint="eastAsia"/>
          <w:lang w:val="en-US" w:eastAsia="zh-CN"/>
        </w:rPr>
        <w:t>的规定</w:t>
      </w:r>
      <w:r>
        <w:rPr>
          <w:rFonts w:hint="default"/>
          <w:lang w:val="en-US" w:eastAsia="zh-CN"/>
        </w:rPr>
        <w:t>进行</w:t>
      </w:r>
      <w:r>
        <w:rPr>
          <w:rFonts w:hint="eastAsia"/>
          <w:lang w:val="en-US" w:eastAsia="zh-CN"/>
        </w:rPr>
        <w:t>。</w:t>
      </w:r>
    </w:p>
    <w:p w14:paraId="5591E006">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智能化要求</w:t>
      </w:r>
    </w:p>
    <w:p w14:paraId="610B592C">
      <w:pPr>
        <w:pStyle w:val="66"/>
        <w:rPr>
          <w:rFonts w:hint="default"/>
          <w:lang w:val="en-US" w:eastAsia="zh-CN"/>
        </w:rPr>
      </w:pPr>
      <w:r>
        <w:rPr>
          <w:rFonts w:hint="eastAsia"/>
          <w:lang w:val="en-US" w:eastAsia="zh-CN"/>
        </w:rPr>
        <w:t>采用目视和模拟操作法进行检查。</w:t>
      </w:r>
    </w:p>
    <w:p w14:paraId="4FF44FC3">
      <w:pPr>
        <w:pStyle w:val="105"/>
        <w:spacing w:before="326" w:after="326"/>
      </w:pPr>
      <w:bookmarkStart w:id="61" w:name="_Toc17055"/>
      <w:r>
        <w:rPr>
          <w:rFonts w:hint="eastAsia"/>
          <w:lang w:val="en-US" w:eastAsia="zh-CN"/>
        </w:rPr>
        <w:t>检验规则</w:t>
      </w:r>
      <w:bookmarkEnd w:id="61"/>
    </w:p>
    <w:p w14:paraId="168D989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检验分类</w:t>
      </w:r>
    </w:p>
    <w:p w14:paraId="4F5047F4">
      <w:pPr>
        <w:pStyle w:val="66"/>
        <w:rPr>
          <w:rFonts w:hint="eastAsia"/>
          <w:lang w:val="en-US" w:eastAsia="zh-CN"/>
        </w:rPr>
      </w:pPr>
      <w:r>
        <w:rPr>
          <w:rFonts w:hint="eastAsia"/>
          <w:lang w:val="en-US" w:eastAsia="zh-CN"/>
        </w:rPr>
        <w:t>检验分为出厂检验和型式检验，具体检验项目见表1。</w:t>
      </w:r>
    </w:p>
    <w:p w14:paraId="6A0D0C26">
      <w:pPr>
        <w:pStyle w:val="113"/>
        <w:bidi w:val="0"/>
        <w:rPr>
          <w:rFonts w:hint="eastAsia"/>
          <w:lang w:val="en-US" w:eastAsia="zh-CN"/>
        </w:rPr>
      </w:pPr>
      <w:r>
        <w:rPr>
          <w:rFonts w:hint="eastAsia"/>
          <w:lang w:val="en-US" w:eastAsia="zh-CN"/>
        </w:rPr>
        <w:t>检验项目</w:t>
      </w:r>
    </w:p>
    <w:tbl>
      <w:tblPr>
        <w:tblStyle w:val="27"/>
        <w:tblW w:w="5000" w:type="pct"/>
        <w:tblCaption w:val="负载损耗"/>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2"/>
        <w:gridCol w:w="1891"/>
        <w:gridCol w:w="1906"/>
        <w:gridCol w:w="1233"/>
        <w:gridCol w:w="1168"/>
        <w:gridCol w:w="1367"/>
        <w:gridCol w:w="1543"/>
      </w:tblGrid>
      <w:tr w14:paraId="64826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42" w:type="pct"/>
            <w:tcBorders>
              <w:top w:val="single" w:color="auto" w:sz="8" w:space="0"/>
              <w:left w:val="single" w:color="auto" w:sz="8" w:space="0"/>
              <w:bottom w:val="single" w:color="auto" w:sz="8" w:space="0"/>
            </w:tcBorders>
            <w:vAlign w:val="center"/>
          </w:tcPr>
          <w:p w14:paraId="7F753169">
            <w:pPr>
              <w:pStyle w:val="179"/>
              <w:bidi w:val="0"/>
              <w:jc w:val="center"/>
              <w:rPr>
                <w:rFonts w:hint="default"/>
                <w:lang w:val="en-US" w:eastAsia="zh-CN"/>
              </w:rPr>
            </w:pPr>
            <w:r>
              <w:rPr>
                <w:rFonts w:hint="eastAsia"/>
                <w:lang w:val="en-US" w:eastAsia="zh-CN"/>
              </w:rPr>
              <w:t>序号</w:t>
            </w:r>
          </w:p>
        </w:tc>
        <w:tc>
          <w:tcPr>
            <w:tcW w:w="1984" w:type="pct"/>
            <w:gridSpan w:val="2"/>
            <w:tcBorders>
              <w:top w:val="single" w:color="auto" w:sz="8" w:space="0"/>
              <w:bottom w:val="single" w:color="auto" w:sz="8" w:space="0"/>
            </w:tcBorders>
            <w:vAlign w:val="center"/>
          </w:tcPr>
          <w:p w14:paraId="0D5E6F82">
            <w:pPr>
              <w:pStyle w:val="179"/>
              <w:bidi w:val="0"/>
              <w:jc w:val="center"/>
              <w:rPr>
                <w:rFonts w:hint="default"/>
                <w:lang w:val="en-US" w:eastAsia="zh-CN"/>
              </w:rPr>
            </w:pPr>
            <w:r>
              <w:rPr>
                <w:rFonts w:hint="eastAsia"/>
                <w:lang w:val="en-US" w:eastAsia="zh-CN"/>
              </w:rPr>
              <w:t>项目名称</w:t>
            </w:r>
          </w:p>
        </w:tc>
        <w:tc>
          <w:tcPr>
            <w:tcW w:w="644" w:type="pct"/>
            <w:tcBorders>
              <w:top w:val="single" w:color="auto" w:sz="8" w:space="0"/>
              <w:bottom w:val="single" w:color="auto" w:sz="8" w:space="0"/>
            </w:tcBorders>
            <w:vAlign w:val="center"/>
          </w:tcPr>
          <w:p w14:paraId="3ECBC519">
            <w:pPr>
              <w:pStyle w:val="179"/>
              <w:bidi w:val="0"/>
              <w:jc w:val="center"/>
              <w:rPr>
                <w:rFonts w:hint="default"/>
                <w:lang w:val="en-US" w:eastAsia="zh-CN"/>
              </w:rPr>
            </w:pPr>
            <w:r>
              <w:rPr>
                <w:rFonts w:hint="eastAsia"/>
                <w:lang w:val="en-US" w:eastAsia="zh-CN"/>
              </w:rPr>
              <w:t>技术要求</w:t>
            </w:r>
          </w:p>
        </w:tc>
        <w:tc>
          <w:tcPr>
            <w:tcW w:w="610" w:type="pct"/>
            <w:tcBorders>
              <w:top w:val="single" w:color="auto" w:sz="8" w:space="0"/>
              <w:bottom w:val="single" w:color="auto" w:sz="8" w:space="0"/>
            </w:tcBorders>
            <w:vAlign w:val="center"/>
          </w:tcPr>
          <w:p w14:paraId="5FF97CAB">
            <w:pPr>
              <w:pStyle w:val="179"/>
              <w:bidi w:val="0"/>
              <w:jc w:val="center"/>
              <w:rPr>
                <w:rFonts w:hint="default"/>
                <w:lang w:val="en-US" w:eastAsia="zh-CN"/>
              </w:rPr>
            </w:pPr>
            <w:r>
              <w:rPr>
                <w:rFonts w:hint="eastAsia"/>
                <w:lang w:val="en-US" w:eastAsia="zh-CN"/>
              </w:rPr>
              <w:t>试验方法</w:t>
            </w:r>
          </w:p>
        </w:tc>
        <w:tc>
          <w:tcPr>
            <w:tcW w:w="714" w:type="pct"/>
            <w:tcBorders>
              <w:top w:val="single" w:color="auto" w:sz="8" w:space="0"/>
              <w:bottom w:val="single" w:color="auto" w:sz="8" w:space="0"/>
            </w:tcBorders>
            <w:vAlign w:val="center"/>
          </w:tcPr>
          <w:p w14:paraId="5796AA64">
            <w:pPr>
              <w:pStyle w:val="179"/>
              <w:bidi w:val="0"/>
              <w:jc w:val="center"/>
              <w:rPr>
                <w:rFonts w:hint="default"/>
                <w:lang w:val="en-US" w:eastAsia="zh-CN"/>
              </w:rPr>
            </w:pPr>
            <w:r>
              <w:rPr>
                <w:rFonts w:hint="eastAsia"/>
                <w:lang w:val="en-US" w:eastAsia="zh-CN"/>
              </w:rPr>
              <w:t>出厂检验</w:t>
            </w:r>
          </w:p>
        </w:tc>
        <w:tc>
          <w:tcPr>
            <w:tcW w:w="804" w:type="pct"/>
            <w:tcBorders>
              <w:top w:val="single" w:color="auto" w:sz="8" w:space="0"/>
              <w:bottom w:val="single" w:color="auto" w:sz="8" w:space="0"/>
              <w:right w:val="single" w:color="auto" w:sz="8" w:space="0"/>
            </w:tcBorders>
            <w:vAlign w:val="center"/>
          </w:tcPr>
          <w:p w14:paraId="037657D0">
            <w:pPr>
              <w:pStyle w:val="179"/>
              <w:bidi w:val="0"/>
              <w:jc w:val="center"/>
              <w:rPr>
                <w:rFonts w:hint="default"/>
                <w:lang w:val="en-US" w:eastAsia="zh-CN"/>
              </w:rPr>
            </w:pPr>
            <w:r>
              <w:rPr>
                <w:rFonts w:hint="eastAsia"/>
                <w:lang w:val="en-US" w:eastAsia="zh-CN"/>
              </w:rPr>
              <w:t>型式检验</w:t>
            </w:r>
          </w:p>
        </w:tc>
      </w:tr>
      <w:tr w14:paraId="70B98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vAlign w:val="center"/>
          </w:tcPr>
          <w:p w14:paraId="127C2A45">
            <w:pPr>
              <w:pStyle w:val="179"/>
              <w:bidi w:val="0"/>
              <w:jc w:val="center"/>
              <w:rPr>
                <w:rFonts w:hint="default"/>
                <w:lang w:val="en-US" w:eastAsia="zh-CN"/>
              </w:rPr>
            </w:pPr>
            <w:r>
              <w:rPr>
                <w:rFonts w:hint="eastAsia"/>
                <w:lang w:val="en-US" w:eastAsia="zh-CN"/>
              </w:rPr>
              <w:t>1</w:t>
            </w:r>
          </w:p>
        </w:tc>
        <w:tc>
          <w:tcPr>
            <w:tcW w:w="1984" w:type="pct"/>
            <w:gridSpan w:val="2"/>
            <w:vAlign w:val="center"/>
          </w:tcPr>
          <w:p w14:paraId="4EA46D98">
            <w:pPr>
              <w:pStyle w:val="179"/>
              <w:bidi w:val="0"/>
              <w:jc w:val="center"/>
              <w:rPr>
                <w:rFonts w:hint="default"/>
                <w:lang w:val="en-US" w:eastAsia="zh-CN"/>
              </w:rPr>
            </w:pPr>
            <w:r>
              <w:rPr>
                <w:rFonts w:hint="eastAsia"/>
                <w:lang w:val="en-US" w:eastAsia="zh-CN"/>
              </w:rPr>
              <w:t>外观质量</w:t>
            </w:r>
          </w:p>
        </w:tc>
        <w:tc>
          <w:tcPr>
            <w:tcW w:w="644" w:type="pct"/>
            <w:vAlign w:val="center"/>
          </w:tcPr>
          <w:p w14:paraId="3634C31D">
            <w:pPr>
              <w:pStyle w:val="179"/>
              <w:bidi w:val="0"/>
              <w:ind w:firstLine="0" w:firstLineChars="0"/>
              <w:jc w:val="center"/>
              <w:rPr>
                <w:rFonts w:hint="default"/>
                <w:lang w:val="en-US" w:eastAsia="zh-CN"/>
              </w:rPr>
            </w:pPr>
            <w:r>
              <w:rPr>
                <w:rFonts w:hint="eastAsia"/>
                <w:lang w:val="en-US" w:eastAsia="zh-CN"/>
              </w:rPr>
              <w:t>5.1</w:t>
            </w:r>
          </w:p>
        </w:tc>
        <w:tc>
          <w:tcPr>
            <w:tcW w:w="610" w:type="pct"/>
            <w:vAlign w:val="center"/>
          </w:tcPr>
          <w:p w14:paraId="6436BC56">
            <w:pPr>
              <w:pStyle w:val="179"/>
              <w:bidi w:val="0"/>
              <w:jc w:val="center"/>
              <w:rPr>
                <w:rFonts w:hint="default"/>
                <w:lang w:val="en-US" w:eastAsia="zh-CN"/>
              </w:rPr>
            </w:pPr>
            <w:r>
              <w:rPr>
                <w:rFonts w:hint="eastAsia"/>
                <w:lang w:val="en-US" w:eastAsia="zh-CN"/>
              </w:rPr>
              <w:t>6.1</w:t>
            </w:r>
          </w:p>
        </w:tc>
        <w:tc>
          <w:tcPr>
            <w:tcW w:w="714" w:type="pct"/>
            <w:vAlign w:val="center"/>
          </w:tcPr>
          <w:p w14:paraId="4BF6464D">
            <w:pPr>
              <w:pStyle w:val="179"/>
              <w:bidi w:val="0"/>
              <w:jc w:val="center"/>
              <w:rPr>
                <w:rFonts w:hint="default" w:ascii="Times New Roman" w:hAnsi="Times New Roman" w:cs="Times New Roman"/>
              </w:rPr>
            </w:pPr>
            <w:r>
              <w:rPr>
                <w:rFonts w:hint="default"/>
                <w:lang w:val="en-US" w:eastAsia="zh-CN"/>
              </w:rPr>
              <w:t>√</w:t>
            </w:r>
          </w:p>
        </w:tc>
        <w:tc>
          <w:tcPr>
            <w:tcW w:w="804" w:type="pct"/>
            <w:tcBorders>
              <w:right w:val="single" w:color="auto" w:sz="8" w:space="0"/>
            </w:tcBorders>
            <w:vAlign w:val="center"/>
          </w:tcPr>
          <w:p w14:paraId="0EF7EE87">
            <w:pPr>
              <w:pStyle w:val="179"/>
              <w:bidi w:val="0"/>
              <w:jc w:val="center"/>
              <w:rPr>
                <w:rFonts w:hint="default" w:ascii="Times New Roman" w:hAnsi="Times New Roman" w:cs="Times New Roman"/>
              </w:rPr>
            </w:pPr>
            <w:r>
              <w:rPr>
                <w:rFonts w:hint="default"/>
                <w:lang w:val="en-US" w:eastAsia="zh-CN"/>
              </w:rPr>
              <w:t>√</w:t>
            </w:r>
          </w:p>
        </w:tc>
      </w:tr>
      <w:tr w14:paraId="003D7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restart"/>
            <w:tcBorders>
              <w:left w:val="single" w:color="auto" w:sz="8" w:space="0"/>
            </w:tcBorders>
            <w:shd w:val="clear" w:color="auto" w:fill="auto"/>
            <w:vAlign w:val="center"/>
          </w:tcPr>
          <w:p w14:paraId="564C6E58">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2</w:t>
            </w:r>
          </w:p>
        </w:tc>
        <w:tc>
          <w:tcPr>
            <w:tcW w:w="988" w:type="pct"/>
            <w:vMerge w:val="restart"/>
            <w:vAlign w:val="center"/>
          </w:tcPr>
          <w:p w14:paraId="048EB891">
            <w:pPr>
              <w:pStyle w:val="179"/>
              <w:bidi w:val="0"/>
              <w:jc w:val="center"/>
              <w:rPr>
                <w:rFonts w:hint="default"/>
                <w:lang w:val="en-US" w:eastAsia="zh-CN"/>
              </w:rPr>
            </w:pPr>
            <w:r>
              <w:rPr>
                <w:rFonts w:hint="eastAsia"/>
                <w:lang w:val="en-US" w:eastAsia="zh-CN"/>
              </w:rPr>
              <w:t>电气性能</w:t>
            </w:r>
          </w:p>
        </w:tc>
        <w:tc>
          <w:tcPr>
            <w:tcW w:w="996" w:type="pct"/>
            <w:vAlign w:val="center"/>
          </w:tcPr>
          <w:p w14:paraId="2683DFBC">
            <w:pPr>
              <w:pStyle w:val="179"/>
              <w:bidi w:val="0"/>
              <w:jc w:val="center"/>
              <w:rPr>
                <w:rFonts w:hint="default"/>
                <w:lang w:val="en-US" w:eastAsia="zh-CN"/>
              </w:rPr>
            </w:pPr>
            <w:r>
              <w:rPr>
                <w:rFonts w:hint="eastAsia"/>
                <w:lang w:val="en-US" w:eastAsia="zh-CN"/>
              </w:rPr>
              <w:t>损耗要求</w:t>
            </w:r>
          </w:p>
        </w:tc>
        <w:tc>
          <w:tcPr>
            <w:tcW w:w="644" w:type="pct"/>
            <w:vAlign w:val="center"/>
          </w:tcPr>
          <w:p w14:paraId="5B26A2FD">
            <w:pPr>
              <w:pStyle w:val="179"/>
              <w:bidi w:val="0"/>
              <w:ind w:firstLine="0" w:firstLineChars="0"/>
              <w:jc w:val="center"/>
              <w:rPr>
                <w:rFonts w:hint="default"/>
                <w:lang w:val="en-US" w:eastAsia="zh-CN"/>
              </w:rPr>
            </w:pPr>
            <w:r>
              <w:rPr>
                <w:rFonts w:hint="eastAsia"/>
                <w:lang w:val="en-US" w:eastAsia="zh-CN"/>
              </w:rPr>
              <w:t>5.2.1</w:t>
            </w:r>
          </w:p>
        </w:tc>
        <w:tc>
          <w:tcPr>
            <w:tcW w:w="610" w:type="pct"/>
            <w:vAlign w:val="center"/>
          </w:tcPr>
          <w:p w14:paraId="01BCDD7A">
            <w:pPr>
              <w:pStyle w:val="179"/>
              <w:bidi w:val="0"/>
              <w:jc w:val="center"/>
              <w:rPr>
                <w:rFonts w:hint="default"/>
                <w:lang w:val="en-US" w:eastAsia="zh-CN"/>
              </w:rPr>
            </w:pPr>
            <w:r>
              <w:rPr>
                <w:rFonts w:hint="eastAsia"/>
                <w:lang w:val="en-US" w:eastAsia="zh-CN"/>
              </w:rPr>
              <w:t>6.2.1</w:t>
            </w:r>
          </w:p>
        </w:tc>
        <w:tc>
          <w:tcPr>
            <w:tcW w:w="714" w:type="pct"/>
            <w:vAlign w:val="center"/>
          </w:tcPr>
          <w:p w14:paraId="7032BB69">
            <w:pPr>
              <w:pStyle w:val="179"/>
              <w:bidi w:val="0"/>
              <w:jc w:val="center"/>
              <w:rPr>
                <w:rFonts w:hint="default" w:ascii="Times New Roman" w:hAnsi="Times New Roman" w:cs="Times New Roman"/>
              </w:rPr>
            </w:pPr>
            <w:r>
              <w:rPr>
                <w:rFonts w:hint="default"/>
                <w:lang w:val="en-US" w:eastAsia="zh-CN"/>
              </w:rPr>
              <w:t>√</w:t>
            </w:r>
          </w:p>
        </w:tc>
        <w:tc>
          <w:tcPr>
            <w:tcW w:w="804" w:type="pct"/>
            <w:tcBorders>
              <w:right w:val="single" w:color="auto" w:sz="8" w:space="0"/>
            </w:tcBorders>
            <w:vAlign w:val="center"/>
          </w:tcPr>
          <w:p w14:paraId="317D505D">
            <w:pPr>
              <w:pStyle w:val="179"/>
              <w:bidi w:val="0"/>
              <w:jc w:val="center"/>
              <w:rPr>
                <w:rFonts w:hint="default" w:ascii="Times New Roman" w:hAnsi="Times New Roman" w:cs="Times New Roman"/>
              </w:rPr>
            </w:pPr>
            <w:r>
              <w:rPr>
                <w:rFonts w:hint="default"/>
                <w:lang w:val="en-US" w:eastAsia="zh-CN"/>
              </w:rPr>
              <w:t>√</w:t>
            </w:r>
          </w:p>
        </w:tc>
      </w:tr>
      <w:tr w14:paraId="34012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continue"/>
            <w:tcBorders>
              <w:left w:val="single" w:color="auto" w:sz="8" w:space="0"/>
            </w:tcBorders>
            <w:shd w:val="clear" w:color="auto" w:fill="auto"/>
            <w:vAlign w:val="center"/>
          </w:tcPr>
          <w:p w14:paraId="052C3433">
            <w:pPr>
              <w:pStyle w:val="179"/>
              <w:bidi w:val="0"/>
              <w:ind w:firstLine="0" w:firstLineChars="0"/>
              <w:jc w:val="center"/>
              <w:rPr>
                <w:rFonts w:hint="eastAsia"/>
                <w:lang w:val="en-US" w:eastAsia="zh-CN"/>
              </w:rPr>
            </w:pPr>
          </w:p>
        </w:tc>
        <w:tc>
          <w:tcPr>
            <w:tcW w:w="988" w:type="pct"/>
            <w:vMerge w:val="continue"/>
            <w:vAlign w:val="center"/>
          </w:tcPr>
          <w:p w14:paraId="333E04F2">
            <w:pPr>
              <w:pStyle w:val="179"/>
              <w:bidi w:val="0"/>
              <w:jc w:val="center"/>
              <w:rPr>
                <w:rFonts w:hint="eastAsia"/>
                <w:lang w:val="en-US" w:eastAsia="zh-CN"/>
              </w:rPr>
            </w:pPr>
          </w:p>
        </w:tc>
        <w:tc>
          <w:tcPr>
            <w:tcW w:w="996" w:type="pct"/>
            <w:vAlign w:val="center"/>
          </w:tcPr>
          <w:p w14:paraId="666E10B6">
            <w:pPr>
              <w:pStyle w:val="179"/>
              <w:bidi w:val="0"/>
              <w:jc w:val="center"/>
              <w:rPr>
                <w:rFonts w:hint="default"/>
                <w:lang w:val="en-US" w:eastAsia="zh-CN"/>
              </w:rPr>
            </w:pPr>
            <w:r>
              <w:rPr>
                <w:rFonts w:hint="eastAsia"/>
                <w:lang w:val="en-US" w:eastAsia="zh-CN"/>
              </w:rPr>
              <w:t>电压比</w:t>
            </w:r>
          </w:p>
        </w:tc>
        <w:tc>
          <w:tcPr>
            <w:tcW w:w="644" w:type="pct"/>
            <w:vAlign w:val="center"/>
          </w:tcPr>
          <w:p w14:paraId="7640C130">
            <w:pPr>
              <w:pStyle w:val="179"/>
              <w:bidi w:val="0"/>
              <w:ind w:firstLine="0" w:firstLineChars="0"/>
              <w:jc w:val="center"/>
              <w:rPr>
                <w:rFonts w:hint="default"/>
                <w:lang w:val="en-US" w:eastAsia="zh-CN"/>
              </w:rPr>
            </w:pPr>
            <w:r>
              <w:rPr>
                <w:rFonts w:hint="eastAsia"/>
                <w:lang w:val="en-US" w:eastAsia="zh-CN"/>
              </w:rPr>
              <w:t>5.2.2</w:t>
            </w:r>
          </w:p>
        </w:tc>
        <w:tc>
          <w:tcPr>
            <w:tcW w:w="610" w:type="pct"/>
            <w:shd w:val="clear" w:color="auto" w:fill="auto"/>
            <w:vAlign w:val="center"/>
          </w:tcPr>
          <w:p w14:paraId="18AA5FA4">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6.2.2</w:t>
            </w:r>
          </w:p>
        </w:tc>
        <w:tc>
          <w:tcPr>
            <w:tcW w:w="714" w:type="pct"/>
            <w:vAlign w:val="center"/>
          </w:tcPr>
          <w:p w14:paraId="25842D16">
            <w:pPr>
              <w:pStyle w:val="179"/>
              <w:bidi w:val="0"/>
              <w:jc w:val="center"/>
              <w:rPr>
                <w:rFonts w:hint="default"/>
                <w:lang w:val="en-US" w:eastAsia="zh-CN"/>
              </w:rPr>
            </w:pPr>
            <w:r>
              <w:rPr>
                <w:rFonts w:hint="default"/>
                <w:lang w:val="en-US" w:eastAsia="zh-CN"/>
              </w:rPr>
              <w:t>√</w:t>
            </w:r>
          </w:p>
        </w:tc>
        <w:tc>
          <w:tcPr>
            <w:tcW w:w="804" w:type="pct"/>
            <w:tcBorders>
              <w:right w:val="single" w:color="auto" w:sz="8" w:space="0"/>
            </w:tcBorders>
            <w:vAlign w:val="center"/>
          </w:tcPr>
          <w:p w14:paraId="769EF213">
            <w:pPr>
              <w:pStyle w:val="179"/>
              <w:bidi w:val="0"/>
              <w:jc w:val="center"/>
              <w:rPr>
                <w:rFonts w:hint="default"/>
                <w:lang w:val="en-US" w:eastAsia="zh-CN"/>
              </w:rPr>
            </w:pPr>
            <w:r>
              <w:rPr>
                <w:rFonts w:hint="default"/>
                <w:lang w:val="en-US" w:eastAsia="zh-CN"/>
              </w:rPr>
              <w:t>√</w:t>
            </w:r>
          </w:p>
        </w:tc>
      </w:tr>
      <w:tr w14:paraId="6D435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continue"/>
            <w:tcBorders>
              <w:left w:val="single" w:color="auto" w:sz="8" w:space="0"/>
            </w:tcBorders>
            <w:shd w:val="clear" w:color="auto" w:fill="auto"/>
            <w:vAlign w:val="center"/>
          </w:tcPr>
          <w:p w14:paraId="6021D057">
            <w:pPr>
              <w:pStyle w:val="179"/>
              <w:bidi w:val="0"/>
              <w:ind w:firstLine="0" w:firstLineChars="0"/>
              <w:jc w:val="center"/>
              <w:rPr>
                <w:rFonts w:hint="eastAsia"/>
                <w:lang w:val="en-US" w:eastAsia="zh-CN"/>
              </w:rPr>
            </w:pPr>
          </w:p>
        </w:tc>
        <w:tc>
          <w:tcPr>
            <w:tcW w:w="988" w:type="pct"/>
            <w:vMerge w:val="continue"/>
            <w:vAlign w:val="center"/>
          </w:tcPr>
          <w:p w14:paraId="4BC3EFA2">
            <w:pPr>
              <w:pStyle w:val="179"/>
              <w:bidi w:val="0"/>
              <w:jc w:val="center"/>
              <w:rPr>
                <w:rFonts w:hint="eastAsia"/>
                <w:lang w:val="en-US" w:eastAsia="zh-CN"/>
              </w:rPr>
            </w:pPr>
          </w:p>
        </w:tc>
        <w:tc>
          <w:tcPr>
            <w:tcW w:w="996" w:type="pct"/>
            <w:vAlign w:val="center"/>
          </w:tcPr>
          <w:p w14:paraId="4552DEF3">
            <w:pPr>
              <w:pStyle w:val="179"/>
              <w:bidi w:val="0"/>
              <w:jc w:val="center"/>
              <w:rPr>
                <w:rFonts w:hint="default"/>
                <w:lang w:val="en-US" w:eastAsia="zh-CN"/>
              </w:rPr>
            </w:pPr>
            <w:r>
              <w:rPr>
                <w:rFonts w:hint="eastAsia"/>
                <w:lang w:val="en-US" w:eastAsia="zh-CN"/>
              </w:rPr>
              <w:t>短路阻抗</w:t>
            </w:r>
          </w:p>
        </w:tc>
        <w:tc>
          <w:tcPr>
            <w:tcW w:w="644" w:type="pct"/>
            <w:vAlign w:val="center"/>
          </w:tcPr>
          <w:p w14:paraId="40857D9E">
            <w:pPr>
              <w:pStyle w:val="179"/>
              <w:bidi w:val="0"/>
              <w:ind w:firstLine="0" w:firstLineChars="0"/>
              <w:jc w:val="center"/>
              <w:rPr>
                <w:rFonts w:hint="default"/>
                <w:lang w:val="en-US" w:eastAsia="zh-CN"/>
              </w:rPr>
            </w:pPr>
            <w:r>
              <w:rPr>
                <w:rFonts w:hint="eastAsia"/>
                <w:lang w:val="en-US" w:eastAsia="zh-CN"/>
              </w:rPr>
              <w:t>5.2.3</w:t>
            </w:r>
          </w:p>
        </w:tc>
        <w:tc>
          <w:tcPr>
            <w:tcW w:w="610" w:type="pct"/>
            <w:shd w:val="clear" w:color="auto" w:fill="auto"/>
            <w:vAlign w:val="center"/>
          </w:tcPr>
          <w:p w14:paraId="1833884B">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6.2.3</w:t>
            </w:r>
          </w:p>
        </w:tc>
        <w:tc>
          <w:tcPr>
            <w:tcW w:w="714" w:type="pct"/>
            <w:vAlign w:val="center"/>
          </w:tcPr>
          <w:p w14:paraId="721CF7CF">
            <w:pPr>
              <w:pStyle w:val="179"/>
              <w:bidi w:val="0"/>
              <w:jc w:val="center"/>
              <w:rPr>
                <w:rFonts w:hint="default"/>
                <w:lang w:val="en-US" w:eastAsia="zh-CN"/>
              </w:rPr>
            </w:pPr>
            <w:r>
              <w:rPr>
                <w:rFonts w:hint="default"/>
                <w:lang w:val="en-US" w:eastAsia="zh-CN"/>
              </w:rPr>
              <w:t>√</w:t>
            </w:r>
          </w:p>
        </w:tc>
        <w:tc>
          <w:tcPr>
            <w:tcW w:w="804" w:type="pct"/>
            <w:tcBorders>
              <w:right w:val="single" w:color="auto" w:sz="8" w:space="0"/>
            </w:tcBorders>
            <w:vAlign w:val="center"/>
          </w:tcPr>
          <w:p w14:paraId="04FBA170">
            <w:pPr>
              <w:pStyle w:val="179"/>
              <w:bidi w:val="0"/>
              <w:jc w:val="center"/>
              <w:rPr>
                <w:rFonts w:hint="default"/>
                <w:lang w:val="en-US" w:eastAsia="zh-CN"/>
              </w:rPr>
            </w:pPr>
            <w:r>
              <w:rPr>
                <w:rFonts w:hint="default"/>
                <w:lang w:val="en-US" w:eastAsia="zh-CN"/>
              </w:rPr>
              <w:t>√</w:t>
            </w:r>
          </w:p>
        </w:tc>
      </w:tr>
      <w:tr w14:paraId="738CF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continue"/>
            <w:tcBorders>
              <w:left w:val="single" w:color="auto" w:sz="8" w:space="0"/>
            </w:tcBorders>
            <w:shd w:val="clear" w:color="auto" w:fill="auto"/>
            <w:vAlign w:val="center"/>
          </w:tcPr>
          <w:p w14:paraId="75F49321">
            <w:pPr>
              <w:pStyle w:val="179"/>
              <w:bidi w:val="0"/>
              <w:ind w:firstLine="0" w:firstLineChars="0"/>
              <w:jc w:val="center"/>
              <w:rPr>
                <w:rFonts w:hint="eastAsia"/>
                <w:lang w:val="en-US" w:eastAsia="zh-CN"/>
              </w:rPr>
            </w:pPr>
          </w:p>
        </w:tc>
        <w:tc>
          <w:tcPr>
            <w:tcW w:w="988" w:type="pct"/>
            <w:vMerge w:val="continue"/>
            <w:vAlign w:val="center"/>
          </w:tcPr>
          <w:p w14:paraId="19435511">
            <w:pPr>
              <w:pStyle w:val="179"/>
              <w:bidi w:val="0"/>
              <w:jc w:val="center"/>
              <w:rPr>
                <w:rFonts w:hint="eastAsia"/>
                <w:lang w:val="en-US" w:eastAsia="zh-CN"/>
              </w:rPr>
            </w:pPr>
          </w:p>
        </w:tc>
        <w:tc>
          <w:tcPr>
            <w:tcW w:w="996" w:type="pct"/>
            <w:vAlign w:val="center"/>
          </w:tcPr>
          <w:p w14:paraId="1B77580A">
            <w:pPr>
              <w:pStyle w:val="179"/>
              <w:bidi w:val="0"/>
              <w:jc w:val="center"/>
              <w:rPr>
                <w:rFonts w:hint="default"/>
                <w:lang w:val="en-US" w:eastAsia="zh-CN"/>
              </w:rPr>
            </w:pPr>
            <w:r>
              <w:rPr>
                <w:rFonts w:hint="eastAsia"/>
                <w:lang w:val="en-US" w:eastAsia="zh-CN"/>
              </w:rPr>
              <w:t>工频耐压试验</w:t>
            </w:r>
          </w:p>
        </w:tc>
        <w:tc>
          <w:tcPr>
            <w:tcW w:w="644" w:type="pct"/>
            <w:vAlign w:val="center"/>
          </w:tcPr>
          <w:p w14:paraId="42649862">
            <w:pPr>
              <w:pStyle w:val="179"/>
              <w:bidi w:val="0"/>
              <w:ind w:firstLine="0" w:firstLineChars="0"/>
              <w:jc w:val="center"/>
              <w:rPr>
                <w:rFonts w:hint="default"/>
                <w:lang w:val="en-US" w:eastAsia="zh-CN"/>
              </w:rPr>
            </w:pPr>
            <w:r>
              <w:rPr>
                <w:rFonts w:hint="eastAsia"/>
                <w:lang w:val="en-US" w:eastAsia="zh-CN"/>
              </w:rPr>
              <w:t>5.2.4</w:t>
            </w:r>
          </w:p>
        </w:tc>
        <w:tc>
          <w:tcPr>
            <w:tcW w:w="610" w:type="pct"/>
            <w:shd w:val="clear" w:color="auto" w:fill="auto"/>
            <w:vAlign w:val="center"/>
          </w:tcPr>
          <w:p w14:paraId="1C6D93CB">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6.2.4</w:t>
            </w:r>
          </w:p>
        </w:tc>
        <w:tc>
          <w:tcPr>
            <w:tcW w:w="714" w:type="pct"/>
            <w:vAlign w:val="center"/>
          </w:tcPr>
          <w:p w14:paraId="2067625F">
            <w:pPr>
              <w:pStyle w:val="179"/>
              <w:bidi w:val="0"/>
              <w:jc w:val="center"/>
              <w:rPr>
                <w:rFonts w:hint="default"/>
                <w:lang w:val="en-US" w:eastAsia="zh-CN"/>
              </w:rPr>
            </w:pPr>
            <w:r>
              <w:rPr>
                <w:rFonts w:hint="default"/>
                <w:lang w:val="en-US" w:eastAsia="zh-CN"/>
              </w:rPr>
              <w:t>√</w:t>
            </w:r>
          </w:p>
        </w:tc>
        <w:tc>
          <w:tcPr>
            <w:tcW w:w="804" w:type="pct"/>
            <w:tcBorders>
              <w:right w:val="single" w:color="auto" w:sz="8" w:space="0"/>
            </w:tcBorders>
            <w:vAlign w:val="center"/>
          </w:tcPr>
          <w:p w14:paraId="4A18BB24">
            <w:pPr>
              <w:pStyle w:val="179"/>
              <w:bidi w:val="0"/>
              <w:jc w:val="center"/>
              <w:rPr>
                <w:rFonts w:hint="default"/>
                <w:lang w:val="en-US" w:eastAsia="zh-CN"/>
              </w:rPr>
            </w:pPr>
            <w:r>
              <w:rPr>
                <w:rFonts w:hint="default"/>
                <w:lang w:val="en-US" w:eastAsia="zh-CN"/>
              </w:rPr>
              <w:t>√</w:t>
            </w:r>
          </w:p>
        </w:tc>
      </w:tr>
      <w:tr w14:paraId="52C63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continue"/>
            <w:tcBorders>
              <w:left w:val="single" w:color="auto" w:sz="8" w:space="0"/>
            </w:tcBorders>
            <w:shd w:val="clear" w:color="auto" w:fill="auto"/>
            <w:vAlign w:val="center"/>
          </w:tcPr>
          <w:p w14:paraId="524F8676">
            <w:pPr>
              <w:pStyle w:val="179"/>
              <w:bidi w:val="0"/>
              <w:ind w:firstLine="0" w:firstLineChars="0"/>
              <w:jc w:val="center"/>
              <w:rPr>
                <w:rFonts w:hint="eastAsia"/>
                <w:lang w:val="en-US" w:eastAsia="zh-CN"/>
              </w:rPr>
            </w:pPr>
          </w:p>
        </w:tc>
        <w:tc>
          <w:tcPr>
            <w:tcW w:w="988" w:type="pct"/>
            <w:vMerge w:val="continue"/>
            <w:vAlign w:val="center"/>
          </w:tcPr>
          <w:p w14:paraId="02A165AA">
            <w:pPr>
              <w:pStyle w:val="179"/>
              <w:bidi w:val="0"/>
              <w:jc w:val="center"/>
              <w:rPr>
                <w:rFonts w:hint="eastAsia"/>
                <w:lang w:val="en-US" w:eastAsia="zh-CN"/>
              </w:rPr>
            </w:pPr>
          </w:p>
        </w:tc>
        <w:tc>
          <w:tcPr>
            <w:tcW w:w="996" w:type="pct"/>
            <w:vAlign w:val="center"/>
          </w:tcPr>
          <w:p w14:paraId="14140BA9">
            <w:pPr>
              <w:pStyle w:val="179"/>
              <w:bidi w:val="0"/>
              <w:jc w:val="center"/>
              <w:rPr>
                <w:rFonts w:hint="default"/>
                <w:lang w:val="en-US" w:eastAsia="zh-CN"/>
              </w:rPr>
            </w:pPr>
            <w:r>
              <w:rPr>
                <w:rFonts w:hint="eastAsia"/>
                <w:lang w:val="en-US" w:eastAsia="zh-CN"/>
              </w:rPr>
              <w:t>感应耐压试验</w:t>
            </w:r>
          </w:p>
        </w:tc>
        <w:tc>
          <w:tcPr>
            <w:tcW w:w="644" w:type="pct"/>
            <w:vAlign w:val="center"/>
          </w:tcPr>
          <w:p w14:paraId="06A17A45">
            <w:pPr>
              <w:pStyle w:val="179"/>
              <w:bidi w:val="0"/>
              <w:ind w:firstLine="0" w:firstLineChars="0"/>
              <w:jc w:val="center"/>
              <w:rPr>
                <w:rFonts w:hint="default"/>
                <w:lang w:val="en-US" w:eastAsia="zh-CN"/>
              </w:rPr>
            </w:pPr>
            <w:r>
              <w:rPr>
                <w:rFonts w:hint="eastAsia"/>
                <w:lang w:val="en-US" w:eastAsia="zh-CN"/>
              </w:rPr>
              <w:t>5.2.5</w:t>
            </w:r>
          </w:p>
        </w:tc>
        <w:tc>
          <w:tcPr>
            <w:tcW w:w="610" w:type="pct"/>
            <w:shd w:val="clear" w:color="auto" w:fill="auto"/>
            <w:vAlign w:val="center"/>
          </w:tcPr>
          <w:p w14:paraId="156ADDE3">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6.2.5</w:t>
            </w:r>
          </w:p>
        </w:tc>
        <w:tc>
          <w:tcPr>
            <w:tcW w:w="714" w:type="pct"/>
            <w:vAlign w:val="center"/>
          </w:tcPr>
          <w:p w14:paraId="3CA1C318">
            <w:pPr>
              <w:pStyle w:val="179"/>
              <w:bidi w:val="0"/>
              <w:jc w:val="center"/>
              <w:rPr>
                <w:rFonts w:hint="default"/>
                <w:lang w:val="en-US" w:eastAsia="zh-CN"/>
              </w:rPr>
            </w:pPr>
            <w:r>
              <w:rPr>
                <w:rFonts w:hint="default"/>
                <w:lang w:val="en-US" w:eastAsia="zh-CN"/>
              </w:rPr>
              <w:t>√</w:t>
            </w:r>
          </w:p>
        </w:tc>
        <w:tc>
          <w:tcPr>
            <w:tcW w:w="804" w:type="pct"/>
            <w:tcBorders>
              <w:right w:val="single" w:color="auto" w:sz="8" w:space="0"/>
            </w:tcBorders>
            <w:vAlign w:val="center"/>
          </w:tcPr>
          <w:p w14:paraId="30733DAB">
            <w:pPr>
              <w:pStyle w:val="179"/>
              <w:bidi w:val="0"/>
              <w:jc w:val="center"/>
              <w:rPr>
                <w:rFonts w:hint="default"/>
                <w:lang w:val="en-US" w:eastAsia="zh-CN"/>
              </w:rPr>
            </w:pPr>
            <w:r>
              <w:rPr>
                <w:rFonts w:hint="default"/>
                <w:lang w:val="en-US" w:eastAsia="zh-CN"/>
              </w:rPr>
              <w:t>√</w:t>
            </w:r>
          </w:p>
        </w:tc>
      </w:tr>
      <w:tr w14:paraId="5B636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continue"/>
            <w:tcBorders>
              <w:left w:val="single" w:color="auto" w:sz="8" w:space="0"/>
            </w:tcBorders>
            <w:shd w:val="clear" w:color="auto" w:fill="auto"/>
            <w:vAlign w:val="center"/>
          </w:tcPr>
          <w:p w14:paraId="655B1614">
            <w:pPr>
              <w:pStyle w:val="179"/>
              <w:bidi w:val="0"/>
              <w:ind w:firstLine="0" w:firstLineChars="0"/>
              <w:jc w:val="center"/>
              <w:rPr>
                <w:rFonts w:hint="eastAsia"/>
                <w:lang w:val="en-US" w:eastAsia="zh-CN"/>
              </w:rPr>
            </w:pPr>
          </w:p>
        </w:tc>
        <w:tc>
          <w:tcPr>
            <w:tcW w:w="988" w:type="pct"/>
            <w:vMerge w:val="continue"/>
            <w:vAlign w:val="center"/>
          </w:tcPr>
          <w:p w14:paraId="75735CA1">
            <w:pPr>
              <w:pStyle w:val="179"/>
              <w:bidi w:val="0"/>
              <w:jc w:val="center"/>
              <w:rPr>
                <w:rFonts w:hint="eastAsia"/>
                <w:lang w:val="en-US" w:eastAsia="zh-CN"/>
              </w:rPr>
            </w:pPr>
          </w:p>
        </w:tc>
        <w:tc>
          <w:tcPr>
            <w:tcW w:w="996" w:type="pct"/>
            <w:vAlign w:val="center"/>
          </w:tcPr>
          <w:p w14:paraId="1D4B177D">
            <w:pPr>
              <w:pStyle w:val="179"/>
              <w:bidi w:val="0"/>
              <w:jc w:val="center"/>
              <w:rPr>
                <w:rFonts w:hint="default"/>
                <w:lang w:val="en-US" w:eastAsia="zh-CN"/>
              </w:rPr>
            </w:pPr>
            <w:r>
              <w:rPr>
                <w:rFonts w:hint="eastAsia"/>
                <w:lang w:val="en-US" w:eastAsia="zh-CN"/>
              </w:rPr>
              <w:t>绝缘电阻</w:t>
            </w:r>
          </w:p>
        </w:tc>
        <w:tc>
          <w:tcPr>
            <w:tcW w:w="644" w:type="pct"/>
            <w:vAlign w:val="center"/>
          </w:tcPr>
          <w:p w14:paraId="421DE1E2">
            <w:pPr>
              <w:pStyle w:val="179"/>
              <w:bidi w:val="0"/>
              <w:ind w:firstLine="0" w:firstLineChars="0"/>
              <w:jc w:val="center"/>
              <w:rPr>
                <w:rFonts w:hint="default"/>
                <w:lang w:val="en-US" w:eastAsia="zh-CN"/>
              </w:rPr>
            </w:pPr>
            <w:r>
              <w:rPr>
                <w:rFonts w:hint="eastAsia"/>
                <w:lang w:val="en-US" w:eastAsia="zh-CN"/>
              </w:rPr>
              <w:t>5.2.6</w:t>
            </w:r>
          </w:p>
        </w:tc>
        <w:tc>
          <w:tcPr>
            <w:tcW w:w="610" w:type="pct"/>
            <w:shd w:val="clear" w:color="auto" w:fill="auto"/>
            <w:vAlign w:val="center"/>
          </w:tcPr>
          <w:p w14:paraId="409DFE91">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6.2.6</w:t>
            </w:r>
          </w:p>
        </w:tc>
        <w:tc>
          <w:tcPr>
            <w:tcW w:w="714" w:type="pct"/>
            <w:vAlign w:val="center"/>
          </w:tcPr>
          <w:p w14:paraId="27760E05">
            <w:pPr>
              <w:pStyle w:val="179"/>
              <w:bidi w:val="0"/>
              <w:jc w:val="center"/>
              <w:rPr>
                <w:rFonts w:hint="default"/>
                <w:lang w:val="en-US" w:eastAsia="zh-CN"/>
              </w:rPr>
            </w:pPr>
            <w:r>
              <w:rPr>
                <w:rFonts w:hint="default"/>
                <w:lang w:val="en-US" w:eastAsia="zh-CN"/>
              </w:rPr>
              <w:t>√</w:t>
            </w:r>
          </w:p>
        </w:tc>
        <w:tc>
          <w:tcPr>
            <w:tcW w:w="804" w:type="pct"/>
            <w:tcBorders>
              <w:right w:val="single" w:color="auto" w:sz="8" w:space="0"/>
            </w:tcBorders>
            <w:vAlign w:val="center"/>
          </w:tcPr>
          <w:p w14:paraId="4AC1140C">
            <w:pPr>
              <w:pStyle w:val="179"/>
              <w:bidi w:val="0"/>
              <w:jc w:val="center"/>
              <w:rPr>
                <w:rFonts w:hint="default"/>
                <w:lang w:val="en-US" w:eastAsia="zh-CN"/>
              </w:rPr>
            </w:pPr>
            <w:r>
              <w:rPr>
                <w:rFonts w:hint="default"/>
                <w:lang w:val="en-US" w:eastAsia="zh-CN"/>
              </w:rPr>
              <w:t>√</w:t>
            </w:r>
          </w:p>
        </w:tc>
      </w:tr>
      <w:tr w14:paraId="3E34E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continue"/>
            <w:tcBorders>
              <w:left w:val="single" w:color="auto" w:sz="8" w:space="0"/>
            </w:tcBorders>
            <w:shd w:val="clear" w:color="auto" w:fill="auto"/>
            <w:vAlign w:val="center"/>
          </w:tcPr>
          <w:p w14:paraId="58320980">
            <w:pPr>
              <w:pStyle w:val="179"/>
              <w:bidi w:val="0"/>
              <w:ind w:firstLine="0" w:firstLineChars="0"/>
              <w:jc w:val="center"/>
              <w:rPr>
                <w:rFonts w:hint="eastAsia"/>
                <w:lang w:val="en-US" w:eastAsia="zh-CN"/>
              </w:rPr>
            </w:pPr>
          </w:p>
        </w:tc>
        <w:tc>
          <w:tcPr>
            <w:tcW w:w="988" w:type="pct"/>
            <w:vMerge w:val="continue"/>
            <w:vAlign w:val="center"/>
          </w:tcPr>
          <w:p w14:paraId="3E31C905">
            <w:pPr>
              <w:pStyle w:val="179"/>
              <w:bidi w:val="0"/>
              <w:jc w:val="center"/>
              <w:rPr>
                <w:rFonts w:hint="eastAsia"/>
                <w:lang w:val="en-US" w:eastAsia="zh-CN"/>
              </w:rPr>
            </w:pPr>
          </w:p>
        </w:tc>
        <w:tc>
          <w:tcPr>
            <w:tcW w:w="996" w:type="pct"/>
            <w:vAlign w:val="center"/>
          </w:tcPr>
          <w:p w14:paraId="7542B2B2">
            <w:pPr>
              <w:pStyle w:val="179"/>
              <w:bidi w:val="0"/>
              <w:jc w:val="center"/>
              <w:rPr>
                <w:rFonts w:hint="default"/>
                <w:lang w:val="en-US" w:eastAsia="zh-CN"/>
              </w:rPr>
            </w:pPr>
            <w:r>
              <w:rPr>
                <w:rFonts w:hint="eastAsia"/>
                <w:lang w:val="en-US" w:eastAsia="zh-CN"/>
              </w:rPr>
              <w:t>温升限值</w:t>
            </w:r>
          </w:p>
        </w:tc>
        <w:tc>
          <w:tcPr>
            <w:tcW w:w="644" w:type="pct"/>
            <w:vAlign w:val="center"/>
          </w:tcPr>
          <w:p w14:paraId="1E7BB947">
            <w:pPr>
              <w:pStyle w:val="179"/>
              <w:bidi w:val="0"/>
              <w:ind w:firstLine="0" w:firstLineChars="0"/>
              <w:jc w:val="center"/>
              <w:rPr>
                <w:rFonts w:hint="default"/>
                <w:lang w:val="en-US" w:eastAsia="zh-CN"/>
              </w:rPr>
            </w:pPr>
            <w:r>
              <w:rPr>
                <w:rFonts w:hint="eastAsia"/>
                <w:lang w:val="en-US" w:eastAsia="zh-CN"/>
              </w:rPr>
              <w:t>5.2.7</w:t>
            </w:r>
          </w:p>
        </w:tc>
        <w:tc>
          <w:tcPr>
            <w:tcW w:w="610" w:type="pct"/>
            <w:shd w:val="clear" w:color="auto" w:fill="auto"/>
            <w:vAlign w:val="center"/>
          </w:tcPr>
          <w:p w14:paraId="797135C9">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6.2.7</w:t>
            </w:r>
          </w:p>
        </w:tc>
        <w:tc>
          <w:tcPr>
            <w:tcW w:w="714" w:type="pct"/>
            <w:vAlign w:val="center"/>
          </w:tcPr>
          <w:p w14:paraId="098D35F9">
            <w:pPr>
              <w:pStyle w:val="179"/>
              <w:bidi w:val="0"/>
              <w:jc w:val="center"/>
              <w:rPr>
                <w:rFonts w:hint="default"/>
                <w:lang w:val="en-US" w:eastAsia="zh-CN"/>
              </w:rPr>
            </w:pPr>
            <w:r>
              <w:rPr>
                <w:rFonts w:hint="eastAsia"/>
                <w:lang w:val="en-US" w:eastAsia="zh-CN"/>
              </w:rPr>
              <w:t>—</w:t>
            </w:r>
          </w:p>
        </w:tc>
        <w:tc>
          <w:tcPr>
            <w:tcW w:w="804" w:type="pct"/>
            <w:tcBorders>
              <w:right w:val="single" w:color="auto" w:sz="8" w:space="0"/>
            </w:tcBorders>
            <w:vAlign w:val="center"/>
          </w:tcPr>
          <w:p w14:paraId="2715582A">
            <w:pPr>
              <w:pStyle w:val="179"/>
              <w:bidi w:val="0"/>
              <w:jc w:val="center"/>
              <w:rPr>
                <w:rFonts w:hint="default"/>
                <w:lang w:val="en-US" w:eastAsia="zh-CN"/>
              </w:rPr>
            </w:pPr>
            <w:r>
              <w:rPr>
                <w:rFonts w:hint="default"/>
                <w:lang w:val="en-US" w:eastAsia="zh-CN"/>
              </w:rPr>
              <w:t>√</w:t>
            </w:r>
          </w:p>
        </w:tc>
      </w:tr>
      <w:tr w14:paraId="46330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vMerge w:val="restart"/>
            <w:tcBorders>
              <w:left w:val="single" w:color="auto" w:sz="8" w:space="0"/>
            </w:tcBorders>
            <w:shd w:val="clear" w:color="auto" w:fill="auto"/>
            <w:vAlign w:val="center"/>
          </w:tcPr>
          <w:p w14:paraId="6B83A485">
            <w:pPr>
              <w:pStyle w:val="179"/>
              <w:bidi w:val="0"/>
              <w:ind w:firstLine="0" w:firstLineChars="0"/>
              <w:jc w:val="center"/>
              <w:rPr>
                <w:rFonts w:hint="default" w:ascii="宋体" w:hAnsi="Times New Roman" w:eastAsia="宋体" w:cs="Times New Roman"/>
                <w:sz w:val="18"/>
                <w:lang w:val="en-US" w:eastAsia="zh-CN" w:bidi="ar-SA"/>
              </w:rPr>
            </w:pPr>
            <w:r>
              <w:rPr>
                <w:rFonts w:hint="eastAsia" w:cs="Times New Roman"/>
                <w:sz w:val="18"/>
                <w:lang w:val="en-US" w:eastAsia="zh-CN" w:bidi="ar-SA"/>
              </w:rPr>
              <w:t>3</w:t>
            </w:r>
          </w:p>
        </w:tc>
        <w:tc>
          <w:tcPr>
            <w:tcW w:w="988" w:type="pct"/>
            <w:vMerge w:val="restart"/>
            <w:vAlign w:val="center"/>
          </w:tcPr>
          <w:p w14:paraId="7AE41593">
            <w:pPr>
              <w:pStyle w:val="179"/>
              <w:bidi w:val="0"/>
              <w:jc w:val="center"/>
              <w:rPr>
                <w:rFonts w:hint="default"/>
                <w:lang w:val="en-US" w:eastAsia="zh-CN"/>
              </w:rPr>
            </w:pPr>
            <w:r>
              <w:rPr>
                <w:rFonts w:hint="eastAsia"/>
                <w:lang w:val="en-US" w:eastAsia="zh-CN"/>
              </w:rPr>
              <w:t>密封性能</w:t>
            </w:r>
          </w:p>
        </w:tc>
        <w:tc>
          <w:tcPr>
            <w:tcW w:w="996" w:type="pct"/>
            <w:vAlign w:val="center"/>
          </w:tcPr>
          <w:p w14:paraId="5C8D2944">
            <w:pPr>
              <w:pStyle w:val="179"/>
              <w:bidi w:val="0"/>
              <w:jc w:val="center"/>
              <w:rPr>
                <w:rFonts w:hint="default"/>
                <w:lang w:val="en-US" w:eastAsia="zh-CN"/>
              </w:rPr>
            </w:pPr>
            <w:r>
              <w:rPr>
                <w:rFonts w:hint="eastAsia"/>
                <w:lang w:val="en-US" w:eastAsia="zh-CN"/>
              </w:rPr>
              <w:t>正压密封</w:t>
            </w:r>
          </w:p>
        </w:tc>
        <w:tc>
          <w:tcPr>
            <w:tcW w:w="644" w:type="pct"/>
            <w:vAlign w:val="center"/>
          </w:tcPr>
          <w:p w14:paraId="5038B9C5">
            <w:pPr>
              <w:pStyle w:val="179"/>
              <w:bidi w:val="0"/>
              <w:ind w:firstLine="0" w:firstLineChars="0"/>
              <w:jc w:val="center"/>
              <w:rPr>
                <w:rFonts w:hint="default"/>
                <w:lang w:val="en-US" w:eastAsia="zh-CN"/>
              </w:rPr>
            </w:pPr>
            <w:r>
              <w:rPr>
                <w:rFonts w:hint="eastAsia"/>
                <w:lang w:val="en-US" w:eastAsia="zh-CN"/>
              </w:rPr>
              <w:t>5.3.1</w:t>
            </w:r>
          </w:p>
        </w:tc>
        <w:tc>
          <w:tcPr>
            <w:tcW w:w="610" w:type="pct"/>
            <w:vAlign w:val="center"/>
          </w:tcPr>
          <w:p w14:paraId="3766C834">
            <w:pPr>
              <w:pStyle w:val="179"/>
              <w:bidi w:val="0"/>
              <w:jc w:val="center"/>
              <w:rPr>
                <w:rFonts w:hint="default"/>
                <w:lang w:val="en-US" w:eastAsia="zh-CN"/>
              </w:rPr>
            </w:pPr>
            <w:r>
              <w:rPr>
                <w:rFonts w:hint="eastAsia"/>
                <w:lang w:val="en-US" w:eastAsia="zh-CN"/>
              </w:rPr>
              <w:t>6.3.1</w:t>
            </w:r>
          </w:p>
        </w:tc>
        <w:tc>
          <w:tcPr>
            <w:tcW w:w="714" w:type="pct"/>
            <w:vAlign w:val="center"/>
          </w:tcPr>
          <w:p w14:paraId="01D926F9">
            <w:pPr>
              <w:pStyle w:val="179"/>
              <w:bidi w:val="0"/>
              <w:jc w:val="center"/>
              <w:rPr>
                <w:rFonts w:hint="eastAsia"/>
                <w:lang w:val="en-US" w:eastAsia="zh-CN"/>
              </w:rPr>
            </w:pPr>
            <w:r>
              <w:rPr>
                <w:rFonts w:hint="default"/>
                <w:lang w:val="en-US" w:eastAsia="zh-CN"/>
              </w:rPr>
              <w:t>√</w:t>
            </w:r>
          </w:p>
        </w:tc>
        <w:tc>
          <w:tcPr>
            <w:tcW w:w="804" w:type="pct"/>
            <w:tcBorders>
              <w:right w:val="single" w:color="auto" w:sz="8" w:space="0"/>
            </w:tcBorders>
            <w:vAlign w:val="center"/>
          </w:tcPr>
          <w:p w14:paraId="050AEAA9">
            <w:pPr>
              <w:pStyle w:val="179"/>
              <w:bidi w:val="0"/>
              <w:jc w:val="center"/>
              <w:rPr>
                <w:rFonts w:hint="default" w:ascii="Times New Roman" w:hAnsi="Times New Roman" w:cs="Times New Roman"/>
              </w:rPr>
            </w:pPr>
            <w:r>
              <w:rPr>
                <w:rFonts w:hint="default"/>
                <w:lang w:val="en-US" w:eastAsia="zh-CN"/>
              </w:rPr>
              <w:t>√</w:t>
            </w:r>
          </w:p>
        </w:tc>
      </w:tr>
      <w:tr w14:paraId="30E71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 w:hRule="atLeast"/>
        </w:trPr>
        <w:tc>
          <w:tcPr>
            <w:tcW w:w="242" w:type="pct"/>
            <w:vMerge w:val="continue"/>
            <w:tcBorders>
              <w:left w:val="single" w:color="auto" w:sz="8" w:space="0"/>
            </w:tcBorders>
            <w:shd w:val="clear" w:color="auto" w:fill="auto"/>
            <w:vAlign w:val="center"/>
          </w:tcPr>
          <w:p w14:paraId="24F0986D">
            <w:pPr>
              <w:pStyle w:val="179"/>
              <w:bidi w:val="0"/>
              <w:ind w:firstLine="0" w:firstLineChars="0"/>
              <w:jc w:val="center"/>
              <w:rPr>
                <w:rFonts w:hint="eastAsia" w:cs="Times New Roman"/>
                <w:sz w:val="18"/>
                <w:lang w:val="en-US" w:eastAsia="zh-CN" w:bidi="ar-SA"/>
              </w:rPr>
            </w:pPr>
          </w:p>
        </w:tc>
        <w:tc>
          <w:tcPr>
            <w:tcW w:w="988" w:type="pct"/>
            <w:vMerge w:val="continue"/>
            <w:vAlign w:val="center"/>
          </w:tcPr>
          <w:p w14:paraId="63818117">
            <w:pPr>
              <w:pStyle w:val="179"/>
              <w:bidi w:val="0"/>
              <w:jc w:val="center"/>
              <w:rPr>
                <w:rFonts w:hint="eastAsia"/>
                <w:lang w:val="en-US" w:eastAsia="zh-CN"/>
              </w:rPr>
            </w:pPr>
          </w:p>
        </w:tc>
        <w:tc>
          <w:tcPr>
            <w:tcW w:w="996" w:type="pct"/>
            <w:vAlign w:val="center"/>
          </w:tcPr>
          <w:p w14:paraId="4AEA0B73">
            <w:pPr>
              <w:pStyle w:val="179"/>
              <w:bidi w:val="0"/>
              <w:jc w:val="center"/>
              <w:rPr>
                <w:rFonts w:hint="default"/>
                <w:lang w:val="en-US" w:eastAsia="zh-CN"/>
              </w:rPr>
            </w:pPr>
            <w:r>
              <w:rPr>
                <w:rFonts w:hint="eastAsia"/>
                <w:lang w:val="en-US" w:eastAsia="zh-CN"/>
              </w:rPr>
              <w:t>正空密封</w:t>
            </w:r>
          </w:p>
        </w:tc>
        <w:tc>
          <w:tcPr>
            <w:tcW w:w="644" w:type="pct"/>
            <w:vAlign w:val="center"/>
          </w:tcPr>
          <w:p w14:paraId="1DE1DC52">
            <w:pPr>
              <w:pStyle w:val="179"/>
              <w:bidi w:val="0"/>
              <w:ind w:firstLine="0" w:firstLineChars="0"/>
              <w:jc w:val="center"/>
              <w:rPr>
                <w:rFonts w:hint="default"/>
                <w:lang w:val="en-US" w:eastAsia="zh-CN"/>
              </w:rPr>
            </w:pPr>
            <w:r>
              <w:rPr>
                <w:rFonts w:hint="eastAsia"/>
                <w:lang w:val="en-US" w:eastAsia="zh-CN"/>
              </w:rPr>
              <w:t>5.3.2</w:t>
            </w:r>
          </w:p>
        </w:tc>
        <w:tc>
          <w:tcPr>
            <w:tcW w:w="610" w:type="pct"/>
            <w:vAlign w:val="center"/>
          </w:tcPr>
          <w:p w14:paraId="4B709A2A">
            <w:pPr>
              <w:pStyle w:val="179"/>
              <w:bidi w:val="0"/>
              <w:jc w:val="center"/>
              <w:rPr>
                <w:rFonts w:hint="default"/>
                <w:lang w:val="en-US" w:eastAsia="zh-CN"/>
              </w:rPr>
            </w:pPr>
            <w:r>
              <w:rPr>
                <w:rFonts w:hint="eastAsia"/>
                <w:lang w:val="en-US" w:eastAsia="zh-CN"/>
              </w:rPr>
              <w:t>6.3.2</w:t>
            </w:r>
          </w:p>
        </w:tc>
        <w:tc>
          <w:tcPr>
            <w:tcW w:w="714" w:type="pct"/>
            <w:vAlign w:val="center"/>
          </w:tcPr>
          <w:p w14:paraId="10F70DE8">
            <w:pPr>
              <w:pStyle w:val="179"/>
              <w:bidi w:val="0"/>
              <w:jc w:val="center"/>
              <w:rPr>
                <w:rFonts w:hint="default"/>
                <w:lang w:val="en-US" w:eastAsia="zh-CN"/>
              </w:rPr>
            </w:pPr>
            <w:r>
              <w:rPr>
                <w:rFonts w:hint="default"/>
                <w:lang w:val="en-US" w:eastAsia="zh-CN"/>
              </w:rPr>
              <w:t>√</w:t>
            </w:r>
          </w:p>
        </w:tc>
        <w:tc>
          <w:tcPr>
            <w:tcW w:w="804" w:type="pct"/>
            <w:tcBorders>
              <w:right w:val="single" w:color="auto" w:sz="8" w:space="0"/>
            </w:tcBorders>
            <w:vAlign w:val="center"/>
          </w:tcPr>
          <w:p w14:paraId="31D2A3F7">
            <w:pPr>
              <w:pStyle w:val="179"/>
              <w:bidi w:val="0"/>
              <w:jc w:val="center"/>
              <w:rPr>
                <w:rFonts w:hint="default"/>
                <w:lang w:val="en-US" w:eastAsia="zh-CN"/>
              </w:rPr>
            </w:pPr>
            <w:r>
              <w:rPr>
                <w:rFonts w:hint="default"/>
                <w:lang w:val="en-US" w:eastAsia="zh-CN"/>
              </w:rPr>
              <w:t>√</w:t>
            </w:r>
          </w:p>
        </w:tc>
      </w:tr>
      <w:tr w14:paraId="4AF7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shd w:val="clear" w:color="auto" w:fill="auto"/>
            <w:vAlign w:val="center"/>
          </w:tcPr>
          <w:p w14:paraId="089EAA3F">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4</w:t>
            </w:r>
          </w:p>
        </w:tc>
        <w:tc>
          <w:tcPr>
            <w:tcW w:w="1984" w:type="pct"/>
            <w:gridSpan w:val="2"/>
            <w:vAlign w:val="center"/>
          </w:tcPr>
          <w:p w14:paraId="7F9C028F">
            <w:pPr>
              <w:pStyle w:val="179"/>
              <w:bidi w:val="0"/>
              <w:jc w:val="center"/>
              <w:rPr>
                <w:rFonts w:hint="default"/>
                <w:lang w:val="en-US" w:eastAsia="zh-CN"/>
              </w:rPr>
            </w:pPr>
            <w:r>
              <w:rPr>
                <w:rFonts w:hint="eastAsia"/>
                <w:lang w:val="en-US" w:eastAsia="zh-CN"/>
              </w:rPr>
              <w:t>绝缘油</w:t>
            </w:r>
          </w:p>
        </w:tc>
        <w:tc>
          <w:tcPr>
            <w:tcW w:w="644" w:type="pct"/>
            <w:vAlign w:val="center"/>
          </w:tcPr>
          <w:p w14:paraId="0A3F8692">
            <w:pPr>
              <w:pStyle w:val="179"/>
              <w:bidi w:val="0"/>
              <w:ind w:firstLine="0" w:firstLineChars="0"/>
              <w:jc w:val="center"/>
              <w:rPr>
                <w:rFonts w:hint="default"/>
                <w:lang w:val="en-US" w:eastAsia="zh-CN"/>
              </w:rPr>
            </w:pPr>
            <w:r>
              <w:rPr>
                <w:rFonts w:hint="eastAsia"/>
                <w:lang w:val="en-US" w:eastAsia="zh-CN"/>
              </w:rPr>
              <w:t>5.4</w:t>
            </w:r>
          </w:p>
        </w:tc>
        <w:tc>
          <w:tcPr>
            <w:tcW w:w="610" w:type="pct"/>
            <w:vAlign w:val="center"/>
          </w:tcPr>
          <w:p w14:paraId="7360D62C">
            <w:pPr>
              <w:pStyle w:val="179"/>
              <w:bidi w:val="0"/>
              <w:jc w:val="center"/>
              <w:rPr>
                <w:rFonts w:hint="default"/>
                <w:lang w:val="en-US" w:eastAsia="zh-CN"/>
              </w:rPr>
            </w:pPr>
            <w:r>
              <w:rPr>
                <w:rFonts w:hint="eastAsia"/>
                <w:lang w:val="en-US" w:eastAsia="zh-CN"/>
              </w:rPr>
              <w:t>6.4</w:t>
            </w:r>
          </w:p>
        </w:tc>
        <w:tc>
          <w:tcPr>
            <w:tcW w:w="714" w:type="pct"/>
            <w:vAlign w:val="center"/>
          </w:tcPr>
          <w:p w14:paraId="58BB9C67">
            <w:pPr>
              <w:pStyle w:val="179"/>
              <w:bidi w:val="0"/>
              <w:jc w:val="center"/>
              <w:rPr>
                <w:rFonts w:hint="eastAsia"/>
                <w:lang w:val="en-US" w:eastAsia="zh-CN"/>
              </w:rPr>
            </w:pPr>
            <w:r>
              <w:rPr>
                <w:rFonts w:hint="default"/>
                <w:lang w:val="en-US" w:eastAsia="zh-CN"/>
              </w:rPr>
              <w:t>√</w:t>
            </w:r>
          </w:p>
        </w:tc>
        <w:tc>
          <w:tcPr>
            <w:tcW w:w="804" w:type="pct"/>
            <w:tcBorders>
              <w:right w:val="single" w:color="auto" w:sz="8" w:space="0"/>
            </w:tcBorders>
            <w:vAlign w:val="center"/>
          </w:tcPr>
          <w:p w14:paraId="27ED207F">
            <w:pPr>
              <w:pStyle w:val="179"/>
              <w:bidi w:val="0"/>
              <w:jc w:val="center"/>
              <w:rPr>
                <w:rFonts w:hint="default" w:ascii="Times New Roman" w:hAnsi="Times New Roman" w:cs="Times New Roman"/>
              </w:rPr>
            </w:pPr>
            <w:r>
              <w:rPr>
                <w:rFonts w:hint="default"/>
                <w:lang w:val="en-US" w:eastAsia="zh-CN"/>
              </w:rPr>
              <w:t>√</w:t>
            </w:r>
          </w:p>
        </w:tc>
      </w:tr>
      <w:tr w14:paraId="37207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shd w:val="clear" w:color="auto" w:fill="auto"/>
            <w:vAlign w:val="center"/>
          </w:tcPr>
          <w:p w14:paraId="7D69B94E">
            <w:pPr>
              <w:pStyle w:val="179"/>
              <w:bidi w:val="0"/>
              <w:ind w:firstLine="0" w:firstLineChars="0"/>
              <w:jc w:val="center"/>
              <w:rPr>
                <w:rFonts w:hint="default"/>
                <w:lang w:val="en-US" w:eastAsia="zh-CN"/>
              </w:rPr>
            </w:pPr>
            <w:r>
              <w:rPr>
                <w:rFonts w:hint="eastAsia"/>
                <w:lang w:val="en-US" w:eastAsia="zh-CN"/>
              </w:rPr>
              <w:t>5</w:t>
            </w:r>
          </w:p>
        </w:tc>
        <w:tc>
          <w:tcPr>
            <w:tcW w:w="1984" w:type="pct"/>
            <w:gridSpan w:val="2"/>
            <w:vAlign w:val="center"/>
          </w:tcPr>
          <w:p w14:paraId="4CC2D3A7">
            <w:pPr>
              <w:pStyle w:val="179"/>
              <w:bidi w:val="0"/>
              <w:jc w:val="center"/>
              <w:rPr>
                <w:rFonts w:hint="eastAsia"/>
                <w:lang w:val="en-US" w:eastAsia="zh-CN"/>
              </w:rPr>
            </w:pPr>
            <w:r>
              <w:rPr>
                <w:rFonts w:hint="eastAsia"/>
                <w:highlight w:val="none"/>
                <w:lang w:val="en-US" w:eastAsia="zh-CN"/>
              </w:rPr>
              <w:t>阻燃性能</w:t>
            </w:r>
          </w:p>
        </w:tc>
        <w:tc>
          <w:tcPr>
            <w:tcW w:w="644" w:type="pct"/>
            <w:vAlign w:val="center"/>
          </w:tcPr>
          <w:p w14:paraId="0E029C73">
            <w:pPr>
              <w:pStyle w:val="179"/>
              <w:bidi w:val="0"/>
              <w:ind w:firstLine="0" w:firstLineChars="0"/>
              <w:jc w:val="center"/>
              <w:rPr>
                <w:rFonts w:hint="default"/>
                <w:lang w:val="en-US" w:eastAsia="zh-CN"/>
              </w:rPr>
            </w:pPr>
            <w:r>
              <w:rPr>
                <w:rFonts w:hint="eastAsia"/>
                <w:lang w:val="en-US" w:eastAsia="zh-CN"/>
              </w:rPr>
              <w:t>5.5</w:t>
            </w:r>
          </w:p>
        </w:tc>
        <w:tc>
          <w:tcPr>
            <w:tcW w:w="610" w:type="pct"/>
            <w:vAlign w:val="center"/>
          </w:tcPr>
          <w:p w14:paraId="50DB6EA6">
            <w:pPr>
              <w:pStyle w:val="179"/>
              <w:bidi w:val="0"/>
              <w:jc w:val="center"/>
              <w:rPr>
                <w:rFonts w:hint="default"/>
                <w:lang w:val="en-US" w:eastAsia="zh-CN"/>
              </w:rPr>
            </w:pPr>
            <w:r>
              <w:rPr>
                <w:rFonts w:hint="eastAsia"/>
                <w:lang w:val="en-US" w:eastAsia="zh-CN"/>
              </w:rPr>
              <w:t>6.5</w:t>
            </w:r>
          </w:p>
        </w:tc>
        <w:tc>
          <w:tcPr>
            <w:tcW w:w="714" w:type="pct"/>
            <w:vAlign w:val="center"/>
          </w:tcPr>
          <w:p w14:paraId="556AB452">
            <w:pPr>
              <w:pStyle w:val="179"/>
              <w:bidi w:val="0"/>
              <w:jc w:val="center"/>
              <w:rPr>
                <w:rFonts w:hint="eastAsia"/>
                <w:lang w:val="en-US" w:eastAsia="zh-CN"/>
              </w:rPr>
            </w:pPr>
            <w:r>
              <w:rPr>
                <w:rFonts w:hint="eastAsia"/>
                <w:lang w:val="en-US" w:eastAsia="zh-CN"/>
              </w:rPr>
              <w:t>—</w:t>
            </w:r>
          </w:p>
        </w:tc>
        <w:tc>
          <w:tcPr>
            <w:tcW w:w="804" w:type="pct"/>
            <w:tcBorders>
              <w:right w:val="single" w:color="auto" w:sz="8" w:space="0"/>
            </w:tcBorders>
            <w:vAlign w:val="center"/>
          </w:tcPr>
          <w:p w14:paraId="3BD75D71">
            <w:pPr>
              <w:pStyle w:val="179"/>
              <w:bidi w:val="0"/>
              <w:jc w:val="center"/>
              <w:rPr>
                <w:rFonts w:hint="default"/>
                <w:lang w:val="en-US" w:eastAsia="zh-CN"/>
              </w:rPr>
            </w:pPr>
            <w:r>
              <w:rPr>
                <w:rFonts w:hint="default"/>
                <w:lang w:val="en-US" w:eastAsia="zh-CN"/>
              </w:rPr>
              <w:t>√</w:t>
            </w:r>
          </w:p>
        </w:tc>
      </w:tr>
      <w:tr w14:paraId="7C23B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shd w:val="clear" w:color="auto" w:fill="auto"/>
            <w:vAlign w:val="center"/>
          </w:tcPr>
          <w:p w14:paraId="575FEDEA">
            <w:pPr>
              <w:pStyle w:val="179"/>
              <w:bidi w:val="0"/>
              <w:ind w:firstLine="0" w:firstLineChars="0"/>
              <w:jc w:val="center"/>
              <w:rPr>
                <w:rFonts w:hint="default"/>
                <w:lang w:val="en-US" w:eastAsia="zh-CN"/>
              </w:rPr>
            </w:pPr>
            <w:r>
              <w:rPr>
                <w:rFonts w:hint="eastAsia"/>
                <w:lang w:val="en-US" w:eastAsia="zh-CN"/>
              </w:rPr>
              <w:t>6</w:t>
            </w:r>
          </w:p>
        </w:tc>
        <w:tc>
          <w:tcPr>
            <w:tcW w:w="1984" w:type="pct"/>
            <w:gridSpan w:val="2"/>
            <w:vAlign w:val="center"/>
          </w:tcPr>
          <w:p w14:paraId="63B9B84B">
            <w:pPr>
              <w:pStyle w:val="179"/>
              <w:bidi w:val="0"/>
              <w:jc w:val="center"/>
              <w:rPr>
                <w:rFonts w:hint="default"/>
                <w:highlight w:val="none"/>
                <w:lang w:val="en-US" w:eastAsia="zh-CN"/>
              </w:rPr>
            </w:pPr>
            <w:r>
              <w:rPr>
                <w:rFonts w:hint="eastAsia"/>
                <w:highlight w:val="none"/>
                <w:lang w:val="en-US" w:eastAsia="zh-CN"/>
              </w:rPr>
              <w:t>防护等级</w:t>
            </w:r>
          </w:p>
        </w:tc>
        <w:tc>
          <w:tcPr>
            <w:tcW w:w="644" w:type="pct"/>
            <w:vAlign w:val="center"/>
          </w:tcPr>
          <w:p w14:paraId="51E896BB">
            <w:pPr>
              <w:pStyle w:val="179"/>
              <w:bidi w:val="0"/>
              <w:ind w:firstLine="0" w:firstLineChars="0"/>
              <w:jc w:val="center"/>
              <w:rPr>
                <w:rFonts w:hint="default"/>
                <w:lang w:val="en-US" w:eastAsia="zh-CN"/>
              </w:rPr>
            </w:pPr>
            <w:r>
              <w:rPr>
                <w:rFonts w:hint="eastAsia"/>
                <w:lang w:val="en-US" w:eastAsia="zh-CN"/>
              </w:rPr>
              <w:t>5.6</w:t>
            </w:r>
          </w:p>
        </w:tc>
        <w:tc>
          <w:tcPr>
            <w:tcW w:w="610" w:type="pct"/>
            <w:vAlign w:val="center"/>
          </w:tcPr>
          <w:p w14:paraId="7A81D076">
            <w:pPr>
              <w:pStyle w:val="179"/>
              <w:bidi w:val="0"/>
              <w:jc w:val="center"/>
              <w:rPr>
                <w:rFonts w:hint="default"/>
                <w:lang w:val="en-US" w:eastAsia="zh-CN"/>
              </w:rPr>
            </w:pPr>
            <w:r>
              <w:rPr>
                <w:rFonts w:hint="eastAsia"/>
                <w:lang w:val="en-US" w:eastAsia="zh-CN"/>
              </w:rPr>
              <w:t>6.6</w:t>
            </w:r>
          </w:p>
        </w:tc>
        <w:tc>
          <w:tcPr>
            <w:tcW w:w="714" w:type="pct"/>
            <w:vAlign w:val="center"/>
          </w:tcPr>
          <w:p w14:paraId="65B23CDD">
            <w:pPr>
              <w:pStyle w:val="179"/>
              <w:bidi w:val="0"/>
              <w:jc w:val="center"/>
              <w:rPr>
                <w:rFonts w:hint="eastAsia"/>
                <w:lang w:val="en-US" w:eastAsia="zh-CN"/>
              </w:rPr>
            </w:pPr>
            <w:r>
              <w:rPr>
                <w:rFonts w:hint="eastAsia"/>
                <w:lang w:val="en-US" w:eastAsia="zh-CN"/>
              </w:rPr>
              <w:t>—</w:t>
            </w:r>
          </w:p>
        </w:tc>
        <w:tc>
          <w:tcPr>
            <w:tcW w:w="804" w:type="pct"/>
            <w:tcBorders>
              <w:right w:val="single" w:color="auto" w:sz="8" w:space="0"/>
            </w:tcBorders>
            <w:vAlign w:val="center"/>
          </w:tcPr>
          <w:p w14:paraId="67B27C60">
            <w:pPr>
              <w:pStyle w:val="179"/>
              <w:bidi w:val="0"/>
              <w:jc w:val="center"/>
              <w:rPr>
                <w:rFonts w:hint="default"/>
                <w:lang w:val="en-US" w:eastAsia="zh-CN"/>
              </w:rPr>
            </w:pPr>
            <w:r>
              <w:rPr>
                <w:rFonts w:hint="default"/>
                <w:lang w:val="en-US" w:eastAsia="zh-CN"/>
              </w:rPr>
              <w:t>√</w:t>
            </w:r>
          </w:p>
        </w:tc>
      </w:tr>
      <w:tr w14:paraId="7F67F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shd w:val="clear" w:color="auto" w:fill="auto"/>
            <w:vAlign w:val="center"/>
          </w:tcPr>
          <w:p w14:paraId="09279B25">
            <w:pPr>
              <w:pStyle w:val="179"/>
              <w:bidi w:val="0"/>
              <w:ind w:firstLine="0" w:firstLineChars="0"/>
              <w:jc w:val="center"/>
              <w:rPr>
                <w:rFonts w:hint="default"/>
                <w:lang w:val="en-US" w:eastAsia="zh-CN"/>
              </w:rPr>
            </w:pPr>
            <w:r>
              <w:rPr>
                <w:rFonts w:hint="eastAsia"/>
                <w:lang w:val="en-US" w:eastAsia="zh-CN"/>
              </w:rPr>
              <w:t>7</w:t>
            </w:r>
          </w:p>
        </w:tc>
        <w:tc>
          <w:tcPr>
            <w:tcW w:w="1984" w:type="pct"/>
            <w:gridSpan w:val="2"/>
            <w:vAlign w:val="center"/>
          </w:tcPr>
          <w:p w14:paraId="58A46EA3">
            <w:pPr>
              <w:pStyle w:val="179"/>
              <w:bidi w:val="0"/>
              <w:jc w:val="center"/>
              <w:rPr>
                <w:rFonts w:hint="default"/>
                <w:highlight w:val="none"/>
                <w:lang w:val="en-US" w:eastAsia="zh-CN"/>
              </w:rPr>
            </w:pPr>
            <w:r>
              <w:rPr>
                <w:rFonts w:hint="eastAsia"/>
                <w:highlight w:val="none"/>
                <w:lang w:val="en-US" w:eastAsia="zh-CN"/>
              </w:rPr>
              <w:t>噪声</w:t>
            </w:r>
          </w:p>
        </w:tc>
        <w:tc>
          <w:tcPr>
            <w:tcW w:w="644" w:type="pct"/>
            <w:vAlign w:val="center"/>
          </w:tcPr>
          <w:p w14:paraId="23DF24E8">
            <w:pPr>
              <w:pStyle w:val="179"/>
              <w:bidi w:val="0"/>
              <w:ind w:firstLine="0" w:firstLineChars="0"/>
              <w:jc w:val="center"/>
              <w:rPr>
                <w:rFonts w:hint="default"/>
                <w:lang w:val="en-US" w:eastAsia="zh-CN"/>
              </w:rPr>
            </w:pPr>
            <w:r>
              <w:rPr>
                <w:rFonts w:hint="eastAsia"/>
                <w:lang w:val="en-US" w:eastAsia="zh-CN"/>
              </w:rPr>
              <w:t>5.7</w:t>
            </w:r>
          </w:p>
        </w:tc>
        <w:tc>
          <w:tcPr>
            <w:tcW w:w="610" w:type="pct"/>
            <w:vAlign w:val="center"/>
          </w:tcPr>
          <w:p w14:paraId="797DE748">
            <w:pPr>
              <w:pStyle w:val="179"/>
              <w:bidi w:val="0"/>
              <w:jc w:val="center"/>
              <w:rPr>
                <w:rFonts w:hint="default"/>
                <w:lang w:val="en-US" w:eastAsia="zh-CN"/>
              </w:rPr>
            </w:pPr>
            <w:r>
              <w:rPr>
                <w:rFonts w:hint="eastAsia"/>
                <w:lang w:val="en-US" w:eastAsia="zh-CN"/>
              </w:rPr>
              <w:t>6.7</w:t>
            </w:r>
          </w:p>
        </w:tc>
        <w:tc>
          <w:tcPr>
            <w:tcW w:w="714" w:type="pct"/>
            <w:vAlign w:val="center"/>
          </w:tcPr>
          <w:p w14:paraId="0D332567">
            <w:pPr>
              <w:pStyle w:val="179"/>
              <w:bidi w:val="0"/>
              <w:jc w:val="center"/>
              <w:rPr>
                <w:rFonts w:hint="eastAsia"/>
                <w:lang w:val="en-US" w:eastAsia="zh-CN"/>
              </w:rPr>
            </w:pPr>
            <w:r>
              <w:rPr>
                <w:rFonts w:hint="eastAsia"/>
                <w:lang w:val="en-US" w:eastAsia="zh-CN"/>
              </w:rPr>
              <w:t>—</w:t>
            </w:r>
          </w:p>
        </w:tc>
        <w:tc>
          <w:tcPr>
            <w:tcW w:w="804" w:type="pct"/>
            <w:tcBorders>
              <w:right w:val="single" w:color="auto" w:sz="8" w:space="0"/>
            </w:tcBorders>
            <w:vAlign w:val="center"/>
          </w:tcPr>
          <w:p w14:paraId="7773BCCC">
            <w:pPr>
              <w:pStyle w:val="179"/>
              <w:bidi w:val="0"/>
              <w:jc w:val="center"/>
              <w:rPr>
                <w:rFonts w:hint="default"/>
                <w:lang w:val="en-US" w:eastAsia="zh-CN"/>
              </w:rPr>
            </w:pPr>
            <w:r>
              <w:rPr>
                <w:rFonts w:hint="default"/>
                <w:lang w:val="en-US" w:eastAsia="zh-CN"/>
              </w:rPr>
              <w:t>√</w:t>
            </w:r>
          </w:p>
        </w:tc>
      </w:tr>
      <w:tr w14:paraId="4A15D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shd w:val="clear" w:color="auto" w:fill="auto"/>
            <w:vAlign w:val="center"/>
          </w:tcPr>
          <w:p w14:paraId="68251118">
            <w:pPr>
              <w:pStyle w:val="179"/>
              <w:bidi w:val="0"/>
              <w:ind w:firstLine="0" w:firstLineChars="0"/>
              <w:jc w:val="center"/>
              <w:rPr>
                <w:rFonts w:hint="default"/>
                <w:lang w:val="en-US" w:eastAsia="zh-CN"/>
              </w:rPr>
            </w:pPr>
            <w:r>
              <w:rPr>
                <w:rFonts w:hint="eastAsia"/>
                <w:lang w:val="en-US" w:eastAsia="zh-CN"/>
              </w:rPr>
              <w:t>8</w:t>
            </w:r>
          </w:p>
        </w:tc>
        <w:tc>
          <w:tcPr>
            <w:tcW w:w="1984" w:type="pct"/>
            <w:gridSpan w:val="2"/>
            <w:vAlign w:val="center"/>
          </w:tcPr>
          <w:p w14:paraId="493FC9A7">
            <w:pPr>
              <w:pStyle w:val="179"/>
              <w:bidi w:val="0"/>
              <w:jc w:val="center"/>
              <w:rPr>
                <w:rFonts w:hint="default"/>
                <w:highlight w:val="none"/>
                <w:lang w:val="en-US" w:eastAsia="zh-CN"/>
              </w:rPr>
            </w:pPr>
            <w:r>
              <w:rPr>
                <w:rFonts w:hint="eastAsia"/>
                <w:highlight w:val="none"/>
                <w:lang w:val="en-US" w:eastAsia="zh-CN"/>
              </w:rPr>
              <w:t>抗短路能力</w:t>
            </w:r>
          </w:p>
        </w:tc>
        <w:tc>
          <w:tcPr>
            <w:tcW w:w="644" w:type="pct"/>
            <w:vAlign w:val="center"/>
          </w:tcPr>
          <w:p w14:paraId="70E21D77">
            <w:pPr>
              <w:pStyle w:val="179"/>
              <w:bidi w:val="0"/>
              <w:ind w:firstLine="0" w:firstLineChars="0"/>
              <w:jc w:val="center"/>
              <w:rPr>
                <w:rFonts w:hint="default"/>
                <w:lang w:val="en-US" w:eastAsia="zh-CN"/>
              </w:rPr>
            </w:pPr>
            <w:r>
              <w:rPr>
                <w:rFonts w:hint="eastAsia"/>
                <w:lang w:val="en-US" w:eastAsia="zh-CN"/>
              </w:rPr>
              <w:t>5.8</w:t>
            </w:r>
          </w:p>
        </w:tc>
        <w:tc>
          <w:tcPr>
            <w:tcW w:w="610" w:type="pct"/>
            <w:vAlign w:val="center"/>
          </w:tcPr>
          <w:p w14:paraId="04678AFB">
            <w:pPr>
              <w:pStyle w:val="179"/>
              <w:bidi w:val="0"/>
              <w:jc w:val="center"/>
              <w:rPr>
                <w:rFonts w:hint="default"/>
                <w:lang w:val="en-US" w:eastAsia="zh-CN"/>
              </w:rPr>
            </w:pPr>
            <w:r>
              <w:rPr>
                <w:rFonts w:hint="eastAsia"/>
                <w:lang w:val="en-US" w:eastAsia="zh-CN"/>
              </w:rPr>
              <w:t>6.8</w:t>
            </w:r>
          </w:p>
        </w:tc>
        <w:tc>
          <w:tcPr>
            <w:tcW w:w="714" w:type="pct"/>
            <w:vAlign w:val="center"/>
          </w:tcPr>
          <w:p w14:paraId="25F45361">
            <w:pPr>
              <w:pStyle w:val="179"/>
              <w:bidi w:val="0"/>
              <w:jc w:val="center"/>
              <w:rPr>
                <w:rFonts w:hint="eastAsia"/>
                <w:lang w:val="en-US" w:eastAsia="zh-CN"/>
              </w:rPr>
            </w:pPr>
            <w:r>
              <w:rPr>
                <w:rFonts w:hint="eastAsia"/>
                <w:lang w:val="en-US" w:eastAsia="zh-CN"/>
              </w:rPr>
              <w:t>—</w:t>
            </w:r>
          </w:p>
        </w:tc>
        <w:tc>
          <w:tcPr>
            <w:tcW w:w="804" w:type="pct"/>
            <w:tcBorders>
              <w:right w:val="single" w:color="auto" w:sz="8" w:space="0"/>
            </w:tcBorders>
            <w:vAlign w:val="center"/>
          </w:tcPr>
          <w:p w14:paraId="261A5C51">
            <w:pPr>
              <w:pStyle w:val="179"/>
              <w:bidi w:val="0"/>
              <w:jc w:val="center"/>
              <w:rPr>
                <w:rFonts w:hint="default"/>
                <w:lang w:val="en-US" w:eastAsia="zh-CN"/>
              </w:rPr>
            </w:pPr>
            <w:r>
              <w:rPr>
                <w:rFonts w:hint="default"/>
                <w:lang w:val="en-US" w:eastAsia="zh-CN"/>
              </w:rPr>
              <w:t>√</w:t>
            </w:r>
          </w:p>
        </w:tc>
      </w:tr>
      <w:tr w14:paraId="7FE1B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 w:type="pct"/>
            <w:tcBorders>
              <w:left w:val="single" w:color="auto" w:sz="8" w:space="0"/>
            </w:tcBorders>
            <w:shd w:val="clear" w:color="auto" w:fill="auto"/>
            <w:vAlign w:val="center"/>
          </w:tcPr>
          <w:p w14:paraId="70164D65">
            <w:pPr>
              <w:pStyle w:val="179"/>
              <w:bidi w:val="0"/>
              <w:ind w:firstLine="0" w:firstLineChars="0"/>
              <w:jc w:val="center"/>
              <w:rPr>
                <w:rFonts w:hint="default"/>
                <w:lang w:val="en-US" w:eastAsia="zh-CN"/>
              </w:rPr>
            </w:pPr>
            <w:r>
              <w:rPr>
                <w:rFonts w:hint="eastAsia"/>
                <w:lang w:val="en-US" w:eastAsia="zh-CN"/>
              </w:rPr>
              <w:t>9</w:t>
            </w:r>
          </w:p>
        </w:tc>
        <w:tc>
          <w:tcPr>
            <w:tcW w:w="1984" w:type="pct"/>
            <w:gridSpan w:val="2"/>
            <w:vAlign w:val="center"/>
          </w:tcPr>
          <w:p w14:paraId="3107D03C">
            <w:pPr>
              <w:pStyle w:val="179"/>
              <w:bidi w:val="0"/>
              <w:jc w:val="center"/>
              <w:rPr>
                <w:rFonts w:hint="default"/>
                <w:highlight w:val="none"/>
                <w:lang w:val="en-US" w:eastAsia="zh-CN"/>
              </w:rPr>
            </w:pPr>
            <w:r>
              <w:rPr>
                <w:rFonts w:hint="eastAsia"/>
                <w:highlight w:val="none"/>
                <w:lang w:val="en-US" w:eastAsia="zh-CN"/>
              </w:rPr>
              <w:t>智能化要求</w:t>
            </w:r>
          </w:p>
        </w:tc>
        <w:tc>
          <w:tcPr>
            <w:tcW w:w="644" w:type="pct"/>
            <w:vAlign w:val="center"/>
          </w:tcPr>
          <w:p w14:paraId="03F48E8D">
            <w:pPr>
              <w:pStyle w:val="179"/>
              <w:bidi w:val="0"/>
              <w:ind w:firstLine="0" w:firstLineChars="0"/>
              <w:jc w:val="center"/>
              <w:rPr>
                <w:rFonts w:hint="default"/>
                <w:lang w:val="en-US" w:eastAsia="zh-CN"/>
              </w:rPr>
            </w:pPr>
            <w:r>
              <w:rPr>
                <w:rFonts w:hint="eastAsia"/>
                <w:lang w:val="en-US" w:eastAsia="zh-CN"/>
              </w:rPr>
              <w:t>5.9</w:t>
            </w:r>
          </w:p>
        </w:tc>
        <w:tc>
          <w:tcPr>
            <w:tcW w:w="610" w:type="pct"/>
            <w:vAlign w:val="center"/>
          </w:tcPr>
          <w:p w14:paraId="7725EE3E">
            <w:pPr>
              <w:pStyle w:val="179"/>
              <w:bidi w:val="0"/>
              <w:jc w:val="center"/>
              <w:rPr>
                <w:rFonts w:hint="default"/>
                <w:lang w:val="en-US" w:eastAsia="zh-CN"/>
              </w:rPr>
            </w:pPr>
            <w:r>
              <w:rPr>
                <w:rFonts w:hint="eastAsia"/>
                <w:lang w:val="en-US" w:eastAsia="zh-CN"/>
              </w:rPr>
              <w:t>6.9</w:t>
            </w:r>
          </w:p>
        </w:tc>
        <w:tc>
          <w:tcPr>
            <w:tcW w:w="714" w:type="pct"/>
            <w:vAlign w:val="center"/>
          </w:tcPr>
          <w:p w14:paraId="02D2A70E">
            <w:pPr>
              <w:pStyle w:val="179"/>
              <w:bidi w:val="0"/>
              <w:jc w:val="center"/>
              <w:rPr>
                <w:rFonts w:hint="eastAsia"/>
                <w:lang w:val="en-US" w:eastAsia="zh-CN"/>
              </w:rPr>
            </w:pPr>
            <w:r>
              <w:rPr>
                <w:rFonts w:hint="default"/>
                <w:lang w:val="en-US" w:eastAsia="zh-CN"/>
              </w:rPr>
              <w:t>√</w:t>
            </w:r>
          </w:p>
        </w:tc>
        <w:tc>
          <w:tcPr>
            <w:tcW w:w="804" w:type="pct"/>
            <w:tcBorders>
              <w:right w:val="single" w:color="auto" w:sz="8" w:space="0"/>
            </w:tcBorders>
            <w:vAlign w:val="center"/>
          </w:tcPr>
          <w:p w14:paraId="612BD237">
            <w:pPr>
              <w:pStyle w:val="179"/>
              <w:bidi w:val="0"/>
              <w:jc w:val="center"/>
              <w:rPr>
                <w:rFonts w:hint="default"/>
                <w:lang w:val="en-US" w:eastAsia="zh-CN"/>
              </w:rPr>
            </w:pPr>
            <w:r>
              <w:rPr>
                <w:rFonts w:hint="default"/>
                <w:lang w:val="en-US" w:eastAsia="zh-CN"/>
              </w:rPr>
              <w:t>√</w:t>
            </w:r>
          </w:p>
        </w:tc>
      </w:tr>
      <w:tr w14:paraId="4A03E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Borders>
              <w:left w:val="single" w:color="auto" w:sz="8" w:space="0"/>
              <w:bottom w:val="single" w:color="auto" w:sz="8" w:space="0"/>
              <w:right w:val="single" w:color="auto" w:sz="8" w:space="0"/>
            </w:tcBorders>
            <w:vAlign w:val="center"/>
          </w:tcPr>
          <w:p w14:paraId="7BDC4575">
            <w:pPr>
              <w:pStyle w:val="180"/>
              <w:bidi w:val="0"/>
              <w:ind w:left="737" w:leftChars="0" w:hanging="374" w:firstLineChars="0"/>
              <w:rPr>
                <w:rFonts w:hint="default"/>
                <w:lang w:val="en-US" w:eastAsia="zh-CN"/>
              </w:rPr>
            </w:pPr>
            <w:r>
              <w:rPr>
                <w:rFonts w:hint="eastAsia"/>
                <w:lang w:val="en-US" w:eastAsia="zh-CN"/>
              </w:rPr>
              <w:t>标有“</w:t>
            </w:r>
            <w:r>
              <w:rPr>
                <w:rFonts w:hint="default"/>
                <w:lang w:val="en-US" w:eastAsia="zh-CN"/>
              </w:rPr>
              <w:t>√</w:t>
            </w:r>
            <w:r>
              <w:rPr>
                <w:rFonts w:hint="eastAsia"/>
                <w:lang w:val="en-US" w:eastAsia="zh-CN"/>
              </w:rPr>
              <w:t>”的为应做项目，标有“—”的为不需要做的项目。</w:t>
            </w:r>
          </w:p>
        </w:tc>
      </w:tr>
    </w:tbl>
    <w:p w14:paraId="305CEA1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出厂检验</w:t>
      </w:r>
    </w:p>
    <w:p w14:paraId="513A9215">
      <w:pPr>
        <w:pStyle w:val="66"/>
        <w:rPr>
          <w:rFonts w:hint="eastAsia"/>
          <w:highlight w:val="yellow"/>
          <w:lang w:val="en-US" w:eastAsia="zh-CN"/>
        </w:rPr>
      </w:pPr>
      <w:r>
        <w:rPr>
          <w:rFonts w:hint="eastAsia"/>
          <w:highlight w:val="none"/>
          <w:lang w:val="en-US" w:eastAsia="zh-CN"/>
        </w:rPr>
        <w:t>每件产品应经制造商质量检验部门检验合格后方能出厂，并附有产品合格证、使用说明，并在合格证上标明出厂日期。</w:t>
      </w:r>
    </w:p>
    <w:p w14:paraId="3AD3859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型式检验</w:t>
      </w:r>
    </w:p>
    <w:p w14:paraId="63CAC256">
      <w:pPr>
        <w:pStyle w:val="166"/>
        <w:bidi w:val="0"/>
        <w:rPr>
          <w:rFonts w:hint="eastAsia"/>
          <w:lang w:val="en-US" w:eastAsia="zh-CN"/>
        </w:rPr>
      </w:pPr>
      <w:r>
        <w:rPr>
          <w:rFonts w:hint="eastAsia"/>
          <w:lang w:val="en-US" w:eastAsia="zh-CN"/>
        </w:rPr>
        <w:t>正常生产的产品应每2年进行一次型式检验，但有下列情况之一时，应进行型式检验：</w:t>
      </w:r>
    </w:p>
    <w:p w14:paraId="051600E3">
      <w:pPr>
        <w:pStyle w:val="175"/>
        <w:numPr>
          <w:ilvl w:val="0"/>
          <w:numId w:val="42"/>
        </w:numPr>
        <w:bidi w:val="0"/>
        <w:ind w:left="851" w:leftChars="0" w:hanging="426" w:firstLineChars="0"/>
        <w:rPr>
          <w:rFonts w:hint="eastAsia"/>
          <w:lang w:val="en-US" w:eastAsia="zh-CN"/>
        </w:rPr>
      </w:pPr>
      <w:r>
        <w:rPr>
          <w:rFonts w:hint="eastAsia"/>
          <w:lang w:val="en-US" w:eastAsia="zh-CN"/>
        </w:rPr>
        <w:t>新产品试制或老产品转厂生产的定型鉴定时；</w:t>
      </w:r>
    </w:p>
    <w:p w14:paraId="1334543F">
      <w:pPr>
        <w:pStyle w:val="175"/>
        <w:numPr>
          <w:ilvl w:val="0"/>
          <w:numId w:val="42"/>
        </w:numPr>
        <w:bidi w:val="0"/>
        <w:ind w:left="851" w:leftChars="0" w:hanging="426" w:firstLineChars="0"/>
        <w:rPr>
          <w:rFonts w:hint="eastAsia"/>
          <w:lang w:val="en-US" w:eastAsia="zh-CN"/>
        </w:rPr>
      </w:pPr>
      <w:r>
        <w:rPr>
          <w:rFonts w:hint="eastAsia"/>
          <w:lang w:val="en-US" w:eastAsia="zh-CN"/>
        </w:rPr>
        <w:t>产品结构、材料、工艺、关键零部件供应商发生重大变更，可能影响产品性能时；</w:t>
      </w:r>
    </w:p>
    <w:p w14:paraId="65FC1755">
      <w:pPr>
        <w:pStyle w:val="175"/>
        <w:numPr>
          <w:ilvl w:val="0"/>
          <w:numId w:val="42"/>
        </w:numPr>
        <w:bidi w:val="0"/>
        <w:ind w:left="851" w:leftChars="0" w:hanging="426" w:firstLineChars="0"/>
        <w:rPr>
          <w:rFonts w:hint="eastAsia"/>
          <w:lang w:val="en-US" w:eastAsia="zh-CN"/>
        </w:rPr>
      </w:pPr>
      <w:r>
        <w:rPr>
          <w:rFonts w:hint="eastAsia"/>
          <w:lang w:val="en-US" w:eastAsia="zh-CN"/>
        </w:rPr>
        <w:t>产品停产1年以上，恢复生产时；</w:t>
      </w:r>
    </w:p>
    <w:p w14:paraId="58D5ED3F">
      <w:pPr>
        <w:pStyle w:val="175"/>
        <w:numPr>
          <w:ilvl w:val="0"/>
          <w:numId w:val="42"/>
        </w:numPr>
        <w:bidi w:val="0"/>
        <w:ind w:left="851" w:leftChars="0" w:hanging="426" w:firstLineChars="0"/>
        <w:rPr>
          <w:rFonts w:hint="eastAsia"/>
          <w:lang w:val="en-US" w:eastAsia="zh-CN"/>
        </w:rPr>
      </w:pPr>
      <w:r>
        <w:rPr>
          <w:rFonts w:hint="eastAsia"/>
          <w:lang w:val="en-US" w:eastAsia="zh-CN"/>
        </w:rPr>
        <w:t>出厂检验结果与上次型式检验结果有较大差异时。</w:t>
      </w:r>
    </w:p>
    <w:p w14:paraId="057EF62F">
      <w:pPr>
        <w:pStyle w:val="166"/>
        <w:bidi w:val="0"/>
        <w:rPr>
          <w:rFonts w:hint="eastAsia"/>
          <w:lang w:val="en-US" w:eastAsia="zh-CN"/>
        </w:rPr>
      </w:pPr>
      <w:r>
        <w:rPr>
          <w:rFonts w:hint="eastAsia"/>
          <w:lang w:val="en-US" w:eastAsia="zh-CN"/>
        </w:rPr>
        <w:t>型式检验的样品，应从出厂检验合格的产品中随机抽取1台。</w:t>
      </w:r>
    </w:p>
    <w:p w14:paraId="75F7657D">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判定规则</w:t>
      </w:r>
    </w:p>
    <w:p w14:paraId="69F8CFE4">
      <w:pPr>
        <w:pStyle w:val="166"/>
        <w:bidi w:val="0"/>
        <w:rPr>
          <w:rFonts w:hint="eastAsia"/>
          <w:lang w:val="en-US" w:eastAsia="zh-CN"/>
        </w:rPr>
      </w:pPr>
      <w:r>
        <w:rPr>
          <w:rFonts w:hint="eastAsia"/>
          <w:lang w:val="en-US" w:eastAsia="zh-CN"/>
        </w:rPr>
        <w:t>出厂检验在其全部检验项目均符合相应的指标要求时，判为出厂检验合格；出厂检验项目有一项或一项以上不符合相应的指标要求时，判为产品出厂检验不合格。</w:t>
      </w:r>
    </w:p>
    <w:p w14:paraId="5026F283">
      <w:pPr>
        <w:pStyle w:val="166"/>
        <w:bidi w:val="0"/>
        <w:rPr>
          <w:rFonts w:hint="eastAsia"/>
          <w:lang w:val="en-US" w:eastAsia="zh-CN"/>
        </w:rPr>
      </w:pPr>
      <w:r>
        <w:rPr>
          <w:rFonts w:hint="eastAsia"/>
          <w:lang w:val="en-US" w:eastAsia="zh-CN"/>
        </w:rPr>
        <w:t>型式检验中全部项目合格则判定型式检验合格，否则判定型式检验不合格。</w:t>
      </w:r>
    </w:p>
    <w:p w14:paraId="5B0231B4">
      <w:pPr>
        <w:pStyle w:val="105"/>
        <w:spacing w:before="326" w:after="326"/>
      </w:pPr>
      <w:bookmarkStart w:id="62" w:name="_Toc7938"/>
      <w:r>
        <w:rPr>
          <w:rFonts w:hint="eastAsia"/>
        </w:rPr>
        <w:t>标志、包装、运输和</w:t>
      </w:r>
      <w:r>
        <w:rPr>
          <w:rFonts w:hint="eastAsia"/>
          <w:lang w:val="en-US" w:eastAsia="zh-CN"/>
        </w:rPr>
        <w:t>贮存</w:t>
      </w:r>
      <w:bookmarkEnd w:id="62"/>
    </w:p>
    <w:p w14:paraId="12546C33">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标志</w:t>
      </w:r>
    </w:p>
    <w:p w14:paraId="2AEFDF91">
      <w:pPr>
        <w:pStyle w:val="166"/>
        <w:bidi w:val="0"/>
        <w:rPr>
          <w:rFonts w:hint="eastAsia"/>
          <w:lang w:val="en-US" w:eastAsia="zh-CN"/>
        </w:rPr>
      </w:pPr>
      <w:r>
        <w:rPr>
          <w:rFonts w:hint="eastAsia"/>
          <w:lang w:val="en-US" w:eastAsia="zh-CN"/>
        </w:rPr>
        <w:t xml:space="preserve"> 变压器应在醒目位置设置永久性铭牌，铭牌内容应清晰、牢固、不易褪色与磨损，至少包含以下内容：</w:t>
      </w:r>
    </w:p>
    <w:p w14:paraId="4F5F1137">
      <w:pPr>
        <w:pStyle w:val="175"/>
        <w:numPr>
          <w:ilvl w:val="0"/>
          <w:numId w:val="43"/>
        </w:numPr>
        <w:bidi w:val="0"/>
        <w:ind w:left="851" w:leftChars="0" w:hanging="426" w:firstLineChars="0"/>
        <w:rPr>
          <w:rFonts w:hint="default"/>
          <w:lang w:val="en-US" w:eastAsia="zh-CN"/>
        </w:rPr>
      </w:pPr>
      <w:r>
        <w:rPr>
          <w:rFonts w:hint="eastAsia"/>
          <w:lang w:val="en-US" w:eastAsia="zh-CN"/>
        </w:rPr>
        <w:t>产品名称；</w:t>
      </w:r>
    </w:p>
    <w:p w14:paraId="45D89BAE">
      <w:pPr>
        <w:pStyle w:val="175"/>
        <w:numPr>
          <w:ilvl w:val="0"/>
          <w:numId w:val="43"/>
        </w:numPr>
        <w:bidi w:val="0"/>
        <w:ind w:left="851" w:leftChars="0" w:hanging="426" w:firstLineChars="0"/>
        <w:rPr>
          <w:rFonts w:hint="default"/>
          <w:lang w:val="en-US" w:eastAsia="zh-CN"/>
        </w:rPr>
      </w:pPr>
      <w:r>
        <w:rPr>
          <w:rFonts w:hint="eastAsia"/>
          <w:lang w:val="en-US" w:eastAsia="zh-CN"/>
        </w:rPr>
        <w:t>产品型号；</w:t>
      </w:r>
    </w:p>
    <w:p w14:paraId="62022FFB">
      <w:pPr>
        <w:pStyle w:val="175"/>
        <w:numPr>
          <w:ilvl w:val="0"/>
          <w:numId w:val="43"/>
        </w:numPr>
        <w:bidi w:val="0"/>
        <w:ind w:left="851" w:leftChars="0" w:hanging="426" w:firstLineChars="0"/>
        <w:rPr>
          <w:rFonts w:hint="default"/>
          <w:lang w:val="en-US" w:eastAsia="zh-CN"/>
        </w:rPr>
      </w:pPr>
      <w:r>
        <w:rPr>
          <w:rFonts w:hint="eastAsia"/>
          <w:lang w:val="en-US" w:eastAsia="zh-CN"/>
        </w:rPr>
        <w:t>出厂编号；</w:t>
      </w:r>
    </w:p>
    <w:p w14:paraId="35B95352">
      <w:pPr>
        <w:pStyle w:val="175"/>
        <w:numPr>
          <w:ilvl w:val="0"/>
          <w:numId w:val="43"/>
        </w:numPr>
        <w:bidi w:val="0"/>
        <w:ind w:left="851" w:leftChars="0" w:hanging="426" w:firstLineChars="0"/>
        <w:rPr>
          <w:rFonts w:hint="default"/>
          <w:lang w:val="en-US" w:eastAsia="zh-CN"/>
        </w:rPr>
      </w:pPr>
      <w:r>
        <w:rPr>
          <w:rFonts w:hint="eastAsia"/>
          <w:lang w:val="en-US" w:eastAsia="zh-CN"/>
        </w:rPr>
        <w:t>额定电压；</w:t>
      </w:r>
    </w:p>
    <w:p w14:paraId="70894B4D">
      <w:pPr>
        <w:pStyle w:val="175"/>
        <w:numPr>
          <w:ilvl w:val="0"/>
          <w:numId w:val="43"/>
        </w:numPr>
        <w:bidi w:val="0"/>
        <w:ind w:left="851" w:leftChars="0" w:hanging="426" w:firstLineChars="0"/>
        <w:rPr>
          <w:rFonts w:hint="default"/>
          <w:lang w:val="en-US" w:eastAsia="zh-CN"/>
        </w:rPr>
      </w:pPr>
      <w:r>
        <w:rPr>
          <w:rFonts w:hint="eastAsia"/>
          <w:lang w:val="en-US" w:eastAsia="zh-CN"/>
        </w:rPr>
        <w:t>额定电流；</w:t>
      </w:r>
    </w:p>
    <w:p w14:paraId="61CD88B2">
      <w:pPr>
        <w:pStyle w:val="175"/>
        <w:numPr>
          <w:ilvl w:val="0"/>
          <w:numId w:val="43"/>
        </w:numPr>
        <w:bidi w:val="0"/>
        <w:ind w:left="851" w:leftChars="0" w:hanging="426" w:firstLineChars="0"/>
        <w:rPr>
          <w:rFonts w:hint="default"/>
          <w:lang w:val="en-US" w:eastAsia="zh-CN"/>
        </w:rPr>
      </w:pPr>
      <w:r>
        <w:rPr>
          <w:rFonts w:hint="eastAsia"/>
          <w:lang w:val="en-US" w:eastAsia="zh-CN"/>
        </w:rPr>
        <w:t>额定频率；</w:t>
      </w:r>
    </w:p>
    <w:p w14:paraId="41FFA791">
      <w:pPr>
        <w:pStyle w:val="175"/>
        <w:numPr>
          <w:ilvl w:val="0"/>
          <w:numId w:val="43"/>
        </w:numPr>
        <w:bidi w:val="0"/>
        <w:ind w:left="851" w:leftChars="0" w:hanging="426" w:firstLineChars="0"/>
        <w:rPr>
          <w:rFonts w:hint="default"/>
          <w:lang w:val="en-US" w:eastAsia="zh-CN"/>
        </w:rPr>
      </w:pPr>
      <w:r>
        <w:rPr>
          <w:rFonts w:hint="eastAsia"/>
          <w:lang w:val="en-US" w:eastAsia="zh-CN"/>
        </w:rPr>
        <w:t>制造单位；</w:t>
      </w:r>
      <w:bookmarkStart w:id="64" w:name="_GoBack"/>
      <w:bookmarkEnd w:id="64"/>
    </w:p>
    <w:p w14:paraId="5CBDE5B5">
      <w:pPr>
        <w:pStyle w:val="175"/>
        <w:numPr>
          <w:ilvl w:val="0"/>
          <w:numId w:val="43"/>
        </w:numPr>
        <w:bidi w:val="0"/>
        <w:ind w:left="851" w:leftChars="0" w:hanging="426" w:firstLineChars="0"/>
        <w:rPr>
          <w:rFonts w:hint="default"/>
          <w:lang w:val="en-US" w:eastAsia="zh-CN"/>
        </w:rPr>
      </w:pPr>
      <w:r>
        <w:rPr>
          <w:rFonts w:hint="eastAsia"/>
          <w:lang w:val="en-US" w:eastAsia="zh-CN"/>
        </w:rPr>
        <w:t>生产日期。</w:t>
      </w:r>
    </w:p>
    <w:p w14:paraId="7D75F0AE">
      <w:pPr>
        <w:pStyle w:val="166"/>
        <w:bidi w:val="0"/>
        <w:rPr>
          <w:rFonts w:hint="default"/>
          <w:lang w:val="en-US" w:eastAsia="zh-CN"/>
        </w:rPr>
      </w:pPr>
      <w:r>
        <w:rPr>
          <w:rFonts w:hint="default"/>
          <w:lang w:val="en-US" w:eastAsia="zh-CN"/>
        </w:rPr>
        <w:t>变压器应有明显的接地标志、高压 / 低压接线端子标志、起吊标志、重心标志，标志应符合 GB/T 191 的规定。</w:t>
      </w:r>
    </w:p>
    <w:p w14:paraId="56FE955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包装</w:t>
      </w:r>
    </w:p>
    <w:p w14:paraId="2EF1B389">
      <w:pPr>
        <w:pStyle w:val="166"/>
        <w:bidi w:val="0"/>
        <w:rPr>
          <w:rFonts w:hint="default"/>
          <w:lang w:val="en-US" w:eastAsia="zh-CN"/>
        </w:rPr>
      </w:pPr>
      <w:r>
        <w:rPr>
          <w:rFonts w:hint="eastAsia"/>
          <w:lang w:val="en-US" w:eastAsia="zh-CN"/>
        </w:rPr>
        <w:t>油浸式变压器采用封闭木箱包装，箱内用 PVC 发泡纸包裹产品主体，关键部位（套管、阀门）用泡沫塑料固定缓冲。</w:t>
      </w:r>
    </w:p>
    <w:p w14:paraId="36576F71">
      <w:pPr>
        <w:pStyle w:val="166"/>
        <w:bidi w:val="0"/>
        <w:rPr>
          <w:rFonts w:hint="default"/>
          <w:lang w:val="en-US" w:eastAsia="zh-CN"/>
        </w:rPr>
      </w:pPr>
      <w:r>
        <w:rPr>
          <w:rFonts w:hint="eastAsia"/>
          <w:lang w:val="en-US" w:eastAsia="zh-CN"/>
        </w:rPr>
        <w:t>干式变压器采用防尘防潮复合包装材料整体包裹，外壳与包装间加装防震缓冲垫，通风窗口用密封膜覆盖。</w:t>
      </w:r>
    </w:p>
    <w:p w14:paraId="54C65DC4">
      <w:pPr>
        <w:pStyle w:val="166"/>
        <w:bidi w:val="0"/>
        <w:rPr>
          <w:rFonts w:hint="default"/>
          <w:lang w:val="en-US" w:eastAsia="zh-CN"/>
        </w:rPr>
      </w:pPr>
      <w:r>
        <w:rPr>
          <w:rFonts w:hint="default"/>
          <w:lang w:val="en-US" w:eastAsia="zh-CN"/>
        </w:rPr>
        <w:t>每台产品应随箱携带完整随机文件，文件应密封防潮，至少包括：</w:t>
      </w:r>
    </w:p>
    <w:p w14:paraId="3BE9CA56">
      <w:pPr>
        <w:pStyle w:val="175"/>
        <w:numPr>
          <w:ilvl w:val="0"/>
          <w:numId w:val="44"/>
        </w:numPr>
        <w:bidi w:val="0"/>
        <w:ind w:left="851" w:leftChars="0" w:hanging="426" w:firstLineChars="0"/>
        <w:rPr>
          <w:rFonts w:hint="default"/>
          <w:lang w:val="en-US" w:eastAsia="zh-CN"/>
        </w:rPr>
      </w:pPr>
      <w:r>
        <w:rPr>
          <w:rFonts w:hint="default"/>
          <w:lang w:val="en-US" w:eastAsia="zh-CN"/>
        </w:rPr>
        <w:t>产品合格证</w:t>
      </w:r>
      <w:r>
        <w:rPr>
          <w:rFonts w:hint="eastAsia"/>
          <w:lang w:val="en-US" w:eastAsia="zh-CN"/>
        </w:rPr>
        <w:t>；</w:t>
      </w:r>
    </w:p>
    <w:p w14:paraId="6B1B2917">
      <w:pPr>
        <w:pStyle w:val="175"/>
        <w:numPr>
          <w:ilvl w:val="0"/>
          <w:numId w:val="44"/>
        </w:numPr>
        <w:bidi w:val="0"/>
        <w:ind w:left="851" w:leftChars="0" w:hanging="426" w:firstLineChars="0"/>
        <w:rPr>
          <w:rFonts w:hint="default"/>
          <w:lang w:val="en-US" w:eastAsia="zh-CN"/>
        </w:rPr>
      </w:pPr>
      <w:r>
        <w:rPr>
          <w:rFonts w:hint="default"/>
          <w:lang w:val="en-US" w:eastAsia="zh-CN"/>
        </w:rPr>
        <w:t>出厂检验报告</w:t>
      </w:r>
      <w:r>
        <w:rPr>
          <w:rFonts w:hint="eastAsia"/>
          <w:lang w:val="en-US" w:eastAsia="zh-CN"/>
        </w:rPr>
        <w:t>；</w:t>
      </w:r>
    </w:p>
    <w:p w14:paraId="6BB8EBC7">
      <w:pPr>
        <w:pStyle w:val="175"/>
        <w:numPr>
          <w:ilvl w:val="0"/>
          <w:numId w:val="44"/>
        </w:numPr>
        <w:bidi w:val="0"/>
        <w:ind w:left="851" w:leftChars="0" w:hanging="426" w:firstLineChars="0"/>
        <w:rPr>
          <w:rFonts w:hint="default"/>
          <w:lang w:val="en-US" w:eastAsia="zh-CN"/>
        </w:rPr>
      </w:pPr>
      <w:r>
        <w:rPr>
          <w:rFonts w:hint="default"/>
          <w:lang w:val="en-US" w:eastAsia="zh-CN"/>
        </w:rPr>
        <w:t>使用说明书</w:t>
      </w:r>
      <w:r>
        <w:rPr>
          <w:rFonts w:hint="eastAsia"/>
          <w:lang w:val="en-US" w:eastAsia="zh-CN"/>
        </w:rPr>
        <w:t>；</w:t>
      </w:r>
    </w:p>
    <w:p w14:paraId="19C0D339">
      <w:pPr>
        <w:pStyle w:val="175"/>
        <w:numPr>
          <w:ilvl w:val="0"/>
          <w:numId w:val="44"/>
        </w:numPr>
        <w:bidi w:val="0"/>
        <w:ind w:left="851" w:leftChars="0" w:hanging="426" w:firstLineChars="0"/>
        <w:rPr>
          <w:rFonts w:hint="default"/>
          <w:lang w:val="en-US" w:eastAsia="zh-CN"/>
        </w:rPr>
      </w:pPr>
      <w:r>
        <w:rPr>
          <w:rFonts w:hint="default"/>
          <w:lang w:val="en-US" w:eastAsia="zh-CN"/>
        </w:rPr>
        <w:t>外形尺寸图、安装基础图、接线图</w:t>
      </w:r>
      <w:r>
        <w:rPr>
          <w:rFonts w:hint="eastAsia"/>
          <w:lang w:val="en-US" w:eastAsia="zh-CN"/>
        </w:rPr>
        <w:t>；</w:t>
      </w:r>
    </w:p>
    <w:p w14:paraId="63BA963B">
      <w:pPr>
        <w:pStyle w:val="175"/>
        <w:numPr>
          <w:ilvl w:val="0"/>
          <w:numId w:val="44"/>
        </w:numPr>
        <w:bidi w:val="0"/>
        <w:ind w:left="851" w:leftChars="0" w:hanging="426" w:firstLineChars="0"/>
        <w:rPr>
          <w:rFonts w:hint="default"/>
          <w:lang w:val="en-US" w:eastAsia="zh-CN"/>
        </w:rPr>
      </w:pPr>
      <w:r>
        <w:rPr>
          <w:rFonts w:hint="default"/>
          <w:lang w:val="en-US" w:eastAsia="zh-CN"/>
        </w:rPr>
        <w:t>备品备件清单及合格证</w:t>
      </w:r>
      <w:r>
        <w:rPr>
          <w:rFonts w:hint="eastAsia"/>
          <w:lang w:val="en-US" w:eastAsia="zh-CN"/>
        </w:rPr>
        <w:t>。</w:t>
      </w:r>
    </w:p>
    <w:p w14:paraId="2B1787DE">
      <w:pPr>
        <w:pStyle w:val="166"/>
        <w:bidi w:val="0"/>
        <w:rPr>
          <w:rFonts w:hint="default"/>
          <w:lang w:val="en-US" w:eastAsia="zh-CN"/>
        </w:rPr>
      </w:pPr>
      <w:r>
        <w:rPr>
          <w:rFonts w:hint="default"/>
          <w:lang w:val="en-US" w:eastAsia="zh-CN"/>
        </w:rPr>
        <w:t>备品备件应单独包装，包含：密封胶圈、紧固件、测温元件（备用）、绝缘油取样瓶（油浸式产品），数量符合设计要求。</w:t>
      </w:r>
    </w:p>
    <w:p w14:paraId="6B40F23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运输</w:t>
      </w:r>
    </w:p>
    <w:p w14:paraId="760FBA5E">
      <w:pPr>
        <w:pStyle w:val="166"/>
        <w:bidi w:val="0"/>
        <w:rPr>
          <w:rFonts w:hint="default"/>
          <w:lang w:val="en-US" w:eastAsia="zh-CN"/>
        </w:rPr>
      </w:pPr>
      <w:r>
        <w:rPr>
          <w:rFonts w:hint="default"/>
          <w:lang w:val="en-US" w:eastAsia="zh-CN"/>
        </w:rPr>
        <w:t>产品在运输车辆上用钢丝绳或专用夹具固定牢固，与车厢接触部位垫缓冲垫，防止运输过程中位移、震动。</w:t>
      </w:r>
    </w:p>
    <w:p w14:paraId="3704B628">
      <w:pPr>
        <w:pStyle w:val="166"/>
        <w:bidi w:val="0"/>
        <w:rPr>
          <w:rFonts w:hint="default"/>
          <w:lang w:val="en-US" w:eastAsia="zh-CN"/>
        </w:rPr>
      </w:pPr>
      <w:r>
        <w:rPr>
          <w:rFonts w:hint="default"/>
          <w:lang w:val="en-US" w:eastAsia="zh-CN"/>
        </w:rPr>
        <w:t>禁止倒置、翻转产品，油浸式变压器运输过程中倾斜角度不应超过15°，避免绝缘油泄漏；干式变压器运输时应保持水平，防止绕组变形。</w:t>
      </w:r>
    </w:p>
    <w:p w14:paraId="39DDC7E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贮存</w:t>
      </w:r>
    </w:p>
    <w:p w14:paraId="09E9C4CF">
      <w:pPr>
        <w:pStyle w:val="166"/>
        <w:bidi w:val="0"/>
        <w:rPr>
          <w:rFonts w:hint="default"/>
          <w:lang w:val="en-US" w:eastAsia="zh-CN"/>
        </w:rPr>
      </w:pPr>
      <w:r>
        <w:rPr>
          <w:rFonts w:hint="default"/>
          <w:lang w:val="en-US" w:eastAsia="zh-CN"/>
        </w:rPr>
        <w:t>贮存场地地面平整、坚实，无积水，</w:t>
      </w:r>
      <w:r>
        <w:rPr>
          <w:rFonts w:hint="eastAsia"/>
          <w:lang w:val="en-US" w:eastAsia="zh-CN"/>
        </w:rPr>
        <w:t>远</w:t>
      </w:r>
      <w:r>
        <w:rPr>
          <w:rFonts w:hint="default"/>
          <w:lang w:val="en-US" w:eastAsia="zh-CN"/>
        </w:rPr>
        <w:t>离热源、火源；户外临时贮存时，需搭建防雨防晒棚。</w:t>
      </w:r>
    </w:p>
    <w:p w14:paraId="4DA6803B">
      <w:pPr>
        <w:pStyle w:val="166"/>
        <w:bidi w:val="0"/>
        <w:rPr>
          <w:rFonts w:hint="default"/>
          <w:lang w:val="en-US" w:eastAsia="zh-CN"/>
        </w:rPr>
      </w:pPr>
      <w:r>
        <w:rPr>
          <w:rFonts w:hint="default"/>
          <w:lang w:val="en-US" w:eastAsia="zh-CN"/>
        </w:rPr>
        <w:t>产品应水平放置在枕木上，枕木高度</w:t>
      </w:r>
      <w:r>
        <w:rPr>
          <w:rFonts w:hint="eastAsia" w:ascii="宋体" w:hAnsi="宋体" w:eastAsia="宋体" w:cs="宋体"/>
          <w:lang w:val="en-US" w:eastAsia="zh-CN"/>
        </w:rPr>
        <w:t>≥</w:t>
      </w:r>
      <w:r>
        <w:rPr>
          <w:rFonts w:hint="default"/>
          <w:lang w:val="en-US" w:eastAsia="zh-CN"/>
        </w:rPr>
        <w:t>100mm，间距符合安装基础图要求；多台产品贮存时，间距</w:t>
      </w:r>
      <w:r>
        <w:rPr>
          <w:rFonts w:hint="eastAsia" w:ascii="宋体" w:hAnsi="宋体" w:eastAsia="宋体" w:cs="宋体"/>
          <w:lang w:val="en-US" w:eastAsia="zh-CN"/>
        </w:rPr>
        <w:t>≥</w:t>
      </w:r>
      <w:r>
        <w:rPr>
          <w:rFonts w:hint="default"/>
          <w:lang w:val="en-US" w:eastAsia="zh-CN"/>
        </w:rPr>
        <w:t>500mm，避免阳光直射油箱及套管。</w:t>
      </w:r>
    </w:p>
    <w:p w14:paraId="58FCA3FA">
      <w:pPr>
        <w:pStyle w:val="166"/>
        <w:bidi w:val="0"/>
        <w:rPr>
          <w:rFonts w:hint="default"/>
          <w:lang w:val="en-US" w:eastAsia="zh-CN"/>
        </w:rPr>
      </w:pPr>
      <w:r>
        <w:rPr>
          <w:rFonts w:hint="default"/>
          <w:lang w:val="en-US" w:eastAsia="zh-CN"/>
        </w:rPr>
        <w:t>常规产品贮存期限不应超过 2 年；超过贮存期限的产品，出厂前需重新进行</w:t>
      </w:r>
      <w:r>
        <w:rPr>
          <w:rFonts w:hint="eastAsia"/>
          <w:lang w:val="en-US" w:eastAsia="zh-CN"/>
        </w:rPr>
        <w:t>型式</w:t>
      </w:r>
      <w:r>
        <w:rPr>
          <w:rFonts w:hint="default"/>
          <w:lang w:val="en-US" w:eastAsia="zh-CN"/>
        </w:rPr>
        <w:t>检验，合格后方可交付。</w:t>
      </w:r>
    </w:p>
    <w:bookmarkEnd w:id="28"/>
    <w:bookmarkEnd w:id="58"/>
    <w:p w14:paraId="57A05AD5">
      <w:pPr>
        <w:pStyle w:val="56"/>
        <w:ind w:firstLine="0" w:firstLineChars="0"/>
        <w:jc w:val="center"/>
      </w:pPr>
      <w:bookmarkStart w:id="63"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3"/>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default" w:eastAsia="黑体"/>
        <w:lang w:val="en-US"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default" w:eastAsia="黑体"/>
        <w:lang w:val="en-US"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default" w:eastAsia="黑体"/>
        <w:lang w:val="en-US"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B0F0F72B"/>
    <w:multiLevelType w:val="multilevel"/>
    <w:tmpl w:val="B0F0F72B"/>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
    <w:nsid w:val="BC006E5D"/>
    <w:multiLevelType w:val="multilevel"/>
    <w:tmpl w:val="BC006E5D"/>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
    <w:nsid w:val="C114A562"/>
    <w:multiLevelType w:val="multilevel"/>
    <w:tmpl w:val="C114A562"/>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4">
    <w:nsid w:val="D654F783"/>
    <w:multiLevelType w:val="multilevel"/>
    <w:tmpl w:val="D654F783"/>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5">
    <w:nsid w:val="D85007DB"/>
    <w:multiLevelType w:val="multilevel"/>
    <w:tmpl w:val="D85007DB"/>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6">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7">
    <w:nsid w:val="E3D42DD0"/>
    <w:multiLevelType w:val="multilevel"/>
    <w:tmpl w:val="E3D42DD0"/>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8">
    <w:nsid w:val="F070C034"/>
    <w:multiLevelType w:val="multilevel"/>
    <w:tmpl w:val="F070C034"/>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9">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0">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1">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2">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14">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6">
    <w:nsid w:val="176C53AC"/>
    <w:multiLevelType w:val="multilevel"/>
    <w:tmpl w:val="176C53AC"/>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9">
    <w:nsid w:val="1B383A10"/>
    <w:multiLevelType w:val="multilevel"/>
    <w:tmpl w:val="1B383A10"/>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0">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21">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2">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4B13E518"/>
    <w:multiLevelType w:val="multilevel"/>
    <w:tmpl w:val="4B13E518"/>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5">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6">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7">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8">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9">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0">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1">
    <w:nsid w:val="5F8579AC"/>
    <w:multiLevelType w:val="multilevel"/>
    <w:tmpl w:val="5F8579AC"/>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2">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33">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4">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35">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6">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7">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8">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9">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40">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41">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2">
    <w:nsid w:val="7D781E9E"/>
    <w:multiLevelType w:val="multilevel"/>
    <w:tmpl w:val="7D781E9E"/>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num w:numId="1">
    <w:abstractNumId w:val="9"/>
  </w:num>
  <w:num w:numId="2">
    <w:abstractNumId w:val="39"/>
  </w:num>
  <w:num w:numId="3">
    <w:abstractNumId w:val="14"/>
  </w:num>
  <w:num w:numId="4">
    <w:abstractNumId w:val="35"/>
  </w:num>
  <w:num w:numId="5">
    <w:abstractNumId w:val="29"/>
  </w:num>
  <w:num w:numId="6">
    <w:abstractNumId w:val="23"/>
  </w:num>
  <w:num w:numId="7">
    <w:abstractNumId w:val="18"/>
  </w:num>
  <w:num w:numId="8">
    <w:abstractNumId w:val="12"/>
  </w:num>
  <w:num w:numId="9">
    <w:abstractNumId w:val="20"/>
  </w:num>
  <w:num w:numId="10">
    <w:abstractNumId w:val="27"/>
  </w:num>
  <w:num w:numId="11">
    <w:abstractNumId w:val="37"/>
  </w:num>
  <w:num w:numId="12">
    <w:abstractNumId w:val="22"/>
  </w:num>
  <w:num w:numId="13">
    <w:abstractNumId w:val="24"/>
  </w:num>
  <w:num w:numId="14">
    <w:abstractNumId w:val="17"/>
  </w:num>
  <w:num w:numId="15">
    <w:abstractNumId w:val="30"/>
  </w:num>
  <w:num w:numId="16">
    <w:abstractNumId w:val="33"/>
  </w:num>
  <w:num w:numId="17">
    <w:abstractNumId w:val="28"/>
  </w:num>
  <w:num w:numId="18">
    <w:abstractNumId w:val="40"/>
  </w:num>
  <w:num w:numId="19">
    <w:abstractNumId w:val="26"/>
  </w:num>
  <w:num w:numId="20">
    <w:abstractNumId w:val="10"/>
  </w:num>
  <w:num w:numId="21">
    <w:abstractNumId w:val="21"/>
  </w:num>
  <w:num w:numId="22">
    <w:abstractNumId w:val="41"/>
  </w:num>
  <w:num w:numId="23">
    <w:abstractNumId w:val="32"/>
  </w:num>
  <w:num w:numId="24">
    <w:abstractNumId w:val="15"/>
  </w:num>
  <w:num w:numId="25">
    <w:abstractNumId w:val="38"/>
  </w:num>
  <w:num w:numId="26">
    <w:abstractNumId w:val="19"/>
  </w:num>
  <w:num w:numId="27">
    <w:abstractNumId w:val="11"/>
  </w:num>
  <w:num w:numId="28">
    <w:abstractNumId w:val="13"/>
  </w:num>
  <w:num w:numId="29">
    <w:abstractNumId w:val="25"/>
  </w:num>
  <w:num w:numId="30">
    <w:abstractNumId w:val="36"/>
  </w:num>
  <w:num w:numId="31">
    <w:abstractNumId w:val="34"/>
  </w:num>
  <w:num w:numId="32">
    <w:abstractNumId w:val="6"/>
  </w:num>
  <w:num w:numId="33">
    <w:abstractNumId w:val="0"/>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dit="forms" w:enforcement="1" w:cryptProviderType="rsaFull" w:cryptAlgorithmClass="hash" w:cryptAlgorithmType="typeAny" w:cryptAlgorithmSid="4" w:cryptSpinCount="0" w:hash="RPZsINp1FvLwvJSURr41wwzc3zQ=" w:salt="HyraAiVcxqAWnjWUkguTfw=="/>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387"/>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EE6"/>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0F8"/>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027"/>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543C57"/>
    <w:rsid w:val="01D06ADA"/>
    <w:rsid w:val="02E66B31"/>
    <w:rsid w:val="02F92D08"/>
    <w:rsid w:val="03C07382"/>
    <w:rsid w:val="03C54999"/>
    <w:rsid w:val="042E69E2"/>
    <w:rsid w:val="04C82992"/>
    <w:rsid w:val="04F27A0F"/>
    <w:rsid w:val="05F31C91"/>
    <w:rsid w:val="060E6ACB"/>
    <w:rsid w:val="0718750A"/>
    <w:rsid w:val="072A7934"/>
    <w:rsid w:val="07475263"/>
    <w:rsid w:val="07C1191B"/>
    <w:rsid w:val="07D23B28"/>
    <w:rsid w:val="086758C2"/>
    <w:rsid w:val="097C11D2"/>
    <w:rsid w:val="09F71624"/>
    <w:rsid w:val="0A3665F0"/>
    <w:rsid w:val="0A4A4FFC"/>
    <w:rsid w:val="0A516F86"/>
    <w:rsid w:val="0A8C6210"/>
    <w:rsid w:val="0B2E5AAF"/>
    <w:rsid w:val="0C8F1FE8"/>
    <w:rsid w:val="0D222E5C"/>
    <w:rsid w:val="0E3C7F4D"/>
    <w:rsid w:val="0E9331A5"/>
    <w:rsid w:val="0F040A6B"/>
    <w:rsid w:val="0F4F2D5A"/>
    <w:rsid w:val="0F930041"/>
    <w:rsid w:val="100A45EB"/>
    <w:rsid w:val="10463305"/>
    <w:rsid w:val="10B60D4A"/>
    <w:rsid w:val="11B8120C"/>
    <w:rsid w:val="11C6025A"/>
    <w:rsid w:val="11F272A1"/>
    <w:rsid w:val="122A4C8C"/>
    <w:rsid w:val="1283240B"/>
    <w:rsid w:val="12A165D1"/>
    <w:rsid w:val="130474EB"/>
    <w:rsid w:val="139D148E"/>
    <w:rsid w:val="141C58F1"/>
    <w:rsid w:val="14C82908"/>
    <w:rsid w:val="156404B5"/>
    <w:rsid w:val="159627D2"/>
    <w:rsid w:val="1651030E"/>
    <w:rsid w:val="16671B5C"/>
    <w:rsid w:val="17BF5E77"/>
    <w:rsid w:val="17DB7852"/>
    <w:rsid w:val="181D494B"/>
    <w:rsid w:val="196B16E7"/>
    <w:rsid w:val="19EA3331"/>
    <w:rsid w:val="1A3B37AF"/>
    <w:rsid w:val="1B1D486E"/>
    <w:rsid w:val="1B505038"/>
    <w:rsid w:val="1BDD2D6F"/>
    <w:rsid w:val="1BF16EB2"/>
    <w:rsid w:val="1C817B9F"/>
    <w:rsid w:val="1CB533A4"/>
    <w:rsid w:val="1DA578BD"/>
    <w:rsid w:val="1DAD4C5B"/>
    <w:rsid w:val="1DF75E3A"/>
    <w:rsid w:val="1E1862BA"/>
    <w:rsid w:val="1F026649"/>
    <w:rsid w:val="1F0C1276"/>
    <w:rsid w:val="1F2E743E"/>
    <w:rsid w:val="1F486752"/>
    <w:rsid w:val="1F503858"/>
    <w:rsid w:val="1F576995"/>
    <w:rsid w:val="1FBE07C2"/>
    <w:rsid w:val="20390790"/>
    <w:rsid w:val="21521B0A"/>
    <w:rsid w:val="216929AF"/>
    <w:rsid w:val="229D6DB5"/>
    <w:rsid w:val="22A04AF7"/>
    <w:rsid w:val="22C81958"/>
    <w:rsid w:val="22EE5862"/>
    <w:rsid w:val="230B6414"/>
    <w:rsid w:val="231352C9"/>
    <w:rsid w:val="2378337E"/>
    <w:rsid w:val="23E40A13"/>
    <w:rsid w:val="25494FD2"/>
    <w:rsid w:val="2573204F"/>
    <w:rsid w:val="257858B7"/>
    <w:rsid w:val="25946303"/>
    <w:rsid w:val="25C24D84"/>
    <w:rsid w:val="267C4F33"/>
    <w:rsid w:val="27315853"/>
    <w:rsid w:val="277976C4"/>
    <w:rsid w:val="288602EB"/>
    <w:rsid w:val="28AB1AFF"/>
    <w:rsid w:val="28BC03AC"/>
    <w:rsid w:val="2A152EC1"/>
    <w:rsid w:val="2A7A79DB"/>
    <w:rsid w:val="2AFB6D6E"/>
    <w:rsid w:val="2B100330"/>
    <w:rsid w:val="2B9176D3"/>
    <w:rsid w:val="2C1B2997"/>
    <w:rsid w:val="2CC47634"/>
    <w:rsid w:val="2CF972DD"/>
    <w:rsid w:val="2D0363AE"/>
    <w:rsid w:val="2D6706EB"/>
    <w:rsid w:val="2D8172D3"/>
    <w:rsid w:val="2DC86CB0"/>
    <w:rsid w:val="2E59753B"/>
    <w:rsid w:val="2E642E7C"/>
    <w:rsid w:val="2ED77149"/>
    <w:rsid w:val="2F7B047E"/>
    <w:rsid w:val="30CD2F5B"/>
    <w:rsid w:val="30CE282F"/>
    <w:rsid w:val="3264344B"/>
    <w:rsid w:val="32A44120"/>
    <w:rsid w:val="32C51A10"/>
    <w:rsid w:val="33484B1B"/>
    <w:rsid w:val="34B61F58"/>
    <w:rsid w:val="35AD62A7"/>
    <w:rsid w:val="3607389D"/>
    <w:rsid w:val="365E6403"/>
    <w:rsid w:val="36932551"/>
    <w:rsid w:val="369D517D"/>
    <w:rsid w:val="374C0952"/>
    <w:rsid w:val="38196A86"/>
    <w:rsid w:val="384358B1"/>
    <w:rsid w:val="385B709E"/>
    <w:rsid w:val="388C36FB"/>
    <w:rsid w:val="388F6D48"/>
    <w:rsid w:val="38A071A7"/>
    <w:rsid w:val="3902751A"/>
    <w:rsid w:val="390C65EA"/>
    <w:rsid w:val="39B822CE"/>
    <w:rsid w:val="3A4F49E1"/>
    <w:rsid w:val="3A791A5E"/>
    <w:rsid w:val="3B334302"/>
    <w:rsid w:val="3BA26D92"/>
    <w:rsid w:val="3BB84807"/>
    <w:rsid w:val="3C1A7270"/>
    <w:rsid w:val="3C797AF3"/>
    <w:rsid w:val="3DA70690"/>
    <w:rsid w:val="3EDE4585"/>
    <w:rsid w:val="3EF50744"/>
    <w:rsid w:val="3F6902F3"/>
    <w:rsid w:val="3FB5178A"/>
    <w:rsid w:val="40520D87"/>
    <w:rsid w:val="40A84E4B"/>
    <w:rsid w:val="42226269"/>
    <w:rsid w:val="42460060"/>
    <w:rsid w:val="42B45D29"/>
    <w:rsid w:val="42D869AD"/>
    <w:rsid w:val="42DE28AD"/>
    <w:rsid w:val="43655275"/>
    <w:rsid w:val="43B43AC3"/>
    <w:rsid w:val="449776B0"/>
    <w:rsid w:val="451C0B6B"/>
    <w:rsid w:val="45A71B75"/>
    <w:rsid w:val="468E063F"/>
    <w:rsid w:val="46D324F5"/>
    <w:rsid w:val="471D452A"/>
    <w:rsid w:val="473C453F"/>
    <w:rsid w:val="47633879"/>
    <w:rsid w:val="477626C2"/>
    <w:rsid w:val="47EA5D49"/>
    <w:rsid w:val="48007F78"/>
    <w:rsid w:val="48403BBB"/>
    <w:rsid w:val="49184B37"/>
    <w:rsid w:val="494901C7"/>
    <w:rsid w:val="49E022DA"/>
    <w:rsid w:val="4A9B332A"/>
    <w:rsid w:val="4B920BD1"/>
    <w:rsid w:val="4B9F509C"/>
    <w:rsid w:val="4BB70638"/>
    <w:rsid w:val="4BD4042E"/>
    <w:rsid w:val="4BEA4569"/>
    <w:rsid w:val="4D302450"/>
    <w:rsid w:val="4D6C7200"/>
    <w:rsid w:val="4E8F764A"/>
    <w:rsid w:val="4F0D0E5E"/>
    <w:rsid w:val="4F4E3061"/>
    <w:rsid w:val="4F624D5E"/>
    <w:rsid w:val="4F724029"/>
    <w:rsid w:val="4FC60E49"/>
    <w:rsid w:val="4FFF435B"/>
    <w:rsid w:val="50250266"/>
    <w:rsid w:val="5064378F"/>
    <w:rsid w:val="50AD3DB7"/>
    <w:rsid w:val="50B213CE"/>
    <w:rsid w:val="50EF5A05"/>
    <w:rsid w:val="50F43794"/>
    <w:rsid w:val="518C1C1F"/>
    <w:rsid w:val="5257222D"/>
    <w:rsid w:val="534F1156"/>
    <w:rsid w:val="538232D9"/>
    <w:rsid w:val="54B971CF"/>
    <w:rsid w:val="54DE6C35"/>
    <w:rsid w:val="54F00716"/>
    <w:rsid w:val="55B1434A"/>
    <w:rsid w:val="56101070"/>
    <w:rsid w:val="565D3B8A"/>
    <w:rsid w:val="57603078"/>
    <w:rsid w:val="5822341B"/>
    <w:rsid w:val="585F1E3B"/>
    <w:rsid w:val="58A07A42"/>
    <w:rsid w:val="58B959EF"/>
    <w:rsid w:val="58C56D33"/>
    <w:rsid w:val="59AC0F41"/>
    <w:rsid w:val="5A737E20"/>
    <w:rsid w:val="5B3752F1"/>
    <w:rsid w:val="5B3F5B69"/>
    <w:rsid w:val="5B562835"/>
    <w:rsid w:val="5BAD110F"/>
    <w:rsid w:val="5BF60DF4"/>
    <w:rsid w:val="5CA2679A"/>
    <w:rsid w:val="5CE24DE9"/>
    <w:rsid w:val="5D3B6C83"/>
    <w:rsid w:val="5D9E3405"/>
    <w:rsid w:val="5E512ECF"/>
    <w:rsid w:val="5EB36A3D"/>
    <w:rsid w:val="5EDC0830"/>
    <w:rsid w:val="5EED4EE2"/>
    <w:rsid w:val="5F553840"/>
    <w:rsid w:val="60D61108"/>
    <w:rsid w:val="61C176C2"/>
    <w:rsid w:val="621E0EDE"/>
    <w:rsid w:val="626B762E"/>
    <w:rsid w:val="62B114E5"/>
    <w:rsid w:val="6325595A"/>
    <w:rsid w:val="634E31D8"/>
    <w:rsid w:val="636C4406"/>
    <w:rsid w:val="64B915EA"/>
    <w:rsid w:val="64E33DF4"/>
    <w:rsid w:val="65A74E21"/>
    <w:rsid w:val="66C7577B"/>
    <w:rsid w:val="68242759"/>
    <w:rsid w:val="68F16ADF"/>
    <w:rsid w:val="693B5FAC"/>
    <w:rsid w:val="69AE49D0"/>
    <w:rsid w:val="69B33D95"/>
    <w:rsid w:val="69C67F6C"/>
    <w:rsid w:val="69C97A5C"/>
    <w:rsid w:val="6A55309E"/>
    <w:rsid w:val="6A627569"/>
    <w:rsid w:val="6A9E4A45"/>
    <w:rsid w:val="6AF56363"/>
    <w:rsid w:val="6B320A72"/>
    <w:rsid w:val="6BC30951"/>
    <w:rsid w:val="6C662DA8"/>
    <w:rsid w:val="6D147240"/>
    <w:rsid w:val="6D2D0302"/>
    <w:rsid w:val="6D4A2C62"/>
    <w:rsid w:val="6D8343C6"/>
    <w:rsid w:val="6DF36E56"/>
    <w:rsid w:val="6EA168B2"/>
    <w:rsid w:val="6EF530A1"/>
    <w:rsid w:val="6F152DFC"/>
    <w:rsid w:val="6F6D49E6"/>
    <w:rsid w:val="6FAC7C04"/>
    <w:rsid w:val="6FC35714"/>
    <w:rsid w:val="6FC6486F"/>
    <w:rsid w:val="6FD11419"/>
    <w:rsid w:val="700E61C9"/>
    <w:rsid w:val="70383246"/>
    <w:rsid w:val="710D6480"/>
    <w:rsid w:val="7189187F"/>
    <w:rsid w:val="71FA64CF"/>
    <w:rsid w:val="72565C05"/>
    <w:rsid w:val="72E871A5"/>
    <w:rsid w:val="732D6784"/>
    <w:rsid w:val="736D76AA"/>
    <w:rsid w:val="737525FE"/>
    <w:rsid w:val="73A3131E"/>
    <w:rsid w:val="73DB2866"/>
    <w:rsid w:val="75287D2D"/>
    <w:rsid w:val="75524DAA"/>
    <w:rsid w:val="758C1337"/>
    <w:rsid w:val="75D43A11"/>
    <w:rsid w:val="764D1790"/>
    <w:rsid w:val="76813875"/>
    <w:rsid w:val="76B13D52"/>
    <w:rsid w:val="771B11CB"/>
    <w:rsid w:val="77274014"/>
    <w:rsid w:val="776E4B73"/>
    <w:rsid w:val="77BB5F58"/>
    <w:rsid w:val="77FC724F"/>
    <w:rsid w:val="789D458E"/>
    <w:rsid w:val="78E24696"/>
    <w:rsid w:val="79750E46"/>
    <w:rsid w:val="79C124FE"/>
    <w:rsid w:val="7A462A03"/>
    <w:rsid w:val="7A792DD8"/>
    <w:rsid w:val="7AB67B89"/>
    <w:rsid w:val="7BCA5728"/>
    <w:rsid w:val="7D0270B5"/>
    <w:rsid w:val="7D036989"/>
    <w:rsid w:val="7D050953"/>
    <w:rsid w:val="7D32101D"/>
    <w:rsid w:val="7EA61CC2"/>
    <w:rsid w:val="7EB663A9"/>
    <w:rsid w:val="7EF93831"/>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9</Pages>
  <Words>3887</Words>
  <Characters>4576</Characters>
  <Lines>369</Lines>
  <Paragraphs>508</Paragraphs>
  <TotalTime>15</TotalTime>
  <ScaleCrop>false</ScaleCrop>
  <LinksUpToDate>false</LinksUpToDate>
  <CharactersWithSpaces>4722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2026-04-22T05:30:27Z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