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4AB6D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2ACC200">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14:paraId="037D52AB">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29.130.20</w:t>
            </w:r>
            <w:r>
              <w:rPr>
                <w:rFonts w:ascii="黑体" w:hAnsi="黑体" w:eastAsia="黑体"/>
                <w:kern w:val="0"/>
                <w:sz w:val="21"/>
                <w:szCs w:val="21"/>
              </w:rPr>
              <w:fldChar w:fldCharType="end"/>
            </w:r>
            <w:bookmarkEnd w:id="2"/>
          </w:p>
        </w:tc>
      </w:tr>
      <w:tr w14:paraId="2E878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0EACA7C">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14:paraId="046C9CF8">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K 31</w:t>
            </w:r>
            <w:r>
              <w:rPr>
                <w:rFonts w:ascii="黑体" w:hAnsi="黑体" w:eastAsia="黑体"/>
                <w:kern w:val="0"/>
                <w:sz w:val="21"/>
                <w:szCs w:val="21"/>
              </w:rPr>
              <w:fldChar w:fldCharType="end"/>
            </w:r>
            <w:bookmarkEnd w:id="3"/>
          </w:p>
        </w:tc>
      </w:tr>
    </w:tbl>
    <w:p w14:paraId="2C9E3A4E">
      <w:pPr>
        <w:pStyle w:val="55"/>
        <w:framePr w:wrap="around" w:x="1305" w:y="2269"/>
        <w:rPr>
          <w:b w:val="0"/>
          <w:bCs w:val="0"/>
          <w:w w:val="100"/>
          <w:szCs w:val="48"/>
        </w:rPr>
      </w:pPr>
      <w:bookmarkStart w:id="4" w:name="_Hlk26473981"/>
      <w:r>
        <w:rPr>
          <w:rFonts w:hint="eastAsia"/>
          <w:b w:val="0"/>
          <w:w w:val="100"/>
        </w:rPr>
        <w:t>团体</w:t>
      </w:r>
      <w:r>
        <w:rPr>
          <w:rFonts w:hint="eastAsia"/>
          <w:b w:val="0"/>
          <w:bCs w:val="0"/>
          <w:w w:val="100"/>
          <w:szCs w:val="48"/>
        </w:rPr>
        <w:t>标准</w:t>
      </w:r>
    </w:p>
    <w:bookmarkEnd w:id="4"/>
    <w:p w14:paraId="5666A950">
      <w:pPr>
        <w:pStyle w:val="59"/>
      </w:pPr>
      <w:r>
        <w:rPr>
          <w:rFonts w:hint="eastAsia"/>
        </w:rPr>
        <w:t>T/</w:t>
      </w:r>
      <w:bookmarkStart w:id="5"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5"/>
      <w:r>
        <w:t xml:space="preserve"> </w:t>
      </w:r>
      <w:r>
        <w:fldChar w:fldCharType="begin">
          <w:ffData>
            <w:name w:val="StdNo_F"/>
            <w:enabled/>
            <w:calcOnExit w:val="0"/>
            <w:textInput>
              <w:default w:val="XXXX"/>
            </w:textInput>
          </w:ffData>
        </w:fldChar>
      </w:r>
      <w:bookmarkStart w:id="6" w:name="StdNo_F"/>
      <w:r>
        <w:instrText xml:space="preserve"> FORMTEXT </w:instrText>
      </w:r>
      <w:r>
        <w:fldChar w:fldCharType="separate"/>
      </w:r>
      <w:r>
        <w:rPr>
          <w:rFonts w:hint="eastAsia"/>
        </w:rPr>
        <w:t>     </w:t>
      </w:r>
      <w:r>
        <w:fldChar w:fldCharType="end"/>
      </w:r>
      <w:bookmarkEnd w:id="6"/>
      <w:r>
        <w:rPr>
          <w:rFonts w:hAnsi="黑体"/>
        </w:rPr>
        <w:t>—</w:t>
      </w:r>
      <w:r>
        <w:fldChar w:fldCharType="begin">
          <w:ffData>
            <w:name w:val="StdNo_B"/>
            <w:enabled/>
            <w:calcOnExit w:val="0"/>
            <w:textInput>
              <w:default w:val="XXXX"/>
            </w:textInput>
          </w:ffData>
        </w:fldChar>
      </w:r>
      <w:bookmarkStart w:id="7" w:name="StdNo_B"/>
      <w:r>
        <w:instrText xml:space="preserve"> FORMTEXT </w:instrText>
      </w:r>
      <w:r>
        <w:fldChar w:fldCharType="separate"/>
      </w:r>
      <w:r>
        <w:rPr>
          <w:rFonts w:hint="eastAsia"/>
        </w:rPr>
        <w:t>     </w:t>
      </w:r>
      <w:r>
        <w:fldChar w:fldCharType="end"/>
      </w:r>
      <w:bookmarkEnd w:id="7"/>
    </w:p>
    <w:p w14:paraId="79672576">
      <w:pPr>
        <w:pStyle w:val="60"/>
        <w:rPr>
          <w:rFonts w:hAnsi="黑体"/>
        </w:rPr>
      </w:pPr>
      <w:r>
        <w:rPr>
          <w:rFonts w:hAnsi="黑体"/>
        </w:rPr>
        <w:fldChar w:fldCharType="begin">
          <w:ffData>
            <w:name w:val="StdReplaceNo"/>
            <w:enabled/>
            <w:calcOnExit w:val="0"/>
            <w:textInput/>
          </w:ffData>
        </w:fldChar>
      </w:r>
      <w:bookmarkStart w:id="8"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8"/>
    </w:p>
    <w:p w14:paraId="7AE68808">
      <w:pPr>
        <w:rPr>
          <w:rFonts w:ascii="黑体" w:hAnsi="黑体" w:eastAsia="黑体"/>
          <w:kern w:val="0"/>
          <w:sz w:val="10"/>
          <w:szCs w:val="10"/>
        </w:rPr>
      </w:pPr>
      <w:r>
        <w:pict>
          <v:line id="直接连接符 73" o:spid="_x0000_s1034" o:spt="20" style="position:absolute;left:0pt;margin-left:70.9pt;margin-top:212.65pt;height:0pt;width:481.9pt;mso-position-horizontal-relative:page;mso-position-vertical-relative:page;z-index:251660288;mso-width-relative:page;mso-height-relative:page;" coordsize="21600,21600" o:allowoverlap="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">
            <v:path arrowok="t"/>
            <v:fill focussize="0,0"/>
            <v:stroke/>
            <v:imagedata o:title=""/>
            <o:lock v:ext="edit"/>
          </v:line>
        </w:pict>
      </w:r>
    </w:p>
    <w:p w14:paraId="158D1B3E">
      <w:pPr>
        <w:pStyle w:val="55"/>
        <w:framePr w:h="6976" w:hRule="exact" w:hSpace="0" w:vSpace="0" w:wrap="around" w:y="6408"/>
        <w:jc w:val="center"/>
        <w:rPr>
          <w:b w:val="0"/>
          <w:bCs w:val="0"/>
          <w:w w:val="100"/>
        </w:rPr>
      </w:pPr>
    </w:p>
    <w:p w14:paraId="0735D7C9">
      <w:pPr>
        <w:pStyle w:val="61"/>
        <w:framePr w:h="6974" w:hRule="exact" w:wrap="around" w:x="1419" w:anchorLock="1"/>
      </w:pPr>
      <w:r>
        <w:fldChar w:fldCharType="begin">
          <w:ffData>
            <w:name w:val="StdName"/>
            <w:enabled/>
            <w:calcOnExit w:val="0"/>
            <w:textInput>
              <w:default w:val="点击此处添加标准名称"/>
            </w:textInput>
          </w:ffData>
        </w:fldChar>
      </w:r>
      <w:bookmarkStart w:id="9" w:name="StdName"/>
      <w:r>
        <w:instrText xml:space="preserve"> FORMTEXT </w:instrText>
      </w:r>
      <w:r>
        <w:fldChar w:fldCharType="separate"/>
      </w:r>
      <w:r>
        <w:rPr>
          <w:rFonts w:hint="eastAsia"/>
        </w:rPr>
        <w:t>户外智能综合配电箱（JP柜）</w:t>
      </w:r>
      <w:r>
        <w:fldChar w:fldCharType="end"/>
      </w:r>
      <w:bookmarkEnd w:id="9"/>
    </w:p>
    <w:p w14:paraId="6DE06B8D">
      <w:pPr>
        <w:framePr w:w="9639" w:h="6974" w:hRule="exact" w:wrap="around" w:vAnchor="page" w:hAnchor="page" w:x="1419" w:y="6408" w:anchorLock="1"/>
        <w:ind w:left="-1418"/>
      </w:pPr>
    </w:p>
    <w:p w14:paraId="00E7045E">
      <w:pPr>
        <w:pStyle w:val="56"/>
        <w:framePr w:h="6974" w:hRule="exact" w:wrap="around" w:x="1419"/>
        <w:textAlignment w:val="bottom"/>
      </w:pPr>
    </w:p>
    <w:p w14:paraId="294E8EBE">
      <w:pPr>
        <w:framePr w:w="9639" w:h="6974" w:hRule="exact" w:wrap="around" w:vAnchor="page" w:hAnchor="page" w:x="1419" w:y="6408" w:anchorLock="1"/>
        <w:spacing w:line="760" w:lineRule="exact"/>
        <w:ind w:left="-1418"/>
      </w:pPr>
    </w:p>
    <w:p w14:paraId="759AE382">
      <w:pPr>
        <w:pStyle w:val="56"/>
        <w:framePr w:h="6974" w:hRule="exact" w:wrap="around" w:x="1419"/>
        <w:spacing w:before="0" w:after="120"/>
        <w:textAlignment w:val="bottom"/>
      </w:pPr>
    </w:p>
    <w:p w14:paraId="3EF256BB">
      <w:pPr>
        <w:pStyle w:val="56"/>
        <w:framePr w:h="6974" w:hRule="exact" w:wrap="around" w:x="1419"/>
        <w:textAlignment w:val="bottom"/>
      </w:pPr>
    </w:p>
    <w:p w14:paraId="25B62B05">
      <w:pPr>
        <w:pStyle w:val="56"/>
        <w:framePr w:h="6974" w:hRule="exact" w:wrap="around" w:x="1419"/>
        <w:spacing w:before="440" w:after="120"/>
        <w:textAlignment w:val="bottom"/>
        <w:rPr>
          <w:sz w:val="24"/>
        </w:rPr>
      </w:pPr>
    </w:p>
    <w:p w14:paraId="62D32BF5">
      <w:pPr>
        <w:pStyle w:val="56"/>
        <w:framePr w:h="6974" w:hRule="exact" w:wrap="around" w:x="1419"/>
        <w:spacing w:before="180" w:line="240" w:lineRule="atLeast"/>
        <w:textAlignment w:val="bottom"/>
        <w:rPr>
          <w:sz w:val="21"/>
        </w:rPr>
      </w:pPr>
    </w:p>
    <w:p w14:paraId="4640376A">
      <w:pPr>
        <w:pStyle w:val="56"/>
        <w:framePr w:h="6974" w:hRule="exact" w:wrap="around" w:x="1419"/>
        <w:spacing w:before="978" w:beforeLines="300" w:after="97" w:afterLines="30" w:line="240" w:lineRule="auto"/>
        <w:textAlignment w:val="bottom"/>
        <w:rPr>
          <w:b/>
          <w:sz w:val="21"/>
        </w:rPr>
      </w:pPr>
    </w:p>
    <w:p w14:paraId="142408EF">
      <w:pPr>
        <w:pStyle w:val="57"/>
        <w:framePr w:wrap="around" w:hAnchor="page" w:x="1396" w:y="14116"/>
      </w:pPr>
      <w:r>
        <w:pict>
          <v:line id="直接连接符 5" o:spid="_x0000_s1035" o:spt="20" style="position:absolute;left:0pt;margin-left:70.85pt;margin-top:728.6pt;height:0pt;width:481.9pt;mso-position-horizontal-relative:page;mso-position-vertical-relative:page;z-index:251661312;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14:paraId="69B1F80F">
      <w:pPr>
        <w:pStyle w:val="58"/>
        <w:framePr w:wrap="around" w:hAnchor="page" w:x="7081" w:y="14116"/>
      </w:pPr>
      <w:r>
        <w:rPr>
          <w:rFonts w:hint="eastAsia"/>
        </w:rPr>
        <w:t>实施</w:t>
      </w:r>
    </w:p>
    <w:p w14:paraId="3A858006">
      <w:pPr>
        <w:pStyle w:val="63"/>
        <w:framePr w:w="7432" w:h="584" w:hRule="exact" w:hSpace="181" w:vSpace="181" w:wrap="around" w:vAnchor="page" w:hAnchor="page" w:y="14798"/>
        <w:rPr>
          <w:rFonts w:hAnsi="黑体"/>
        </w:rPr>
      </w:pPr>
      <w:r>
        <w:rPr>
          <w:rFonts w:hint="eastAsia" w:ascii="Times New Roman"/>
          <w:w w:val="100"/>
          <w:sz w:val="28"/>
          <w:lang w:eastAsia="zh-CN"/>
        </w:rPr>
        <w:t>浙江省产学研合作促进会</w:t>
      </w:r>
      <w:r>
        <w:rPr>
          <w:rFonts w:ascii="Times New Roman"/>
          <w:w w:val="100"/>
          <w:sz w:val="28"/>
        </w:rPr>
        <w:t>  </w:t>
      </w:r>
      <w:r>
        <w:rPr>
          <w:rStyle w:val="64"/>
          <w:rFonts w:hint="eastAsia" w:hAnsi="黑体"/>
        </w:rPr>
        <w:t>发布</w:t>
      </w:r>
    </w:p>
    <w:p w14:paraId="0BB6C354"/>
    <w:p w14:paraId="0CC74DAB">
      <w:pPr>
        <w:sectPr>
          <w:type w:val="oddPage"/>
          <w:pgSz w:w="11906" w:h="16838"/>
          <w:pgMar w:top="567" w:right="1134" w:bottom="1134" w:left="1134" w:header="851" w:footer="992" w:gutter="0"/>
          <w:pgNumType w:start="1"/>
          <w:cols w:space="425" w:num="1"/>
          <w:docGrid w:type="lines" w:linePitch="326" w:charSpace="0"/>
        </w:sectPr>
      </w:pPr>
    </w:p>
    <w:bookmarkEnd w:id="0"/>
    <w:p w14:paraId="0775BB2E">
      <w:pPr>
        <w:pStyle w:val="108"/>
        <w:spacing w:after="489"/>
        <w:rPr>
          <w:rFonts w:hint="default"/>
        </w:rPr>
      </w:pPr>
      <w:bookmarkStart w:id="10" w:name="mbookmark30"/>
      <w:r>
        <w:rPr>
          <w:spacing w:val="318"/>
        </w:rPr>
        <w:t>目</w:t>
      </w:r>
      <w:r>
        <w:t>次</w:t>
      </w:r>
    </w:p>
    <w:p w14:paraId="7359CBEE">
      <w:pPr>
        <w:pStyle w:val="8"/>
        <w:tabs>
          <w:tab w:val="right" w:leader="dot" w:pos="9638"/>
          <w:tab w:val="clear" w:pos="8494"/>
        </w:tabs>
      </w:pPr>
      <w:bookmarkStart w:id="68" w:name="_GoBack"/>
      <w:bookmarkEnd w:id="68"/>
      <w:r>
        <w:rPr>
          <w:rFonts w:hint="eastAsia"/>
        </w:rPr>
        <w:fldChar w:fldCharType="begin"/>
      </w:r>
      <w:r>
        <w:rPr>
          <w:rFonts w:hint="eastAsia"/>
        </w:rPr>
        <w:instrText xml:space="preserve">TOC \o "1-1" \h \u </w:instrText>
      </w:r>
      <w:r>
        <w:rPr>
          <w:rFonts w:hint="eastAsia"/>
        </w:rPr>
        <w:fldChar w:fldCharType="separate"/>
      </w:r>
      <w:r>
        <w:rPr>
          <w:rFonts w:hint="eastAsia"/>
        </w:rPr>
        <w:fldChar w:fldCharType="begin"/>
      </w:r>
      <w:r>
        <w:rPr>
          <w:rFonts w:hint="eastAsia"/>
        </w:rPr>
        <w:instrText xml:space="preserve"> HYPERLINK \l _Toc3096 </w:instrText>
      </w:r>
      <w:r>
        <w:rPr>
          <w:rFonts w:hint="eastAsia"/>
        </w:rPr>
        <w:fldChar w:fldCharType="separate"/>
      </w:r>
      <w:r>
        <w:rPr>
          <w:rFonts w:hint="eastAsia"/>
          <w:spacing w:val="317"/>
        </w:rPr>
        <w:t>前</w:t>
      </w:r>
      <w:r>
        <w:t>言</w:t>
      </w:r>
      <w:r>
        <w:tab/>
      </w:r>
      <w:r>
        <w:fldChar w:fldCharType="begin"/>
      </w:r>
      <w:r>
        <w:instrText xml:space="preserve"> PAGEREF _Toc3096 \h </w:instrText>
      </w:r>
      <w:r>
        <w:fldChar w:fldCharType="separate"/>
      </w:r>
      <w:r>
        <w:t>II</w:t>
      </w:r>
      <w:r>
        <w:fldChar w:fldCharType="end"/>
      </w:r>
      <w:r>
        <w:rPr>
          <w:rFonts w:hint="eastAsia"/>
        </w:rPr>
        <w:fldChar w:fldCharType="end"/>
      </w:r>
    </w:p>
    <w:p w14:paraId="320DBBD9">
      <w:pPr>
        <w:pStyle w:val="8"/>
        <w:tabs>
          <w:tab w:val="right" w:leader="dot" w:pos="9638"/>
          <w:tab w:val="clear" w:pos="8494"/>
        </w:tabs>
      </w:pPr>
      <w:r>
        <w:rPr>
          <w:rFonts w:hint="eastAsia"/>
        </w:rPr>
        <w:fldChar w:fldCharType="begin"/>
      </w:r>
      <w:r>
        <w:rPr>
          <w:rFonts w:hint="eastAsia"/>
        </w:rPr>
        <w:instrText xml:space="preserve"> HYPERLINK \l _Toc28185 </w:instrText>
      </w:r>
      <w:r>
        <w:rPr>
          <w:rFonts w:hint="eastAsia"/>
        </w:rPr>
        <w:fldChar w:fldCharType="separate"/>
      </w:r>
      <w:r>
        <w:rPr>
          <w:rFonts w:hint="default" w:ascii="黑体" w:eastAsia="黑体"/>
          <w:i w:val="0"/>
        </w:rPr>
        <w:t xml:space="preserve">1 </w:t>
      </w:r>
      <w:r>
        <w:rPr>
          <w:rFonts w:hint="eastAsia"/>
        </w:rPr>
        <w:t>范围</w:t>
      </w:r>
      <w:r>
        <w:tab/>
      </w:r>
      <w:r>
        <w:fldChar w:fldCharType="begin"/>
      </w:r>
      <w:r>
        <w:instrText xml:space="preserve"> PAGEREF _Toc28185 \h </w:instrText>
      </w:r>
      <w:r>
        <w:fldChar w:fldCharType="separate"/>
      </w:r>
      <w:r>
        <w:t>3</w:t>
      </w:r>
      <w:r>
        <w:fldChar w:fldCharType="end"/>
      </w:r>
      <w:r>
        <w:rPr>
          <w:rFonts w:hint="eastAsia"/>
        </w:rPr>
        <w:fldChar w:fldCharType="end"/>
      </w:r>
    </w:p>
    <w:p w14:paraId="63E7D1FB">
      <w:pPr>
        <w:pStyle w:val="8"/>
        <w:tabs>
          <w:tab w:val="right" w:leader="dot" w:pos="9638"/>
          <w:tab w:val="clear" w:pos="8494"/>
        </w:tabs>
      </w:pPr>
      <w:r>
        <w:rPr>
          <w:rFonts w:hint="eastAsia"/>
        </w:rPr>
        <w:fldChar w:fldCharType="begin"/>
      </w:r>
      <w:r>
        <w:rPr>
          <w:rFonts w:hint="eastAsia"/>
        </w:rPr>
        <w:instrText xml:space="preserve"> HYPERLINK \l _Toc28235 </w:instrText>
      </w:r>
      <w:r>
        <w:rPr>
          <w:rFonts w:hint="eastAsia"/>
        </w:rPr>
        <w:fldChar w:fldCharType="separate"/>
      </w:r>
      <w:r>
        <w:rPr>
          <w:rFonts w:hint="default" w:ascii="黑体" w:eastAsia="黑体"/>
          <w:i w:val="0"/>
        </w:rPr>
        <w:t xml:space="preserve">2 </w:t>
      </w:r>
      <w:r>
        <w:rPr>
          <w:rFonts w:hint="eastAsia"/>
        </w:rPr>
        <w:t>规范性引用文件</w:t>
      </w:r>
      <w:r>
        <w:tab/>
      </w:r>
      <w:r>
        <w:fldChar w:fldCharType="begin"/>
      </w:r>
      <w:r>
        <w:instrText xml:space="preserve"> PAGEREF _Toc28235 \h </w:instrText>
      </w:r>
      <w:r>
        <w:fldChar w:fldCharType="separate"/>
      </w:r>
      <w:r>
        <w:t>3</w:t>
      </w:r>
      <w:r>
        <w:fldChar w:fldCharType="end"/>
      </w:r>
      <w:r>
        <w:rPr>
          <w:rFonts w:hint="eastAsia"/>
        </w:rPr>
        <w:fldChar w:fldCharType="end"/>
      </w:r>
    </w:p>
    <w:p w14:paraId="14E528E5">
      <w:pPr>
        <w:pStyle w:val="8"/>
        <w:tabs>
          <w:tab w:val="right" w:leader="dot" w:pos="9638"/>
          <w:tab w:val="clear" w:pos="8494"/>
        </w:tabs>
      </w:pPr>
      <w:r>
        <w:rPr>
          <w:rFonts w:hint="eastAsia"/>
        </w:rPr>
        <w:fldChar w:fldCharType="begin"/>
      </w:r>
      <w:r>
        <w:rPr>
          <w:rFonts w:hint="eastAsia"/>
        </w:rPr>
        <w:instrText xml:space="preserve"> HYPERLINK \l _Toc25227 </w:instrText>
      </w:r>
      <w:r>
        <w:rPr>
          <w:rFonts w:hint="eastAsia"/>
        </w:rPr>
        <w:fldChar w:fldCharType="separate"/>
      </w:r>
      <w:r>
        <w:rPr>
          <w:rFonts w:hint="default" w:ascii="黑体" w:eastAsia="黑体"/>
          <w:i w:val="0"/>
        </w:rPr>
        <w:t xml:space="preserve">3 </w:t>
      </w:r>
      <w:r>
        <w:rPr>
          <w:rFonts w:hint="eastAsia"/>
        </w:rPr>
        <w:t>术语和定义</w:t>
      </w:r>
      <w:r>
        <w:tab/>
      </w:r>
      <w:r>
        <w:fldChar w:fldCharType="begin"/>
      </w:r>
      <w:r>
        <w:instrText xml:space="preserve"> PAGEREF _Toc25227 \h </w:instrText>
      </w:r>
      <w:r>
        <w:fldChar w:fldCharType="separate"/>
      </w:r>
      <w:r>
        <w:t>4</w:t>
      </w:r>
      <w:r>
        <w:fldChar w:fldCharType="end"/>
      </w:r>
      <w:r>
        <w:rPr>
          <w:rFonts w:hint="eastAsia"/>
        </w:rPr>
        <w:fldChar w:fldCharType="end"/>
      </w:r>
    </w:p>
    <w:p w14:paraId="669A022A">
      <w:pPr>
        <w:pStyle w:val="8"/>
        <w:tabs>
          <w:tab w:val="right" w:leader="dot" w:pos="9638"/>
          <w:tab w:val="clear" w:pos="8494"/>
        </w:tabs>
      </w:pPr>
      <w:r>
        <w:rPr>
          <w:rFonts w:hint="eastAsia"/>
        </w:rPr>
        <w:fldChar w:fldCharType="begin"/>
      </w:r>
      <w:r>
        <w:rPr>
          <w:rFonts w:hint="eastAsia"/>
        </w:rPr>
        <w:instrText xml:space="preserve"> HYPERLINK \l _Toc12534 </w:instrText>
      </w:r>
      <w:r>
        <w:rPr>
          <w:rFonts w:hint="eastAsia"/>
        </w:rPr>
        <w:fldChar w:fldCharType="separate"/>
      </w:r>
      <w:r>
        <w:rPr>
          <w:rFonts w:hint="default" w:ascii="黑体" w:eastAsia="黑体"/>
          <w:i w:val="0"/>
        </w:rPr>
        <w:t xml:space="preserve">4 </w:t>
      </w:r>
      <w:r>
        <w:rPr>
          <w:rFonts w:hint="eastAsia"/>
          <w:lang w:eastAsia="zh-CN"/>
        </w:rPr>
        <w:t>使用条件</w:t>
      </w:r>
      <w:r>
        <w:tab/>
      </w:r>
      <w:r>
        <w:fldChar w:fldCharType="begin"/>
      </w:r>
      <w:r>
        <w:instrText xml:space="preserve"> PAGEREF _Toc12534 \h </w:instrText>
      </w:r>
      <w:r>
        <w:fldChar w:fldCharType="separate"/>
      </w:r>
      <w:r>
        <w:t>4</w:t>
      </w:r>
      <w:r>
        <w:fldChar w:fldCharType="end"/>
      </w:r>
      <w:r>
        <w:rPr>
          <w:rFonts w:hint="eastAsia"/>
        </w:rPr>
        <w:fldChar w:fldCharType="end"/>
      </w:r>
    </w:p>
    <w:p w14:paraId="2F8D4184">
      <w:pPr>
        <w:pStyle w:val="8"/>
        <w:tabs>
          <w:tab w:val="right" w:leader="dot" w:pos="9638"/>
          <w:tab w:val="clear" w:pos="8494"/>
        </w:tabs>
      </w:pPr>
      <w:r>
        <w:rPr>
          <w:rFonts w:hint="eastAsia"/>
        </w:rPr>
        <w:fldChar w:fldCharType="begin"/>
      </w:r>
      <w:r>
        <w:rPr>
          <w:rFonts w:hint="eastAsia"/>
        </w:rPr>
        <w:instrText xml:space="preserve"> HYPERLINK \l _Toc26402 </w:instrText>
      </w:r>
      <w:r>
        <w:rPr>
          <w:rFonts w:hint="eastAsia"/>
        </w:rPr>
        <w:fldChar w:fldCharType="separate"/>
      </w:r>
      <w:r>
        <w:rPr>
          <w:rFonts w:hint="default" w:ascii="黑体" w:eastAsia="黑体"/>
          <w:i w:val="0"/>
        </w:rPr>
        <w:t xml:space="preserve">5 </w:t>
      </w:r>
      <w:r>
        <w:rPr>
          <w:rFonts w:hint="eastAsia"/>
        </w:rPr>
        <w:t>额定值</w:t>
      </w:r>
      <w:r>
        <w:tab/>
      </w:r>
      <w:r>
        <w:fldChar w:fldCharType="begin"/>
      </w:r>
      <w:r>
        <w:instrText xml:space="preserve"> PAGEREF _Toc26402 \h </w:instrText>
      </w:r>
      <w:r>
        <w:fldChar w:fldCharType="separate"/>
      </w:r>
      <w:r>
        <w:t>5</w:t>
      </w:r>
      <w:r>
        <w:fldChar w:fldCharType="end"/>
      </w:r>
      <w:r>
        <w:rPr>
          <w:rFonts w:hint="eastAsia"/>
        </w:rPr>
        <w:fldChar w:fldCharType="end"/>
      </w:r>
    </w:p>
    <w:p w14:paraId="666A0B56">
      <w:pPr>
        <w:pStyle w:val="8"/>
        <w:tabs>
          <w:tab w:val="right" w:leader="dot" w:pos="9638"/>
          <w:tab w:val="clear" w:pos="8494"/>
        </w:tabs>
      </w:pPr>
      <w:r>
        <w:rPr>
          <w:rFonts w:hint="eastAsia"/>
        </w:rPr>
        <w:fldChar w:fldCharType="begin"/>
      </w:r>
      <w:r>
        <w:rPr>
          <w:rFonts w:hint="eastAsia"/>
        </w:rPr>
        <w:instrText xml:space="preserve"> HYPERLINK \l _Toc14216 </w:instrText>
      </w:r>
      <w:r>
        <w:rPr>
          <w:rFonts w:hint="eastAsia"/>
        </w:rPr>
        <w:fldChar w:fldCharType="separate"/>
      </w:r>
      <w:r>
        <w:rPr>
          <w:rFonts w:hint="default" w:ascii="黑体" w:eastAsia="黑体"/>
          <w:i w:val="0"/>
        </w:rPr>
        <w:t xml:space="preserve">6 </w:t>
      </w:r>
      <w:r>
        <w:rPr>
          <w:rFonts w:hint="eastAsia"/>
        </w:rPr>
        <w:t>技术要求</w:t>
      </w:r>
      <w:r>
        <w:tab/>
      </w:r>
      <w:r>
        <w:fldChar w:fldCharType="begin"/>
      </w:r>
      <w:r>
        <w:instrText xml:space="preserve"> PAGEREF _Toc14216 \h </w:instrText>
      </w:r>
      <w:r>
        <w:fldChar w:fldCharType="separate"/>
      </w:r>
      <w:r>
        <w:t>5</w:t>
      </w:r>
      <w:r>
        <w:fldChar w:fldCharType="end"/>
      </w:r>
      <w:r>
        <w:rPr>
          <w:rFonts w:hint="eastAsia"/>
        </w:rPr>
        <w:fldChar w:fldCharType="end"/>
      </w:r>
    </w:p>
    <w:p w14:paraId="54FD08A4">
      <w:pPr>
        <w:pStyle w:val="8"/>
        <w:tabs>
          <w:tab w:val="right" w:leader="dot" w:pos="9638"/>
          <w:tab w:val="clear" w:pos="8494"/>
        </w:tabs>
      </w:pPr>
      <w:r>
        <w:rPr>
          <w:rFonts w:hint="eastAsia"/>
        </w:rPr>
        <w:fldChar w:fldCharType="begin"/>
      </w:r>
      <w:r>
        <w:rPr>
          <w:rFonts w:hint="eastAsia"/>
        </w:rPr>
        <w:instrText xml:space="preserve"> HYPERLINK \l _Toc10243 </w:instrText>
      </w:r>
      <w:r>
        <w:rPr>
          <w:rFonts w:hint="eastAsia"/>
        </w:rPr>
        <w:fldChar w:fldCharType="separate"/>
      </w:r>
      <w:r>
        <w:rPr>
          <w:rFonts w:hint="default" w:ascii="黑体" w:eastAsia="黑体"/>
          <w:i w:val="0"/>
        </w:rPr>
        <w:t xml:space="preserve">7 </w:t>
      </w:r>
      <w:r>
        <w:rPr>
          <w:rFonts w:hint="eastAsia"/>
        </w:rPr>
        <w:t>试验方法</w:t>
      </w:r>
      <w:r>
        <w:tab/>
      </w:r>
      <w:r>
        <w:fldChar w:fldCharType="begin"/>
      </w:r>
      <w:r>
        <w:instrText xml:space="preserve"> PAGEREF _Toc10243 \h </w:instrText>
      </w:r>
      <w:r>
        <w:fldChar w:fldCharType="separate"/>
      </w:r>
      <w:r>
        <w:t>14</w:t>
      </w:r>
      <w:r>
        <w:fldChar w:fldCharType="end"/>
      </w:r>
      <w:r>
        <w:rPr>
          <w:rFonts w:hint="eastAsia"/>
        </w:rPr>
        <w:fldChar w:fldCharType="end"/>
      </w:r>
    </w:p>
    <w:p w14:paraId="0FE23EA2">
      <w:pPr>
        <w:pStyle w:val="8"/>
        <w:tabs>
          <w:tab w:val="right" w:leader="dot" w:pos="9638"/>
          <w:tab w:val="clear" w:pos="8494"/>
        </w:tabs>
      </w:pPr>
      <w:r>
        <w:rPr>
          <w:rFonts w:hint="eastAsia"/>
        </w:rPr>
        <w:fldChar w:fldCharType="begin"/>
      </w:r>
      <w:r>
        <w:rPr>
          <w:rFonts w:hint="eastAsia"/>
        </w:rPr>
        <w:instrText xml:space="preserve"> HYPERLINK \l _Toc16957 </w:instrText>
      </w:r>
      <w:r>
        <w:rPr>
          <w:rFonts w:hint="eastAsia"/>
        </w:rPr>
        <w:fldChar w:fldCharType="separate"/>
      </w:r>
      <w:r>
        <w:rPr>
          <w:rFonts w:hint="default" w:ascii="黑体" w:eastAsia="黑体"/>
          <w:i w:val="0"/>
        </w:rPr>
        <w:t xml:space="preserve">8 </w:t>
      </w:r>
      <w:r>
        <w:rPr>
          <w:rFonts w:hint="eastAsia"/>
        </w:rPr>
        <w:t>检验规则</w:t>
      </w:r>
      <w:r>
        <w:tab/>
      </w:r>
      <w:r>
        <w:fldChar w:fldCharType="begin"/>
      </w:r>
      <w:r>
        <w:instrText xml:space="preserve"> PAGEREF _Toc16957 \h </w:instrText>
      </w:r>
      <w:r>
        <w:fldChar w:fldCharType="separate"/>
      </w:r>
      <w:r>
        <w:t>17</w:t>
      </w:r>
      <w:r>
        <w:fldChar w:fldCharType="end"/>
      </w:r>
      <w:r>
        <w:rPr>
          <w:rFonts w:hint="eastAsia"/>
        </w:rPr>
        <w:fldChar w:fldCharType="end"/>
      </w:r>
    </w:p>
    <w:p w14:paraId="110DDF68">
      <w:pPr>
        <w:pStyle w:val="8"/>
        <w:tabs>
          <w:tab w:val="right" w:leader="dot" w:pos="9638"/>
          <w:tab w:val="clear" w:pos="8494"/>
        </w:tabs>
      </w:pPr>
      <w:r>
        <w:rPr>
          <w:rFonts w:hint="eastAsia"/>
        </w:rPr>
        <w:fldChar w:fldCharType="begin"/>
      </w:r>
      <w:r>
        <w:rPr>
          <w:rFonts w:hint="eastAsia"/>
        </w:rPr>
        <w:instrText xml:space="preserve"> HYPERLINK \l _Toc16000 </w:instrText>
      </w:r>
      <w:r>
        <w:rPr>
          <w:rFonts w:hint="eastAsia"/>
        </w:rPr>
        <w:fldChar w:fldCharType="separate"/>
      </w:r>
      <w:r>
        <w:rPr>
          <w:rFonts w:hint="default" w:ascii="黑体" w:eastAsia="黑体"/>
          <w:i w:val="0"/>
        </w:rPr>
        <w:t xml:space="preserve">9 </w:t>
      </w:r>
      <w:r>
        <w:rPr>
          <w:rFonts w:hint="eastAsia"/>
        </w:rPr>
        <w:t>标志、包装、运输和贮存</w:t>
      </w:r>
      <w:r>
        <w:tab/>
      </w:r>
      <w:r>
        <w:fldChar w:fldCharType="begin"/>
      </w:r>
      <w:r>
        <w:instrText xml:space="preserve"> PAGEREF _Toc16000 \h </w:instrText>
      </w:r>
      <w:r>
        <w:fldChar w:fldCharType="separate"/>
      </w:r>
      <w:r>
        <w:t>17</w:t>
      </w:r>
      <w:r>
        <w:fldChar w:fldCharType="end"/>
      </w:r>
      <w:r>
        <w:rPr>
          <w:rFonts w:hint="eastAsia"/>
        </w:rPr>
        <w:fldChar w:fldCharType="end"/>
      </w:r>
    </w:p>
    <w:p w14:paraId="1F30994A">
      <w:pPr>
        <w:pStyle w:val="17"/>
      </w:pPr>
      <w:r>
        <w:rPr>
          <w:rFonts w:hint="eastAsia"/>
        </w:rPr>
        <w:fldChar w:fldCharType="end"/>
      </w:r>
    </w:p>
    <w:p w14:paraId="2E369765">
      <w:pPr>
        <w:pStyle w:val="17"/>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0"/>
    <w:p w14:paraId="53181E43">
      <w:pPr>
        <w:pStyle w:val="38"/>
        <w:spacing w:after="489"/>
      </w:pPr>
      <w:bookmarkStart w:id="11" w:name="_Toc14972"/>
      <w:bookmarkStart w:id="12" w:name="_Toc131273874"/>
      <w:bookmarkStart w:id="13" w:name="_Toc8331"/>
      <w:bookmarkStart w:id="14" w:name="_Toc2032"/>
      <w:bookmarkStart w:id="15" w:name="_Toc3096"/>
      <w:bookmarkStart w:id="16" w:name="mbookmark40"/>
      <w:r>
        <w:rPr>
          <w:rFonts w:hint="eastAsia"/>
          <w:spacing w:val="317"/>
        </w:rPr>
        <w:t>前</w:t>
      </w:r>
      <w:r>
        <w:t>言</w:t>
      </w:r>
      <w:bookmarkEnd w:id="1"/>
      <w:bookmarkEnd w:id="11"/>
      <w:bookmarkEnd w:id="12"/>
      <w:bookmarkEnd w:id="13"/>
      <w:bookmarkEnd w:id="14"/>
      <w:bookmarkEnd w:id="15"/>
    </w:p>
    <w:p w14:paraId="44C6CA22">
      <w:pPr>
        <w:pStyle w:val="17"/>
      </w:pPr>
      <w:r>
        <w:rPr>
          <w:rFonts w:hint="eastAsia"/>
        </w:rPr>
        <w:t>本</w:t>
      </w:r>
      <w:r>
        <w:rPr>
          <w:rFonts w:hint="eastAsia"/>
          <w:lang w:eastAsia="zh-CN"/>
        </w:rPr>
        <w:t>文件</w:t>
      </w:r>
      <w:r>
        <w:rPr>
          <w:rFonts w:hint="eastAsia"/>
        </w:rPr>
        <w:t>按照GB/T 1.1—2020《标准化工作导则  第1</w:t>
      </w:r>
      <w:r>
        <w:rPr>
          <w:rFonts w:hint="eastAsia"/>
          <w:lang w:eastAsia="zh-CN"/>
        </w:rPr>
        <w:t>文件</w:t>
      </w:r>
      <w:r>
        <w:rPr>
          <w:rFonts w:hint="eastAsia"/>
        </w:rPr>
        <w:t>：标准化文件的结构和起草规则》的规定起草。</w:t>
      </w:r>
    </w:p>
    <w:p w14:paraId="2E1F48D3">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14:paraId="7424874F">
      <w:pPr>
        <w:pStyle w:val="17"/>
      </w:pPr>
      <w:r>
        <w:rPr>
          <w:rFonts w:hint="eastAsia"/>
        </w:rPr>
        <w:t>本</w:t>
      </w:r>
      <w:r>
        <w:rPr>
          <w:rFonts w:hint="eastAsia"/>
          <w:lang w:eastAsia="zh-CN"/>
        </w:rPr>
        <w:t>文件</w:t>
      </w:r>
      <w:r>
        <w:rPr>
          <w:rFonts w:hint="eastAsia"/>
        </w:rPr>
        <w:t>由</w:t>
      </w:r>
      <w:r>
        <w:rPr>
          <w:rFonts w:hint="eastAsia"/>
          <w:lang w:eastAsia="zh-CN"/>
        </w:rPr>
        <w:t>浙江浦成电气有限公司</w:t>
      </w:r>
      <w:r>
        <w:rPr>
          <w:rFonts w:hint="eastAsia"/>
        </w:rPr>
        <w:t>提出。</w:t>
      </w:r>
    </w:p>
    <w:p w14:paraId="702FA246">
      <w:pPr>
        <w:pStyle w:val="17"/>
      </w:pPr>
      <w:r>
        <w:rPr>
          <w:rFonts w:hint="eastAsia"/>
        </w:rPr>
        <w:t>本</w:t>
      </w:r>
      <w:r>
        <w:rPr>
          <w:rFonts w:hint="eastAsia"/>
          <w:lang w:eastAsia="zh-CN"/>
        </w:rPr>
        <w:t>文件</w:t>
      </w:r>
      <w:r>
        <w:rPr>
          <w:rFonts w:hint="eastAsia"/>
          <w:lang w:val="en-US" w:eastAsia="zh-CN"/>
        </w:rPr>
        <w:t>浙江省产学研合作促进会</w:t>
      </w:r>
      <w:r>
        <w:rPr>
          <w:rFonts w:hint="eastAsia"/>
        </w:rPr>
        <w:t>归口。</w:t>
      </w:r>
    </w:p>
    <w:p w14:paraId="49C03FCB">
      <w:pPr>
        <w:pStyle w:val="17"/>
      </w:pPr>
      <w:r>
        <w:rPr>
          <w:rFonts w:hint="eastAsia"/>
        </w:rPr>
        <w:t>本</w:t>
      </w:r>
      <w:r>
        <w:rPr>
          <w:rFonts w:hint="eastAsia"/>
          <w:lang w:eastAsia="zh-CN"/>
        </w:rPr>
        <w:t>文件</w:t>
      </w:r>
      <w:r>
        <w:rPr>
          <w:rFonts w:hint="eastAsia"/>
        </w:rPr>
        <w:t>起草单位：</w:t>
      </w:r>
      <w:bookmarkStart w:id="17" w:name="StdDraftdep"/>
      <w:r>
        <w:rPr>
          <w:rFonts w:hint="eastAsia"/>
          <w:lang w:eastAsia="zh-CN"/>
        </w:rPr>
        <w:t>浙江浦成电气有限公司、×××</w:t>
      </w:r>
      <w:bookmarkEnd w:id="17"/>
      <w:r>
        <w:rPr>
          <w:rFonts w:hint="eastAsia"/>
        </w:rPr>
        <w:t>。</w:t>
      </w:r>
    </w:p>
    <w:p w14:paraId="00874711">
      <w:pPr>
        <w:pStyle w:val="17"/>
      </w:pPr>
      <w:r>
        <w:rPr>
          <w:rFonts w:hint="eastAsia"/>
        </w:rPr>
        <w:t>本</w:t>
      </w:r>
      <w:r>
        <w:rPr>
          <w:rFonts w:hint="eastAsia"/>
          <w:lang w:eastAsia="zh-CN"/>
        </w:rPr>
        <w:t>文件</w:t>
      </w:r>
      <w:r>
        <w:rPr>
          <w:rFonts w:hint="eastAsia"/>
        </w:rPr>
        <w:t>主要起草人：</w:t>
      </w:r>
      <w:bookmarkStart w:id="18" w:name="StdDrafer"/>
      <w:r>
        <w:rPr>
          <w:rFonts w:hint="eastAsia"/>
          <w:lang w:eastAsia="zh-CN"/>
        </w:rPr>
        <w:t>包秀庆、×××</w:t>
      </w:r>
      <w:bookmarkEnd w:id="18"/>
      <w:r>
        <w:rPr>
          <w:rFonts w:hint="eastAsia"/>
        </w:rPr>
        <w:t>。</w:t>
      </w:r>
    </w:p>
    <w:p w14:paraId="7B3F808B">
      <w:pPr>
        <w:pStyle w:val="17"/>
      </w:pPr>
    </w:p>
    <w:p w14:paraId="1B19BB97">
      <w:pPr>
        <w:pStyle w:val="17"/>
      </w:pPr>
    </w:p>
    <w:p w14:paraId="226AD487">
      <w:pPr>
        <w:pStyle w:val="17"/>
      </w:pPr>
    </w:p>
    <w:p w14:paraId="5E56B20A">
      <w:pPr>
        <w:pStyle w:val="17"/>
      </w:pPr>
    </w:p>
    <w:p w14:paraId="7FE097CC">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16"/>
    <w:p w14:paraId="3B8FB72D">
      <w:pPr>
        <w:pStyle w:val="39"/>
        <w:bidi w:val="0"/>
        <w:rPr>
          <w:rFonts w:hint="eastAsia" w:eastAsia="黑体"/>
          <w:lang w:eastAsia="zh-CN"/>
        </w:rPr>
      </w:pPr>
      <w:bookmarkStart w:id="19" w:name="文件名称_Z"/>
      <w:bookmarkStart w:id="20" w:name="mbookmark60"/>
      <w:r>
        <w:rPr>
          <w:rFonts w:hint="eastAsia"/>
          <w:lang w:eastAsia="zh-CN"/>
        </w:rPr>
        <w:t>户外智能综合配电箱（JP柜）</w:t>
      </w:r>
      <w:bookmarkEnd w:id="19"/>
    </w:p>
    <w:p w14:paraId="31FC5F1D">
      <w:pPr>
        <w:pStyle w:val="18"/>
        <w:spacing w:before="326" w:after="326"/>
      </w:pPr>
      <w:bookmarkStart w:id="21" w:name="_Toc98860775"/>
      <w:bookmarkStart w:id="22" w:name="_Toc17233325"/>
      <w:bookmarkStart w:id="23" w:name="_Toc5234"/>
      <w:bookmarkStart w:id="24" w:name="_Toc26718930"/>
      <w:bookmarkStart w:id="25" w:name="_Toc17233333"/>
      <w:bookmarkStart w:id="26" w:name="_Toc98859012"/>
      <w:bookmarkStart w:id="27" w:name="_Toc26986771"/>
      <w:bookmarkStart w:id="28" w:name="_Toc98860474"/>
      <w:bookmarkStart w:id="29" w:name="_Toc24884211"/>
      <w:bookmarkStart w:id="30" w:name="_Toc26986530"/>
      <w:bookmarkStart w:id="31" w:name="_Toc26648465"/>
      <w:bookmarkStart w:id="32" w:name="_Toc24884218"/>
      <w:bookmarkStart w:id="33" w:name="_Toc3547"/>
      <w:bookmarkStart w:id="34" w:name="_Toc1899"/>
      <w:bookmarkStart w:id="35" w:name="_Toc131273875"/>
      <w:bookmarkStart w:id="36" w:name="_Toc28185"/>
      <w:r>
        <w:rPr>
          <w:rFonts w:hint="eastAsia"/>
        </w:rPr>
        <w:t>范围</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37CB9EF2">
      <w:pPr>
        <w:pStyle w:val="17"/>
        <w:rPr>
          <w:rFonts w:hint="eastAsia"/>
        </w:rPr>
      </w:pPr>
      <w:bookmarkStart w:id="37" w:name="_Toc17233334"/>
      <w:bookmarkStart w:id="38" w:name="_Toc17233326"/>
      <w:bookmarkStart w:id="39" w:name="_Toc24884212"/>
      <w:bookmarkStart w:id="40" w:name="_Toc24884219"/>
      <w:bookmarkStart w:id="41" w:name="_Toc26648466"/>
      <w:r>
        <w:rPr>
          <w:rFonts w:hint="eastAsia"/>
          <w:lang w:eastAsia="zh-CN"/>
        </w:rPr>
        <w:t>本文件</w:t>
      </w:r>
      <w:r>
        <w:rPr>
          <w:rFonts w:hint="eastAsia"/>
        </w:rPr>
        <w:t>规定了户外</w:t>
      </w:r>
      <w:r>
        <w:rPr>
          <w:rFonts w:hint="eastAsia"/>
          <w:lang w:eastAsia="zh-CN"/>
        </w:rPr>
        <w:t>智能</w:t>
      </w:r>
      <w:r>
        <w:rPr>
          <w:rFonts w:hint="eastAsia"/>
        </w:rPr>
        <w:t>综合配电箱</w:t>
      </w:r>
      <w:r>
        <w:rPr>
          <w:rFonts w:hint="eastAsia"/>
          <w:lang w:eastAsia="zh-CN"/>
        </w:rPr>
        <w:t>（</w:t>
      </w:r>
      <w:r>
        <w:rPr>
          <w:rFonts w:hint="eastAsia"/>
          <w:lang w:val="en-US" w:eastAsia="zh-CN"/>
        </w:rPr>
        <w:t>JP柜</w:t>
      </w:r>
      <w:r>
        <w:rPr>
          <w:rFonts w:hint="eastAsia"/>
          <w:lang w:eastAsia="zh-CN"/>
        </w:rPr>
        <w:t>）</w:t>
      </w:r>
      <w:r>
        <w:rPr>
          <w:rFonts w:hint="eastAsia"/>
        </w:rPr>
        <w:t>（以下简称 JP 柜）的术语和定义、使用条件、额定值、技术要求、试验方法、检验规则、标志、包装、运输和贮存。</w:t>
      </w:r>
    </w:p>
    <w:p w14:paraId="3AFDC7B9">
      <w:pPr>
        <w:pStyle w:val="17"/>
      </w:pPr>
      <w:r>
        <w:rPr>
          <w:rFonts w:hint="eastAsia"/>
          <w:lang w:eastAsia="zh-CN"/>
        </w:rPr>
        <w:t>本文件</w:t>
      </w:r>
      <w:r>
        <w:rPr>
          <w:rFonts w:hint="eastAsia"/>
        </w:rPr>
        <w:t>适用于额定电压 400V 及以下，交流频率 50Hz 电网中，安装于户外容量为 400kVA 及以下变压器低压端的户外</w:t>
      </w:r>
      <w:r>
        <w:rPr>
          <w:rFonts w:hint="eastAsia"/>
          <w:lang w:eastAsia="zh-CN"/>
        </w:rPr>
        <w:t>智能</w:t>
      </w:r>
      <w:r>
        <w:rPr>
          <w:rFonts w:hint="eastAsia"/>
        </w:rPr>
        <w:t>综合配电箱或其它同等产品。</w:t>
      </w:r>
    </w:p>
    <w:p w14:paraId="0436E4F6">
      <w:pPr>
        <w:pStyle w:val="18"/>
        <w:spacing w:before="326" w:after="326"/>
      </w:pPr>
      <w:bookmarkStart w:id="42" w:name="_Toc27603"/>
      <w:bookmarkStart w:id="43" w:name="_Toc131273876"/>
      <w:bookmarkStart w:id="44" w:name="_Toc26213"/>
      <w:bookmarkStart w:id="45" w:name="_Toc26986772"/>
      <w:bookmarkStart w:id="46" w:name="_Toc98860475"/>
      <w:bookmarkStart w:id="47" w:name="_Toc26718931"/>
      <w:bookmarkStart w:id="48" w:name="_Toc625"/>
      <w:bookmarkStart w:id="49" w:name="_Toc98859013"/>
      <w:bookmarkStart w:id="50" w:name="_Toc26986531"/>
      <w:bookmarkStart w:id="51" w:name="_Toc98860776"/>
      <w:bookmarkStart w:id="52" w:name="_Toc28235"/>
      <w:r>
        <w:rPr>
          <w:rFonts w:hint="eastAsia"/>
        </w:rPr>
        <w:t>规范性引用文件</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9A144F4">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553A36D">
      <w:pPr>
        <w:pStyle w:val="17"/>
        <w:rPr>
          <w:rFonts w:hint="eastAsia"/>
        </w:rPr>
      </w:pPr>
      <w:r>
        <w:rPr>
          <w:rFonts w:hint="eastAsia"/>
        </w:rPr>
        <w:t>GB/T 191  包装储运图形符号标志</w:t>
      </w:r>
    </w:p>
    <w:p w14:paraId="3F2921E3">
      <w:pPr>
        <w:pStyle w:val="17"/>
        <w:rPr>
          <w:rFonts w:hint="eastAsia"/>
        </w:rPr>
      </w:pPr>
      <w:r>
        <w:rPr>
          <w:rFonts w:hint="eastAsia"/>
        </w:rPr>
        <w:t>GB/T 708 冷轧钢板和钢带的尺寸、外形、重量及允许偏差</w:t>
      </w:r>
    </w:p>
    <w:p w14:paraId="0E309615">
      <w:pPr>
        <w:pStyle w:val="17"/>
        <w:rPr>
          <w:rFonts w:hint="eastAsia"/>
        </w:rPr>
      </w:pPr>
      <w:r>
        <w:rPr>
          <w:rFonts w:hint="eastAsia"/>
        </w:rPr>
        <w:t>GB/T 2423.1 电工电子产品环境试验 第 2 部分：试验方法 试验 A 低温</w:t>
      </w:r>
    </w:p>
    <w:p w14:paraId="426B0BD6">
      <w:pPr>
        <w:pStyle w:val="17"/>
        <w:rPr>
          <w:rFonts w:hint="eastAsia"/>
        </w:rPr>
      </w:pPr>
      <w:r>
        <w:rPr>
          <w:rFonts w:hint="eastAsia"/>
        </w:rPr>
        <w:t>GB/T 2423.18 环境试验 第 2 部分：试验方法 试验 Kb：盐雾，交变</w:t>
      </w:r>
    </w:p>
    <w:p w14:paraId="5DAAB449">
      <w:pPr>
        <w:pStyle w:val="17"/>
        <w:rPr>
          <w:rFonts w:hint="eastAsia"/>
        </w:rPr>
      </w:pPr>
      <w:r>
        <w:rPr>
          <w:rFonts w:hint="eastAsia"/>
        </w:rPr>
        <w:t>GB/T 3208 不锈钢冷轧钢板和钢带</w:t>
      </w:r>
    </w:p>
    <w:p w14:paraId="335305F0">
      <w:pPr>
        <w:pStyle w:val="17"/>
        <w:rPr>
          <w:rFonts w:hint="eastAsia"/>
        </w:rPr>
      </w:pPr>
      <w:r>
        <w:rPr>
          <w:rFonts w:hint="eastAsia"/>
        </w:rPr>
        <w:t>GB/T 4205 人机界面标志标识的基本和安全规则 操作规则</w:t>
      </w:r>
    </w:p>
    <w:p w14:paraId="54611C0D">
      <w:pPr>
        <w:pStyle w:val="17"/>
        <w:rPr>
          <w:rFonts w:hint="eastAsia"/>
        </w:rPr>
      </w:pPr>
      <w:r>
        <w:rPr>
          <w:rFonts w:hint="eastAsia"/>
        </w:rPr>
        <w:t>GB/T 4208 外壳防护等级</w:t>
      </w:r>
    </w:p>
    <w:p w14:paraId="45D9911A">
      <w:pPr>
        <w:pStyle w:val="17"/>
        <w:rPr>
          <w:rFonts w:hint="eastAsia"/>
        </w:rPr>
      </w:pPr>
      <w:r>
        <w:rPr>
          <w:rFonts w:hint="eastAsia"/>
        </w:rPr>
        <w:t>GB/T 5585.1 电工用铜、铝及其合金母线 第 1 部分：铜和铜合金母线</w:t>
      </w:r>
    </w:p>
    <w:p w14:paraId="2CF2EE90">
      <w:pPr>
        <w:pStyle w:val="17"/>
        <w:rPr>
          <w:rFonts w:hint="eastAsia"/>
        </w:rPr>
      </w:pPr>
      <w:r>
        <w:rPr>
          <w:rFonts w:hint="eastAsia"/>
        </w:rPr>
        <w:t>GB/T 7251.1 低压成套开关设备和控制设备 第 1 部分：总则</w:t>
      </w:r>
    </w:p>
    <w:p w14:paraId="1A686496">
      <w:pPr>
        <w:pStyle w:val="17"/>
        <w:rPr>
          <w:rFonts w:hint="eastAsia"/>
        </w:rPr>
      </w:pPr>
      <w:r>
        <w:rPr>
          <w:rFonts w:hint="eastAsia"/>
        </w:rPr>
        <w:t>GB/T 7251.8 低压成套开关设备和控制设备 智能型成套设备通用技术要求</w:t>
      </w:r>
    </w:p>
    <w:p w14:paraId="726F75FC">
      <w:pPr>
        <w:pStyle w:val="17"/>
        <w:rPr>
          <w:rFonts w:hint="eastAsia"/>
        </w:rPr>
      </w:pPr>
      <w:r>
        <w:rPr>
          <w:rFonts w:hint="eastAsia"/>
        </w:rPr>
        <w:t>GB/T 7251.12 低压成套开关设备和控制设备 第 2 部分：成套电力开关和控制设备</w:t>
      </w:r>
    </w:p>
    <w:p w14:paraId="2D3AFED5">
      <w:pPr>
        <w:pStyle w:val="17"/>
        <w:rPr>
          <w:rFonts w:hint="eastAsia"/>
        </w:rPr>
      </w:pPr>
      <w:r>
        <w:rPr>
          <w:rFonts w:hint="eastAsia"/>
        </w:rPr>
        <w:t>GB/T 10233 低压成套开关设备和电控设备基本试验方法</w:t>
      </w:r>
    </w:p>
    <w:p w14:paraId="775D885E">
      <w:pPr>
        <w:pStyle w:val="17"/>
        <w:rPr>
          <w:rFonts w:hint="eastAsia"/>
        </w:rPr>
      </w:pPr>
      <w:r>
        <w:rPr>
          <w:rFonts w:hint="eastAsia"/>
        </w:rPr>
        <w:t>GB/T 11918.1 工业用插头插座和耦合器 第 1 部分：通用要求</w:t>
      </w:r>
    </w:p>
    <w:p w14:paraId="72B932E9">
      <w:pPr>
        <w:pStyle w:val="17"/>
        <w:rPr>
          <w:rFonts w:hint="eastAsia"/>
        </w:rPr>
      </w:pPr>
      <w:r>
        <w:rPr>
          <w:rFonts w:hint="eastAsia"/>
        </w:rPr>
        <w:t>GB/T 13384 机电产品包装通用技术条件</w:t>
      </w:r>
    </w:p>
    <w:p w14:paraId="69E354B4">
      <w:pPr>
        <w:pStyle w:val="17"/>
        <w:rPr>
          <w:rFonts w:hint="eastAsia"/>
        </w:rPr>
      </w:pPr>
      <w:r>
        <w:rPr>
          <w:rFonts w:hint="eastAsia"/>
        </w:rPr>
        <w:t>GB/T 14048.2 低压开关设备和控制设备 第 2 部分：断路器</w:t>
      </w:r>
    </w:p>
    <w:p w14:paraId="52A0D306">
      <w:pPr>
        <w:pStyle w:val="17"/>
        <w:rPr>
          <w:rFonts w:hint="eastAsia"/>
        </w:rPr>
      </w:pPr>
      <w:r>
        <w:rPr>
          <w:rFonts w:hint="eastAsia"/>
        </w:rPr>
        <w:t>GB/T 14048.7 低压开关设备和控制设备 第 7-1 部分：辅助器件 铜导体的接线端子排</w:t>
      </w:r>
    </w:p>
    <w:p w14:paraId="2292D688">
      <w:pPr>
        <w:pStyle w:val="17"/>
        <w:rPr>
          <w:rFonts w:hint="eastAsia"/>
        </w:rPr>
      </w:pPr>
      <w:r>
        <w:rPr>
          <w:rFonts w:hint="eastAsia"/>
        </w:rPr>
        <w:t>GB/T 15576 低压成套无功功率补偿装置</w:t>
      </w:r>
    </w:p>
    <w:p w14:paraId="18A7DFF1">
      <w:pPr>
        <w:pStyle w:val="17"/>
        <w:rPr>
          <w:rFonts w:hint="eastAsia"/>
        </w:rPr>
      </w:pPr>
      <w:r>
        <w:rPr>
          <w:rFonts w:hint="eastAsia"/>
        </w:rPr>
        <w:t>GB/T 20641 低压成套开关设备和控制设备 空壳体的一般要求</w:t>
      </w:r>
    </w:p>
    <w:p w14:paraId="7148F52E">
      <w:pPr>
        <w:pStyle w:val="17"/>
        <w:rPr>
          <w:rFonts w:hint="eastAsia"/>
        </w:rPr>
      </w:pPr>
      <w:r>
        <w:rPr>
          <w:rFonts w:hint="eastAsia"/>
        </w:rPr>
        <w:t>GB/T 23641 电气用纤维增强不饱和聚酯模塑料</w:t>
      </w:r>
    </w:p>
    <w:p w14:paraId="5087EE6C">
      <w:pPr>
        <w:pStyle w:val="17"/>
        <w:rPr>
          <w:rFonts w:hint="eastAsia"/>
        </w:rPr>
      </w:pPr>
      <w:r>
        <w:rPr>
          <w:rFonts w:hint="eastAsia"/>
        </w:rPr>
        <w:t>DL/T 375 户外配电箱通用技术条件</w:t>
      </w:r>
    </w:p>
    <w:p w14:paraId="2F0E084A">
      <w:pPr>
        <w:pStyle w:val="17"/>
        <w:rPr>
          <w:rFonts w:hint="eastAsia"/>
        </w:rPr>
      </w:pPr>
      <w:r>
        <w:rPr>
          <w:rFonts w:hint="eastAsia"/>
        </w:rPr>
        <w:t>DL/T 614 多功能电能表</w:t>
      </w:r>
    </w:p>
    <w:p w14:paraId="5F8D857E">
      <w:pPr>
        <w:pStyle w:val="17"/>
        <w:rPr>
          <w:rFonts w:hint="eastAsia"/>
        </w:rPr>
      </w:pPr>
      <w:r>
        <w:rPr>
          <w:rFonts w:hint="eastAsia"/>
        </w:rPr>
        <w:t>DL/T 634.5101 远动设备及系统 第 5-101 部分：传输规约 基本远动任务配套标准</w:t>
      </w:r>
    </w:p>
    <w:p w14:paraId="70562D51">
      <w:pPr>
        <w:pStyle w:val="17"/>
        <w:rPr>
          <w:rFonts w:hint="eastAsia"/>
        </w:rPr>
      </w:pPr>
      <w:r>
        <w:rPr>
          <w:rFonts w:hint="eastAsia"/>
        </w:rPr>
        <w:t xml:space="preserve">DL/T 634.5104 远动设备及系统 第 5-104 部分：传输规约 采用标准传输协议集的 </w:t>
      </w:r>
    </w:p>
    <w:p w14:paraId="6045C8FD">
      <w:pPr>
        <w:pStyle w:val="17"/>
        <w:rPr>
          <w:rFonts w:hint="eastAsia"/>
        </w:rPr>
      </w:pPr>
      <w:r>
        <w:rPr>
          <w:rFonts w:hint="eastAsia"/>
        </w:rPr>
        <w:t>IEC60870-5-101 网络访问</w:t>
      </w:r>
    </w:p>
    <w:p w14:paraId="2D124E59">
      <w:pPr>
        <w:pStyle w:val="17"/>
        <w:rPr>
          <w:rFonts w:hint="eastAsia"/>
        </w:rPr>
      </w:pPr>
      <w:r>
        <w:rPr>
          <w:rFonts w:hint="eastAsia"/>
        </w:rPr>
        <w:t>DL/T 645 多功能电能表通信协议</w:t>
      </w:r>
    </w:p>
    <w:p w14:paraId="6B308AF6">
      <w:pPr>
        <w:pStyle w:val="17"/>
        <w:rPr>
          <w:rFonts w:hint="eastAsia"/>
        </w:rPr>
      </w:pPr>
      <w:r>
        <w:rPr>
          <w:rFonts w:hint="eastAsia"/>
        </w:rPr>
        <w:t>DL/T 1441 智能低压配电箱技术条件</w:t>
      </w:r>
    </w:p>
    <w:p w14:paraId="11CD8206">
      <w:pPr>
        <w:pStyle w:val="17"/>
        <w:rPr>
          <w:rFonts w:hint="eastAsia"/>
        </w:rPr>
      </w:pPr>
      <w:r>
        <w:rPr>
          <w:rFonts w:hint="eastAsia"/>
        </w:rPr>
        <w:t>DL/T 1442 智能配变终端技术条件</w:t>
      </w:r>
    </w:p>
    <w:p w14:paraId="3E81D3B1">
      <w:pPr>
        <w:pStyle w:val="17"/>
        <w:rPr>
          <w:rFonts w:hint="eastAsia"/>
        </w:rPr>
      </w:pPr>
      <w:r>
        <w:rPr>
          <w:rFonts w:hint="eastAsia"/>
        </w:rPr>
        <w:t>JB/T 5877 低压固定封闭式成套开关设备</w:t>
      </w:r>
    </w:p>
    <w:p w14:paraId="593AC738">
      <w:pPr>
        <w:pStyle w:val="17"/>
        <w:rPr>
          <w:rFonts w:hint="eastAsia"/>
        </w:rPr>
      </w:pPr>
      <w:r>
        <w:rPr>
          <w:rFonts w:hint="eastAsia"/>
        </w:rPr>
        <w:t>JB/T 9663 低压无功功率自动补偿控制器</w:t>
      </w:r>
    </w:p>
    <w:p w14:paraId="3552336B">
      <w:pPr>
        <w:pStyle w:val="17"/>
      </w:pPr>
      <w:r>
        <w:rPr>
          <w:rFonts w:hint="eastAsia"/>
        </w:rPr>
        <w:t>HG/T 2503 聚碳酸酯树脂</w:t>
      </w:r>
    </w:p>
    <w:p w14:paraId="574043C6">
      <w:pPr>
        <w:pStyle w:val="18"/>
        <w:spacing w:before="326" w:after="326"/>
      </w:pPr>
      <w:bookmarkStart w:id="53" w:name="_Toc131273877"/>
      <w:bookmarkStart w:id="54" w:name="_Toc989"/>
      <w:bookmarkStart w:id="55" w:name="_Toc98860476"/>
      <w:bookmarkStart w:id="56" w:name="_Toc22867"/>
      <w:bookmarkStart w:id="57" w:name="_Toc98859014"/>
      <w:bookmarkStart w:id="58" w:name="_Toc1309"/>
      <w:bookmarkStart w:id="59" w:name="_Toc98860777"/>
      <w:bookmarkStart w:id="60" w:name="_Toc25227"/>
      <w:r>
        <w:rPr>
          <w:rFonts w:hint="eastAsia"/>
        </w:rPr>
        <w:t>术语和定义</w:t>
      </w:r>
      <w:bookmarkEnd w:id="53"/>
      <w:bookmarkEnd w:id="54"/>
      <w:bookmarkEnd w:id="55"/>
      <w:bookmarkEnd w:id="56"/>
      <w:bookmarkEnd w:id="57"/>
      <w:bookmarkEnd w:id="58"/>
      <w:bookmarkEnd w:id="59"/>
      <w:bookmarkEnd w:id="60"/>
    </w:p>
    <w:p w14:paraId="5A338BB8">
      <w:pPr>
        <w:pStyle w:val="17"/>
      </w:pPr>
      <w:r>
        <w:rPr>
          <w:rFonts w:hint="eastAsia"/>
        </w:rPr>
        <w:t>GB/T 7251.1-2013</w:t>
      </w:r>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bookmarkStart w:id="61" w:name="_Toc26986532"/>
          <w:bookmarkEnd w:id="61"/>
          <w:r>
            <w:rPr>
              <w:rFonts w:ascii="宋体" w:hAnsi="宋体" w:eastAsia="宋体" w:cstheme="minorBidi"/>
              <w:kern w:val="2"/>
              <w:sz w:val="21"/>
              <w:szCs w:val="21"/>
              <w:lang w:val="en-US" w:eastAsia="zh-CN" w:bidi="ar-SA"/>
            </w:rPr>
            <w:t>界定的术语和定义适用于本文件。</w:t>
          </w:r>
        </w:sdtContent>
      </w:sdt>
    </w:p>
    <w:p w14:paraId="0687EE7A">
      <w:pPr>
        <w:pStyle w:val="18"/>
        <w:bidi w:val="0"/>
        <w:rPr>
          <w:rFonts w:hint="eastAsia"/>
        </w:rPr>
      </w:pPr>
      <w:bookmarkStart w:id="62" w:name="_Toc12534"/>
      <w:r>
        <w:rPr>
          <w:rFonts w:hint="eastAsia"/>
          <w:lang w:eastAsia="zh-CN"/>
        </w:rPr>
        <w:t>使用条件</w:t>
      </w:r>
      <w:bookmarkEnd w:id="62"/>
    </w:p>
    <w:p w14:paraId="7043DD8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正常使用条件</w:t>
      </w:r>
    </w:p>
    <w:p w14:paraId="305B1246">
      <w:pPr>
        <w:pStyle w:val="20"/>
        <w:bidi w:val="0"/>
        <w:rPr>
          <w:rFonts w:hint="eastAsia"/>
        </w:rPr>
      </w:pPr>
      <w:r>
        <w:rPr>
          <w:rFonts w:hint="eastAsia"/>
        </w:rPr>
        <w:t>环境温度</w:t>
      </w:r>
    </w:p>
    <w:p w14:paraId="1AFD1284">
      <w:pPr>
        <w:pStyle w:val="73"/>
        <w:ind w:firstLine="420"/>
        <w:rPr>
          <w:rFonts w:hint="eastAsia"/>
        </w:rPr>
      </w:pPr>
      <w:r>
        <w:rPr>
          <w:rFonts w:hint="eastAsia"/>
        </w:rPr>
        <w:t>安装处周围空气温度不得超过 40℃，而且在 24h 内其平均温度不超过 35℃。周围空气温度的下限为：温带地区为 - 25℃，严寒地区为 - 40℃。</w:t>
      </w:r>
    </w:p>
    <w:p w14:paraId="0349A09F">
      <w:pPr>
        <w:pStyle w:val="20"/>
        <w:bidi w:val="0"/>
        <w:rPr>
          <w:rFonts w:hint="eastAsia"/>
        </w:rPr>
      </w:pPr>
      <w:r>
        <w:rPr>
          <w:rFonts w:hint="eastAsia"/>
        </w:rPr>
        <w:t>相对湿度</w:t>
      </w:r>
    </w:p>
    <w:p w14:paraId="7D39F079">
      <w:pPr>
        <w:pStyle w:val="73"/>
        <w:ind w:firstLine="420"/>
        <w:rPr>
          <w:rFonts w:hint="eastAsia"/>
        </w:rPr>
      </w:pPr>
      <w:r>
        <w:rPr>
          <w:rFonts w:hint="eastAsia"/>
        </w:rPr>
        <w:t>空气清洁，在最高温度为 25℃时，相对湿度短时可达到 100%。</w:t>
      </w:r>
    </w:p>
    <w:p w14:paraId="3D03DD0F">
      <w:pPr>
        <w:pStyle w:val="20"/>
        <w:bidi w:val="0"/>
        <w:rPr>
          <w:rFonts w:hint="eastAsia"/>
        </w:rPr>
      </w:pPr>
      <w:r>
        <w:rPr>
          <w:rFonts w:hint="eastAsia"/>
        </w:rPr>
        <w:t>海拔</w:t>
      </w:r>
    </w:p>
    <w:p w14:paraId="43EB75B6">
      <w:pPr>
        <w:pStyle w:val="73"/>
        <w:ind w:firstLine="420"/>
        <w:rPr>
          <w:rFonts w:hint="eastAsia"/>
        </w:rPr>
      </w:pPr>
      <w:r>
        <w:rPr>
          <w:rFonts w:hint="eastAsia"/>
        </w:rPr>
        <w:t>安装场地的海拔高度不得超过 2000m。</w:t>
      </w:r>
    </w:p>
    <w:p w14:paraId="3E557092">
      <w:pPr>
        <w:pStyle w:val="20"/>
        <w:bidi w:val="0"/>
        <w:rPr>
          <w:rFonts w:hint="eastAsia"/>
        </w:rPr>
      </w:pPr>
      <w:r>
        <w:rPr>
          <w:rFonts w:hint="eastAsia"/>
        </w:rPr>
        <w:t>最大风速</w:t>
      </w:r>
    </w:p>
    <w:p w14:paraId="2ADFE556">
      <w:pPr>
        <w:pStyle w:val="73"/>
        <w:ind w:firstLine="420"/>
        <w:rPr>
          <w:rFonts w:hint="eastAsia"/>
        </w:rPr>
      </w:pPr>
      <w:r>
        <w:rPr>
          <w:rFonts w:hint="eastAsia"/>
        </w:rPr>
        <w:t>不超过 35m/s，为离地面高 10m 处持续 10min 的平均最大风速。</w:t>
      </w:r>
    </w:p>
    <w:p w14:paraId="11DDDA8B">
      <w:pPr>
        <w:pStyle w:val="20"/>
        <w:bidi w:val="0"/>
        <w:rPr>
          <w:rFonts w:hint="eastAsia"/>
        </w:rPr>
      </w:pPr>
      <w:r>
        <w:rPr>
          <w:rFonts w:hint="eastAsia"/>
        </w:rPr>
        <w:t>荷载能力</w:t>
      </w:r>
    </w:p>
    <w:p w14:paraId="201216B6">
      <w:pPr>
        <w:pStyle w:val="73"/>
        <w:ind w:firstLine="420"/>
        <w:rPr>
          <w:rFonts w:hint="eastAsia"/>
        </w:rPr>
      </w:pPr>
      <w:r>
        <w:rPr>
          <w:rFonts w:hint="eastAsia"/>
        </w:rPr>
        <w:t>同时有 10mm 覆冰和 17.5m/s 的风速。</w:t>
      </w:r>
    </w:p>
    <w:p w14:paraId="1633AE85">
      <w:pPr>
        <w:pStyle w:val="20"/>
        <w:bidi w:val="0"/>
        <w:rPr>
          <w:rFonts w:hint="eastAsia"/>
        </w:rPr>
      </w:pPr>
      <w:r>
        <w:rPr>
          <w:rFonts w:hint="eastAsia"/>
        </w:rPr>
        <w:t>污染等级</w:t>
      </w:r>
    </w:p>
    <w:p w14:paraId="112EB08E">
      <w:pPr>
        <w:pStyle w:val="73"/>
        <w:ind w:firstLine="420"/>
        <w:rPr>
          <w:rFonts w:hint="eastAsia"/>
        </w:rPr>
      </w:pPr>
      <w:r>
        <w:rPr>
          <w:rFonts w:hint="eastAsia"/>
        </w:rPr>
        <w:t>一般在污染等级 3 级环境中使用，其他污染等级可以根据特殊用途或微观环境考虑采用。</w:t>
      </w:r>
    </w:p>
    <w:p w14:paraId="25BF8958">
      <w:pPr>
        <w:pStyle w:val="20"/>
        <w:bidi w:val="0"/>
        <w:rPr>
          <w:rFonts w:hint="eastAsia"/>
        </w:rPr>
      </w:pPr>
      <w:r>
        <w:rPr>
          <w:rFonts w:hint="eastAsia"/>
        </w:rPr>
        <w:t>耐地震能力</w:t>
      </w:r>
    </w:p>
    <w:p w14:paraId="52C786A3">
      <w:pPr>
        <w:pStyle w:val="73"/>
        <w:ind w:firstLine="420"/>
        <w:rPr>
          <w:rFonts w:hint="eastAsia"/>
        </w:rPr>
      </w:pPr>
      <w:r>
        <w:rPr>
          <w:rFonts w:hint="eastAsia"/>
        </w:rPr>
        <w:t>地面水平加速度 0.2g，垂直加速度 0.1g 同时作用。采用共振、正弦、拍波试验方法，激振 5 次，每次 5 波，每次间隔 2s，安全系数不小于 1.67。</w:t>
      </w:r>
    </w:p>
    <w:p w14:paraId="5382B4B8">
      <w:pPr>
        <w:pStyle w:val="20"/>
        <w:bidi w:val="0"/>
        <w:rPr>
          <w:rFonts w:hint="eastAsia"/>
        </w:rPr>
      </w:pPr>
      <w:r>
        <w:rPr>
          <w:rFonts w:hint="eastAsia"/>
        </w:rPr>
        <w:t>安装</w:t>
      </w:r>
    </w:p>
    <w:p w14:paraId="24B30FB9">
      <w:pPr>
        <w:pStyle w:val="73"/>
        <w:ind w:firstLine="420"/>
        <w:rPr>
          <w:rFonts w:hint="eastAsia"/>
        </w:rPr>
      </w:pPr>
      <w:r>
        <w:rPr>
          <w:rFonts w:hint="eastAsia"/>
        </w:rPr>
        <w:t>安装方式包括但不限于变压器台架槽钢安装、电杆支架安装两种。安装环境为无易燃、无爆炸、无导电尘埃、烟雾、蒸汽和腐蚀性介质等严重影响电器元件电气性能的场所，同时安装地点无强磁场干扰、无剧烈震动和冲击，安装倾斜度不大于 5°。</w:t>
      </w:r>
    </w:p>
    <w:p w14:paraId="1B20A2F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4.2 特殊使用条件</w:t>
      </w:r>
    </w:p>
    <w:p w14:paraId="265303CD">
      <w:pPr>
        <w:pStyle w:val="73"/>
        <w:ind w:firstLine="420"/>
        <w:rPr>
          <w:rFonts w:hint="eastAsia"/>
        </w:rPr>
      </w:pPr>
      <w:r>
        <w:rPr>
          <w:rFonts w:hint="eastAsia"/>
        </w:rPr>
        <w:t>如存在与 4.1 不符合或符合 GB/T 7251.1 中 7.2 所述任何一种特殊使用条件，应遵守适用的特殊要求，或制造商与用户之间应签订专门的协议，若存在此类特殊使用条件，用户应向制造商提出。</w:t>
      </w:r>
    </w:p>
    <w:p w14:paraId="4A4ECCB2">
      <w:pPr>
        <w:pStyle w:val="18"/>
        <w:bidi w:val="0"/>
        <w:rPr>
          <w:rFonts w:hint="eastAsia"/>
        </w:rPr>
      </w:pPr>
      <w:bookmarkStart w:id="63" w:name="_Toc26402"/>
      <w:r>
        <w:rPr>
          <w:rFonts w:hint="eastAsia"/>
        </w:rPr>
        <w:t>额定值</w:t>
      </w:r>
      <w:bookmarkEnd w:id="63"/>
    </w:p>
    <w:p w14:paraId="0B25955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基本额定值要求</w:t>
      </w:r>
    </w:p>
    <w:p w14:paraId="35693B47">
      <w:pPr>
        <w:pStyle w:val="73"/>
        <w:ind w:firstLine="420"/>
        <w:rPr>
          <w:rFonts w:hint="eastAsia"/>
        </w:rPr>
      </w:pPr>
      <w:r>
        <w:rPr>
          <w:rFonts w:hint="eastAsia"/>
        </w:rPr>
        <w:t>JP 柜的额定值应包括额定工作电压、额定绝缘电压、额定冲击耐受电压、额定频率、额定电流、额定短时耐受电流、额定峰值耐受电流、无功补偿标称容量、防护等级。</w:t>
      </w:r>
    </w:p>
    <w:p w14:paraId="64824C4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额定工作电压</w:t>
      </w:r>
    </w:p>
    <w:p w14:paraId="6D9E8CA6">
      <w:pPr>
        <w:pStyle w:val="73"/>
        <w:ind w:firstLine="420"/>
        <w:rPr>
          <w:rFonts w:hint="eastAsia"/>
        </w:rPr>
      </w:pPr>
      <w:r>
        <w:rPr>
          <w:rFonts w:hint="eastAsia"/>
        </w:rPr>
        <w:t>额定工作电压为 400V。</w:t>
      </w:r>
    </w:p>
    <w:p w14:paraId="28379B8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额定绝缘电压</w:t>
      </w:r>
    </w:p>
    <w:p w14:paraId="3376BE7B">
      <w:pPr>
        <w:pStyle w:val="73"/>
        <w:ind w:firstLine="420"/>
        <w:rPr>
          <w:rFonts w:hint="eastAsia"/>
        </w:rPr>
      </w:pPr>
      <w:r>
        <w:rPr>
          <w:rFonts w:hint="eastAsia"/>
        </w:rPr>
        <w:t>额定绝缘电压不小于 690V。</w:t>
      </w:r>
    </w:p>
    <w:p w14:paraId="00E64FA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额定冲击耐受电压</w:t>
      </w:r>
    </w:p>
    <w:p w14:paraId="7C5C4862">
      <w:pPr>
        <w:pStyle w:val="73"/>
        <w:ind w:firstLine="420"/>
        <w:rPr>
          <w:rFonts w:hint="eastAsia"/>
        </w:rPr>
      </w:pPr>
      <w:r>
        <w:rPr>
          <w:rFonts w:hint="eastAsia"/>
        </w:rPr>
        <w:t>额定冲击耐受电压为 8000V。</w:t>
      </w:r>
    </w:p>
    <w:p w14:paraId="5FE7765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额定频率</w:t>
      </w:r>
    </w:p>
    <w:p w14:paraId="0E88EE03">
      <w:pPr>
        <w:pStyle w:val="73"/>
        <w:ind w:firstLine="420"/>
        <w:rPr>
          <w:rFonts w:hint="eastAsia"/>
        </w:rPr>
      </w:pPr>
      <w:r>
        <w:rPr>
          <w:rFonts w:hint="eastAsia"/>
        </w:rPr>
        <w:t>额定频率为 50Hz。</w:t>
      </w:r>
    </w:p>
    <w:p w14:paraId="5BA789F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额定电流</w:t>
      </w:r>
    </w:p>
    <w:p w14:paraId="7D3BAAC8">
      <w:pPr>
        <w:pStyle w:val="73"/>
        <w:ind w:firstLine="420"/>
        <w:rPr>
          <w:rFonts w:hint="eastAsia"/>
        </w:rPr>
      </w:pPr>
      <w:r>
        <w:rPr>
          <w:rFonts w:hint="eastAsia"/>
        </w:rPr>
        <w:t>额定电流应与所属台区变压器容量匹配。</w:t>
      </w:r>
    </w:p>
    <w:p w14:paraId="59598520">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额定短时耐受电流</w:t>
      </w:r>
    </w:p>
    <w:p w14:paraId="03FEA4DC">
      <w:pPr>
        <w:pStyle w:val="73"/>
        <w:ind w:firstLine="420"/>
        <w:rPr>
          <w:rFonts w:hint="eastAsia"/>
        </w:rPr>
      </w:pPr>
      <w:r>
        <w:rPr>
          <w:rFonts w:hint="eastAsia"/>
        </w:rPr>
        <w:t>额定短时耐受电流应不小于 20kA，持续时间不小于 1s。</w:t>
      </w:r>
    </w:p>
    <w:p w14:paraId="2880EB9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额定峰值耐受电流</w:t>
      </w:r>
    </w:p>
    <w:p w14:paraId="673239ED">
      <w:pPr>
        <w:pStyle w:val="73"/>
        <w:ind w:firstLine="420"/>
        <w:rPr>
          <w:rFonts w:hint="eastAsia"/>
        </w:rPr>
      </w:pPr>
      <w:r>
        <w:rPr>
          <w:rFonts w:hint="eastAsia"/>
        </w:rPr>
        <w:t>额定峰值耐受电流应不小于 40kA。</w:t>
      </w:r>
    </w:p>
    <w:p w14:paraId="57D6A57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无功补偿标称容量</w:t>
      </w:r>
    </w:p>
    <w:p w14:paraId="58CBE848">
      <w:pPr>
        <w:pStyle w:val="73"/>
        <w:ind w:firstLine="420"/>
        <w:rPr>
          <w:rFonts w:hint="eastAsia"/>
        </w:rPr>
      </w:pPr>
      <w:r>
        <w:rPr>
          <w:rFonts w:hint="eastAsia"/>
        </w:rPr>
        <w:t>无功补偿标称容量应与所属台区变压器容量匹配，不小于变压器容量的 30%。</w:t>
      </w:r>
    </w:p>
    <w:p w14:paraId="46BCF6E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防护等级</w:t>
      </w:r>
    </w:p>
    <w:p w14:paraId="79811E8B">
      <w:pPr>
        <w:pStyle w:val="73"/>
        <w:ind w:firstLine="420"/>
        <w:rPr>
          <w:rFonts w:hint="eastAsia"/>
        </w:rPr>
      </w:pPr>
      <w:r>
        <w:rPr>
          <w:rFonts w:hint="eastAsia"/>
        </w:rPr>
        <w:t>防护等级应不低于 IP44。</w:t>
      </w:r>
    </w:p>
    <w:p w14:paraId="3299C171">
      <w:pPr>
        <w:pStyle w:val="18"/>
        <w:bidi w:val="0"/>
        <w:rPr>
          <w:rFonts w:hint="eastAsia"/>
        </w:rPr>
      </w:pPr>
      <w:bookmarkStart w:id="64" w:name="_Toc14216"/>
      <w:r>
        <w:rPr>
          <w:rFonts w:hint="eastAsia"/>
        </w:rPr>
        <w:t>技术要求</w:t>
      </w:r>
      <w:bookmarkEnd w:id="64"/>
    </w:p>
    <w:p w14:paraId="55A7523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整体设计</w:t>
      </w:r>
    </w:p>
    <w:p w14:paraId="63D0D986">
      <w:pPr>
        <w:pStyle w:val="75"/>
        <w:bidi w:val="0"/>
        <w:rPr>
          <w:rFonts w:hint="eastAsia"/>
        </w:rPr>
      </w:pPr>
      <w:r>
        <w:rPr>
          <w:rFonts w:hint="eastAsia"/>
        </w:rPr>
        <w:t>JP 柜应设计成能够安全地进行正常使用、检查和维护，设计和制造应能最大程度保证未经授权的人员触及时的人身安全，注重内部带电体的绝缘防护以及铰链、通风口的设计和制造。</w:t>
      </w:r>
    </w:p>
    <w:p w14:paraId="0E7CA92E">
      <w:pPr>
        <w:pStyle w:val="75"/>
        <w:bidi w:val="0"/>
        <w:rPr>
          <w:rFonts w:hint="eastAsia"/>
        </w:rPr>
      </w:pPr>
      <w:r>
        <w:rPr>
          <w:rFonts w:hint="eastAsia"/>
        </w:rPr>
        <w:t>JP 柜的设计应考虑不同元件运行中的相互影响，包括电气、机械、发热等方面。</w:t>
      </w:r>
    </w:p>
    <w:p w14:paraId="400DEBCC">
      <w:pPr>
        <w:pStyle w:val="75"/>
        <w:bidi w:val="0"/>
        <w:rPr>
          <w:rFonts w:hint="eastAsia"/>
        </w:rPr>
      </w:pPr>
      <w:r>
        <w:rPr>
          <w:rFonts w:hint="eastAsia"/>
        </w:rPr>
        <w:t>采用独立功能布局，分层分布式结构、统一标准设计，布局合理、结构紧凑，便于操作、检查和维护。</w:t>
      </w:r>
    </w:p>
    <w:p w14:paraId="3FF41821">
      <w:pPr>
        <w:pStyle w:val="75"/>
        <w:bidi w:val="0"/>
        <w:rPr>
          <w:rFonts w:hint="eastAsia"/>
        </w:rPr>
      </w:pPr>
      <w:r>
        <w:rPr>
          <w:rFonts w:hint="eastAsia"/>
        </w:rPr>
        <w:t>各组成单元相对封闭，二次接线应灵活连接，可快速拆卸与安装，安装板可实现整体拆装更换、自由拆装，同类型同容量的 JP 柜中相同功能单元应具备互换性。</w:t>
      </w:r>
    </w:p>
    <w:p w14:paraId="204E43D0">
      <w:pPr>
        <w:pStyle w:val="75"/>
        <w:bidi w:val="0"/>
        <w:rPr>
          <w:rFonts w:hint="eastAsia"/>
        </w:rPr>
      </w:pPr>
      <w:r>
        <w:rPr>
          <w:rFonts w:hint="eastAsia"/>
        </w:rPr>
        <w:t>JP 柜进出线除具备投切正常负荷的控制功能外，还应具备过流、过负荷等异常跳闸的基本保护功能。</w:t>
      </w:r>
    </w:p>
    <w:p w14:paraId="53A0736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功能单元</w:t>
      </w:r>
    </w:p>
    <w:p w14:paraId="70E0D709">
      <w:pPr>
        <w:pStyle w:val="20"/>
        <w:bidi w:val="0"/>
        <w:rPr>
          <w:rFonts w:hint="eastAsia"/>
        </w:rPr>
      </w:pPr>
      <w:r>
        <w:rPr>
          <w:rFonts w:hint="eastAsia"/>
        </w:rPr>
        <w:t>计量单元</w:t>
      </w:r>
    </w:p>
    <w:p w14:paraId="7695A053">
      <w:pPr>
        <w:pStyle w:val="76"/>
        <w:bidi w:val="0"/>
        <w:rPr>
          <w:rFonts w:hint="eastAsia"/>
        </w:rPr>
      </w:pPr>
      <w:r>
        <w:rPr>
          <w:rFonts w:hint="eastAsia"/>
        </w:rPr>
        <w:t>应根据不同地区要求，选择不同的表计和计量方式，计量表计应有数据采集、汇总计算、存储、调阅和远程传输功能，同时还应装设所辖台区所有电能量集中采集功能的装置。</w:t>
      </w:r>
    </w:p>
    <w:p w14:paraId="0DB325C4">
      <w:pPr>
        <w:pStyle w:val="76"/>
        <w:bidi w:val="0"/>
        <w:rPr>
          <w:rFonts w:hint="eastAsia"/>
        </w:rPr>
      </w:pPr>
      <w:r>
        <w:rPr>
          <w:rFonts w:hint="eastAsia"/>
        </w:rPr>
        <w:t>箱体内部分隔出专为智能电能表包括二次接线盒以及专为计量互感器安装使用的计量独立空间，内门应能加铅封和锁封。除进出线一次线和二次线所必需的通道孔外，不得有其他可使外界物体进入的条件，位置布置应方便计量人员抄表、检查。</w:t>
      </w:r>
    </w:p>
    <w:p w14:paraId="3BB16531">
      <w:pPr>
        <w:pStyle w:val="76"/>
        <w:bidi w:val="0"/>
        <w:rPr>
          <w:rFonts w:hint="eastAsia"/>
        </w:rPr>
      </w:pPr>
      <w:r>
        <w:rPr>
          <w:rFonts w:hint="eastAsia"/>
        </w:rPr>
        <w:t>主电流回路连接导线截面积不应小于 4mm²，电压回路连接导线截面积不应小于 2.5mm²。</w:t>
      </w:r>
    </w:p>
    <w:p w14:paraId="35720E7B">
      <w:pPr>
        <w:pStyle w:val="20"/>
        <w:bidi w:val="0"/>
        <w:rPr>
          <w:rFonts w:hint="eastAsia"/>
        </w:rPr>
      </w:pPr>
      <w:r>
        <w:rPr>
          <w:rFonts w:hint="eastAsia"/>
        </w:rPr>
        <w:t>进线单元</w:t>
      </w:r>
    </w:p>
    <w:p w14:paraId="51A7C0EB">
      <w:pPr>
        <w:pStyle w:val="76"/>
        <w:bidi w:val="0"/>
        <w:rPr>
          <w:rFonts w:hint="eastAsia"/>
        </w:rPr>
      </w:pPr>
      <w:r>
        <w:rPr>
          <w:rFonts w:hint="eastAsia"/>
        </w:rPr>
        <w:t>应包括进线开关、测量装置、防雷保护装置。</w:t>
      </w:r>
    </w:p>
    <w:p w14:paraId="179E7FD9">
      <w:pPr>
        <w:pStyle w:val="76"/>
        <w:bidi w:val="0"/>
        <w:rPr>
          <w:rFonts w:hint="eastAsia"/>
        </w:rPr>
      </w:pPr>
      <w:r>
        <w:rPr>
          <w:rFonts w:hint="eastAsia"/>
        </w:rPr>
        <w:t>进线开关应选用熔断器式隔离开关或塑壳断路器，应提供状态点用于监测开闭状态，断路器宜采用电子式、带通讯功能，并具有采集数据预留接口。</w:t>
      </w:r>
    </w:p>
    <w:p w14:paraId="06116ABF">
      <w:pPr>
        <w:pStyle w:val="76"/>
        <w:bidi w:val="0"/>
        <w:rPr>
          <w:rFonts w:hint="eastAsia"/>
        </w:rPr>
      </w:pPr>
      <w:r>
        <w:rPr>
          <w:rFonts w:hint="eastAsia"/>
        </w:rPr>
        <w:t>测量装置应能够测量电压、电流、功率因素等参数，测量精度应在 1.5 级及以上。</w:t>
      </w:r>
    </w:p>
    <w:p w14:paraId="01DBA8E9">
      <w:pPr>
        <w:pStyle w:val="76"/>
        <w:bidi w:val="0"/>
        <w:rPr>
          <w:rFonts w:hint="eastAsia"/>
        </w:rPr>
      </w:pPr>
      <w:r>
        <w:rPr>
          <w:rFonts w:hint="eastAsia"/>
        </w:rPr>
        <w:t>防雷保护元件应选择 T1 级浪涌保护器，其接地线截面积不小于 16mm²。</w:t>
      </w:r>
    </w:p>
    <w:p w14:paraId="134370C3">
      <w:pPr>
        <w:pStyle w:val="20"/>
        <w:bidi w:val="0"/>
        <w:rPr>
          <w:rFonts w:hint="eastAsia"/>
        </w:rPr>
      </w:pPr>
      <w:r>
        <w:rPr>
          <w:rFonts w:hint="eastAsia"/>
        </w:rPr>
        <w:t>馈线单元</w:t>
      </w:r>
    </w:p>
    <w:p w14:paraId="5ECCE5DF">
      <w:pPr>
        <w:pStyle w:val="76"/>
        <w:bidi w:val="0"/>
        <w:rPr>
          <w:rFonts w:hint="eastAsia"/>
        </w:rPr>
      </w:pPr>
      <w:r>
        <w:rPr>
          <w:rFonts w:hint="eastAsia"/>
        </w:rPr>
        <w:t>JP 柜出线采用塑壳断路器或带剩余电流动作保护功能的断路器</w:t>
      </w:r>
      <w:r>
        <w:rPr>
          <w:rFonts w:hint="eastAsia"/>
          <w:lang w:eastAsia="zh-CN"/>
        </w:rPr>
        <w:t>。</w:t>
      </w:r>
    </w:p>
    <w:p w14:paraId="11FDBEF5">
      <w:pPr>
        <w:pStyle w:val="76"/>
        <w:bidi w:val="0"/>
        <w:rPr>
          <w:rFonts w:hint="eastAsia"/>
        </w:rPr>
      </w:pPr>
      <w:r>
        <w:rPr>
          <w:rFonts w:hint="eastAsia"/>
        </w:rPr>
        <w:t>断路器均要求具备明显断开标识，并应有隔离功能</w:t>
      </w:r>
      <w:r>
        <w:rPr>
          <w:rFonts w:hint="eastAsia"/>
          <w:lang w:eastAsia="zh-CN"/>
        </w:rPr>
        <w:t>。</w:t>
      </w:r>
    </w:p>
    <w:p w14:paraId="5AFC4B97">
      <w:pPr>
        <w:pStyle w:val="76"/>
        <w:bidi w:val="0"/>
        <w:rPr>
          <w:rFonts w:hint="eastAsia"/>
        </w:rPr>
      </w:pPr>
      <w:r>
        <w:rPr>
          <w:rFonts w:hint="eastAsia"/>
        </w:rPr>
        <w:t>宜选用零飞弧产品，并具有采集数据预留接口。</w:t>
      </w:r>
    </w:p>
    <w:p w14:paraId="55EF5DA5">
      <w:pPr>
        <w:pStyle w:val="76"/>
        <w:bidi w:val="0"/>
        <w:rPr>
          <w:rFonts w:hint="eastAsia"/>
        </w:rPr>
      </w:pPr>
      <w:r>
        <w:rPr>
          <w:rFonts w:hint="eastAsia"/>
        </w:rPr>
        <w:t>JP 柜出线回路不宜超过四路，额定分散系数值遵循以下要求：</w:t>
      </w:r>
    </w:p>
    <w:p w14:paraId="1A7866B9">
      <w:pPr>
        <w:pStyle w:val="46"/>
        <w:bidi w:val="0"/>
        <w:ind w:left="851" w:leftChars="0" w:hanging="426" w:firstLineChars="0"/>
        <w:rPr>
          <w:rFonts w:hint="eastAsia"/>
        </w:rPr>
      </w:pPr>
      <w:r>
        <w:rPr>
          <w:rFonts w:hint="eastAsia"/>
        </w:rPr>
        <w:t>主电路数 2 与 3 时，额定分散系数为 0.9；</w:t>
      </w:r>
    </w:p>
    <w:p w14:paraId="4C58FB2C">
      <w:pPr>
        <w:pStyle w:val="46"/>
        <w:bidi w:val="0"/>
        <w:ind w:left="851" w:leftChars="0" w:hanging="426" w:firstLineChars="0"/>
        <w:rPr>
          <w:rFonts w:hint="eastAsia"/>
        </w:rPr>
      </w:pPr>
      <w:r>
        <w:rPr>
          <w:rFonts w:hint="eastAsia"/>
        </w:rPr>
        <w:t>主电路数 4 与 5 时，额定分散系数为 0.8。</w:t>
      </w:r>
    </w:p>
    <w:p w14:paraId="59CE7A0E">
      <w:pPr>
        <w:pStyle w:val="20"/>
        <w:bidi w:val="0"/>
        <w:rPr>
          <w:rFonts w:hint="eastAsia"/>
        </w:rPr>
      </w:pPr>
      <w:r>
        <w:rPr>
          <w:rFonts w:hint="eastAsia"/>
        </w:rPr>
        <w:t>无功补偿单元</w:t>
      </w:r>
    </w:p>
    <w:p w14:paraId="69E36D38">
      <w:pPr>
        <w:pStyle w:val="76"/>
        <w:bidi w:val="0"/>
        <w:rPr>
          <w:rFonts w:hint="eastAsia"/>
        </w:rPr>
      </w:pPr>
      <w:r>
        <w:rPr>
          <w:rFonts w:hint="eastAsia"/>
        </w:rPr>
        <w:t>无功补偿单元应包括塑壳断路器、智能电容器及避雷器。</w:t>
      </w:r>
    </w:p>
    <w:p w14:paraId="448BDF06">
      <w:pPr>
        <w:pStyle w:val="76"/>
        <w:bidi w:val="0"/>
        <w:rPr>
          <w:rFonts w:hint="eastAsia"/>
        </w:rPr>
      </w:pPr>
      <w:r>
        <w:rPr>
          <w:rFonts w:hint="eastAsia"/>
        </w:rPr>
        <w:t>塑壳断路器宜采用电子式、带通讯功能，并具有采集数据预留接口。</w:t>
      </w:r>
    </w:p>
    <w:p w14:paraId="18D97BFE">
      <w:pPr>
        <w:pStyle w:val="76"/>
        <w:bidi w:val="0"/>
        <w:rPr>
          <w:rFonts w:hint="eastAsia"/>
        </w:rPr>
      </w:pPr>
      <w:r>
        <w:rPr>
          <w:rFonts w:hint="eastAsia"/>
        </w:rPr>
        <w:t>智能电容器应满足 GB/T 15576</w:t>
      </w:r>
      <w:r>
        <w:rPr>
          <w:rFonts w:hint="eastAsia"/>
          <w:lang w:val="en-US" w:eastAsia="zh-CN"/>
        </w:rPr>
        <w:t>的</w:t>
      </w:r>
      <w:r>
        <w:rPr>
          <w:rFonts w:hint="eastAsia"/>
        </w:rPr>
        <w:t>规定，宜选用小容量电容器组配，实现精细补偿，防止过补偿。补偿容量应不低于变压器容量的 30%，分补与共补比例不得低于 1:3。无功补偿单元应可进行远程投切、补偿参数设置、补偿记录查询、分区段功率因数统计的功能，应能通过电容电流与实际投切电容量的对比，实现电容器的在线状态检测。</w:t>
      </w:r>
    </w:p>
    <w:p w14:paraId="376DEE4B">
      <w:pPr>
        <w:pStyle w:val="76"/>
        <w:bidi w:val="0"/>
        <w:rPr>
          <w:rFonts w:hint="eastAsia"/>
        </w:rPr>
      </w:pPr>
      <w:r>
        <w:rPr>
          <w:rFonts w:hint="eastAsia"/>
        </w:rPr>
        <w:t>应设置避雷器，防止雷电过电压、操作浪涌过电压和其它瞬态过电压对交流电源系统和用电设备造成的损坏。</w:t>
      </w:r>
    </w:p>
    <w:p w14:paraId="11121E1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智能配变终端</w:t>
      </w:r>
    </w:p>
    <w:p w14:paraId="05B70D6A">
      <w:pPr>
        <w:pStyle w:val="20"/>
        <w:bidi w:val="0"/>
        <w:rPr>
          <w:rFonts w:hint="eastAsia"/>
        </w:rPr>
      </w:pPr>
      <w:r>
        <w:rPr>
          <w:rFonts w:hint="eastAsia"/>
        </w:rPr>
        <w:t>通用要求</w:t>
      </w:r>
    </w:p>
    <w:p w14:paraId="7256EDDE">
      <w:pPr>
        <w:pStyle w:val="73"/>
        <w:ind w:firstLine="420"/>
        <w:rPr>
          <w:rFonts w:hint="eastAsia"/>
        </w:rPr>
      </w:pPr>
      <w:r>
        <w:rPr>
          <w:rFonts w:hint="eastAsia"/>
        </w:rPr>
        <w:t>智能配变终端应通过国家级权威检测部门的型式试验及规约一致性测试，且基本性能和技术指标满足DL/T 1442 的规定。</w:t>
      </w:r>
    </w:p>
    <w:p w14:paraId="2DC68357">
      <w:pPr>
        <w:pStyle w:val="20"/>
        <w:bidi w:val="0"/>
        <w:rPr>
          <w:rFonts w:hint="eastAsia"/>
        </w:rPr>
      </w:pPr>
      <w:r>
        <w:rPr>
          <w:rFonts w:hint="eastAsia"/>
        </w:rPr>
        <w:t>电源</w:t>
      </w:r>
    </w:p>
    <w:p w14:paraId="253973BF">
      <w:pPr>
        <w:pStyle w:val="17"/>
        <w:rPr>
          <w:rFonts w:hint="default"/>
          <w:lang w:val="en-US" w:eastAsia="zh-CN"/>
        </w:rPr>
      </w:pPr>
      <w:r>
        <w:rPr>
          <w:rFonts w:hint="eastAsia"/>
          <w:lang w:val="en-US" w:eastAsia="zh-CN"/>
        </w:rPr>
        <w:t>电源应符合以下要求：</w:t>
      </w:r>
    </w:p>
    <w:p w14:paraId="221D1B1B">
      <w:pPr>
        <w:pStyle w:val="46"/>
        <w:numPr>
          <w:numId w:val="30"/>
        </w:numPr>
        <w:bidi w:val="0"/>
        <w:ind w:left="851" w:leftChars="0" w:hanging="426" w:firstLineChars="0"/>
        <w:rPr>
          <w:rFonts w:hint="eastAsia"/>
          <w:lang w:eastAsia="zh-CN"/>
        </w:rPr>
      </w:pPr>
      <w:r>
        <w:rPr>
          <w:rFonts w:hint="eastAsia"/>
        </w:rPr>
        <w:t>使用交流三相四线供电，在断一相或两相电压的条件下，应能维持工作和通信</w:t>
      </w:r>
      <w:r>
        <w:rPr>
          <w:rFonts w:hint="eastAsia"/>
          <w:lang w:eastAsia="zh-CN"/>
        </w:rPr>
        <w:t>；</w:t>
      </w:r>
      <w:r>
        <w:rPr>
          <w:rFonts w:hint="eastAsia"/>
        </w:rPr>
        <w:t>电源电压缓慢上升或缓慢下降均不应误动作或误发信号，在供电电源中断后，电源恢复时，应自动恢复正常运行，存储数据不丢失</w:t>
      </w:r>
      <w:r>
        <w:rPr>
          <w:rFonts w:hint="eastAsia"/>
          <w:lang w:eastAsia="zh-CN"/>
        </w:rPr>
        <w:t>；</w:t>
      </w:r>
    </w:p>
    <w:p w14:paraId="68D4EEE3">
      <w:pPr>
        <w:pStyle w:val="46"/>
        <w:numPr>
          <w:numId w:val="30"/>
        </w:numPr>
        <w:bidi w:val="0"/>
        <w:ind w:left="851" w:leftChars="0" w:hanging="426" w:firstLineChars="0"/>
        <w:rPr>
          <w:rFonts w:hint="eastAsia"/>
          <w:lang w:eastAsia="zh-CN"/>
        </w:rPr>
      </w:pPr>
      <w:r>
        <w:rPr>
          <w:rFonts w:hint="eastAsia"/>
        </w:rPr>
        <w:t>额定电压为 AC 220V/380V，50Hz</w:t>
      </w:r>
      <w:r>
        <w:rPr>
          <w:rFonts w:hint="eastAsia"/>
          <w:lang w:eastAsia="zh-CN"/>
        </w:rPr>
        <w:t>；</w:t>
      </w:r>
    </w:p>
    <w:p w14:paraId="6426882D">
      <w:pPr>
        <w:pStyle w:val="46"/>
        <w:numPr>
          <w:numId w:val="30"/>
        </w:numPr>
        <w:bidi w:val="0"/>
        <w:ind w:left="851" w:leftChars="0" w:hanging="426" w:firstLineChars="0"/>
        <w:rPr>
          <w:rFonts w:hint="eastAsia"/>
          <w:lang w:eastAsia="zh-CN"/>
        </w:rPr>
      </w:pPr>
      <w:r>
        <w:rPr>
          <w:rFonts w:hint="eastAsia"/>
        </w:rPr>
        <w:t>允许偏差为-30%</w:t>
      </w:r>
      <w:r>
        <w:rPr>
          <w:rFonts w:hint="default" w:ascii="Times New Roman" w:hAnsi="Times New Roman" w:cs="Times New Roman"/>
        </w:rPr>
        <w:t>~</w:t>
      </w:r>
      <w:r>
        <w:rPr>
          <w:rFonts w:hint="eastAsia"/>
        </w:rPr>
        <w:t>+30%</w:t>
      </w:r>
      <w:r>
        <w:rPr>
          <w:rFonts w:hint="eastAsia"/>
          <w:lang w:eastAsia="zh-CN"/>
        </w:rPr>
        <w:t>；</w:t>
      </w:r>
    </w:p>
    <w:p w14:paraId="7D556820">
      <w:pPr>
        <w:pStyle w:val="46"/>
        <w:numPr>
          <w:numId w:val="30"/>
        </w:numPr>
        <w:bidi w:val="0"/>
        <w:ind w:left="851" w:leftChars="0" w:hanging="426" w:firstLineChars="0"/>
        <w:rPr>
          <w:rFonts w:hint="eastAsia"/>
        </w:rPr>
      </w:pPr>
      <w:r>
        <w:rPr>
          <w:rFonts w:hint="eastAsia"/>
        </w:rPr>
        <w:t>具有后备电源</w:t>
      </w:r>
      <w:r>
        <w:rPr>
          <w:rFonts w:hint="eastAsia"/>
          <w:lang w:eastAsia="zh-CN"/>
        </w:rPr>
        <w:t>，</w:t>
      </w:r>
      <w:r>
        <w:rPr>
          <w:rFonts w:hint="eastAsia"/>
        </w:rPr>
        <w:t>当终端主电源故障时，超级电容能自动无缝投入，并应维持终端及终端通信模块正常工作至少3分钟，具有完成数据存储并与主站通讯 3 次完成上报数据的能力。</w:t>
      </w:r>
    </w:p>
    <w:p w14:paraId="7A444A45">
      <w:pPr>
        <w:pStyle w:val="20"/>
        <w:bidi w:val="0"/>
        <w:rPr>
          <w:rFonts w:hint="eastAsia"/>
        </w:rPr>
      </w:pPr>
      <w:r>
        <w:rPr>
          <w:rFonts w:hint="eastAsia"/>
        </w:rPr>
        <w:t>通信规约</w:t>
      </w:r>
    </w:p>
    <w:p w14:paraId="109260A3">
      <w:pPr>
        <w:pStyle w:val="73"/>
        <w:ind w:firstLine="420"/>
        <w:rPr>
          <w:rFonts w:hint="eastAsia"/>
        </w:rPr>
      </w:pPr>
      <w:r>
        <w:rPr>
          <w:rFonts w:hint="eastAsia"/>
        </w:rPr>
        <w:t>支持但不限于远动通信规约 DL/T 634.5101、DL/T 634.5104，现场通信规约 MODBUS、DL/T 645。</w:t>
      </w:r>
    </w:p>
    <w:p w14:paraId="6E3C53BF">
      <w:pPr>
        <w:pStyle w:val="20"/>
        <w:bidi w:val="0"/>
        <w:rPr>
          <w:rFonts w:hint="eastAsia"/>
        </w:rPr>
      </w:pPr>
      <w:r>
        <w:rPr>
          <w:rFonts w:hint="eastAsia"/>
        </w:rPr>
        <w:t>通信接口</w:t>
      </w:r>
    </w:p>
    <w:p w14:paraId="55A1DB6A">
      <w:pPr>
        <w:pStyle w:val="73"/>
        <w:ind w:firstLine="420"/>
        <w:rPr>
          <w:rFonts w:hint="default" w:eastAsia="宋体"/>
          <w:lang w:val="en-US" w:eastAsia="zh-CN"/>
        </w:rPr>
      </w:pPr>
      <w:r>
        <w:rPr>
          <w:rFonts w:hint="eastAsia"/>
        </w:rPr>
        <w:t>应</w:t>
      </w:r>
      <w:r>
        <w:rPr>
          <w:rFonts w:hint="eastAsia"/>
          <w:lang w:val="en-US" w:eastAsia="zh-CN"/>
        </w:rPr>
        <w:t>符合一个及以上要求:</w:t>
      </w:r>
    </w:p>
    <w:p w14:paraId="48DDF8EB">
      <w:pPr>
        <w:pStyle w:val="46"/>
        <w:numPr>
          <w:numId w:val="31"/>
        </w:numPr>
        <w:bidi w:val="0"/>
        <w:ind w:left="851" w:leftChars="0" w:hanging="426" w:firstLineChars="0"/>
        <w:rPr>
          <w:rFonts w:hint="eastAsia"/>
        </w:rPr>
      </w:pPr>
      <w:r>
        <w:rPr>
          <w:rFonts w:hint="eastAsia"/>
        </w:rPr>
        <w:t>不少于 1 个无线公网或无线专网接口</w:t>
      </w:r>
      <w:r>
        <w:rPr>
          <w:rFonts w:hint="eastAsia"/>
          <w:lang w:eastAsia="zh-CN"/>
        </w:rPr>
        <w:t>；</w:t>
      </w:r>
    </w:p>
    <w:p w14:paraId="73BE9306">
      <w:pPr>
        <w:pStyle w:val="46"/>
        <w:numPr>
          <w:numId w:val="31"/>
        </w:numPr>
        <w:bidi w:val="0"/>
        <w:ind w:left="851" w:leftChars="0" w:hanging="426" w:firstLineChars="0"/>
        <w:rPr>
          <w:rFonts w:hint="eastAsia"/>
        </w:rPr>
      </w:pPr>
      <w:r>
        <w:rPr>
          <w:rFonts w:hint="eastAsia"/>
        </w:rPr>
        <w:t>不少于 2 个 RS-485 接口</w:t>
      </w:r>
      <w:r>
        <w:rPr>
          <w:rFonts w:hint="eastAsia"/>
          <w:lang w:eastAsia="zh-CN"/>
        </w:rPr>
        <w:t>；</w:t>
      </w:r>
    </w:p>
    <w:p w14:paraId="60605D2C">
      <w:pPr>
        <w:pStyle w:val="46"/>
        <w:numPr>
          <w:numId w:val="31"/>
        </w:numPr>
        <w:bidi w:val="0"/>
        <w:ind w:left="851" w:leftChars="0" w:hanging="426" w:firstLineChars="0"/>
        <w:rPr>
          <w:rFonts w:hint="eastAsia"/>
        </w:rPr>
      </w:pPr>
      <w:r>
        <w:rPr>
          <w:rFonts w:hint="eastAsia"/>
        </w:rPr>
        <w:t>不少于2个 RS-232接口</w:t>
      </w:r>
      <w:r>
        <w:rPr>
          <w:rFonts w:hint="eastAsia"/>
          <w:lang w:eastAsia="zh-CN"/>
        </w:rPr>
        <w:t>；</w:t>
      </w:r>
    </w:p>
    <w:p w14:paraId="10C320CB">
      <w:pPr>
        <w:pStyle w:val="46"/>
        <w:numPr>
          <w:numId w:val="31"/>
        </w:numPr>
        <w:bidi w:val="0"/>
        <w:ind w:left="851" w:leftChars="0" w:hanging="426" w:firstLineChars="0"/>
        <w:rPr>
          <w:rFonts w:hint="eastAsia"/>
        </w:rPr>
      </w:pPr>
      <w:r>
        <w:rPr>
          <w:rFonts w:hint="eastAsia"/>
        </w:rPr>
        <w:t>不少于 1 个电力载波通信接口</w:t>
      </w:r>
      <w:r>
        <w:rPr>
          <w:rFonts w:hint="eastAsia"/>
          <w:lang w:eastAsia="zh-CN"/>
        </w:rPr>
        <w:t>；</w:t>
      </w:r>
    </w:p>
    <w:p w14:paraId="1CE1E863">
      <w:pPr>
        <w:pStyle w:val="46"/>
        <w:numPr>
          <w:numId w:val="31"/>
        </w:numPr>
        <w:bidi w:val="0"/>
        <w:ind w:left="851" w:leftChars="0" w:hanging="426" w:firstLineChars="0"/>
        <w:rPr>
          <w:rFonts w:hint="eastAsia"/>
        </w:rPr>
      </w:pPr>
      <w:r>
        <w:rPr>
          <w:rFonts w:hint="eastAsia"/>
        </w:rPr>
        <w:t>不少于 1 个微功率无线通信接口</w:t>
      </w:r>
      <w:r>
        <w:rPr>
          <w:rFonts w:hint="eastAsia"/>
          <w:lang w:eastAsia="zh-CN"/>
        </w:rPr>
        <w:t>；</w:t>
      </w:r>
    </w:p>
    <w:p w14:paraId="5B69ADE6">
      <w:pPr>
        <w:pStyle w:val="46"/>
        <w:numPr>
          <w:numId w:val="31"/>
        </w:numPr>
        <w:bidi w:val="0"/>
        <w:ind w:left="851" w:leftChars="0" w:hanging="426" w:firstLineChars="0"/>
        <w:rPr>
          <w:rFonts w:hint="eastAsia"/>
        </w:rPr>
      </w:pPr>
      <w:r>
        <w:rPr>
          <w:rFonts w:hint="eastAsia"/>
        </w:rPr>
        <w:t>不少于 1 个 SIM 卡座</w:t>
      </w:r>
      <w:r>
        <w:rPr>
          <w:rFonts w:hint="eastAsia"/>
          <w:lang w:eastAsia="zh-CN"/>
        </w:rPr>
        <w:t>；</w:t>
      </w:r>
    </w:p>
    <w:p w14:paraId="13D0BA0F">
      <w:pPr>
        <w:pStyle w:val="46"/>
        <w:numPr>
          <w:numId w:val="31"/>
        </w:numPr>
        <w:bidi w:val="0"/>
        <w:ind w:left="851" w:leftChars="0" w:hanging="426" w:firstLineChars="0"/>
        <w:rPr>
          <w:rFonts w:hint="eastAsia"/>
        </w:rPr>
      </w:pPr>
      <w:r>
        <w:rPr>
          <w:rFonts w:hint="eastAsia"/>
        </w:rPr>
        <w:t>不少于 2 个以太网接口</w:t>
      </w:r>
      <w:r>
        <w:rPr>
          <w:rFonts w:hint="eastAsia"/>
          <w:lang w:eastAsia="zh-CN"/>
        </w:rPr>
        <w:t>；</w:t>
      </w:r>
    </w:p>
    <w:p w14:paraId="5770E3EF">
      <w:pPr>
        <w:pStyle w:val="46"/>
        <w:numPr>
          <w:numId w:val="31"/>
        </w:numPr>
        <w:bidi w:val="0"/>
        <w:ind w:left="851" w:leftChars="0" w:hanging="426" w:firstLineChars="0"/>
        <w:rPr>
          <w:rFonts w:hint="eastAsia"/>
        </w:rPr>
      </w:pPr>
      <w:r>
        <w:rPr>
          <w:rFonts w:hint="eastAsia"/>
        </w:rPr>
        <w:t>不少于 4 路开关量输入接口且采用无源节点输入</w:t>
      </w:r>
      <w:r>
        <w:rPr>
          <w:rFonts w:hint="eastAsia"/>
          <w:lang w:eastAsia="zh-CN"/>
        </w:rPr>
        <w:t>；</w:t>
      </w:r>
    </w:p>
    <w:p w14:paraId="38E40F5B">
      <w:pPr>
        <w:pStyle w:val="46"/>
        <w:numPr>
          <w:numId w:val="31"/>
        </w:numPr>
        <w:bidi w:val="0"/>
        <w:ind w:left="851" w:leftChars="0" w:hanging="426" w:firstLineChars="0"/>
        <w:rPr>
          <w:rFonts w:hint="eastAsia"/>
        </w:rPr>
      </w:pPr>
      <w:r>
        <w:rPr>
          <w:rFonts w:hint="eastAsia"/>
        </w:rPr>
        <w:t>1 个卫星授时接口</w:t>
      </w:r>
      <w:r>
        <w:rPr>
          <w:rFonts w:hint="eastAsia"/>
          <w:lang w:eastAsia="zh-CN"/>
        </w:rPr>
        <w:t>；</w:t>
      </w:r>
    </w:p>
    <w:p w14:paraId="6B14DB7D">
      <w:pPr>
        <w:pStyle w:val="46"/>
        <w:numPr>
          <w:numId w:val="31"/>
        </w:numPr>
        <w:bidi w:val="0"/>
        <w:ind w:left="851" w:leftChars="0" w:hanging="426" w:firstLineChars="0"/>
        <w:rPr>
          <w:rFonts w:hint="eastAsia"/>
          <w:lang w:eastAsia="zh-CN"/>
        </w:rPr>
      </w:pPr>
      <w:r>
        <w:rPr>
          <w:rFonts w:hint="eastAsia"/>
        </w:rPr>
        <w:t>宜具备三线制 PT100 接口</w:t>
      </w:r>
      <w:r>
        <w:rPr>
          <w:rFonts w:hint="eastAsia"/>
          <w:lang w:eastAsia="zh-CN"/>
        </w:rPr>
        <w:t>：</w:t>
      </w:r>
    </w:p>
    <w:p w14:paraId="7D2A4ED1">
      <w:pPr>
        <w:pStyle w:val="47"/>
        <w:bidi w:val="0"/>
        <w:ind w:left="1276" w:leftChars="0" w:hanging="425" w:firstLineChars="0"/>
        <w:rPr>
          <w:rFonts w:hint="eastAsia"/>
        </w:rPr>
      </w:pPr>
      <w:r>
        <w:rPr>
          <w:rFonts w:hint="eastAsia"/>
        </w:rPr>
        <w:t>变压器油温信号输入为 PT100 分度号热电阻，测量范围 0</w:t>
      </w:r>
      <w:r>
        <w:rPr>
          <w:rFonts w:hint="default" w:ascii="Times New Roman" w:hAnsi="Times New Roman" w:cs="Times New Roman"/>
        </w:rPr>
        <w:t>~</w:t>
      </w:r>
      <w:r>
        <w:rPr>
          <w:rFonts w:hint="eastAsia"/>
        </w:rPr>
        <w:t>200℃，精度误差≤1℃；</w:t>
      </w:r>
    </w:p>
    <w:p w14:paraId="23D8125C">
      <w:pPr>
        <w:pStyle w:val="47"/>
        <w:bidi w:val="0"/>
        <w:ind w:left="1276" w:leftChars="0" w:hanging="425" w:firstLineChars="0"/>
        <w:rPr>
          <w:rFonts w:hint="eastAsia"/>
        </w:rPr>
      </w:pPr>
      <w:r>
        <w:rPr>
          <w:rFonts w:hint="eastAsia"/>
        </w:rPr>
        <w:t>环境温度信号输入为4mA</w:t>
      </w:r>
      <w:r>
        <w:rPr>
          <w:rFonts w:hint="default" w:ascii="Times New Roman" w:hAnsi="Times New Roman" w:cs="Times New Roman"/>
        </w:rPr>
        <w:t>~</w:t>
      </w:r>
      <w:r>
        <w:rPr>
          <w:rFonts w:hint="eastAsia"/>
        </w:rPr>
        <w:t>20mA，测量范围-40℃</w:t>
      </w:r>
      <w:r>
        <w:rPr>
          <w:rFonts w:hint="default" w:ascii="Times New Roman" w:hAnsi="Times New Roman" w:cs="Times New Roman"/>
        </w:rPr>
        <w:t>~</w:t>
      </w:r>
      <w:r>
        <w:rPr>
          <w:rFonts w:hint="eastAsia"/>
        </w:rPr>
        <w:t>85℃，精度误差≤0.5℃；</w:t>
      </w:r>
    </w:p>
    <w:p w14:paraId="38583724">
      <w:pPr>
        <w:pStyle w:val="47"/>
        <w:bidi w:val="0"/>
        <w:ind w:left="1276" w:leftChars="0" w:hanging="425" w:firstLineChars="0"/>
        <w:rPr>
          <w:rFonts w:hint="eastAsia"/>
        </w:rPr>
      </w:pPr>
      <w:r>
        <w:rPr>
          <w:rFonts w:hint="eastAsia"/>
        </w:rPr>
        <w:t>环境湿度信号输入为4mA</w:t>
      </w:r>
      <w:r>
        <w:rPr>
          <w:rFonts w:hint="default" w:ascii="Times New Roman" w:hAnsi="Times New Roman" w:cs="Times New Roman"/>
        </w:rPr>
        <w:t>~</w:t>
      </w:r>
      <w:r>
        <w:rPr>
          <w:rFonts w:hint="eastAsia"/>
        </w:rPr>
        <w:t>20mA，测量范围0%RH</w:t>
      </w:r>
      <w:r>
        <w:rPr>
          <w:rFonts w:hint="default" w:ascii="Times New Roman" w:hAnsi="Times New Roman" w:cs="Times New Roman"/>
        </w:rPr>
        <w:t>~</w:t>
      </w:r>
      <w:r>
        <w:rPr>
          <w:rFonts w:hint="eastAsia"/>
        </w:rPr>
        <w:t>100% RH，精度误差≤2% RH。</w:t>
      </w:r>
    </w:p>
    <w:p w14:paraId="3A44506B">
      <w:pPr>
        <w:pStyle w:val="73"/>
        <w:ind w:firstLine="420"/>
        <w:rPr>
          <w:rFonts w:hint="eastAsia"/>
        </w:rPr>
      </w:pPr>
      <w:r>
        <w:rPr>
          <w:rFonts w:hint="eastAsia"/>
        </w:rPr>
        <w:t>无线公网、电力无线专网、电力线载波、微功率无线等通信模块应采用模块化设计，根据需求更换和选择。</w:t>
      </w:r>
    </w:p>
    <w:p w14:paraId="5954B18C">
      <w:pPr>
        <w:pStyle w:val="20"/>
        <w:bidi w:val="0"/>
        <w:rPr>
          <w:rFonts w:hint="eastAsia"/>
        </w:rPr>
      </w:pPr>
      <w:r>
        <w:rPr>
          <w:rFonts w:hint="eastAsia"/>
        </w:rPr>
        <w:t>数据传输信道</w:t>
      </w:r>
    </w:p>
    <w:p w14:paraId="7310E6A1">
      <w:pPr>
        <w:pStyle w:val="73"/>
        <w:ind w:firstLine="420"/>
        <w:rPr>
          <w:rFonts w:hint="eastAsia"/>
        </w:rPr>
      </w:pPr>
      <w:r>
        <w:rPr>
          <w:rFonts w:hint="eastAsia"/>
        </w:rPr>
        <w:t>上行通信方式优先选用光纤专网，电力线载波通信、无线专网、无线公网等通信方式备用。下行通信方式支持光纤专网、电力线载波通信、微功率无线、RS485、RS232、PT100 等多种通信方式。</w:t>
      </w:r>
    </w:p>
    <w:p w14:paraId="3FDAFB50">
      <w:pPr>
        <w:pStyle w:val="20"/>
        <w:bidi w:val="0"/>
        <w:rPr>
          <w:rFonts w:hint="eastAsia"/>
        </w:rPr>
      </w:pPr>
      <w:r>
        <w:rPr>
          <w:rFonts w:hint="eastAsia"/>
        </w:rPr>
        <w:t>控制输出</w:t>
      </w:r>
    </w:p>
    <w:p w14:paraId="384905F0">
      <w:pPr>
        <w:pStyle w:val="21"/>
        <w:bidi w:val="0"/>
        <w:rPr>
          <w:rFonts w:hint="eastAsia"/>
        </w:rPr>
      </w:pPr>
      <w:r>
        <w:rPr>
          <w:rFonts w:hint="eastAsia"/>
          <w:lang w:val="en-US" w:eastAsia="zh-CN"/>
        </w:rPr>
        <w:t>触电额定功率</w:t>
      </w:r>
    </w:p>
    <w:p w14:paraId="0B421B9D">
      <w:pPr>
        <w:pStyle w:val="73"/>
        <w:ind w:firstLine="420"/>
        <w:rPr>
          <w:rFonts w:hint="eastAsia"/>
        </w:rPr>
      </w:pPr>
      <w:r>
        <w:rPr>
          <w:rFonts w:hint="eastAsia"/>
        </w:rPr>
        <w:t>交流 250V/5A、380V/2A 或直流 110V/0.5A 的纯电阻负载。</w:t>
      </w:r>
    </w:p>
    <w:p w14:paraId="642509EA">
      <w:pPr>
        <w:pStyle w:val="21"/>
        <w:bidi w:val="0"/>
        <w:rPr>
          <w:rFonts w:hint="eastAsia"/>
        </w:rPr>
      </w:pPr>
      <w:r>
        <w:rPr>
          <w:rFonts w:hint="eastAsia"/>
        </w:rPr>
        <w:t>遥控</w:t>
      </w:r>
    </w:p>
    <w:p w14:paraId="144AF9EF">
      <w:pPr>
        <w:pStyle w:val="73"/>
        <w:ind w:firstLine="420"/>
        <w:rPr>
          <w:rFonts w:hint="eastAsia"/>
        </w:rPr>
      </w:pPr>
      <w:r>
        <w:rPr>
          <w:rFonts w:hint="eastAsia"/>
        </w:rPr>
        <w:t>功能应能接收、返校并执行主站下发的遥控命令，接收并执行主站下发的复归命令，可调整输出保持时间。</w:t>
      </w:r>
    </w:p>
    <w:p w14:paraId="133A0426">
      <w:pPr>
        <w:pStyle w:val="21"/>
        <w:bidi w:val="0"/>
        <w:rPr>
          <w:rFonts w:hint="eastAsia"/>
        </w:rPr>
      </w:pPr>
      <w:r>
        <w:rPr>
          <w:rFonts w:hint="eastAsia"/>
        </w:rPr>
        <w:t>遥信</w:t>
      </w:r>
    </w:p>
    <w:p w14:paraId="32FEB774">
      <w:pPr>
        <w:pStyle w:val="73"/>
        <w:ind w:firstLine="420"/>
        <w:rPr>
          <w:rFonts w:hint="eastAsia"/>
        </w:rPr>
      </w:pPr>
      <w:r>
        <w:rPr>
          <w:rFonts w:hint="eastAsia"/>
        </w:rPr>
        <w:t>功能应能准确采集数字量输入信号，并将相应数据上传主站，可调整遥信采集分辨率。</w:t>
      </w:r>
    </w:p>
    <w:p w14:paraId="15F4737D">
      <w:pPr>
        <w:pStyle w:val="21"/>
        <w:bidi w:val="0"/>
        <w:rPr>
          <w:rFonts w:hint="eastAsia"/>
        </w:rPr>
      </w:pPr>
      <w:r>
        <w:rPr>
          <w:rFonts w:hint="eastAsia"/>
        </w:rPr>
        <w:t>遥测</w:t>
      </w:r>
    </w:p>
    <w:p w14:paraId="2609FE2C">
      <w:pPr>
        <w:pStyle w:val="17"/>
        <w:bidi w:val="0"/>
        <w:rPr>
          <w:rFonts w:hint="eastAsia"/>
        </w:rPr>
      </w:pPr>
      <w:r>
        <w:rPr>
          <w:rFonts w:hint="eastAsia"/>
        </w:rPr>
        <w:t>应能准确采集模拟量数据，能够进行数据运算、数据筛选、压缩等数据处理，能够将遥测数据上传主站。应能通过通信方式远程对从站进行参数调整，能够进行控制元件的参数设置。</w:t>
      </w:r>
    </w:p>
    <w:p w14:paraId="18476276">
      <w:pPr>
        <w:pStyle w:val="21"/>
        <w:bidi w:val="0"/>
        <w:rPr>
          <w:rFonts w:hint="eastAsia"/>
        </w:rPr>
      </w:pPr>
      <w:r>
        <w:rPr>
          <w:rFonts w:hint="eastAsia"/>
        </w:rPr>
        <w:t>故障判断</w:t>
      </w:r>
    </w:p>
    <w:p w14:paraId="59D8CBEF">
      <w:pPr>
        <w:pStyle w:val="73"/>
        <w:ind w:firstLine="420"/>
        <w:rPr>
          <w:rFonts w:hint="eastAsia"/>
        </w:rPr>
      </w:pPr>
      <w:r>
        <w:rPr>
          <w:rFonts w:hint="eastAsia"/>
        </w:rPr>
        <w:t>应能实现对各种运行方式下的故障进行记录、判定及上传，各种故障判断参数可调整。</w:t>
      </w:r>
    </w:p>
    <w:p w14:paraId="39914F26">
      <w:pPr>
        <w:pStyle w:val="21"/>
        <w:bidi w:val="0"/>
        <w:rPr>
          <w:rFonts w:hint="eastAsia"/>
        </w:rPr>
      </w:pPr>
      <w:r>
        <w:rPr>
          <w:rFonts w:hint="eastAsia"/>
        </w:rPr>
        <w:t>报警</w:t>
      </w:r>
    </w:p>
    <w:p w14:paraId="3CE5901F">
      <w:pPr>
        <w:pStyle w:val="73"/>
        <w:ind w:firstLine="420"/>
        <w:rPr>
          <w:rFonts w:hint="eastAsia"/>
        </w:rPr>
      </w:pPr>
      <w:r>
        <w:rPr>
          <w:rFonts w:hint="eastAsia"/>
        </w:rPr>
        <w:t>当遥测值超过定值时，能够产生报警信息</w:t>
      </w:r>
    </w:p>
    <w:p w14:paraId="7D2F62C2">
      <w:pPr>
        <w:pStyle w:val="21"/>
        <w:bidi w:val="0"/>
        <w:rPr>
          <w:rFonts w:hint="eastAsia"/>
        </w:rPr>
      </w:pPr>
      <w:r>
        <w:rPr>
          <w:rFonts w:hint="eastAsia"/>
        </w:rPr>
        <w:t>存储功能</w:t>
      </w:r>
    </w:p>
    <w:p w14:paraId="270B5E21">
      <w:pPr>
        <w:pStyle w:val="73"/>
        <w:ind w:firstLine="420"/>
        <w:rPr>
          <w:rFonts w:hint="eastAsia"/>
        </w:rPr>
      </w:pPr>
      <w:r>
        <w:rPr>
          <w:rFonts w:hint="eastAsia"/>
        </w:rPr>
        <w:t>存储各采集值，并具备断电不丢失功能。</w:t>
      </w:r>
    </w:p>
    <w:p w14:paraId="3B7A3E5E">
      <w:pPr>
        <w:pStyle w:val="21"/>
        <w:bidi w:val="0"/>
        <w:rPr>
          <w:rFonts w:hint="eastAsia"/>
        </w:rPr>
      </w:pPr>
      <w:r>
        <w:rPr>
          <w:rFonts w:hint="eastAsia"/>
        </w:rPr>
        <w:t>时钟</w:t>
      </w:r>
    </w:p>
    <w:p w14:paraId="1C4221DB">
      <w:pPr>
        <w:pStyle w:val="73"/>
        <w:ind w:firstLine="420"/>
        <w:rPr>
          <w:rFonts w:hint="eastAsia"/>
        </w:rPr>
      </w:pPr>
      <w:r>
        <w:rPr>
          <w:rFonts w:hint="eastAsia"/>
        </w:rPr>
        <w:t>接收来自主站的软件对钟，电源恢复后内部时钟正常运行。</w:t>
      </w:r>
    </w:p>
    <w:p w14:paraId="1392DB9C">
      <w:pPr>
        <w:pStyle w:val="21"/>
        <w:bidi w:val="0"/>
        <w:rPr>
          <w:rFonts w:hint="eastAsia"/>
        </w:rPr>
      </w:pPr>
      <w:r>
        <w:rPr>
          <w:rFonts w:hint="eastAsia"/>
        </w:rPr>
        <w:t>维护调试</w:t>
      </w:r>
    </w:p>
    <w:p w14:paraId="59413B85">
      <w:pPr>
        <w:pStyle w:val="73"/>
        <w:ind w:firstLine="420"/>
        <w:rPr>
          <w:rFonts w:hint="eastAsia"/>
        </w:rPr>
      </w:pPr>
      <w:r>
        <w:rPr>
          <w:rFonts w:hint="eastAsia"/>
        </w:rPr>
        <w:t>应符合以下要求:</w:t>
      </w:r>
    </w:p>
    <w:p w14:paraId="7A0C04D6">
      <w:pPr>
        <w:pStyle w:val="46"/>
        <w:numPr>
          <w:numId w:val="32"/>
        </w:numPr>
        <w:bidi w:val="0"/>
        <w:ind w:left="851" w:leftChars="0" w:hanging="426" w:firstLineChars="0"/>
        <w:rPr>
          <w:rFonts w:hint="eastAsia"/>
        </w:rPr>
      </w:pPr>
      <w:r>
        <w:rPr>
          <w:rFonts w:hint="eastAsia"/>
        </w:rPr>
        <w:t>支持运程维护和本地维护功能，可查看装置的各类配置信息、运行记录和自检状况</w:t>
      </w:r>
    </w:p>
    <w:p w14:paraId="59B8EE24">
      <w:pPr>
        <w:pStyle w:val="46"/>
        <w:numPr>
          <w:numId w:val="32"/>
        </w:numPr>
        <w:bidi w:val="0"/>
        <w:ind w:left="851" w:leftChars="0" w:hanging="426" w:firstLineChars="0"/>
        <w:rPr>
          <w:rFonts w:hint="eastAsia"/>
        </w:rPr>
      </w:pPr>
      <w:r>
        <w:rPr>
          <w:rFonts w:hint="eastAsia"/>
        </w:rPr>
        <w:t>支持应用程序和数据库的远程下载</w:t>
      </w:r>
      <w:r>
        <w:rPr>
          <w:rFonts w:hint="eastAsia"/>
          <w:lang w:eastAsia="zh-CN"/>
        </w:rPr>
        <w:t>；</w:t>
      </w:r>
    </w:p>
    <w:p w14:paraId="08300A80">
      <w:pPr>
        <w:pStyle w:val="46"/>
        <w:numPr>
          <w:numId w:val="32"/>
        </w:numPr>
        <w:bidi w:val="0"/>
        <w:ind w:left="851" w:leftChars="0" w:hanging="426" w:firstLineChars="0"/>
        <w:rPr>
          <w:rFonts w:hint="eastAsia"/>
        </w:rPr>
      </w:pPr>
      <w:r>
        <w:rPr>
          <w:rFonts w:hint="eastAsia"/>
        </w:rPr>
        <w:t>在终端初次接入主站时，自动完成信息的注册;在终端上送主站信息变更时</w:t>
      </w:r>
      <w:r>
        <w:rPr>
          <w:rFonts w:hint="eastAsia"/>
          <w:lang w:eastAsia="zh-CN"/>
        </w:rPr>
        <w:t>，</w:t>
      </w:r>
      <w:r>
        <w:rPr>
          <w:rFonts w:hint="eastAsia"/>
        </w:rPr>
        <w:t>主动告知主站系统终端信息接口，实现终端在主站系统的即插即用功能。</w:t>
      </w:r>
    </w:p>
    <w:p w14:paraId="2FECC984">
      <w:pPr>
        <w:pStyle w:val="21"/>
        <w:bidi w:val="0"/>
        <w:rPr>
          <w:rFonts w:hint="eastAsia"/>
        </w:rPr>
      </w:pPr>
      <w:r>
        <w:rPr>
          <w:rFonts w:hint="eastAsia"/>
        </w:rPr>
        <w:t>安全防护</w:t>
      </w:r>
    </w:p>
    <w:p w14:paraId="155BF414">
      <w:pPr>
        <w:pStyle w:val="22"/>
        <w:bidi w:val="0"/>
        <w:rPr>
          <w:rFonts w:hint="eastAsia"/>
        </w:rPr>
      </w:pPr>
      <w:r>
        <w:rPr>
          <w:rFonts w:hint="eastAsia"/>
        </w:rPr>
        <w:t>防盗</w:t>
      </w:r>
    </w:p>
    <w:p w14:paraId="7694E36D">
      <w:pPr>
        <w:pStyle w:val="73"/>
        <w:ind w:firstLine="420"/>
        <w:rPr>
          <w:rFonts w:hint="eastAsia"/>
        </w:rPr>
      </w:pPr>
      <w:r>
        <w:rPr>
          <w:rFonts w:hint="eastAsia"/>
        </w:rPr>
        <w:t>对变压器台区关键设施配电变压器等进行实时监测，对监测到的异常信息及时上传，并将设施的名称、地点等信息告知相关人员。</w:t>
      </w:r>
    </w:p>
    <w:p w14:paraId="69C08ECD">
      <w:pPr>
        <w:pStyle w:val="22"/>
        <w:bidi w:val="0"/>
        <w:rPr>
          <w:rFonts w:hint="eastAsia"/>
        </w:rPr>
      </w:pPr>
      <w:r>
        <w:rPr>
          <w:rFonts w:hint="eastAsia"/>
        </w:rPr>
        <w:t>防窃电</w:t>
      </w:r>
    </w:p>
    <w:p w14:paraId="26EE4F82">
      <w:pPr>
        <w:pStyle w:val="73"/>
        <w:ind w:firstLine="420"/>
        <w:rPr>
          <w:rFonts w:hint="eastAsia"/>
        </w:rPr>
      </w:pPr>
      <w:r>
        <w:rPr>
          <w:rFonts w:hint="eastAsia"/>
        </w:rPr>
        <w:t>对配电台区用电信息进行实时在线监测，发现异常后，启动异常处理流程，对非正常用电信息及时上传警示，防止窃电行为的发生。</w:t>
      </w:r>
    </w:p>
    <w:p w14:paraId="05A5BFDB">
      <w:pPr>
        <w:pStyle w:val="22"/>
        <w:bidi w:val="0"/>
        <w:rPr>
          <w:rFonts w:hint="eastAsia"/>
        </w:rPr>
      </w:pPr>
      <w:r>
        <w:rPr>
          <w:rFonts w:hint="eastAsia"/>
        </w:rPr>
        <w:t>信息安全</w:t>
      </w:r>
    </w:p>
    <w:p w14:paraId="3CFB3DC5">
      <w:pPr>
        <w:pStyle w:val="73"/>
        <w:ind w:firstLine="420"/>
        <w:rPr>
          <w:rFonts w:hint="eastAsia"/>
        </w:rPr>
      </w:pPr>
      <w:r>
        <w:rPr>
          <w:rFonts w:hint="eastAsia"/>
        </w:rPr>
        <w:t>应采用国家秘密管理局认可并满足《电力二次系统安全防护规定》要求的加密认证措施，实现对配电台区数据存储、传输的加解密，保证数据的准确性、可靠性和安全性。</w:t>
      </w:r>
    </w:p>
    <w:p w14:paraId="29460EA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辅助设备</w:t>
      </w:r>
    </w:p>
    <w:p w14:paraId="03F48CCB">
      <w:pPr>
        <w:pStyle w:val="20"/>
        <w:bidi w:val="0"/>
        <w:rPr>
          <w:rFonts w:hint="eastAsia"/>
        </w:rPr>
      </w:pPr>
      <w:r>
        <w:rPr>
          <w:rFonts w:hint="eastAsia"/>
        </w:rPr>
        <w:t>照明设备</w:t>
      </w:r>
    </w:p>
    <w:p w14:paraId="2D346B42">
      <w:pPr>
        <w:pStyle w:val="73"/>
        <w:ind w:firstLine="420"/>
        <w:rPr>
          <w:rFonts w:hint="eastAsia"/>
        </w:rPr>
      </w:pPr>
      <w:r>
        <w:rPr>
          <w:rFonts w:hint="eastAsia"/>
        </w:rPr>
        <w:t>照明装置与室内门联锁，随着门的开、关自动控制箱内照明的通断。</w:t>
      </w:r>
    </w:p>
    <w:p w14:paraId="42C89450">
      <w:pPr>
        <w:pStyle w:val="20"/>
        <w:bidi w:val="0"/>
        <w:rPr>
          <w:rFonts w:hint="eastAsia"/>
        </w:rPr>
      </w:pPr>
      <w:r>
        <w:rPr>
          <w:rFonts w:hint="eastAsia"/>
        </w:rPr>
        <w:t>门控报警</w:t>
      </w:r>
    </w:p>
    <w:p w14:paraId="00D6263C">
      <w:pPr>
        <w:pStyle w:val="73"/>
        <w:ind w:firstLine="420"/>
        <w:rPr>
          <w:rFonts w:hint="eastAsia"/>
        </w:rPr>
      </w:pPr>
      <w:r>
        <w:rPr>
          <w:rFonts w:hint="eastAsia"/>
        </w:rPr>
        <w:t>配电箱对外开启的门应有开启的报警功能，并通过配变终端上传进行信息采集。</w:t>
      </w:r>
    </w:p>
    <w:p w14:paraId="104AC0CE">
      <w:pPr>
        <w:pStyle w:val="20"/>
        <w:bidi w:val="0"/>
        <w:rPr>
          <w:rFonts w:hint="eastAsia"/>
        </w:rPr>
      </w:pPr>
      <w:r>
        <w:rPr>
          <w:rFonts w:hint="eastAsia"/>
        </w:rPr>
        <w:t>智能除湿及散热系统</w:t>
      </w:r>
    </w:p>
    <w:p w14:paraId="7BF3C235">
      <w:pPr>
        <w:pStyle w:val="73"/>
        <w:ind w:firstLine="420"/>
        <w:rPr>
          <w:rFonts w:hint="eastAsia"/>
        </w:rPr>
      </w:pPr>
      <w:r>
        <w:rPr>
          <w:rFonts w:hint="eastAsia"/>
        </w:rPr>
        <w:t>箱内应加装智能除湿及散热装置，由温湿度传感器上传配变终端实现自动控制，安装后不得影响其他设备运行及降低配电箱的防护等级。</w:t>
      </w:r>
    </w:p>
    <w:p w14:paraId="43282645">
      <w:pPr>
        <w:pStyle w:val="20"/>
        <w:bidi w:val="0"/>
        <w:rPr>
          <w:rFonts w:hint="eastAsia"/>
        </w:rPr>
      </w:pPr>
      <w:r>
        <w:rPr>
          <w:rFonts w:hint="eastAsia"/>
        </w:rPr>
        <w:t>应急电源接口</w:t>
      </w:r>
    </w:p>
    <w:p w14:paraId="5E3A7F4F">
      <w:pPr>
        <w:pStyle w:val="73"/>
        <w:ind w:firstLine="420"/>
        <w:rPr>
          <w:rFonts w:hint="eastAsia"/>
        </w:rPr>
      </w:pPr>
      <w:r>
        <w:rPr>
          <w:rFonts w:hint="eastAsia"/>
        </w:rPr>
        <w:t>配电箱配备应急电源接口，由应急电源插拔式快连插座组件组成，额定电流应不小于700A，采用单相接口，每台安装4个插座与铜排连接，相序为A，B，C，N，每相必须有相位标识。在正常工作条件下，按规定条件进行试验时，机械寿命不应低于10000次。</w:t>
      </w:r>
    </w:p>
    <w:p w14:paraId="458B925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结构要求</w:t>
      </w:r>
    </w:p>
    <w:p w14:paraId="2C742811">
      <w:pPr>
        <w:pStyle w:val="20"/>
        <w:bidi w:val="0"/>
        <w:rPr>
          <w:rFonts w:hint="eastAsia"/>
        </w:rPr>
      </w:pPr>
      <w:r>
        <w:rPr>
          <w:rFonts w:hint="eastAsia"/>
        </w:rPr>
        <w:t>箱体</w:t>
      </w:r>
    </w:p>
    <w:p w14:paraId="1D165AA4">
      <w:pPr>
        <w:pStyle w:val="73"/>
        <w:ind w:firstLine="420"/>
        <w:rPr>
          <w:rFonts w:hint="eastAsia"/>
        </w:rPr>
      </w:pPr>
      <w:r>
        <w:rPr>
          <w:rFonts w:hint="eastAsia"/>
        </w:rPr>
        <w:t>箱体应符合 GB/T 20641 要求，</w:t>
      </w:r>
    </w:p>
    <w:p w14:paraId="38F094DF">
      <w:pPr>
        <w:pStyle w:val="46"/>
        <w:numPr>
          <w:numId w:val="33"/>
        </w:numPr>
        <w:bidi w:val="0"/>
        <w:ind w:left="851" w:leftChars="0" w:hanging="426" w:firstLineChars="0"/>
        <w:rPr>
          <w:rFonts w:hint="eastAsia"/>
          <w:lang w:eastAsia="zh-CN"/>
        </w:rPr>
      </w:pPr>
      <w:r>
        <w:rPr>
          <w:rFonts w:hint="eastAsia"/>
          <w:lang w:val="en-US" w:eastAsia="zh-CN"/>
        </w:rPr>
        <w:t>箱体应</w:t>
      </w:r>
      <w:r>
        <w:rPr>
          <w:rFonts w:hint="eastAsia"/>
        </w:rPr>
        <w:t>为密封、防腐蚀、且顶部应有隔热层的户外式箱体，具有防水、防潮、防凝露，抗冲击、防盗、防破坏能力。充分考虑通风散热，在箱体两侧壁上加工散热孔，散热孔应加不锈钢防护网且孔径不应大于 1mm，不影响箱体防护等级</w:t>
      </w:r>
      <w:r>
        <w:rPr>
          <w:rFonts w:hint="eastAsia"/>
          <w:lang w:eastAsia="zh-CN"/>
        </w:rPr>
        <w:t>；</w:t>
      </w:r>
    </w:p>
    <w:p w14:paraId="7CE5CCCF">
      <w:pPr>
        <w:pStyle w:val="46"/>
        <w:numPr>
          <w:numId w:val="33"/>
        </w:numPr>
        <w:bidi w:val="0"/>
        <w:ind w:left="851" w:leftChars="0" w:hanging="426" w:firstLineChars="0"/>
        <w:rPr>
          <w:rFonts w:hint="eastAsia"/>
          <w:lang w:eastAsia="zh-CN"/>
        </w:rPr>
      </w:pPr>
      <w:r>
        <w:rPr>
          <w:rFonts w:hint="eastAsia"/>
        </w:rPr>
        <w:t>箱体有足够的机械强度，薄弱位置应增加加强筋，有足够的强度确保在正常起吊、运输、安装中不会变形或损伤，应提供搬运吊耳环等附件，方便现场安装和施工</w:t>
      </w:r>
      <w:r>
        <w:rPr>
          <w:rFonts w:hint="eastAsia"/>
          <w:lang w:eastAsia="zh-CN"/>
        </w:rPr>
        <w:t>；</w:t>
      </w:r>
    </w:p>
    <w:p w14:paraId="3B8187EB">
      <w:pPr>
        <w:pStyle w:val="46"/>
        <w:numPr>
          <w:numId w:val="34"/>
        </w:numPr>
        <w:bidi w:val="0"/>
        <w:ind w:left="851" w:leftChars="0" w:hanging="426" w:firstLineChars="0"/>
        <w:rPr>
          <w:rFonts w:hint="eastAsia"/>
          <w:lang w:eastAsia="zh-CN"/>
        </w:rPr>
      </w:pPr>
      <w:r>
        <w:rPr>
          <w:rFonts w:hint="eastAsia"/>
        </w:rPr>
        <w:t>箱体顶盖采用斜坡设计，倾度大于 5°，确保箱体顶部不积水，装设防水檐，防淋水，防止顶盖下沿锈蚀</w:t>
      </w:r>
      <w:r>
        <w:rPr>
          <w:rFonts w:hint="eastAsia"/>
          <w:lang w:eastAsia="zh-CN"/>
        </w:rPr>
        <w:t>；</w:t>
      </w:r>
    </w:p>
    <w:p w14:paraId="103C587B">
      <w:pPr>
        <w:pStyle w:val="46"/>
        <w:numPr>
          <w:numId w:val="34"/>
        </w:numPr>
        <w:bidi w:val="0"/>
        <w:ind w:left="851" w:leftChars="0" w:hanging="426" w:firstLineChars="0"/>
        <w:rPr>
          <w:rFonts w:hint="eastAsia"/>
          <w:lang w:eastAsia="zh-CN"/>
        </w:rPr>
      </w:pPr>
      <w:r>
        <w:rPr>
          <w:rFonts w:hint="eastAsia"/>
        </w:rPr>
        <w:t>箱体可采用双面开门，双面安装设计，箱门应开启灵活，开启角度应大于 100°</w:t>
      </w:r>
      <w:r>
        <w:rPr>
          <w:rFonts w:hint="eastAsia"/>
          <w:lang w:eastAsia="zh-CN"/>
        </w:rPr>
        <w:t>；</w:t>
      </w:r>
    </w:p>
    <w:p w14:paraId="33DE7D3D">
      <w:pPr>
        <w:pStyle w:val="46"/>
        <w:numPr>
          <w:numId w:val="34"/>
        </w:numPr>
        <w:bidi w:val="0"/>
        <w:ind w:left="851" w:leftChars="0" w:hanging="426" w:firstLineChars="0"/>
        <w:rPr>
          <w:rFonts w:hint="eastAsia"/>
          <w:lang w:eastAsia="zh-CN"/>
        </w:rPr>
      </w:pPr>
      <w:r>
        <w:rPr>
          <w:rFonts w:hint="eastAsia"/>
        </w:rPr>
        <w:t>密封圈选用优质的 O 型密封圈或采用压紧防水阻燃泡沫材料，密封良好，应能防风沙、防腐、防潮，防护等级满足 IP44 的要求</w:t>
      </w:r>
      <w:r>
        <w:rPr>
          <w:rFonts w:hint="eastAsia"/>
          <w:lang w:eastAsia="zh-CN"/>
        </w:rPr>
        <w:t>。</w:t>
      </w:r>
      <w:r>
        <w:rPr>
          <w:rFonts w:hint="eastAsia"/>
        </w:rPr>
        <w:t>箱门要求平整，不变形，箱门应有加强措施，并能有效地与 O 型密封圈配合</w:t>
      </w:r>
      <w:r>
        <w:rPr>
          <w:rFonts w:hint="eastAsia"/>
          <w:lang w:eastAsia="zh-CN"/>
        </w:rPr>
        <w:t>；</w:t>
      </w:r>
    </w:p>
    <w:p w14:paraId="7922B3F8">
      <w:pPr>
        <w:pStyle w:val="46"/>
        <w:numPr>
          <w:numId w:val="34"/>
        </w:numPr>
        <w:bidi w:val="0"/>
        <w:ind w:left="851" w:leftChars="0" w:hanging="426" w:firstLineChars="0"/>
        <w:rPr>
          <w:rFonts w:hint="eastAsia"/>
          <w:lang w:eastAsia="zh-CN"/>
        </w:rPr>
      </w:pPr>
      <w:r>
        <w:rPr>
          <w:rFonts w:hint="eastAsia"/>
        </w:rPr>
        <w:t>箱体相互连接部件间可采用焊接或螺栓连接来紧固，对箱体上的盖、门等需移动部件需用铰链或用螺钉固定，且螺钉应有防松措施</w:t>
      </w:r>
      <w:r>
        <w:rPr>
          <w:rFonts w:hint="eastAsia"/>
          <w:lang w:eastAsia="zh-CN"/>
        </w:rPr>
        <w:t>；</w:t>
      </w:r>
    </w:p>
    <w:p w14:paraId="3666B133">
      <w:pPr>
        <w:pStyle w:val="46"/>
        <w:numPr>
          <w:numId w:val="34"/>
        </w:numPr>
        <w:bidi w:val="0"/>
        <w:ind w:left="851" w:leftChars="0" w:hanging="426" w:firstLineChars="0"/>
        <w:rPr>
          <w:rFonts w:hint="eastAsia"/>
          <w:lang w:eastAsia="zh-CN"/>
        </w:rPr>
      </w:pPr>
      <w:r>
        <w:rPr>
          <w:rFonts w:hint="eastAsia"/>
        </w:rPr>
        <w:t>计量室设置观察窗，观察窗窗口材料采用钢化玻璃，厚度不小于 4mm，观察窗位置与大小应便于操作人员查看终端与表计的信息，还应考虑无线公网设备接收无线信号的要求</w:t>
      </w:r>
      <w:r>
        <w:rPr>
          <w:rFonts w:hint="eastAsia"/>
          <w:lang w:eastAsia="zh-CN"/>
        </w:rPr>
        <w:t>；</w:t>
      </w:r>
    </w:p>
    <w:p w14:paraId="6035D8BD">
      <w:pPr>
        <w:pStyle w:val="46"/>
        <w:numPr>
          <w:numId w:val="34"/>
        </w:numPr>
        <w:bidi w:val="0"/>
        <w:ind w:left="851" w:leftChars="0" w:hanging="426" w:firstLineChars="0"/>
        <w:rPr>
          <w:rFonts w:hint="eastAsia"/>
          <w:lang w:eastAsia="zh-CN"/>
        </w:rPr>
      </w:pPr>
      <w:r>
        <w:rPr>
          <w:rFonts w:hint="eastAsia"/>
        </w:rPr>
        <w:t>箱体应能满足右上侧进线、左右侧出线和下出线的需求，进出线孔大小及位置应根据选用电缆规格、数量和方式而定，并用橡皮圈垫包。箱体外壳应该设有明显的与外设接地系统相连接的接地标志，并设置永久性标志，该 JP 柜与外设接地系统可采用螺栓连接，螺栓不小于 M12，并满足防腐蚀要求。箱体内部应设置并安装一条专用接地保护导体，并应保证 JP 柜接地的电气连接线，确保箱体以及内部元器件的可靠接地。各箱门与箱体的接地保护导体之间用 6mm² 铜编织线牢固连接，各处连接端子之间的电阻不大于 0.1Ω。箱内任一可能接地的点到主接地点在 3A 交流电流条件下试验，电压降应不大于 3V</w:t>
      </w:r>
      <w:r>
        <w:rPr>
          <w:rFonts w:hint="eastAsia"/>
          <w:lang w:eastAsia="zh-CN"/>
        </w:rPr>
        <w:t>；</w:t>
      </w:r>
    </w:p>
    <w:p w14:paraId="725D4936">
      <w:pPr>
        <w:pStyle w:val="46"/>
        <w:numPr>
          <w:numId w:val="34"/>
        </w:numPr>
        <w:bidi w:val="0"/>
        <w:ind w:left="851" w:leftChars="0" w:hanging="426" w:firstLineChars="0"/>
        <w:rPr>
          <w:rFonts w:hint="eastAsia"/>
          <w:lang w:eastAsia="zh-CN"/>
        </w:rPr>
      </w:pPr>
      <w:r>
        <w:rPr>
          <w:rFonts w:hint="eastAsia"/>
        </w:rPr>
        <w:t>箱门上应有明显的警示标识，布局与外壳整体协调、美观，警示标识应防日光老化及腐蚀</w:t>
      </w:r>
      <w:r>
        <w:rPr>
          <w:rFonts w:hint="eastAsia"/>
          <w:lang w:eastAsia="zh-CN"/>
        </w:rPr>
        <w:t>；</w:t>
      </w:r>
    </w:p>
    <w:p w14:paraId="31279E54">
      <w:pPr>
        <w:pStyle w:val="46"/>
        <w:numPr>
          <w:numId w:val="34"/>
        </w:numPr>
        <w:bidi w:val="0"/>
        <w:ind w:left="851" w:leftChars="0" w:hanging="426" w:firstLineChars="0"/>
        <w:rPr>
          <w:rFonts w:hint="eastAsia"/>
        </w:rPr>
      </w:pPr>
      <w:r>
        <w:rPr>
          <w:rFonts w:hint="eastAsia"/>
        </w:rPr>
        <w:t>外壳设计还应充分考虑进出线孔的要求、安装要求、进出线固定要求及主接地点的设置、巡视和检修等。</w:t>
      </w:r>
    </w:p>
    <w:p w14:paraId="7ABFA8A3">
      <w:pPr>
        <w:pStyle w:val="20"/>
        <w:bidi w:val="0"/>
        <w:rPr>
          <w:rFonts w:hint="eastAsia"/>
        </w:rPr>
      </w:pPr>
      <w:r>
        <w:rPr>
          <w:rFonts w:hint="eastAsia"/>
        </w:rPr>
        <w:t>隔离设计</w:t>
      </w:r>
    </w:p>
    <w:p w14:paraId="0C7D5B74">
      <w:pPr>
        <w:pStyle w:val="73"/>
        <w:ind w:firstLine="420"/>
        <w:rPr>
          <w:rFonts w:hint="eastAsia"/>
          <w:lang w:val="en-US" w:eastAsia="zh-CN"/>
        </w:rPr>
      </w:pPr>
      <w:r>
        <w:rPr>
          <w:rFonts w:hint="eastAsia"/>
        </w:rPr>
        <w:t>JP 柜利用隔板分成计量室、无功补偿室、进线室、出线室等隔室</w:t>
      </w:r>
      <w:r>
        <w:rPr>
          <w:rFonts w:hint="eastAsia"/>
          <w:lang w:val="en-US" w:eastAsia="zh-CN"/>
        </w:rPr>
        <w:t>等以满足一下要求：</w:t>
      </w:r>
    </w:p>
    <w:p w14:paraId="36B7ABA8">
      <w:pPr>
        <w:pStyle w:val="46"/>
        <w:numPr>
          <w:numId w:val="35"/>
        </w:numPr>
        <w:bidi w:val="0"/>
        <w:ind w:left="851" w:leftChars="0" w:hanging="426" w:firstLineChars="0"/>
        <w:rPr>
          <w:rFonts w:hint="eastAsia"/>
        </w:rPr>
      </w:pPr>
      <w:r>
        <w:rPr>
          <w:rFonts w:hint="eastAsia"/>
        </w:rPr>
        <w:t>防止触及邻近功能单元的带电部件</w:t>
      </w:r>
      <w:r>
        <w:rPr>
          <w:rFonts w:hint="eastAsia"/>
          <w:lang w:eastAsia="zh-CN"/>
        </w:rPr>
        <w:t>；</w:t>
      </w:r>
    </w:p>
    <w:p w14:paraId="02C568AC">
      <w:pPr>
        <w:pStyle w:val="46"/>
        <w:numPr>
          <w:numId w:val="35"/>
        </w:numPr>
        <w:bidi w:val="0"/>
        <w:ind w:left="851" w:leftChars="0" w:hanging="426" w:firstLineChars="0"/>
        <w:rPr>
          <w:rFonts w:hint="eastAsia"/>
        </w:rPr>
      </w:pPr>
      <w:r>
        <w:rPr>
          <w:rFonts w:hint="eastAsia"/>
        </w:rPr>
        <w:t>限制故障电弧的蔓延</w:t>
      </w:r>
      <w:r>
        <w:rPr>
          <w:rFonts w:hint="eastAsia"/>
          <w:lang w:eastAsia="zh-CN"/>
        </w:rPr>
        <w:t>；</w:t>
      </w:r>
    </w:p>
    <w:p w14:paraId="28ED2E79">
      <w:pPr>
        <w:pStyle w:val="46"/>
        <w:numPr>
          <w:numId w:val="35"/>
        </w:numPr>
        <w:bidi w:val="0"/>
        <w:ind w:left="851" w:leftChars="0" w:hanging="426" w:firstLineChars="0"/>
        <w:rPr>
          <w:rFonts w:hint="eastAsia"/>
        </w:rPr>
      </w:pPr>
      <w:r>
        <w:rPr>
          <w:rFonts w:hint="eastAsia"/>
        </w:rPr>
        <w:t>防止规定防护的外来固体物体从 JP 柜的一个单元进到另一个单元。</w:t>
      </w:r>
    </w:p>
    <w:p w14:paraId="007B0C53">
      <w:pPr>
        <w:pStyle w:val="73"/>
        <w:ind w:firstLine="420"/>
        <w:rPr>
          <w:rFonts w:hint="eastAsia"/>
        </w:rPr>
      </w:pPr>
      <w:r>
        <w:rPr>
          <w:rFonts w:hint="eastAsia"/>
        </w:rPr>
        <w:t>隔室的隔板宜采用金属板或绝缘板，金属隔板应与保护导体有效连接。金属隔板在人体碰撞时的变形不应减小其绝缘距离，绝缘隔板则不应破碎。</w:t>
      </w:r>
    </w:p>
    <w:p w14:paraId="72B2721A">
      <w:pPr>
        <w:pStyle w:val="73"/>
        <w:ind w:firstLine="420"/>
        <w:rPr>
          <w:rFonts w:hint="eastAsia"/>
        </w:rPr>
      </w:pPr>
      <w:r>
        <w:rPr>
          <w:rFonts w:hint="eastAsia"/>
        </w:rPr>
        <w:t>功能单元隔室中的隔板不应因短路分断时所产生的电弧或游离气体所产生的压力而造成损害或永久变形。</w:t>
      </w:r>
    </w:p>
    <w:p w14:paraId="57DDAE13">
      <w:pPr>
        <w:pStyle w:val="20"/>
        <w:bidi w:val="0"/>
        <w:rPr>
          <w:rFonts w:hint="eastAsia"/>
        </w:rPr>
      </w:pPr>
      <w:r>
        <w:rPr>
          <w:rFonts w:hint="eastAsia"/>
        </w:rPr>
        <w:t>防触电措施</w:t>
      </w:r>
    </w:p>
    <w:p w14:paraId="487CC694">
      <w:pPr>
        <w:pStyle w:val="73"/>
        <w:ind w:firstLine="420"/>
        <w:rPr>
          <w:rFonts w:hint="eastAsia"/>
        </w:rPr>
      </w:pPr>
      <w:r>
        <w:rPr>
          <w:rFonts w:hint="eastAsia"/>
        </w:rPr>
        <w:t>JP 柜直接接触防护利用设备的结构措施来保证，并符合 GB/T 7251.1 中 8.4.2 的规定。间接接触防护措施按 GB/T 7251.1 中 8.4.3 的规定执行。JP 柜内应安装主接地装置，主接地端子至装置相应导电部件之间直流电阻应不大于 10mΩ，主接地端子螺栓不得小于 M12，且附近应有固定的接地符号。JP 柜保护导体的最小截面积应按表 1 选择，且接地母线的截面积不得小于 16mm²。</w:t>
      </w:r>
    </w:p>
    <w:p w14:paraId="4F7D1D0E">
      <w:pPr>
        <w:pStyle w:val="36"/>
        <w:bidi w:val="0"/>
        <w:rPr>
          <w:rFonts w:hint="eastAsia"/>
        </w:rPr>
      </w:pPr>
      <w:r>
        <w:rPr>
          <w:rFonts w:hint="eastAsia"/>
        </w:rPr>
        <w:t>保护导体的最小截面积</w:t>
      </w:r>
      <w:r>
        <w:rPr>
          <w:rFonts w:hint="eastAsia"/>
          <w:lang w:eastAsia="zh-CN"/>
        </w:rPr>
        <w:t>（</w:t>
      </w:r>
      <w:r>
        <w:rPr>
          <w:rFonts w:hint="eastAsia"/>
          <w:lang w:val="en-US" w:eastAsia="zh-CN"/>
        </w:rPr>
        <w:t>PE、PEN</w:t>
      </w:r>
      <w:r>
        <w:rPr>
          <w:rFonts w:hint="eastAsia"/>
          <w:lang w:eastAsia="zh-CN"/>
        </w:rPr>
        <w:t>）</w:t>
      </w:r>
    </w:p>
    <w:tbl>
      <w:tblPr>
        <w:tblStyle w:val="13"/>
        <w:tblW w:w="4999"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3842"/>
        <w:gridCol w:w="5727"/>
      </w:tblGrid>
      <w:tr w14:paraId="31720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2007" w:type="pct"/>
            <w:tcBorders>
              <w:top w:val="single" w:color="auto" w:sz="8" w:space="0"/>
              <w:left w:val="single" w:color="auto" w:sz="8" w:space="0"/>
              <w:bottom w:val="single" w:color="auto" w:sz="8" w:space="0"/>
            </w:tcBorders>
            <w:vAlign w:val="center"/>
          </w:tcPr>
          <w:p w14:paraId="11D7F4DB">
            <w:pPr>
              <w:pStyle w:val="35"/>
              <w:bidi w:val="0"/>
              <w:jc w:val="center"/>
              <w:rPr>
                <w:rFonts w:hint="eastAsia"/>
              </w:rPr>
            </w:pPr>
            <w:r>
              <w:rPr>
                <w:rFonts w:hint="eastAsia"/>
              </w:rPr>
              <w:t>相导线的截面积 mm²</w:t>
            </w:r>
          </w:p>
        </w:tc>
        <w:tc>
          <w:tcPr>
            <w:tcW w:w="2992" w:type="pct"/>
            <w:tcBorders>
              <w:top w:val="single" w:color="auto" w:sz="8" w:space="0"/>
              <w:bottom w:val="single" w:color="auto" w:sz="8" w:space="0"/>
              <w:right w:val="single" w:color="auto" w:sz="8" w:space="0"/>
            </w:tcBorders>
            <w:vAlign w:val="center"/>
          </w:tcPr>
          <w:p w14:paraId="1BF7526E">
            <w:pPr>
              <w:pStyle w:val="35"/>
              <w:bidi w:val="0"/>
              <w:jc w:val="center"/>
              <w:rPr>
                <w:rFonts w:hint="eastAsia"/>
              </w:rPr>
            </w:pPr>
            <w:r>
              <w:rPr>
                <w:rFonts w:hint="eastAsia"/>
              </w:rPr>
              <w:t>相应保护导体的最小截面积 mm²</w:t>
            </w:r>
          </w:p>
        </w:tc>
      </w:tr>
      <w:tr w14:paraId="22A24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7" w:type="pct"/>
            <w:tcBorders>
              <w:left w:val="single" w:color="auto" w:sz="8" w:space="0"/>
            </w:tcBorders>
            <w:vAlign w:val="center"/>
          </w:tcPr>
          <w:p w14:paraId="1E2D2731">
            <w:pPr>
              <w:pStyle w:val="34"/>
              <w:bidi w:val="0"/>
              <w:jc w:val="center"/>
              <w:rPr>
                <w:rFonts w:hint="eastAsia"/>
              </w:rPr>
            </w:pPr>
            <w:r>
              <w:rPr>
                <w:rFonts w:hint="eastAsia"/>
              </w:rPr>
              <w:t>S≤16</w:t>
            </w:r>
          </w:p>
        </w:tc>
        <w:tc>
          <w:tcPr>
            <w:tcW w:w="2992" w:type="pct"/>
            <w:tcBorders>
              <w:right w:val="single" w:color="auto" w:sz="8" w:space="0"/>
            </w:tcBorders>
            <w:vAlign w:val="center"/>
          </w:tcPr>
          <w:p w14:paraId="67ED119B">
            <w:pPr>
              <w:pStyle w:val="34"/>
              <w:bidi w:val="0"/>
              <w:jc w:val="center"/>
              <w:rPr>
                <w:rFonts w:hint="eastAsia"/>
              </w:rPr>
            </w:pPr>
            <w:r>
              <w:rPr>
                <w:rFonts w:hint="eastAsia"/>
              </w:rPr>
              <w:t>S</w:t>
            </w:r>
          </w:p>
        </w:tc>
      </w:tr>
      <w:tr w14:paraId="341D2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7" w:type="pct"/>
            <w:tcBorders>
              <w:left w:val="single" w:color="auto" w:sz="8" w:space="0"/>
            </w:tcBorders>
            <w:vAlign w:val="center"/>
          </w:tcPr>
          <w:p w14:paraId="2620102C">
            <w:pPr>
              <w:pStyle w:val="34"/>
              <w:bidi w:val="0"/>
              <w:jc w:val="center"/>
              <w:rPr>
                <w:rFonts w:hint="eastAsia"/>
              </w:rPr>
            </w:pPr>
            <w:r>
              <w:rPr>
                <w:rFonts w:hint="eastAsia"/>
              </w:rPr>
              <w:t>16</w:t>
            </w:r>
            <w:r>
              <w:rPr>
                <w:rFonts w:hint="eastAsia"/>
                <w:lang w:val="en-US" w:eastAsia="zh-CN"/>
              </w:rPr>
              <w:t>＜</w:t>
            </w:r>
            <w:r>
              <w:rPr>
                <w:rFonts w:hint="eastAsia"/>
              </w:rPr>
              <w:t>S≤35</w:t>
            </w:r>
          </w:p>
        </w:tc>
        <w:tc>
          <w:tcPr>
            <w:tcW w:w="2992" w:type="pct"/>
            <w:tcBorders>
              <w:right w:val="single" w:color="auto" w:sz="8" w:space="0"/>
            </w:tcBorders>
            <w:vAlign w:val="center"/>
          </w:tcPr>
          <w:p w14:paraId="3072FD52">
            <w:pPr>
              <w:pStyle w:val="34"/>
              <w:bidi w:val="0"/>
              <w:jc w:val="center"/>
              <w:rPr>
                <w:rFonts w:hint="default" w:eastAsia="宋体"/>
                <w:lang w:val="en-US" w:eastAsia="zh-CN"/>
              </w:rPr>
            </w:pPr>
            <w:r>
              <w:rPr>
                <w:rFonts w:hint="eastAsia"/>
                <w:lang w:val="en-US" w:eastAsia="zh-CN"/>
              </w:rPr>
              <w:t>16</w:t>
            </w:r>
          </w:p>
        </w:tc>
      </w:tr>
      <w:tr w14:paraId="6B642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7" w:type="pct"/>
            <w:tcBorders>
              <w:left w:val="single" w:color="auto" w:sz="8" w:space="0"/>
            </w:tcBorders>
            <w:vAlign w:val="center"/>
          </w:tcPr>
          <w:p w14:paraId="70E77593">
            <w:pPr>
              <w:pStyle w:val="34"/>
              <w:bidi w:val="0"/>
              <w:jc w:val="center"/>
              <w:rPr>
                <w:rFonts w:hint="eastAsia"/>
              </w:rPr>
            </w:pPr>
            <w:r>
              <w:rPr>
                <w:rFonts w:hint="eastAsia"/>
              </w:rPr>
              <w:t>35＜S≤400</w:t>
            </w:r>
          </w:p>
        </w:tc>
        <w:tc>
          <w:tcPr>
            <w:tcW w:w="2992" w:type="pct"/>
            <w:tcBorders>
              <w:right w:val="single" w:color="auto" w:sz="8" w:space="0"/>
            </w:tcBorders>
            <w:vAlign w:val="center"/>
          </w:tcPr>
          <w:p w14:paraId="440CF530">
            <w:pPr>
              <w:pStyle w:val="34"/>
              <w:bidi w:val="0"/>
              <w:jc w:val="center"/>
              <w:rPr>
                <w:rFonts w:hint="default" w:eastAsia="宋体"/>
                <w:lang w:val="en-US" w:eastAsia="zh-CN"/>
              </w:rPr>
            </w:pPr>
            <w:r>
              <w:rPr>
                <w:rFonts w:hint="eastAsia"/>
                <w:lang w:val="en-US" w:eastAsia="zh-CN"/>
              </w:rPr>
              <w:t>S/2</w:t>
            </w:r>
          </w:p>
        </w:tc>
      </w:tr>
      <w:tr w14:paraId="12054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7" w:type="pct"/>
            <w:tcBorders>
              <w:left w:val="single" w:color="auto" w:sz="8" w:space="0"/>
            </w:tcBorders>
            <w:vAlign w:val="center"/>
          </w:tcPr>
          <w:p w14:paraId="4F39051E">
            <w:pPr>
              <w:pStyle w:val="34"/>
              <w:bidi w:val="0"/>
              <w:jc w:val="center"/>
              <w:rPr>
                <w:rFonts w:hint="eastAsia"/>
              </w:rPr>
            </w:pPr>
            <w:r>
              <w:rPr>
                <w:rFonts w:hint="eastAsia"/>
              </w:rPr>
              <w:t>400＜S≤800</w:t>
            </w:r>
          </w:p>
        </w:tc>
        <w:tc>
          <w:tcPr>
            <w:tcW w:w="2992" w:type="pct"/>
            <w:tcBorders>
              <w:right w:val="single" w:color="auto" w:sz="8" w:space="0"/>
            </w:tcBorders>
            <w:vAlign w:val="center"/>
          </w:tcPr>
          <w:p w14:paraId="06C89E28">
            <w:pPr>
              <w:pStyle w:val="34"/>
              <w:bidi w:val="0"/>
              <w:jc w:val="center"/>
              <w:rPr>
                <w:rFonts w:hint="default" w:eastAsia="宋体"/>
                <w:lang w:val="en-US" w:eastAsia="zh-CN"/>
              </w:rPr>
            </w:pPr>
            <w:r>
              <w:rPr>
                <w:rFonts w:hint="eastAsia"/>
                <w:lang w:val="en-US" w:eastAsia="zh-CN"/>
              </w:rPr>
              <w:t>200</w:t>
            </w:r>
          </w:p>
        </w:tc>
      </w:tr>
      <w:tr w14:paraId="402F2C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7" w:type="pct"/>
            <w:tcBorders>
              <w:left w:val="single" w:color="auto" w:sz="8" w:space="0"/>
              <w:bottom w:val="single" w:color="auto" w:sz="8" w:space="0"/>
            </w:tcBorders>
            <w:vAlign w:val="center"/>
          </w:tcPr>
          <w:p w14:paraId="503660FF">
            <w:pPr>
              <w:pStyle w:val="34"/>
              <w:bidi w:val="0"/>
              <w:jc w:val="center"/>
              <w:rPr>
                <w:rFonts w:hint="eastAsia"/>
              </w:rPr>
            </w:pPr>
            <w:r>
              <w:rPr>
                <w:rFonts w:hint="eastAsia"/>
              </w:rPr>
              <w:t>800＜S</w:t>
            </w:r>
          </w:p>
        </w:tc>
        <w:tc>
          <w:tcPr>
            <w:tcW w:w="2992" w:type="pct"/>
            <w:tcBorders>
              <w:bottom w:val="single" w:color="auto" w:sz="8" w:space="0"/>
              <w:right w:val="single" w:color="auto" w:sz="8" w:space="0"/>
            </w:tcBorders>
            <w:vAlign w:val="center"/>
          </w:tcPr>
          <w:p w14:paraId="27DB25C0">
            <w:pPr>
              <w:pStyle w:val="34"/>
              <w:bidi w:val="0"/>
              <w:jc w:val="center"/>
              <w:rPr>
                <w:rFonts w:hint="default" w:eastAsia="宋体"/>
                <w:lang w:val="en-US" w:eastAsia="zh-CN"/>
              </w:rPr>
            </w:pPr>
            <w:r>
              <w:rPr>
                <w:rFonts w:hint="eastAsia"/>
                <w:lang w:val="en-US" w:eastAsia="zh-CN"/>
              </w:rPr>
              <w:t>S/4</w:t>
            </w:r>
          </w:p>
        </w:tc>
      </w:tr>
    </w:tbl>
    <w:p w14:paraId="1EDF45AC">
      <w:pPr>
        <w:pStyle w:val="73"/>
        <w:ind w:firstLine="420"/>
        <w:rPr>
          <w:rFonts w:hint="eastAsia"/>
        </w:rPr>
      </w:pPr>
      <w:r>
        <w:rPr>
          <w:rFonts w:hint="eastAsia"/>
        </w:rPr>
        <w:t>所有作为隔离带电导体金属隔板、电器元件的金属外壳以及金属手动操作机构均应有效接地。所有电器元件的金属外壳、金属板、安装结构件采用金属螺钉安装在已经接地的镀锌金属构件上则认为具有保护电路的有效性，否则应采取措施如采用专用接地螺栓或垫圈来实现保护电路的有效性。对于门、盖板、覆板和类似部件，如果其上装有电压值超过 40V 的电气设备时，应用黄绿双色线保护导线将这些部件和保护电路连接，截面积不小于 6mm²。功能单元隔室中的隔板、保护导体应能承受装置在运输、安装时产生的机械应力和单相接地短路事故中所产生的机械应力和热应力的冲击，其接地有效性不应破坏。</w:t>
      </w:r>
    </w:p>
    <w:p w14:paraId="61171682">
      <w:pPr>
        <w:pStyle w:val="20"/>
        <w:bidi w:val="0"/>
        <w:rPr>
          <w:rFonts w:hint="eastAsia"/>
        </w:rPr>
      </w:pPr>
      <w:r>
        <w:rPr>
          <w:rFonts w:hint="eastAsia"/>
        </w:rPr>
        <w:t>电器元件的安装</w:t>
      </w:r>
    </w:p>
    <w:p w14:paraId="7CDBC3AC">
      <w:pPr>
        <w:pStyle w:val="73"/>
        <w:ind w:firstLine="420"/>
        <w:rPr>
          <w:rFonts w:hint="eastAsia"/>
        </w:rPr>
      </w:pPr>
      <w:r>
        <w:rPr>
          <w:rFonts w:hint="eastAsia"/>
        </w:rPr>
        <w:t>电器元器件的安装按照 JB/T 5877 中 3.17.2、GB/T 7251.1 中 8.5.4 及 GB/T 7251.8 中的规定执行。开关位置的指示和操作方向按照 GB/T 4205 的规定执行。</w:t>
      </w:r>
    </w:p>
    <w:p w14:paraId="18365A7C">
      <w:pPr>
        <w:pStyle w:val="20"/>
        <w:bidi w:val="0"/>
        <w:rPr>
          <w:rFonts w:hint="eastAsia"/>
        </w:rPr>
      </w:pPr>
      <w:r>
        <w:rPr>
          <w:rFonts w:hint="eastAsia"/>
        </w:rPr>
        <w:t>布线</w:t>
      </w:r>
    </w:p>
    <w:p w14:paraId="687C6C88">
      <w:pPr>
        <w:pStyle w:val="76"/>
        <w:bidi w:val="0"/>
        <w:rPr>
          <w:rFonts w:hint="eastAsia"/>
        </w:rPr>
      </w:pPr>
      <w:r>
        <w:rPr>
          <w:rFonts w:hint="eastAsia"/>
        </w:rPr>
        <w:t>导线颜色按表 2 的要求选择。</w:t>
      </w:r>
    </w:p>
    <w:p w14:paraId="6BCAD190">
      <w:pPr>
        <w:pStyle w:val="36"/>
        <w:bidi w:val="0"/>
        <w:rPr>
          <w:rFonts w:hint="eastAsia"/>
        </w:rPr>
      </w:pPr>
      <w:r>
        <w:rPr>
          <w:rFonts w:hint="eastAsia"/>
        </w:rPr>
        <w:t>配电箱中的导线颜色</w:t>
      </w:r>
    </w:p>
    <w:tbl>
      <w:tblPr>
        <w:tblStyle w:val="13"/>
        <w:tblW w:w="5000"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5111"/>
        <w:gridCol w:w="4460"/>
      </w:tblGrid>
      <w:tr w14:paraId="1F5E9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2670" w:type="pct"/>
            <w:tcBorders>
              <w:top w:val="single" w:color="auto" w:sz="8" w:space="0"/>
              <w:left w:val="single" w:color="auto" w:sz="8" w:space="0"/>
              <w:bottom w:val="single" w:color="auto" w:sz="8" w:space="0"/>
            </w:tcBorders>
            <w:vAlign w:val="center"/>
          </w:tcPr>
          <w:p w14:paraId="783B650C">
            <w:pPr>
              <w:pStyle w:val="35"/>
              <w:bidi w:val="0"/>
              <w:jc w:val="center"/>
              <w:rPr>
                <w:rFonts w:hint="eastAsia"/>
              </w:rPr>
            </w:pPr>
            <w:r>
              <w:rPr>
                <w:rFonts w:hint="eastAsia"/>
              </w:rPr>
              <w:t>颜色</w:t>
            </w:r>
          </w:p>
        </w:tc>
        <w:tc>
          <w:tcPr>
            <w:tcW w:w="2329" w:type="pct"/>
            <w:tcBorders>
              <w:top w:val="single" w:color="auto" w:sz="8" w:space="0"/>
              <w:bottom w:val="single" w:color="auto" w:sz="8" w:space="0"/>
              <w:right w:val="single" w:color="auto" w:sz="8" w:space="0"/>
            </w:tcBorders>
            <w:vAlign w:val="center"/>
          </w:tcPr>
          <w:p w14:paraId="6A147FF8">
            <w:pPr>
              <w:pStyle w:val="35"/>
              <w:bidi w:val="0"/>
              <w:jc w:val="center"/>
              <w:rPr>
                <w:rFonts w:hint="eastAsia"/>
              </w:rPr>
            </w:pPr>
            <w:r>
              <w:rPr>
                <w:rFonts w:hint="eastAsia"/>
              </w:rPr>
              <w:t>用途</w:t>
            </w:r>
          </w:p>
        </w:tc>
      </w:tr>
      <w:tr w14:paraId="287DE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4D8CFDFE">
            <w:pPr>
              <w:pStyle w:val="34"/>
              <w:bidi w:val="0"/>
              <w:jc w:val="center"/>
              <w:rPr>
                <w:rFonts w:hint="eastAsia"/>
              </w:rPr>
            </w:pPr>
            <w:r>
              <w:rPr>
                <w:rFonts w:hint="eastAsia"/>
              </w:rPr>
              <w:t>黄色</w:t>
            </w:r>
          </w:p>
        </w:tc>
        <w:tc>
          <w:tcPr>
            <w:tcW w:w="2329" w:type="pct"/>
            <w:tcBorders>
              <w:right w:val="single" w:color="auto" w:sz="8" w:space="0"/>
            </w:tcBorders>
            <w:vAlign w:val="center"/>
          </w:tcPr>
          <w:p w14:paraId="2762A182">
            <w:pPr>
              <w:pStyle w:val="34"/>
              <w:bidi w:val="0"/>
              <w:jc w:val="center"/>
              <w:rPr>
                <w:rFonts w:hint="eastAsia"/>
              </w:rPr>
            </w:pPr>
            <w:r>
              <w:rPr>
                <w:rFonts w:hint="eastAsia"/>
              </w:rPr>
              <w:t>交流 A 相线</w:t>
            </w:r>
          </w:p>
        </w:tc>
      </w:tr>
      <w:tr w14:paraId="15861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4A16C963">
            <w:pPr>
              <w:pStyle w:val="34"/>
              <w:bidi w:val="0"/>
              <w:jc w:val="center"/>
              <w:rPr>
                <w:rFonts w:hint="eastAsia"/>
              </w:rPr>
            </w:pPr>
            <w:r>
              <w:rPr>
                <w:rFonts w:hint="eastAsia"/>
              </w:rPr>
              <w:t>绿色</w:t>
            </w:r>
          </w:p>
        </w:tc>
        <w:tc>
          <w:tcPr>
            <w:tcW w:w="2329" w:type="pct"/>
            <w:tcBorders>
              <w:right w:val="single" w:color="auto" w:sz="8" w:space="0"/>
            </w:tcBorders>
            <w:vAlign w:val="center"/>
          </w:tcPr>
          <w:p w14:paraId="1BFDDB95">
            <w:pPr>
              <w:pStyle w:val="34"/>
              <w:bidi w:val="0"/>
              <w:jc w:val="center"/>
              <w:rPr>
                <w:rFonts w:hint="eastAsia"/>
              </w:rPr>
            </w:pPr>
            <w:r>
              <w:rPr>
                <w:rFonts w:hint="eastAsia"/>
              </w:rPr>
              <w:t>交流 B 相线</w:t>
            </w:r>
          </w:p>
        </w:tc>
      </w:tr>
      <w:tr w14:paraId="55ADB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52695253">
            <w:pPr>
              <w:pStyle w:val="34"/>
              <w:bidi w:val="0"/>
              <w:jc w:val="center"/>
              <w:rPr>
                <w:rFonts w:hint="eastAsia"/>
              </w:rPr>
            </w:pPr>
            <w:r>
              <w:rPr>
                <w:rFonts w:hint="eastAsia"/>
              </w:rPr>
              <w:t>红色</w:t>
            </w:r>
          </w:p>
        </w:tc>
        <w:tc>
          <w:tcPr>
            <w:tcW w:w="2329" w:type="pct"/>
            <w:tcBorders>
              <w:right w:val="single" w:color="auto" w:sz="8" w:space="0"/>
            </w:tcBorders>
            <w:vAlign w:val="center"/>
          </w:tcPr>
          <w:p w14:paraId="4BF9E5FC">
            <w:pPr>
              <w:pStyle w:val="34"/>
              <w:bidi w:val="0"/>
              <w:jc w:val="center"/>
              <w:rPr>
                <w:rFonts w:hint="eastAsia"/>
              </w:rPr>
            </w:pPr>
            <w:r>
              <w:rPr>
                <w:rFonts w:hint="eastAsia"/>
              </w:rPr>
              <w:t>交流 C 相线</w:t>
            </w:r>
          </w:p>
        </w:tc>
      </w:tr>
      <w:tr w14:paraId="5B279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2491C8D0">
            <w:pPr>
              <w:pStyle w:val="34"/>
              <w:bidi w:val="0"/>
              <w:jc w:val="center"/>
              <w:rPr>
                <w:rFonts w:hint="eastAsia"/>
              </w:rPr>
            </w:pPr>
            <w:r>
              <w:rPr>
                <w:rFonts w:hint="eastAsia"/>
              </w:rPr>
              <w:t>黄绿间隔</w:t>
            </w:r>
          </w:p>
        </w:tc>
        <w:tc>
          <w:tcPr>
            <w:tcW w:w="2329" w:type="pct"/>
            <w:tcBorders>
              <w:right w:val="single" w:color="auto" w:sz="8" w:space="0"/>
            </w:tcBorders>
            <w:vAlign w:val="center"/>
          </w:tcPr>
          <w:p w14:paraId="2D120737">
            <w:pPr>
              <w:pStyle w:val="34"/>
              <w:bidi w:val="0"/>
              <w:jc w:val="center"/>
              <w:rPr>
                <w:rFonts w:hint="eastAsia"/>
              </w:rPr>
            </w:pPr>
            <w:r>
              <w:rPr>
                <w:rFonts w:hint="eastAsia"/>
              </w:rPr>
              <w:t>PE 或 PEN 线</w:t>
            </w:r>
          </w:p>
        </w:tc>
      </w:tr>
      <w:tr w14:paraId="3A26B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6CE6ECD0">
            <w:pPr>
              <w:pStyle w:val="34"/>
              <w:bidi w:val="0"/>
              <w:jc w:val="center"/>
              <w:rPr>
                <w:rFonts w:hint="eastAsia"/>
              </w:rPr>
            </w:pPr>
            <w:r>
              <w:rPr>
                <w:rFonts w:hint="eastAsia"/>
              </w:rPr>
              <w:t>黑色</w:t>
            </w:r>
          </w:p>
        </w:tc>
        <w:tc>
          <w:tcPr>
            <w:tcW w:w="2329" w:type="pct"/>
            <w:tcBorders>
              <w:right w:val="single" w:color="auto" w:sz="8" w:space="0"/>
            </w:tcBorders>
            <w:vAlign w:val="center"/>
          </w:tcPr>
          <w:p w14:paraId="23ACDEBC">
            <w:pPr>
              <w:pStyle w:val="34"/>
              <w:bidi w:val="0"/>
              <w:jc w:val="center"/>
              <w:rPr>
                <w:rFonts w:hint="eastAsia"/>
              </w:rPr>
            </w:pPr>
            <w:r>
              <w:rPr>
                <w:rFonts w:hint="eastAsia"/>
              </w:rPr>
              <w:t>JP 柜和设备内的布线</w:t>
            </w:r>
          </w:p>
        </w:tc>
      </w:tr>
      <w:tr w14:paraId="007D7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18AB7E4A">
            <w:pPr>
              <w:pStyle w:val="34"/>
              <w:bidi w:val="0"/>
              <w:jc w:val="center"/>
              <w:rPr>
                <w:rFonts w:hint="eastAsia"/>
              </w:rPr>
            </w:pPr>
            <w:r>
              <w:rPr>
                <w:rFonts w:hint="eastAsia"/>
              </w:rPr>
              <w:t>淡蓝色</w:t>
            </w:r>
          </w:p>
        </w:tc>
        <w:tc>
          <w:tcPr>
            <w:tcW w:w="2329" w:type="pct"/>
            <w:tcBorders>
              <w:right w:val="single" w:color="auto" w:sz="8" w:space="0"/>
            </w:tcBorders>
            <w:vAlign w:val="center"/>
          </w:tcPr>
          <w:p w14:paraId="2E5D0CF7">
            <w:pPr>
              <w:pStyle w:val="34"/>
              <w:bidi w:val="0"/>
              <w:jc w:val="center"/>
              <w:rPr>
                <w:rFonts w:hint="eastAsia"/>
              </w:rPr>
            </w:pPr>
            <w:r>
              <w:rPr>
                <w:rFonts w:hint="eastAsia"/>
              </w:rPr>
              <w:t>交流 N 相</w:t>
            </w:r>
          </w:p>
        </w:tc>
      </w:tr>
      <w:tr w14:paraId="31E0D7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2073FB15">
            <w:pPr>
              <w:pStyle w:val="34"/>
              <w:bidi w:val="0"/>
              <w:jc w:val="center"/>
              <w:rPr>
                <w:rFonts w:hint="eastAsia"/>
              </w:rPr>
            </w:pPr>
            <w:r>
              <w:rPr>
                <w:rFonts w:hint="eastAsia"/>
              </w:rPr>
              <w:t>绿/黄+淡蓝+棕色/黑+淡蓝+棕色</w:t>
            </w:r>
          </w:p>
        </w:tc>
        <w:tc>
          <w:tcPr>
            <w:tcW w:w="2329" w:type="pct"/>
            <w:tcBorders>
              <w:right w:val="single" w:color="auto" w:sz="8" w:space="0"/>
            </w:tcBorders>
            <w:vAlign w:val="center"/>
          </w:tcPr>
          <w:p w14:paraId="49659FB1">
            <w:pPr>
              <w:pStyle w:val="34"/>
              <w:bidi w:val="0"/>
              <w:jc w:val="center"/>
              <w:rPr>
                <w:rFonts w:hint="eastAsia"/>
              </w:rPr>
            </w:pPr>
            <w:r>
              <w:rPr>
                <w:rFonts w:hint="eastAsia"/>
              </w:rPr>
              <w:t>三芯电缆连接三相交流电路</w:t>
            </w:r>
          </w:p>
        </w:tc>
      </w:tr>
      <w:tr w14:paraId="36314B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670" w:type="pct"/>
            <w:tcBorders>
              <w:left w:val="single" w:color="auto" w:sz="8" w:space="0"/>
            </w:tcBorders>
            <w:vAlign w:val="center"/>
          </w:tcPr>
          <w:p w14:paraId="575931B3">
            <w:pPr>
              <w:pStyle w:val="34"/>
              <w:bidi w:val="0"/>
              <w:jc w:val="center"/>
              <w:rPr>
                <w:rFonts w:hint="eastAsia"/>
              </w:rPr>
            </w:pPr>
            <w:r>
              <w:rPr>
                <w:rFonts w:hint="eastAsia"/>
              </w:rPr>
              <w:t>绿 / 黄 + 淡蓝 + 黑 + 棕色</w:t>
            </w:r>
          </w:p>
        </w:tc>
        <w:tc>
          <w:tcPr>
            <w:tcW w:w="2329" w:type="pct"/>
            <w:tcBorders>
              <w:right w:val="single" w:color="auto" w:sz="8" w:space="0"/>
            </w:tcBorders>
            <w:vAlign w:val="center"/>
          </w:tcPr>
          <w:p w14:paraId="2E57EB57">
            <w:pPr>
              <w:pStyle w:val="34"/>
              <w:bidi w:val="0"/>
              <w:jc w:val="center"/>
              <w:rPr>
                <w:rFonts w:hint="eastAsia"/>
              </w:rPr>
            </w:pPr>
            <w:r>
              <w:rPr>
                <w:rFonts w:hint="eastAsia"/>
              </w:rPr>
              <w:t>四芯电缆连接三相交流电路</w:t>
            </w:r>
          </w:p>
        </w:tc>
      </w:tr>
      <w:tr w14:paraId="45E17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5000" w:type="pct"/>
            <w:gridSpan w:val="2"/>
            <w:tcBorders>
              <w:left w:val="single" w:color="auto" w:sz="8" w:space="0"/>
              <w:bottom w:val="single" w:color="auto" w:sz="8" w:space="0"/>
              <w:right w:val="single" w:color="auto" w:sz="8" w:space="0"/>
            </w:tcBorders>
            <w:vAlign w:val="center"/>
          </w:tcPr>
          <w:p w14:paraId="50B74359">
            <w:pPr>
              <w:pStyle w:val="34"/>
              <w:bidi w:val="0"/>
              <w:jc w:val="center"/>
              <w:rPr>
                <w:rFonts w:hint="eastAsia"/>
              </w:rPr>
            </w:pPr>
            <w:r>
              <w:rPr>
                <w:rFonts w:hint="eastAsia"/>
              </w:rPr>
              <w:t>黄、绿、红、蓝 / 单一黑色</w:t>
            </w:r>
            <w:r>
              <w:rPr>
                <w:rFonts w:hint="eastAsia"/>
              </w:rPr>
              <w:tab/>
            </w:r>
            <w:r>
              <w:rPr>
                <w:rFonts w:hint="eastAsia"/>
              </w:rPr>
              <w:t>二次交流系统，计量回路 A、B、C、N 用黄、绿、红、蓝，其余单一黑色，PE 或 PEN 线为黄绿间隔条形线</w:t>
            </w:r>
          </w:p>
        </w:tc>
      </w:tr>
    </w:tbl>
    <w:p w14:paraId="5064B921">
      <w:pPr>
        <w:pStyle w:val="76"/>
        <w:bidi w:val="0"/>
        <w:rPr>
          <w:rFonts w:hint="eastAsia"/>
        </w:rPr>
      </w:pPr>
      <w:r>
        <w:rPr>
          <w:rFonts w:hint="eastAsia"/>
        </w:rPr>
        <w:t>所选绝缘导线的参数，应同 JP 柜相应电路的额定参数及设计要求一致。</w:t>
      </w:r>
    </w:p>
    <w:p w14:paraId="688B7EF1">
      <w:pPr>
        <w:pStyle w:val="76"/>
        <w:bidi w:val="0"/>
        <w:rPr>
          <w:rFonts w:hint="eastAsia"/>
        </w:rPr>
      </w:pPr>
      <w:r>
        <w:rPr>
          <w:rFonts w:hint="eastAsia"/>
        </w:rPr>
        <w:t>主回路导线应采用耐气候型铜芯绝缘导线或母排，截面应以满足允许载流量和温升控制，符合 DL/T 375 的要求。</w:t>
      </w:r>
    </w:p>
    <w:p w14:paraId="4BA7851A">
      <w:pPr>
        <w:pStyle w:val="76"/>
        <w:bidi w:val="0"/>
        <w:rPr>
          <w:rFonts w:hint="eastAsia"/>
        </w:rPr>
      </w:pPr>
      <w:r>
        <w:rPr>
          <w:rFonts w:hint="eastAsia"/>
        </w:rPr>
        <w:t>控制回路应选择铜芯绝缘导线，截面积不小于 1.5mm²；测量电流、电压回路及计量电压回路导线截面积不小于 2.5mm²；计量电流回路导线截面积不小于 4mm²。跨越 JP 柜内活动部位，应使用软铜线，并留有适量裕度，防止机械损伤，软铜线截面积应适当加大。</w:t>
      </w:r>
    </w:p>
    <w:p w14:paraId="3E110921">
      <w:pPr>
        <w:pStyle w:val="76"/>
        <w:bidi w:val="0"/>
        <w:rPr>
          <w:rFonts w:hint="eastAsia"/>
        </w:rPr>
      </w:pPr>
      <w:r>
        <w:rPr>
          <w:rFonts w:hint="eastAsia"/>
        </w:rPr>
        <w:t>使用多股导线的，接线端部应有相应材质的接线端头，宜采用冷压接方式。每根导线的中间不得有接头，一个端子只能连接一根导线，特殊设计的端子除外。</w:t>
      </w:r>
    </w:p>
    <w:p w14:paraId="3FABBE04">
      <w:pPr>
        <w:pStyle w:val="76"/>
        <w:bidi w:val="0"/>
        <w:rPr>
          <w:rFonts w:hint="eastAsia"/>
        </w:rPr>
      </w:pPr>
      <w:r>
        <w:rPr>
          <w:rFonts w:hint="eastAsia"/>
        </w:rPr>
        <w:t>JP 柜的布线应整齐美观，不应贴近具有不同电位和容易发热损坏绝缘层的带电部件，或贴近、穿越带有尖角的裸露带电部件边缘进行敷设，布线时应采用适当的支撑固定或装入行线槽内。</w:t>
      </w:r>
    </w:p>
    <w:p w14:paraId="317E8FCF">
      <w:pPr>
        <w:pStyle w:val="76"/>
        <w:bidi w:val="0"/>
        <w:rPr>
          <w:rFonts w:hint="eastAsia"/>
        </w:rPr>
      </w:pPr>
      <w:r>
        <w:rPr>
          <w:rFonts w:hint="eastAsia"/>
        </w:rPr>
        <w:t>JP 柜内母线的相序排列从装置正面观察，相序标识及排列一般应符合表 3 的规定，接地线为黄绿双色。</w:t>
      </w:r>
    </w:p>
    <w:p w14:paraId="00231D54">
      <w:pPr>
        <w:pStyle w:val="36"/>
        <w:bidi w:val="0"/>
        <w:rPr>
          <w:rFonts w:hint="eastAsia"/>
        </w:rPr>
      </w:pPr>
      <w:r>
        <w:rPr>
          <w:rFonts w:hint="eastAsia"/>
        </w:rPr>
        <w:t>导线相序排列</w:t>
      </w:r>
    </w:p>
    <w:tbl>
      <w:tblPr>
        <w:tblStyle w:val="13"/>
        <w:tblW w:w="4998"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575"/>
        <w:gridCol w:w="2139"/>
        <w:gridCol w:w="1951"/>
        <w:gridCol w:w="1951"/>
        <w:gridCol w:w="1951"/>
      </w:tblGrid>
      <w:tr w14:paraId="467F9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823" w:type="pct"/>
            <w:tcBorders>
              <w:top w:val="single" w:color="000000" w:sz="4" w:space="0"/>
              <w:left w:val="single" w:color="000000" w:sz="4" w:space="0"/>
              <w:bottom w:val="single" w:color="000000" w:sz="4" w:space="0"/>
              <w:right w:val="single" w:color="000000" w:sz="4" w:space="0"/>
              <w:tl2br w:val="nil"/>
            </w:tcBorders>
            <w:shd w:val="clear" w:color="auto" w:fill="FFFFFF"/>
            <w:vAlign w:val="center"/>
          </w:tcPr>
          <w:p w14:paraId="642DC993">
            <w:pPr>
              <w:pStyle w:val="35"/>
              <w:bidi w:val="0"/>
              <w:jc w:val="center"/>
              <w:rPr>
                <w:rFonts w:hint="eastAsia"/>
                <w:b w:val="0"/>
                <w:color w:val="000000"/>
              </w:rPr>
            </w:pPr>
            <w:r>
              <w:rPr>
                <w:rFonts w:hint="eastAsia"/>
                <w:b w:val="0"/>
                <w:color w:val="000000"/>
              </w:rPr>
              <w:t>类别</w:t>
            </w:r>
          </w:p>
        </w:tc>
        <w:tc>
          <w:tcPr>
            <w:tcW w:w="11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99B484">
            <w:pPr>
              <w:pStyle w:val="35"/>
              <w:bidi w:val="0"/>
              <w:jc w:val="center"/>
              <w:rPr>
                <w:rFonts w:hint="eastAsia"/>
                <w:b w:val="0"/>
                <w:color w:val="000000"/>
              </w:rPr>
            </w:pPr>
            <w:r>
              <w:rPr>
                <w:rFonts w:hint="eastAsia"/>
                <w:b w:val="0"/>
                <w:color w:val="000000"/>
              </w:rPr>
              <w:t>标识</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EF2EC4">
            <w:pPr>
              <w:pStyle w:val="35"/>
              <w:bidi w:val="0"/>
              <w:jc w:val="center"/>
              <w:rPr>
                <w:rFonts w:hint="eastAsia"/>
                <w:b w:val="0"/>
                <w:color w:val="000000"/>
              </w:rPr>
            </w:pPr>
            <w:r>
              <w:rPr>
                <w:rFonts w:hint="eastAsia"/>
                <w:b w:val="0"/>
                <w:color w:val="000000"/>
              </w:rPr>
              <w:t>垂直排列</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612BC12">
            <w:pPr>
              <w:pStyle w:val="35"/>
              <w:bidi w:val="0"/>
              <w:jc w:val="center"/>
              <w:rPr>
                <w:rFonts w:hint="eastAsia"/>
                <w:b w:val="0"/>
                <w:color w:val="000000"/>
              </w:rPr>
            </w:pPr>
            <w:r>
              <w:rPr>
                <w:rFonts w:hint="eastAsia"/>
                <w:b w:val="0"/>
                <w:color w:val="000000"/>
              </w:rPr>
              <w:t>水平排列</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D9D336">
            <w:pPr>
              <w:pStyle w:val="35"/>
              <w:bidi w:val="0"/>
              <w:jc w:val="center"/>
              <w:rPr>
                <w:rFonts w:hint="eastAsia"/>
                <w:b w:val="0"/>
                <w:color w:val="000000"/>
              </w:rPr>
            </w:pPr>
            <w:r>
              <w:rPr>
                <w:rFonts w:hint="eastAsia"/>
                <w:b w:val="0"/>
                <w:color w:val="000000"/>
              </w:rPr>
              <w:t>前后排列</w:t>
            </w:r>
          </w:p>
        </w:tc>
      </w:tr>
      <w:tr w14:paraId="1190E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2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A0A517C">
            <w:pPr>
              <w:pStyle w:val="34"/>
              <w:bidi w:val="0"/>
              <w:jc w:val="center"/>
              <w:rPr>
                <w:rFonts w:hint="eastAsia"/>
                <w:b w:val="0"/>
                <w:color w:val="000000"/>
              </w:rPr>
            </w:pPr>
            <w:r>
              <w:rPr>
                <w:rFonts w:hint="eastAsia"/>
                <w:b w:val="0"/>
                <w:color w:val="000000"/>
              </w:rPr>
              <w:t>L1 相</w:t>
            </w:r>
          </w:p>
        </w:tc>
        <w:tc>
          <w:tcPr>
            <w:tcW w:w="11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3194956">
            <w:pPr>
              <w:pStyle w:val="34"/>
              <w:bidi w:val="0"/>
              <w:jc w:val="center"/>
              <w:rPr>
                <w:rFonts w:hint="eastAsia"/>
                <w:b w:val="0"/>
                <w:color w:val="000000"/>
              </w:rPr>
            </w:pPr>
            <w:r>
              <w:rPr>
                <w:rFonts w:hint="eastAsia"/>
                <w:b w:val="0"/>
                <w:color w:val="000000"/>
              </w:rPr>
              <w:t>L1 或黄色</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73D750D">
            <w:pPr>
              <w:pStyle w:val="34"/>
              <w:bidi w:val="0"/>
              <w:jc w:val="center"/>
              <w:rPr>
                <w:rFonts w:hint="eastAsia"/>
                <w:b w:val="0"/>
                <w:color w:val="000000"/>
              </w:rPr>
            </w:pPr>
            <w:r>
              <w:rPr>
                <w:rFonts w:hint="eastAsia"/>
                <w:b w:val="0"/>
                <w:color w:val="000000"/>
              </w:rPr>
              <w:t>上</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BB4B2A">
            <w:pPr>
              <w:pStyle w:val="34"/>
              <w:bidi w:val="0"/>
              <w:jc w:val="center"/>
              <w:rPr>
                <w:rFonts w:hint="eastAsia"/>
                <w:b w:val="0"/>
                <w:color w:val="000000"/>
              </w:rPr>
            </w:pPr>
            <w:r>
              <w:rPr>
                <w:rFonts w:hint="eastAsia"/>
                <w:b w:val="0"/>
                <w:color w:val="000000"/>
              </w:rPr>
              <w:t>左</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C2815AD">
            <w:pPr>
              <w:pStyle w:val="34"/>
              <w:bidi w:val="0"/>
              <w:jc w:val="center"/>
              <w:rPr>
                <w:rFonts w:hint="eastAsia"/>
                <w:b w:val="0"/>
                <w:color w:val="000000"/>
              </w:rPr>
            </w:pPr>
            <w:r>
              <w:rPr>
                <w:rFonts w:hint="eastAsia"/>
                <w:b w:val="0"/>
                <w:color w:val="000000"/>
              </w:rPr>
              <w:t>远</w:t>
            </w:r>
          </w:p>
        </w:tc>
      </w:tr>
      <w:tr w14:paraId="03DD5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2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7A1FEE">
            <w:pPr>
              <w:pStyle w:val="34"/>
              <w:bidi w:val="0"/>
              <w:jc w:val="center"/>
              <w:rPr>
                <w:rFonts w:hint="eastAsia"/>
                <w:b w:val="0"/>
                <w:color w:val="000000"/>
              </w:rPr>
            </w:pPr>
            <w:r>
              <w:rPr>
                <w:rFonts w:hint="eastAsia"/>
                <w:b w:val="0"/>
                <w:color w:val="000000"/>
              </w:rPr>
              <w:t>L2 相</w:t>
            </w:r>
          </w:p>
        </w:tc>
        <w:tc>
          <w:tcPr>
            <w:tcW w:w="11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0D9BBAD">
            <w:pPr>
              <w:pStyle w:val="34"/>
              <w:bidi w:val="0"/>
              <w:jc w:val="center"/>
              <w:rPr>
                <w:rFonts w:hint="eastAsia"/>
                <w:b w:val="0"/>
                <w:color w:val="000000"/>
              </w:rPr>
            </w:pPr>
            <w:r>
              <w:rPr>
                <w:rFonts w:hint="eastAsia"/>
                <w:b w:val="0"/>
                <w:color w:val="000000"/>
              </w:rPr>
              <w:t>L2 或绿色</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A398A31">
            <w:pPr>
              <w:pStyle w:val="34"/>
              <w:bidi w:val="0"/>
              <w:jc w:val="center"/>
              <w:rPr>
                <w:rFonts w:hint="eastAsia"/>
                <w:b w:val="0"/>
                <w:color w:val="000000"/>
              </w:rPr>
            </w:pPr>
            <w:r>
              <w:rPr>
                <w:rFonts w:hint="eastAsia"/>
                <w:b w:val="0"/>
                <w:color w:val="000000"/>
              </w:rPr>
              <w:t>中</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CDFED68">
            <w:pPr>
              <w:pStyle w:val="34"/>
              <w:bidi w:val="0"/>
              <w:jc w:val="center"/>
              <w:rPr>
                <w:rFonts w:hint="eastAsia"/>
                <w:b w:val="0"/>
                <w:color w:val="000000"/>
              </w:rPr>
            </w:pPr>
            <w:r>
              <w:rPr>
                <w:rFonts w:hint="eastAsia"/>
                <w:b w:val="0"/>
                <w:color w:val="000000"/>
              </w:rPr>
              <w:t>中</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1F3442C">
            <w:pPr>
              <w:pStyle w:val="34"/>
              <w:bidi w:val="0"/>
              <w:jc w:val="center"/>
              <w:rPr>
                <w:rFonts w:hint="eastAsia"/>
                <w:b w:val="0"/>
                <w:color w:val="000000"/>
              </w:rPr>
            </w:pPr>
            <w:r>
              <w:rPr>
                <w:rFonts w:hint="eastAsia"/>
                <w:b w:val="0"/>
                <w:color w:val="000000"/>
              </w:rPr>
              <w:t>中</w:t>
            </w:r>
          </w:p>
        </w:tc>
      </w:tr>
      <w:tr w14:paraId="709B3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2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2B2903">
            <w:pPr>
              <w:pStyle w:val="34"/>
              <w:bidi w:val="0"/>
              <w:jc w:val="center"/>
              <w:rPr>
                <w:rFonts w:hint="eastAsia"/>
                <w:b w:val="0"/>
                <w:color w:val="000000"/>
              </w:rPr>
            </w:pPr>
            <w:r>
              <w:rPr>
                <w:rFonts w:hint="eastAsia"/>
                <w:b w:val="0"/>
                <w:color w:val="000000"/>
              </w:rPr>
              <w:t>L3 相</w:t>
            </w:r>
          </w:p>
        </w:tc>
        <w:tc>
          <w:tcPr>
            <w:tcW w:w="11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07FCAC">
            <w:pPr>
              <w:pStyle w:val="34"/>
              <w:bidi w:val="0"/>
              <w:jc w:val="center"/>
              <w:rPr>
                <w:rFonts w:hint="eastAsia"/>
                <w:b w:val="0"/>
                <w:color w:val="000000"/>
              </w:rPr>
            </w:pPr>
            <w:r>
              <w:rPr>
                <w:rFonts w:hint="eastAsia"/>
                <w:b w:val="0"/>
                <w:color w:val="000000"/>
              </w:rPr>
              <w:t>L3 或红色</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326A54C">
            <w:pPr>
              <w:pStyle w:val="34"/>
              <w:bidi w:val="0"/>
              <w:jc w:val="center"/>
              <w:rPr>
                <w:rFonts w:hint="eastAsia"/>
                <w:b w:val="0"/>
                <w:color w:val="000000"/>
              </w:rPr>
            </w:pPr>
            <w:r>
              <w:rPr>
                <w:rFonts w:hint="eastAsia"/>
                <w:b w:val="0"/>
                <w:color w:val="000000"/>
              </w:rPr>
              <w:t>下</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41D453">
            <w:pPr>
              <w:pStyle w:val="34"/>
              <w:bidi w:val="0"/>
              <w:jc w:val="center"/>
              <w:rPr>
                <w:rFonts w:hint="eastAsia"/>
                <w:b w:val="0"/>
                <w:color w:val="000000"/>
              </w:rPr>
            </w:pPr>
            <w:r>
              <w:rPr>
                <w:rFonts w:hint="eastAsia"/>
                <w:b w:val="0"/>
                <w:color w:val="000000"/>
              </w:rPr>
              <w:t>右</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3A3724">
            <w:pPr>
              <w:pStyle w:val="34"/>
              <w:bidi w:val="0"/>
              <w:jc w:val="center"/>
              <w:rPr>
                <w:rFonts w:hint="eastAsia"/>
                <w:b w:val="0"/>
                <w:color w:val="000000"/>
              </w:rPr>
            </w:pPr>
            <w:r>
              <w:rPr>
                <w:rFonts w:hint="eastAsia"/>
                <w:b w:val="0"/>
                <w:color w:val="000000"/>
              </w:rPr>
              <w:t>近</w:t>
            </w:r>
          </w:p>
        </w:tc>
      </w:tr>
      <w:tr w14:paraId="4FAC6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82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43B64D8">
            <w:pPr>
              <w:pStyle w:val="34"/>
              <w:bidi w:val="0"/>
              <w:jc w:val="center"/>
              <w:rPr>
                <w:rFonts w:hint="eastAsia"/>
                <w:b w:val="0"/>
                <w:color w:val="000000"/>
              </w:rPr>
            </w:pPr>
            <w:r>
              <w:rPr>
                <w:rFonts w:hint="eastAsia"/>
                <w:b w:val="0"/>
                <w:color w:val="000000"/>
              </w:rPr>
              <w:t>中性线</w:t>
            </w:r>
          </w:p>
        </w:tc>
        <w:tc>
          <w:tcPr>
            <w:tcW w:w="111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4258C9">
            <w:pPr>
              <w:pStyle w:val="34"/>
              <w:bidi w:val="0"/>
              <w:jc w:val="center"/>
              <w:rPr>
                <w:rFonts w:hint="eastAsia"/>
                <w:b w:val="0"/>
                <w:color w:val="000000"/>
              </w:rPr>
            </w:pPr>
            <w:r>
              <w:rPr>
                <w:rFonts w:hint="eastAsia"/>
                <w:b w:val="0"/>
                <w:color w:val="000000"/>
              </w:rPr>
              <w:t>N</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B84F4A">
            <w:pPr>
              <w:pStyle w:val="34"/>
              <w:bidi w:val="0"/>
              <w:jc w:val="center"/>
              <w:rPr>
                <w:rFonts w:hint="eastAsia"/>
                <w:b w:val="0"/>
                <w:color w:val="000000"/>
              </w:rPr>
            </w:pPr>
            <w:r>
              <w:rPr>
                <w:rFonts w:hint="eastAsia"/>
                <w:b w:val="0"/>
                <w:color w:val="000000"/>
              </w:rPr>
              <w:t>最下</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5AA966">
            <w:pPr>
              <w:pStyle w:val="34"/>
              <w:bidi w:val="0"/>
              <w:jc w:val="center"/>
              <w:rPr>
                <w:rFonts w:hint="eastAsia"/>
                <w:b w:val="0"/>
                <w:color w:val="000000"/>
              </w:rPr>
            </w:pPr>
            <w:r>
              <w:rPr>
                <w:rFonts w:hint="eastAsia"/>
                <w:b w:val="0"/>
                <w:color w:val="000000"/>
              </w:rPr>
              <w:t>最右</w:t>
            </w:r>
          </w:p>
        </w:tc>
        <w:tc>
          <w:tcPr>
            <w:tcW w:w="101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020CD8D">
            <w:pPr>
              <w:pStyle w:val="34"/>
              <w:bidi w:val="0"/>
              <w:jc w:val="center"/>
              <w:rPr>
                <w:rFonts w:hint="eastAsia"/>
                <w:b w:val="0"/>
                <w:color w:val="000000"/>
              </w:rPr>
            </w:pPr>
            <w:r>
              <w:rPr>
                <w:rFonts w:hint="eastAsia"/>
                <w:b w:val="0"/>
                <w:color w:val="000000"/>
              </w:rPr>
              <w:t>最近</w:t>
            </w:r>
          </w:p>
        </w:tc>
      </w:tr>
    </w:tbl>
    <w:p w14:paraId="7F4B7C99">
      <w:pPr>
        <w:pStyle w:val="76"/>
        <w:bidi w:val="0"/>
        <w:rPr>
          <w:rFonts w:hint="eastAsia"/>
        </w:rPr>
      </w:pPr>
      <w:r>
        <w:rPr>
          <w:rFonts w:hint="eastAsia"/>
        </w:rPr>
        <w:t>JP 柜内的铜排应外加绝缘护套，母排和母线各部接头处应加绝缘防护罩，箱内应无裸露带电部位，母线及馈出均绝缘封闭。</w:t>
      </w:r>
    </w:p>
    <w:p w14:paraId="6CA13DE6">
      <w:pPr>
        <w:pStyle w:val="76"/>
        <w:bidi w:val="0"/>
        <w:rPr>
          <w:rFonts w:hint="eastAsia"/>
        </w:rPr>
      </w:pPr>
      <w:r>
        <w:rPr>
          <w:rFonts w:hint="eastAsia"/>
        </w:rPr>
        <w:t>铜排其折弯应无砸痕、裂口、毛刺，其最小允许弯曲半径应符合 DL/T 375 中 6.4.10 表 7 的规定。</w:t>
      </w:r>
    </w:p>
    <w:p w14:paraId="47ACBF4F">
      <w:pPr>
        <w:pStyle w:val="76"/>
        <w:bidi w:val="0"/>
        <w:rPr>
          <w:rFonts w:hint="eastAsia"/>
        </w:rPr>
      </w:pPr>
      <w:r>
        <w:rPr>
          <w:rFonts w:hint="eastAsia"/>
        </w:rPr>
        <w:t>母排应采用绝缘支持件进行固定，以保证母线之间和母线与其它元件之间的距离不变，母线的布置和连接及绝缘支持件应能承受装置额定的短时耐受电流和峰值电流所产生的机械应力和热应力的冲击。</w:t>
      </w:r>
    </w:p>
    <w:p w14:paraId="185E245E">
      <w:pPr>
        <w:pStyle w:val="76"/>
        <w:bidi w:val="0"/>
        <w:rPr>
          <w:rFonts w:hint="eastAsia"/>
        </w:rPr>
      </w:pPr>
      <w:r>
        <w:rPr>
          <w:rFonts w:hint="eastAsia"/>
        </w:rPr>
        <w:t>母线应采用绝缘支持件进行固定，以保证母线之间的连接应保证有足够持久的压力，但不应使母线变形，振动和温度变化在母线上产生的膨胀和收缩不致影响母线连接部件的接触特性。</w:t>
      </w:r>
    </w:p>
    <w:p w14:paraId="2CF37F5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通电操作</w:t>
      </w:r>
    </w:p>
    <w:p w14:paraId="5A06EF62">
      <w:pPr>
        <w:pStyle w:val="73"/>
        <w:ind w:firstLine="420"/>
        <w:rPr>
          <w:rFonts w:hint="eastAsia"/>
        </w:rPr>
      </w:pPr>
      <w:r>
        <w:rPr>
          <w:rFonts w:hint="eastAsia"/>
        </w:rPr>
        <w:t>JP 柜应在电压 85%</w:t>
      </w:r>
      <w:r>
        <w:rPr>
          <w:rFonts w:hint="default" w:ascii="Times New Roman" w:hAnsi="Times New Roman" w:cs="Times New Roman"/>
        </w:rPr>
        <w:t>~</w:t>
      </w:r>
      <w:r>
        <w:rPr>
          <w:rFonts w:hint="eastAsia"/>
        </w:rPr>
        <w:t>100% 额定电压范围内工作正常。</w:t>
      </w:r>
    </w:p>
    <w:p w14:paraId="65E1F98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温升</w:t>
      </w:r>
    </w:p>
    <w:p w14:paraId="4A4DEE4E">
      <w:pPr>
        <w:pStyle w:val="73"/>
        <w:ind w:firstLine="420"/>
        <w:rPr>
          <w:rFonts w:hint="eastAsia"/>
        </w:rPr>
      </w:pPr>
      <w:r>
        <w:rPr>
          <w:rFonts w:hint="eastAsia"/>
        </w:rPr>
        <w:t>温升限值应不超过表 4 的规定。</w:t>
      </w:r>
    </w:p>
    <w:p w14:paraId="5478E18B">
      <w:pPr>
        <w:pStyle w:val="36"/>
        <w:bidi w:val="0"/>
        <w:rPr>
          <w:rFonts w:hint="eastAsia"/>
        </w:rPr>
      </w:pPr>
      <w:r>
        <w:rPr>
          <w:rFonts w:hint="eastAsia"/>
        </w:rPr>
        <w:t>温升限值</w:t>
      </w:r>
    </w:p>
    <w:tbl>
      <w:tblPr>
        <w:tblStyle w:val="13"/>
        <w:tblW w:w="5000"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4753"/>
        <w:gridCol w:w="4818"/>
      </w:tblGrid>
      <w:tr w14:paraId="1474D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2483" w:type="pct"/>
            <w:tcBorders>
              <w:top w:val="single" w:color="auto" w:sz="8" w:space="0"/>
              <w:left w:val="single" w:color="auto" w:sz="8" w:space="0"/>
              <w:bottom w:val="single" w:color="auto" w:sz="8" w:space="0"/>
            </w:tcBorders>
            <w:vAlign w:val="center"/>
          </w:tcPr>
          <w:p w14:paraId="68EEA6EF">
            <w:pPr>
              <w:pStyle w:val="35"/>
              <w:bidi w:val="0"/>
              <w:jc w:val="center"/>
              <w:rPr>
                <w:rFonts w:hint="eastAsia"/>
              </w:rPr>
            </w:pPr>
            <w:r>
              <w:rPr>
                <w:rFonts w:hint="eastAsia"/>
              </w:rPr>
              <w:t>JP 柜的部件</w:t>
            </w:r>
          </w:p>
        </w:tc>
        <w:tc>
          <w:tcPr>
            <w:tcW w:w="2516" w:type="pct"/>
            <w:tcBorders>
              <w:top w:val="single" w:color="auto" w:sz="8" w:space="0"/>
              <w:bottom w:val="single" w:color="auto" w:sz="8" w:space="0"/>
              <w:right w:val="single" w:color="auto" w:sz="8" w:space="0"/>
            </w:tcBorders>
            <w:vAlign w:val="center"/>
          </w:tcPr>
          <w:p w14:paraId="5BAB0CB2">
            <w:pPr>
              <w:pStyle w:val="35"/>
              <w:bidi w:val="0"/>
              <w:jc w:val="center"/>
              <w:rPr>
                <w:rFonts w:hint="eastAsia"/>
              </w:rPr>
            </w:pPr>
            <w:r>
              <w:rPr>
                <w:rFonts w:hint="eastAsia"/>
              </w:rPr>
              <w:t>温升 K</w:t>
            </w:r>
          </w:p>
        </w:tc>
      </w:tr>
      <w:tr w14:paraId="48F4C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83" w:type="pct"/>
            <w:tcBorders>
              <w:left w:val="single" w:color="auto" w:sz="8" w:space="0"/>
            </w:tcBorders>
            <w:vAlign w:val="center"/>
          </w:tcPr>
          <w:p w14:paraId="2AE2711E">
            <w:pPr>
              <w:pStyle w:val="34"/>
              <w:bidi w:val="0"/>
              <w:jc w:val="center"/>
              <w:rPr>
                <w:rFonts w:hint="eastAsia"/>
              </w:rPr>
            </w:pPr>
            <w:r>
              <w:rPr>
                <w:rFonts w:hint="eastAsia"/>
              </w:rPr>
              <w:t>内装元件</w:t>
            </w:r>
          </w:p>
        </w:tc>
        <w:tc>
          <w:tcPr>
            <w:tcW w:w="2516" w:type="pct"/>
            <w:tcBorders>
              <w:right w:val="single" w:color="auto" w:sz="8" w:space="0"/>
            </w:tcBorders>
            <w:vAlign w:val="center"/>
          </w:tcPr>
          <w:p w14:paraId="401A3277">
            <w:pPr>
              <w:pStyle w:val="34"/>
              <w:bidi w:val="0"/>
              <w:jc w:val="center"/>
              <w:rPr>
                <w:rFonts w:hint="eastAsia"/>
              </w:rPr>
            </w:pPr>
            <w:r>
              <w:rPr>
                <w:rFonts w:hint="eastAsia"/>
              </w:rPr>
              <w:t>根据不同元件的有关要求，或根据制造商的说明书，考虑 JP 柜内的温度</w:t>
            </w:r>
          </w:p>
        </w:tc>
      </w:tr>
      <w:tr w14:paraId="7ABBD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83" w:type="pct"/>
            <w:tcBorders>
              <w:left w:val="single" w:color="auto" w:sz="8" w:space="0"/>
            </w:tcBorders>
            <w:vAlign w:val="center"/>
          </w:tcPr>
          <w:p w14:paraId="5F8F2DCA">
            <w:pPr>
              <w:pStyle w:val="34"/>
              <w:bidi w:val="0"/>
              <w:jc w:val="center"/>
              <w:rPr>
                <w:rFonts w:hint="eastAsia"/>
              </w:rPr>
            </w:pPr>
            <w:r>
              <w:rPr>
                <w:rFonts w:hint="eastAsia"/>
              </w:rPr>
              <w:t>用于连接外部绝缘导线的端子、内装元件与母线连接处</w:t>
            </w:r>
          </w:p>
        </w:tc>
        <w:tc>
          <w:tcPr>
            <w:tcW w:w="2516" w:type="pct"/>
            <w:tcBorders>
              <w:right w:val="single" w:color="auto" w:sz="8" w:space="0"/>
            </w:tcBorders>
            <w:vAlign w:val="center"/>
          </w:tcPr>
          <w:p w14:paraId="1C7BEF9A">
            <w:pPr>
              <w:pStyle w:val="34"/>
              <w:bidi w:val="0"/>
              <w:jc w:val="center"/>
              <w:rPr>
                <w:rFonts w:hint="eastAsia"/>
              </w:rPr>
            </w:pPr>
            <w:r>
              <w:rPr>
                <w:rFonts w:hint="eastAsia"/>
              </w:rPr>
              <w:t>70</w:t>
            </w:r>
          </w:p>
        </w:tc>
      </w:tr>
      <w:tr w14:paraId="60A85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83" w:type="pct"/>
            <w:tcBorders>
              <w:left w:val="single" w:color="auto" w:sz="8" w:space="0"/>
            </w:tcBorders>
            <w:vAlign w:val="center"/>
          </w:tcPr>
          <w:p w14:paraId="04EAE643">
            <w:pPr>
              <w:pStyle w:val="34"/>
              <w:bidi w:val="0"/>
              <w:jc w:val="center"/>
              <w:rPr>
                <w:rFonts w:hint="eastAsia"/>
              </w:rPr>
            </w:pPr>
            <w:r>
              <w:rPr>
                <w:rFonts w:hint="eastAsia"/>
              </w:rPr>
              <w:t>母线固定连接处</w:t>
            </w:r>
          </w:p>
          <w:p w14:paraId="686EEE53">
            <w:pPr>
              <w:pStyle w:val="34"/>
              <w:bidi w:val="0"/>
              <w:jc w:val="center"/>
              <w:rPr>
                <w:rFonts w:hint="eastAsia"/>
              </w:rPr>
            </w:pPr>
            <w:r>
              <w:rPr>
                <w:rFonts w:hint="eastAsia"/>
              </w:rPr>
              <w:t>（裸铜 - 裸铜、铜搪锡 - 铜搪锡、铜镀银 - 铜镀银）</w:t>
            </w:r>
          </w:p>
        </w:tc>
        <w:tc>
          <w:tcPr>
            <w:tcW w:w="2516" w:type="pct"/>
            <w:tcBorders>
              <w:right w:val="single" w:color="auto" w:sz="8" w:space="0"/>
            </w:tcBorders>
            <w:vAlign w:val="center"/>
          </w:tcPr>
          <w:p w14:paraId="2207769E">
            <w:pPr>
              <w:pStyle w:val="34"/>
              <w:bidi w:val="0"/>
              <w:jc w:val="center"/>
              <w:rPr>
                <w:rFonts w:hint="eastAsia"/>
              </w:rPr>
            </w:pPr>
            <w:r>
              <w:rPr>
                <w:rFonts w:hint="eastAsia"/>
              </w:rPr>
              <w:t>60</w:t>
            </w:r>
          </w:p>
        </w:tc>
      </w:tr>
      <w:tr w14:paraId="132E7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83" w:type="pct"/>
            <w:tcBorders>
              <w:left w:val="single" w:color="auto" w:sz="8" w:space="0"/>
            </w:tcBorders>
            <w:vAlign w:val="center"/>
          </w:tcPr>
          <w:p w14:paraId="579EFA66">
            <w:pPr>
              <w:pStyle w:val="34"/>
              <w:bidi w:val="0"/>
              <w:jc w:val="center"/>
              <w:rPr>
                <w:rFonts w:hint="eastAsia"/>
              </w:rPr>
            </w:pPr>
            <w:r>
              <w:rPr>
                <w:rFonts w:hint="eastAsia"/>
              </w:rPr>
              <w:t>操作手柄</w:t>
            </w:r>
          </w:p>
          <w:p w14:paraId="279CB35B">
            <w:pPr>
              <w:pStyle w:val="34"/>
              <w:bidi w:val="0"/>
              <w:jc w:val="center"/>
              <w:rPr>
                <w:rFonts w:hint="eastAsia"/>
              </w:rPr>
            </w:pPr>
            <w:r>
              <w:rPr>
                <w:rFonts w:hint="eastAsia"/>
              </w:rPr>
              <w:t>（金属的）</w:t>
            </w:r>
          </w:p>
        </w:tc>
        <w:tc>
          <w:tcPr>
            <w:tcW w:w="2516" w:type="pct"/>
            <w:tcBorders>
              <w:right w:val="single" w:color="auto" w:sz="8" w:space="0"/>
            </w:tcBorders>
            <w:vAlign w:val="center"/>
          </w:tcPr>
          <w:p w14:paraId="03791500">
            <w:pPr>
              <w:pStyle w:val="34"/>
              <w:bidi w:val="0"/>
              <w:jc w:val="center"/>
              <w:rPr>
                <w:rFonts w:hint="eastAsia"/>
              </w:rPr>
            </w:pPr>
            <w:r>
              <w:rPr>
                <w:rFonts w:hint="eastAsia"/>
              </w:rPr>
              <w:t>15</w:t>
            </w:r>
          </w:p>
        </w:tc>
      </w:tr>
      <w:tr w14:paraId="648C4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83" w:type="pct"/>
            <w:tcBorders>
              <w:left w:val="single" w:color="auto" w:sz="8" w:space="0"/>
            </w:tcBorders>
            <w:vAlign w:val="center"/>
          </w:tcPr>
          <w:p w14:paraId="04006D96">
            <w:pPr>
              <w:pStyle w:val="34"/>
              <w:bidi w:val="0"/>
              <w:jc w:val="center"/>
              <w:rPr>
                <w:rFonts w:hint="eastAsia"/>
              </w:rPr>
            </w:pPr>
            <w:r>
              <w:rPr>
                <w:rFonts w:hint="eastAsia"/>
              </w:rPr>
              <w:t>操作手柄</w:t>
            </w:r>
          </w:p>
          <w:p w14:paraId="5738D9FA">
            <w:pPr>
              <w:pStyle w:val="34"/>
              <w:bidi w:val="0"/>
              <w:jc w:val="center"/>
              <w:rPr>
                <w:rFonts w:hint="eastAsia"/>
              </w:rPr>
            </w:pPr>
            <w:r>
              <w:rPr>
                <w:rFonts w:hint="eastAsia"/>
              </w:rPr>
              <w:t>（绝缘材料的）</w:t>
            </w:r>
          </w:p>
        </w:tc>
        <w:tc>
          <w:tcPr>
            <w:tcW w:w="2516" w:type="pct"/>
            <w:tcBorders>
              <w:right w:val="single" w:color="auto" w:sz="8" w:space="0"/>
            </w:tcBorders>
            <w:vAlign w:val="center"/>
          </w:tcPr>
          <w:p w14:paraId="64E5C5BE">
            <w:pPr>
              <w:pStyle w:val="34"/>
              <w:bidi w:val="0"/>
              <w:jc w:val="center"/>
              <w:rPr>
                <w:rFonts w:hint="eastAsia"/>
              </w:rPr>
            </w:pPr>
            <w:r>
              <w:rPr>
                <w:rFonts w:hint="eastAsia"/>
              </w:rPr>
              <w:t>25</w:t>
            </w:r>
          </w:p>
        </w:tc>
      </w:tr>
      <w:tr w14:paraId="34809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83" w:type="pct"/>
            <w:tcBorders>
              <w:left w:val="single" w:color="auto" w:sz="8" w:space="0"/>
            </w:tcBorders>
            <w:vAlign w:val="center"/>
          </w:tcPr>
          <w:p w14:paraId="7D7F7C9B">
            <w:pPr>
              <w:pStyle w:val="34"/>
              <w:bidi w:val="0"/>
              <w:jc w:val="center"/>
              <w:rPr>
                <w:rFonts w:hint="eastAsia"/>
              </w:rPr>
            </w:pPr>
            <w:r>
              <w:rPr>
                <w:rFonts w:hint="eastAsia"/>
              </w:rPr>
              <w:t>可接近的外壳和覆板</w:t>
            </w:r>
          </w:p>
          <w:p w14:paraId="7343CEB0">
            <w:pPr>
              <w:pStyle w:val="34"/>
              <w:bidi w:val="0"/>
              <w:jc w:val="center"/>
              <w:rPr>
                <w:rFonts w:hint="eastAsia"/>
              </w:rPr>
            </w:pPr>
            <w:r>
              <w:rPr>
                <w:rFonts w:hint="eastAsia"/>
              </w:rPr>
              <w:t>（金属表面）</w:t>
            </w:r>
          </w:p>
        </w:tc>
        <w:tc>
          <w:tcPr>
            <w:tcW w:w="2516" w:type="pct"/>
            <w:tcBorders>
              <w:right w:val="single" w:color="auto" w:sz="8" w:space="0"/>
            </w:tcBorders>
            <w:vAlign w:val="center"/>
          </w:tcPr>
          <w:p w14:paraId="1C395E60">
            <w:pPr>
              <w:pStyle w:val="34"/>
              <w:bidi w:val="0"/>
              <w:jc w:val="center"/>
              <w:rPr>
                <w:rFonts w:hint="eastAsia"/>
              </w:rPr>
            </w:pPr>
            <w:r>
              <w:rPr>
                <w:rFonts w:hint="eastAsia"/>
              </w:rPr>
              <w:t>30</w:t>
            </w:r>
          </w:p>
        </w:tc>
      </w:tr>
      <w:tr w14:paraId="44FD0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483" w:type="pct"/>
            <w:tcBorders>
              <w:left w:val="single" w:color="auto" w:sz="8" w:space="0"/>
            </w:tcBorders>
            <w:vAlign w:val="center"/>
          </w:tcPr>
          <w:p w14:paraId="3BC1A331">
            <w:pPr>
              <w:pStyle w:val="34"/>
              <w:bidi w:val="0"/>
              <w:jc w:val="center"/>
              <w:rPr>
                <w:rFonts w:hint="eastAsia"/>
              </w:rPr>
            </w:pPr>
            <w:r>
              <w:rPr>
                <w:rFonts w:hint="eastAsia"/>
              </w:rPr>
              <w:t>可接近的外壳和覆板</w:t>
            </w:r>
          </w:p>
          <w:p w14:paraId="0D16C5F2">
            <w:pPr>
              <w:pStyle w:val="34"/>
              <w:bidi w:val="0"/>
              <w:jc w:val="center"/>
              <w:rPr>
                <w:rFonts w:hint="eastAsia"/>
              </w:rPr>
            </w:pPr>
            <w:r>
              <w:rPr>
                <w:rFonts w:hint="eastAsia"/>
              </w:rPr>
              <w:t>（绝缘表面）</w:t>
            </w:r>
          </w:p>
        </w:tc>
        <w:tc>
          <w:tcPr>
            <w:tcW w:w="2516" w:type="pct"/>
            <w:tcBorders>
              <w:right w:val="single" w:color="auto" w:sz="8" w:space="0"/>
            </w:tcBorders>
            <w:vAlign w:val="center"/>
          </w:tcPr>
          <w:p w14:paraId="24785402">
            <w:pPr>
              <w:pStyle w:val="34"/>
              <w:bidi w:val="0"/>
              <w:jc w:val="center"/>
              <w:rPr>
                <w:rFonts w:hint="eastAsia"/>
              </w:rPr>
            </w:pPr>
            <w:r>
              <w:rPr>
                <w:rFonts w:hint="eastAsia"/>
              </w:rPr>
              <w:t>40</w:t>
            </w:r>
          </w:p>
        </w:tc>
      </w:tr>
      <w:tr w14:paraId="7962E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5000" w:type="pct"/>
            <w:gridSpan w:val="2"/>
            <w:tcBorders>
              <w:left w:val="single" w:color="auto" w:sz="8" w:space="0"/>
              <w:bottom w:val="single" w:color="auto" w:sz="8" w:space="0"/>
              <w:right w:val="single" w:color="auto" w:sz="8" w:space="0"/>
            </w:tcBorders>
          </w:tcPr>
          <w:p w14:paraId="46ADCC5B">
            <w:pPr>
              <w:pStyle w:val="49"/>
              <w:bidi w:val="0"/>
              <w:ind w:left="794" w:leftChars="0" w:hanging="374" w:firstLineChars="0"/>
              <w:rPr>
                <w:rFonts w:hint="eastAsia"/>
              </w:rPr>
            </w:pPr>
            <w:r>
              <w:rPr>
                <w:rFonts w:hint="eastAsia"/>
              </w:rPr>
              <w:t>当温升超过 105K 时，铜很容易产生退火，其它材料应该有不同的最大温升限值。本表中给出的温升限值要求在正常使用条件下周围空气平均温度不超过 35℃，在验证过程中，允许有不同的环境温度。</w:t>
            </w:r>
          </w:p>
        </w:tc>
      </w:tr>
    </w:tbl>
    <w:p w14:paraId="595F8DD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机械操作</w:t>
      </w:r>
    </w:p>
    <w:p w14:paraId="64519ABB">
      <w:pPr>
        <w:pStyle w:val="73"/>
        <w:ind w:firstLine="420"/>
        <w:rPr>
          <w:rFonts w:hint="eastAsia"/>
        </w:rPr>
      </w:pPr>
      <w:r>
        <w:rPr>
          <w:rFonts w:hint="eastAsia"/>
        </w:rPr>
        <w:t>JP 柜手动操作部件，型式试验的操作次数应不少于 200 次，出厂试验应不少于 5 次，同时应检查与这些动作相关的机械联锁机构的操作。元器件、联锁机构规定的防护等级等的工作状态应不受损伤，且所要求的操作力与试验前一样。</w:t>
      </w:r>
    </w:p>
    <w:p w14:paraId="6AEA674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介电性能</w:t>
      </w:r>
    </w:p>
    <w:p w14:paraId="793AEEF0">
      <w:pPr>
        <w:pStyle w:val="73"/>
        <w:ind w:firstLine="420"/>
        <w:rPr>
          <w:rFonts w:hint="eastAsia"/>
        </w:rPr>
      </w:pPr>
      <w:r>
        <w:rPr>
          <w:rFonts w:hint="eastAsia"/>
        </w:rPr>
        <w:t>应用电压至少为 500V 的绝缘电阻测量仪器进行测量，带电体之间、带电体与裸露导电部件之间、带电体对地的绝缘电阻应不小于 1000Ω/V。主电路与主电路直接连接的辅助电路应能耐受表 5 规定的工频耐压试验电压</w:t>
      </w:r>
      <w:r>
        <w:rPr>
          <w:rFonts w:hint="eastAsia"/>
          <w:lang w:eastAsia="zh-CN"/>
        </w:rPr>
        <w:t>。</w:t>
      </w:r>
    </w:p>
    <w:p w14:paraId="4FBE83ED">
      <w:pPr>
        <w:pStyle w:val="36"/>
        <w:bidi w:val="0"/>
        <w:rPr>
          <w:rFonts w:hint="eastAsia"/>
        </w:rPr>
      </w:pPr>
      <w:r>
        <w:rPr>
          <w:rFonts w:hint="eastAsia"/>
        </w:rPr>
        <w:t>主电路试验电压值</w:t>
      </w:r>
    </w:p>
    <w:tbl>
      <w:tblPr>
        <w:tblStyle w:val="13"/>
        <w:tblW w:w="4999"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5785"/>
        <w:gridCol w:w="3784"/>
      </w:tblGrid>
      <w:tr w14:paraId="674E9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3022" w:type="pct"/>
            <w:tcBorders>
              <w:top w:val="single" w:color="auto" w:sz="8" w:space="0"/>
              <w:left w:val="single" w:color="auto" w:sz="8" w:space="0"/>
              <w:bottom w:val="single" w:color="auto" w:sz="8" w:space="0"/>
            </w:tcBorders>
            <w:vAlign w:val="center"/>
          </w:tcPr>
          <w:p w14:paraId="570E8899">
            <w:pPr>
              <w:pStyle w:val="35"/>
              <w:bidi w:val="0"/>
              <w:jc w:val="center"/>
              <w:rPr>
                <w:rFonts w:hint="eastAsia"/>
              </w:rPr>
            </w:pPr>
            <w:r>
              <w:rPr>
                <w:rFonts w:hint="eastAsia"/>
              </w:rPr>
              <w:t>额定绝缘电压U</w:t>
            </w:r>
          </w:p>
          <w:p w14:paraId="7A01DB0C">
            <w:pPr>
              <w:pStyle w:val="35"/>
              <w:bidi w:val="0"/>
              <w:jc w:val="center"/>
              <w:rPr>
                <w:rFonts w:hint="eastAsia"/>
              </w:rPr>
            </w:pPr>
            <w:r>
              <w:rPr>
                <w:rFonts w:hint="eastAsia"/>
              </w:rPr>
              <w:t>V</w:t>
            </w:r>
          </w:p>
        </w:tc>
        <w:tc>
          <w:tcPr>
            <w:tcW w:w="1977" w:type="pct"/>
            <w:tcBorders>
              <w:top w:val="single" w:color="auto" w:sz="8" w:space="0"/>
              <w:bottom w:val="single" w:color="auto" w:sz="8" w:space="0"/>
              <w:right w:val="single" w:color="auto" w:sz="8" w:space="0"/>
            </w:tcBorders>
            <w:vAlign w:val="center"/>
          </w:tcPr>
          <w:p w14:paraId="3FB9DC45">
            <w:pPr>
              <w:pStyle w:val="35"/>
              <w:bidi w:val="0"/>
              <w:jc w:val="center"/>
              <w:rPr>
                <w:rFonts w:hint="eastAsia"/>
              </w:rPr>
            </w:pPr>
            <w:r>
              <w:rPr>
                <w:rFonts w:hint="eastAsia"/>
              </w:rPr>
              <w:t>试验电压</w:t>
            </w:r>
          </w:p>
          <w:p w14:paraId="67FDDEE5">
            <w:pPr>
              <w:pStyle w:val="35"/>
              <w:bidi w:val="0"/>
              <w:jc w:val="center"/>
              <w:rPr>
                <w:rFonts w:hint="eastAsia"/>
              </w:rPr>
            </w:pPr>
            <w:r>
              <w:rPr>
                <w:rFonts w:hint="eastAsia"/>
              </w:rPr>
              <w:t>V</w:t>
            </w:r>
          </w:p>
        </w:tc>
      </w:tr>
      <w:tr w14:paraId="6015A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3022" w:type="pct"/>
            <w:tcBorders>
              <w:left w:val="single" w:color="auto" w:sz="8" w:space="0"/>
            </w:tcBorders>
            <w:vAlign w:val="center"/>
          </w:tcPr>
          <w:p w14:paraId="41C7ACB8">
            <w:pPr>
              <w:pStyle w:val="34"/>
              <w:bidi w:val="0"/>
              <w:jc w:val="center"/>
              <w:rPr>
                <w:rFonts w:hint="eastAsia"/>
              </w:rPr>
            </w:pPr>
            <w:r>
              <w:rPr>
                <w:rFonts w:hint="eastAsia"/>
              </w:rPr>
              <w:t>U≤60</w:t>
            </w:r>
          </w:p>
        </w:tc>
        <w:tc>
          <w:tcPr>
            <w:tcW w:w="1977" w:type="pct"/>
            <w:tcBorders>
              <w:right w:val="single" w:color="auto" w:sz="8" w:space="0"/>
            </w:tcBorders>
            <w:vAlign w:val="center"/>
          </w:tcPr>
          <w:p w14:paraId="069CEBE2">
            <w:pPr>
              <w:pStyle w:val="34"/>
              <w:bidi w:val="0"/>
              <w:jc w:val="center"/>
              <w:rPr>
                <w:rFonts w:hint="eastAsia"/>
              </w:rPr>
            </w:pPr>
            <w:r>
              <w:rPr>
                <w:rFonts w:hint="eastAsia"/>
              </w:rPr>
              <w:t>1000</w:t>
            </w:r>
          </w:p>
        </w:tc>
      </w:tr>
      <w:tr w14:paraId="06A9C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3022" w:type="pct"/>
            <w:tcBorders>
              <w:left w:val="single" w:color="auto" w:sz="8" w:space="0"/>
            </w:tcBorders>
            <w:vAlign w:val="center"/>
          </w:tcPr>
          <w:p w14:paraId="0A4F25AB">
            <w:pPr>
              <w:pStyle w:val="34"/>
              <w:bidi w:val="0"/>
              <w:jc w:val="center"/>
              <w:rPr>
                <w:rFonts w:hint="eastAsia"/>
              </w:rPr>
            </w:pPr>
            <w:r>
              <w:rPr>
                <w:rFonts w:hint="eastAsia"/>
              </w:rPr>
              <w:t>60</w:t>
            </w:r>
            <w:r>
              <w:rPr>
                <w:rFonts w:hint="eastAsia"/>
                <w:lang w:val="en-US" w:eastAsia="zh-CN"/>
              </w:rPr>
              <w:t>＜</w:t>
            </w:r>
            <w:r>
              <w:rPr>
                <w:rFonts w:hint="eastAsia"/>
              </w:rPr>
              <w:t>U≤300</w:t>
            </w:r>
          </w:p>
        </w:tc>
        <w:tc>
          <w:tcPr>
            <w:tcW w:w="1977" w:type="pct"/>
            <w:tcBorders>
              <w:right w:val="single" w:color="auto" w:sz="8" w:space="0"/>
            </w:tcBorders>
            <w:vAlign w:val="center"/>
          </w:tcPr>
          <w:p w14:paraId="4F04825B">
            <w:pPr>
              <w:pStyle w:val="34"/>
              <w:bidi w:val="0"/>
              <w:jc w:val="center"/>
              <w:rPr>
                <w:rFonts w:hint="eastAsia"/>
              </w:rPr>
            </w:pPr>
            <w:r>
              <w:rPr>
                <w:rFonts w:hint="eastAsia"/>
              </w:rPr>
              <w:t>2000</w:t>
            </w:r>
          </w:p>
        </w:tc>
      </w:tr>
      <w:tr w14:paraId="4E9DD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3022" w:type="pct"/>
            <w:tcBorders>
              <w:left w:val="single" w:color="auto" w:sz="8" w:space="0"/>
            </w:tcBorders>
            <w:vAlign w:val="center"/>
          </w:tcPr>
          <w:p w14:paraId="716DAC5E">
            <w:pPr>
              <w:pStyle w:val="34"/>
              <w:bidi w:val="0"/>
              <w:jc w:val="center"/>
              <w:rPr>
                <w:rFonts w:hint="eastAsia"/>
              </w:rPr>
            </w:pPr>
            <w:r>
              <w:rPr>
                <w:rFonts w:hint="eastAsia"/>
              </w:rPr>
              <w:t>300＜U≤690</w:t>
            </w:r>
          </w:p>
        </w:tc>
        <w:tc>
          <w:tcPr>
            <w:tcW w:w="1977" w:type="pct"/>
            <w:tcBorders>
              <w:right w:val="single" w:color="auto" w:sz="8" w:space="0"/>
            </w:tcBorders>
            <w:vAlign w:val="center"/>
          </w:tcPr>
          <w:p w14:paraId="2B012479">
            <w:pPr>
              <w:pStyle w:val="34"/>
              <w:bidi w:val="0"/>
              <w:jc w:val="center"/>
              <w:rPr>
                <w:rFonts w:hint="eastAsia"/>
              </w:rPr>
            </w:pPr>
            <w:r>
              <w:rPr>
                <w:rFonts w:hint="eastAsia"/>
              </w:rPr>
              <w:t>2500</w:t>
            </w:r>
          </w:p>
        </w:tc>
      </w:tr>
      <w:tr w14:paraId="05529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3022" w:type="pct"/>
            <w:tcBorders>
              <w:left w:val="single" w:color="auto" w:sz="8" w:space="0"/>
            </w:tcBorders>
            <w:vAlign w:val="center"/>
          </w:tcPr>
          <w:p w14:paraId="0C5AA4B1">
            <w:pPr>
              <w:pStyle w:val="34"/>
              <w:bidi w:val="0"/>
              <w:jc w:val="center"/>
              <w:rPr>
                <w:rFonts w:hint="eastAsia"/>
              </w:rPr>
            </w:pPr>
            <w:r>
              <w:rPr>
                <w:rFonts w:hint="eastAsia"/>
              </w:rPr>
              <w:t>690＜U&lt;800</w:t>
            </w:r>
          </w:p>
        </w:tc>
        <w:tc>
          <w:tcPr>
            <w:tcW w:w="1977" w:type="pct"/>
            <w:tcBorders>
              <w:right w:val="single" w:color="auto" w:sz="8" w:space="0"/>
            </w:tcBorders>
            <w:vAlign w:val="center"/>
          </w:tcPr>
          <w:p w14:paraId="74830361">
            <w:pPr>
              <w:pStyle w:val="34"/>
              <w:bidi w:val="0"/>
              <w:jc w:val="center"/>
              <w:rPr>
                <w:rFonts w:hint="eastAsia"/>
              </w:rPr>
            </w:pPr>
            <w:r>
              <w:rPr>
                <w:rFonts w:hint="eastAsia"/>
              </w:rPr>
              <w:t>3000</w:t>
            </w:r>
          </w:p>
        </w:tc>
      </w:tr>
      <w:tr w14:paraId="75D4D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3022" w:type="pct"/>
            <w:tcBorders>
              <w:left w:val="single" w:color="auto" w:sz="8" w:space="0"/>
              <w:bottom w:val="single" w:color="auto" w:sz="8" w:space="0"/>
            </w:tcBorders>
            <w:vAlign w:val="center"/>
          </w:tcPr>
          <w:p w14:paraId="7C224912">
            <w:pPr>
              <w:pStyle w:val="34"/>
              <w:bidi w:val="0"/>
              <w:jc w:val="center"/>
              <w:rPr>
                <w:rFonts w:hint="eastAsia"/>
              </w:rPr>
            </w:pPr>
            <w:r>
              <w:rPr>
                <w:rFonts w:hint="eastAsia"/>
              </w:rPr>
              <w:t>800＜U≤1000</w:t>
            </w:r>
          </w:p>
        </w:tc>
        <w:tc>
          <w:tcPr>
            <w:tcW w:w="1977" w:type="pct"/>
            <w:tcBorders>
              <w:bottom w:val="single" w:color="auto" w:sz="8" w:space="0"/>
              <w:right w:val="single" w:color="auto" w:sz="8" w:space="0"/>
            </w:tcBorders>
            <w:vAlign w:val="center"/>
          </w:tcPr>
          <w:p w14:paraId="3F5B64EB">
            <w:pPr>
              <w:pStyle w:val="34"/>
              <w:bidi w:val="0"/>
              <w:jc w:val="center"/>
              <w:rPr>
                <w:rFonts w:hint="eastAsia"/>
              </w:rPr>
            </w:pPr>
            <w:r>
              <w:rPr>
                <w:rFonts w:hint="eastAsia"/>
              </w:rPr>
              <w:t>3500</w:t>
            </w:r>
          </w:p>
        </w:tc>
      </w:tr>
    </w:tbl>
    <w:p w14:paraId="5B5850F0">
      <w:pPr>
        <w:pStyle w:val="73"/>
        <w:ind w:firstLine="420"/>
        <w:rPr>
          <w:rFonts w:hint="eastAsia"/>
        </w:rPr>
      </w:pPr>
      <w:r>
        <w:rPr>
          <w:rFonts w:hint="eastAsia"/>
        </w:rPr>
        <w:t>不与主电路直接连接的辅助电路应符合表 6 规定的工频耐压试验电压。</w:t>
      </w:r>
    </w:p>
    <w:p w14:paraId="4D62C528">
      <w:pPr>
        <w:pStyle w:val="36"/>
        <w:bidi w:val="0"/>
        <w:rPr>
          <w:rFonts w:hint="eastAsia"/>
        </w:rPr>
      </w:pPr>
    </w:p>
    <w:tbl>
      <w:tblPr>
        <w:tblStyle w:val="13"/>
        <w:tblW w:w="4999" w:type="pct"/>
        <w:tblCaption w:val=""/>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3846"/>
        <w:gridCol w:w="5723"/>
      </w:tblGrid>
      <w:tr w14:paraId="7CE22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blHeader/>
        </w:trPr>
        <w:tc>
          <w:tcPr>
            <w:tcW w:w="2009" w:type="pct"/>
            <w:tcBorders>
              <w:top w:val="single" w:color="auto" w:sz="8" w:space="0"/>
              <w:left w:val="single" w:color="auto" w:sz="8" w:space="0"/>
              <w:bottom w:val="single" w:color="auto" w:sz="8" w:space="0"/>
            </w:tcBorders>
            <w:vAlign w:val="center"/>
          </w:tcPr>
          <w:p w14:paraId="4B669E59">
            <w:pPr>
              <w:pStyle w:val="35"/>
              <w:bidi w:val="0"/>
              <w:jc w:val="center"/>
              <w:rPr>
                <w:rFonts w:hint="eastAsia"/>
              </w:rPr>
            </w:pPr>
            <w:r>
              <w:rPr>
                <w:rFonts w:hint="eastAsia"/>
              </w:rPr>
              <w:t>额定绝缘电压 U</w:t>
            </w:r>
          </w:p>
          <w:p w14:paraId="237E6148">
            <w:pPr>
              <w:pStyle w:val="35"/>
              <w:bidi w:val="0"/>
              <w:jc w:val="center"/>
              <w:rPr>
                <w:rFonts w:hint="eastAsia" w:eastAsia="宋体"/>
                <w:lang w:eastAsia="zh-CN"/>
              </w:rPr>
            </w:pPr>
            <w:r>
              <w:rPr>
                <w:rFonts w:hint="eastAsia"/>
                <w:lang w:val="en-US" w:eastAsia="zh-CN"/>
              </w:rPr>
              <w:t>V</w:t>
            </w:r>
          </w:p>
        </w:tc>
        <w:tc>
          <w:tcPr>
            <w:tcW w:w="2990" w:type="pct"/>
            <w:tcBorders>
              <w:top w:val="single" w:color="auto" w:sz="8" w:space="0"/>
              <w:bottom w:val="single" w:color="auto" w:sz="8" w:space="0"/>
              <w:right w:val="single" w:color="auto" w:sz="8" w:space="0"/>
            </w:tcBorders>
            <w:vAlign w:val="center"/>
          </w:tcPr>
          <w:p w14:paraId="2B0FDF13">
            <w:pPr>
              <w:pStyle w:val="35"/>
              <w:bidi w:val="0"/>
              <w:jc w:val="center"/>
              <w:rPr>
                <w:rFonts w:hint="eastAsia"/>
              </w:rPr>
            </w:pPr>
            <w:r>
              <w:rPr>
                <w:rFonts w:hint="eastAsia"/>
              </w:rPr>
              <w:t>试验电压</w:t>
            </w:r>
          </w:p>
          <w:p w14:paraId="1975E8E8">
            <w:pPr>
              <w:pStyle w:val="35"/>
              <w:bidi w:val="0"/>
              <w:jc w:val="center"/>
              <w:rPr>
                <w:rFonts w:hint="eastAsia"/>
              </w:rPr>
            </w:pPr>
            <w:r>
              <w:rPr>
                <w:rFonts w:hint="eastAsia"/>
              </w:rPr>
              <w:t>V</w:t>
            </w:r>
          </w:p>
        </w:tc>
      </w:tr>
      <w:tr w14:paraId="16C27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9" w:type="pct"/>
            <w:tcBorders>
              <w:left w:val="single" w:color="auto" w:sz="8" w:space="0"/>
            </w:tcBorders>
            <w:vAlign w:val="center"/>
          </w:tcPr>
          <w:p w14:paraId="7DD4C0BF">
            <w:pPr>
              <w:pStyle w:val="34"/>
              <w:bidi w:val="0"/>
              <w:jc w:val="center"/>
              <w:rPr>
                <w:rFonts w:hint="eastAsia"/>
              </w:rPr>
            </w:pPr>
            <w:r>
              <w:rPr>
                <w:rFonts w:hint="eastAsia"/>
              </w:rPr>
              <w:t>U≤12</w:t>
            </w:r>
          </w:p>
        </w:tc>
        <w:tc>
          <w:tcPr>
            <w:tcW w:w="2990" w:type="pct"/>
            <w:tcBorders>
              <w:right w:val="single" w:color="auto" w:sz="8" w:space="0"/>
            </w:tcBorders>
            <w:vAlign w:val="center"/>
          </w:tcPr>
          <w:p w14:paraId="736894BA">
            <w:pPr>
              <w:pStyle w:val="34"/>
              <w:bidi w:val="0"/>
              <w:jc w:val="center"/>
              <w:rPr>
                <w:rFonts w:hint="eastAsia"/>
              </w:rPr>
            </w:pPr>
            <w:r>
              <w:rPr>
                <w:rFonts w:hint="eastAsia"/>
              </w:rPr>
              <w:t>250</w:t>
            </w:r>
          </w:p>
        </w:tc>
      </w:tr>
      <w:tr w14:paraId="7BFD5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9" w:type="pct"/>
            <w:tcBorders>
              <w:left w:val="single" w:color="auto" w:sz="8" w:space="0"/>
            </w:tcBorders>
            <w:vAlign w:val="center"/>
          </w:tcPr>
          <w:p w14:paraId="03498E8F">
            <w:pPr>
              <w:pStyle w:val="34"/>
              <w:bidi w:val="0"/>
              <w:jc w:val="center"/>
              <w:rPr>
                <w:rFonts w:hint="eastAsia"/>
              </w:rPr>
            </w:pPr>
            <w:r>
              <w:rPr>
                <w:rFonts w:hint="eastAsia"/>
              </w:rPr>
              <w:t>12</w:t>
            </w:r>
            <w:r>
              <w:rPr>
                <w:rFonts w:hint="eastAsia"/>
                <w:lang w:val="en-US" w:eastAsia="zh-CN"/>
              </w:rPr>
              <w:t>＜</w:t>
            </w:r>
            <w:r>
              <w:rPr>
                <w:rFonts w:hint="eastAsia"/>
              </w:rPr>
              <w:t>U≤60</w:t>
            </w:r>
          </w:p>
        </w:tc>
        <w:tc>
          <w:tcPr>
            <w:tcW w:w="2990" w:type="pct"/>
            <w:tcBorders>
              <w:right w:val="single" w:color="auto" w:sz="8" w:space="0"/>
            </w:tcBorders>
            <w:vAlign w:val="center"/>
          </w:tcPr>
          <w:p w14:paraId="7CD039B2">
            <w:pPr>
              <w:pStyle w:val="34"/>
              <w:bidi w:val="0"/>
              <w:jc w:val="center"/>
              <w:rPr>
                <w:rFonts w:hint="eastAsia"/>
              </w:rPr>
            </w:pPr>
            <w:r>
              <w:rPr>
                <w:rFonts w:hint="eastAsia"/>
              </w:rPr>
              <w:t>500</w:t>
            </w:r>
          </w:p>
        </w:tc>
      </w:tr>
      <w:tr w14:paraId="2D7CF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2009" w:type="pct"/>
            <w:tcBorders>
              <w:left w:val="single" w:color="auto" w:sz="8" w:space="0"/>
              <w:bottom w:val="single" w:color="auto" w:sz="8" w:space="0"/>
            </w:tcBorders>
            <w:vAlign w:val="center"/>
          </w:tcPr>
          <w:p w14:paraId="70CF85E6">
            <w:pPr>
              <w:pStyle w:val="34"/>
              <w:bidi w:val="0"/>
              <w:jc w:val="center"/>
              <w:rPr>
                <w:rFonts w:hint="eastAsia"/>
              </w:rPr>
            </w:pPr>
            <w:r>
              <w:rPr>
                <w:rFonts w:hint="eastAsia"/>
              </w:rPr>
              <w:t>U</w:t>
            </w:r>
            <w:r>
              <w:rPr>
                <w:rFonts w:hint="eastAsia"/>
                <w:lang w:val="en-US" w:eastAsia="zh-CN"/>
              </w:rPr>
              <w:t>＞</w:t>
            </w:r>
            <w:r>
              <w:rPr>
                <w:rFonts w:hint="eastAsia"/>
              </w:rPr>
              <w:t>60</w:t>
            </w:r>
          </w:p>
        </w:tc>
        <w:tc>
          <w:tcPr>
            <w:tcW w:w="2990" w:type="pct"/>
            <w:tcBorders>
              <w:bottom w:val="single" w:color="auto" w:sz="8" w:space="0"/>
              <w:right w:val="single" w:color="auto" w:sz="8" w:space="0"/>
            </w:tcBorders>
            <w:vAlign w:val="center"/>
          </w:tcPr>
          <w:p w14:paraId="584252CC">
            <w:pPr>
              <w:pStyle w:val="34"/>
              <w:bidi w:val="0"/>
              <w:jc w:val="center"/>
              <w:rPr>
                <w:rFonts w:hint="eastAsia"/>
              </w:rPr>
            </w:pPr>
            <w:r>
              <w:rPr>
                <w:rFonts w:hint="eastAsia"/>
              </w:rPr>
              <w:t>2U+1000，且不小于 1500</w:t>
            </w:r>
          </w:p>
        </w:tc>
      </w:tr>
    </w:tbl>
    <w:p w14:paraId="4BA9C26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冲击耐受电压</w:t>
      </w:r>
    </w:p>
    <w:p w14:paraId="6DBCDABD">
      <w:pPr>
        <w:pStyle w:val="73"/>
        <w:ind w:firstLine="420"/>
        <w:rPr>
          <w:rFonts w:hint="eastAsia"/>
        </w:rPr>
      </w:pPr>
      <w:r>
        <w:rPr>
          <w:rFonts w:hint="eastAsia"/>
        </w:rPr>
        <w:t>在 JP 柜内主电路的所有带电部分包括连接到主电路上的控制电路和辅助电路连接在一起与外露可导电部分之间、主电路不同电位的每个带电部分和不同电位其他带电部分与连接在一起的外露可导电部分之间，施加额定冲击耐受电压 50Hz、8kV 交流电压 5 次，间隔时间至少为 1s，试验过程中不应有击穿放电。</w:t>
      </w:r>
    </w:p>
    <w:p w14:paraId="0FCCF7C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电击防护和保护电路完整性</w:t>
      </w:r>
    </w:p>
    <w:p w14:paraId="4CD2719F">
      <w:pPr>
        <w:pStyle w:val="73"/>
        <w:ind w:firstLine="420"/>
        <w:rPr>
          <w:rFonts w:hint="eastAsia"/>
        </w:rPr>
      </w:pPr>
      <w:r>
        <w:rPr>
          <w:rFonts w:hint="eastAsia"/>
        </w:rPr>
        <w:t>应符合 DL/T 1441 中 5.10.3 的要求。</w:t>
      </w:r>
    </w:p>
    <w:p w14:paraId="7CAA3A7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电气间隙和爬电距离</w:t>
      </w:r>
    </w:p>
    <w:p w14:paraId="3613DA63">
      <w:pPr>
        <w:pStyle w:val="73"/>
        <w:ind w:firstLine="420"/>
        <w:rPr>
          <w:rFonts w:hint="eastAsia"/>
        </w:rPr>
      </w:pPr>
      <w:r>
        <w:rPr>
          <w:rFonts w:hint="eastAsia"/>
        </w:rPr>
        <w:t>电气间隙应不小于 10.0mm，爬电距离应不小于 14.0mm。</w:t>
      </w:r>
    </w:p>
    <w:p w14:paraId="5FAFBD9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防护等级</w:t>
      </w:r>
    </w:p>
    <w:p w14:paraId="601C68DD">
      <w:pPr>
        <w:pStyle w:val="73"/>
        <w:ind w:firstLine="420"/>
        <w:rPr>
          <w:rFonts w:hint="eastAsia"/>
        </w:rPr>
      </w:pPr>
      <w:r>
        <w:rPr>
          <w:rFonts w:hint="eastAsia"/>
        </w:rPr>
        <w:t>应符合 GB/T 4208 规定的 IP44，当 JP 柜采用通风孔散热时，通风孔的设置不应降低 JP 柜的防护等级。</w:t>
      </w:r>
    </w:p>
    <w:p w14:paraId="59C2AD8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短路耐受强度</w:t>
      </w:r>
    </w:p>
    <w:p w14:paraId="12CE558A">
      <w:pPr>
        <w:pStyle w:val="73"/>
        <w:ind w:firstLine="420"/>
        <w:rPr>
          <w:rFonts w:hint="eastAsia"/>
        </w:rPr>
      </w:pPr>
      <w:r>
        <w:rPr>
          <w:rFonts w:hint="eastAsia"/>
        </w:rPr>
        <w:t>应符合 DL/T 1441 中 5.15.1 表 7 的规定。</w:t>
      </w:r>
    </w:p>
    <w:p w14:paraId="17C471D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电磁兼容性</w:t>
      </w:r>
    </w:p>
    <w:p w14:paraId="7BB4A0A1">
      <w:pPr>
        <w:pStyle w:val="73"/>
        <w:ind w:firstLine="420"/>
        <w:rPr>
          <w:rFonts w:hint="eastAsia"/>
        </w:rPr>
      </w:pPr>
      <w:r>
        <w:rPr>
          <w:rFonts w:hint="eastAsia"/>
        </w:rPr>
        <w:t>应符合 GB/T 7251.1 中 9.4 的规定。</w:t>
      </w:r>
    </w:p>
    <w:p w14:paraId="46C5AD6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噪声</w:t>
      </w:r>
    </w:p>
    <w:p w14:paraId="2C248C94">
      <w:pPr>
        <w:pStyle w:val="73"/>
        <w:ind w:firstLine="420"/>
        <w:rPr>
          <w:rFonts w:hint="eastAsia"/>
        </w:rPr>
      </w:pPr>
      <w:r>
        <w:rPr>
          <w:rFonts w:hint="eastAsia"/>
        </w:rPr>
        <w:t>有抑制谐波或滤波功能的 JP 柜在正常工作时产生的噪声，应不大于 70dB（A 声级）。</w:t>
      </w:r>
    </w:p>
    <w:p w14:paraId="41D02CB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工频过电压保护</w:t>
      </w:r>
    </w:p>
    <w:p w14:paraId="67FD5F7A">
      <w:pPr>
        <w:pStyle w:val="73"/>
        <w:ind w:firstLine="420"/>
        <w:rPr>
          <w:rFonts w:hint="eastAsia"/>
        </w:rPr>
      </w:pPr>
      <w:r>
        <w:rPr>
          <w:rFonts w:hint="eastAsia"/>
        </w:rPr>
        <w:t>对自动控制投切的 JP 柜，应设有工频过电压保护，保护动作电压至少在 1.1</w:t>
      </w:r>
      <w:r>
        <w:rPr>
          <w:rFonts w:hint="default" w:ascii="Times New Roman" w:hAnsi="Times New Roman" w:cs="Times New Roman"/>
        </w:rPr>
        <w:t>~</w:t>
      </w:r>
      <w:r>
        <w:rPr>
          <w:rFonts w:hint="eastAsia"/>
        </w:rPr>
        <w:t>1.2 倍 JP 柜的额定电压间可调。当 JP 柜的过电压达到设定值，应在 1min 内将电容器组全部切除。</w:t>
      </w:r>
    </w:p>
    <w:p w14:paraId="436B308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放电</w:t>
      </w:r>
    </w:p>
    <w:p w14:paraId="5ADBD42A">
      <w:pPr>
        <w:pStyle w:val="73"/>
        <w:ind w:firstLine="420"/>
        <w:rPr>
          <w:rFonts w:hint="eastAsia"/>
        </w:rPr>
      </w:pPr>
      <w:r>
        <w:rPr>
          <w:rFonts w:hint="eastAsia"/>
        </w:rPr>
        <w:t>JP 柜的放电设施应保证电容器断电后，从额定电压峰值放电至 50V 的时间不大于 3min。</w:t>
      </w:r>
    </w:p>
    <w:p w14:paraId="0A8A220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涌流</w:t>
      </w:r>
    </w:p>
    <w:p w14:paraId="1C02CDAE">
      <w:pPr>
        <w:pStyle w:val="73"/>
        <w:ind w:firstLine="420"/>
        <w:rPr>
          <w:rFonts w:hint="eastAsia"/>
        </w:rPr>
      </w:pPr>
      <w:r>
        <w:rPr>
          <w:rFonts w:hint="eastAsia"/>
        </w:rPr>
        <w:t>应采取措施限制智能电容器投切瞬间所产生的涌流，采用智能电容器投切时涌流应限制在该组电容器额定电流的 5 倍以下。</w:t>
      </w:r>
    </w:p>
    <w:p w14:paraId="105D75D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动态响应时间</w:t>
      </w:r>
    </w:p>
    <w:p w14:paraId="45C0ABB6">
      <w:pPr>
        <w:pStyle w:val="73"/>
        <w:ind w:firstLine="420"/>
        <w:rPr>
          <w:rFonts w:hint="eastAsia"/>
        </w:rPr>
      </w:pPr>
      <w:r>
        <w:rPr>
          <w:rFonts w:hint="eastAsia"/>
        </w:rPr>
        <w:t>JP 柜的动态响应时间应满足系统的要求，采用半导体电子开关或智能电容投切的电容器，其动态响应时间应不大于 100ms。</w:t>
      </w:r>
    </w:p>
    <w:p w14:paraId="2219713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缺相保护</w:t>
      </w:r>
    </w:p>
    <w:p w14:paraId="07877E3E">
      <w:pPr>
        <w:pStyle w:val="73"/>
        <w:ind w:firstLine="420"/>
        <w:rPr>
          <w:rFonts w:hint="eastAsia"/>
        </w:rPr>
      </w:pPr>
      <w:r>
        <w:rPr>
          <w:rFonts w:hint="eastAsia"/>
        </w:rPr>
        <w:t>多于 2 条补偿支路的三相补偿 JP 柜应设有缺相保护，缺相保护应保证当主电路缺相或支路缺相时，将全部或缺相支路电容器切除。</w:t>
      </w:r>
    </w:p>
    <w:p w14:paraId="10E46AF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绝缘材料耐受内部电效应引起的非正常发热和着火</w:t>
      </w:r>
    </w:p>
    <w:p w14:paraId="1799A2BB">
      <w:pPr>
        <w:pStyle w:val="73"/>
        <w:ind w:firstLine="420"/>
        <w:rPr>
          <w:rFonts w:hint="eastAsia"/>
        </w:rPr>
      </w:pPr>
      <w:r>
        <w:rPr>
          <w:rFonts w:hint="eastAsia"/>
        </w:rPr>
        <w:t>应符合 GB/T 7251.1 中 8.1.3.2.3 的规定。</w:t>
      </w:r>
    </w:p>
    <w:p w14:paraId="5BD22C1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耐紫外线辐射</w:t>
      </w:r>
    </w:p>
    <w:p w14:paraId="63BF82C6">
      <w:pPr>
        <w:pStyle w:val="73"/>
        <w:ind w:firstLine="420"/>
        <w:rPr>
          <w:rFonts w:hint="eastAsia"/>
        </w:rPr>
      </w:pPr>
      <w:r>
        <w:rPr>
          <w:rFonts w:hint="eastAsia"/>
        </w:rPr>
        <w:t>应符合 GB/T 7251.1 中 8.1.4 的规定。</w:t>
      </w:r>
    </w:p>
    <w:p w14:paraId="7A4FE5C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机械碰撞的防护</w:t>
      </w:r>
    </w:p>
    <w:p w14:paraId="083058A0">
      <w:pPr>
        <w:pStyle w:val="73"/>
        <w:ind w:firstLine="420"/>
        <w:rPr>
          <w:rFonts w:hint="eastAsia"/>
        </w:rPr>
      </w:pPr>
      <w:r>
        <w:rPr>
          <w:rFonts w:hint="eastAsia"/>
        </w:rPr>
        <w:t>应符合 GB/T 7251.1 中 8.2.1 规定的方法，选择防撞等级 IK10，对箱体施加相应的撞击能量，最少能承受的撞击能量为 10J。</w:t>
      </w:r>
    </w:p>
    <w:p w14:paraId="1BDC874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提升装置</w:t>
      </w:r>
    </w:p>
    <w:p w14:paraId="34D2B4DD">
      <w:pPr>
        <w:pStyle w:val="73"/>
        <w:ind w:firstLine="420"/>
        <w:rPr>
          <w:rFonts w:hint="eastAsia"/>
        </w:rPr>
      </w:pPr>
      <w:r>
        <w:rPr>
          <w:rFonts w:hint="eastAsia"/>
        </w:rPr>
        <w:t>如需要，JP 柜应配合合适的提升装置，按照 GB/T 7251.1 中 10.2.5 的试验进行验证。</w:t>
      </w:r>
    </w:p>
    <w:p w14:paraId="0F12A488">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标志</w:t>
      </w:r>
    </w:p>
    <w:p w14:paraId="2AD53C4C">
      <w:pPr>
        <w:pStyle w:val="73"/>
        <w:ind w:firstLine="420"/>
        <w:rPr>
          <w:rFonts w:hint="eastAsia"/>
        </w:rPr>
      </w:pPr>
      <w:r>
        <w:rPr>
          <w:rFonts w:hint="eastAsia"/>
        </w:rPr>
        <w:t>应符合 GB/T 7251.1 中 6.1 的规定。</w:t>
      </w:r>
    </w:p>
    <w:p w14:paraId="0299404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耐腐蚀性</w:t>
      </w:r>
    </w:p>
    <w:p w14:paraId="63D6BD92">
      <w:pPr>
        <w:pStyle w:val="73"/>
        <w:ind w:firstLine="420"/>
        <w:rPr>
          <w:rFonts w:hint="eastAsia"/>
        </w:rPr>
      </w:pPr>
      <w:r>
        <w:rPr>
          <w:rFonts w:hint="eastAsia"/>
        </w:rPr>
        <w:t>考虑在正常使用条件下，为确保防腐蚀，JP 柜的箱体应采用不锈钢制作，且应经防腐处理，处理后表面覆盖层应有牢固的附着力，并均匀一致。JP 柜的所有金属部分，均作表面的防腐、防锈处理，镀层不应脱落、变色及生锈。JP 柜的焊接件应焊接牢固，焊缝应均匀美观，无焊穿、裂纹、咬边、残渣、气孔等现象，在正常使用条件下应经得起可能会遇到的潮湿影响。</w:t>
      </w:r>
    </w:p>
    <w:p w14:paraId="2FF01F75">
      <w:pPr>
        <w:pStyle w:val="18"/>
        <w:bidi w:val="0"/>
        <w:rPr>
          <w:rFonts w:hint="eastAsia"/>
        </w:rPr>
      </w:pPr>
      <w:bookmarkStart w:id="65" w:name="_Toc10243"/>
      <w:r>
        <w:rPr>
          <w:rFonts w:hint="eastAsia"/>
        </w:rPr>
        <w:t>试验方法</w:t>
      </w:r>
      <w:bookmarkEnd w:id="65"/>
    </w:p>
    <w:p w14:paraId="2118A47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试验条件</w:t>
      </w:r>
    </w:p>
    <w:p w14:paraId="7076CEBF">
      <w:pPr>
        <w:pStyle w:val="73"/>
        <w:ind w:firstLine="420"/>
        <w:rPr>
          <w:rFonts w:hint="eastAsia"/>
        </w:rPr>
      </w:pPr>
      <w:r>
        <w:rPr>
          <w:rFonts w:hint="eastAsia"/>
        </w:rPr>
        <w:t>除非另有规定，测量和试验的标准大气条件应不超过以下范围：环境温度 10℃</w:t>
      </w:r>
      <w:r>
        <w:rPr>
          <w:rFonts w:hint="default" w:ascii="Times New Roman" w:hAnsi="Times New Roman" w:cs="Times New Roman"/>
        </w:rPr>
        <w:t>~</w:t>
      </w:r>
      <w:r>
        <w:rPr>
          <w:rFonts w:hint="eastAsia"/>
        </w:rPr>
        <w:t>45℃；相对湿度 45%</w:t>
      </w:r>
      <w:r>
        <w:rPr>
          <w:rFonts w:hint="default" w:ascii="Times New Roman" w:hAnsi="Times New Roman" w:cs="Times New Roman"/>
        </w:rPr>
        <w:t>~</w:t>
      </w:r>
      <w:r>
        <w:rPr>
          <w:rFonts w:hint="eastAsia"/>
        </w:rPr>
        <w:t>75%；大气压力 86kPa</w:t>
      </w:r>
      <w:r>
        <w:rPr>
          <w:rFonts w:hint="default" w:ascii="Times New Roman" w:hAnsi="Times New Roman" w:cs="Times New Roman"/>
        </w:rPr>
        <w:t>~</w:t>
      </w:r>
      <w:r>
        <w:rPr>
          <w:rFonts w:hint="eastAsia"/>
        </w:rPr>
        <w:t>106kPa。</w:t>
      </w:r>
    </w:p>
    <w:p w14:paraId="4C7186F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整体设计验证</w:t>
      </w:r>
    </w:p>
    <w:p w14:paraId="7A596529">
      <w:pPr>
        <w:pStyle w:val="73"/>
        <w:ind w:firstLine="420"/>
        <w:rPr>
          <w:rFonts w:hint="eastAsia"/>
        </w:rPr>
      </w:pPr>
      <w:r>
        <w:rPr>
          <w:rFonts w:hint="eastAsia"/>
        </w:rPr>
        <w:t>按 GB/T 7251.1 中第 8 章规定的方法进行，并符合</w:t>
      </w:r>
      <w:r>
        <w:rPr>
          <w:rFonts w:hint="eastAsia"/>
          <w:lang w:eastAsia="zh-CN"/>
        </w:rPr>
        <w:t>本文件</w:t>
      </w:r>
      <w:r>
        <w:rPr>
          <w:rFonts w:hint="eastAsia"/>
        </w:rPr>
        <w:t xml:space="preserve"> </w:t>
      </w:r>
      <w:r>
        <w:rPr>
          <w:rFonts w:hint="eastAsia"/>
          <w:lang w:val="en-US" w:eastAsia="zh-CN"/>
        </w:rPr>
        <w:t>6</w:t>
      </w:r>
      <w:r>
        <w:rPr>
          <w:rFonts w:hint="eastAsia"/>
        </w:rPr>
        <w:t>.1 的规定。</w:t>
      </w:r>
    </w:p>
    <w:p w14:paraId="1BBA111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功能单元检验</w:t>
      </w:r>
    </w:p>
    <w:p w14:paraId="61DB828D">
      <w:pPr>
        <w:pStyle w:val="73"/>
        <w:ind w:firstLine="420"/>
        <w:rPr>
          <w:rFonts w:hint="eastAsia"/>
        </w:rPr>
      </w:pPr>
      <w:r>
        <w:rPr>
          <w:rFonts w:hint="eastAsia"/>
        </w:rPr>
        <w:t>按 GB/T 7251.1 中第 9 章规定的方法进行，并符合</w:t>
      </w:r>
      <w:r>
        <w:rPr>
          <w:rFonts w:hint="eastAsia"/>
          <w:lang w:eastAsia="zh-CN"/>
        </w:rPr>
        <w:t>本文件</w:t>
      </w:r>
      <w:r>
        <w:rPr>
          <w:rFonts w:hint="eastAsia"/>
        </w:rPr>
        <w:t xml:space="preserve"> </w:t>
      </w:r>
      <w:r>
        <w:rPr>
          <w:rFonts w:hint="eastAsia"/>
          <w:lang w:val="en-US" w:eastAsia="zh-CN"/>
        </w:rPr>
        <w:t>6</w:t>
      </w:r>
      <w:r>
        <w:rPr>
          <w:rFonts w:hint="eastAsia"/>
        </w:rPr>
        <w:t>.2 的规定。</w:t>
      </w:r>
    </w:p>
    <w:p w14:paraId="779FD89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智能配变终端检测</w:t>
      </w:r>
    </w:p>
    <w:p w14:paraId="24B5952B">
      <w:pPr>
        <w:pStyle w:val="73"/>
        <w:ind w:firstLine="420"/>
        <w:rPr>
          <w:rFonts w:hint="eastAsia"/>
        </w:rPr>
      </w:pPr>
      <w:r>
        <w:rPr>
          <w:rFonts w:hint="eastAsia"/>
        </w:rPr>
        <w:t>按 DL/T 1442 中第 6 章规定的方法进行，并符合</w:t>
      </w:r>
      <w:r>
        <w:rPr>
          <w:rFonts w:hint="eastAsia"/>
          <w:lang w:eastAsia="zh-CN"/>
        </w:rPr>
        <w:t>本文件</w:t>
      </w:r>
      <w:r>
        <w:rPr>
          <w:rFonts w:hint="eastAsia"/>
        </w:rPr>
        <w:t xml:space="preserve"> </w:t>
      </w:r>
      <w:r>
        <w:rPr>
          <w:rFonts w:hint="eastAsia"/>
          <w:lang w:val="en-US" w:eastAsia="zh-CN"/>
        </w:rPr>
        <w:t>6</w:t>
      </w:r>
      <w:r>
        <w:rPr>
          <w:rFonts w:hint="eastAsia"/>
        </w:rPr>
        <w:t>.3 的规定。防窃电试验：JP 柜铅封、外部明锁安装及观察窗外部设置采用目测检查；内部暗锁采用打开 JP 柜门检查，供电单位可通过箱内装置和后台服务平台系统报警或监测。</w:t>
      </w:r>
    </w:p>
    <w:p w14:paraId="378C8E2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应急电源接口试验</w:t>
      </w:r>
    </w:p>
    <w:p w14:paraId="61203D6D">
      <w:pPr>
        <w:pStyle w:val="73"/>
        <w:ind w:firstLine="420"/>
        <w:rPr>
          <w:rFonts w:hint="eastAsia"/>
        </w:rPr>
      </w:pPr>
      <w:r>
        <w:rPr>
          <w:rFonts w:hint="eastAsia"/>
        </w:rPr>
        <w:t>应急电源接口机械寿命、温升和环境适应性试验按 GB/T 14048.7 中 8.4.5、GB/T 11918.1 中 21、GB/T 2423.1、GB/T 2423.18、GB/T 4208 规定的方法进行。</w:t>
      </w:r>
    </w:p>
    <w:p w14:paraId="32615DB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一般检查</w:t>
      </w:r>
    </w:p>
    <w:p w14:paraId="0E5F6EE8">
      <w:pPr>
        <w:pStyle w:val="75"/>
        <w:bidi w:val="0"/>
        <w:rPr>
          <w:rFonts w:hint="eastAsia"/>
        </w:rPr>
      </w:pPr>
      <w:r>
        <w:rPr>
          <w:rFonts w:hint="eastAsia"/>
        </w:rPr>
        <w:t>JP 柜的外形尺寸、安装尺寸应符合图纸要求，按照</w:t>
      </w:r>
      <w:r>
        <w:rPr>
          <w:rFonts w:hint="eastAsia"/>
          <w:lang w:eastAsia="zh-CN"/>
        </w:rPr>
        <w:t>本文件</w:t>
      </w:r>
      <w:r>
        <w:rPr>
          <w:rFonts w:hint="eastAsia"/>
        </w:rPr>
        <w:t xml:space="preserve"> </w:t>
      </w:r>
      <w:r>
        <w:rPr>
          <w:rFonts w:hint="eastAsia"/>
          <w:lang w:val="en-US" w:eastAsia="zh-CN"/>
        </w:rPr>
        <w:t>6</w:t>
      </w:r>
      <w:r>
        <w:rPr>
          <w:rFonts w:hint="eastAsia"/>
        </w:rPr>
        <w:t>.5.1、</w:t>
      </w:r>
      <w:r>
        <w:rPr>
          <w:rFonts w:hint="eastAsia"/>
          <w:lang w:val="en-US" w:eastAsia="zh-CN"/>
        </w:rPr>
        <w:t>6</w:t>
      </w:r>
      <w:r>
        <w:rPr>
          <w:rFonts w:hint="eastAsia"/>
        </w:rPr>
        <w:t>.5.2、</w:t>
      </w:r>
      <w:r>
        <w:rPr>
          <w:rFonts w:hint="eastAsia"/>
          <w:lang w:val="en-US" w:eastAsia="zh-CN"/>
        </w:rPr>
        <w:t>6</w:t>
      </w:r>
      <w:r>
        <w:rPr>
          <w:rFonts w:hint="eastAsia"/>
        </w:rPr>
        <w:t>.5.3 的规定检查 JP 柜的结构。</w:t>
      </w:r>
    </w:p>
    <w:p w14:paraId="58F99FD9">
      <w:pPr>
        <w:pStyle w:val="75"/>
        <w:bidi w:val="0"/>
        <w:rPr>
          <w:rFonts w:hint="eastAsia"/>
        </w:rPr>
      </w:pPr>
      <w:r>
        <w:rPr>
          <w:rFonts w:hint="eastAsia"/>
        </w:rPr>
        <w:t>JP 柜外观应无明显缺陷，包括防腐、焊接、搭配、外形和整体观感，所有外边必须打磨圆滑，表面应平整、光滑、无划伤等缺陷。</w:t>
      </w:r>
    </w:p>
    <w:p w14:paraId="323D791D">
      <w:pPr>
        <w:pStyle w:val="75"/>
        <w:bidi w:val="0"/>
        <w:rPr>
          <w:rFonts w:hint="eastAsia"/>
        </w:rPr>
      </w:pPr>
      <w:r>
        <w:rPr>
          <w:rFonts w:hint="eastAsia"/>
        </w:rPr>
        <w:t>JP 柜内的元器件安装牢固，布置应整齐美观，标识清晰，按</w:t>
      </w:r>
      <w:r>
        <w:rPr>
          <w:rFonts w:hint="eastAsia"/>
          <w:lang w:eastAsia="zh-CN"/>
        </w:rPr>
        <w:t>本文件</w:t>
      </w:r>
      <w:r>
        <w:rPr>
          <w:rFonts w:hint="eastAsia"/>
        </w:rPr>
        <w:t xml:space="preserve"> 7.5.4 检查 JP 柜电器元件的安装。</w:t>
      </w:r>
    </w:p>
    <w:p w14:paraId="75568F14">
      <w:pPr>
        <w:pStyle w:val="75"/>
        <w:bidi w:val="0"/>
        <w:rPr>
          <w:rFonts w:hint="eastAsia"/>
        </w:rPr>
      </w:pPr>
      <w:r>
        <w:rPr>
          <w:rFonts w:hint="eastAsia"/>
        </w:rPr>
        <w:t>接线相序排列正确及布线整齐，导线连接牢固、接触良好，螺丝必须使用弹垫，且裸露符合要求，进出线穿越壳体时应有保护措施，接地端子符号清楚，无附着妨碍接触良好的杂质，按</w:t>
      </w:r>
      <w:r>
        <w:rPr>
          <w:rFonts w:hint="eastAsia"/>
          <w:lang w:eastAsia="zh-CN"/>
        </w:rPr>
        <w:t>本文件</w:t>
      </w:r>
      <w:r>
        <w:rPr>
          <w:rFonts w:hint="eastAsia"/>
        </w:rPr>
        <w:t xml:space="preserve"> 7.5.5 检查 JP 柜的母线与绝缘导线。</w:t>
      </w:r>
    </w:p>
    <w:p w14:paraId="255DC50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通电操作试验</w:t>
      </w:r>
    </w:p>
    <w:p w14:paraId="27DD4FF8">
      <w:pPr>
        <w:pStyle w:val="73"/>
        <w:ind w:firstLine="420"/>
        <w:rPr>
          <w:rFonts w:hint="eastAsia"/>
        </w:rPr>
      </w:pPr>
      <w:r>
        <w:rPr>
          <w:rFonts w:hint="eastAsia"/>
        </w:rPr>
        <w:t>按 GB/T 15576 中 7.2 规定的方法进行。</w:t>
      </w:r>
    </w:p>
    <w:p w14:paraId="3363E38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温升试验</w:t>
      </w:r>
    </w:p>
    <w:p w14:paraId="4E57FAB1">
      <w:pPr>
        <w:pStyle w:val="73"/>
        <w:ind w:firstLine="420"/>
        <w:rPr>
          <w:rFonts w:hint="eastAsia"/>
        </w:rPr>
      </w:pPr>
      <w:r>
        <w:rPr>
          <w:rFonts w:hint="eastAsia"/>
        </w:rPr>
        <w:t>按 GB/T 7251.1 中 10.10.2 和 GB/T 15576 中 7.3 规定的方法进行，并符合</w:t>
      </w:r>
      <w:r>
        <w:rPr>
          <w:rFonts w:hint="eastAsia"/>
          <w:lang w:eastAsia="zh-CN"/>
        </w:rPr>
        <w:t>本文件</w:t>
      </w:r>
      <w:r>
        <w:rPr>
          <w:rFonts w:hint="eastAsia"/>
        </w:rPr>
        <w:t>表 4 的规定。</w:t>
      </w:r>
    </w:p>
    <w:p w14:paraId="4C3163D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机械操作试验</w:t>
      </w:r>
    </w:p>
    <w:p w14:paraId="1427E707">
      <w:pPr>
        <w:pStyle w:val="73"/>
        <w:ind w:firstLine="420"/>
        <w:rPr>
          <w:rFonts w:hint="eastAsia"/>
        </w:rPr>
      </w:pPr>
      <w:r>
        <w:rPr>
          <w:rFonts w:hint="eastAsia"/>
        </w:rPr>
        <w:t>按 GB/T 7251.12 中 10.13 规定的方法进行。</w:t>
      </w:r>
    </w:p>
    <w:p w14:paraId="0BBFBFA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绝缘电阻试验</w:t>
      </w:r>
    </w:p>
    <w:p w14:paraId="7F3EDB3C">
      <w:pPr>
        <w:pStyle w:val="73"/>
        <w:ind w:firstLine="420"/>
        <w:rPr>
          <w:rFonts w:hint="eastAsia"/>
        </w:rPr>
      </w:pPr>
      <w:r>
        <w:rPr>
          <w:rFonts w:hint="eastAsia"/>
        </w:rPr>
        <w:t>按 DL/T 1441 中 6.8.2 规定的方法进行。</w:t>
      </w:r>
    </w:p>
    <w:p w14:paraId="5B20A04F">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工频耐压试验</w:t>
      </w:r>
    </w:p>
    <w:p w14:paraId="5C728B9E">
      <w:pPr>
        <w:pStyle w:val="73"/>
        <w:ind w:firstLine="420"/>
        <w:rPr>
          <w:rFonts w:hint="eastAsia"/>
        </w:rPr>
      </w:pPr>
      <w:r>
        <w:rPr>
          <w:rFonts w:hint="eastAsia"/>
        </w:rPr>
        <w:t>按 GB/T 7251.1 中 10.9.2 和 GB/T 15576 中 7.5.3 规定的方法进行，并符合</w:t>
      </w:r>
      <w:r>
        <w:rPr>
          <w:rFonts w:hint="eastAsia"/>
          <w:lang w:eastAsia="zh-CN"/>
        </w:rPr>
        <w:t>本文件</w:t>
      </w:r>
      <w:r>
        <w:rPr>
          <w:rFonts w:hint="eastAsia"/>
        </w:rPr>
        <w:t xml:space="preserve"> 7.9.2 的规定。</w:t>
      </w:r>
    </w:p>
    <w:p w14:paraId="1F0A909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冲击耐受电压试验</w:t>
      </w:r>
    </w:p>
    <w:p w14:paraId="6D0FB538">
      <w:pPr>
        <w:pStyle w:val="73"/>
        <w:ind w:firstLine="420"/>
        <w:rPr>
          <w:rFonts w:hint="eastAsia"/>
        </w:rPr>
      </w:pPr>
      <w:r>
        <w:rPr>
          <w:rFonts w:hint="eastAsia"/>
        </w:rPr>
        <w:t>按 GB/T 7251.1 中 10.9.3 规定的方法进行，并符合</w:t>
      </w:r>
      <w:r>
        <w:rPr>
          <w:rFonts w:hint="eastAsia"/>
          <w:lang w:eastAsia="zh-CN"/>
        </w:rPr>
        <w:t>本文件</w:t>
      </w:r>
      <w:r>
        <w:rPr>
          <w:rFonts w:hint="eastAsia"/>
        </w:rPr>
        <w:t xml:space="preserve"> 7.10 的规定。</w:t>
      </w:r>
    </w:p>
    <w:p w14:paraId="73B3AFE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电击防护和保护电路完整性试验</w:t>
      </w:r>
    </w:p>
    <w:p w14:paraId="15BC6712">
      <w:pPr>
        <w:pStyle w:val="73"/>
        <w:ind w:firstLine="420"/>
        <w:rPr>
          <w:rFonts w:hint="eastAsia"/>
        </w:rPr>
      </w:pPr>
      <w:r>
        <w:rPr>
          <w:rFonts w:hint="eastAsia"/>
        </w:rPr>
        <w:t>按 GB/T 7251.1 中 10.5.2 规定的方法进行。</w:t>
      </w:r>
    </w:p>
    <w:p w14:paraId="5725391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电气间隙与爬电距离试验</w:t>
      </w:r>
    </w:p>
    <w:p w14:paraId="1D37938B">
      <w:pPr>
        <w:pStyle w:val="73"/>
        <w:ind w:firstLine="420"/>
        <w:rPr>
          <w:rFonts w:hint="eastAsia"/>
        </w:rPr>
      </w:pPr>
      <w:r>
        <w:rPr>
          <w:rFonts w:hint="eastAsia"/>
        </w:rPr>
        <w:t>按 GB/T 7251.1 中标准附录 F 规定的方法进行。</w:t>
      </w:r>
    </w:p>
    <w:p w14:paraId="7CF97AF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防护等级的验证</w:t>
      </w:r>
    </w:p>
    <w:p w14:paraId="272E9A1D">
      <w:pPr>
        <w:pStyle w:val="73"/>
        <w:ind w:firstLine="420"/>
        <w:rPr>
          <w:rFonts w:hint="eastAsia"/>
        </w:rPr>
      </w:pPr>
      <w:r>
        <w:rPr>
          <w:rFonts w:hint="eastAsia"/>
        </w:rPr>
        <w:t>按 GB/T 4208 相应内容及 GB/T 20641 中 9.8 规定的防护进行，其防护等级应满足 IP44 的要求。</w:t>
      </w:r>
    </w:p>
    <w:p w14:paraId="55907DF2">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短路耐受强度试验</w:t>
      </w:r>
    </w:p>
    <w:p w14:paraId="3EF38186">
      <w:pPr>
        <w:pStyle w:val="73"/>
        <w:ind w:firstLine="420"/>
        <w:rPr>
          <w:rFonts w:hint="eastAsia"/>
        </w:rPr>
      </w:pPr>
      <w:r>
        <w:rPr>
          <w:rFonts w:hint="eastAsia"/>
        </w:rPr>
        <w:t>按 GB/T 7251.1 中 10.11 规定的方法进行。</w:t>
      </w:r>
    </w:p>
    <w:p w14:paraId="1FC3EC87">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电磁兼容性试验</w:t>
      </w:r>
    </w:p>
    <w:p w14:paraId="2D57D283">
      <w:pPr>
        <w:pStyle w:val="73"/>
        <w:ind w:firstLine="420"/>
        <w:rPr>
          <w:rFonts w:hint="eastAsia"/>
        </w:rPr>
      </w:pPr>
      <w:r>
        <w:rPr>
          <w:rFonts w:hint="eastAsia"/>
        </w:rPr>
        <w:t>按 GB/T 7251.1 中 10.12 规定的方法进行。</w:t>
      </w:r>
    </w:p>
    <w:p w14:paraId="6FAEF0E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噪声试验</w:t>
      </w:r>
    </w:p>
    <w:p w14:paraId="1089D669">
      <w:pPr>
        <w:pStyle w:val="73"/>
        <w:ind w:firstLine="420"/>
        <w:rPr>
          <w:rFonts w:hint="eastAsia"/>
        </w:rPr>
      </w:pPr>
      <w:r>
        <w:rPr>
          <w:rFonts w:hint="eastAsia"/>
        </w:rPr>
        <w:t>按 GB/T 15576 中 7.10 规定的方法进行。</w:t>
      </w:r>
    </w:p>
    <w:p w14:paraId="276A247D">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工频过电压保护试验</w:t>
      </w:r>
    </w:p>
    <w:p w14:paraId="7F0388AB">
      <w:pPr>
        <w:pStyle w:val="73"/>
        <w:ind w:firstLine="420"/>
        <w:rPr>
          <w:rFonts w:hint="eastAsia"/>
        </w:rPr>
      </w:pPr>
      <w:r>
        <w:rPr>
          <w:rFonts w:hint="eastAsia"/>
        </w:rPr>
        <w:t>按 GB/T 15576 中 7.11 规定的方法进行。</w:t>
      </w:r>
    </w:p>
    <w:p w14:paraId="40BBD12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放电试验</w:t>
      </w:r>
    </w:p>
    <w:p w14:paraId="35007E1E">
      <w:pPr>
        <w:pStyle w:val="73"/>
        <w:ind w:firstLine="420"/>
        <w:rPr>
          <w:rFonts w:hint="eastAsia"/>
        </w:rPr>
      </w:pPr>
      <w:r>
        <w:rPr>
          <w:rFonts w:hint="eastAsia"/>
        </w:rPr>
        <w:t>按 GB/T 15576 中 7.12 规定的方法进行。</w:t>
      </w:r>
    </w:p>
    <w:p w14:paraId="70DF231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涌流试验</w:t>
      </w:r>
    </w:p>
    <w:p w14:paraId="09E9051D">
      <w:pPr>
        <w:pStyle w:val="73"/>
        <w:ind w:firstLine="420"/>
        <w:rPr>
          <w:rFonts w:hint="eastAsia"/>
        </w:rPr>
      </w:pPr>
      <w:r>
        <w:rPr>
          <w:rFonts w:hint="eastAsia"/>
        </w:rPr>
        <w:t>按 GB/T 15576 中 7.13 规定的方法进行。</w:t>
      </w:r>
    </w:p>
    <w:p w14:paraId="0C02C15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动态响应时间试验</w:t>
      </w:r>
    </w:p>
    <w:p w14:paraId="75BB63CA">
      <w:pPr>
        <w:pStyle w:val="73"/>
        <w:ind w:firstLine="420"/>
        <w:rPr>
          <w:rFonts w:hint="eastAsia"/>
        </w:rPr>
      </w:pPr>
      <w:r>
        <w:rPr>
          <w:rFonts w:hint="eastAsia"/>
        </w:rPr>
        <w:t>按 GB/T 15576 中 7.14 规定的方法进行。</w:t>
      </w:r>
    </w:p>
    <w:p w14:paraId="545B0DFE">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缺相保护试验</w:t>
      </w:r>
    </w:p>
    <w:p w14:paraId="721AC812">
      <w:pPr>
        <w:pStyle w:val="73"/>
        <w:ind w:firstLine="420"/>
        <w:rPr>
          <w:rFonts w:hint="eastAsia"/>
        </w:rPr>
      </w:pPr>
      <w:r>
        <w:rPr>
          <w:rFonts w:hint="eastAsia"/>
        </w:rPr>
        <w:t>仅适用于有缺相保护的装置，按 GB/T 15576 中 7.1 规定的方法进行。</w:t>
      </w:r>
    </w:p>
    <w:p w14:paraId="2DC96F35">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绝缘材料耐受验证</w:t>
      </w:r>
    </w:p>
    <w:p w14:paraId="634DE392">
      <w:pPr>
        <w:pStyle w:val="73"/>
        <w:ind w:firstLine="420"/>
        <w:rPr>
          <w:rFonts w:hint="eastAsia"/>
        </w:rPr>
      </w:pPr>
      <w:r>
        <w:rPr>
          <w:rFonts w:hint="eastAsia"/>
        </w:rPr>
        <w:t>按 GB/T 7251.1 中 10.2.3.2 规定的方法进行绝缘材料耐受内部电效应引起的非正常发热和着火的验证。</w:t>
      </w:r>
    </w:p>
    <w:p w14:paraId="19EC259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耐紫外线辐射验证</w:t>
      </w:r>
    </w:p>
    <w:p w14:paraId="1030DF8B">
      <w:pPr>
        <w:pStyle w:val="73"/>
        <w:ind w:firstLine="420"/>
        <w:rPr>
          <w:rFonts w:hint="eastAsia"/>
        </w:rPr>
      </w:pPr>
      <w:r>
        <w:rPr>
          <w:rFonts w:hint="eastAsia"/>
        </w:rPr>
        <w:t>按 GB/T 7251.1 中 10.2.4 规定的方法进行。</w:t>
      </w:r>
    </w:p>
    <w:p w14:paraId="018DD753">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机械碰撞试验</w:t>
      </w:r>
    </w:p>
    <w:p w14:paraId="5305CD43">
      <w:pPr>
        <w:pStyle w:val="73"/>
        <w:ind w:firstLine="420"/>
        <w:rPr>
          <w:rFonts w:hint="eastAsia"/>
        </w:rPr>
      </w:pPr>
      <w:r>
        <w:rPr>
          <w:rFonts w:hint="eastAsia"/>
        </w:rPr>
        <w:t>按 GB/T 7251.12 中 10.2.6 规定的方法进行，并符合</w:t>
      </w:r>
      <w:r>
        <w:rPr>
          <w:rFonts w:hint="eastAsia"/>
          <w:lang w:eastAsia="zh-CN"/>
        </w:rPr>
        <w:t>本文件</w:t>
      </w:r>
      <w:r>
        <w:rPr>
          <w:rFonts w:hint="eastAsia"/>
        </w:rPr>
        <w:t xml:space="preserve"> </w:t>
      </w:r>
      <w:r>
        <w:rPr>
          <w:rFonts w:hint="eastAsia"/>
          <w:lang w:val="en-US" w:eastAsia="zh-CN"/>
        </w:rPr>
        <w:t>6</w:t>
      </w:r>
      <w:r>
        <w:rPr>
          <w:rFonts w:hint="eastAsia"/>
        </w:rPr>
        <w:t>.24 的规定。</w:t>
      </w:r>
    </w:p>
    <w:p w14:paraId="301395D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提升装置试验</w:t>
      </w:r>
    </w:p>
    <w:p w14:paraId="5A73926F">
      <w:pPr>
        <w:pStyle w:val="73"/>
        <w:ind w:firstLine="420"/>
        <w:rPr>
          <w:rFonts w:hint="eastAsia"/>
        </w:rPr>
      </w:pPr>
      <w:r>
        <w:rPr>
          <w:rFonts w:hint="eastAsia"/>
        </w:rPr>
        <w:t>如需要，JP 柜应配合合适的装置，按照 GB/T 7251.1 中 10.2.5 的试验进行验证。</w:t>
      </w:r>
    </w:p>
    <w:p w14:paraId="342674C4">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标志试验</w:t>
      </w:r>
    </w:p>
    <w:p w14:paraId="2B2072F3">
      <w:pPr>
        <w:pStyle w:val="73"/>
        <w:ind w:firstLine="420"/>
        <w:rPr>
          <w:rFonts w:hint="eastAsia"/>
        </w:rPr>
      </w:pPr>
      <w:r>
        <w:rPr>
          <w:rFonts w:hint="eastAsia"/>
        </w:rPr>
        <w:t>按 GB/T 7251.1 中 10.2.7 规定的方法进行。</w:t>
      </w:r>
    </w:p>
    <w:p w14:paraId="5BEA7C1B">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耐腐蚀性试验</w:t>
      </w:r>
    </w:p>
    <w:p w14:paraId="5167F026">
      <w:pPr>
        <w:pStyle w:val="73"/>
        <w:ind w:firstLine="420"/>
        <w:rPr>
          <w:rFonts w:hint="eastAsia"/>
        </w:rPr>
      </w:pPr>
      <w:r>
        <w:rPr>
          <w:rFonts w:hint="eastAsia"/>
        </w:rPr>
        <w:t>按 GB/T 7251.1 中 10.2.2 中的严酷试验 B 规定的方法进行。</w:t>
      </w:r>
    </w:p>
    <w:p w14:paraId="6F65D1C6">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基本环境试验</w:t>
      </w:r>
    </w:p>
    <w:p w14:paraId="78550A59">
      <w:pPr>
        <w:pStyle w:val="73"/>
        <w:ind w:firstLine="420"/>
        <w:rPr>
          <w:rFonts w:hint="eastAsia"/>
        </w:rPr>
      </w:pPr>
      <w:r>
        <w:rPr>
          <w:rFonts w:hint="eastAsia"/>
        </w:rPr>
        <w:t>按 GB/T 15576 中 7.17 规定的方法进行。</w:t>
      </w:r>
    </w:p>
    <w:p w14:paraId="44F99D66">
      <w:pPr>
        <w:pStyle w:val="18"/>
        <w:bidi w:val="0"/>
        <w:rPr>
          <w:rFonts w:hint="eastAsia"/>
        </w:rPr>
      </w:pPr>
      <w:bookmarkStart w:id="66" w:name="_Toc16957"/>
      <w:r>
        <w:rPr>
          <w:rFonts w:hint="eastAsia"/>
        </w:rPr>
        <w:t>检验规则</w:t>
      </w:r>
      <w:bookmarkEnd w:id="66"/>
    </w:p>
    <w:p w14:paraId="6952EA7C">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检验分类</w:t>
      </w:r>
    </w:p>
    <w:p w14:paraId="1606026D">
      <w:pPr>
        <w:pStyle w:val="73"/>
        <w:ind w:firstLine="420"/>
        <w:rPr>
          <w:rFonts w:hint="eastAsia"/>
        </w:rPr>
      </w:pPr>
      <w:r>
        <w:rPr>
          <w:rFonts w:hint="eastAsia"/>
        </w:rPr>
        <w:t>JP 柜的性能检验包括出厂检验、型式试验。</w:t>
      </w:r>
    </w:p>
    <w:p w14:paraId="383A2C0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出厂检验</w:t>
      </w:r>
    </w:p>
    <w:p w14:paraId="71EE3F95">
      <w:pPr>
        <w:pStyle w:val="73"/>
        <w:ind w:firstLine="420"/>
        <w:rPr>
          <w:rFonts w:hint="eastAsia"/>
        </w:rPr>
      </w:pPr>
      <w:r>
        <w:rPr>
          <w:rFonts w:hint="eastAsia"/>
        </w:rPr>
        <w:t>每台 JP 柜均应进行出厂检验，检验项目</w:t>
      </w:r>
      <w:r>
        <w:rPr>
          <w:rFonts w:hint="eastAsia"/>
          <w:lang w:val="en-US" w:eastAsia="zh-CN"/>
        </w:rPr>
        <w:t>包括整体设计、功能单元、一般检查、通电操作试验、机械操作试验、绝缘电阻试验</w:t>
      </w:r>
      <w:r>
        <w:rPr>
          <w:rFonts w:hint="eastAsia"/>
        </w:rPr>
        <w:t>，所有出厂检验项目合格，并附有产品合格证后方可出厂。</w:t>
      </w:r>
    </w:p>
    <w:p w14:paraId="72CC1129">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型式试验</w:t>
      </w:r>
    </w:p>
    <w:p w14:paraId="6844541F">
      <w:pPr>
        <w:pStyle w:val="75"/>
        <w:bidi w:val="0"/>
        <w:rPr>
          <w:rFonts w:hint="eastAsia"/>
        </w:rPr>
      </w:pPr>
      <w:r>
        <w:rPr>
          <w:rFonts w:hint="eastAsia"/>
        </w:rPr>
        <w:t>型式试验应在下列情况之一时进行:</w:t>
      </w:r>
    </w:p>
    <w:p w14:paraId="7DC1E7C6">
      <w:pPr>
        <w:pStyle w:val="46"/>
        <w:numPr>
          <w:numId w:val="36"/>
        </w:numPr>
        <w:bidi w:val="0"/>
        <w:ind w:left="851" w:leftChars="0" w:hanging="426" w:firstLineChars="0"/>
        <w:rPr>
          <w:rFonts w:hint="eastAsia"/>
        </w:rPr>
      </w:pPr>
      <w:r>
        <w:rPr>
          <w:rFonts w:hint="eastAsia"/>
        </w:rPr>
        <w:t>新产品或老产品转厂生产的试制定型鉴定；</w:t>
      </w:r>
    </w:p>
    <w:p w14:paraId="2DF84B23">
      <w:pPr>
        <w:pStyle w:val="46"/>
        <w:numPr>
          <w:numId w:val="36"/>
        </w:numPr>
        <w:bidi w:val="0"/>
        <w:ind w:left="851" w:leftChars="0" w:hanging="426" w:firstLineChars="0"/>
        <w:rPr>
          <w:rFonts w:hint="eastAsia"/>
        </w:rPr>
      </w:pPr>
      <w:r>
        <w:rPr>
          <w:rFonts w:hint="eastAsia"/>
        </w:rPr>
        <w:t>正式生产后，如产品结构、工艺、关键材料、关键元器件有较大改变，可能影响产品性能时；</w:t>
      </w:r>
    </w:p>
    <w:p w14:paraId="2D89E9B9">
      <w:pPr>
        <w:pStyle w:val="46"/>
        <w:numPr>
          <w:numId w:val="36"/>
        </w:numPr>
        <w:bidi w:val="0"/>
        <w:ind w:left="851" w:leftChars="0" w:hanging="426" w:firstLineChars="0"/>
        <w:rPr>
          <w:rFonts w:hint="eastAsia"/>
        </w:rPr>
      </w:pPr>
      <w:r>
        <w:rPr>
          <w:rFonts w:hint="eastAsia"/>
        </w:rPr>
        <w:t>连续生产的产品，每六年对出厂检验合格的产品进行一次型式试验；</w:t>
      </w:r>
    </w:p>
    <w:p w14:paraId="655F815A">
      <w:pPr>
        <w:pStyle w:val="46"/>
        <w:numPr>
          <w:numId w:val="36"/>
        </w:numPr>
        <w:bidi w:val="0"/>
        <w:ind w:left="851" w:leftChars="0" w:hanging="426" w:firstLineChars="0"/>
        <w:rPr>
          <w:rFonts w:hint="eastAsia"/>
        </w:rPr>
      </w:pPr>
      <w:r>
        <w:rPr>
          <w:rFonts w:hint="eastAsia"/>
        </w:rPr>
        <w:t>产品停产 12 个月后，恢复生产时；</w:t>
      </w:r>
    </w:p>
    <w:p w14:paraId="2104FBF6">
      <w:pPr>
        <w:pStyle w:val="46"/>
        <w:numPr>
          <w:numId w:val="36"/>
        </w:numPr>
        <w:bidi w:val="0"/>
        <w:ind w:left="851" w:leftChars="0" w:hanging="426" w:firstLineChars="0"/>
        <w:rPr>
          <w:rFonts w:hint="eastAsia"/>
        </w:rPr>
      </w:pPr>
      <w:r>
        <w:rPr>
          <w:rFonts w:hint="eastAsia"/>
        </w:rPr>
        <w:t>出厂检验结果与上次型式试验结果有较大差异时；</w:t>
      </w:r>
    </w:p>
    <w:p w14:paraId="5ECB9FD7">
      <w:pPr>
        <w:pStyle w:val="46"/>
        <w:numPr>
          <w:numId w:val="36"/>
        </w:numPr>
        <w:bidi w:val="0"/>
        <w:ind w:left="851" w:leftChars="0" w:hanging="426" w:firstLineChars="0"/>
        <w:rPr>
          <w:rFonts w:hint="eastAsia"/>
        </w:rPr>
      </w:pPr>
      <w:r>
        <w:rPr>
          <w:rFonts w:hint="eastAsia"/>
        </w:rPr>
        <w:t>客户有特殊要求时，应进行型式试验。</w:t>
      </w:r>
    </w:p>
    <w:p w14:paraId="66ABC130">
      <w:pPr>
        <w:pStyle w:val="75"/>
        <w:bidi w:val="0"/>
        <w:rPr>
          <w:rFonts w:hint="eastAsia"/>
        </w:rPr>
      </w:pPr>
      <w:r>
        <w:rPr>
          <w:rFonts w:hint="eastAsia"/>
        </w:rPr>
        <w:t>型式试验样品应从出厂检验合格产品中随机抽取 3 台，</w:t>
      </w:r>
    </w:p>
    <w:p w14:paraId="154DAFCA">
      <w:pPr>
        <w:pStyle w:val="75"/>
        <w:bidi w:val="0"/>
        <w:rPr>
          <w:rFonts w:hint="eastAsia"/>
        </w:rPr>
      </w:pPr>
      <w:r>
        <w:rPr>
          <w:rFonts w:hint="eastAsia"/>
        </w:rPr>
        <w:t>型式试验项目</w:t>
      </w:r>
      <w:r>
        <w:rPr>
          <w:rFonts w:hint="eastAsia"/>
          <w:lang w:val="en-US" w:eastAsia="zh-CN"/>
        </w:rPr>
        <w:t>为本文件第7章所有项目</w:t>
      </w:r>
      <w:r>
        <w:rPr>
          <w:rFonts w:hint="eastAsia"/>
        </w:rPr>
        <w:t>，所有试验项目合格判定型式试验合格。若有一项或一项以上不符合要求，应加倍抽样对不符合项进行复检，复检全部符合要求，则判定型式试验合格，否则判定型式试验不合格。</w:t>
      </w:r>
    </w:p>
    <w:p w14:paraId="76D92190">
      <w:pPr>
        <w:pStyle w:val="18"/>
        <w:bidi w:val="0"/>
        <w:rPr>
          <w:rFonts w:hint="eastAsia"/>
        </w:rPr>
      </w:pPr>
      <w:bookmarkStart w:id="67" w:name="_Toc16000"/>
      <w:r>
        <w:rPr>
          <w:rFonts w:hint="eastAsia"/>
        </w:rPr>
        <w:t>标志、包装、运输和贮存</w:t>
      </w:r>
      <w:bookmarkEnd w:id="67"/>
    </w:p>
    <w:p w14:paraId="038229D1">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标志</w:t>
      </w:r>
    </w:p>
    <w:p w14:paraId="1E4CE166">
      <w:pPr>
        <w:pStyle w:val="75"/>
        <w:bidi w:val="0"/>
        <w:rPr>
          <w:rFonts w:hint="default"/>
          <w:lang w:val="en-US" w:eastAsia="zh-CN"/>
        </w:rPr>
      </w:pPr>
      <w:r>
        <w:rPr>
          <w:rFonts w:hint="eastAsia"/>
        </w:rPr>
        <w:t>每台 JP 柜应铭牌字迹清晰，坚固、耐久，安装在明显位置，铭牌上应标明</w:t>
      </w:r>
      <w:r>
        <w:rPr>
          <w:rFonts w:hint="eastAsia"/>
          <w:lang w:val="en-US" w:eastAsia="zh-CN"/>
        </w:rPr>
        <w:t>包括但不限于以下内容：</w:t>
      </w:r>
    </w:p>
    <w:p w14:paraId="61417326">
      <w:pPr>
        <w:pStyle w:val="46"/>
        <w:numPr>
          <w:numId w:val="37"/>
        </w:numPr>
        <w:bidi w:val="0"/>
        <w:ind w:left="851" w:leftChars="0" w:hanging="426" w:firstLineChars="0"/>
        <w:rPr>
          <w:rFonts w:hint="eastAsia"/>
        </w:rPr>
      </w:pPr>
      <w:r>
        <w:rPr>
          <w:rFonts w:hint="eastAsia"/>
        </w:rPr>
        <w:t>制造商或商标</w:t>
      </w:r>
      <w:r>
        <w:rPr>
          <w:rFonts w:hint="eastAsia"/>
          <w:lang w:eastAsia="zh-CN"/>
        </w:rPr>
        <w:t>；</w:t>
      </w:r>
    </w:p>
    <w:p w14:paraId="1958DB33">
      <w:pPr>
        <w:pStyle w:val="46"/>
        <w:numPr>
          <w:numId w:val="37"/>
        </w:numPr>
        <w:bidi w:val="0"/>
        <w:ind w:left="851" w:leftChars="0" w:hanging="426" w:firstLineChars="0"/>
        <w:rPr>
          <w:rFonts w:hint="eastAsia"/>
        </w:rPr>
      </w:pPr>
      <w:r>
        <w:rPr>
          <w:rFonts w:hint="eastAsia"/>
        </w:rPr>
        <w:t>型号规格或其他标记</w:t>
      </w:r>
      <w:r>
        <w:rPr>
          <w:rFonts w:hint="eastAsia"/>
          <w:lang w:eastAsia="zh-CN"/>
        </w:rPr>
        <w:t>；</w:t>
      </w:r>
    </w:p>
    <w:p w14:paraId="7E9762FC">
      <w:pPr>
        <w:pStyle w:val="46"/>
        <w:numPr>
          <w:numId w:val="37"/>
        </w:numPr>
        <w:bidi w:val="0"/>
        <w:ind w:left="851" w:leftChars="0" w:hanging="426" w:firstLineChars="0"/>
        <w:rPr>
          <w:rFonts w:hint="eastAsia"/>
        </w:rPr>
      </w:pPr>
      <w:r>
        <w:rPr>
          <w:rFonts w:hint="eastAsia"/>
        </w:rPr>
        <w:t>额定电压</w:t>
      </w:r>
      <w:r>
        <w:rPr>
          <w:rFonts w:hint="eastAsia"/>
          <w:lang w:eastAsia="zh-CN"/>
        </w:rPr>
        <w:t>；</w:t>
      </w:r>
    </w:p>
    <w:p w14:paraId="6F214978">
      <w:pPr>
        <w:pStyle w:val="46"/>
        <w:numPr>
          <w:numId w:val="37"/>
        </w:numPr>
        <w:bidi w:val="0"/>
        <w:ind w:left="851" w:leftChars="0" w:hanging="426" w:firstLineChars="0"/>
        <w:rPr>
          <w:rFonts w:hint="eastAsia"/>
        </w:rPr>
      </w:pPr>
      <w:r>
        <w:rPr>
          <w:rFonts w:hint="eastAsia"/>
        </w:rPr>
        <w:t>额定频率</w:t>
      </w:r>
      <w:r>
        <w:rPr>
          <w:rFonts w:hint="eastAsia"/>
          <w:lang w:eastAsia="zh-CN"/>
        </w:rPr>
        <w:t>；</w:t>
      </w:r>
    </w:p>
    <w:p w14:paraId="5AE16B9F">
      <w:pPr>
        <w:pStyle w:val="46"/>
        <w:numPr>
          <w:numId w:val="37"/>
        </w:numPr>
        <w:bidi w:val="0"/>
        <w:ind w:left="851" w:leftChars="0" w:hanging="426" w:firstLineChars="0"/>
        <w:rPr>
          <w:rFonts w:hint="eastAsia"/>
        </w:rPr>
      </w:pPr>
      <w:r>
        <w:rPr>
          <w:rFonts w:hint="eastAsia"/>
        </w:rPr>
        <w:t>额定电流</w:t>
      </w:r>
      <w:r>
        <w:rPr>
          <w:rFonts w:hint="eastAsia"/>
          <w:lang w:eastAsia="zh-CN"/>
        </w:rPr>
        <w:t>；</w:t>
      </w:r>
    </w:p>
    <w:p w14:paraId="513B303D">
      <w:pPr>
        <w:pStyle w:val="46"/>
        <w:numPr>
          <w:numId w:val="37"/>
        </w:numPr>
        <w:bidi w:val="0"/>
        <w:ind w:left="851" w:leftChars="0" w:hanging="426" w:firstLineChars="0"/>
        <w:rPr>
          <w:rFonts w:hint="eastAsia"/>
        </w:rPr>
      </w:pPr>
      <w:r>
        <w:rPr>
          <w:rFonts w:hint="eastAsia"/>
        </w:rPr>
        <w:t>防护等级</w:t>
      </w:r>
      <w:r>
        <w:rPr>
          <w:rFonts w:hint="eastAsia"/>
          <w:lang w:eastAsia="zh-CN"/>
        </w:rPr>
        <w:t>；</w:t>
      </w:r>
    </w:p>
    <w:p w14:paraId="15B2572F">
      <w:pPr>
        <w:pStyle w:val="46"/>
        <w:numPr>
          <w:numId w:val="37"/>
        </w:numPr>
        <w:bidi w:val="0"/>
        <w:ind w:left="851" w:leftChars="0" w:hanging="426" w:firstLineChars="0"/>
        <w:rPr>
          <w:rFonts w:hint="eastAsia"/>
        </w:rPr>
      </w:pPr>
      <w:r>
        <w:rPr>
          <w:rFonts w:hint="eastAsia"/>
        </w:rPr>
        <w:t>短路耐受强度</w:t>
      </w:r>
      <w:r>
        <w:rPr>
          <w:rFonts w:hint="eastAsia"/>
          <w:lang w:eastAsia="zh-CN"/>
        </w:rPr>
        <w:t>；</w:t>
      </w:r>
    </w:p>
    <w:p w14:paraId="12683D16">
      <w:pPr>
        <w:pStyle w:val="46"/>
        <w:numPr>
          <w:numId w:val="37"/>
        </w:numPr>
        <w:bidi w:val="0"/>
        <w:ind w:left="851" w:leftChars="0" w:hanging="426" w:firstLineChars="0"/>
        <w:rPr>
          <w:rFonts w:hint="eastAsia"/>
        </w:rPr>
      </w:pPr>
      <w:r>
        <w:rPr>
          <w:rFonts w:hint="eastAsia"/>
        </w:rPr>
        <w:t>户外使用</w:t>
      </w:r>
      <w:r>
        <w:rPr>
          <w:rFonts w:hint="eastAsia"/>
          <w:lang w:eastAsia="zh-CN"/>
        </w:rPr>
        <w:t>；</w:t>
      </w:r>
    </w:p>
    <w:p w14:paraId="1BE815C2">
      <w:pPr>
        <w:pStyle w:val="46"/>
        <w:numPr>
          <w:numId w:val="37"/>
        </w:numPr>
        <w:bidi w:val="0"/>
        <w:ind w:left="851" w:leftChars="0" w:hanging="426" w:firstLineChars="0"/>
        <w:rPr>
          <w:rFonts w:hint="eastAsia"/>
        </w:rPr>
      </w:pPr>
      <w:r>
        <w:rPr>
          <w:rFonts w:hint="eastAsia"/>
        </w:rPr>
        <w:t>质量</w:t>
      </w:r>
      <w:r>
        <w:rPr>
          <w:rFonts w:hint="eastAsia"/>
          <w:lang w:eastAsia="zh-CN"/>
        </w:rPr>
        <w:t>；</w:t>
      </w:r>
    </w:p>
    <w:p w14:paraId="75D2861A">
      <w:pPr>
        <w:pStyle w:val="46"/>
        <w:numPr>
          <w:numId w:val="37"/>
        </w:numPr>
        <w:bidi w:val="0"/>
        <w:ind w:left="851" w:leftChars="0" w:hanging="426" w:firstLineChars="0"/>
        <w:rPr>
          <w:rFonts w:hint="eastAsia"/>
        </w:rPr>
      </w:pPr>
      <w:r>
        <w:rPr>
          <w:rFonts w:hint="eastAsia"/>
        </w:rPr>
        <w:t>外形尺寸</w:t>
      </w:r>
      <w:r>
        <w:rPr>
          <w:rFonts w:hint="eastAsia"/>
          <w:lang w:eastAsia="zh-CN"/>
        </w:rPr>
        <w:t>；</w:t>
      </w:r>
    </w:p>
    <w:p w14:paraId="2063C8F9">
      <w:pPr>
        <w:pStyle w:val="46"/>
        <w:numPr>
          <w:numId w:val="37"/>
        </w:numPr>
        <w:bidi w:val="0"/>
        <w:ind w:left="851" w:leftChars="0" w:hanging="426" w:firstLineChars="0"/>
        <w:rPr>
          <w:rFonts w:hint="eastAsia"/>
        </w:rPr>
      </w:pPr>
      <w:r>
        <w:rPr>
          <w:rFonts w:hint="eastAsia"/>
        </w:rPr>
        <w:t>出厂编号</w:t>
      </w:r>
      <w:r>
        <w:rPr>
          <w:rFonts w:hint="eastAsia"/>
          <w:lang w:eastAsia="zh-CN"/>
        </w:rPr>
        <w:t>；</w:t>
      </w:r>
    </w:p>
    <w:p w14:paraId="1D51452B">
      <w:pPr>
        <w:pStyle w:val="46"/>
        <w:numPr>
          <w:numId w:val="37"/>
        </w:numPr>
        <w:bidi w:val="0"/>
        <w:ind w:left="851" w:leftChars="0" w:hanging="426" w:firstLineChars="0"/>
        <w:rPr>
          <w:rFonts w:hint="eastAsia"/>
        </w:rPr>
      </w:pPr>
      <w:r>
        <w:rPr>
          <w:rFonts w:hint="eastAsia"/>
        </w:rPr>
        <w:t>执行标准</w:t>
      </w:r>
      <w:r>
        <w:rPr>
          <w:rFonts w:hint="eastAsia"/>
          <w:lang w:eastAsia="zh-CN"/>
        </w:rPr>
        <w:t>；</w:t>
      </w:r>
    </w:p>
    <w:p w14:paraId="2D034E12">
      <w:pPr>
        <w:pStyle w:val="46"/>
        <w:numPr>
          <w:numId w:val="37"/>
        </w:numPr>
        <w:bidi w:val="0"/>
        <w:ind w:left="851" w:leftChars="0" w:hanging="426" w:firstLineChars="0"/>
        <w:rPr>
          <w:rFonts w:hint="eastAsia"/>
        </w:rPr>
      </w:pPr>
      <w:r>
        <w:rPr>
          <w:rFonts w:hint="eastAsia"/>
        </w:rPr>
        <w:t>制造日期。</w:t>
      </w:r>
    </w:p>
    <w:p w14:paraId="4292CE50">
      <w:pPr>
        <w:pStyle w:val="75"/>
        <w:bidi w:val="0"/>
        <w:rPr>
          <w:rFonts w:hint="eastAsia"/>
        </w:rPr>
      </w:pPr>
      <w:r>
        <w:rPr>
          <w:rFonts w:hint="eastAsia"/>
        </w:rPr>
        <w:t>JP 柜箱门应有企业标识、服务提示语等信息，其标识符号大小、位置与 JP 柜箱体相匹配、协调，应清晰、耐久、齐全、正确，特别应有明显的防触电标志和接地标志。</w:t>
      </w:r>
    </w:p>
    <w:p w14:paraId="750A5C11">
      <w:pPr>
        <w:pStyle w:val="75"/>
        <w:bidi w:val="0"/>
        <w:rPr>
          <w:rFonts w:hint="eastAsia"/>
        </w:rPr>
      </w:pPr>
      <w:r>
        <w:rPr>
          <w:rFonts w:hint="eastAsia"/>
        </w:rPr>
        <w:t>JP 柜内的主要元器件应有相应的符号作为标识，并与接线图上的符号一致，要求字迹清晰易辨、不褪色、不脱落、布置均匀、便于观察。</w:t>
      </w:r>
    </w:p>
    <w:p w14:paraId="317D642A">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包装</w:t>
      </w:r>
    </w:p>
    <w:p w14:paraId="3A073EF9">
      <w:pPr>
        <w:pStyle w:val="17"/>
        <w:rPr>
          <w:rFonts w:hint="eastAsia"/>
        </w:rPr>
      </w:pPr>
      <w:r>
        <w:rPr>
          <w:rFonts w:hint="eastAsia"/>
        </w:rPr>
        <w:t>JP 柜的包装应符合 GB/T 191、GB/T 13384 的规定，每台产品应随包装箱装有装箱单、产品合格证、出厂试验报告、安装与使用说明书、电气原理图和接线图及相关资料、按合同提供备品备件附件清单、智能控制器、剩余电流动作断路器、智能电能表、电容器等主要元器件的使用说明书和合格证。</w:t>
      </w:r>
    </w:p>
    <w:p w14:paraId="478D6460">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运输和贮存</w:t>
      </w:r>
    </w:p>
    <w:p w14:paraId="3E4D94B0">
      <w:pPr>
        <w:pStyle w:val="75"/>
        <w:bidi w:val="0"/>
        <w:rPr>
          <w:rFonts w:hint="eastAsia"/>
        </w:rPr>
      </w:pPr>
      <w:r>
        <w:rPr>
          <w:rFonts w:hint="eastAsia"/>
        </w:rPr>
        <w:t>JP 柜应有包装规范保证产品在运输过程中，不应发生剧烈震动、摔撞、冲击和倾倒放置。</w:t>
      </w:r>
    </w:p>
    <w:p w14:paraId="67DBA8FB">
      <w:pPr>
        <w:pStyle w:val="75"/>
        <w:bidi w:val="0"/>
      </w:pPr>
      <w:r>
        <w:rPr>
          <w:rFonts w:hint="eastAsia"/>
        </w:rPr>
        <w:t>JP 柜在贮存期间，应放置在空气流通、温度在 - 25℃</w:t>
      </w:r>
      <w:r>
        <w:rPr>
          <w:rFonts w:hint="default" w:ascii="Times New Roman" w:hAnsi="Times New Roman" w:cs="Times New Roman"/>
        </w:rPr>
        <w:t>~</w:t>
      </w:r>
      <w:r>
        <w:rPr>
          <w:rFonts w:hint="eastAsia"/>
        </w:rPr>
        <w:t>55℃之间，月平均相对湿度不大于 90%</w:t>
      </w:r>
      <w:r>
        <w:rPr>
          <w:rFonts w:hint="eastAsia"/>
          <w:lang w:eastAsia="zh-CN"/>
        </w:rPr>
        <w:t>，</w:t>
      </w:r>
      <w:r>
        <w:rPr>
          <w:rFonts w:hint="eastAsia"/>
        </w:rPr>
        <w:t>无腐蚀性和爆炸气体的仓库内，在贮存期间不应淋雨、曝晒、凝露和霜冻。</w:t>
      </w:r>
    </w:p>
    <w:bookmarkEnd w:id="20"/>
    <w:p w14:paraId="729E6089">
      <w:pPr>
        <w:pStyle w:val="17"/>
      </w:pPr>
    </w:p>
    <w:sectPr>
      <w:headerReference r:id="rId13" w:type="default"/>
      <w:footerReference r:id="rId15" w:type="default"/>
      <w:headerReference r:id="rId14" w:type="even"/>
      <w:footerReference r:id="rId16" w:type="even"/>
      <w:pgSz w:w="11906" w:h="16838"/>
      <w:pgMar w:top="1928" w:right="1134" w:bottom="1134" w:left="1134" w:header="1417" w:footer="1134" w:gutter="283"/>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15D43">
    <w:pPr>
      <w:pStyle w:val="110"/>
      <w:rPr>
        <w:szCs w:val="18"/>
      </w:rPr>
    </w:pPr>
    <w:r>
      <w:fldChar w:fldCharType="begin"/>
    </w:r>
    <w:r>
      <w:instrText xml:space="preserve">PAGE   \* MERGEFORMAT</w:instrText>
    </w:r>
    <w:r>
      <w:fldChar w:fldCharType="separate"/>
    </w:r>
    <w:r>
      <w:rPr>
        <w:lang w:val="zh-CN"/>
      </w:rP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83AA2">
    <w:pPr>
      <w:pStyle w:val="6"/>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7FA359">
                          <w:pPr>
                            <w:pStyle w:val="6"/>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707FA359">
                    <w:pPr>
                      <w:pStyle w:val="6"/>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2A763">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A8872">
    <w:pPr>
      <w:snapToGrid w:val="0"/>
      <w:ind w:right="227"/>
      <w:jc w:val="right"/>
      <w:rPr>
        <w:rFonts w:ascii="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3E93316">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C988D">
    <w:pPr>
      <w:pStyle w:val="111"/>
      <w:rPr>
        <w:rFonts w:cs="宋体"/>
      </w:rPr>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C3EFD8">
    <w:pPr>
      <w:snapToGrid w:val="0"/>
      <w:ind w:right="227"/>
      <w:jc w:val="right"/>
      <w:rPr>
        <w:rFonts w:ascii="宋体"/>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179C88B4">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D1DB8">
    <w:pPr>
      <w:pStyle w:val="111"/>
      <w:rPr>
        <w:rFonts w:cs="宋体"/>
      </w:rPr>
    </w:pPr>
    <w:r>
      <w:fldChar w:fldCharType="begin"/>
    </w:r>
    <w:r>
      <w:instrText xml:space="preserve">PAGE   \* MERGEFORMAT</w:instrText>
    </w:r>
    <w:r>
      <w:fldChar w:fldCharType="separate"/>
    </w:r>
    <w:r>
      <w:rPr>
        <w:lang w:val="zh-CN"/>
      </w:rPr>
      <w:t>2</w:t>
    </w:r>
    <w:r>
      <w:fldChar w:fldCharType="end"/>
    </w:r>
    <w:r>
      <w:rPr>
        <w:rFonts w:hint="eastAsia" w:cs="宋体"/>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2251B1">
                          <w:pPr>
                            <w:pStyle w:val="6"/>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142251B1">
                    <w:pPr>
                      <w:pStyle w:val="6"/>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3CDB1A">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81DDF">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7A319">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6F45A6">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8123A9">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3E338D">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B0A119">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DD763B"/>
    <w:multiLevelType w:val="multilevel"/>
    <w:tmpl w:val="86DD763B"/>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98BE4E3C"/>
    <w:multiLevelType w:val="multilevel"/>
    <w:tmpl w:val="98BE4E3C"/>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3">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4">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5">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6">
    <w:nsid w:val="C002329A"/>
    <w:multiLevelType w:val="multilevel"/>
    <w:tmpl w:val="C002329A"/>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7">
    <w:nsid w:val="D791A35A"/>
    <w:multiLevelType w:val="multilevel"/>
    <w:tmpl w:val="D791A35A"/>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8">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E22B2B09"/>
    <w:multiLevelType w:val="multilevel"/>
    <w:tmpl w:val="E22B2B09"/>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10">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1">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2">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13">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4">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6">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7">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9">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0">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3685E13F"/>
    <w:multiLevelType w:val="multilevel"/>
    <w:tmpl w:val="3685E13F"/>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2">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23">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4">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5">
    <w:nsid w:val="3DDD5ED2"/>
    <w:multiLevelType w:val="multilevel"/>
    <w:tmpl w:val="3DDD5ED2"/>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26">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7">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8">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9">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30">
    <w:nsid w:val="4DA884AA"/>
    <w:multiLevelType w:val="multilevel"/>
    <w:tmpl w:val="4DA884AA"/>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31">
    <w:nsid w:val="4F3FD218"/>
    <w:multiLevelType w:val="multilevel"/>
    <w:tmpl w:val="4F3FD218"/>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32">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3">
    <w:nsid w:val="61F8E34E"/>
    <w:multiLevelType w:val="multilevel"/>
    <w:tmpl w:val="61F8E34E"/>
    <w:lvl w:ilvl="0" w:tentative="0">
      <w:start w:val="1"/>
      <w:numFmt w:val="lowerLetter"/>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34">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5">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9"/>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6"/>
  </w:num>
  <w:num w:numId="3">
    <w:abstractNumId w:val="12"/>
  </w:num>
  <w:num w:numId="4">
    <w:abstractNumId w:val="8"/>
  </w:num>
  <w:num w:numId="5">
    <w:abstractNumId w:val="3"/>
  </w:num>
  <w:num w:numId="6">
    <w:abstractNumId w:val="25"/>
  </w:num>
  <w:num w:numId="7">
    <w:abstractNumId w:val="21"/>
  </w:num>
  <w:num w:numId="8">
    <w:abstractNumId w:val="24"/>
  </w:num>
  <w:num w:numId="9">
    <w:abstractNumId w:val="2"/>
  </w:num>
  <w:num w:numId="10">
    <w:abstractNumId w:val="23"/>
  </w:num>
  <w:num w:numId="11">
    <w:abstractNumId w:val="15"/>
  </w:num>
  <w:num w:numId="12">
    <w:abstractNumId w:val="20"/>
  </w:num>
  <w:num w:numId="13">
    <w:abstractNumId w:val="22"/>
  </w:num>
  <w:num w:numId="14">
    <w:abstractNumId w:val="35"/>
  </w:num>
  <w:num w:numId="15">
    <w:abstractNumId w:val="13"/>
  </w:num>
  <w:num w:numId="16">
    <w:abstractNumId w:val="14"/>
  </w:num>
  <w:num w:numId="17">
    <w:abstractNumId w:val="19"/>
  </w:num>
  <w:num w:numId="18">
    <w:abstractNumId w:val="4"/>
  </w:num>
  <w:num w:numId="19">
    <w:abstractNumId w:val="28"/>
  </w:num>
  <w:num w:numId="20">
    <w:abstractNumId w:val="17"/>
  </w:num>
  <w:num w:numId="21">
    <w:abstractNumId w:val="11"/>
  </w:num>
  <w:num w:numId="22">
    <w:abstractNumId w:val="34"/>
  </w:num>
  <w:num w:numId="23">
    <w:abstractNumId w:val="10"/>
  </w:num>
  <w:num w:numId="24">
    <w:abstractNumId w:val="32"/>
  </w:num>
  <w:num w:numId="25">
    <w:abstractNumId w:val="18"/>
  </w:num>
  <w:num w:numId="26">
    <w:abstractNumId w:val="16"/>
  </w:num>
  <w:num w:numId="27">
    <w:abstractNumId w:val="5"/>
  </w:num>
  <w:num w:numId="28">
    <w:abstractNumId w:val="27"/>
  </w:num>
  <w:num w:numId="29">
    <w:abstractNumId w:val="1"/>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attachedTemplate r:id="rId1"/>
  <w:documentProtection w:edit="forms" w:enforcement="0"/>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xZTg5ZWFlM2YwY2Y5ZGFlOGI3MjhkYWExMTMwODEifQ=="/>
  </w:docVars>
  <w:rsids>
    <w:rsidRoot w:val="2FC827EA"/>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E76EB4"/>
    <w:rsid w:val="21C87CA9"/>
    <w:rsid w:val="21E61CF3"/>
    <w:rsid w:val="249646FF"/>
    <w:rsid w:val="2500423F"/>
    <w:rsid w:val="262A12F8"/>
    <w:rsid w:val="28463832"/>
    <w:rsid w:val="28E6111C"/>
    <w:rsid w:val="290C4C94"/>
    <w:rsid w:val="2A3E688B"/>
    <w:rsid w:val="2C3C5198"/>
    <w:rsid w:val="2ED27DE6"/>
    <w:rsid w:val="2F850CB5"/>
    <w:rsid w:val="2FC827EA"/>
    <w:rsid w:val="302C3E7E"/>
    <w:rsid w:val="30F46FAF"/>
    <w:rsid w:val="3155171C"/>
    <w:rsid w:val="31FD3DEE"/>
    <w:rsid w:val="33EE30E3"/>
    <w:rsid w:val="343E1BBC"/>
    <w:rsid w:val="363C1D08"/>
    <w:rsid w:val="363C7C6C"/>
    <w:rsid w:val="366B505F"/>
    <w:rsid w:val="375D3338"/>
    <w:rsid w:val="377B3B40"/>
    <w:rsid w:val="39A5703D"/>
    <w:rsid w:val="39C520E2"/>
    <w:rsid w:val="3A3C75FA"/>
    <w:rsid w:val="3B7479F7"/>
    <w:rsid w:val="3C17635F"/>
    <w:rsid w:val="3C5F6A31"/>
    <w:rsid w:val="3CA646C8"/>
    <w:rsid w:val="3CB53659"/>
    <w:rsid w:val="405F5F05"/>
    <w:rsid w:val="41715709"/>
    <w:rsid w:val="43211C92"/>
    <w:rsid w:val="436A5D90"/>
    <w:rsid w:val="44945351"/>
    <w:rsid w:val="454E0A49"/>
    <w:rsid w:val="45D02D3E"/>
    <w:rsid w:val="470C286D"/>
    <w:rsid w:val="47CA7BC1"/>
    <w:rsid w:val="47F104D4"/>
    <w:rsid w:val="48F403D8"/>
    <w:rsid w:val="4A0E4D5B"/>
    <w:rsid w:val="4C585E2C"/>
    <w:rsid w:val="4C7B756C"/>
    <w:rsid w:val="4E761D21"/>
    <w:rsid w:val="4EE021C8"/>
    <w:rsid w:val="505A77E4"/>
    <w:rsid w:val="50753B17"/>
    <w:rsid w:val="510E66B3"/>
    <w:rsid w:val="511B7B18"/>
    <w:rsid w:val="51AD2478"/>
    <w:rsid w:val="51D87EE1"/>
    <w:rsid w:val="534144B7"/>
    <w:rsid w:val="53932DDE"/>
    <w:rsid w:val="55F86221"/>
    <w:rsid w:val="56B0511D"/>
    <w:rsid w:val="57E84794"/>
    <w:rsid w:val="585700CC"/>
    <w:rsid w:val="58B03032"/>
    <w:rsid w:val="58BC0C84"/>
    <w:rsid w:val="58D45546"/>
    <w:rsid w:val="594430E6"/>
    <w:rsid w:val="594C41DC"/>
    <w:rsid w:val="597F7CDB"/>
    <w:rsid w:val="59826A2C"/>
    <w:rsid w:val="59AB3693"/>
    <w:rsid w:val="59FD794F"/>
    <w:rsid w:val="5AC711CE"/>
    <w:rsid w:val="5B010A5C"/>
    <w:rsid w:val="5B8B2699"/>
    <w:rsid w:val="5C734E29"/>
    <w:rsid w:val="5CC341C0"/>
    <w:rsid w:val="5D476B3E"/>
    <w:rsid w:val="5F47231D"/>
    <w:rsid w:val="5FA03A07"/>
    <w:rsid w:val="60AF6D84"/>
    <w:rsid w:val="611D5F05"/>
    <w:rsid w:val="61613168"/>
    <w:rsid w:val="61950078"/>
    <w:rsid w:val="628E2E7E"/>
    <w:rsid w:val="643C6DA1"/>
    <w:rsid w:val="647453C3"/>
    <w:rsid w:val="661F1591"/>
    <w:rsid w:val="66277585"/>
    <w:rsid w:val="66C700BB"/>
    <w:rsid w:val="67670EBA"/>
    <w:rsid w:val="67A54BE1"/>
    <w:rsid w:val="67E22F1D"/>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2330EA6"/>
    <w:rsid w:val="73D7659E"/>
    <w:rsid w:val="73E700A2"/>
    <w:rsid w:val="74354387"/>
    <w:rsid w:val="74DB2EA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glossaryDocument" Target="glossary/document.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10278\AppData\Local\Kingsoft\WPS%20Office\12.1.0.25225\office6\http:\wpstest.pzcode.cn\api\statics\2025-09-15\240114a81f4746358de6f7e5b97917aa.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14:paraId="70C44B23">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14:paraId="600AC9AD">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Info spid="_x0000_s1034"/>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240114a81f4746358de6f7e5b97917aa.dotx</Template>
  <Pages>20</Pages>
  <Words>10342</Words>
  <Characters>12212</Characters>
  <Lines>6</Lines>
  <Paragraphs>1</Paragraphs>
  <TotalTime>93</TotalTime>
  <ScaleCrop>false</ScaleCrop>
  <LinksUpToDate>false</LinksUpToDate>
  <CharactersWithSpaces>13036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2026-04-06T23:56:00Z</dcterms:created>
  <dc:creator>李小客</dc:creator>
  <cp:lastModifiedBy>李小客</cp:lastModifiedBy>
  <dcterms:modified xsi:type="dcterms:W3CDTF">2026-04-14T02:07:07Z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2DF3BCD238A84925AD95C4C200DED616_11</vt:lpwstr>
  </property>
  <property fmtid="{D5CDD505-2E9C-101B-9397-08002B2CF9AE}" pid="4" name="Company">
    <vt:lpwstr>jh</vt:lpwstr>
  </property>
  <property fmtid="{D5CDD505-2E9C-101B-9397-08002B2CF9AE}" pid="5" name="KSOTemplateDocerSaveRecord">
    <vt:lpwstr>eyJoZGlkIjoiZWNlMDAzNWQyNzVkOThhY2NhZTA1Zjc3OGQ5NmI0YzUiLCJ1c2VySWQiOiIxMjQxODY1MjcxIn0=</vt:lpwstr>
  </property>
  <property fmtid="{D5CDD505-2E9C-101B-9397-08002B2CF9AE}" pid="6" name="DoublePrinting">
    <vt:lpwstr>1</vt:lpwstr>
  </property>
</Properties>
</file>