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01E4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479F5FC">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6A72D20">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29.130.20</w:t>
            </w:r>
            <w:r>
              <w:rPr>
                <w:rFonts w:ascii="黑体" w:hAnsi="黑体" w:eastAsia="黑体"/>
                <w:sz w:val="21"/>
                <w:szCs w:val="21"/>
              </w:rPr>
              <w:fldChar w:fldCharType="end"/>
            </w:r>
            <w:bookmarkEnd w:id="0"/>
          </w:p>
        </w:tc>
      </w:tr>
      <w:tr w14:paraId="2A28C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6CD386B">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3A6FC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PrEx>
              <w:trPr>
                <w:trHeight w:val="1021" w:hRule="exact"/>
              </w:trPr>
              <w:tc>
                <w:tcPr>
                  <w:tcW w:w="9242" w:type="dxa"/>
                  <w:vAlign w:val="center"/>
                </w:tcPr>
                <w:p w14:paraId="500C492E">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ZIUR</w:t>
                  </w:r>
                  <w:r>
                    <w:fldChar w:fldCharType="end"/>
                  </w:r>
                  <w:bookmarkEnd w:id="1"/>
                </w:p>
              </w:tc>
            </w:tr>
          </w:tbl>
          <w:p w14:paraId="22935F3C">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K31</w:t>
            </w:r>
            <w:r>
              <w:rPr>
                <w:rFonts w:ascii="黑体" w:hAnsi="黑体" w:eastAsia="黑体"/>
                <w:sz w:val="21"/>
                <w:szCs w:val="21"/>
              </w:rPr>
              <w:fldChar w:fldCharType="end"/>
            </w:r>
            <w:bookmarkEnd w:id="2"/>
          </w:p>
        </w:tc>
      </w:tr>
    </w:tbl>
    <w:p w14:paraId="62635094">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浙江省产学研合作促进会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3D0FA13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ZIUR</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0E99E2A3">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099280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97C8699">
      <w:pPr>
        <w:pStyle w:val="50"/>
        <w:framePr w:w="9639" w:h="6976" w:hRule="exact" w:hSpace="0" w:vSpace="0" w:wrap="around" w:hAnchor="page" w:y="6408"/>
        <w:jc w:val="center"/>
        <w:rPr>
          <w:rFonts w:hint="eastAsia" w:ascii="黑体" w:hAnsi="黑体" w:eastAsia="黑体"/>
          <w:b w:val="0"/>
          <w:bCs w:val="0"/>
          <w:w w:val="100"/>
        </w:rPr>
      </w:pPr>
    </w:p>
    <w:p w14:paraId="4EC462AF">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低压成套电力设备运行维护与安全检查规范</w:t>
      </w:r>
      <w:r>
        <w:fldChar w:fldCharType="end"/>
      </w:r>
      <w:bookmarkEnd w:id="9"/>
    </w:p>
    <w:p w14:paraId="46672E00">
      <w:pPr>
        <w:framePr w:w="9639" w:h="6974" w:hRule="exact" w:wrap="around" w:vAnchor="page" w:hAnchor="page" w:x="1419" w:y="6408" w:anchorLock="1"/>
        <w:ind w:left="-1418"/>
      </w:pPr>
    </w:p>
    <w:p w14:paraId="529975E9">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Specification for operation, maintenance and safety inspection of low-voltage complete power equipment</w:t>
      </w:r>
      <w:r>
        <w:rPr>
          <w:rFonts w:eastAsia="黑体"/>
          <w:szCs w:val="28"/>
        </w:rPr>
        <w:fldChar w:fldCharType="end"/>
      </w:r>
      <w:bookmarkEnd w:id="10"/>
    </w:p>
    <w:p w14:paraId="2B1F9A60">
      <w:pPr>
        <w:framePr w:w="9639" w:h="6974" w:hRule="exact" w:wrap="around" w:vAnchor="page" w:hAnchor="page" w:x="1419" w:y="6408" w:anchorLock="1"/>
        <w:spacing w:line="760" w:lineRule="exact"/>
        <w:ind w:left="-1418"/>
      </w:pPr>
    </w:p>
    <w:p w14:paraId="428FF855">
      <w:pPr>
        <w:pStyle w:val="126"/>
        <w:framePr w:w="9639" w:h="6974" w:hRule="exact" w:wrap="around" w:vAnchor="page" w:hAnchor="page" w:x="1419" w:y="6408" w:anchorLock="1"/>
        <w:textAlignment w:val="bottom"/>
        <w:rPr>
          <w:rFonts w:eastAsia="黑体"/>
          <w:szCs w:val="28"/>
        </w:rPr>
      </w:pPr>
    </w:p>
    <w:p w14:paraId="23AEB5C6">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005421C5">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67DD76B5">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258AD120">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6"/>
      <w:r>
        <w:rPr>
          <w:rFonts w:hint="eastAsia"/>
        </w:rPr>
        <w:t>发布</w:t>
      </w:r>
    </w:p>
    <w:p w14:paraId="6AE10996">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9"/>
      <w:r>
        <w:rPr>
          <w:rFonts w:hint="eastAsia"/>
        </w:rPr>
        <w:t>实施</w:t>
      </w:r>
    </w:p>
    <w:p w14:paraId="415BED25">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浙江省产学研合作促进会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3C3A8C9">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2B7255C">
      <w:pPr>
        <w:pStyle w:val="92"/>
        <w:spacing w:after="360"/>
      </w:pPr>
      <w:bookmarkStart w:id="21" w:name="BookMark1"/>
      <w:r>
        <w:rPr>
          <w:rFonts w:hint="eastAsia"/>
          <w:spacing w:val="320"/>
        </w:rPr>
        <w:t>目</w:t>
      </w:r>
      <w:r>
        <w:rPr>
          <w:rFonts w:hint="eastAsia"/>
        </w:rPr>
        <w:t>次</w:t>
      </w:r>
    </w:p>
    <w:p w14:paraId="67FDABDD">
      <w:pPr>
        <w:pStyle w:val="19"/>
        <w:tabs>
          <w:tab w:val="right" w:leader="dot" w:pos="9354"/>
        </w:tabs>
      </w:pPr>
      <w:r>
        <w:fldChar w:fldCharType="begin"/>
      </w:r>
      <w:r>
        <w:instrText xml:space="preserve"> TOC \o "1-1" \h </w:instrText>
      </w:r>
      <w:r>
        <w:fldChar w:fldCharType="separate"/>
      </w:r>
      <w:r>
        <w:fldChar w:fldCharType="begin"/>
      </w:r>
      <w:r>
        <w:instrText xml:space="preserve"> HYPERLINK \l _Toc19623 </w:instrText>
      </w:r>
      <w:r>
        <w:fldChar w:fldCharType="separate"/>
      </w:r>
      <w:r>
        <w:rPr>
          <w:rFonts w:hint="eastAsia"/>
          <w:spacing w:val="318"/>
          <w:lang w:eastAsia="zh-CN"/>
        </w:rPr>
        <w:t>前</w:t>
      </w:r>
      <w:r>
        <w:rPr>
          <w:rFonts w:hint="eastAsia"/>
          <w:lang w:eastAsia="zh-CN"/>
        </w:rPr>
        <w:t>言</w:t>
      </w:r>
      <w:r>
        <w:tab/>
      </w:r>
      <w:r>
        <w:fldChar w:fldCharType="begin"/>
      </w:r>
      <w:r>
        <w:instrText xml:space="preserve"> PAGEREF _Toc19623 \h </w:instrText>
      </w:r>
      <w:r>
        <w:fldChar w:fldCharType="separate"/>
      </w:r>
      <w:r>
        <w:t>II</w:t>
      </w:r>
      <w:r>
        <w:fldChar w:fldCharType="end"/>
      </w:r>
      <w:r>
        <w:fldChar w:fldCharType="end"/>
      </w:r>
    </w:p>
    <w:p w14:paraId="38351570">
      <w:pPr>
        <w:pStyle w:val="19"/>
        <w:tabs>
          <w:tab w:val="right" w:leader="dot" w:pos="9354"/>
        </w:tabs>
      </w:pPr>
      <w:r>
        <w:fldChar w:fldCharType="begin"/>
      </w:r>
      <w:r>
        <w:instrText xml:space="preserve"> HYPERLINK \l _Toc17974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_Toc17974 \h </w:instrText>
      </w:r>
      <w:r>
        <w:fldChar w:fldCharType="separate"/>
      </w:r>
      <w:r>
        <w:t>1</w:t>
      </w:r>
      <w:r>
        <w:fldChar w:fldCharType="end"/>
      </w:r>
      <w:r>
        <w:fldChar w:fldCharType="end"/>
      </w:r>
    </w:p>
    <w:p w14:paraId="4A55AD53">
      <w:pPr>
        <w:pStyle w:val="19"/>
        <w:tabs>
          <w:tab w:val="right" w:leader="dot" w:pos="9354"/>
        </w:tabs>
      </w:pPr>
      <w:r>
        <w:fldChar w:fldCharType="begin"/>
      </w:r>
      <w:r>
        <w:instrText xml:space="preserve"> HYPERLINK \l _Toc31223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_Toc31223 \h </w:instrText>
      </w:r>
      <w:r>
        <w:fldChar w:fldCharType="separate"/>
      </w:r>
      <w:r>
        <w:t>1</w:t>
      </w:r>
      <w:r>
        <w:fldChar w:fldCharType="end"/>
      </w:r>
      <w:r>
        <w:fldChar w:fldCharType="end"/>
      </w:r>
    </w:p>
    <w:p w14:paraId="70D07912">
      <w:pPr>
        <w:pStyle w:val="19"/>
        <w:tabs>
          <w:tab w:val="right" w:leader="dot" w:pos="9354"/>
        </w:tabs>
      </w:pPr>
      <w:r>
        <w:fldChar w:fldCharType="begin"/>
      </w:r>
      <w:r>
        <w:instrText xml:space="preserve"> HYPERLINK \l _Toc24404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_Toc24404 \h </w:instrText>
      </w:r>
      <w:r>
        <w:fldChar w:fldCharType="separate"/>
      </w:r>
      <w:r>
        <w:t>1</w:t>
      </w:r>
      <w:r>
        <w:fldChar w:fldCharType="end"/>
      </w:r>
      <w:r>
        <w:fldChar w:fldCharType="end"/>
      </w:r>
    </w:p>
    <w:p w14:paraId="1DDFCED1">
      <w:pPr>
        <w:pStyle w:val="19"/>
        <w:tabs>
          <w:tab w:val="right" w:leader="dot" w:pos="9354"/>
        </w:tabs>
      </w:pPr>
      <w:r>
        <w:fldChar w:fldCharType="begin"/>
      </w:r>
      <w:r>
        <w:instrText xml:space="preserve"> HYPERLINK \l _Toc18315 </w:instrText>
      </w:r>
      <w:r>
        <w:fldChar w:fldCharType="separate"/>
      </w:r>
      <w:r>
        <w:rPr>
          <w:rFonts w:hint="eastAsia" w:ascii="黑体" w:eastAsia="黑体"/>
          <w:i w:val="0"/>
        </w:rPr>
        <w:t xml:space="preserve">4 </w:t>
      </w:r>
      <w:r>
        <w:rPr>
          <w:rFonts w:hint="eastAsia"/>
          <w:lang w:val="en-US" w:eastAsia="zh-CN"/>
        </w:rPr>
        <w:t>基础要求</w:t>
      </w:r>
      <w:r>
        <w:tab/>
      </w:r>
      <w:r>
        <w:fldChar w:fldCharType="begin"/>
      </w:r>
      <w:r>
        <w:instrText xml:space="preserve"> PAGEREF _Toc18315 \h </w:instrText>
      </w:r>
      <w:r>
        <w:fldChar w:fldCharType="separate"/>
      </w:r>
      <w:r>
        <w:t>1</w:t>
      </w:r>
      <w:r>
        <w:fldChar w:fldCharType="end"/>
      </w:r>
      <w:r>
        <w:fldChar w:fldCharType="end"/>
      </w:r>
    </w:p>
    <w:p w14:paraId="65079374">
      <w:pPr>
        <w:pStyle w:val="19"/>
        <w:tabs>
          <w:tab w:val="right" w:leader="dot" w:pos="9354"/>
        </w:tabs>
      </w:pPr>
      <w:r>
        <w:fldChar w:fldCharType="begin"/>
      </w:r>
      <w:r>
        <w:instrText xml:space="preserve"> HYPERLINK \l _Toc14191 </w:instrText>
      </w:r>
      <w:r>
        <w:fldChar w:fldCharType="separate"/>
      </w:r>
      <w:r>
        <w:rPr>
          <w:rFonts w:hint="eastAsia" w:ascii="黑体" w:eastAsia="黑体"/>
          <w:i w:val="0"/>
        </w:rPr>
        <w:t xml:space="preserve">5 </w:t>
      </w:r>
      <w:r>
        <w:rPr>
          <w:rFonts w:hint="eastAsia"/>
          <w:lang w:val="en-US" w:eastAsia="zh-CN"/>
        </w:rPr>
        <w:t>运行维护规范</w:t>
      </w:r>
      <w:r>
        <w:tab/>
      </w:r>
      <w:r>
        <w:fldChar w:fldCharType="begin"/>
      </w:r>
      <w:r>
        <w:instrText xml:space="preserve"> PAGEREF _Toc14191 \h </w:instrText>
      </w:r>
      <w:r>
        <w:fldChar w:fldCharType="separate"/>
      </w:r>
      <w:r>
        <w:t>2</w:t>
      </w:r>
      <w:r>
        <w:fldChar w:fldCharType="end"/>
      </w:r>
      <w:r>
        <w:fldChar w:fldCharType="end"/>
      </w:r>
    </w:p>
    <w:p w14:paraId="71DECC70">
      <w:pPr>
        <w:pStyle w:val="19"/>
        <w:tabs>
          <w:tab w:val="right" w:leader="dot" w:pos="9354"/>
        </w:tabs>
      </w:pPr>
      <w:r>
        <w:fldChar w:fldCharType="begin"/>
      </w:r>
      <w:r>
        <w:instrText xml:space="preserve"> HYPERLINK \l _Toc23004 </w:instrText>
      </w:r>
      <w:r>
        <w:fldChar w:fldCharType="separate"/>
      </w:r>
      <w:r>
        <w:rPr>
          <w:rFonts w:hint="eastAsia" w:ascii="黑体" w:eastAsia="黑体"/>
          <w:i w:val="0"/>
        </w:rPr>
        <w:t xml:space="preserve">6 </w:t>
      </w:r>
      <w:r>
        <w:rPr>
          <w:rFonts w:hint="eastAsia"/>
          <w:highlight w:val="none"/>
          <w:lang w:val="en-US" w:eastAsia="zh-CN"/>
        </w:rPr>
        <w:t>安全检查要求</w:t>
      </w:r>
      <w:r>
        <w:tab/>
      </w:r>
      <w:r>
        <w:fldChar w:fldCharType="begin"/>
      </w:r>
      <w:r>
        <w:instrText xml:space="preserve"> PAGEREF _Toc23004 \h </w:instrText>
      </w:r>
      <w:r>
        <w:fldChar w:fldCharType="separate"/>
      </w:r>
      <w:r>
        <w:t>3</w:t>
      </w:r>
      <w:r>
        <w:fldChar w:fldCharType="end"/>
      </w:r>
      <w:r>
        <w:fldChar w:fldCharType="end"/>
      </w:r>
    </w:p>
    <w:p w14:paraId="07A1B055">
      <w:pPr>
        <w:pStyle w:val="19"/>
        <w:tabs>
          <w:tab w:val="right" w:leader="dot" w:pos="9354"/>
        </w:tabs>
      </w:pPr>
      <w:r>
        <w:fldChar w:fldCharType="begin"/>
      </w:r>
      <w:r>
        <w:instrText xml:space="preserve"> HYPERLINK \l _Toc6453 </w:instrText>
      </w:r>
      <w:r>
        <w:fldChar w:fldCharType="separate"/>
      </w:r>
      <w:r>
        <w:rPr>
          <w:rFonts w:hint="eastAsia" w:ascii="黑体" w:eastAsia="黑体"/>
          <w:i w:val="0"/>
          <w:lang w:val="en-US" w:eastAsia="zh-CN"/>
        </w:rPr>
        <w:t xml:space="preserve">7 </w:t>
      </w:r>
      <w:r>
        <w:rPr>
          <w:rFonts w:hint="eastAsia"/>
          <w:lang w:val="en-US" w:eastAsia="zh-CN"/>
        </w:rPr>
        <w:t>智能监测与数据管理</w:t>
      </w:r>
      <w:r>
        <w:tab/>
      </w:r>
      <w:r>
        <w:fldChar w:fldCharType="begin"/>
      </w:r>
      <w:r>
        <w:instrText xml:space="preserve"> PAGEREF _Toc6453 \h </w:instrText>
      </w:r>
      <w:r>
        <w:fldChar w:fldCharType="separate"/>
      </w:r>
      <w:r>
        <w:t>4</w:t>
      </w:r>
      <w:r>
        <w:fldChar w:fldCharType="end"/>
      </w:r>
      <w:r>
        <w:fldChar w:fldCharType="end"/>
      </w:r>
    </w:p>
    <w:p w14:paraId="2D5AAE89">
      <w:pPr>
        <w:pStyle w:val="19"/>
        <w:tabs>
          <w:tab w:val="right" w:leader="dot" w:pos="9354"/>
        </w:tabs>
      </w:pPr>
      <w:r>
        <w:fldChar w:fldCharType="begin"/>
      </w:r>
      <w:r>
        <w:instrText xml:space="preserve"> HYPERLINK \l _Toc12409 </w:instrText>
      </w:r>
      <w:r>
        <w:fldChar w:fldCharType="separate"/>
      </w:r>
      <w:r>
        <w:rPr>
          <w:rFonts w:hint="eastAsia" w:ascii="黑体" w:eastAsia="黑体"/>
          <w:i w:val="0"/>
          <w:lang w:val="en-US" w:eastAsia="zh-CN"/>
        </w:rPr>
        <w:t xml:space="preserve">8 </w:t>
      </w:r>
      <w:r>
        <w:rPr>
          <w:rFonts w:hint="eastAsia"/>
          <w:lang w:val="en-US" w:eastAsia="zh-CN"/>
        </w:rPr>
        <w:t>应急处置流程</w:t>
      </w:r>
      <w:r>
        <w:tab/>
      </w:r>
      <w:r>
        <w:fldChar w:fldCharType="begin"/>
      </w:r>
      <w:r>
        <w:instrText xml:space="preserve"> PAGEREF _Toc12409 \h </w:instrText>
      </w:r>
      <w:r>
        <w:fldChar w:fldCharType="separate"/>
      </w:r>
      <w:r>
        <w:t>6</w:t>
      </w:r>
      <w:r>
        <w:fldChar w:fldCharType="end"/>
      </w:r>
      <w:r>
        <w:fldChar w:fldCharType="end"/>
      </w:r>
    </w:p>
    <w:p w14:paraId="6615FBC6">
      <w:pPr>
        <w:pStyle w:val="19"/>
        <w:tabs>
          <w:tab w:val="right" w:leader="dot" w:pos="9354"/>
        </w:tabs>
      </w:pPr>
      <w:r>
        <w:fldChar w:fldCharType="begin"/>
      </w:r>
      <w:r>
        <w:instrText xml:space="preserve"> HYPERLINK \l _Toc20275 </w:instrText>
      </w:r>
      <w:r>
        <w:fldChar w:fldCharType="separate"/>
      </w:r>
      <w:r>
        <w:rPr>
          <w:rFonts w:hint="eastAsia" w:ascii="黑体" w:eastAsia="黑体"/>
          <w:i w:val="0"/>
          <w:lang w:val="en-US" w:eastAsia="zh-CN"/>
        </w:rPr>
        <w:t xml:space="preserve">9 </w:t>
      </w:r>
      <w:r>
        <w:rPr>
          <w:rFonts w:hint="default"/>
          <w:lang w:val="en-US" w:eastAsia="zh-CN"/>
        </w:rPr>
        <w:t>档案管理</w:t>
      </w:r>
      <w:r>
        <w:tab/>
      </w:r>
      <w:r>
        <w:fldChar w:fldCharType="begin"/>
      </w:r>
      <w:r>
        <w:instrText xml:space="preserve"> PAGEREF _Toc20275 \h </w:instrText>
      </w:r>
      <w:r>
        <w:fldChar w:fldCharType="separate"/>
      </w:r>
      <w:r>
        <w:t>6</w:t>
      </w:r>
      <w:r>
        <w:fldChar w:fldCharType="end"/>
      </w:r>
      <w:r>
        <w:fldChar w:fldCharType="end"/>
      </w:r>
    </w:p>
    <w:p w14:paraId="0DB6412A">
      <w:pPr>
        <w:pStyle w:val="92"/>
        <w:spacing w:after="360"/>
        <w:sectPr>
          <w:headerReference r:id="rId10" w:type="default"/>
          <w:footerReference r:id="rId12" w:type="default"/>
          <w:headerReference r:id="rId11" w:type="even"/>
          <w:footerReference r:id="rId13"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0376D486">
      <w:pPr>
        <w:pStyle w:val="90"/>
        <w:bidi w:val="0"/>
        <w:rPr>
          <w:rFonts w:hint="eastAsia" w:eastAsia="宋体"/>
          <w:lang w:eastAsia="zh-CN"/>
        </w:rPr>
      </w:pPr>
      <w:bookmarkStart w:id="22" w:name="_Toc19623"/>
      <w:bookmarkStart w:id="23" w:name="BookMark2"/>
      <w:r>
        <w:rPr>
          <w:rFonts w:hint="eastAsia"/>
          <w:spacing w:val="318"/>
          <w:lang w:eastAsia="zh-CN"/>
        </w:rPr>
        <w:t>前</w:t>
      </w:r>
      <w:r>
        <w:rPr>
          <w:rFonts w:hint="eastAsia"/>
          <w:lang w:eastAsia="zh-CN"/>
        </w:rPr>
        <w:t>言</w:t>
      </w:r>
      <w:bookmarkEnd w:id="22"/>
    </w:p>
    <w:p w14:paraId="39474C9A">
      <w:pPr>
        <w:pStyle w:val="56"/>
        <w:bidi w:val="0"/>
        <w:rPr>
          <w:rFonts w:hint="eastAsia"/>
          <w:lang w:eastAsia="zh-CN"/>
        </w:rPr>
      </w:pPr>
      <w:r>
        <w:rPr>
          <w:rFonts w:hint="eastAsia"/>
          <w:lang w:eastAsia="zh-CN"/>
        </w:rPr>
        <w:t>本文件按照GB/T 1.1—2020《标准化工作导则  第1部分：标准化文件的结构和起草规则》的规定起草。</w:t>
      </w:r>
    </w:p>
    <w:p w14:paraId="7F5FB25C">
      <w:pPr>
        <w:pStyle w:val="56"/>
        <w:bidi w:val="0"/>
        <w:rPr>
          <w:rFonts w:hint="eastAsia"/>
          <w:lang w:eastAsia="zh-CN"/>
        </w:rPr>
      </w:pPr>
      <w:r>
        <w:rPr>
          <w:rFonts w:hint="eastAsia"/>
          <w:lang w:eastAsia="zh-CN"/>
        </w:rPr>
        <w:t>请注意本文件的某些内容可能涉及专利。本文件的发布机构不承担识别专利的责任。</w:t>
      </w:r>
    </w:p>
    <w:p w14:paraId="199916E1">
      <w:pPr>
        <w:pStyle w:val="56"/>
        <w:bidi w:val="0"/>
        <w:rPr>
          <w:rFonts w:hint="eastAsia"/>
          <w:lang w:eastAsia="zh-CN"/>
        </w:rPr>
      </w:pPr>
    </w:p>
    <w:p w14:paraId="166EA287">
      <w:pPr>
        <w:pStyle w:val="56"/>
        <w:bidi w:val="0"/>
        <w:rPr>
          <w:rFonts w:hint="eastAsia"/>
          <w:lang w:eastAsia="zh-CN"/>
        </w:rPr>
      </w:pPr>
    </w:p>
    <w:p w14:paraId="795A5126">
      <w:pPr>
        <w:pStyle w:val="56"/>
        <w:bidi w:val="0"/>
        <w:rPr>
          <w:rFonts w:hint="eastAsia"/>
          <w:lang w:eastAsia="zh-CN"/>
        </w:rPr>
      </w:pPr>
      <w:r>
        <w:rPr>
          <w:rFonts w:hint="eastAsia"/>
          <w:lang w:eastAsia="zh-CN"/>
        </w:rPr>
        <w:t>本文件由</w:t>
      </w:r>
      <w:bookmarkStart w:id="24" w:name="StdPresenter"/>
      <w:r>
        <w:rPr>
          <w:rFonts w:hint="eastAsia"/>
          <w:lang w:eastAsia="zh-CN"/>
        </w:rPr>
        <w:t>浙江大宋电力科技有限公司</w:t>
      </w:r>
      <w:bookmarkEnd w:id="24"/>
      <w:r>
        <w:rPr>
          <w:rFonts w:hint="eastAsia"/>
          <w:lang w:eastAsia="zh-CN"/>
        </w:rPr>
        <w:t>提出。</w:t>
      </w:r>
    </w:p>
    <w:p w14:paraId="18E53D92">
      <w:pPr>
        <w:pStyle w:val="56"/>
        <w:bidi w:val="0"/>
        <w:rPr>
          <w:rFonts w:hint="eastAsia"/>
          <w:lang w:eastAsia="zh-CN"/>
        </w:rPr>
      </w:pPr>
      <w:r>
        <w:rPr>
          <w:rFonts w:hint="eastAsia"/>
          <w:lang w:eastAsia="zh-CN"/>
        </w:rPr>
        <w:t>本文件由</w:t>
      </w:r>
      <w:bookmarkStart w:id="25" w:name="StdRegister"/>
      <w:r>
        <w:rPr>
          <w:rFonts w:hint="eastAsia"/>
          <w:lang w:eastAsia="zh-CN"/>
        </w:rPr>
        <w:t>浙江省产学研合作促进会</w:t>
      </w:r>
      <w:bookmarkEnd w:id="25"/>
      <w:r>
        <w:rPr>
          <w:rFonts w:hint="eastAsia"/>
          <w:lang w:eastAsia="zh-CN"/>
        </w:rPr>
        <w:t>归口。</w:t>
      </w:r>
    </w:p>
    <w:p w14:paraId="604685BC">
      <w:pPr>
        <w:pStyle w:val="56"/>
        <w:bidi w:val="0"/>
        <w:rPr>
          <w:rFonts w:hint="eastAsia"/>
          <w:lang w:eastAsia="zh-CN"/>
        </w:rPr>
      </w:pPr>
      <w:r>
        <w:rPr>
          <w:rFonts w:hint="eastAsia"/>
          <w:lang w:eastAsia="zh-CN"/>
        </w:rPr>
        <w:t>本文件起草单位：</w:t>
      </w:r>
      <w:bookmarkStart w:id="26" w:name="StdDraftdep"/>
      <w:r>
        <w:rPr>
          <w:rFonts w:hint="eastAsia"/>
          <w:lang w:eastAsia="zh-CN"/>
        </w:rPr>
        <w:t>浙江大宋电力科技有限公司</w:t>
      </w:r>
      <w:bookmarkEnd w:id="26"/>
      <w:r>
        <w:rPr>
          <w:rFonts w:hint="eastAsia"/>
          <w:lang w:eastAsia="zh-CN"/>
        </w:rPr>
        <w:t>。</w:t>
      </w:r>
    </w:p>
    <w:p w14:paraId="33AA0C81">
      <w:pPr>
        <w:pStyle w:val="56"/>
        <w:bidi w:val="0"/>
        <w:rPr>
          <w:rFonts w:hint="eastAsia"/>
          <w:lang w:eastAsia="zh-CN"/>
        </w:rPr>
      </w:pPr>
      <w:r>
        <w:rPr>
          <w:rFonts w:hint="eastAsia"/>
          <w:lang w:eastAsia="zh-CN"/>
        </w:rPr>
        <w:t>本文件主要起草人：</w:t>
      </w:r>
      <w:bookmarkStart w:id="27" w:name="StdDrafer"/>
      <w:r>
        <w:rPr>
          <w:rFonts w:hint="eastAsia"/>
          <w:lang w:eastAsia="zh-CN"/>
        </w:rPr>
        <w:t>×××、×××</w:t>
      </w:r>
      <w:bookmarkEnd w:id="27"/>
      <w:r>
        <w:rPr>
          <w:rFonts w:hint="eastAsia"/>
          <w:lang w:eastAsia="zh-CN"/>
        </w:rPr>
        <w:t>。</w:t>
      </w:r>
    </w:p>
    <w:p w14:paraId="6F68C73D">
      <w:pPr>
        <w:pStyle w:val="56"/>
        <w:bidi w:val="0"/>
        <w:rPr>
          <w:rFonts w:hint="eastAsia"/>
          <w:lang w:eastAsia="zh-CN"/>
        </w:rPr>
      </w:pPr>
    </w:p>
    <w:p w14:paraId="24F8F1C7">
      <w:pPr>
        <w:pStyle w:val="56"/>
        <w:bidi w:val="0"/>
        <w:rPr>
          <w:rFonts w:hint="eastAsia"/>
          <w:lang w:eastAsia="zh-CN"/>
        </w:rPr>
      </w:pPr>
    </w:p>
    <w:p w14:paraId="3C7EE6FF">
      <w:pPr>
        <w:pStyle w:val="56"/>
        <w:bidi w:val="0"/>
        <w:rPr>
          <w:rFonts w:hint="eastAsia"/>
          <w:lang w:eastAsia="zh-CN"/>
        </w:rPr>
      </w:pPr>
    </w:p>
    <w:p w14:paraId="70ABCCCF">
      <w:pPr>
        <w:pStyle w:val="56"/>
        <w:bidi w:val="0"/>
        <w:rPr>
          <w:rFonts w:hint="eastAsia"/>
          <w:lang w:eastAsia="zh-CN"/>
        </w:rPr>
      </w:pPr>
    </w:p>
    <w:p w14:paraId="244A47C0">
      <w:pPr>
        <w:pStyle w:val="56"/>
        <w:bidi w:val="0"/>
        <w:rPr>
          <w:rFonts w:hint="eastAsia"/>
          <w:lang w:eastAsia="zh-CN"/>
        </w:rPr>
        <w:sectPr>
          <w:headerReference r:id="rId14" w:type="default"/>
          <w:footerReference r:id="rId16" w:type="default"/>
          <w:headerReference r:id="rId15" w:type="even"/>
          <w:footerReference r:id="rId17" w:type="even"/>
          <w:pgSz w:w="11906" w:h="16838"/>
          <w:pgMar w:top="1928" w:right="1134" w:bottom="1134" w:left="1134" w:header="1418" w:footer="1134" w:gutter="284"/>
          <w:pgNumType w:fmt="upperRoman"/>
          <w:cols w:space="425" w:num="1"/>
          <w:formProt w:val="0"/>
          <w:docGrid w:linePitch="312" w:charSpace="0"/>
        </w:sectPr>
      </w:pPr>
    </w:p>
    <w:bookmarkEnd w:id="23"/>
    <w:p w14:paraId="637C7BC3">
      <w:pPr>
        <w:spacing w:line="20" w:lineRule="exact"/>
        <w:jc w:val="center"/>
        <w:rPr>
          <w:rFonts w:hint="eastAsia" w:ascii="黑体" w:hAnsi="黑体" w:eastAsia="黑体"/>
          <w:sz w:val="32"/>
          <w:szCs w:val="32"/>
        </w:rPr>
      </w:pPr>
      <w:bookmarkStart w:id="28" w:name="BookMark4"/>
    </w:p>
    <w:p w14:paraId="64F4F527">
      <w:pPr>
        <w:spacing w:line="20" w:lineRule="exact"/>
        <w:jc w:val="center"/>
        <w:rPr>
          <w:rFonts w:hint="eastAsia" w:ascii="黑体" w:hAnsi="黑体" w:eastAsia="黑体"/>
          <w:sz w:val="32"/>
          <w:szCs w:val="32"/>
        </w:rPr>
      </w:pPr>
    </w:p>
    <w:sdt>
      <w:sdtPr>
        <w:tag w:val="NEW_STAND_NAME"/>
        <w:id w:val="595910757"/>
        <w:lock w:val="sdtLocked"/>
        <w:placeholder>
          <w:docPart w:val="31AAA52270374532AA7C98F5FC00429A"/>
        </w:placeholder>
      </w:sdtPr>
      <w:sdtContent>
        <w:p w14:paraId="6CC36CCC">
          <w:pPr>
            <w:pStyle w:val="178"/>
            <w:spacing w:before="240" w:beforeLines="100" w:after="528" w:afterLines="220"/>
            <w:rPr>
              <w:rFonts w:hint="eastAsia"/>
            </w:rPr>
          </w:pPr>
          <w:bookmarkStart w:id="29" w:name="NEW_STAND_NAME"/>
          <w:r>
            <w:rPr>
              <w:rFonts w:hint="eastAsia"/>
              <w:lang w:eastAsia="zh-CN"/>
            </w:rPr>
            <w:t>低压成套电力设备运行维护与安全检查规范</w:t>
          </w:r>
          <w:bookmarkEnd w:id="29"/>
        </w:p>
      </w:sdtContent>
    </w:sdt>
    <w:p w14:paraId="7A7C3DE6">
      <w:pPr>
        <w:pStyle w:val="105"/>
        <w:spacing w:before="240" w:after="240"/>
      </w:pPr>
      <w:bookmarkStart w:id="30" w:name="_Toc17233325"/>
      <w:bookmarkStart w:id="31" w:name="_Toc26718930"/>
      <w:bookmarkStart w:id="32" w:name="_Toc26648465"/>
      <w:bookmarkStart w:id="33" w:name="_Toc17233333"/>
      <w:bookmarkStart w:id="34" w:name="_Toc97192964"/>
      <w:bookmarkStart w:id="35" w:name="_Toc24884211"/>
      <w:bookmarkStart w:id="36" w:name="_Toc199844081"/>
      <w:bookmarkStart w:id="37" w:name="_Toc24884218"/>
      <w:bookmarkStart w:id="38" w:name="_Toc26986530"/>
      <w:bookmarkStart w:id="39" w:name="_Toc26986771"/>
      <w:bookmarkStart w:id="40" w:name="_Toc17974"/>
      <w:r>
        <w:rPr>
          <w:rFonts w:hint="eastAsia"/>
        </w:rPr>
        <w:t>范围</w:t>
      </w:r>
      <w:bookmarkEnd w:id="30"/>
      <w:bookmarkEnd w:id="31"/>
      <w:bookmarkEnd w:id="32"/>
      <w:bookmarkEnd w:id="33"/>
      <w:bookmarkEnd w:id="34"/>
      <w:bookmarkEnd w:id="35"/>
      <w:bookmarkEnd w:id="36"/>
      <w:bookmarkEnd w:id="37"/>
      <w:bookmarkEnd w:id="38"/>
      <w:bookmarkEnd w:id="39"/>
      <w:bookmarkEnd w:id="40"/>
    </w:p>
    <w:p w14:paraId="29D73E4E">
      <w:pPr>
        <w:pStyle w:val="56"/>
        <w:ind w:firstLine="420"/>
        <w:rPr>
          <w:rFonts w:hint="eastAsia"/>
          <w:highlight w:val="none"/>
          <w:lang w:eastAsia="zh-CN"/>
        </w:rPr>
      </w:pPr>
      <w:bookmarkStart w:id="41" w:name="_Toc97192965"/>
      <w:bookmarkStart w:id="42" w:name="_Toc199844082"/>
      <w:bookmarkStart w:id="43" w:name="_Toc24884212"/>
      <w:bookmarkStart w:id="44" w:name="_Toc24884219"/>
      <w:bookmarkStart w:id="45" w:name="_Toc17233326"/>
      <w:bookmarkStart w:id="46" w:name="_Toc26648466"/>
      <w:bookmarkStart w:id="47" w:name="_Toc26718931"/>
      <w:bookmarkStart w:id="48" w:name="_Toc26986531"/>
      <w:bookmarkStart w:id="49" w:name="_Toc17233334"/>
      <w:bookmarkStart w:id="50" w:name="_Toc26986772"/>
      <w:r>
        <w:rPr>
          <w:rFonts w:hint="eastAsia"/>
          <w:highlight w:val="none"/>
          <w:lang w:eastAsia="zh-CN"/>
        </w:rPr>
        <w:t>本文件规定了低压成套电力设备在运行维护、安全检查、智能监测、应急处置等环节的技术要求、流程规范与判定准则。</w:t>
      </w:r>
    </w:p>
    <w:p w14:paraId="3CC66597">
      <w:pPr>
        <w:pStyle w:val="56"/>
        <w:ind w:firstLine="420"/>
      </w:pPr>
      <w:r>
        <w:rPr>
          <w:rFonts w:hint="eastAsia"/>
          <w:highlight w:val="none"/>
          <w:lang w:eastAsia="zh-CN"/>
        </w:rPr>
        <w:t>本文件适用于设备生产制造企业、运维服务机构、电网公司等相关单位，可作为低压成套电力设备运行维护与安全检查的技术依据、操作指南、质量管控与合规验收准则。</w:t>
      </w:r>
    </w:p>
    <w:p w14:paraId="5059402F">
      <w:pPr>
        <w:pStyle w:val="105"/>
        <w:spacing w:before="240" w:after="240"/>
      </w:pPr>
      <w:bookmarkStart w:id="51" w:name="_Toc31223"/>
      <w:r>
        <w:rPr>
          <w:rFonts w:hint="eastAsia"/>
        </w:rPr>
        <w:t>规范性引用文件</w:t>
      </w:r>
      <w:bookmarkEnd w:id="41"/>
      <w:bookmarkEnd w:id="42"/>
      <w:bookmarkEnd w:id="43"/>
      <w:bookmarkEnd w:id="44"/>
      <w:bookmarkEnd w:id="45"/>
      <w:bookmarkEnd w:id="46"/>
      <w:bookmarkEnd w:id="47"/>
      <w:bookmarkEnd w:id="48"/>
      <w:bookmarkEnd w:id="49"/>
      <w:bookmarkEnd w:id="50"/>
      <w:bookmarkEnd w:id="51"/>
    </w:p>
    <w:sdt>
      <w:sdtPr>
        <w:rPr>
          <w:rFonts w:hint="eastAsia"/>
        </w:rPr>
        <w:id w:val="715848253"/>
        <w:placeholder>
          <w:docPart w:val="FF0054CC84D048C2BFA2F4572D65DF6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DBA1BA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543989D">
      <w:pPr>
        <w:pStyle w:val="56"/>
        <w:ind w:firstLine="420"/>
        <w:rPr>
          <w:rFonts w:hint="eastAsia"/>
          <w:highlight w:val="none"/>
        </w:rPr>
      </w:pPr>
      <w:bookmarkStart w:id="52" w:name="OLE_LINK1"/>
      <w:r>
        <w:rPr>
          <w:rFonts w:hint="eastAsia"/>
          <w:highlight w:val="none"/>
        </w:rPr>
        <w:t>GB/T 22239</w:t>
      </w:r>
      <w:bookmarkStart w:id="65" w:name="_GoBack"/>
      <w:bookmarkEnd w:id="65"/>
      <w:r>
        <w:rPr>
          <w:rFonts w:hint="eastAsia"/>
          <w:highlight w:val="none"/>
        </w:rPr>
        <w:t xml:space="preserve"> 信息安全技术 网络安全等级保护基本要求</w:t>
      </w:r>
    </w:p>
    <w:p w14:paraId="2ECF63D0">
      <w:pPr>
        <w:pStyle w:val="56"/>
        <w:ind w:firstLine="420"/>
        <w:rPr>
          <w:rFonts w:hint="eastAsia"/>
          <w:highlight w:val="none"/>
        </w:rPr>
      </w:pPr>
      <w:r>
        <w:rPr>
          <w:rFonts w:hint="eastAsia"/>
          <w:highlight w:val="none"/>
        </w:rPr>
        <w:t>GB 26860 电力安全工作规程 发电厂和变电站电气部分</w:t>
      </w:r>
    </w:p>
    <w:p w14:paraId="6600B6E8">
      <w:pPr>
        <w:pStyle w:val="56"/>
        <w:ind w:firstLine="420"/>
        <w:rPr>
          <w:rFonts w:hint="eastAsia"/>
          <w:highlight w:val="none"/>
        </w:rPr>
      </w:pPr>
      <w:r>
        <w:rPr>
          <w:rFonts w:hint="eastAsia"/>
          <w:highlight w:val="none"/>
        </w:rPr>
        <w:t>DL/T 596 电力设备预防性试验规程</w:t>
      </w:r>
    </w:p>
    <w:bookmarkEnd w:id="52"/>
    <w:p w14:paraId="6A285AF5">
      <w:pPr>
        <w:pStyle w:val="105"/>
        <w:spacing w:before="240" w:after="240"/>
      </w:pPr>
      <w:bookmarkStart w:id="53" w:name="_Toc199844083"/>
      <w:bookmarkStart w:id="54" w:name="_Toc97192966"/>
      <w:bookmarkStart w:id="55" w:name="_Toc24404"/>
      <w:r>
        <w:rPr>
          <w:rFonts w:hint="eastAsia"/>
          <w:szCs w:val="21"/>
        </w:rPr>
        <w:t>术语和定义</w:t>
      </w:r>
      <w:bookmarkEnd w:id="53"/>
      <w:bookmarkEnd w:id="54"/>
      <w:bookmarkEnd w:id="55"/>
    </w:p>
    <w:sdt>
      <w:sdtPr>
        <w:rPr>
          <w:rFonts w:hint="eastAsia"/>
        </w:rPr>
        <w:id w:val="-1"/>
        <w:placeholder>
          <w:docPart w:val="BE3737DD1D8843BEAE6237A2BC53666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178296D9">
          <w:pPr>
            <w:pStyle w:val="56"/>
            <w:ind w:firstLine="420"/>
            <w:rPr>
              <w:rFonts w:hint="eastAsia"/>
              <w:lang w:val="en-US" w:eastAsia="zh-CN"/>
            </w:rPr>
          </w:pPr>
          <w:bookmarkStart w:id="56" w:name="_Toc26986532"/>
          <w:bookmarkEnd w:id="56"/>
          <w:r>
            <w:rPr>
              <w:rFonts w:hint="eastAsia" w:ascii="宋体" w:hAnsi="Times New Roman" w:eastAsia="宋体" w:cs="Times New Roman"/>
              <w:sz w:val="21"/>
              <w:lang w:val="en-US" w:eastAsia="zh-CN" w:bidi="ar-SA"/>
            </w:rPr>
            <w:t>本文件没有需要界定的术语和定义。</w:t>
          </w:r>
        </w:p>
      </w:sdtContent>
    </w:sdt>
    <w:p w14:paraId="74227320">
      <w:pPr>
        <w:pStyle w:val="105"/>
        <w:spacing w:before="326" w:after="326"/>
        <w:rPr>
          <w:rFonts w:hint="eastAsia"/>
        </w:rPr>
      </w:pPr>
      <w:bookmarkStart w:id="57" w:name="_Toc18315"/>
      <w:bookmarkStart w:id="58" w:name="_Toc199844084"/>
      <w:r>
        <w:rPr>
          <w:rFonts w:hint="eastAsia"/>
          <w:lang w:val="en-US" w:eastAsia="zh-CN"/>
        </w:rPr>
        <w:t>基础要求</w:t>
      </w:r>
      <w:bookmarkEnd w:id="57"/>
    </w:p>
    <w:p w14:paraId="73DE5E06">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lang w:val="en-US" w:eastAsia="zh-CN"/>
        </w:rPr>
        <w:t>基本原则</w:t>
      </w:r>
    </w:p>
    <w:p w14:paraId="0BDE25AA">
      <w:pPr>
        <w:pStyle w:val="166"/>
        <w:bidi w:val="0"/>
        <w:rPr>
          <w:rFonts w:hint="eastAsia"/>
        </w:rPr>
      </w:pPr>
      <w:r>
        <w:rPr>
          <w:rFonts w:hint="eastAsia"/>
        </w:rPr>
        <w:t>安全优先：设备运行维护及安全检查工作，</w:t>
      </w:r>
      <w:r>
        <w:rPr>
          <w:rFonts w:hint="eastAsia"/>
          <w:lang w:val="en-US" w:eastAsia="zh-CN"/>
        </w:rPr>
        <w:t>严格执行GB 26860电气安全规程</w:t>
      </w:r>
      <w:r>
        <w:rPr>
          <w:rFonts w:hint="eastAsia"/>
        </w:rPr>
        <w:t>，规范落实停电、验电、接地、挂牌、上锁等安全管控措施，切实保障作业人员人身安全与电气设备运行安全。</w:t>
      </w:r>
    </w:p>
    <w:p w14:paraId="043D46FD">
      <w:pPr>
        <w:pStyle w:val="166"/>
        <w:bidi w:val="0"/>
        <w:rPr>
          <w:rFonts w:hint="eastAsia"/>
        </w:rPr>
      </w:pPr>
      <w:r>
        <w:rPr>
          <w:rFonts w:hint="eastAsia"/>
          <w:lang w:val="en-US" w:eastAsia="zh-CN"/>
        </w:rPr>
        <w:t>预防为主：依据DL/T 596相关预防性试验规范要求，以日常巡检、定期检修、设备状态在线监测为核心管控手段，常态化开展安全隐患排查治理，从源头降低设备故障发生概率。</w:t>
      </w:r>
    </w:p>
    <w:p w14:paraId="50A90A49">
      <w:pPr>
        <w:pStyle w:val="166"/>
        <w:bidi w:val="0"/>
        <w:rPr>
          <w:rFonts w:hint="eastAsia"/>
        </w:rPr>
      </w:pPr>
      <w:r>
        <w:rPr>
          <w:rFonts w:hint="eastAsia"/>
        </w:rPr>
        <w:t>规范作业：统一作业流程、操作方法及检验判定标准，全面实现运维作业与安全检查工作的标准化管控、全过程可追溯管理。</w:t>
      </w:r>
    </w:p>
    <w:p w14:paraId="7D7D71F9">
      <w:pPr>
        <w:pStyle w:val="166"/>
        <w:bidi w:val="0"/>
        <w:rPr>
          <w:rFonts w:hint="eastAsia"/>
        </w:rPr>
      </w:pPr>
      <w:r>
        <w:rPr>
          <w:rFonts w:hint="eastAsia"/>
        </w:rPr>
        <w:t>数字赋能：依托智能监测技术、数字化数据管理工具，优化运维管理模式，提升设备运维工作效率及故障研判、应急处置响应能力。</w:t>
      </w:r>
    </w:p>
    <w:p w14:paraId="3BC388F3">
      <w:pPr>
        <w:pStyle w:val="166"/>
        <w:bidi w:val="0"/>
        <w:rPr>
          <w:rFonts w:hint="eastAsia"/>
        </w:rPr>
      </w:pPr>
      <w:r>
        <w:rPr>
          <w:rFonts w:hint="eastAsia"/>
        </w:rPr>
        <w:t>全生命周期管控：管控范围覆盖设备投运、日常运维直至报废退役全流程。</w:t>
      </w:r>
    </w:p>
    <w:p w14:paraId="015849BE">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lang w:val="en-US" w:eastAsia="zh-CN"/>
        </w:rPr>
        <w:t>从业人员要求</w:t>
      </w:r>
    </w:p>
    <w:p w14:paraId="6BF79A6B">
      <w:pPr>
        <w:pStyle w:val="166"/>
        <w:bidi w:val="0"/>
        <w:rPr>
          <w:rFonts w:hint="eastAsia"/>
        </w:rPr>
      </w:pPr>
      <w:r>
        <w:rPr>
          <w:rFonts w:hint="eastAsia"/>
        </w:rPr>
        <w:t>作业人员应持有有效低压电工特种作业操作资格证书，经安全交底与专业技能培训考核合格后，方可持证上岗作业。</w:t>
      </w:r>
    </w:p>
    <w:p w14:paraId="5248DA44">
      <w:pPr>
        <w:pStyle w:val="166"/>
        <w:bidi w:val="0"/>
        <w:rPr>
          <w:rFonts w:hint="eastAsia"/>
        </w:rPr>
      </w:pPr>
      <w:r>
        <w:rPr>
          <w:rFonts w:hint="eastAsia"/>
        </w:rPr>
        <w:t>管理人员及技术人员应熟知低压成套设备结构构造、电气工作原理及本标准相关规定要求，具备设备故障研判、隐患排查及突发事件应急处置能力。</w:t>
      </w:r>
    </w:p>
    <w:p w14:paraId="1B6F9774">
      <w:pPr>
        <w:pStyle w:val="166"/>
        <w:bidi w:val="0"/>
        <w:rPr>
          <w:rFonts w:hint="eastAsia"/>
        </w:rPr>
      </w:pPr>
      <w:r>
        <w:rPr>
          <w:rFonts w:hint="eastAsia"/>
        </w:rPr>
        <w:t>应常态化组织开展安全教育培训、专业技能考核及应急实操演练，各项人员管理要求须符合相关管理制度规范。</w:t>
      </w:r>
    </w:p>
    <w:p w14:paraId="2F88B56B">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工具与检测设备要求</w:t>
      </w:r>
    </w:p>
    <w:p w14:paraId="16092042">
      <w:pPr>
        <w:pStyle w:val="166"/>
        <w:bidi w:val="0"/>
        <w:rPr>
          <w:rFonts w:hint="eastAsia"/>
        </w:rPr>
      </w:pPr>
      <w:r>
        <w:rPr>
          <w:rFonts w:hint="eastAsia"/>
        </w:rPr>
        <w:t>应按作业配置要求，配齐绝缘工具、验电器、万用表、钳形电流表、兆欧表、红外测温仪等作业工具及检测仪器，满足现场作业与检测工作需要。</w:t>
      </w:r>
    </w:p>
    <w:p w14:paraId="13463E25">
      <w:pPr>
        <w:pStyle w:val="166"/>
        <w:bidi w:val="0"/>
        <w:rPr>
          <w:rFonts w:hint="eastAsia"/>
        </w:rPr>
      </w:pPr>
      <w:r>
        <w:rPr>
          <w:rFonts w:hint="eastAsia"/>
        </w:rPr>
        <w:t>各类检测仪器设备应定期开展检定或校准，严格在检定 / 校准有效期内使用，保障检测结果真实、准确、可靠。</w:t>
      </w:r>
    </w:p>
    <w:p w14:paraId="621579B4">
      <w:pPr>
        <w:pStyle w:val="166"/>
        <w:bidi w:val="0"/>
        <w:rPr>
          <w:rFonts w:hint="eastAsia"/>
        </w:rPr>
      </w:pPr>
      <w:r>
        <w:rPr>
          <w:rFonts w:hint="eastAsia"/>
        </w:rPr>
        <w:t>开展智能化运维作业时，应配置与智能运维平台相兼容的数据采集、通信传输及检测终端设备，保障数据对接与业务正常运行。</w:t>
      </w:r>
    </w:p>
    <w:p w14:paraId="1454CF51">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设备运行与作业环境要求</w:t>
      </w:r>
    </w:p>
    <w:p w14:paraId="524E6C31">
      <w:pPr>
        <w:pStyle w:val="166"/>
        <w:bidi w:val="0"/>
        <w:rPr>
          <w:rFonts w:hint="eastAsia"/>
        </w:rPr>
      </w:pPr>
      <w:r>
        <w:rPr>
          <w:rFonts w:hint="eastAsia"/>
        </w:rPr>
        <w:t>设备安装环境应保持干燥通风，严禁存在腐蚀性气体及易燃易爆危险源，环境温、湿度参数应符合产品技术规范要求。</w:t>
      </w:r>
    </w:p>
    <w:p w14:paraId="68F8CC8B">
      <w:pPr>
        <w:pStyle w:val="166"/>
        <w:bidi w:val="0"/>
        <w:rPr>
          <w:rFonts w:hint="eastAsia"/>
        </w:rPr>
      </w:pPr>
      <w:r>
        <w:rPr>
          <w:rFonts w:hint="eastAsia"/>
        </w:rPr>
        <w:t>作业现场应保持整洁有序，通行通道保持畅通，安全标识设置规范清晰，并配置完备可靠的安全防护设施与消防设施。</w:t>
      </w:r>
    </w:p>
    <w:p w14:paraId="7D59B31C">
      <w:pPr>
        <w:pStyle w:val="166"/>
        <w:bidi w:val="0"/>
        <w:rPr>
          <w:rFonts w:hint="eastAsia"/>
        </w:rPr>
      </w:pPr>
      <w:r>
        <w:rPr>
          <w:rFonts w:hint="eastAsia"/>
        </w:rPr>
        <w:t>开展带电作业时，应严格满足安全距离及安全防护相关规定；雷雨、大风、浓雾等恶劣气象条件下，原则上禁止开展户外作业。</w:t>
      </w:r>
    </w:p>
    <w:p w14:paraId="015EE836">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服务与管理要求</w:t>
      </w:r>
    </w:p>
    <w:p w14:paraId="344705A3">
      <w:pPr>
        <w:pStyle w:val="166"/>
        <w:bidi w:val="0"/>
        <w:rPr>
          <w:rFonts w:hint="eastAsia"/>
        </w:rPr>
      </w:pPr>
      <w:r>
        <w:rPr>
          <w:rFonts w:hint="eastAsia"/>
        </w:rPr>
        <w:t>运维服务应严格执行统一标准化服务流程，确保服务响应及时、作业过程规范、工作结果可追溯、可查验。</w:t>
      </w:r>
    </w:p>
    <w:p w14:paraId="171C1294">
      <w:pPr>
        <w:pStyle w:val="166"/>
        <w:bidi w:val="0"/>
        <w:rPr>
          <w:rFonts w:hint="eastAsia"/>
        </w:rPr>
      </w:pPr>
      <w:r>
        <w:rPr>
          <w:rFonts w:hint="eastAsia"/>
        </w:rPr>
        <w:t>应建立健全作业安全风险辨识与全过程管控机制，针对重大作业活动，作业前必须组织开展安全技术交底工作。</w:t>
      </w:r>
    </w:p>
    <w:p w14:paraId="3787B65E">
      <w:pPr>
        <w:pStyle w:val="105"/>
        <w:spacing w:before="326" w:after="326"/>
        <w:rPr>
          <w:rFonts w:hint="eastAsia"/>
        </w:rPr>
      </w:pPr>
      <w:bookmarkStart w:id="59" w:name="_Toc14191"/>
      <w:r>
        <w:rPr>
          <w:rFonts w:hint="eastAsia"/>
          <w:lang w:val="en-US" w:eastAsia="zh-CN"/>
        </w:rPr>
        <w:t>运行维护规范</w:t>
      </w:r>
      <w:bookmarkEnd w:id="59"/>
    </w:p>
    <w:p w14:paraId="6637B120">
      <w:pPr>
        <w:pStyle w:val="106"/>
        <w:bidi w:val="0"/>
        <w:rPr>
          <w:rFonts w:hint="eastAsia"/>
          <w:lang w:val="en-US" w:eastAsia="zh-CN"/>
        </w:rPr>
      </w:pPr>
      <w:r>
        <w:rPr>
          <w:rFonts w:hint="eastAsia"/>
          <w:lang w:val="en-US" w:eastAsia="zh-CN"/>
        </w:rPr>
        <w:t>一般规定</w:t>
      </w:r>
    </w:p>
    <w:p w14:paraId="089EDA7E">
      <w:pPr>
        <w:pStyle w:val="166"/>
        <w:bidi w:val="0"/>
        <w:rPr>
          <w:rFonts w:hint="eastAsia"/>
          <w:lang w:val="en-US" w:eastAsia="zh-CN"/>
        </w:rPr>
      </w:pPr>
      <w:r>
        <w:rPr>
          <w:rFonts w:hint="eastAsia"/>
          <w:lang w:val="en-US" w:eastAsia="zh-CN"/>
        </w:rPr>
        <w:t>运行维护工作应覆盖额定电压 0.4kV 及以下低压开关柜、配电箱（柜）等成套电气设备全生命周期管理，遵循安全合规、规范作业、预防管控、高效运维的基本原则，契合统一运维服务体系管理要求。</w:t>
      </w:r>
    </w:p>
    <w:p w14:paraId="7F1F43A6">
      <w:pPr>
        <w:pStyle w:val="166"/>
        <w:bidi w:val="0"/>
        <w:rPr>
          <w:rFonts w:hint="eastAsia"/>
          <w:lang w:val="en-US" w:eastAsia="zh-CN"/>
        </w:rPr>
      </w:pPr>
      <w:r>
        <w:rPr>
          <w:rFonts w:hint="eastAsia"/>
          <w:lang w:val="en-US" w:eastAsia="zh-CN"/>
        </w:rPr>
        <w:t>开展运维作业时，应严格落实停电、验电、接地、挂牌、上锁等安全防护措施，严禁违章带电作业及违规操作行为。</w:t>
      </w:r>
    </w:p>
    <w:p w14:paraId="4A5DEA99">
      <w:pPr>
        <w:pStyle w:val="166"/>
        <w:bidi w:val="0"/>
        <w:rPr>
          <w:rFonts w:hint="eastAsia"/>
          <w:lang w:val="en-US" w:eastAsia="zh-CN"/>
        </w:rPr>
      </w:pPr>
      <w:r>
        <w:rPr>
          <w:rFonts w:hint="eastAsia"/>
          <w:lang w:val="en-US" w:eastAsia="zh-CN"/>
        </w:rPr>
        <w:t>各项运维作业须完整留存工作记录，统一纳入设备台账及技术档案管理，实现作业全过程闭环管控与可追溯管理。</w:t>
      </w:r>
    </w:p>
    <w:p w14:paraId="6B124D1A">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日常运维</w:t>
      </w:r>
    </w:p>
    <w:p w14:paraId="4A02B828">
      <w:pPr>
        <w:pStyle w:val="65"/>
        <w:bidi w:val="0"/>
        <w:rPr>
          <w:rFonts w:hint="eastAsia"/>
          <w:lang w:val="en-US" w:eastAsia="zh-CN"/>
        </w:rPr>
      </w:pPr>
      <w:r>
        <w:rPr>
          <w:rFonts w:hint="eastAsia"/>
          <w:lang w:val="en-US" w:eastAsia="zh-CN"/>
        </w:rPr>
        <w:t>运维周期</w:t>
      </w:r>
    </w:p>
    <w:p w14:paraId="0EA550E7">
      <w:pPr>
        <w:pStyle w:val="66"/>
        <w:rPr>
          <w:rFonts w:hint="eastAsia"/>
          <w:lang w:val="en-US" w:eastAsia="zh-CN"/>
        </w:rPr>
      </w:pPr>
      <w:r>
        <w:rPr>
          <w:rFonts w:hint="eastAsia"/>
          <w:lang w:val="en-US" w:eastAsia="zh-CN"/>
        </w:rPr>
        <w:t>日常运维巡检每日/每班不少于 1 次；重要场所及重点用电区域，应按服务管理要求适当加密巡检频次。</w:t>
      </w:r>
    </w:p>
    <w:p w14:paraId="09E15EEA">
      <w:pPr>
        <w:pStyle w:val="65"/>
        <w:bidi w:val="0"/>
        <w:rPr>
          <w:rFonts w:hint="eastAsia"/>
          <w:lang w:val="en-US" w:eastAsia="zh-CN"/>
        </w:rPr>
      </w:pPr>
      <w:r>
        <w:rPr>
          <w:rFonts w:hint="eastAsia"/>
          <w:lang w:val="en-US" w:eastAsia="zh-CN"/>
        </w:rPr>
        <w:t>运维内容</w:t>
      </w:r>
    </w:p>
    <w:p w14:paraId="4F9CBD32">
      <w:pPr>
        <w:pStyle w:val="66"/>
        <w:rPr>
          <w:rFonts w:hint="eastAsia"/>
          <w:lang w:val="en-US" w:eastAsia="zh-CN"/>
        </w:rPr>
      </w:pPr>
      <w:r>
        <w:rPr>
          <w:rFonts w:hint="eastAsia"/>
          <w:lang w:val="en-US" w:eastAsia="zh-CN"/>
        </w:rPr>
        <w:t>日常运维应包含以下内容：</w:t>
      </w:r>
    </w:p>
    <w:p w14:paraId="26EEC55E">
      <w:pPr>
        <w:pStyle w:val="175"/>
        <w:bidi w:val="0"/>
        <w:ind w:left="851" w:leftChars="0" w:hanging="426" w:firstLineChars="0"/>
        <w:rPr>
          <w:rFonts w:hint="default"/>
          <w:lang w:val="en-US" w:eastAsia="zh-CN"/>
        </w:rPr>
      </w:pPr>
      <w:r>
        <w:rPr>
          <w:rFonts w:hint="default"/>
          <w:lang w:val="en-US" w:eastAsia="zh-CN"/>
        </w:rPr>
        <w:t>检查设备柜体外观、柜门、门锁及各类标识完好完好齐全，设备无变形、破损、松动等缺陷</w:t>
      </w:r>
      <w:r>
        <w:rPr>
          <w:rFonts w:hint="eastAsia"/>
          <w:lang w:val="en-US" w:eastAsia="zh-CN"/>
        </w:rPr>
        <w:t>；</w:t>
      </w:r>
    </w:p>
    <w:p w14:paraId="4707E4E4">
      <w:pPr>
        <w:pStyle w:val="175"/>
        <w:bidi w:val="0"/>
        <w:ind w:left="851" w:leftChars="0" w:hanging="426" w:firstLineChars="0"/>
        <w:rPr>
          <w:rFonts w:hint="default"/>
          <w:lang w:val="en-US" w:eastAsia="zh-CN"/>
        </w:rPr>
      </w:pPr>
      <w:r>
        <w:rPr>
          <w:rFonts w:hint="default"/>
          <w:lang w:val="en-US" w:eastAsia="zh-CN"/>
        </w:rPr>
        <w:t>观测设备运行工况，排查是否存在异响、异味、异常温升、放电痕迹等异常现象</w:t>
      </w:r>
      <w:r>
        <w:rPr>
          <w:rFonts w:hint="eastAsia"/>
          <w:lang w:val="en-US" w:eastAsia="zh-CN"/>
        </w:rPr>
        <w:t>；</w:t>
      </w:r>
    </w:p>
    <w:p w14:paraId="66EB6425">
      <w:pPr>
        <w:pStyle w:val="175"/>
        <w:bidi w:val="0"/>
        <w:ind w:left="851" w:leftChars="0" w:hanging="426" w:firstLineChars="0"/>
        <w:rPr>
          <w:rFonts w:hint="default"/>
          <w:lang w:val="en-US" w:eastAsia="zh-CN"/>
        </w:rPr>
      </w:pPr>
      <w:r>
        <w:rPr>
          <w:rFonts w:hint="default"/>
          <w:lang w:val="en-US" w:eastAsia="zh-CN"/>
        </w:rPr>
        <w:t>核查仪表、指示灯、人机交互显示屏等装置运行显示状态正常、数据无误</w:t>
      </w:r>
      <w:r>
        <w:rPr>
          <w:rFonts w:hint="eastAsia"/>
          <w:lang w:val="en-US" w:eastAsia="zh-CN"/>
        </w:rPr>
        <w:t>；</w:t>
      </w:r>
    </w:p>
    <w:p w14:paraId="2DEDD9F0">
      <w:pPr>
        <w:pStyle w:val="175"/>
        <w:bidi w:val="0"/>
        <w:ind w:left="851" w:leftChars="0" w:hanging="426" w:firstLineChars="0"/>
        <w:rPr>
          <w:rFonts w:hint="default"/>
          <w:lang w:val="en-US" w:eastAsia="zh-CN"/>
        </w:rPr>
      </w:pPr>
      <w:r>
        <w:rPr>
          <w:rFonts w:hint="default"/>
          <w:lang w:val="en-US" w:eastAsia="zh-CN"/>
        </w:rPr>
        <w:t>检查接线端子、母排、断路器、接触器、继电器等关键元器件，无过热、变色、烧蚀及损伤问题</w:t>
      </w:r>
      <w:r>
        <w:rPr>
          <w:rFonts w:hint="eastAsia"/>
          <w:lang w:val="en-US" w:eastAsia="zh-CN"/>
        </w:rPr>
        <w:t>；</w:t>
      </w:r>
    </w:p>
    <w:p w14:paraId="79E1AFD8">
      <w:pPr>
        <w:pStyle w:val="175"/>
        <w:bidi w:val="0"/>
        <w:ind w:left="851" w:leftChars="0" w:hanging="426" w:firstLineChars="0"/>
        <w:rPr>
          <w:rFonts w:hint="default"/>
          <w:lang w:val="en-US" w:eastAsia="zh-CN"/>
        </w:rPr>
      </w:pPr>
      <w:r>
        <w:rPr>
          <w:rFonts w:hint="default"/>
          <w:lang w:val="en-US" w:eastAsia="zh-CN"/>
        </w:rPr>
        <w:t>及时清理设备表面积尘与杂物，保持柜体内部及外部环境整洁干净。</w:t>
      </w:r>
    </w:p>
    <w:p w14:paraId="727C44F2">
      <w:pPr>
        <w:pStyle w:val="65"/>
        <w:bidi w:val="0"/>
        <w:rPr>
          <w:rFonts w:hint="default"/>
          <w:lang w:val="en-US" w:eastAsia="zh-CN"/>
        </w:rPr>
      </w:pPr>
      <w:r>
        <w:rPr>
          <w:rFonts w:hint="eastAsia"/>
          <w:lang w:val="en-US" w:eastAsia="zh-CN"/>
        </w:rPr>
        <w:t>运维要求</w:t>
      </w:r>
    </w:p>
    <w:p w14:paraId="531913EA">
      <w:pPr>
        <w:pStyle w:val="66"/>
        <w:rPr>
          <w:rFonts w:hint="default"/>
          <w:lang w:val="en-US" w:eastAsia="zh-CN"/>
        </w:rPr>
      </w:pPr>
      <w:r>
        <w:rPr>
          <w:rFonts w:hint="default"/>
          <w:lang w:val="en-US" w:eastAsia="zh-CN"/>
        </w:rPr>
        <w:t>巡检过程中发现设备异常隐患应及时记录，并按管理流程逐级上报；遇紧急故障及突发事件，应优先采取应急处置措施，防范风险扩大。</w:t>
      </w:r>
    </w:p>
    <w:p w14:paraId="46C19877">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定期维护</w:t>
      </w:r>
    </w:p>
    <w:p w14:paraId="11397DA4">
      <w:pPr>
        <w:pStyle w:val="65"/>
        <w:bidi w:val="0"/>
        <w:rPr>
          <w:rFonts w:hint="eastAsia"/>
          <w:lang w:val="en-US" w:eastAsia="zh-CN"/>
        </w:rPr>
      </w:pPr>
      <w:r>
        <w:rPr>
          <w:rFonts w:hint="eastAsia"/>
          <w:lang w:val="en-US" w:eastAsia="zh-CN"/>
        </w:rPr>
        <w:t>维护周期</w:t>
      </w:r>
    </w:p>
    <w:p w14:paraId="44F78D39">
      <w:pPr>
        <w:pStyle w:val="66"/>
        <w:rPr>
          <w:rFonts w:hint="eastAsia"/>
          <w:lang w:val="en-US" w:eastAsia="zh-CN"/>
        </w:rPr>
      </w:pPr>
      <w:r>
        <w:rPr>
          <w:rFonts w:hint="eastAsia"/>
          <w:lang w:val="en-US" w:eastAsia="zh-CN"/>
        </w:rPr>
        <w:t>定期维护工作应每三个月组织开展不少于一次，严格按既定维护方案逐项实施。</w:t>
      </w:r>
    </w:p>
    <w:p w14:paraId="3DC0FFF7">
      <w:pPr>
        <w:pStyle w:val="65"/>
        <w:bidi w:val="0"/>
        <w:rPr>
          <w:rFonts w:hint="eastAsia"/>
          <w:lang w:val="en-US" w:eastAsia="zh-CN"/>
        </w:rPr>
      </w:pPr>
      <w:r>
        <w:rPr>
          <w:rFonts w:hint="eastAsia"/>
          <w:lang w:val="en-US" w:eastAsia="zh-CN"/>
        </w:rPr>
        <w:t>维护内容</w:t>
      </w:r>
    </w:p>
    <w:p w14:paraId="3EAD3037">
      <w:pPr>
        <w:pStyle w:val="66"/>
        <w:rPr>
          <w:rFonts w:hint="eastAsia"/>
          <w:lang w:val="en-US" w:eastAsia="zh-CN"/>
        </w:rPr>
      </w:pPr>
      <w:r>
        <w:rPr>
          <w:rFonts w:hint="eastAsia"/>
          <w:lang w:val="en-US" w:eastAsia="zh-CN"/>
        </w:rPr>
        <w:t>定期维护工作应包含以下内容：</w:t>
      </w:r>
    </w:p>
    <w:p w14:paraId="762BAA32">
      <w:pPr>
        <w:pStyle w:val="175"/>
        <w:numPr>
          <w:numId w:val="34"/>
        </w:numPr>
        <w:bidi w:val="0"/>
        <w:ind w:left="851" w:leftChars="0" w:hanging="426" w:firstLineChars="0"/>
        <w:rPr>
          <w:rFonts w:hint="default"/>
          <w:lang w:val="en-US" w:eastAsia="zh-CN"/>
        </w:rPr>
      </w:pPr>
      <w:r>
        <w:rPr>
          <w:rFonts w:hint="default"/>
          <w:lang w:val="en-US" w:eastAsia="zh-CN"/>
        </w:rPr>
        <w:t>对全部接线端子、母排连接螺栓及接地螺栓逐一紧固，消除连接松动类安全隐患</w:t>
      </w:r>
      <w:r>
        <w:rPr>
          <w:rFonts w:hint="eastAsia"/>
          <w:lang w:val="en-US" w:eastAsia="zh-CN"/>
        </w:rPr>
        <w:t>；</w:t>
      </w:r>
    </w:p>
    <w:p w14:paraId="3D12B0ED">
      <w:pPr>
        <w:pStyle w:val="175"/>
        <w:numPr>
          <w:numId w:val="34"/>
        </w:numPr>
        <w:bidi w:val="0"/>
        <w:ind w:left="851" w:leftChars="0" w:hanging="426" w:firstLineChars="0"/>
        <w:rPr>
          <w:rFonts w:hint="default"/>
          <w:lang w:val="en-US" w:eastAsia="zh-CN"/>
        </w:rPr>
      </w:pPr>
      <w:r>
        <w:rPr>
          <w:rFonts w:hint="default"/>
          <w:lang w:val="en-US" w:eastAsia="zh-CN"/>
        </w:rPr>
        <w:t>清理柜内空间、元器件表面及通风通道积尘杂物，核查设备散热结构与通风条件是否良好</w:t>
      </w:r>
      <w:r>
        <w:rPr>
          <w:rFonts w:hint="eastAsia"/>
          <w:lang w:val="en-US" w:eastAsia="zh-CN"/>
        </w:rPr>
        <w:t>；</w:t>
      </w:r>
    </w:p>
    <w:p w14:paraId="280F205C">
      <w:pPr>
        <w:pStyle w:val="175"/>
        <w:numPr>
          <w:numId w:val="34"/>
        </w:numPr>
        <w:bidi w:val="0"/>
        <w:ind w:left="851" w:leftChars="0" w:hanging="426" w:firstLineChars="0"/>
        <w:rPr>
          <w:rFonts w:hint="default"/>
          <w:lang w:val="en-US" w:eastAsia="zh-CN"/>
        </w:rPr>
      </w:pPr>
      <w:r>
        <w:rPr>
          <w:rFonts w:hint="default"/>
          <w:lang w:val="en-US" w:eastAsia="zh-CN"/>
        </w:rPr>
        <w:t>检查各类开关、断路器、接触器的机械动作可靠性，完成分、合闸操作功能试验</w:t>
      </w:r>
      <w:r>
        <w:rPr>
          <w:rFonts w:hint="eastAsia"/>
          <w:lang w:val="en-US" w:eastAsia="zh-CN"/>
        </w:rPr>
        <w:t>；</w:t>
      </w:r>
    </w:p>
    <w:p w14:paraId="2AA0EF95">
      <w:pPr>
        <w:pStyle w:val="175"/>
        <w:numPr>
          <w:numId w:val="34"/>
        </w:numPr>
        <w:bidi w:val="0"/>
        <w:ind w:left="851" w:leftChars="0" w:hanging="426" w:firstLineChars="0"/>
        <w:rPr>
          <w:rFonts w:hint="default"/>
          <w:lang w:val="en-US" w:eastAsia="zh-CN"/>
        </w:rPr>
      </w:pPr>
      <w:r>
        <w:rPr>
          <w:rFonts w:hint="default"/>
          <w:lang w:val="en-US" w:eastAsia="zh-CN"/>
        </w:rPr>
        <w:t>核验保护装置整定值与动作逻辑配置准确合规，设备无异常告警信号</w:t>
      </w:r>
      <w:r>
        <w:rPr>
          <w:rFonts w:hint="eastAsia"/>
          <w:lang w:val="en-US" w:eastAsia="zh-CN"/>
        </w:rPr>
        <w:t>；</w:t>
      </w:r>
    </w:p>
    <w:p w14:paraId="0294137B">
      <w:pPr>
        <w:pStyle w:val="175"/>
        <w:numPr>
          <w:numId w:val="34"/>
        </w:numPr>
        <w:bidi w:val="0"/>
        <w:ind w:left="851" w:leftChars="0" w:hanging="426" w:firstLineChars="0"/>
        <w:rPr>
          <w:rFonts w:hint="default"/>
          <w:lang w:val="en-US" w:eastAsia="zh-CN"/>
        </w:rPr>
      </w:pPr>
      <w:r>
        <w:rPr>
          <w:rFonts w:hint="default"/>
          <w:lang w:val="en-US" w:eastAsia="zh-CN"/>
        </w:rPr>
        <w:t>按规范检测绝缘电阻、接地电阻等关键指标，检测结果应符合安全技术要求</w:t>
      </w:r>
      <w:r>
        <w:rPr>
          <w:rFonts w:hint="eastAsia"/>
          <w:lang w:val="en-US" w:eastAsia="zh-CN"/>
        </w:rPr>
        <w:t>；</w:t>
      </w:r>
    </w:p>
    <w:p w14:paraId="239403FF">
      <w:pPr>
        <w:pStyle w:val="175"/>
        <w:numPr>
          <w:numId w:val="34"/>
        </w:numPr>
        <w:bidi w:val="0"/>
        <w:ind w:left="851" w:leftChars="0" w:hanging="426" w:firstLineChars="0"/>
        <w:rPr>
          <w:rFonts w:hint="default"/>
          <w:lang w:val="en-US" w:eastAsia="zh-CN"/>
        </w:rPr>
      </w:pPr>
      <w:r>
        <w:rPr>
          <w:rFonts w:hint="default"/>
          <w:lang w:val="en-US" w:eastAsia="zh-CN"/>
        </w:rPr>
        <w:t>检查电缆、导线绝缘保护层完整完好，不得存在老化、开裂、破损等缺陷。</w:t>
      </w:r>
    </w:p>
    <w:p w14:paraId="1A262053">
      <w:pPr>
        <w:pStyle w:val="65"/>
        <w:bidi w:val="0"/>
        <w:rPr>
          <w:rFonts w:hint="default"/>
          <w:lang w:val="en-US" w:eastAsia="zh-CN"/>
        </w:rPr>
      </w:pPr>
      <w:r>
        <w:rPr>
          <w:rFonts w:hint="eastAsia"/>
          <w:lang w:val="en-US" w:eastAsia="zh-CN"/>
        </w:rPr>
        <w:t>差异化要求</w:t>
      </w:r>
    </w:p>
    <w:p w14:paraId="558FCD03">
      <w:pPr>
        <w:pStyle w:val="66"/>
        <w:rPr>
          <w:rFonts w:hint="default"/>
          <w:lang w:val="en-US" w:eastAsia="zh-CN"/>
        </w:rPr>
      </w:pPr>
      <w:r>
        <w:rPr>
          <w:rFonts w:hint="default"/>
          <w:lang w:val="en-US" w:eastAsia="zh-CN"/>
        </w:rPr>
        <w:t>针对关键设备、重要负荷供电设备，应适度提高维护作业频次，深化专项检测与试验内容，强化设备运行保障能力。</w:t>
      </w:r>
    </w:p>
    <w:p w14:paraId="454A751C">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专项维护</w:t>
      </w:r>
    </w:p>
    <w:p w14:paraId="31F4EB54">
      <w:pPr>
        <w:pStyle w:val="65"/>
        <w:bidi w:val="0"/>
        <w:rPr>
          <w:rFonts w:hint="default"/>
          <w:lang w:val="en-US" w:eastAsia="zh-CN"/>
        </w:rPr>
      </w:pPr>
      <w:r>
        <w:rPr>
          <w:rFonts w:hint="eastAsia"/>
          <w:lang w:val="en-US" w:eastAsia="zh-CN"/>
        </w:rPr>
        <w:t>启动条件</w:t>
      </w:r>
    </w:p>
    <w:p w14:paraId="441A5E5F">
      <w:pPr>
        <w:pStyle w:val="66"/>
        <w:rPr>
          <w:rFonts w:hint="eastAsia"/>
          <w:lang w:val="en-US" w:eastAsia="zh-CN"/>
        </w:rPr>
      </w:pPr>
      <w:r>
        <w:rPr>
          <w:rFonts w:hint="eastAsia"/>
          <w:lang w:val="en-US" w:eastAsia="zh-CN"/>
        </w:rPr>
        <w:t>发生以下情况时，应启动专项维护：</w:t>
      </w:r>
    </w:p>
    <w:p w14:paraId="10AE91BB">
      <w:pPr>
        <w:pStyle w:val="175"/>
        <w:numPr>
          <w:numId w:val="35"/>
        </w:numPr>
        <w:bidi w:val="0"/>
        <w:ind w:left="851" w:leftChars="0" w:hanging="426" w:firstLineChars="0"/>
        <w:rPr>
          <w:rFonts w:hint="default"/>
          <w:lang w:val="en-US" w:eastAsia="zh-CN"/>
        </w:rPr>
      </w:pPr>
      <w:r>
        <w:rPr>
          <w:rFonts w:hint="default"/>
          <w:lang w:val="en-US" w:eastAsia="zh-CN"/>
        </w:rPr>
        <w:t>设备遭受短路、雷击、浸水、火灾等异常工况及特殊事件影响后</w:t>
      </w:r>
      <w:r>
        <w:rPr>
          <w:rFonts w:hint="eastAsia"/>
          <w:lang w:val="en-US" w:eastAsia="zh-CN"/>
        </w:rPr>
        <w:t>；</w:t>
      </w:r>
    </w:p>
    <w:p w14:paraId="44245727">
      <w:pPr>
        <w:pStyle w:val="175"/>
        <w:numPr>
          <w:numId w:val="35"/>
        </w:numPr>
        <w:bidi w:val="0"/>
        <w:ind w:left="851" w:leftChars="0" w:hanging="426" w:firstLineChars="0"/>
        <w:rPr>
          <w:rFonts w:hint="default"/>
          <w:lang w:val="en-US" w:eastAsia="zh-CN"/>
        </w:rPr>
      </w:pPr>
      <w:r>
        <w:rPr>
          <w:rFonts w:hint="default"/>
          <w:lang w:val="en-US" w:eastAsia="zh-CN"/>
        </w:rPr>
        <w:t>设备长期停运时长超过三个月，恢复投运前</w:t>
      </w:r>
      <w:r>
        <w:rPr>
          <w:rFonts w:hint="eastAsia"/>
          <w:lang w:val="en-US" w:eastAsia="zh-CN"/>
        </w:rPr>
        <w:t>；</w:t>
      </w:r>
    </w:p>
    <w:p w14:paraId="56F111D8">
      <w:pPr>
        <w:pStyle w:val="175"/>
        <w:numPr>
          <w:numId w:val="35"/>
        </w:numPr>
        <w:bidi w:val="0"/>
        <w:ind w:left="851" w:leftChars="0" w:hanging="426" w:firstLineChars="0"/>
        <w:rPr>
          <w:rFonts w:hint="default"/>
          <w:lang w:val="en-US" w:eastAsia="zh-CN"/>
        </w:rPr>
      </w:pPr>
      <w:r>
        <w:rPr>
          <w:rFonts w:hint="default"/>
          <w:lang w:val="en-US" w:eastAsia="zh-CN"/>
        </w:rPr>
        <w:t>完成设备改造、容量扩容、位置迁移等变更作业后</w:t>
      </w:r>
      <w:r>
        <w:rPr>
          <w:rFonts w:hint="eastAsia"/>
          <w:lang w:val="en-US" w:eastAsia="zh-CN"/>
        </w:rPr>
        <w:t>；</w:t>
      </w:r>
    </w:p>
    <w:p w14:paraId="07AF3BBE">
      <w:pPr>
        <w:pStyle w:val="175"/>
        <w:numPr>
          <w:numId w:val="35"/>
        </w:numPr>
        <w:bidi w:val="0"/>
        <w:ind w:left="851" w:leftChars="0" w:hanging="426" w:firstLineChars="0"/>
        <w:rPr>
          <w:rFonts w:hint="default"/>
          <w:lang w:val="en-US" w:eastAsia="zh-CN"/>
        </w:rPr>
      </w:pPr>
      <w:r>
        <w:rPr>
          <w:rFonts w:hint="default"/>
          <w:lang w:val="en-US" w:eastAsia="zh-CN"/>
        </w:rPr>
        <w:t>智能监测系统反馈设备存在异常工况、预警信息时</w:t>
      </w:r>
      <w:r>
        <w:rPr>
          <w:rFonts w:hint="eastAsia"/>
          <w:lang w:val="en-US" w:eastAsia="zh-CN"/>
        </w:rPr>
        <w:t>。</w:t>
      </w:r>
    </w:p>
    <w:p w14:paraId="0C2692FA">
      <w:pPr>
        <w:pStyle w:val="65"/>
        <w:bidi w:val="0"/>
        <w:rPr>
          <w:rFonts w:hint="default"/>
          <w:lang w:val="en-US" w:eastAsia="zh-CN"/>
        </w:rPr>
      </w:pPr>
      <w:r>
        <w:rPr>
          <w:rFonts w:hint="eastAsia"/>
          <w:lang w:val="en-US" w:eastAsia="zh-CN"/>
        </w:rPr>
        <w:t>维护内容</w:t>
      </w:r>
    </w:p>
    <w:p w14:paraId="203B65AE">
      <w:pPr>
        <w:pStyle w:val="66"/>
        <w:rPr>
          <w:rFonts w:hint="eastAsia"/>
          <w:lang w:val="en-US" w:eastAsia="zh-CN"/>
        </w:rPr>
      </w:pPr>
      <w:r>
        <w:rPr>
          <w:rFonts w:hint="eastAsia"/>
          <w:lang w:val="en-US" w:eastAsia="zh-CN"/>
        </w:rPr>
        <w:t>专项维护工作应包含以下内容：</w:t>
      </w:r>
    </w:p>
    <w:p w14:paraId="10444578">
      <w:pPr>
        <w:pStyle w:val="175"/>
        <w:numPr>
          <w:numId w:val="36"/>
        </w:numPr>
        <w:bidi w:val="0"/>
        <w:ind w:left="851" w:leftChars="0" w:hanging="426" w:firstLineChars="0"/>
        <w:rPr>
          <w:rFonts w:hint="default"/>
          <w:lang w:val="en-US" w:eastAsia="zh-CN"/>
        </w:rPr>
      </w:pPr>
      <w:r>
        <w:rPr>
          <w:rFonts w:hint="default"/>
          <w:lang w:val="en-US" w:eastAsia="zh-CN"/>
        </w:rPr>
        <w:t>开展设备全面外观检查及绝缘性能检测，确认设备本体及部件完好、无损伤缺陷</w:t>
      </w:r>
      <w:r>
        <w:rPr>
          <w:rFonts w:hint="eastAsia"/>
          <w:lang w:val="en-US" w:eastAsia="zh-CN"/>
        </w:rPr>
        <w:t>；</w:t>
      </w:r>
    </w:p>
    <w:p w14:paraId="0A50DD32">
      <w:pPr>
        <w:pStyle w:val="175"/>
        <w:numPr>
          <w:numId w:val="36"/>
        </w:numPr>
        <w:bidi w:val="0"/>
        <w:ind w:left="851" w:leftChars="0" w:hanging="426" w:firstLineChars="0"/>
        <w:rPr>
          <w:rFonts w:hint="default"/>
          <w:lang w:val="en-US" w:eastAsia="zh-CN"/>
        </w:rPr>
      </w:pPr>
      <w:r>
        <w:rPr>
          <w:rFonts w:hint="default"/>
          <w:lang w:val="en-US" w:eastAsia="zh-CN"/>
        </w:rPr>
        <w:t>完成保护装置定值核对、机械传动试验及各项控制功能验证，确保运行逻辑正常</w:t>
      </w:r>
      <w:r>
        <w:rPr>
          <w:rFonts w:hint="eastAsia"/>
          <w:lang w:val="en-US" w:eastAsia="zh-CN"/>
        </w:rPr>
        <w:t>；</w:t>
      </w:r>
    </w:p>
    <w:p w14:paraId="20CB21B5">
      <w:pPr>
        <w:pStyle w:val="175"/>
        <w:numPr>
          <w:numId w:val="36"/>
        </w:numPr>
        <w:bidi w:val="0"/>
        <w:ind w:left="851" w:leftChars="0" w:hanging="426" w:firstLineChars="0"/>
        <w:rPr>
          <w:rFonts w:hint="default"/>
          <w:lang w:val="en-US" w:eastAsia="zh-CN"/>
        </w:rPr>
      </w:pPr>
      <w:r>
        <w:rPr>
          <w:rFonts w:hint="default"/>
          <w:lang w:val="en-US" w:eastAsia="zh-CN"/>
        </w:rPr>
        <w:t>对受潮、破损及失效部件，及时采取烘干、修复或更换处理，消除设备隐患</w:t>
      </w:r>
      <w:r>
        <w:rPr>
          <w:rFonts w:hint="eastAsia"/>
          <w:lang w:val="en-US" w:eastAsia="zh-CN"/>
        </w:rPr>
        <w:t>；</w:t>
      </w:r>
    </w:p>
    <w:p w14:paraId="3657888E">
      <w:pPr>
        <w:pStyle w:val="175"/>
        <w:numPr>
          <w:numId w:val="36"/>
        </w:numPr>
        <w:bidi w:val="0"/>
        <w:ind w:left="851" w:leftChars="0" w:hanging="426" w:firstLineChars="0"/>
        <w:rPr>
          <w:rFonts w:hint="default"/>
          <w:lang w:val="en-US" w:eastAsia="zh-CN"/>
        </w:rPr>
      </w:pPr>
      <w:r>
        <w:rPr>
          <w:rFonts w:hint="default"/>
          <w:lang w:val="en-US" w:eastAsia="zh-CN"/>
        </w:rPr>
        <w:t>严格遵循专项检修管理流程开展作业，并按规范完成检修质量验收工作。</w:t>
      </w:r>
    </w:p>
    <w:p w14:paraId="438BBD41">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运维安全要求</w:t>
      </w:r>
    </w:p>
    <w:p w14:paraId="76B6EC10">
      <w:pPr>
        <w:pStyle w:val="166"/>
        <w:bidi w:val="0"/>
        <w:rPr>
          <w:rFonts w:hint="eastAsia"/>
          <w:lang w:val="en-US" w:eastAsia="zh-CN"/>
        </w:rPr>
      </w:pPr>
      <w:r>
        <w:rPr>
          <w:rFonts w:hint="eastAsia"/>
          <w:lang w:val="en-US" w:eastAsia="zh-CN"/>
        </w:rPr>
        <w:t>作业人员须持证上岗，按规范佩戴并正确使用绝缘防护用品及安全防护器具。</w:t>
      </w:r>
    </w:p>
    <w:p w14:paraId="47EC6CFD">
      <w:pPr>
        <w:pStyle w:val="166"/>
        <w:bidi w:val="0"/>
        <w:rPr>
          <w:rFonts w:hint="eastAsia"/>
          <w:lang w:val="en-US" w:eastAsia="zh-CN"/>
        </w:rPr>
      </w:pPr>
      <w:r>
        <w:rPr>
          <w:rFonts w:hint="eastAsia"/>
          <w:lang w:val="en-US" w:eastAsia="zh-CN"/>
        </w:rPr>
        <w:t>带电作业仅限开展外观巡检、红外测温等非接触性检测项目，严禁违规开展接触式操作。</w:t>
      </w:r>
    </w:p>
    <w:p w14:paraId="16FF95D6">
      <w:pPr>
        <w:pStyle w:val="166"/>
        <w:bidi w:val="0"/>
        <w:rPr>
          <w:rFonts w:hint="eastAsia"/>
          <w:lang w:val="en-US" w:eastAsia="zh-CN"/>
        </w:rPr>
      </w:pPr>
      <w:r>
        <w:rPr>
          <w:rFonts w:hint="eastAsia"/>
          <w:lang w:val="en-US" w:eastAsia="zh-CN"/>
        </w:rPr>
        <w:t>现场维护作业应划定安全警示区域，落实专人全程监护，禁止单人独立开展危险作业。</w:t>
      </w:r>
    </w:p>
    <w:p w14:paraId="14241F4D">
      <w:pPr>
        <w:pStyle w:val="166"/>
        <w:bidi w:val="0"/>
        <w:rPr>
          <w:rFonts w:hint="eastAsia"/>
          <w:lang w:val="en-US" w:eastAsia="zh-CN"/>
        </w:rPr>
      </w:pPr>
      <w:r>
        <w:rPr>
          <w:rFonts w:hint="eastAsia"/>
          <w:lang w:val="en-US" w:eastAsia="zh-CN"/>
        </w:rPr>
        <w:t>维护作业完成后，经全面检查确认设备运行状态正常，方可恢复送电，并完整做好作业交接与过程记录。</w:t>
      </w:r>
    </w:p>
    <w:p w14:paraId="1B8DFEC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运维服务管理</w:t>
      </w:r>
    </w:p>
    <w:p w14:paraId="1002664C">
      <w:pPr>
        <w:pStyle w:val="166"/>
        <w:bidi w:val="0"/>
        <w:rPr>
          <w:rFonts w:hint="eastAsia"/>
          <w:lang w:val="en-US" w:eastAsia="zh-CN"/>
        </w:rPr>
      </w:pPr>
      <w:r>
        <w:rPr>
          <w:rFonts w:hint="eastAsia"/>
          <w:lang w:val="en-US" w:eastAsia="zh-CN"/>
        </w:rPr>
        <w:t>严格执行标准化运维服务管理流程，实行工单管理、验收管控、服务回访的统一化管理模式。</w:t>
      </w:r>
    </w:p>
    <w:p w14:paraId="70744A6E">
      <w:pPr>
        <w:pStyle w:val="166"/>
        <w:bidi w:val="0"/>
        <w:rPr>
          <w:rFonts w:hint="eastAsia"/>
          <w:lang w:val="en-US" w:eastAsia="zh-CN"/>
        </w:rPr>
      </w:pPr>
      <w:r>
        <w:rPr>
          <w:rFonts w:hint="eastAsia"/>
          <w:lang w:val="en-US" w:eastAsia="zh-CN"/>
        </w:rPr>
        <w:t>依托信息化管理手段，推行线上派单、现场签到、资料实时上传等管控方式，实现运维作业数字化、信息化管理。</w:t>
      </w:r>
    </w:p>
    <w:p w14:paraId="275409D7">
      <w:pPr>
        <w:pStyle w:val="166"/>
        <w:bidi w:val="0"/>
        <w:rPr>
          <w:rFonts w:hint="eastAsia"/>
          <w:lang w:val="en-US" w:eastAsia="zh-CN"/>
        </w:rPr>
      </w:pPr>
      <w:r>
        <w:rPr>
          <w:rFonts w:hint="eastAsia"/>
          <w:lang w:val="en-US" w:eastAsia="zh-CN"/>
        </w:rPr>
        <w:t>定期出具运维工作报告、隐患排查清单及整改优化建议，并按需提供年度运维实施方案，保障设备长效稳定运行。</w:t>
      </w:r>
    </w:p>
    <w:p w14:paraId="0907F2DF">
      <w:pPr>
        <w:pStyle w:val="166"/>
        <w:bidi w:val="0"/>
        <w:rPr>
          <w:rFonts w:hint="eastAsia"/>
          <w:lang w:val="en-US" w:eastAsia="zh-CN"/>
        </w:rPr>
      </w:pPr>
      <w:r>
        <w:rPr>
          <w:rFonts w:hint="eastAsia"/>
          <w:lang w:val="en-US" w:eastAsia="zh-CN"/>
        </w:rPr>
        <w:t>建立 7×24 小时全天候服务响应机制，及时处置各类设备异常问题，保障供电系统连续、安全、可靠运行。</w:t>
      </w:r>
    </w:p>
    <w:p w14:paraId="13B0F939">
      <w:pPr>
        <w:pStyle w:val="105"/>
        <w:spacing w:before="326" w:after="326"/>
        <w:rPr>
          <w:highlight w:val="none"/>
        </w:rPr>
      </w:pPr>
      <w:bookmarkStart w:id="60" w:name="_Toc23004"/>
      <w:r>
        <w:rPr>
          <w:rFonts w:hint="eastAsia"/>
          <w:highlight w:val="none"/>
          <w:lang w:val="en-US" w:eastAsia="zh-CN"/>
        </w:rPr>
        <w:t>安全检查要求</w:t>
      </w:r>
      <w:bookmarkEnd w:id="60"/>
    </w:p>
    <w:p w14:paraId="58FCA3FA">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基本规定</w:t>
      </w:r>
    </w:p>
    <w:p w14:paraId="7CA45AA9">
      <w:pPr>
        <w:pStyle w:val="166"/>
        <w:bidi w:val="0"/>
        <w:rPr>
          <w:rFonts w:hint="default"/>
          <w:lang w:val="en-US" w:eastAsia="zh-CN"/>
        </w:rPr>
      </w:pPr>
      <w:r>
        <w:rPr>
          <w:rFonts w:hint="default"/>
          <w:lang w:val="en-US" w:eastAsia="zh-CN"/>
        </w:rPr>
        <w:t>严格遵循安全第一、预防为主、标准统一、闭环管理的工作原则，落实电气 “五防” 安全管控措施，执行统一的安全检查管理流程。</w:t>
      </w:r>
    </w:p>
    <w:p w14:paraId="015F3338">
      <w:pPr>
        <w:pStyle w:val="166"/>
        <w:bidi w:val="0"/>
        <w:rPr>
          <w:rFonts w:hint="default"/>
          <w:lang w:val="en-US" w:eastAsia="zh-CN"/>
        </w:rPr>
      </w:pPr>
      <w:r>
        <w:rPr>
          <w:rFonts w:hint="default"/>
          <w:lang w:val="en-US" w:eastAsia="zh-CN"/>
        </w:rPr>
        <w:t>安全检查分为日常检查、定期检查及专项检查三类，检查周期应与设备运行维护周期有效衔接、协同实施。</w:t>
      </w:r>
    </w:p>
    <w:p w14:paraId="6A841EE7">
      <w:pPr>
        <w:pStyle w:val="166"/>
        <w:bidi w:val="0"/>
        <w:rPr>
          <w:rFonts w:hint="default"/>
          <w:lang w:val="en-US" w:eastAsia="zh-CN"/>
        </w:rPr>
      </w:pPr>
      <w:r>
        <w:rPr>
          <w:rFonts w:hint="default"/>
          <w:lang w:val="en-US" w:eastAsia="zh-CN"/>
        </w:rPr>
        <w:t>检查作业人员应持证上岗，检测仪器设备经检定校准且状态合格，各类检查记录应完整留存并统一归档管理。</w:t>
      </w:r>
    </w:p>
    <w:p w14:paraId="22E9DCA2">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检查内容</w:t>
      </w:r>
    </w:p>
    <w:p w14:paraId="643AC0C4">
      <w:pPr>
        <w:pStyle w:val="65"/>
        <w:bidi w:val="0"/>
        <w:rPr>
          <w:rFonts w:hint="default"/>
          <w:lang w:val="en-US" w:eastAsia="zh-CN"/>
        </w:rPr>
      </w:pPr>
      <w:r>
        <w:rPr>
          <w:rFonts w:hint="eastAsia"/>
          <w:lang w:val="en-US" w:eastAsia="zh-CN"/>
        </w:rPr>
        <w:t>外观检查</w:t>
      </w:r>
    </w:p>
    <w:p w14:paraId="0269F050">
      <w:pPr>
        <w:pStyle w:val="165"/>
        <w:bidi w:val="0"/>
        <w:rPr>
          <w:rFonts w:hint="default"/>
          <w:lang w:val="en-US" w:eastAsia="zh-CN"/>
        </w:rPr>
      </w:pPr>
      <w:r>
        <w:rPr>
          <w:rFonts w:hint="default"/>
          <w:lang w:val="en-US" w:eastAsia="zh-CN"/>
        </w:rPr>
        <w:t>设备柜体、柜门及密封结构应完好无损，无变形、锈蚀、破损及渗漏现象。</w:t>
      </w:r>
    </w:p>
    <w:p w14:paraId="2F5BDFF6">
      <w:pPr>
        <w:pStyle w:val="165"/>
        <w:bidi w:val="0"/>
        <w:rPr>
          <w:rFonts w:hint="default"/>
          <w:lang w:val="en-US" w:eastAsia="zh-CN"/>
        </w:rPr>
      </w:pPr>
      <w:r>
        <w:rPr>
          <w:rFonts w:hint="default"/>
          <w:lang w:val="en-US" w:eastAsia="zh-CN"/>
        </w:rPr>
        <w:t>设备铭牌、安全警示标识、系统图、接线图纸应配置齐全、字迹清晰，张贴布设规范统一。</w:t>
      </w:r>
    </w:p>
    <w:p w14:paraId="35ACCD07">
      <w:pPr>
        <w:pStyle w:val="165"/>
        <w:bidi w:val="0"/>
        <w:rPr>
          <w:rFonts w:hint="default"/>
          <w:lang w:val="en-US" w:eastAsia="zh-CN"/>
        </w:rPr>
      </w:pPr>
      <w:r>
        <w:rPr>
          <w:rFonts w:hint="default"/>
          <w:lang w:val="en-US" w:eastAsia="zh-CN"/>
        </w:rPr>
        <w:t>设备周边环境保持整洁，无杂物、积水及危险物品堆积，通风、散热、除湿工况运行正常。</w:t>
      </w:r>
    </w:p>
    <w:p w14:paraId="6C51CC3D">
      <w:pPr>
        <w:pStyle w:val="165"/>
        <w:bidi w:val="0"/>
        <w:rPr>
          <w:rFonts w:hint="default"/>
          <w:lang w:val="en-US" w:eastAsia="zh-CN"/>
        </w:rPr>
      </w:pPr>
      <w:r>
        <w:rPr>
          <w:rFonts w:hint="default"/>
          <w:lang w:val="en-US" w:eastAsia="zh-CN"/>
        </w:rPr>
        <w:t>孔洞封堵措施与电缆护套完好有效，设备无鼠害、虫害侵扰隐患。</w:t>
      </w:r>
    </w:p>
    <w:p w14:paraId="7009F5B3">
      <w:pPr>
        <w:pStyle w:val="165"/>
        <w:bidi w:val="0"/>
        <w:rPr>
          <w:rFonts w:hint="default"/>
          <w:lang w:val="en-US" w:eastAsia="zh-CN"/>
        </w:rPr>
      </w:pPr>
      <w:r>
        <w:rPr>
          <w:rFonts w:hint="default"/>
          <w:lang w:val="en-US" w:eastAsia="zh-CN"/>
        </w:rPr>
        <w:t>接地部位连接可靠牢固，接地标识设置规范、清晰可辨。</w:t>
      </w:r>
    </w:p>
    <w:p w14:paraId="23539839">
      <w:pPr>
        <w:pStyle w:val="65"/>
        <w:bidi w:val="0"/>
        <w:rPr>
          <w:rFonts w:hint="default"/>
          <w:lang w:val="en-US" w:eastAsia="zh-CN"/>
        </w:rPr>
      </w:pPr>
      <w:r>
        <w:rPr>
          <w:rFonts w:hint="eastAsia"/>
          <w:lang w:val="en-US" w:eastAsia="zh-CN"/>
        </w:rPr>
        <w:t>电气性能检查</w:t>
      </w:r>
    </w:p>
    <w:p w14:paraId="1957CF95">
      <w:pPr>
        <w:pStyle w:val="165"/>
        <w:bidi w:val="0"/>
        <w:rPr>
          <w:rFonts w:hint="default"/>
          <w:lang w:val="en-US" w:eastAsia="zh-CN"/>
        </w:rPr>
      </w:pPr>
      <w:r>
        <w:rPr>
          <w:rFonts w:hint="default"/>
          <w:lang w:val="en-US" w:eastAsia="zh-CN"/>
        </w:rPr>
        <w:t>设备运行电压、电流、频率及负荷平衡状态正常，严禁出现过载、缺相等异常工况。</w:t>
      </w:r>
    </w:p>
    <w:p w14:paraId="19A6CA3A">
      <w:pPr>
        <w:pStyle w:val="165"/>
        <w:bidi w:val="0"/>
        <w:rPr>
          <w:rFonts w:hint="default"/>
          <w:lang w:val="en-US" w:eastAsia="zh-CN"/>
        </w:rPr>
      </w:pPr>
      <w:r>
        <w:rPr>
          <w:rFonts w:hint="default"/>
          <w:lang w:val="en-US" w:eastAsia="zh-CN"/>
        </w:rPr>
        <w:t>开展红外温度检测，母排、接线端子、电气触头无过热、变色及烧蚀缺陷。</w:t>
      </w:r>
    </w:p>
    <w:p w14:paraId="6FEF46A8">
      <w:pPr>
        <w:pStyle w:val="165"/>
        <w:bidi w:val="0"/>
        <w:rPr>
          <w:rFonts w:hint="default"/>
          <w:lang w:val="en-US" w:eastAsia="zh-CN"/>
        </w:rPr>
      </w:pPr>
      <w:r>
        <w:rPr>
          <w:rFonts w:hint="default"/>
          <w:lang w:val="en-US" w:eastAsia="zh-CN"/>
        </w:rPr>
        <w:t>绝缘电阻检测数值符合规范要求，线路及元器件无老化、受潮、击穿等问题。</w:t>
      </w:r>
    </w:p>
    <w:p w14:paraId="0762515D">
      <w:pPr>
        <w:pStyle w:val="165"/>
        <w:bidi w:val="0"/>
        <w:rPr>
          <w:rFonts w:hint="default"/>
          <w:lang w:val="en-US" w:eastAsia="zh-CN"/>
        </w:rPr>
      </w:pPr>
      <w:r>
        <w:rPr>
          <w:rFonts w:hint="default"/>
          <w:lang w:val="en-US" w:eastAsia="zh-CN"/>
        </w:rPr>
        <w:t>保护装置选型适配现场工况，整定值设置准确，保护动作灵敏可靠。</w:t>
      </w:r>
    </w:p>
    <w:p w14:paraId="431E0DEA">
      <w:pPr>
        <w:pStyle w:val="165"/>
        <w:bidi w:val="0"/>
        <w:rPr>
          <w:rFonts w:hint="default"/>
          <w:lang w:val="en-US" w:eastAsia="zh-CN"/>
        </w:rPr>
      </w:pPr>
      <w:r>
        <w:rPr>
          <w:rFonts w:hint="default"/>
          <w:lang w:val="en-US" w:eastAsia="zh-CN"/>
        </w:rPr>
        <w:t>控制回路、信号回路及保护回路运行正常，各项联锁保护功能有效投运。</w:t>
      </w:r>
    </w:p>
    <w:p w14:paraId="37DAC110">
      <w:pPr>
        <w:pStyle w:val="165"/>
        <w:bidi w:val="0"/>
        <w:rPr>
          <w:rFonts w:hint="default"/>
          <w:lang w:val="en-US" w:eastAsia="zh-CN"/>
        </w:rPr>
      </w:pPr>
      <w:r>
        <w:rPr>
          <w:rFonts w:hint="default"/>
          <w:lang w:val="en-US" w:eastAsia="zh-CN"/>
        </w:rPr>
        <w:t>接地电阻满足技术标准规定，接地连接牢固可靠，接地系统运行合规。</w:t>
      </w:r>
    </w:p>
    <w:p w14:paraId="49FB11A8">
      <w:pPr>
        <w:pStyle w:val="65"/>
        <w:bidi w:val="0"/>
        <w:rPr>
          <w:rFonts w:hint="default"/>
          <w:lang w:val="en-US" w:eastAsia="zh-CN"/>
        </w:rPr>
      </w:pPr>
      <w:r>
        <w:rPr>
          <w:rFonts w:hint="default"/>
          <w:lang w:val="en-US" w:eastAsia="zh-CN"/>
        </w:rPr>
        <w:t>安全防护验证</w:t>
      </w:r>
    </w:p>
    <w:p w14:paraId="7F810C18">
      <w:pPr>
        <w:pStyle w:val="165"/>
        <w:bidi w:val="0"/>
        <w:rPr>
          <w:rFonts w:hint="default"/>
          <w:lang w:val="en-US" w:eastAsia="zh-CN"/>
        </w:rPr>
      </w:pPr>
      <w:r>
        <w:rPr>
          <w:rFonts w:hint="default"/>
          <w:lang w:val="en-US" w:eastAsia="zh-CN"/>
        </w:rPr>
        <w:t>电气间隙与爬电距离应符合现行标准规定，杜绝短路、异常触碰等安全风险。</w:t>
      </w:r>
    </w:p>
    <w:p w14:paraId="4D9F3596">
      <w:pPr>
        <w:pStyle w:val="165"/>
        <w:bidi w:val="0"/>
        <w:rPr>
          <w:rFonts w:hint="default"/>
          <w:lang w:val="en-US" w:eastAsia="zh-CN"/>
        </w:rPr>
      </w:pPr>
      <w:r>
        <w:rPr>
          <w:rFonts w:hint="default"/>
          <w:lang w:val="en-US" w:eastAsia="zh-CN"/>
        </w:rPr>
        <w:t>绝缘隔板、隔弧罩、防护外罩等防护构件应完好完好，无碳化、破损及缺失缺陷。</w:t>
      </w:r>
    </w:p>
    <w:p w14:paraId="5F768AF4">
      <w:pPr>
        <w:pStyle w:val="165"/>
        <w:bidi w:val="0"/>
        <w:rPr>
          <w:rFonts w:hint="default"/>
          <w:lang w:val="en-US" w:eastAsia="zh-CN"/>
        </w:rPr>
      </w:pPr>
      <w:r>
        <w:rPr>
          <w:rFonts w:hint="default"/>
          <w:lang w:val="en-US" w:eastAsia="zh-CN"/>
        </w:rPr>
        <w:t>带电部位应采取有效隔离防护措施，严禁带电体裸露，消除人身触碰风险。</w:t>
      </w:r>
    </w:p>
    <w:p w14:paraId="6B6790B7">
      <w:pPr>
        <w:pStyle w:val="165"/>
        <w:bidi w:val="0"/>
        <w:rPr>
          <w:rFonts w:hint="default"/>
          <w:lang w:val="en-US" w:eastAsia="zh-CN"/>
        </w:rPr>
      </w:pPr>
      <w:r>
        <w:rPr>
          <w:rFonts w:hint="default"/>
          <w:lang w:val="en-US" w:eastAsia="zh-CN"/>
        </w:rPr>
        <w:t>现场消防设施、应急照明配置及安全疏散通道设置，均应满足安全管理规范要求。</w:t>
      </w:r>
    </w:p>
    <w:p w14:paraId="7B122548">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检查方法与判定</w:t>
      </w:r>
    </w:p>
    <w:p w14:paraId="06C3E12C">
      <w:pPr>
        <w:pStyle w:val="166"/>
        <w:bidi w:val="0"/>
        <w:rPr>
          <w:rFonts w:hint="default"/>
          <w:lang w:val="en-US" w:eastAsia="zh-CN"/>
        </w:rPr>
      </w:pPr>
      <w:r>
        <w:rPr>
          <w:rFonts w:hint="default"/>
          <w:lang w:val="en-US" w:eastAsia="zh-CN"/>
        </w:rPr>
        <w:t>采用目视检查、断电手动核查、仪器检测、功能试验及远程监测相结合的综合检查方式。</w:t>
      </w:r>
    </w:p>
    <w:p w14:paraId="0BDE00EF">
      <w:pPr>
        <w:pStyle w:val="166"/>
        <w:bidi w:val="0"/>
        <w:rPr>
          <w:rFonts w:hint="default"/>
          <w:lang w:val="en-US" w:eastAsia="zh-CN"/>
        </w:rPr>
      </w:pPr>
      <w:r>
        <w:rPr>
          <w:rFonts w:hint="default"/>
          <w:lang w:val="en-US" w:eastAsia="zh-CN"/>
        </w:rPr>
        <w:t>检查结果按合格、一般隐患、重大隐患三类进行分级判定。</w:t>
      </w:r>
    </w:p>
    <w:p w14:paraId="6007A78E">
      <w:pPr>
        <w:pStyle w:val="166"/>
        <w:bidi w:val="0"/>
        <w:rPr>
          <w:rFonts w:hint="default"/>
          <w:lang w:val="en-US" w:eastAsia="zh-CN"/>
        </w:rPr>
      </w:pPr>
      <w:r>
        <w:rPr>
          <w:rFonts w:hint="default"/>
          <w:lang w:val="en-US" w:eastAsia="zh-CN"/>
        </w:rPr>
        <w:t>确保检测数据真实、准确、完整，所有检查记录应与设备台账及智能化管理平台信息保持一致。</w:t>
      </w:r>
    </w:p>
    <w:p w14:paraId="0B6C084E">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隐患分级与处置时限</w:t>
      </w:r>
    </w:p>
    <w:p w14:paraId="21D49962">
      <w:pPr>
        <w:pStyle w:val="166"/>
        <w:bidi w:val="0"/>
        <w:rPr>
          <w:rFonts w:hint="default"/>
          <w:lang w:val="en-US" w:eastAsia="zh-CN"/>
        </w:rPr>
      </w:pPr>
      <w:r>
        <w:rPr>
          <w:rFonts w:hint="default"/>
          <w:lang w:val="en-US" w:eastAsia="zh-CN"/>
        </w:rPr>
        <w:t>一般隐患：暂不直接危及设备及人身运行安全，应于 7 个工作日内完成整改，并组织复查核验。</w:t>
      </w:r>
    </w:p>
    <w:p w14:paraId="2E067A18">
      <w:pPr>
        <w:pStyle w:val="166"/>
        <w:bidi w:val="0"/>
        <w:rPr>
          <w:rFonts w:hint="default"/>
          <w:lang w:val="en-US" w:eastAsia="zh-CN"/>
        </w:rPr>
      </w:pPr>
      <w:r>
        <w:rPr>
          <w:rFonts w:hint="default"/>
          <w:lang w:val="en-US" w:eastAsia="zh-CN"/>
        </w:rPr>
        <w:t>重大隐患：存在引发触电、火灾、设备损毁及大面积停电等安全风险，须立即停止设备运行，24 小时内完成上报并开展应急处置，隐患整改验收合格后，方可恢复送电运行。</w:t>
      </w:r>
    </w:p>
    <w:p w14:paraId="0E65C26E">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闭环管理要求</w:t>
      </w:r>
    </w:p>
    <w:p w14:paraId="2B6C8487">
      <w:pPr>
        <w:pStyle w:val="166"/>
        <w:bidi w:val="0"/>
        <w:rPr>
          <w:rFonts w:hint="default"/>
          <w:lang w:val="en-US" w:eastAsia="zh-CN"/>
        </w:rPr>
      </w:pPr>
      <w:r>
        <w:rPr>
          <w:rFonts w:hint="default"/>
          <w:lang w:val="en-US" w:eastAsia="zh-CN"/>
        </w:rPr>
        <w:t>应建立隐患管理台账，明确隐患内容、风险等级、责任人员、整改措施及完成时限。</w:t>
      </w:r>
    </w:p>
    <w:p w14:paraId="5925D4E3">
      <w:pPr>
        <w:pStyle w:val="166"/>
        <w:bidi w:val="0"/>
        <w:rPr>
          <w:rFonts w:hint="default"/>
          <w:lang w:val="en-US" w:eastAsia="zh-CN"/>
        </w:rPr>
      </w:pPr>
      <w:r>
        <w:rPr>
          <w:rFonts w:hint="default"/>
          <w:lang w:val="en-US" w:eastAsia="zh-CN"/>
        </w:rPr>
        <w:t>严格执行 “检查—记录—整改—复查—销号” 全流程闭环管理机制。</w:t>
      </w:r>
    </w:p>
    <w:p w14:paraId="16807F6C">
      <w:pPr>
        <w:pStyle w:val="166"/>
        <w:bidi w:val="0"/>
        <w:rPr>
          <w:rFonts w:hint="default"/>
          <w:lang w:val="en-US" w:eastAsia="zh-CN"/>
        </w:rPr>
      </w:pPr>
      <w:r>
        <w:rPr>
          <w:rFonts w:hint="default"/>
          <w:lang w:val="en-US" w:eastAsia="zh-CN"/>
        </w:rPr>
        <w:t>检查报告、隐患清单、整改资料及复检记录统一归集，纳入设备全生命周期档案管理。</w:t>
      </w:r>
    </w:p>
    <w:p w14:paraId="5004ECFE">
      <w:pPr>
        <w:pStyle w:val="166"/>
        <w:bidi w:val="0"/>
        <w:rPr>
          <w:rFonts w:hint="default"/>
          <w:lang w:val="en-US" w:eastAsia="zh-CN"/>
        </w:rPr>
      </w:pPr>
      <w:r>
        <w:rPr>
          <w:rFonts w:hint="default"/>
          <w:lang w:val="en-US" w:eastAsia="zh-CN"/>
        </w:rPr>
        <w:t>可接入智能化管理系统，实现隐患预警、线上流程流转与全过程跟踪闭环管控。</w:t>
      </w:r>
    </w:p>
    <w:p w14:paraId="63E683D3">
      <w:pPr>
        <w:pStyle w:val="105"/>
        <w:bidi w:val="0"/>
        <w:rPr>
          <w:rFonts w:hint="default"/>
          <w:lang w:val="en-US" w:eastAsia="zh-CN"/>
        </w:rPr>
      </w:pPr>
      <w:bookmarkStart w:id="61" w:name="_Toc6453"/>
      <w:r>
        <w:rPr>
          <w:rFonts w:hint="eastAsia"/>
          <w:lang w:val="en-US" w:eastAsia="zh-CN"/>
        </w:rPr>
        <w:t>智能监测与数据管理</w:t>
      </w:r>
      <w:bookmarkEnd w:id="61"/>
    </w:p>
    <w:p w14:paraId="2CD05629">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一般规定</w:t>
      </w:r>
    </w:p>
    <w:p w14:paraId="15A37A51">
      <w:pPr>
        <w:pStyle w:val="166"/>
        <w:bidi w:val="0"/>
        <w:rPr>
          <w:rFonts w:hint="default"/>
          <w:lang w:val="en-US" w:eastAsia="zh-CN"/>
        </w:rPr>
      </w:pPr>
      <w:r>
        <w:rPr>
          <w:rFonts w:hint="default"/>
          <w:lang w:val="en-US" w:eastAsia="zh-CN"/>
        </w:rPr>
        <w:t>智能监测与数据管理应遵循全面感知、稳定传输、安全存储、智能分析、高效应用的基本原则，适配智能化运维管理体系要求，支撑运维作业数字化、安全检查标准化、设备管理可视化运行。</w:t>
      </w:r>
    </w:p>
    <w:p w14:paraId="0B35848B">
      <w:pPr>
        <w:pStyle w:val="166"/>
        <w:bidi w:val="0"/>
        <w:rPr>
          <w:rFonts w:hint="default"/>
          <w:lang w:val="en-US" w:eastAsia="zh-CN"/>
        </w:rPr>
      </w:pPr>
      <w:r>
        <w:rPr>
          <w:rFonts w:hint="default"/>
          <w:lang w:val="en-US" w:eastAsia="zh-CN"/>
        </w:rPr>
        <w:t>监测系统应具备实时状态监测、异常风险预警、历史数据追溯、统计报表生成等核心功能，满足设备全生命周期管控及隐患问题闭环管理的工作需求。</w:t>
      </w:r>
    </w:p>
    <w:p w14:paraId="64FAA111">
      <w:pPr>
        <w:pStyle w:val="166"/>
        <w:bidi w:val="0"/>
        <w:rPr>
          <w:rFonts w:hint="default"/>
          <w:lang w:val="en-US" w:eastAsia="zh-CN"/>
        </w:rPr>
      </w:pPr>
      <w:r>
        <w:rPr>
          <w:rFonts w:hint="default"/>
          <w:lang w:val="en-US" w:eastAsia="zh-CN"/>
        </w:rPr>
        <w:t>系统不得对设备本体安全稳定运行造成不良影响，应具备脱机独立运行能力；系统数据安全防护要求</w:t>
      </w:r>
      <w:r>
        <w:rPr>
          <w:rFonts w:hint="eastAsia"/>
          <w:lang w:val="en-US" w:eastAsia="zh-CN"/>
        </w:rPr>
        <w:t>应</w:t>
      </w:r>
      <w:r>
        <w:rPr>
          <w:rFonts w:hint="default"/>
          <w:lang w:val="en-US" w:eastAsia="zh-CN"/>
        </w:rPr>
        <w:t>符合GB/T 22239的相关规定。</w:t>
      </w:r>
    </w:p>
    <w:p w14:paraId="39F16A23">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智能监测功能要求</w:t>
      </w:r>
    </w:p>
    <w:p w14:paraId="3D229256">
      <w:pPr>
        <w:pStyle w:val="65"/>
        <w:bidi w:val="0"/>
        <w:rPr>
          <w:rFonts w:hint="default"/>
          <w:lang w:val="en-US" w:eastAsia="zh-CN"/>
        </w:rPr>
      </w:pPr>
      <w:r>
        <w:rPr>
          <w:rFonts w:hint="eastAsia"/>
          <w:lang w:val="en-US" w:eastAsia="zh-CN"/>
        </w:rPr>
        <w:t>运行状态监测</w:t>
      </w:r>
    </w:p>
    <w:p w14:paraId="6E5A73B6">
      <w:pPr>
        <w:pStyle w:val="165"/>
        <w:bidi w:val="0"/>
        <w:rPr>
          <w:rFonts w:hint="default"/>
          <w:lang w:val="en-US" w:eastAsia="zh-CN"/>
        </w:rPr>
      </w:pPr>
      <w:r>
        <w:rPr>
          <w:rFonts w:hint="default"/>
          <w:lang w:val="en-US" w:eastAsia="zh-CN"/>
        </w:rPr>
        <w:t>实时采集电压、电流、功率、功率因数、频率、三相不平衡度、负荷率等关键电气运行参数。</w:t>
      </w:r>
    </w:p>
    <w:p w14:paraId="1770E3E3">
      <w:pPr>
        <w:pStyle w:val="165"/>
        <w:bidi w:val="0"/>
        <w:rPr>
          <w:rFonts w:hint="default"/>
          <w:lang w:val="en-US" w:eastAsia="zh-CN"/>
        </w:rPr>
      </w:pPr>
      <w:r>
        <w:rPr>
          <w:rFonts w:hint="default"/>
          <w:lang w:val="en-US" w:eastAsia="zh-CN"/>
        </w:rPr>
        <w:t>不间断监测柜体环境温度、母排及接线端子温度、现场环境温湿度与除湿装置运行工况。</w:t>
      </w:r>
    </w:p>
    <w:p w14:paraId="0ED19E1F">
      <w:pPr>
        <w:pStyle w:val="65"/>
        <w:bidi w:val="0"/>
        <w:rPr>
          <w:rFonts w:hint="default"/>
          <w:lang w:val="en-US" w:eastAsia="zh-CN"/>
        </w:rPr>
      </w:pPr>
      <w:r>
        <w:rPr>
          <w:rFonts w:hint="eastAsia"/>
          <w:lang w:val="en-US" w:eastAsia="zh-CN"/>
        </w:rPr>
        <w:t>安全状态监测</w:t>
      </w:r>
    </w:p>
    <w:p w14:paraId="1A31ED0A">
      <w:pPr>
        <w:pStyle w:val="165"/>
        <w:bidi w:val="0"/>
        <w:rPr>
          <w:rFonts w:hint="default"/>
          <w:lang w:val="en-US" w:eastAsia="zh-CN"/>
        </w:rPr>
      </w:pPr>
      <w:r>
        <w:rPr>
          <w:rFonts w:hint="default"/>
          <w:lang w:val="en-US" w:eastAsia="zh-CN"/>
        </w:rPr>
        <w:t>实时监测漏电、过载、短路、过电压、欠电压、缺相、谐波等各类电气异常工况。</w:t>
      </w:r>
    </w:p>
    <w:p w14:paraId="206AB500">
      <w:pPr>
        <w:pStyle w:val="165"/>
        <w:bidi w:val="0"/>
        <w:rPr>
          <w:rFonts w:hint="default"/>
          <w:lang w:val="en-US" w:eastAsia="zh-CN"/>
        </w:rPr>
      </w:pPr>
      <w:r>
        <w:rPr>
          <w:rFonts w:hint="default"/>
          <w:lang w:val="en-US" w:eastAsia="zh-CN"/>
        </w:rPr>
        <w:t>可实时上传断路器工作位置、分合闸运行状态及保护动作事件信息，实现状态在线管控。</w:t>
      </w:r>
    </w:p>
    <w:p w14:paraId="7837A61C">
      <w:pPr>
        <w:pStyle w:val="65"/>
        <w:bidi w:val="0"/>
        <w:rPr>
          <w:rFonts w:hint="default"/>
          <w:lang w:val="en-US" w:eastAsia="zh-CN"/>
        </w:rPr>
      </w:pPr>
      <w:r>
        <w:rPr>
          <w:rFonts w:hint="eastAsia"/>
          <w:lang w:val="en-US" w:eastAsia="zh-CN"/>
        </w:rPr>
        <w:t>预警与告警功能</w:t>
      </w:r>
    </w:p>
    <w:p w14:paraId="21DC8E8D">
      <w:pPr>
        <w:pStyle w:val="165"/>
        <w:bidi w:val="0"/>
        <w:rPr>
          <w:rFonts w:hint="default"/>
          <w:lang w:val="en-US" w:eastAsia="zh-CN"/>
        </w:rPr>
      </w:pPr>
      <w:r>
        <w:rPr>
          <w:rFonts w:hint="default"/>
          <w:lang w:val="en-US" w:eastAsia="zh-CN"/>
        </w:rPr>
        <w:t>合理设置各类运行参数预警阈值，针对温度超限、负荷超标、绝缘异常、漏电超标等工况实现分级告警管理。</w:t>
      </w:r>
    </w:p>
    <w:p w14:paraId="56C4FAE0">
      <w:pPr>
        <w:pStyle w:val="165"/>
        <w:bidi w:val="0"/>
        <w:rPr>
          <w:rFonts w:hint="default"/>
          <w:lang w:val="en-US" w:eastAsia="zh-CN"/>
        </w:rPr>
      </w:pPr>
      <w:r>
        <w:rPr>
          <w:rFonts w:hint="default"/>
          <w:lang w:val="en-US" w:eastAsia="zh-CN"/>
        </w:rPr>
        <w:t>系统应配置本地声光提示、平台弹窗提醒、短信及移动端推送等多渠道告警方式，衔接统一服务响应机制，保障异常信息及时传递与处置。</w:t>
      </w:r>
    </w:p>
    <w:p w14:paraId="7103E2EE">
      <w:pPr>
        <w:pStyle w:val="65"/>
        <w:bidi w:val="0"/>
        <w:rPr>
          <w:rFonts w:hint="default"/>
          <w:lang w:val="en-US" w:eastAsia="zh-CN"/>
        </w:rPr>
      </w:pPr>
      <w:r>
        <w:rPr>
          <w:rFonts w:hint="eastAsia"/>
          <w:lang w:val="en-US" w:eastAsia="zh-CN"/>
        </w:rPr>
        <w:t>数据采集</w:t>
      </w:r>
    </w:p>
    <w:p w14:paraId="3CD475F8">
      <w:pPr>
        <w:pStyle w:val="165"/>
        <w:bidi w:val="0"/>
        <w:rPr>
          <w:rFonts w:hint="default"/>
          <w:lang w:val="en-US" w:eastAsia="zh-CN"/>
        </w:rPr>
      </w:pPr>
      <w:r>
        <w:rPr>
          <w:rFonts w:hint="default"/>
          <w:lang w:val="en-US" w:eastAsia="zh-CN"/>
        </w:rPr>
        <w:t>采集内容涵盖设备运行参数、温度监测数据、环境监测数据、开关设备状态、保护动作事件、运维作业记录、现场检查记录及隐患闭环处置记录。</w:t>
      </w:r>
    </w:p>
    <w:p w14:paraId="7DD4325A">
      <w:pPr>
        <w:pStyle w:val="165"/>
        <w:bidi w:val="0"/>
        <w:rPr>
          <w:rFonts w:hint="default"/>
          <w:lang w:val="en-US" w:eastAsia="zh-CN"/>
        </w:rPr>
      </w:pPr>
      <w:r>
        <w:rPr>
          <w:rFonts w:hint="default"/>
          <w:lang w:val="en-US" w:eastAsia="zh-CN"/>
        </w:rPr>
        <w:t>采集周期实行分级管控：实时监测数据采用秒级或分钟级采集，统计类数据按小时、日、月度周期汇总统计，事件类信息实现即时上传。</w:t>
      </w:r>
    </w:p>
    <w:p w14:paraId="36E13F29">
      <w:pPr>
        <w:pStyle w:val="65"/>
        <w:bidi w:val="0"/>
        <w:rPr>
          <w:rFonts w:hint="default"/>
          <w:lang w:val="en-US" w:eastAsia="zh-CN"/>
        </w:rPr>
      </w:pPr>
      <w:r>
        <w:rPr>
          <w:rFonts w:hint="eastAsia"/>
          <w:lang w:val="en-US" w:eastAsia="zh-CN"/>
        </w:rPr>
        <w:t>通信与接口</w:t>
      </w:r>
    </w:p>
    <w:p w14:paraId="7AD3E66D">
      <w:pPr>
        <w:pStyle w:val="165"/>
        <w:bidi w:val="0"/>
        <w:rPr>
          <w:rFonts w:hint="default"/>
          <w:lang w:val="en-US" w:eastAsia="zh-CN"/>
        </w:rPr>
      </w:pPr>
      <w:r>
        <w:rPr>
          <w:rFonts w:hint="default"/>
          <w:lang w:val="en-US" w:eastAsia="zh-CN"/>
        </w:rPr>
        <w:t>系统兼容以太网、4G/5G、LoRa、RS485等主流通用通信方式。</w:t>
      </w:r>
    </w:p>
    <w:p w14:paraId="3F94AB39">
      <w:pPr>
        <w:pStyle w:val="165"/>
        <w:bidi w:val="0"/>
        <w:rPr>
          <w:rFonts w:hint="default"/>
          <w:lang w:val="en-US" w:eastAsia="zh-CN"/>
        </w:rPr>
      </w:pPr>
      <w:r>
        <w:rPr>
          <w:rFonts w:hint="default"/>
          <w:lang w:val="en-US" w:eastAsia="zh-CN"/>
        </w:rPr>
        <w:t>遵循行业标准通信规约，可实现与配电网调度系统、用户能源管理系统及各类智能化管理平台规范对接。</w:t>
      </w:r>
    </w:p>
    <w:p w14:paraId="041EC94D">
      <w:pPr>
        <w:pStyle w:val="165"/>
        <w:bidi w:val="0"/>
        <w:rPr>
          <w:rFonts w:hint="default"/>
          <w:lang w:val="en-US" w:eastAsia="zh-CN"/>
        </w:rPr>
      </w:pPr>
      <w:r>
        <w:rPr>
          <w:rFonts w:hint="default"/>
          <w:lang w:val="en-US" w:eastAsia="zh-CN"/>
        </w:rPr>
        <w:t>全程采用加密传输机制，保障数据通信过程安全、稳定、可靠。</w:t>
      </w:r>
    </w:p>
    <w:p w14:paraId="4F13E986">
      <w:pPr>
        <w:pStyle w:val="65"/>
        <w:bidi w:val="0"/>
        <w:rPr>
          <w:rFonts w:hint="default"/>
          <w:lang w:val="en-US" w:eastAsia="zh-CN"/>
        </w:rPr>
      </w:pPr>
      <w:r>
        <w:rPr>
          <w:rFonts w:hint="eastAsia"/>
          <w:lang w:val="en-US" w:eastAsia="zh-CN"/>
        </w:rPr>
        <w:t>数据存储与安全</w:t>
      </w:r>
    </w:p>
    <w:p w14:paraId="3F0E2643">
      <w:pPr>
        <w:pStyle w:val="165"/>
        <w:bidi w:val="0"/>
        <w:rPr>
          <w:rFonts w:hint="default"/>
          <w:lang w:val="en-US" w:eastAsia="zh-CN"/>
        </w:rPr>
      </w:pPr>
      <w:r>
        <w:rPr>
          <w:rFonts w:hint="default"/>
          <w:lang w:val="en-US" w:eastAsia="zh-CN"/>
        </w:rPr>
        <w:t>采用本地缓存结合云端备份的双重存储模式，保障运行数据完整留存、不可篡改，杜绝数据丢失。</w:t>
      </w:r>
    </w:p>
    <w:p w14:paraId="287C15FB">
      <w:pPr>
        <w:pStyle w:val="165"/>
        <w:bidi w:val="0"/>
        <w:rPr>
          <w:rFonts w:hint="default"/>
          <w:lang w:val="en-US" w:eastAsia="zh-CN"/>
        </w:rPr>
      </w:pPr>
      <w:r>
        <w:rPr>
          <w:rFonts w:hint="default"/>
          <w:lang w:val="en-US" w:eastAsia="zh-CN"/>
        </w:rPr>
        <w:t>设备运行数据、告警信息、检查记录及运维资料留存期限不少于3年；重大隐患与故障相关记录应长期保存，直至设备报废退役。</w:t>
      </w:r>
    </w:p>
    <w:p w14:paraId="620AFD31">
      <w:pPr>
        <w:pStyle w:val="165"/>
        <w:bidi w:val="0"/>
        <w:rPr>
          <w:rFonts w:hint="default"/>
          <w:lang w:val="en-US" w:eastAsia="zh-CN"/>
        </w:rPr>
      </w:pPr>
      <w:r>
        <w:rPr>
          <w:rFonts w:hint="default"/>
          <w:lang w:val="en-US" w:eastAsia="zh-CN"/>
        </w:rPr>
        <w:t>严格落实账号分级权限、操作日志留存、访问行为审计等管控措施，防范数据泄露与非法访问风险。</w:t>
      </w:r>
    </w:p>
    <w:p w14:paraId="30272070">
      <w:pPr>
        <w:pStyle w:val="165"/>
        <w:bidi w:val="0"/>
        <w:rPr>
          <w:rFonts w:hint="default"/>
          <w:lang w:val="en-US" w:eastAsia="zh-CN"/>
        </w:rPr>
      </w:pPr>
      <w:r>
        <w:rPr>
          <w:rFonts w:hint="default"/>
          <w:lang w:val="en-US" w:eastAsia="zh-CN"/>
        </w:rPr>
        <w:t>统一数据采集与输出格式，契合标准化数据规范及台账管理模板要求，保障数据规范统一、互通可用。</w:t>
      </w:r>
    </w:p>
    <w:p w14:paraId="4F2992D9">
      <w:pPr>
        <w:pStyle w:val="65"/>
        <w:bidi w:val="0"/>
        <w:rPr>
          <w:rFonts w:hint="default"/>
          <w:lang w:val="en-US" w:eastAsia="zh-CN"/>
        </w:rPr>
      </w:pPr>
      <w:r>
        <w:rPr>
          <w:rFonts w:hint="eastAsia"/>
          <w:lang w:val="en-US" w:eastAsia="zh-CN"/>
        </w:rPr>
        <w:t>数据分析与应用</w:t>
      </w:r>
    </w:p>
    <w:p w14:paraId="6747E64D">
      <w:pPr>
        <w:pStyle w:val="165"/>
        <w:bidi w:val="0"/>
        <w:rPr>
          <w:rFonts w:hint="default"/>
          <w:lang w:val="en-US" w:eastAsia="zh-CN"/>
        </w:rPr>
      </w:pPr>
      <w:r>
        <w:rPr>
          <w:rFonts w:hint="default"/>
          <w:lang w:val="en-US" w:eastAsia="zh-CN"/>
        </w:rPr>
        <w:t>状态评估：依托实时监测数据与历史运行数据，自动研判设备健康状态、负荷变化趋势及潜在隐患风险，实现设备状态量化评估。</w:t>
      </w:r>
    </w:p>
    <w:p w14:paraId="1A1750FC">
      <w:pPr>
        <w:pStyle w:val="165"/>
        <w:bidi w:val="0"/>
        <w:rPr>
          <w:rFonts w:hint="default"/>
          <w:lang w:val="en-US" w:eastAsia="zh-CN"/>
        </w:rPr>
      </w:pPr>
      <w:r>
        <w:rPr>
          <w:rFonts w:hint="default"/>
          <w:lang w:val="en-US" w:eastAsia="zh-CN"/>
        </w:rPr>
        <w:t>辅助决策：智能生成运维优化建议、定期检修计划及负荷调控方案，为设备预防性维护工作提供数据支撑与决策依据。</w:t>
      </w:r>
    </w:p>
    <w:p w14:paraId="19FB48BA">
      <w:pPr>
        <w:pStyle w:val="165"/>
        <w:bidi w:val="0"/>
        <w:rPr>
          <w:rFonts w:hint="default"/>
          <w:lang w:val="en-US" w:eastAsia="zh-CN"/>
        </w:rPr>
      </w:pPr>
      <w:r>
        <w:rPr>
          <w:rFonts w:hint="default"/>
          <w:lang w:val="en-US" w:eastAsia="zh-CN"/>
        </w:rPr>
        <w:t>报表输出：系统可自动生成运行日报、月报、年度检查报告及隐患统计分析报告，满足日常管理与资料归档需求。</w:t>
      </w:r>
    </w:p>
    <w:p w14:paraId="579519F9">
      <w:pPr>
        <w:pStyle w:val="165"/>
        <w:bidi w:val="0"/>
        <w:rPr>
          <w:rFonts w:hint="default"/>
          <w:lang w:val="en-US" w:eastAsia="zh-CN"/>
        </w:rPr>
      </w:pPr>
      <w:r>
        <w:rPr>
          <w:rFonts w:hint="default"/>
          <w:lang w:val="en-US" w:eastAsia="zh-CN"/>
        </w:rPr>
        <w:t>工单联动：监测预警信息可自动触发并生成运维工单，同步推送至标准化运维管理系统，构建</w:t>
      </w:r>
      <w:r>
        <w:rPr>
          <w:rFonts w:hint="eastAsia"/>
          <w:lang w:val="en-US" w:eastAsia="zh-CN"/>
        </w:rPr>
        <w:t>“</w:t>
      </w:r>
      <w:r>
        <w:rPr>
          <w:rFonts w:hint="default"/>
          <w:lang w:val="en-US" w:eastAsia="zh-CN"/>
        </w:rPr>
        <w:t>预警—派单—处置—复核—销号</w:t>
      </w:r>
      <w:r>
        <w:rPr>
          <w:rFonts w:hint="eastAsia"/>
          <w:lang w:val="en-US" w:eastAsia="zh-CN"/>
        </w:rPr>
        <w:t>”</w:t>
      </w:r>
      <w:r>
        <w:rPr>
          <w:rFonts w:hint="default"/>
          <w:lang w:val="en-US" w:eastAsia="zh-CN"/>
        </w:rPr>
        <w:t>全流程闭环管控体系。</w:t>
      </w:r>
    </w:p>
    <w:p w14:paraId="076B1884">
      <w:pPr>
        <w:pStyle w:val="65"/>
        <w:bidi w:val="0"/>
        <w:rPr>
          <w:rFonts w:hint="default"/>
          <w:lang w:val="en-US" w:eastAsia="zh-CN"/>
        </w:rPr>
      </w:pPr>
      <w:r>
        <w:rPr>
          <w:rFonts w:hint="default"/>
          <w:lang w:val="en-US" w:eastAsia="zh-CN"/>
        </w:rPr>
        <w:t>系统对接与维护</w:t>
      </w:r>
    </w:p>
    <w:p w14:paraId="25F7D1D5">
      <w:pPr>
        <w:pStyle w:val="165"/>
        <w:bidi w:val="0"/>
        <w:rPr>
          <w:rFonts w:hint="default"/>
          <w:lang w:val="en-US" w:eastAsia="zh-CN"/>
        </w:rPr>
      </w:pPr>
      <w:r>
        <w:rPr>
          <w:rFonts w:hint="default"/>
          <w:lang w:val="en-US" w:eastAsia="zh-CN"/>
        </w:rPr>
        <w:t>可与智能化运维平台、安全检查系统、客户服务管理平台实现无缝对接与数据互通。</w:t>
      </w:r>
    </w:p>
    <w:p w14:paraId="423515EB">
      <w:pPr>
        <w:pStyle w:val="165"/>
        <w:bidi w:val="0"/>
        <w:rPr>
          <w:rFonts w:hint="default"/>
          <w:lang w:val="en-US" w:eastAsia="zh-CN"/>
        </w:rPr>
      </w:pPr>
      <w:r>
        <w:rPr>
          <w:rFonts w:hint="default"/>
          <w:lang w:val="en-US" w:eastAsia="zh-CN"/>
        </w:rPr>
        <w:t>支持对接用户配电室监控系统、园区能源管理系统及电网调度系统，满足多系统数据共享与协同应用需求。</w:t>
      </w:r>
    </w:p>
    <w:p w14:paraId="04F6436B">
      <w:pPr>
        <w:pStyle w:val="165"/>
        <w:bidi w:val="0"/>
        <w:rPr>
          <w:rFonts w:hint="default"/>
          <w:lang w:val="en-US" w:eastAsia="zh-CN"/>
        </w:rPr>
      </w:pPr>
      <w:r>
        <w:rPr>
          <w:rFonts w:hint="default"/>
          <w:lang w:val="en-US" w:eastAsia="zh-CN"/>
        </w:rPr>
        <w:t>定期对监测终端、数据采集模块、通信设备开展巡检维护，保障设备在线率、数据采集精度稳定达标。</w:t>
      </w:r>
    </w:p>
    <w:p w14:paraId="592CA6CC">
      <w:pPr>
        <w:pStyle w:val="165"/>
        <w:bidi w:val="0"/>
        <w:rPr>
          <w:rFonts w:hint="default"/>
          <w:lang w:val="en-US" w:eastAsia="zh-CN"/>
        </w:rPr>
      </w:pPr>
      <w:r>
        <w:rPr>
          <w:rFonts w:hint="default"/>
          <w:lang w:val="en-US" w:eastAsia="zh-CN"/>
        </w:rPr>
        <w:t>管理平台应定期完成版本升级、漏洞修复与常态化数据备份；平台发生故障时，不得影响一次主设备安全稳定运行。</w:t>
      </w:r>
    </w:p>
    <w:p w14:paraId="478F4490">
      <w:pPr>
        <w:pStyle w:val="105"/>
        <w:bidi w:val="0"/>
        <w:rPr>
          <w:rFonts w:hint="default"/>
          <w:lang w:val="en-US" w:eastAsia="zh-CN"/>
        </w:rPr>
      </w:pPr>
      <w:bookmarkStart w:id="62" w:name="_Toc12409"/>
      <w:r>
        <w:rPr>
          <w:rFonts w:hint="eastAsia"/>
          <w:lang w:val="en-US" w:eastAsia="zh-CN"/>
        </w:rPr>
        <w:t>应急处置流程</w:t>
      </w:r>
      <w:bookmarkEnd w:id="62"/>
    </w:p>
    <w:p w14:paraId="2D1A1E3F">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应急响应机制</w:t>
      </w:r>
    </w:p>
    <w:p w14:paraId="2448B655">
      <w:pPr>
        <w:pStyle w:val="166"/>
        <w:bidi w:val="0"/>
        <w:rPr>
          <w:rFonts w:hint="default"/>
          <w:lang w:val="en-US" w:eastAsia="zh-CN"/>
        </w:rPr>
      </w:pPr>
      <w:r>
        <w:rPr>
          <w:rFonts w:hint="default"/>
          <w:lang w:val="en-US" w:eastAsia="zh-CN"/>
        </w:rPr>
        <w:t>建立分级应急响应机制，按一般故障、紧急故障、安全事故划分等级，实施分级分类处置。</w:t>
      </w:r>
    </w:p>
    <w:p w14:paraId="4A47B194">
      <w:pPr>
        <w:pStyle w:val="166"/>
        <w:bidi w:val="0"/>
        <w:rPr>
          <w:rFonts w:hint="default"/>
          <w:lang w:val="en-US" w:eastAsia="zh-CN"/>
        </w:rPr>
      </w:pPr>
      <w:r>
        <w:rPr>
          <w:rFonts w:hint="default"/>
          <w:lang w:val="en-US" w:eastAsia="zh-CN"/>
        </w:rPr>
        <w:t>实行7×24小时全天候应急服务保障，接报异常告警信息后，快速完成工单派发与任务调度。</w:t>
      </w:r>
    </w:p>
    <w:p w14:paraId="79229660">
      <w:pPr>
        <w:pStyle w:val="166"/>
        <w:bidi w:val="0"/>
        <w:rPr>
          <w:rFonts w:hint="default"/>
          <w:lang w:val="en-US" w:eastAsia="zh-CN"/>
        </w:rPr>
      </w:pPr>
      <w:r>
        <w:rPr>
          <w:rFonts w:hint="default"/>
          <w:lang w:val="en-US" w:eastAsia="zh-CN"/>
        </w:rPr>
        <w:t>现场应急处置应严格遵循优先保障人身安全、其次保障设备安全、最终有序恢复供电的基本原则。</w:t>
      </w:r>
    </w:p>
    <w:p w14:paraId="60DCE93A">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常见故障应急处置</w:t>
      </w:r>
    </w:p>
    <w:p w14:paraId="2F5A74C9">
      <w:pPr>
        <w:pStyle w:val="166"/>
        <w:bidi w:val="0"/>
        <w:rPr>
          <w:rFonts w:hint="default"/>
          <w:lang w:val="en-US" w:eastAsia="zh-CN"/>
        </w:rPr>
      </w:pPr>
      <w:r>
        <w:rPr>
          <w:rFonts w:hint="default"/>
          <w:lang w:val="en-US" w:eastAsia="zh-CN"/>
        </w:rPr>
        <w:t>短路/过载跳闸：立即停电验电，排查故障点，消除短路后试送电。</w:t>
      </w:r>
    </w:p>
    <w:p w14:paraId="19DF45DF">
      <w:pPr>
        <w:pStyle w:val="166"/>
        <w:bidi w:val="0"/>
        <w:rPr>
          <w:rFonts w:hint="default"/>
          <w:lang w:val="en-US" w:eastAsia="zh-CN"/>
        </w:rPr>
      </w:pPr>
      <w:r>
        <w:rPr>
          <w:rFonts w:hint="default"/>
          <w:lang w:val="en-US" w:eastAsia="zh-CN"/>
        </w:rPr>
        <w:t>漏电保护动作：禁止强行送电，检测线路与设备绝缘，修复后恢复。</w:t>
      </w:r>
    </w:p>
    <w:p w14:paraId="6AF50A79">
      <w:pPr>
        <w:pStyle w:val="166"/>
        <w:bidi w:val="0"/>
        <w:rPr>
          <w:rFonts w:hint="default"/>
          <w:lang w:val="en-US" w:eastAsia="zh-CN"/>
        </w:rPr>
      </w:pPr>
      <w:r>
        <w:rPr>
          <w:rFonts w:hint="default"/>
          <w:lang w:val="en-US" w:eastAsia="zh-CN"/>
        </w:rPr>
        <w:t>异常发热/打火：立即停电，降温检查，更换烧蚀部件。</w:t>
      </w:r>
    </w:p>
    <w:p w14:paraId="0A364731">
      <w:pPr>
        <w:pStyle w:val="166"/>
        <w:bidi w:val="0"/>
        <w:rPr>
          <w:rFonts w:hint="default"/>
          <w:lang w:val="en-US" w:eastAsia="zh-CN"/>
        </w:rPr>
      </w:pPr>
      <w:r>
        <w:rPr>
          <w:rFonts w:hint="default"/>
          <w:lang w:val="en-US" w:eastAsia="zh-CN"/>
        </w:rPr>
        <w:t>通讯/ 测异常：优先保障一次设备安全，再排查采集与通信故障。</w:t>
      </w:r>
    </w:p>
    <w:p w14:paraId="60CB9D7C">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突发安全事件处置</w:t>
      </w:r>
    </w:p>
    <w:p w14:paraId="0F29BBDC">
      <w:pPr>
        <w:pStyle w:val="166"/>
        <w:bidi w:val="0"/>
        <w:rPr>
          <w:rFonts w:hint="default"/>
          <w:lang w:val="en-US" w:eastAsia="zh-CN"/>
        </w:rPr>
      </w:pPr>
      <w:r>
        <w:rPr>
          <w:rFonts w:hint="default"/>
          <w:lang w:val="en-US" w:eastAsia="zh-CN"/>
        </w:rPr>
        <w:t>触电事故：立即切断电源，实施急救，拨打急救电话，保护现场。</w:t>
      </w:r>
    </w:p>
    <w:p w14:paraId="4331AEFE">
      <w:pPr>
        <w:pStyle w:val="166"/>
        <w:bidi w:val="0"/>
        <w:rPr>
          <w:rFonts w:hint="default"/>
          <w:lang w:val="en-US" w:eastAsia="zh-CN"/>
        </w:rPr>
      </w:pPr>
      <w:r>
        <w:rPr>
          <w:rFonts w:hint="default"/>
          <w:lang w:val="en-US" w:eastAsia="zh-CN"/>
        </w:rPr>
        <w:t>电气火灾：先断电后灭火，使用干粉、二氧化碳灭火器，禁止用水。</w:t>
      </w:r>
    </w:p>
    <w:p w14:paraId="3803FE2F">
      <w:pPr>
        <w:pStyle w:val="166"/>
        <w:bidi w:val="0"/>
        <w:rPr>
          <w:rFonts w:hint="default"/>
          <w:lang w:val="en-US" w:eastAsia="zh-CN"/>
        </w:rPr>
      </w:pPr>
      <w:r>
        <w:rPr>
          <w:rFonts w:hint="default"/>
          <w:lang w:val="en-US" w:eastAsia="zh-CN"/>
        </w:rPr>
        <w:t>设备爆炸/弧光：立即撤离人员，封锁现场，上报并启动专项处置。</w:t>
      </w:r>
    </w:p>
    <w:p w14:paraId="42C052C9">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处置安全要求</w:t>
      </w:r>
    </w:p>
    <w:p w14:paraId="0AB76834">
      <w:pPr>
        <w:pStyle w:val="166"/>
        <w:bidi w:val="0"/>
        <w:rPr>
          <w:rFonts w:hint="default"/>
          <w:lang w:val="en-US" w:eastAsia="zh-CN"/>
        </w:rPr>
      </w:pPr>
      <w:r>
        <w:rPr>
          <w:rFonts w:hint="default"/>
          <w:lang w:val="en-US" w:eastAsia="zh-CN"/>
        </w:rPr>
        <w:t>严禁在带电状态下处置短路、漏电、火灾、触电等高风险故障及异常工况。</w:t>
      </w:r>
    </w:p>
    <w:p w14:paraId="007EF80E">
      <w:pPr>
        <w:pStyle w:val="166"/>
        <w:bidi w:val="0"/>
        <w:rPr>
          <w:rFonts w:hint="default"/>
          <w:lang w:val="en-US" w:eastAsia="zh-CN"/>
        </w:rPr>
      </w:pPr>
      <w:r>
        <w:rPr>
          <w:rFonts w:hint="default"/>
          <w:lang w:val="en-US" w:eastAsia="zh-CN"/>
        </w:rPr>
        <w:t>现场作业须严格落实电气 “五防” 安全措施，执行双人作业、专人监护制度。</w:t>
      </w:r>
    </w:p>
    <w:p w14:paraId="3DC585EB">
      <w:pPr>
        <w:pStyle w:val="166"/>
        <w:bidi w:val="0"/>
        <w:rPr>
          <w:rFonts w:hint="default"/>
          <w:lang w:val="en-US" w:eastAsia="zh-CN"/>
        </w:rPr>
      </w:pPr>
      <w:r>
        <w:rPr>
          <w:rFonts w:hint="default"/>
          <w:lang w:val="en-US" w:eastAsia="zh-CN"/>
        </w:rPr>
        <w:t>故障处置完毕后，经全面检测与验收合格，方可恢复设备送电运行。</w:t>
      </w:r>
    </w:p>
    <w:p w14:paraId="1ECA8A42">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应急记录与复盘</w:t>
      </w:r>
    </w:p>
    <w:p w14:paraId="18B9042F">
      <w:pPr>
        <w:pStyle w:val="166"/>
        <w:bidi w:val="0"/>
        <w:rPr>
          <w:rFonts w:hint="default"/>
          <w:lang w:val="en-US" w:eastAsia="zh-CN"/>
        </w:rPr>
      </w:pPr>
      <w:r>
        <w:rPr>
          <w:rFonts w:hint="default"/>
          <w:lang w:val="en-US" w:eastAsia="zh-CN"/>
        </w:rPr>
        <w:t>完整记录故障发生时间、故障现象、诱因原因、处置流程及设备恢复运行情况。</w:t>
      </w:r>
    </w:p>
    <w:p w14:paraId="32777E94">
      <w:pPr>
        <w:pStyle w:val="166"/>
        <w:bidi w:val="0"/>
        <w:rPr>
          <w:rFonts w:hint="default"/>
          <w:lang w:val="en-US" w:eastAsia="zh-CN"/>
        </w:rPr>
      </w:pPr>
      <w:r>
        <w:rPr>
          <w:rFonts w:hint="default"/>
          <w:lang w:val="en-US" w:eastAsia="zh-CN"/>
        </w:rPr>
        <w:t>针对重大突发事件编制专项应急处置报告，统一归档纳入设备全生命周期管理档案。</w:t>
      </w:r>
    </w:p>
    <w:p w14:paraId="16D5FBAA">
      <w:pPr>
        <w:pStyle w:val="166"/>
        <w:bidi w:val="0"/>
        <w:rPr>
          <w:rFonts w:hint="default"/>
          <w:lang w:val="en-US" w:eastAsia="zh-CN"/>
        </w:rPr>
      </w:pPr>
      <w:r>
        <w:rPr>
          <w:rFonts w:hint="default"/>
          <w:lang w:val="en-US" w:eastAsia="zh-CN"/>
        </w:rPr>
        <w:t>定期开展应急事件复盘总结，持续优化处置流程，同步更新完善应急管理体系。</w:t>
      </w:r>
    </w:p>
    <w:p w14:paraId="01629466">
      <w:pPr>
        <w:pStyle w:val="105"/>
        <w:bidi w:val="0"/>
        <w:rPr>
          <w:rFonts w:hint="default"/>
          <w:lang w:val="en-US" w:eastAsia="zh-CN"/>
        </w:rPr>
      </w:pPr>
      <w:bookmarkStart w:id="63" w:name="_Toc20275"/>
      <w:r>
        <w:rPr>
          <w:rFonts w:hint="default"/>
          <w:lang w:val="en-US" w:eastAsia="zh-CN"/>
        </w:rPr>
        <w:t>档案管理</w:t>
      </w:r>
      <w:bookmarkEnd w:id="63"/>
    </w:p>
    <w:p w14:paraId="779FD2A6">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档案内容构成</w:t>
      </w:r>
    </w:p>
    <w:p w14:paraId="06F857A3">
      <w:pPr>
        <w:pStyle w:val="166"/>
        <w:bidi w:val="0"/>
        <w:rPr>
          <w:rFonts w:hint="default"/>
          <w:lang w:val="en-US" w:eastAsia="zh-CN"/>
        </w:rPr>
      </w:pPr>
      <w:r>
        <w:rPr>
          <w:rFonts w:hint="default"/>
          <w:lang w:val="en-US" w:eastAsia="zh-CN"/>
        </w:rPr>
        <w:t>设备基础档案：包含设备铭牌资料、成套图纸、技术说明书、出厂试验报告等技术文件。</w:t>
      </w:r>
    </w:p>
    <w:p w14:paraId="0B944E2A">
      <w:pPr>
        <w:pStyle w:val="166"/>
        <w:bidi w:val="0"/>
        <w:rPr>
          <w:rFonts w:hint="default"/>
          <w:lang w:val="en-US" w:eastAsia="zh-CN"/>
        </w:rPr>
      </w:pPr>
      <w:r>
        <w:rPr>
          <w:rFonts w:hint="default"/>
          <w:lang w:val="en-US" w:eastAsia="zh-CN"/>
        </w:rPr>
        <w:t>运维管理档案：涵盖日常维护、定期维保、专项检修记录，以及运维工单、各类运维报告等资料。</w:t>
      </w:r>
    </w:p>
    <w:p w14:paraId="17B87692">
      <w:pPr>
        <w:pStyle w:val="166"/>
        <w:bidi w:val="0"/>
        <w:rPr>
          <w:rFonts w:hint="default"/>
          <w:lang w:val="en-US" w:eastAsia="zh-CN"/>
        </w:rPr>
      </w:pPr>
      <w:r>
        <w:rPr>
          <w:rFonts w:hint="default"/>
          <w:lang w:val="en-US" w:eastAsia="zh-CN"/>
        </w:rPr>
        <w:t>安全检查档案：收纳检查记录表、隐患排查清单、整改资料、复检记录及隐患销号台账。</w:t>
      </w:r>
    </w:p>
    <w:p w14:paraId="040CA623">
      <w:pPr>
        <w:pStyle w:val="166"/>
        <w:bidi w:val="0"/>
        <w:rPr>
          <w:rFonts w:hint="default"/>
          <w:lang w:val="en-US" w:eastAsia="zh-CN"/>
        </w:rPr>
      </w:pPr>
      <w:r>
        <w:rPr>
          <w:rFonts w:hint="default"/>
          <w:lang w:val="en-US" w:eastAsia="zh-CN"/>
        </w:rPr>
        <w:t>监测与故障档案：归集设备运行数据、异常告警记录、故障处置资料、突发事件应急报告。</w:t>
      </w:r>
    </w:p>
    <w:p w14:paraId="3AE8728B">
      <w:pPr>
        <w:pStyle w:val="166"/>
        <w:bidi w:val="0"/>
        <w:rPr>
          <w:rFonts w:hint="default"/>
          <w:lang w:val="en-US" w:eastAsia="zh-CN"/>
        </w:rPr>
      </w:pPr>
      <w:r>
        <w:rPr>
          <w:rFonts w:hint="default"/>
          <w:lang w:val="en-US" w:eastAsia="zh-CN"/>
        </w:rPr>
        <w:t>人员与器具档案：统一留存作业人员资质证书、检测仪器校准证书、岗位培训考核记录。</w:t>
      </w:r>
    </w:p>
    <w:p w14:paraId="072EC428">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归档与留存</w:t>
      </w:r>
    </w:p>
    <w:p w14:paraId="7D7B051E">
      <w:pPr>
        <w:pStyle w:val="166"/>
        <w:bidi w:val="0"/>
        <w:rPr>
          <w:rFonts w:hint="default"/>
          <w:lang w:val="en-US" w:eastAsia="zh-CN"/>
        </w:rPr>
      </w:pPr>
      <w:r>
        <w:rPr>
          <w:rFonts w:hint="default"/>
          <w:lang w:val="en-US" w:eastAsia="zh-CN"/>
        </w:rPr>
        <w:t>采用电子档案与纸质档案双重归档管理模式，电子档案统一接入智能化管理平台。</w:t>
      </w:r>
    </w:p>
    <w:p w14:paraId="7620C29D">
      <w:pPr>
        <w:pStyle w:val="166"/>
        <w:bidi w:val="0"/>
        <w:rPr>
          <w:rFonts w:hint="default"/>
          <w:lang w:val="en-US" w:eastAsia="zh-CN"/>
        </w:rPr>
      </w:pPr>
      <w:r>
        <w:rPr>
          <w:rFonts w:hint="default"/>
          <w:lang w:val="en-US" w:eastAsia="zh-CN"/>
        </w:rPr>
        <w:t>日常运维及检查资料留存期限不少于3年；重大隐患、设备故障、应急处置相关记录长期保存，直至设备退役报废。</w:t>
      </w:r>
    </w:p>
    <w:p w14:paraId="38940C38">
      <w:pPr>
        <w:pStyle w:val="166"/>
        <w:bidi w:val="0"/>
        <w:rPr>
          <w:rFonts w:hint="default"/>
          <w:lang w:val="en-US" w:eastAsia="zh-CN"/>
        </w:rPr>
      </w:pPr>
      <w:r>
        <w:rPr>
          <w:rFonts w:hint="default"/>
          <w:lang w:val="en-US" w:eastAsia="zh-CN"/>
        </w:rPr>
        <w:t>所有归档资料须保证内容真实、资料完整、表述清晰，并采取防篡改管控措施。</w:t>
      </w:r>
    </w:p>
    <w:p w14:paraId="083AD0DD">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查阅与权限</w:t>
      </w:r>
    </w:p>
    <w:p w14:paraId="008D456F">
      <w:pPr>
        <w:pStyle w:val="166"/>
        <w:bidi w:val="0"/>
        <w:rPr>
          <w:rFonts w:hint="default"/>
          <w:lang w:val="en-US" w:eastAsia="zh-CN"/>
        </w:rPr>
      </w:pPr>
      <w:r>
        <w:rPr>
          <w:rFonts w:hint="default"/>
          <w:lang w:val="en-US" w:eastAsia="zh-CN"/>
        </w:rPr>
        <w:t>实行档案分级查阅权限管理，全程留存操作日志，实现访问行为可追溯。</w:t>
      </w:r>
    </w:p>
    <w:p w14:paraId="6DC45EDF">
      <w:pPr>
        <w:pStyle w:val="166"/>
        <w:bidi w:val="0"/>
        <w:rPr>
          <w:rFonts w:hint="default"/>
          <w:lang w:val="en-US" w:eastAsia="zh-CN"/>
        </w:rPr>
      </w:pPr>
      <w:r>
        <w:rPr>
          <w:rFonts w:hint="default"/>
          <w:lang w:val="en-US" w:eastAsia="zh-CN"/>
        </w:rPr>
        <w:t>客户及相关监管单位可依据管理规定，依规查阅、调取及使用相关档案资料。</w:t>
      </w:r>
    </w:p>
    <w:p w14:paraId="26453841">
      <w:pPr>
        <w:pStyle w:val="66"/>
        <w:rPr>
          <w:rFonts w:hint="default"/>
          <w:lang w:val="en-US" w:eastAsia="zh-CN"/>
        </w:rPr>
      </w:pPr>
    </w:p>
    <w:bookmarkEnd w:id="28"/>
    <w:bookmarkEnd w:id="58"/>
    <w:p w14:paraId="57A05AD5">
      <w:pPr>
        <w:pStyle w:val="56"/>
        <w:ind w:firstLine="0" w:firstLineChars="0"/>
        <w:jc w:val="center"/>
      </w:pPr>
      <w:bookmarkStart w:id="64" w:name="BookMark8"/>
      <w:r>
        <w:drawing>
          <wp:inline distT="0" distB="0" distL="0" distR="0">
            <wp:extent cx="1485900" cy="317500"/>
            <wp:effectExtent l="0" t="0" r="0" b="6350"/>
            <wp:docPr id="530575613" name="图片 3"/>
            <wp:cNvGraphicFramePr/>
            <a:graphic xmlns:a="http://schemas.openxmlformats.org/drawingml/2006/main">
              <a:graphicData uri="http://schemas.openxmlformats.org/drawingml/2006/picture">
                <pic:pic xmlns:pic="http://schemas.openxmlformats.org/drawingml/2006/picture">
                  <pic:nvPicPr>
                    <pic:cNvPr id="530575613" name="图片 3"/>
                    <pic:cNvPicPr/>
                  </pic:nvPicPr>
                  <pic:blipFill>
                    <a:blip r:embed="rId2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64"/>
    </w:p>
    <w:sectPr>
      <w:headerReference r:id="rId18" w:type="default"/>
      <w:footerReference r:id="rId20" w:type="default"/>
      <w:headerReference r:id="rId19" w:type="even"/>
      <w:footerReference r:id="rId21"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2F72D">
    <w:pPr>
      <w:pStyle w:val="17"/>
      <w:ind w:right="720"/>
      <w:jc w:val="both"/>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E005C">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03368">
    <w:pPr>
      <w:pStyle w:val="52"/>
      <w:bidi w:val="0"/>
    </w:pPr>
    <w:r>
      <w:fldChar w:fldCharType="begin"/>
    </w:r>
    <w:r>
      <w:instrText xml:space="preserve"> PAGE   \* Roman </w:instrText>
    </w:r>
    <w:r>
      <w:fldChar w:fldCharType="separate"/>
    </w:r>
    <w: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1B796">
    <w:pPr>
      <w:pStyle w:val="17"/>
      <w:ind w:right="720"/>
      <w:jc w:val="both"/>
    </w:pPr>
    <w:r>
      <w:fldChar w:fldCharType="begin"/>
    </w:r>
    <w:r>
      <w:instrText xml:space="preserve"> PAGE   \* Roman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46002">
    <w:pPr>
      <w:pStyle w:val="52"/>
      <w:bidi w:val="0"/>
    </w:pPr>
    <w:r>
      <w:fldChar w:fldCharType="begin"/>
    </w:r>
    <w:r>
      <w:instrText xml:space="preserve"> PAGE   \* Roman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AAE62">
    <w:pPr>
      <w:pStyle w:val="17"/>
      <w:ind w:right="720"/>
      <w:jc w:val="both"/>
    </w:pPr>
    <w:r>
      <w:fldChar w:fldCharType="begin"/>
    </w:r>
    <w:r>
      <w:instrText xml:space="preserve"> PAGE   \* Roman </w:instrText>
    </w:r>
    <w:r>
      <w:fldChar w:fldCharType="separate"/>
    </w:r>
    <w:r>
      <w:t>III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0A3CF">
    <w:pPr>
      <w:pStyle w:val="52"/>
      <w:bidi w:val="0"/>
    </w:pPr>
    <w:r>
      <w:fldChar w:fldCharType="begin"/>
    </w:r>
    <w:r>
      <w:instrText xml:space="preserve"> PAGE   \* Arabic </w:instrText>
    </w:r>
    <w:r>
      <w:fldChar w:fldCharType="separate"/>
    </w:r>
    <w: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E0B43">
    <w:pPr>
      <w:pStyle w:val="17"/>
      <w:ind w:right="720"/>
      <w:jc w:val="both"/>
    </w:pPr>
    <w:r>
      <w:fldChar w:fldCharType="begin"/>
    </w:r>
    <w:r>
      <w:instrText xml:space="preserve"> PAGE   \* Arabic </w:instrText>
    </w:r>
    <w:r>
      <w:fldChar w:fldCharType="separate"/>
    </w:r>
    <w: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AD00D">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5A77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C67D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0F22F">
    <w:pPr>
      <w:pStyle w:val="61"/>
      <w:rPr>
        <w:rFonts w:hint="default" w:eastAsia="黑体"/>
        <w:lang w:val="en-US" w:eastAsia="zh-CN"/>
      </w:rPr>
    </w:pPr>
    <w:r>
      <w:rPr>
        <w:rFonts w:hint="eastAsia"/>
        <w:lang w:eastAsia="zh-CN"/>
      </w:rPr>
      <w:t>T/ZIUR XXXX-2026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21FFB">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5E6C1">
    <w:pPr>
      <w:pStyle w:val="61"/>
      <w:rPr>
        <w:rFonts w:hint="default" w:eastAsia="黑体"/>
        <w:lang w:val="en-US" w:eastAsia="zh-CN"/>
      </w:rPr>
    </w:pPr>
    <w:r>
      <w:rPr>
        <w:rFonts w:hint="eastAsia"/>
        <w:lang w:eastAsia="zh-CN"/>
      </w:rPr>
      <w:t>T/ZIUR XXXX-2026</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57D59">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375D4">
    <w:pPr>
      <w:pStyle w:val="61"/>
      <w:rPr>
        <w:rFonts w:hint="default" w:eastAsia="黑体"/>
        <w:lang w:val="en-US" w:eastAsia="zh-CN"/>
      </w:rPr>
    </w:pPr>
    <w:r>
      <w:rPr>
        <w:rFonts w:hint="eastAsia"/>
        <w:lang w:eastAsia="zh-CN"/>
      </w:rPr>
      <w:t>T/ZIUR XXXX-2026</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D7BE7">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0204C2"/>
    <w:multiLevelType w:val="multilevel"/>
    <w:tmpl w:val="A50204C2"/>
    <w:lvl w:ilvl="0" w:tentative="0">
      <w:start w:val="1"/>
      <w:numFmt w:val="decimal"/>
      <w:pStyle w:val="234"/>
      <w:suff w:val="nothing"/>
      <w:lvlText w:val="图%1　"/>
      <w:lvlJc w:val="left"/>
      <w:pPr>
        <w:tabs>
          <w:tab w:val="left" w:pos="0"/>
        </w:tabs>
        <w:ind w:left="0" w:leftChars="0" w:firstLine="0" w:firstLineChars="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E12ABC61"/>
    <w:multiLevelType w:val="multilevel"/>
    <w:tmpl w:val="E12ABC61"/>
    <w:lvl w:ilvl="0" w:tentative="0">
      <w:start w:val="1"/>
      <w:numFmt w:val="decimal"/>
      <w:pStyle w:val="231"/>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E3FD3CDD"/>
    <w:multiLevelType w:val="multilevel"/>
    <w:tmpl w:val="E3FD3CDD"/>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4">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6">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7">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8">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0">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2">
    <w:nsid w:val="1B383A10"/>
    <w:multiLevelType w:val="multilevel"/>
    <w:tmpl w:val="1B383A10"/>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13">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4">
    <w:nsid w:val="28DE30F9"/>
    <w:multiLevelType w:val="multilevel"/>
    <w:tmpl w:val="28DE30F9"/>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5">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6">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7">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8">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9">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0">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1">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2">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3">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5">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6">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7">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8">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9">
    <w:nsid w:val="696294C4"/>
    <w:multiLevelType w:val="multilevel"/>
    <w:tmpl w:val="696294C4"/>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0">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1">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2">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3">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4">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3"/>
  </w:num>
  <w:num w:numId="2">
    <w:abstractNumId w:val="32"/>
  </w:num>
  <w:num w:numId="3">
    <w:abstractNumId w:val="8"/>
  </w:num>
  <w:num w:numId="4">
    <w:abstractNumId w:val="27"/>
  </w:num>
  <w:num w:numId="5">
    <w:abstractNumId w:val="22"/>
  </w:num>
  <w:num w:numId="6">
    <w:abstractNumId w:val="17"/>
  </w:num>
  <w:num w:numId="7">
    <w:abstractNumId w:val="11"/>
  </w:num>
  <w:num w:numId="8">
    <w:abstractNumId w:val="6"/>
  </w:num>
  <w:num w:numId="9">
    <w:abstractNumId w:val="13"/>
  </w:num>
  <w:num w:numId="10">
    <w:abstractNumId w:val="20"/>
  </w:num>
  <w:num w:numId="11">
    <w:abstractNumId w:val="30"/>
  </w:num>
  <w:num w:numId="12">
    <w:abstractNumId w:val="16"/>
  </w:num>
  <w:num w:numId="13">
    <w:abstractNumId w:val="29"/>
  </w:num>
  <w:num w:numId="14">
    <w:abstractNumId w:val="10"/>
  </w:num>
  <w:num w:numId="15">
    <w:abstractNumId w:val="23"/>
  </w:num>
  <w:num w:numId="16">
    <w:abstractNumId w:val="25"/>
  </w:num>
  <w:num w:numId="17">
    <w:abstractNumId w:val="21"/>
  </w:num>
  <w:num w:numId="18">
    <w:abstractNumId w:val="33"/>
  </w:num>
  <w:num w:numId="19">
    <w:abstractNumId w:val="19"/>
  </w:num>
  <w:num w:numId="20">
    <w:abstractNumId w:val="4"/>
  </w:num>
  <w:num w:numId="21">
    <w:abstractNumId w:val="15"/>
  </w:num>
  <w:num w:numId="22">
    <w:abstractNumId w:val="34"/>
  </w:num>
  <w:num w:numId="23">
    <w:abstractNumId w:val="24"/>
  </w:num>
  <w:num w:numId="24">
    <w:abstractNumId w:val="9"/>
  </w:num>
  <w:num w:numId="25">
    <w:abstractNumId w:val="31"/>
  </w:num>
  <w:num w:numId="26">
    <w:abstractNumId w:val="12"/>
  </w:num>
  <w:num w:numId="27">
    <w:abstractNumId w:val="5"/>
  </w:num>
  <w:num w:numId="28">
    <w:abstractNumId w:val="7"/>
  </w:num>
  <w:num w:numId="29">
    <w:abstractNumId w:val="18"/>
  </w:num>
  <w:num w:numId="30">
    <w:abstractNumId w:val="28"/>
  </w:num>
  <w:num w:numId="31">
    <w:abstractNumId w:val="26"/>
  </w:num>
  <w:num w:numId="32">
    <w:abstractNumId w:val="1"/>
  </w:num>
  <w:num w:numId="33">
    <w:abstractNumId w:val="0"/>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attachedTemplate r:id="rId1"/>
  <w:documentProtection w:edit="forms" w:enforcement="1" w:cryptProviderType="rsaFull" w:cryptAlgorithmClass="hash" w:cryptAlgorithmType="typeAny" w:cryptAlgorithmSid="4" w:cryptSpinCount="0" w:hash="cOQNx+mqMWElco+i/WyA6bCRzMI=" w:salt="Uu0PRACMTrxQs4HR3Dr+t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8B2D73"/>
    <w:rsid w:val="0000040A"/>
    <w:rsid w:val="00000A94"/>
    <w:rsid w:val="00001972"/>
    <w:rsid w:val="00001D9A"/>
    <w:rsid w:val="00004943"/>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24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57978"/>
    <w:rsid w:val="00060C2E"/>
    <w:rsid w:val="00061033"/>
    <w:rsid w:val="000619E9"/>
    <w:rsid w:val="000622D4"/>
    <w:rsid w:val="0006357D"/>
    <w:rsid w:val="00067F1E"/>
    <w:rsid w:val="00071CC0"/>
    <w:rsid w:val="00071CFC"/>
    <w:rsid w:val="000736AE"/>
    <w:rsid w:val="00073C8C"/>
    <w:rsid w:val="00077B64"/>
    <w:rsid w:val="00080A1C"/>
    <w:rsid w:val="00082317"/>
    <w:rsid w:val="00083D2C"/>
    <w:rsid w:val="000843AE"/>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059F9"/>
    <w:rsid w:val="00113B1E"/>
    <w:rsid w:val="0011711C"/>
    <w:rsid w:val="0012376E"/>
    <w:rsid w:val="00124E4F"/>
    <w:rsid w:val="001260B7"/>
    <w:rsid w:val="001265CB"/>
    <w:rsid w:val="001321C6"/>
    <w:rsid w:val="001325C4"/>
    <w:rsid w:val="00133010"/>
    <w:rsid w:val="00133387"/>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787"/>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D4206"/>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4C41"/>
    <w:rsid w:val="00266EEB"/>
    <w:rsid w:val="00267EF4"/>
    <w:rsid w:val="002705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69D2"/>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1B5"/>
    <w:rsid w:val="00336C64"/>
    <w:rsid w:val="00337162"/>
    <w:rsid w:val="0034194F"/>
    <w:rsid w:val="00344605"/>
    <w:rsid w:val="003474AA"/>
    <w:rsid w:val="00350D1D"/>
    <w:rsid w:val="00352C83"/>
    <w:rsid w:val="00352F1A"/>
    <w:rsid w:val="003530E0"/>
    <w:rsid w:val="0036107C"/>
    <w:rsid w:val="003615D2"/>
    <w:rsid w:val="0036332C"/>
    <w:rsid w:val="0036429C"/>
    <w:rsid w:val="00364A53"/>
    <w:rsid w:val="003654CB"/>
    <w:rsid w:val="00365AA9"/>
    <w:rsid w:val="00365F86"/>
    <w:rsid w:val="00365F87"/>
    <w:rsid w:val="00366E89"/>
    <w:rsid w:val="003675F3"/>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7DB7"/>
    <w:rsid w:val="003B09AD"/>
    <w:rsid w:val="003B1F18"/>
    <w:rsid w:val="003B5BF0"/>
    <w:rsid w:val="003B60BF"/>
    <w:rsid w:val="003B6BE3"/>
    <w:rsid w:val="003C010C"/>
    <w:rsid w:val="003C0A6C"/>
    <w:rsid w:val="003C0E85"/>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611"/>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568"/>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6013"/>
    <w:rsid w:val="004C1FBC"/>
    <w:rsid w:val="004C25A2"/>
    <w:rsid w:val="004C3F1D"/>
    <w:rsid w:val="004C458D"/>
    <w:rsid w:val="004C7556"/>
    <w:rsid w:val="004C7E8B"/>
    <w:rsid w:val="004C7E9D"/>
    <w:rsid w:val="004C7F67"/>
    <w:rsid w:val="004D076D"/>
    <w:rsid w:val="004D0EF1"/>
    <w:rsid w:val="004D2253"/>
    <w:rsid w:val="004D3F7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1EE6"/>
    <w:rsid w:val="00502F8F"/>
    <w:rsid w:val="0050363E"/>
    <w:rsid w:val="005039BC"/>
    <w:rsid w:val="005043BB"/>
    <w:rsid w:val="00504A3D"/>
    <w:rsid w:val="00505767"/>
    <w:rsid w:val="005073F0"/>
    <w:rsid w:val="00510A7B"/>
    <w:rsid w:val="00512F6E"/>
    <w:rsid w:val="00513038"/>
    <w:rsid w:val="00514174"/>
    <w:rsid w:val="00516088"/>
    <w:rsid w:val="00516B0B"/>
    <w:rsid w:val="00517C15"/>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D1F"/>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53DD"/>
    <w:rsid w:val="005A7830"/>
    <w:rsid w:val="005A7FCE"/>
    <w:rsid w:val="005B0F3F"/>
    <w:rsid w:val="005B191C"/>
    <w:rsid w:val="005B4903"/>
    <w:rsid w:val="005B51CE"/>
    <w:rsid w:val="005B5885"/>
    <w:rsid w:val="005B5CD7"/>
    <w:rsid w:val="005B6CF6"/>
    <w:rsid w:val="005B7422"/>
    <w:rsid w:val="005B7DD5"/>
    <w:rsid w:val="005C29B8"/>
    <w:rsid w:val="005C5F21"/>
    <w:rsid w:val="005C7156"/>
    <w:rsid w:val="005D0C75"/>
    <w:rsid w:val="005D4171"/>
    <w:rsid w:val="005D6A95"/>
    <w:rsid w:val="005D6B2C"/>
    <w:rsid w:val="005D6D9C"/>
    <w:rsid w:val="005E2335"/>
    <w:rsid w:val="005E34CA"/>
    <w:rsid w:val="005E3C18"/>
    <w:rsid w:val="005E3D74"/>
    <w:rsid w:val="005E4250"/>
    <w:rsid w:val="005E468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064"/>
    <w:rsid w:val="00641A1F"/>
    <w:rsid w:val="00645904"/>
    <w:rsid w:val="0065062A"/>
    <w:rsid w:val="00651ACB"/>
    <w:rsid w:val="00651C47"/>
    <w:rsid w:val="00652AB2"/>
    <w:rsid w:val="00653FED"/>
    <w:rsid w:val="00654EC0"/>
    <w:rsid w:val="0065525B"/>
    <w:rsid w:val="00655D4F"/>
    <w:rsid w:val="00656D29"/>
    <w:rsid w:val="006640E5"/>
    <w:rsid w:val="006646F1"/>
    <w:rsid w:val="00664929"/>
    <w:rsid w:val="00664F62"/>
    <w:rsid w:val="006655E1"/>
    <w:rsid w:val="00665E69"/>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6AA"/>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57173"/>
    <w:rsid w:val="007600E3"/>
    <w:rsid w:val="00765C43"/>
    <w:rsid w:val="00765EFB"/>
    <w:rsid w:val="007671CA"/>
    <w:rsid w:val="00767C61"/>
    <w:rsid w:val="0077008A"/>
    <w:rsid w:val="00773C1F"/>
    <w:rsid w:val="00774DA4"/>
    <w:rsid w:val="0077522D"/>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1A1C"/>
    <w:rsid w:val="007B5A3D"/>
    <w:rsid w:val="007B5B95"/>
    <w:rsid w:val="007B6032"/>
    <w:rsid w:val="007B68EA"/>
    <w:rsid w:val="007B7453"/>
    <w:rsid w:val="007C2D89"/>
    <w:rsid w:val="007C4593"/>
    <w:rsid w:val="007C5309"/>
    <w:rsid w:val="007C603A"/>
    <w:rsid w:val="007C6069"/>
    <w:rsid w:val="007D06C4"/>
    <w:rsid w:val="007D1352"/>
    <w:rsid w:val="007D2508"/>
    <w:rsid w:val="007D346A"/>
    <w:rsid w:val="007D64E5"/>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2F0C"/>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2D73"/>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0F8"/>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2027"/>
    <w:rsid w:val="009E4A58"/>
    <w:rsid w:val="009E5A2D"/>
    <w:rsid w:val="009E5AB2"/>
    <w:rsid w:val="009E6219"/>
    <w:rsid w:val="009F03B3"/>
    <w:rsid w:val="009F68BD"/>
    <w:rsid w:val="00A0096C"/>
    <w:rsid w:val="00A01757"/>
    <w:rsid w:val="00A028C0"/>
    <w:rsid w:val="00A02BAE"/>
    <w:rsid w:val="00A06A6B"/>
    <w:rsid w:val="00A07E47"/>
    <w:rsid w:val="00A129D0"/>
    <w:rsid w:val="00A12C33"/>
    <w:rsid w:val="00A138BA"/>
    <w:rsid w:val="00A14C8E"/>
    <w:rsid w:val="00A153D9"/>
    <w:rsid w:val="00A15F09"/>
    <w:rsid w:val="00A169B6"/>
    <w:rsid w:val="00A21D89"/>
    <w:rsid w:val="00A2271D"/>
    <w:rsid w:val="00A237D5"/>
    <w:rsid w:val="00A27E99"/>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2140"/>
    <w:rsid w:val="00A83D8D"/>
    <w:rsid w:val="00A8446B"/>
    <w:rsid w:val="00A8473F"/>
    <w:rsid w:val="00A862D6"/>
    <w:rsid w:val="00A8715E"/>
    <w:rsid w:val="00A90664"/>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14CF"/>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215D"/>
    <w:rsid w:val="00B4346D"/>
    <w:rsid w:val="00B440F4"/>
    <w:rsid w:val="00B447A5"/>
    <w:rsid w:val="00B4654C"/>
    <w:rsid w:val="00B47293"/>
    <w:rsid w:val="00B50E50"/>
    <w:rsid w:val="00B513EA"/>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027A"/>
    <w:rsid w:val="00BE22F3"/>
    <w:rsid w:val="00BE5B52"/>
    <w:rsid w:val="00BE7B8D"/>
    <w:rsid w:val="00BF0993"/>
    <w:rsid w:val="00BF10A9"/>
    <w:rsid w:val="00BF1703"/>
    <w:rsid w:val="00BF231C"/>
    <w:rsid w:val="00BF51E5"/>
    <w:rsid w:val="00BF628D"/>
    <w:rsid w:val="00BF74A6"/>
    <w:rsid w:val="00C013AD"/>
    <w:rsid w:val="00C04904"/>
    <w:rsid w:val="00C056B3"/>
    <w:rsid w:val="00C1003D"/>
    <w:rsid w:val="00C103E5"/>
    <w:rsid w:val="00C13319"/>
    <w:rsid w:val="00C13EE9"/>
    <w:rsid w:val="00C21540"/>
    <w:rsid w:val="00C21906"/>
    <w:rsid w:val="00C21BFA"/>
    <w:rsid w:val="00C24C8D"/>
    <w:rsid w:val="00C25FE2"/>
    <w:rsid w:val="00C269F5"/>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1E0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9A"/>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2CC7"/>
    <w:rsid w:val="00D8399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107"/>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269C4"/>
    <w:rsid w:val="00E3137A"/>
    <w:rsid w:val="00E32CCF"/>
    <w:rsid w:val="00E34A98"/>
    <w:rsid w:val="00E35D1E"/>
    <w:rsid w:val="00E364F9"/>
    <w:rsid w:val="00E365FA"/>
    <w:rsid w:val="00E36789"/>
    <w:rsid w:val="00E44A83"/>
    <w:rsid w:val="00E4519C"/>
    <w:rsid w:val="00E502C1"/>
    <w:rsid w:val="00E502DD"/>
    <w:rsid w:val="00E50D3A"/>
    <w:rsid w:val="00E51387"/>
    <w:rsid w:val="00E51E68"/>
    <w:rsid w:val="00E52EFD"/>
    <w:rsid w:val="00E5408A"/>
    <w:rsid w:val="00E56800"/>
    <w:rsid w:val="00E60402"/>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0DFB"/>
    <w:rsid w:val="00F32780"/>
    <w:rsid w:val="00F33817"/>
    <w:rsid w:val="00F420D5"/>
    <w:rsid w:val="00F451EA"/>
    <w:rsid w:val="00F45447"/>
    <w:rsid w:val="00F456C6"/>
    <w:rsid w:val="00F4577B"/>
    <w:rsid w:val="00F46235"/>
    <w:rsid w:val="00F46496"/>
    <w:rsid w:val="00F474D0"/>
    <w:rsid w:val="00F50179"/>
    <w:rsid w:val="00F515EE"/>
    <w:rsid w:val="00F56511"/>
    <w:rsid w:val="00F6194E"/>
    <w:rsid w:val="00F623AC"/>
    <w:rsid w:val="00F6412A"/>
    <w:rsid w:val="00F65893"/>
    <w:rsid w:val="00F66A4A"/>
    <w:rsid w:val="00F71E22"/>
    <w:rsid w:val="00F72142"/>
    <w:rsid w:val="00F72AE7"/>
    <w:rsid w:val="00F731BD"/>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09E6"/>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0D41"/>
    <w:rsid w:val="00FF2A5D"/>
    <w:rsid w:val="00FF3E7D"/>
    <w:rsid w:val="00FF5B99"/>
    <w:rsid w:val="00FF730C"/>
    <w:rsid w:val="00FF73F4"/>
    <w:rsid w:val="00FF7CE4"/>
    <w:rsid w:val="00FF7E39"/>
    <w:rsid w:val="01543C57"/>
    <w:rsid w:val="01D06ADA"/>
    <w:rsid w:val="02E66B31"/>
    <w:rsid w:val="02F92D08"/>
    <w:rsid w:val="03C07382"/>
    <w:rsid w:val="03C54999"/>
    <w:rsid w:val="042E69E2"/>
    <w:rsid w:val="044F0706"/>
    <w:rsid w:val="04C82992"/>
    <w:rsid w:val="04F27A0F"/>
    <w:rsid w:val="05CF7D50"/>
    <w:rsid w:val="05F31C91"/>
    <w:rsid w:val="060E6ACB"/>
    <w:rsid w:val="067601CC"/>
    <w:rsid w:val="06F85085"/>
    <w:rsid w:val="0718750A"/>
    <w:rsid w:val="072A7934"/>
    <w:rsid w:val="07475263"/>
    <w:rsid w:val="07C1191B"/>
    <w:rsid w:val="07D23B28"/>
    <w:rsid w:val="08362309"/>
    <w:rsid w:val="086758C2"/>
    <w:rsid w:val="097C11D2"/>
    <w:rsid w:val="09D73678"/>
    <w:rsid w:val="09F71624"/>
    <w:rsid w:val="09FB1114"/>
    <w:rsid w:val="0A3665F0"/>
    <w:rsid w:val="0A4A4FFC"/>
    <w:rsid w:val="0A516F86"/>
    <w:rsid w:val="0A8C6210"/>
    <w:rsid w:val="0B2E5AAF"/>
    <w:rsid w:val="0C8F1FE8"/>
    <w:rsid w:val="0D10137A"/>
    <w:rsid w:val="0D222E5C"/>
    <w:rsid w:val="0DF06AB6"/>
    <w:rsid w:val="0E3C7F4D"/>
    <w:rsid w:val="0E8536A2"/>
    <w:rsid w:val="0E9331A5"/>
    <w:rsid w:val="0F040A6B"/>
    <w:rsid w:val="0F4F2D5A"/>
    <w:rsid w:val="0F930041"/>
    <w:rsid w:val="10463305"/>
    <w:rsid w:val="10B60D4A"/>
    <w:rsid w:val="1182036D"/>
    <w:rsid w:val="11B8120C"/>
    <w:rsid w:val="11C6025A"/>
    <w:rsid w:val="11F272A1"/>
    <w:rsid w:val="122A4C8C"/>
    <w:rsid w:val="1283240B"/>
    <w:rsid w:val="12A165D1"/>
    <w:rsid w:val="130474EB"/>
    <w:rsid w:val="139D148E"/>
    <w:rsid w:val="141C58F1"/>
    <w:rsid w:val="1437543F"/>
    <w:rsid w:val="14C82908"/>
    <w:rsid w:val="156404B5"/>
    <w:rsid w:val="159627D2"/>
    <w:rsid w:val="1651030E"/>
    <w:rsid w:val="16671B5C"/>
    <w:rsid w:val="17367C2F"/>
    <w:rsid w:val="17BF5E77"/>
    <w:rsid w:val="17DB7852"/>
    <w:rsid w:val="181D494B"/>
    <w:rsid w:val="196B16E7"/>
    <w:rsid w:val="19EA3331"/>
    <w:rsid w:val="1A3B37AF"/>
    <w:rsid w:val="1B1D486E"/>
    <w:rsid w:val="1B505038"/>
    <w:rsid w:val="1BDD2D6F"/>
    <w:rsid w:val="1BF16EB2"/>
    <w:rsid w:val="1C817B9F"/>
    <w:rsid w:val="1CB533A4"/>
    <w:rsid w:val="1D57445C"/>
    <w:rsid w:val="1DA578BD"/>
    <w:rsid w:val="1DAD4C5B"/>
    <w:rsid w:val="1DF75E3A"/>
    <w:rsid w:val="1E1862BA"/>
    <w:rsid w:val="1F026649"/>
    <w:rsid w:val="1F0C1276"/>
    <w:rsid w:val="1F2E743E"/>
    <w:rsid w:val="1F486752"/>
    <w:rsid w:val="1F503858"/>
    <w:rsid w:val="1F576995"/>
    <w:rsid w:val="1FBE07C2"/>
    <w:rsid w:val="20390790"/>
    <w:rsid w:val="21521B0A"/>
    <w:rsid w:val="216929AF"/>
    <w:rsid w:val="229D6DB5"/>
    <w:rsid w:val="22A04AF7"/>
    <w:rsid w:val="22C81958"/>
    <w:rsid w:val="22EE5862"/>
    <w:rsid w:val="230B6414"/>
    <w:rsid w:val="231352C9"/>
    <w:rsid w:val="2378337E"/>
    <w:rsid w:val="23E40A13"/>
    <w:rsid w:val="24C20D7B"/>
    <w:rsid w:val="25494FD2"/>
    <w:rsid w:val="2573204F"/>
    <w:rsid w:val="257858B7"/>
    <w:rsid w:val="25946303"/>
    <w:rsid w:val="25C24D84"/>
    <w:rsid w:val="267C4F33"/>
    <w:rsid w:val="27315853"/>
    <w:rsid w:val="277976C4"/>
    <w:rsid w:val="288602EB"/>
    <w:rsid w:val="28AB1AFF"/>
    <w:rsid w:val="28BC03AC"/>
    <w:rsid w:val="292F2731"/>
    <w:rsid w:val="29323FCF"/>
    <w:rsid w:val="2A152EC1"/>
    <w:rsid w:val="2A7A79DB"/>
    <w:rsid w:val="2A88034A"/>
    <w:rsid w:val="2AA0795F"/>
    <w:rsid w:val="2AFB6D6E"/>
    <w:rsid w:val="2B0F6376"/>
    <w:rsid w:val="2B100330"/>
    <w:rsid w:val="2B9176D3"/>
    <w:rsid w:val="2C1B2997"/>
    <w:rsid w:val="2C1F4CDE"/>
    <w:rsid w:val="2CC47634"/>
    <w:rsid w:val="2CF972DD"/>
    <w:rsid w:val="2D0363AE"/>
    <w:rsid w:val="2D6706EB"/>
    <w:rsid w:val="2D8172D3"/>
    <w:rsid w:val="2DC86CB0"/>
    <w:rsid w:val="2E59753B"/>
    <w:rsid w:val="2E642E7C"/>
    <w:rsid w:val="2ED77149"/>
    <w:rsid w:val="2ED95618"/>
    <w:rsid w:val="2F7B047E"/>
    <w:rsid w:val="30CD2F5B"/>
    <w:rsid w:val="30CE282F"/>
    <w:rsid w:val="3264344B"/>
    <w:rsid w:val="32A44120"/>
    <w:rsid w:val="32C51A10"/>
    <w:rsid w:val="33484B1B"/>
    <w:rsid w:val="334B0167"/>
    <w:rsid w:val="34000F51"/>
    <w:rsid w:val="34B61F58"/>
    <w:rsid w:val="35AD62A7"/>
    <w:rsid w:val="3607389D"/>
    <w:rsid w:val="365E6403"/>
    <w:rsid w:val="36932551"/>
    <w:rsid w:val="369D517D"/>
    <w:rsid w:val="374C0952"/>
    <w:rsid w:val="38196A86"/>
    <w:rsid w:val="384358B1"/>
    <w:rsid w:val="385B709E"/>
    <w:rsid w:val="388C36FB"/>
    <w:rsid w:val="388F6D48"/>
    <w:rsid w:val="38A071A7"/>
    <w:rsid w:val="38B93DC5"/>
    <w:rsid w:val="3902751A"/>
    <w:rsid w:val="390C65EA"/>
    <w:rsid w:val="39581830"/>
    <w:rsid w:val="39B822CE"/>
    <w:rsid w:val="3A4F49E1"/>
    <w:rsid w:val="3A791A5E"/>
    <w:rsid w:val="3B334302"/>
    <w:rsid w:val="3BA26D92"/>
    <w:rsid w:val="3BB84807"/>
    <w:rsid w:val="3BF07AFD"/>
    <w:rsid w:val="3BF75330"/>
    <w:rsid w:val="3C1A7270"/>
    <w:rsid w:val="3C797AF3"/>
    <w:rsid w:val="3CA8662A"/>
    <w:rsid w:val="3DA70690"/>
    <w:rsid w:val="3E4D1237"/>
    <w:rsid w:val="3EB70DA6"/>
    <w:rsid w:val="3EDE4585"/>
    <w:rsid w:val="3EF50744"/>
    <w:rsid w:val="3F6902F3"/>
    <w:rsid w:val="3FB31421"/>
    <w:rsid w:val="3FB5178A"/>
    <w:rsid w:val="40520D87"/>
    <w:rsid w:val="40A84E4B"/>
    <w:rsid w:val="41173D7E"/>
    <w:rsid w:val="418A4550"/>
    <w:rsid w:val="42226269"/>
    <w:rsid w:val="42460060"/>
    <w:rsid w:val="42B45D29"/>
    <w:rsid w:val="42D869AD"/>
    <w:rsid w:val="42DE28AD"/>
    <w:rsid w:val="43655275"/>
    <w:rsid w:val="43B43AC3"/>
    <w:rsid w:val="449776B0"/>
    <w:rsid w:val="44F9472B"/>
    <w:rsid w:val="451C0B6B"/>
    <w:rsid w:val="45A71B75"/>
    <w:rsid w:val="468E063F"/>
    <w:rsid w:val="46D324F5"/>
    <w:rsid w:val="471D452A"/>
    <w:rsid w:val="473C453F"/>
    <w:rsid w:val="47633879"/>
    <w:rsid w:val="477626C2"/>
    <w:rsid w:val="47EA5D49"/>
    <w:rsid w:val="48007F78"/>
    <w:rsid w:val="48403BBB"/>
    <w:rsid w:val="486475AF"/>
    <w:rsid w:val="48AE6D76"/>
    <w:rsid w:val="490270C2"/>
    <w:rsid w:val="49184B37"/>
    <w:rsid w:val="494901C7"/>
    <w:rsid w:val="49E022DA"/>
    <w:rsid w:val="4A9B332A"/>
    <w:rsid w:val="4ADB406F"/>
    <w:rsid w:val="4B920BD1"/>
    <w:rsid w:val="4B9F509C"/>
    <w:rsid w:val="4BB70638"/>
    <w:rsid w:val="4BD4042E"/>
    <w:rsid w:val="4BEA4569"/>
    <w:rsid w:val="4D302450"/>
    <w:rsid w:val="4D6C7200"/>
    <w:rsid w:val="4DD37209"/>
    <w:rsid w:val="4E143B1F"/>
    <w:rsid w:val="4E8F764A"/>
    <w:rsid w:val="4F0D0E5E"/>
    <w:rsid w:val="4F4E3061"/>
    <w:rsid w:val="4F624D5E"/>
    <w:rsid w:val="4F724029"/>
    <w:rsid w:val="4FC60E49"/>
    <w:rsid w:val="4FFF435B"/>
    <w:rsid w:val="50250266"/>
    <w:rsid w:val="5064378F"/>
    <w:rsid w:val="50AD3DB7"/>
    <w:rsid w:val="50B213CE"/>
    <w:rsid w:val="50E517A3"/>
    <w:rsid w:val="50EF5A05"/>
    <w:rsid w:val="50F43794"/>
    <w:rsid w:val="51143E36"/>
    <w:rsid w:val="518C1C1F"/>
    <w:rsid w:val="5257222D"/>
    <w:rsid w:val="526B5CD8"/>
    <w:rsid w:val="534F1156"/>
    <w:rsid w:val="53715570"/>
    <w:rsid w:val="538232D9"/>
    <w:rsid w:val="53DA1367"/>
    <w:rsid w:val="53DB6E8D"/>
    <w:rsid w:val="54B971CF"/>
    <w:rsid w:val="54DE6C35"/>
    <w:rsid w:val="54F00716"/>
    <w:rsid w:val="55B1434A"/>
    <w:rsid w:val="56101070"/>
    <w:rsid w:val="565D3B8A"/>
    <w:rsid w:val="5664316A"/>
    <w:rsid w:val="57603078"/>
    <w:rsid w:val="5822341B"/>
    <w:rsid w:val="585F1E3B"/>
    <w:rsid w:val="58A07A42"/>
    <w:rsid w:val="58B959EF"/>
    <w:rsid w:val="58C56D33"/>
    <w:rsid w:val="591C7D2C"/>
    <w:rsid w:val="59AC0F41"/>
    <w:rsid w:val="5A737E20"/>
    <w:rsid w:val="5A9B1124"/>
    <w:rsid w:val="5ADA2272"/>
    <w:rsid w:val="5B3752F1"/>
    <w:rsid w:val="5B3F5B69"/>
    <w:rsid w:val="5B562835"/>
    <w:rsid w:val="5BAD110F"/>
    <w:rsid w:val="5BF60DF4"/>
    <w:rsid w:val="5CA2679A"/>
    <w:rsid w:val="5CBA1D36"/>
    <w:rsid w:val="5CE24DE9"/>
    <w:rsid w:val="5CE648D9"/>
    <w:rsid w:val="5D3B6C83"/>
    <w:rsid w:val="5D9E3405"/>
    <w:rsid w:val="5E512ECF"/>
    <w:rsid w:val="5E730BBA"/>
    <w:rsid w:val="5EB36A3D"/>
    <w:rsid w:val="5EDC0830"/>
    <w:rsid w:val="5EED4EE2"/>
    <w:rsid w:val="5F553840"/>
    <w:rsid w:val="60C211B9"/>
    <w:rsid w:val="60D61108"/>
    <w:rsid w:val="61C176C2"/>
    <w:rsid w:val="621E0EDE"/>
    <w:rsid w:val="626B762E"/>
    <w:rsid w:val="62B114E5"/>
    <w:rsid w:val="6325595A"/>
    <w:rsid w:val="634E31D8"/>
    <w:rsid w:val="636C4406"/>
    <w:rsid w:val="64B915EA"/>
    <w:rsid w:val="64E33DF4"/>
    <w:rsid w:val="653A1C66"/>
    <w:rsid w:val="65562818"/>
    <w:rsid w:val="65A74E21"/>
    <w:rsid w:val="66C7577B"/>
    <w:rsid w:val="67157EF8"/>
    <w:rsid w:val="674F7309"/>
    <w:rsid w:val="68242759"/>
    <w:rsid w:val="68F16ADF"/>
    <w:rsid w:val="693B5FAC"/>
    <w:rsid w:val="69AE49D0"/>
    <w:rsid w:val="69B33D95"/>
    <w:rsid w:val="69C67F6C"/>
    <w:rsid w:val="69C97A5C"/>
    <w:rsid w:val="6A55309E"/>
    <w:rsid w:val="6A627569"/>
    <w:rsid w:val="6A9E4A45"/>
    <w:rsid w:val="6AF56363"/>
    <w:rsid w:val="6B320A72"/>
    <w:rsid w:val="6BC30951"/>
    <w:rsid w:val="6C662DA8"/>
    <w:rsid w:val="6D147240"/>
    <w:rsid w:val="6D2D0302"/>
    <w:rsid w:val="6D4A2C62"/>
    <w:rsid w:val="6D8343C6"/>
    <w:rsid w:val="6DF36E56"/>
    <w:rsid w:val="6EA168B2"/>
    <w:rsid w:val="6EF530A1"/>
    <w:rsid w:val="6F152DFC"/>
    <w:rsid w:val="6F6D49E6"/>
    <w:rsid w:val="6FAC7C04"/>
    <w:rsid w:val="6FC35714"/>
    <w:rsid w:val="6FC6486F"/>
    <w:rsid w:val="6FD11419"/>
    <w:rsid w:val="6FE364D9"/>
    <w:rsid w:val="700E61C9"/>
    <w:rsid w:val="70383246"/>
    <w:rsid w:val="710D6480"/>
    <w:rsid w:val="7189187F"/>
    <w:rsid w:val="71FA64CF"/>
    <w:rsid w:val="72565C05"/>
    <w:rsid w:val="72A746B3"/>
    <w:rsid w:val="72E871A5"/>
    <w:rsid w:val="72F86293"/>
    <w:rsid w:val="732D6784"/>
    <w:rsid w:val="736D76AA"/>
    <w:rsid w:val="737525FE"/>
    <w:rsid w:val="73A3131E"/>
    <w:rsid w:val="73DB2866"/>
    <w:rsid w:val="75287D2D"/>
    <w:rsid w:val="75524DAA"/>
    <w:rsid w:val="75587EE6"/>
    <w:rsid w:val="758C1337"/>
    <w:rsid w:val="75D43A11"/>
    <w:rsid w:val="75DA08FB"/>
    <w:rsid w:val="764D1790"/>
    <w:rsid w:val="76813875"/>
    <w:rsid w:val="76B13D52"/>
    <w:rsid w:val="771B11CB"/>
    <w:rsid w:val="77274014"/>
    <w:rsid w:val="776E4B73"/>
    <w:rsid w:val="77BB5F58"/>
    <w:rsid w:val="77FC724F"/>
    <w:rsid w:val="789D458E"/>
    <w:rsid w:val="78A064F4"/>
    <w:rsid w:val="78E24696"/>
    <w:rsid w:val="79750E46"/>
    <w:rsid w:val="79C124FE"/>
    <w:rsid w:val="7A462A03"/>
    <w:rsid w:val="7A792DD8"/>
    <w:rsid w:val="7AB67B89"/>
    <w:rsid w:val="7BCA5728"/>
    <w:rsid w:val="7BE6624C"/>
    <w:rsid w:val="7D0270B5"/>
    <w:rsid w:val="7D036989"/>
    <w:rsid w:val="7D050953"/>
    <w:rsid w:val="7D32101D"/>
    <w:rsid w:val="7D910439"/>
    <w:rsid w:val="7EA61CC2"/>
    <w:rsid w:val="7EB663A9"/>
    <w:rsid w:val="7EC96766"/>
    <w:rsid w:val="7EF93831"/>
    <w:rsid w:val="7F3B065C"/>
    <w:rsid w:val="7FF54A17"/>
    <w:rsid w:val="F3AF55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6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66">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6"/>
    <w:qFormat/>
    <w:uiPriority w:val="0"/>
    <w:pPr>
      <w:numPr>
        <w:ilvl w:val="0"/>
        <w:numId w:val="3"/>
      </w:numPr>
      <w:ind w:firstLine="0" w:firstLineChars="0"/>
    </w:pPr>
  </w:style>
  <w:style w:type="paragraph" w:customStyle="1" w:styleId="69">
    <w:name w:val="标准文件_封面标准编号"/>
    <w:basedOn w:val="1"/>
    <w:next w:val="59"/>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6"/>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6"/>
    <w:next w:val="56"/>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6"/>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5"/>
    <w:next w:val="66"/>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6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66"/>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111">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6"/>
    <w:qFormat/>
    <w:uiPriority w:val="0"/>
    <w:pPr>
      <w:outlineLvl w:val="4"/>
    </w:pPr>
  </w:style>
  <w:style w:type="paragraph" w:customStyle="1" w:styleId="131">
    <w:name w:val="附录四级无标题条"/>
    <w:basedOn w:val="130"/>
    <w:next w:val="56"/>
    <w:qFormat/>
    <w:uiPriority w:val="0"/>
    <w:pPr>
      <w:outlineLvl w:val="5"/>
    </w:pPr>
  </w:style>
  <w:style w:type="paragraph" w:customStyle="1" w:styleId="132">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6"/>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6"/>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6"/>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6"/>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5"/>
    <w:qFormat/>
    <w:uiPriority w:val="0"/>
    <w:pPr>
      <w:spacing w:before="0" w:beforeLines="0" w:after="0" w:afterLines="0"/>
      <w:outlineLvl w:val="9"/>
    </w:pPr>
    <w:rPr>
      <w:rFonts w:ascii="宋体" w:eastAsia="宋体"/>
    </w:rPr>
  </w:style>
  <w:style w:type="paragraph" w:customStyle="1" w:styleId="167">
    <w:name w:val="标准_四级无标题"/>
    <w:basedOn w:val="99"/>
    <w:next w:val="56"/>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6"/>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6"/>
    <w:qFormat/>
    <w:uiPriority w:val="0"/>
    <w:pPr>
      <w:ind w:firstLine="0" w:firstLineChars="0"/>
      <w:jc w:val="center"/>
    </w:pPr>
    <w:rPr>
      <w:sz w:val="18"/>
    </w:rPr>
  </w:style>
  <w:style w:type="paragraph" w:customStyle="1" w:styleId="180">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6"/>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6"/>
    <w:qFormat/>
    <w:uiPriority w:val="0"/>
    <w:rPr>
      <w:rFonts w:ascii="宋体" w:hAnsi="Times New Roman"/>
      <w:sz w:val="21"/>
    </w:rPr>
  </w:style>
  <w:style w:type="paragraph" w:customStyle="1" w:styleId="186">
    <w:name w:val="标准文件_表格续"/>
    <w:basedOn w:val="56"/>
    <w:next w:val="56"/>
    <w:qFormat/>
    <w:uiPriority w:val="0"/>
    <w:pPr>
      <w:jc w:val="center"/>
    </w:pPr>
    <w:rPr>
      <w:rFonts w:ascii="黑体" w:hAnsi="黑体" w:eastAsia="黑体"/>
    </w:rPr>
  </w:style>
  <w:style w:type="character" w:styleId="187">
    <w:name w:val="Placeholder Text"/>
    <w:basedOn w:val="28"/>
    <w:semiHidden/>
    <w:qFormat/>
    <w:uiPriority w:val="99"/>
    <w:rPr>
      <w:color w:val="808080"/>
    </w:rPr>
  </w:style>
  <w:style w:type="paragraph" w:customStyle="1" w:styleId="188">
    <w:name w:val="标准文件_二级项2"/>
    <w:basedOn w:val="56"/>
    <w:qFormat/>
    <w:uiPriority w:val="0"/>
    <w:pPr>
      <w:numPr>
        <w:ilvl w:val="1"/>
        <w:numId w:val="21"/>
      </w:numPr>
      <w:ind w:firstLine="0" w:firstLineChars="0"/>
    </w:pPr>
  </w:style>
  <w:style w:type="paragraph" w:customStyle="1" w:styleId="189">
    <w:name w:val="标准文件_三级项2"/>
    <w:basedOn w:val="56"/>
    <w:qFormat/>
    <w:uiPriority w:val="0"/>
    <w:pPr>
      <w:numPr>
        <w:ilvl w:val="0"/>
        <w:numId w:val="30"/>
      </w:numPr>
      <w:spacing w:line="300" w:lineRule="exact"/>
      <w:ind w:firstLineChars="0"/>
    </w:pPr>
    <w:rPr>
      <w:rFonts w:ascii="Times New Roman"/>
    </w:rPr>
  </w:style>
  <w:style w:type="paragraph" w:customStyle="1" w:styleId="190">
    <w:name w:val="标准文件_一级项2"/>
    <w:basedOn w:val="56"/>
    <w:qFormat/>
    <w:uiPriority w:val="0"/>
    <w:pPr>
      <w:numPr>
        <w:ilvl w:val="0"/>
        <w:numId w:val="31"/>
      </w:numPr>
      <w:spacing w:line="300" w:lineRule="exact"/>
      <w:ind w:firstLineChars="0"/>
    </w:pPr>
    <w:rPr>
      <w:rFonts w:ascii="Times New Roman"/>
    </w:rPr>
  </w:style>
  <w:style w:type="paragraph" w:customStyle="1" w:styleId="191">
    <w:name w:val="标准文件_提示"/>
    <w:basedOn w:val="56"/>
    <w:next w:val="56"/>
    <w:qFormat/>
    <w:uiPriority w:val="0"/>
    <w:pPr>
      <w:ind w:firstLine="420"/>
    </w:pPr>
    <w:rPr>
      <w:rFonts w:ascii="黑体" w:eastAsia="黑体"/>
    </w:rPr>
  </w:style>
  <w:style w:type="character" w:customStyle="1" w:styleId="192">
    <w:name w:val="标准文件_来源"/>
    <w:basedOn w:val="28"/>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6"/>
    <w:qFormat/>
    <w:uiPriority w:val="0"/>
    <w:pPr>
      <w:ind w:left="811" w:firstLine="0" w:firstLineChars="0"/>
    </w:pPr>
    <w:rPr>
      <w:sz w:val="18"/>
    </w:rPr>
  </w:style>
  <w:style w:type="paragraph" w:customStyle="1" w:styleId="207">
    <w:name w:val="标准文件_注X后"/>
    <w:basedOn w:val="56"/>
    <w:qFormat/>
    <w:uiPriority w:val="0"/>
    <w:pPr>
      <w:ind w:left="811" w:firstLine="0" w:firstLineChars="0"/>
    </w:pPr>
    <w:rPr>
      <w:sz w:val="18"/>
    </w:rPr>
  </w:style>
  <w:style w:type="paragraph" w:customStyle="1" w:styleId="208">
    <w:name w:val="标准文件_示例后"/>
    <w:basedOn w:val="56"/>
    <w:qFormat/>
    <w:uiPriority w:val="0"/>
    <w:pPr>
      <w:ind w:left="964" w:firstLine="0" w:firstLineChars="0"/>
    </w:pPr>
    <w:rPr>
      <w:sz w:val="18"/>
    </w:rPr>
  </w:style>
  <w:style w:type="paragraph" w:customStyle="1" w:styleId="209">
    <w:name w:val="标准文件_示例X后"/>
    <w:basedOn w:val="56"/>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6"/>
    <w:next w:val="56"/>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6"/>
    <w:qFormat/>
    <w:uiPriority w:val="0"/>
    <w:pPr>
      <w:spacing w:before="0" w:beforeLines="0" w:after="0" w:afterLines="0" w:line="276" w:lineRule="auto"/>
    </w:pPr>
    <w:rPr>
      <w:rFonts w:ascii="宋体" w:eastAsia="宋体"/>
    </w:rPr>
  </w:style>
  <w:style w:type="paragraph" w:customStyle="1" w:styleId="222">
    <w:name w:val="标准文件_索引标题"/>
    <w:basedOn w:val="63"/>
    <w:next w:val="56"/>
    <w:qFormat/>
    <w:uiPriority w:val="0"/>
    <w:rPr>
      <w:rFonts w:hAnsi="黑体"/>
    </w:rPr>
  </w:style>
  <w:style w:type="paragraph" w:customStyle="1" w:styleId="223">
    <w:name w:val="标准文件_脚注内容"/>
    <w:basedOn w:val="56"/>
    <w:qFormat/>
    <w:uiPriority w:val="0"/>
    <w:pPr>
      <w:ind w:left="400" w:leftChars="200" w:hanging="200" w:hangingChars="200"/>
    </w:pPr>
    <w:rPr>
      <w:sz w:val="15"/>
    </w:rPr>
  </w:style>
  <w:style w:type="paragraph" w:customStyle="1" w:styleId="224">
    <w:name w:val="标准文件_术语条一"/>
    <w:basedOn w:val="163"/>
    <w:next w:val="56"/>
    <w:qFormat/>
    <w:uiPriority w:val="0"/>
  </w:style>
  <w:style w:type="paragraph" w:customStyle="1" w:styleId="225">
    <w:name w:val="标准文件_术语条二"/>
    <w:basedOn w:val="166"/>
    <w:next w:val="56"/>
    <w:qFormat/>
    <w:uiPriority w:val="0"/>
  </w:style>
  <w:style w:type="paragraph" w:customStyle="1" w:styleId="226">
    <w:name w:val="标准文件_术语条三"/>
    <w:basedOn w:val="165"/>
    <w:next w:val="56"/>
    <w:qFormat/>
    <w:uiPriority w:val="0"/>
  </w:style>
  <w:style w:type="paragraph" w:customStyle="1" w:styleId="227">
    <w:name w:val="标准文件_术语条四"/>
    <w:basedOn w:val="168"/>
    <w:next w:val="56"/>
    <w:qFormat/>
    <w:uiPriority w:val="0"/>
  </w:style>
  <w:style w:type="paragraph" w:customStyle="1" w:styleId="228">
    <w:name w:val="标准文件_术语条五"/>
    <w:basedOn w:val="164"/>
    <w:next w:val="56"/>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8"/>
    <w:qFormat/>
    <w:uiPriority w:val="0"/>
    <w:rPr>
      <w:rFonts w:ascii="黑体" w:eastAsia="黑体"/>
      <w:spacing w:val="85"/>
      <w:w w:val="100"/>
      <w:position w:val="3"/>
      <w:sz w:val="28"/>
      <w:szCs w:val="28"/>
    </w:rPr>
  </w:style>
  <w:style w:type="paragraph" w:customStyle="1" w:styleId="231">
    <w:name w:val="标准文件_表格题注"/>
    <w:autoRedefine/>
    <w:qFormat/>
    <w:uiPriority w:val="0"/>
    <w:pPr>
      <w:numPr>
        <w:ilvl w:val="0"/>
        <w:numId w:val="32"/>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232">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233">
    <w:name w:val="标准文件_表格内容"/>
    <w:basedOn w:val="1"/>
    <w:autoRedefine/>
    <w:qFormat/>
    <w:uiPriority w:val="0"/>
    <w:pPr>
      <w:spacing w:line="300" w:lineRule="atLeast"/>
      <w:jc w:val="left"/>
    </w:pPr>
    <w:rPr>
      <w:rFonts w:ascii="宋体" w:hAnsi="宋体" w:cs="Times New Roman"/>
      <w:sz w:val="18"/>
    </w:rPr>
  </w:style>
  <w:style w:type="paragraph" w:customStyle="1" w:styleId="234">
    <w:name w:val="标准文件_图片题注"/>
    <w:autoRedefine/>
    <w:qFormat/>
    <w:uiPriority w:val="0"/>
    <w:pPr>
      <w:numPr>
        <w:ilvl w:val="0"/>
        <w:numId w:val="33"/>
      </w:numPr>
      <w:spacing w:before="50" w:beforeLines="50" w:after="50" w:afterLines="50"/>
      <w:jc w:val="center"/>
    </w:pPr>
    <w:rPr>
      <w:rFonts w:ascii="黑体" w:hAnsi="黑体" w:eastAsia="黑体" w:cstheme="minorBidi"/>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glossaryDocument" Target="glossary/document.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3.jpe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8.xml"/><Relationship Id="rId20" Type="http://schemas.openxmlformats.org/officeDocument/2006/relationships/footer" Target="footer7.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header" Target="header8.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weboffice\tmp\webword_2579374621\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1AAA52270374532AA7C98F5FC00429A"/>
        <w:style w:val=""/>
        <w:category>
          <w:name w:val="常规"/>
          <w:gallery w:val="placeholder"/>
        </w:category>
        <w:types>
          <w:type w:val="bbPlcHdr"/>
        </w:types>
        <w:behaviors>
          <w:behavior w:val="content"/>
        </w:behaviors>
        <w:description w:val=""/>
        <w:guid w:val="{39878737-4092-4C44-98C4-1B59EB04E72D}"/>
      </w:docPartPr>
      <w:docPartBody>
        <w:p w14:paraId="45CDA0F0">
          <w:pPr>
            <w:pStyle w:val="5"/>
            <w:rPr>
              <w:rFonts w:hint="eastAsia"/>
            </w:rPr>
          </w:pPr>
          <w:r>
            <w:rPr>
              <w:rStyle w:val="4"/>
              <w:rFonts w:hint="eastAsia"/>
            </w:rPr>
            <w:t>单击或点击此处输入文字。</w:t>
          </w:r>
        </w:p>
      </w:docPartBody>
    </w:docPart>
    <w:docPart>
      <w:docPartPr>
        <w:name w:val="FF0054CC84D048C2BFA2F4572D65DF65"/>
        <w:style w:val=""/>
        <w:category>
          <w:name w:val="常规"/>
          <w:gallery w:val="placeholder"/>
        </w:category>
        <w:types>
          <w:type w:val="bbPlcHdr"/>
        </w:types>
        <w:behaviors>
          <w:behavior w:val="content"/>
        </w:behaviors>
        <w:description w:val=""/>
        <w:guid w:val="{67F023CE-E9F0-49DF-88FB-2C7CFDB6FB0C}"/>
      </w:docPartPr>
      <w:docPartBody>
        <w:p w14:paraId="63AA39B4">
          <w:pPr>
            <w:pStyle w:val="6"/>
            <w:rPr>
              <w:rFonts w:hint="eastAsia"/>
            </w:rPr>
          </w:pPr>
          <w:r>
            <w:rPr>
              <w:rStyle w:val="4"/>
              <w:rFonts w:hint="eastAsia"/>
            </w:rPr>
            <w:t>选择一项。</w:t>
          </w:r>
        </w:p>
      </w:docPartBody>
    </w:docPart>
    <w:docPart>
      <w:docPartPr>
        <w:name w:val="BE3737DD1D8843BEAE6237A2BC536667"/>
        <w:style w:val=""/>
        <w:category>
          <w:name w:val="常规"/>
          <w:gallery w:val="placeholder"/>
        </w:category>
        <w:types>
          <w:type w:val="bbPlcHdr"/>
        </w:types>
        <w:behaviors>
          <w:behavior w:val="content"/>
        </w:behaviors>
        <w:description w:val=""/>
        <w:guid w:val="{D4495E1A-EA6F-47B1-9360-1785CC22357F}"/>
      </w:docPartPr>
      <w:docPartBody>
        <w:p w14:paraId="44ECB797">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A56"/>
    <w:rsid w:val="001D6273"/>
    <w:rsid w:val="0022344A"/>
    <w:rsid w:val="00463A56"/>
    <w:rsid w:val="004D3F73"/>
    <w:rsid w:val="00517C15"/>
    <w:rsid w:val="009F68BD"/>
    <w:rsid w:val="00A10C23"/>
    <w:rsid w:val="00A15C44"/>
    <w:rsid w:val="00A82140"/>
    <w:rsid w:val="00C26BDD"/>
    <w:rsid w:val="00E60402"/>
    <w:rsid w:val="00E9271E"/>
    <w:rsid w:val="00ED50FE"/>
    <w:rsid w:val="00F30DFB"/>
    <w:rsid w:val="00F30E94"/>
    <w:rsid w:val="00F6478F"/>
    <w:rsid w:val="00F86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1AAA52270374532AA7C98F5FC00429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FF0054CC84D048C2BFA2F4572D65DF6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BE3737DD1D8843BEAE6237A2BC5366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PCMI</Company>
  <Pages>10</Pages>
  <Words>3340</Words>
  <Characters>3812</Characters>
  <Lines>369</Lines>
  <Paragraphs>508</Paragraphs>
  <TotalTime>0</TotalTime>
  <ScaleCrop>false</ScaleCrop>
  <LinksUpToDate>false</LinksUpToDate>
  <CharactersWithSpaces>3941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2025-06-03T10:51:00Z</dcterms:created>
  <dc:creator>王志强</dc:creator>
  <dc:description>&lt;config cover="true" show_menu="true" version="1.0.0" doctype="SDKXY"&gt;_x000d_
&lt;/config&gt;</dc:description>
  <cp:lastModifiedBy>游钦凉</cp:lastModifiedBy>
  <cp:lastPrinted>2021-02-02T16:22:00Z</cp:lastPrinted>
  <dcterms:modified xsi:type="dcterms:W3CDTF">2026-04-29T01:07:28Z</dcterms:modified>
  <dc:title>团体标准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eyJoZGlkIjoiMjdlZDgyOTQyNjFjNTk3MWVlYTY0NzMzZGMxODZkODYiLCJ1c2VySWQiOiIxNTY4NTU3MDQ2In0=</vt:lpwstr>
  </property>
  <property fmtid="{D5CDD505-2E9C-101B-9397-08002B2CF9AE}" pid="15" name="KSOProductBuildVer">
    <vt:lpwstr>2052-12.1.0.22529</vt:lpwstr>
  </property>
  <property fmtid="{D5CDD505-2E9C-101B-9397-08002B2CF9AE}" pid="16" name="ICV">
    <vt:lpwstr>D437DF1607C8F68A4CA6BF6876CBB180_43</vt:lpwstr>
  </property>
  <property fmtid="{D5CDD505-2E9C-101B-9397-08002B2CF9AE}" pid="17" name="uuid">
    <vt:lpwstr>5eb7b5cc2eb37b0e99516e006bd52d19</vt:lpwstr>
  </property>
</Properties>
</file>