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101E4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2479F5FC">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36A72D20">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29.180</w:t>
            </w:r>
            <w:r>
              <w:rPr>
                <w:rFonts w:ascii="黑体" w:hAnsi="黑体" w:eastAsia="黑体"/>
                <w:sz w:val="21"/>
                <w:szCs w:val="21"/>
              </w:rPr>
              <w:fldChar w:fldCharType="end"/>
            </w:r>
            <w:bookmarkEnd w:id="0"/>
          </w:p>
        </w:tc>
      </w:tr>
      <w:tr w14:paraId="2A28C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16CD386B">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13A6FC0A">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500C492E">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ZIUR</w:t>
                  </w:r>
                  <w:r>
                    <w:fldChar w:fldCharType="end"/>
                  </w:r>
                  <w:bookmarkEnd w:id="1"/>
                </w:p>
              </w:tc>
            </w:tr>
          </w:tbl>
          <w:p w14:paraId="22935F3C">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K41</w:t>
            </w:r>
            <w:r>
              <w:rPr>
                <w:rFonts w:ascii="黑体" w:hAnsi="黑体" w:eastAsia="黑体"/>
                <w:sz w:val="21"/>
                <w:szCs w:val="21"/>
              </w:rPr>
              <w:fldChar w:fldCharType="end"/>
            </w:r>
            <w:bookmarkEnd w:id="2"/>
          </w:p>
        </w:tc>
      </w:tr>
    </w:tbl>
    <w:p w14:paraId="62635094">
      <w:pPr>
        <w:pStyle w:val="50"/>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浙江省产学研合作促进会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3D0FA134">
      <w:pPr>
        <w:pStyle w:val="196"/>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rPr>
        <w:t>ZIUR</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rPr>
        <w:t>2026</w:t>
      </w:r>
      <w:r>
        <w:fldChar w:fldCharType="end"/>
      </w:r>
      <w:bookmarkEnd w:id="7"/>
    </w:p>
    <w:p w14:paraId="0E99E2A3">
      <w:pPr>
        <w:pStyle w:val="197"/>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0992809">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197C8699">
      <w:pPr>
        <w:pStyle w:val="50"/>
        <w:framePr w:w="9639" w:h="6976" w:hRule="exact" w:hSpace="0" w:vSpace="0" w:wrap="around" w:hAnchor="page" w:y="6408"/>
        <w:jc w:val="center"/>
        <w:rPr>
          <w:rFonts w:hint="eastAsia" w:ascii="黑体" w:hAnsi="黑体" w:eastAsia="黑体"/>
          <w:b w:val="0"/>
          <w:bCs w:val="0"/>
          <w:w w:val="100"/>
        </w:rPr>
      </w:pPr>
    </w:p>
    <w:p w14:paraId="4EC462AF">
      <w:pPr>
        <w:pStyle w:val="198"/>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lang w:eastAsia="zh-CN"/>
        </w:rPr>
        <w:t>35kV 油浸式电力变压器技术规范</w:t>
      </w:r>
      <w:r>
        <w:fldChar w:fldCharType="end"/>
      </w:r>
      <w:bookmarkEnd w:id="9"/>
    </w:p>
    <w:p w14:paraId="46672E00">
      <w:pPr>
        <w:framePr w:w="9639" w:h="6974" w:hRule="exact" w:wrap="around" w:vAnchor="page" w:hAnchor="page" w:x="1419" w:y="6408" w:anchorLock="1"/>
        <w:ind w:left="-1418"/>
      </w:pPr>
    </w:p>
    <w:p w14:paraId="529975E9">
      <w:pPr>
        <w:pStyle w:val="126"/>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Technical specification for 35kV oil-immersed power transformers</w:t>
      </w:r>
      <w:r>
        <w:rPr>
          <w:rFonts w:eastAsia="黑体"/>
          <w:szCs w:val="28"/>
        </w:rPr>
        <w:fldChar w:fldCharType="end"/>
      </w:r>
      <w:bookmarkEnd w:id="10"/>
    </w:p>
    <w:p w14:paraId="2B1F9A60">
      <w:pPr>
        <w:framePr w:w="9639" w:h="6974" w:hRule="exact" w:wrap="around" w:vAnchor="page" w:hAnchor="page" w:x="1419" w:y="6408" w:anchorLock="1"/>
        <w:spacing w:line="760" w:lineRule="exact"/>
        <w:ind w:left="-1418"/>
      </w:pPr>
    </w:p>
    <w:p w14:paraId="428FF855">
      <w:pPr>
        <w:pStyle w:val="126"/>
        <w:framePr w:w="9639" w:h="6974" w:hRule="exact" w:wrap="around" w:vAnchor="page" w:hAnchor="page" w:x="1419" w:y="6408" w:anchorLock="1"/>
        <w:textAlignment w:val="bottom"/>
        <w:rPr>
          <w:rFonts w:eastAsia="黑体"/>
          <w:szCs w:val="28"/>
        </w:rPr>
      </w:pPr>
    </w:p>
    <w:p w14:paraId="23AEB5C6">
      <w:pPr>
        <w:pStyle w:val="126"/>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005421C5">
      <w:pPr>
        <w:pStyle w:val="126"/>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67DD76B5">
      <w:pPr>
        <w:pStyle w:val="126"/>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258AD120">
      <w:pPr>
        <w:pStyle w:val="194"/>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hint="eastAsia" w:ascii="黑体"/>
        </w:rPr>
        <w:t>2026</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3</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17</w:t>
      </w:r>
      <w:r>
        <w:rPr>
          <w:rFonts w:ascii="黑体"/>
        </w:rPr>
        <w:fldChar w:fldCharType="end"/>
      </w:r>
      <w:bookmarkEnd w:id="16"/>
      <w:r>
        <w:rPr>
          <w:rFonts w:hint="eastAsia"/>
        </w:rPr>
        <w:t>发布</w:t>
      </w:r>
    </w:p>
    <w:p w14:paraId="6AE10996">
      <w:pPr>
        <w:pStyle w:val="195"/>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hint="eastAsia" w:ascii="黑体"/>
        </w:rPr>
        <w:t>2026</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3</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17</w:t>
      </w:r>
      <w:r>
        <w:rPr>
          <w:rFonts w:ascii="黑体"/>
        </w:rPr>
        <w:fldChar w:fldCharType="end"/>
      </w:r>
      <w:bookmarkEnd w:id="19"/>
      <w:r>
        <w:rPr>
          <w:rFonts w:hint="eastAsia"/>
        </w:rPr>
        <w:t>实施</w:t>
      </w:r>
    </w:p>
    <w:p w14:paraId="415BED25">
      <w:pPr>
        <w:pStyle w:val="152"/>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rPr>
        <w:t>浙江省产学研合作促进会</w:t>
      </w:r>
      <w:r>
        <w:rPr>
          <w:rFonts w:hAnsi="黑体"/>
          <w:w w:val="100"/>
          <w:sz w:val="28"/>
        </w:rPr>
        <w:fldChar w:fldCharType="end"/>
      </w:r>
      <w:bookmarkEnd w:id="20"/>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23C3A8C9">
      <w:pPr>
        <w:rPr>
          <w:rFonts w:hint="eastAsia" w:ascii="宋体" w:hAnsi="宋体"/>
          <w:sz w:val="28"/>
          <w:szCs w:val="28"/>
        </w:rPr>
        <w:sectPr>
          <w:headerReference r:id="rId7" w:type="first"/>
          <w:footerReference r:id="rId9" w:type="first"/>
          <w:headerReference r:id="rId5" w:type="default"/>
          <w:headerReference r:id="rId6" w:type="even"/>
          <w:footerReference r:id="rId8"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12B7255C">
      <w:pPr>
        <w:pStyle w:val="92"/>
        <w:spacing w:after="360"/>
      </w:pPr>
      <w:bookmarkStart w:id="21" w:name="BookMark1"/>
      <w:r>
        <w:rPr>
          <w:rFonts w:hint="eastAsia"/>
          <w:spacing w:val="320"/>
        </w:rPr>
        <w:t>目</w:t>
      </w:r>
      <w:r>
        <w:rPr>
          <w:rFonts w:hint="eastAsia"/>
        </w:rPr>
        <w:t>次</w:t>
      </w:r>
    </w:p>
    <w:p w14:paraId="61808E39">
      <w:pPr>
        <w:pStyle w:val="19"/>
        <w:tabs>
          <w:tab w:val="right" w:leader="dot" w:pos="9354"/>
        </w:tabs>
      </w:pPr>
      <w:r>
        <w:fldChar w:fldCharType="begin"/>
      </w:r>
      <w:r>
        <w:instrText xml:space="preserve"> TOC \o "1-1" \h </w:instrText>
      </w:r>
      <w:r>
        <w:fldChar w:fldCharType="separate"/>
      </w:r>
      <w:r>
        <w:fldChar w:fldCharType="begin"/>
      </w:r>
      <w:r>
        <w:instrText xml:space="preserve"> HYPERLINK \l _Toc16406 </w:instrText>
      </w:r>
      <w:r>
        <w:fldChar w:fldCharType="separate"/>
      </w:r>
      <w:r>
        <w:rPr>
          <w:rFonts w:hint="eastAsia"/>
          <w:spacing w:val="318"/>
          <w:lang w:eastAsia="zh-CN"/>
        </w:rPr>
        <w:t>前</w:t>
      </w:r>
      <w:r>
        <w:rPr>
          <w:rFonts w:hint="eastAsia"/>
          <w:lang w:eastAsia="zh-CN"/>
        </w:rPr>
        <w:t>言</w:t>
      </w:r>
      <w:r>
        <w:tab/>
      </w:r>
      <w:r>
        <w:fldChar w:fldCharType="begin"/>
      </w:r>
      <w:r>
        <w:instrText xml:space="preserve"> PAGEREF _Toc16406 \h </w:instrText>
      </w:r>
      <w:r>
        <w:fldChar w:fldCharType="separate"/>
      </w:r>
      <w:r>
        <w:t>II</w:t>
      </w:r>
      <w:r>
        <w:fldChar w:fldCharType="end"/>
      </w:r>
      <w:r>
        <w:fldChar w:fldCharType="end"/>
      </w:r>
    </w:p>
    <w:p w14:paraId="441BDE88">
      <w:pPr>
        <w:pStyle w:val="19"/>
        <w:tabs>
          <w:tab w:val="right" w:leader="dot" w:pos="9354"/>
        </w:tabs>
      </w:pPr>
      <w:r>
        <w:fldChar w:fldCharType="begin"/>
      </w:r>
      <w:r>
        <w:instrText xml:space="preserve"> HYPERLINK \l _Toc10772 </w:instrText>
      </w:r>
      <w:r>
        <w:fldChar w:fldCharType="separate"/>
      </w:r>
      <w:r>
        <w:rPr>
          <w:rFonts w:hint="eastAsia" w:ascii="黑体" w:eastAsia="黑体"/>
          <w:i w:val="0"/>
        </w:rPr>
        <w:t xml:space="preserve">1 </w:t>
      </w:r>
      <w:r>
        <w:rPr>
          <w:rFonts w:hint="eastAsia"/>
        </w:rPr>
        <w:t>范围</w:t>
      </w:r>
      <w:r>
        <w:tab/>
      </w:r>
      <w:r>
        <w:fldChar w:fldCharType="begin"/>
      </w:r>
      <w:r>
        <w:instrText xml:space="preserve"> PAGEREF _Toc10772 \h </w:instrText>
      </w:r>
      <w:r>
        <w:fldChar w:fldCharType="separate"/>
      </w:r>
      <w:r>
        <w:t>1</w:t>
      </w:r>
      <w:r>
        <w:fldChar w:fldCharType="end"/>
      </w:r>
      <w:r>
        <w:fldChar w:fldCharType="end"/>
      </w:r>
    </w:p>
    <w:p w14:paraId="4B137BFA">
      <w:pPr>
        <w:pStyle w:val="19"/>
        <w:tabs>
          <w:tab w:val="right" w:leader="dot" w:pos="9354"/>
        </w:tabs>
      </w:pPr>
      <w:r>
        <w:fldChar w:fldCharType="begin"/>
      </w:r>
      <w:r>
        <w:instrText xml:space="preserve"> HYPERLINK \l _Toc28100 </w:instrText>
      </w:r>
      <w:r>
        <w:fldChar w:fldCharType="separate"/>
      </w:r>
      <w:r>
        <w:rPr>
          <w:rFonts w:hint="eastAsia" w:ascii="黑体" w:eastAsia="黑体"/>
          <w:i w:val="0"/>
        </w:rPr>
        <w:t xml:space="preserve">2 </w:t>
      </w:r>
      <w:r>
        <w:rPr>
          <w:rFonts w:hint="eastAsia"/>
        </w:rPr>
        <w:t>规范性引用文件</w:t>
      </w:r>
      <w:r>
        <w:tab/>
      </w:r>
      <w:r>
        <w:fldChar w:fldCharType="begin"/>
      </w:r>
      <w:r>
        <w:instrText xml:space="preserve"> PAGEREF _Toc28100 \h </w:instrText>
      </w:r>
      <w:r>
        <w:fldChar w:fldCharType="separate"/>
      </w:r>
      <w:r>
        <w:t>1</w:t>
      </w:r>
      <w:r>
        <w:fldChar w:fldCharType="end"/>
      </w:r>
      <w:r>
        <w:fldChar w:fldCharType="end"/>
      </w:r>
    </w:p>
    <w:p w14:paraId="382A4C94">
      <w:pPr>
        <w:pStyle w:val="19"/>
        <w:tabs>
          <w:tab w:val="right" w:leader="dot" w:pos="9354"/>
        </w:tabs>
      </w:pPr>
      <w:r>
        <w:fldChar w:fldCharType="begin"/>
      </w:r>
      <w:r>
        <w:instrText xml:space="preserve"> HYPERLINK \l _Toc22507 </w:instrText>
      </w:r>
      <w:r>
        <w:fldChar w:fldCharType="separate"/>
      </w:r>
      <w:r>
        <w:rPr>
          <w:rFonts w:hint="eastAsia" w:ascii="黑体" w:eastAsia="黑体"/>
          <w:i w:val="0"/>
        </w:rPr>
        <w:t xml:space="preserve">3 </w:t>
      </w:r>
      <w:r>
        <w:rPr>
          <w:rFonts w:hint="eastAsia"/>
          <w:szCs w:val="21"/>
        </w:rPr>
        <w:t>术语和定义</w:t>
      </w:r>
      <w:r>
        <w:tab/>
      </w:r>
      <w:r>
        <w:fldChar w:fldCharType="begin"/>
      </w:r>
      <w:r>
        <w:instrText xml:space="preserve"> PAGEREF _Toc22507 \h </w:instrText>
      </w:r>
      <w:r>
        <w:fldChar w:fldCharType="separate"/>
      </w:r>
      <w:r>
        <w:t>1</w:t>
      </w:r>
      <w:r>
        <w:fldChar w:fldCharType="end"/>
      </w:r>
      <w:r>
        <w:fldChar w:fldCharType="end"/>
      </w:r>
    </w:p>
    <w:p w14:paraId="6CC305D3">
      <w:pPr>
        <w:pStyle w:val="19"/>
        <w:tabs>
          <w:tab w:val="right" w:leader="dot" w:pos="9354"/>
        </w:tabs>
      </w:pPr>
      <w:r>
        <w:fldChar w:fldCharType="begin"/>
      </w:r>
      <w:r>
        <w:instrText xml:space="preserve"> HYPERLINK \l _Toc2883 </w:instrText>
      </w:r>
      <w:r>
        <w:fldChar w:fldCharType="separate"/>
      </w:r>
      <w:r>
        <w:rPr>
          <w:rFonts w:hint="eastAsia" w:ascii="黑体" w:eastAsia="黑体"/>
          <w:i w:val="0"/>
        </w:rPr>
        <w:t xml:space="preserve">4 </w:t>
      </w:r>
      <w:r>
        <w:rPr>
          <w:rFonts w:hint="eastAsia"/>
          <w:lang w:val="en-US" w:eastAsia="zh-CN"/>
        </w:rPr>
        <w:t>使用条件</w:t>
      </w:r>
      <w:r>
        <w:tab/>
      </w:r>
      <w:r>
        <w:fldChar w:fldCharType="begin"/>
      </w:r>
      <w:r>
        <w:instrText xml:space="preserve"> PAGEREF _Toc2883 \h </w:instrText>
      </w:r>
      <w:r>
        <w:fldChar w:fldCharType="separate"/>
      </w:r>
      <w:r>
        <w:t>1</w:t>
      </w:r>
      <w:r>
        <w:fldChar w:fldCharType="end"/>
      </w:r>
      <w:r>
        <w:fldChar w:fldCharType="end"/>
      </w:r>
    </w:p>
    <w:p w14:paraId="313A3CCC">
      <w:pPr>
        <w:pStyle w:val="19"/>
        <w:tabs>
          <w:tab w:val="right" w:leader="dot" w:pos="9354"/>
        </w:tabs>
      </w:pPr>
      <w:r>
        <w:fldChar w:fldCharType="begin"/>
      </w:r>
      <w:r>
        <w:instrText xml:space="preserve"> HYPERLINK \l _Toc10111 </w:instrText>
      </w:r>
      <w:r>
        <w:fldChar w:fldCharType="separate"/>
      </w:r>
      <w:r>
        <w:rPr>
          <w:rFonts w:hint="eastAsia" w:ascii="黑体" w:eastAsia="黑体"/>
          <w:i w:val="0"/>
        </w:rPr>
        <w:t xml:space="preserve">5 </w:t>
      </w:r>
      <w:r>
        <w:rPr>
          <w:rFonts w:hint="eastAsia"/>
          <w:lang w:val="en-US" w:eastAsia="zh-CN"/>
        </w:rPr>
        <w:t>技术要求</w:t>
      </w:r>
      <w:r>
        <w:tab/>
      </w:r>
      <w:r>
        <w:fldChar w:fldCharType="begin"/>
      </w:r>
      <w:r>
        <w:instrText xml:space="preserve"> PAGEREF _Toc10111 \h </w:instrText>
      </w:r>
      <w:r>
        <w:fldChar w:fldCharType="separate"/>
      </w:r>
      <w:r>
        <w:t>1</w:t>
      </w:r>
      <w:r>
        <w:fldChar w:fldCharType="end"/>
      </w:r>
      <w:r>
        <w:fldChar w:fldCharType="end"/>
      </w:r>
    </w:p>
    <w:p w14:paraId="68B69FE0">
      <w:pPr>
        <w:pStyle w:val="19"/>
        <w:tabs>
          <w:tab w:val="right" w:leader="dot" w:pos="9354"/>
        </w:tabs>
      </w:pPr>
      <w:r>
        <w:fldChar w:fldCharType="begin"/>
      </w:r>
      <w:r>
        <w:instrText xml:space="preserve"> HYPERLINK \l _Toc19698 </w:instrText>
      </w:r>
      <w:r>
        <w:fldChar w:fldCharType="separate"/>
      </w:r>
      <w:r>
        <w:rPr>
          <w:rFonts w:hint="eastAsia" w:ascii="黑体" w:eastAsia="黑体"/>
          <w:i w:val="0"/>
        </w:rPr>
        <w:t xml:space="preserve">6 </w:t>
      </w:r>
      <w:r>
        <w:rPr>
          <w:rFonts w:hint="eastAsia"/>
          <w:highlight w:val="none"/>
          <w:lang w:val="en-US" w:eastAsia="zh-CN"/>
        </w:rPr>
        <w:t>试验方法</w:t>
      </w:r>
      <w:r>
        <w:tab/>
      </w:r>
      <w:r>
        <w:fldChar w:fldCharType="begin"/>
      </w:r>
      <w:r>
        <w:instrText xml:space="preserve"> PAGEREF _Toc19698 \h </w:instrText>
      </w:r>
      <w:r>
        <w:fldChar w:fldCharType="separate"/>
      </w:r>
      <w:r>
        <w:t>3</w:t>
      </w:r>
      <w:r>
        <w:fldChar w:fldCharType="end"/>
      </w:r>
      <w:r>
        <w:fldChar w:fldCharType="end"/>
      </w:r>
    </w:p>
    <w:p w14:paraId="57EE8CDA">
      <w:pPr>
        <w:pStyle w:val="19"/>
        <w:tabs>
          <w:tab w:val="right" w:leader="dot" w:pos="9354"/>
        </w:tabs>
      </w:pPr>
      <w:r>
        <w:fldChar w:fldCharType="begin"/>
      </w:r>
      <w:r>
        <w:instrText xml:space="preserve"> HYPERLINK \l _Toc22351 </w:instrText>
      </w:r>
      <w:r>
        <w:fldChar w:fldCharType="separate"/>
      </w:r>
      <w:r>
        <w:rPr>
          <w:rFonts w:hint="eastAsia" w:ascii="黑体" w:eastAsia="黑体"/>
          <w:i w:val="0"/>
        </w:rPr>
        <w:t xml:space="preserve">7 </w:t>
      </w:r>
      <w:r>
        <w:rPr>
          <w:rFonts w:hint="eastAsia"/>
          <w:lang w:val="en-US" w:eastAsia="zh-CN"/>
        </w:rPr>
        <w:t>检验规则</w:t>
      </w:r>
      <w:r>
        <w:tab/>
      </w:r>
      <w:r>
        <w:fldChar w:fldCharType="begin"/>
      </w:r>
      <w:r>
        <w:instrText xml:space="preserve"> PAGEREF _Toc22351 \h </w:instrText>
      </w:r>
      <w:r>
        <w:fldChar w:fldCharType="separate"/>
      </w:r>
      <w:r>
        <w:t>4</w:t>
      </w:r>
      <w:r>
        <w:fldChar w:fldCharType="end"/>
      </w:r>
      <w:r>
        <w:fldChar w:fldCharType="end"/>
      </w:r>
    </w:p>
    <w:p w14:paraId="46110B33">
      <w:pPr>
        <w:pStyle w:val="19"/>
        <w:tabs>
          <w:tab w:val="right" w:leader="dot" w:pos="9354"/>
        </w:tabs>
      </w:pPr>
      <w:r>
        <w:fldChar w:fldCharType="begin"/>
      </w:r>
      <w:r>
        <w:instrText xml:space="preserve"> HYPERLINK \l _Toc19589 </w:instrText>
      </w:r>
      <w:r>
        <w:fldChar w:fldCharType="separate"/>
      </w:r>
      <w:r>
        <w:rPr>
          <w:rFonts w:hint="eastAsia" w:ascii="黑体" w:eastAsia="黑体"/>
          <w:i w:val="0"/>
        </w:rPr>
        <w:t xml:space="preserve">8 </w:t>
      </w:r>
      <w:r>
        <w:rPr>
          <w:rFonts w:hint="eastAsia"/>
        </w:rPr>
        <w:t>标志、</w:t>
      </w:r>
      <w:r>
        <w:rPr>
          <w:rFonts w:hint="eastAsia"/>
          <w:lang w:val="en-US" w:eastAsia="zh-CN"/>
        </w:rPr>
        <w:t>起吊、</w:t>
      </w:r>
      <w:r>
        <w:rPr>
          <w:rFonts w:hint="eastAsia"/>
        </w:rPr>
        <w:t>包装、运输和</w:t>
      </w:r>
      <w:r>
        <w:rPr>
          <w:rFonts w:hint="eastAsia"/>
          <w:lang w:val="en-US" w:eastAsia="zh-CN"/>
        </w:rPr>
        <w:t>贮存</w:t>
      </w:r>
      <w:r>
        <w:tab/>
      </w:r>
      <w:r>
        <w:fldChar w:fldCharType="begin"/>
      </w:r>
      <w:r>
        <w:instrText xml:space="preserve"> PAGEREF _Toc19589 \h </w:instrText>
      </w:r>
      <w:r>
        <w:fldChar w:fldCharType="separate"/>
      </w:r>
      <w:r>
        <w:t>5</w:t>
      </w:r>
      <w:r>
        <w:fldChar w:fldCharType="end"/>
      </w:r>
      <w:r>
        <w:fldChar w:fldCharType="end"/>
      </w:r>
    </w:p>
    <w:p w14:paraId="0DB6412A">
      <w:pPr>
        <w:pStyle w:val="92"/>
        <w:spacing w:after="360"/>
        <w:sectPr>
          <w:headerReference r:id="rId10" w:type="default"/>
          <w:footerReference r:id="rId12" w:type="default"/>
          <w:headerReference r:id="rId11" w:type="even"/>
          <w:footerReference r:id="rId13" w:type="even"/>
          <w:pgSz w:w="11906" w:h="16838"/>
          <w:pgMar w:top="1928" w:right="1134" w:bottom="1134" w:left="1134" w:header="1418" w:footer="1134" w:gutter="284"/>
          <w:pgNumType w:fmt="upperRoman" w:start="1"/>
          <w:cols w:space="425" w:num="1"/>
          <w:formProt w:val="0"/>
          <w:docGrid w:linePitch="312" w:charSpace="0"/>
        </w:sectPr>
      </w:pPr>
      <w:r>
        <w:fldChar w:fldCharType="end"/>
      </w:r>
    </w:p>
    <w:bookmarkEnd w:id="21"/>
    <w:p w14:paraId="0376D486">
      <w:pPr>
        <w:pStyle w:val="90"/>
        <w:bidi w:val="0"/>
        <w:rPr>
          <w:rFonts w:hint="eastAsia" w:eastAsia="宋体"/>
          <w:lang w:eastAsia="zh-CN"/>
        </w:rPr>
      </w:pPr>
      <w:bookmarkStart w:id="22" w:name="_Toc16406"/>
      <w:bookmarkStart w:id="23" w:name="BookMark2"/>
      <w:r>
        <w:rPr>
          <w:rFonts w:hint="eastAsia"/>
          <w:spacing w:val="318"/>
          <w:lang w:eastAsia="zh-CN"/>
        </w:rPr>
        <w:t>前</w:t>
      </w:r>
      <w:r>
        <w:rPr>
          <w:rFonts w:hint="eastAsia"/>
          <w:lang w:eastAsia="zh-CN"/>
        </w:rPr>
        <w:t>言</w:t>
      </w:r>
      <w:bookmarkEnd w:id="22"/>
    </w:p>
    <w:p w14:paraId="39474C9A">
      <w:pPr>
        <w:pStyle w:val="56"/>
        <w:bidi w:val="0"/>
        <w:rPr>
          <w:rFonts w:hint="eastAsia"/>
          <w:lang w:eastAsia="zh-CN"/>
        </w:rPr>
      </w:pPr>
      <w:r>
        <w:rPr>
          <w:rFonts w:hint="eastAsia"/>
          <w:lang w:eastAsia="zh-CN"/>
        </w:rPr>
        <w:t>本文件按照GB/T 1.1—2020《标准化工作导则  第1部分：标准化文件的结构和起草规则》的规定起草。</w:t>
      </w:r>
    </w:p>
    <w:p w14:paraId="7F5FB25C">
      <w:pPr>
        <w:pStyle w:val="56"/>
        <w:bidi w:val="0"/>
        <w:rPr>
          <w:rFonts w:hint="eastAsia"/>
          <w:lang w:eastAsia="zh-CN"/>
        </w:rPr>
      </w:pPr>
      <w:r>
        <w:rPr>
          <w:rFonts w:hint="eastAsia"/>
          <w:lang w:eastAsia="zh-CN"/>
        </w:rPr>
        <w:t>请注意本文件的某些内容可能涉及专利。本文件的发布机构不承担识别专利的责任。</w:t>
      </w:r>
    </w:p>
    <w:p w14:paraId="199916E1">
      <w:pPr>
        <w:pStyle w:val="56"/>
        <w:bidi w:val="0"/>
        <w:rPr>
          <w:rFonts w:hint="eastAsia"/>
          <w:lang w:eastAsia="zh-CN"/>
        </w:rPr>
      </w:pPr>
    </w:p>
    <w:p w14:paraId="166EA287">
      <w:pPr>
        <w:pStyle w:val="56"/>
        <w:bidi w:val="0"/>
        <w:rPr>
          <w:rFonts w:hint="eastAsia"/>
          <w:lang w:eastAsia="zh-CN"/>
        </w:rPr>
      </w:pPr>
    </w:p>
    <w:p w14:paraId="795A5126">
      <w:pPr>
        <w:pStyle w:val="56"/>
        <w:bidi w:val="0"/>
        <w:rPr>
          <w:rFonts w:hint="eastAsia"/>
          <w:lang w:eastAsia="zh-CN"/>
        </w:rPr>
      </w:pPr>
      <w:r>
        <w:rPr>
          <w:rFonts w:hint="eastAsia"/>
          <w:lang w:eastAsia="zh-CN"/>
        </w:rPr>
        <w:t>本文件由</w:t>
      </w:r>
      <w:bookmarkStart w:id="24" w:name="StdPresenter"/>
      <w:r>
        <w:rPr>
          <w:rFonts w:hint="eastAsia"/>
          <w:lang w:eastAsia="zh-CN"/>
        </w:rPr>
        <w:t>浙江豫德电气有限公司</w:t>
      </w:r>
      <w:bookmarkEnd w:id="24"/>
      <w:r>
        <w:rPr>
          <w:rFonts w:hint="eastAsia"/>
          <w:lang w:eastAsia="zh-CN"/>
        </w:rPr>
        <w:t>提出。</w:t>
      </w:r>
    </w:p>
    <w:p w14:paraId="18E53D92">
      <w:pPr>
        <w:pStyle w:val="56"/>
        <w:bidi w:val="0"/>
        <w:rPr>
          <w:rFonts w:hint="eastAsia"/>
          <w:lang w:eastAsia="zh-CN"/>
        </w:rPr>
      </w:pPr>
      <w:r>
        <w:rPr>
          <w:rFonts w:hint="eastAsia"/>
          <w:lang w:eastAsia="zh-CN"/>
        </w:rPr>
        <w:t>本文件由</w:t>
      </w:r>
      <w:bookmarkStart w:id="25" w:name="StdRegister"/>
      <w:r>
        <w:rPr>
          <w:rFonts w:hint="eastAsia"/>
          <w:lang w:eastAsia="zh-CN"/>
        </w:rPr>
        <w:t>浙江省产学研合作促进会</w:t>
      </w:r>
      <w:bookmarkEnd w:id="25"/>
      <w:r>
        <w:rPr>
          <w:rFonts w:hint="eastAsia"/>
          <w:lang w:eastAsia="zh-CN"/>
        </w:rPr>
        <w:t>归口。</w:t>
      </w:r>
    </w:p>
    <w:p w14:paraId="604685BC">
      <w:pPr>
        <w:pStyle w:val="56"/>
        <w:bidi w:val="0"/>
        <w:rPr>
          <w:rFonts w:hint="eastAsia"/>
          <w:lang w:eastAsia="zh-CN"/>
        </w:rPr>
      </w:pPr>
      <w:r>
        <w:rPr>
          <w:rFonts w:hint="eastAsia"/>
          <w:lang w:eastAsia="zh-CN"/>
        </w:rPr>
        <w:t>本文件起草单位：</w:t>
      </w:r>
      <w:bookmarkStart w:id="26" w:name="StdDraftdep"/>
      <w:r>
        <w:rPr>
          <w:rFonts w:hint="eastAsia"/>
          <w:lang w:eastAsia="zh-CN"/>
        </w:rPr>
        <w:t>浙江豫德电气有限公司</w:t>
      </w:r>
      <w:bookmarkEnd w:id="26"/>
      <w:r>
        <w:rPr>
          <w:rFonts w:hint="eastAsia"/>
          <w:lang w:eastAsia="zh-CN"/>
        </w:rPr>
        <w:t>。</w:t>
      </w:r>
    </w:p>
    <w:p w14:paraId="33AA0C81">
      <w:pPr>
        <w:pStyle w:val="56"/>
        <w:bidi w:val="0"/>
        <w:rPr>
          <w:rFonts w:hint="eastAsia"/>
          <w:lang w:eastAsia="zh-CN"/>
        </w:rPr>
      </w:pPr>
      <w:r>
        <w:rPr>
          <w:rFonts w:hint="eastAsia"/>
          <w:lang w:eastAsia="zh-CN"/>
        </w:rPr>
        <w:t>本文件主要起草人：</w:t>
      </w:r>
      <w:bookmarkStart w:id="27" w:name="StdDrafer"/>
      <w:r>
        <w:rPr>
          <w:rFonts w:hint="eastAsia"/>
          <w:lang w:eastAsia="zh-CN"/>
        </w:rPr>
        <w:t>×××、×××</w:t>
      </w:r>
      <w:bookmarkEnd w:id="27"/>
      <w:r>
        <w:rPr>
          <w:rFonts w:hint="eastAsia"/>
          <w:lang w:eastAsia="zh-CN"/>
        </w:rPr>
        <w:t>。</w:t>
      </w:r>
    </w:p>
    <w:p w14:paraId="6F68C73D">
      <w:pPr>
        <w:pStyle w:val="56"/>
        <w:bidi w:val="0"/>
        <w:rPr>
          <w:rFonts w:hint="eastAsia"/>
          <w:lang w:eastAsia="zh-CN"/>
        </w:rPr>
      </w:pPr>
    </w:p>
    <w:p w14:paraId="24F8F1C7">
      <w:pPr>
        <w:pStyle w:val="56"/>
        <w:bidi w:val="0"/>
        <w:rPr>
          <w:rFonts w:hint="eastAsia"/>
          <w:lang w:eastAsia="zh-CN"/>
        </w:rPr>
      </w:pPr>
    </w:p>
    <w:p w14:paraId="3C7EE6FF">
      <w:pPr>
        <w:pStyle w:val="56"/>
        <w:bidi w:val="0"/>
        <w:rPr>
          <w:rFonts w:hint="eastAsia"/>
          <w:lang w:eastAsia="zh-CN"/>
        </w:rPr>
      </w:pPr>
    </w:p>
    <w:p w14:paraId="70ABCCCF">
      <w:pPr>
        <w:pStyle w:val="56"/>
        <w:bidi w:val="0"/>
        <w:rPr>
          <w:rFonts w:hint="eastAsia"/>
          <w:lang w:eastAsia="zh-CN"/>
        </w:rPr>
      </w:pPr>
    </w:p>
    <w:p w14:paraId="244A47C0">
      <w:pPr>
        <w:pStyle w:val="56"/>
        <w:bidi w:val="0"/>
        <w:rPr>
          <w:rFonts w:hint="eastAsia"/>
          <w:lang w:eastAsia="zh-CN"/>
        </w:rPr>
        <w:sectPr>
          <w:headerReference r:id="rId14" w:type="default"/>
          <w:footerReference r:id="rId16" w:type="default"/>
          <w:headerReference r:id="rId15" w:type="even"/>
          <w:footerReference r:id="rId17" w:type="even"/>
          <w:pgSz w:w="11906" w:h="16838"/>
          <w:pgMar w:top="1928" w:right="1134" w:bottom="1134" w:left="1134" w:header="1418" w:footer="1134" w:gutter="284"/>
          <w:pgNumType w:fmt="upperRoman"/>
          <w:cols w:space="425" w:num="1"/>
          <w:formProt w:val="0"/>
          <w:docGrid w:linePitch="312" w:charSpace="0"/>
        </w:sectPr>
      </w:pPr>
    </w:p>
    <w:bookmarkEnd w:id="23"/>
    <w:p w14:paraId="637C7BC3">
      <w:pPr>
        <w:spacing w:line="20" w:lineRule="exact"/>
        <w:jc w:val="center"/>
        <w:rPr>
          <w:rFonts w:hint="eastAsia" w:ascii="黑体" w:hAnsi="黑体" w:eastAsia="黑体"/>
          <w:sz w:val="32"/>
          <w:szCs w:val="32"/>
        </w:rPr>
      </w:pPr>
      <w:bookmarkStart w:id="28" w:name="BookMark4"/>
    </w:p>
    <w:p w14:paraId="64F4F527">
      <w:pPr>
        <w:spacing w:line="20" w:lineRule="exact"/>
        <w:jc w:val="center"/>
        <w:rPr>
          <w:rFonts w:hint="eastAsia" w:ascii="黑体" w:hAnsi="黑体" w:eastAsia="黑体"/>
          <w:sz w:val="32"/>
          <w:szCs w:val="32"/>
        </w:rPr>
      </w:pPr>
    </w:p>
    <w:sdt>
      <w:sdtPr>
        <w:tag w:val="NEW_STAND_NAME"/>
        <w:id w:val="595910757"/>
        <w:lock w:val="sdtLocked"/>
        <w:placeholder>
          <w:docPart w:val="31AAA52270374532AA7C98F5FC00429A"/>
        </w:placeholder>
      </w:sdtPr>
      <w:sdtContent>
        <w:p w14:paraId="6CC36CCC">
          <w:pPr>
            <w:pStyle w:val="178"/>
            <w:spacing w:before="240" w:beforeLines="100" w:after="528" w:afterLines="220"/>
            <w:rPr>
              <w:rFonts w:hint="eastAsia"/>
            </w:rPr>
          </w:pPr>
          <w:bookmarkStart w:id="29" w:name="NEW_STAND_NAME"/>
          <w:r>
            <w:rPr>
              <w:rFonts w:hint="eastAsia"/>
              <w:lang w:eastAsia="zh-CN"/>
            </w:rPr>
            <w:t>35kV 油浸式电力变压器技术规范</w:t>
          </w:r>
          <w:bookmarkEnd w:id="29"/>
        </w:p>
      </w:sdtContent>
    </w:sdt>
    <w:p w14:paraId="7A7C3DE6">
      <w:pPr>
        <w:pStyle w:val="105"/>
        <w:spacing w:before="240" w:after="240"/>
      </w:pPr>
      <w:bookmarkStart w:id="30" w:name="_Toc17233333"/>
      <w:bookmarkStart w:id="31" w:name="_Toc24884211"/>
      <w:bookmarkStart w:id="32" w:name="_Toc26986771"/>
      <w:bookmarkStart w:id="33" w:name="_Toc26648465"/>
      <w:bookmarkStart w:id="34" w:name="_Toc24884218"/>
      <w:bookmarkStart w:id="35" w:name="_Toc199844081"/>
      <w:bookmarkStart w:id="36" w:name="_Toc26718930"/>
      <w:bookmarkStart w:id="37" w:name="_Toc26986530"/>
      <w:bookmarkStart w:id="38" w:name="_Toc97192964"/>
      <w:bookmarkStart w:id="39" w:name="_Toc17233325"/>
      <w:bookmarkStart w:id="40" w:name="_Toc10772"/>
      <w:r>
        <w:rPr>
          <w:rFonts w:hint="eastAsia"/>
        </w:rPr>
        <w:t>范围</w:t>
      </w:r>
      <w:bookmarkEnd w:id="30"/>
      <w:bookmarkEnd w:id="31"/>
      <w:bookmarkEnd w:id="32"/>
      <w:bookmarkEnd w:id="33"/>
      <w:bookmarkEnd w:id="34"/>
      <w:bookmarkEnd w:id="35"/>
      <w:bookmarkEnd w:id="36"/>
      <w:bookmarkEnd w:id="37"/>
      <w:bookmarkEnd w:id="38"/>
      <w:bookmarkEnd w:id="39"/>
      <w:bookmarkEnd w:id="40"/>
    </w:p>
    <w:p w14:paraId="4C3CA6F7">
      <w:pPr>
        <w:pStyle w:val="56"/>
        <w:ind w:firstLine="420"/>
        <w:rPr>
          <w:rFonts w:hint="eastAsia"/>
          <w:highlight w:val="none"/>
          <w:lang w:eastAsia="zh-CN"/>
        </w:rPr>
      </w:pPr>
      <w:bookmarkStart w:id="41" w:name="_Toc24884212"/>
      <w:bookmarkStart w:id="42" w:name="_Toc199844082"/>
      <w:bookmarkStart w:id="43" w:name="_Toc97192965"/>
      <w:bookmarkStart w:id="44" w:name="_Toc26986772"/>
      <w:bookmarkStart w:id="45" w:name="_Toc26986531"/>
      <w:bookmarkStart w:id="46" w:name="_Toc26718931"/>
      <w:bookmarkStart w:id="47" w:name="_Toc17233334"/>
      <w:bookmarkStart w:id="48" w:name="_Toc26648466"/>
      <w:bookmarkStart w:id="49" w:name="_Toc17233326"/>
      <w:bookmarkStart w:id="50" w:name="_Toc24884219"/>
      <w:r>
        <w:rPr>
          <w:rFonts w:hint="eastAsia"/>
          <w:highlight w:val="none"/>
          <w:lang w:eastAsia="zh-CN"/>
        </w:rPr>
        <w:t>本文件规定了 35kV 油浸式电力变压器的术语和定义、</w:t>
      </w:r>
      <w:r>
        <w:rPr>
          <w:rFonts w:hint="eastAsia"/>
          <w:highlight w:val="none"/>
          <w:lang w:val="en-US" w:eastAsia="zh-CN"/>
        </w:rPr>
        <w:t>使用条件、</w:t>
      </w:r>
      <w:r>
        <w:rPr>
          <w:rFonts w:hint="eastAsia"/>
          <w:highlight w:val="none"/>
          <w:lang w:eastAsia="zh-CN"/>
        </w:rPr>
        <w:t>技术要求、试验方法、检验规则及标志、</w:t>
      </w:r>
      <w:r>
        <w:rPr>
          <w:rFonts w:hint="eastAsia"/>
          <w:highlight w:val="none"/>
          <w:lang w:val="en-US" w:eastAsia="zh-CN"/>
        </w:rPr>
        <w:t>起吊、</w:t>
      </w:r>
      <w:r>
        <w:rPr>
          <w:rFonts w:hint="eastAsia"/>
          <w:highlight w:val="none"/>
          <w:lang w:eastAsia="zh-CN"/>
        </w:rPr>
        <w:t>包装、运输和贮存。</w:t>
      </w:r>
    </w:p>
    <w:p w14:paraId="15F59E25">
      <w:pPr>
        <w:pStyle w:val="56"/>
        <w:ind w:firstLine="420"/>
        <w:rPr>
          <w:rFonts w:hint="eastAsia"/>
          <w:highlight w:val="none"/>
          <w:lang w:eastAsia="zh-CN"/>
        </w:rPr>
      </w:pPr>
      <w:r>
        <w:rPr>
          <w:rFonts w:hint="eastAsia"/>
          <w:highlight w:val="none"/>
          <w:lang w:eastAsia="zh-CN"/>
        </w:rPr>
        <w:t>本文件适用于额定电压 35kV 级、额定频率 50Hz，采用油浸式绝缘冷却结构的油浸式电力变压器。</w:t>
      </w:r>
    </w:p>
    <w:p w14:paraId="5059402F">
      <w:pPr>
        <w:pStyle w:val="105"/>
        <w:spacing w:before="240" w:after="240"/>
      </w:pPr>
      <w:bookmarkStart w:id="51" w:name="_Toc28100"/>
      <w:r>
        <w:rPr>
          <w:rFonts w:hint="eastAsia"/>
        </w:rPr>
        <w:t>规范性引用文件</w:t>
      </w:r>
      <w:bookmarkEnd w:id="41"/>
      <w:bookmarkEnd w:id="42"/>
      <w:bookmarkEnd w:id="43"/>
      <w:bookmarkEnd w:id="44"/>
      <w:bookmarkEnd w:id="45"/>
      <w:bookmarkEnd w:id="46"/>
      <w:bookmarkEnd w:id="47"/>
      <w:bookmarkEnd w:id="48"/>
      <w:bookmarkEnd w:id="49"/>
      <w:bookmarkEnd w:id="50"/>
      <w:bookmarkEnd w:id="51"/>
    </w:p>
    <w:sdt>
      <w:sdtPr>
        <w:rPr>
          <w:rFonts w:hint="eastAsia"/>
        </w:rPr>
        <w:id w:val="715848253"/>
        <w:placeholder>
          <w:docPart w:val="FF0054CC84D048C2BFA2F4572D65DF65"/>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3DBA1BA2">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22B4D8E4">
      <w:pPr>
        <w:pStyle w:val="56"/>
        <w:ind w:firstLine="420"/>
        <w:rPr>
          <w:rFonts w:hint="eastAsia"/>
          <w:highlight w:val="none"/>
        </w:rPr>
      </w:pPr>
      <w:bookmarkStart w:id="52" w:name="OLE_LINK1"/>
      <w:r>
        <w:rPr>
          <w:rFonts w:hint="eastAsia"/>
          <w:highlight w:val="none"/>
        </w:rPr>
        <w:t>GB/T 191 包装储运图形符号标志</w:t>
      </w:r>
    </w:p>
    <w:p w14:paraId="16285361">
      <w:pPr>
        <w:pStyle w:val="56"/>
        <w:ind w:firstLine="420"/>
        <w:rPr>
          <w:rFonts w:hint="eastAsia"/>
          <w:highlight w:val="none"/>
        </w:rPr>
      </w:pPr>
      <w:r>
        <w:rPr>
          <w:rFonts w:hint="eastAsia"/>
          <w:highlight w:val="none"/>
        </w:rPr>
        <w:t>GB/T 1094.1 电力变压器 第1部分：总则</w:t>
      </w:r>
    </w:p>
    <w:p w14:paraId="1C931AEB">
      <w:pPr>
        <w:pStyle w:val="56"/>
        <w:ind w:firstLine="420"/>
        <w:rPr>
          <w:rFonts w:hint="eastAsia"/>
          <w:highlight w:val="none"/>
        </w:rPr>
      </w:pPr>
      <w:r>
        <w:rPr>
          <w:rFonts w:hint="eastAsia"/>
          <w:highlight w:val="none"/>
        </w:rPr>
        <w:t>GB/T 1094.2 电力变压器 第2部分：液浸式变压器的温升</w:t>
      </w:r>
    </w:p>
    <w:p w14:paraId="443992B6">
      <w:pPr>
        <w:pStyle w:val="56"/>
        <w:ind w:firstLine="420"/>
        <w:rPr>
          <w:rFonts w:hint="eastAsia"/>
          <w:highlight w:val="none"/>
        </w:rPr>
      </w:pPr>
      <w:r>
        <w:rPr>
          <w:rFonts w:hint="eastAsia"/>
          <w:highlight w:val="none"/>
        </w:rPr>
        <w:t>GB/T 1094.3 电力变压器 第3部分：绝缘水平、绝缘试验和外绝缘空气间隙</w:t>
      </w:r>
    </w:p>
    <w:p w14:paraId="06AC1D42">
      <w:pPr>
        <w:pStyle w:val="56"/>
        <w:ind w:firstLine="420"/>
        <w:rPr>
          <w:rFonts w:hint="eastAsia"/>
          <w:highlight w:val="none"/>
        </w:rPr>
      </w:pPr>
      <w:r>
        <w:rPr>
          <w:rFonts w:hint="eastAsia"/>
          <w:highlight w:val="none"/>
        </w:rPr>
        <w:t>GB/T 1094.4 电力变压器第4部分：电力变压器和电抗器的雷电冲击和操作冲击试验导则</w:t>
      </w:r>
    </w:p>
    <w:p w14:paraId="6A126933">
      <w:pPr>
        <w:pStyle w:val="56"/>
        <w:ind w:firstLine="420"/>
        <w:rPr>
          <w:rFonts w:hint="eastAsia"/>
          <w:highlight w:val="none"/>
        </w:rPr>
      </w:pPr>
      <w:r>
        <w:rPr>
          <w:rFonts w:hint="eastAsia"/>
          <w:highlight w:val="none"/>
        </w:rPr>
        <w:t>GB/T 1094.5 电力变压器 第5部分：承受短路的能力</w:t>
      </w:r>
    </w:p>
    <w:p w14:paraId="7BB8B1C1">
      <w:pPr>
        <w:pStyle w:val="56"/>
        <w:ind w:firstLine="420"/>
        <w:rPr>
          <w:rFonts w:hint="eastAsia"/>
          <w:highlight w:val="none"/>
        </w:rPr>
      </w:pPr>
      <w:r>
        <w:rPr>
          <w:rFonts w:hint="eastAsia"/>
          <w:highlight w:val="none"/>
        </w:rPr>
        <w:t>GB 2536 电工流体 变压器和开关用的未使用过的矿物绝缘油</w:t>
      </w:r>
    </w:p>
    <w:p w14:paraId="3FD62924">
      <w:pPr>
        <w:pStyle w:val="56"/>
        <w:ind w:firstLine="420"/>
        <w:rPr>
          <w:rFonts w:hint="eastAsia"/>
          <w:highlight w:val="none"/>
        </w:rPr>
      </w:pPr>
      <w:r>
        <w:rPr>
          <w:rFonts w:hint="eastAsia"/>
          <w:highlight w:val="none"/>
        </w:rPr>
        <w:t>GB/T 2828.1 计数抽样检验程序 第1部分：按接收质量限(AQL)检索的逐批检验抽样计划</w:t>
      </w:r>
    </w:p>
    <w:p w14:paraId="25067D48">
      <w:pPr>
        <w:pStyle w:val="56"/>
        <w:ind w:firstLine="420"/>
        <w:rPr>
          <w:rFonts w:hint="eastAsia"/>
          <w:highlight w:val="none"/>
        </w:rPr>
      </w:pPr>
      <w:r>
        <w:rPr>
          <w:rFonts w:hint="eastAsia"/>
          <w:highlight w:val="none"/>
        </w:rPr>
        <w:t>GB/T 6451 油浸式电力变压器技术参数和要求</w:t>
      </w:r>
    </w:p>
    <w:p w14:paraId="4BC8E838">
      <w:pPr>
        <w:pStyle w:val="56"/>
        <w:ind w:firstLine="420"/>
        <w:rPr>
          <w:rFonts w:hint="eastAsia"/>
          <w:highlight w:val="none"/>
        </w:rPr>
      </w:pPr>
      <w:r>
        <w:rPr>
          <w:rFonts w:hint="eastAsia"/>
          <w:highlight w:val="none"/>
        </w:rPr>
        <w:t>GB/T 2900.95 电工术语 变压器、调压器和电抗器</w:t>
      </w:r>
    </w:p>
    <w:p w14:paraId="2E0C909E">
      <w:pPr>
        <w:pStyle w:val="56"/>
        <w:ind w:firstLine="420"/>
        <w:rPr>
          <w:rFonts w:hint="eastAsia"/>
          <w:highlight w:val="none"/>
        </w:rPr>
      </w:pPr>
      <w:r>
        <w:rPr>
          <w:rFonts w:hint="eastAsia"/>
          <w:highlight w:val="none"/>
        </w:rPr>
        <w:t>GB 20052 电力变压器能效限定值及能效等级</w:t>
      </w:r>
    </w:p>
    <w:bookmarkEnd w:id="52"/>
    <w:p w14:paraId="6A285AF5">
      <w:pPr>
        <w:pStyle w:val="105"/>
        <w:spacing w:before="240" w:after="240"/>
      </w:pPr>
      <w:bookmarkStart w:id="53" w:name="_Toc199844083"/>
      <w:bookmarkStart w:id="54" w:name="_Toc97192966"/>
      <w:bookmarkStart w:id="55" w:name="_Toc22507"/>
      <w:r>
        <w:rPr>
          <w:rFonts w:hint="eastAsia"/>
          <w:szCs w:val="21"/>
        </w:rPr>
        <w:t>术语和定义</w:t>
      </w:r>
      <w:bookmarkEnd w:id="53"/>
      <w:bookmarkEnd w:id="54"/>
      <w:bookmarkEnd w:id="55"/>
    </w:p>
    <w:sdt>
      <w:sdtPr>
        <w:rPr>
          <w:rFonts w:hint="eastAsia"/>
        </w:rPr>
        <w:id w:val="-1"/>
        <w:placeholder>
          <w:docPart w:val="BE3737DD1D8843BEAE6237A2BC536667"/>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eastAsia"/>
        </w:rPr>
      </w:sdtEndPr>
      <w:sdtContent>
        <w:p w14:paraId="178296D9">
          <w:pPr>
            <w:pStyle w:val="56"/>
            <w:ind w:firstLine="420"/>
            <w:rPr>
              <w:rFonts w:hint="eastAsia"/>
              <w:lang w:val="en-US" w:eastAsia="zh-CN"/>
            </w:rPr>
          </w:pPr>
          <w:bookmarkStart w:id="56" w:name="_Toc26986532"/>
          <w:bookmarkEnd w:id="56"/>
          <w:r>
            <w:rPr>
              <w:rFonts w:hint="eastAsia"/>
              <w:lang w:val="en-US" w:eastAsia="zh-CN"/>
            </w:rPr>
            <w:t>GB/T 1094.1和GB/T 2900.95</w:t>
          </w:r>
          <w:r>
            <w:rPr>
              <w:rFonts w:hint="eastAsia" w:ascii="宋体" w:hAnsi="Times New Roman" w:eastAsia="宋体" w:cs="Times New Roman"/>
              <w:sz w:val="21"/>
              <w:lang w:val="en-US" w:eastAsia="zh-CN" w:bidi="ar-SA"/>
            </w:rPr>
            <w:t>界定的术语和定义适用于本文件。</w:t>
          </w:r>
        </w:p>
      </w:sdtContent>
    </w:sdt>
    <w:p w14:paraId="601A77C6">
      <w:pPr>
        <w:pStyle w:val="105"/>
        <w:spacing w:before="326" w:after="326"/>
        <w:rPr>
          <w:rFonts w:hint="eastAsia"/>
        </w:rPr>
      </w:pPr>
      <w:bookmarkStart w:id="57" w:name="_Toc2883"/>
      <w:bookmarkStart w:id="58" w:name="_Toc199844084"/>
      <w:r>
        <w:rPr>
          <w:rFonts w:hint="eastAsia"/>
          <w:lang w:val="en-US" w:eastAsia="zh-CN"/>
        </w:rPr>
        <w:t>使用条件</w:t>
      </w:r>
      <w:bookmarkEnd w:id="57"/>
    </w:p>
    <w:p w14:paraId="73AE853A">
      <w:pPr>
        <w:pStyle w:val="66"/>
        <w:rPr>
          <w:rFonts w:hint="eastAsia"/>
          <w:lang w:val="en-US" w:eastAsia="zh-CN"/>
        </w:rPr>
      </w:pPr>
      <w:r>
        <w:rPr>
          <w:rFonts w:hint="eastAsia"/>
          <w:lang w:val="en-US" w:eastAsia="zh-CN"/>
        </w:rPr>
        <w:t>使用环境条件应符合下列要求：</w:t>
      </w:r>
    </w:p>
    <w:p w14:paraId="2B929104">
      <w:pPr>
        <w:pStyle w:val="175"/>
        <w:bidi w:val="0"/>
        <w:ind w:left="851" w:leftChars="0" w:hanging="426" w:firstLineChars="0"/>
        <w:rPr>
          <w:rFonts w:hint="default"/>
          <w:lang w:val="en-US" w:eastAsia="zh-CN"/>
        </w:rPr>
      </w:pPr>
      <w:r>
        <w:rPr>
          <w:rFonts w:hint="eastAsia"/>
          <w:lang w:val="en-US" w:eastAsia="zh-CN"/>
        </w:rPr>
        <w:t>环境温度：-25℃</w:t>
      </w:r>
      <w:r>
        <w:rPr>
          <w:rFonts w:hint="default" w:ascii="Times New Roman" w:hAnsi="Times New Roman" w:cs="Times New Roman"/>
          <w:lang w:val="en-US" w:eastAsia="zh-CN"/>
        </w:rPr>
        <w:t>~</w:t>
      </w:r>
      <w:r>
        <w:rPr>
          <w:rFonts w:hint="eastAsia"/>
          <w:lang w:val="en-US" w:eastAsia="zh-CN"/>
        </w:rPr>
        <w:t>40℃；</w:t>
      </w:r>
    </w:p>
    <w:p w14:paraId="75CC9C7D">
      <w:pPr>
        <w:pStyle w:val="175"/>
        <w:bidi w:val="0"/>
        <w:ind w:left="851" w:leftChars="0" w:hanging="426" w:firstLineChars="0"/>
        <w:rPr>
          <w:rFonts w:hint="default"/>
          <w:lang w:val="en-US" w:eastAsia="zh-CN"/>
        </w:rPr>
      </w:pPr>
      <w:r>
        <w:rPr>
          <w:rFonts w:hint="eastAsia"/>
          <w:lang w:val="en-US" w:eastAsia="zh-CN"/>
        </w:rPr>
        <w:t>环境湿度：不超过90%（环境温度25℃）；</w:t>
      </w:r>
    </w:p>
    <w:p w14:paraId="5C1CB0C0">
      <w:pPr>
        <w:pStyle w:val="175"/>
        <w:bidi w:val="0"/>
        <w:ind w:left="851" w:leftChars="0" w:hanging="426" w:firstLineChars="0"/>
        <w:rPr>
          <w:rFonts w:hint="default"/>
          <w:lang w:val="en-US" w:eastAsia="zh-CN"/>
        </w:rPr>
      </w:pPr>
      <w:r>
        <w:rPr>
          <w:rFonts w:hint="eastAsia"/>
          <w:lang w:val="en-US" w:eastAsia="zh-CN"/>
        </w:rPr>
        <w:t>大气压力：70MPa</w:t>
      </w:r>
      <w:r>
        <w:rPr>
          <w:rFonts w:hint="default" w:ascii="Times New Roman" w:hAnsi="Times New Roman" w:cs="Times New Roman"/>
          <w:lang w:val="en-US" w:eastAsia="zh-CN"/>
        </w:rPr>
        <w:t>~</w:t>
      </w:r>
      <w:r>
        <w:rPr>
          <w:rFonts w:hint="eastAsia"/>
          <w:lang w:val="en-US" w:eastAsia="zh-CN"/>
        </w:rPr>
        <w:t>106MPa；</w:t>
      </w:r>
    </w:p>
    <w:p w14:paraId="4CDF62BF">
      <w:pPr>
        <w:pStyle w:val="175"/>
        <w:bidi w:val="0"/>
        <w:ind w:left="851" w:leftChars="0" w:hanging="426" w:firstLineChars="0"/>
        <w:rPr>
          <w:rFonts w:hint="default"/>
          <w:lang w:val="en-US" w:eastAsia="zh-CN"/>
        </w:rPr>
      </w:pPr>
      <w:r>
        <w:rPr>
          <w:rFonts w:hint="eastAsia"/>
          <w:lang w:val="en-US" w:eastAsia="zh-CN"/>
        </w:rPr>
        <w:t>海拔高度：不超过1000m；</w:t>
      </w:r>
    </w:p>
    <w:p w14:paraId="2C45C763">
      <w:pPr>
        <w:pStyle w:val="175"/>
        <w:bidi w:val="0"/>
        <w:ind w:left="851" w:leftChars="0" w:hanging="426" w:firstLineChars="0"/>
        <w:rPr>
          <w:rFonts w:hint="default"/>
          <w:lang w:val="en-US" w:eastAsia="zh-CN"/>
        </w:rPr>
      </w:pPr>
      <w:r>
        <w:rPr>
          <w:rFonts w:hint="eastAsia"/>
          <w:lang w:val="en-US" w:eastAsia="zh-CN"/>
        </w:rPr>
        <w:t>最大日照强度：不超过0.1W/cm2（风速0.5m/s）；</w:t>
      </w:r>
    </w:p>
    <w:p w14:paraId="2F2AFBBD">
      <w:pPr>
        <w:pStyle w:val="175"/>
        <w:bidi w:val="0"/>
        <w:ind w:left="851" w:leftChars="0" w:hanging="426" w:firstLineChars="0"/>
        <w:rPr>
          <w:rFonts w:hint="default"/>
          <w:lang w:val="en-US" w:eastAsia="zh-CN"/>
        </w:rPr>
      </w:pPr>
      <w:r>
        <w:rPr>
          <w:rFonts w:hint="eastAsia"/>
          <w:lang w:val="en-US" w:eastAsia="zh-CN"/>
        </w:rPr>
        <w:t>污秽等级：应不超过c级或d级。</w:t>
      </w:r>
    </w:p>
    <w:p w14:paraId="3787B65E">
      <w:pPr>
        <w:pStyle w:val="105"/>
        <w:spacing w:before="326" w:after="326"/>
        <w:rPr>
          <w:rFonts w:hint="eastAsia"/>
        </w:rPr>
      </w:pPr>
      <w:bookmarkStart w:id="59" w:name="_Toc10111"/>
      <w:r>
        <w:rPr>
          <w:rFonts w:hint="eastAsia"/>
          <w:lang w:val="en-US" w:eastAsia="zh-CN"/>
        </w:rPr>
        <w:t>技术要求</w:t>
      </w:r>
      <w:bookmarkEnd w:id="59"/>
    </w:p>
    <w:p w14:paraId="3F2C93AE">
      <w:pPr>
        <w:pStyle w:val="106"/>
        <w:bidi w:val="0"/>
        <w:rPr>
          <w:rFonts w:hint="eastAsia"/>
          <w:lang w:val="en-US" w:eastAsia="zh-CN"/>
        </w:rPr>
      </w:pPr>
      <w:r>
        <w:rPr>
          <w:rFonts w:hint="eastAsia"/>
          <w:lang w:val="en-US" w:eastAsia="zh-CN"/>
        </w:rPr>
        <w:t>外观质量</w:t>
      </w:r>
    </w:p>
    <w:p w14:paraId="5C85B33A">
      <w:pPr>
        <w:pStyle w:val="166"/>
        <w:bidi w:val="0"/>
        <w:rPr>
          <w:rFonts w:hint="eastAsia"/>
          <w:lang w:val="en-US" w:eastAsia="zh-CN"/>
        </w:rPr>
      </w:pPr>
      <w:r>
        <w:rPr>
          <w:rFonts w:hint="eastAsia"/>
          <w:lang w:val="en-US" w:eastAsia="zh-CN"/>
        </w:rPr>
        <w:t>产品表面不应有图样上未规定的凸起、凹陷、粗糙不平和其他损伤等缺陷，且不应有可能影响使用性能和降低强度的缺陷存在。</w:t>
      </w:r>
    </w:p>
    <w:p w14:paraId="5D91D0DA">
      <w:pPr>
        <w:pStyle w:val="166"/>
        <w:bidi w:val="0"/>
        <w:rPr>
          <w:rFonts w:hint="eastAsia"/>
          <w:lang w:val="en-US" w:eastAsia="zh-CN"/>
        </w:rPr>
      </w:pPr>
      <w:r>
        <w:rPr>
          <w:rFonts w:hint="eastAsia"/>
          <w:lang w:val="en-US" w:eastAsia="zh-CN"/>
        </w:rPr>
        <w:t>变压器表面涂层及零部件表面镀层应均匀，附着牢固、无裂缝、脱皮和气泡等缺陷。</w:t>
      </w:r>
    </w:p>
    <w:p w14:paraId="6637B120">
      <w:pPr>
        <w:pStyle w:val="106"/>
        <w:bidi w:val="0"/>
        <w:rPr>
          <w:rFonts w:hint="eastAsia"/>
          <w:lang w:val="en-US" w:eastAsia="zh-CN"/>
        </w:rPr>
      </w:pPr>
      <w:r>
        <w:rPr>
          <w:rFonts w:hint="eastAsia"/>
          <w:lang w:val="en-US" w:eastAsia="zh-CN"/>
        </w:rPr>
        <w:t>结构要求</w:t>
      </w:r>
    </w:p>
    <w:p w14:paraId="1B22113F">
      <w:pPr>
        <w:pStyle w:val="166"/>
        <w:bidi w:val="0"/>
        <w:rPr>
          <w:rFonts w:hint="eastAsia"/>
          <w:lang w:val="en-US" w:eastAsia="zh-CN"/>
        </w:rPr>
      </w:pPr>
      <w:r>
        <w:rPr>
          <w:rFonts w:hint="eastAsia"/>
          <w:lang w:val="en-US" w:eastAsia="zh-CN"/>
        </w:rPr>
        <w:t>变压器整体结构应符合GB 1094.1、GB/T 6451的规定。</w:t>
      </w:r>
    </w:p>
    <w:p w14:paraId="47D59F62">
      <w:pPr>
        <w:pStyle w:val="166"/>
        <w:bidi w:val="0"/>
        <w:rPr>
          <w:rFonts w:hint="eastAsia"/>
          <w:lang w:val="en-US" w:eastAsia="zh-CN"/>
        </w:rPr>
      </w:pPr>
      <w:r>
        <w:rPr>
          <w:rFonts w:hint="eastAsia"/>
          <w:lang w:val="en-US" w:eastAsia="zh-CN"/>
        </w:rPr>
        <w:t>铁芯结构应符合GB/T 1094.3，且满足以下要求：</w:t>
      </w:r>
    </w:p>
    <w:p w14:paraId="65BE88E8">
      <w:pPr>
        <w:pStyle w:val="175"/>
        <w:numPr>
          <w:numId w:val="34"/>
        </w:numPr>
        <w:bidi w:val="0"/>
        <w:ind w:left="851" w:leftChars="0" w:hanging="426" w:firstLineChars="0"/>
        <w:rPr>
          <w:rFonts w:hint="eastAsia"/>
          <w:lang w:val="en-US" w:eastAsia="zh-CN"/>
        </w:rPr>
      </w:pPr>
      <w:r>
        <w:rPr>
          <w:rFonts w:hint="eastAsia"/>
          <w:lang w:val="en-US" w:eastAsia="zh-CN"/>
        </w:rPr>
        <w:t>铁芯采用高导磁低损耗冷轧取向硅钢片，叠片紧密、接缝合理；</w:t>
      </w:r>
    </w:p>
    <w:p w14:paraId="42C155D6">
      <w:pPr>
        <w:pStyle w:val="175"/>
        <w:numPr>
          <w:numId w:val="34"/>
        </w:numPr>
        <w:bidi w:val="0"/>
        <w:ind w:left="851" w:leftChars="0" w:hanging="426" w:firstLineChars="0"/>
        <w:rPr>
          <w:rFonts w:hint="eastAsia"/>
          <w:lang w:val="en-US" w:eastAsia="zh-CN"/>
        </w:rPr>
      </w:pPr>
      <w:r>
        <w:rPr>
          <w:rFonts w:hint="eastAsia"/>
          <w:lang w:val="en-US" w:eastAsia="zh-CN"/>
        </w:rPr>
        <w:t>铁芯应可靠接地，单点接地结构，防止悬浮电位放电。</w:t>
      </w:r>
    </w:p>
    <w:p w14:paraId="780F2177">
      <w:pPr>
        <w:pStyle w:val="166"/>
        <w:bidi w:val="0"/>
        <w:rPr>
          <w:rFonts w:hint="eastAsia"/>
          <w:lang w:val="en-US" w:eastAsia="zh-CN"/>
        </w:rPr>
      </w:pPr>
      <w:r>
        <w:rPr>
          <w:rFonts w:hint="eastAsia"/>
          <w:lang w:val="en-US" w:eastAsia="zh-CN"/>
        </w:rPr>
        <w:t>绕组选用高强度电磁线绕制，整体绝缘结构设计合理、性能可靠，其匝间、层间及段间绝缘性能均符合额定绝缘水平及温升限值相关要求；绕组与引出线连接结构稳定，焊接或机械连接工艺牢固可靠，可长期保持接触电阻稳定，满足设备运行工况要求。</w:t>
      </w:r>
    </w:p>
    <w:p w14:paraId="0041DA32">
      <w:pPr>
        <w:pStyle w:val="166"/>
        <w:bidi w:val="0"/>
        <w:rPr>
          <w:rFonts w:hint="eastAsia"/>
          <w:lang w:val="en-US" w:eastAsia="zh-CN"/>
        </w:rPr>
      </w:pPr>
      <w:r>
        <w:rPr>
          <w:rFonts w:hint="eastAsia"/>
          <w:lang w:val="en-US" w:eastAsia="zh-CN"/>
        </w:rPr>
        <w:t>油箱应采用全密封结构设计，焊接工艺优良、密封性能可靠，运行过程无渗漏油现象；油箱外表面应经防腐、防锈防护处理。</w:t>
      </w:r>
    </w:p>
    <w:p w14:paraId="475EB030">
      <w:pPr>
        <w:pStyle w:val="106"/>
        <w:bidi w:val="0"/>
        <w:rPr>
          <w:rFonts w:hint="eastAsia"/>
          <w:highlight w:val="none"/>
          <w:lang w:val="en-US" w:eastAsia="zh-CN"/>
        </w:rPr>
      </w:pPr>
      <w:r>
        <w:rPr>
          <w:rFonts w:hint="eastAsia"/>
          <w:highlight w:val="none"/>
          <w:lang w:val="en-US" w:eastAsia="zh-CN"/>
        </w:rPr>
        <w:t>电气性能</w:t>
      </w:r>
    </w:p>
    <w:p w14:paraId="4F95F081">
      <w:pPr>
        <w:pStyle w:val="65"/>
        <w:bidi w:val="0"/>
        <w:rPr>
          <w:rFonts w:hint="eastAsia"/>
          <w:lang w:val="en-US" w:eastAsia="zh-CN"/>
        </w:rPr>
      </w:pPr>
      <w:r>
        <w:rPr>
          <w:rFonts w:hint="eastAsia"/>
          <w:lang w:val="en-US" w:eastAsia="zh-CN"/>
        </w:rPr>
        <w:t>损耗限值</w:t>
      </w:r>
    </w:p>
    <w:p w14:paraId="6490DFC1">
      <w:pPr>
        <w:pStyle w:val="66"/>
        <w:rPr>
          <w:rFonts w:hint="eastAsia"/>
          <w:lang w:val="en-US" w:eastAsia="zh-CN"/>
        </w:rPr>
      </w:pPr>
      <w:r>
        <w:rPr>
          <w:rFonts w:hint="eastAsia"/>
          <w:lang w:val="en-US" w:eastAsia="zh-CN"/>
        </w:rPr>
        <w:t>空载损耗、负载损耗应符合GB 20052中对应能效等级要求。</w:t>
      </w:r>
    </w:p>
    <w:p w14:paraId="1993B007">
      <w:pPr>
        <w:pStyle w:val="65"/>
        <w:bidi w:val="0"/>
        <w:rPr>
          <w:rFonts w:hint="eastAsia"/>
          <w:lang w:val="en-US" w:eastAsia="zh-CN"/>
        </w:rPr>
      </w:pPr>
      <w:r>
        <w:rPr>
          <w:rFonts w:hint="eastAsia"/>
          <w:lang w:val="en-US" w:eastAsia="zh-CN"/>
        </w:rPr>
        <w:t>温升限值</w:t>
      </w:r>
    </w:p>
    <w:p w14:paraId="2CBCEB72">
      <w:pPr>
        <w:pStyle w:val="66"/>
        <w:rPr>
          <w:rFonts w:hint="eastAsia"/>
          <w:lang w:val="en-US" w:eastAsia="zh-CN"/>
        </w:rPr>
      </w:pPr>
      <w:r>
        <w:rPr>
          <w:rFonts w:hint="eastAsia"/>
          <w:lang w:val="en-US" w:eastAsia="zh-CN"/>
        </w:rPr>
        <w:t>温升限值按GB/T 1094.2执行，油浸式变压器各部位温升不超过以下规定：</w:t>
      </w:r>
    </w:p>
    <w:p w14:paraId="70380192">
      <w:pPr>
        <w:pStyle w:val="175"/>
        <w:numPr>
          <w:numId w:val="35"/>
        </w:numPr>
        <w:bidi w:val="0"/>
        <w:ind w:left="851" w:leftChars="0" w:hanging="426" w:firstLineChars="0"/>
        <w:rPr>
          <w:rFonts w:hint="eastAsia"/>
          <w:lang w:val="en-US" w:eastAsia="zh-CN"/>
        </w:rPr>
      </w:pPr>
      <w:r>
        <w:rPr>
          <w:rFonts w:hint="eastAsia"/>
          <w:lang w:val="en-US" w:eastAsia="zh-CN"/>
        </w:rPr>
        <w:t>顶层油温升：60K；</w:t>
      </w:r>
    </w:p>
    <w:p w14:paraId="053D7750">
      <w:pPr>
        <w:pStyle w:val="175"/>
        <w:numPr>
          <w:numId w:val="35"/>
        </w:numPr>
        <w:bidi w:val="0"/>
        <w:ind w:left="851" w:leftChars="0" w:hanging="426" w:firstLineChars="0"/>
        <w:rPr>
          <w:rFonts w:hint="eastAsia"/>
          <w:lang w:val="en-US" w:eastAsia="zh-CN"/>
        </w:rPr>
      </w:pPr>
      <w:r>
        <w:rPr>
          <w:rFonts w:hint="eastAsia"/>
          <w:lang w:val="en-US" w:eastAsia="zh-CN"/>
        </w:rPr>
        <w:t>绕组平均温升：65K。</w:t>
      </w:r>
    </w:p>
    <w:p w14:paraId="1388239D">
      <w:pPr>
        <w:pStyle w:val="65"/>
        <w:bidi w:val="0"/>
        <w:rPr>
          <w:rFonts w:hint="eastAsia"/>
          <w:lang w:val="en-US" w:eastAsia="zh-CN"/>
        </w:rPr>
      </w:pPr>
      <w:r>
        <w:rPr>
          <w:rFonts w:hint="eastAsia"/>
          <w:lang w:val="en-US" w:eastAsia="zh-CN"/>
        </w:rPr>
        <w:t>绝缘水平</w:t>
      </w:r>
    </w:p>
    <w:p w14:paraId="7928B192">
      <w:pPr>
        <w:pStyle w:val="66"/>
        <w:rPr>
          <w:rFonts w:hint="eastAsia"/>
          <w:lang w:val="en-US" w:eastAsia="zh-CN"/>
        </w:rPr>
      </w:pPr>
      <w:r>
        <w:rPr>
          <w:rFonts w:hint="eastAsia"/>
          <w:lang w:val="en-US" w:eastAsia="zh-CN"/>
        </w:rPr>
        <w:t>应符合GB/T 1094.3 的规定。</w:t>
      </w:r>
    </w:p>
    <w:p w14:paraId="17DE9AB8">
      <w:pPr>
        <w:pStyle w:val="65"/>
        <w:bidi w:val="0"/>
        <w:rPr>
          <w:rFonts w:hint="default"/>
          <w:lang w:val="en-US" w:eastAsia="zh-CN"/>
        </w:rPr>
      </w:pPr>
      <w:r>
        <w:rPr>
          <w:rFonts w:hint="eastAsia"/>
          <w:lang w:val="en-US" w:eastAsia="zh-CN"/>
        </w:rPr>
        <w:t>耐压性能</w:t>
      </w:r>
    </w:p>
    <w:p w14:paraId="2A154D20">
      <w:pPr>
        <w:pStyle w:val="95"/>
        <w:bidi w:val="0"/>
        <w:rPr>
          <w:rFonts w:hint="default"/>
          <w:lang w:val="en-US" w:eastAsia="zh-CN"/>
        </w:rPr>
      </w:pPr>
      <w:r>
        <w:rPr>
          <w:rFonts w:hint="eastAsia"/>
          <w:lang w:val="en-US" w:eastAsia="zh-CN"/>
        </w:rPr>
        <w:t>工频耐压性能</w:t>
      </w:r>
    </w:p>
    <w:p w14:paraId="32F5B2E6">
      <w:pPr>
        <w:pStyle w:val="66"/>
        <w:rPr>
          <w:rFonts w:hint="default"/>
          <w:lang w:val="en-US" w:eastAsia="zh-CN"/>
        </w:rPr>
      </w:pPr>
      <w:r>
        <w:rPr>
          <w:rFonts w:hint="default"/>
          <w:lang w:val="en-US" w:eastAsia="zh-CN"/>
        </w:rPr>
        <w:t>应开展工频耐压试验，高压绕组试验电压 85kV、持续时间 1min，低压绕组试验电压 35kV、持续时间 1min，试验过程中不得出现击穿、闪络、异常声响及异常发热现象。</w:t>
      </w:r>
    </w:p>
    <w:p w14:paraId="3DC7EA2C">
      <w:pPr>
        <w:pStyle w:val="95"/>
        <w:bidi w:val="0"/>
        <w:rPr>
          <w:rFonts w:hint="default"/>
          <w:lang w:val="en-US" w:eastAsia="zh-CN"/>
        </w:rPr>
      </w:pPr>
      <w:r>
        <w:rPr>
          <w:rFonts w:hint="eastAsia"/>
          <w:lang w:val="en-US" w:eastAsia="zh-CN"/>
        </w:rPr>
        <w:t>感应耐压性能</w:t>
      </w:r>
    </w:p>
    <w:p w14:paraId="31513551">
      <w:pPr>
        <w:pStyle w:val="66"/>
        <w:rPr>
          <w:rFonts w:hint="default"/>
          <w:lang w:val="en-US" w:eastAsia="zh-CN"/>
        </w:rPr>
      </w:pPr>
      <w:r>
        <w:rPr>
          <w:rFonts w:hint="default"/>
          <w:lang w:val="en-US" w:eastAsia="zh-CN"/>
        </w:rPr>
        <w:t>应开展感应耐压试验，试验施加 2 倍额定电压、试验频率不低于 100Hz、持续试验时长 60s</w:t>
      </w:r>
      <w:r>
        <w:rPr>
          <w:rFonts w:hint="eastAsia"/>
          <w:lang w:val="en-US" w:eastAsia="zh-CN"/>
        </w:rPr>
        <w:t>，</w:t>
      </w:r>
      <w:r>
        <w:rPr>
          <w:rFonts w:hint="default"/>
          <w:lang w:val="en-US" w:eastAsia="zh-CN"/>
        </w:rPr>
        <w:t>试验全过程不得出现任何异常现象。</w:t>
      </w:r>
    </w:p>
    <w:p w14:paraId="2E9E70BC">
      <w:pPr>
        <w:pStyle w:val="95"/>
        <w:bidi w:val="0"/>
        <w:rPr>
          <w:rFonts w:hint="default"/>
          <w:lang w:val="en-US" w:eastAsia="zh-CN"/>
        </w:rPr>
      </w:pPr>
      <w:r>
        <w:rPr>
          <w:rFonts w:hint="eastAsia"/>
          <w:lang w:val="en-US" w:eastAsia="zh-CN"/>
        </w:rPr>
        <w:t>雷电冲击试验</w:t>
      </w:r>
    </w:p>
    <w:p w14:paraId="39AA4372">
      <w:pPr>
        <w:pStyle w:val="66"/>
        <w:rPr>
          <w:rFonts w:hint="default"/>
          <w:lang w:val="en-US" w:eastAsia="zh-CN"/>
        </w:rPr>
      </w:pPr>
      <w:r>
        <w:rPr>
          <w:rFonts w:hint="default"/>
          <w:lang w:val="en-US" w:eastAsia="zh-CN"/>
        </w:rPr>
        <w:t>应进行雷电冲击试验，高压侧、低压侧全波冲击试验电压分别为 185kV、75kV，各施加 3 次，试验期间电压波形应保持正常，设备不得发生击穿、截波现象，且各项参数无明显变化。</w:t>
      </w:r>
    </w:p>
    <w:p w14:paraId="3DE4363D">
      <w:pPr>
        <w:pStyle w:val="65"/>
        <w:bidi w:val="0"/>
        <w:rPr>
          <w:rFonts w:hint="default"/>
          <w:lang w:val="en-US" w:eastAsia="zh-CN"/>
        </w:rPr>
      </w:pPr>
      <w:r>
        <w:rPr>
          <w:rFonts w:hint="eastAsia"/>
          <w:lang w:val="en-US" w:eastAsia="zh-CN"/>
        </w:rPr>
        <w:t>抗短路冲击能力</w:t>
      </w:r>
    </w:p>
    <w:p w14:paraId="11852CF4">
      <w:pPr>
        <w:pStyle w:val="66"/>
        <w:rPr>
          <w:rFonts w:hint="eastAsia"/>
          <w:lang w:val="en-US" w:eastAsia="zh-CN"/>
        </w:rPr>
      </w:pPr>
      <w:r>
        <w:rPr>
          <w:rFonts w:hint="default"/>
          <w:lang w:val="en-US" w:eastAsia="zh-CN"/>
        </w:rPr>
        <w:t>应</w:t>
      </w:r>
      <w:r>
        <w:rPr>
          <w:rFonts w:hint="eastAsia"/>
          <w:lang w:val="en-US" w:eastAsia="zh-CN"/>
        </w:rPr>
        <w:t>符合</w:t>
      </w:r>
      <w:r>
        <w:rPr>
          <w:rFonts w:hint="default"/>
          <w:lang w:val="en-US" w:eastAsia="zh-CN"/>
        </w:rPr>
        <w:t xml:space="preserve">GB/T 1094.5 </w:t>
      </w:r>
      <w:r>
        <w:rPr>
          <w:rFonts w:hint="eastAsia"/>
          <w:lang w:val="en-US" w:eastAsia="zh-CN"/>
        </w:rPr>
        <w:t>的</w:t>
      </w:r>
      <w:r>
        <w:rPr>
          <w:rFonts w:hint="default"/>
          <w:lang w:val="en-US" w:eastAsia="zh-CN"/>
        </w:rPr>
        <w:t>规定</w:t>
      </w:r>
      <w:r>
        <w:rPr>
          <w:rFonts w:hint="eastAsia"/>
          <w:lang w:val="en-US" w:eastAsia="zh-CN"/>
        </w:rPr>
        <w:t>。</w:t>
      </w:r>
    </w:p>
    <w:p w14:paraId="52C1B0D0">
      <w:pPr>
        <w:pStyle w:val="106"/>
        <w:bidi w:val="0"/>
        <w:rPr>
          <w:rFonts w:hint="eastAsia"/>
          <w:highlight w:val="none"/>
          <w:lang w:val="en-US" w:eastAsia="zh-CN"/>
        </w:rPr>
      </w:pPr>
      <w:r>
        <w:rPr>
          <w:rFonts w:hint="eastAsia"/>
          <w:highlight w:val="none"/>
          <w:lang w:val="en-US" w:eastAsia="zh-CN"/>
        </w:rPr>
        <w:t>油保护装置</w:t>
      </w:r>
    </w:p>
    <w:p w14:paraId="2BEDAA90">
      <w:pPr>
        <w:pStyle w:val="166"/>
        <w:bidi w:val="0"/>
        <w:rPr>
          <w:rFonts w:hint="eastAsia"/>
          <w:lang w:val="en-US" w:eastAsia="zh-CN"/>
        </w:rPr>
      </w:pPr>
      <w:r>
        <w:rPr>
          <w:rFonts w:hint="eastAsia"/>
          <w:lang w:val="en-US" w:eastAsia="zh-CN"/>
        </w:rPr>
        <w:t>变压器应装有储油柜(波纹式油箱、带有弹性片式散热器或油箱内部充有气体的密封式变压器除外)，其结构应便于清理内部。储油柜应具有油位显示功能，储油柜的容积应保证在最高环境温度与允许的过负载状态下油位不超过上限，在最低环境温度与变压器未投入运行时，应能观察到油位指示。</w:t>
      </w:r>
    </w:p>
    <w:p w14:paraId="4BBF1032">
      <w:pPr>
        <w:pStyle w:val="166"/>
        <w:bidi w:val="0"/>
        <w:rPr>
          <w:rFonts w:hint="eastAsia"/>
          <w:lang w:val="en-US" w:eastAsia="zh-CN"/>
        </w:rPr>
      </w:pPr>
      <w:r>
        <w:rPr>
          <w:rFonts w:hint="eastAsia"/>
          <w:lang w:val="en-US" w:eastAsia="zh-CN"/>
        </w:rPr>
        <w:t>储油柜应装有注油和放油装置。</w:t>
      </w:r>
    </w:p>
    <w:p w14:paraId="506ABC6B">
      <w:pPr>
        <w:pStyle w:val="166"/>
        <w:bidi w:val="0"/>
        <w:rPr>
          <w:rFonts w:hint="eastAsia"/>
          <w:lang w:val="en-US" w:eastAsia="zh-CN"/>
        </w:rPr>
      </w:pPr>
      <w:r>
        <w:rPr>
          <w:rFonts w:hint="eastAsia"/>
          <w:lang w:val="en-US" w:eastAsia="zh-CN"/>
        </w:rPr>
        <w:t>储油柜上一般宜加装带有油封的吸湿器。</w:t>
      </w:r>
    </w:p>
    <w:p w14:paraId="0F03C40B">
      <w:pPr>
        <w:pStyle w:val="106"/>
        <w:bidi w:val="0"/>
        <w:rPr>
          <w:rFonts w:hint="eastAsia"/>
          <w:highlight w:val="none"/>
          <w:lang w:val="en-US" w:eastAsia="zh-CN"/>
        </w:rPr>
      </w:pPr>
      <w:r>
        <w:rPr>
          <w:rFonts w:hint="eastAsia"/>
          <w:highlight w:val="none"/>
          <w:lang w:val="en-US" w:eastAsia="zh-CN"/>
        </w:rPr>
        <w:t>绝缘油</w:t>
      </w:r>
    </w:p>
    <w:p w14:paraId="0FAC2487">
      <w:pPr>
        <w:pStyle w:val="66"/>
        <w:rPr>
          <w:rFonts w:hint="eastAsia"/>
          <w:lang w:val="en-US" w:eastAsia="zh-CN"/>
        </w:rPr>
      </w:pPr>
      <w:r>
        <w:rPr>
          <w:rFonts w:hint="eastAsia"/>
          <w:lang w:val="en-US" w:eastAsia="zh-CN"/>
        </w:rPr>
        <w:t>绝缘油应满足GB 2536 及以下要求:</w:t>
      </w:r>
    </w:p>
    <w:p w14:paraId="4BE2FBFF">
      <w:pPr>
        <w:pStyle w:val="175"/>
        <w:numPr>
          <w:numId w:val="36"/>
        </w:numPr>
        <w:bidi w:val="0"/>
        <w:ind w:left="851" w:leftChars="0" w:hanging="426" w:firstLineChars="0"/>
        <w:rPr>
          <w:rFonts w:hint="eastAsia"/>
          <w:lang w:val="en-US" w:eastAsia="zh-CN"/>
        </w:rPr>
      </w:pPr>
      <w:r>
        <w:rPr>
          <w:rFonts w:hint="eastAsia"/>
          <w:lang w:val="en-US" w:eastAsia="zh-CN"/>
        </w:rPr>
        <w:t>绝缘油的闪点不低于140℃，绝缘油的倾点至少应比最低冷态投运温度低10℃；</w:t>
      </w:r>
    </w:p>
    <w:p w14:paraId="1D5FBEA6">
      <w:pPr>
        <w:pStyle w:val="175"/>
        <w:numPr>
          <w:numId w:val="36"/>
        </w:numPr>
        <w:bidi w:val="0"/>
        <w:ind w:left="851" w:leftChars="0" w:hanging="426" w:firstLineChars="0"/>
        <w:rPr>
          <w:rFonts w:hint="eastAsia"/>
          <w:lang w:val="en-US" w:eastAsia="zh-CN"/>
        </w:rPr>
      </w:pPr>
      <w:r>
        <w:rPr>
          <w:rFonts w:hint="eastAsia"/>
          <w:lang w:val="en-US" w:eastAsia="zh-CN"/>
        </w:rPr>
        <w:t>绝缘油内除了抗氧化剂外不得加任何添加剂，绝缘油应注入到规定油面；</w:t>
      </w:r>
    </w:p>
    <w:p w14:paraId="7A79CCC7">
      <w:pPr>
        <w:pStyle w:val="175"/>
        <w:numPr>
          <w:numId w:val="36"/>
        </w:numPr>
        <w:bidi w:val="0"/>
        <w:ind w:left="851" w:leftChars="0" w:hanging="426" w:firstLineChars="0"/>
        <w:rPr>
          <w:rFonts w:hint="eastAsia"/>
          <w:lang w:val="en-US" w:eastAsia="zh-CN"/>
        </w:rPr>
      </w:pPr>
      <w:r>
        <w:rPr>
          <w:rFonts w:hint="eastAsia"/>
          <w:lang w:val="en-US" w:eastAsia="zh-CN"/>
        </w:rPr>
        <w:t>绝缘油的质保期为3年。</w:t>
      </w:r>
    </w:p>
    <w:p w14:paraId="38C16A5C">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油温测量装置</w:t>
      </w:r>
    </w:p>
    <w:p w14:paraId="34C519CF">
      <w:pPr>
        <w:pStyle w:val="166"/>
        <w:bidi w:val="0"/>
        <w:rPr>
          <w:rFonts w:hint="eastAsia"/>
          <w:lang w:val="en-US" w:eastAsia="zh-CN"/>
        </w:rPr>
      </w:pPr>
      <w:r>
        <w:rPr>
          <w:rFonts w:hint="eastAsia"/>
          <w:lang w:val="en-US" w:eastAsia="zh-CN"/>
        </w:rPr>
        <w:t>三相变压器应有供温度计用的管座。管座应设在油箱的顶部，避开漏磁较强区域，并伸入油内120mm±10mm。单相变压器一般不设温度计用的管座。如果需要，则可设在油箱的上部或侧面，并伸入油内120mm±10mm。</w:t>
      </w:r>
    </w:p>
    <w:p w14:paraId="49686728">
      <w:pPr>
        <w:pStyle w:val="166"/>
        <w:bidi w:val="0"/>
        <w:rPr>
          <w:rFonts w:hint="eastAsia"/>
          <w:lang w:val="en-US" w:eastAsia="zh-CN"/>
        </w:rPr>
      </w:pPr>
      <w:r>
        <w:rPr>
          <w:rFonts w:hint="eastAsia"/>
          <w:lang w:val="en-US" w:eastAsia="zh-CN"/>
        </w:rPr>
        <w:t>1000kVA及以上的三相变压器应装设户外测温装置，其接点容量在交流 220V 时应不低于50VA，直流有感负载时应不低于15W。测温装置的安装位置应便于观察。根据用户与制造方协商，1000kVA以下的变压器也可装设户外测温装置。</w:t>
      </w:r>
    </w:p>
    <w:p w14:paraId="40588060">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变压器油箱及其附件</w:t>
      </w:r>
    </w:p>
    <w:p w14:paraId="6245D26D">
      <w:pPr>
        <w:pStyle w:val="166"/>
        <w:bidi w:val="0"/>
        <w:rPr>
          <w:rFonts w:hint="eastAsia"/>
          <w:lang w:val="en-US" w:eastAsia="zh-CN"/>
        </w:rPr>
      </w:pPr>
      <w:r>
        <w:rPr>
          <w:rFonts w:hint="eastAsia"/>
          <w:lang w:val="en-US" w:eastAsia="zh-CN"/>
        </w:rPr>
        <w:t>单相变压器可采用箱壁支架的安装方式。当油箱为圆柱型时变压器可直接挂在支架上;当油箱为长圆型时，箱底还可有角型支撑平台。</w:t>
      </w:r>
    </w:p>
    <w:p w14:paraId="275C6373">
      <w:pPr>
        <w:pStyle w:val="166"/>
        <w:bidi w:val="0"/>
        <w:rPr>
          <w:rFonts w:hint="eastAsia"/>
          <w:lang w:val="en-US" w:eastAsia="zh-CN"/>
        </w:rPr>
      </w:pPr>
      <w:r>
        <w:rPr>
          <w:rFonts w:hint="eastAsia"/>
          <w:lang w:val="en-US" w:eastAsia="zh-CN"/>
        </w:rPr>
        <w:t>在变压器油箱的下部壁上可装有放油用阀门。</w:t>
      </w:r>
    </w:p>
    <w:p w14:paraId="3980067F">
      <w:pPr>
        <w:pStyle w:val="166"/>
        <w:bidi w:val="0"/>
        <w:rPr>
          <w:rFonts w:hint="eastAsia"/>
          <w:lang w:val="en-US" w:eastAsia="zh-CN"/>
        </w:rPr>
      </w:pPr>
      <w:r>
        <w:rPr>
          <w:rFonts w:hint="eastAsia"/>
          <w:lang w:val="en-US" w:eastAsia="zh-CN"/>
        </w:rPr>
        <w:t>套管接线端子连接处，在环境空气中对空气的温升不应大于 55K，在油中对油的温升不应大于15K。</w:t>
      </w:r>
    </w:p>
    <w:p w14:paraId="4F045952">
      <w:pPr>
        <w:pStyle w:val="166"/>
        <w:bidi w:val="0"/>
        <w:rPr>
          <w:rFonts w:hint="eastAsia"/>
          <w:lang w:val="en-US" w:eastAsia="zh-CN"/>
        </w:rPr>
      </w:pPr>
      <w:r>
        <w:rPr>
          <w:rFonts w:hint="eastAsia"/>
          <w:lang w:val="en-US" w:eastAsia="zh-CN"/>
        </w:rPr>
        <w:t>套管的安装位置和相互距离应便于接线，且其带电部分的空气间隙应符合GB/T 1094.3的规定。</w:t>
      </w:r>
    </w:p>
    <w:p w14:paraId="3482AF03">
      <w:pPr>
        <w:pStyle w:val="166"/>
        <w:bidi w:val="0"/>
        <w:rPr>
          <w:rFonts w:hint="eastAsia"/>
          <w:lang w:val="en-US" w:eastAsia="zh-CN"/>
        </w:rPr>
      </w:pPr>
      <w:r>
        <w:rPr>
          <w:rFonts w:hint="eastAsia"/>
          <w:lang w:val="en-US" w:eastAsia="zh-CN"/>
        </w:rPr>
        <w:t>油箱内部充有气体的密封式变压器在最低油位条件下应满足绝缘要求。</w:t>
      </w:r>
    </w:p>
    <w:p w14:paraId="0F9A20F2">
      <w:pPr>
        <w:pStyle w:val="166"/>
        <w:bidi w:val="0"/>
        <w:rPr>
          <w:rFonts w:hint="eastAsia"/>
          <w:lang w:val="en-US" w:eastAsia="zh-CN"/>
        </w:rPr>
      </w:pPr>
      <w:r>
        <w:rPr>
          <w:rFonts w:hint="eastAsia"/>
          <w:lang w:val="en-US" w:eastAsia="zh-CN"/>
        </w:rPr>
        <w:t>变压器结构应便于拆卸和更换套管、瓷件或电缆接头。</w:t>
      </w:r>
    </w:p>
    <w:p w14:paraId="0603A611">
      <w:pPr>
        <w:pStyle w:val="166"/>
        <w:bidi w:val="0"/>
        <w:rPr>
          <w:rFonts w:hint="eastAsia"/>
          <w:lang w:val="en-US" w:eastAsia="zh-CN"/>
        </w:rPr>
      </w:pPr>
      <w:r>
        <w:rPr>
          <w:rFonts w:hint="eastAsia"/>
          <w:lang w:val="en-US" w:eastAsia="zh-CN"/>
        </w:rPr>
        <w:t>变压器铁芯应单点接地，金属结构件均应通过油箱可靠接地。接地处应有明显的接地符号或“接地”字样。</w:t>
      </w:r>
    </w:p>
    <w:p w14:paraId="54ECF568">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安全保护装置</w:t>
      </w:r>
    </w:p>
    <w:p w14:paraId="6B713EC2">
      <w:pPr>
        <w:pStyle w:val="166"/>
        <w:bidi w:val="0"/>
        <w:rPr>
          <w:rFonts w:hint="eastAsia"/>
          <w:lang w:val="en-US" w:eastAsia="zh-CN"/>
        </w:rPr>
      </w:pPr>
      <w:r>
        <w:rPr>
          <w:rFonts w:hint="eastAsia"/>
          <w:lang w:val="en-US" w:eastAsia="zh-CN"/>
        </w:rPr>
        <w:t>800kVA及以上的变压器宜装有气体继电器。</w:t>
      </w:r>
    </w:p>
    <w:p w14:paraId="7C20FB84">
      <w:pPr>
        <w:pStyle w:val="166"/>
        <w:bidi w:val="0"/>
        <w:rPr>
          <w:rFonts w:hint="eastAsia"/>
          <w:lang w:val="en-US" w:eastAsia="zh-CN"/>
        </w:rPr>
      </w:pPr>
      <w:r>
        <w:rPr>
          <w:rFonts w:hint="eastAsia"/>
          <w:lang w:val="en-US" w:eastAsia="zh-CN"/>
        </w:rPr>
        <w:t>气体继电器的接点容量在交流220V 或110V 时应不小于 66 VA，直流有感负载时应不小于15W。当积聚在气体继电器内的气体数量达到规定范围或油速达到整定值时，应分别接通相应的接点。气体继电器的安装位置及其结构应能观察到分解气体的数量和油速标尺，而且应便于取气体。</w:t>
      </w:r>
    </w:p>
    <w:p w14:paraId="761667F6">
      <w:pPr>
        <w:pStyle w:val="166"/>
        <w:bidi w:val="0"/>
        <w:rPr>
          <w:rFonts w:hint="eastAsia"/>
          <w:lang w:val="en-US" w:eastAsia="zh-CN"/>
        </w:rPr>
      </w:pPr>
      <w:r>
        <w:rPr>
          <w:rFonts w:hint="eastAsia"/>
          <w:lang w:val="en-US" w:eastAsia="zh-CN"/>
        </w:rPr>
        <w:t>根据用户与制造方协商，800kVA以下的变压器也可供应气体继电器。</w:t>
      </w:r>
    </w:p>
    <w:p w14:paraId="3ACF35BF">
      <w:pPr>
        <w:pStyle w:val="166"/>
        <w:bidi w:val="0"/>
        <w:rPr>
          <w:rFonts w:hint="eastAsia"/>
          <w:lang w:val="en-US" w:eastAsia="zh-CN"/>
        </w:rPr>
      </w:pPr>
      <w:r>
        <w:rPr>
          <w:rFonts w:hint="eastAsia"/>
          <w:lang w:val="en-US" w:eastAsia="zh-CN"/>
        </w:rPr>
        <w:t>波纹油箱、带有弹性片式散热器或油箱内部充有气体的密封式变压器一般不装气体继电器。</w:t>
      </w:r>
    </w:p>
    <w:p w14:paraId="4D1DEA2E">
      <w:pPr>
        <w:pStyle w:val="166"/>
        <w:bidi w:val="0"/>
        <w:rPr>
          <w:rFonts w:hint="eastAsia"/>
          <w:lang w:val="en-US" w:eastAsia="zh-CN"/>
        </w:rPr>
      </w:pPr>
      <w:r>
        <w:rPr>
          <w:rFonts w:hint="eastAsia"/>
          <w:lang w:val="en-US" w:eastAsia="zh-CN"/>
        </w:rPr>
        <w:t>三相变压器和密封式单相变压器均应装有压力保护装置，当变压器油箱内压力达到安全限值时，保护装置应可靠地释放压力。</w:t>
      </w:r>
    </w:p>
    <w:p w14:paraId="7A05895E">
      <w:pPr>
        <w:pStyle w:val="166"/>
        <w:bidi w:val="0"/>
        <w:rPr>
          <w:rFonts w:hint="eastAsia"/>
          <w:lang w:val="en-US" w:eastAsia="zh-CN"/>
        </w:rPr>
      </w:pPr>
      <w:r>
        <w:rPr>
          <w:rFonts w:hint="eastAsia"/>
          <w:lang w:val="en-US" w:eastAsia="zh-CN"/>
        </w:rPr>
        <w:t>非密封式单相变压器一般不安装压力保护装置。但对于额定容量较大的非密封式单相变压器，根据用户需求，也可安装。</w:t>
      </w:r>
    </w:p>
    <w:p w14:paraId="382E81BC">
      <w:pPr>
        <w:pStyle w:val="166"/>
        <w:bidi w:val="0"/>
        <w:rPr>
          <w:rFonts w:hint="eastAsia"/>
          <w:lang w:val="en-US" w:eastAsia="zh-CN"/>
        </w:rPr>
      </w:pPr>
      <w:r>
        <w:rPr>
          <w:rFonts w:hint="eastAsia"/>
          <w:lang w:val="en-US" w:eastAsia="zh-CN"/>
        </w:rPr>
        <w:t>对于装有压力保护装置的变压器，应保证在最高环境温度与允许过负载状态下，压力保护装置不动作，在最低环境温度与空载状态下能正常运行。</w:t>
      </w:r>
    </w:p>
    <w:p w14:paraId="78ED322B">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智能化配置要求</w:t>
      </w:r>
    </w:p>
    <w:p w14:paraId="2DB011AF">
      <w:pPr>
        <w:pStyle w:val="66"/>
        <w:rPr>
          <w:rFonts w:hint="eastAsia"/>
          <w:lang w:val="en-US" w:eastAsia="zh-CN"/>
        </w:rPr>
      </w:pPr>
      <w:r>
        <w:rPr>
          <w:rFonts w:hint="eastAsia"/>
          <w:lang w:val="en-US" w:eastAsia="zh-CN"/>
        </w:rPr>
        <w:t>电压器宜具备以下智能化配置：</w:t>
      </w:r>
    </w:p>
    <w:p w14:paraId="12F97D06">
      <w:pPr>
        <w:pStyle w:val="175"/>
        <w:numPr>
          <w:numId w:val="37"/>
        </w:numPr>
        <w:bidi w:val="0"/>
        <w:ind w:left="851" w:leftChars="0" w:hanging="426" w:firstLineChars="0"/>
        <w:rPr>
          <w:rFonts w:hint="default"/>
          <w:lang w:val="en-US" w:eastAsia="zh-CN"/>
        </w:rPr>
      </w:pPr>
      <w:r>
        <w:rPr>
          <w:rFonts w:hint="eastAsia"/>
          <w:lang w:val="en-US" w:eastAsia="zh-CN"/>
        </w:rPr>
        <w:t>油温在线监测：配置高精度温度传感器，实时监测顶层油温、绕组温度，支持数据本地显示与远程上传，具备超温报警功能。</w:t>
      </w:r>
    </w:p>
    <w:p w14:paraId="520BEFBC">
      <w:pPr>
        <w:pStyle w:val="175"/>
        <w:numPr>
          <w:numId w:val="37"/>
        </w:numPr>
        <w:bidi w:val="0"/>
        <w:ind w:left="851" w:leftChars="0" w:hanging="426" w:firstLineChars="0"/>
        <w:rPr>
          <w:rFonts w:hint="default"/>
          <w:lang w:val="en-US" w:eastAsia="zh-CN"/>
        </w:rPr>
      </w:pPr>
      <w:r>
        <w:rPr>
          <w:rFonts w:hint="default"/>
          <w:lang w:val="en-US" w:eastAsia="zh-CN"/>
        </w:rPr>
        <w:t>油位在线监测</w:t>
      </w:r>
      <w:r>
        <w:rPr>
          <w:rFonts w:hint="eastAsia"/>
          <w:lang w:val="en-US" w:eastAsia="zh-CN"/>
        </w:rPr>
        <w:t>：配置高精度温度传感器，实时采集并监测顶层油温、绕组温度；支持监测数据本地实时显示与远程传输上传，具备超温预警及报警功能；</w:t>
      </w:r>
    </w:p>
    <w:p w14:paraId="6359AF8C">
      <w:pPr>
        <w:pStyle w:val="175"/>
        <w:numPr>
          <w:numId w:val="37"/>
        </w:numPr>
        <w:bidi w:val="0"/>
        <w:ind w:left="851" w:leftChars="0" w:hanging="426" w:firstLineChars="0"/>
        <w:rPr>
          <w:rFonts w:hint="default"/>
          <w:lang w:val="en-US" w:eastAsia="zh-CN"/>
        </w:rPr>
      </w:pPr>
      <w:r>
        <w:rPr>
          <w:rFonts w:hint="default"/>
          <w:lang w:val="en-US" w:eastAsia="zh-CN"/>
        </w:rPr>
        <w:t>压力监测与保护</w:t>
      </w:r>
      <w:r>
        <w:rPr>
          <w:rFonts w:hint="eastAsia"/>
          <w:lang w:val="en-US" w:eastAsia="zh-CN"/>
        </w:rPr>
        <w:t>：配置压力传感器或压力继电器，实时监测油箱内部压力；当压力参数出现异常时，可触发报警信号，并联动压力释放装置执行启闭动作。</w:t>
      </w:r>
    </w:p>
    <w:p w14:paraId="13B0F939">
      <w:pPr>
        <w:pStyle w:val="105"/>
        <w:spacing w:before="326" w:after="326"/>
        <w:rPr>
          <w:highlight w:val="none"/>
        </w:rPr>
      </w:pPr>
      <w:bookmarkStart w:id="60" w:name="_Toc19698"/>
      <w:r>
        <w:rPr>
          <w:rFonts w:hint="eastAsia"/>
          <w:highlight w:val="none"/>
          <w:lang w:val="en-US" w:eastAsia="zh-CN"/>
        </w:rPr>
        <w:t>试验方法</w:t>
      </w:r>
      <w:bookmarkEnd w:id="60"/>
    </w:p>
    <w:p w14:paraId="7CD5ACFF">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外观</w:t>
      </w:r>
    </w:p>
    <w:p w14:paraId="174FF0EE">
      <w:pPr>
        <w:pStyle w:val="66"/>
        <w:rPr>
          <w:rFonts w:hint="eastAsia"/>
          <w:lang w:val="en-US" w:eastAsia="zh-CN"/>
        </w:rPr>
      </w:pPr>
      <w:r>
        <w:rPr>
          <w:rFonts w:hint="eastAsia"/>
          <w:lang w:val="en-US" w:eastAsia="zh-CN"/>
        </w:rPr>
        <w:t>采用目视、手触的方式进行检查。</w:t>
      </w:r>
    </w:p>
    <w:p w14:paraId="354C3012">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结构要求</w:t>
      </w:r>
    </w:p>
    <w:p w14:paraId="1A04C0C2">
      <w:pPr>
        <w:pStyle w:val="66"/>
        <w:rPr>
          <w:rFonts w:hint="eastAsia"/>
          <w:lang w:val="en-US" w:eastAsia="zh-CN"/>
        </w:rPr>
      </w:pPr>
      <w:r>
        <w:rPr>
          <w:rFonts w:hint="eastAsia"/>
          <w:lang w:val="en-US" w:eastAsia="zh-CN"/>
        </w:rPr>
        <w:t>按GB/T 1094.1、GB/T 6451的规定核查整体结构尺寸、装配完整性。</w:t>
      </w:r>
    </w:p>
    <w:p w14:paraId="704811D4">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电气性能</w:t>
      </w:r>
    </w:p>
    <w:p w14:paraId="6E612926">
      <w:pPr>
        <w:pStyle w:val="65"/>
        <w:bidi w:val="0"/>
        <w:rPr>
          <w:rFonts w:hint="eastAsia"/>
          <w:lang w:val="en-US" w:eastAsia="zh-CN"/>
        </w:rPr>
      </w:pPr>
      <w:r>
        <w:rPr>
          <w:rFonts w:hint="eastAsia"/>
          <w:lang w:val="en-US" w:eastAsia="zh-CN"/>
        </w:rPr>
        <w:t>损耗限值</w:t>
      </w:r>
    </w:p>
    <w:p w14:paraId="07373E58">
      <w:pPr>
        <w:pStyle w:val="66"/>
        <w:rPr>
          <w:rFonts w:hint="eastAsia"/>
          <w:lang w:val="en-US" w:eastAsia="zh-CN"/>
        </w:rPr>
      </w:pPr>
      <w:r>
        <w:rPr>
          <w:rFonts w:hint="eastAsia"/>
          <w:lang w:val="en-US" w:eastAsia="zh-CN"/>
        </w:rPr>
        <w:t>按GB/T 1094.1、GB 20052的规定进行。</w:t>
      </w:r>
    </w:p>
    <w:p w14:paraId="1F42050D">
      <w:pPr>
        <w:pStyle w:val="65"/>
        <w:bidi w:val="0"/>
        <w:rPr>
          <w:rFonts w:hint="default"/>
          <w:lang w:val="en-US" w:eastAsia="zh-CN"/>
        </w:rPr>
      </w:pPr>
      <w:r>
        <w:rPr>
          <w:rFonts w:hint="eastAsia"/>
          <w:lang w:val="en-US" w:eastAsia="zh-CN"/>
        </w:rPr>
        <w:t>温升限值</w:t>
      </w:r>
    </w:p>
    <w:p w14:paraId="6E544540">
      <w:pPr>
        <w:pStyle w:val="66"/>
        <w:rPr>
          <w:rFonts w:hint="eastAsia"/>
          <w:lang w:val="en-US" w:eastAsia="zh-CN"/>
        </w:rPr>
      </w:pPr>
      <w:r>
        <w:rPr>
          <w:rFonts w:hint="eastAsia"/>
          <w:lang w:val="en-US" w:eastAsia="zh-CN"/>
        </w:rPr>
        <w:t>按GB/T 1094.2的规定进行。</w:t>
      </w:r>
    </w:p>
    <w:p w14:paraId="5A5DD07D">
      <w:pPr>
        <w:pStyle w:val="65"/>
        <w:bidi w:val="0"/>
        <w:rPr>
          <w:rFonts w:hint="default"/>
          <w:lang w:val="en-US" w:eastAsia="zh-CN"/>
        </w:rPr>
      </w:pPr>
      <w:r>
        <w:rPr>
          <w:rFonts w:hint="eastAsia"/>
          <w:lang w:val="en-US" w:eastAsia="zh-CN"/>
        </w:rPr>
        <w:t>绝缘水平</w:t>
      </w:r>
    </w:p>
    <w:p w14:paraId="5B447D62">
      <w:pPr>
        <w:pStyle w:val="66"/>
        <w:rPr>
          <w:rFonts w:hint="eastAsia"/>
          <w:lang w:val="en-US" w:eastAsia="zh-CN"/>
        </w:rPr>
      </w:pPr>
      <w:r>
        <w:rPr>
          <w:rFonts w:hint="eastAsia"/>
          <w:lang w:val="en-US" w:eastAsia="zh-CN"/>
        </w:rPr>
        <w:t>按GB/T 1094.3的规定进行。</w:t>
      </w:r>
    </w:p>
    <w:p w14:paraId="3C67E3C0">
      <w:pPr>
        <w:pStyle w:val="65"/>
        <w:bidi w:val="0"/>
        <w:rPr>
          <w:rFonts w:hint="default"/>
          <w:lang w:val="en-US" w:eastAsia="zh-CN"/>
        </w:rPr>
      </w:pPr>
      <w:r>
        <w:rPr>
          <w:rFonts w:hint="eastAsia"/>
          <w:lang w:val="en-US" w:eastAsia="zh-CN"/>
        </w:rPr>
        <w:t>耐压性能</w:t>
      </w:r>
    </w:p>
    <w:p w14:paraId="76C03E33">
      <w:pPr>
        <w:pStyle w:val="95"/>
        <w:bidi w:val="0"/>
        <w:rPr>
          <w:rFonts w:hint="default"/>
          <w:lang w:val="en-US" w:eastAsia="zh-CN"/>
        </w:rPr>
      </w:pPr>
      <w:r>
        <w:rPr>
          <w:rFonts w:hint="eastAsia"/>
          <w:lang w:val="en-US" w:eastAsia="zh-CN"/>
        </w:rPr>
        <w:t>工频耐压性能</w:t>
      </w:r>
    </w:p>
    <w:p w14:paraId="37A7C3F3">
      <w:pPr>
        <w:pStyle w:val="66"/>
        <w:rPr>
          <w:rFonts w:hint="eastAsia"/>
          <w:lang w:val="en-US" w:eastAsia="zh-CN"/>
        </w:rPr>
      </w:pPr>
      <w:r>
        <w:rPr>
          <w:rFonts w:hint="eastAsia"/>
          <w:lang w:val="en-US" w:eastAsia="zh-CN"/>
        </w:rPr>
        <w:t>按GB/T 1094.3的规定进行。</w:t>
      </w:r>
    </w:p>
    <w:p w14:paraId="27EA088B">
      <w:pPr>
        <w:pStyle w:val="95"/>
        <w:bidi w:val="0"/>
        <w:rPr>
          <w:rFonts w:hint="default"/>
          <w:lang w:val="en-US" w:eastAsia="zh-CN"/>
        </w:rPr>
      </w:pPr>
      <w:r>
        <w:rPr>
          <w:rFonts w:hint="eastAsia"/>
          <w:lang w:val="en-US" w:eastAsia="zh-CN"/>
        </w:rPr>
        <w:t>感应耐压性能</w:t>
      </w:r>
    </w:p>
    <w:p w14:paraId="24F0AA66">
      <w:pPr>
        <w:pStyle w:val="66"/>
        <w:rPr>
          <w:rFonts w:hint="eastAsia"/>
          <w:lang w:val="en-US" w:eastAsia="zh-CN"/>
        </w:rPr>
      </w:pPr>
      <w:r>
        <w:rPr>
          <w:rFonts w:hint="eastAsia"/>
          <w:lang w:val="en-US" w:eastAsia="zh-CN"/>
        </w:rPr>
        <w:t>按GB/T 1094.4的规定进行。</w:t>
      </w:r>
    </w:p>
    <w:p w14:paraId="5F68B3C5">
      <w:pPr>
        <w:pStyle w:val="95"/>
        <w:bidi w:val="0"/>
        <w:rPr>
          <w:rFonts w:hint="default"/>
          <w:lang w:val="en-US" w:eastAsia="zh-CN"/>
        </w:rPr>
      </w:pPr>
      <w:r>
        <w:rPr>
          <w:rFonts w:hint="eastAsia"/>
          <w:lang w:val="en-US" w:eastAsia="zh-CN"/>
        </w:rPr>
        <w:t>雷电冲击试验</w:t>
      </w:r>
    </w:p>
    <w:p w14:paraId="2DE64EF6">
      <w:pPr>
        <w:pStyle w:val="66"/>
        <w:rPr>
          <w:rFonts w:hint="eastAsia"/>
          <w:lang w:val="en-US" w:eastAsia="zh-CN"/>
        </w:rPr>
      </w:pPr>
      <w:r>
        <w:rPr>
          <w:rFonts w:hint="eastAsia"/>
          <w:lang w:val="en-US" w:eastAsia="zh-CN"/>
        </w:rPr>
        <w:t>按GB/T 1094.3的规定进行。</w:t>
      </w:r>
    </w:p>
    <w:p w14:paraId="5470561D">
      <w:pPr>
        <w:pStyle w:val="65"/>
        <w:bidi w:val="0"/>
        <w:rPr>
          <w:rFonts w:hint="default"/>
          <w:lang w:val="en-US" w:eastAsia="zh-CN"/>
        </w:rPr>
      </w:pPr>
      <w:r>
        <w:rPr>
          <w:rFonts w:hint="eastAsia"/>
          <w:lang w:val="en-US" w:eastAsia="zh-CN"/>
        </w:rPr>
        <w:t>抗短路冲击能力</w:t>
      </w:r>
    </w:p>
    <w:p w14:paraId="01EB6720">
      <w:pPr>
        <w:pStyle w:val="66"/>
        <w:rPr>
          <w:rFonts w:hint="eastAsia"/>
          <w:lang w:val="en-US" w:eastAsia="zh-CN"/>
        </w:rPr>
      </w:pPr>
      <w:r>
        <w:rPr>
          <w:rFonts w:hint="eastAsia"/>
          <w:lang w:val="en-US" w:eastAsia="zh-CN"/>
        </w:rPr>
        <w:t>按GB/T 1094.5的规定进行。</w:t>
      </w:r>
    </w:p>
    <w:p w14:paraId="08A5F0A3">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油保护装置</w:t>
      </w:r>
    </w:p>
    <w:p w14:paraId="2048C618">
      <w:pPr>
        <w:pStyle w:val="66"/>
        <w:rPr>
          <w:rFonts w:hint="eastAsia"/>
          <w:lang w:val="en-US" w:eastAsia="zh-CN"/>
        </w:rPr>
      </w:pPr>
      <w:r>
        <w:rPr>
          <w:rFonts w:hint="eastAsia"/>
          <w:lang w:val="en-US" w:eastAsia="zh-CN"/>
        </w:rPr>
        <w:t>按GB/T 6451的规定进行。</w:t>
      </w:r>
    </w:p>
    <w:p w14:paraId="77ABFE5D">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绝缘油</w:t>
      </w:r>
    </w:p>
    <w:p w14:paraId="0CFDC1BE">
      <w:pPr>
        <w:pStyle w:val="66"/>
        <w:rPr>
          <w:rFonts w:hint="eastAsia"/>
          <w:lang w:val="en-US" w:eastAsia="zh-CN"/>
        </w:rPr>
      </w:pPr>
      <w:r>
        <w:rPr>
          <w:rFonts w:hint="eastAsia"/>
          <w:lang w:val="en-US" w:eastAsia="zh-CN"/>
        </w:rPr>
        <w:t>按GB 2536的规定进行。</w:t>
      </w:r>
    </w:p>
    <w:p w14:paraId="60D10FF2">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油温测试装置</w:t>
      </w:r>
    </w:p>
    <w:p w14:paraId="3836AA5A">
      <w:pPr>
        <w:pStyle w:val="66"/>
        <w:rPr>
          <w:rFonts w:hint="eastAsia"/>
          <w:lang w:val="en-US" w:eastAsia="zh-CN"/>
        </w:rPr>
      </w:pPr>
      <w:r>
        <w:rPr>
          <w:rFonts w:hint="eastAsia"/>
          <w:lang w:val="en-US" w:eastAsia="zh-CN"/>
        </w:rPr>
        <w:t>按GB/T 6451的规定进行。</w:t>
      </w:r>
    </w:p>
    <w:p w14:paraId="55804DFE">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油箱及其附件试验</w:t>
      </w:r>
    </w:p>
    <w:p w14:paraId="60DD43F7">
      <w:pPr>
        <w:pStyle w:val="66"/>
        <w:rPr>
          <w:rFonts w:hint="eastAsia"/>
          <w:lang w:val="en-US" w:eastAsia="zh-CN"/>
        </w:rPr>
      </w:pPr>
      <w:r>
        <w:rPr>
          <w:rFonts w:hint="eastAsia"/>
          <w:lang w:val="en-US" w:eastAsia="zh-CN"/>
        </w:rPr>
        <w:t>按GB/T 6451的规定进行。</w:t>
      </w:r>
    </w:p>
    <w:p w14:paraId="7DF2A9B2">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安全保护装置</w:t>
      </w:r>
    </w:p>
    <w:p w14:paraId="363A9F3B">
      <w:pPr>
        <w:pStyle w:val="66"/>
        <w:rPr>
          <w:rFonts w:hint="eastAsia"/>
          <w:lang w:val="en-US" w:eastAsia="zh-CN"/>
        </w:rPr>
      </w:pPr>
      <w:r>
        <w:rPr>
          <w:rFonts w:hint="eastAsia"/>
          <w:lang w:val="en-US" w:eastAsia="zh-CN"/>
        </w:rPr>
        <w:t>按GB/T 6451的规定进行。</w:t>
      </w:r>
    </w:p>
    <w:p w14:paraId="2555E9B0">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智能化配置要求</w:t>
      </w:r>
    </w:p>
    <w:p w14:paraId="612DBC51">
      <w:pPr>
        <w:pStyle w:val="66"/>
        <w:rPr>
          <w:rFonts w:hint="default"/>
          <w:lang w:val="en-US" w:eastAsia="zh-CN"/>
        </w:rPr>
      </w:pPr>
      <w:r>
        <w:rPr>
          <w:rFonts w:hint="eastAsia"/>
          <w:lang w:val="en-US" w:eastAsia="zh-CN"/>
        </w:rPr>
        <w:t>采用目视及模拟操作法进行检查。</w:t>
      </w:r>
    </w:p>
    <w:p w14:paraId="4FF44FC3">
      <w:pPr>
        <w:pStyle w:val="105"/>
        <w:spacing w:before="326" w:after="326"/>
      </w:pPr>
      <w:bookmarkStart w:id="61" w:name="_Toc22351"/>
      <w:r>
        <w:rPr>
          <w:rFonts w:hint="eastAsia"/>
          <w:lang w:val="en-US" w:eastAsia="zh-CN"/>
        </w:rPr>
        <w:t>检验规则</w:t>
      </w:r>
      <w:bookmarkEnd w:id="61"/>
    </w:p>
    <w:p w14:paraId="168D9895">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检验分类</w:t>
      </w:r>
    </w:p>
    <w:p w14:paraId="4F5047F4">
      <w:pPr>
        <w:pStyle w:val="66"/>
        <w:rPr>
          <w:rFonts w:hint="eastAsia"/>
          <w:lang w:val="en-US" w:eastAsia="zh-CN"/>
        </w:rPr>
      </w:pPr>
      <w:r>
        <w:rPr>
          <w:rFonts w:hint="eastAsia"/>
          <w:lang w:val="en-US" w:eastAsia="zh-CN"/>
        </w:rPr>
        <w:t>检验分为出厂检验和型式检验，具体检验项目见表1。</w:t>
      </w:r>
    </w:p>
    <w:p w14:paraId="6A0D0C26">
      <w:pPr>
        <w:pStyle w:val="113"/>
        <w:bidi w:val="0"/>
        <w:rPr>
          <w:rFonts w:hint="eastAsia"/>
          <w:lang w:val="en-US" w:eastAsia="zh-CN"/>
        </w:rPr>
      </w:pPr>
      <w:r>
        <w:rPr>
          <w:rFonts w:hint="eastAsia"/>
          <w:lang w:val="en-US" w:eastAsia="zh-CN"/>
        </w:rPr>
        <w:t>检验项目</w:t>
      </w:r>
    </w:p>
    <w:tbl>
      <w:tblPr>
        <w:tblStyle w:val="27"/>
        <w:tblW w:w="5000" w:type="pct"/>
        <w:tblCaption w:val="额定参数"/>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
        <w:gridCol w:w="1869"/>
        <w:gridCol w:w="1945"/>
        <w:gridCol w:w="1233"/>
        <w:gridCol w:w="1168"/>
        <w:gridCol w:w="1367"/>
        <w:gridCol w:w="1510"/>
      </w:tblGrid>
      <w:tr w14:paraId="64826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250" w:type="pct"/>
            <w:tcBorders>
              <w:top w:val="single" w:color="auto" w:sz="8" w:space="0"/>
              <w:left w:val="single" w:color="auto" w:sz="8" w:space="0"/>
              <w:bottom w:val="single" w:color="auto" w:sz="8" w:space="0"/>
            </w:tcBorders>
            <w:vAlign w:val="center"/>
          </w:tcPr>
          <w:p w14:paraId="7F753169">
            <w:pPr>
              <w:pStyle w:val="179"/>
              <w:bidi w:val="0"/>
              <w:jc w:val="center"/>
              <w:rPr>
                <w:rFonts w:hint="default"/>
                <w:lang w:val="en-US" w:eastAsia="zh-CN"/>
              </w:rPr>
            </w:pPr>
            <w:r>
              <w:rPr>
                <w:rFonts w:hint="eastAsia"/>
                <w:lang w:val="en-US" w:eastAsia="zh-CN"/>
              </w:rPr>
              <w:t>序号</w:t>
            </w:r>
          </w:p>
        </w:tc>
        <w:tc>
          <w:tcPr>
            <w:tcW w:w="1993" w:type="pct"/>
            <w:gridSpan w:val="2"/>
            <w:tcBorders>
              <w:top w:val="single" w:color="auto" w:sz="8" w:space="0"/>
              <w:bottom w:val="single" w:color="auto" w:sz="8" w:space="0"/>
            </w:tcBorders>
            <w:vAlign w:val="center"/>
          </w:tcPr>
          <w:p w14:paraId="0D5E6F82">
            <w:pPr>
              <w:pStyle w:val="179"/>
              <w:bidi w:val="0"/>
              <w:jc w:val="center"/>
              <w:rPr>
                <w:rFonts w:hint="default"/>
                <w:lang w:val="en-US" w:eastAsia="zh-CN"/>
              </w:rPr>
            </w:pPr>
            <w:r>
              <w:rPr>
                <w:rFonts w:hint="eastAsia"/>
                <w:lang w:val="en-US" w:eastAsia="zh-CN"/>
              </w:rPr>
              <w:t>项目名称</w:t>
            </w:r>
          </w:p>
        </w:tc>
        <w:tc>
          <w:tcPr>
            <w:tcW w:w="644" w:type="pct"/>
            <w:tcBorders>
              <w:top w:val="single" w:color="auto" w:sz="8" w:space="0"/>
              <w:bottom w:val="single" w:color="auto" w:sz="8" w:space="0"/>
            </w:tcBorders>
            <w:vAlign w:val="center"/>
          </w:tcPr>
          <w:p w14:paraId="3ECBC519">
            <w:pPr>
              <w:pStyle w:val="179"/>
              <w:bidi w:val="0"/>
              <w:jc w:val="center"/>
              <w:rPr>
                <w:rFonts w:hint="default"/>
                <w:lang w:val="en-US" w:eastAsia="zh-CN"/>
              </w:rPr>
            </w:pPr>
            <w:r>
              <w:rPr>
                <w:rFonts w:hint="eastAsia"/>
                <w:lang w:val="en-US" w:eastAsia="zh-CN"/>
              </w:rPr>
              <w:t>技术要求</w:t>
            </w:r>
          </w:p>
        </w:tc>
        <w:tc>
          <w:tcPr>
            <w:tcW w:w="610" w:type="pct"/>
            <w:tcBorders>
              <w:top w:val="single" w:color="auto" w:sz="8" w:space="0"/>
              <w:bottom w:val="single" w:color="auto" w:sz="8" w:space="0"/>
            </w:tcBorders>
            <w:vAlign w:val="center"/>
          </w:tcPr>
          <w:p w14:paraId="5FF97CAB">
            <w:pPr>
              <w:pStyle w:val="179"/>
              <w:bidi w:val="0"/>
              <w:jc w:val="center"/>
              <w:rPr>
                <w:rFonts w:hint="default"/>
                <w:lang w:val="en-US" w:eastAsia="zh-CN"/>
              </w:rPr>
            </w:pPr>
            <w:r>
              <w:rPr>
                <w:rFonts w:hint="eastAsia"/>
                <w:lang w:val="en-US" w:eastAsia="zh-CN"/>
              </w:rPr>
              <w:t>试验方法</w:t>
            </w:r>
          </w:p>
        </w:tc>
        <w:tc>
          <w:tcPr>
            <w:tcW w:w="714" w:type="pct"/>
            <w:tcBorders>
              <w:top w:val="single" w:color="auto" w:sz="8" w:space="0"/>
              <w:bottom w:val="single" w:color="auto" w:sz="8" w:space="0"/>
            </w:tcBorders>
            <w:vAlign w:val="center"/>
          </w:tcPr>
          <w:p w14:paraId="5796AA64">
            <w:pPr>
              <w:pStyle w:val="179"/>
              <w:bidi w:val="0"/>
              <w:jc w:val="center"/>
              <w:rPr>
                <w:rFonts w:hint="default"/>
                <w:lang w:val="en-US" w:eastAsia="zh-CN"/>
              </w:rPr>
            </w:pPr>
            <w:r>
              <w:rPr>
                <w:rFonts w:hint="eastAsia"/>
                <w:lang w:val="en-US" w:eastAsia="zh-CN"/>
              </w:rPr>
              <w:t>出厂检验</w:t>
            </w:r>
          </w:p>
        </w:tc>
        <w:tc>
          <w:tcPr>
            <w:tcW w:w="787" w:type="pct"/>
            <w:tcBorders>
              <w:top w:val="single" w:color="auto" w:sz="8" w:space="0"/>
              <w:bottom w:val="single" w:color="auto" w:sz="8" w:space="0"/>
              <w:right w:val="single" w:color="auto" w:sz="8" w:space="0"/>
            </w:tcBorders>
            <w:vAlign w:val="center"/>
          </w:tcPr>
          <w:p w14:paraId="037657D0">
            <w:pPr>
              <w:pStyle w:val="179"/>
              <w:bidi w:val="0"/>
              <w:jc w:val="center"/>
              <w:rPr>
                <w:rFonts w:hint="default"/>
                <w:lang w:val="en-US" w:eastAsia="zh-CN"/>
              </w:rPr>
            </w:pPr>
            <w:r>
              <w:rPr>
                <w:rFonts w:hint="eastAsia"/>
                <w:lang w:val="en-US" w:eastAsia="zh-CN"/>
              </w:rPr>
              <w:t>型式检验</w:t>
            </w:r>
          </w:p>
        </w:tc>
      </w:tr>
      <w:tr w14:paraId="70B98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 w:type="pct"/>
            <w:tcBorders>
              <w:left w:val="single" w:color="auto" w:sz="8" w:space="0"/>
            </w:tcBorders>
            <w:vAlign w:val="center"/>
          </w:tcPr>
          <w:p w14:paraId="127C2A45">
            <w:pPr>
              <w:pStyle w:val="179"/>
              <w:bidi w:val="0"/>
              <w:jc w:val="center"/>
              <w:rPr>
                <w:rFonts w:hint="default"/>
                <w:lang w:val="en-US" w:eastAsia="zh-CN"/>
              </w:rPr>
            </w:pPr>
            <w:r>
              <w:rPr>
                <w:rFonts w:hint="eastAsia"/>
                <w:lang w:val="en-US" w:eastAsia="zh-CN"/>
              </w:rPr>
              <w:t>1</w:t>
            </w:r>
          </w:p>
        </w:tc>
        <w:tc>
          <w:tcPr>
            <w:tcW w:w="1993" w:type="pct"/>
            <w:gridSpan w:val="2"/>
            <w:vAlign w:val="center"/>
          </w:tcPr>
          <w:p w14:paraId="4EA46D98">
            <w:pPr>
              <w:pStyle w:val="179"/>
              <w:bidi w:val="0"/>
              <w:jc w:val="center"/>
              <w:rPr>
                <w:rFonts w:hint="default"/>
                <w:lang w:val="en-US" w:eastAsia="zh-CN"/>
              </w:rPr>
            </w:pPr>
            <w:r>
              <w:rPr>
                <w:rFonts w:hint="eastAsia"/>
                <w:lang w:val="en-US" w:eastAsia="zh-CN"/>
              </w:rPr>
              <w:t>外观质量</w:t>
            </w:r>
          </w:p>
        </w:tc>
        <w:tc>
          <w:tcPr>
            <w:tcW w:w="644" w:type="pct"/>
            <w:vAlign w:val="center"/>
          </w:tcPr>
          <w:p w14:paraId="3634C31D">
            <w:pPr>
              <w:pStyle w:val="179"/>
              <w:bidi w:val="0"/>
              <w:ind w:firstLine="0" w:firstLineChars="0"/>
              <w:jc w:val="center"/>
              <w:rPr>
                <w:rFonts w:hint="default"/>
                <w:lang w:val="en-US" w:eastAsia="zh-CN"/>
              </w:rPr>
            </w:pPr>
            <w:r>
              <w:rPr>
                <w:rFonts w:hint="eastAsia"/>
                <w:lang w:val="en-US" w:eastAsia="zh-CN"/>
              </w:rPr>
              <w:t>5.1</w:t>
            </w:r>
          </w:p>
        </w:tc>
        <w:tc>
          <w:tcPr>
            <w:tcW w:w="610" w:type="pct"/>
            <w:vAlign w:val="center"/>
          </w:tcPr>
          <w:p w14:paraId="6436BC56">
            <w:pPr>
              <w:pStyle w:val="179"/>
              <w:bidi w:val="0"/>
              <w:jc w:val="center"/>
              <w:rPr>
                <w:rFonts w:hint="default"/>
                <w:lang w:val="en-US" w:eastAsia="zh-CN"/>
              </w:rPr>
            </w:pPr>
            <w:r>
              <w:rPr>
                <w:rFonts w:hint="eastAsia"/>
                <w:lang w:val="en-US" w:eastAsia="zh-CN"/>
              </w:rPr>
              <w:t>6.1</w:t>
            </w:r>
          </w:p>
        </w:tc>
        <w:tc>
          <w:tcPr>
            <w:tcW w:w="714" w:type="pct"/>
            <w:vAlign w:val="center"/>
          </w:tcPr>
          <w:p w14:paraId="4BF6464D">
            <w:pPr>
              <w:pStyle w:val="179"/>
              <w:bidi w:val="0"/>
              <w:jc w:val="center"/>
              <w:rPr>
                <w:rFonts w:hint="default" w:ascii="Times New Roman" w:hAnsi="Times New Roman" w:cs="Times New Roman"/>
              </w:rPr>
            </w:pPr>
            <w:r>
              <w:rPr>
                <w:rFonts w:hint="default"/>
                <w:lang w:val="en-US" w:eastAsia="zh-CN"/>
              </w:rPr>
              <w:t>√</w:t>
            </w:r>
          </w:p>
        </w:tc>
        <w:tc>
          <w:tcPr>
            <w:tcW w:w="787" w:type="pct"/>
            <w:tcBorders>
              <w:right w:val="single" w:color="auto" w:sz="8" w:space="0"/>
            </w:tcBorders>
            <w:vAlign w:val="center"/>
          </w:tcPr>
          <w:p w14:paraId="0EF7EE87">
            <w:pPr>
              <w:pStyle w:val="179"/>
              <w:bidi w:val="0"/>
              <w:jc w:val="center"/>
              <w:rPr>
                <w:rFonts w:hint="default" w:ascii="Times New Roman" w:hAnsi="Times New Roman" w:cs="Times New Roman"/>
              </w:rPr>
            </w:pPr>
            <w:r>
              <w:rPr>
                <w:rFonts w:hint="default"/>
                <w:lang w:val="en-US" w:eastAsia="zh-CN"/>
              </w:rPr>
              <w:t>√</w:t>
            </w:r>
          </w:p>
        </w:tc>
      </w:tr>
      <w:tr w14:paraId="003D7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 w:type="pct"/>
            <w:tcBorders>
              <w:left w:val="single" w:color="auto" w:sz="8" w:space="0"/>
            </w:tcBorders>
            <w:shd w:val="clear" w:color="auto" w:fill="auto"/>
            <w:vAlign w:val="center"/>
          </w:tcPr>
          <w:p w14:paraId="564C6E58">
            <w:pPr>
              <w:pStyle w:val="179"/>
              <w:bidi w:val="0"/>
              <w:ind w:firstLine="0" w:firstLineChars="0"/>
              <w:jc w:val="center"/>
              <w:rPr>
                <w:rFonts w:hint="eastAsia" w:ascii="宋体" w:hAnsi="Times New Roman" w:eastAsia="宋体" w:cs="Times New Roman"/>
                <w:sz w:val="18"/>
                <w:lang w:val="en-US" w:eastAsia="zh-CN" w:bidi="ar-SA"/>
              </w:rPr>
            </w:pPr>
            <w:r>
              <w:rPr>
                <w:rFonts w:hint="eastAsia"/>
                <w:lang w:val="en-US" w:eastAsia="zh-CN"/>
              </w:rPr>
              <w:t>2</w:t>
            </w:r>
          </w:p>
        </w:tc>
        <w:tc>
          <w:tcPr>
            <w:tcW w:w="1993" w:type="pct"/>
            <w:gridSpan w:val="2"/>
            <w:vAlign w:val="center"/>
          </w:tcPr>
          <w:p w14:paraId="048EB891">
            <w:pPr>
              <w:pStyle w:val="179"/>
              <w:bidi w:val="0"/>
              <w:jc w:val="center"/>
              <w:rPr>
                <w:rFonts w:hint="default"/>
                <w:lang w:val="en-US" w:eastAsia="zh-CN"/>
              </w:rPr>
            </w:pPr>
            <w:r>
              <w:rPr>
                <w:rFonts w:hint="eastAsia"/>
                <w:lang w:val="en-US" w:eastAsia="zh-CN"/>
              </w:rPr>
              <w:t>结构要求</w:t>
            </w:r>
          </w:p>
        </w:tc>
        <w:tc>
          <w:tcPr>
            <w:tcW w:w="644" w:type="pct"/>
            <w:vAlign w:val="center"/>
          </w:tcPr>
          <w:p w14:paraId="5B26A2FD">
            <w:pPr>
              <w:pStyle w:val="179"/>
              <w:bidi w:val="0"/>
              <w:ind w:firstLine="0" w:firstLineChars="0"/>
              <w:jc w:val="center"/>
              <w:rPr>
                <w:rFonts w:hint="default"/>
                <w:lang w:val="en-US" w:eastAsia="zh-CN"/>
              </w:rPr>
            </w:pPr>
            <w:r>
              <w:rPr>
                <w:rFonts w:hint="eastAsia"/>
                <w:lang w:val="en-US" w:eastAsia="zh-CN"/>
              </w:rPr>
              <w:t>5.2</w:t>
            </w:r>
          </w:p>
        </w:tc>
        <w:tc>
          <w:tcPr>
            <w:tcW w:w="610" w:type="pct"/>
            <w:vAlign w:val="center"/>
          </w:tcPr>
          <w:p w14:paraId="01BCDD7A">
            <w:pPr>
              <w:pStyle w:val="179"/>
              <w:bidi w:val="0"/>
              <w:jc w:val="center"/>
              <w:rPr>
                <w:rFonts w:hint="default"/>
                <w:lang w:val="en-US" w:eastAsia="zh-CN"/>
              </w:rPr>
            </w:pPr>
            <w:r>
              <w:rPr>
                <w:rFonts w:hint="eastAsia"/>
                <w:lang w:val="en-US" w:eastAsia="zh-CN"/>
              </w:rPr>
              <w:t>6.2</w:t>
            </w:r>
          </w:p>
        </w:tc>
        <w:tc>
          <w:tcPr>
            <w:tcW w:w="714" w:type="pct"/>
            <w:vAlign w:val="center"/>
          </w:tcPr>
          <w:p w14:paraId="7032BB69">
            <w:pPr>
              <w:pStyle w:val="179"/>
              <w:bidi w:val="0"/>
              <w:jc w:val="center"/>
              <w:rPr>
                <w:rFonts w:hint="default" w:ascii="Times New Roman" w:hAnsi="Times New Roman" w:cs="Times New Roman"/>
              </w:rPr>
            </w:pPr>
            <w:r>
              <w:rPr>
                <w:rFonts w:hint="default"/>
                <w:lang w:val="en-US" w:eastAsia="zh-CN"/>
              </w:rPr>
              <w:t>√</w:t>
            </w:r>
          </w:p>
        </w:tc>
        <w:tc>
          <w:tcPr>
            <w:tcW w:w="787" w:type="pct"/>
            <w:tcBorders>
              <w:right w:val="single" w:color="auto" w:sz="8" w:space="0"/>
            </w:tcBorders>
            <w:vAlign w:val="center"/>
          </w:tcPr>
          <w:p w14:paraId="317D505D">
            <w:pPr>
              <w:pStyle w:val="179"/>
              <w:bidi w:val="0"/>
              <w:jc w:val="center"/>
              <w:rPr>
                <w:rFonts w:hint="default" w:ascii="Times New Roman" w:hAnsi="Times New Roman" w:cs="Times New Roman"/>
              </w:rPr>
            </w:pPr>
            <w:r>
              <w:rPr>
                <w:rFonts w:hint="default"/>
                <w:lang w:val="en-US" w:eastAsia="zh-CN"/>
              </w:rPr>
              <w:t>√</w:t>
            </w:r>
          </w:p>
        </w:tc>
      </w:tr>
      <w:tr w14:paraId="199D6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 w:type="pct"/>
            <w:vMerge w:val="restart"/>
            <w:tcBorders>
              <w:left w:val="single" w:color="auto" w:sz="8" w:space="0"/>
            </w:tcBorders>
            <w:vAlign w:val="center"/>
          </w:tcPr>
          <w:p w14:paraId="52CCFE3E">
            <w:pPr>
              <w:pStyle w:val="179"/>
              <w:bidi w:val="0"/>
              <w:ind w:firstLine="0" w:firstLineChars="0"/>
              <w:jc w:val="center"/>
              <w:rPr>
                <w:rFonts w:hint="default"/>
                <w:lang w:val="en-US" w:eastAsia="zh-CN"/>
              </w:rPr>
            </w:pPr>
            <w:r>
              <w:rPr>
                <w:rFonts w:hint="eastAsia"/>
                <w:lang w:val="en-US" w:eastAsia="zh-CN"/>
              </w:rPr>
              <w:t>3</w:t>
            </w:r>
          </w:p>
        </w:tc>
        <w:tc>
          <w:tcPr>
            <w:tcW w:w="977" w:type="pct"/>
            <w:vMerge w:val="restart"/>
            <w:vAlign w:val="center"/>
          </w:tcPr>
          <w:p w14:paraId="597317E6">
            <w:pPr>
              <w:pStyle w:val="179"/>
              <w:bidi w:val="0"/>
              <w:jc w:val="center"/>
              <w:rPr>
                <w:rFonts w:hint="default"/>
                <w:lang w:val="en-US" w:eastAsia="zh-CN"/>
              </w:rPr>
            </w:pPr>
            <w:r>
              <w:rPr>
                <w:rFonts w:hint="eastAsia"/>
                <w:lang w:val="en-US" w:eastAsia="zh-CN"/>
              </w:rPr>
              <w:t>电气性能</w:t>
            </w:r>
          </w:p>
        </w:tc>
        <w:tc>
          <w:tcPr>
            <w:tcW w:w="1016" w:type="pct"/>
            <w:vAlign w:val="center"/>
          </w:tcPr>
          <w:p w14:paraId="45625B77">
            <w:pPr>
              <w:pStyle w:val="179"/>
              <w:bidi w:val="0"/>
              <w:jc w:val="center"/>
              <w:rPr>
                <w:rFonts w:hint="default"/>
                <w:lang w:val="en-US" w:eastAsia="zh-CN"/>
              </w:rPr>
            </w:pPr>
            <w:r>
              <w:rPr>
                <w:rFonts w:hint="eastAsia"/>
                <w:lang w:val="en-US" w:eastAsia="zh-CN"/>
              </w:rPr>
              <w:t>损耗限值</w:t>
            </w:r>
          </w:p>
        </w:tc>
        <w:tc>
          <w:tcPr>
            <w:tcW w:w="644" w:type="pct"/>
            <w:vAlign w:val="center"/>
          </w:tcPr>
          <w:p w14:paraId="788C24AE">
            <w:pPr>
              <w:pStyle w:val="179"/>
              <w:bidi w:val="0"/>
              <w:ind w:firstLine="0" w:firstLineChars="0"/>
              <w:jc w:val="center"/>
              <w:rPr>
                <w:rFonts w:hint="default"/>
                <w:lang w:val="en-US" w:eastAsia="zh-CN"/>
              </w:rPr>
            </w:pPr>
            <w:r>
              <w:rPr>
                <w:rFonts w:hint="eastAsia"/>
                <w:lang w:val="en-US" w:eastAsia="zh-CN"/>
              </w:rPr>
              <w:t>5.3.1</w:t>
            </w:r>
          </w:p>
        </w:tc>
        <w:tc>
          <w:tcPr>
            <w:tcW w:w="610" w:type="pct"/>
            <w:vAlign w:val="center"/>
          </w:tcPr>
          <w:p w14:paraId="23F362CF">
            <w:pPr>
              <w:pStyle w:val="179"/>
              <w:bidi w:val="0"/>
              <w:jc w:val="center"/>
              <w:rPr>
                <w:rFonts w:hint="default"/>
                <w:lang w:val="en-US" w:eastAsia="zh-CN"/>
              </w:rPr>
            </w:pPr>
            <w:r>
              <w:rPr>
                <w:rFonts w:hint="eastAsia"/>
                <w:lang w:val="en-US" w:eastAsia="zh-CN"/>
              </w:rPr>
              <w:t>6.3.1</w:t>
            </w:r>
          </w:p>
        </w:tc>
        <w:tc>
          <w:tcPr>
            <w:tcW w:w="714" w:type="pct"/>
            <w:vAlign w:val="center"/>
          </w:tcPr>
          <w:p w14:paraId="28862EF2">
            <w:pPr>
              <w:pStyle w:val="179"/>
              <w:bidi w:val="0"/>
              <w:jc w:val="center"/>
              <w:rPr>
                <w:rFonts w:hint="default"/>
                <w:lang w:val="en-US" w:eastAsia="zh-CN"/>
              </w:rPr>
            </w:pPr>
            <w:r>
              <w:rPr>
                <w:rFonts w:hint="eastAsia"/>
                <w:lang w:val="en-US" w:eastAsia="zh-CN"/>
              </w:rPr>
              <w:t>—</w:t>
            </w:r>
          </w:p>
        </w:tc>
        <w:tc>
          <w:tcPr>
            <w:tcW w:w="787" w:type="pct"/>
            <w:tcBorders>
              <w:right w:val="single" w:color="auto" w:sz="8" w:space="0"/>
            </w:tcBorders>
            <w:vAlign w:val="center"/>
          </w:tcPr>
          <w:p w14:paraId="12A0E9D5">
            <w:pPr>
              <w:pStyle w:val="179"/>
              <w:bidi w:val="0"/>
              <w:jc w:val="center"/>
              <w:rPr>
                <w:rFonts w:hint="default" w:ascii="Times New Roman" w:hAnsi="Times New Roman" w:cs="Times New Roman"/>
                <w:lang w:val="en-US" w:eastAsia="zh-CN"/>
              </w:rPr>
            </w:pPr>
            <w:r>
              <w:rPr>
                <w:rFonts w:hint="default"/>
                <w:lang w:val="en-US" w:eastAsia="zh-CN"/>
              </w:rPr>
              <w:t>√</w:t>
            </w:r>
          </w:p>
        </w:tc>
      </w:tr>
      <w:tr w14:paraId="20102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 w:type="pct"/>
            <w:vMerge w:val="continue"/>
            <w:tcBorders>
              <w:left w:val="single" w:color="auto" w:sz="8" w:space="0"/>
            </w:tcBorders>
            <w:vAlign w:val="center"/>
          </w:tcPr>
          <w:p w14:paraId="488B0CAE">
            <w:pPr>
              <w:pStyle w:val="179"/>
              <w:bidi w:val="0"/>
              <w:jc w:val="center"/>
              <w:rPr>
                <w:rFonts w:hint="eastAsia"/>
                <w:lang w:val="en-US" w:eastAsia="zh-CN"/>
              </w:rPr>
            </w:pPr>
          </w:p>
        </w:tc>
        <w:tc>
          <w:tcPr>
            <w:tcW w:w="977" w:type="pct"/>
            <w:vMerge w:val="continue"/>
            <w:tcBorders/>
            <w:vAlign w:val="center"/>
          </w:tcPr>
          <w:p w14:paraId="3D347E6E">
            <w:pPr>
              <w:pStyle w:val="179"/>
              <w:bidi w:val="0"/>
              <w:jc w:val="center"/>
              <w:rPr>
                <w:rFonts w:hint="eastAsia"/>
                <w:lang w:val="en-US" w:eastAsia="zh-CN"/>
              </w:rPr>
            </w:pPr>
          </w:p>
        </w:tc>
        <w:tc>
          <w:tcPr>
            <w:tcW w:w="1016" w:type="pct"/>
            <w:vAlign w:val="center"/>
          </w:tcPr>
          <w:p w14:paraId="507D0EF2">
            <w:pPr>
              <w:pStyle w:val="179"/>
              <w:bidi w:val="0"/>
              <w:jc w:val="center"/>
              <w:rPr>
                <w:rFonts w:hint="default"/>
                <w:lang w:val="en-US" w:eastAsia="zh-CN"/>
              </w:rPr>
            </w:pPr>
            <w:r>
              <w:rPr>
                <w:rFonts w:hint="eastAsia"/>
                <w:lang w:val="en-US" w:eastAsia="zh-CN"/>
              </w:rPr>
              <w:t>温升限值</w:t>
            </w:r>
          </w:p>
        </w:tc>
        <w:tc>
          <w:tcPr>
            <w:tcW w:w="644" w:type="pct"/>
            <w:vAlign w:val="center"/>
          </w:tcPr>
          <w:p w14:paraId="2AA4050D">
            <w:pPr>
              <w:pStyle w:val="179"/>
              <w:bidi w:val="0"/>
              <w:ind w:firstLine="0" w:firstLineChars="0"/>
              <w:jc w:val="center"/>
              <w:rPr>
                <w:rFonts w:hint="default"/>
                <w:lang w:val="en-US" w:eastAsia="zh-CN"/>
              </w:rPr>
            </w:pPr>
            <w:r>
              <w:rPr>
                <w:rFonts w:hint="eastAsia"/>
                <w:lang w:val="en-US" w:eastAsia="zh-CN"/>
              </w:rPr>
              <w:t>5.3.2</w:t>
            </w:r>
          </w:p>
        </w:tc>
        <w:tc>
          <w:tcPr>
            <w:tcW w:w="610" w:type="pct"/>
            <w:vAlign w:val="center"/>
          </w:tcPr>
          <w:p w14:paraId="2A688799">
            <w:pPr>
              <w:pStyle w:val="179"/>
              <w:bidi w:val="0"/>
              <w:jc w:val="center"/>
              <w:rPr>
                <w:rFonts w:hint="default"/>
                <w:lang w:val="en-US" w:eastAsia="zh-CN"/>
              </w:rPr>
            </w:pPr>
            <w:r>
              <w:rPr>
                <w:rFonts w:hint="eastAsia"/>
                <w:lang w:val="en-US" w:eastAsia="zh-CN"/>
              </w:rPr>
              <w:t>6.3.2</w:t>
            </w:r>
          </w:p>
        </w:tc>
        <w:tc>
          <w:tcPr>
            <w:tcW w:w="714" w:type="pct"/>
            <w:vAlign w:val="center"/>
          </w:tcPr>
          <w:p w14:paraId="10C11B1D">
            <w:pPr>
              <w:pStyle w:val="179"/>
              <w:bidi w:val="0"/>
              <w:jc w:val="center"/>
              <w:rPr>
                <w:rFonts w:hint="default" w:ascii="Times New Roman" w:hAnsi="Times New Roman" w:cs="Times New Roman"/>
              </w:rPr>
            </w:pPr>
            <w:r>
              <w:rPr>
                <w:rFonts w:hint="eastAsia"/>
                <w:lang w:val="en-US" w:eastAsia="zh-CN"/>
              </w:rPr>
              <w:t>—</w:t>
            </w:r>
          </w:p>
        </w:tc>
        <w:tc>
          <w:tcPr>
            <w:tcW w:w="787" w:type="pct"/>
            <w:tcBorders>
              <w:right w:val="single" w:color="auto" w:sz="8" w:space="0"/>
            </w:tcBorders>
            <w:vAlign w:val="center"/>
          </w:tcPr>
          <w:p w14:paraId="246EA140">
            <w:pPr>
              <w:pStyle w:val="179"/>
              <w:bidi w:val="0"/>
              <w:jc w:val="center"/>
              <w:rPr>
                <w:rFonts w:hint="default" w:ascii="Times New Roman" w:hAnsi="Times New Roman" w:cs="Times New Roman"/>
              </w:rPr>
            </w:pPr>
            <w:r>
              <w:rPr>
                <w:rFonts w:hint="default"/>
                <w:lang w:val="en-US" w:eastAsia="zh-CN"/>
              </w:rPr>
              <w:t>√</w:t>
            </w:r>
          </w:p>
        </w:tc>
      </w:tr>
      <w:tr w14:paraId="41DAF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 w:type="pct"/>
            <w:vMerge w:val="continue"/>
            <w:tcBorders>
              <w:left w:val="single" w:color="auto" w:sz="8" w:space="0"/>
            </w:tcBorders>
            <w:vAlign w:val="center"/>
          </w:tcPr>
          <w:p w14:paraId="19DF90FC">
            <w:pPr>
              <w:pStyle w:val="179"/>
              <w:bidi w:val="0"/>
              <w:jc w:val="center"/>
              <w:rPr>
                <w:rFonts w:hint="eastAsia"/>
                <w:lang w:val="en-US" w:eastAsia="zh-CN"/>
              </w:rPr>
            </w:pPr>
          </w:p>
        </w:tc>
        <w:tc>
          <w:tcPr>
            <w:tcW w:w="977" w:type="pct"/>
            <w:vMerge w:val="continue"/>
            <w:tcBorders/>
            <w:vAlign w:val="center"/>
          </w:tcPr>
          <w:p w14:paraId="5F6C8269">
            <w:pPr>
              <w:pStyle w:val="179"/>
              <w:bidi w:val="0"/>
              <w:jc w:val="center"/>
              <w:rPr>
                <w:rFonts w:hint="eastAsia"/>
                <w:lang w:val="en-US" w:eastAsia="zh-CN"/>
              </w:rPr>
            </w:pPr>
          </w:p>
        </w:tc>
        <w:tc>
          <w:tcPr>
            <w:tcW w:w="1016" w:type="pct"/>
            <w:vAlign w:val="center"/>
          </w:tcPr>
          <w:p w14:paraId="233BF369">
            <w:pPr>
              <w:pStyle w:val="179"/>
              <w:bidi w:val="0"/>
              <w:jc w:val="center"/>
              <w:rPr>
                <w:rFonts w:hint="default"/>
                <w:lang w:val="en-US" w:eastAsia="zh-CN"/>
              </w:rPr>
            </w:pPr>
            <w:r>
              <w:rPr>
                <w:rFonts w:hint="eastAsia"/>
                <w:lang w:val="en-US" w:eastAsia="zh-CN"/>
              </w:rPr>
              <w:t>绝缘水平</w:t>
            </w:r>
          </w:p>
        </w:tc>
        <w:tc>
          <w:tcPr>
            <w:tcW w:w="644" w:type="pct"/>
            <w:vAlign w:val="center"/>
          </w:tcPr>
          <w:p w14:paraId="5145C788">
            <w:pPr>
              <w:pStyle w:val="179"/>
              <w:bidi w:val="0"/>
              <w:ind w:firstLine="0" w:firstLineChars="0"/>
              <w:jc w:val="center"/>
              <w:rPr>
                <w:rFonts w:hint="default"/>
                <w:lang w:val="en-US" w:eastAsia="zh-CN"/>
              </w:rPr>
            </w:pPr>
            <w:r>
              <w:rPr>
                <w:rFonts w:hint="eastAsia"/>
                <w:lang w:val="en-US" w:eastAsia="zh-CN"/>
              </w:rPr>
              <w:t>5.3.3</w:t>
            </w:r>
          </w:p>
        </w:tc>
        <w:tc>
          <w:tcPr>
            <w:tcW w:w="610" w:type="pct"/>
            <w:vAlign w:val="center"/>
          </w:tcPr>
          <w:p w14:paraId="139AF78F">
            <w:pPr>
              <w:pStyle w:val="179"/>
              <w:bidi w:val="0"/>
              <w:jc w:val="center"/>
              <w:rPr>
                <w:rFonts w:hint="default"/>
                <w:lang w:val="en-US" w:eastAsia="zh-CN"/>
              </w:rPr>
            </w:pPr>
            <w:r>
              <w:rPr>
                <w:rFonts w:hint="eastAsia"/>
                <w:lang w:val="en-US" w:eastAsia="zh-CN"/>
              </w:rPr>
              <w:t>6.3.3</w:t>
            </w:r>
          </w:p>
        </w:tc>
        <w:tc>
          <w:tcPr>
            <w:tcW w:w="714" w:type="pct"/>
            <w:vAlign w:val="center"/>
          </w:tcPr>
          <w:p w14:paraId="5D420E10">
            <w:pPr>
              <w:pStyle w:val="179"/>
              <w:bidi w:val="0"/>
              <w:jc w:val="center"/>
              <w:rPr>
                <w:rFonts w:hint="default" w:ascii="Times New Roman" w:hAnsi="Times New Roman" w:cs="Times New Roman"/>
              </w:rPr>
            </w:pPr>
            <w:r>
              <w:rPr>
                <w:rFonts w:hint="eastAsia"/>
                <w:lang w:val="en-US" w:eastAsia="zh-CN"/>
              </w:rPr>
              <w:t>—</w:t>
            </w:r>
          </w:p>
        </w:tc>
        <w:tc>
          <w:tcPr>
            <w:tcW w:w="787" w:type="pct"/>
            <w:tcBorders>
              <w:right w:val="single" w:color="auto" w:sz="8" w:space="0"/>
            </w:tcBorders>
            <w:vAlign w:val="center"/>
          </w:tcPr>
          <w:p w14:paraId="789EC59C">
            <w:pPr>
              <w:pStyle w:val="179"/>
              <w:bidi w:val="0"/>
              <w:jc w:val="center"/>
              <w:rPr>
                <w:rFonts w:hint="default" w:ascii="Times New Roman" w:hAnsi="Times New Roman" w:cs="Times New Roman"/>
              </w:rPr>
            </w:pPr>
            <w:r>
              <w:rPr>
                <w:rFonts w:hint="default"/>
                <w:lang w:val="en-US" w:eastAsia="zh-CN"/>
              </w:rPr>
              <w:t>√</w:t>
            </w:r>
          </w:p>
        </w:tc>
      </w:tr>
      <w:tr w14:paraId="7704C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50" w:type="pct"/>
            <w:vMerge w:val="continue"/>
            <w:tcBorders>
              <w:left w:val="single" w:color="auto" w:sz="8" w:space="0"/>
            </w:tcBorders>
            <w:shd w:val="clear" w:color="auto" w:fill="auto"/>
            <w:vAlign w:val="center"/>
          </w:tcPr>
          <w:p w14:paraId="5F905362">
            <w:pPr>
              <w:pStyle w:val="179"/>
              <w:bidi w:val="0"/>
              <w:ind w:firstLine="0" w:firstLineChars="0"/>
              <w:jc w:val="center"/>
              <w:rPr>
                <w:rFonts w:hint="eastAsia" w:ascii="宋体" w:hAnsi="Times New Roman" w:eastAsia="宋体" w:cs="Times New Roman"/>
                <w:sz w:val="18"/>
                <w:lang w:val="en-US" w:eastAsia="zh-CN" w:bidi="ar-SA"/>
              </w:rPr>
            </w:pPr>
          </w:p>
        </w:tc>
        <w:tc>
          <w:tcPr>
            <w:tcW w:w="977" w:type="pct"/>
            <w:vMerge w:val="continue"/>
            <w:tcBorders/>
            <w:vAlign w:val="center"/>
          </w:tcPr>
          <w:p w14:paraId="53E3AB80">
            <w:pPr>
              <w:pStyle w:val="179"/>
              <w:bidi w:val="0"/>
              <w:jc w:val="center"/>
              <w:rPr>
                <w:rFonts w:hint="eastAsia"/>
                <w:lang w:val="en-US" w:eastAsia="zh-CN"/>
              </w:rPr>
            </w:pPr>
          </w:p>
        </w:tc>
        <w:tc>
          <w:tcPr>
            <w:tcW w:w="1016" w:type="pct"/>
            <w:vAlign w:val="center"/>
          </w:tcPr>
          <w:p w14:paraId="74124425">
            <w:pPr>
              <w:pStyle w:val="179"/>
              <w:bidi w:val="0"/>
              <w:jc w:val="center"/>
              <w:rPr>
                <w:rFonts w:hint="default"/>
                <w:lang w:val="en-US" w:eastAsia="zh-CN"/>
              </w:rPr>
            </w:pPr>
            <w:r>
              <w:rPr>
                <w:rFonts w:hint="eastAsia"/>
                <w:lang w:val="en-US" w:eastAsia="zh-CN"/>
              </w:rPr>
              <w:t>耐压性能</w:t>
            </w:r>
          </w:p>
        </w:tc>
        <w:tc>
          <w:tcPr>
            <w:tcW w:w="644" w:type="pct"/>
            <w:vAlign w:val="center"/>
          </w:tcPr>
          <w:p w14:paraId="09932E8F">
            <w:pPr>
              <w:pStyle w:val="179"/>
              <w:bidi w:val="0"/>
              <w:ind w:firstLine="0" w:firstLineChars="0"/>
              <w:jc w:val="center"/>
              <w:rPr>
                <w:rFonts w:hint="default"/>
                <w:lang w:val="en-US" w:eastAsia="zh-CN"/>
              </w:rPr>
            </w:pPr>
            <w:r>
              <w:rPr>
                <w:rFonts w:hint="eastAsia"/>
                <w:lang w:val="en-US" w:eastAsia="zh-CN"/>
              </w:rPr>
              <w:t>5.3.4</w:t>
            </w:r>
          </w:p>
        </w:tc>
        <w:tc>
          <w:tcPr>
            <w:tcW w:w="610" w:type="pct"/>
            <w:vAlign w:val="center"/>
          </w:tcPr>
          <w:p w14:paraId="73BB1266">
            <w:pPr>
              <w:pStyle w:val="179"/>
              <w:bidi w:val="0"/>
              <w:jc w:val="center"/>
              <w:rPr>
                <w:rFonts w:hint="default"/>
                <w:lang w:val="en-US" w:eastAsia="zh-CN"/>
              </w:rPr>
            </w:pPr>
            <w:r>
              <w:rPr>
                <w:rFonts w:hint="eastAsia"/>
                <w:lang w:val="en-US" w:eastAsia="zh-CN"/>
              </w:rPr>
              <w:t>6.3.4</w:t>
            </w:r>
          </w:p>
        </w:tc>
        <w:tc>
          <w:tcPr>
            <w:tcW w:w="714" w:type="pct"/>
            <w:vAlign w:val="center"/>
          </w:tcPr>
          <w:p w14:paraId="563FD6FF">
            <w:pPr>
              <w:pStyle w:val="179"/>
              <w:bidi w:val="0"/>
              <w:jc w:val="center"/>
              <w:rPr>
                <w:rFonts w:hint="default" w:ascii="Times New Roman" w:hAnsi="Times New Roman" w:cs="Times New Roman"/>
              </w:rPr>
            </w:pPr>
            <w:r>
              <w:rPr>
                <w:rFonts w:hint="eastAsia"/>
                <w:lang w:val="en-US" w:eastAsia="zh-CN"/>
              </w:rPr>
              <w:t>—</w:t>
            </w:r>
          </w:p>
        </w:tc>
        <w:tc>
          <w:tcPr>
            <w:tcW w:w="787" w:type="pct"/>
            <w:tcBorders>
              <w:right w:val="single" w:color="auto" w:sz="8" w:space="0"/>
            </w:tcBorders>
            <w:vAlign w:val="center"/>
          </w:tcPr>
          <w:p w14:paraId="6FE5E002">
            <w:pPr>
              <w:pStyle w:val="179"/>
              <w:bidi w:val="0"/>
              <w:jc w:val="center"/>
              <w:rPr>
                <w:rFonts w:hint="default" w:ascii="Times New Roman" w:hAnsi="Times New Roman" w:cs="Times New Roman"/>
              </w:rPr>
            </w:pPr>
            <w:r>
              <w:rPr>
                <w:rFonts w:hint="default"/>
                <w:lang w:val="en-US" w:eastAsia="zh-CN"/>
              </w:rPr>
              <w:t>√</w:t>
            </w:r>
          </w:p>
        </w:tc>
      </w:tr>
      <w:tr w14:paraId="5C4F2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 w:type="pct"/>
            <w:vMerge w:val="continue"/>
            <w:tcBorders>
              <w:left w:val="single" w:color="auto" w:sz="8" w:space="0"/>
            </w:tcBorders>
            <w:shd w:val="clear" w:color="auto" w:fill="auto"/>
            <w:vAlign w:val="center"/>
          </w:tcPr>
          <w:p w14:paraId="76D1ACDF">
            <w:pPr>
              <w:pStyle w:val="179"/>
              <w:bidi w:val="0"/>
              <w:ind w:firstLine="0" w:firstLineChars="0"/>
              <w:jc w:val="center"/>
              <w:rPr>
                <w:rFonts w:hint="eastAsia" w:ascii="宋体" w:hAnsi="Times New Roman" w:eastAsia="宋体" w:cs="Times New Roman"/>
                <w:sz w:val="18"/>
                <w:lang w:val="en-US" w:eastAsia="zh-CN" w:bidi="ar-SA"/>
              </w:rPr>
            </w:pPr>
          </w:p>
        </w:tc>
        <w:tc>
          <w:tcPr>
            <w:tcW w:w="977" w:type="pct"/>
            <w:vMerge w:val="continue"/>
            <w:tcBorders/>
            <w:vAlign w:val="center"/>
          </w:tcPr>
          <w:p w14:paraId="0E2956A0">
            <w:pPr>
              <w:pStyle w:val="179"/>
              <w:bidi w:val="0"/>
              <w:jc w:val="center"/>
              <w:rPr>
                <w:rFonts w:hint="eastAsia"/>
                <w:lang w:val="en-US" w:eastAsia="zh-CN"/>
              </w:rPr>
            </w:pPr>
          </w:p>
        </w:tc>
        <w:tc>
          <w:tcPr>
            <w:tcW w:w="1016" w:type="pct"/>
            <w:vAlign w:val="center"/>
          </w:tcPr>
          <w:p w14:paraId="6D17FF23">
            <w:pPr>
              <w:pStyle w:val="179"/>
              <w:bidi w:val="0"/>
              <w:jc w:val="center"/>
              <w:rPr>
                <w:rFonts w:hint="default"/>
                <w:lang w:val="en-US" w:eastAsia="zh-CN"/>
              </w:rPr>
            </w:pPr>
            <w:r>
              <w:rPr>
                <w:rFonts w:hint="eastAsia"/>
                <w:lang w:val="en-US" w:eastAsia="zh-CN"/>
              </w:rPr>
              <w:t>抗短路冲击能力</w:t>
            </w:r>
          </w:p>
        </w:tc>
        <w:tc>
          <w:tcPr>
            <w:tcW w:w="644" w:type="pct"/>
            <w:vAlign w:val="center"/>
          </w:tcPr>
          <w:p w14:paraId="17A4E47C">
            <w:pPr>
              <w:pStyle w:val="179"/>
              <w:bidi w:val="0"/>
              <w:ind w:firstLine="0" w:firstLineChars="0"/>
              <w:jc w:val="center"/>
              <w:rPr>
                <w:rFonts w:hint="eastAsia"/>
                <w:lang w:val="en-US" w:eastAsia="zh-CN"/>
              </w:rPr>
            </w:pPr>
            <w:r>
              <w:rPr>
                <w:rFonts w:hint="eastAsia"/>
                <w:lang w:val="en-US" w:eastAsia="zh-CN"/>
              </w:rPr>
              <w:t>5.3.5</w:t>
            </w:r>
          </w:p>
        </w:tc>
        <w:tc>
          <w:tcPr>
            <w:tcW w:w="610" w:type="pct"/>
            <w:vAlign w:val="center"/>
          </w:tcPr>
          <w:p w14:paraId="62434ED3">
            <w:pPr>
              <w:pStyle w:val="179"/>
              <w:bidi w:val="0"/>
              <w:jc w:val="center"/>
              <w:rPr>
                <w:rFonts w:hint="eastAsia"/>
                <w:lang w:val="en-US" w:eastAsia="zh-CN"/>
              </w:rPr>
            </w:pPr>
            <w:r>
              <w:rPr>
                <w:rFonts w:hint="eastAsia"/>
                <w:lang w:val="en-US" w:eastAsia="zh-CN"/>
              </w:rPr>
              <w:t>6.3.5</w:t>
            </w:r>
          </w:p>
        </w:tc>
        <w:tc>
          <w:tcPr>
            <w:tcW w:w="714" w:type="pct"/>
            <w:vAlign w:val="center"/>
          </w:tcPr>
          <w:p w14:paraId="58A5ADA9">
            <w:pPr>
              <w:pStyle w:val="179"/>
              <w:bidi w:val="0"/>
              <w:jc w:val="center"/>
              <w:rPr>
                <w:rFonts w:hint="eastAsia"/>
                <w:lang w:val="en-US" w:eastAsia="zh-CN"/>
              </w:rPr>
            </w:pPr>
            <w:r>
              <w:rPr>
                <w:rFonts w:hint="eastAsia"/>
                <w:lang w:val="en-US" w:eastAsia="zh-CN"/>
              </w:rPr>
              <w:t>—</w:t>
            </w:r>
          </w:p>
        </w:tc>
        <w:tc>
          <w:tcPr>
            <w:tcW w:w="787" w:type="pct"/>
            <w:tcBorders>
              <w:right w:val="single" w:color="auto" w:sz="8" w:space="0"/>
            </w:tcBorders>
            <w:vAlign w:val="center"/>
          </w:tcPr>
          <w:p w14:paraId="44FD979F">
            <w:pPr>
              <w:pStyle w:val="179"/>
              <w:bidi w:val="0"/>
              <w:jc w:val="center"/>
              <w:rPr>
                <w:rFonts w:hint="default"/>
                <w:lang w:val="en-US" w:eastAsia="zh-CN"/>
              </w:rPr>
            </w:pPr>
            <w:r>
              <w:rPr>
                <w:rFonts w:hint="default"/>
                <w:lang w:val="en-US" w:eastAsia="zh-CN"/>
              </w:rPr>
              <w:t>√</w:t>
            </w:r>
          </w:p>
        </w:tc>
      </w:tr>
      <w:tr w14:paraId="46330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 w:type="pct"/>
            <w:tcBorders>
              <w:left w:val="single" w:color="auto" w:sz="8" w:space="0"/>
            </w:tcBorders>
            <w:shd w:val="clear" w:color="auto" w:fill="auto"/>
            <w:vAlign w:val="center"/>
          </w:tcPr>
          <w:p w14:paraId="6B83A485">
            <w:pPr>
              <w:pStyle w:val="179"/>
              <w:bidi w:val="0"/>
              <w:ind w:firstLine="0" w:firstLineChars="0"/>
              <w:jc w:val="center"/>
              <w:rPr>
                <w:rFonts w:hint="default" w:ascii="宋体" w:hAnsi="Times New Roman" w:eastAsia="宋体" w:cs="Times New Roman"/>
                <w:sz w:val="18"/>
                <w:lang w:val="en-US" w:eastAsia="zh-CN" w:bidi="ar-SA"/>
              </w:rPr>
            </w:pPr>
            <w:r>
              <w:rPr>
                <w:rFonts w:hint="eastAsia" w:cs="Times New Roman"/>
                <w:sz w:val="18"/>
                <w:lang w:val="en-US" w:eastAsia="zh-CN" w:bidi="ar-SA"/>
              </w:rPr>
              <w:t>4</w:t>
            </w:r>
          </w:p>
        </w:tc>
        <w:tc>
          <w:tcPr>
            <w:tcW w:w="1993" w:type="pct"/>
            <w:gridSpan w:val="2"/>
            <w:vAlign w:val="center"/>
          </w:tcPr>
          <w:p w14:paraId="7AE41593">
            <w:pPr>
              <w:pStyle w:val="179"/>
              <w:bidi w:val="0"/>
              <w:jc w:val="center"/>
              <w:rPr>
                <w:rFonts w:hint="default"/>
                <w:lang w:val="en-US" w:eastAsia="zh-CN"/>
              </w:rPr>
            </w:pPr>
            <w:r>
              <w:rPr>
                <w:rFonts w:hint="eastAsia"/>
                <w:lang w:val="en-US" w:eastAsia="zh-CN"/>
              </w:rPr>
              <w:t>油保护装置</w:t>
            </w:r>
          </w:p>
        </w:tc>
        <w:tc>
          <w:tcPr>
            <w:tcW w:w="644" w:type="pct"/>
            <w:vAlign w:val="center"/>
          </w:tcPr>
          <w:p w14:paraId="5038B9C5">
            <w:pPr>
              <w:pStyle w:val="179"/>
              <w:bidi w:val="0"/>
              <w:ind w:firstLine="0" w:firstLineChars="0"/>
              <w:jc w:val="center"/>
              <w:rPr>
                <w:rFonts w:hint="default"/>
                <w:lang w:val="en-US" w:eastAsia="zh-CN"/>
              </w:rPr>
            </w:pPr>
            <w:r>
              <w:rPr>
                <w:rFonts w:hint="eastAsia"/>
                <w:lang w:val="en-US" w:eastAsia="zh-CN"/>
              </w:rPr>
              <w:t>5.4</w:t>
            </w:r>
          </w:p>
        </w:tc>
        <w:tc>
          <w:tcPr>
            <w:tcW w:w="610" w:type="pct"/>
            <w:vAlign w:val="center"/>
          </w:tcPr>
          <w:p w14:paraId="3766C834">
            <w:pPr>
              <w:pStyle w:val="179"/>
              <w:bidi w:val="0"/>
              <w:jc w:val="center"/>
              <w:rPr>
                <w:rFonts w:hint="default"/>
                <w:lang w:val="en-US" w:eastAsia="zh-CN"/>
              </w:rPr>
            </w:pPr>
            <w:r>
              <w:rPr>
                <w:rFonts w:hint="eastAsia"/>
                <w:lang w:val="en-US" w:eastAsia="zh-CN"/>
              </w:rPr>
              <w:t>6.4</w:t>
            </w:r>
          </w:p>
        </w:tc>
        <w:tc>
          <w:tcPr>
            <w:tcW w:w="714" w:type="pct"/>
            <w:vAlign w:val="center"/>
          </w:tcPr>
          <w:p w14:paraId="01D926F9">
            <w:pPr>
              <w:pStyle w:val="179"/>
              <w:bidi w:val="0"/>
              <w:jc w:val="center"/>
              <w:rPr>
                <w:rFonts w:hint="eastAsia"/>
                <w:lang w:val="en-US" w:eastAsia="zh-CN"/>
              </w:rPr>
            </w:pPr>
            <w:r>
              <w:rPr>
                <w:rFonts w:hint="eastAsia"/>
                <w:lang w:val="en-US" w:eastAsia="zh-CN"/>
              </w:rPr>
              <w:t>—</w:t>
            </w:r>
          </w:p>
        </w:tc>
        <w:tc>
          <w:tcPr>
            <w:tcW w:w="787" w:type="pct"/>
            <w:tcBorders>
              <w:right w:val="single" w:color="auto" w:sz="8" w:space="0"/>
            </w:tcBorders>
            <w:vAlign w:val="center"/>
          </w:tcPr>
          <w:p w14:paraId="050AEAA9">
            <w:pPr>
              <w:pStyle w:val="179"/>
              <w:bidi w:val="0"/>
              <w:jc w:val="center"/>
              <w:rPr>
                <w:rFonts w:hint="default" w:ascii="Times New Roman" w:hAnsi="Times New Roman" w:cs="Times New Roman"/>
              </w:rPr>
            </w:pPr>
            <w:r>
              <w:rPr>
                <w:rFonts w:hint="default"/>
                <w:lang w:val="en-US" w:eastAsia="zh-CN"/>
              </w:rPr>
              <w:t>√</w:t>
            </w:r>
          </w:p>
        </w:tc>
      </w:tr>
      <w:tr w14:paraId="4AF73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 w:type="pct"/>
            <w:tcBorders>
              <w:left w:val="single" w:color="auto" w:sz="8" w:space="0"/>
            </w:tcBorders>
            <w:shd w:val="clear" w:color="auto" w:fill="auto"/>
            <w:vAlign w:val="center"/>
          </w:tcPr>
          <w:p w14:paraId="089EAA3F">
            <w:pPr>
              <w:pStyle w:val="179"/>
              <w:bidi w:val="0"/>
              <w:ind w:firstLine="0" w:firstLineChars="0"/>
              <w:jc w:val="center"/>
              <w:rPr>
                <w:rFonts w:hint="eastAsia" w:ascii="宋体" w:hAnsi="Times New Roman" w:eastAsia="宋体" w:cs="Times New Roman"/>
                <w:sz w:val="18"/>
                <w:lang w:val="en-US" w:eastAsia="zh-CN" w:bidi="ar-SA"/>
              </w:rPr>
            </w:pPr>
            <w:r>
              <w:rPr>
                <w:rFonts w:hint="eastAsia"/>
                <w:lang w:val="en-US" w:eastAsia="zh-CN"/>
              </w:rPr>
              <w:t>5</w:t>
            </w:r>
          </w:p>
        </w:tc>
        <w:tc>
          <w:tcPr>
            <w:tcW w:w="1993" w:type="pct"/>
            <w:gridSpan w:val="2"/>
            <w:vAlign w:val="center"/>
          </w:tcPr>
          <w:p w14:paraId="7F9C028F">
            <w:pPr>
              <w:pStyle w:val="179"/>
              <w:bidi w:val="0"/>
              <w:jc w:val="center"/>
              <w:rPr>
                <w:rFonts w:hint="default"/>
                <w:lang w:val="en-US" w:eastAsia="zh-CN"/>
              </w:rPr>
            </w:pPr>
            <w:r>
              <w:rPr>
                <w:rFonts w:hint="eastAsia"/>
                <w:lang w:val="en-US" w:eastAsia="zh-CN"/>
              </w:rPr>
              <w:t>绝缘油</w:t>
            </w:r>
          </w:p>
        </w:tc>
        <w:tc>
          <w:tcPr>
            <w:tcW w:w="644" w:type="pct"/>
            <w:vAlign w:val="center"/>
          </w:tcPr>
          <w:p w14:paraId="0A3F8692">
            <w:pPr>
              <w:pStyle w:val="179"/>
              <w:bidi w:val="0"/>
              <w:ind w:firstLine="0" w:firstLineChars="0"/>
              <w:jc w:val="center"/>
              <w:rPr>
                <w:rFonts w:hint="default"/>
                <w:lang w:val="en-US" w:eastAsia="zh-CN"/>
              </w:rPr>
            </w:pPr>
            <w:r>
              <w:rPr>
                <w:rFonts w:hint="eastAsia"/>
                <w:lang w:val="en-US" w:eastAsia="zh-CN"/>
              </w:rPr>
              <w:t>5.5</w:t>
            </w:r>
          </w:p>
        </w:tc>
        <w:tc>
          <w:tcPr>
            <w:tcW w:w="610" w:type="pct"/>
            <w:vAlign w:val="center"/>
          </w:tcPr>
          <w:p w14:paraId="7360D62C">
            <w:pPr>
              <w:pStyle w:val="179"/>
              <w:bidi w:val="0"/>
              <w:jc w:val="center"/>
              <w:rPr>
                <w:rFonts w:hint="default"/>
                <w:lang w:val="en-US" w:eastAsia="zh-CN"/>
              </w:rPr>
            </w:pPr>
            <w:r>
              <w:rPr>
                <w:rFonts w:hint="eastAsia"/>
                <w:lang w:val="en-US" w:eastAsia="zh-CN"/>
              </w:rPr>
              <w:t>6.5</w:t>
            </w:r>
          </w:p>
        </w:tc>
        <w:tc>
          <w:tcPr>
            <w:tcW w:w="714" w:type="pct"/>
            <w:vAlign w:val="center"/>
          </w:tcPr>
          <w:p w14:paraId="58BB9C67">
            <w:pPr>
              <w:pStyle w:val="179"/>
              <w:bidi w:val="0"/>
              <w:jc w:val="center"/>
              <w:rPr>
                <w:rFonts w:hint="eastAsia"/>
                <w:lang w:val="en-US" w:eastAsia="zh-CN"/>
              </w:rPr>
            </w:pPr>
            <w:r>
              <w:rPr>
                <w:rFonts w:hint="eastAsia"/>
                <w:lang w:val="en-US" w:eastAsia="zh-CN"/>
              </w:rPr>
              <w:t>—</w:t>
            </w:r>
          </w:p>
        </w:tc>
        <w:tc>
          <w:tcPr>
            <w:tcW w:w="787" w:type="pct"/>
            <w:tcBorders>
              <w:right w:val="single" w:color="auto" w:sz="8" w:space="0"/>
            </w:tcBorders>
            <w:vAlign w:val="center"/>
          </w:tcPr>
          <w:p w14:paraId="27ED207F">
            <w:pPr>
              <w:pStyle w:val="179"/>
              <w:bidi w:val="0"/>
              <w:jc w:val="center"/>
              <w:rPr>
                <w:rFonts w:hint="default" w:ascii="Times New Roman" w:hAnsi="Times New Roman" w:cs="Times New Roman"/>
              </w:rPr>
            </w:pPr>
            <w:r>
              <w:rPr>
                <w:rFonts w:hint="default"/>
                <w:lang w:val="en-US" w:eastAsia="zh-CN"/>
              </w:rPr>
              <w:t>√</w:t>
            </w:r>
          </w:p>
        </w:tc>
      </w:tr>
      <w:tr w14:paraId="27C12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 w:type="pct"/>
            <w:tcBorders>
              <w:left w:val="single" w:color="auto" w:sz="8" w:space="0"/>
            </w:tcBorders>
            <w:shd w:val="clear" w:color="auto" w:fill="auto"/>
            <w:vAlign w:val="center"/>
          </w:tcPr>
          <w:p w14:paraId="7BBE3139">
            <w:pPr>
              <w:pStyle w:val="179"/>
              <w:bidi w:val="0"/>
              <w:ind w:firstLine="0" w:firstLineChars="0"/>
              <w:jc w:val="center"/>
              <w:rPr>
                <w:rFonts w:hint="default"/>
                <w:lang w:val="en-US" w:eastAsia="zh-CN"/>
              </w:rPr>
            </w:pPr>
            <w:r>
              <w:rPr>
                <w:rFonts w:hint="eastAsia"/>
                <w:lang w:val="en-US" w:eastAsia="zh-CN"/>
              </w:rPr>
              <w:t>6</w:t>
            </w:r>
          </w:p>
        </w:tc>
        <w:tc>
          <w:tcPr>
            <w:tcW w:w="1993" w:type="pct"/>
            <w:gridSpan w:val="2"/>
            <w:vAlign w:val="center"/>
          </w:tcPr>
          <w:p w14:paraId="140853FE">
            <w:pPr>
              <w:pStyle w:val="179"/>
              <w:bidi w:val="0"/>
              <w:jc w:val="center"/>
              <w:rPr>
                <w:rFonts w:hint="default"/>
                <w:lang w:val="en-US" w:eastAsia="zh-CN"/>
              </w:rPr>
            </w:pPr>
            <w:r>
              <w:rPr>
                <w:rFonts w:hint="eastAsia"/>
                <w:lang w:val="en-US" w:eastAsia="zh-CN"/>
              </w:rPr>
              <w:t>油温测量装置</w:t>
            </w:r>
          </w:p>
        </w:tc>
        <w:tc>
          <w:tcPr>
            <w:tcW w:w="644" w:type="pct"/>
            <w:vAlign w:val="center"/>
          </w:tcPr>
          <w:p w14:paraId="228CA86B">
            <w:pPr>
              <w:pStyle w:val="179"/>
              <w:bidi w:val="0"/>
              <w:ind w:firstLine="0" w:firstLineChars="0"/>
              <w:jc w:val="center"/>
              <w:rPr>
                <w:rFonts w:hint="default"/>
                <w:lang w:val="en-US" w:eastAsia="zh-CN"/>
              </w:rPr>
            </w:pPr>
            <w:r>
              <w:rPr>
                <w:rFonts w:hint="eastAsia"/>
                <w:lang w:val="en-US" w:eastAsia="zh-CN"/>
              </w:rPr>
              <w:t>5.6</w:t>
            </w:r>
          </w:p>
        </w:tc>
        <w:tc>
          <w:tcPr>
            <w:tcW w:w="610" w:type="pct"/>
            <w:vAlign w:val="center"/>
          </w:tcPr>
          <w:p w14:paraId="6CCF20B0">
            <w:pPr>
              <w:pStyle w:val="179"/>
              <w:bidi w:val="0"/>
              <w:jc w:val="center"/>
              <w:rPr>
                <w:rFonts w:hint="default"/>
                <w:lang w:val="en-US" w:eastAsia="zh-CN"/>
              </w:rPr>
            </w:pPr>
            <w:r>
              <w:rPr>
                <w:rFonts w:hint="eastAsia"/>
                <w:lang w:val="en-US" w:eastAsia="zh-CN"/>
              </w:rPr>
              <w:t>6.6</w:t>
            </w:r>
          </w:p>
        </w:tc>
        <w:tc>
          <w:tcPr>
            <w:tcW w:w="714" w:type="pct"/>
            <w:vAlign w:val="center"/>
          </w:tcPr>
          <w:p w14:paraId="72261667">
            <w:pPr>
              <w:pStyle w:val="179"/>
              <w:bidi w:val="0"/>
              <w:jc w:val="center"/>
              <w:rPr>
                <w:rFonts w:hint="eastAsia"/>
                <w:lang w:val="en-US" w:eastAsia="zh-CN"/>
              </w:rPr>
            </w:pPr>
            <w:r>
              <w:rPr>
                <w:rFonts w:hint="eastAsia"/>
                <w:lang w:val="en-US" w:eastAsia="zh-CN"/>
              </w:rPr>
              <w:t>—</w:t>
            </w:r>
          </w:p>
        </w:tc>
        <w:tc>
          <w:tcPr>
            <w:tcW w:w="787" w:type="pct"/>
            <w:tcBorders>
              <w:right w:val="single" w:color="auto" w:sz="8" w:space="0"/>
            </w:tcBorders>
            <w:vAlign w:val="center"/>
          </w:tcPr>
          <w:p w14:paraId="52499ED3">
            <w:pPr>
              <w:pStyle w:val="179"/>
              <w:bidi w:val="0"/>
              <w:jc w:val="center"/>
              <w:rPr>
                <w:rFonts w:hint="default"/>
                <w:lang w:val="en-US" w:eastAsia="zh-CN"/>
              </w:rPr>
            </w:pPr>
            <w:r>
              <w:rPr>
                <w:rFonts w:hint="default"/>
                <w:lang w:val="en-US" w:eastAsia="zh-CN"/>
              </w:rPr>
              <w:t>√</w:t>
            </w:r>
          </w:p>
        </w:tc>
      </w:tr>
      <w:tr w14:paraId="0B047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 w:type="pct"/>
            <w:tcBorders>
              <w:left w:val="single" w:color="auto" w:sz="8" w:space="0"/>
            </w:tcBorders>
            <w:shd w:val="clear" w:color="auto" w:fill="auto"/>
            <w:vAlign w:val="center"/>
          </w:tcPr>
          <w:p w14:paraId="38FD1DA4">
            <w:pPr>
              <w:pStyle w:val="179"/>
              <w:bidi w:val="0"/>
              <w:ind w:firstLine="0" w:firstLineChars="0"/>
              <w:jc w:val="center"/>
              <w:rPr>
                <w:rFonts w:hint="default"/>
                <w:lang w:val="en-US" w:eastAsia="zh-CN"/>
              </w:rPr>
            </w:pPr>
            <w:r>
              <w:rPr>
                <w:rFonts w:hint="eastAsia"/>
                <w:lang w:val="en-US" w:eastAsia="zh-CN"/>
              </w:rPr>
              <w:t>7</w:t>
            </w:r>
          </w:p>
        </w:tc>
        <w:tc>
          <w:tcPr>
            <w:tcW w:w="1993" w:type="pct"/>
            <w:gridSpan w:val="2"/>
            <w:vAlign w:val="center"/>
          </w:tcPr>
          <w:p w14:paraId="559D0B7C">
            <w:pPr>
              <w:pStyle w:val="179"/>
              <w:bidi w:val="0"/>
              <w:jc w:val="center"/>
              <w:rPr>
                <w:rFonts w:hint="default"/>
                <w:lang w:val="en-US" w:eastAsia="zh-CN"/>
              </w:rPr>
            </w:pPr>
            <w:r>
              <w:rPr>
                <w:rFonts w:hint="eastAsia"/>
                <w:lang w:val="en-US" w:eastAsia="zh-CN"/>
              </w:rPr>
              <w:t>变压油箱及其附件</w:t>
            </w:r>
          </w:p>
        </w:tc>
        <w:tc>
          <w:tcPr>
            <w:tcW w:w="644" w:type="pct"/>
            <w:vAlign w:val="center"/>
          </w:tcPr>
          <w:p w14:paraId="06F5D94F">
            <w:pPr>
              <w:pStyle w:val="179"/>
              <w:bidi w:val="0"/>
              <w:ind w:firstLine="0" w:firstLineChars="0"/>
              <w:jc w:val="center"/>
              <w:rPr>
                <w:rFonts w:hint="default"/>
                <w:lang w:val="en-US" w:eastAsia="zh-CN"/>
              </w:rPr>
            </w:pPr>
            <w:r>
              <w:rPr>
                <w:rFonts w:hint="eastAsia"/>
                <w:lang w:val="en-US" w:eastAsia="zh-CN"/>
              </w:rPr>
              <w:t>5.7</w:t>
            </w:r>
          </w:p>
        </w:tc>
        <w:tc>
          <w:tcPr>
            <w:tcW w:w="610" w:type="pct"/>
            <w:vAlign w:val="center"/>
          </w:tcPr>
          <w:p w14:paraId="3597624E">
            <w:pPr>
              <w:pStyle w:val="179"/>
              <w:bidi w:val="0"/>
              <w:jc w:val="center"/>
              <w:rPr>
                <w:rFonts w:hint="default"/>
                <w:lang w:val="en-US" w:eastAsia="zh-CN"/>
              </w:rPr>
            </w:pPr>
            <w:r>
              <w:rPr>
                <w:rFonts w:hint="eastAsia"/>
                <w:lang w:val="en-US" w:eastAsia="zh-CN"/>
              </w:rPr>
              <w:t>6.7</w:t>
            </w:r>
          </w:p>
        </w:tc>
        <w:tc>
          <w:tcPr>
            <w:tcW w:w="714" w:type="pct"/>
            <w:vAlign w:val="center"/>
          </w:tcPr>
          <w:p w14:paraId="5B77E2A0">
            <w:pPr>
              <w:pStyle w:val="179"/>
              <w:bidi w:val="0"/>
              <w:jc w:val="center"/>
              <w:rPr>
                <w:rFonts w:hint="eastAsia"/>
                <w:lang w:val="en-US" w:eastAsia="zh-CN"/>
              </w:rPr>
            </w:pPr>
            <w:r>
              <w:rPr>
                <w:rFonts w:hint="eastAsia"/>
                <w:lang w:val="en-US" w:eastAsia="zh-CN"/>
              </w:rPr>
              <w:t>—</w:t>
            </w:r>
          </w:p>
        </w:tc>
        <w:tc>
          <w:tcPr>
            <w:tcW w:w="787" w:type="pct"/>
            <w:tcBorders>
              <w:right w:val="single" w:color="auto" w:sz="8" w:space="0"/>
            </w:tcBorders>
            <w:vAlign w:val="center"/>
          </w:tcPr>
          <w:p w14:paraId="129BABEE">
            <w:pPr>
              <w:pStyle w:val="179"/>
              <w:bidi w:val="0"/>
              <w:jc w:val="center"/>
              <w:rPr>
                <w:rFonts w:hint="default"/>
                <w:lang w:val="en-US" w:eastAsia="zh-CN"/>
              </w:rPr>
            </w:pPr>
            <w:r>
              <w:rPr>
                <w:rFonts w:hint="default"/>
                <w:lang w:val="en-US" w:eastAsia="zh-CN"/>
              </w:rPr>
              <w:t>√</w:t>
            </w:r>
          </w:p>
        </w:tc>
      </w:tr>
      <w:tr w14:paraId="41A15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 w:type="pct"/>
            <w:tcBorders>
              <w:left w:val="single" w:color="auto" w:sz="8" w:space="0"/>
            </w:tcBorders>
            <w:shd w:val="clear" w:color="auto" w:fill="auto"/>
            <w:vAlign w:val="center"/>
          </w:tcPr>
          <w:p w14:paraId="34EDA9AC">
            <w:pPr>
              <w:pStyle w:val="179"/>
              <w:bidi w:val="0"/>
              <w:ind w:firstLine="0" w:firstLineChars="0"/>
              <w:jc w:val="center"/>
              <w:rPr>
                <w:rFonts w:hint="default"/>
                <w:lang w:val="en-US" w:eastAsia="zh-CN"/>
              </w:rPr>
            </w:pPr>
            <w:r>
              <w:rPr>
                <w:rFonts w:hint="eastAsia"/>
                <w:lang w:val="en-US" w:eastAsia="zh-CN"/>
              </w:rPr>
              <w:t>8</w:t>
            </w:r>
          </w:p>
        </w:tc>
        <w:tc>
          <w:tcPr>
            <w:tcW w:w="1993" w:type="pct"/>
            <w:gridSpan w:val="2"/>
            <w:vAlign w:val="center"/>
          </w:tcPr>
          <w:p w14:paraId="44D16711">
            <w:pPr>
              <w:pStyle w:val="179"/>
              <w:bidi w:val="0"/>
              <w:jc w:val="center"/>
              <w:rPr>
                <w:rFonts w:hint="default"/>
                <w:lang w:val="en-US" w:eastAsia="zh-CN"/>
              </w:rPr>
            </w:pPr>
            <w:r>
              <w:rPr>
                <w:rFonts w:hint="eastAsia"/>
                <w:lang w:val="en-US" w:eastAsia="zh-CN"/>
              </w:rPr>
              <w:t>安全保护装置</w:t>
            </w:r>
          </w:p>
        </w:tc>
        <w:tc>
          <w:tcPr>
            <w:tcW w:w="644" w:type="pct"/>
            <w:vAlign w:val="center"/>
          </w:tcPr>
          <w:p w14:paraId="6E32D419">
            <w:pPr>
              <w:pStyle w:val="179"/>
              <w:bidi w:val="0"/>
              <w:ind w:firstLine="0" w:firstLineChars="0"/>
              <w:jc w:val="center"/>
              <w:rPr>
                <w:rFonts w:hint="default"/>
                <w:lang w:val="en-US" w:eastAsia="zh-CN"/>
              </w:rPr>
            </w:pPr>
            <w:r>
              <w:rPr>
                <w:rFonts w:hint="eastAsia"/>
                <w:lang w:val="en-US" w:eastAsia="zh-CN"/>
              </w:rPr>
              <w:t>5.8</w:t>
            </w:r>
          </w:p>
        </w:tc>
        <w:tc>
          <w:tcPr>
            <w:tcW w:w="610" w:type="pct"/>
            <w:vAlign w:val="center"/>
          </w:tcPr>
          <w:p w14:paraId="1DAE1DEF">
            <w:pPr>
              <w:pStyle w:val="179"/>
              <w:bidi w:val="0"/>
              <w:jc w:val="center"/>
              <w:rPr>
                <w:rFonts w:hint="default"/>
                <w:lang w:val="en-US" w:eastAsia="zh-CN"/>
              </w:rPr>
            </w:pPr>
            <w:r>
              <w:rPr>
                <w:rFonts w:hint="eastAsia"/>
                <w:lang w:val="en-US" w:eastAsia="zh-CN"/>
              </w:rPr>
              <w:t>6.8</w:t>
            </w:r>
          </w:p>
        </w:tc>
        <w:tc>
          <w:tcPr>
            <w:tcW w:w="714" w:type="pct"/>
            <w:vAlign w:val="center"/>
          </w:tcPr>
          <w:p w14:paraId="4E498FA7">
            <w:pPr>
              <w:pStyle w:val="179"/>
              <w:bidi w:val="0"/>
              <w:jc w:val="center"/>
              <w:rPr>
                <w:rFonts w:hint="eastAsia"/>
                <w:lang w:val="en-US" w:eastAsia="zh-CN"/>
              </w:rPr>
            </w:pPr>
            <w:r>
              <w:rPr>
                <w:rFonts w:hint="eastAsia"/>
                <w:lang w:val="en-US" w:eastAsia="zh-CN"/>
              </w:rPr>
              <w:t>—</w:t>
            </w:r>
          </w:p>
        </w:tc>
        <w:tc>
          <w:tcPr>
            <w:tcW w:w="787" w:type="pct"/>
            <w:tcBorders>
              <w:right w:val="single" w:color="auto" w:sz="8" w:space="0"/>
            </w:tcBorders>
            <w:vAlign w:val="center"/>
          </w:tcPr>
          <w:p w14:paraId="2688FC8C">
            <w:pPr>
              <w:pStyle w:val="179"/>
              <w:bidi w:val="0"/>
              <w:jc w:val="center"/>
              <w:rPr>
                <w:rFonts w:hint="default"/>
                <w:lang w:val="en-US" w:eastAsia="zh-CN"/>
              </w:rPr>
            </w:pPr>
            <w:r>
              <w:rPr>
                <w:rFonts w:hint="default"/>
                <w:lang w:val="en-US" w:eastAsia="zh-CN"/>
              </w:rPr>
              <w:t>√</w:t>
            </w:r>
          </w:p>
        </w:tc>
      </w:tr>
      <w:tr w14:paraId="6E89F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 w:type="pct"/>
            <w:tcBorders>
              <w:left w:val="single" w:color="auto" w:sz="8" w:space="0"/>
            </w:tcBorders>
            <w:shd w:val="clear" w:color="auto" w:fill="auto"/>
            <w:vAlign w:val="center"/>
          </w:tcPr>
          <w:p w14:paraId="7D435CA0">
            <w:pPr>
              <w:pStyle w:val="179"/>
              <w:bidi w:val="0"/>
              <w:ind w:firstLine="0" w:firstLineChars="0"/>
              <w:jc w:val="center"/>
              <w:rPr>
                <w:rFonts w:hint="default"/>
                <w:lang w:val="en-US" w:eastAsia="zh-CN"/>
              </w:rPr>
            </w:pPr>
            <w:r>
              <w:rPr>
                <w:rFonts w:hint="eastAsia"/>
                <w:lang w:val="en-US" w:eastAsia="zh-CN"/>
              </w:rPr>
              <w:t>9</w:t>
            </w:r>
          </w:p>
        </w:tc>
        <w:tc>
          <w:tcPr>
            <w:tcW w:w="1993" w:type="pct"/>
            <w:gridSpan w:val="2"/>
            <w:vAlign w:val="center"/>
          </w:tcPr>
          <w:p w14:paraId="46068F3A">
            <w:pPr>
              <w:pStyle w:val="179"/>
              <w:bidi w:val="0"/>
              <w:jc w:val="center"/>
              <w:rPr>
                <w:rFonts w:hint="default"/>
                <w:lang w:val="en-US" w:eastAsia="zh-CN"/>
              </w:rPr>
            </w:pPr>
            <w:r>
              <w:rPr>
                <w:rFonts w:hint="eastAsia"/>
                <w:lang w:val="en-US" w:eastAsia="zh-CN"/>
              </w:rPr>
              <w:t>智能化配置要求</w:t>
            </w:r>
          </w:p>
        </w:tc>
        <w:tc>
          <w:tcPr>
            <w:tcW w:w="644" w:type="pct"/>
            <w:vAlign w:val="center"/>
          </w:tcPr>
          <w:p w14:paraId="374BFA3B">
            <w:pPr>
              <w:pStyle w:val="179"/>
              <w:bidi w:val="0"/>
              <w:ind w:firstLine="0" w:firstLineChars="0"/>
              <w:jc w:val="center"/>
              <w:rPr>
                <w:rFonts w:hint="default"/>
                <w:lang w:val="en-US" w:eastAsia="zh-CN"/>
              </w:rPr>
            </w:pPr>
            <w:r>
              <w:rPr>
                <w:rFonts w:hint="eastAsia"/>
                <w:lang w:val="en-US" w:eastAsia="zh-CN"/>
              </w:rPr>
              <w:t>5.9</w:t>
            </w:r>
          </w:p>
        </w:tc>
        <w:tc>
          <w:tcPr>
            <w:tcW w:w="610" w:type="pct"/>
            <w:vAlign w:val="center"/>
          </w:tcPr>
          <w:p w14:paraId="0DBE2DBF">
            <w:pPr>
              <w:pStyle w:val="179"/>
              <w:bidi w:val="0"/>
              <w:jc w:val="center"/>
              <w:rPr>
                <w:rFonts w:hint="default"/>
                <w:lang w:val="en-US" w:eastAsia="zh-CN"/>
              </w:rPr>
            </w:pPr>
            <w:r>
              <w:rPr>
                <w:rFonts w:hint="eastAsia"/>
                <w:lang w:val="en-US" w:eastAsia="zh-CN"/>
              </w:rPr>
              <w:t>6.9</w:t>
            </w:r>
          </w:p>
        </w:tc>
        <w:tc>
          <w:tcPr>
            <w:tcW w:w="714" w:type="pct"/>
            <w:vAlign w:val="center"/>
          </w:tcPr>
          <w:p w14:paraId="379C2E6E">
            <w:pPr>
              <w:pStyle w:val="179"/>
              <w:bidi w:val="0"/>
              <w:jc w:val="center"/>
              <w:rPr>
                <w:rFonts w:hint="eastAsia"/>
                <w:lang w:val="en-US" w:eastAsia="zh-CN"/>
              </w:rPr>
            </w:pPr>
            <w:r>
              <w:rPr>
                <w:rFonts w:hint="default"/>
                <w:lang w:val="en-US" w:eastAsia="zh-CN"/>
              </w:rPr>
              <w:t>√</w:t>
            </w:r>
          </w:p>
        </w:tc>
        <w:tc>
          <w:tcPr>
            <w:tcW w:w="787" w:type="pct"/>
            <w:tcBorders>
              <w:right w:val="single" w:color="auto" w:sz="8" w:space="0"/>
            </w:tcBorders>
            <w:vAlign w:val="center"/>
          </w:tcPr>
          <w:p w14:paraId="1C56ECAB">
            <w:pPr>
              <w:pStyle w:val="179"/>
              <w:bidi w:val="0"/>
              <w:jc w:val="center"/>
              <w:rPr>
                <w:rFonts w:hint="default"/>
                <w:lang w:val="en-US" w:eastAsia="zh-CN"/>
              </w:rPr>
            </w:pPr>
            <w:r>
              <w:rPr>
                <w:rFonts w:hint="default"/>
                <w:lang w:val="en-US" w:eastAsia="zh-CN"/>
              </w:rPr>
              <w:t>√</w:t>
            </w:r>
          </w:p>
        </w:tc>
      </w:tr>
      <w:tr w14:paraId="4A03E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7"/>
            <w:tcBorders>
              <w:left w:val="single" w:color="auto" w:sz="8" w:space="0"/>
              <w:bottom w:val="single" w:color="auto" w:sz="8" w:space="0"/>
              <w:right w:val="single" w:color="auto" w:sz="8" w:space="0"/>
            </w:tcBorders>
            <w:vAlign w:val="center"/>
          </w:tcPr>
          <w:p w14:paraId="7BDC4575">
            <w:pPr>
              <w:pStyle w:val="180"/>
              <w:bidi w:val="0"/>
              <w:ind w:left="737" w:leftChars="0" w:hanging="374" w:firstLineChars="0"/>
              <w:rPr>
                <w:rFonts w:hint="default"/>
                <w:lang w:val="en-US" w:eastAsia="zh-CN"/>
              </w:rPr>
            </w:pPr>
            <w:r>
              <w:rPr>
                <w:rFonts w:hint="eastAsia"/>
                <w:lang w:val="en-US" w:eastAsia="zh-CN"/>
              </w:rPr>
              <w:t>标有“</w:t>
            </w:r>
            <w:r>
              <w:rPr>
                <w:rFonts w:hint="default"/>
                <w:lang w:val="en-US" w:eastAsia="zh-CN"/>
              </w:rPr>
              <w:t>√</w:t>
            </w:r>
            <w:r>
              <w:rPr>
                <w:rFonts w:hint="eastAsia"/>
                <w:lang w:val="en-US" w:eastAsia="zh-CN"/>
              </w:rPr>
              <w:t>”的为应做项目，标有“—”的为不需要做的项目。</w:t>
            </w:r>
          </w:p>
        </w:tc>
      </w:tr>
    </w:tbl>
    <w:p w14:paraId="305CEA12">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出厂检验</w:t>
      </w:r>
    </w:p>
    <w:p w14:paraId="513A9215">
      <w:pPr>
        <w:pStyle w:val="166"/>
        <w:bidi w:val="0"/>
        <w:rPr>
          <w:rFonts w:hint="eastAsia"/>
          <w:lang w:val="en-US" w:eastAsia="zh-CN"/>
        </w:rPr>
      </w:pPr>
      <w:r>
        <w:rPr>
          <w:rFonts w:hint="eastAsia"/>
          <w:lang w:val="en-US" w:eastAsia="zh-CN"/>
        </w:rPr>
        <w:t>产品应经制造商质量检验部门检验合格后方能出厂，并附有产品合格证、使用说明，并在合格证上标明出厂日期。</w:t>
      </w:r>
    </w:p>
    <w:p w14:paraId="191C75BB">
      <w:pPr>
        <w:pStyle w:val="166"/>
        <w:bidi w:val="0"/>
        <w:rPr>
          <w:rFonts w:hint="eastAsia"/>
          <w:lang w:val="en-US" w:eastAsia="zh-CN"/>
        </w:rPr>
      </w:pPr>
      <w:r>
        <w:rPr>
          <w:rFonts w:hint="eastAsia"/>
          <w:lang w:val="en-US" w:eastAsia="zh-CN"/>
        </w:rPr>
        <w:t>按GB/T 2828.1进行抽检，样本量按一般检验水平</w:t>
      </w:r>
      <w:r>
        <w:rPr>
          <w:rFonts w:hint="eastAsia" w:ascii="宋体" w:hAnsi="宋体" w:eastAsia="宋体" w:cs="宋体"/>
          <w:lang w:val="en-US" w:eastAsia="zh-CN"/>
        </w:rPr>
        <w:t>Ⅱ</w:t>
      </w:r>
      <w:r>
        <w:rPr>
          <w:rFonts w:hint="eastAsia"/>
          <w:lang w:val="en-US" w:eastAsia="zh-CN"/>
        </w:rPr>
        <w:t>，接收质量限AQL值不低于4.0。</w:t>
      </w:r>
    </w:p>
    <w:p w14:paraId="3AD3859B">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型式检验</w:t>
      </w:r>
      <w:bookmarkStart w:id="64" w:name="_GoBack"/>
      <w:bookmarkEnd w:id="64"/>
    </w:p>
    <w:p w14:paraId="63CAC256">
      <w:pPr>
        <w:pStyle w:val="166"/>
        <w:bidi w:val="0"/>
        <w:rPr>
          <w:rFonts w:hint="eastAsia"/>
          <w:lang w:val="en-US" w:eastAsia="zh-CN"/>
        </w:rPr>
      </w:pPr>
      <w:r>
        <w:rPr>
          <w:rFonts w:hint="eastAsia"/>
          <w:lang w:val="en-US" w:eastAsia="zh-CN"/>
        </w:rPr>
        <w:t>正常生产的产品应每2年进行一次型式检验，但有下列情况之一时，应进行型式检验：</w:t>
      </w:r>
    </w:p>
    <w:p w14:paraId="051600E3">
      <w:pPr>
        <w:pStyle w:val="175"/>
        <w:numPr>
          <w:ilvl w:val="0"/>
          <w:numId w:val="38"/>
        </w:numPr>
        <w:bidi w:val="0"/>
        <w:ind w:left="851" w:leftChars="0" w:hanging="426" w:firstLineChars="0"/>
        <w:rPr>
          <w:rFonts w:hint="eastAsia"/>
          <w:lang w:val="en-US" w:eastAsia="zh-CN"/>
        </w:rPr>
      </w:pPr>
      <w:r>
        <w:rPr>
          <w:rFonts w:hint="eastAsia"/>
          <w:lang w:val="en-US" w:eastAsia="zh-CN"/>
        </w:rPr>
        <w:t>新产品试制或老产品转厂生产的定型鉴定时；</w:t>
      </w:r>
    </w:p>
    <w:p w14:paraId="1334543F">
      <w:pPr>
        <w:pStyle w:val="175"/>
        <w:numPr>
          <w:ilvl w:val="0"/>
          <w:numId w:val="38"/>
        </w:numPr>
        <w:bidi w:val="0"/>
        <w:ind w:left="851" w:leftChars="0" w:hanging="426" w:firstLineChars="0"/>
        <w:rPr>
          <w:rFonts w:hint="eastAsia"/>
          <w:lang w:val="en-US" w:eastAsia="zh-CN"/>
        </w:rPr>
      </w:pPr>
      <w:r>
        <w:rPr>
          <w:rFonts w:hint="eastAsia"/>
          <w:lang w:val="en-US" w:eastAsia="zh-CN"/>
        </w:rPr>
        <w:t>正式生产时，如原料、工艺有较大改变，可能影响产品质量时；</w:t>
      </w:r>
    </w:p>
    <w:p w14:paraId="65FC1755">
      <w:pPr>
        <w:pStyle w:val="175"/>
        <w:numPr>
          <w:ilvl w:val="0"/>
          <w:numId w:val="38"/>
        </w:numPr>
        <w:bidi w:val="0"/>
        <w:ind w:left="851" w:leftChars="0" w:hanging="426" w:firstLineChars="0"/>
        <w:rPr>
          <w:rFonts w:hint="eastAsia"/>
          <w:lang w:val="en-US" w:eastAsia="zh-CN"/>
        </w:rPr>
      </w:pPr>
      <w:r>
        <w:rPr>
          <w:rFonts w:hint="eastAsia"/>
          <w:lang w:val="en-US" w:eastAsia="zh-CN"/>
        </w:rPr>
        <w:t>产品停产1年以上，恢复生产时；</w:t>
      </w:r>
    </w:p>
    <w:p w14:paraId="58D5ED3F">
      <w:pPr>
        <w:pStyle w:val="175"/>
        <w:numPr>
          <w:ilvl w:val="0"/>
          <w:numId w:val="38"/>
        </w:numPr>
        <w:bidi w:val="0"/>
        <w:ind w:left="851" w:leftChars="0" w:hanging="426" w:firstLineChars="0"/>
        <w:rPr>
          <w:rFonts w:hint="eastAsia"/>
          <w:lang w:val="en-US" w:eastAsia="zh-CN"/>
        </w:rPr>
      </w:pPr>
      <w:r>
        <w:rPr>
          <w:rFonts w:hint="eastAsia"/>
          <w:lang w:val="en-US" w:eastAsia="zh-CN"/>
        </w:rPr>
        <w:t>出厂检验结果与上次型式检验结果有较大差异时。</w:t>
      </w:r>
    </w:p>
    <w:p w14:paraId="057EF62F">
      <w:pPr>
        <w:pStyle w:val="166"/>
        <w:bidi w:val="0"/>
        <w:rPr>
          <w:rFonts w:hint="eastAsia"/>
          <w:lang w:val="en-US" w:eastAsia="zh-CN"/>
        </w:rPr>
      </w:pPr>
      <w:r>
        <w:rPr>
          <w:rFonts w:hint="eastAsia"/>
          <w:lang w:val="en-US" w:eastAsia="zh-CN"/>
        </w:rPr>
        <w:t>型式检验的样品，应从出厂检验合格的产品中随机抽取2台。</w:t>
      </w:r>
    </w:p>
    <w:p w14:paraId="75F7657D">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判定规则</w:t>
      </w:r>
    </w:p>
    <w:p w14:paraId="5026F283">
      <w:pPr>
        <w:pStyle w:val="66"/>
        <w:rPr>
          <w:rFonts w:hint="eastAsia"/>
          <w:lang w:val="en-US" w:eastAsia="zh-CN"/>
        </w:rPr>
      </w:pPr>
      <w:r>
        <w:rPr>
          <w:rFonts w:hint="eastAsia"/>
          <w:lang w:val="en-US" w:eastAsia="zh-CN"/>
        </w:rPr>
        <w:t>产品在型式检验中，如有一项不合格或出现故障，应通过加倍抽样对不合格项目进行检验，若加倍抽样全部合格，则判定型式检验合格，若检验仍出现不合格项目，则判定该产品为不合格品。</w:t>
      </w:r>
    </w:p>
    <w:p w14:paraId="5B0231B4">
      <w:pPr>
        <w:pStyle w:val="105"/>
        <w:spacing w:before="326" w:after="326"/>
      </w:pPr>
      <w:bookmarkStart w:id="62" w:name="_Toc19589"/>
      <w:r>
        <w:rPr>
          <w:rFonts w:hint="eastAsia"/>
        </w:rPr>
        <w:t>标志、</w:t>
      </w:r>
      <w:r>
        <w:rPr>
          <w:rFonts w:hint="eastAsia"/>
          <w:lang w:val="en-US" w:eastAsia="zh-CN"/>
        </w:rPr>
        <w:t>起吊、</w:t>
      </w:r>
      <w:r>
        <w:rPr>
          <w:rFonts w:hint="eastAsia"/>
        </w:rPr>
        <w:t>包装、运输和</w:t>
      </w:r>
      <w:r>
        <w:rPr>
          <w:rFonts w:hint="eastAsia"/>
          <w:lang w:val="en-US" w:eastAsia="zh-CN"/>
        </w:rPr>
        <w:t>贮存</w:t>
      </w:r>
      <w:bookmarkEnd w:id="62"/>
    </w:p>
    <w:p w14:paraId="12546C33">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标志</w:t>
      </w:r>
    </w:p>
    <w:p w14:paraId="114182B5">
      <w:pPr>
        <w:pStyle w:val="166"/>
        <w:bidi w:val="0"/>
        <w:rPr>
          <w:rFonts w:hint="eastAsia"/>
          <w:lang w:val="en-US" w:eastAsia="zh-CN"/>
        </w:rPr>
      </w:pPr>
      <w:r>
        <w:rPr>
          <w:rFonts w:hint="eastAsia"/>
          <w:lang w:val="en-US" w:eastAsia="zh-CN"/>
        </w:rPr>
        <w:t>应在变压器上适当且明显的位置做出清晰和永久的标记或铭牌，应包括但不限于以下内容：</w:t>
      </w:r>
    </w:p>
    <w:p w14:paraId="57467D51">
      <w:pPr>
        <w:pStyle w:val="175"/>
        <w:numPr>
          <w:numId w:val="39"/>
        </w:numPr>
        <w:bidi w:val="0"/>
        <w:ind w:left="851" w:leftChars="0" w:hanging="426" w:firstLineChars="0"/>
        <w:rPr>
          <w:rFonts w:hint="eastAsia"/>
          <w:lang w:val="en-US" w:eastAsia="zh-CN"/>
        </w:rPr>
      </w:pPr>
      <w:r>
        <w:rPr>
          <w:rFonts w:hint="eastAsia"/>
          <w:lang w:val="en-US" w:eastAsia="zh-CN"/>
        </w:rPr>
        <w:t>产品名称；</w:t>
      </w:r>
    </w:p>
    <w:p w14:paraId="7D60FB02">
      <w:pPr>
        <w:pStyle w:val="175"/>
        <w:numPr>
          <w:numId w:val="39"/>
        </w:numPr>
        <w:bidi w:val="0"/>
        <w:ind w:left="851" w:leftChars="0" w:hanging="426" w:firstLineChars="0"/>
        <w:rPr>
          <w:rFonts w:hint="eastAsia"/>
          <w:lang w:val="en-US" w:eastAsia="zh-CN"/>
        </w:rPr>
      </w:pPr>
      <w:r>
        <w:rPr>
          <w:rFonts w:hint="eastAsia"/>
          <w:lang w:val="en-US" w:eastAsia="zh-CN"/>
        </w:rPr>
        <w:t>基本参数；</w:t>
      </w:r>
    </w:p>
    <w:p w14:paraId="22C010DA">
      <w:pPr>
        <w:pStyle w:val="175"/>
        <w:numPr>
          <w:numId w:val="39"/>
        </w:numPr>
        <w:bidi w:val="0"/>
        <w:ind w:left="851" w:leftChars="0" w:hanging="426" w:firstLineChars="0"/>
        <w:rPr>
          <w:rFonts w:hint="eastAsia"/>
          <w:lang w:val="en-US" w:eastAsia="zh-CN"/>
        </w:rPr>
      </w:pPr>
      <w:r>
        <w:rPr>
          <w:rFonts w:hint="eastAsia"/>
          <w:lang w:val="en-US" w:eastAsia="zh-CN"/>
        </w:rPr>
        <w:t>规格型号；</w:t>
      </w:r>
    </w:p>
    <w:p w14:paraId="79C80CA0">
      <w:pPr>
        <w:pStyle w:val="175"/>
        <w:numPr>
          <w:numId w:val="39"/>
        </w:numPr>
        <w:bidi w:val="0"/>
        <w:ind w:left="851" w:leftChars="0" w:hanging="426" w:firstLineChars="0"/>
        <w:rPr>
          <w:rFonts w:hint="eastAsia"/>
          <w:lang w:val="en-US" w:eastAsia="zh-CN"/>
        </w:rPr>
      </w:pPr>
      <w:r>
        <w:rPr>
          <w:rFonts w:hint="eastAsia"/>
          <w:lang w:val="en-US" w:eastAsia="zh-CN"/>
        </w:rPr>
        <w:t>执行标准编号；</w:t>
      </w:r>
    </w:p>
    <w:p w14:paraId="23A0F140">
      <w:pPr>
        <w:pStyle w:val="175"/>
        <w:numPr>
          <w:numId w:val="39"/>
        </w:numPr>
        <w:bidi w:val="0"/>
        <w:ind w:left="851" w:leftChars="0" w:hanging="426" w:firstLineChars="0"/>
        <w:rPr>
          <w:rFonts w:hint="eastAsia"/>
          <w:lang w:val="en-US" w:eastAsia="zh-CN"/>
        </w:rPr>
      </w:pPr>
      <w:r>
        <w:rPr>
          <w:rFonts w:hint="eastAsia"/>
          <w:lang w:val="en-US" w:eastAsia="zh-CN"/>
        </w:rPr>
        <w:t>出厂检验合格证；</w:t>
      </w:r>
    </w:p>
    <w:p w14:paraId="18B6F617">
      <w:pPr>
        <w:pStyle w:val="175"/>
        <w:numPr>
          <w:numId w:val="39"/>
        </w:numPr>
        <w:bidi w:val="0"/>
        <w:ind w:left="851" w:leftChars="0" w:hanging="426" w:firstLineChars="0"/>
        <w:rPr>
          <w:rFonts w:hint="eastAsia"/>
          <w:lang w:val="en-US" w:eastAsia="zh-CN"/>
        </w:rPr>
      </w:pPr>
      <w:r>
        <w:rPr>
          <w:rFonts w:hint="eastAsia"/>
          <w:lang w:val="en-US" w:eastAsia="zh-CN"/>
        </w:rPr>
        <w:t>生产日期；</w:t>
      </w:r>
    </w:p>
    <w:p w14:paraId="278F108A">
      <w:pPr>
        <w:pStyle w:val="175"/>
        <w:numPr>
          <w:numId w:val="39"/>
        </w:numPr>
        <w:bidi w:val="0"/>
        <w:ind w:left="851" w:leftChars="0" w:hanging="426" w:firstLineChars="0"/>
        <w:rPr>
          <w:rFonts w:hint="eastAsia"/>
          <w:lang w:val="en-US" w:eastAsia="zh-CN"/>
        </w:rPr>
      </w:pPr>
      <w:r>
        <w:rPr>
          <w:rFonts w:hint="eastAsia"/>
          <w:lang w:val="en-US" w:eastAsia="zh-CN"/>
        </w:rPr>
        <w:t>生产地址。</w:t>
      </w:r>
    </w:p>
    <w:p w14:paraId="4C1CA0E2">
      <w:pPr>
        <w:pStyle w:val="166"/>
        <w:bidi w:val="0"/>
        <w:rPr>
          <w:rFonts w:hint="eastAsia"/>
          <w:lang w:val="en-US" w:eastAsia="zh-CN"/>
        </w:rPr>
      </w:pPr>
      <w:r>
        <w:rPr>
          <w:rFonts w:hint="eastAsia"/>
          <w:lang w:val="en-US" w:eastAsia="zh-CN"/>
        </w:rPr>
        <w:t>包装箱上的包装储运图示标志按GB/T 191的规定选择使用。</w:t>
      </w:r>
    </w:p>
    <w:p w14:paraId="5570CEB3">
      <w:pPr>
        <w:pStyle w:val="166"/>
        <w:bidi w:val="0"/>
        <w:rPr>
          <w:rFonts w:hint="eastAsia"/>
          <w:lang w:val="en-US" w:eastAsia="zh-CN"/>
        </w:rPr>
      </w:pPr>
      <w:r>
        <w:rPr>
          <w:rFonts w:hint="eastAsia"/>
          <w:lang w:val="en-US" w:eastAsia="zh-CN"/>
        </w:rPr>
        <w:t>标志应清晰、牢固，不应因运输条件和自然条件而褪色、变色、脱落。</w:t>
      </w:r>
    </w:p>
    <w:p w14:paraId="01AFA005">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起吊</w:t>
      </w:r>
    </w:p>
    <w:p w14:paraId="29A5A6D6">
      <w:pPr>
        <w:pStyle w:val="166"/>
        <w:bidi w:val="0"/>
        <w:rPr>
          <w:rFonts w:hint="default"/>
          <w:lang w:val="en-US" w:eastAsia="zh-CN"/>
        </w:rPr>
      </w:pPr>
      <w:r>
        <w:rPr>
          <w:rFonts w:hint="default"/>
          <w:lang w:val="en-US" w:eastAsia="zh-CN"/>
        </w:rPr>
        <w:t>变压器应有起吊标志，标志内容应清晰、准确。</w:t>
      </w:r>
    </w:p>
    <w:p w14:paraId="0B8E3903">
      <w:pPr>
        <w:pStyle w:val="166"/>
        <w:bidi w:val="0"/>
        <w:rPr>
          <w:rFonts w:hint="default"/>
          <w:lang w:val="en-US" w:eastAsia="zh-CN"/>
        </w:rPr>
      </w:pPr>
      <w:r>
        <w:rPr>
          <w:rFonts w:hint="default"/>
          <w:lang w:val="en-US" w:eastAsia="zh-CN"/>
        </w:rPr>
        <w:t>变压器应具有承受其总质量的起吊装置。</w:t>
      </w:r>
    </w:p>
    <w:p w14:paraId="28170895">
      <w:pPr>
        <w:pStyle w:val="166"/>
        <w:bidi w:val="0"/>
        <w:rPr>
          <w:rFonts w:hint="default"/>
          <w:lang w:val="en-US" w:eastAsia="zh-CN"/>
        </w:rPr>
      </w:pPr>
      <w:r>
        <w:rPr>
          <w:rFonts w:hint="default"/>
          <w:lang w:val="en-US" w:eastAsia="zh-CN"/>
        </w:rPr>
        <w:t>变压器套管排列顺序位置应符合GB/T 6451中的规定。</w:t>
      </w:r>
    </w:p>
    <w:p w14:paraId="398C4C40">
      <w:pPr>
        <w:pStyle w:val="166"/>
        <w:bidi w:val="0"/>
        <w:rPr>
          <w:rFonts w:hint="default"/>
          <w:lang w:val="en-US" w:eastAsia="zh-CN"/>
        </w:rPr>
      </w:pPr>
      <w:r>
        <w:rPr>
          <w:rFonts w:hint="default"/>
          <w:lang w:val="en-US" w:eastAsia="zh-CN"/>
        </w:rPr>
        <w:t>变压器器身、油箱、可拆卸结构的储油柜(如有)和散热器等均应有起吊装置。</w:t>
      </w:r>
    </w:p>
    <w:p w14:paraId="397AC87C">
      <w:pPr>
        <w:pStyle w:val="166"/>
        <w:bidi w:val="0"/>
        <w:rPr>
          <w:rFonts w:hint="default"/>
          <w:lang w:val="en-US" w:eastAsia="zh-CN"/>
        </w:rPr>
      </w:pPr>
      <w:r>
        <w:rPr>
          <w:rFonts w:hint="default"/>
          <w:lang w:val="en-US" w:eastAsia="zh-CN"/>
        </w:rPr>
        <w:t>在起吊前须拆除与起吊有碍的各种连接，如开关与器身的连接处、分接开关的绝缘操动杆等。</w:t>
      </w:r>
    </w:p>
    <w:p w14:paraId="757825E7">
      <w:pPr>
        <w:pStyle w:val="166"/>
        <w:bidi w:val="0"/>
        <w:rPr>
          <w:rFonts w:hint="default"/>
          <w:lang w:val="en-US" w:eastAsia="zh-CN"/>
        </w:rPr>
      </w:pPr>
      <w:r>
        <w:rPr>
          <w:rFonts w:hint="default"/>
          <w:lang w:val="en-US" w:eastAsia="zh-CN"/>
        </w:rPr>
        <w:t>变压器钟罩的起吊只能使用油箱上部或下部的专用吊攀，器身的起吊可使用箱盖吊杆或夹件上</w:t>
      </w:r>
      <w:r>
        <w:rPr>
          <w:rFonts w:hint="eastAsia"/>
          <w:lang w:val="en-US" w:eastAsia="zh-CN"/>
        </w:rPr>
        <w:t>的吊攀。</w:t>
      </w:r>
    </w:p>
    <w:p w14:paraId="256B45F0">
      <w:pPr>
        <w:pStyle w:val="166"/>
        <w:bidi w:val="0"/>
        <w:rPr>
          <w:rFonts w:hint="default"/>
          <w:lang w:val="en-US" w:eastAsia="zh-CN"/>
        </w:rPr>
      </w:pPr>
      <w:r>
        <w:rPr>
          <w:rFonts w:hint="default"/>
          <w:lang w:val="en-US" w:eastAsia="zh-CN"/>
        </w:rPr>
        <w:t>变压器箱盖打开后，不允许再将油箱连油带器身一起吊起，以防止箱沿变形。</w:t>
      </w:r>
    </w:p>
    <w:p w14:paraId="1E86DA70">
      <w:pPr>
        <w:pStyle w:val="166"/>
        <w:bidi w:val="0"/>
        <w:rPr>
          <w:rFonts w:hint="default"/>
          <w:lang w:val="en-US" w:eastAsia="zh-CN"/>
        </w:rPr>
      </w:pPr>
      <w:r>
        <w:rPr>
          <w:rFonts w:hint="default"/>
          <w:lang w:val="en-US" w:eastAsia="zh-CN"/>
        </w:rPr>
        <w:t>所有参与起吊作业的人员应接受专业培训，熟悉起重设备的操作和应急处理流程。</w:t>
      </w:r>
    </w:p>
    <w:p w14:paraId="0F4DCC2A">
      <w:pPr>
        <w:pStyle w:val="166"/>
        <w:bidi w:val="0"/>
        <w:rPr>
          <w:rFonts w:hint="default"/>
          <w:lang w:val="en-US" w:eastAsia="zh-CN"/>
        </w:rPr>
      </w:pPr>
      <w:r>
        <w:rPr>
          <w:rFonts w:hint="default"/>
          <w:lang w:val="en-US" w:eastAsia="zh-CN"/>
        </w:rPr>
        <w:t>在起吊作业前，应对起重设备、吊索具、吊点固定等进行详细的安全检查。</w:t>
      </w:r>
    </w:p>
    <w:p w14:paraId="56FE955C">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包装</w:t>
      </w:r>
    </w:p>
    <w:p w14:paraId="40EE14E0">
      <w:pPr>
        <w:pStyle w:val="166"/>
        <w:bidi w:val="0"/>
        <w:rPr>
          <w:rFonts w:hint="eastAsia"/>
          <w:lang w:val="en-US" w:eastAsia="zh-CN"/>
        </w:rPr>
      </w:pPr>
      <w:r>
        <w:rPr>
          <w:rFonts w:hint="eastAsia"/>
          <w:lang w:val="en-US" w:eastAsia="zh-CN"/>
        </w:rPr>
        <w:t>包装箱内应有合格证及变压器其他相关文件。</w:t>
      </w:r>
    </w:p>
    <w:p w14:paraId="7BB9F613">
      <w:pPr>
        <w:pStyle w:val="166"/>
        <w:bidi w:val="0"/>
        <w:rPr>
          <w:rFonts w:hint="eastAsia"/>
          <w:lang w:val="en-US" w:eastAsia="zh-CN"/>
        </w:rPr>
      </w:pPr>
      <w:r>
        <w:rPr>
          <w:rFonts w:hint="eastAsia"/>
          <w:lang w:val="en-US" w:eastAsia="zh-CN"/>
        </w:rPr>
        <w:t>包装箱应能保证变压器不受自然损坏。</w:t>
      </w:r>
    </w:p>
    <w:p w14:paraId="79193F5F">
      <w:pPr>
        <w:pStyle w:val="166"/>
        <w:bidi w:val="0"/>
        <w:rPr>
          <w:rFonts w:hint="eastAsia"/>
          <w:lang w:val="en-US" w:eastAsia="zh-CN"/>
        </w:rPr>
      </w:pPr>
      <w:r>
        <w:rPr>
          <w:rFonts w:hint="eastAsia"/>
          <w:lang w:val="en-US" w:eastAsia="zh-CN"/>
        </w:rPr>
        <w:t>成套拆卸的组件和零件的包装应保证经过运输、贮存直到安装前不损伤和不受潮。</w:t>
      </w:r>
    </w:p>
    <w:p w14:paraId="1F66F130">
      <w:pPr>
        <w:pStyle w:val="166"/>
        <w:bidi w:val="0"/>
        <w:rPr>
          <w:rFonts w:hint="eastAsia"/>
          <w:lang w:val="en-US" w:eastAsia="zh-CN"/>
        </w:rPr>
      </w:pPr>
      <w:r>
        <w:rPr>
          <w:rFonts w:hint="eastAsia"/>
          <w:lang w:val="en-US" w:eastAsia="zh-CN"/>
        </w:rPr>
        <w:t>包装箱内应有防尘、防震、防雨、防潮装置。</w:t>
      </w:r>
    </w:p>
    <w:p w14:paraId="2AF3E0FC">
      <w:pPr>
        <w:pStyle w:val="166"/>
        <w:bidi w:val="0"/>
        <w:rPr>
          <w:rFonts w:hint="eastAsia"/>
          <w:lang w:val="en-US" w:eastAsia="zh-CN"/>
        </w:rPr>
      </w:pPr>
      <w:r>
        <w:rPr>
          <w:rFonts w:hint="eastAsia"/>
          <w:lang w:val="en-US" w:eastAsia="zh-CN"/>
        </w:rPr>
        <w:t>包装箱应有软性衬垫等装置，防止磕碰、划伤和污损。</w:t>
      </w:r>
    </w:p>
    <w:p w14:paraId="1FD5E58E">
      <w:pPr>
        <w:pStyle w:val="166"/>
        <w:bidi w:val="0"/>
        <w:rPr>
          <w:rFonts w:hint="eastAsia"/>
          <w:lang w:val="en-US" w:eastAsia="zh-CN"/>
        </w:rPr>
      </w:pPr>
      <w:r>
        <w:rPr>
          <w:rFonts w:hint="eastAsia"/>
          <w:lang w:val="en-US" w:eastAsia="zh-CN"/>
        </w:rPr>
        <w:t>运输包装的形式由制造厂商自行设计，但应保证变压器经过一般运输方式和正常装卸后完好无损。</w:t>
      </w:r>
    </w:p>
    <w:p w14:paraId="6BBD138E">
      <w:pPr>
        <w:pStyle w:val="166"/>
        <w:bidi w:val="0"/>
        <w:rPr>
          <w:rFonts w:hint="eastAsia"/>
          <w:lang w:val="en-US" w:eastAsia="zh-CN"/>
        </w:rPr>
      </w:pPr>
      <w:r>
        <w:rPr>
          <w:rFonts w:hint="eastAsia"/>
          <w:lang w:val="en-US" w:eastAsia="zh-CN"/>
        </w:rPr>
        <w:t>包装箱内应有装箱单。</w:t>
      </w:r>
    </w:p>
    <w:p w14:paraId="11219961">
      <w:pPr>
        <w:pStyle w:val="166"/>
        <w:bidi w:val="0"/>
        <w:rPr>
          <w:rFonts w:hint="eastAsia"/>
          <w:lang w:val="en-US" w:eastAsia="zh-CN"/>
        </w:rPr>
      </w:pPr>
      <w:r>
        <w:rPr>
          <w:rFonts w:hint="eastAsia"/>
          <w:lang w:val="en-US" w:eastAsia="zh-CN"/>
        </w:rPr>
        <w:t>包装箱上应有明显的注意标识和装箱方向等信息。</w:t>
      </w:r>
    </w:p>
    <w:p w14:paraId="72FDF1D2">
      <w:pPr>
        <w:pStyle w:val="166"/>
        <w:bidi w:val="0"/>
        <w:rPr>
          <w:rFonts w:hint="eastAsia"/>
          <w:lang w:val="en-US" w:eastAsia="zh-CN"/>
        </w:rPr>
      </w:pPr>
      <w:r>
        <w:rPr>
          <w:rFonts w:hint="eastAsia"/>
          <w:lang w:val="en-US" w:eastAsia="zh-CN"/>
        </w:rPr>
        <w:t>包装宜使用可降解材料或可回收材料。</w:t>
      </w:r>
    </w:p>
    <w:p w14:paraId="54C65DC4">
      <w:pPr>
        <w:pStyle w:val="166"/>
        <w:bidi w:val="0"/>
        <w:rPr>
          <w:rFonts w:hint="default"/>
          <w:lang w:val="en-US" w:eastAsia="zh-CN"/>
        </w:rPr>
      </w:pPr>
      <w:r>
        <w:rPr>
          <w:rFonts w:hint="eastAsia"/>
          <w:lang w:val="en-US" w:eastAsia="zh-CN"/>
        </w:rPr>
        <w:t>在包装箱外壁的醒目位置，宜用文字清晰地标明下列内容：</w:t>
      </w:r>
    </w:p>
    <w:p w14:paraId="3BE9CA56">
      <w:pPr>
        <w:pStyle w:val="175"/>
        <w:numPr>
          <w:ilvl w:val="0"/>
          <w:numId w:val="40"/>
        </w:numPr>
        <w:bidi w:val="0"/>
        <w:ind w:left="851" w:leftChars="0" w:hanging="426" w:firstLineChars="0"/>
        <w:rPr>
          <w:rFonts w:hint="default"/>
          <w:lang w:val="en-US" w:eastAsia="zh-CN"/>
        </w:rPr>
      </w:pPr>
      <w:r>
        <w:rPr>
          <w:rFonts w:hint="eastAsia"/>
          <w:lang w:val="en-US" w:eastAsia="zh-CN"/>
        </w:rPr>
        <w:t>产品名称、型号；</w:t>
      </w:r>
    </w:p>
    <w:p w14:paraId="6B1B2917">
      <w:pPr>
        <w:pStyle w:val="175"/>
        <w:numPr>
          <w:ilvl w:val="0"/>
          <w:numId w:val="40"/>
        </w:numPr>
        <w:bidi w:val="0"/>
        <w:ind w:left="851" w:leftChars="0" w:hanging="426" w:firstLineChars="0"/>
        <w:rPr>
          <w:rFonts w:hint="default"/>
          <w:lang w:val="en-US" w:eastAsia="zh-CN"/>
        </w:rPr>
      </w:pPr>
      <w:r>
        <w:rPr>
          <w:rFonts w:hint="eastAsia"/>
          <w:lang w:val="en-US" w:eastAsia="zh-CN"/>
        </w:rPr>
        <w:t>件数和毛重；</w:t>
      </w:r>
    </w:p>
    <w:p w14:paraId="6BB8EBC7">
      <w:pPr>
        <w:pStyle w:val="175"/>
        <w:numPr>
          <w:ilvl w:val="0"/>
          <w:numId w:val="40"/>
        </w:numPr>
        <w:bidi w:val="0"/>
        <w:ind w:left="851" w:leftChars="0" w:hanging="426" w:firstLineChars="0"/>
        <w:rPr>
          <w:rFonts w:hint="default"/>
          <w:lang w:val="en-US" w:eastAsia="zh-CN"/>
        </w:rPr>
      </w:pPr>
      <w:r>
        <w:rPr>
          <w:rFonts w:hint="eastAsia"/>
          <w:lang w:val="en-US" w:eastAsia="zh-CN"/>
        </w:rPr>
        <w:t>产品外形尺寸（长、宽、高）；</w:t>
      </w:r>
    </w:p>
    <w:p w14:paraId="19C0D339">
      <w:pPr>
        <w:pStyle w:val="175"/>
        <w:numPr>
          <w:ilvl w:val="0"/>
          <w:numId w:val="40"/>
        </w:numPr>
        <w:bidi w:val="0"/>
        <w:ind w:left="851" w:leftChars="0" w:hanging="426" w:firstLineChars="0"/>
        <w:rPr>
          <w:rFonts w:hint="default"/>
          <w:lang w:val="en-US" w:eastAsia="zh-CN"/>
        </w:rPr>
      </w:pPr>
      <w:r>
        <w:rPr>
          <w:rFonts w:hint="eastAsia"/>
          <w:lang w:val="en-US" w:eastAsia="zh-CN"/>
        </w:rPr>
        <w:t>制造商名称；</w:t>
      </w:r>
    </w:p>
    <w:p w14:paraId="63BA963B">
      <w:pPr>
        <w:pStyle w:val="175"/>
        <w:numPr>
          <w:ilvl w:val="0"/>
          <w:numId w:val="40"/>
        </w:numPr>
        <w:bidi w:val="0"/>
        <w:ind w:left="851" w:leftChars="0" w:hanging="426" w:firstLineChars="0"/>
        <w:rPr>
          <w:rFonts w:hint="default"/>
          <w:lang w:val="en-US" w:eastAsia="zh-CN"/>
        </w:rPr>
      </w:pPr>
      <w:r>
        <w:rPr>
          <w:rFonts w:hint="eastAsia"/>
          <w:lang w:val="en-US" w:eastAsia="zh-CN"/>
        </w:rPr>
        <w:t>装箱日期。</w:t>
      </w:r>
    </w:p>
    <w:p w14:paraId="3BFEEC41">
      <w:pPr>
        <w:pStyle w:val="166"/>
        <w:bidi w:val="0"/>
        <w:rPr>
          <w:rFonts w:hint="default"/>
          <w:lang w:val="en-US" w:eastAsia="zh-CN"/>
        </w:rPr>
      </w:pPr>
      <w:r>
        <w:rPr>
          <w:rFonts w:hint="default"/>
          <w:lang w:val="en-US" w:eastAsia="zh-CN"/>
        </w:rPr>
        <w:t>包装箱与运输包装应符合GB/T</w:t>
      </w:r>
      <w:r>
        <w:rPr>
          <w:rFonts w:hint="eastAsia"/>
          <w:lang w:val="en-US" w:eastAsia="zh-CN"/>
        </w:rPr>
        <w:t xml:space="preserve"> </w:t>
      </w:r>
      <w:r>
        <w:rPr>
          <w:rFonts w:hint="default"/>
          <w:lang w:val="en-US" w:eastAsia="zh-CN"/>
        </w:rPr>
        <w:t>191的规定。</w:t>
      </w:r>
    </w:p>
    <w:p w14:paraId="6B40F232">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运输</w:t>
      </w:r>
    </w:p>
    <w:p w14:paraId="760FBA5E">
      <w:pPr>
        <w:pStyle w:val="166"/>
        <w:bidi w:val="0"/>
        <w:rPr>
          <w:rFonts w:hint="default"/>
          <w:lang w:val="en-US" w:eastAsia="zh-CN"/>
        </w:rPr>
      </w:pPr>
      <w:r>
        <w:rPr>
          <w:rFonts w:hint="default"/>
          <w:lang w:val="en-US" w:eastAsia="zh-CN"/>
        </w:rPr>
        <w:t>变压器在运输途中应平整堆放，应加遮盖物和进行必要的防护，避免冲击、局部重压、锈蚀、曝晒、雨淋及化学品的腐蚀。</w:t>
      </w:r>
    </w:p>
    <w:p w14:paraId="3704B628">
      <w:pPr>
        <w:pStyle w:val="166"/>
        <w:bidi w:val="0"/>
        <w:rPr>
          <w:rFonts w:hint="default"/>
          <w:lang w:val="en-US" w:eastAsia="zh-CN"/>
        </w:rPr>
      </w:pPr>
      <w:r>
        <w:rPr>
          <w:rFonts w:hint="default"/>
          <w:lang w:val="en-US" w:eastAsia="zh-CN"/>
        </w:rPr>
        <w:t>变压器内部结构应在经过正常的铁路、公路及水路运输后相互位置不变，紧固件不松动。</w:t>
      </w:r>
    </w:p>
    <w:p w14:paraId="2EF0523F">
      <w:pPr>
        <w:pStyle w:val="166"/>
        <w:bidi w:val="0"/>
        <w:rPr>
          <w:rFonts w:hint="default"/>
          <w:lang w:val="en-US" w:eastAsia="zh-CN"/>
        </w:rPr>
      </w:pPr>
      <w:r>
        <w:rPr>
          <w:rFonts w:hint="default"/>
          <w:lang w:val="en-US" w:eastAsia="zh-CN"/>
        </w:rPr>
        <w:t>变压器的组件、部件如套管、散热器、阀门和储油柜(如有)等的结构及布置位置应不妨碍吊装、运输及运输中紧固定位。</w:t>
      </w:r>
    </w:p>
    <w:p w14:paraId="39DDC7EB">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贮存</w:t>
      </w:r>
    </w:p>
    <w:p w14:paraId="09E9C4CF">
      <w:pPr>
        <w:pStyle w:val="166"/>
        <w:bidi w:val="0"/>
        <w:rPr>
          <w:rFonts w:hint="default"/>
          <w:lang w:val="en-US" w:eastAsia="zh-CN"/>
        </w:rPr>
      </w:pPr>
      <w:r>
        <w:rPr>
          <w:rFonts w:hint="default"/>
          <w:lang w:val="en-US" w:eastAsia="zh-CN"/>
        </w:rPr>
        <w:t>在拆卸、运输、贮存直至安装前，应保证变压器本体及其所有的组件、部件如储油柜(如有)、套管、阀门及散热器等不损坏和不受潮。</w:t>
      </w:r>
    </w:p>
    <w:p w14:paraId="4DA6803B">
      <w:pPr>
        <w:pStyle w:val="166"/>
        <w:bidi w:val="0"/>
        <w:rPr>
          <w:rFonts w:hint="default"/>
          <w:lang w:val="en-US" w:eastAsia="zh-CN"/>
        </w:rPr>
      </w:pPr>
      <w:r>
        <w:rPr>
          <w:rFonts w:hint="default"/>
          <w:lang w:val="en-US" w:eastAsia="zh-CN"/>
        </w:rPr>
        <w:t>变压器应贮存在干燥、清洁、通风的库房内。</w:t>
      </w:r>
    </w:p>
    <w:p w14:paraId="58FCA3FA">
      <w:pPr>
        <w:pStyle w:val="166"/>
        <w:bidi w:val="0"/>
        <w:rPr>
          <w:rFonts w:hint="default"/>
          <w:lang w:val="en-US" w:eastAsia="zh-CN"/>
        </w:rPr>
      </w:pPr>
      <w:r>
        <w:rPr>
          <w:rFonts w:hint="default"/>
          <w:lang w:val="en-US" w:eastAsia="zh-CN"/>
        </w:rPr>
        <w:t>变压器应存放在平整的地面上。</w:t>
      </w:r>
    </w:p>
    <w:p w14:paraId="04B4B996">
      <w:pPr>
        <w:pStyle w:val="166"/>
        <w:bidi w:val="0"/>
        <w:rPr>
          <w:rFonts w:hint="default"/>
          <w:lang w:val="en-US" w:eastAsia="zh-CN"/>
        </w:rPr>
      </w:pPr>
      <w:r>
        <w:rPr>
          <w:rFonts w:hint="default"/>
          <w:lang w:val="en-US" w:eastAsia="zh-CN"/>
        </w:rPr>
        <w:t>变压器堆放时应加衬垫物，以防挤压或变形</w:t>
      </w:r>
    </w:p>
    <w:bookmarkEnd w:id="28"/>
    <w:bookmarkEnd w:id="58"/>
    <w:p w14:paraId="57A05AD5">
      <w:pPr>
        <w:pStyle w:val="56"/>
        <w:ind w:firstLine="0" w:firstLineChars="0"/>
        <w:jc w:val="center"/>
      </w:pPr>
      <w:bookmarkStart w:id="63" w:name="BookMark8"/>
      <w:r>
        <w:drawing>
          <wp:inline distT="0" distB="0" distL="0" distR="0">
            <wp:extent cx="1485900" cy="317500"/>
            <wp:effectExtent l="0" t="0" r="0" b="6350"/>
            <wp:docPr id="530575613" name="图片 3"/>
            <wp:cNvGraphicFramePr/>
            <a:graphic xmlns:a="http://schemas.openxmlformats.org/drawingml/2006/main">
              <a:graphicData uri="http://schemas.openxmlformats.org/drawingml/2006/picture">
                <pic:pic xmlns:pic="http://schemas.openxmlformats.org/drawingml/2006/picture">
                  <pic:nvPicPr>
                    <pic:cNvPr id="530575613" name="图片 3"/>
                    <pic:cNvPicPr/>
                  </pic:nvPicPr>
                  <pic:blipFill>
                    <a:blip r:embed="rId25">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63"/>
    </w:p>
    <w:sectPr>
      <w:headerReference r:id="rId18" w:type="default"/>
      <w:footerReference r:id="rId20" w:type="default"/>
      <w:headerReference r:id="rId19" w:type="even"/>
      <w:footerReference r:id="rId21" w:type="even"/>
      <w:pgSz w:w="11906" w:h="16838"/>
      <w:pgMar w:top="1928" w:right="1134" w:bottom="1134" w:left="1134" w:header="1418" w:footer="1134" w:gutter="284"/>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MS PGothic">
    <w:panose1 w:val="020B0600070205080204"/>
    <w:charset w:val="80"/>
    <w:family w:val="auto"/>
    <w:pitch w:val="default"/>
    <w:sig w:usb0="E00002FF" w:usb1="6AC7FDFB" w:usb2="08000012" w:usb3="00000000" w:csb0="4002009F" w:csb1="DFD70000"/>
  </w:font>
  <w:font w:name="Segoe UI">
    <w:panose1 w:val="020B0502040204020203"/>
    <w:charset w:val="00"/>
    <w:family w:val="auto"/>
    <w:pitch w:val="default"/>
    <w:sig w:usb0="E4002EFF" w:usb1="C000E47F"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32F72D">
    <w:pPr>
      <w:pStyle w:val="17"/>
      <w:ind w:right="720"/>
      <w:jc w:val="both"/>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FE005C">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103368">
    <w:pPr>
      <w:pStyle w:val="52"/>
      <w:bidi w:val="0"/>
    </w:pPr>
    <w:r>
      <w:fldChar w:fldCharType="begin"/>
    </w:r>
    <w:r>
      <w:instrText xml:space="preserve"> PAGE   \* Roman </w:instrText>
    </w:r>
    <w:r>
      <w:fldChar w:fldCharType="separate"/>
    </w:r>
    <w:r>
      <w:t>I</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21B796">
    <w:pPr>
      <w:pStyle w:val="17"/>
      <w:ind w:right="720"/>
      <w:jc w:val="both"/>
    </w:pPr>
    <w:r>
      <w:fldChar w:fldCharType="begin"/>
    </w:r>
    <w:r>
      <w:instrText xml:space="preserve"> PAGE   \* Roman </w:instrText>
    </w:r>
    <w:r>
      <w:fldChar w:fldCharType="separate"/>
    </w:r>
    <w:r>
      <w:t>II</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A46002">
    <w:pPr>
      <w:pStyle w:val="52"/>
      <w:bidi w:val="0"/>
    </w:pPr>
    <w:r>
      <w:fldChar w:fldCharType="begin"/>
    </w:r>
    <w:r>
      <w:instrText xml:space="preserve"> PAGE   \* Roman </w:instrText>
    </w:r>
    <w:r>
      <w:fldChar w:fldCharType="separate"/>
    </w:r>
    <w:r>
      <w:t>II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7AAE62">
    <w:pPr>
      <w:pStyle w:val="17"/>
      <w:ind w:right="720"/>
      <w:jc w:val="both"/>
    </w:pPr>
    <w:r>
      <w:fldChar w:fldCharType="begin"/>
    </w:r>
    <w:r>
      <w:instrText xml:space="preserve"> PAGE   \* Roman </w:instrText>
    </w:r>
    <w:r>
      <w:fldChar w:fldCharType="separate"/>
    </w:r>
    <w:r>
      <w:t>III</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C0A3CF">
    <w:pPr>
      <w:pStyle w:val="52"/>
      <w:bidi w:val="0"/>
    </w:pPr>
    <w:r>
      <w:fldChar w:fldCharType="begin"/>
    </w:r>
    <w:r>
      <w:instrText xml:space="preserve"> PAGE   \* Arabic </w:instrText>
    </w:r>
    <w:r>
      <w:fldChar w:fldCharType="separate"/>
    </w:r>
    <w:r>
      <w:t>1</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FE0B43">
    <w:pPr>
      <w:pStyle w:val="17"/>
      <w:ind w:right="720"/>
      <w:jc w:val="both"/>
    </w:pPr>
    <w:r>
      <w:fldChar w:fldCharType="begin"/>
    </w:r>
    <w:r>
      <w:instrText xml:space="preserve"> PAGE   \* Arabic </w:instrText>
    </w:r>
    <w:r>
      <w:fldChar w:fldCharType="separate"/>
    </w:r>
    <w:r>
      <w:t>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7AD00D">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A5A774">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9C67DE">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D0F22F">
    <w:pPr>
      <w:pStyle w:val="61"/>
      <w:rPr>
        <w:rFonts w:hint="default" w:eastAsia="黑体"/>
        <w:lang w:val="en-US" w:eastAsia="zh-CN"/>
      </w:rPr>
    </w:pPr>
    <w:r>
      <w:rPr>
        <w:rFonts w:hint="eastAsia"/>
        <w:lang w:eastAsia="zh-CN"/>
      </w:rPr>
      <w:t>T/ZIUR XXXX-2026</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221FFB">
    <w:pPr>
      <w:pStyle w:val="18"/>
      <w:ind w:right="800"/>
      <w:jc w:val="both"/>
      <w:rPr>
        <w:rFonts w:hint="eastAsia" w:ascii="黑体" w:hAnsi="黑体" w:eastAsia="黑体"/>
        <w:sz w:val="20"/>
        <w:szCs w:val="20"/>
        <w:lang w:eastAsia="zh-CN"/>
      </w:rPr>
    </w:pPr>
    <w:r>
      <w:rPr>
        <w:rFonts w:hint="eastAsia" w:ascii="黑体" w:hAnsi="黑体" w:eastAsia="黑体"/>
        <w:sz w:val="20"/>
        <w:szCs w:val="20"/>
        <w:lang w:eastAsia="zh-CN"/>
      </w:rPr>
      <w:t>T/ZIUR XXXX-2026</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85E6C1">
    <w:pPr>
      <w:pStyle w:val="61"/>
      <w:rPr>
        <w:rFonts w:hint="default" w:eastAsia="黑体"/>
        <w:lang w:val="en-US" w:eastAsia="zh-CN"/>
      </w:rPr>
    </w:pPr>
    <w:r>
      <w:rPr>
        <w:rFonts w:hint="eastAsia"/>
        <w:lang w:eastAsia="zh-CN"/>
      </w:rPr>
      <w:t>T/ZIUR XXXX-2026</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57D59">
    <w:pPr>
      <w:pStyle w:val="18"/>
      <w:ind w:right="800"/>
      <w:jc w:val="both"/>
      <w:rPr>
        <w:rFonts w:hint="eastAsia" w:ascii="黑体" w:hAnsi="黑体" w:eastAsia="黑体"/>
        <w:sz w:val="20"/>
        <w:szCs w:val="20"/>
        <w:lang w:eastAsia="zh-CN"/>
      </w:rPr>
    </w:pPr>
    <w:r>
      <w:rPr>
        <w:rFonts w:hint="eastAsia" w:ascii="黑体" w:hAnsi="黑体" w:eastAsia="黑体"/>
        <w:sz w:val="20"/>
        <w:szCs w:val="20"/>
        <w:lang w:eastAsia="zh-CN"/>
      </w:rPr>
      <w:t>T/ZIUR XXXX-2026</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375D4">
    <w:pPr>
      <w:pStyle w:val="61"/>
      <w:rPr>
        <w:rFonts w:hint="default" w:eastAsia="黑体"/>
        <w:lang w:val="en-US" w:eastAsia="zh-CN"/>
      </w:rPr>
    </w:pPr>
    <w:r>
      <w:rPr>
        <w:rFonts w:hint="eastAsia"/>
        <w:lang w:eastAsia="zh-CN"/>
      </w:rPr>
      <w:t>T/ZIUR XXXX-2026</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DD7BE7">
    <w:pPr>
      <w:pStyle w:val="18"/>
      <w:ind w:right="800"/>
      <w:jc w:val="both"/>
      <w:rPr>
        <w:rFonts w:hint="eastAsia" w:ascii="黑体" w:hAnsi="黑体" w:eastAsia="黑体"/>
        <w:sz w:val="20"/>
        <w:szCs w:val="20"/>
        <w:lang w:eastAsia="zh-CN"/>
      </w:rPr>
    </w:pPr>
    <w:r>
      <w:rPr>
        <w:rFonts w:hint="eastAsia" w:ascii="黑体" w:hAnsi="黑体" w:eastAsia="黑体"/>
        <w:sz w:val="20"/>
        <w:szCs w:val="20"/>
        <w:lang w:eastAsia="zh-CN"/>
      </w:rPr>
      <w:t>T/ZIUR XXXX-2026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0CE4DC"/>
    <w:multiLevelType w:val="multilevel"/>
    <w:tmpl w:val="A10CE4DC"/>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
    <w:nsid w:val="A50204C2"/>
    <w:multiLevelType w:val="multilevel"/>
    <w:tmpl w:val="A50204C2"/>
    <w:lvl w:ilvl="0" w:tentative="0">
      <w:start w:val="1"/>
      <w:numFmt w:val="decimal"/>
      <w:pStyle w:val="234"/>
      <w:suff w:val="nothing"/>
      <w:lvlText w:val="图%1　"/>
      <w:lvlJc w:val="left"/>
      <w:pPr>
        <w:tabs>
          <w:tab w:val="left" w:pos="0"/>
        </w:tabs>
        <w:ind w:left="0" w:leftChars="0" w:firstLine="0" w:firstLineChars="0"/>
      </w:pPr>
      <w:rPr>
        <w:rFonts w:hint="default" w:ascii="黑体" w:hAnsi="黑体" w:eastAsia="黑体"/>
        <w:sz w:val="21"/>
        <w:szCs w:val="21"/>
      </w:rPr>
    </w:lvl>
    <w:lvl w:ilvl="1" w:tentative="0">
      <w:start w:val="1"/>
      <w:numFmt w:val="decimal"/>
      <w:lvlText w:val="%1.%2.　"/>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B0F0F72B"/>
    <w:multiLevelType w:val="multilevel"/>
    <w:tmpl w:val="B0F0F72B"/>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3">
    <w:nsid w:val="C114A562"/>
    <w:multiLevelType w:val="multilevel"/>
    <w:tmpl w:val="C114A562"/>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4">
    <w:nsid w:val="E12ABC61"/>
    <w:multiLevelType w:val="multilevel"/>
    <w:tmpl w:val="E12ABC61"/>
    <w:lvl w:ilvl="0" w:tentative="0">
      <w:start w:val="1"/>
      <w:numFmt w:val="decimal"/>
      <w:pStyle w:val="231"/>
      <w:suff w:val="nothing"/>
      <w:lvlText w:val="表%1　"/>
      <w:lvlJc w:val="left"/>
      <w:pPr>
        <w:tabs>
          <w:tab w:val="left" w:pos="0"/>
        </w:tabs>
        <w:ind w:left="0" w:firstLine="0"/>
      </w:pPr>
      <w:rPr>
        <w:rFonts w:hint="default" w:ascii="黑体" w:hAnsi="黑体" w:eastAsia="黑体"/>
        <w:sz w:val="21"/>
        <w:szCs w:val="21"/>
      </w:r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5">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6">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7">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8">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9">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10">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1">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12">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3">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4">
    <w:nsid w:val="1B383A10"/>
    <w:multiLevelType w:val="multilevel"/>
    <w:tmpl w:val="1B383A10"/>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15">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6">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7">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8">
    <w:nsid w:val="3BF398C4"/>
    <w:multiLevelType w:val="multilevel"/>
    <w:tmpl w:val="3BF398C4"/>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9">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0">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21">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2">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23">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4">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5">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294382A"/>
    <w:multiLevelType w:val="multilevel"/>
    <w:tmpl w:val="6294382A"/>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27">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8">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9">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30">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31">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32">
    <w:nsid w:val="6B754688"/>
    <w:multiLevelType w:val="multilevel"/>
    <w:tmpl w:val="6B754688"/>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33">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4">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5">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36">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7">
    <w:nsid w:val="737E300D"/>
    <w:multiLevelType w:val="multilevel"/>
    <w:tmpl w:val="737E300D"/>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38">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5"/>
  </w:num>
  <w:num w:numId="2">
    <w:abstractNumId w:val="35"/>
  </w:num>
  <w:num w:numId="3">
    <w:abstractNumId w:val="10"/>
  </w:num>
  <w:num w:numId="4">
    <w:abstractNumId w:val="30"/>
  </w:num>
  <w:num w:numId="5">
    <w:abstractNumId w:val="24"/>
  </w:num>
  <w:num w:numId="6">
    <w:abstractNumId w:val="19"/>
  </w:num>
  <w:num w:numId="7">
    <w:abstractNumId w:val="13"/>
  </w:num>
  <w:num w:numId="8">
    <w:abstractNumId w:val="8"/>
  </w:num>
  <w:num w:numId="9">
    <w:abstractNumId w:val="15"/>
  </w:num>
  <w:num w:numId="10">
    <w:abstractNumId w:val="22"/>
  </w:num>
  <w:num w:numId="11">
    <w:abstractNumId w:val="33"/>
  </w:num>
  <w:num w:numId="12">
    <w:abstractNumId w:val="17"/>
  </w:num>
  <w:num w:numId="13">
    <w:abstractNumId w:val="0"/>
  </w:num>
  <w:num w:numId="14">
    <w:abstractNumId w:val="12"/>
  </w:num>
  <w:num w:numId="15">
    <w:abstractNumId w:val="25"/>
  </w:num>
  <w:num w:numId="16">
    <w:abstractNumId w:val="28"/>
  </w:num>
  <w:num w:numId="17">
    <w:abstractNumId w:val="23"/>
  </w:num>
  <w:num w:numId="18">
    <w:abstractNumId w:val="36"/>
  </w:num>
  <w:num w:numId="19">
    <w:abstractNumId w:val="21"/>
  </w:num>
  <w:num w:numId="20">
    <w:abstractNumId w:val="6"/>
  </w:num>
  <w:num w:numId="21">
    <w:abstractNumId w:val="16"/>
  </w:num>
  <w:num w:numId="22">
    <w:abstractNumId w:val="38"/>
  </w:num>
  <w:num w:numId="23">
    <w:abstractNumId w:val="27"/>
  </w:num>
  <w:num w:numId="24">
    <w:abstractNumId w:val="11"/>
  </w:num>
  <w:num w:numId="25">
    <w:abstractNumId w:val="34"/>
  </w:num>
  <w:num w:numId="26">
    <w:abstractNumId w:val="14"/>
  </w:num>
  <w:num w:numId="27">
    <w:abstractNumId w:val="7"/>
  </w:num>
  <w:num w:numId="28">
    <w:abstractNumId w:val="9"/>
  </w:num>
  <w:num w:numId="29">
    <w:abstractNumId w:val="20"/>
  </w:num>
  <w:num w:numId="30">
    <w:abstractNumId w:val="31"/>
  </w:num>
  <w:num w:numId="31">
    <w:abstractNumId w:val="29"/>
  </w:num>
  <w:num w:numId="32">
    <w:abstractNumId w:val="4"/>
  </w:num>
  <w:num w:numId="33">
    <w:abstractNumId w:val="1"/>
  </w:num>
  <w:num w:numId="3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attachedTemplate r:id="rId1"/>
  <w:documentProtection w:edit="forms"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EwNTM5NzYwMDRjMzkwZTVkZjY2ODkwMGIxNGU0OTUifQ=="/>
  </w:docVars>
  <w:rsids>
    <w:rsidRoot w:val="008B2D73"/>
    <w:rsid w:val="0000040A"/>
    <w:rsid w:val="00000A94"/>
    <w:rsid w:val="00001972"/>
    <w:rsid w:val="00001D9A"/>
    <w:rsid w:val="00004943"/>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24D"/>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57978"/>
    <w:rsid w:val="00060C2E"/>
    <w:rsid w:val="00061033"/>
    <w:rsid w:val="000619E9"/>
    <w:rsid w:val="000622D4"/>
    <w:rsid w:val="0006357D"/>
    <w:rsid w:val="00067F1E"/>
    <w:rsid w:val="00071CC0"/>
    <w:rsid w:val="00071CFC"/>
    <w:rsid w:val="000736AE"/>
    <w:rsid w:val="00073C8C"/>
    <w:rsid w:val="00077B64"/>
    <w:rsid w:val="00080A1C"/>
    <w:rsid w:val="00082317"/>
    <w:rsid w:val="00083D2C"/>
    <w:rsid w:val="000843AE"/>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059F9"/>
    <w:rsid w:val="00113B1E"/>
    <w:rsid w:val="0011711C"/>
    <w:rsid w:val="0012376E"/>
    <w:rsid w:val="00124E4F"/>
    <w:rsid w:val="001260B7"/>
    <w:rsid w:val="001265CB"/>
    <w:rsid w:val="001321C6"/>
    <w:rsid w:val="001325C4"/>
    <w:rsid w:val="00133010"/>
    <w:rsid w:val="00133387"/>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787"/>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4C41"/>
    <w:rsid w:val="00266EEB"/>
    <w:rsid w:val="00267EF4"/>
    <w:rsid w:val="002705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69D2"/>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1B5"/>
    <w:rsid w:val="00336C64"/>
    <w:rsid w:val="00337162"/>
    <w:rsid w:val="0034194F"/>
    <w:rsid w:val="00344605"/>
    <w:rsid w:val="003474AA"/>
    <w:rsid w:val="00350D1D"/>
    <w:rsid w:val="00352C83"/>
    <w:rsid w:val="00352F1A"/>
    <w:rsid w:val="003530E0"/>
    <w:rsid w:val="0036107C"/>
    <w:rsid w:val="003615D2"/>
    <w:rsid w:val="0036332C"/>
    <w:rsid w:val="0036429C"/>
    <w:rsid w:val="00364A53"/>
    <w:rsid w:val="003654CB"/>
    <w:rsid w:val="00365AA9"/>
    <w:rsid w:val="00365F86"/>
    <w:rsid w:val="00365F87"/>
    <w:rsid w:val="00366E89"/>
    <w:rsid w:val="003675F3"/>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A7DB7"/>
    <w:rsid w:val="003B09AD"/>
    <w:rsid w:val="003B1F18"/>
    <w:rsid w:val="003B5BF0"/>
    <w:rsid w:val="003B60BF"/>
    <w:rsid w:val="003B6BE3"/>
    <w:rsid w:val="003C010C"/>
    <w:rsid w:val="003C0A6C"/>
    <w:rsid w:val="003C0E85"/>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3611"/>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568"/>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B6013"/>
    <w:rsid w:val="004C1FBC"/>
    <w:rsid w:val="004C25A2"/>
    <w:rsid w:val="004C3F1D"/>
    <w:rsid w:val="004C458D"/>
    <w:rsid w:val="004C7556"/>
    <w:rsid w:val="004C7E8B"/>
    <w:rsid w:val="004C7E9D"/>
    <w:rsid w:val="004C7F67"/>
    <w:rsid w:val="004D076D"/>
    <w:rsid w:val="004D0EF1"/>
    <w:rsid w:val="004D2253"/>
    <w:rsid w:val="004D3F7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2F8F"/>
    <w:rsid w:val="0050363E"/>
    <w:rsid w:val="005039BC"/>
    <w:rsid w:val="005043BB"/>
    <w:rsid w:val="00504A3D"/>
    <w:rsid w:val="00505767"/>
    <w:rsid w:val="005073F0"/>
    <w:rsid w:val="00510A7B"/>
    <w:rsid w:val="00512F6E"/>
    <w:rsid w:val="00513038"/>
    <w:rsid w:val="00514174"/>
    <w:rsid w:val="00516088"/>
    <w:rsid w:val="00516B0B"/>
    <w:rsid w:val="00517C15"/>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0D1F"/>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53DD"/>
    <w:rsid w:val="005A7830"/>
    <w:rsid w:val="005A7FCE"/>
    <w:rsid w:val="005B0F3F"/>
    <w:rsid w:val="005B191C"/>
    <w:rsid w:val="005B4903"/>
    <w:rsid w:val="005B51CE"/>
    <w:rsid w:val="005B5885"/>
    <w:rsid w:val="005B5CD7"/>
    <w:rsid w:val="005B6CF6"/>
    <w:rsid w:val="005B7422"/>
    <w:rsid w:val="005B7DD5"/>
    <w:rsid w:val="005C29B8"/>
    <w:rsid w:val="005C5F21"/>
    <w:rsid w:val="005C7156"/>
    <w:rsid w:val="005D0C75"/>
    <w:rsid w:val="005D4171"/>
    <w:rsid w:val="005D6A95"/>
    <w:rsid w:val="005D6B2C"/>
    <w:rsid w:val="005D6D9C"/>
    <w:rsid w:val="005E2335"/>
    <w:rsid w:val="005E34CA"/>
    <w:rsid w:val="005E3C18"/>
    <w:rsid w:val="005E3D74"/>
    <w:rsid w:val="005E4250"/>
    <w:rsid w:val="005E468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064"/>
    <w:rsid w:val="00641A1F"/>
    <w:rsid w:val="00645904"/>
    <w:rsid w:val="0065062A"/>
    <w:rsid w:val="00651ACB"/>
    <w:rsid w:val="00651C47"/>
    <w:rsid w:val="00652AB2"/>
    <w:rsid w:val="00653FED"/>
    <w:rsid w:val="00654EC0"/>
    <w:rsid w:val="0065525B"/>
    <w:rsid w:val="00655D4F"/>
    <w:rsid w:val="00656D29"/>
    <w:rsid w:val="006640E5"/>
    <w:rsid w:val="006646F1"/>
    <w:rsid w:val="00664929"/>
    <w:rsid w:val="00664F62"/>
    <w:rsid w:val="006655E1"/>
    <w:rsid w:val="00665E69"/>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6AA"/>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57173"/>
    <w:rsid w:val="007600E3"/>
    <w:rsid w:val="00765C43"/>
    <w:rsid w:val="00765EFB"/>
    <w:rsid w:val="007671CA"/>
    <w:rsid w:val="00767C61"/>
    <w:rsid w:val="0077008A"/>
    <w:rsid w:val="00773C1F"/>
    <w:rsid w:val="00774DA4"/>
    <w:rsid w:val="0077522D"/>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1A1C"/>
    <w:rsid w:val="007B5A3D"/>
    <w:rsid w:val="007B5B95"/>
    <w:rsid w:val="007B6032"/>
    <w:rsid w:val="007B68EA"/>
    <w:rsid w:val="007B7453"/>
    <w:rsid w:val="007C2D89"/>
    <w:rsid w:val="007C4593"/>
    <w:rsid w:val="007C5309"/>
    <w:rsid w:val="007C603A"/>
    <w:rsid w:val="007C6069"/>
    <w:rsid w:val="007D06C4"/>
    <w:rsid w:val="007D1352"/>
    <w:rsid w:val="007D2508"/>
    <w:rsid w:val="007D346A"/>
    <w:rsid w:val="007D64E5"/>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2F0C"/>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2D73"/>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2027"/>
    <w:rsid w:val="009E4A58"/>
    <w:rsid w:val="009E5A2D"/>
    <w:rsid w:val="009E5AB2"/>
    <w:rsid w:val="009E6219"/>
    <w:rsid w:val="009F03B3"/>
    <w:rsid w:val="009F68BD"/>
    <w:rsid w:val="00A0096C"/>
    <w:rsid w:val="00A01757"/>
    <w:rsid w:val="00A028C0"/>
    <w:rsid w:val="00A02BAE"/>
    <w:rsid w:val="00A06A6B"/>
    <w:rsid w:val="00A07E47"/>
    <w:rsid w:val="00A129D0"/>
    <w:rsid w:val="00A12C33"/>
    <w:rsid w:val="00A138BA"/>
    <w:rsid w:val="00A14C8E"/>
    <w:rsid w:val="00A153D9"/>
    <w:rsid w:val="00A15F09"/>
    <w:rsid w:val="00A169B6"/>
    <w:rsid w:val="00A21D89"/>
    <w:rsid w:val="00A2271D"/>
    <w:rsid w:val="00A237D5"/>
    <w:rsid w:val="00A27E99"/>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2140"/>
    <w:rsid w:val="00A83D8D"/>
    <w:rsid w:val="00A8446B"/>
    <w:rsid w:val="00A8473F"/>
    <w:rsid w:val="00A862D6"/>
    <w:rsid w:val="00A8715E"/>
    <w:rsid w:val="00A90664"/>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14CF"/>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215D"/>
    <w:rsid w:val="00B4346D"/>
    <w:rsid w:val="00B440F4"/>
    <w:rsid w:val="00B447A5"/>
    <w:rsid w:val="00B4654C"/>
    <w:rsid w:val="00B47293"/>
    <w:rsid w:val="00B50E50"/>
    <w:rsid w:val="00B513EA"/>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027A"/>
    <w:rsid w:val="00BE22F3"/>
    <w:rsid w:val="00BE5B52"/>
    <w:rsid w:val="00BE7B8D"/>
    <w:rsid w:val="00BF0993"/>
    <w:rsid w:val="00BF10A9"/>
    <w:rsid w:val="00BF1703"/>
    <w:rsid w:val="00BF231C"/>
    <w:rsid w:val="00BF51E5"/>
    <w:rsid w:val="00BF628D"/>
    <w:rsid w:val="00BF74A6"/>
    <w:rsid w:val="00C013AD"/>
    <w:rsid w:val="00C04904"/>
    <w:rsid w:val="00C056B3"/>
    <w:rsid w:val="00C1003D"/>
    <w:rsid w:val="00C103E5"/>
    <w:rsid w:val="00C13319"/>
    <w:rsid w:val="00C13EE9"/>
    <w:rsid w:val="00C21540"/>
    <w:rsid w:val="00C21906"/>
    <w:rsid w:val="00C21BFA"/>
    <w:rsid w:val="00C24C8D"/>
    <w:rsid w:val="00C25FE2"/>
    <w:rsid w:val="00C269F5"/>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1E0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9A"/>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2CC7"/>
    <w:rsid w:val="00D8399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107"/>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269C4"/>
    <w:rsid w:val="00E3137A"/>
    <w:rsid w:val="00E32CCF"/>
    <w:rsid w:val="00E34A98"/>
    <w:rsid w:val="00E35D1E"/>
    <w:rsid w:val="00E364F9"/>
    <w:rsid w:val="00E365FA"/>
    <w:rsid w:val="00E36789"/>
    <w:rsid w:val="00E44A83"/>
    <w:rsid w:val="00E4519C"/>
    <w:rsid w:val="00E502C1"/>
    <w:rsid w:val="00E502DD"/>
    <w:rsid w:val="00E50D3A"/>
    <w:rsid w:val="00E51387"/>
    <w:rsid w:val="00E51E68"/>
    <w:rsid w:val="00E52EFD"/>
    <w:rsid w:val="00E5408A"/>
    <w:rsid w:val="00E56800"/>
    <w:rsid w:val="00E60402"/>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0DFB"/>
    <w:rsid w:val="00F32780"/>
    <w:rsid w:val="00F33817"/>
    <w:rsid w:val="00F420D5"/>
    <w:rsid w:val="00F451EA"/>
    <w:rsid w:val="00F45447"/>
    <w:rsid w:val="00F456C6"/>
    <w:rsid w:val="00F4577B"/>
    <w:rsid w:val="00F46235"/>
    <w:rsid w:val="00F46496"/>
    <w:rsid w:val="00F474D0"/>
    <w:rsid w:val="00F50179"/>
    <w:rsid w:val="00F515EE"/>
    <w:rsid w:val="00F56511"/>
    <w:rsid w:val="00F6194E"/>
    <w:rsid w:val="00F623AC"/>
    <w:rsid w:val="00F6412A"/>
    <w:rsid w:val="00F65893"/>
    <w:rsid w:val="00F66A4A"/>
    <w:rsid w:val="00F71E22"/>
    <w:rsid w:val="00F72142"/>
    <w:rsid w:val="00F72AE7"/>
    <w:rsid w:val="00F731BD"/>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09E6"/>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0D41"/>
    <w:rsid w:val="00FF2A5D"/>
    <w:rsid w:val="00FF3E7D"/>
    <w:rsid w:val="00FF5B99"/>
    <w:rsid w:val="00FF730C"/>
    <w:rsid w:val="00FF73F4"/>
    <w:rsid w:val="00FF7CE4"/>
    <w:rsid w:val="00FF7E39"/>
    <w:rsid w:val="01D06ADA"/>
    <w:rsid w:val="02F92D08"/>
    <w:rsid w:val="03062D2F"/>
    <w:rsid w:val="03C07382"/>
    <w:rsid w:val="03C54999"/>
    <w:rsid w:val="042E69E2"/>
    <w:rsid w:val="04C82992"/>
    <w:rsid w:val="04F27A0F"/>
    <w:rsid w:val="060E6ACB"/>
    <w:rsid w:val="06A30C70"/>
    <w:rsid w:val="07475263"/>
    <w:rsid w:val="07C1191B"/>
    <w:rsid w:val="07D23B28"/>
    <w:rsid w:val="08386081"/>
    <w:rsid w:val="086758C2"/>
    <w:rsid w:val="097C11D2"/>
    <w:rsid w:val="0A4A4FFC"/>
    <w:rsid w:val="0A516F86"/>
    <w:rsid w:val="0A8C6210"/>
    <w:rsid w:val="0B2E5AAF"/>
    <w:rsid w:val="0B8769D7"/>
    <w:rsid w:val="0C8F1FE8"/>
    <w:rsid w:val="0D222E5C"/>
    <w:rsid w:val="0E3C7F4D"/>
    <w:rsid w:val="0E9331A5"/>
    <w:rsid w:val="0F040A6B"/>
    <w:rsid w:val="0F4F2D5A"/>
    <w:rsid w:val="0F6F0BBC"/>
    <w:rsid w:val="10463305"/>
    <w:rsid w:val="10B60D4A"/>
    <w:rsid w:val="11B8120C"/>
    <w:rsid w:val="11F272A1"/>
    <w:rsid w:val="122A4C8C"/>
    <w:rsid w:val="1283240B"/>
    <w:rsid w:val="12A165D1"/>
    <w:rsid w:val="130474EB"/>
    <w:rsid w:val="139D148E"/>
    <w:rsid w:val="141C58F1"/>
    <w:rsid w:val="14C82908"/>
    <w:rsid w:val="156404B5"/>
    <w:rsid w:val="159627D2"/>
    <w:rsid w:val="16500A3A"/>
    <w:rsid w:val="1651030E"/>
    <w:rsid w:val="17BF5E77"/>
    <w:rsid w:val="17DB7852"/>
    <w:rsid w:val="196B16E7"/>
    <w:rsid w:val="19EA3331"/>
    <w:rsid w:val="1A115525"/>
    <w:rsid w:val="1A3B37AF"/>
    <w:rsid w:val="1B1D486E"/>
    <w:rsid w:val="1B505038"/>
    <w:rsid w:val="1BDD2D6F"/>
    <w:rsid w:val="1C817B9F"/>
    <w:rsid w:val="1CB533A4"/>
    <w:rsid w:val="1D76522A"/>
    <w:rsid w:val="1DA578BD"/>
    <w:rsid w:val="1DAD4C5B"/>
    <w:rsid w:val="1DFB572F"/>
    <w:rsid w:val="1E1862BA"/>
    <w:rsid w:val="1F486752"/>
    <w:rsid w:val="20390790"/>
    <w:rsid w:val="21521B0A"/>
    <w:rsid w:val="216929AF"/>
    <w:rsid w:val="229D6DB5"/>
    <w:rsid w:val="22A04AF7"/>
    <w:rsid w:val="22C81958"/>
    <w:rsid w:val="231352C9"/>
    <w:rsid w:val="23E40A13"/>
    <w:rsid w:val="23F437C8"/>
    <w:rsid w:val="25494FD2"/>
    <w:rsid w:val="2573204F"/>
    <w:rsid w:val="25946303"/>
    <w:rsid w:val="267C4F33"/>
    <w:rsid w:val="27315853"/>
    <w:rsid w:val="277976C4"/>
    <w:rsid w:val="288602EB"/>
    <w:rsid w:val="28AB1AFF"/>
    <w:rsid w:val="28BC03AC"/>
    <w:rsid w:val="29E67293"/>
    <w:rsid w:val="2A152EC1"/>
    <w:rsid w:val="2A7A79DB"/>
    <w:rsid w:val="2AA41CA9"/>
    <w:rsid w:val="2AFB6D6E"/>
    <w:rsid w:val="2B100330"/>
    <w:rsid w:val="2B125E66"/>
    <w:rsid w:val="2B4F0E68"/>
    <w:rsid w:val="2B9176D3"/>
    <w:rsid w:val="2C1B2997"/>
    <w:rsid w:val="2CF972DD"/>
    <w:rsid w:val="2D0363AE"/>
    <w:rsid w:val="2D2C76B3"/>
    <w:rsid w:val="2D6706EB"/>
    <w:rsid w:val="2D8172D3"/>
    <w:rsid w:val="2DC86CB0"/>
    <w:rsid w:val="2DE03FF9"/>
    <w:rsid w:val="2E59753B"/>
    <w:rsid w:val="2E642E7C"/>
    <w:rsid w:val="2F7B047E"/>
    <w:rsid w:val="30CD2F5B"/>
    <w:rsid w:val="30CE282F"/>
    <w:rsid w:val="3264344B"/>
    <w:rsid w:val="32A44120"/>
    <w:rsid w:val="32C51A10"/>
    <w:rsid w:val="338B01BC"/>
    <w:rsid w:val="34B61F58"/>
    <w:rsid w:val="35AD62A7"/>
    <w:rsid w:val="3607389D"/>
    <w:rsid w:val="36932551"/>
    <w:rsid w:val="369D517D"/>
    <w:rsid w:val="388F6D48"/>
    <w:rsid w:val="38A071A7"/>
    <w:rsid w:val="3902751A"/>
    <w:rsid w:val="390C65EA"/>
    <w:rsid w:val="39B822CE"/>
    <w:rsid w:val="3A4F49E1"/>
    <w:rsid w:val="3A791A5E"/>
    <w:rsid w:val="3BB84807"/>
    <w:rsid w:val="3C1A7270"/>
    <w:rsid w:val="3C797AF3"/>
    <w:rsid w:val="3DA70690"/>
    <w:rsid w:val="3EDE4585"/>
    <w:rsid w:val="3EF50744"/>
    <w:rsid w:val="3FB5178A"/>
    <w:rsid w:val="40520D87"/>
    <w:rsid w:val="40A84E4B"/>
    <w:rsid w:val="42226269"/>
    <w:rsid w:val="42460060"/>
    <w:rsid w:val="42D869AD"/>
    <w:rsid w:val="42DE28AD"/>
    <w:rsid w:val="43655275"/>
    <w:rsid w:val="449776B0"/>
    <w:rsid w:val="451C0B6B"/>
    <w:rsid w:val="468E063F"/>
    <w:rsid w:val="471D452A"/>
    <w:rsid w:val="47633879"/>
    <w:rsid w:val="47EA5D49"/>
    <w:rsid w:val="48007F78"/>
    <w:rsid w:val="494901C7"/>
    <w:rsid w:val="496B110B"/>
    <w:rsid w:val="49E022DA"/>
    <w:rsid w:val="4B9F509C"/>
    <w:rsid w:val="4BB70638"/>
    <w:rsid w:val="4BD4042E"/>
    <w:rsid w:val="4BEA4569"/>
    <w:rsid w:val="4D302450"/>
    <w:rsid w:val="4F1638C7"/>
    <w:rsid w:val="4F4E3061"/>
    <w:rsid w:val="4F624D5E"/>
    <w:rsid w:val="4FC60E49"/>
    <w:rsid w:val="4FFF435B"/>
    <w:rsid w:val="50250266"/>
    <w:rsid w:val="5064378F"/>
    <w:rsid w:val="50AD3DB7"/>
    <w:rsid w:val="50B213CE"/>
    <w:rsid w:val="50EF5A05"/>
    <w:rsid w:val="50F43794"/>
    <w:rsid w:val="510C6D30"/>
    <w:rsid w:val="5257222D"/>
    <w:rsid w:val="534F1156"/>
    <w:rsid w:val="5492579E"/>
    <w:rsid w:val="54B971CF"/>
    <w:rsid w:val="55B1434A"/>
    <w:rsid w:val="57603078"/>
    <w:rsid w:val="5822341B"/>
    <w:rsid w:val="585F008D"/>
    <w:rsid w:val="58B959EF"/>
    <w:rsid w:val="58C56D33"/>
    <w:rsid w:val="58F82C15"/>
    <w:rsid w:val="59AC0F41"/>
    <w:rsid w:val="59D40607"/>
    <w:rsid w:val="5A737E20"/>
    <w:rsid w:val="5B3752F1"/>
    <w:rsid w:val="5B3F5B69"/>
    <w:rsid w:val="5B562835"/>
    <w:rsid w:val="5BF60DF4"/>
    <w:rsid w:val="5CA2679A"/>
    <w:rsid w:val="5CE24DE9"/>
    <w:rsid w:val="5D3B6C83"/>
    <w:rsid w:val="5D9E3405"/>
    <w:rsid w:val="5E512ECF"/>
    <w:rsid w:val="5EDC0830"/>
    <w:rsid w:val="5EED4EE2"/>
    <w:rsid w:val="5F553840"/>
    <w:rsid w:val="60940AF0"/>
    <w:rsid w:val="61C176C2"/>
    <w:rsid w:val="621E0EDE"/>
    <w:rsid w:val="626B762E"/>
    <w:rsid w:val="62B67542"/>
    <w:rsid w:val="6325595A"/>
    <w:rsid w:val="634E31D8"/>
    <w:rsid w:val="636C4406"/>
    <w:rsid w:val="63FA510E"/>
    <w:rsid w:val="64E33DF4"/>
    <w:rsid w:val="65A74E21"/>
    <w:rsid w:val="68242759"/>
    <w:rsid w:val="68F16ADF"/>
    <w:rsid w:val="693B5FAC"/>
    <w:rsid w:val="69AE49D0"/>
    <w:rsid w:val="69B33D95"/>
    <w:rsid w:val="69C67F6C"/>
    <w:rsid w:val="69C97A5C"/>
    <w:rsid w:val="6A55309E"/>
    <w:rsid w:val="6A627569"/>
    <w:rsid w:val="6A9E4A45"/>
    <w:rsid w:val="6B320A72"/>
    <w:rsid w:val="6BC30951"/>
    <w:rsid w:val="6C662DA8"/>
    <w:rsid w:val="6D147240"/>
    <w:rsid w:val="6D2D0302"/>
    <w:rsid w:val="6D4A2C62"/>
    <w:rsid w:val="6D8343C6"/>
    <w:rsid w:val="6DF36E56"/>
    <w:rsid w:val="6EA168B2"/>
    <w:rsid w:val="6EF530A1"/>
    <w:rsid w:val="6F036B63"/>
    <w:rsid w:val="6F1057E5"/>
    <w:rsid w:val="6F286FD3"/>
    <w:rsid w:val="6F6D49E6"/>
    <w:rsid w:val="6FAC7C04"/>
    <w:rsid w:val="6FC6486F"/>
    <w:rsid w:val="6FD11419"/>
    <w:rsid w:val="70383246"/>
    <w:rsid w:val="710D6480"/>
    <w:rsid w:val="7189187F"/>
    <w:rsid w:val="71FA64CF"/>
    <w:rsid w:val="72565C05"/>
    <w:rsid w:val="72E871A5"/>
    <w:rsid w:val="736D76AA"/>
    <w:rsid w:val="737525FE"/>
    <w:rsid w:val="73A3131E"/>
    <w:rsid w:val="73DB2866"/>
    <w:rsid w:val="75287D2D"/>
    <w:rsid w:val="75524DAA"/>
    <w:rsid w:val="758C1337"/>
    <w:rsid w:val="75D43A11"/>
    <w:rsid w:val="764D1790"/>
    <w:rsid w:val="76813875"/>
    <w:rsid w:val="76B13D52"/>
    <w:rsid w:val="771B11CB"/>
    <w:rsid w:val="776E4B73"/>
    <w:rsid w:val="77BB5F58"/>
    <w:rsid w:val="77FC724F"/>
    <w:rsid w:val="789D458E"/>
    <w:rsid w:val="78E24696"/>
    <w:rsid w:val="79750E46"/>
    <w:rsid w:val="79C124FE"/>
    <w:rsid w:val="7A792DD8"/>
    <w:rsid w:val="7AB67B89"/>
    <w:rsid w:val="7BCA5728"/>
    <w:rsid w:val="7D0270B5"/>
    <w:rsid w:val="7D036989"/>
    <w:rsid w:val="7EA61CC2"/>
    <w:rsid w:val="7EB663A9"/>
    <w:rsid w:val="7EF93831"/>
    <w:rsid w:val="F3AF552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7"/>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6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paragraph" w:customStyle="1" w:styleId="66">
    <w:name w:val="标准文件_段落"/>
    <w:autoRedefine/>
    <w:qFormat/>
    <w:uiPriority w:val="0"/>
    <w:pPr>
      <w:ind w:firstLine="420" w:firstLineChars="200"/>
    </w:pPr>
    <w:rPr>
      <w:rFonts w:ascii="宋体" w:hAnsi="宋体" w:eastAsia="宋体" w:cstheme="minorBidi"/>
      <w:kern w:val="2"/>
      <w:sz w:val="21"/>
      <w:szCs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6"/>
    <w:qFormat/>
    <w:uiPriority w:val="0"/>
    <w:pPr>
      <w:numPr>
        <w:ilvl w:val="0"/>
        <w:numId w:val="3"/>
      </w:numPr>
      <w:ind w:firstLine="0" w:firstLineChars="0"/>
    </w:pPr>
  </w:style>
  <w:style w:type="paragraph" w:customStyle="1" w:styleId="69">
    <w:name w:val="标准文件_封面标准编号"/>
    <w:basedOn w:val="1"/>
    <w:next w:val="59"/>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6"/>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5">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13"/>
    <w:qFormat/>
    <w:uiPriority w:val="0"/>
    <w:rPr>
      <w:kern w:val="2"/>
      <w:sz w:val="21"/>
      <w:szCs w:val="21"/>
    </w:rPr>
  </w:style>
  <w:style w:type="paragraph" w:customStyle="1" w:styleId="88">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6"/>
    <w:next w:val="56"/>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6"/>
    <w:qFormat/>
    <w:uiPriority w:val="0"/>
    <w:pPr>
      <w:spacing w:line="460" w:lineRule="exact"/>
      <w:ind w:left="0" w:firstLine="0"/>
    </w:pPr>
  </w:style>
  <w:style w:type="paragraph" w:customStyle="1" w:styleId="92">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pPr>
  </w:style>
  <w:style w:type="paragraph" w:customStyle="1" w:styleId="95">
    <w:name w:val="标准文件_三级条标题"/>
    <w:basedOn w:val="65"/>
    <w:next w:val="66"/>
    <w:qFormat/>
    <w:uiPriority w:val="0"/>
    <w:pPr>
      <w:widowControl/>
      <w:numPr>
        <w:ilvl w:val="4"/>
      </w:numPr>
      <w:outlineLvl w:val="3"/>
    </w:pPr>
  </w:style>
  <w:style w:type="character" w:customStyle="1" w:styleId="96">
    <w:name w:val="不明显参考1"/>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semiHidden/>
    <w:qFormat/>
    <w:uiPriority w:val="0"/>
    <w:rPr>
      <w:rFonts w:ascii="宋体"/>
      <w:kern w:val="2"/>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6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66"/>
    <w:qFormat/>
    <w:uiPriority w:val="0"/>
    <w:pPr>
      <w:numPr>
        <w:ilvl w:val="2"/>
      </w:numPr>
      <w:spacing w:before="50" w:beforeLines="50" w:after="50" w:afterLines="5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tabs>
        <w:tab w:val="left" w:pos="851"/>
      </w:tabs>
      <w:jc w:val="both"/>
    </w:pPr>
    <w:rPr>
      <w:rFonts w:ascii="宋体" w:hAnsi="Times New Roman" w:eastAsia="宋体" w:cs="Times New Roman"/>
      <w:sz w:val="21"/>
      <w:lang w:val="en-US" w:eastAsia="zh-CN" w:bidi="ar-SA"/>
    </w:rPr>
  </w:style>
  <w:style w:type="paragraph" w:customStyle="1" w:styleId="111">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tabs>
        <w:tab w:val="left" w:pos="851"/>
      </w:tabs>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6"/>
    <w:qFormat/>
    <w:uiPriority w:val="0"/>
    <w:pPr>
      <w:outlineLvl w:val="4"/>
    </w:pPr>
  </w:style>
  <w:style w:type="paragraph" w:customStyle="1" w:styleId="131">
    <w:name w:val="附录四级无标题条"/>
    <w:basedOn w:val="130"/>
    <w:next w:val="56"/>
    <w:qFormat/>
    <w:uiPriority w:val="0"/>
    <w:pPr>
      <w:outlineLvl w:val="5"/>
    </w:pPr>
  </w:style>
  <w:style w:type="paragraph" w:customStyle="1" w:styleId="132">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6"/>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6"/>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6"/>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autoRedefine/>
    <w:semiHidden/>
    <w:qFormat/>
    <w:uiPriority w:val="0"/>
    <w:pPr>
      <w:adjustRightInd/>
      <w:spacing w:line="240" w:lineRule="auto"/>
      <w:jc w:val="left"/>
    </w:pPr>
    <w:rPr>
      <w:bCs/>
      <w:iCs/>
    </w:rPr>
  </w:style>
  <w:style w:type="paragraph" w:customStyle="1" w:styleId="144">
    <w:name w:val="目录 31"/>
    <w:basedOn w:val="1"/>
    <w:next w:val="1"/>
    <w:autoRedefine/>
    <w:semiHidden/>
    <w:qFormat/>
    <w:uiPriority w:val="0"/>
    <w:pPr>
      <w:spacing w:line="240" w:lineRule="auto"/>
    </w:pPr>
    <w:rPr>
      <w:rFonts w:ascii="宋体" w:hAnsi="宋体"/>
      <w:iCs/>
    </w:rPr>
  </w:style>
  <w:style w:type="paragraph" w:customStyle="1" w:styleId="145">
    <w:name w:val="目录 41"/>
    <w:basedOn w:val="1"/>
    <w:next w:val="1"/>
    <w:autoRedefine/>
    <w:semiHidden/>
    <w:qFormat/>
    <w:uiPriority w:val="0"/>
    <w:pPr>
      <w:adjustRightInd/>
      <w:spacing w:line="240" w:lineRule="auto"/>
      <w:jc w:val="left"/>
    </w:pPr>
  </w:style>
  <w:style w:type="paragraph" w:customStyle="1" w:styleId="146">
    <w:name w:val="目录 51"/>
    <w:basedOn w:val="1"/>
    <w:next w:val="1"/>
    <w:autoRedefine/>
    <w:semiHidden/>
    <w:qFormat/>
    <w:uiPriority w:val="0"/>
    <w:pPr>
      <w:spacing w:line="240" w:lineRule="auto"/>
    </w:pPr>
    <w:rPr>
      <w:rFonts w:ascii="宋体" w:hAnsi="宋体"/>
    </w:rPr>
  </w:style>
  <w:style w:type="paragraph" w:customStyle="1" w:styleId="147">
    <w:name w:val="目录 61"/>
    <w:basedOn w:val="1"/>
    <w:next w:val="1"/>
    <w:autoRedefine/>
    <w:semiHidden/>
    <w:qFormat/>
    <w:uiPriority w:val="0"/>
    <w:pPr>
      <w:adjustRightInd/>
      <w:spacing w:line="240" w:lineRule="auto"/>
      <w:jc w:val="left"/>
    </w:pPr>
  </w:style>
  <w:style w:type="paragraph" w:customStyle="1" w:styleId="148">
    <w:name w:val="目录 71"/>
    <w:basedOn w:val="147"/>
    <w:autoRedefine/>
    <w:semiHidden/>
    <w:qFormat/>
    <w:uiPriority w:val="0"/>
    <w:pPr>
      <w:ind w:left="1260"/>
    </w:pPr>
  </w:style>
  <w:style w:type="paragraph" w:customStyle="1" w:styleId="149">
    <w:name w:val="目录 81"/>
    <w:basedOn w:val="148"/>
    <w:autoRedefine/>
    <w:semiHidden/>
    <w:qFormat/>
    <w:uiPriority w:val="0"/>
    <w:pPr>
      <w:ind w:left="1470"/>
    </w:pPr>
  </w:style>
  <w:style w:type="paragraph" w:customStyle="1" w:styleId="150">
    <w:name w:val="目录 91"/>
    <w:basedOn w:val="149"/>
    <w:autoRedefine/>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6"/>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5"/>
    <w:qFormat/>
    <w:uiPriority w:val="0"/>
    <w:pPr>
      <w:spacing w:before="0" w:beforeLines="0" w:after="0" w:afterLines="0"/>
      <w:outlineLvl w:val="9"/>
    </w:pPr>
    <w:rPr>
      <w:rFonts w:ascii="宋体" w:eastAsia="宋体"/>
    </w:rPr>
  </w:style>
  <w:style w:type="paragraph" w:customStyle="1" w:styleId="167">
    <w:name w:val="标准_四级无标题"/>
    <w:basedOn w:val="99"/>
    <w:next w:val="56"/>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6"/>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6"/>
    <w:qFormat/>
    <w:uiPriority w:val="0"/>
    <w:pPr>
      <w:ind w:firstLine="0" w:firstLineChars="0"/>
      <w:jc w:val="center"/>
    </w:pPr>
    <w:rPr>
      <w:sz w:val="18"/>
    </w:rPr>
  </w:style>
  <w:style w:type="paragraph" w:customStyle="1" w:styleId="180">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6"/>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6"/>
    <w:qFormat/>
    <w:uiPriority w:val="0"/>
    <w:rPr>
      <w:rFonts w:ascii="宋体" w:hAnsi="Times New Roman"/>
      <w:sz w:val="21"/>
    </w:rPr>
  </w:style>
  <w:style w:type="paragraph" w:customStyle="1" w:styleId="186">
    <w:name w:val="标准文件_表格续"/>
    <w:basedOn w:val="56"/>
    <w:next w:val="56"/>
    <w:qFormat/>
    <w:uiPriority w:val="0"/>
    <w:pPr>
      <w:jc w:val="center"/>
    </w:pPr>
    <w:rPr>
      <w:rFonts w:ascii="黑体" w:hAnsi="黑体" w:eastAsia="黑体"/>
    </w:rPr>
  </w:style>
  <w:style w:type="character" w:styleId="187">
    <w:name w:val="Placeholder Text"/>
    <w:basedOn w:val="28"/>
    <w:semiHidden/>
    <w:qFormat/>
    <w:uiPriority w:val="99"/>
    <w:rPr>
      <w:color w:val="808080"/>
    </w:rPr>
  </w:style>
  <w:style w:type="paragraph" w:customStyle="1" w:styleId="188">
    <w:name w:val="标准文件_二级项2"/>
    <w:basedOn w:val="56"/>
    <w:qFormat/>
    <w:uiPriority w:val="0"/>
    <w:pPr>
      <w:numPr>
        <w:ilvl w:val="1"/>
        <w:numId w:val="21"/>
      </w:numPr>
      <w:ind w:firstLine="0" w:firstLineChars="0"/>
    </w:pPr>
  </w:style>
  <w:style w:type="paragraph" w:customStyle="1" w:styleId="189">
    <w:name w:val="标准文件_三级项2"/>
    <w:basedOn w:val="56"/>
    <w:qFormat/>
    <w:uiPriority w:val="0"/>
    <w:pPr>
      <w:numPr>
        <w:ilvl w:val="0"/>
        <w:numId w:val="30"/>
      </w:numPr>
      <w:spacing w:line="300" w:lineRule="exact"/>
      <w:ind w:firstLineChars="0"/>
    </w:pPr>
    <w:rPr>
      <w:rFonts w:ascii="Times New Roman"/>
    </w:rPr>
  </w:style>
  <w:style w:type="paragraph" w:customStyle="1" w:styleId="190">
    <w:name w:val="标准文件_一级项2"/>
    <w:basedOn w:val="56"/>
    <w:qFormat/>
    <w:uiPriority w:val="0"/>
    <w:pPr>
      <w:numPr>
        <w:ilvl w:val="0"/>
        <w:numId w:val="31"/>
      </w:numPr>
      <w:spacing w:line="300" w:lineRule="exact"/>
      <w:ind w:firstLineChars="0"/>
    </w:pPr>
    <w:rPr>
      <w:rFonts w:ascii="Times New Roman"/>
    </w:rPr>
  </w:style>
  <w:style w:type="paragraph" w:customStyle="1" w:styleId="191">
    <w:name w:val="标准文件_提示"/>
    <w:basedOn w:val="56"/>
    <w:next w:val="56"/>
    <w:qFormat/>
    <w:uiPriority w:val="0"/>
    <w:pPr>
      <w:ind w:firstLine="420"/>
    </w:pPr>
    <w:rPr>
      <w:rFonts w:ascii="黑体" w:eastAsia="黑体"/>
    </w:rPr>
  </w:style>
  <w:style w:type="character" w:customStyle="1" w:styleId="192">
    <w:name w:val="标准文件_来源"/>
    <w:basedOn w:val="28"/>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6"/>
    <w:qFormat/>
    <w:uiPriority w:val="0"/>
    <w:pPr>
      <w:ind w:left="811" w:firstLine="0" w:firstLineChars="0"/>
    </w:pPr>
    <w:rPr>
      <w:sz w:val="18"/>
    </w:rPr>
  </w:style>
  <w:style w:type="paragraph" w:customStyle="1" w:styleId="207">
    <w:name w:val="标准文件_注X后"/>
    <w:basedOn w:val="56"/>
    <w:qFormat/>
    <w:uiPriority w:val="0"/>
    <w:pPr>
      <w:ind w:left="811" w:firstLine="0" w:firstLineChars="0"/>
    </w:pPr>
    <w:rPr>
      <w:sz w:val="18"/>
    </w:rPr>
  </w:style>
  <w:style w:type="paragraph" w:customStyle="1" w:styleId="208">
    <w:name w:val="标准文件_示例后"/>
    <w:basedOn w:val="56"/>
    <w:qFormat/>
    <w:uiPriority w:val="0"/>
    <w:pPr>
      <w:ind w:left="964" w:firstLine="0" w:firstLineChars="0"/>
    </w:pPr>
    <w:rPr>
      <w:sz w:val="18"/>
    </w:rPr>
  </w:style>
  <w:style w:type="paragraph" w:customStyle="1" w:styleId="209">
    <w:name w:val="标准文件_示例X后"/>
    <w:basedOn w:val="56"/>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6"/>
    <w:next w:val="56"/>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6"/>
    <w:qFormat/>
    <w:uiPriority w:val="0"/>
    <w:pPr>
      <w:spacing w:before="0" w:beforeLines="0" w:after="0" w:afterLines="0" w:line="276" w:lineRule="auto"/>
    </w:pPr>
    <w:rPr>
      <w:rFonts w:ascii="宋体" w:eastAsia="宋体"/>
    </w:rPr>
  </w:style>
  <w:style w:type="paragraph" w:customStyle="1" w:styleId="219">
    <w:name w:val="标准文件_引言三级无标题"/>
    <w:basedOn w:val="203"/>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6"/>
    <w:qFormat/>
    <w:uiPriority w:val="0"/>
    <w:pPr>
      <w:spacing w:before="0" w:beforeLines="0" w:after="0" w:afterLines="0" w:line="276" w:lineRule="auto"/>
    </w:pPr>
    <w:rPr>
      <w:rFonts w:ascii="宋体" w:eastAsia="宋体"/>
    </w:rPr>
  </w:style>
  <w:style w:type="paragraph" w:customStyle="1" w:styleId="222">
    <w:name w:val="标准文件_索引标题"/>
    <w:basedOn w:val="63"/>
    <w:next w:val="56"/>
    <w:qFormat/>
    <w:uiPriority w:val="0"/>
    <w:rPr>
      <w:rFonts w:hAnsi="黑体"/>
    </w:rPr>
  </w:style>
  <w:style w:type="paragraph" w:customStyle="1" w:styleId="223">
    <w:name w:val="标准文件_脚注内容"/>
    <w:basedOn w:val="56"/>
    <w:qFormat/>
    <w:uiPriority w:val="0"/>
    <w:pPr>
      <w:ind w:left="400" w:leftChars="200" w:hanging="200" w:hangingChars="200"/>
    </w:pPr>
    <w:rPr>
      <w:sz w:val="15"/>
    </w:rPr>
  </w:style>
  <w:style w:type="paragraph" w:customStyle="1" w:styleId="224">
    <w:name w:val="标准文件_术语条一"/>
    <w:basedOn w:val="163"/>
    <w:next w:val="56"/>
    <w:qFormat/>
    <w:uiPriority w:val="0"/>
  </w:style>
  <w:style w:type="paragraph" w:customStyle="1" w:styleId="225">
    <w:name w:val="标准文件_术语条二"/>
    <w:basedOn w:val="166"/>
    <w:next w:val="56"/>
    <w:qFormat/>
    <w:uiPriority w:val="0"/>
  </w:style>
  <w:style w:type="paragraph" w:customStyle="1" w:styleId="226">
    <w:name w:val="标准文件_术语条三"/>
    <w:basedOn w:val="165"/>
    <w:next w:val="56"/>
    <w:qFormat/>
    <w:uiPriority w:val="0"/>
  </w:style>
  <w:style w:type="paragraph" w:customStyle="1" w:styleId="227">
    <w:name w:val="标准文件_术语条四"/>
    <w:basedOn w:val="168"/>
    <w:next w:val="56"/>
    <w:qFormat/>
    <w:uiPriority w:val="0"/>
  </w:style>
  <w:style w:type="paragraph" w:customStyle="1" w:styleId="228">
    <w:name w:val="标准文件_术语条五"/>
    <w:basedOn w:val="164"/>
    <w:next w:val="56"/>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8"/>
    <w:qFormat/>
    <w:uiPriority w:val="0"/>
    <w:rPr>
      <w:rFonts w:ascii="黑体" w:eastAsia="黑体"/>
      <w:spacing w:val="85"/>
      <w:w w:val="100"/>
      <w:position w:val="3"/>
      <w:sz w:val="28"/>
      <w:szCs w:val="28"/>
    </w:rPr>
  </w:style>
  <w:style w:type="paragraph" w:customStyle="1" w:styleId="231">
    <w:name w:val="标准文件_表格题注"/>
    <w:autoRedefine/>
    <w:qFormat/>
    <w:uiPriority w:val="0"/>
    <w:pPr>
      <w:numPr>
        <w:ilvl w:val="0"/>
        <w:numId w:val="32"/>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232">
    <w:name w:val="标准文件_表格首行"/>
    <w:autoRedefine/>
    <w:qFormat/>
    <w:uiPriority w:val="0"/>
    <w:pPr>
      <w:spacing w:line="300" w:lineRule="atLeast"/>
      <w:jc w:val="center"/>
    </w:pPr>
    <w:rPr>
      <w:rFonts w:ascii="宋体" w:hAnsi="宋体" w:eastAsia="宋体" w:cs="Times New Roman"/>
      <w:kern w:val="2"/>
      <w:sz w:val="18"/>
      <w:szCs w:val="21"/>
      <w:lang w:val="en-US" w:eastAsia="zh-CN" w:bidi="ar-SA"/>
    </w:rPr>
  </w:style>
  <w:style w:type="paragraph" w:customStyle="1" w:styleId="233">
    <w:name w:val="标准文件_表格内容"/>
    <w:basedOn w:val="1"/>
    <w:autoRedefine/>
    <w:qFormat/>
    <w:uiPriority w:val="0"/>
    <w:pPr>
      <w:spacing w:line="300" w:lineRule="atLeast"/>
      <w:jc w:val="left"/>
    </w:pPr>
    <w:rPr>
      <w:rFonts w:ascii="宋体" w:hAnsi="宋体" w:cs="Times New Roman"/>
      <w:sz w:val="18"/>
    </w:rPr>
  </w:style>
  <w:style w:type="paragraph" w:customStyle="1" w:styleId="234">
    <w:name w:val="标准文件_图片题注"/>
    <w:autoRedefine/>
    <w:qFormat/>
    <w:uiPriority w:val="0"/>
    <w:pPr>
      <w:numPr>
        <w:ilvl w:val="0"/>
        <w:numId w:val="33"/>
      </w:numPr>
      <w:spacing w:before="50" w:beforeLines="50" w:after="50" w:afterLines="50"/>
      <w:jc w:val="center"/>
    </w:pPr>
    <w:rPr>
      <w:rFonts w:ascii="黑体" w:hAnsi="黑体" w:eastAsia="黑体" w:cstheme="minorBidi"/>
      <w:kern w:val="2"/>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9" Type="http://schemas.openxmlformats.org/officeDocument/2006/relationships/glossaryDocument" Target="glossary/document.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3.jpeg"/><Relationship Id="rId24" Type="http://schemas.openxmlformats.org/officeDocument/2006/relationships/image" Target="media/image2.png"/><Relationship Id="rId23" Type="http://schemas.openxmlformats.org/officeDocument/2006/relationships/image" Target="media/image1.png"/><Relationship Id="rId22" Type="http://schemas.openxmlformats.org/officeDocument/2006/relationships/theme" Target="theme/theme1.xml"/><Relationship Id="rId21" Type="http://schemas.openxmlformats.org/officeDocument/2006/relationships/footer" Target="footer8.xml"/><Relationship Id="rId20" Type="http://schemas.openxmlformats.org/officeDocument/2006/relationships/footer" Target="footer7.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header" Target="header8.xml"/><Relationship Id="rId17" Type="http://schemas.openxmlformats.org/officeDocument/2006/relationships/footer" Target="footer6.xml"/><Relationship Id="rId16" Type="http://schemas.openxmlformats.org/officeDocument/2006/relationships/footer" Target="footer5.xml"/><Relationship Id="rId15" Type="http://schemas.openxmlformats.org/officeDocument/2006/relationships/header" Target="header7.xml"/><Relationship Id="rId14" Type="http://schemas.openxmlformats.org/officeDocument/2006/relationships/header" Target="header6.xml"/><Relationship Id="rId13" Type="http://schemas.openxmlformats.org/officeDocument/2006/relationships/footer" Target="footer4.xml"/><Relationship Id="rId12" Type="http://schemas.openxmlformats.org/officeDocument/2006/relationships/footer" Target="footer3.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ata\weboffice\tmp\webword_2579374621\C:\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31AAA52270374532AA7C98F5FC00429A"/>
        <w:style w:val=""/>
        <w:category>
          <w:name w:val="常规"/>
          <w:gallery w:val="placeholder"/>
        </w:category>
        <w:types>
          <w:type w:val="bbPlcHdr"/>
        </w:types>
        <w:behaviors>
          <w:behavior w:val="content"/>
        </w:behaviors>
        <w:description w:val=""/>
        <w:guid w:val="{39878737-4092-4C44-98C4-1B59EB04E72D}"/>
      </w:docPartPr>
      <w:docPartBody>
        <w:p w14:paraId="45CDA0F0">
          <w:pPr>
            <w:pStyle w:val="5"/>
            <w:rPr>
              <w:rFonts w:hint="eastAsia"/>
            </w:rPr>
          </w:pPr>
          <w:r>
            <w:rPr>
              <w:rStyle w:val="4"/>
              <w:rFonts w:hint="eastAsia"/>
            </w:rPr>
            <w:t>单击或点击此处输入文字。</w:t>
          </w:r>
        </w:p>
      </w:docPartBody>
    </w:docPart>
    <w:docPart>
      <w:docPartPr>
        <w:name w:val="FF0054CC84D048C2BFA2F4572D65DF65"/>
        <w:style w:val=""/>
        <w:category>
          <w:name w:val="常规"/>
          <w:gallery w:val="placeholder"/>
        </w:category>
        <w:types>
          <w:type w:val="bbPlcHdr"/>
        </w:types>
        <w:behaviors>
          <w:behavior w:val="content"/>
        </w:behaviors>
        <w:description w:val=""/>
        <w:guid w:val="{67F023CE-E9F0-49DF-88FB-2C7CFDB6FB0C}"/>
      </w:docPartPr>
      <w:docPartBody>
        <w:p w14:paraId="63AA39B4">
          <w:pPr>
            <w:pStyle w:val="6"/>
            <w:rPr>
              <w:rFonts w:hint="eastAsia"/>
            </w:rPr>
          </w:pPr>
          <w:r>
            <w:rPr>
              <w:rStyle w:val="4"/>
              <w:rFonts w:hint="eastAsia"/>
            </w:rPr>
            <w:t>选择一项。</w:t>
          </w:r>
        </w:p>
      </w:docPartBody>
    </w:docPart>
    <w:docPart>
      <w:docPartPr>
        <w:name w:val="BE3737DD1D8843BEAE6237A2BC536667"/>
        <w:style w:val=""/>
        <w:category>
          <w:name w:val="常规"/>
          <w:gallery w:val="placeholder"/>
        </w:category>
        <w:types>
          <w:type w:val="bbPlcHdr"/>
        </w:types>
        <w:behaviors>
          <w:behavior w:val="content"/>
        </w:behaviors>
        <w:description w:val=""/>
        <w:guid w:val="{D4495E1A-EA6F-47B1-9360-1785CC22357F}"/>
      </w:docPartPr>
      <w:docPartBody>
        <w:p w14:paraId="44ECB797">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3A56"/>
    <w:rsid w:val="001D6273"/>
    <w:rsid w:val="0022344A"/>
    <w:rsid w:val="00463A56"/>
    <w:rsid w:val="004D3F73"/>
    <w:rsid w:val="00517C15"/>
    <w:rsid w:val="009F68BD"/>
    <w:rsid w:val="00A10C23"/>
    <w:rsid w:val="00A15C44"/>
    <w:rsid w:val="00A82140"/>
    <w:rsid w:val="00C26BDD"/>
    <w:rsid w:val="00E60402"/>
    <w:rsid w:val="00E9271E"/>
    <w:rsid w:val="00ED50FE"/>
    <w:rsid w:val="00F30DFB"/>
    <w:rsid w:val="00F30E94"/>
    <w:rsid w:val="00F6478F"/>
    <w:rsid w:val="00F86B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31AAA52270374532AA7C98F5FC00429A"/>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FF0054CC84D048C2BFA2F4572D65DF65"/>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BE3737DD1D8843BEAE6237A2BC536667"/>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PCMI</Company>
  <Pages>9</Pages>
  <Words>5202</Words>
  <Characters>5857</Characters>
  <Lines>369</Lines>
  <Paragraphs>508</Paragraphs>
  <TotalTime>2</TotalTime>
  <ScaleCrop>false</ScaleCrop>
  <LinksUpToDate>false</LinksUpToDate>
  <CharactersWithSpaces>5988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2025-06-03T10:51:00Z</dcterms:created>
  <dc:creator>王志强</dc:creator>
  <dc:description>&lt;config cover="true" show_menu="true" version="1.0.0" doctype="SDKXY"&gt;_x000d_
&lt;/config&gt;</dc:description>
  <cp:lastModifiedBy>游钦凉</cp:lastModifiedBy>
  <cp:lastPrinted>2021-02-02T16:22:00Z</cp:lastPrinted>
  <dcterms:modified xsi:type="dcterms:W3CDTF">2026-04-20T05:54:53Z</dcterms:modified>
  <dc:title>团体标准</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-1</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eyJoZGlkIjoiMjdlZDgyOTQyNjFjNTk3MWVlYTY0NzMzZGMxODZkODYiLCJ1c2VySWQiOiIxNTY4NTU3MDQ2In0=</vt:lpwstr>
  </property>
  <property fmtid="{D5CDD505-2E9C-101B-9397-08002B2CF9AE}" pid="15" name="KSOProductBuildVer">
    <vt:lpwstr>2052-12.1.0.22529</vt:lpwstr>
  </property>
  <property fmtid="{D5CDD505-2E9C-101B-9397-08002B2CF9AE}" pid="16" name="ICV">
    <vt:lpwstr>D437DF1607C8F68A4CA6BF6876CBB180_43</vt:lpwstr>
  </property>
  <property fmtid="{D5CDD505-2E9C-101B-9397-08002B2CF9AE}" pid="17" name="uuid">
    <vt:lpwstr>5eb7b5cc2eb37b0e99516e006bd52d19</vt:lpwstr>
  </property>
</Properties>
</file>