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01E4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479F5FC">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36A72D20">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29.130.10</w:t>
            </w:r>
            <w:r>
              <w:rPr>
                <w:rFonts w:ascii="黑体" w:hAnsi="黑体" w:eastAsia="黑体"/>
                <w:sz w:val="21"/>
                <w:szCs w:val="21"/>
              </w:rPr>
              <w:fldChar w:fldCharType="end"/>
            </w:r>
            <w:bookmarkEnd w:id="0"/>
          </w:p>
        </w:tc>
      </w:tr>
      <w:tr w14:paraId="2A28C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6CD386B">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3A6FC0A">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PrEx>
              <w:trPr>
                <w:trHeight w:val="1021" w:hRule="exact"/>
              </w:trPr>
              <w:tc>
                <w:tcPr>
                  <w:tcW w:w="9242" w:type="dxa"/>
                  <w:vAlign w:val="center"/>
                </w:tcPr>
                <w:p w14:paraId="500C492E">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ZIUR</w:t>
                  </w:r>
                  <w:r>
                    <w:fldChar w:fldCharType="end"/>
                  </w:r>
                  <w:bookmarkEnd w:id="1"/>
                </w:p>
              </w:tc>
            </w:tr>
          </w:tbl>
          <w:p w14:paraId="22935F3C">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lang w:eastAsia="zh-CN"/>
              </w:rPr>
              <w:t>K43</w:t>
            </w:r>
            <w:r>
              <w:rPr>
                <w:rFonts w:ascii="黑体" w:hAnsi="黑体" w:eastAsia="黑体"/>
                <w:sz w:val="21"/>
                <w:szCs w:val="21"/>
              </w:rPr>
              <w:fldChar w:fldCharType="end"/>
            </w:r>
            <w:bookmarkEnd w:id="2"/>
          </w:p>
        </w:tc>
      </w:tr>
    </w:tbl>
    <w:p w14:paraId="62635094">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浙江省产学研合作促进会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3D0FA13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ZIUR</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rPr>
        <w:t>2026</w:t>
      </w:r>
      <w:r>
        <w:fldChar w:fldCharType="end"/>
      </w:r>
      <w:bookmarkEnd w:id="7"/>
    </w:p>
    <w:p w14:paraId="0E99E2A3">
      <w:pPr>
        <w:pStyle w:val="197"/>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099280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97C8699">
      <w:pPr>
        <w:pStyle w:val="50"/>
        <w:framePr w:w="9639" w:h="6976" w:hRule="exact" w:hSpace="0" w:vSpace="0" w:wrap="around" w:hAnchor="page" w:y="6408"/>
        <w:jc w:val="center"/>
        <w:rPr>
          <w:rFonts w:hint="eastAsia" w:ascii="黑体" w:hAnsi="黑体" w:eastAsia="黑体"/>
          <w:b w:val="0"/>
          <w:bCs w:val="0"/>
          <w:w w:val="100"/>
        </w:rPr>
      </w:pPr>
    </w:p>
    <w:p w14:paraId="4EC462AF">
      <w:pPr>
        <w:pStyle w:val="198"/>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12kv 环网箱技术规范</w:t>
      </w:r>
      <w:r>
        <w:fldChar w:fldCharType="end"/>
      </w:r>
      <w:bookmarkEnd w:id="9"/>
    </w:p>
    <w:p w14:paraId="46672E00">
      <w:pPr>
        <w:framePr w:w="9639" w:h="6974" w:hRule="exact" w:wrap="around" w:vAnchor="page" w:hAnchor="page" w:x="1419" w:y="6408" w:anchorLock="1"/>
        <w:ind w:left="-1418"/>
      </w:pPr>
    </w:p>
    <w:p w14:paraId="529975E9">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Specification for 12kV ring main units</w:t>
      </w:r>
      <w:r>
        <w:rPr>
          <w:rFonts w:eastAsia="黑体"/>
          <w:szCs w:val="28"/>
        </w:rPr>
        <w:fldChar w:fldCharType="end"/>
      </w:r>
      <w:bookmarkEnd w:id="10"/>
    </w:p>
    <w:p w14:paraId="2B1F9A60">
      <w:pPr>
        <w:framePr w:w="9639" w:h="6974" w:hRule="exact" w:wrap="around" w:vAnchor="page" w:hAnchor="page" w:x="1419" w:y="6408" w:anchorLock="1"/>
        <w:spacing w:line="760" w:lineRule="exact"/>
        <w:ind w:left="-1418"/>
      </w:pPr>
    </w:p>
    <w:p w14:paraId="428FF855">
      <w:pPr>
        <w:pStyle w:val="126"/>
        <w:framePr w:w="9639" w:h="6974" w:hRule="exact" w:wrap="around" w:vAnchor="page" w:hAnchor="page" w:x="1419" w:y="6408" w:anchorLock="1"/>
        <w:textAlignment w:val="bottom"/>
        <w:rPr>
          <w:rFonts w:eastAsia="黑体"/>
          <w:szCs w:val="28"/>
        </w:rPr>
      </w:pPr>
    </w:p>
    <w:p w14:paraId="23AEB5C6">
      <w:pPr>
        <w:pStyle w:val="126"/>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005421C5">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2"/>
    </w:p>
    <w:p w14:paraId="67DD76B5">
      <w:pPr>
        <w:pStyle w:val="126"/>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258AD120">
      <w:pPr>
        <w:pStyle w:val="194"/>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6"/>
      <w:r>
        <w:rPr>
          <w:rFonts w:hint="eastAsia"/>
        </w:rPr>
        <w:t>发布</w:t>
      </w:r>
    </w:p>
    <w:p w14:paraId="6AE10996">
      <w:pPr>
        <w:pStyle w:val="195"/>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hint="eastAsia" w:ascii="黑体"/>
        </w:rPr>
        <w:t>2026</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3</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17</w:t>
      </w:r>
      <w:r>
        <w:rPr>
          <w:rFonts w:ascii="黑体"/>
        </w:rPr>
        <w:fldChar w:fldCharType="end"/>
      </w:r>
      <w:bookmarkEnd w:id="19"/>
      <w:r>
        <w:rPr>
          <w:rFonts w:hint="eastAsia"/>
        </w:rPr>
        <w:t>实施</w:t>
      </w:r>
    </w:p>
    <w:p w14:paraId="415BED25">
      <w:pPr>
        <w:pStyle w:val="152"/>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浙江省产学研合作促进会</w:t>
      </w:r>
      <w:r>
        <w:rPr>
          <w:rFonts w:hAnsi="黑体"/>
          <w:w w:val="100"/>
          <w:sz w:val="28"/>
        </w:rPr>
        <w:fldChar w:fldCharType="end"/>
      </w:r>
      <w:bookmarkEnd w:id="20"/>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3C3A8C9">
      <w:pPr>
        <w:rPr>
          <w:rFonts w:hint="eastAsia" w:ascii="宋体" w:hAnsi="宋体"/>
          <w:sz w:val="28"/>
          <w:szCs w:val="28"/>
        </w:rPr>
        <w:sectPr>
          <w:headerReference r:id="rId7" w:type="first"/>
          <w:footerReference r:id="rId9" w:type="first"/>
          <w:headerReference r:id="rId5" w:type="default"/>
          <w:headerReference r:id="rId6" w:type="even"/>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2B7255C">
      <w:pPr>
        <w:pStyle w:val="92"/>
        <w:spacing w:after="360"/>
      </w:pPr>
      <w:bookmarkStart w:id="21" w:name="BookMark1"/>
      <w:r>
        <w:rPr>
          <w:rFonts w:hint="eastAsia"/>
          <w:spacing w:val="320"/>
        </w:rPr>
        <w:t>目</w:t>
      </w:r>
      <w:r>
        <w:rPr>
          <w:rFonts w:hint="eastAsia"/>
        </w:rPr>
        <w:t>次</w:t>
      </w:r>
    </w:p>
    <w:p w14:paraId="3C1BF881">
      <w:pPr>
        <w:pStyle w:val="19"/>
        <w:tabs>
          <w:tab w:val="right" w:leader="dot" w:pos="9354"/>
        </w:tabs>
      </w:pPr>
      <w:r>
        <w:fldChar w:fldCharType="begin"/>
      </w:r>
      <w:r>
        <w:instrText xml:space="preserve"> TOC \o "1-1" \h </w:instrText>
      </w:r>
      <w:r>
        <w:fldChar w:fldCharType="separate"/>
      </w:r>
      <w:r>
        <w:fldChar w:fldCharType="begin"/>
      </w:r>
      <w:r>
        <w:instrText xml:space="preserve"> HYPERLINK \l _Toc20263 </w:instrText>
      </w:r>
      <w:r>
        <w:fldChar w:fldCharType="separate"/>
      </w:r>
      <w:r>
        <w:rPr>
          <w:rFonts w:hint="eastAsia"/>
          <w:spacing w:val="318"/>
          <w:lang w:eastAsia="zh-CN"/>
        </w:rPr>
        <w:t>前</w:t>
      </w:r>
      <w:r>
        <w:rPr>
          <w:rFonts w:hint="eastAsia"/>
          <w:lang w:eastAsia="zh-CN"/>
        </w:rPr>
        <w:t>言</w:t>
      </w:r>
      <w:r>
        <w:tab/>
      </w:r>
      <w:r>
        <w:fldChar w:fldCharType="begin"/>
      </w:r>
      <w:r>
        <w:instrText xml:space="preserve"> PAGEREF _Toc20263 \h </w:instrText>
      </w:r>
      <w:r>
        <w:fldChar w:fldCharType="separate"/>
      </w:r>
      <w:r>
        <w:t>II</w:t>
      </w:r>
      <w:r>
        <w:fldChar w:fldCharType="end"/>
      </w:r>
      <w:r>
        <w:fldChar w:fldCharType="end"/>
      </w:r>
    </w:p>
    <w:p w14:paraId="6B630BA6">
      <w:pPr>
        <w:pStyle w:val="19"/>
        <w:tabs>
          <w:tab w:val="right" w:leader="dot" w:pos="9354"/>
        </w:tabs>
      </w:pPr>
      <w:r>
        <w:fldChar w:fldCharType="begin"/>
      </w:r>
      <w:r>
        <w:instrText xml:space="preserve"> HYPERLINK \l _Toc15459 </w:instrText>
      </w:r>
      <w:r>
        <w:fldChar w:fldCharType="separate"/>
      </w:r>
      <w:r>
        <w:rPr>
          <w:rFonts w:hint="eastAsia" w:ascii="黑体" w:eastAsia="黑体"/>
          <w:i w:val="0"/>
        </w:rPr>
        <w:t xml:space="preserve">1 </w:t>
      </w:r>
      <w:r>
        <w:rPr>
          <w:rFonts w:hint="eastAsia"/>
        </w:rPr>
        <w:t>范围</w:t>
      </w:r>
      <w:r>
        <w:tab/>
      </w:r>
      <w:r>
        <w:fldChar w:fldCharType="begin"/>
      </w:r>
      <w:r>
        <w:instrText xml:space="preserve"> PAGEREF _Toc15459 \h </w:instrText>
      </w:r>
      <w:r>
        <w:fldChar w:fldCharType="separate"/>
      </w:r>
      <w:r>
        <w:t>1</w:t>
      </w:r>
      <w:r>
        <w:fldChar w:fldCharType="end"/>
      </w:r>
      <w:r>
        <w:fldChar w:fldCharType="end"/>
      </w:r>
    </w:p>
    <w:p w14:paraId="1B5B0F52">
      <w:pPr>
        <w:pStyle w:val="19"/>
        <w:tabs>
          <w:tab w:val="right" w:leader="dot" w:pos="9354"/>
        </w:tabs>
      </w:pPr>
      <w:r>
        <w:fldChar w:fldCharType="begin"/>
      </w:r>
      <w:r>
        <w:instrText xml:space="preserve"> HYPERLINK \l _Toc24107 </w:instrText>
      </w:r>
      <w:r>
        <w:fldChar w:fldCharType="separate"/>
      </w:r>
      <w:r>
        <w:rPr>
          <w:rFonts w:hint="eastAsia" w:ascii="黑体" w:eastAsia="黑体"/>
          <w:i w:val="0"/>
        </w:rPr>
        <w:t xml:space="preserve">2 </w:t>
      </w:r>
      <w:r>
        <w:rPr>
          <w:rFonts w:hint="eastAsia"/>
        </w:rPr>
        <w:t>规范性引用文件</w:t>
      </w:r>
      <w:r>
        <w:tab/>
      </w:r>
      <w:r>
        <w:fldChar w:fldCharType="begin"/>
      </w:r>
      <w:r>
        <w:instrText xml:space="preserve"> PAGEREF _Toc24107 \h </w:instrText>
      </w:r>
      <w:r>
        <w:fldChar w:fldCharType="separate"/>
      </w:r>
      <w:r>
        <w:t>1</w:t>
      </w:r>
      <w:r>
        <w:fldChar w:fldCharType="end"/>
      </w:r>
      <w:r>
        <w:fldChar w:fldCharType="end"/>
      </w:r>
    </w:p>
    <w:p w14:paraId="71F36EDD">
      <w:pPr>
        <w:pStyle w:val="19"/>
        <w:tabs>
          <w:tab w:val="right" w:leader="dot" w:pos="9354"/>
        </w:tabs>
      </w:pPr>
      <w:r>
        <w:fldChar w:fldCharType="begin"/>
      </w:r>
      <w:r>
        <w:instrText xml:space="preserve"> HYPERLINK \l _Toc8014 </w:instrText>
      </w:r>
      <w:r>
        <w:fldChar w:fldCharType="separate"/>
      </w:r>
      <w:r>
        <w:rPr>
          <w:rFonts w:hint="eastAsia" w:ascii="黑体" w:eastAsia="黑体"/>
          <w:i w:val="0"/>
        </w:rPr>
        <w:t xml:space="preserve">3 </w:t>
      </w:r>
      <w:r>
        <w:rPr>
          <w:rFonts w:hint="eastAsia"/>
          <w:szCs w:val="21"/>
        </w:rPr>
        <w:t>术语和定义</w:t>
      </w:r>
      <w:r>
        <w:tab/>
      </w:r>
      <w:r>
        <w:fldChar w:fldCharType="begin"/>
      </w:r>
      <w:r>
        <w:instrText xml:space="preserve"> PAGEREF _Toc8014 \h </w:instrText>
      </w:r>
      <w:r>
        <w:fldChar w:fldCharType="separate"/>
      </w:r>
      <w:r>
        <w:t>1</w:t>
      </w:r>
      <w:r>
        <w:fldChar w:fldCharType="end"/>
      </w:r>
      <w:r>
        <w:fldChar w:fldCharType="end"/>
      </w:r>
    </w:p>
    <w:p w14:paraId="71FBD504">
      <w:pPr>
        <w:pStyle w:val="19"/>
        <w:tabs>
          <w:tab w:val="right" w:leader="dot" w:pos="9354"/>
        </w:tabs>
      </w:pPr>
      <w:r>
        <w:fldChar w:fldCharType="begin"/>
      </w:r>
      <w:r>
        <w:instrText xml:space="preserve"> HYPERLINK \l _Toc32674 </w:instrText>
      </w:r>
      <w:r>
        <w:fldChar w:fldCharType="separate"/>
      </w:r>
      <w:r>
        <w:rPr>
          <w:rFonts w:hint="eastAsia" w:ascii="黑体" w:eastAsia="黑体"/>
          <w:i w:val="0"/>
        </w:rPr>
        <w:t xml:space="preserve">4 </w:t>
      </w:r>
      <w:r>
        <w:rPr>
          <w:rFonts w:hint="eastAsia"/>
          <w:lang w:val="en-US" w:eastAsia="zh-CN"/>
        </w:rPr>
        <w:t>使用条件</w:t>
      </w:r>
      <w:r>
        <w:tab/>
      </w:r>
      <w:r>
        <w:fldChar w:fldCharType="begin"/>
      </w:r>
      <w:r>
        <w:instrText xml:space="preserve"> PAGEREF _Toc32674 \h </w:instrText>
      </w:r>
      <w:r>
        <w:fldChar w:fldCharType="separate"/>
      </w:r>
      <w:r>
        <w:t>1</w:t>
      </w:r>
      <w:r>
        <w:fldChar w:fldCharType="end"/>
      </w:r>
      <w:r>
        <w:fldChar w:fldCharType="end"/>
      </w:r>
    </w:p>
    <w:p w14:paraId="317F3C45">
      <w:pPr>
        <w:pStyle w:val="19"/>
        <w:tabs>
          <w:tab w:val="right" w:leader="dot" w:pos="9354"/>
        </w:tabs>
      </w:pPr>
      <w:r>
        <w:fldChar w:fldCharType="begin"/>
      </w:r>
      <w:r>
        <w:instrText xml:space="preserve"> HYPERLINK \l _Toc28130 </w:instrText>
      </w:r>
      <w:r>
        <w:fldChar w:fldCharType="separate"/>
      </w:r>
      <w:r>
        <w:rPr>
          <w:rFonts w:hint="eastAsia" w:ascii="黑体" w:eastAsia="黑体"/>
          <w:i w:val="0"/>
        </w:rPr>
        <w:t xml:space="preserve">5 </w:t>
      </w:r>
      <w:r>
        <w:rPr>
          <w:rFonts w:hint="eastAsia"/>
          <w:lang w:val="en-US" w:eastAsia="zh-CN"/>
        </w:rPr>
        <w:t>技术要求</w:t>
      </w:r>
      <w:r>
        <w:tab/>
      </w:r>
      <w:r>
        <w:fldChar w:fldCharType="begin"/>
      </w:r>
      <w:r>
        <w:instrText xml:space="preserve"> PAGEREF _Toc28130 \h </w:instrText>
      </w:r>
      <w:r>
        <w:fldChar w:fldCharType="separate"/>
      </w:r>
      <w:r>
        <w:t>1</w:t>
      </w:r>
      <w:r>
        <w:fldChar w:fldCharType="end"/>
      </w:r>
      <w:r>
        <w:fldChar w:fldCharType="end"/>
      </w:r>
    </w:p>
    <w:p w14:paraId="29F7B742">
      <w:pPr>
        <w:pStyle w:val="19"/>
        <w:tabs>
          <w:tab w:val="right" w:leader="dot" w:pos="9354"/>
        </w:tabs>
      </w:pPr>
      <w:r>
        <w:fldChar w:fldCharType="begin"/>
      </w:r>
      <w:r>
        <w:instrText xml:space="preserve"> HYPERLINK \l _Toc17947 </w:instrText>
      </w:r>
      <w:r>
        <w:fldChar w:fldCharType="separate"/>
      </w:r>
      <w:r>
        <w:rPr>
          <w:rFonts w:hint="eastAsia" w:ascii="黑体" w:eastAsia="黑体"/>
          <w:i w:val="0"/>
        </w:rPr>
        <w:t xml:space="preserve">6 </w:t>
      </w:r>
      <w:r>
        <w:rPr>
          <w:rFonts w:hint="eastAsia"/>
          <w:highlight w:val="none"/>
          <w:lang w:val="en-US" w:eastAsia="zh-CN"/>
        </w:rPr>
        <w:t>试验方法</w:t>
      </w:r>
      <w:r>
        <w:tab/>
      </w:r>
      <w:r>
        <w:fldChar w:fldCharType="begin"/>
      </w:r>
      <w:r>
        <w:instrText xml:space="preserve"> PAGEREF _Toc17947 \h </w:instrText>
      </w:r>
      <w:r>
        <w:fldChar w:fldCharType="separate"/>
      </w:r>
      <w:r>
        <w:t>3</w:t>
      </w:r>
      <w:r>
        <w:fldChar w:fldCharType="end"/>
      </w:r>
      <w:r>
        <w:fldChar w:fldCharType="end"/>
      </w:r>
    </w:p>
    <w:p w14:paraId="094AC91D">
      <w:pPr>
        <w:pStyle w:val="19"/>
        <w:tabs>
          <w:tab w:val="right" w:leader="dot" w:pos="9354"/>
        </w:tabs>
      </w:pPr>
      <w:r>
        <w:fldChar w:fldCharType="begin"/>
      </w:r>
      <w:r>
        <w:instrText xml:space="preserve"> HYPERLINK \l _Toc8817 </w:instrText>
      </w:r>
      <w:r>
        <w:fldChar w:fldCharType="separate"/>
      </w:r>
      <w:r>
        <w:rPr>
          <w:rFonts w:hint="eastAsia" w:ascii="黑体" w:eastAsia="黑体"/>
          <w:i w:val="0"/>
        </w:rPr>
        <w:t xml:space="preserve">7 </w:t>
      </w:r>
      <w:r>
        <w:rPr>
          <w:rFonts w:hint="eastAsia"/>
          <w:lang w:val="en-US" w:eastAsia="zh-CN"/>
        </w:rPr>
        <w:t>检验规则</w:t>
      </w:r>
      <w:r>
        <w:tab/>
      </w:r>
      <w:r>
        <w:fldChar w:fldCharType="begin"/>
      </w:r>
      <w:r>
        <w:instrText xml:space="preserve"> PAGEREF _Toc8817 \h </w:instrText>
      </w:r>
      <w:r>
        <w:fldChar w:fldCharType="separate"/>
      </w:r>
      <w:r>
        <w:t>4</w:t>
      </w:r>
      <w:r>
        <w:fldChar w:fldCharType="end"/>
      </w:r>
      <w:r>
        <w:fldChar w:fldCharType="end"/>
      </w:r>
    </w:p>
    <w:p w14:paraId="112AFB6E">
      <w:pPr>
        <w:pStyle w:val="19"/>
        <w:tabs>
          <w:tab w:val="right" w:leader="dot" w:pos="9354"/>
        </w:tabs>
      </w:pPr>
      <w:r>
        <w:fldChar w:fldCharType="begin"/>
      </w:r>
      <w:r>
        <w:instrText xml:space="preserve"> HYPERLINK \l _Toc13473 </w:instrText>
      </w:r>
      <w:r>
        <w:fldChar w:fldCharType="separate"/>
      </w:r>
      <w:r>
        <w:rPr>
          <w:rFonts w:hint="eastAsia" w:ascii="黑体" w:eastAsia="黑体"/>
          <w:i w:val="0"/>
        </w:rPr>
        <w:t xml:space="preserve">8 </w:t>
      </w:r>
      <w:r>
        <w:rPr>
          <w:rFonts w:hint="eastAsia"/>
        </w:rPr>
        <w:t>标志、包装、运输和</w:t>
      </w:r>
      <w:r>
        <w:rPr>
          <w:rFonts w:hint="eastAsia"/>
          <w:lang w:val="en-US" w:eastAsia="zh-CN"/>
        </w:rPr>
        <w:t>贮存</w:t>
      </w:r>
      <w:r>
        <w:tab/>
      </w:r>
      <w:r>
        <w:fldChar w:fldCharType="begin"/>
      </w:r>
      <w:r>
        <w:instrText xml:space="preserve"> PAGEREF _Toc13473 \h </w:instrText>
      </w:r>
      <w:r>
        <w:fldChar w:fldCharType="separate"/>
      </w:r>
      <w:r>
        <w:t>5</w:t>
      </w:r>
      <w:r>
        <w:fldChar w:fldCharType="end"/>
      </w:r>
      <w:r>
        <w:fldChar w:fldCharType="end"/>
      </w:r>
    </w:p>
    <w:p w14:paraId="0DB6412A">
      <w:pPr>
        <w:pStyle w:val="92"/>
        <w:spacing w:after="360"/>
        <w:sectPr>
          <w:headerReference r:id="rId10" w:type="default"/>
          <w:footerReference r:id="rId12" w:type="default"/>
          <w:headerReference r:id="rId11" w:type="even"/>
          <w:footerReference r:id="rId13" w:type="even"/>
          <w:pgSz w:w="11906" w:h="16838"/>
          <w:pgMar w:top="1928" w:right="1134" w:bottom="1134" w:left="1134" w:header="1418" w:footer="1134" w:gutter="284"/>
          <w:pgNumType w:fmt="upperRoman" w:start="1"/>
          <w:cols w:space="425" w:num="1"/>
          <w:formProt w:val="0"/>
          <w:docGrid w:linePitch="312" w:charSpace="0"/>
        </w:sectPr>
      </w:pPr>
      <w:r>
        <w:fldChar w:fldCharType="end"/>
      </w:r>
      <w:bookmarkStart w:id="64" w:name="_GoBack"/>
      <w:bookmarkEnd w:id="64"/>
    </w:p>
    <w:bookmarkEnd w:id="21"/>
    <w:p w14:paraId="0376D486">
      <w:pPr>
        <w:pStyle w:val="90"/>
        <w:bidi w:val="0"/>
        <w:rPr>
          <w:rFonts w:hint="eastAsia" w:eastAsia="宋体"/>
          <w:lang w:eastAsia="zh-CN"/>
        </w:rPr>
      </w:pPr>
      <w:bookmarkStart w:id="22" w:name="_Toc20263"/>
      <w:bookmarkStart w:id="23" w:name="BookMark2"/>
      <w:r>
        <w:rPr>
          <w:rFonts w:hint="eastAsia"/>
          <w:spacing w:val="318"/>
          <w:lang w:eastAsia="zh-CN"/>
        </w:rPr>
        <w:t>前</w:t>
      </w:r>
      <w:r>
        <w:rPr>
          <w:rFonts w:hint="eastAsia"/>
          <w:lang w:eastAsia="zh-CN"/>
        </w:rPr>
        <w:t>言</w:t>
      </w:r>
      <w:bookmarkEnd w:id="22"/>
    </w:p>
    <w:p w14:paraId="39474C9A">
      <w:pPr>
        <w:pStyle w:val="56"/>
        <w:bidi w:val="0"/>
        <w:rPr>
          <w:rFonts w:hint="eastAsia"/>
          <w:lang w:eastAsia="zh-CN"/>
        </w:rPr>
      </w:pPr>
      <w:r>
        <w:rPr>
          <w:rFonts w:hint="eastAsia"/>
          <w:lang w:eastAsia="zh-CN"/>
        </w:rPr>
        <w:t>本文件按照GB/T 1.1—2020《标准化工作导则  第1部分：标准化文件的结构和起草规则》的规定起草。</w:t>
      </w:r>
    </w:p>
    <w:p w14:paraId="7F5FB25C">
      <w:pPr>
        <w:pStyle w:val="56"/>
        <w:bidi w:val="0"/>
        <w:rPr>
          <w:rFonts w:hint="eastAsia"/>
          <w:lang w:eastAsia="zh-CN"/>
        </w:rPr>
      </w:pPr>
      <w:r>
        <w:rPr>
          <w:rFonts w:hint="eastAsia"/>
          <w:lang w:eastAsia="zh-CN"/>
        </w:rPr>
        <w:t>请注意本文件的某些内容可能涉及专利。本文件的发布机构不承担识别专利的责任。</w:t>
      </w:r>
    </w:p>
    <w:p w14:paraId="199916E1">
      <w:pPr>
        <w:pStyle w:val="56"/>
        <w:bidi w:val="0"/>
        <w:rPr>
          <w:rFonts w:hint="eastAsia"/>
          <w:lang w:eastAsia="zh-CN"/>
        </w:rPr>
      </w:pPr>
    </w:p>
    <w:p w14:paraId="166EA287">
      <w:pPr>
        <w:pStyle w:val="56"/>
        <w:bidi w:val="0"/>
        <w:rPr>
          <w:rFonts w:hint="eastAsia"/>
          <w:lang w:eastAsia="zh-CN"/>
        </w:rPr>
      </w:pPr>
    </w:p>
    <w:p w14:paraId="795A5126">
      <w:pPr>
        <w:pStyle w:val="56"/>
        <w:bidi w:val="0"/>
        <w:rPr>
          <w:rFonts w:hint="eastAsia"/>
          <w:lang w:eastAsia="zh-CN"/>
        </w:rPr>
      </w:pPr>
      <w:r>
        <w:rPr>
          <w:rFonts w:hint="eastAsia"/>
          <w:lang w:eastAsia="zh-CN"/>
        </w:rPr>
        <w:t>本文件由</w:t>
      </w:r>
      <w:bookmarkStart w:id="24" w:name="StdPresenter"/>
      <w:r>
        <w:rPr>
          <w:rFonts w:hint="eastAsia"/>
          <w:lang w:eastAsia="zh-CN"/>
        </w:rPr>
        <w:t>俊郎电气有限公司</w:t>
      </w:r>
      <w:bookmarkEnd w:id="24"/>
      <w:r>
        <w:rPr>
          <w:rFonts w:hint="eastAsia"/>
          <w:lang w:eastAsia="zh-CN"/>
        </w:rPr>
        <w:t>提出。</w:t>
      </w:r>
    </w:p>
    <w:p w14:paraId="18E53D92">
      <w:pPr>
        <w:pStyle w:val="56"/>
        <w:bidi w:val="0"/>
        <w:rPr>
          <w:rFonts w:hint="eastAsia"/>
          <w:lang w:eastAsia="zh-CN"/>
        </w:rPr>
      </w:pPr>
      <w:r>
        <w:rPr>
          <w:rFonts w:hint="eastAsia"/>
          <w:lang w:eastAsia="zh-CN"/>
        </w:rPr>
        <w:t>本文件由</w:t>
      </w:r>
      <w:bookmarkStart w:id="25" w:name="StdRegister"/>
      <w:r>
        <w:rPr>
          <w:rFonts w:hint="eastAsia"/>
          <w:lang w:eastAsia="zh-CN"/>
        </w:rPr>
        <w:t>浙江省产学研合作促进会</w:t>
      </w:r>
      <w:bookmarkEnd w:id="25"/>
      <w:r>
        <w:rPr>
          <w:rFonts w:hint="eastAsia"/>
          <w:lang w:eastAsia="zh-CN"/>
        </w:rPr>
        <w:t>归口。</w:t>
      </w:r>
    </w:p>
    <w:p w14:paraId="604685BC">
      <w:pPr>
        <w:pStyle w:val="56"/>
        <w:bidi w:val="0"/>
        <w:rPr>
          <w:rFonts w:hint="eastAsia"/>
          <w:lang w:eastAsia="zh-CN"/>
        </w:rPr>
      </w:pPr>
      <w:r>
        <w:rPr>
          <w:rFonts w:hint="eastAsia"/>
          <w:lang w:eastAsia="zh-CN"/>
        </w:rPr>
        <w:t>本文件起草单位：</w:t>
      </w:r>
      <w:bookmarkStart w:id="26" w:name="StdDraftdep"/>
      <w:r>
        <w:rPr>
          <w:rFonts w:hint="eastAsia"/>
          <w:lang w:eastAsia="zh-CN"/>
        </w:rPr>
        <w:t>俊郎电气有限公司</w:t>
      </w:r>
      <w:bookmarkEnd w:id="26"/>
      <w:r>
        <w:rPr>
          <w:rFonts w:hint="eastAsia"/>
          <w:lang w:eastAsia="zh-CN"/>
        </w:rPr>
        <w:t>。</w:t>
      </w:r>
    </w:p>
    <w:p w14:paraId="33AA0C81">
      <w:pPr>
        <w:pStyle w:val="56"/>
        <w:bidi w:val="0"/>
        <w:rPr>
          <w:rFonts w:hint="eastAsia"/>
          <w:lang w:eastAsia="zh-CN"/>
        </w:rPr>
      </w:pPr>
      <w:r>
        <w:rPr>
          <w:rFonts w:hint="eastAsia"/>
          <w:lang w:eastAsia="zh-CN"/>
        </w:rPr>
        <w:t>本文件主要起草人：</w:t>
      </w:r>
      <w:bookmarkStart w:id="27" w:name="StdDrafer"/>
      <w:r>
        <w:rPr>
          <w:rFonts w:hint="eastAsia"/>
          <w:lang w:eastAsia="zh-CN"/>
        </w:rPr>
        <w:t>×××、×××</w:t>
      </w:r>
      <w:bookmarkEnd w:id="27"/>
      <w:r>
        <w:rPr>
          <w:rFonts w:hint="eastAsia"/>
          <w:lang w:eastAsia="zh-CN"/>
        </w:rPr>
        <w:t>。</w:t>
      </w:r>
    </w:p>
    <w:p w14:paraId="6F68C73D">
      <w:pPr>
        <w:pStyle w:val="56"/>
        <w:bidi w:val="0"/>
        <w:rPr>
          <w:rFonts w:hint="eastAsia"/>
          <w:lang w:eastAsia="zh-CN"/>
        </w:rPr>
      </w:pPr>
    </w:p>
    <w:p w14:paraId="24F8F1C7">
      <w:pPr>
        <w:pStyle w:val="56"/>
        <w:bidi w:val="0"/>
        <w:rPr>
          <w:rFonts w:hint="eastAsia"/>
          <w:lang w:eastAsia="zh-CN"/>
        </w:rPr>
      </w:pPr>
    </w:p>
    <w:p w14:paraId="3C7EE6FF">
      <w:pPr>
        <w:pStyle w:val="56"/>
        <w:bidi w:val="0"/>
        <w:rPr>
          <w:rFonts w:hint="eastAsia"/>
          <w:lang w:eastAsia="zh-CN"/>
        </w:rPr>
      </w:pPr>
    </w:p>
    <w:p w14:paraId="70ABCCCF">
      <w:pPr>
        <w:pStyle w:val="56"/>
        <w:bidi w:val="0"/>
        <w:rPr>
          <w:rFonts w:hint="eastAsia"/>
          <w:lang w:eastAsia="zh-CN"/>
        </w:rPr>
      </w:pPr>
    </w:p>
    <w:p w14:paraId="244A47C0">
      <w:pPr>
        <w:pStyle w:val="56"/>
        <w:bidi w:val="0"/>
        <w:rPr>
          <w:rFonts w:hint="eastAsia"/>
          <w:lang w:eastAsia="zh-CN"/>
        </w:rPr>
        <w:sectPr>
          <w:headerReference r:id="rId14" w:type="default"/>
          <w:footerReference r:id="rId16" w:type="default"/>
          <w:headerReference r:id="rId15" w:type="even"/>
          <w:footerReference r:id="rId17" w:type="even"/>
          <w:pgSz w:w="11906" w:h="16838"/>
          <w:pgMar w:top="1928" w:right="1134" w:bottom="1134" w:left="1134" w:header="1418" w:footer="1134" w:gutter="284"/>
          <w:pgNumType w:fmt="upperRoman"/>
          <w:cols w:space="425" w:num="1"/>
          <w:formProt w:val="0"/>
          <w:docGrid w:linePitch="312" w:charSpace="0"/>
        </w:sectPr>
      </w:pPr>
    </w:p>
    <w:bookmarkEnd w:id="23"/>
    <w:p w14:paraId="637C7BC3">
      <w:pPr>
        <w:spacing w:line="20" w:lineRule="exact"/>
        <w:jc w:val="center"/>
        <w:rPr>
          <w:rFonts w:hint="eastAsia" w:ascii="黑体" w:hAnsi="黑体" w:eastAsia="黑体"/>
          <w:sz w:val="32"/>
          <w:szCs w:val="32"/>
        </w:rPr>
      </w:pPr>
      <w:bookmarkStart w:id="28" w:name="BookMark4"/>
    </w:p>
    <w:p w14:paraId="64F4F527">
      <w:pPr>
        <w:spacing w:line="20" w:lineRule="exact"/>
        <w:jc w:val="center"/>
        <w:rPr>
          <w:rFonts w:hint="eastAsia" w:ascii="黑体" w:hAnsi="黑体" w:eastAsia="黑体"/>
          <w:sz w:val="32"/>
          <w:szCs w:val="32"/>
        </w:rPr>
      </w:pPr>
    </w:p>
    <w:sdt>
      <w:sdtPr>
        <w:tag w:val="NEW_STAND_NAME"/>
        <w:id w:val="595910757"/>
        <w:lock w:val="sdtLocked"/>
        <w:placeholder>
          <w:docPart w:val="31AAA52270374532AA7C98F5FC00429A"/>
        </w:placeholder>
      </w:sdtPr>
      <w:sdtContent>
        <w:p w14:paraId="6CC36CCC">
          <w:pPr>
            <w:pStyle w:val="178"/>
            <w:spacing w:before="240" w:beforeLines="100" w:after="528" w:afterLines="220"/>
            <w:rPr>
              <w:rFonts w:hint="eastAsia"/>
            </w:rPr>
          </w:pPr>
          <w:bookmarkStart w:id="29" w:name="NEW_STAND_NAME"/>
          <w:r>
            <w:rPr>
              <w:rFonts w:hint="eastAsia"/>
              <w:lang w:eastAsia="zh-CN"/>
            </w:rPr>
            <w:t>12kv 环网箱技术规范</w:t>
          </w:r>
          <w:bookmarkEnd w:id="29"/>
        </w:p>
      </w:sdtContent>
    </w:sdt>
    <w:p w14:paraId="7A7C3DE6">
      <w:pPr>
        <w:pStyle w:val="105"/>
        <w:spacing w:before="240" w:after="240"/>
      </w:pPr>
      <w:bookmarkStart w:id="30" w:name="_Toc26648465"/>
      <w:bookmarkStart w:id="31" w:name="_Toc24884211"/>
      <w:bookmarkStart w:id="32" w:name="_Toc17233333"/>
      <w:bookmarkStart w:id="33" w:name="_Toc17233325"/>
      <w:bookmarkStart w:id="34" w:name="_Toc26718930"/>
      <w:bookmarkStart w:id="35" w:name="_Toc199844081"/>
      <w:bookmarkStart w:id="36" w:name="_Toc26986771"/>
      <w:bookmarkStart w:id="37" w:name="_Toc26986530"/>
      <w:bookmarkStart w:id="38" w:name="_Toc24884218"/>
      <w:bookmarkStart w:id="39" w:name="_Toc97192964"/>
      <w:bookmarkStart w:id="40" w:name="_Toc15459"/>
      <w:r>
        <w:rPr>
          <w:rFonts w:hint="eastAsia"/>
        </w:rPr>
        <w:t>范围</w:t>
      </w:r>
      <w:bookmarkEnd w:id="30"/>
      <w:bookmarkEnd w:id="31"/>
      <w:bookmarkEnd w:id="32"/>
      <w:bookmarkEnd w:id="33"/>
      <w:bookmarkEnd w:id="34"/>
      <w:bookmarkEnd w:id="35"/>
      <w:bookmarkEnd w:id="36"/>
      <w:bookmarkEnd w:id="37"/>
      <w:bookmarkEnd w:id="38"/>
      <w:bookmarkEnd w:id="39"/>
      <w:bookmarkEnd w:id="40"/>
    </w:p>
    <w:p w14:paraId="260630AF">
      <w:pPr>
        <w:pStyle w:val="56"/>
        <w:ind w:firstLine="420"/>
        <w:rPr>
          <w:rFonts w:hint="eastAsia"/>
          <w:highlight w:val="none"/>
          <w:lang w:eastAsia="zh-CN"/>
        </w:rPr>
      </w:pPr>
      <w:bookmarkStart w:id="41" w:name="_Toc24884219"/>
      <w:bookmarkStart w:id="42" w:name="_Toc97192965"/>
      <w:bookmarkStart w:id="43" w:name="_Toc26718931"/>
      <w:bookmarkStart w:id="44" w:name="_Toc26986531"/>
      <w:bookmarkStart w:id="45" w:name="_Toc26648466"/>
      <w:bookmarkStart w:id="46" w:name="_Toc199844082"/>
      <w:bookmarkStart w:id="47" w:name="_Toc26986772"/>
      <w:bookmarkStart w:id="48" w:name="_Toc24884212"/>
      <w:bookmarkStart w:id="49" w:name="_Toc17233326"/>
      <w:bookmarkStart w:id="50" w:name="_Toc17233334"/>
      <w:r>
        <w:rPr>
          <w:rFonts w:hint="eastAsia"/>
          <w:highlight w:val="none"/>
          <w:lang w:eastAsia="zh-CN"/>
        </w:rPr>
        <w:t>本文件规定了 12kV 环网箱（以下简称 “环网箱”）的术语和定义、技术要求、试验方法、检验规则及标志、包装、运输和储存。</w:t>
      </w:r>
    </w:p>
    <w:p w14:paraId="01116126">
      <w:pPr>
        <w:pStyle w:val="56"/>
        <w:ind w:firstLine="420"/>
      </w:pPr>
      <w:r>
        <w:rPr>
          <w:rFonts w:hint="eastAsia"/>
          <w:highlight w:val="none"/>
          <w:lang w:eastAsia="zh-CN"/>
        </w:rPr>
        <w:t>本文件适用于额定电压 12kV、额定频率 50Hz的交流金属封闭环网箱。</w:t>
      </w:r>
    </w:p>
    <w:p w14:paraId="5059402F">
      <w:pPr>
        <w:pStyle w:val="105"/>
        <w:spacing w:before="240" w:after="240"/>
      </w:pPr>
      <w:bookmarkStart w:id="51" w:name="_Toc24107"/>
      <w:r>
        <w:rPr>
          <w:rFonts w:hint="eastAsia"/>
        </w:rPr>
        <w:t>规范性引用文件</w:t>
      </w:r>
      <w:bookmarkEnd w:id="41"/>
      <w:bookmarkEnd w:id="42"/>
      <w:bookmarkEnd w:id="43"/>
      <w:bookmarkEnd w:id="44"/>
      <w:bookmarkEnd w:id="45"/>
      <w:bookmarkEnd w:id="46"/>
      <w:bookmarkEnd w:id="47"/>
      <w:bookmarkEnd w:id="48"/>
      <w:bookmarkEnd w:id="49"/>
      <w:bookmarkEnd w:id="50"/>
      <w:bookmarkEnd w:id="51"/>
    </w:p>
    <w:sdt>
      <w:sdtPr>
        <w:rPr>
          <w:rFonts w:hint="eastAsia"/>
        </w:rPr>
        <w:id w:val="715848253"/>
        <w:placeholder>
          <w:docPart w:val="FF0054CC84D048C2BFA2F4572D65DF65"/>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DBA1BA2">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A990E4C">
      <w:pPr>
        <w:pStyle w:val="56"/>
        <w:ind w:firstLine="420"/>
        <w:rPr>
          <w:rFonts w:hint="eastAsia"/>
          <w:highlight w:val="none"/>
        </w:rPr>
      </w:pPr>
      <w:bookmarkStart w:id="52" w:name="OLE_LINK1"/>
      <w:r>
        <w:rPr>
          <w:rFonts w:hint="eastAsia"/>
          <w:highlight w:val="none"/>
        </w:rPr>
        <w:t>GB/T 3906 3.6 kV</w:t>
      </w:r>
      <w:r>
        <w:rPr>
          <w:rFonts w:hint="default" w:ascii="Times New Roman" w:hAnsi="Times New Roman" w:cs="Times New Roman"/>
          <w:highlight w:val="none"/>
        </w:rPr>
        <w:t>~</w:t>
      </w:r>
      <w:r>
        <w:rPr>
          <w:rFonts w:hint="eastAsia"/>
          <w:highlight w:val="none"/>
        </w:rPr>
        <w:t>40.5 kV交流金属封闭开关设备和控制设备</w:t>
      </w:r>
    </w:p>
    <w:p w14:paraId="7F5F93AE">
      <w:pPr>
        <w:pStyle w:val="56"/>
        <w:ind w:firstLine="420"/>
        <w:rPr>
          <w:rFonts w:hint="eastAsia"/>
          <w:highlight w:val="none"/>
        </w:rPr>
      </w:pPr>
      <w:r>
        <w:rPr>
          <w:rFonts w:hint="eastAsia"/>
          <w:highlight w:val="none"/>
        </w:rPr>
        <w:t>GB/T 4208 外壳防护等级（IP代码）</w:t>
      </w:r>
    </w:p>
    <w:p w14:paraId="7D714B69">
      <w:pPr>
        <w:pStyle w:val="56"/>
        <w:ind w:firstLine="420"/>
        <w:rPr>
          <w:rFonts w:hint="eastAsia"/>
          <w:highlight w:val="none"/>
        </w:rPr>
      </w:pPr>
      <w:r>
        <w:rPr>
          <w:rFonts w:hint="eastAsia"/>
          <w:highlight w:val="none"/>
        </w:rPr>
        <w:t>GB/T 11032 交流无间隙金属氧化物避雷器</w:t>
      </w:r>
    </w:p>
    <w:p w14:paraId="0B93C654">
      <w:pPr>
        <w:pStyle w:val="56"/>
        <w:ind w:firstLine="420"/>
        <w:rPr>
          <w:rFonts w:hint="eastAsia"/>
          <w:highlight w:val="none"/>
        </w:rPr>
      </w:pPr>
      <w:r>
        <w:rPr>
          <w:rFonts w:hint="eastAsia"/>
          <w:highlight w:val="none"/>
        </w:rPr>
        <w:t>GB/T 16927.1 高电压试验技术 第1部分：一般定义及试验要求</w:t>
      </w:r>
    </w:p>
    <w:p w14:paraId="7D95131C">
      <w:pPr>
        <w:pStyle w:val="56"/>
        <w:ind w:firstLine="420"/>
        <w:rPr>
          <w:rFonts w:hint="eastAsia"/>
          <w:highlight w:val="none"/>
        </w:rPr>
      </w:pPr>
      <w:r>
        <w:rPr>
          <w:rFonts w:hint="eastAsia"/>
          <w:highlight w:val="none"/>
        </w:rPr>
        <w:t>GB/T 20840.2 互感器 第2部分：电流互感器的补充技术要求</w:t>
      </w:r>
    </w:p>
    <w:p w14:paraId="2F9C0940">
      <w:pPr>
        <w:pStyle w:val="56"/>
        <w:ind w:firstLine="420"/>
        <w:rPr>
          <w:rFonts w:hint="eastAsia"/>
          <w:highlight w:val="none"/>
        </w:rPr>
      </w:pPr>
      <w:r>
        <w:rPr>
          <w:rFonts w:hint="eastAsia"/>
          <w:highlight w:val="none"/>
        </w:rPr>
        <w:t>GB/T 20840.15 互感器 第 15 部分：直流电压互感器的补充技术要求</w:t>
      </w:r>
    </w:p>
    <w:p w14:paraId="6F302FE4">
      <w:pPr>
        <w:pStyle w:val="56"/>
        <w:ind w:firstLine="420"/>
        <w:rPr>
          <w:rFonts w:hint="eastAsia"/>
          <w:highlight w:val="none"/>
        </w:rPr>
      </w:pPr>
      <w:r>
        <w:rPr>
          <w:rFonts w:hint="eastAsia"/>
          <w:highlight w:val="none"/>
        </w:rPr>
        <w:t>DL/T 721 配电自动化终端技术规范</w:t>
      </w:r>
    </w:p>
    <w:p w14:paraId="2ECF63D0">
      <w:pPr>
        <w:pStyle w:val="56"/>
        <w:ind w:firstLine="420"/>
        <w:rPr>
          <w:rFonts w:hint="eastAsia"/>
          <w:highlight w:val="none"/>
        </w:rPr>
      </w:pPr>
      <w:r>
        <w:rPr>
          <w:rFonts w:hint="eastAsia"/>
          <w:highlight w:val="none"/>
        </w:rPr>
        <w:t>DL/T 2805 12kV 一二次融合环网 箱</w:t>
      </w:r>
    </w:p>
    <w:bookmarkEnd w:id="52"/>
    <w:p w14:paraId="6A285AF5">
      <w:pPr>
        <w:pStyle w:val="105"/>
        <w:spacing w:before="240" w:after="240"/>
      </w:pPr>
      <w:bookmarkStart w:id="53" w:name="_Toc97192966"/>
      <w:bookmarkStart w:id="54" w:name="_Toc199844083"/>
      <w:bookmarkStart w:id="55" w:name="_Toc8014"/>
      <w:r>
        <w:rPr>
          <w:rFonts w:hint="eastAsia"/>
          <w:szCs w:val="21"/>
        </w:rPr>
        <w:t>术语和定义</w:t>
      </w:r>
      <w:bookmarkEnd w:id="53"/>
      <w:bookmarkEnd w:id="54"/>
      <w:bookmarkEnd w:id="55"/>
    </w:p>
    <w:sdt>
      <w:sdtPr>
        <w:rPr>
          <w:rFonts w:hint="eastAsia"/>
        </w:rPr>
        <w:id w:val="-1"/>
        <w:placeholder>
          <w:docPart w:val="BE3737DD1D8843BEAE6237A2BC53666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178296D9">
          <w:pPr>
            <w:pStyle w:val="56"/>
            <w:ind w:firstLine="420"/>
            <w:rPr>
              <w:rFonts w:hint="eastAsia"/>
              <w:lang w:val="en-US" w:eastAsia="zh-CN"/>
            </w:rPr>
          </w:pPr>
          <w:bookmarkStart w:id="56" w:name="_Toc26986532"/>
          <w:bookmarkEnd w:id="56"/>
          <w:r>
            <w:rPr>
              <w:rFonts w:hint="eastAsia" w:ascii="宋体" w:hAnsi="Times New Roman" w:eastAsia="宋体" w:cs="Times New Roman"/>
              <w:sz w:val="21"/>
              <w:lang w:val="en-US" w:eastAsia="zh-CN" w:bidi="ar-SA"/>
            </w:rPr>
            <w:t>本文件没有需要界定的术语和定义。</w:t>
          </w:r>
        </w:p>
      </w:sdtContent>
    </w:sdt>
    <w:p w14:paraId="74227320">
      <w:pPr>
        <w:pStyle w:val="105"/>
        <w:spacing w:before="326" w:after="326"/>
        <w:rPr>
          <w:rFonts w:hint="eastAsia"/>
        </w:rPr>
      </w:pPr>
      <w:bookmarkStart w:id="57" w:name="_Toc32674"/>
      <w:bookmarkStart w:id="58" w:name="_Toc199844084"/>
      <w:r>
        <w:rPr>
          <w:rFonts w:hint="eastAsia"/>
          <w:lang w:val="en-US" w:eastAsia="zh-CN"/>
        </w:rPr>
        <w:t>使用条件</w:t>
      </w:r>
      <w:bookmarkEnd w:id="57"/>
    </w:p>
    <w:p w14:paraId="06D646DC">
      <w:pPr>
        <w:pStyle w:val="66"/>
        <w:rPr>
          <w:rFonts w:hint="eastAsia"/>
          <w:lang w:val="en-US" w:eastAsia="zh-CN"/>
        </w:rPr>
      </w:pPr>
      <w:r>
        <w:rPr>
          <w:rFonts w:hint="eastAsia"/>
          <w:lang w:val="en-US" w:eastAsia="zh-CN"/>
        </w:rPr>
        <w:t>产品在满足下列使用条件时，应保证正常运行：</w:t>
      </w:r>
    </w:p>
    <w:p w14:paraId="420C26C8">
      <w:pPr>
        <w:pStyle w:val="175"/>
        <w:bidi w:val="0"/>
        <w:ind w:left="851" w:leftChars="0" w:hanging="426" w:firstLineChars="0"/>
        <w:rPr>
          <w:rFonts w:hint="default"/>
          <w:lang w:val="en-US" w:eastAsia="zh-CN"/>
        </w:rPr>
      </w:pPr>
      <w:r>
        <w:rPr>
          <w:rFonts w:hint="eastAsia"/>
          <w:lang w:val="en-US" w:eastAsia="zh-CN"/>
        </w:rPr>
        <w:t>环境温度：﹣25℃</w:t>
      </w:r>
      <w:r>
        <w:rPr>
          <w:rFonts w:hint="default" w:ascii="Times New Roman" w:hAnsi="Times New Roman" w:cs="Times New Roman"/>
          <w:lang w:val="en-US" w:eastAsia="zh-CN"/>
        </w:rPr>
        <w:t>~</w:t>
      </w:r>
      <w:r>
        <w:rPr>
          <w:rFonts w:hint="eastAsia"/>
          <w:lang w:val="en-US" w:eastAsia="zh-CN"/>
        </w:rPr>
        <w:t>﹢40℃；</w:t>
      </w:r>
    </w:p>
    <w:p w14:paraId="61C805DB">
      <w:pPr>
        <w:pStyle w:val="175"/>
        <w:bidi w:val="0"/>
        <w:ind w:left="851" w:leftChars="0" w:hanging="426" w:firstLineChars="0"/>
        <w:rPr>
          <w:rFonts w:hint="default"/>
          <w:lang w:val="en-US" w:eastAsia="zh-CN"/>
        </w:rPr>
      </w:pPr>
      <w:r>
        <w:rPr>
          <w:rFonts w:hint="default"/>
          <w:lang w:val="en-US" w:eastAsia="zh-CN"/>
        </w:rPr>
        <w:t>海拔高度：不超过1000m</w:t>
      </w:r>
      <w:r>
        <w:rPr>
          <w:rFonts w:hint="eastAsia"/>
          <w:lang w:val="en-US" w:eastAsia="zh-CN"/>
        </w:rPr>
        <w:t>；</w:t>
      </w:r>
    </w:p>
    <w:p w14:paraId="7A13F013">
      <w:pPr>
        <w:pStyle w:val="175"/>
        <w:bidi w:val="0"/>
        <w:ind w:left="851" w:leftChars="0" w:hanging="426" w:firstLineChars="0"/>
        <w:rPr>
          <w:rFonts w:hint="default"/>
          <w:lang w:val="en-US" w:eastAsia="zh-CN"/>
        </w:rPr>
      </w:pPr>
      <w:r>
        <w:rPr>
          <w:rFonts w:hint="default"/>
          <w:lang w:val="en-US" w:eastAsia="zh-CN"/>
        </w:rPr>
        <w:t>环境湿度：不大于90%</w:t>
      </w:r>
      <w:r>
        <w:rPr>
          <w:rFonts w:hint="eastAsia"/>
          <w:lang w:val="en-US" w:eastAsia="zh-CN"/>
        </w:rPr>
        <w:t>（25℃条件下）；</w:t>
      </w:r>
    </w:p>
    <w:p w14:paraId="2DAD9968">
      <w:pPr>
        <w:pStyle w:val="175"/>
        <w:bidi w:val="0"/>
        <w:ind w:left="851" w:leftChars="0" w:hanging="426" w:firstLineChars="0"/>
        <w:rPr>
          <w:rFonts w:hint="default"/>
          <w:lang w:val="en-US" w:eastAsia="zh-CN"/>
        </w:rPr>
      </w:pPr>
      <w:r>
        <w:rPr>
          <w:rFonts w:hint="eastAsia"/>
          <w:lang w:val="en-US" w:eastAsia="zh-CN"/>
        </w:rPr>
        <w:t>户外环境污秽等级：不低于</w:t>
      </w:r>
      <w:r>
        <w:rPr>
          <w:rFonts w:hint="eastAsia" w:ascii="宋体" w:hAnsi="宋体" w:eastAsia="宋体" w:cs="宋体"/>
          <w:lang w:val="en-US" w:eastAsia="zh-CN"/>
        </w:rPr>
        <w:t>Ⅲ</w:t>
      </w:r>
      <w:r>
        <w:rPr>
          <w:rFonts w:hint="eastAsia" w:hAnsi="宋体" w:cs="宋体"/>
          <w:lang w:val="en-US" w:eastAsia="zh-CN"/>
        </w:rPr>
        <w:t>级</w:t>
      </w:r>
      <w:r>
        <w:rPr>
          <w:rFonts w:hint="eastAsia"/>
          <w:lang w:val="en-US" w:eastAsia="zh-CN"/>
        </w:rPr>
        <w:t>。</w:t>
      </w:r>
    </w:p>
    <w:p w14:paraId="3787B65E">
      <w:pPr>
        <w:pStyle w:val="105"/>
        <w:spacing w:before="326" w:after="326"/>
        <w:rPr>
          <w:rFonts w:hint="eastAsia"/>
        </w:rPr>
      </w:pPr>
      <w:bookmarkStart w:id="59" w:name="_Toc28130"/>
      <w:r>
        <w:rPr>
          <w:rFonts w:hint="eastAsia"/>
          <w:lang w:val="en-US" w:eastAsia="zh-CN"/>
        </w:rPr>
        <w:t>技术要求</w:t>
      </w:r>
      <w:bookmarkEnd w:id="59"/>
    </w:p>
    <w:p w14:paraId="6637B120">
      <w:pPr>
        <w:pStyle w:val="106"/>
        <w:bidi w:val="0"/>
        <w:rPr>
          <w:rFonts w:hint="eastAsia"/>
          <w:lang w:val="en-US" w:eastAsia="zh-CN"/>
        </w:rPr>
      </w:pPr>
      <w:r>
        <w:rPr>
          <w:rFonts w:hint="eastAsia"/>
          <w:lang w:val="en-US" w:eastAsia="zh-CN"/>
        </w:rPr>
        <w:t>柜体结构</w:t>
      </w:r>
    </w:p>
    <w:p w14:paraId="089EDA7E">
      <w:pPr>
        <w:pStyle w:val="166"/>
        <w:bidi w:val="0"/>
        <w:rPr>
          <w:rFonts w:hint="eastAsia"/>
          <w:lang w:val="en-US" w:eastAsia="zh-CN"/>
        </w:rPr>
      </w:pPr>
      <w:r>
        <w:rPr>
          <w:rFonts w:hint="eastAsia"/>
          <w:lang w:val="en-US" w:eastAsia="zh-CN"/>
        </w:rPr>
        <w:t>柜体应采用2mm 厚敷铝锌板或冷轧板喷塑铆接成型，柜体表面涂层均匀、无流挂、无剥落、无锈蚀。</w:t>
      </w:r>
    </w:p>
    <w:p w14:paraId="7F1F43A6">
      <w:pPr>
        <w:pStyle w:val="166"/>
        <w:bidi w:val="0"/>
        <w:rPr>
          <w:rFonts w:hint="eastAsia"/>
          <w:lang w:val="en-US" w:eastAsia="zh-CN"/>
        </w:rPr>
      </w:pPr>
      <w:r>
        <w:rPr>
          <w:rFonts w:hint="eastAsia"/>
          <w:lang w:val="en-US" w:eastAsia="zh-CN"/>
        </w:rPr>
        <w:t>柜体应采用金属封闭、间隔式结构，至少划分为母线室、电缆室、机构小室等独立隔室，各隔室之间应具备可靠的分隔与密封。</w:t>
      </w:r>
    </w:p>
    <w:p w14:paraId="4A5DEA99">
      <w:pPr>
        <w:pStyle w:val="166"/>
        <w:bidi w:val="0"/>
        <w:rPr>
          <w:rFonts w:hint="eastAsia"/>
          <w:lang w:val="en-US" w:eastAsia="zh-CN"/>
        </w:rPr>
      </w:pPr>
      <w:r>
        <w:rPr>
          <w:rFonts w:hint="eastAsia"/>
          <w:lang w:val="en-US" w:eastAsia="zh-CN"/>
        </w:rPr>
        <w:t>柜体后部应设置电缆室、母线室独立压力释放装置，压力释放通道应指向非操作人员活动区域，并明确安全距离与警示标识。</w:t>
      </w:r>
    </w:p>
    <w:p w14:paraId="75044FBA">
      <w:pPr>
        <w:pStyle w:val="166"/>
        <w:bidi w:val="0"/>
        <w:rPr>
          <w:rFonts w:hint="eastAsia"/>
          <w:lang w:val="en-US" w:eastAsia="zh-CN"/>
        </w:rPr>
      </w:pPr>
      <w:r>
        <w:rPr>
          <w:rFonts w:hint="eastAsia"/>
          <w:lang w:val="en-US" w:eastAsia="zh-CN"/>
        </w:rPr>
        <w:t>柜体应设置专用、可靠的接地连接装置，接地端子应有清晰、耐久的接地标识，接地连接满足载流及热稳定要求。</w:t>
      </w:r>
    </w:p>
    <w:p w14:paraId="3D800C21">
      <w:pPr>
        <w:pStyle w:val="166"/>
        <w:bidi w:val="0"/>
        <w:rPr>
          <w:rFonts w:hint="eastAsia"/>
          <w:lang w:val="en-US" w:eastAsia="zh-CN"/>
        </w:rPr>
      </w:pPr>
      <w:r>
        <w:rPr>
          <w:rFonts w:hint="eastAsia"/>
          <w:lang w:val="en-US" w:eastAsia="zh-CN"/>
        </w:rPr>
        <w:t>柜体应预留电缆进出线、互感器安装、自动化终端集成、运维检修的合理空间，便于电缆施工、元件更换、状态巡视及试验检测。</w:t>
      </w:r>
    </w:p>
    <w:p w14:paraId="2F7C7A6F">
      <w:pPr>
        <w:pStyle w:val="166"/>
        <w:bidi w:val="0"/>
        <w:rPr>
          <w:rFonts w:hint="eastAsia"/>
          <w:lang w:val="en-US" w:eastAsia="zh-CN"/>
        </w:rPr>
      </w:pPr>
      <w:r>
        <w:rPr>
          <w:rFonts w:hint="eastAsia"/>
          <w:lang w:val="en-US" w:eastAsia="zh-CN"/>
        </w:rPr>
        <w:t>柜体结构及元器件布置应便于即插即用式二次模块安装与更换，更换过程不应影响一次设备正常运行，也无需专用软件进行复杂配置。</w:t>
      </w:r>
    </w:p>
    <w:p w14:paraId="6B124D1A">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绝缘性能</w:t>
      </w:r>
    </w:p>
    <w:p w14:paraId="4A02B828">
      <w:pPr>
        <w:pStyle w:val="65"/>
        <w:bidi w:val="0"/>
        <w:rPr>
          <w:rFonts w:hint="eastAsia"/>
          <w:lang w:val="en-US" w:eastAsia="zh-CN"/>
        </w:rPr>
      </w:pPr>
      <w:r>
        <w:rPr>
          <w:rFonts w:hint="eastAsia"/>
          <w:lang w:val="en-US" w:eastAsia="zh-CN"/>
        </w:rPr>
        <w:t>工频耐受电压</w:t>
      </w:r>
    </w:p>
    <w:p w14:paraId="6B65351C">
      <w:pPr>
        <w:pStyle w:val="165"/>
        <w:bidi w:val="0"/>
        <w:rPr>
          <w:rFonts w:hint="eastAsia"/>
          <w:lang w:val="en-US" w:eastAsia="zh-CN"/>
        </w:rPr>
      </w:pPr>
      <w:r>
        <w:rPr>
          <w:rFonts w:hint="eastAsia"/>
          <w:lang w:val="en-US" w:eastAsia="zh-CN"/>
        </w:rPr>
        <w:t>对设备相间、对地部位施加 42kV 工频试验电压，持续耐压 1min；试验全过程不得发生击穿、闪络及破坏性放电现象，绝缘结构不应出现烧焦、开裂、冒烟等异常状况及永久性损伤。</w:t>
      </w:r>
    </w:p>
    <w:p w14:paraId="67EBB379">
      <w:pPr>
        <w:pStyle w:val="165"/>
        <w:bidi w:val="0"/>
        <w:rPr>
          <w:rFonts w:hint="eastAsia" w:ascii="宋体" w:hAnsi="Times New Roman" w:eastAsia="宋体" w:cs="Times New Roman"/>
          <w:sz w:val="21"/>
          <w:szCs w:val="20"/>
          <w:lang w:val="en-US" w:eastAsia="zh-CN" w:bidi="ar-SA"/>
        </w:rPr>
      </w:pPr>
      <w:r>
        <w:rPr>
          <w:rFonts w:hint="eastAsia" w:ascii="宋体" w:hAnsi="Times New Roman" w:eastAsia="宋体" w:cs="Times New Roman"/>
          <w:sz w:val="21"/>
          <w:szCs w:val="20"/>
          <w:lang w:val="en-US" w:eastAsia="zh-CN" w:bidi="ar-SA"/>
        </w:rPr>
        <w:t>对断口部位施加 48kV 工频试验电压，持续耐压 1min；试验全过程不得发生击穿、闪络及破坏性放电现象，绝缘结构不应出现烧焦、开裂、冒烟等异常状况及永久性损伤。</w:t>
      </w:r>
    </w:p>
    <w:p w14:paraId="09E15EEA">
      <w:pPr>
        <w:pStyle w:val="65"/>
        <w:bidi w:val="0"/>
        <w:rPr>
          <w:rFonts w:hint="eastAsia"/>
          <w:lang w:val="en-US" w:eastAsia="zh-CN"/>
        </w:rPr>
      </w:pPr>
      <w:r>
        <w:rPr>
          <w:rFonts w:hint="eastAsia"/>
          <w:lang w:val="en-US" w:eastAsia="zh-CN"/>
        </w:rPr>
        <w:t>雷电冲击耐受电压</w:t>
      </w:r>
    </w:p>
    <w:p w14:paraId="7FA264B3">
      <w:pPr>
        <w:pStyle w:val="165"/>
        <w:bidi w:val="0"/>
        <w:rPr>
          <w:rFonts w:hint="eastAsia"/>
          <w:lang w:val="en-US" w:eastAsia="zh-CN"/>
        </w:rPr>
      </w:pPr>
      <w:r>
        <w:rPr>
          <w:rFonts w:hint="eastAsia"/>
          <w:lang w:val="en-US" w:eastAsia="zh-CN"/>
        </w:rPr>
        <w:t>采用 1.2/50μs 额定雷电冲击全波波形开展试验，对设备相间、对地部位施加 75kV 标准雷电冲击耐受电压，试验全过程不应发生击穿、闪络、沿面放电及破坏性放电现象，设备绝缘结构、导电部件、外壳及密封结构不得出现烧焦、开裂、变形、破损等异常现象及永久性损伤，试验后设备各项运行性能应完好正常。</w:t>
      </w:r>
    </w:p>
    <w:p w14:paraId="47242FB6">
      <w:pPr>
        <w:pStyle w:val="165"/>
        <w:bidi w:val="0"/>
        <w:rPr>
          <w:rFonts w:hint="eastAsia"/>
          <w:lang w:val="en-US" w:eastAsia="zh-CN"/>
        </w:rPr>
      </w:pPr>
      <w:r>
        <w:rPr>
          <w:rFonts w:hint="eastAsia"/>
          <w:lang w:val="en-US" w:eastAsia="zh-CN"/>
        </w:rPr>
        <w:t>采用 1.2/50μs 额定雷电冲击全波波形开展试验，对断口部位施加 85kV 标准雷电冲击耐受电压，试验全过程不应发生击穿、闪络、沿面放电及破坏性放电现象，设备绝缘结构、导电部件、外壳及密封结构不得出现烧焦、开裂、变形、破损等异常现象及永久性损伤，试验后设备各项运行性能应完好正常。</w:t>
      </w:r>
    </w:p>
    <w:p w14:paraId="46C19877">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短路性能</w:t>
      </w:r>
    </w:p>
    <w:p w14:paraId="2E8AE81B">
      <w:pPr>
        <w:pStyle w:val="166"/>
        <w:bidi w:val="0"/>
        <w:rPr>
          <w:rFonts w:hint="eastAsia"/>
          <w:lang w:val="en-US" w:eastAsia="zh-CN"/>
        </w:rPr>
      </w:pPr>
      <w:r>
        <w:rPr>
          <w:rFonts w:hint="eastAsia"/>
          <w:lang w:val="en-US" w:eastAsia="zh-CN"/>
        </w:rPr>
        <w:t>额定短路关合电流有效值不应小于 50 kA。</w:t>
      </w:r>
    </w:p>
    <w:p w14:paraId="7A6AE44C">
      <w:pPr>
        <w:pStyle w:val="166"/>
        <w:bidi w:val="0"/>
        <w:rPr>
          <w:rFonts w:hint="eastAsia"/>
          <w:lang w:val="en-US" w:eastAsia="zh-CN"/>
        </w:rPr>
      </w:pPr>
      <w:r>
        <w:rPr>
          <w:rFonts w:hint="eastAsia"/>
          <w:lang w:val="en-US" w:eastAsia="zh-CN"/>
        </w:rPr>
        <w:t>额定峰值耐受电流不应小于 50 kA。</w:t>
      </w:r>
    </w:p>
    <w:p w14:paraId="6BECCA8B">
      <w:pPr>
        <w:pStyle w:val="166"/>
        <w:bidi w:val="0"/>
        <w:rPr>
          <w:rFonts w:hint="eastAsia"/>
          <w:lang w:val="en-US" w:eastAsia="zh-CN"/>
        </w:rPr>
      </w:pPr>
      <w:r>
        <w:rPr>
          <w:rFonts w:hint="eastAsia"/>
          <w:lang w:val="en-US" w:eastAsia="zh-CN"/>
        </w:rPr>
        <w:t>额定短时耐受电流有效值不应小于 20 kA，额定短时持续耐受时间为 3 s，在规定试验条件下，设备应能承受短时短路电流热效应与电动力作用，无变形、损坏及绝缘劣化现象。</w:t>
      </w:r>
    </w:p>
    <w:p w14:paraId="454A751C">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主回路电阻</w:t>
      </w:r>
    </w:p>
    <w:p w14:paraId="31F4EB54">
      <w:pPr>
        <w:pStyle w:val="66"/>
        <w:rPr>
          <w:rFonts w:hint="default"/>
          <w:lang w:val="en-US" w:eastAsia="zh-CN"/>
        </w:rPr>
      </w:pPr>
      <w:r>
        <w:rPr>
          <w:rFonts w:hint="eastAsia"/>
          <w:lang w:val="en-US" w:eastAsia="zh-CN"/>
        </w:rPr>
        <w:t>主回路电阻应≤300μΩ。</w:t>
      </w:r>
    </w:p>
    <w:p w14:paraId="2C873071">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核心元器件要求</w:t>
      </w:r>
    </w:p>
    <w:p w14:paraId="438BBD41">
      <w:pPr>
        <w:pStyle w:val="65"/>
        <w:bidi w:val="0"/>
        <w:rPr>
          <w:rFonts w:hint="eastAsia"/>
          <w:lang w:val="en-US" w:eastAsia="zh-CN"/>
        </w:rPr>
      </w:pPr>
      <w:r>
        <w:rPr>
          <w:rFonts w:hint="eastAsia"/>
          <w:lang w:val="en-US" w:eastAsia="zh-CN"/>
        </w:rPr>
        <w:t>电流互感器</w:t>
      </w:r>
    </w:p>
    <w:p w14:paraId="0EE34CA3">
      <w:pPr>
        <w:pStyle w:val="66"/>
        <w:rPr>
          <w:rFonts w:hint="eastAsia"/>
          <w:lang w:val="en-US" w:eastAsia="zh-CN"/>
        </w:rPr>
      </w:pPr>
      <w:r>
        <w:rPr>
          <w:rFonts w:hint="eastAsia"/>
          <w:lang w:val="en-US" w:eastAsia="zh-CN"/>
        </w:rPr>
        <w:t>电流互感器应满足表1要求。</w:t>
      </w:r>
    </w:p>
    <w:p w14:paraId="7A86B0ED">
      <w:pPr>
        <w:pStyle w:val="113"/>
        <w:bidi w:val="0"/>
        <w:rPr>
          <w:rFonts w:hint="eastAsia"/>
          <w:lang w:val="en-US" w:eastAsia="zh-CN"/>
        </w:rPr>
      </w:pPr>
      <w:r>
        <w:rPr>
          <w:rFonts w:hint="eastAsia"/>
          <w:lang w:val="en-US" w:eastAsia="zh-CN"/>
        </w:rPr>
        <w:t>电流互感器技术要求</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1"/>
        <w:gridCol w:w="2394"/>
        <w:gridCol w:w="4785"/>
      </w:tblGrid>
      <w:tr w14:paraId="028DB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gridSpan w:val="2"/>
            <w:vAlign w:val="center"/>
          </w:tcPr>
          <w:p w14:paraId="03B857BE">
            <w:pPr>
              <w:pStyle w:val="66"/>
              <w:ind w:left="0" w:leftChars="0" w:firstLine="0" w:firstLineChars="0"/>
              <w:jc w:val="center"/>
              <w:rPr>
                <w:rFonts w:hint="default"/>
                <w:vertAlign w:val="baseline"/>
                <w:lang w:val="en-US" w:eastAsia="zh-CN"/>
              </w:rPr>
            </w:pPr>
            <w:r>
              <w:rPr>
                <w:rFonts w:hint="eastAsia"/>
                <w:vertAlign w:val="baseline"/>
                <w:lang w:val="en-US" w:eastAsia="zh-CN"/>
              </w:rPr>
              <w:t>名称</w:t>
            </w:r>
          </w:p>
        </w:tc>
        <w:tc>
          <w:tcPr>
            <w:tcW w:w="2500" w:type="pct"/>
            <w:vAlign w:val="center"/>
          </w:tcPr>
          <w:p w14:paraId="03A0175E">
            <w:pPr>
              <w:pStyle w:val="66"/>
              <w:ind w:left="0" w:leftChars="0" w:firstLine="0" w:firstLineChars="0"/>
              <w:jc w:val="center"/>
              <w:rPr>
                <w:rFonts w:hint="default"/>
                <w:vertAlign w:val="baseline"/>
                <w:lang w:val="en-US" w:eastAsia="zh-CN"/>
              </w:rPr>
            </w:pPr>
            <w:r>
              <w:rPr>
                <w:rFonts w:hint="eastAsia"/>
                <w:vertAlign w:val="baseline"/>
                <w:lang w:val="en-US" w:eastAsia="zh-CN"/>
              </w:rPr>
              <w:t>技术要求</w:t>
            </w:r>
          </w:p>
        </w:tc>
      </w:tr>
      <w:tr w14:paraId="11D14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9" w:type="pct"/>
            <w:vMerge w:val="restart"/>
            <w:vAlign w:val="center"/>
          </w:tcPr>
          <w:p w14:paraId="5C0CA53D">
            <w:pPr>
              <w:pStyle w:val="66"/>
              <w:ind w:left="0" w:leftChars="0" w:firstLine="0" w:firstLineChars="0"/>
              <w:jc w:val="center"/>
              <w:rPr>
                <w:rFonts w:hint="default"/>
                <w:vertAlign w:val="baseline"/>
                <w:lang w:val="en-US" w:eastAsia="zh-CN"/>
              </w:rPr>
            </w:pPr>
            <w:r>
              <w:rPr>
                <w:rFonts w:hint="eastAsia"/>
                <w:vertAlign w:val="baseline"/>
                <w:lang w:val="en-US" w:eastAsia="zh-CN"/>
              </w:rPr>
              <w:t>绕组</w:t>
            </w:r>
          </w:p>
        </w:tc>
        <w:tc>
          <w:tcPr>
            <w:tcW w:w="1250" w:type="pct"/>
            <w:vAlign w:val="center"/>
          </w:tcPr>
          <w:p w14:paraId="3CA10016">
            <w:pPr>
              <w:pStyle w:val="66"/>
              <w:ind w:left="0" w:leftChars="0" w:firstLine="0" w:firstLineChars="0"/>
              <w:jc w:val="center"/>
              <w:rPr>
                <w:rFonts w:hint="default"/>
                <w:vertAlign w:val="baseline"/>
                <w:lang w:val="en-US" w:eastAsia="zh-CN"/>
              </w:rPr>
            </w:pPr>
            <w:r>
              <w:rPr>
                <w:rFonts w:hint="eastAsia"/>
                <w:vertAlign w:val="baseline"/>
                <w:lang w:val="en-US" w:eastAsia="zh-CN"/>
              </w:rPr>
              <w:t>额定负荷</w:t>
            </w:r>
          </w:p>
        </w:tc>
        <w:tc>
          <w:tcPr>
            <w:tcW w:w="2500" w:type="pct"/>
            <w:vAlign w:val="center"/>
          </w:tcPr>
          <w:p w14:paraId="57DFAD5D">
            <w:pPr>
              <w:pStyle w:val="66"/>
              <w:ind w:left="0" w:leftChars="0" w:firstLine="0" w:firstLineChars="0"/>
              <w:jc w:val="center"/>
              <w:rPr>
                <w:rFonts w:hint="default"/>
                <w:vertAlign w:val="baseline"/>
                <w:lang w:val="en-US" w:eastAsia="zh-CN"/>
              </w:rPr>
            </w:pPr>
            <w:r>
              <w:rPr>
                <w:rFonts w:hint="eastAsia"/>
                <w:vertAlign w:val="baseline"/>
                <w:lang w:val="en-US" w:eastAsia="zh-CN"/>
              </w:rPr>
              <w:t>≥10</w:t>
            </w:r>
          </w:p>
        </w:tc>
      </w:tr>
      <w:tr w14:paraId="08953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49" w:type="pct"/>
            <w:vMerge w:val="continue"/>
            <w:vAlign w:val="center"/>
          </w:tcPr>
          <w:p w14:paraId="006506AB">
            <w:pPr>
              <w:pStyle w:val="66"/>
              <w:ind w:left="0" w:leftChars="0" w:firstLine="0" w:firstLineChars="0"/>
              <w:jc w:val="center"/>
              <w:rPr>
                <w:rFonts w:hint="eastAsia"/>
                <w:vertAlign w:val="baseline"/>
                <w:lang w:val="en-US" w:eastAsia="zh-CN"/>
              </w:rPr>
            </w:pPr>
          </w:p>
        </w:tc>
        <w:tc>
          <w:tcPr>
            <w:tcW w:w="1250" w:type="pct"/>
            <w:vAlign w:val="center"/>
          </w:tcPr>
          <w:p w14:paraId="5754B2F3">
            <w:pPr>
              <w:pStyle w:val="66"/>
              <w:ind w:left="0" w:leftChars="0" w:firstLine="0" w:firstLineChars="0"/>
              <w:jc w:val="center"/>
              <w:rPr>
                <w:rFonts w:hint="default"/>
                <w:vertAlign w:val="baseline"/>
                <w:lang w:val="en-US" w:eastAsia="zh-CN"/>
              </w:rPr>
            </w:pPr>
            <w:r>
              <w:rPr>
                <w:rFonts w:hint="eastAsia"/>
                <w:vertAlign w:val="baseline"/>
                <w:lang w:val="en-US" w:eastAsia="zh-CN"/>
              </w:rPr>
              <w:t>准确级</w:t>
            </w:r>
          </w:p>
        </w:tc>
        <w:tc>
          <w:tcPr>
            <w:tcW w:w="2500" w:type="pct"/>
            <w:vAlign w:val="center"/>
          </w:tcPr>
          <w:p w14:paraId="0E0A189C">
            <w:pPr>
              <w:pStyle w:val="66"/>
              <w:ind w:left="0" w:leftChars="0" w:firstLine="0" w:firstLineChars="0"/>
              <w:jc w:val="center"/>
              <w:rPr>
                <w:rFonts w:hint="default"/>
                <w:vertAlign w:val="baseline"/>
                <w:lang w:val="en-US" w:eastAsia="zh-CN"/>
              </w:rPr>
            </w:pPr>
            <w:r>
              <w:rPr>
                <w:rFonts w:hint="eastAsia"/>
                <w:vertAlign w:val="baseline"/>
                <w:lang w:val="en-US" w:eastAsia="zh-CN"/>
              </w:rPr>
              <w:t>0.5</w:t>
            </w:r>
          </w:p>
        </w:tc>
      </w:tr>
    </w:tbl>
    <w:p w14:paraId="678B3FC2">
      <w:pPr>
        <w:pStyle w:val="65"/>
        <w:bidi w:val="0"/>
        <w:rPr>
          <w:rFonts w:hint="eastAsia"/>
          <w:lang w:val="en-US" w:eastAsia="zh-CN"/>
        </w:rPr>
      </w:pPr>
      <w:r>
        <w:rPr>
          <w:rFonts w:hint="eastAsia"/>
          <w:lang w:val="en-US" w:eastAsia="zh-CN"/>
        </w:rPr>
        <w:t>电压互感器</w:t>
      </w:r>
    </w:p>
    <w:p w14:paraId="254733B0">
      <w:pPr>
        <w:pStyle w:val="66"/>
        <w:rPr>
          <w:rFonts w:hint="eastAsia"/>
          <w:lang w:val="en-US" w:eastAsia="zh-CN"/>
        </w:rPr>
      </w:pPr>
      <w:r>
        <w:rPr>
          <w:rFonts w:hint="eastAsia"/>
          <w:lang w:val="en-US" w:eastAsia="zh-CN"/>
        </w:rPr>
        <w:t>电压互感器应满足表2要求。</w:t>
      </w:r>
    </w:p>
    <w:p w14:paraId="5EE95C98">
      <w:pPr>
        <w:pStyle w:val="113"/>
        <w:bidi w:val="0"/>
        <w:rPr>
          <w:rFonts w:hint="eastAsia"/>
          <w:lang w:val="en-US" w:eastAsia="zh-CN"/>
        </w:rPr>
      </w:pPr>
      <w:r>
        <w:rPr>
          <w:rFonts w:hint="eastAsia"/>
          <w:lang w:val="en-US" w:eastAsia="zh-CN"/>
        </w:rPr>
        <w:t>电压互感器技术要求</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61"/>
        <w:gridCol w:w="1327"/>
        <w:gridCol w:w="4182"/>
      </w:tblGrid>
      <w:tr w14:paraId="2E620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1" w:type="pct"/>
            <w:vAlign w:val="center"/>
          </w:tcPr>
          <w:p w14:paraId="5FF7ECB9">
            <w:pPr>
              <w:pStyle w:val="66"/>
              <w:ind w:left="0" w:leftChars="0" w:firstLine="0" w:firstLineChars="0"/>
              <w:jc w:val="center"/>
              <w:rPr>
                <w:rFonts w:hint="default"/>
                <w:vertAlign w:val="baseline"/>
                <w:lang w:val="en-US" w:eastAsia="zh-CN"/>
              </w:rPr>
            </w:pPr>
            <w:r>
              <w:rPr>
                <w:rFonts w:hint="eastAsia"/>
                <w:vertAlign w:val="baseline"/>
                <w:lang w:val="en-US" w:eastAsia="zh-CN"/>
              </w:rPr>
              <w:t>名称</w:t>
            </w:r>
          </w:p>
        </w:tc>
        <w:tc>
          <w:tcPr>
            <w:tcW w:w="693" w:type="pct"/>
            <w:vAlign w:val="center"/>
          </w:tcPr>
          <w:p w14:paraId="230A888A">
            <w:pPr>
              <w:pStyle w:val="66"/>
              <w:ind w:left="0" w:leftChars="0" w:firstLine="0" w:firstLineChars="0"/>
              <w:jc w:val="center"/>
              <w:rPr>
                <w:rFonts w:hint="default"/>
                <w:vertAlign w:val="baseline"/>
                <w:lang w:val="en-US" w:eastAsia="zh-CN"/>
              </w:rPr>
            </w:pPr>
            <w:r>
              <w:rPr>
                <w:rFonts w:hint="eastAsia"/>
                <w:vertAlign w:val="baseline"/>
                <w:lang w:val="en-US" w:eastAsia="zh-CN"/>
              </w:rPr>
              <w:t>单位</w:t>
            </w:r>
          </w:p>
        </w:tc>
        <w:tc>
          <w:tcPr>
            <w:tcW w:w="2184" w:type="pct"/>
            <w:vAlign w:val="center"/>
          </w:tcPr>
          <w:p w14:paraId="5401019D">
            <w:pPr>
              <w:pStyle w:val="66"/>
              <w:ind w:left="0" w:leftChars="0" w:firstLine="0" w:firstLineChars="0"/>
              <w:jc w:val="center"/>
              <w:rPr>
                <w:rFonts w:hint="default"/>
                <w:vertAlign w:val="baseline"/>
                <w:lang w:val="en-US" w:eastAsia="zh-CN"/>
              </w:rPr>
            </w:pPr>
            <w:r>
              <w:rPr>
                <w:rFonts w:hint="eastAsia"/>
                <w:vertAlign w:val="baseline"/>
                <w:lang w:val="en-US" w:eastAsia="zh-CN"/>
              </w:rPr>
              <w:t>技术要求</w:t>
            </w:r>
          </w:p>
        </w:tc>
      </w:tr>
      <w:tr w14:paraId="5D5C9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1" w:type="pct"/>
            <w:vAlign w:val="center"/>
          </w:tcPr>
          <w:p w14:paraId="2DEE1042">
            <w:pPr>
              <w:pStyle w:val="66"/>
              <w:ind w:left="0" w:leftChars="0" w:firstLine="0" w:firstLineChars="0"/>
              <w:jc w:val="center"/>
              <w:rPr>
                <w:rFonts w:hint="default"/>
                <w:vertAlign w:val="baseline"/>
                <w:lang w:val="en-US" w:eastAsia="zh-CN"/>
              </w:rPr>
            </w:pPr>
            <w:r>
              <w:rPr>
                <w:rFonts w:hint="eastAsia"/>
                <w:vertAlign w:val="baseline"/>
                <w:lang w:val="en-US" w:eastAsia="zh-CN"/>
              </w:rPr>
              <w:t>额定电压比</w:t>
            </w:r>
          </w:p>
        </w:tc>
        <w:tc>
          <w:tcPr>
            <w:tcW w:w="693" w:type="pct"/>
            <w:vAlign w:val="center"/>
          </w:tcPr>
          <w:p w14:paraId="68FD8871">
            <w:pPr>
              <w:pStyle w:val="66"/>
              <w:ind w:left="0" w:leftChars="0" w:firstLine="0" w:firstLineChars="0"/>
              <w:jc w:val="center"/>
              <w:rPr>
                <w:rFonts w:hint="default"/>
                <w:vertAlign w:val="baseline"/>
                <w:lang w:val="en-US" w:eastAsia="zh-CN"/>
              </w:rPr>
            </w:pPr>
            <w:r>
              <w:rPr>
                <w:rFonts w:hint="eastAsia"/>
                <w:vertAlign w:val="baseline"/>
                <w:lang w:val="en-US" w:eastAsia="zh-CN"/>
              </w:rPr>
              <w:t>kV</w:t>
            </w:r>
          </w:p>
        </w:tc>
        <w:tc>
          <w:tcPr>
            <w:tcW w:w="2184" w:type="pct"/>
            <w:vAlign w:val="center"/>
          </w:tcPr>
          <w:p w14:paraId="15D68FEF">
            <w:pPr>
              <w:pStyle w:val="66"/>
              <w:ind w:left="0" w:leftChars="0" w:firstLine="0" w:firstLineChars="0"/>
              <w:jc w:val="center"/>
              <w:rPr>
                <w:rFonts w:hint="default"/>
                <w:vertAlign w:val="baseline"/>
                <w:lang w:val="en-US" w:eastAsia="zh-CN"/>
              </w:rPr>
            </w:pPr>
            <w:r>
              <w:rPr>
                <w:rFonts w:hint="eastAsia"/>
                <w:vertAlign w:val="baseline"/>
                <w:lang w:val="en-US" w:eastAsia="zh-CN"/>
              </w:rPr>
              <w:t>10/0.1/0.22</w:t>
            </w:r>
          </w:p>
        </w:tc>
      </w:tr>
      <w:tr w14:paraId="44B52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1" w:type="pct"/>
            <w:vAlign w:val="center"/>
          </w:tcPr>
          <w:p w14:paraId="783B857C">
            <w:pPr>
              <w:pStyle w:val="66"/>
              <w:ind w:left="0" w:leftChars="0" w:firstLine="0" w:firstLineChars="0"/>
              <w:jc w:val="center"/>
              <w:rPr>
                <w:rFonts w:hint="default"/>
                <w:vertAlign w:val="baseline"/>
                <w:lang w:val="en-US" w:eastAsia="zh-CN"/>
              </w:rPr>
            </w:pPr>
            <w:r>
              <w:rPr>
                <w:rFonts w:hint="eastAsia"/>
                <w:vertAlign w:val="baseline"/>
                <w:lang w:val="en-US" w:eastAsia="zh-CN"/>
              </w:rPr>
              <w:t>准确级</w:t>
            </w:r>
          </w:p>
        </w:tc>
        <w:tc>
          <w:tcPr>
            <w:tcW w:w="693" w:type="pct"/>
            <w:vAlign w:val="center"/>
          </w:tcPr>
          <w:p w14:paraId="678CA9B5">
            <w:pPr>
              <w:pStyle w:val="66"/>
              <w:ind w:left="0" w:leftChars="0" w:firstLine="0" w:firstLineChars="0"/>
              <w:jc w:val="center"/>
              <w:rPr>
                <w:rFonts w:hint="eastAsia"/>
                <w:vertAlign w:val="baseline"/>
                <w:lang w:val="en-US" w:eastAsia="zh-CN"/>
              </w:rPr>
            </w:pPr>
          </w:p>
        </w:tc>
        <w:tc>
          <w:tcPr>
            <w:tcW w:w="2184" w:type="pct"/>
            <w:vAlign w:val="center"/>
          </w:tcPr>
          <w:p w14:paraId="27B91344">
            <w:pPr>
              <w:pStyle w:val="66"/>
              <w:ind w:left="0" w:leftChars="0" w:firstLine="0" w:firstLineChars="0"/>
              <w:jc w:val="center"/>
              <w:rPr>
                <w:rFonts w:hint="default"/>
                <w:vertAlign w:val="baseline"/>
                <w:lang w:val="en-US" w:eastAsia="zh-CN"/>
              </w:rPr>
            </w:pPr>
            <w:r>
              <w:rPr>
                <w:rFonts w:hint="eastAsia"/>
                <w:vertAlign w:val="baseline"/>
                <w:lang w:val="en-US" w:eastAsia="zh-CN"/>
              </w:rPr>
              <w:t>0.2/0.5</w:t>
            </w:r>
          </w:p>
        </w:tc>
      </w:tr>
      <w:tr w14:paraId="0982A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1" w:type="pct"/>
            <w:vAlign w:val="center"/>
          </w:tcPr>
          <w:p w14:paraId="0F8598E7">
            <w:pPr>
              <w:pStyle w:val="66"/>
              <w:ind w:left="0" w:leftChars="0" w:firstLine="0" w:firstLineChars="0"/>
              <w:jc w:val="center"/>
              <w:rPr>
                <w:rFonts w:hint="default"/>
                <w:vertAlign w:val="baseline"/>
                <w:lang w:val="en-US" w:eastAsia="zh-CN"/>
              </w:rPr>
            </w:pPr>
            <w:r>
              <w:rPr>
                <w:rFonts w:hint="eastAsia"/>
                <w:vertAlign w:val="baseline"/>
                <w:lang w:val="en-US" w:eastAsia="zh-CN"/>
              </w:rPr>
              <w:t>接线级别</w:t>
            </w:r>
          </w:p>
        </w:tc>
        <w:tc>
          <w:tcPr>
            <w:tcW w:w="693" w:type="pct"/>
            <w:vAlign w:val="center"/>
          </w:tcPr>
          <w:p w14:paraId="7643ACB8">
            <w:pPr>
              <w:pStyle w:val="66"/>
              <w:ind w:left="0" w:leftChars="0" w:firstLine="0" w:firstLineChars="0"/>
              <w:jc w:val="center"/>
              <w:rPr>
                <w:rFonts w:hint="eastAsia"/>
                <w:vertAlign w:val="baseline"/>
                <w:lang w:val="en-US" w:eastAsia="zh-CN"/>
              </w:rPr>
            </w:pPr>
          </w:p>
        </w:tc>
        <w:tc>
          <w:tcPr>
            <w:tcW w:w="2184" w:type="pct"/>
            <w:vAlign w:val="center"/>
          </w:tcPr>
          <w:p w14:paraId="197579B3">
            <w:pPr>
              <w:pStyle w:val="66"/>
              <w:ind w:left="0" w:leftChars="0" w:firstLine="0" w:firstLineChars="0"/>
              <w:jc w:val="center"/>
              <w:rPr>
                <w:rFonts w:hint="default"/>
                <w:vertAlign w:val="baseline"/>
                <w:lang w:val="en-US" w:eastAsia="zh-CN"/>
              </w:rPr>
            </w:pPr>
            <w:r>
              <w:rPr>
                <w:rFonts w:hint="eastAsia" w:ascii="宋体" w:hAnsi="宋体" w:eastAsia="宋体" w:cs="宋体"/>
                <w:vertAlign w:val="baseline"/>
                <w:lang w:val="en-US" w:eastAsia="zh-CN"/>
              </w:rPr>
              <w:t>Ⅴ</w:t>
            </w:r>
            <w:r>
              <w:rPr>
                <w:rFonts w:hint="eastAsia" w:cs="宋体"/>
                <w:vertAlign w:val="baseline"/>
                <w:lang w:val="en-US" w:eastAsia="zh-CN"/>
              </w:rPr>
              <w:t>/</w:t>
            </w:r>
            <w:r>
              <w:rPr>
                <w:rFonts w:hint="eastAsia" w:ascii="宋体" w:hAnsi="宋体" w:eastAsia="宋体" w:cs="宋体"/>
                <w:vertAlign w:val="baseline"/>
                <w:lang w:val="en-US" w:eastAsia="zh-CN"/>
              </w:rPr>
              <w:t>Ⅴ</w:t>
            </w:r>
          </w:p>
        </w:tc>
      </w:tr>
      <w:tr w14:paraId="1B1DE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1" w:type="pct"/>
            <w:vAlign w:val="center"/>
          </w:tcPr>
          <w:p w14:paraId="6D663908">
            <w:pPr>
              <w:pStyle w:val="66"/>
              <w:ind w:left="0" w:leftChars="0" w:firstLine="0" w:firstLineChars="0"/>
              <w:jc w:val="center"/>
              <w:rPr>
                <w:rFonts w:hint="default"/>
                <w:vertAlign w:val="baseline"/>
                <w:lang w:val="en-US" w:eastAsia="zh-CN"/>
              </w:rPr>
            </w:pPr>
            <w:r>
              <w:rPr>
                <w:rFonts w:hint="eastAsia"/>
                <w:vertAlign w:val="baseline"/>
                <w:lang w:val="en-US" w:eastAsia="zh-CN"/>
              </w:rPr>
              <w:t>额定容量</w:t>
            </w:r>
          </w:p>
        </w:tc>
        <w:tc>
          <w:tcPr>
            <w:tcW w:w="693" w:type="pct"/>
            <w:vAlign w:val="center"/>
          </w:tcPr>
          <w:p w14:paraId="284174E9">
            <w:pPr>
              <w:pStyle w:val="66"/>
              <w:ind w:left="0" w:leftChars="0" w:firstLine="0" w:firstLineChars="0"/>
              <w:jc w:val="center"/>
              <w:rPr>
                <w:rFonts w:hint="default"/>
                <w:vertAlign w:val="baseline"/>
                <w:lang w:val="en-US" w:eastAsia="zh-CN"/>
              </w:rPr>
            </w:pPr>
            <w:r>
              <w:rPr>
                <w:rFonts w:hint="eastAsia"/>
                <w:vertAlign w:val="baseline"/>
                <w:lang w:val="en-US" w:eastAsia="zh-CN"/>
              </w:rPr>
              <w:t>VA</w:t>
            </w:r>
          </w:p>
        </w:tc>
        <w:tc>
          <w:tcPr>
            <w:tcW w:w="2184" w:type="pct"/>
            <w:vAlign w:val="center"/>
          </w:tcPr>
          <w:p w14:paraId="7C409A24">
            <w:pPr>
              <w:pStyle w:val="66"/>
              <w:ind w:left="0" w:leftChars="0" w:firstLine="0" w:firstLineChars="0"/>
              <w:jc w:val="center"/>
              <w:rPr>
                <w:rFonts w:hint="default"/>
                <w:vertAlign w:val="baseline"/>
                <w:lang w:val="en-US" w:eastAsia="zh-CN"/>
              </w:rPr>
            </w:pPr>
            <w:r>
              <w:rPr>
                <w:rFonts w:hint="eastAsia"/>
                <w:vertAlign w:val="baseline"/>
                <w:lang w:val="en-US" w:eastAsia="zh-CN"/>
              </w:rPr>
              <w:t>50/1000</w:t>
            </w:r>
          </w:p>
        </w:tc>
      </w:tr>
      <w:tr w14:paraId="6793F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1" w:type="pct"/>
            <w:vAlign w:val="center"/>
          </w:tcPr>
          <w:p w14:paraId="3FC9A8B5">
            <w:pPr>
              <w:pStyle w:val="66"/>
              <w:ind w:left="0" w:leftChars="0" w:firstLine="0" w:firstLineChars="0"/>
              <w:jc w:val="center"/>
              <w:rPr>
                <w:rFonts w:hint="default"/>
                <w:vertAlign w:val="baseline"/>
                <w:lang w:val="en-US" w:eastAsia="zh-CN"/>
              </w:rPr>
            </w:pPr>
            <w:r>
              <w:rPr>
                <w:rFonts w:hint="eastAsia"/>
                <w:vertAlign w:val="baseline"/>
                <w:lang w:val="en-US" w:eastAsia="zh-CN"/>
              </w:rPr>
              <w:t>三相不平衡度</w:t>
            </w:r>
          </w:p>
        </w:tc>
        <w:tc>
          <w:tcPr>
            <w:tcW w:w="693" w:type="pct"/>
            <w:vAlign w:val="center"/>
          </w:tcPr>
          <w:p w14:paraId="7CC28A22">
            <w:pPr>
              <w:pStyle w:val="66"/>
              <w:ind w:left="0" w:leftChars="0" w:firstLine="0" w:firstLineChars="0"/>
              <w:jc w:val="center"/>
              <w:rPr>
                <w:rFonts w:hint="default"/>
                <w:vertAlign w:val="baseline"/>
                <w:lang w:val="en-US" w:eastAsia="zh-CN"/>
              </w:rPr>
            </w:pPr>
            <w:r>
              <w:rPr>
                <w:rFonts w:hint="eastAsia"/>
                <w:vertAlign w:val="baseline"/>
                <w:lang w:val="en-US" w:eastAsia="zh-CN"/>
              </w:rPr>
              <w:t>V</w:t>
            </w:r>
          </w:p>
        </w:tc>
        <w:tc>
          <w:tcPr>
            <w:tcW w:w="2184" w:type="pct"/>
            <w:vAlign w:val="center"/>
          </w:tcPr>
          <w:p w14:paraId="6651E741">
            <w:pPr>
              <w:pStyle w:val="66"/>
              <w:ind w:left="0" w:leftChars="0" w:firstLine="0" w:firstLineChars="0"/>
              <w:jc w:val="center"/>
              <w:rPr>
                <w:rFonts w:hint="default"/>
                <w:vertAlign w:val="baseline"/>
                <w:lang w:val="en-US" w:eastAsia="zh-CN"/>
              </w:rPr>
            </w:pPr>
            <w:r>
              <w:rPr>
                <w:rFonts w:hint="eastAsia"/>
                <w:vertAlign w:val="baseline"/>
                <w:lang w:val="en-US" w:eastAsia="zh-CN"/>
              </w:rPr>
              <w:t>1</w:t>
            </w:r>
          </w:p>
        </w:tc>
      </w:tr>
      <w:tr w14:paraId="6AE1A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1" w:type="pct"/>
            <w:vAlign w:val="center"/>
          </w:tcPr>
          <w:p w14:paraId="51AA3F6A">
            <w:pPr>
              <w:pStyle w:val="66"/>
              <w:ind w:left="0" w:leftChars="0" w:firstLine="0" w:firstLineChars="0"/>
              <w:jc w:val="center"/>
              <w:rPr>
                <w:rFonts w:hint="default"/>
                <w:vertAlign w:val="baseline"/>
                <w:lang w:val="en-US" w:eastAsia="zh-CN"/>
              </w:rPr>
            </w:pPr>
            <w:r>
              <w:rPr>
                <w:rFonts w:hint="eastAsia"/>
                <w:vertAlign w:val="baseline"/>
                <w:lang w:val="en-US" w:eastAsia="zh-CN"/>
              </w:rPr>
              <w:t>低压绕组1min工频耐压</w:t>
            </w:r>
          </w:p>
        </w:tc>
        <w:tc>
          <w:tcPr>
            <w:tcW w:w="693" w:type="pct"/>
            <w:vAlign w:val="center"/>
          </w:tcPr>
          <w:p w14:paraId="32EDEDB1">
            <w:pPr>
              <w:pStyle w:val="66"/>
              <w:ind w:left="0" w:leftChars="0" w:firstLine="0" w:firstLineChars="0"/>
              <w:jc w:val="center"/>
              <w:rPr>
                <w:rFonts w:hint="default"/>
                <w:vertAlign w:val="baseline"/>
                <w:lang w:val="en-US" w:eastAsia="zh-CN"/>
              </w:rPr>
            </w:pPr>
            <w:r>
              <w:rPr>
                <w:rFonts w:hint="eastAsia"/>
                <w:vertAlign w:val="baseline"/>
                <w:lang w:val="en-US" w:eastAsia="zh-CN"/>
              </w:rPr>
              <w:t>kV</w:t>
            </w:r>
          </w:p>
        </w:tc>
        <w:tc>
          <w:tcPr>
            <w:tcW w:w="2184" w:type="pct"/>
            <w:vAlign w:val="center"/>
          </w:tcPr>
          <w:p w14:paraId="76AA50C5">
            <w:pPr>
              <w:pStyle w:val="66"/>
              <w:ind w:left="0" w:leftChars="0" w:firstLine="0" w:firstLineChars="0"/>
              <w:jc w:val="center"/>
              <w:rPr>
                <w:rFonts w:hint="default"/>
                <w:vertAlign w:val="baseline"/>
                <w:lang w:val="en-US" w:eastAsia="zh-CN"/>
              </w:rPr>
            </w:pPr>
            <w:r>
              <w:rPr>
                <w:rFonts w:hint="eastAsia"/>
                <w:vertAlign w:val="baseline"/>
                <w:lang w:val="en-US" w:eastAsia="zh-CN"/>
              </w:rPr>
              <w:t>2</w:t>
            </w:r>
          </w:p>
        </w:tc>
      </w:tr>
      <w:tr w14:paraId="50ED5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1" w:type="pct"/>
            <w:vAlign w:val="center"/>
          </w:tcPr>
          <w:p w14:paraId="5CFE5D6C">
            <w:pPr>
              <w:pStyle w:val="66"/>
              <w:ind w:left="0" w:leftChars="0" w:firstLine="0" w:firstLineChars="0"/>
              <w:jc w:val="center"/>
              <w:rPr>
                <w:rFonts w:hint="default"/>
                <w:vertAlign w:val="baseline"/>
                <w:lang w:val="en-US" w:eastAsia="zh-CN"/>
              </w:rPr>
            </w:pPr>
            <w:r>
              <w:rPr>
                <w:rFonts w:hint="eastAsia"/>
                <w:vertAlign w:val="baseline"/>
                <w:lang w:val="en-US" w:eastAsia="zh-CN"/>
              </w:rPr>
              <w:t>额定电压因数</w:t>
            </w:r>
          </w:p>
        </w:tc>
        <w:tc>
          <w:tcPr>
            <w:tcW w:w="693" w:type="pct"/>
            <w:vAlign w:val="center"/>
          </w:tcPr>
          <w:p w14:paraId="2239E467">
            <w:pPr>
              <w:pStyle w:val="66"/>
              <w:ind w:left="0" w:leftChars="0" w:firstLine="0" w:firstLineChars="0"/>
              <w:jc w:val="center"/>
              <w:rPr>
                <w:rFonts w:hint="eastAsia"/>
                <w:vertAlign w:val="baseline"/>
                <w:lang w:val="en-US" w:eastAsia="zh-CN"/>
              </w:rPr>
            </w:pPr>
          </w:p>
        </w:tc>
        <w:tc>
          <w:tcPr>
            <w:tcW w:w="2184" w:type="pct"/>
            <w:vAlign w:val="center"/>
          </w:tcPr>
          <w:p w14:paraId="685E3978">
            <w:pPr>
              <w:pStyle w:val="66"/>
              <w:ind w:left="0" w:leftChars="0" w:firstLine="0" w:firstLineChars="0"/>
              <w:jc w:val="center"/>
              <w:rPr>
                <w:rFonts w:hint="default"/>
                <w:vertAlign w:val="baseline"/>
                <w:lang w:val="en-US" w:eastAsia="zh-CN"/>
              </w:rPr>
            </w:pPr>
            <w:r>
              <w:rPr>
                <w:rFonts w:hint="eastAsia"/>
                <w:vertAlign w:val="baseline"/>
                <w:lang w:val="en-US" w:eastAsia="zh-CN"/>
              </w:rPr>
              <w:t>1.2倍连续，1.9倍8h</w:t>
            </w:r>
          </w:p>
        </w:tc>
      </w:tr>
    </w:tbl>
    <w:p w14:paraId="784C4DBE">
      <w:pPr>
        <w:pStyle w:val="65"/>
        <w:bidi w:val="0"/>
        <w:rPr>
          <w:rFonts w:hint="eastAsia"/>
          <w:lang w:val="en-US" w:eastAsia="zh-CN"/>
        </w:rPr>
      </w:pPr>
      <w:r>
        <w:rPr>
          <w:rFonts w:hint="eastAsia"/>
          <w:lang w:val="en-US" w:eastAsia="zh-CN"/>
        </w:rPr>
        <w:t>避雷器</w:t>
      </w:r>
    </w:p>
    <w:p w14:paraId="27CD3FEF">
      <w:pPr>
        <w:pStyle w:val="66"/>
        <w:rPr>
          <w:rFonts w:hint="eastAsia"/>
          <w:lang w:val="en-US" w:eastAsia="zh-CN"/>
        </w:rPr>
      </w:pPr>
      <w:r>
        <w:rPr>
          <w:rFonts w:hint="eastAsia"/>
          <w:lang w:val="en-US" w:eastAsia="zh-CN"/>
        </w:rPr>
        <w:t>避雷器应满足表3要求。</w:t>
      </w:r>
    </w:p>
    <w:p w14:paraId="45185B8A">
      <w:pPr>
        <w:pStyle w:val="113"/>
        <w:bidi w:val="0"/>
        <w:rPr>
          <w:rFonts w:hint="eastAsia"/>
          <w:lang w:val="en-US" w:eastAsia="zh-CN"/>
        </w:rPr>
      </w:pPr>
      <w:r>
        <w:rPr>
          <w:rFonts w:hint="eastAsia"/>
          <w:lang w:val="en-US" w:eastAsia="zh-CN"/>
        </w:rPr>
        <w:t>避雷器技术要求</w:t>
      </w:r>
    </w:p>
    <w:tbl>
      <w:tblPr>
        <w:tblStyle w:val="2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75"/>
        <w:gridCol w:w="1325"/>
        <w:gridCol w:w="4170"/>
      </w:tblGrid>
      <w:tr w14:paraId="170FD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8" w:type="pct"/>
            <w:vAlign w:val="center"/>
          </w:tcPr>
          <w:p w14:paraId="4F0FFF71">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eastAsia"/>
                <w:vertAlign w:val="baseline"/>
                <w:lang w:val="en-US" w:eastAsia="zh-CN"/>
              </w:rPr>
              <w:t>名称</w:t>
            </w:r>
          </w:p>
        </w:tc>
        <w:tc>
          <w:tcPr>
            <w:tcW w:w="692" w:type="pct"/>
            <w:vAlign w:val="center"/>
          </w:tcPr>
          <w:p w14:paraId="5BB7140D">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eastAsia"/>
                <w:vertAlign w:val="baseline"/>
                <w:lang w:val="en-US" w:eastAsia="zh-CN"/>
              </w:rPr>
              <w:t>单位</w:t>
            </w:r>
          </w:p>
        </w:tc>
        <w:tc>
          <w:tcPr>
            <w:tcW w:w="2178" w:type="pct"/>
            <w:vAlign w:val="center"/>
          </w:tcPr>
          <w:p w14:paraId="7AB70F19">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eastAsia"/>
                <w:vertAlign w:val="baseline"/>
                <w:lang w:val="en-US" w:eastAsia="zh-CN"/>
              </w:rPr>
              <w:t>技术要求</w:t>
            </w:r>
          </w:p>
        </w:tc>
      </w:tr>
      <w:tr w14:paraId="68192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8" w:type="pct"/>
            <w:vAlign w:val="center"/>
          </w:tcPr>
          <w:p w14:paraId="18E347B8">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陡波冲击电流下残压峰值(5kA，1/3 s)</w:t>
            </w:r>
          </w:p>
        </w:tc>
        <w:tc>
          <w:tcPr>
            <w:tcW w:w="692" w:type="pct"/>
            <w:vAlign w:val="center"/>
          </w:tcPr>
          <w:p w14:paraId="6DF96DA9">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kV</w:t>
            </w:r>
          </w:p>
        </w:tc>
        <w:tc>
          <w:tcPr>
            <w:tcW w:w="2178" w:type="pct"/>
            <w:vAlign w:val="center"/>
          </w:tcPr>
          <w:p w14:paraId="16A3730A">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≤51.8</w:t>
            </w:r>
          </w:p>
        </w:tc>
      </w:tr>
      <w:tr w14:paraId="24D1A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8" w:type="pct"/>
            <w:vAlign w:val="center"/>
          </w:tcPr>
          <w:p w14:paraId="411D200F">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雷电冲击电流下残压峰值(5kA，8/20 s)</w:t>
            </w:r>
          </w:p>
        </w:tc>
        <w:tc>
          <w:tcPr>
            <w:tcW w:w="692" w:type="pct"/>
            <w:vAlign w:val="center"/>
          </w:tcPr>
          <w:p w14:paraId="411B4D60">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kV</w:t>
            </w:r>
          </w:p>
        </w:tc>
        <w:tc>
          <w:tcPr>
            <w:tcW w:w="2178" w:type="pct"/>
            <w:vAlign w:val="center"/>
          </w:tcPr>
          <w:p w14:paraId="52D8A815">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≤45</w:t>
            </w:r>
          </w:p>
        </w:tc>
      </w:tr>
      <w:tr w14:paraId="3E963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8" w:type="pct"/>
            <w:vAlign w:val="center"/>
          </w:tcPr>
          <w:p w14:paraId="208B5567">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雷电冲击电流下残压峰值(5kA，8/20 s)</w:t>
            </w:r>
          </w:p>
        </w:tc>
        <w:tc>
          <w:tcPr>
            <w:tcW w:w="692" w:type="pct"/>
            <w:vAlign w:val="center"/>
          </w:tcPr>
          <w:p w14:paraId="5F8A8A9B">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kV</w:t>
            </w:r>
          </w:p>
        </w:tc>
        <w:tc>
          <w:tcPr>
            <w:tcW w:w="2178" w:type="pct"/>
            <w:vAlign w:val="center"/>
          </w:tcPr>
          <w:p w14:paraId="08700C0E">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≤38.3</w:t>
            </w:r>
          </w:p>
        </w:tc>
      </w:tr>
      <w:tr w14:paraId="7DE7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8" w:type="pct"/>
            <w:vAlign w:val="center"/>
          </w:tcPr>
          <w:p w14:paraId="2A369A95">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直流1mA参考电压</w:t>
            </w:r>
          </w:p>
        </w:tc>
        <w:tc>
          <w:tcPr>
            <w:tcW w:w="692" w:type="pct"/>
            <w:vAlign w:val="center"/>
          </w:tcPr>
          <w:p w14:paraId="2E6735A8">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kV</w:t>
            </w:r>
          </w:p>
        </w:tc>
        <w:tc>
          <w:tcPr>
            <w:tcW w:w="2178" w:type="pct"/>
            <w:vAlign w:val="center"/>
          </w:tcPr>
          <w:p w14:paraId="57B7F922">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≥24</w:t>
            </w:r>
          </w:p>
        </w:tc>
      </w:tr>
      <w:tr w14:paraId="718E0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8" w:type="pct"/>
            <w:vAlign w:val="center"/>
          </w:tcPr>
          <w:p w14:paraId="5E0FB22E">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工频参考电压(有效值)</w:t>
            </w:r>
          </w:p>
        </w:tc>
        <w:tc>
          <w:tcPr>
            <w:tcW w:w="692" w:type="pct"/>
            <w:vAlign w:val="center"/>
          </w:tcPr>
          <w:p w14:paraId="71EFD5C3">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kV</w:t>
            </w:r>
          </w:p>
        </w:tc>
        <w:tc>
          <w:tcPr>
            <w:tcW w:w="2178" w:type="pct"/>
            <w:vAlign w:val="center"/>
          </w:tcPr>
          <w:p w14:paraId="0F27AE64">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eastAsia"/>
                <w:vertAlign w:val="baseline"/>
                <w:lang w:val="en-US" w:eastAsia="zh-CN"/>
              </w:rPr>
              <w:t>＞</w:t>
            </w:r>
            <w:r>
              <w:rPr>
                <w:rFonts w:hint="default"/>
                <w:vertAlign w:val="baseline"/>
                <w:lang w:val="en-US" w:eastAsia="zh-CN"/>
              </w:rPr>
              <w:t>16</w:t>
            </w:r>
          </w:p>
        </w:tc>
      </w:tr>
      <w:tr w14:paraId="4AA18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8" w:type="pct"/>
            <w:vAlign w:val="center"/>
          </w:tcPr>
          <w:p w14:paraId="5FF65313">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工频参考电流(峰值)</w:t>
            </w:r>
          </w:p>
        </w:tc>
        <w:tc>
          <w:tcPr>
            <w:tcW w:w="692" w:type="pct"/>
            <w:vAlign w:val="center"/>
          </w:tcPr>
          <w:p w14:paraId="136252EE">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mA</w:t>
            </w:r>
          </w:p>
        </w:tc>
        <w:tc>
          <w:tcPr>
            <w:tcW w:w="2178" w:type="pct"/>
            <w:vAlign w:val="center"/>
          </w:tcPr>
          <w:p w14:paraId="425E50BE">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eastAsia"/>
                <w:vertAlign w:val="baseline"/>
                <w:lang w:val="en-US" w:eastAsia="zh-CN"/>
              </w:rPr>
              <w:t>1</w:t>
            </w:r>
          </w:p>
        </w:tc>
      </w:tr>
      <w:tr w14:paraId="45627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8" w:type="pct"/>
            <w:vAlign w:val="center"/>
          </w:tcPr>
          <w:p w14:paraId="23AD720B">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长持续时间冲击耐受电流</w:t>
            </w:r>
          </w:p>
        </w:tc>
        <w:tc>
          <w:tcPr>
            <w:tcW w:w="692" w:type="pct"/>
            <w:vAlign w:val="center"/>
          </w:tcPr>
          <w:p w14:paraId="503CD0B1">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A</w:t>
            </w:r>
          </w:p>
        </w:tc>
        <w:tc>
          <w:tcPr>
            <w:tcW w:w="2178" w:type="pct"/>
            <w:vAlign w:val="center"/>
          </w:tcPr>
          <w:p w14:paraId="0DD17A90">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vertAlign w:val="baseline"/>
                <w:lang w:val="en-US" w:eastAsia="zh-CN"/>
              </w:rPr>
            </w:pPr>
            <w:r>
              <w:rPr>
                <w:rFonts w:hint="eastAsia"/>
                <w:vertAlign w:val="baseline"/>
                <w:lang w:val="en-US" w:eastAsia="zh-CN"/>
              </w:rPr>
              <w:t>400(峰值)</w:t>
            </w:r>
          </w:p>
        </w:tc>
      </w:tr>
      <w:tr w14:paraId="19D6C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8" w:type="pct"/>
            <w:vAlign w:val="center"/>
          </w:tcPr>
          <w:p w14:paraId="151DD7A9">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4/10 s大冲击耐受电流</w:t>
            </w:r>
          </w:p>
        </w:tc>
        <w:tc>
          <w:tcPr>
            <w:tcW w:w="692" w:type="pct"/>
            <w:vAlign w:val="center"/>
          </w:tcPr>
          <w:p w14:paraId="09BC65E0">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default"/>
                <w:vertAlign w:val="baseline"/>
                <w:lang w:val="en-US" w:eastAsia="zh-CN"/>
              </w:rPr>
            </w:pPr>
            <w:r>
              <w:rPr>
                <w:rFonts w:hint="default"/>
                <w:vertAlign w:val="baseline"/>
                <w:lang w:val="en-US" w:eastAsia="zh-CN"/>
              </w:rPr>
              <w:t>kA</w:t>
            </w:r>
          </w:p>
        </w:tc>
        <w:tc>
          <w:tcPr>
            <w:tcW w:w="2178" w:type="pct"/>
            <w:vAlign w:val="center"/>
          </w:tcPr>
          <w:p w14:paraId="18A3DDED">
            <w:pPr>
              <w:pStyle w:val="66"/>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vertAlign w:val="baseline"/>
                <w:lang w:val="en-US" w:eastAsia="zh-CN"/>
              </w:rPr>
            </w:pPr>
            <w:r>
              <w:rPr>
                <w:rFonts w:hint="eastAsia"/>
                <w:vertAlign w:val="baseline"/>
                <w:lang w:val="en-US" w:eastAsia="zh-CN"/>
              </w:rPr>
              <w:t>65(峰值)</w:t>
            </w:r>
          </w:p>
        </w:tc>
      </w:tr>
    </w:tbl>
    <w:p w14:paraId="1B8DFEC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防护等级</w:t>
      </w:r>
    </w:p>
    <w:p w14:paraId="79E51017">
      <w:pPr>
        <w:pStyle w:val="166"/>
        <w:bidi w:val="0"/>
        <w:rPr>
          <w:rFonts w:hint="eastAsia"/>
          <w:lang w:val="en-US" w:eastAsia="zh-CN"/>
        </w:rPr>
      </w:pPr>
      <w:r>
        <w:rPr>
          <w:rFonts w:hint="eastAsia"/>
          <w:lang w:val="en-US" w:eastAsia="zh-CN"/>
        </w:rPr>
        <w:t>柜体整体外壳防护等级应不低于IP3X。</w:t>
      </w:r>
    </w:p>
    <w:p w14:paraId="0907F2DF">
      <w:pPr>
        <w:pStyle w:val="166"/>
        <w:bidi w:val="0"/>
        <w:rPr>
          <w:rFonts w:hint="eastAsia"/>
          <w:lang w:val="en-US" w:eastAsia="zh-CN"/>
        </w:rPr>
      </w:pPr>
      <w:r>
        <w:rPr>
          <w:rFonts w:hint="eastAsia"/>
          <w:lang w:val="en-US" w:eastAsia="zh-CN"/>
        </w:rPr>
        <w:t>操作机构、数字式传感单元等关键元器件的防护等级应不低于IP65。</w:t>
      </w:r>
    </w:p>
    <w:p w14:paraId="069B701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机械连锁与防误操作</w:t>
      </w:r>
    </w:p>
    <w:p w14:paraId="0582119A">
      <w:pPr>
        <w:pStyle w:val="166"/>
        <w:bidi w:val="0"/>
        <w:rPr>
          <w:rFonts w:hint="eastAsia"/>
          <w:lang w:val="en-US" w:eastAsia="zh-CN"/>
        </w:rPr>
      </w:pPr>
      <w:r>
        <w:rPr>
          <w:rFonts w:hint="eastAsia"/>
          <w:lang w:val="en-US" w:eastAsia="zh-CN"/>
        </w:rPr>
        <w:t>断路器/负荷开关处于合闸位置时，隔室门应无法打开。</w:t>
      </w:r>
    </w:p>
    <w:p w14:paraId="1F3AC6C4">
      <w:pPr>
        <w:pStyle w:val="166"/>
        <w:bidi w:val="0"/>
        <w:rPr>
          <w:rFonts w:hint="eastAsia"/>
          <w:lang w:val="en-US" w:eastAsia="zh-CN"/>
        </w:rPr>
      </w:pPr>
      <w:r>
        <w:rPr>
          <w:rFonts w:hint="eastAsia"/>
          <w:lang w:val="en-US" w:eastAsia="zh-CN"/>
        </w:rPr>
        <w:t>隔室门未可靠关闭时，开关应无法合闸。</w:t>
      </w:r>
    </w:p>
    <w:p w14:paraId="42E3B6A8">
      <w:pPr>
        <w:pStyle w:val="166"/>
        <w:bidi w:val="0"/>
        <w:rPr>
          <w:rFonts w:hint="eastAsia"/>
          <w:lang w:val="en-US" w:eastAsia="zh-CN"/>
        </w:rPr>
      </w:pPr>
      <w:r>
        <w:rPr>
          <w:rFonts w:hint="eastAsia"/>
          <w:lang w:val="en-US" w:eastAsia="zh-CN"/>
        </w:rPr>
        <w:t>接地开关与负荷开关/断路器之间应可靠联锁。</w:t>
      </w:r>
    </w:p>
    <w:p w14:paraId="500A99C8">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智能化要求</w:t>
      </w:r>
    </w:p>
    <w:p w14:paraId="16638739">
      <w:pPr>
        <w:pStyle w:val="166"/>
        <w:bidi w:val="0"/>
        <w:rPr>
          <w:rFonts w:hint="eastAsia"/>
          <w:lang w:val="en-US" w:eastAsia="zh-CN"/>
        </w:rPr>
      </w:pPr>
      <w:r>
        <w:rPr>
          <w:rFonts w:hint="eastAsia"/>
          <w:lang w:val="en-US" w:eastAsia="zh-CN"/>
        </w:rPr>
        <w:t>应支持与配电自动化系统对接，实现遥控、遥信、遥测功能。</w:t>
      </w:r>
    </w:p>
    <w:p w14:paraId="7D189385">
      <w:pPr>
        <w:pStyle w:val="166"/>
        <w:bidi w:val="0"/>
        <w:rPr>
          <w:rFonts w:hint="eastAsia"/>
          <w:lang w:val="en-US" w:eastAsia="zh-CN"/>
        </w:rPr>
      </w:pPr>
      <w:r>
        <w:rPr>
          <w:rFonts w:hint="eastAsia"/>
          <w:lang w:val="en-US" w:eastAsia="zh-CN"/>
        </w:rPr>
        <w:t>关键二次模块应支持即插即用，更换时无需专用软件进行参数配置。</w:t>
      </w:r>
    </w:p>
    <w:p w14:paraId="2CB6E751">
      <w:pPr>
        <w:pStyle w:val="166"/>
        <w:bidi w:val="0"/>
        <w:rPr>
          <w:rFonts w:hint="eastAsia"/>
          <w:lang w:val="en-US" w:eastAsia="zh-CN"/>
        </w:rPr>
      </w:pPr>
      <w:r>
        <w:rPr>
          <w:rFonts w:hint="eastAsia"/>
          <w:lang w:val="en-US" w:eastAsia="zh-CN"/>
        </w:rPr>
        <w:t>应具备压板状态监测、设备异常告警、故障告警主动上送功能，告警信息清晰、准确。</w:t>
      </w:r>
    </w:p>
    <w:p w14:paraId="5632CB03">
      <w:pPr>
        <w:pStyle w:val="166"/>
        <w:bidi w:val="0"/>
        <w:rPr>
          <w:rFonts w:hint="eastAsia"/>
          <w:lang w:val="en-US" w:eastAsia="zh-CN"/>
        </w:rPr>
      </w:pPr>
      <w:r>
        <w:rPr>
          <w:rFonts w:hint="eastAsia"/>
          <w:lang w:val="en-US" w:eastAsia="zh-CN"/>
        </w:rPr>
        <w:t>应具备对运行电流、电压、功率、功率因数等运行参数的实时监测能力。</w:t>
      </w:r>
    </w:p>
    <w:p w14:paraId="3333EB1B">
      <w:pPr>
        <w:pStyle w:val="166"/>
        <w:bidi w:val="0"/>
        <w:rPr>
          <w:rFonts w:hint="eastAsia"/>
          <w:lang w:val="en-US" w:eastAsia="zh-CN"/>
        </w:rPr>
      </w:pPr>
      <w:r>
        <w:rPr>
          <w:rFonts w:hint="eastAsia"/>
          <w:lang w:val="en-US" w:eastAsia="zh-CN"/>
        </w:rPr>
        <w:t>应具备对柜体内部温湿度、关键接点温升等状态的监测条件或扩展接口。</w:t>
      </w:r>
    </w:p>
    <w:p w14:paraId="13B0F939">
      <w:pPr>
        <w:pStyle w:val="105"/>
        <w:spacing w:before="326" w:after="326"/>
        <w:rPr>
          <w:highlight w:val="none"/>
        </w:rPr>
      </w:pPr>
      <w:bookmarkStart w:id="60" w:name="_Toc17947"/>
      <w:r>
        <w:rPr>
          <w:rFonts w:hint="eastAsia"/>
          <w:highlight w:val="none"/>
          <w:lang w:val="en-US" w:eastAsia="zh-CN"/>
        </w:rPr>
        <w:t>试验方法</w:t>
      </w:r>
      <w:bookmarkEnd w:id="60"/>
    </w:p>
    <w:p w14:paraId="7CD5ACFF">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柜体结构</w:t>
      </w:r>
    </w:p>
    <w:p w14:paraId="610B592C">
      <w:pPr>
        <w:pStyle w:val="66"/>
        <w:rPr>
          <w:rFonts w:hint="eastAsia"/>
          <w:lang w:val="en-US" w:eastAsia="zh-CN"/>
        </w:rPr>
      </w:pPr>
      <w:r>
        <w:rPr>
          <w:rFonts w:hint="default"/>
          <w:lang w:val="en-US" w:eastAsia="zh-CN"/>
        </w:rPr>
        <w:t>采用目测、手动核查及量具测量的方式</w:t>
      </w:r>
      <w:r>
        <w:rPr>
          <w:rFonts w:hint="eastAsia"/>
          <w:lang w:val="en-US" w:eastAsia="zh-CN"/>
        </w:rPr>
        <w:t>进行。</w:t>
      </w:r>
    </w:p>
    <w:p w14:paraId="31852DE4">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绝缘性能</w:t>
      </w:r>
    </w:p>
    <w:p w14:paraId="5CE57D46">
      <w:pPr>
        <w:pStyle w:val="65"/>
        <w:bidi w:val="0"/>
        <w:rPr>
          <w:rFonts w:hint="default"/>
          <w:lang w:val="en-US" w:eastAsia="zh-CN"/>
        </w:rPr>
      </w:pPr>
      <w:r>
        <w:rPr>
          <w:rFonts w:hint="eastAsia"/>
          <w:lang w:val="en-US" w:eastAsia="zh-CN"/>
        </w:rPr>
        <w:t>工频耐受电压</w:t>
      </w:r>
    </w:p>
    <w:p w14:paraId="56691BBD">
      <w:pPr>
        <w:pStyle w:val="66"/>
        <w:rPr>
          <w:rFonts w:hint="eastAsia"/>
          <w:lang w:val="en-US" w:eastAsia="zh-CN"/>
        </w:rPr>
      </w:pPr>
      <w:r>
        <w:rPr>
          <w:rFonts w:hint="default"/>
          <w:lang w:val="en-US" w:eastAsia="zh-CN"/>
        </w:rPr>
        <w:t xml:space="preserve">按 GB/T 16927.1、GB/T 3906 </w:t>
      </w:r>
      <w:r>
        <w:rPr>
          <w:rFonts w:hint="eastAsia"/>
          <w:lang w:val="en-US" w:eastAsia="zh-CN"/>
        </w:rPr>
        <w:t>的</w:t>
      </w:r>
      <w:r>
        <w:rPr>
          <w:rFonts w:hint="default"/>
          <w:lang w:val="en-US" w:eastAsia="zh-CN"/>
        </w:rPr>
        <w:t>规定进行</w:t>
      </w:r>
      <w:r>
        <w:rPr>
          <w:rFonts w:hint="eastAsia"/>
          <w:lang w:val="en-US" w:eastAsia="zh-CN"/>
        </w:rPr>
        <w:t>。</w:t>
      </w:r>
    </w:p>
    <w:p w14:paraId="326F5FD2">
      <w:pPr>
        <w:pStyle w:val="65"/>
        <w:bidi w:val="0"/>
        <w:rPr>
          <w:rFonts w:hint="default"/>
          <w:lang w:val="en-US" w:eastAsia="zh-CN"/>
        </w:rPr>
      </w:pPr>
      <w:r>
        <w:rPr>
          <w:rFonts w:hint="eastAsia"/>
          <w:lang w:val="en-US" w:eastAsia="zh-CN"/>
        </w:rPr>
        <w:t>雷电冲击耐受电压</w:t>
      </w:r>
    </w:p>
    <w:p w14:paraId="20DE36CF">
      <w:pPr>
        <w:pStyle w:val="66"/>
        <w:rPr>
          <w:rFonts w:hint="eastAsia"/>
          <w:lang w:val="en-US" w:eastAsia="zh-CN"/>
        </w:rPr>
      </w:pPr>
      <w:r>
        <w:rPr>
          <w:rFonts w:hint="default"/>
          <w:lang w:val="en-US" w:eastAsia="zh-CN"/>
        </w:rPr>
        <w:t xml:space="preserve">按 GB/T 16927.1、GB/T 3906 </w:t>
      </w:r>
      <w:r>
        <w:rPr>
          <w:rFonts w:hint="eastAsia"/>
          <w:lang w:val="en-US" w:eastAsia="zh-CN"/>
        </w:rPr>
        <w:t>的</w:t>
      </w:r>
      <w:r>
        <w:rPr>
          <w:rFonts w:hint="default"/>
          <w:lang w:val="en-US" w:eastAsia="zh-CN"/>
        </w:rPr>
        <w:t>规定</w:t>
      </w:r>
      <w:r>
        <w:rPr>
          <w:rFonts w:hint="eastAsia"/>
          <w:lang w:val="en-US" w:eastAsia="zh-CN"/>
        </w:rPr>
        <w:t>进行。</w:t>
      </w:r>
    </w:p>
    <w:p w14:paraId="0EE625E0">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短路性能</w:t>
      </w:r>
    </w:p>
    <w:p w14:paraId="21A51B22">
      <w:pPr>
        <w:pStyle w:val="66"/>
        <w:rPr>
          <w:rFonts w:hint="eastAsia"/>
          <w:lang w:val="en-US" w:eastAsia="zh-CN"/>
        </w:rPr>
      </w:pPr>
      <w:r>
        <w:rPr>
          <w:rFonts w:hint="default"/>
          <w:lang w:val="en-US" w:eastAsia="zh-CN"/>
        </w:rPr>
        <w:t xml:space="preserve">按 GB/T 3906、DL/T 2805 </w:t>
      </w:r>
      <w:r>
        <w:rPr>
          <w:rFonts w:hint="eastAsia"/>
          <w:lang w:val="en-US" w:eastAsia="zh-CN"/>
        </w:rPr>
        <w:t>的</w:t>
      </w:r>
      <w:r>
        <w:rPr>
          <w:rFonts w:hint="default"/>
          <w:lang w:val="en-US" w:eastAsia="zh-CN"/>
        </w:rPr>
        <w:t>规定</w:t>
      </w:r>
      <w:r>
        <w:rPr>
          <w:rFonts w:hint="eastAsia"/>
          <w:lang w:val="en-US" w:eastAsia="zh-CN"/>
        </w:rPr>
        <w:t>进行。</w:t>
      </w:r>
    </w:p>
    <w:p w14:paraId="4810BF3A">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主回路电阻</w:t>
      </w:r>
    </w:p>
    <w:p w14:paraId="4CFF5B77">
      <w:pPr>
        <w:pStyle w:val="66"/>
        <w:rPr>
          <w:rFonts w:hint="default"/>
          <w:lang w:val="en-US" w:eastAsia="zh-CN"/>
        </w:rPr>
      </w:pPr>
      <w:r>
        <w:rPr>
          <w:rFonts w:hint="eastAsia"/>
          <w:lang w:val="en-US" w:eastAsia="zh-CN"/>
        </w:rPr>
        <w:t>按GB/T 3906 规定的直流压降法进行。</w:t>
      </w:r>
    </w:p>
    <w:p w14:paraId="0FF88EDF">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核心元器件要求</w:t>
      </w:r>
    </w:p>
    <w:p w14:paraId="2AF6B431">
      <w:pPr>
        <w:pStyle w:val="65"/>
        <w:bidi w:val="0"/>
        <w:rPr>
          <w:rFonts w:hint="default"/>
          <w:lang w:val="en-US" w:eastAsia="zh-CN"/>
        </w:rPr>
      </w:pPr>
      <w:r>
        <w:rPr>
          <w:rFonts w:hint="eastAsia"/>
          <w:lang w:val="en-US" w:eastAsia="zh-CN"/>
        </w:rPr>
        <w:t>电流互感器</w:t>
      </w:r>
    </w:p>
    <w:p w14:paraId="7B0EA189">
      <w:pPr>
        <w:pStyle w:val="66"/>
        <w:rPr>
          <w:rFonts w:hint="eastAsia"/>
          <w:lang w:val="en-US" w:eastAsia="zh-CN"/>
        </w:rPr>
      </w:pPr>
      <w:r>
        <w:rPr>
          <w:rFonts w:hint="eastAsia"/>
          <w:lang w:val="en-US" w:eastAsia="zh-CN"/>
        </w:rPr>
        <w:t>按GB/T 20840.2的规定进行。</w:t>
      </w:r>
    </w:p>
    <w:p w14:paraId="55C7BCF2">
      <w:pPr>
        <w:pStyle w:val="65"/>
        <w:bidi w:val="0"/>
        <w:rPr>
          <w:rFonts w:hint="default"/>
          <w:lang w:val="en-US" w:eastAsia="zh-CN"/>
        </w:rPr>
      </w:pPr>
      <w:r>
        <w:rPr>
          <w:rFonts w:hint="eastAsia"/>
          <w:lang w:val="en-US" w:eastAsia="zh-CN"/>
        </w:rPr>
        <w:t>电压互感器</w:t>
      </w:r>
    </w:p>
    <w:p w14:paraId="35E5FB5F">
      <w:pPr>
        <w:pStyle w:val="66"/>
        <w:rPr>
          <w:rFonts w:hint="eastAsia"/>
          <w:lang w:val="en-US" w:eastAsia="zh-CN"/>
        </w:rPr>
      </w:pPr>
      <w:r>
        <w:rPr>
          <w:rFonts w:hint="eastAsia"/>
          <w:lang w:val="en-US" w:eastAsia="zh-CN"/>
        </w:rPr>
        <w:t>按GB/T 20840.15的规定进行。</w:t>
      </w:r>
    </w:p>
    <w:p w14:paraId="5D2A9183">
      <w:pPr>
        <w:pStyle w:val="65"/>
        <w:bidi w:val="0"/>
        <w:rPr>
          <w:rFonts w:hint="default"/>
          <w:lang w:val="en-US" w:eastAsia="zh-CN"/>
        </w:rPr>
      </w:pPr>
      <w:r>
        <w:rPr>
          <w:rFonts w:hint="eastAsia"/>
          <w:lang w:val="en-US" w:eastAsia="zh-CN"/>
        </w:rPr>
        <w:t>避雷器</w:t>
      </w:r>
    </w:p>
    <w:p w14:paraId="251B3BAD">
      <w:pPr>
        <w:pStyle w:val="66"/>
        <w:rPr>
          <w:rFonts w:hint="eastAsia"/>
          <w:lang w:val="en-US" w:eastAsia="zh-CN"/>
        </w:rPr>
      </w:pPr>
      <w:r>
        <w:rPr>
          <w:rFonts w:hint="default"/>
          <w:lang w:val="en-US" w:eastAsia="zh-CN"/>
        </w:rPr>
        <w:t xml:space="preserve">按 GB/T 11032 </w:t>
      </w:r>
      <w:r>
        <w:rPr>
          <w:rFonts w:hint="eastAsia"/>
          <w:lang w:val="en-US" w:eastAsia="zh-CN"/>
        </w:rPr>
        <w:t>的</w:t>
      </w:r>
      <w:r>
        <w:rPr>
          <w:rFonts w:hint="default"/>
          <w:lang w:val="en-US" w:eastAsia="zh-CN"/>
        </w:rPr>
        <w:t>规定进行</w:t>
      </w:r>
      <w:r>
        <w:rPr>
          <w:rFonts w:hint="eastAsia"/>
          <w:lang w:val="en-US" w:eastAsia="zh-CN"/>
        </w:rPr>
        <w:t>。</w:t>
      </w:r>
    </w:p>
    <w:p w14:paraId="533773D8">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防护等级</w:t>
      </w:r>
    </w:p>
    <w:p w14:paraId="37BCD440">
      <w:pPr>
        <w:pStyle w:val="66"/>
        <w:rPr>
          <w:rFonts w:hint="eastAsia"/>
          <w:lang w:val="en-US" w:eastAsia="zh-CN"/>
        </w:rPr>
      </w:pPr>
      <w:r>
        <w:rPr>
          <w:rFonts w:hint="default"/>
          <w:lang w:val="en-US" w:eastAsia="zh-CN"/>
        </w:rPr>
        <w:t xml:space="preserve">按 GB/T 4208 </w:t>
      </w:r>
      <w:r>
        <w:rPr>
          <w:rFonts w:hint="eastAsia"/>
          <w:lang w:val="en-US" w:eastAsia="zh-CN"/>
        </w:rPr>
        <w:t>的</w:t>
      </w:r>
      <w:r>
        <w:rPr>
          <w:rFonts w:hint="default"/>
          <w:lang w:val="en-US" w:eastAsia="zh-CN"/>
        </w:rPr>
        <w:t>规定</w:t>
      </w:r>
      <w:r>
        <w:rPr>
          <w:rFonts w:hint="eastAsia"/>
          <w:lang w:val="en-US" w:eastAsia="zh-CN"/>
        </w:rPr>
        <w:t>进行。</w:t>
      </w:r>
    </w:p>
    <w:p w14:paraId="7DEDD17C">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机械连锁与防误操作</w:t>
      </w:r>
    </w:p>
    <w:p w14:paraId="5B1EF700">
      <w:pPr>
        <w:pStyle w:val="66"/>
        <w:rPr>
          <w:rFonts w:hint="eastAsia"/>
          <w:lang w:val="en-US" w:eastAsia="zh-CN"/>
        </w:rPr>
      </w:pPr>
      <w:r>
        <w:rPr>
          <w:rFonts w:hint="default"/>
          <w:lang w:val="en-US" w:eastAsia="zh-CN"/>
        </w:rPr>
        <w:t xml:space="preserve">按 GB/T 3906、DL/T 2805 </w:t>
      </w:r>
      <w:r>
        <w:rPr>
          <w:rFonts w:hint="eastAsia"/>
          <w:lang w:val="en-US" w:eastAsia="zh-CN"/>
        </w:rPr>
        <w:t>的</w:t>
      </w:r>
      <w:r>
        <w:rPr>
          <w:rFonts w:hint="default"/>
          <w:lang w:val="en-US" w:eastAsia="zh-CN"/>
        </w:rPr>
        <w:t>规定</w:t>
      </w:r>
      <w:r>
        <w:rPr>
          <w:rFonts w:hint="eastAsia"/>
          <w:lang w:val="en-US" w:eastAsia="zh-CN"/>
        </w:rPr>
        <w:t>进行。</w:t>
      </w:r>
    </w:p>
    <w:p w14:paraId="027407FF">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智能化要求</w:t>
      </w:r>
    </w:p>
    <w:p w14:paraId="1397C76A">
      <w:pPr>
        <w:pStyle w:val="66"/>
        <w:rPr>
          <w:rFonts w:hint="default"/>
          <w:lang w:val="en-US" w:eastAsia="zh-CN"/>
        </w:rPr>
      </w:pPr>
      <w:r>
        <w:rPr>
          <w:rFonts w:hint="eastAsia"/>
          <w:lang w:val="en-US" w:eastAsia="zh-CN"/>
        </w:rPr>
        <w:t>按DL/T 721的规定进行。</w:t>
      </w:r>
    </w:p>
    <w:p w14:paraId="4FF44FC3">
      <w:pPr>
        <w:pStyle w:val="105"/>
        <w:spacing w:before="326" w:after="326"/>
      </w:pPr>
      <w:bookmarkStart w:id="61" w:name="_Toc8817"/>
      <w:r>
        <w:rPr>
          <w:rFonts w:hint="eastAsia"/>
          <w:lang w:val="en-US" w:eastAsia="zh-CN"/>
        </w:rPr>
        <w:t>检验规则</w:t>
      </w:r>
      <w:bookmarkEnd w:id="61"/>
    </w:p>
    <w:p w14:paraId="168D9895">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检验分类</w:t>
      </w:r>
    </w:p>
    <w:p w14:paraId="4F5047F4">
      <w:pPr>
        <w:pStyle w:val="66"/>
        <w:rPr>
          <w:rFonts w:hint="eastAsia"/>
          <w:lang w:val="en-US" w:eastAsia="zh-CN"/>
        </w:rPr>
      </w:pPr>
      <w:r>
        <w:rPr>
          <w:rFonts w:hint="eastAsia"/>
          <w:lang w:val="en-US" w:eastAsia="zh-CN"/>
        </w:rPr>
        <w:t>检验分为出厂检验和型式检验，具体检验项目见表1。</w:t>
      </w:r>
    </w:p>
    <w:p w14:paraId="6A0D0C26">
      <w:pPr>
        <w:pStyle w:val="113"/>
        <w:bidi w:val="0"/>
        <w:rPr>
          <w:rFonts w:hint="eastAsia"/>
          <w:lang w:val="en-US" w:eastAsia="zh-CN"/>
        </w:rPr>
      </w:pPr>
      <w:r>
        <w:rPr>
          <w:rFonts w:hint="eastAsia"/>
          <w:lang w:val="en-US" w:eastAsia="zh-CN"/>
        </w:rPr>
        <w:t>检验项目</w:t>
      </w:r>
    </w:p>
    <w:tbl>
      <w:tblPr>
        <w:tblStyle w:val="27"/>
        <w:tblW w:w="5000" w:type="pct"/>
        <w:tblCaption w:val=""/>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5"/>
        <w:gridCol w:w="1889"/>
        <w:gridCol w:w="1897"/>
        <w:gridCol w:w="1233"/>
        <w:gridCol w:w="1168"/>
        <w:gridCol w:w="1367"/>
        <w:gridCol w:w="1571"/>
      </w:tblGrid>
      <w:tr w14:paraId="64826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33" w:type="pct"/>
            <w:tcBorders>
              <w:top w:val="single" w:color="auto" w:sz="8" w:space="0"/>
              <w:left w:val="single" w:color="auto" w:sz="8" w:space="0"/>
              <w:bottom w:val="single" w:color="auto" w:sz="8" w:space="0"/>
            </w:tcBorders>
            <w:vAlign w:val="center"/>
          </w:tcPr>
          <w:p w14:paraId="7F753169">
            <w:pPr>
              <w:pStyle w:val="179"/>
              <w:bidi w:val="0"/>
              <w:jc w:val="center"/>
              <w:rPr>
                <w:rFonts w:hint="default"/>
                <w:lang w:val="en-US" w:eastAsia="zh-CN"/>
              </w:rPr>
            </w:pPr>
            <w:r>
              <w:rPr>
                <w:rFonts w:hint="eastAsia"/>
                <w:lang w:val="en-US" w:eastAsia="zh-CN"/>
              </w:rPr>
              <w:t>序号</w:t>
            </w:r>
          </w:p>
        </w:tc>
        <w:tc>
          <w:tcPr>
            <w:tcW w:w="1978" w:type="pct"/>
            <w:gridSpan w:val="2"/>
            <w:tcBorders>
              <w:top w:val="single" w:color="auto" w:sz="8" w:space="0"/>
              <w:bottom w:val="single" w:color="auto" w:sz="8" w:space="0"/>
            </w:tcBorders>
            <w:vAlign w:val="center"/>
          </w:tcPr>
          <w:p w14:paraId="0D5E6F82">
            <w:pPr>
              <w:pStyle w:val="179"/>
              <w:bidi w:val="0"/>
              <w:jc w:val="center"/>
              <w:rPr>
                <w:rFonts w:hint="default"/>
                <w:lang w:val="en-US" w:eastAsia="zh-CN"/>
              </w:rPr>
            </w:pPr>
            <w:r>
              <w:rPr>
                <w:rFonts w:hint="eastAsia"/>
                <w:lang w:val="en-US" w:eastAsia="zh-CN"/>
              </w:rPr>
              <w:t>项目名称</w:t>
            </w:r>
          </w:p>
        </w:tc>
        <w:tc>
          <w:tcPr>
            <w:tcW w:w="644" w:type="pct"/>
            <w:tcBorders>
              <w:top w:val="single" w:color="auto" w:sz="8" w:space="0"/>
              <w:bottom w:val="single" w:color="auto" w:sz="8" w:space="0"/>
            </w:tcBorders>
            <w:vAlign w:val="center"/>
          </w:tcPr>
          <w:p w14:paraId="3ECBC519">
            <w:pPr>
              <w:pStyle w:val="179"/>
              <w:bidi w:val="0"/>
              <w:jc w:val="center"/>
              <w:rPr>
                <w:rFonts w:hint="default"/>
                <w:lang w:val="en-US" w:eastAsia="zh-CN"/>
              </w:rPr>
            </w:pPr>
            <w:r>
              <w:rPr>
                <w:rFonts w:hint="eastAsia"/>
                <w:lang w:val="en-US" w:eastAsia="zh-CN"/>
              </w:rPr>
              <w:t>技术要求</w:t>
            </w:r>
          </w:p>
        </w:tc>
        <w:tc>
          <w:tcPr>
            <w:tcW w:w="610" w:type="pct"/>
            <w:tcBorders>
              <w:top w:val="single" w:color="auto" w:sz="8" w:space="0"/>
              <w:bottom w:val="single" w:color="auto" w:sz="8" w:space="0"/>
            </w:tcBorders>
            <w:vAlign w:val="center"/>
          </w:tcPr>
          <w:p w14:paraId="5FF97CAB">
            <w:pPr>
              <w:pStyle w:val="179"/>
              <w:bidi w:val="0"/>
              <w:jc w:val="center"/>
              <w:rPr>
                <w:rFonts w:hint="default"/>
                <w:lang w:val="en-US" w:eastAsia="zh-CN"/>
              </w:rPr>
            </w:pPr>
            <w:r>
              <w:rPr>
                <w:rFonts w:hint="eastAsia"/>
                <w:lang w:val="en-US" w:eastAsia="zh-CN"/>
              </w:rPr>
              <w:t>试验方法</w:t>
            </w:r>
          </w:p>
        </w:tc>
        <w:tc>
          <w:tcPr>
            <w:tcW w:w="714" w:type="pct"/>
            <w:tcBorders>
              <w:top w:val="single" w:color="auto" w:sz="8" w:space="0"/>
              <w:bottom w:val="single" w:color="auto" w:sz="8" w:space="0"/>
            </w:tcBorders>
            <w:vAlign w:val="center"/>
          </w:tcPr>
          <w:p w14:paraId="5796AA64">
            <w:pPr>
              <w:pStyle w:val="179"/>
              <w:bidi w:val="0"/>
              <w:jc w:val="center"/>
              <w:rPr>
                <w:rFonts w:hint="default"/>
                <w:lang w:val="en-US" w:eastAsia="zh-CN"/>
              </w:rPr>
            </w:pPr>
            <w:r>
              <w:rPr>
                <w:rFonts w:hint="eastAsia"/>
                <w:lang w:val="en-US" w:eastAsia="zh-CN"/>
              </w:rPr>
              <w:t>出厂检验</w:t>
            </w:r>
          </w:p>
        </w:tc>
        <w:tc>
          <w:tcPr>
            <w:tcW w:w="819" w:type="pct"/>
            <w:tcBorders>
              <w:top w:val="single" w:color="auto" w:sz="8" w:space="0"/>
              <w:bottom w:val="single" w:color="auto" w:sz="8" w:space="0"/>
              <w:right w:val="single" w:color="auto" w:sz="8" w:space="0"/>
            </w:tcBorders>
            <w:vAlign w:val="center"/>
          </w:tcPr>
          <w:p w14:paraId="037657D0">
            <w:pPr>
              <w:pStyle w:val="179"/>
              <w:bidi w:val="0"/>
              <w:jc w:val="center"/>
              <w:rPr>
                <w:rFonts w:hint="default"/>
                <w:lang w:val="en-US" w:eastAsia="zh-CN"/>
              </w:rPr>
            </w:pPr>
            <w:r>
              <w:rPr>
                <w:rFonts w:hint="eastAsia"/>
                <w:lang w:val="en-US" w:eastAsia="zh-CN"/>
              </w:rPr>
              <w:t>型式检验</w:t>
            </w:r>
          </w:p>
        </w:tc>
      </w:tr>
      <w:tr w14:paraId="70B98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tcBorders>
              <w:left w:val="single" w:color="auto" w:sz="8" w:space="0"/>
            </w:tcBorders>
            <w:vAlign w:val="center"/>
          </w:tcPr>
          <w:p w14:paraId="127C2A45">
            <w:pPr>
              <w:pStyle w:val="179"/>
              <w:bidi w:val="0"/>
              <w:jc w:val="center"/>
              <w:rPr>
                <w:rFonts w:hint="default"/>
                <w:lang w:val="en-US" w:eastAsia="zh-CN"/>
              </w:rPr>
            </w:pPr>
            <w:r>
              <w:rPr>
                <w:rFonts w:hint="eastAsia"/>
                <w:lang w:val="en-US" w:eastAsia="zh-CN"/>
              </w:rPr>
              <w:t>1</w:t>
            </w:r>
          </w:p>
        </w:tc>
        <w:tc>
          <w:tcPr>
            <w:tcW w:w="1978" w:type="pct"/>
            <w:gridSpan w:val="2"/>
            <w:vAlign w:val="center"/>
          </w:tcPr>
          <w:p w14:paraId="4EA46D98">
            <w:pPr>
              <w:pStyle w:val="179"/>
              <w:bidi w:val="0"/>
              <w:jc w:val="center"/>
              <w:rPr>
                <w:rFonts w:hint="default"/>
                <w:lang w:val="en-US" w:eastAsia="zh-CN"/>
              </w:rPr>
            </w:pPr>
            <w:r>
              <w:rPr>
                <w:rFonts w:hint="eastAsia"/>
                <w:lang w:val="en-US" w:eastAsia="zh-CN"/>
              </w:rPr>
              <w:t>柜体结构</w:t>
            </w:r>
          </w:p>
        </w:tc>
        <w:tc>
          <w:tcPr>
            <w:tcW w:w="644" w:type="pct"/>
            <w:vAlign w:val="center"/>
          </w:tcPr>
          <w:p w14:paraId="3634C31D">
            <w:pPr>
              <w:pStyle w:val="179"/>
              <w:bidi w:val="0"/>
              <w:ind w:firstLine="0" w:firstLineChars="0"/>
              <w:jc w:val="center"/>
              <w:rPr>
                <w:rFonts w:hint="default"/>
                <w:lang w:val="en-US" w:eastAsia="zh-CN"/>
              </w:rPr>
            </w:pPr>
            <w:r>
              <w:rPr>
                <w:rFonts w:hint="eastAsia"/>
                <w:lang w:val="en-US" w:eastAsia="zh-CN"/>
              </w:rPr>
              <w:t>5.1</w:t>
            </w:r>
          </w:p>
        </w:tc>
        <w:tc>
          <w:tcPr>
            <w:tcW w:w="610" w:type="pct"/>
            <w:vAlign w:val="center"/>
          </w:tcPr>
          <w:p w14:paraId="6436BC56">
            <w:pPr>
              <w:pStyle w:val="179"/>
              <w:bidi w:val="0"/>
              <w:jc w:val="center"/>
              <w:rPr>
                <w:rFonts w:hint="default"/>
                <w:lang w:val="en-US" w:eastAsia="zh-CN"/>
              </w:rPr>
            </w:pPr>
            <w:r>
              <w:rPr>
                <w:rFonts w:hint="eastAsia"/>
                <w:lang w:val="en-US" w:eastAsia="zh-CN"/>
              </w:rPr>
              <w:t>6.1</w:t>
            </w:r>
          </w:p>
        </w:tc>
        <w:tc>
          <w:tcPr>
            <w:tcW w:w="714" w:type="pct"/>
            <w:vAlign w:val="center"/>
          </w:tcPr>
          <w:p w14:paraId="4BF6464D">
            <w:pPr>
              <w:pStyle w:val="179"/>
              <w:bidi w:val="0"/>
              <w:jc w:val="center"/>
              <w:rPr>
                <w:rFonts w:hint="default" w:ascii="Times New Roman" w:hAnsi="Times New Roman" w:cs="Times New Roman"/>
              </w:rPr>
            </w:pPr>
            <w:r>
              <w:rPr>
                <w:rFonts w:hint="default"/>
                <w:lang w:val="en-US" w:eastAsia="zh-CN"/>
              </w:rPr>
              <w:t>√</w:t>
            </w:r>
          </w:p>
        </w:tc>
        <w:tc>
          <w:tcPr>
            <w:tcW w:w="819" w:type="pct"/>
            <w:tcBorders>
              <w:right w:val="single" w:color="auto" w:sz="8" w:space="0"/>
            </w:tcBorders>
            <w:vAlign w:val="center"/>
          </w:tcPr>
          <w:p w14:paraId="0EF7EE87">
            <w:pPr>
              <w:pStyle w:val="179"/>
              <w:bidi w:val="0"/>
              <w:jc w:val="center"/>
              <w:rPr>
                <w:rFonts w:hint="default" w:ascii="Times New Roman" w:hAnsi="Times New Roman" w:cs="Times New Roman"/>
              </w:rPr>
            </w:pPr>
            <w:r>
              <w:rPr>
                <w:rFonts w:hint="default"/>
                <w:lang w:val="en-US" w:eastAsia="zh-CN"/>
              </w:rPr>
              <w:t>√</w:t>
            </w:r>
          </w:p>
        </w:tc>
      </w:tr>
      <w:tr w14:paraId="4AF73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vMerge w:val="restart"/>
            <w:tcBorders>
              <w:left w:val="single" w:color="auto" w:sz="8" w:space="0"/>
            </w:tcBorders>
            <w:shd w:val="clear" w:color="auto" w:fill="auto"/>
            <w:vAlign w:val="center"/>
          </w:tcPr>
          <w:p w14:paraId="089EAA3F">
            <w:pPr>
              <w:pStyle w:val="179"/>
              <w:bidi w:val="0"/>
              <w:ind w:firstLine="0" w:firstLineChars="0"/>
              <w:jc w:val="center"/>
              <w:rPr>
                <w:rFonts w:hint="default" w:ascii="宋体" w:hAnsi="Times New Roman" w:eastAsia="宋体" w:cs="Times New Roman"/>
                <w:sz w:val="18"/>
                <w:lang w:val="en-US" w:eastAsia="zh-CN" w:bidi="ar-SA"/>
              </w:rPr>
            </w:pPr>
            <w:r>
              <w:rPr>
                <w:rFonts w:hint="eastAsia" w:cs="Times New Roman"/>
                <w:sz w:val="18"/>
                <w:lang w:val="en-US" w:eastAsia="zh-CN" w:bidi="ar-SA"/>
              </w:rPr>
              <w:t>2</w:t>
            </w:r>
          </w:p>
        </w:tc>
        <w:tc>
          <w:tcPr>
            <w:tcW w:w="987" w:type="pct"/>
            <w:vMerge w:val="restart"/>
            <w:vAlign w:val="center"/>
          </w:tcPr>
          <w:p w14:paraId="7F9C028F">
            <w:pPr>
              <w:pStyle w:val="179"/>
              <w:bidi w:val="0"/>
              <w:jc w:val="center"/>
              <w:rPr>
                <w:rFonts w:hint="default"/>
                <w:lang w:val="en-US" w:eastAsia="zh-CN"/>
              </w:rPr>
            </w:pPr>
            <w:r>
              <w:rPr>
                <w:rFonts w:hint="eastAsia"/>
                <w:lang w:val="en-US" w:eastAsia="zh-CN"/>
              </w:rPr>
              <w:t>绝缘性能</w:t>
            </w:r>
          </w:p>
        </w:tc>
        <w:tc>
          <w:tcPr>
            <w:tcW w:w="991" w:type="pct"/>
            <w:vAlign w:val="center"/>
          </w:tcPr>
          <w:p w14:paraId="5511B261">
            <w:pPr>
              <w:pStyle w:val="179"/>
              <w:bidi w:val="0"/>
              <w:jc w:val="center"/>
              <w:rPr>
                <w:rFonts w:hint="default"/>
                <w:lang w:val="en-US" w:eastAsia="zh-CN"/>
              </w:rPr>
            </w:pPr>
            <w:r>
              <w:rPr>
                <w:rFonts w:hint="eastAsia"/>
                <w:lang w:val="en-US" w:eastAsia="zh-CN"/>
              </w:rPr>
              <w:t>工频耐受电压</w:t>
            </w:r>
          </w:p>
        </w:tc>
        <w:tc>
          <w:tcPr>
            <w:tcW w:w="644" w:type="pct"/>
            <w:vAlign w:val="center"/>
          </w:tcPr>
          <w:p w14:paraId="0A3F8692">
            <w:pPr>
              <w:pStyle w:val="179"/>
              <w:bidi w:val="0"/>
              <w:ind w:firstLine="0" w:firstLineChars="0"/>
              <w:jc w:val="center"/>
              <w:rPr>
                <w:rFonts w:hint="default"/>
                <w:lang w:val="en-US" w:eastAsia="zh-CN"/>
              </w:rPr>
            </w:pPr>
            <w:r>
              <w:rPr>
                <w:rFonts w:hint="eastAsia"/>
                <w:lang w:val="en-US" w:eastAsia="zh-CN"/>
              </w:rPr>
              <w:t>5.2.1</w:t>
            </w:r>
          </w:p>
        </w:tc>
        <w:tc>
          <w:tcPr>
            <w:tcW w:w="610" w:type="pct"/>
            <w:vAlign w:val="center"/>
          </w:tcPr>
          <w:p w14:paraId="7360D62C">
            <w:pPr>
              <w:pStyle w:val="179"/>
              <w:bidi w:val="0"/>
              <w:jc w:val="center"/>
              <w:rPr>
                <w:rFonts w:hint="default"/>
                <w:lang w:val="en-US" w:eastAsia="zh-CN"/>
              </w:rPr>
            </w:pPr>
            <w:r>
              <w:rPr>
                <w:rFonts w:hint="eastAsia"/>
                <w:lang w:val="en-US" w:eastAsia="zh-CN"/>
              </w:rPr>
              <w:t>6.2.1</w:t>
            </w:r>
          </w:p>
        </w:tc>
        <w:tc>
          <w:tcPr>
            <w:tcW w:w="714" w:type="pct"/>
            <w:vAlign w:val="center"/>
          </w:tcPr>
          <w:p w14:paraId="58BB9C67">
            <w:pPr>
              <w:pStyle w:val="179"/>
              <w:bidi w:val="0"/>
              <w:jc w:val="center"/>
              <w:rPr>
                <w:rFonts w:hint="eastAsia"/>
                <w:lang w:val="en-US" w:eastAsia="zh-CN"/>
              </w:rPr>
            </w:pPr>
            <w:r>
              <w:rPr>
                <w:rFonts w:hint="default"/>
                <w:lang w:val="en-US" w:eastAsia="zh-CN"/>
              </w:rPr>
              <w:t>√</w:t>
            </w:r>
          </w:p>
        </w:tc>
        <w:tc>
          <w:tcPr>
            <w:tcW w:w="819" w:type="pct"/>
            <w:tcBorders>
              <w:right w:val="single" w:color="auto" w:sz="8" w:space="0"/>
            </w:tcBorders>
            <w:vAlign w:val="center"/>
          </w:tcPr>
          <w:p w14:paraId="27ED207F">
            <w:pPr>
              <w:pStyle w:val="179"/>
              <w:bidi w:val="0"/>
              <w:jc w:val="center"/>
              <w:rPr>
                <w:rFonts w:hint="default" w:ascii="Times New Roman" w:hAnsi="Times New Roman" w:cs="Times New Roman"/>
              </w:rPr>
            </w:pPr>
            <w:r>
              <w:rPr>
                <w:rFonts w:hint="default"/>
                <w:lang w:val="en-US" w:eastAsia="zh-CN"/>
              </w:rPr>
              <w:t>√</w:t>
            </w:r>
          </w:p>
        </w:tc>
      </w:tr>
      <w:tr w14:paraId="2B329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vMerge w:val="continue"/>
            <w:tcBorders>
              <w:left w:val="single" w:color="auto" w:sz="8" w:space="0"/>
            </w:tcBorders>
            <w:shd w:val="clear" w:color="auto" w:fill="auto"/>
            <w:vAlign w:val="center"/>
          </w:tcPr>
          <w:p w14:paraId="3EB78A4B">
            <w:pPr>
              <w:pStyle w:val="179"/>
              <w:bidi w:val="0"/>
              <w:ind w:firstLine="0" w:firstLineChars="0"/>
              <w:jc w:val="center"/>
              <w:rPr>
                <w:rFonts w:hint="eastAsia"/>
                <w:lang w:val="en-US" w:eastAsia="zh-CN"/>
              </w:rPr>
            </w:pPr>
          </w:p>
        </w:tc>
        <w:tc>
          <w:tcPr>
            <w:tcW w:w="987" w:type="pct"/>
            <w:vMerge w:val="continue"/>
            <w:tcBorders/>
            <w:vAlign w:val="center"/>
          </w:tcPr>
          <w:p w14:paraId="434168DC">
            <w:pPr>
              <w:pStyle w:val="179"/>
              <w:bidi w:val="0"/>
              <w:jc w:val="center"/>
              <w:rPr>
                <w:rFonts w:hint="eastAsia"/>
                <w:lang w:val="en-US" w:eastAsia="zh-CN"/>
              </w:rPr>
            </w:pPr>
          </w:p>
        </w:tc>
        <w:tc>
          <w:tcPr>
            <w:tcW w:w="991" w:type="pct"/>
            <w:vAlign w:val="center"/>
          </w:tcPr>
          <w:p w14:paraId="647368B7">
            <w:pPr>
              <w:pStyle w:val="179"/>
              <w:bidi w:val="0"/>
              <w:jc w:val="center"/>
              <w:rPr>
                <w:rFonts w:hint="default"/>
                <w:lang w:val="en-US" w:eastAsia="zh-CN"/>
              </w:rPr>
            </w:pPr>
            <w:r>
              <w:rPr>
                <w:rFonts w:hint="eastAsia"/>
                <w:lang w:val="en-US" w:eastAsia="zh-CN"/>
              </w:rPr>
              <w:t>雷电冲击耐受电压</w:t>
            </w:r>
          </w:p>
        </w:tc>
        <w:tc>
          <w:tcPr>
            <w:tcW w:w="644" w:type="pct"/>
            <w:vAlign w:val="center"/>
          </w:tcPr>
          <w:p w14:paraId="53BBB430">
            <w:pPr>
              <w:pStyle w:val="179"/>
              <w:bidi w:val="0"/>
              <w:ind w:firstLine="0" w:firstLineChars="0"/>
              <w:jc w:val="center"/>
              <w:rPr>
                <w:rFonts w:hint="default"/>
                <w:lang w:val="en-US" w:eastAsia="zh-CN"/>
              </w:rPr>
            </w:pPr>
            <w:r>
              <w:rPr>
                <w:rFonts w:hint="eastAsia"/>
                <w:lang w:val="en-US" w:eastAsia="zh-CN"/>
              </w:rPr>
              <w:t>5.2.2</w:t>
            </w:r>
          </w:p>
        </w:tc>
        <w:tc>
          <w:tcPr>
            <w:tcW w:w="610" w:type="pct"/>
            <w:vAlign w:val="center"/>
          </w:tcPr>
          <w:p w14:paraId="4C2201EB">
            <w:pPr>
              <w:pStyle w:val="179"/>
              <w:bidi w:val="0"/>
              <w:jc w:val="center"/>
              <w:rPr>
                <w:rFonts w:hint="default"/>
                <w:lang w:val="en-US" w:eastAsia="zh-CN"/>
              </w:rPr>
            </w:pPr>
            <w:r>
              <w:rPr>
                <w:rFonts w:hint="eastAsia"/>
                <w:lang w:val="en-US" w:eastAsia="zh-CN"/>
              </w:rPr>
              <w:t>6.2.2</w:t>
            </w:r>
          </w:p>
        </w:tc>
        <w:tc>
          <w:tcPr>
            <w:tcW w:w="714" w:type="pct"/>
            <w:vAlign w:val="center"/>
          </w:tcPr>
          <w:p w14:paraId="6B475330">
            <w:pPr>
              <w:pStyle w:val="179"/>
              <w:bidi w:val="0"/>
              <w:jc w:val="center"/>
              <w:rPr>
                <w:rFonts w:hint="default"/>
                <w:lang w:val="en-US" w:eastAsia="zh-CN"/>
              </w:rPr>
            </w:pPr>
            <w:r>
              <w:rPr>
                <w:rFonts w:hint="default"/>
                <w:lang w:val="en-US" w:eastAsia="zh-CN"/>
              </w:rPr>
              <w:t>√</w:t>
            </w:r>
          </w:p>
        </w:tc>
        <w:tc>
          <w:tcPr>
            <w:tcW w:w="819" w:type="pct"/>
            <w:tcBorders>
              <w:right w:val="single" w:color="auto" w:sz="8" w:space="0"/>
            </w:tcBorders>
            <w:vAlign w:val="center"/>
          </w:tcPr>
          <w:p w14:paraId="3C4A23D7">
            <w:pPr>
              <w:pStyle w:val="179"/>
              <w:bidi w:val="0"/>
              <w:jc w:val="center"/>
              <w:rPr>
                <w:rFonts w:hint="default"/>
                <w:lang w:val="en-US" w:eastAsia="zh-CN"/>
              </w:rPr>
            </w:pPr>
            <w:r>
              <w:rPr>
                <w:rFonts w:hint="default"/>
                <w:lang w:val="en-US" w:eastAsia="zh-CN"/>
              </w:rPr>
              <w:t>√</w:t>
            </w:r>
          </w:p>
        </w:tc>
      </w:tr>
      <w:tr w14:paraId="37207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tcBorders>
              <w:left w:val="single" w:color="auto" w:sz="8" w:space="0"/>
            </w:tcBorders>
            <w:shd w:val="clear" w:color="auto" w:fill="auto"/>
            <w:vAlign w:val="center"/>
          </w:tcPr>
          <w:p w14:paraId="7D69B94E">
            <w:pPr>
              <w:pStyle w:val="179"/>
              <w:bidi w:val="0"/>
              <w:ind w:firstLine="0" w:firstLineChars="0"/>
              <w:jc w:val="center"/>
              <w:rPr>
                <w:rFonts w:hint="default"/>
                <w:lang w:val="en-US" w:eastAsia="zh-CN"/>
              </w:rPr>
            </w:pPr>
            <w:r>
              <w:rPr>
                <w:rFonts w:hint="eastAsia"/>
                <w:lang w:val="en-US" w:eastAsia="zh-CN"/>
              </w:rPr>
              <w:t>3</w:t>
            </w:r>
          </w:p>
        </w:tc>
        <w:tc>
          <w:tcPr>
            <w:tcW w:w="1978" w:type="pct"/>
            <w:gridSpan w:val="2"/>
            <w:vAlign w:val="center"/>
          </w:tcPr>
          <w:p w14:paraId="4CC2D3A7">
            <w:pPr>
              <w:pStyle w:val="179"/>
              <w:bidi w:val="0"/>
              <w:jc w:val="center"/>
              <w:rPr>
                <w:rFonts w:hint="default"/>
                <w:lang w:val="en-US" w:eastAsia="zh-CN"/>
              </w:rPr>
            </w:pPr>
            <w:r>
              <w:rPr>
                <w:rFonts w:hint="eastAsia"/>
                <w:highlight w:val="none"/>
                <w:lang w:val="en-US" w:eastAsia="zh-CN"/>
              </w:rPr>
              <w:t>短路性能</w:t>
            </w:r>
          </w:p>
        </w:tc>
        <w:tc>
          <w:tcPr>
            <w:tcW w:w="644" w:type="pct"/>
            <w:vAlign w:val="center"/>
          </w:tcPr>
          <w:p w14:paraId="0E029C73">
            <w:pPr>
              <w:pStyle w:val="179"/>
              <w:bidi w:val="0"/>
              <w:ind w:firstLine="0" w:firstLineChars="0"/>
              <w:jc w:val="center"/>
              <w:rPr>
                <w:rFonts w:hint="default"/>
                <w:lang w:val="en-US" w:eastAsia="zh-CN"/>
              </w:rPr>
            </w:pPr>
            <w:r>
              <w:rPr>
                <w:rFonts w:hint="eastAsia"/>
                <w:lang w:val="en-US" w:eastAsia="zh-CN"/>
              </w:rPr>
              <w:t>5.3</w:t>
            </w:r>
          </w:p>
        </w:tc>
        <w:tc>
          <w:tcPr>
            <w:tcW w:w="610" w:type="pct"/>
            <w:vAlign w:val="center"/>
          </w:tcPr>
          <w:p w14:paraId="50DB6EA6">
            <w:pPr>
              <w:pStyle w:val="179"/>
              <w:bidi w:val="0"/>
              <w:jc w:val="center"/>
              <w:rPr>
                <w:rFonts w:hint="default"/>
                <w:lang w:val="en-US" w:eastAsia="zh-CN"/>
              </w:rPr>
            </w:pPr>
            <w:r>
              <w:rPr>
                <w:rFonts w:hint="eastAsia"/>
                <w:lang w:val="en-US" w:eastAsia="zh-CN"/>
              </w:rPr>
              <w:t>6.3</w:t>
            </w:r>
          </w:p>
        </w:tc>
        <w:tc>
          <w:tcPr>
            <w:tcW w:w="714" w:type="pct"/>
            <w:vAlign w:val="center"/>
          </w:tcPr>
          <w:p w14:paraId="556AB452">
            <w:pPr>
              <w:pStyle w:val="179"/>
              <w:bidi w:val="0"/>
              <w:jc w:val="center"/>
              <w:rPr>
                <w:rFonts w:hint="eastAsia"/>
                <w:lang w:val="en-US" w:eastAsia="zh-CN"/>
              </w:rPr>
            </w:pPr>
            <w:r>
              <w:rPr>
                <w:rFonts w:hint="eastAsia"/>
                <w:lang w:val="en-US" w:eastAsia="zh-CN"/>
              </w:rPr>
              <w:t>—</w:t>
            </w:r>
          </w:p>
        </w:tc>
        <w:tc>
          <w:tcPr>
            <w:tcW w:w="819" w:type="pct"/>
            <w:tcBorders>
              <w:right w:val="single" w:color="auto" w:sz="8" w:space="0"/>
            </w:tcBorders>
            <w:vAlign w:val="center"/>
          </w:tcPr>
          <w:p w14:paraId="3BD75D71">
            <w:pPr>
              <w:pStyle w:val="179"/>
              <w:bidi w:val="0"/>
              <w:jc w:val="center"/>
              <w:rPr>
                <w:rFonts w:hint="default"/>
                <w:lang w:val="en-US" w:eastAsia="zh-CN"/>
              </w:rPr>
            </w:pPr>
            <w:r>
              <w:rPr>
                <w:rFonts w:hint="default"/>
                <w:lang w:val="en-US" w:eastAsia="zh-CN"/>
              </w:rPr>
              <w:t>√</w:t>
            </w:r>
          </w:p>
        </w:tc>
      </w:tr>
      <w:tr w14:paraId="2D734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tcBorders>
              <w:left w:val="single" w:color="auto" w:sz="8" w:space="0"/>
            </w:tcBorders>
            <w:shd w:val="clear" w:color="auto" w:fill="auto"/>
            <w:vAlign w:val="center"/>
          </w:tcPr>
          <w:p w14:paraId="0C3C11E5">
            <w:pPr>
              <w:pStyle w:val="179"/>
              <w:bidi w:val="0"/>
              <w:ind w:firstLine="0" w:firstLineChars="0"/>
              <w:jc w:val="center"/>
              <w:rPr>
                <w:rFonts w:hint="eastAsia" w:ascii="宋体" w:hAnsi="Times New Roman" w:eastAsia="宋体" w:cs="Times New Roman"/>
                <w:sz w:val="18"/>
                <w:lang w:val="en-US" w:eastAsia="zh-CN" w:bidi="ar-SA"/>
              </w:rPr>
            </w:pPr>
            <w:r>
              <w:rPr>
                <w:rFonts w:hint="eastAsia"/>
                <w:lang w:val="en-US" w:eastAsia="zh-CN"/>
              </w:rPr>
              <w:t>4</w:t>
            </w:r>
          </w:p>
        </w:tc>
        <w:tc>
          <w:tcPr>
            <w:tcW w:w="1978" w:type="pct"/>
            <w:gridSpan w:val="2"/>
            <w:vAlign w:val="center"/>
          </w:tcPr>
          <w:p w14:paraId="7C86C88F">
            <w:pPr>
              <w:pStyle w:val="179"/>
              <w:bidi w:val="0"/>
              <w:jc w:val="center"/>
              <w:rPr>
                <w:rFonts w:hint="default"/>
                <w:highlight w:val="none"/>
                <w:lang w:val="en-US" w:eastAsia="zh-CN"/>
              </w:rPr>
            </w:pPr>
            <w:r>
              <w:rPr>
                <w:rFonts w:hint="eastAsia"/>
                <w:highlight w:val="none"/>
                <w:lang w:val="en-US" w:eastAsia="zh-CN"/>
              </w:rPr>
              <w:t>主回路电阻</w:t>
            </w:r>
          </w:p>
        </w:tc>
        <w:tc>
          <w:tcPr>
            <w:tcW w:w="644" w:type="pct"/>
            <w:vAlign w:val="center"/>
          </w:tcPr>
          <w:p w14:paraId="291C7FAE">
            <w:pPr>
              <w:pStyle w:val="179"/>
              <w:bidi w:val="0"/>
              <w:ind w:firstLine="0" w:firstLineChars="0"/>
              <w:jc w:val="center"/>
              <w:rPr>
                <w:rFonts w:hint="default"/>
                <w:lang w:val="en-US" w:eastAsia="zh-CN"/>
              </w:rPr>
            </w:pPr>
            <w:r>
              <w:rPr>
                <w:rFonts w:hint="eastAsia"/>
                <w:lang w:val="en-US" w:eastAsia="zh-CN"/>
              </w:rPr>
              <w:t>5.4</w:t>
            </w:r>
          </w:p>
        </w:tc>
        <w:tc>
          <w:tcPr>
            <w:tcW w:w="610" w:type="pct"/>
            <w:vAlign w:val="center"/>
          </w:tcPr>
          <w:p w14:paraId="0ED469E0">
            <w:pPr>
              <w:pStyle w:val="179"/>
              <w:bidi w:val="0"/>
              <w:jc w:val="center"/>
              <w:rPr>
                <w:rFonts w:hint="default"/>
                <w:lang w:val="en-US" w:eastAsia="zh-CN"/>
              </w:rPr>
            </w:pPr>
            <w:r>
              <w:rPr>
                <w:rFonts w:hint="eastAsia"/>
                <w:lang w:val="en-US" w:eastAsia="zh-CN"/>
              </w:rPr>
              <w:t>6.4</w:t>
            </w:r>
          </w:p>
        </w:tc>
        <w:tc>
          <w:tcPr>
            <w:tcW w:w="714" w:type="pct"/>
            <w:vAlign w:val="center"/>
          </w:tcPr>
          <w:p w14:paraId="245D7588">
            <w:pPr>
              <w:pStyle w:val="179"/>
              <w:bidi w:val="0"/>
              <w:jc w:val="center"/>
              <w:rPr>
                <w:rFonts w:hint="eastAsia"/>
                <w:lang w:val="en-US" w:eastAsia="zh-CN"/>
              </w:rPr>
            </w:pPr>
            <w:r>
              <w:rPr>
                <w:rFonts w:hint="eastAsia"/>
                <w:lang w:val="en-US" w:eastAsia="zh-CN"/>
              </w:rPr>
              <w:t>—</w:t>
            </w:r>
          </w:p>
        </w:tc>
        <w:tc>
          <w:tcPr>
            <w:tcW w:w="819" w:type="pct"/>
            <w:tcBorders>
              <w:right w:val="single" w:color="auto" w:sz="8" w:space="0"/>
            </w:tcBorders>
            <w:vAlign w:val="center"/>
          </w:tcPr>
          <w:p w14:paraId="753ED699">
            <w:pPr>
              <w:pStyle w:val="179"/>
              <w:bidi w:val="0"/>
              <w:jc w:val="center"/>
              <w:rPr>
                <w:rFonts w:hint="default"/>
                <w:lang w:val="en-US" w:eastAsia="zh-CN"/>
              </w:rPr>
            </w:pPr>
            <w:r>
              <w:rPr>
                <w:rFonts w:hint="default"/>
                <w:lang w:val="en-US" w:eastAsia="zh-CN"/>
              </w:rPr>
              <w:t>√</w:t>
            </w:r>
          </w:p>
        </w:tc>
      </w:tr>
      <w:tr w14:paraId="7C23B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vMerge w:val="restart"/>
            <w:tcBorders>
              <w:left w:val="single" w:color="auto" w:sz="8" w:space="0"/>
            </w:tcBorders>
            <w:shd w:val="clear" w:color="auto" w:fill="auto"/>
            <w:vAlign w:val="center"/>
          </w:tcPr>
          <w:p w14:paraId="575FEDEA">
            <w:pPr>
              <w:pStyle w:val="179"/>
              <w:bidi w:val="0"/>
              <w:ind w:firstLine="0" w:firstLineChars="0"/>
              <w:jc w:val="center"/>
              <w:rPr>
                <w:rFonts w:hint="default"/>
                <w:lang w:val="en-US" w:eastAsia="zh-CN"/>
              </w:rPr>
            </w:pPr>
            <w:r>
              <w:rPr>
                <w:rFonts w:hint="eastAsia"/>
                <w:lang w:val="en-US" w:eastAsia="zh-CN"/>
              </w:rPr>
              <w:t>5</w:t>
            </w:r>
          </w:p>
        </w:tc>
        <w:tc>
          <w:tcPr>
            <w:tcW w:w="987" w:type="pct"/>
            <w:vMerge w:val="restart"/>
            <w:vAlign w:val="center"/>
          </w:tcPr>
          <w:p w14:paraId="63B9B84B">
            <w:pPr>
              <w:pStyle w:val="179"/>
              <w:bidi w:val="0"/>
              <w:jc w:val="center"/>
              <w:rPr>
                <w:rFonts w:hint="default"/>
                <w:highlight w:val="none"/>
                <w:lang w:val="en-US" w:eastAsia="zh-CN"/>
              </w:rPr>
            </w:pPr>
            <w:r>
              <w:rPr>
                <w:rFonts w:hint="eastAsia"/>
                <w:highlight w:val="none"/>
                <w:lang w:val="en-US" w:eastAsia="zh-CN"/>
              </w:rPr>
              <w:t>核心元器件要求</w:t>
            </w:r>
          </w:p>
        </w:tc>
        <w:tc>
          <w:tcPr>
            <w:tcW w:w="991" w:type="pct"/>
            <w:vAlign w:val="center"/>
          </w:tcPr>
          <w:p w14:paraId="168F4755">
            <w:pPr>
              <w:pStyle w:val="179"/>
              <w:bidi w:val="0"/>
              <w:jc w:val="center"/>
              <w:rPr>
                <w:rFonts w:hint="default"/>
                <w:highlight w:val="none"/>
                <w:lang w:val="en-US" w:eastAsia="zh-CN"/>
              </w:rPr>
            </w:pPr>
            <w:r>
              <w:rPr>
                <w:rFonts w:hint="eastAsia"/>
                <w:highlight w:val="none"/>
                <w:lang w:val="en-US" w:eastAsia="zh-CN"/>
              </w:rPr>
              <w:t>电流互感器</w:t>
            </w:r>
          </w:p>
        </w:tc>
        <w:tc>
          <w:tcPr>
            <w:tcW w:w="644" w:type="pct"/>
            <w:vAlign w:val="center"/>
          </w:tcPr>
          <w:p w14:paraId="51E896BB">
            <w:pPr>
              <w:pStyle w:val="179"/>
              <w:bidi w:val="0"/>
              <w:ind w:firstLine="0" w:firstLineChars="0"/>
              <w:jc w:val="center"/>
              <w:rPr>
                <w:rFonts w:hint="default"/>
                <w:lang w:val="en-US" w:eastAsia="zh-CN"/>
              </w:rPr>
            </w:pPr>
            <w:r>
              <w:rPr>
                <w:rFonts w:hint="eastAsia"/>
                <w:lang w:val="en-US" w:eastAsia="zh-CN"/>
              </w:rPr>
              <w:t>5.5.1</w:t>
            </w:r>
          </w:p>
        </w:tc>
        <w:tc>
          <w:tcPr>
            <w:tcW w:w="610" w:type="pct"/>
            <w:vAlign w:val="center"/>
          </w:tcPr>
          <w:p w14:paraId="7A81D076">
            <w:pPr>
              <w:pStyle w:val="179"/>
              <w:bidi w:val="0"/>
              <w:jc w:val="center"/>
              <w:rPr>
                <w:rFonts w:hint="default"/>
                <w:lang w:val="en-US" w:eastAsia="zh-CN"/>
              </w:rPr>
            </w:pPr>
            <w:r>
              <w:rPr>
                <w:rFonts w:hint="eastAsia"/>
                <w:lang w:val="en-US" w:eastAsia="zh-CN"/>
              </w:rPr>
              <w:t>6.5.1</w:t>
            </w:r>
          </w:p>
        </w:tc>
        <w:tc>
          <w:tcPr>
            <w:tcW w:w="714" w:type="pct"/>
            <w:vAlign w:val="center"/>
          </w:tcPr>
          <w:p w14:paraId="65B23CDD">
            <w:pPr>
              <w:pStyle w:val="179"/>
              <w:bidi w:val="0"/>
              <w:jc w:val="center"/>
              <w:rPr>
                <w:rFonts w:hint="eastAsia"/>
                <w:lang w:val="en-US" w:eastAsia="zh-CN"/>
              </w:rPr>
            </w:pPr>
            <w:r>
              <w:rPr>
                <w:rFonts w:hint="eastAsia"/>
                <w:lang w:val="en-US" w:eastAsia="zh-CN"/>
              </w:rPr>
              <w:t>—</w:t>
            </w:r>
          </w:p>
        </w:tc>
        <w:tc>
          <w:tcPr>
            <w:tcW w:w="819" w:type="pct"/>
            <w:tcBorders>
              <w:right w:val="single" w:color="auto" w:sz="8" w:space="0"/>
            </w:tcBorders>
            <w:vAlign w:val="center"/>
          </w:tcPr>
          <w:p w14:paraId="67B27C60">
            <w:pPr>
              <w:pStyle w:val="179"/>
              <w:bidi w:val="0"/>
              <w:jc w:val="center"/>
              <w:rPr>
                <w:rFonts w:hint="default"/>
                <w:lang w:val="en-US" w:eastAsia="zh-CN"/>
              </w:rPr>
            </w:pPr>
            <w:r>
              <w:rPr>
                <w:rFonts w:hint="default"/>
                <w:lang w:val="en-US" w:eastAsia="zh-CN"/>
              </w:rPr>
              <w:t>√</w:t>
            </w:r>
          </w:p>
        </w:tc>
      </w:tr>
      <w:tr w14:paraId="20D8A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vMerge w:val="continue"/>
            <w:tcBorders>
              <w:left w:val="single" w:color="auto" w:sz="8" w:space="0"/>
            </w:tcBorders>
            <w:shd w:val="clear" w:color="auto" w:fill="auto"/>
            <w:vAlign w:val="center"/>
          </w:tcPr>
          <w:p w14:paraId="7C7F2883">
            <w:pPr>
              <w:pStyle w:val="179"/>
              <w:bidi w:val="0"/>
              <w:ind w:firstLine="0" w:firstLineChars="0"/>
              <w:jc w:val="center"/>
              <w:rPr>
                <w:rFonts w:hint="eastAsia"/>
                <w:lang w:val="en-US" w:eastAsia="zh-CN"/>
              </w:rPr>
            </w:pPr>
          </w:p>
        </w:tc>
        <w:tc>
          <w:tcPr>
            <w:tcW w:w="987" w:type="pct"/>
            <w:vMerge w:val="continue"/>
            <w:tcBorders/>
            <w:vAlign w:val="center"/>
          </w:tcPr>
          <w:p w14:paraId="05D131DE">
            <w:pPr>
              <w:pStyle w:val="179"/>
              <w:bidi w:val="0"/>
              <w:jc w:val="center"/>
              <w:rPr>
                <w:rFonts w:hint="eastAsia"/>
                <w:highlight w:val="none"/>
                <w:lang w:val="en-US" w:eastAsia="zh-CN"/>
              </w:rPr>
            </w:pPr>
          </w:p>
        </w:tc>
        <w:tc>
          <w:tcPr>
            <w:tcW w:w="991" w:type="pct"/>
            <w:vAlign w:val="center"/>
          </w:tcPr>
          <w:p w14:paraId="72BC0E53">
            <w:pPr>
              <w:pStyle w:val="179"/>
              <w:bidi w:val="0"/>
              <w:jc w:val="center"/>
              <w:rPr>
                <w:rFonts w:hint="default"/>
                <w:highlight w:val="none"/>
                <w:lang w:val="en-US" w:eastAsia="zh-CN"/>
              </w:rPr>
            </w:pPr>
            <w:r>
              <w:rPr>
                <w:rFonts w:hint="eastAsia"/>
                <w:highlight w:val="none"/>
                <w:lang w:val="en-US" w:eastAsia="zh-CN"/>
              </w:rPr>
              <w:t>电压互感器</w:t>
            </w:r>
          </w:p>
        </w:tc>
        <w:tc>
          <w:tcPr>
            <w:tcW w:w="644" w:type="pct"/>
            <w:vAlign w:val="center"/>
          </w:tcPr>
          <w:p w14:paraId="096C3F26">
            <w:pPr>
              <w:pStyle w:val="179"/>
              <w:bidi w:val="0"/>
              <w:ind w:firstLine="0" w:firstLineChars="0"/>
              <w:jc w:val="center"/>
              <w:rPr>
                <w:rFonts w:hint="default"/>
                <w:lang w:val="en-US" w:eastAsia="zh-CN"/>
              </w:rPr>
            </w:pPr>
            <w:r>
              <w:rPr>
                <w:rFonts w:hint="eastAsia"/>
                <w:lang w:val="en-US" w:eastAsia="zh-CN"/>
              </w:rPr>
              <w:t>5.5.2</w:t>
            </w:r>
          </w:p>
        </w:tc>
        <w:tc>
          <w:tcPr>
            <w:tcW w:w="610" w:type="pct"/>
            <w:vAlign w:val="center"/>
          </w:tcPr>
          <w:p w14:paraId="04313572">
            <w:pPr>
              <w:pStyle w:val="179"/>
              <w:bidi w:val="0"/>
              <w:jc w:val="center"/>
              <w:rPr>
                <w:rFonts w:hint="default"/>
                <w:lang w:val="en-US" w:eastAsia="zh-CN"/>
              </w:rPr>
            </w:pPr>
            <w:r>
              <w:rPr>
                <w:rFonts w:hint="eastAsia"/>
                <w:lang w:val="en-US" w:eastAsia="zh-CN"/>
              </w:rPr>
              <w:t>6.5.2</w:t>
            </w:r>
          </w:p>
        </w:tc>
        <w:tc>
          <w:tcPr>
            <w:tcW w:w="714" w:type="pct"/>
            <w:vAlign w:val="center"/>
          </w:tcPr>
          <w:p w14:paraId="645BAC61">
            <w:pPr>
              <w:pStyle w:val="179"/>
              <w:bidi w:val="0"/>
              <w:jc w:val="center"/>
              <w:rPr>
                <w:rFonts w:hint="eastAsia"/>
                <w:lang w:val="en-US" w:eastAsia="zh-CN"/>
              </w:rPr>
            </w:pPr>
            <w:r>
              <w:rPr>
                <w:rFonts w:hint="eastAsia"/>
                <w:lang w:val="en-US" w:eastAsia="zh-CN"/>
              </w:rPr>
              <w:t>—</w:t>
            </w:r>
          </w:p>
        </w:tc>
        <w:tc>
          <w:tcPr>
            <w:tcW w:w="819" w:type="pct"/>
            <w:tcBorders>
              <w:right w:val="single" w:color="auto" w:sz="8" w:space="0"/>
            </w:tcBorders>
            <w:vAlign w:val="center"/>
          </w:tcPr>
          <w:p w14:paraId="7B3C98EC">
            <w:pPr>
              <w:pStyle w:val="179"/>
              <w:bidi w:val="0"/>
              <w:jc w:val="center"/>
              <w:rPr>
                <w:rFonts w:hint="default"/>
                <w:lang w:val="en-US" w:eastAsia="zh-CN"/>
              </w:rPr>
            </w:pPr>
            <w:r>
              <w:rPr>
                <w:rFonts w:hint="default"/>
                <w:lang w:val="en-US" w:eastAsia="zh-CN"/>
              </w:rPr>
              <w:t>√</w:t>
            </w:r>
          </w:p>
        </w:tc>
      </w:tr>
      <w:tr w14:paraId="508B7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vMerge w:val="continue"/>
            <w:tcBorders>
              <w:left w:val="single" w:color="auto" w:sz="8" w:space="0"/>
            </w:tcBorders>
            <w:shd w:val="clear" w:color="auto" w:fill="auto"/>
            <w:vAlign w:val="center"/>
          </w:tcPr>
          <w:p w14:paraId="17814156">
            <w:pPr>
              <w:pStyle w:val="179"/>
              <w:bidi w:val="0"/>
              <w:ind w:firstLine="0" w:firstLineChars="0"/>
              <w:jc w:val="center"/>
              <w:rPr>
                <w:rFonts w:hint="eastAsia" w:ascii="宋体" w:hAnsi="Times New Roman" w:eastAsia="宋体" w:cs="Times New Roman"/>
                <w:sz w:val="18"/>
                <w:lang w:val="en-US" w:eastAsia="zh-CN" w:bidi="ar-SA"/>
              </w:rPr>
            </w:pPr>
          </w:p>
        </w:tc>
        <w:tc>
          <w:tcPr>
            <w:tcW w:w="987" w:type="pct"/>
            <w:vMerge w:val="continue"/>
            <w:tcBorders/>
            <w:vAlign w:val="center"/>
          </w:tcPr>
          <w:p w14:paraId="2E593980">
            <w:pPr>
              <w:pStyle w:val="179"/>
              <w:bidi w:val="0"/>
              <w:jc w:val="center"/>
              <w:rPr>
                <w:rFonts w:hint="eastAsia"/>
                <w:highlight w:val="none"/>
                <w:lang w:val="en-US" w:eastAsia="zh-CN"/>
              </w:rPr>
            </w:pPr>
          </w:p>
        </w:tc>
        <w:tc>
          <w:tcPr>
            <w:tcW w:w="991" w:type="pct"/>
            <w:vAlign w:val="center"/>
          </w:tcPr>
          <w:p w14:paraId="722A2B94">
            <w:pPr>
              <w:pStyle w:val="179"/>
              <w:bidi w:val="0"/>
              <w:jc w:val="center"/>
              <w:rPr>
                <w:rFonts w:hint="default"/>
                <w:highlight w:val="none"/>
                <w:lang w:val="en-US" w:eastAsia="zh-CN"/>
              </w:rPr>
            </w:pPr>
            <w:r>
              <w:rPr>
                <w:rFonts w:hint="eastAsia"/>
                <w:highlight w:val="none"/>
                <w:lang w:val="en-US" w:eastAsia="zh-CN"/>
              </w:rPr>
              <w:t>避雷器</w:t>
            </w:r>
          </w:p>
        </w:tc>
        <w:tc>
          <w:tcPr>
            <w:tcW w:w="644" w:type="pct"/>
            <w:vAlign w:val="center"/>
          </w:tcPr>
          <w:p w14:paraId="061EBA12">
            <w:pPr>
              <w:pStyle w:val="179"/>
              <w:bidi w:val="0"/>
              <w:ind w:firstLine="0" w:firstLineChars="0"/>
              <w:jc w:val="center"/>
              <w:rPr>
                <w:rFonts w:hint="default"/>
                <w:lang w:val="en-US" w:eastAsia="zh-CN"/>
              </w:rPr>
            </w:pPr>
            <w:r>
              <w:rPr>
                <w:rFonts w:hint="eastAsia"/>
                <w:lang w:val="en-US" w:eastAsia="zh-CN"/>
              </w:rPr>
              <w:t>5.5.3</w:t>
            </w:r>
          </w:p>
        </w:tc>
        <w:tc>
          <w:tcPr>
            <w:tcW w:w="610" w:type="pct"/>
            <w:vAlign w:val="center"/>
          </w:tcPr>
          <w:p w14:paraId="01957617">
            <w:pPr>
              <w:pStyle w:val="179"/>
              <w:bidi w:val="0"/>
              <w:jc w:val="center"/>
              <w:rPr>
                <w:rFonts w:hint="default"/>
                <w:lang w:val="en-US" w:eastAsia="zh-CN"/>
              </w:rPr>
            </w:pPr>
            <w:r>
              <w:rPr>
                <w:rFonts w:hint="eastAsia"/>
                <w:lang w:val="en-US" w:eastAsia="zh-CN"/>
              </w:rPr>
              <w:t>6.5.3</w:t>
            </w:r>
          </w:p>
        </w:tc>
        <w:tc>
          <w:tcPr>
            <w:tcW w:w="714" w:type="pct"/>
            <w:vAlign w:val="center"/>
          </w:tcPr>
          <w:p w14:paraId="2081224A">
            <w:pPr>
              <w:pStyle w:val="179"/>
              <w:bidi w:val="0"/>
              <w:jc w:val="center"/>
              <w:rPr>
                <w:rFonts w:hint="eastAsia"/>
                <w:lang w:val="en-US" w:eastAsia="zh-CN"/>
              </w:rPr>
            </w:pPr>
            <w:r>
              <w:rPr>
                <w:rFonts w:hint="eastAsia"/>
                <w:lang w:val="en-US" w:eastAsia="zh-CN"/>
              </w:rPr>
              <w:t>—</w:t>
            </w:r>
          </w:p>
        </w:tc>
        <w:tc>
          <w:tcPr>
            <w:tcW w:w="819" w:type="pct"/>
            <w:tcBorders>
              <w:right w:val="single" w:color="auto" w:sz="8" w:space="0"/>
            </w:tcBorders>
            <w:vAlign w:val="center"/>
          </w:tcPr>
          <w:p w14:paraId="1F032677">
            <w:pPr>
              <w:pStyle w:val="179"/>
              <w:bidi w:val="0"/>
              <w:jc w:val="center"/>
              <w:rPr>
                <w:rFonts w:hint="default"/>
                <w:lang w:val="en-US" w:eastAsia="zh-CN"/>
              </w:rPr>
            </w:pPr>
            <w:r>
              <w:rPr>
                <w:rFonts w:hint="default"/>
                <w:lang w:val="en-US" w:eastAsia="zh-CN"/>
              </w:rPr>
              <w:t>√</w:t>
            </w:r>
          </w:p>
        </w:tc>
      </w:tr>
      <w:tr w14:paraId="7F67F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tcBorders>
              <w:left w:val="single" w:color="auto" w:sz="8" w:space="0"/>
            </w:tcBorders>
            <w:shd w:val="clear" w:color="auto" w:fill="auto"/>
            <w:vAlign w:val="center"/>
          </w:tcPr>
          <w:p w14:paraId="09279B25">
            <w:pPr>
              <w:pStyle w:val="179"/>
              <w:bidi w:val="0"/>
              <w:ind w:firstLine="0" w:firstLineChars="0"/>
              <w:jc w:val="center"/>
              <w:rPr>
                <w:rFonts w:hint="default" w:ascii="宋体" w:hAnsi="Times New Roman" w:eastAsia="宋体" w:cs="Times New Roman"/>
                <w:sz w:val="18"/>
                <w:lang w:val="en-US" w:eastAsia="zh-CN" w:bidi="ar-SA"/>
              </w:rPr>
            </w:pPr>
            <w:r>
              <w:rPr>
                <w:rFonts w:hint="eastAsia"/>
                <w:lang w:val="en-US" w:eastAsia="zh-CN"/>
              </w:rPr>
              <w:t>6</w:t>
            </w:r>
          </w:p>
        </w:tc>
        <w:tc>
          <w:tcPr>
            <w:tcW w:w="1978" w:type="pct"/>
            <w:gridSpan w:val="2"/>
            <w:vAlign w:val="center"/>
          </w:tcPr>
          <w:p w14:paraId="58A46EA3">
            <w:pPr>
              <w:pStyle w:val="179"/>
              <w:bidi w:val="0"/>
              <w:jc w:val="center"/>
              <w:rPr>
                <w:rFonts w:hint="default"/>
                <w:highlight w:val="none"/>
                <w:lang w:val="en-US" w:eastAsia="zh-CN"/>
              </w:rPr>
            </w:pPr>
            <w:r>
              <w:rPr>
                <w:rFonts w:hint="eastAsia"/>
                <w:highlight w:val="none"/>
                <w:lang w:val="en-US" w:eastAsia="zh-CN"/>
              </w:rPr>
              <w:t>防护等级</w:t>
            </w:r>
          </w:p>
        </w:tc>
        <w:tc>
          <w:tcPr>
            <w:tcW w:w="644" w:type="pct"/>
            <w:vAlign w:val="center"/>
          </w:tcPr>
          <w:p w14:paraId="23DF24E8">
            <w:pPr>
              <w:pStyle w:val="179"/>
              <w:bidi w:val="0"/>
              <w:ind w:firstLine="0" w:firstLineChars="0"/>
              <w:jc w:val="center"/>
              <w:rPr>
                <w:rFonts w:hint="default"/>
                <w:lang w:val="en-US" w:eastAsia="zh-CN"/>
              </w:rPr>
            </w:pPr>
            <w:r>
              <w:rPr>
                <w:rFonts w:hint="eastAsia"/>
                <w:lang w:val="en-US" w:eastAsia="zh-CN"/>
              </w:rPr>
              <w:t>5.6</w:t>
            </w:r>
          </w:p>
        </w:tc>
        <w:tc>
          <w:tcPr>
            <w:tcW w:w="610" w:type="pct"/>
            <w:vAlign w:val="center"/>
          </w:tcPr>
          <w:p w14:paraId="797DE748">
            <w:pPr>
              <w:pStyle w:val="179"/>
              <w:bidi w:val="0"/>
              <w:jc w:val="center"/>
              <w:rPr>
                <w:rFonts w:hint="default"/>
                <w:lang w:val="en-US" w:eastAsia="zh-CN"/>
              </w:rPr>
            </w:pPr>
            <w:r>
              <w:rPr>
                <w:rFonts w:hint="eastAsia"/>
                <w:lang w:val="en-US" w:eastAsia="zh-CN"/>
              </w:rPr>
              <w:t>6.6</w:t>
            </w:r>
          </w:p>
        </w:tc>
        <w:tc>
          <w:tcPr>
            <w:tcW w:w="714" w:type="pct"/>
            <w:vAlign w:val="center"/>
          </w:tcPr>
          <w:p w14:paraId="0D332567">
            <w:pPr>
              <w:pStyle w:val="179"/>
              <w:bidi w:val="0"/>
              <w:jc w:val="center"/>
              <w:rPr>
                <w:rFonts w:hint="eastAsia"/>
                <w:lang w:val="en-US" w:eastAsia="zh-CN"/>
              </w:rPr>
            </w:pPr>
            <w:r>
              <w:rPr>
                <w:rFonts w:hint="eastAsia"/>
                <w:lang w:val="en-US" w:eastAsia="zh-CN"/>
              </w:rPr>
              <w:t>—</w:t>
            </w:r>
          </w:p>
        </w:tc>
        <w:tc>
          <w:tcPr>
            <w:tcW w:w="819" w:type="pct"/>
            <w:tcBorders>
              <w:right w:val="single" w:color="auto" w:sz="8" w:space="0"/>
            </w:tcBorders>
            <w:vAlign w:val="center"/>
          </w:tcPr>
          <w:p w14:paraId="7773BCCC">
            <w:pPr>
              <w:pStyle w:val="179"/>
              <w:bidi w:val="0"/>
              <w:jc w:val="center"/>
              <w:rPr>
                <w:rFonts w:hint="default"/>
                <w:lang w:val="en-US" w:eastAsia="zh-CN"/>
              </w:rPr>
            </w:pPr>
            <w:r>
              <w:rPr>
                <w:rFonts w:hint="default"/>
                <w:lang w:val="en-US" w:eastAsia="zh-CN"/>
              </w:rPr>
              <w:t>√</w:t>
            </w:r>
          </w:p>
        </w:tc>
      </w:tr>
      <w:tr w14:paraId="4A15D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tcBorders>
              <w:left w:val="single" w:color="auto" w:sz="8" w:space="0"/>
            </w:tcBorders>
            <w:shd w:val="clear" w:color="auto" w:fill="auto"/>
            <w:vAlign w:val="center"/>
          </w:tcPr>
          <w:p w14:paraId="68251118">
            <w:pPr>
              <w:pStyle w:val="179"/>
              <w:bidi w:val="0"/>
              <w:ind w:firstLine="0" w:firstLineChars="0"/>
              <w:jc w:val="center"/>
              <w:rPr>
                <w:rFonts w:hint="default" w:ascii="宋体" w:hAnsi="Times New Roman" w:eastAsia="宋体" w:cs="Times New Roman"/>
                <w:sz w:val="18"/>
                <w:lang w:val="en-US" w:eastAsia="zh-CN" w:bidi="ar-SA"/>
              </w:rPr>
            </w:pPr>
            <w:r>
              <w:rPr>
                <w:rFonts w:hint="eastAsia"/>
                <w:lang w:val="en-US" w:eastAsia="zh-CN"/>
              </w:rPr>
              <w:t>7</w:t>
            </w:r>
          </w:p>
        </w:tc>
        <w:tc>
          <w:tcPr>
            <w:tcW w:w="1978" w:type="pct"/>
            <w:gridSpan w:val="2"/>
            <w:vAlign w:val="center"/>
          </w:tcPr>
          <w:p w14:paraId="493FC9A7">
            <w:pPr>
              <w:pStyle w:val="179"/>
              <w:bidi w:val="0"/>
              <w:jc w:val="center"/>
              <w:rPr>
                <w:rFonts w:hint="default"/>
                <w:highlight w:val="none"/>
                <w:lang w:val="en-US" w:eastAsia="zh-CN"/>
              </w:rPr>
            </w:pPr>
            <w:r>
              <w:rPr>
                <w:rFonts w:hint="eastAsia"/>
                <w:highlight w:val="none"/>
                <w:lang w:val="en-US" w:eastAsia="zh-CN"/>
              </w:rPr>
              <w:t>机械连锁与防误操作</w:t>
            </w:r>
          </w:p>
        </w:tc>
        <w:tc>
          <w:tcPr>
            <w:tcW w:w="644" w:type="pct"/>
            <w:vAlign w:val="center"/>
          </w:tcPr>
          <w:p w14:paraId="70E21D77">
            <w:pPr>
              <w:pStyle w:val="179"/>
              <w:bidi w:val="0"/>
              <w:ind w:firstLine="0" w:firstLineChars="0"/>
              <w:jc w:val="center"/>
              <w:rPr>
                <w:rFonts w:hint="default"/>
                <w:lang w:val="en-US" w:eastAsia="zh-CN"/>
              </w:rPr>
            </w:pPr>
            <w:r>
              <w:rPr>
                <w:rFonts w:hint="eastAsia"/>
                <w:lang w:val="en-US" w:eastAsia="zh-CN"/>
              </w:rPr>
              <w:t>5.7</w:t>
            </w:r>
          </w:p>
        </w:tc>
        <w:tc>
          <w:tcPr>
            <w:tcW w:w="610" w:type="pct"/>
            <w:vAlign w:val="center"/>
          </w:tcPr>
          <w:p w14:paraId="04678AFB">
            <w:pPr>
              <w:pStyle w:val="179"/>
              <w:bidi w:val="0"/>
              <w:jc w:val="center"/>
              <w:rPr>
                <w:rFonts w:hint="default"/>
                <w:lang w:val="en-US" w:eastAsia="zh-CN"/>
              </w:rPr>
            </w:pPr>
            <w:r>
              <w:rPr>
                <w:rFonts w:hint="eastAsia"/>
                <w:lang w:val="en-US" w:eastAsia="zh-CN"/>
              </w:rPr>
              <w:t>6.7</w:t>
            </w:r>
          </w:p>
        </w:tc>
        <w:tc>
          <w:tcPr>
            <w:tcW w:w="714" w:type="pct"/>
            <w:vAlign w:val="center"/>
          </w:tcPr>
          <w:p w14:paraId="25F45361">
            <w:pPr>
              <w:pStyle w:val="179"/>
              <w:bidi w:val="0"/>
              <w:jc w:val="center"/>
              <w:rPr>
                <w:rFonts w:hint="eastAsia"/>
                <w:lang w:val="en-US" w:eastAsia="zh-CN"/>
              </w:rPr>
            </w:pPr>
            <w:r>
              <w:rPr>
                <w:rFonts w:hint="default"/>
                <w:lang w:val="en-US" w:eastAsia="zh-CN"/>
              </w:rPr>
              <w:t>√</w:t>
            </w:r>
          </w:p>
        </w:tc>
        <w:tc>
          <w:tcPr>
            <w:tcW w:w="819" w:type="pct"/>
            <w:tcBorders>
              <w:right w:val="single" w:color="auto" w:sz="8" w:space="0"/>
            </w:tcBorders>
            <w:vAlign w:val="center"/>
          </w:tcPr>
          <w:p w14:paraId="261A5C51">
            <w:pPr>
              <w:pStyle w:val="179"/>
              <w:bidi w:val="0"/>
              <w:jc w:val="center"/>
              <w:rPr>
                <w:rFonts w:hint="default"/>
                <w:lang w:val="en-US" w:eastAsia="zh-CN"/>
              </w:rPr>
            </w:pPr>
            <w:r>
              <w:rPr>
                <w:rFonts w:hint="default"/>
                <w:lang w:val="en-US" w:eastAsia="zh-CN"/>
              </w:rPr>
              <w:t>√</w:t>
            </w:r>
          </w:p>
        </w:tc>
      </w:tr>
      <w:tr w14:paraId="7FE1B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 w:type="pct"/>
            <w:tcBorders>
              <w:left w:val="single" w:color="auto" w:sz="8" w:space="0"/>
            </w:tcBorders>
            <w:shd w:val="clear" w:color="auto" w:fill="auto"/>
            <w:vAlign w:val="center"/>
          </w:tcPr>
          <w:p w14:paraId="70164D65">
            <w:pPr>
              <w:pStyle w:val="179"/>
              <w:bidi w:val="0"/>
              <w:ind w:firstLine="0" w:firstLineChars="0"/>
              <w:jc w:val="center"/>
              <w:rPr>
                <w:rFonts w:hint="default"/>
                <w:lang w:val="en-US" w:eastAsia="zh-CN"/>
              </w:rPr>
            </w:pPr>
            <w:r>
              <w:rPr>
                <w:rFonts w:hint="eastAsia"/>
                <w:lang w:val="en-US" w:eastAsia="zh-CN"/>
              </w:rPr>
              <w:t>8</w:t>
            </w:r>
          </w:p>
        </w:tc>
        <w:tc>
          <w:tcPr>
            <w:tcW w:w="1978" w:type="pct"/>
            <w:gridSpan w:val="2"/>
            <w:vAlign w:val="center"/>
          </w:tcPr>
          <w:p w14:paraId="3107D03C">
            <w:pPr>
              <w:pStyle w:val="179"/>
              <w:bidi w:val="0"/>
              <w:jc w:val="center"/>
              <w:rPr>
                <w:rFonts w:hint="default"/>
                <w:highlight w:val="none"/>
                <w:lang w:val="en-US" w:eastAsia="zh-CN"/>
              </w:rPr>
            </w:pPr>
            <w:r>
              <w:rPr>
                <w:rFonts w:hint="eastAsia"/>
                <w:highlight w:val="none"/>
                <w:lang w:val="en-US" w:eastAsia="zh-CN"/>
              </w:rPr>
              <w:t>智能化要求</w:t>
            </w:r>
          </w:p>
        </w:tc>
        <w:tc>
          <w:tcPr>
            <w:tcW w:w="644" w:type="pct"/>
            <w:vAlign w:val="center"/>
          </w:tcPr>
          <w:p w14:paraId="03F48E8D">
            <w:pPr>
              <w:pStyle w:val="179"/>
              <w:bidi w:val="0"/>
              <w:ind w:firstLine="0" w:firstLineChars="0"/>
              <w:jc w:val="center"/>
              <w:rPr>
                <w:rFonts w:hint="default"/>
                <w:lang w:val="en-US" w:eastAsia="zh-CN"/>
              </w:rPr>
            </w:pPr>
            <w:r>
              <w:rPr>
                <w:rFonts w:hint="eastAsia"/>
                <w:lang w:val="en-US" w:eastAsia="zh-CN"/>
              </w:rPr>
              <w:t>5.8</w:t>
            </w:r>
          </w:p>
        </w:tc>
        <w:tc>
          <w:tcPr>
            <w:tcW w:w="610" w:type="pct"/>
            <w:vAlign w:val="center"/>
          </w:tcPr>
          <w:p w14:paraId="7725EE3E">
            <w:pPr>
              <w:pStyle w:val="179"/>
              <w:bidi w:val="0"/>
              <w:jc w:val="center"/>
              <w:rPr>
                <w:rFonts w:hint="default"/>
                <w:lang w:val="en-US" w:eastAsia="zh-CN"/>
              </w:rPr>
            </w:pPr>
            <w:r>
              <w:rPr>
                <w:rFonts w:hint="eastAsia"/>
                <w:lang w:val="en-US" w:eastAsia="zh-CN"/>
              </w:rPr>
              <w:t>6.8</w:t>
            </w:r>
          </w:p>
        </w:tc>
        <w:tc>
          <w:tcPr>
            <w:tcW w:w="714" w:type="pct"/>
            <w:vAlign w:val="center"/>
          </w:tcPr>
          <w:p w14:paraId="02D2A70E">
            <w:pPr>
              <w:pStyle w:val="179"/>
              <w:bidi w:val="0"/>
              <w:jc w:val="center"/>
              <w:rPr>
                <w:rFonts w:hint="eastAsia"/>
                <w:lang w:val="en-US" w:eastAsia="zh-CN"/>
              </w:rPr>
            </w:pPr>
            <w:r>
              <w:rPr>
                <w:rFonts w:hint="default"/>
                <w:lang w:val="en-US" w:eastAsia="zh-CN"/>
              </w:rPr>
              <w:t>√</w:t>
            </w:r>
          </w:p>
        </w:tc>
        <w:tc>
          <w:tcPr>
            <w:tcW w:w="819" w:type="pct"/>
            <w:tcBorders>
              <w:right w:val="single" w:color="auto" w:sz="8" w:space="0"/>
            </w:tcBorders>
            <w:vAlign w:val="center"/>
          </w:tcPr>
          <w:p w14:paraId="612BD237">
            <w:pPr>
              <w:pStyle w:val="179"/>
              <w:bidi w:val="0"/>
              <w:jc w:val="center"/>
              <w:rPr>
                <w:rFonts w:hint="default"/>
                <w:lang w:val="en-US" w:eastAsia="zh-CN"/>
              </w:rPr>
            </w:pPr>
            <w:r>
              <w:rPr>
                <w:rFonts w:hint="default"/>
                <w:lang w:val="en-US" w:eastAsia="zh-CN"/>
              </w:rPr>
              <w:t>√</w:t>
            </w:r>
          </w:p>
        </w:tc>
      </w:tr>
      <w:tr w14:paraId="4A03E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Borders>
              <w:left w:val="single" w:color="auto" w:sz="8" w:space="0"/>
              <w:bottom w:val="single" w:color="auto" w:sz="8" w:space="0"/>
              <w:right w:val="single" w:color="auto" w:sz="8" w:space="0"/>
            </w:tcBorders>
            <w:vAlign w:val="center"/>
          </w:tcPr>
          <w:p w14:paraId="7BDC4575">
            <w:pPr>
              <w:pStyle w:val="180"/>
              <w:bidi w:val="0"/>
              <w:ind w:left="737" w:leftChars="0" w:hanging="374" w:firstLineChars="0"/>
              <w:rPr>
                <w:rFonts w:hint="default"/>
                <w:lang w:val="en-US" w:eastAsia="zh-CN"/>
              </w:rPr>
            </w:pPr>
            <w:r>
              <w:rPr>
                <w:rFonts w:hint="eastAsia"/>
                <w:lang w:val="en-US" w:eastAsia="zh-CN"/>
              </w:rPr>
              <w:t>标有“</w:t>
            </w:r>
            <w:r>
              <w:rPr>
                <w:rFonts w:hint="default"/>
                <w:lang w:val="en-US" w:eastAsia="zh-CN"/>
              </w:rPr>
              <w:t>√</w:t>
            </w:r>
            <w:r>
              <w:rPr>
                <w:rFonts w:hint="eastAsia"/>
                <w:lang w:val="en-US" w:eastAsia="zh-CN"/>
              </w:rPr>
              <w:t>”的为应做项目，标有“—”的为不需要做的项目。</w:t>
            </w:r>
          </w:p>
        </w:tc>
      </w:tr>
    </w:tbl>
    <w:p w14:paraId="305CEA12">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出厂检验</w:t>
      </w:r>
    </w:p>
    <w:p w14:paraId="513A9215">
      <w:pPr>
        <w:pStyle w:val="66"/>
        <w:rPr>
          <w:rFonts w:hint="eastAsia"/>
          <w:highlight w:val="yellow"/>
          <w:lang w:val="en-US" w:eastAsia="zh-CN"/>
        </w:rPr>
      </w:pPr>
      <w:r>
        <w:rPr>
          <w:rFonts w:hint="eastAsia"/>
          <w:highlight w:val="none"/>
          <w:lang w:val="en-US" w:eastAsia="zh-CN"/>
        </w:rPr>
        <w:t>每件产品应经制造商质量检验部门检验合格后方能出厂，并附有产品合格证、使用说明，并在合格证上标明出厂日期。</w:t>
      </w:r>
    </w:p>
    <w:p w14:paraId="3AD3859B">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型式检验</w:t>
      </w:r>
    </w:p>
    <w:p w14:paraId="63CAC256">
      <w:pPr>
        <w:pStyle w:val="166"/>
        <w:bidi w:val="0"/>
        <w:rPr>
          <w:rFonts w:hint="eastAsia"/>
          <w:lang w:val="en-US" w:eastAsia="zh-CN"/>
        </w:rPr>
      </w:pPr>
      <w:r>
        <w:rPr>
          <w:rFonts w:hint="eastAsia"/>
          <w:lang w:val="en-US" w:eastAsia="zh-CN"/>
        </w:rPr>
        <w:t>正常生产的产品应每1年进行一次型式检验，但有下列情况之一时，应进行型式检验：</w:t>
      </w:r>
    </w:p>
    <w:p w14:paraId="051600E3">
      <w:pPr>
        <w:pStyle w:val="175"/>
        <w:numPr>
          <w:ilvl w:val="0"/>
          <w:numId w:val="34"/>
        </w:numPr>
        <w:bidi w:val="0"/>
        <w:ind w:left="851" w:leftChars="0" w:hanging="426" w:firstLineChars="0"/>
        <w:rPr>
          <w:rFonts w:hint="eastAsia"/>
          <w:lang w:val="en-US" w:eastAsia="zh-CN"/>
        </w:rPr>
      </w:pPr>
      <w:r>
        <w:rPr>
          <w:rFonts w:hint="eastAsia"/>
          <w:lang w:val="en-US" w:eastAsia="zh-CN"/>
        </w:rPr>
        <w:t>新产品试制或老产品转厂生产的定型鉴定时；</w:t>
      </w:r>
    </w:p>
    <w:p w14:paraId="1334543F">
      <w:pPr>
        <w:pStyle w:val="175"/>
        <w:numPr>
          <w:ilvl w:val="0"/>
          <w:numId w:val="34"/>
        </w:numPr>
        <w:bidi w:val="0"/>
        <w:ind w:left="851" w:leftChars="0" w:hanging="426" w:firstLineChars="0"/>
        <w:rPr>
          <w:rFonts w:hint="eastAsia"/>
          <w:lang w:val="en-US" w:eastAsia="zh-CN"/>
        </w:rPr>
      </w:pPr>
      <w:r>
        <w:rPr>
          <w:rFonts w:hint="eastAsia"/>
          <w:lang w:val="en-US" w:eastAsia="zh-CN"/>
        </w:rPr>
        <w:t>产品结构、材料、工艺、关键零部件供应商发生重大变更，可能影响产品性能时；</w:t>
      </w:r>
    </w:p>
    <w:p w14:paraId="65FC1755">
      <w:pPr>
        <w:pStyle w:val="175"/>
        <w:numPr>
          <w:ilvl w:val="0"/>
          <w:numId w:val="34"/>
        </w:numPr>
        <w:bidi w:val="0"/>
        <w:ind w:left="851" w:leftChars="0" w:hanging="426" w:firstLineChars="0"/>
        <w:rPr>
          <w:rFonts w:hint="eastAsia"/>
          <w:lang w:val="en-US" w:eastAsia="zh-CN"/>
        </w:rPr>
      </w:pPr>
      <w:r>
        <w:rPr>
          <w:rFonts w:hint="eastAsia"/>
          <w:lang w:val="en-US" w:eastAsia="zh-CN"/>
        </w:rPr>
        <w:t>产品停产1年以上，恢复生产时；</w:t>
      </w:r>
    </w:p>
    <w:p w14:paraId="58D5ED3F">
      <w:pPr>
        <w:pStyle w:val="175"/>
        <w:numPr>
          <w:ilvl w:val="0"/>
          <w:numId w:val="34"/>
        </w:numPr>
        <w:bidi w:val="0"/>
        <w:ind w:left="851" w:leftChars="0" w:hanging="426" w:firstLineChars="0"/>
        <w:rPr>
          <w:rFonts w:hint="eastAsia"/>
          <w:lang w:val="en-US" w:eastAsia="zh-CN"/>
        </w:rPr>
      </w:pPr>
      <w:r>
        <w:rPr>
          <w:rFonts w:hint="eastAsia"/>
          <w:lang w:val="en-US" w:eastAsia="zh-CN"/>
        </w:rPr>
        <w:t>出厂检验结果与上次型式检验结果有较大差异时。</w:t>
      </w:r>
    </w:p>
    <w:p w14:paraId="057EF62F">
      <w:pPr>
        <w:pStyle w:val="166"/>
        <w:bidi w:val="0"/>
        <w:rPr>
          <w:rFonts w:hint="eastAsia"/>
          <w:lang w:val="en-US" w:eastAsia="zh-CN"/>
        </w:rPr>
      </w:pPr>
      <w:r>
        <w:rPr>
          <w:rFonts w:hint="eastAsia"/>
          <w:lang w:val="en-US" w:eastAsia="zh-CN"/>
        </w:rPr>
        <w:t>型式检验的样品，应从出厂检验合格的产品中随机抽取1台。</w:t>
      </w:r>
    </w:p>
    <w:p w14:paraId="75F7657D">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判定规则</w:t>
      </w:r>
    </w:p>
    <w:p w14:paraId="69F8CFE4">
      <w:pPr>
        <w:pStyle w:val="166"/>
        <w:bidi w:val="0"/>
        <w:rPr>
          <w:rFonts w:hint="eastAsia"/>
          <w:lang w:val="en-US" w:eastAsia="zh-CN"/>
        </w:rPr>
      </w:pPr>
      <w:r>
        <w:rPr>
          <w:rFonts w:hint="eastAsia"/>
          <w:lang w:val="en-US" w:eastAsia="zh-CN"/>
        </w:rPr>
        <w:t>出厂检验在其全部检验项目均符合相应的指标要求时，判为出厂检验合格；出厂检验项目有一项或一项以上不符合相应的指标要求时，判为产品出厂检验不合格。</w:t>
      </w:r>
    </w:p>
    <w:p w14:paraId="5026F283">
      <w:pPr>
        <w:pStyle w:val="166"/>
        <w:bidi w:val="0"/>
        <w:rPr>
          <w:rFonts w:hint="eastAsia"/>
          <w:lang w:val="en-US" w:eastAsia="zh-CN"/>
        </w:rPr>
      </w:pPr>
      <w:r>
        <w:rPr>
          <w:rFonts w:hint="eastAsia"/>
          <w:lang w:val="en-US" w:eastAsia="zh-CN"/>
        </w:rPr>
        <w:t>型式检验中全部项目合格则判定型式检验合格，否则判定型式检验不合格。</w:t>
      </w:r>
    </w:p>
    <w:p w14:paraId="5B0231B4">
      <w:pPr>
        <w:pStyle w:val="105"/>
        <w:spacing w:before="326" w:after="326"/>
      </w:pPr>
      <w:bookmarkStart w:id="62" w:name="_Toc13473"/>
      <w:r>
        <w:rPr>
          <w:rFonts w:hint="eastAsia"/>
        </w:rPr>
        <w:t>标志、包装、运输和</w:t>
      </w:r>
      <w:r>
        <w:rPr>
          <w:rFonts w:hint="eastAsia"/>
          <w:lang w:val="en-US" w:eastAsia="zh-CN"/>
        </w:rPr>
        <w:t>贮存</w:t>
      </w:r>
      <w:bookmarkEnd w:id="62"/>
    </w:p>
    <w:p w14:paraId="12546C33">
      <w:pPr>
        <w:pStyle w:val="106"/>
        <w:keepNext w:val="0"/>
        <w:keepLines w:val="0"/>
        <w:pageBreakBefore w:val="0"/>
        <w:widowControl/>
        <w:kinsoku/>
        <w:wordWrap/>
        <w:overflowPunct/>
        <w:topLinePunct w:val="0"/>
        <w:autoSpaceDE/>
        <w:autoSpaceDN/>
        <w:bidi w:val="0"/>
        <w:adjustRightInd/>
        <w:snapToGrid/>
        <w:ind w:left="0"/>
        <w:textAlignment w:val="auto"/>
        <w:rPr>
          <w:rFonts w:hint="eastAsia"/>
          <w:lang w:val="en-US" w:eastAsia="zh-CN"/>
        </w:rPr>
      </w:pPr>
      <w:r>
        <w:rPr>
          <w:rFonts w:hint="eastAsia"/>
          <w:lang w:val="en-US" w:eastAsia="zh-CN"/>
        </w:rPr>
        <w:t>标志</w:t>
      </w:r>
    </w:p>
    <w:p w14:paraId="2AEFDF91">
      <w:pPr>
        <w:pStyle w:val="66"/>
        <w:rPr>
          <w:rFonts w:hint="eastAsia"/>
          <w:lang w:val="en-US" w:eastAsia="zh-CN"/>
        </w:rPr>
      </w:pPr>
      <w:r>
        <w:rPr>
          <w:rFonts w:hint="eastAsia"/>
          <w:lang w:val="en-US" w:eastAsia="zh-CN"/>
        </w:rPr>
        <w:t xml:space="preserve"> 环网箱应在醒目位置设置永久性铭牌，铭牌内容应清晰、牢固、不易褪色与磨损，至少包含以下内容：</w:t>
      </w:r>
    </w:p>
    <w:p w14:paraId="4F5F1137">
      <w:pPr>
        <w:pStyle w:val="175"/>
        <w:numPr>
          <w:ilvl w:val="0"/>
          <w:numId w:val="35"/>
        </w:numPr>
        <w:bidi w:val="0"/>
        <w:ind w:left="851" w:leftChars="0" w:hanging="426" w:firstLineChars="0"/>
        <w:rPr>
          <w:rFonts w:hint="default"/>
          <w:lang w:val="en-US" w:eastAsia="zh-CN"/>
        </w:rPr>
      </w:pPr>
      <w:r>
        <w:rPr>
          <w:rFonts w:hint="eastAsia"/>
          <w:lang w:val="en-US" w:eastAsia="zh-CN"/>
        </w:rPr>
        <w:t>制造商名称及商标；</w:t>
      </w:r>
    </w:p>
    <w:p w14:paraId="45D89BAE">
      <w:pPr>
        <w:pStyle w:val="175"/>
        <w:numPr>
          <w:ilvl w:val="0"/>
          <w:numId w:val="35"/>
        </w:numPr>
        <w:bidi w:val="0"/>
        <w:ind w:left="851" w:leftChars="0" w:hanging="426" w:firstLineChars="0"/>
        <w:rPr>
          <w:rFonts w:hint="default"/>
          <w:lang w:val="en-US" w:eastAsia="zh-CN"/>
        </w:rPr>
      </w:pPr>
      <w:r>
        <w:rPr>
          <w:rFonts w:hint="eastAsia"/>
          <w:lang w:val="en-US" w:eastAsia="zh-CN"/>
        </w:rPr>
        <w:t>产品名称；</w:t>
      </w:r>
    </w:p>
    <w:p w14:paraId="62022FFB">
      <w:pPr>
        <w:pStyle w:val="175"/>
        <w:numPr>
          <w:ilvl w:val="0"/>
          <w:numId w:val="35"/>
        </w:numPr>
        <w:bidi w:val="0"/>
        <w:ind w:left="851" w:leftChars="0" w:hanging="426" w:firstLineChars="0"/>
        <w:rPr>
          <w:rFonts w:hint="default"/>
          <w:lang w:val="en-US" w:eastAsia="zh-CN"/>
        </w:rPr>
      </w:pPr>
      <w:r>
        <w:rPr>
          <w:rFonts w:hint="eastAsia"/>
          <w:lang w:val="en-US" w:eastAsia="zh-CN"/>
        </w:rPr>
        <w:t>型号规格；</w:t>
      </w:r>
    </w:p>
    <w:p w14:paraId="35B95352">
      <w:pPr>
        <w:pStyle w:val="175"/>
        <w:numPr>
          <w:ilvl w:val="0"/>
          <w:numId w:val="35"/>
        </w:numPr>
        <w:bidi w:val="0"/>
        <w:ind w:left="851" w:leftChars="0" w:hanging="426" w:firstLineChars="0"/>
        <w:rPr>
          <w:rFonts w:hint="default"/>
          <w:lang w:val="en-US" w:eastAsia="zh-CN"/>
        </w:rPr>
      </w:pPr>
      <w:r>
        <w:rPr>
          <w:rFonts w:hint="eastAsia"/>
          <w:lang w:val="en-US" w:eastAsia="zh-CN"/>
        </w:rPr>
        <w:t>额定电压；</w:t>
      </w:r>
    </w:p>
    <w:p w14:paraId="70894B4D">
      <w:pPr>
        <w:pStyle w:val="175"/>
        <w:numPr>
          <w:ilvl w:val="0"/>
          <w:numId w:val="35"/>
        </w:numPr>
        <w:bidi w:val="0"/>
        <w:ind w:left="851" w:leftChars="0" w:hanging="426" w:firstLineChars="0"/>
        <w:rPr>
          <w:rFonts w:hint="default"/>
          <w:lang w:val="en-US" w:eastAsia="zh-CN"/>
        </w:rPr>
      </w:pPr>
      <w:r>
        <w:rPr>
          <w:rFonts w:hint="eastAsia"/>
          <w:lang w:val="en-US" w:eastAsia="zh-CN"/>
        </w:rPr>
        <w:t>额定电流；</w:t>
      </w:r>
    </w:p>
    <w:p w14:paraId="61CD88B2">
      <w:pPr>
        <w:pStyle w:val="175"/>
        <w:numPr>
          <w:ilvl w:val="0"/>
          <w:numId w:val="35"/>
        </w:numPr>
        <w:bidi w:val="0"/>
        <w:ind w:left="851" w:leftChars="0" w:hanging="426" w:firstLineChars="0"/>
        <w:rPr>
          <w:rFonts w:hint="default"/>
          <w:lang w:val="en-US" w:eastAsia="zh-CN"/>
        </w:rPr>
      </w:pPr>
      <w:r>
        <w:rPr>
          <w:rFonts w:hint="eastAsia"/>
          <w:lang w:val="en-US" w:eastAsia="zh-CN"/>
        </w:rPr>
        <w:t>额定频率；</w:t>
      </w:r>
    </w:p>
    <w:p w14:paraId="41FFA791">
      <w:pPr>
        <w:pStyle w:val="175"/>
        <w:numPr>
          <w:ilvl w:val="0"/>
          <w:numId w:val="35"/>
        </w:numPr>
        <w:bidi w:val="0"/>
        <w:ind w:left="851" w:leftChars="0" w:hanging="426" w:firstLineChars="0"/>
        <w:rPr>
          <w:rFonts w:hint="default"/>
          <w:lang w:val="en-US" w:eastAsia="zh-CN"/>
        </w:rPr>
      </w:pPr>
      <w:r>
        <w:rPr>
          <w:rFonts w:hint="eastAsia"/>
          <w:lang w:val="en-US" w:eastAsia="zh-CN"/>
        </w:rPr>
        <w:t>出厂编号；</w:t>
      </w:r>
    </w:p>
    <w:p w14:paraId="5CBDE5B5">
      <w:pPr>
        <w:pStyle w:val="175"/>
        <w:numPr>
          <w:ilvl w:val="0"/>
          <w:numId w:val="35"/>
        </w:numPr>
        <w:bidi w:val="0"/>
        <w:ind w:left="851" w:leftChars="0" w:hanging="426" w:firstLineChars="0"/>
        <w:rPr>
          <w:rFonts w:hint="default"/>
          <w:lang w:val="en-US" w:eastAsia="zh-CN"/>
        </w:rPr>
      </w:pPr>
      <w:r>
        <w:rPr>
          <w:rFonts w:hint="eastAsia"/>
          <w:lang w:val="en-US" w:eastAsia="zh-CN"/>
        </w:rPr>
        <w:t>生产日期。</w:t>
      </w:r>
    </w:p>
    <w:p w14:paraId="56FE955C">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包装</w:t>
      </w:r>
    </w:p>
    <w:p w14:paraId="2EF1B389">
      <w:pPr>
        <w:pStyle w:val="166"/>
        <w:bidi w:val="0"/>
        <w:rPr>
          <w:rFonts w:hint="default"/>
          <w:lang w:val="en-US" w:eastAsia="zh-CN"/>
        </w:rPr>
      </w:pPr>
      <w:r>
        <w:rPr>
          <w:rFonts w:hint="eastAsia"/>
          <w:lang w:val="en-US" w:eastAsia="zh-CN"/>
        </w:rPr>
        <w:t>产品包装应满足防潮、防震、防尘、防锈要求，适合公路、铁路等运输方式。</w:t>
      </w:r>
    </w:p>
    <w:p w14:paraId="36576F71">
      <w:pPr>
        <w:pStyle w:val="166"/>
        <w:bidi w:val="0"/>
        <w:rPr>
          <w:rFonts w:hint="default"/>
          <w:lang w:val="en-US" w:eastAsia="zh-CN"/>
        </w:rPr>
      </w:pPr>
      <w:r>
        <w:rPr>
          <w:rFonts w:hint="eastAsia"/>
          <w:lang w:val="en-US" w:eastAsia="zh-CN"/>
        </w:rPr>
        <w:t>柜体主体应采用整体加固包装，内部设置缓冲支撑，防止运输过程中变形、磕碰。</w:t>
      </w:r>
    </w:p>
    <w:p w14:paraId="4684E9ED">
      <w:pPr>
        <w:pStyle w:val="166"/>
        <w:bidi w:val="0"/>
        <w:rPr>
          <w:rFonts w:hint="default"/>
          <w:lang w:val="en-US" w:eastAsia="zh-CN"/>
        </w:rPr>
      </w:pPr>
      <w:r>
        <w:rPr>
          <w:rFonts w:hint="default"/>
          <w:lang w:val="en-US" w:eastAsia="zh-CN"/>
        </w:rPr>
        <w:t>操作机构、二次模块、互感器等精密及易损部件应单独包装、可靠固定</w:t>
      </w:r>
      <w:r>
        <w:rPr>
          <w:rFonts w:hint="eastAsia"/>
          <w:lang w:val="en-US" w:eastAsia="zh-CN"/>
        </w:rPr>
        <w:t>。</w:t>
      </w:r>
    </w:p>
    <w:p w14:paraId="54C65DC4">
      <w:pPr>
        <w:pStyle w:val="166"/>
        <w:bidi w:val="0"/>
        <w:rPr>
          <w:rFonts w:hint="default"/>
          <w:lang w:val="en-US" w:eastAsia="zh-CN"/>
        </w:rPr>
      </w:pPr>
      <w:r>
        <w:rPr>
          <w:rFonts w:hint="default"/>
          <w:lang w:val="en-US" w:eastAsia="zh-CN"/>
        </w:rPr>
        <w:t>包装箱内应随带完整技术文件，文件应密封防潮，至少包括：</w:t>
      </w:r>
    </w:p>
    <w:p w14:paraId="0A5A3B72">
      <w:pPr>
        <w:pStyle w:val="175"/>
        <w:numPr>
          <w:ilvl w:val="0"/>
          <w:numId w:val="36"/>
        </w:numPr>
        <w:bidi w:val="0"/>
        <w:ind w:left="851" w:leftChars="0" w:hanging="426" w:firstLineChars="0"/>
        <w:rPr>
          <w:rFonts w:hint="default"/>
          <w:lang w:val="en-US" w:eastAsia="zh-CN"/>
        </w:rPr>
      </w:pPr>
      <w:r>
        <w:rPr>
          <w:rFonts w:hint="default"/>
          <w:lang w:val="en-US" w:eastAsia="zh-CN"/>
        </w:rPr>
        <w:t>产品合格证；</w:t>
      </w:r>
    </w:p>
    <w:p w14:paraId="327F3BD4">
      <w:pPr>
        <w:pStyle w:val="175"/>
        <w:numPr>
          <w:ilvl w:val="0"/>
          <w:numId w:val="36"/>
        </w:numPr>
        <w:bidi w:val="0"/>
        <w:ind w:left="851" w:leftChars="0" w:hanging="426" w:firstLineChars="0"/>
        <w:rPr>
          <w:rFonts w:hint="default"/>
          <w:lang w:val="en-US" w:eastAsia="zh-CN"/>
        </w:rPr>
      </w:pPr>
      <w:r>
        <w:rPr>
          <w:rFonts w:hint="default"/>
          <w:lang w:val="en-US" w:eastAsia="zh-CN"/>
        </w:rPr>
        <w:t>使用说明书；</w:t>
      </w:r>
    </w:p>
    <w:p w14:paraId="69A1BC11">
      <w:pPr>
        <w:pStyle w:val="175"/>
        <w:numPr>
          <w:ilvl w:val="0"/>
          <w:numId w:val="36"/>
        </w:numPr>
        <w:bidi w:val="0"/>
        <w:ind w:left="851" w:leftChars="0" w:hanging="426" w:firstLineChars="0"/>
        <w:rPr>
          <w:rFonts w:hint="default"/>
          <w:lang w:val="en-US" w:eastAsia="zh-CN"/>
        </w:rPr>
      </w:pPr>
      <w:r>
        <w:rPr>
          <w:rFonts w:hint="default"/>
          <w:lang w:val="en-US" w:eastAsia="zh-CN"/>
        </w:rPr>
        <w:t>出厂试验报告；</w:t>
      </w:r>
    </w:p>
    <w:p w14:paraId="7C986AD6">
      <w:pPr>
        <w:pStyle w:val="175"/>
        <w:numPr>
          <w:ilvl w:val="0"/>
          <w:numId w:val="36"/>
        </w:numPr>
        <w:bidi w:val="0"/>
        <w:ind w:left="851" w:leftChars="0" w:hanging="426" w:firstLineChars="0"/>
        <w:rPr>
          <w:rFonts w:hint="default"/>
          <w:lang w:val="en-US" w:eastAsia="zh-CN"/>
        </w:rPr>
      </w:pPr>
      <w:r>
        <w:rPr>
          <w:rFonts w:hint="default"/>
          <w:lang w:val="en-US" w:eastAsia="zh-CN"/>
        </w:rPr>
        <w:t>产品安装图纸、接线图；</w:t>
      </w:r>
    </w:p>
    <w:p w14:paraId="39C7E689">
      <w:pPr>
        <w:pStyle w:val="175"/>
        <w:numPr>
          <w:ilvl w:val="0"/>
          <w:numId w:val="36"/>
        </w:numPr>
        <w:bidi w:val="0"/>
        <w:ind w:left="851" w:leftChars="0" w:hanging="426" w:firstLineChars="0"/>
        <w:rPr>
          <w:rFonts w:hint="default"/>
          <w:lang w:val="en-US" w:eastAsia="zh-CN"/>
        </w:rPr>
      </w:pPr>
      <w:r>
        <w:rPr>
          <w:rFonts w:hint="default"/>
          <w:lang w:val="en-US" w:eastAsia="zh-CN"/>
        </w:rPr>
        <w:t>附件、备件清单；</w:t>
      </w:r>
    </w:p>
    <w:p w14:paraId="63BA963B">
      <w:pPr>
        <w:pStyle w:val="175"/>
        <w:numPr>
          <w:ilvl w:val="0"/>
          <w:numId w:val="36"/>
        </w:numPr>
        <w:bidi w:val="0"/>
        <w:ind w:left="851" w:leftChars="0" w:hanging="426" w:firstLineChars="0"/>
        <w:rPr>
          <w:rFonts w:hint="default"/>
          <w:lang w:val="en-US" w:eastAsia="zh-CN"/>
        </w:rPr>
      </w:pPr>
      <w:r>
        <w:rPr>
          <w:rFonts w:hint="default"/>
          <w:lang w:val="en-US" w:eastAsia="zh-CN"/>
        </w:rPr>
        <w:t>产品质量保修文件</w:t>
      </w:r>
      <w:r>
        <w:rPr>
          <w:rFonts w:hint="eastAsia"/>
          <w:lang w:val="en-US" w:eastAsia="zh-CN"/>
        </w:rPr>
        <w:t>。</w:t>
      </w:r>
    </w:p>
    <w:p w14:paraId="6B40F232">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运输</w:t>
      </w:r>
    </w:p>
    <w:p w14:paraId="760FBA5E">
      <w:pPr>
        <w:pStyle w:val="66"/>
        <w:rPr>
          <w:rFonts w:hint="default"/>
          <w:lang w:val="en-US" w:eastAsia="zh-CN"/>
        </w:rPr>
      </w:pPr>
      <w:r>
        <w:rPr>
          <w:rFonts w:hint="default"/>
          <w:lang w:val="en-US" w:eastAsia="zh-CN"/>
        </w:rPr>
        <w:t>产品在运输过程中应避免剧烈振动、碰撞、倾倒、雨淋及暴晒。</w:t>
      </w:r>
    </w:p>
    <w:p w14:paraId="39DDC7EB">
      <w:pPr>
        <w:pStyle w:val="106"/>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贮存</w:t>
      </w:r>
    </w:p>
    <w:p w14:paraId="09E9C4CF">
      <w:pPr>
        <w:pStyle w:val="166"/>
        <w:bidi w:val="0"/>
        <w:rPr>
          <w:rFonts w:hint="default"/>
          <w:lang w:val="en-US" w:eastAsia="zh-CN"/>
        </w:rPr>
      </w:pPr>
      <w:r>
        <w:rPr>
          <w:rFonts w:hint="default"/>
          <w:lang w:val="en-US" w:eastAsia="zh-CN"/>
        </w:rPr>
        <w:t>产品应按规定姿态存放，堆放层数不得超过制造商规定，避免挤压、变形。</w:t>
      </w:r>
    </w:p>
    <w:p w14:paraId="4DA6803B">
      <w:pPr>
        <w:pStyle w:val="166"/>
        <w:bidi w:val="0"/>
        <w:rPr>
          <w:rFonts w:hint="default"/>
          <w:lang w:val="en-US" w:eastAsia="zh-CN"/>
        </w:rPr>
      </w:pPr>
      <w:r>
        <w:rPr>
          <w:rFonts w:hint="default"/>
          <w:lang w:val="en-US" w:eastAsia="zh-CN"/>
        </w:rPr>
        <w:t xml:space="preserve"> 贮存期间应定期检查包装及密封状态，防止受潮、锈蚀。</w:t>
      </w:r>
    </w:p>
    <w:p w14:paraId="58FCA3FA">
      <w:pPr>
        <w:pStyle w:val="166"/>
        <w:bidi w:val="0"/>
        <w:rPr>
          <w:rFonts w:hint="default"/>
          <w:lang w:val="en-US" w:eastAsia="zh-CN"/>
        </w:rPr>
      </w:pPr>
      <w:r>
        <w:rPr>
          <w:rFonts w:hint="default"/>
          <w:lang w:val="en-US" w:eastAsia="zh-CN"/>
        </w:rPr>
        <w:t>产品贮存期限一般不超过 1 年。超过贮存期限再次投运前，应重新进行外观检查、绝缘电阻测试、工频耐压试验及操作性能检查，合格后方可使用。</w:t>
      </w:r>
    </w:p>
    <w:bookmarkEnd w:id="28"/>
    <w:bookmarkEnd w:id="58"/>
    <w:p w14:paraId="57A05AD5">
      <w:pPr>
        <w:pStyle w:val="56"/>
        <w:ind w:firstLine="0" w:firstLineChars="0"/>
        <w:jc w:val="center"/>
      </w:pPr>
      <w:bookmarkStart w:id="63" w:name="BookMark8"/>
      <w:r>
        <w:drawing>
          <wp:inline distT="0" distB="0" distL="0" distR="0">
            <wp:extent cx="1485900" cy="317500"/>
            <wp:effectExtent l="0" t="0" r="0" b="6350"/>
            <wp:docPr id="530575613" name="图片 3"/>
            <wp:cNvGraphicFramePr/>
            <a:graphic xmlns:a="http://schemas.openxmlformats.org/drawingml/2006/main">
              <a:graphicData uri="http://schemas.openxmlformats.org/drawingml/2006/picture">
                <pic:pic xmlns:pic="http://schemas.openxmlformats.org/drawingml/2006/picture">
                  <pic:nvPicPr>
                    <pic:cNvPr id="530575613" name="图片 3"/>
                    <pic:cNvPicPr/>
                  </pic:nvPicPr>
                  <pic:blipFill>
                    <a:blip r:embed="rId2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63"/>
    </w:p>
    <w:sectPr>
      <w:headerReference r:id="rId18" w:type="default"/>
      <w:footerReference r:id="rId20" w:type="default"/>
      <w:headerReference r:id="rId19" w:type="even"/>
      <w:footerReference r:id="rId21"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2F72D">
    <w:pPr>
      <w:pStyle w:val="17"/>
      <w:ind w:right="720"/>
      <w:jc w:val="both"/>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FE005C">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03368">
    <w:pPr>
      <w:pStyle w:val="52"/>
      <w:bidi w:val="0"/>
    </w:pPr>
    <w:r>
      <w:fldChar w:fldCharType="begin"/>
    </w:r>
    <w:r>
      <w:instrText xml:space="preserve"> PAGE   \* Roman </w:instrText>
    </w:r>
    <w:r>
      <w:fldChar w:fldCharType="separate"/>
    </w:r>
    <w: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1B796">
    <w:pPr>
      <w:pStyle w:val="17"/>
      <w:ind w:right="720"/>
      <w:jc w:val="both"/>
    </w:pPr>
    <w:r>
      <w:fldChar w:fldCharType="begin"/>
    </w:r>
    <w:r>
      <w:instrText xml:space="preserve"> PAGE   \* Roman </w:instrText>
    </w:r>
    <w:r>
      <w:fldChar w:fldCharType="separate"/>
    </w:r>
    <w: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46002">
    <w:pPr>
      <w:pStyle w:val="52"/>
      <w:bidi w:val="0"/>
    </w:pPr>
    <w:r>
      <w:fldChar w:fldCharType="begin"/>
    </w:r>
    <w:r>
      <w:instrText xml:space="preserve"> PAGE   \* Roman </w:instrText>
    </w:r>
    <w:r>
      <w:fldChar w:fldCharType="separate"/>
    </w:r>
    <w: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AAE62">
    <w:pPr>
      <w:pStyle w:val="17"/>
      <w:ind w:right="720"/>
      <w:jc w:val="both"/>
    </w:pPr>
    <w:r>
      <w:fldChar w:fldCharType="begin"/>
    </w:r>
    <w:r>
      <w:instrText xml:space="preserve"> PAGE   \* Roman </w:instrText>
    </w:r>
    <w:r>
      <w:fldChar w:fldCharType="separate"/>
    </w:r>
    <w:r>
      <w:t>III</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0A3CF">
    <w:pPr>
      <w:pStyle w:val="52"/>
      <w:bidi w:val="0"/>
    </w:pPr>
    <w:r>
      <w:fldChar w:fldCharType="begin"/>
    </w:r>
    <w:r>
      <w:instrText xml:space="preserve"> PAGE   \* Arabic </w:instrText>
    </w:r>
    <w:r>
      <w:fldChar w:fldCharType="separate"/>
    </w:r>
    <w: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E0B43">
    <w:pPr>
      <w:pStyle w:val="17"/>
      <w:ind w:right="720"/>
      <w:jc w:val="both"/>
    </w:pPr>
    <w:r>
      <w:fldChar w:fldCharType="begin"/>
    </w:r>
    <w:r>
      <w:instrText xml:space="preserve"> PAGE   \* Arabic </w:instrText>
    </w:r>
    <w:r>
      <w:fldChar w:fldCharType="separate"/>
    </w:r>
    <w: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AD00D">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5A774">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9C67DE">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0F22F">
    <w:pPr>
      <w:pStyle w:val="61"/>
      <w:rPr>
        <w:rFonts w:hint="default" w:eastAsia="黑体"/>
        <w:lang w:val="en-US" w:eastAsia="zh-CN"/>
      </w:rPr>
    </w:pPr>
    <w:r>
      <w:rPr>
        <w:rFonts w:hint="eastAsia"/>
        <w:lang w:eastAsia="zh-CN"/>
      </w:rPr>
      <w:t>T/ZIUR XXXX-2026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221FFB">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5E6C1">
    <w:pPr>
      <w:pStyle w:val="61"/>
      <w:rPr>
        <w:rFonts w:hint="default" w:eastAsia="黑体"/>
        <w:lang w:val="en-US" w:eastAsia="zh-CN"/>
      </w:rPr>
    </w:pPr>
    <w:r>
      <w:rPr>
        <w:rFonts w:hint="eastAsia"/>
        <w:lang w:eastAsia="zh-CN"/>
      </w:rPr>
      <w:t>T/ZIUR XXXX-2026</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D57D59">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2375D4">
    <w:pPr>
      <w:pStyle w:val="61"/>
      <w:rPr>
        <w:rFonts w:hint="default" w:eastAsia="黑体"/>
        <w:lang w:val="en-US" w:eastAsia="zh-CN"/>
      </w:rPr>
    </w:pPr>
    <w:r>
      <w:rPr>
        <w:rFonts w:hint="eastAsia"/>
        <w:lang w:eastAsia="zh-CN"/>
      </w:rPr>
      <w:t>T/ZIUR XXXX-2026</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DD7BE7">
    <w:pPr>
      <w:pStyle w:val="18"/>
      <w:ind w:right="800"/>
      <w:jc w:val="both"/>
      <w:rPr>
        <w:rFonts w:hint="eastAsia" w:ascii="黑体" w:hAnsi="黑体" w:eastAsia="黑体"/>
        <w:sz w:val="20"/>
        <w:szCs w:val="20"/>
        <w:lang w:eastAsia="zh-CN"/>
      </w:rPr>
    </w:pPr>
    <w:r>
      <w:rPr>
        <w:rFonts w:hint="eastAsia" w:ascii="黑体" w:hAnsi="黑体" w:eastAsia="黑体"/>
        <w:sz w:val="20"/>
        <w:szCs w:val="20"/>
        <w:lang w:eastAsia="zh-CN"/>
      </w:rPr>
      <w:t>T/ZIUR XXXX-2026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0204C2"/>
    <w:multiLevelType w:val="multilevel"/>
    <w:tmpl w:val="A50204C2"/>
    <w:lvl w:ilvl="0" w:tentative="0">
      <w:start w:val="1"/>
      <w:numFmt w:val="decimal"/>
      <w:pStyle w:val="234"/>
      <w:suff w:val="nothing"/>
      <w:lvlText w:val="图%1　"/>
      <w:lvlJc w:val="left"/>
      <w:pPr>
        <w:tabs>
          <w:tab w:val="left" w:pos="0"/>
        </w:tabs>
        <w:ind w:left="0" w:leftChars="0" w:firstLine="0" w:firstLineChars="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
    <w:nsid w:val="B0F0F72B"/>
    <w:multiLevelType w:val="multilevel"/>
    <w:tmpl w:val="B0F0F72B"/>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
    <w:nsid w:val="C114A562"/>
    <w:multiLevelType w:val="multilevel"/>
    <w:tmpl w:val="C114A562"/>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3">
    <w:nsid w:val="E12ABC61"/>
    <w:multiLevelType w:val="multilevel"/>
    <w:tmpl w:val="E12ABC61"/>
    <w:lvl w:ilvl="0" w:tentative="0">
      <w:start w:val="1"/>
      <w:numFmt w:val="decimal"/>
      <w:pStyle w:val="231"/>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4">
    <w:nsid w:val="F070C034"/>
    <w:multiLevelType w:val="multilevel"/>
    <w:tmpl w:val="F070C034"/>
    <w:lvl w:ilvl="0" w:tentative="0">
      <w:start w:val="1"/>
      <w:numFmt w:val="lowerLetter"/>
      <w:lvlText w:val="%1)"/>
      <w:lvlJc w:val="left"/>
      <w:pPr>
        <w:tabs>
          <w:tab w:val="left" w:pos="851"/>
        </w:tabs>
        <w:ind w:left="851" w:hanging="426"/>
      </w:pPr>
      <w:rPr>
        <w:rFonts w:hint="eastAsia" w:ascii="宋体" w:hAnsi="Times New Roman" w:eastAsia="宋体"/>
        <w:sz w:val="21"/>
      </w:rPr>
    </w:lvl>
    <w:lvl w:ilvl="1" w:tentative="0">
      <w:start w:val="1"/>
      <w:numFmt w:val="decimal"/>
      <w:lvlText w:val="%2)"/>
      <w:lvlJc w:val="left"/>
      <w:pPr>
        <w:tabs>
          <w:tab w:val="left" w:pos="1276"/>
        </w:tabs>
        <w:ind w:left="1276" w:hanging="425"/>
      </w:pPr>
      <w:rPr>
        <w:rFonts w:hint="eastAsia" w:ascii="宋体" w:hAnsi="Times New Roman" w:eastAsia="宋体"/>
        <w:sz w:val="21"/>
      </w:rPr>
    </w:lvl>
    <w:lvl w:ilvl="2" w:tentative="0">
      <w:start w:val="1"/>
      <w:numFmt w:val="decimal"/>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5">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6">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7">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8">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9">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10">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12">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4">
    <w:nsid w:val="1B383A10"/>
    <w:multiLevelType w:val="multilevel"/>
    <w:tmpl w:val="1B383A10"/>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15">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6">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7">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8">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4B13E518"/>
    <w:multiLevelType w:val="multilevel"/>
    <w:tmpl w:val="4B13E518"/>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20">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1">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2">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3">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4">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5">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7">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8">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9">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0">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31">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2">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3">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4">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5">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5"/>
  </w:num>
  <w:num w:numId="2">
    <w:abstractNumId w:val="33"/>
  </w:num>
  <w:num w:numId="3">
    <w:abstractNumId w:val="10"/>
  </w:num>
  <w:num w:numId="4">
    <w:abstractNumId w:val="29"/>
  </w:num>
  <w:num w:numId="5">
    <w:abstractNumId w:val="24"/>
  </w:num>
  <w:num w:numId="6">
    <w:abstractNumId w:val="18"/>
  </w:num>
  <w:num w:numId="7">
    <w:abstractNumId w:val="13"/>
  </w:num>
  <w:num w:numId="8">
    <w:abstractNumId w:val="8"/>
  </w:num>
  <w:num w:numId="9">
    <w:abstractNumId w:val="15"/>
  </w:num>
  <w:num w:numId="10">
    <w:abstractNumId w:val="22"/>
  </w:num>
  <w:num w:numId="11">
    <w:abstractNumId w:val="31"/>
  </w:num>
  <w:num w:numId="12">
    <w:abstractNumId w:val="17"/>
  </w:num>
  <w:num w:numId="13">
    <w:abstractNumId w:val="19"/>
  </w:num>
  <w:num w:numId="14">
    <w:abstractNumId w:val="12"/>
  </w:num>
  <w:num w:numId="15">
    <w:abstractNumId w:val="25"/>
  </w:num>
  <w:num w:numId="16">
    <w:abstractNumId w:val="27"/>
  </w:num>
  <w:num w:numId="17">
    <w:abstractNumId w:val="23"/>
  </w:num>
  <w:num w:numId="18">
    <w:abstractNumId w:val="34"/>
  </w:num>
  <w:num w:numId="19">
    <w:abstractNumId w:val="21"/>
  </w:num>
  <w:num w:numId="20">
    <w:abstractNumId w:val="6"/>
  </w:num>
  <w:num w:numId="21">
    <w:abstractNumId w:val="16"/>
  </w:num>
  <w:num w:numId="22">
    <w:abstractNumId w:val="35"/>
  </w:num>
  <w:num w:numId="23">
    <w:abstractNumId w:val="26"/>
  </w:num>
  <w:num w:numId="24">
    <w:abstractNumId w:val="11"/>
  </w:num>
  <w:num w:numId="25">
    <w:abstractNumId w:val="32"/>
  </w:num>
  <w:num w:numId="26">
    <w:abstractNumId w:val="14"/>
  </w:num>
  <w:num w:numId="27">
    <w:abstractNumId w:val="7"/>
  </w:num>
  <w:num w:numId="28">
    <w:abstractNumId w:val="9"/>
  </w:num>
  <w:num w:numId="29">
    <w:abstractNumId w:val="20"/>
  </w:num>
  <w:num w:numId="30">
    <w:abstractNumId w:val="30"/>
  </w:num>
  <w:num w:numId="31">
    <w:abstractNumId w:val="28"/>
  </w:num>
  <w:num w:numId="32">
    <w:abstractNumId w:val="3"/>
  </w:num>
  <w:num w:numId="33">
    <w:abstractNumId w:val="0"/>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attachedTemplate r:id="rId1"/>
  <w:documentProtection w:edit="forms" w:enforcement="1" w:cryptProviderType="rsaFull" w:cryptAlgorithmClass="hash" w:cryptAlgorithmType="typeAny" w:cryptAlgorithmSid="4" w:cryptSpinCount="0" w:hash="kyW+uKok5I8ZXGPrDJfm+YF2+cE=" w:salt="54RM57+MXrTISrs4z3Bqog=="/>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s>
  <w:rsids>
    <w:rsidRoot w:val="008B2D73"/>
    <w:rsid w:val="0000040A"/>
    <w:rsid w:val="00000A94"/>
    <w:rsid w:val="00001972"/>
    <w:rsid w:val="00001D9A"/>
    <w:rsid w:val="00004943"/>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24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57978"/>
    <w:rsid w:val="00060C2E"/>
    <w:rsid w:val="00061033"/>
    <w:rsid w:val="000619E9"/>
    <w:rsid w:val="000622D4"/>
    <w:rsid w:val="0006357D"/>
    <w:rsid w:val="00067F1E"/>
    <w:rsid w:val="00071CC0"/>
    <w:rsid w:val="00071CFC"/>
    <w:rsid w:val="000736AE"/>
    <w:rsid w:val="00073C8C"/>
    <w:rsid w:val="00077B64"/>
    <w:rsid w:val="00080A1C"/>
    <w:rsid w:val="00082317"/>
    <w:rsid w:val="00083D2C"/>
    <w:rsid w:val="000843AE"/>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059F9"/>
    <w:rsid w:val="00113B1E"/>
    <w:rsid w:val="0011711C"/>
    <w:rsid w:val="0012376E"/>
    <w:rsid w:val="00124E4F"/>
    <w:rsid w:val="001260B7"/>
    <w:rsid w:val="001265CB"/>
    <w:rsid w:val="001321C6"/>
    <w:rsid w:val="001325C4"/>
    <w:rsid w:val="00133010"/>
    <w:rsid w:val="00133387"/>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787"/>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4C41"/>
    <w:rsid w:val="00266EEB"/>
    <w:rsid w:val="00267EF4"/>
    <w:rsid w:val="002705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69D2"/>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1B5"/>
    <w:rsid w:val="00336C64"/>
    <w:rsid w:val="00337162"/>
    <w:rsid w:val="0034194F"/>
    <w:rsid w:val="00344605"/>
    <w:rsid w:val="003474AA"/>
    <w:rsid w:val="00350D1D"/>
    <w:rsid w:val="00352C83"/>
    <w:rsid w:val="00352F1A"/>
    <w:rsid w:val="003530E0"/>
    <w:rsid w:val="0036107C"/>
    <w:rsid w:val="003615D2"/>
    <w:rsid w:val="0036332C"/>
    <w:rsid w:val="0036429C"/>
    <w:rsid w:val="00364A53"/>
    <w:rsid w:val="003654CB"/>
    <w:rsid w:val="00365AA9"/>
    <w:rsid w:val="00365F86"/>
    <w:rsid w:val="00365F87"/>
    <w:rsid w:val="00366E89"/>
    <w:rsid w:val="003675F3"/>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7DB7"/>
    <w:rsid w:val="003B09AD"/>
    <w:rsid w:val="003B1F18"/>
    <w:rsid w:val="003B5BF0"/>
    <w:rsid w:val="003B60BF"/>
    <w:rsid w:val="003B6BE3"/>
    <w:rsid w:val="003C010C"/>
    <w:rsid w:val="003C0A6C"/>
    <w:rsid w:val="003C0E85"/>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611"/>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568"/>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6013"/>
    <w:rsid w:val="004C1FBC"/>
    <w:rsid w:val="004C25A2"/>
    <w:rsid w:val="004C3F1D"/>
    <w:rsid w:val="004C458D"/>
    <w:rsid w:val="004C7556"/>
    <w:rsid w:val="004C7E8B"/>
    <w:rsid w:val="004C7E9D"/>
    <w:rsid w:val="004C7F67"/>
    <w:rsid w:val="004D076D"/>
    <w:rsid w:val="004D0EF1"/>
    <w:rsid w:val="004D2253"/>
    <w:rsid w:val="004D3F7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1EE6"/>
    <w:rsid w:val="00502F8F"/>
    <w:rsid w:val="0050363E"/>
    <w:rsid w:val="005039BC"/>
    <w:rsid w:val="005043BB"/>
    <w:rsid w:val="00504A3D"/>
    <w:rsid w:val="00505767"/>
    <w:rsid w:val="005073F0"/>
    <w:rsid w:val="00510A7B"/>
    <w:rsid w:val="00512F6E"/>
    <w:rsid w:val="00513038"/>
    <w:rsid w:val="00514174"/>
    <w:rsid w:val="00516088"/>
    <w:rsid w:val="00516B0B"/>
    <w:rsid w:val="00517C15"/>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D1F"/>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53DD"/>
    <w:rsid w:val="005A7830"/>
    <w:rsid w:val="005A7FCE"/>
    <w:rsid w:val="005B0F3F"/>
    <w:rsid w:val="005B191C"/>
    <w:rsid w:val="005B4903"/>
    <w:rsid w:val="005B51CE"/>
    <w:rsid w:val="005B5885"/>
    <w:rsid w:val="005B5CD7"/>
    <w:rsid w:val="005B6CF6"/>
    <w:rsid w:val="005B7422"/>
    <w:rsid w:val="005B7DD5"/>
    <w:rsid w:val="005C29B8"/>
    <w:rsid w:val="005C5F21"/>
    <w:rsid w:val="005C7156"/>
    <w:rsid w:val="005D0C75"/>
    <w:rsid w:val="005D4171"/>
    <w:rsid w:val="005D6A95"/>
    <w:rsid w:val="005D6B2C"/>
    <w:rsid w:val="005D6D9C"/>
    <w:rsid w:val="005E2335"/>
    <w:rsid w:val="005E34CA"/>
    <w:rsid w:val="005E3C18"/>
    <w:rsid w:val="005E3D74"/>
    <w:rsid w:val="005E4250"/>
    <w:rsid w:val="005E468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064"/>
    <w:rsid w:val="00641A1F"/>
    <w:rsid w:val="00645904"/>
    <w:rsid w:val="0065062A"/>
    <w:rsid w:val="00651ACB"/>
    <w:rsid w:val="00651C47"/>
    <w:rsid w:val="00652AB2"/>
    <w:rsid w:val="00653FED"/>
    <w:rsid w:val="00654EC0"/>
    <w:rsid w:val="0065525B"/>
    <w:rsid w:val="00655D4F"/>
    <w:rsid w:val="00656D29"/>
    <w:rsid w:val="006640E5"/>
    <w:rsid w:val="006646F1"/>
    <w:rsid w:val="00664929"/>
    <w:rsid w:val="00664F62"/>
    <w:rsid w:val="006655E1"/>
    <w:rsid w:val="00665E69"/>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6AA"/>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57173"/>
    <w:rsid w:val="007600E3"/>
    <w:rsid w:val="00765C43"/>
    <w:rsid w:val="00765EFB"/>
    <w:rsid w:val="007671CA"/>
    <w:rsid w:val="00767C61"/>
    <w:rsid w:val="0077008A"/>
    <w:rsid w:val="00773C1F"/>
    <w:rsid w:val="00774DA4"/>
    <w:rsid w:val="0077522D"/>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1A1C"/>
    <w:rsid w:val="007B5A3D"/>
    <w:rsid w:val="007B5B95"/>
    <w:rsid w:val="007B6032"/>
    <w:rsid w:val="007B68EA"/>
    <w:rsid w:val="007B7453"/>
    <w:rsid w:val="007C2D89"/>
    <w:rsid w:val="007C4593"/>
    <w:rsid w:val="007C5309"/>
    <w:rsid w:val="007C603A"/>
    <w:rsid w:val="007C6069"/>
    <w:rsid w:val="007D06C4"/>
    <w:rsid w:val="007D1352"/>
    <w:rsid w:val="007D2508"/>
    <w:rsid w:val="007D346A"/>
    <w:rsid w:val="007D64E5"/>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2F0C"/>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2D73"/>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0F8"/>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2027"/>
    <w:rsid w:val="009E4A58"/>
    <w:rsid w:val="009E5A2D"/>
    <w:rsid w:val="009E5AB2"/>
    <w:rsid w:val="009E6219"/>
    <w:rsid w:val="009F03B3"/>
    <w:rsid w:val="009F68BD"/>
    <w:rsid w:val="00A0096C"/>
    <w:rsid w:val="00A01757"/>
    <w:rsid w:val="00A028C0"/>
    <w:rsid w:val="00A02BAE"/>
    <w:rsid w:val="00A06A6B"/>
    <w:rsid w:val="00A07E47"/>
    <w:rsid w:val="00A129D0"/>
    <w:rsid w:val="00A12C33"/>
    <w:rsid w:val="00A138BA"/>
    <w:rsid w:val="00A14C8E"/>
    <w:rsid w:val="00A153D9"/>
    <w:rsid w:val="00A15F09"/>
    <w:rsid w:val="00A169B6"/>
    <w:rsid w:val="00A21D89"/>
    <w:rsid w:val="00A2271D"/>
    <w:rsid w:val="00A237D5"/>
    <w:rsid w:val="00A27E99"/>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2140"/>
    <w:rsid w:val="00A83D8D"/>
    <w:rsid w:val="00A8446B"/>
    <w:rsid w:val="00A8473F"/>
    <w:rsid w:val="00A862D6"/>
    <w:rsid w:val="00A8715E"/>
    <w:rsid w:val="00A90664"/>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14CF"/>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215D"/>
    <w:rsid w:val="00B4346D"/>
    <w:rsid w:val="00B440F4"/>
    <w:rsid w:val="00B447A5"/>
    <w:rsid w:val="00B4654C"/>
    <w:rsid w:val="00B47293"/>
    <w:rsid w:val="00B50E50"/>
    <w:rsid w:val="00B513EA"/>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027A"/>
    <w:rsid w:val="00BE22F3"/>
    <w:rsid w:val="00BE5B52"/>
    <w:rsid w:val="00BE7B8D"/>
    <w:rsid w:val="00BF0993"/>
    <w:rsid w:val="00BF10A9"/>
    <w:rsid w:val="00BF1703"/>
    <w:rsid w:val="00BF231C"/>
    <w:rsid w:val="00BF51E5"/>
    <w:rsid w:val="00BF628D"/>
    <w:rsid w:val="00BF74A6"/>
    <w:rsid w:val="00C013AD"/>
    <w:rsid w:val="00C04904"/>
    <w:rsid w:val="00C056B3"/>
    <w:rsid w:val="00C1003D"/>
    <w:rsid w:val="00C103E5"/>
    <w:rsid w:val="00C13319"/>
    <w:rsid w:val="00C13EE9"/>
    <w:rsid w:val="00C21540"/>
    <w:rsid w:val="00C21906"/>
    <w:rsid w:val="00C21BFA"/>
    <w:rsid w:val="00C24C8D"/>
    <w:rsid w:val="00C25FE2"/>
    <w:rsid w:val="00C269F5"/>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1E0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9A"/>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2CC7"/>
    <w:rsid w:val="00D8399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107"/>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269C4"/>
    <w:rsid w:val="00E3137A"/>
    <w:rsid w:val="00E32CCF"/>
    <w:rsid w:val="00E34A98"/>
    <w:rsid w:val="00E35D1E"/>
    <w:rsid w:val="00E364F9"/>
    <w:rsid w:val="00E365FA"/>
    <w:rsid w:val="00E36789"/>
    <w:rsid w:val="00E44A83"/>
    <w:rsid w:val="00E4519C"/>
    <w:rsid w:val="00E502C1"/>
    <w:rsid w:val="00E502DD"/>
    <w:rsid w:val="00E50D3A"/>
    <w:rsid w:val="00E51387"/>
    <w:rsid w:val="00E51E68"/>
    <w:rsid w:val="00E52EFD"/>
    <w:rsid w:val="00E5408A"/>
    <w:rsid w:val="00E56800"/>
    <w:rsid w:val="00E60402"/>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0DFB"/>
    <w:rsid w:val="00F32780"/>
    <w:rsid w:val="00F33817"/>
    <w:rsid w:val="00F420D5"/>
    <w:rsid w:val="00F451EA"/>
    <w:rsid w:val="00F45447"/>
    <w:rsid w:val="00F456C6"/>
    <w:rsid w:val="00F4577B"/>
    <w:rsid w:val="00F46235"/>
    <w:rsid w:val="00F46496"/>
    <w:rsid w:val="00F474D0"/>
    <w:rsid w:val="00F50179"/>
    <w:rsid w:val="00F515EE"/>
    <w:rsid w:val="00F56511"/>
    <w:rsid w:val="00F6194E"/>
    <w:rsid w:val="00F623AC"/>
    <w:rsid w:val="00F6412A"/>
    <w:rsid w:val="00F65893"/>
    <w:rsid w:val="00F66A4A"/>
    <w:rsid w:val="00F71E22"/>
    <w:rsid w:val="00F72142"/>
    <w:rsid w:val="00F72AE7"/>
    <w:rsid w:val="00F731BD"/>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09E6"/>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0D41"/>
    <w:rsid w:val="00FF2A5D"/>
    <w:rsid w:val="00FF3E7D"/>
    <w:rsid w:val="00FF5B99"/>
    <w:rsid w:val="00FF730C"/>
    <w:rsid w:val="00FF73F4"/>
    <w:rsid w:val="00FF7CE4"/>
    <w:rsid w:val="00FF7E39"/>
    <w:rsid w:val="01543C57"/>
    <w:rsid w:val="01D06ADA"/>
    <w:rsid w:val="02E66B31"/>
    <w:rsid w:val="02F92D08"/>
    <w:rsid w:val="03C07382"/>
    <w:rsid w:val="03C54999"/>
    <w:rsid w:val="042E69E2"/>
    <w:rsid w:val="044F0706"/>
    <w:rsid w:val="04C82992"/>
    <w:rsid w:val="04F27A0F"/>
    <w:rsid w:val="05F31C91"/>
    <w:rsid w:val="060E6ACB"/>
    <w:rsid w:val="06F85085"/>
    <w:rsid w:val="0718750A"/>
    <w:rsid w:val="072A7934"/>
    <w:rsid w:val="07475263"/>
    <w:rsid w:val="07C1191B"/>
    <w:rsid w:val="07D23B28"/>
    <w:rsid w:val="08362309"/>
    <w:rsid w:val="086758C2"/>
    <w:rsid w:val="097C11D2"/>
    <w:rsid w:val="09D73678"/>
    <w:rsid w:val="09F71624"/>
    <w:rsid w:val="0A3665F0"/>
    <w:rsid w:val="0A4A4FFC"/>
    <w:rsid w:val="0A516F86"/>
    <w:rsid w:val="0A8C6210"/>
    <w:rsid w:val="0B2E5AAF"/>
    <w:rsid w:val="0C8F1FE8"/>
    <w:rsid w:val="0D10137A"/>
    <w:rsid w:val="0D222E5C"/>
    <w:rsid w:val="0DF06AB6"/>
    <w:rsid w:val="0E3C7F4D"/>
    <w:rsid w:val="0E9331A5"/>
    <w:rsid w:val="0F040A6B"/>
    <w:rsid w:val="0F4F2D5A"/>
    <w:rsid w:val="0F930041"/>
    <w:rsid w:val="10463305"/>
    <w:rsid w:val="10B60D4A"/>
    <w:rsid w:val="11B8120C"/>
    <w:rsid w:val="11C6025A"/>
    <w:rsid w:val="11F272A1"/>
    <w:rsid w:val="122A4C8C"/>
    <w:rsid w:val="1283240B"/>
    <w:rsid w:val="12A165D1"/>
    <w:rsid w:val="130474EB"/>
    <w:rsid w:val="139D148E"/>
    <w:rsid w:val="141C58F1"/>
    <w:rsid w:val="14C82908"/>
    <w:rsid w:val="156404B5"/>
    <w:rsid w:val="159627D2"/>
    <w:rsid w:val="1651030E"/>
    <w:rsid w:val="16671B5C"/>
    <w:rsid w:val="17367C2F"/>
    <w:rsid w:val="17BF5E77"/>
    <w:rsid w:val="17DB7852"/>
    <w:rsid w:val="181D494B"/>
    <w:rsid w:val="196B16E7"/>
    <w:rsid w:val="19EA3331"/>
    <w:rsid w:val="1A3B37AF"/>
    <w:rsid w:val="1B1D486E"/>
    <w:rsid w:val="1B505038"/>
    <w:rsid w:val="1BDD2D6F"/>
    <w:rsid w:val="1BF16EB2"/>
    <w:rsid w:val="1C817B9F"/>
    <w:rsid w:val="1CB533A4"/>
    <w:rsid w:val="1DA578BD"/>
    <w:rsid w:val="1DAD4C5B"/>
    <w:rsid w:val="1DF75E3A"/>
    <w:rsid w:val="1E1862BA"/>
    <w:rsid w:val="1F026649"/>
    <w:rsid w:val="1F0C1276"/>
    <w:rsid w:val="1F2E743E"/>
    <w:rsid w:val="1F486752"/>
    <w:rsid w:val="1F503858"/>
    <w:rsid w:val="1F576995"/>
    <w:rsid w:val="1FBE07C2"/>
    <w:rsid w:val="20390790"/>
    <w:rsid w:val="21521B0A"/>
    <w:rsid w:val="216929AF"/>
    <w:rsid w:val="229D6DB5"/>
    <w:rsid w:val="22A04AF7"/>
    <w:rsid w:val="22C81958"/>
    <w:rsid w:val="22EE5862"/>
    <w:rsid w:val="230B6414"/>
    <w:rsid w:val="231352C9"/>
    <w:rsid w:val="2378337E"/>
    <w:rsid w:val="23E40A13"/>
    <w:rsid w:val="25494FD2"/>
    <w:rsid w:val="2573204F"/>
    <w:rsid w:val="257858B7"/>
    <w:rsid w:val="25946303"/>
    <w:rsid w:val="25C24D84"/>
    <w:rsid w:val="267C4F33"/>
    <w:rsid w:val="27315853"/>
    <w:rsid w:val="277976C4"/>
    <w:rsid w:val="288602EB"/>
    <w:rsid w:val="28AB1AFF"/>
    <w:rsid w:val="28BC03AC"/>
    <w:rsid w:val="2A152EC1"/>
    <w:rsid w:val="2A7A79DB"/>
    <w:rsid w:val="2AA0795F"/>
    <w:rsid w:val="2AFB6D6E"/>
    <w:rsid w:val="2B100330"/>
    <w:rsid w:val="2B9176D3"/>
    <w:rsid w:val="2C1B2997"/>
    <w:rsid w:val="2C1F4CDE"/>
    <w:rsid w:val="2CC47634"/>
    <w:rsid w:val="2CF972DD"/>
    <w:rsid w:val="2D0363AE"/>
    <w:rsid w:val="2D6706EB"/>
    <w:rsid w:val="2D8172D3"/>
    <w:rsid w:val="2DC86CB0"/>
    <w:rsid w:val="2E59753B"/>
    <w:rsid w:val="2E642E7C"/>
    <w:rsid w:val="2ED77149"/>
    <w:rsid w:val="2ED95618"/>
    <w:rsid w:val="2F7B047E"/>
    <w:rsid w:val="30CD2F5B"/>
    <w:rsid w:val="30CE282F"/>
    <w:rsid w:val="3264344B"/>
    <w:rsid w:val="32A44120"/>
    <w:rsid w:val="32C51A10"/>
    <w:rsid w:val="33484B1B"/>
    <w:rsid w:val="34B61F58"/>
    <w:rsid w:val="35AD62A7"/>
    <w:rsid w:val="3607389D"/>
    <w:rsid w:val="365E6403"/>
    <w:rsid w:val="36932551"/>
    <w:rsid w:val="369D517D"/>
    <w:rsid w:val="374C0952"/>
    <w:rsid w:val="38196A86"/>
    <w:rsid w:val="384358B1"/>
    <w:rsid w:val="385B709E"/>
    <w:rsid w:val="388C36FB"/>
    <w:rsid w:val="388F6D48"/>
    <w:rsid w:val="38A071A7"/>
    <w:rsid w:val="3902751A"/>
    <w:rsid w:val="390C65EA"/>
    <w:rsid w:val="39B822CE"/>
    <w:rsid w:val="3A4F49E1"/>
    <w:rsid w:val="3A791A5E"/>
    <w:rsid w:val="3B334302"/>
    <w:rsid w:val="3BA26D92"/>
    <w:rsid w:val="3BB84807"/>
    <w:rsid w:val="3C1A7270"/>
    <w:rsid w:val="3C797AF3"/>
    <w:rsid w:val="3CA8662A"/>
    <w:rsid w:val="3DA70690"/>
    <w:rsid w:val="3EDE4585"/>
    <w:rsid w:val="3EF50744"/>
    <w:rsid w:val="3F6902F3"/>
    <w:rsid w:val="3FB5178A"/>
    <w:rsid w:val="40520D87"/>
    <w:rsid w:val="40A84E4B"/>
    <w:rsid w:val="41173D7E"/>
    <w:rsid w:val="42226269"/>
    <w:rsid w:val="42460060"/>
    <w:rsid w:val="42B45D29"/>
    <w:rsid w:val="42D869AD"/>
    <w:rsid w:val="42DE28AD"/>
    <w:rsid w:val="43655275"/>
    <w:rsid w:val="43B43AC3"/>
    <w:rsid w:val="449776B0"/>
    <w:rsid w:val="44F9472B"/>
    <w:rsid w:val="451C0B6B"/>
    <w:rsid w:val="45A71B75"/>
    <w:rsid w:val="468E063F"/>
    <w:rsid w:val="46D324F5"/>
    <w:rsid w:val="471D452A"/>
    <w:rsid w:val="473C453F"/>
    <w:rsid w:val="47633879"/>
    <w:rsid w:val="477626C2"/>
    <w:rsid w:val="47EA5D49"/>
    <w:rsid w:val="48007F78"/>
    <w:rsid w:val="48403BBB"/>
    <w:rsid w:val="49184B37"/>
    <w:rsid w:val="494901C7"/>
    <w:rsid w:val="49E022DA"/>
    <w:rsid w:val="4A9B332A"/>
    <w:rsid w:val="4B920BD1"/>
    <w:rsid w:val="4B9F509C"/>
    <w:rsid w:val="4BB70638"/>
    <w:rsid w:val="4BD4042E"/>
    <w:rsid w:val="4BEA4569"/>
    <w:rsid w:val="4D302450"/>
    <w:rsid w:val="4D6C7200"/>
    <w:rsid w:val="4DD37209"/>
    <w:rsid w:val="4E143B1F"/>
    <w:rsid w:val="4E8F764A"/>
    <w:rsid w:val="4F0D0E5E"/>
    <w:rsid w:val="4F4E3061"/>
    <w:rsid w:val="4F624D5E"/>
    <w:rsid w:val="4F724029"/>
    <w:rsid w:val="4FC60E49"/>
    <w:rsid w:val="4FFF435B"/>
    <w:rsid w:val="50250266"/>
    <w:rsid w:val="5064378F"/>
    <w:rsid w:val="50AD3DB7"/>
    <w:rsid w:val="50B213CE"/>
    <w:rsid w:val="50EF5A05"/>
    <w:rsid w:val="50F43794"/>
    <w:rsid w:val="518C1C1F"/>
    <w:rsid w:val="5257222D"/>
    <w:rsid w:val="534F1156"/>
    <w:rsid w:val="538232D9"/>
    <w:rsid w:val="54B971CF"/>
    <w:rsid w:val="54DE6C35"/>
    <w:rsid w:val="54F00716"/>
    <w:rsid w:val="55B1434A"/>
    <w:rsid w:val="56101070"/>
    <w:rsid w:val="565D3B8A"/>
    <w:rsid w:val="5664316A"/>
    <w:rsid w:val="57603078"/>
    <w:rsid w:val="5822341B"/>
    <w:rsid w:val="585F1E3B"/>
    <w:rsid w:val="58A07A42"/>
    <w:rsid w:val="58B959EF"/>
    <w:rsid w:val="58C56D33"/>
    <w:rsid w:val="59AC0F41"/>
    <w:rsid w:val="5A737E20"/>
    <w:rsid w:val="5B3752F1"/>
    <w:rsid w:val="5B3F5B69"/>
    <w:rsid w:val="5B562835"/>
    <w:rsid w:val="5BAD110F"/>
    <w:rsid w:val="5BF60DF4"/>
    <w:rsid w:val="5CA2679A"/>
    <w:rsid w:val="5CE24DE9"/>
    <w:rsid w:val="5D3B6C83"/>
    <w:rsid w:val="5D9E3405"/>
    <w:rsid w:val="5E512ECF"/>
    <w:rsid w:val="5EB36A3D"/>
    <w:rsid w:val="5EDC0830"/>
    <w:rsid w:val="5EED4EE2"/>
    <w:rsid w:val="5F553840"/>
    <w:rsid w:val="60D61108"/>
    <w:rsid w:val="61C176C2"/>
    <w:rsid w:val="621E0EDE"/>
    <w:rsid w:val="626B762E"/>
    <w:rsid w:val="62B114E5"/>
    <w:rsid w:val="6325595A"/>
    <w:rsid w:val="634E31D8"/>
    <w:rsid w:val="636C4406"/>
    <w:rsid w:val="64B915EA"/>
    <w:rsid w:val="64E33DF4"/>
    <w:rsid w:val="653A1C66"/>
    <w:rsid w:val="65562818"/>
    <w:rsid w:val="65A74E21"/>
    <w:rsid w:val="66C7577B"/>
    <w:rsid w:val="68242759"/>
    <w:rsid w:val="68F16ADF"/>
    <w:rsid w:val="693B5FAC"/>
    <w:rsid w:val="69AE49D0"/>
    <w:rsid w:val="69B33D95"/>
    <w:rsid w:val="69C67F6C"/>
    <w:rsid w:val="69C97A5C"/>
    <w:rsid w:val="6A55309E"/>
    <w:rsid w:val="6A627569"/>
    <w:rsid w:val="6A9E4A45"/>
    <w:rsid w:val="6AF56363"/>
    <w:rsid w:val="6B320A72"/>
    <w:rsid w:val="6BC30951"/>
    <w:rsid w:val="6C662DA8"/>
    <w:rsid w:val="6D147240"/>
    <w:rsid w:val="6D2D0302"/>
    <w:rsid w:val="6D4A2C62"/>
    <w:rsid w:val="6D8343C6"/>
    <w:rsid w:val="6DF36E56"/>
    <w:rsid w:val="6EA168B2"/>
    <w:rsid w:val="6EF530A1"/>
    <w:rsid w:val="6F152DFC"/>
    <w:rsid w:val="6F6D49E6"/>
    <w:rsid w:val="6FAC7C04"/>
    <w:rsid w:val="6FC35714"/>
    <w:rsid w:val="6FC6486F"/>
    <w:rsid w:val="6FD11419"/>
    <w:rsid w:val="700E61C9"/>
    <w:rsid w:val="70383246"/>
    <w:rsid w:val="710D6480"/>
    <w:rsid w:val="7189187F"/>
    <w:rsid w:val="71FA64CF"/>
    <w:rsid w:val="72565C05"/>
    <w:rsid w:val="72A746B3"/>
    <w:rsid w:val="72E871A5"/>
    <w:rsid w:val="72F86293"/>
    <w:rsid w:val="732D6784"/>
    <w:rsid w:val="736D76AA"/>
    <w:rsid w:val="737525FE"/>
    <w:rsid w:val="73A3131E"/>
    <w:rsid w:val="73DB2866"/>
    <w:rsid w:val="75287D2D"/>
    <w:rsid w:val="75524DAA"/>
    <w:rsid w:val="758C1337"/>
    <w:rsid w:val="75D43A11"/>
    <w:rsid w:val="764D1790"/>
    <w:rsid w:val="76813875"/>
    <w:rsid w:val="76B13D52"/>
    <w:rsid w:val="771B11CB"/>
    <w:rsid w:val="77274014"/>
    <w:rsid w:val="776E4B73"/>
    <w:rsid w:val="77BB5F58"/>
    <w:rsid w:val="77FC724F"/>
    <w:rsid w:val="789D458E"/>
    <w:rsid w:val="78E24696"/>
    <w:rsid w:val="79750E46"/>
    <w:rsid w:val="79C124FE"/>
    <w:rsid w:val="7A462A03"/>
    <w:rsid w:val="7A792DD8"/>
    <w:rsid w:val="7AB67B89"/>
    <w:rsid w:val="7BCA5728"/>
    <w:rsid w:val="7D0270B5"/>
    <w:rsid w:val="7D036989"/>
    <w:rsid w:val="7D050953"/>
    <w:rsid w:val="7D32101D"/>
    <w:rsid w:val="7EA61CC2"/>
    <w:rsid w:val="7EB663A9"/>
    <w:rsid w:val="7EC96766"/>
    <w:rsid w:val="7EF93831"/>
    <w:rsid w:val="7F3B065C"/>
    <w:rsid w:val="F3AF552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6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66">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6"/>
    <w:qFormat/>
    <w:uiPriority w:val="0"/>
    <w:pPr>
      <w:numPr>
        <w:ilvl w:val="0"/>
        <w:numId w:val="3"/>
      </w:numPr>
      <w:ind w:firstLine="0" w:firstLineChars="0"/>
    </w:pPr>
  </w:style>
  <w:style w:type="paragraph" w:customStyle="1" w:styleId="69">
    <w:name w:val="标准文件_封面标准编号"/>
    <w:basedOn w:val="1"/>
    <w:next w:val="59"/>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6"/>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6"/>
    <w:next w:val="56"/>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6"/>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5"/>
    <w:next w:val="66"/>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6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66"/>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111">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6"/>
    <w:qFormat/>
    <w:uiPriority w:val="0"/>
    <w:pPr>
      <w:outlineLvl w:val="4"/>
    </w:pPr>
  </w:style>
  <w:style w:type="paragraph" w:customStyle="1" w:styleId="131">
    <w:name w:val="附录四级无标题条"/>
    <w:basedOn w:val="130"/>
    <w:next w:val="56"/>
    <w:qFormat/>
    <w:uiPriority w:val="0"/>
    <w:pPr>
      <w:outlineLvl w:val="5"/>
    </w:pPr>
  </w:style>
  <w:style w:type="paragraph" w:customStyle="1" w:styleId="132">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6"/>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6"/>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6"/>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6"/>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5"/>
    <w:qFormat/>
    <w:uiPriority w:val="0"/>
    <w:pPr>
      <w:spacing w:before="0" w:beforeLines="0" w:after="0" w:afterLines="0"/>
      <w:outlineLvl w:val="9"/>
    </w:pPr>
    <w:rPr>
      <w:rFonts w:ascii="宋体" w:eastAsia="宋体"/>
    </w:rPr>
  </w:style>
  <w:style w:type="paragraph" w:customStyle="1" w:styleId="167">
    <w:name w:val="标准_四级无标题"/>
    <w:basedOn w:val="99"/>
    <w:next w:val="56"/>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6"/>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6"/>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6"/>
    <w:qFormat/>
    <w:uiPriority w:val="0"/>
    <w:pPr>
      <w:ind w:firstLine="0" w:firstLineChars="0"/>
      <w:jc w:val="center"/>
    </w:pPr>
    <w:rPr>
      <w:sz w:val="18"/>
    </w:rPr>
  </w:style>
  <w:style w:type="paragraph" w:customStyle="1" w:styleId="180">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6"/>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6"/>
    <w:qFormat/>
    <w:uiPriority w:val="0"/>
    <w:rPr>
      <w:rFonts w:ascii="宋体" w:hAnsi="Times New Roman"/>
      <w:sz w:val="21"/>
    </w:rPr>
  </w:style>
  <w:style w:type="paragraph" w:customStyle="1" w:styleId="186">
    <w:name w:val="标准文件_表格续"/>
    <w:basedOn w:val="56"/>
    <w:next w:val="56"/>
    <w:qFormat/>
    <w:uiPriority w:val="0"/>
    <w:pPr>
      <w:jc w:val="center"/>
    </w:pPr>
    <w:rPr>
      <w:rFonts w:ascii="黑体" w:hAnsi="黑体" w:eastAsia="黑体"/>
    </w:rPr>
  </w:style>
  <w:style w:type="character" w:styleId="187">
    <w:name w:val="Placeholder Text"/>
    <w:basedOn w:val="28"/>
    <w:semiHidden/>
    <w:qFormat/>
    <w:uiPriority w:val="99"/>
    <w:rPr>
      <w:color w:val="808080"/>
    </w:rPr>
  </w:style>
  <w:style w:type="paragraph" w:customStyle="1" w:styleId="188">
    <w:name w:val="标准文件_二级项2"/>
    <w:basedOn w:val="56"/>
    <w:qFormat/>
    <w:uiPriority w:val="0"/>
    <w:pPr>
      <w:numPr>
        <w:ilvl w:val="1"/>
        <w:numId w:val="21"/>
      </w:numPr>
      <w:ind w:firstLine="0" w:firstLineChars="0"/>
    </w:pPr>
  </w:style>
  <w:style w:type="paragraph" w:customStyle="1" w:styleId="189">
    <w:name w:val="标准文件_三级项2"/>
    <w:basedOn w:val="56"/>
    <w:qFormat/>
    <w:uiPriority w:val="0"/>
    <w:pPr>
      <w:numPr>
        <w:ilvl w:val="0"/>
        <w:numId w:val="30"/>
      </w:numPr>
      <w:spacing w:line="300" w:lineRule="exact"/>
      <w:ind w:firstLineChars="0"/>
    </w:pPr>
    <w:rPr>
      <w:rFonts w:ascii="Times New Roman"/>
    </w:rPr>
  </w:style>
  <w:style w:type="paragraph" w:customStyle="1" w:styleId="190">
    <w:name w:val="标准文件_一级项2"/>
    <w:basedOn w:val="56"/>
    <w:qFormat/>
    <w:uiPriority w:val="0"/>
    <w:pPr>
      <w:numPr>
        <w:ilvl w:val="0"/>
        <w:numId w:val="31"/>
      </w:numPr>
      <w:spacing w:line="300" w:lineRule="exact"/>
      <w:ind w:firstLineChars="0"/>
    </w:pPr>
    <w:rPr>
      <w:rFonts w:ascii="Times New Roman"/>
    </w:rPr>
  </w:style>
  <w:style w:type="paragraph" w:customStyle="1" w:styleId="191">
    <w:name w:val="标准文件_提示"/>
    <w:basedOn w:val="56"/>
    <w:next w:val="56"/>
    <w:qFormat/>
    <w:uiPriority w:val="0"/>
    <w:pPr>
      <w:ind w:firstLine="420"/>
    </w:pPr>
    <w:rPr>
      <w:rFonts w:ascii="黑体" w:eastAsia="黑体"/>
    </w:rPr>
  </w:style>
  <w:style w:type="character" w:customStyle="1" w:styleId="192">
    <w:name w:val="标准文件_来源"/>
    <w:basedOn w:val="28"/>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6"/>
    <w:qFormat/>
    <w:uiPriority w:val="0"/>
    <w:pPr>
      <w:ind w:left="811" w:firstLine="0" w:firstLineChars="0"/>
    </w:pPr>
    <w:rPr>
      <w:sz w:val="18"/>
    </w:rPr>
  </w:style>
  <w:style w:type="paragraph" w:customStyle="1" w:styleId="207">
    <w:name w:val="标准文件_注X后"/>
    <w:basedOn w:val="56"/>
    <w:qFormat/>
    <w:uiPriority w:val="0"/>
    <w:pPr>
      <w:ind w:left="811" w:firstLine="0" w:firstLineChars="0"/>
    </w:pPr>
    <w:rPr>
      <w:sz w:val="18"/>
    </w:rPr>
  </w:style>
  <w:style w:type="paragraph" w:customStyle="1" w:styleId="208">
    <w:name w:val="标准文件_示例后"/>
    <w:basedOn w:val="56"/>
    <w:qFormat/>
    <w:uiPriority w:val="0"/>
    <w:pPr>
      <w:ind w:left="964" w:firstLine="0" w:firstLineChars="0"/>
    </w:pPr>
    <w:rPr>
      <w:sz w:val="18"/>
    </w:rPr>
  </w:style>
  <w:style w:type="paragraph" w:customStyle="1" w:styleId="209">
    <w:name w:val="标准文件_示例X后"/>
    <w:basedOn w:val="56"/>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6"/>
    <w:next w:val="56"/>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6"/>
    <w:qFormat/>
    <w:uiPriority w:val="0"/>
    <w:pPr>
      <w:spacing w:before="0" w:beforeLines="0" w:after="0" w:afterLines="0" w:line="276" w:lineRule="auto"/>
    </w:pPr>
    <w:rPr>
      <w:rFonts w:ascii="宋体" w:eastAsia="宋体"/>
    </w:rPr>
  </w:style>
  <w:style w:type="paragraph" w:customStyle="1" w:styleId="222">
    <w:name w:val="标准文件_索引标题"/>
    <w:basedOn w:val="63"/>
    <w:next w:val="56"/>
    <w:qFormat/>
    <w:uiPriority w:val="0"/>
    <w:rPr>
      <w:rFonts w:hAnsi="黑体"/>
    </w:rPr>
  </w:style>
  <w:style w:type="paragraph" w:customStyle="1" w:styleId="223">
    <w:name w:val="标准文件_脚注内容"/>
    <w:basedOn w:val="56"/>
    <w:qFormat/>
    <w:uiPriority w:val="0"/>
    <w:pPr>
      <w:ind w:left="400" w:leftChars="200" w:hanging="200" w:hangingChars="200"/>
    </w:pPr>
    <w:rPr>
      <w:sz w:val="15"/>
    </w:rPr>
  </w:style>
  <w:style w:type="paragraph" w:customStyle="1" w:styleId="224">
    <w:name w:val="标准文件_术语条一"/>
    <w:basedOn w:val="163"/>
    <w:next w:val="56"/>
    <w:qFormat/>
    <w:uiPriority w:val="0"/>
  </w:style>
  <w:style w:type="paragraph" w:customStyle="1" w:styleId="225">
    <w:name w:val="标准文件_术语条二"/>
    <w:basedOn w:val="166"/>
    <w:next w:val="56"/>
    <w:qFormat/>
    <w:uiPriority w:val="0"/>
  </w:style>
  <w:style w:type="paragraph" w:customStyle="1" w:styleId="226">
    <w:name w:val="标准文件_术语条三"/>
    <w:basedOn w:val="165"/>
    <w:next w:val="56"/>
    <w:qFormat/>
    <w:uiPriority w:val="0"/>
  </w:style>
  <w:style w:type="paragraph" w:customStyle="1" w:styleId="227">
    <w:name w:val="标准文件_术语条四"/>
    <w:basedOn w:val="168"/>
    <w:next w:val="56"/>
    <w:qFormat/>
    <w:uiPriority w:val="0"/>
  </w:style>
  <w:style w:type="paragraph" w:customStyle="1" w:styleId="228">
    <w:name w:val="标准文件_术语条五"/>
    <w:basedOn w:val="164"/>
    <w:next w:val="56"/>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8"/>
    <w:qFormat/>
    <w:uiPriority w:val="0"/>
    <w:rPr>
      <w:rFonts w:ascii="黑体" w:eastAsia="黑体"/>
      <w:spacing w:val="85"/>
      <w:w w:val="100"/>
      <w:position w:val="3"/>
      <w:sz w:val="28"/>
      <w:szCs w:val="28"/>
    </w:rPr>
  </w:style>
  <w:style w:type="paragraph" w:customStyle="1" w:styleId="231">
    <w:name w:val="标准文件_表格题注"/>
    <w:autoRedefine/>
    <w:qFormat/>
    <w:uiPriority w:val="0"/>
    <w:pPr>
      <w:numPr>
        <w:ilvl w:val="0"/>
        <w:numId w:val="32"/>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232">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233">
    <w:name w:val="标准文件_表格内容"/>
    <w:basedOn w:val="1"/>
    <w:autoRedefine/>
    <w:qFormat/>
    <w:uiPriority w:val="0"/>
    <w:pPr>
      <w:spacing w:line="300" w:lineRule="atLeast"/>
      <w:jc w:val="left"/>
    </w:pPr>
    <w:rPr>
      <w:rFonts w:ascii="宋体" w:hAnsi="宋体" w:cs="Times New Roman"/>
      <w:sz w:val="18"/>
    </w:rPr>
  </w:style>
  <w:style w:type="paragraph" w:customStyle="1" w:styleId="234">
    <w:name w:val="标准文件_图片题注"/>
    <w:autoRedefine/>
    <w:qFormat/>
    <w:uiPriority w:val="0"/>
    <w:pPr>
      <w:numPr>
        <w:ilvl w:val="0"/>
        <w:numId w:val="33"/>
      </w:numPr>
      <w:spacing w:before="50" w:beforeLines="50" w:after="50" w:afterLines="50"/>
      <w:jc w:val="center"/>
    </w:pPr>
    <w:rPr>
      <w:rFonts w:ascii="黑体" w:hAnsi="黑体" w:eastAsia="黑体" w:cstheme="minorBidi"/>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glossaryDocument" Target="glossary/document.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3.jpe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8.xml"/><Relationship Id="rId20" Type="http://schemas.openxmlformats.org/officeDocument/2006/relationships/footer" Target="footer7.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header" Target="header8.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weboffice\tmp\webword_2579374621\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1AAA52270374532AA7C98F5FC00429A"/>
        <w:style w:val=""/>
        <w:category>
          <w:name w:val="常规"/>
          <w:gallery w:val="placeholder"/>
        </w:category>
        <w:types>
          <w:type w:val="bbPlcHdr"/>
        </w:types>
        <w:behaviors>
          <w:behavior w:val="content"/>
        </w:behaviors>
        <w:description w:val=""/>
        <w:guid w:val="{39878737-4092-4C44-98C4-1B59EB04E72D}"/>
      </w:docPartPr>
      <w:docPartBody>
        <w:p w14:paraId="45CDA0F0">
          <w:pPr>
            <w:pStyle w:val="5"/>
            <w:rPr>
              <w:rFonts w:hint="eastAsia"/>
            </w:rPr>
          </w:pPr>
          <w:r>
            <w:rPr>
              <w:rStyle w:val="4"/>
              <w:rFonts w:hint="eastAsia"/>
            </w:rPr>
            <w:t>单击或点击此处输入文字。</w:t>
          </w:r>
        </w:p>
      </w:docPartBody>
    </w:docPart>
    <w:docPart>
      <w:docPartPr>
        <w:name w:val="FF0054CC84D048C2BFA2F4572D65DF65"/>
        <w:style w:val=""/>
        <w:category>
          <w:name w:val="常规"/>
          <w:gallery w:val="placeholder"/>
        </w:category>
        <w:types>
          <w:type w:val="bbPlcHdr"/>
        </w:types>
        <w:behaviors>
          <w:behavior w:val="content"/>
        </w:behaviors>
        <w:description w:val=""/>
        <w:guid w:val="{67F023CE-E9F0-49DF-88FB-2C7CFDB6FB0C}"/>
      </w:docPartPr>
      <w:docPartBody>
        <w:p w14:paraId="63AA39B4">
          <w:pPr>
            <w:pStyle w:val="6"/>
            <w:rPr>
              <w:rFonts w:hint="eastAsia"/>
            </w:rPr>
          </w:pPr>
          <w:r>
            <w:rPr>
              <w:rStyle w:val="4"/>
              <w:rFonts w:hint="eastAsia"/>
            </w:rPr>
            <w:t>选择一项。</w:t>
          </w:r>
        </w:p>
      </w:docPartBody>
    </w:docPart>
    <w:docPart>
      <w:docPartPr>
        <w:name w:val="BE3737DD1D8843BEAE6237A2BC536667"/>
        <w:style w:val=""/>
        <w:category>
          <w:name w:val="常规"/>
          <w:gallery w:val="placeholder"/>
        </w:category>
        <w:types>
          <w:type w:val="bbPlcHdr"/>
        </w:types>
        <w:behaviors>
          <w:behavior w:val="content"/>
        </w:behaviors>
        <w:description w:val=""/>
        <w:guid w:val="{D4495E1A-EA6F-47B1-9360-1785CC22357F}"/>
      </w:docPartPr>
      <w:docPartBody>
        <w:p w14:paraId="44ECB797">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A56"/>
    <w:rsid w:val="001D6273"/>
    <w:rsid w:val="0022344A"/>
    <w:rsid w:val="00463A56"/>
    <w:rsid w:val="004D3F73"/>
    <w:rsid w:val="00517C15"/>
    <w:rsid w:val="009F68BD"/>
    <w:rsid w:val="00A10C23"/>
    <w:rsid w:val="00A15C44"/>
    <w:rsid w:val="00A82140"/>
    <w:rsid w:val="00C26BDD"/>
    <w:rsid w:val="00E60402"/>
    <w:rsid w:val="00E9271E"/>
    <w:rsid w:val="00ED50FE"/>
    <w:rsid w:val="00F30DFB"/>
    <w:rsid w:val="00F30E94"/>
    <w:rsid w:val="00F6478F"/>
    <w:rsid w:val="00F86B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1AAA52270374532AA7C98F5FC00429A"/>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FF0054CC84D048C2BFA2F4572D65DF65"/>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BE3737DD1D8843BEAE6237A2BC5366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PCMI</Company>
  <Pages>8</Pages>
  <Words>3489</Words>
  <Characters>3971</Characters>
  <Lines>369</Lines>
  <Paragraphs>508</Paragraphs>
  <TotalTime>0</TotalTime>
  <ScaleCrop>false</ScaleCrop>
  <LinksUpToDate>false</LinksUpToDate>
  <CharactersWithSpaces>4101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2025-06-03T10:51:00Z</dcterms:created>
  <dc:creator>王志强</dc:creator>
  <dc:description>&lt;config cover="true" show_menu="true" version="1.0.0" doctype="SDKXY"&gt;_x000d_
&lt;/config&gt;</dc:description>
  <cp:lastModifiedBy>游钦凉</cp:lastModifiedBy>
  <cp:lastPrinted>2021-02-02T16:22:00Z</cp:lastPrinted>
  <dcterms:modified xsi:type="dcterms:W3CDTF">2026-04-22T05:41:50Z</dcterms:modified>
  <dc:title>团体标准</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eyJoZGlkIjoiMjdlZDgyOTQyNjFjNTk3MWVlYTY0NzMzZGMxODZkODYiLCJ1c2VySWQiOiIxNTY4NTU3MDQ2In0=</vt:lpwstr>
  </property>
  <property fmtid="{D5CDD505-2E9C-101B-9397-08002B2CF9AE}" pid="15" name="KSOProductBuildVer">
    <vt:lpwstr>2052-12.1.0.22529</vt:lpwstr>
  </property>
  <property fmtid="{D5CDD505-2E9C-101B-9397-08002B2CF9AE}" pid="16" name="ICV">
    <vt:lpwstr>D437DF1607C8F68A4CA6BF6876CBB180_43</vt:lpwstr>
  </property>
  <property fmtid="{D5CDD505-2E9C-101B-9397-08002B2CF9AE}" pid="17" name="uuid">
    <vt:lpwstr>5eb7b5cc2eb37b0e99516e006bd52d19</vt:lpwstr>
  </property>
</Properties>
</file>